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06AEC" w14:textId="2FE66649" w:rsidR="00DD4710" w:rsidRPr="0004280F" w:rsidRDefault="00C27CA4" w:rsidP="00E922F4">
      <w:pPr>
        <w:autoSpaceDE w:val="0"/>
        <w:autoSpaceDN w:val="0"/>
        <w:adjustRightInd w:val="0"/>
        <w:rPr>
          <w:b/>
          <w:bCs/>
          <w:sz w:val="44"/>
          <w:szCs w:val="44"/>
        </w:rPr>
      </w:pPr>
      <w:r w:rsidRPr="0004280F">
        <w:rPr>
          <w:b/>
          <w:bCs/>
          <w:sz w:val="44"/>
          <w:szCs w:val="44"/>
        </w:rPr>
        <w:t>KUVEYT TÜ</w:t>
      </w:r>
      <w:r w:rsidR="00DD4710" w:rsidRPr="0004280F">
        <w:rPr>
          <w:b/>
          <w:bCs/>
          <w:sz w:val="44"/>
          <w:szCs w:val="44"/>
        </w:rPr>
        <w:t>RK</w:t>
      </w:r>
      <w:r w:rsidR="00E44B65" w:rsidRPr="0004280F">
        <w:rPr>
          <w:b/>
          <w:bCs/>
          <w:sz w:val="44"/>
          <w:szCs w:val="44"/>
        </w:rPr>
        <w:t xml:space="preserve"> </w:t>
      </w:r>
      <w:r w:rsidR="00DD4710" w:rsidRPr="0004280F">
        <w:rPr>
          <w:b/>
          <w:bCs/>
          <w:sz w:val="44"/>
          <w:szCs w:val="44"/>
        </w:rPr>
        <w:t>KATILIM BANKASI A.Ş</w:t>
      </w:r>
      <w:r w:rsidR="004628F7" w:rsidRPr="0004280F">
        <w:rPr>
          <w:b/>
          <w:bCs/>
          <w:sz w:val="44"/>
          <w:szCs w:val="44"/>
        </w:rPr>
        <w:t>.</w:t>
      </w:r>
    </w:p>
    <w:p w14:paraId="7482D046" w14:textId="77777777" w:rsidR="00DD4710" w:rsidRPr="0004280F" w:rsidRDefault="00DD4710" w:rsidP="002419BE">
      <w:pPr>
        <w:autoSpaceDE w:val="0"/>
        <w:autoSpaceDN w:val="0"/>
        <w:adjustRightInd w:val="0"/>
        <w:rPr>
          <w:b/>
          <w:bCs/>
          <w:sz w:val="10"/>
          <w:szCs w:val="10"/>
        </w:rPr>
      </w:pPr>
    </w:p>
    <w:p w14:paraId="597D0709" w14:textId="7A31BD40" w:rsidR="00DD4710" w:rsidRPr="0004280F" w:rsidRDefault="0090188F" w:rsidP="002419BE">
      <w:pPr>
        <w:autoSpaceDE w:val="0"/>
        <w:autoSpaceDN w:val="0"/>
        <w:adjustRightInd w:val="0"/>
        <w:rPr>
          <w:b/>
          <w:bCs/>
          <w:sz w:val="28"/>
          <w:szCs w:val="28"/>
        </w:rPr>
      </w:pPr>
      <w:r w:rsidRPr="0004280F">
        <w:rPr>
          <w:b/>
          <w:bCs/>
          <w:sz w:val="28"/>
          <w:szCs w:val="28"/>
        </w:rPr>
        <w:t>1</w:t>
      </w:r>
      <w:r w:rsidR="009277C1" w:rsidRPr="0004280F">
        <w:rPr>
          <w:b/>
          <w:bCs/>
          <w:sz w:val="28"/>
          <w:szCs w:val="28"/>
        </w:rPr>
        <w:t xml:space="preserve"> </w:t>
      </w:r>
      <w:r w:rsidR="002A293A" w:rsidRPr="0004280F">
        <w:rPr>
          <w:b/>
          <w:bCs/>
          <w:sz w:val="28"/>
          <w:szCs w:val="28"/>
        </w:rPr>
        <w:t>O</w:t>
      </w:r>
      <w:r w:rsidR="00003CB6" w:rsidRPr="0004280F">
        <w:rPr>
          <w:b/>
          <w:bCs/>
          <w:sz w:val="28"/>
          <w:szCs w:val="28"/>
        </w:rPr>
        <w:t>cak-</w:t>
      </w:r>
      <w:r w:rsidR="008D4501" w:rsidRPr="0004280F">
        <w:rPr>
          <w:b/>
          <w:bCs/>
          <w:sz w:val="28"/>
          <w:szCs w:val="28"/>
        </w:rPr>
        <w:t>3</w:t>
      </w:r>
      <w:r w:rsidR="002F3C63" w:rsidRPr="0004280F">
        <w:rPr>
          <w:b/>
          <w:bCs/>
          <w:sz w:val="28"/>
          <w:szCs w:val="28"/>
        </w:rPr>
        <w:t>0</w:t>
      </w:r>
      <w:r w:rsidR="008D4501" w:rsidRPr="0004280F">
        <w:rPr>
          <w:b/>
          <w:bCs/>
          <w:sz w:val="28"/>
          <w:szCs w:val="28"/>
        </w:rPr>
        <w:t xml:space="preserve"> </w:t>
      </w:r>
      <w:r w:rsidR="00270CE6" w:rsidRPr="0004280F">
        <w:rPr>
          <w:b/>
          <w:bCs/>
          <w:sz w:val="28"/>
          <w:szCs w:val="28"/>
        </w:rPr>
        <w:t>Eylül</w:t>
      </w:r>
      <w:r w:rsidR="00BC7909" w:rsidRPr="0004280F">
        <w:rPr>
          <w:b/>
          <w:bCs/>
          <w:sz w:val="28"/>
          <w:szCs w:val="28"/>
        </w:rPr>
        <w:t xml:space="preserve"> 2020</w:t>
      </w:r>
      <w:r w:rsidR="00DD4710" w:rsidRPr="0004280F">
        <w:rPr>
          <w:b/>
          <w:bCs/>
          <w:sz w:val="28"/>
          <w:szCs w:val="28"/>
        </w:rPr>
        <w:t xml:space="preserve"> </w:t>
      </w:r>
      <w:r w:rsidR="002419BE" w:rsidRPr="0004280F">
        <w:rPr>
          <w:b/>
          <w:bCs/>
          <w:sz w:val="28"/>
          <w:szCs w:val="28"/>
        </w:rPr>
        <w:t>hesap dönemine ait</w:t>
      </w:r>
    </w:p>
    <w:p w14:paraId="2C83DCFB" w14:textId="241A348B" w:rsidR="00DD4710" w:rsidRPr="0004280F" w:rsidRDefault="00607892" w:rsidP="002419BE">
      <w:pPr>
        <w:autoSpaceDE w:val="0"/>
        <w:autoSpaceDN w:val="0"/>
        <w:adjustRightInd w:val="0"/>
        <w:rPr>
          <w:b/>
          <w:bCs/>
          <w:sz w:val="28"/>
          <w:szCs w:val="28"/>
        </w:rPr>
      </w:pPr>
      <w:proofErr w:type="gramStart"/>
      <w:r w:rsidRPr="0004280F">
        <w:rPr>
          <w:b/>
          <w:bCs/>
          <w:sz w:val="28"/>
          <w:szCs w:val="28"/>
        </w:rPr>
        <w:t>b</w:t>
      </w:r>
      <w:r w:rsidR="00666B0D" w:rsidRPr="0004280F">
        <w:rPr>
          <w:b/>
          <w:bCs/>
          <w:sz w:val="28"/>
          <w:szCs w:val="28"/>
        </w:rPr>
        <w:t>ağımsız</w:t>
      </w:r>
      <w:proofErr w:type="gramEnd"/>
      <w:r w:rsidR="00666B0D" w:rsidRPr="0004280F">
        <w:rPr>
          <w:b/>
          <w:bCs/>
          <w:sz w:val="28"/>
          <w:szCs w:val="28"/>
        </w:rPr>
        <w:t xml:space="preserve"> </w:t>
      </w:r>
      <w:r w:rsidR="00BC7909" w:rsidRPr="0004280F">
        <w:rPr>
          <w:b/>
          <w:bCs/>
          <w:sz w:val="28"/>
          <w:szCs w:val="28"/>
        </w:rPr>
        <w:t xml:space="preserve">sınırlı </w:t>
      </w:r>
      <w:r w:rsidR="002419BE" w:rsidRPr="0004280F">
        <w:rPr>
          <w:b/>
          <w:bCs/>
          <w:sz w:val="28"/>
          <w:szCs w:val="28"/>
        </w:rPr>
        <w:t>denetim raporu,</w:t>
      </w:r>
    </w:p>
    <w:p w14:paraId="59C1548F" w14:textId="77777777" w:rsidR="00DD4710" w:rsidRPr="0004280F" w:rsidRDefault="00607892" w:rsidP="002419BE">
      <w:pPr>
        <w:autoSpaceDE w:val="0"/>
        <w:autoSpaceDN w:val="0"/>
        <w:adjustRightInd w:val="0"/>
        <w:rPr>
          <w:b/>
          <w:bCs/>
          <w:sz w:val="28"/>
          <w:szCs w:val="28"/>
        </w:rPr>
      </w:pPr>
      <w:proofErr w:type="gramStart"/>
      <w:r w:rsidRPr="0004280F">
        <w:rPr>
          <w:b/>
          <w:bCs/>
          <w:sz w:val="28"/>
          <w:szCs w:val="28"/>
        </w:rPr>
        <w:t>k</w:t>
      </w:r>
      <w:r w:rsidR="002419BE" w:rsidRPr="0004280F">
        <w:rPr>
          <w:b/>
          <w:bCs/>
          <w:sz w:val="28"/>
          <w:szCs w:val="28"/>
        </w:rPr>
        <w:t>onsolide</w:t>
      </w:r>
      <w:proofErr w:type="gramEnd"/>
      <w:r w:rsidR="002419BE" w:rsidRPr="0004280F">
        <w:rPr>
          <w:b/>
          <w:bCs/>
          <w:sz w:val="28"/>
          <w:szCs w:val="28"/>
        </w:rPr>
        <w:t xml:space="preserve"> olmayan finansal tablolar</w:t>
      </w:r>
    </w:p>
    <w:p w14:paraId="68D5E7CF" w14:textId="77777777" w:rsidR="00DD4710" w:rsidRPr="0004280F" w:rsidRDefault="00CC70EB" w:rsidP="002419BE">
      <w:pPr>
        <w:autoSpaceDE w:val="0"/>
        <w:autoSpaceDN w:val="0"/>
        <w:adjustRightInd w:val="0"/>
        <w:rPr>
          <w:b/>
          <w:bCs/>
          <w:sz w:val="28"/>
          <w:szCs w:val="28"/>
        </w:rPr>
      </w:pPr>
      <w:proofErr w:type="gramStart"/>
      <w:r w:rsidRPr="0004280F">
        <w:rPr>
          <w:b/>
          <w:bCs/>
          <w:sz w:val="28"/>
          <w:szCs w:val="28"/>
        </w:rPr>
        <w:t>v</w:t>
      </w:r>
      <w:r w:rsidR="002419BE" w:rsidRPr="0004280F">
        <w:rPr>
          <w:b/>
          <w:bCs/>
          <w:sz w:val="28"/>
          <w:szCs w:val="28"/>
        </w:rPr>
        <w:t>e</w:t>
      </w:r>
      <w:proofErr w:type="gramEnd"/>
      <w:r w:rsidR="002419BE" w:rsidRPr="0004280F">
        <w:rPr>
          <w:b/>
          <w:bCs/>
          <w:sz w:val="28"/>
          <w:szCs w:val="28"/>
        </w:rPr>
        <w:t xml:space="preserve"> finansal tablolara ilişkin dipnotlar</w:t>
      </w:r>
    </w:p>
    <w:p w14:paraId="712AE5AF" w14:textId="77777777" w:rsidR="00394ED0" w:rsidRPr="00270CE6" w:rsidRDefault="00394ED0" w:rsidP="00134A72">
      <w:pPr>
        <w:autoSpaceDE w:val="0"/>
        <w:autoSpaceDN w:val="0"/>
        <w:adjustRightInd w:val="0"/>
        <w:ind w:right="-259"/>
        <w:rPr>
          <w:sz w:val="28"/>
          <w:szCs w:val="28"/>
          <w:highlight w:val="yellow"/>
        </w:rPr>
        <w:sectPr w:rsidR="00394ED0" w:rsidRPr="00270CE6" w:rsidSect="002419BE">
          <w:footerReference w:type="even" r:id="rId8"/>
          <w:pgSz w:w="11907" w:h="16840" w:code="9"/>
          <w:pgMar w:top="2268" w:right="2835" w:bottom="12134" w:left="2835" w:header="709" w:footer="709" w:gutter="0"/>
          <w:cols w:space="708"/>
          <w:noEndnote/>
          <w:titlePg/>
          <w:docGrid w:linePitch="272"/>
        </w:sectPr>
      </w:pPr>
    </w:p>
    <w:p w14:paraId="2BA8950A" w14:textId="77777777" w:rsidR="00B45B78" w:rsidRPr="00336E95" w:rsidRDefault="00B45B78" w:rsidP="00B45B78">
      <w:pPr>
        <w:autoSpaceDE w:val="0"/>
        <w:autoSpaceDN w:val="0"/>
        <w:adjustRightInd w:val="0"/>
        <w:jc w:val="center"/>
        <w:rPr>
          <w:b/>
          <w:color w:val="000000"/>
        </w:rPr>
      </w:pPr>
      <w:r w:rsidRPr="00336E95">
        <w:rPr>
          <w:b/>
          <w:color w:val="000000"/>
        </w:rPr>
        <w:lastRenderedPageBreak/>
        <w:t>ARA DÖNEM FİNANSAL BİLGİLERE İLİŞKİN SINIRLI DENETİM RAPORU</w:t>
      </w:r>
    </w:p>
    <w:p w14:paraId="7D6A5FB8" w14:textId="77777777" w:rsidR="00B45B78" w:rsidRPr="00270CE6" w:rsidRDefault="00B45B78" w:rsidP="00B45B78">
      <w:pPr>
        <w:autoSpaceDE w:val="0"/>
        <w:autoSpaceDN w:val="0"/>
        <w:adjustRightInd w:val="0"/>
        <w:jc w:val="center"/>
        <w:rPr>
          <w:color w:val="000000"/>
          <w:highlight w:val="yellow"/>
        </w:rPr>
      </w:pPr>
    </w:p>
    <w:p w14:paraId="74E713CC" w14:textId="77777777" w:rsidR="00B45B78" w:rsidRPr="00270CE6" w:rsidRDefault="00B45B78" w:rsidP="00B45B78">
      <w:pPr>
        <w:autoSpaceDE w:val="0"/>
        <w:autoSpaceDN w:val="0"/>
        <w:adjustRightInd w:val="0"/>
        <w:jc w:val="center"/>
        <w:rPr>
          <w:color w:val="000000"/>
          <w:highlight w:val="yellow"/>
        </w:rPr>
      </w:pPr>
    </w:p>
    <w:p w14:paraId="5FEF5FFC" w14:textId="77777777" w:rsidR="00B45B78" w:rsidRPr="00270CE6" w:rsidRDefault="00B45B78" w:rsidP="00B45B78">
      <w:pPr>
        <w:autoSpaceDE w:val="0"/>
        <w:autoSpaceDN w:val="0"/>
        <w:adjustRightInd w:val="0"/>
        <w:jc w:val="center"/>
        <w:rPr>
          <w:color w:val="000000"/>
          <w:highlight w:val="yellow"/>
        </w:rPr>
      </w:pPr>
    </w:p>
    <w:p w14:paraId="528E246C" w14:textId="77777777" w:rsidR="00336E95" w:rsidRDefault="00336E95" w:rsidP="00336E95">
      <w:pPr>
        <w:autoSpaceDE w:val="0"/>
        <w:autoSpaceDN w:val="0"/>
        <w:adjustRightInd w:val="0"/>
        <w:jc w:val="both"/>
        <w:rPr>
          <w:b/>
          <w:color w:val="000000"/>
        </w:rPr>
      </w:pPr>
      <w:r>
        <w:rPr>
          <w:b/>
          <w:color w:val="000000"/>
        </w:rPr>
        <w:t>Kuveyt Türk Katılım Bankası A.Ş. Yönetim Kurulu'na</w:t>
      </w:r>
    </w:p>
    <w:p w14:paraId="32182D09" w14:textId="77777777" w:rsidR="00336E95" w:rsidRDefault="00336E95" w:rsidP="00336E95">
      <w:pPr>
        <w:pStyle w:val="Text"/>
        <w:spacing w:line="270" w:lineRule="atLeast"/>
        <w:rPr>
          <w:rFonts w:ascii="Times New Roman" w:hAnsi="Times New Roman"/>
          <w:sz w:val="20"/>
          <w:lang w:val="tr-TR"/>
        </w:rPr>
      </w:pPr>
    </w:p>
    <w:p w14:paraId="64847807" w14:textId="77777777" w:rsidR="00336E95" w:rsidRDefault="00336E95" w:rsidP="00336E95">
      <w:pPr>
        <w:tabs>
          <w:tab w:val="left" w:pos="1200"/>
          <w:tab w:val="center" w:pos="6480"/>
          <w:tab w:val="left" w:pos="6930"/>
          <w:tab w:val="right" w:pos="8880"/>
          <w:tab w:val="left" w:pos="9360"/>
        </w:tabs>
        <w:ind w:right="-2"/>
        <w:jc w:val="both"/>
        <w:rPr>
          <w:b/>
          <w:bCs/>
          <w:i/>
          <w:position w:val="6"/>
        </w:rPr>
      </w:pPr>
      <w:r>
        <w:rPr>
          <w:b/>
          <w:bCs/>
          <w:i/>
          <w:position w:val="6"/>
        </w:rPr>
        <w:t>Giriş</w:t>
      </w:r>
    </w:p>
    <w:p w14:paraId="48FD8281" w14:textId="77777777" w:rsidR="00336E95" w:rsidRDefault="00336E95" w:rsidP="00336E95">
      <w:pPr>
        <w:tabs>
          <w:tab w:val="left" w:pos="9360"/>
        </w:tabs>
        <w:autoSpaceDE w:val="0"/>
        <w:autoSpaceDN w:val="0"/>
        <w:adjustRightInd w:val="0"/>
        <w:ind w:right="-2"/>
        <w:jc w:val="both"/>
        <w:rPr>
          <w:position w:val="6"/>
        </w:rPr>
      </w:pPr>
    </w:p>
    <w:p w14:paraId="40846029" w14:textId="2046D2C3" w:rsidR="00336E95" w:rsidRDefault="00336E95" w:rsidP="00336E95">
      <w:pPr>
        <w:tabs>
          <w:tab w:val="left" w:pos="9360"/>
        </w:tabs>
        <w:autoSpaceDE w:val="0"/>
        <w:autoSpaceDN w:val="0"/>
        <w:adjustRightInd w:val="0"/>
        <w:ind w:right="-2"/>
        <w:jc w:val="both"/>
      </w:pPr>
      <w:r>
        <w:rPr>
          <w:position w:val="6"/>
        </w:rPr>
        <w:t>Kuveyt Türk Katılım Bankası A.Ş</w:t>
      </w:r>
      <w:r w:rsidR="00FC3E0D">
        <w:rPr>
          <w:position w:val="6"/>
        </w:rPr>
        <w:t>.</w:t>
      </w:r>
      <w:r>
        <w:rPr>
          <w:position w:val="6"/>
        </w:rPr>
        <w:t>’</w:t>
      </w:r>
      <w:proofErr w:type="spellStart"/>
      <w:r>
        <w:rPr>
          <w:position w:val="6"/>
        </w:rPr>
        <w:t>nin</w:t>
      </w:r>
      <w:proofErr w:type="spellEnd"/>
      <w:r>
        <w:rPr>
          <w:position w:val="6"/>
        </w:rPr>
        <w:t xml:space="preserve"> (“Banka”) 30 Eylül 2020 tarihli ilişikteki konsolide olmayan bilançosunun ve aynı tarihte sona eren dokuz aylık döneme ait konsolide olmayan gelir tablosunun, konsolide olmayan kar veya zarar ve diğer kapsamlı gelir tablosunun, konsolide olmayan </w:t>
      </w:r>
      <w:proofErr w:type="spellStart"/>
      <w:r>
        <w:rPr>
          <w:position w:val="6"/>
        </w:rPr>
        <w:t>özkaynak</w:t>
      </w:r>
      <w:proofErr w:type="spellEnd"/>
      <w:r>
        <w:rPr>
          <w:position w:val="6"/>
        </w:rPr>
        <w:t xml:space="preserve"> değişim tablosunun ve konsolide olmayan nakit akış tablosunun sınırlı denetimini yürütmüş bulunuyoruz. Banka yönetimi, söz konusu ara dönem finansal bilgilerin 1 Kasım 2006 tarihli ve 26333 sayılı Resmi </w:t>
      </w:r>
      <w:proofErr w:type="spellStart"/>
      <w:r>
        <w:rPr>
          <w:position w:val="6"/>
        </w:rPr>
        <w:t>Gazete'de</w:t>
      </w:r>
      <w:proofErr w:type="spellEnd"/>
      <w:r>
        <w:rPr>
          <w:position w:val="6"/>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Pr>
          <w:position w:val="6"/>
        </w:rPr>
        <w:t>Mevzuatı”na</w:t>
      </w:r>
      <w:proofErr w:type="spellEnd"/>
      <w:r>
        <w:rPr>
          <w:position w:val="6"/>
        </w:rPr>
        <w:t xml:space="preserve"> uygun olarak hazırlanmasından ve sunumundan sorumludur. Sorumluluğumuz, yaptığımız sınırlı denetime dayanarak söz konusu ara dönem finansal bilgilere ilişkin bir sonuç bildirmektir.</w:t>
      </w:r>
    </w:p>
    <w:p w14:paraId="3169E1CF" w14:textId="77777777" w:rsidR="00336E95" w:rsidRDefault="00336E95" w:rsidP="00336E95">
      <w:pPr>
        <w:tabs>
          <w:tab w:val="left" w:pos="1200"/>
          <w:tab w:val="center" w:pos="6480"/>
          <w:tab w:val="left" w:pos="6930"/>
          <w:tab w:val="right" w:pos="8880"/>
          <w:tab w:val="left" w:pos="9360"/>
        </w:tabs>
        <w:ind w:right="-2"/>
        <w:jc w:val="both"/>
        <w:rPr>
          <w:i/>
          <w:position w:val="6"/>
        </w:rPr>
      </w:pPr>
    </w:p>
    <w:p w14:paraId="46087EAB" w14:textId="77777777" w:rsidR="00336E95" w:rsidRDefault="00336E95" w:rsidP="00336E95">
      <w:pPr>
        <w:tabs>
          <w:tab w:val="left" w:pos="1200"/>
          <w:tab w:val="center" w:pos="6480"/>
          <w:tab w:val="left" w:pos="6930"/>
          <w:tab w:val="right" w:pos="8880"/>
          <w:tab w:val="left" w:pos="9360"/>
        </w:tabs>
        <w:ind w:right="-2"/>
        <w:jc w:val="both"/>
        <w:rPr>
          <w:b/>
          <w:bCs/>
          <w:i/>
          <w:position w:val="6"/>
        </w:rPr>
      </w:pPr>
      <w:r>
        <w:rPr>
          <w:b/>
          <w:bCs/>
          <w:i/>
          <w:position w:val="6"/>
        </w:rPr>
        <w:t>Sınırlı Denetimin Kapsamı</w:t>
      </w:r>
    </w:p>
    <w:p w14:paraId="4EF03000" w14:textId="77777777" w:rsidR="00336E95" w:rsidRDefault="00336E95" w:rsidP="00336E95">
      <w:pPr>
        <w:tabs>
          <w:tab w:val="left" w:pos="9360"/>
        </w:tabs>
        <w:autoSpaceDE w:val="0"/>
        <w:autoSpaceDN w:val="0"/>
        <w:adjustRightInd w:val="0"/>
        <w:ind w:right="-2"/>
        <w:jc w:val="both"/>
        <w:rPr>
          <w:position w:val="6"/>
        </w:rPr>
      </w:pPr>
    </w:p>
    <w:p w14:paraId="6F6E4D95" w14:textId="77777777" w:rsidR="00336E95" w:rsidRDefault="00336E95" w:rsidP="00336E95">
      <w:pPr>
        <w:tabs>
          <w:tab w:val="left" w:pos="9360"/>
        </w:tabs>
        <w:autoSpaceDE w:val="0"/>
        <w:autoSpaceDN w:val="0"/>
        <w:adjustRightInd w:val="0"/>
        <w:ind w:right="-2"/>
        <w:jc w:val="both"/>
        <w:rPr>
          <w:position w:val="6"/>
        </w:rPr>
      </w:pPr>
      <w:r>
        <w:rPr>
          <w:position w:val="6"/>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Pr>
          <w:position w:val="6"/>
        </w:rPr>
        <w:t>Denetimi”ne</w:t>
      </w:r>
      <w:proofErr w:type="spellEnd"/>
      <w:r>
        <w:rPr>
          <w:position w:val="6"/>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75A3484F" w14:textId="77777777" w:rsidR="00336E95" w:rsidRDefault="00336E95" w:rsidP="00336E95">
      <w:pPr>
        <w:tabs>
          <w:tab w:val="left" w:pos="1200"/>
          <w:tab w:val="center" w:pos="6480"/>
          <w:tab w:val="left" w:pos="6930"/>
          <w:tab w:val="right" w:pos="8880"/>
          <w:tab w:val="left" w:pos="9360"/>
        </w:tabs>
        <w:ind w:right="-2"/>
        <w:jc w:val="both"/>
        <w:rPr>
          <w:i/>
          <w:position w:val="6"/>
        </w:rPr>
      </w:pPr>
    </w:p>
    <w:p w14:paraId="1419F038" w14:textId="77777777" w:rsidR="00336E95" w:rsidRDefault="00336E95" w:rsidP="00336E95">
      <w:pPr>
        <w:tabs>
          <w:tab w:val="left" w:pos="1200"/>
          <w:tab w:val="center" w:pos="6480"/>
          <w:tab w:val="left" w:pos="6930"/>
          <w:tab w:val="right" w:pos="8880"/>
          <w:tab w:val="left" w:pos="9360"/>
        </w:tabs>
        <w:ind w:right="-2"/>
        <w:jc w:val="both"/>
        <w:rPr>
          <w:b/>
          <w:bCs/>
          <w:i/>
          <w:position w:val="6"/>
        </w:rPr>
      </w:pPr>
      <w:r>
        <w:rPr>
          <w:b/>
          <w:bCs/>
          <w:i/>
          <w:position w:val="6"/>
        </w:rPr>
        <w:t>Sonuç</w:t>
      </w:r>
    </w:p>
    <w:p w14:paraId="42214F03" w14:textId="77777777" w:rsidR="00336E95" w:rsidRDefault="00336E95" w:rsidP="00336E95">
      <w:pPr>
        <w:tabs>
          <w:tab w:val="left" w:pos="1200"/>
          <w:tab w:val="center" w:pos="6480"/>
          <w:tab w:val="left" w:pos="6930"/>
          <w:tab w:val="right" w:pos="8880"/>
          <w:tab w:val="left" w:pos="9360"/>
        </w:tabs>
        <w:ind w:right="-2"/>
        <w:jc w:val="both"/>
        <w:rPr>
          <w:i/>
          <w:position w:val="6"/>
        </w:rPr>
      </w:pPr>
    </w:p>
    <w:p w14:paraId="12E1088C" w14:textId="77777777" w:rsidR="00336E95" w:rsidRDefault="00336E95" w:rsidP="00336E95">
      <w:pPr>
        <w:tabs>
          <w:tab w:val="left" w:pos="1200"/>
          <w:tab w:val="center" w:pos="6480"/>
          <w:tab w:val="left" w:pos="6930"/>
          <w:tab w:val="right" w:pos="8880"/>
          <w:tab w:val="left" w:pos="9360"/>
        </w:tabs>
        <w:ind w:right="-2"/>
        <w:jc w:val="both"/>
        <w:rPr>
          <w:position w:val="6"/>
        </w:rPr>
      </w:pPr>
      <w:r>
        <w:rPr>
          <w:position w:val="6"/>
        </w:rPr>
        <w:t>Sınırlı denetimimize göre, ilişikteki ara dönem konsolide olmayan finansal bilgilerin, Kuveyt Türk Katılım Bankası A.Ş.’</w:t>
      </w:r>
      <w:proofErr w:type="spellStart"/>
      <w:r>
        <w:rPr>
          <w:position w:val="6"/>
        </w:rPr>
        <w:t>nin</w:t>
      </w:r>
      <w:proofErr w:type="spellEnd"/>
      <w:r>
        <w:rPr>
          <w:position w:val="6"/>
        </w:rPr>
        <w:t xml:space="preserve"> 30 Eylül 2020 tarihi itibarıyla konsolide olmayan finansal durumunun ve aynı tarihte sona eren dokuz aylık döneme ilişkin konsolide olmayan finansal performansının ve konsolide olmayan nakit akışlarının BDDK Muhasebe ve Finansal Raporlama </w:t>
      </w:r>
      <w:proofErr w:type="spellStart"/>
      <w:r>
        <w:rPr>
          <w:position w:val="6"/>
        </w:rPr>
        <w:t>Mevzuatı’na</w:t>
      </w:r>
      <w:proofErr w:type="spellEnd"/>
      <w:r>
        <w:rPr>
          <w:position w:val="6"/>
        </w:rPr>
        <w:t xml:space="preserve"> uygun olarak tüm önemli yönleriyle gerçeğe uygun bir biçimde sunulmadığı kanaatine varmamıza sebep olacak herhangi bir husus dikkatimizi çekmemiştir.</w:t>
      </w:r>
    </w:p>
    <w:p w14:paraId="5E11B042" w14:textId="77777777" w:rsidR="00336E95" w:rsidRDefault="00336E95" w:rsidP="00336E95">
      <w:pPr>
        <w:tabs>
          <w:tab w:val="left" w:pos="1200"/>
          <w:tab w:val="center" w:pos="6480"/>
          <w:tab w:val="left" w:pos="6930"/>
          <w:tab w:val="right" w:pos="8880"/>
          <w:tab w:val="left" w:pos="9360"/>
        </w:tabs>
        <w:ind w:right="-2"/>
        <w:jc w:val="both"/>
        <w:rPr>
          <w:i/>
          <w:position w:val="6"/>
        </w:rPr>
      </w:pPr>
    </w:p>
    <w:p w14:paraId="4FFEC170" w14:textId="77777777" w:rsidR="00336E95" w:rsidRDefault="00336E95" w:rsidP="00336E95">
      <w:pPr>
        <w:tabs>
          <w:tab w:val="left" w:pos="1200"/>
          <w:tab w:val="center" w:pos="6480"/>
          <w:tab w:val="left" w:pos="6930"/>
          <w:tab w:val="right" w:pos="8880"/>
          <w:tab w:val="left" w:pos="9360"/>
        </w:tabs>
        <w:ind w:right="-2"/>
        <w:jc w:val="both"/>
        <w:rPr>
          <w:b/>
          <w:bCs/>
          <w:i/>
          <w:snapToGrid w:val="0"/>
          <w:lang w:eastAsia="de-DE"/>
        </w:rPr>
      </w:pPr>
    </w:p>
    <w:p w14:paraId="62F5C3DA" w14:textId="77777777" w:rsidR="00336E95" w:rsidRDefault="00336E95" w:rsidP="00336E95">
      <w:pPr>
        <w:tabs>
          <w:tab w:val="left" w:pos="1200"/>
          <w:tab w:val="center" w:pos="6480"/>
          <w:tab w:val="left" w:pos="6930"/>
          <w:tab w:val="right" w:pos="8880"/>
          <w:tab w:val="left" w:pos="9360"/>
        </w:tabs>
        <w:ind w:right="-2"/>
        <w:jc w:val="both"/>
        <w:rPr>
          <w:b/>
          <w:bCs/>
          <w:i/>
          <w:snapToGrid w:val="0"/>
          <w:lang w:eastAsia="de-DE"/>
        </w:rPr>
      </w:pPr>
    </w:p>
    <w:p w14:paraId="09677690" w14:textId="77777777" w:rsidR="00336E95" w:rsidRDefault="00336E95" w:rsidP="00336E95">
      <w:pPr>
        <w:tabs>
          <w:tab w:val="left" w:pos="1200"/>
          <w:tab w:val="center" w:pos="6480"/>
          <w:tab w:val="left" w:pos="6930"/>
          <w:tab w:val="right" w:pos="8880"/>
          <w:tab w:val="left" w:pos="9360"/>
        </w:tabs>
        <w:ind w:right="-2"/>
        <w:jc w:val="both"/>
        <w:rPr>
          <w:b/>
          <w:bCs/>
          <w:i/>
          <w:snapToGrid w:val="0"/>
          <w:lang w:eastAsia="de-DE"/>
        </w:rPr>
      </w:pPr>
    </w:p>
    <w:p w14:paraId="613C2929" w14:textId="77777777" w:rsidR="00336E95" w:rsidRDefault="00336E95" w:rsidP="00336E95">
      <w:pPr>
        <w:rPr>
          <w:b/>
          <w:bCs/>
          <w:i/>
          <w:snapToGrid w:val="0"/>
          <w:lang w:eastAsia="de-DE"/>
        </w:rPr>
        <w:sectPr w:rsidR="00336E95" w:rsidSect="00D35F92">
          <w:pgSz w:w="11907" w:h="16840"/>
          <w:pgMar w:top="3402" w:right="1418" w:bottom="1418" w:left="1418" w:header="709" w:footer="709" w:gutter="170"/>
          <w:pgNumType w:start="2"/>
          <w:cols w:space="708"/>
          <w:docGrid w:linePitch="272"/>
        </w:sectPr>
      </w:pPr>
    </w:p>
    <w:p w14:paraId="5C03E23C" w14:textId="3A54E5A1" w:rsidR="00336E95" w:rsidRDefault="00336E95" w:rsidP="00336E95">
      <w:pPr>
        <w:tabs>
          <w:tab w:val="left" w:pos="1200"/>
          <w:tab w:val="center" w:pos="6480"/>
          <w:tab w:val="left" w:pos="6930"/>
          <w:tab w:val="right" w:pos="8880"/>
          <w:tab w:val="left" w:pos="9360"/>
        </w:tabs>
        <w:ind w:right="-2"/>
        <w:jc w:val="both"/>
        <w:rPr>
          <w:b/>
          <w:bCs/>
          <w:i/>
          <w:snapToGrid w:val="0"/>
          <w:lang w:eastAsia="de-DE"/>
        </w:rPr>
      </w:pPr>
      <w:r>
        <w:rPr>
          <w:b/>
          <w:bCs/>
          <w:i/>
          <w:snapToGrid w:val="0"/>
          <w:lang w:eastAsia="de-DE"/>
        </w:rPr>
        <w:lastRenderedPageBreak/>
        <w:t>Mevzuattan Kaynaklanan Diğer Yükümlülüklere İlişkin Rapor</w:t>
      </w:r>
    </w:p>
    <w:p w14:paraId="1C0AF78F" w14:textId="77777777" w:rsidR="00336E95" w:rsidRDefault="00336E95" w:rsidP="00336E95">
      <w:pPr>
        <w:tabs>
          <w:tab w:val="left" w:pos="1200"/>
          <w:tab w:val="center" w:pos="6480"/>
          <w:tab w:val="left" w:pos="6930"/>
          <w:tab w:val="right" w:pos="8880"/>
          <w:tab w:val="left" w:pos="9360"/>
        </w:tabs>
        <w:ind w:right="-2"/>
        <w:jc w:val="both"/>
        <w:rPr>
          <w:i/>
          <w:position w:val="6"/>
        </w:rPr>
      </w:pPr>
    </w:p>
    <w:p w14:paraId="6BC7E1AB" w14:textId="77777777" w:rsidR="00336E95" w:rsidRDefault="00336E95" w:rsidP="00336E95">
      <w:pPr>
        <w:tabs>
          <w:tab w:val="left" w:pos="1200"/>
          <w:tab w:val="center" w:pos="6480"/>
          <w:tab w:val="left" w:pos="6930"/>
          <w:tab w:val="right" w:pos="8880"/>
          <w:tab w:val="left" w:pos="9360"/>
        </w:tabs>
        <w:ind w:right="-2"/>
        <w:jc w:val="both"/>
        <w:rPr>
          <w:position w:val="6"/>
        </w:rPr>
      </w:pPr>
      <w:r>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6E294A37" w14:textId="77777777" w:rsidR="00336E95" w:rsidRDefault="00336E95" w:rsidP="00336E95">
      <w:pPr>
        <w:tabs>
          <w:tab w:val="left" w:pos="1200"/>
          <w:tab w:val="center" w:pos="6480"/>
          <w:tab w:val="left" w:pos="6930"/>
          <w:tab w:val="right" w:pos="8880"/>
          <w:tab w:val="left" w:pos="9360"/>
        </w:tabs>
        <w:ind w:right="473"/>
        <w:jc w:val="both"/>
        <w:rPr>
          <w:i/>
          <w:position w:val="6"/>
          <w:sz w:val="10"/>
          <w:szCs w:val="10"/>
        </w:rPr>
      </w:pPr>
    </w:p>
    <w:p w14:paraId="41110BCD" w14:textId="77777777" w:rsidR="00336E95" w:rsidRDefault="00336E95" w:rsidP="00336E95">
      <w:pPr>
        <w:tabs>
          <w:tab w:val="left" w:pos="1200"/>
          <w:tab w:val="center" w:pos="6480"/>
          <w:tab w:val="left" w:pos="6930"/>
          <w:tab w:val="right" w:pos="8880"/>
          <w:tab w:val="left" w:pos="9360"/>
        </w:tabs>
        <w:ind w:right="473"/>
        <w:jc w:val="both"/>
        <w:rPr>
          <w:b/>
          <w:bCs/>
          <w:i/>
          <w:snapToGrid w:val="0"/>
          <w:lang w:eastAsia="de-DE"/>
        </w:rPr>
      </w:pPr>
    </w:p>
    <w:p w14:paraId="45FE9FFF" w14:textId="77777777" w:rsidR="00336E95" w:rsidRDefault="00336E95" w:rsidP="00336E95">
      <w:pPr>
        <w:tabs>
          <w:tab w:val="left" w:pos="9360"/>
        </w:tabs>
        <w:ind w:right="-2"/>
        <w:jc w:val="both"/>
      </w:pPr>
    </w:p>
    <w:p w14:paraId="2495C742" w14:textId="77777777" w:rsidR="00336E95" w:rsidRDefault="00336E95" w:rsidP="00336E95">
      <w:pPr>
        <w:tabs>
          <w:tab w:val="left" w:pos="9360"/>
        </w:tabs>
        <w:ind w:right="-2"/>
        <w:jc w:val="both"/>
      </w:pPr>
    </w:p>
    <w:p w14:paraId="2109F9E8" w14:textId="77777777" w:rsidR="00336E95" w:rsidRDefault="00336E95" w:rsidP="00336E95">
      <w:pPr>
        <w:tabs>
          <w:tab w:val="left" w:pos="9360"/>
        </w:tabs>
        <w:ind w:right="-2"/>
        <w:jc w:val="both"/>
      </w:pPr>
      <w:r>
        <w:t>Güney Bağımsız Denetim ve Serbest Muhasebeci Mali Müşavirlik Anonim Şirketi</w:t>
      </w:r>
    </w:p>
    <w:p w14:paraId="16C50556" w14:textId="77777777" w:rsidR="00336E95" w:rsidRDefault="00336E95" w:rsidP="00336E95">
      <w:pPr>
        <w:tabs>
          <w:tab w:val="left" w:pos="9360"/>
        </w:tabs>
        <w:ind w:right="-2"/>
        <w:jc w:val="both"/>
        <w:rPr>
          <w:i/>
          <w:iCs/>
          <w:sz w:val="6"/>
          <w:szCs w:val="6"/>
        </w:rPr>
      </w:pPr>
    </w:p>
    <w:p w14:paraId="1F6A75BB" w14:textId="77777777" w:rsidR="00336E95" w:rsidRDefault="00336E95" w:rsidP="00336E95">
      <w:pPr>
        <w:tabs>
          <w:tab w:val="left" w:pos="9360"/>
        </w:tabs>
        <w:ind w:right="-2"/>
        <w:jc w:val="both"/>
        <w:rPr>
          <w:i/>
          <w:iCs/>
        </w:rPr>
      </w:pPr>
      <w:r>
        <w:rPr>
          <w:i/>
          <w:iCs/>
        </w:rPr>
        <w:t xml:space="preserve">A </w:t>
      </w:r>
      <w:proofErr w:type="spellStart"/>
      <w:r>
        <w:rPr>
          <w:i/>
          <w:iCs/>
        </w:rPr>
        <w:t>Member</w:t>
      </w:r>
      <w:proofErr w:type="spellEnd"/>
      <w:r>
        <w:rPr>
          <w:i/>
          <w:iCs/>
        </w:rPr>
        <w:t xml:space="preserve"> </w:t>
      </w:r>
      <w:proofErr w:type="spellStart"/>
      <w:r>
        <w:rPr>
          <w:i/>
          <w:iCs/>
        </w:rPr>
        <w:t>Firm</w:t>
      </w:r>
      <w:proofErr w:type="spellEnd"/>
      <w:r>
        <w:rPr>
          <w:i/>
          <w:iCs/>
        </w:rPr>
        <w:t xml:space="preserve"> of </w:t>
      </w:r>
      <w:proofErr w:type="spellStart"/>
      <w:r>
        <w:rPr>
          <w:i/>
          <w:iCs/>
        </w:rPr>
        <w:t>Ernst&amp;Young</w:t>
      </w:r>
      <w:proofErr w:type="spellEnd"/>
      <w:r>
        <w:rPr>
          <w:i/>
          <w:iCs/>
        </w:rPr>
        <w:t xml:space="preserve"> Global Limited</w:t>
      </w:r>
    </w:p>
    <w:p w14:paraId="52335755" w14:textId="77777777" w:rsidR="00336E95" w:rsidRDefault="00336E95" w:rsidP="00336E95">
      <w:pPr>
        <w:tabs>
          <w:tab w:val="left" w:pos="9360"/>
        </w:tabs>
        <w:ind w:right="473"/>
        <w:jc w:val="both"/>
        <w:rPr>
          <w:i/>
          <w:iCs/>
          <w:highlight w:val="yellow"/>
        </w:rPr>
      </w:pPr>
    </w:p>
    <w:p w14:paraId="16AA2DE6" w14:textId="77777777" w:rsidR="00336E95" w:rsidRDefault="00336E95" w:rsidP="00336E95">
      <w:pPr>
        <w:tabs>
          <w:tab w:val="left" w:pos="9360"/>
        </w:tabs>
        <w:ind w:right="473"/>
        <w:jc w:val="both"/>
        <w:rPr>
          <w:i/>
          <w:iCs/>
          <w:highlight w:val="yellow"/>
        </w:rPr>
      </w:pPr>
    </w:p>
    <w:p w14:paraId="19AF981D" w14:textId="77777777" w:rsidR="00336E95" w:rsidRDefault="00336E95" w:rsidP="00336E95">
      <w:pPr>
        <w:tabs>
          <w:tab w:val="left" w:pos="9360"/>
        </w:tabs>
        <w:ind w:right="473"/>
        <w:jc w:val="both"/>
        <w:rPr>
          <w:i/>
          <w:iCs/>
          <w:highlight w:val="yellow"/>
        </w:rPr>
      </w:pPr>
    </w:p>
    <w:p w14:paraId="006B55EC" w14:textId="0F600916" w:rsidR="00336E95" w:rsidRDefault="00336E95" w:rsidP="00336E95">
      <w:pPr>
        <w:tabs>
          <w:tab w:val="left" w:pos="9360"/>
        </w:tabs>
        <w:ind w:right="473"/>
        <w:jc w:val="both"/>
        <w:rPr>
          <w:i/>
          <w:iCs/>
          <w:highlight w:val="yellow"/>
        </w:rPr>
      </w:pPr>
    </w:p>
    <w:p w14:paraId="72495566" w14:textId="77777777" w:rsidR="00FC3E0D" w:rsidRDefault="00FC3E0D" w:rsidP="00336E95">
      <w:pPr>
        <w:tabs>
          <w:tab w:val="left" w:pos="9360"/>
        </w:tabs>
        <w:ind w:right="473"/>
        <w:jc w:val="both"/>
        <w:rPr>
          <w:i/>
          <w:iCs/>
          <w:highlight w:val="yellow"/>
        </w:rPr>
      </w:pPr>
    </w:p>
    <w:p w14:paraId="30CBF9DB" w14:textId="77777777" w:rsidR="00336E95" w:rsidRDefault="00336E95" w:rsidP="00336E95">
      <w:pPr>
        <w:tabs>
          <w:tab w:val="left" w:pos="9360"/>
        </w:tabs>
        <w:ind w:right="473"/>
        <w:jc w:val="both"/>
        <w:rPr>
          <w:i/>
          <w:iCs/>
        </w:rPr>
      </w:pPr>
    </w:p>
    <w:p w14:paraId="1C3D061A" w14:textId="77777777" w:rsidR="00336E95" w:rsidRDefault="00336E95" w:rsidP="00336E95">
      <w:pPr>
        <w:tabs>
          <w:tab w:val="left" w:pos="9360"/>
        </w:tabs>
        <w:ind w:right="473"/>
        <w:jc w:val="both"/>
        <w:rPr>
          <w:i/>
          <w:iCs/>
        </w:rPr>
      </w:pPr>
      <w:r>
        <w:t>Emre Çelik, SMMM</w:t>
      </w:r>
    </w:p>
    <w:p w14:paraId="6C1FD39E" w14:textId="77777777" w:rsidR="00336E95" w:rsidRDefault="00336E95" w:rsidP="00336E95">
      <w:pPr>
        <w:tabs>
          <w:tab w:val="left" w:pos="9360"/>
        </w:tabs>
        <w:ind w:right="473"/>
        <w:jc w:val="both"/>
        <w:rPr>
          <w:rFonts w:ascii="Arial" w:hAnsi="Arial" w:cs="Arial"/>
          <w:b/>
        </w:rPr>
      </w:pPr>
      <w:r>
        <w:t>Sorumlu Denetçi</w:t>
      </w:r>
    </w:p>
    <w:p w14:paraId="1C06577D" w14:textId="77777777" w:rsidR="00336E95" w:rsidRDefault="00336E95" w:rsidP="00336E95">
      <w:pPr>
        <w:tabs>
          <w:tab w:val="left" w:pos="9360"/>
        </w:tabs>
        <w:ind w:right="473"/>
        <w:jc w:val="both"/>
        <w:rPr>
          <w:b/>
        </w:rPr>
      </w:pPr>
    </w:p>
    <w:p w14:paraId="3A5714AD" w14:textId="77777777" w:rsidR="00336E95" w:rsidRDefault="00336E95" w:rsidP="00336E95">
      <w:pPr>
        <w:tabs>
          <w:tab w:val="left" w:pos="9360"/>
        </w:tabs>
        <w:ind w:right="473"/>
        <w:jc w:val="both"/>
        <w:rPr>
          <w:sz w:val="15"/>
          <w:szCs w:val="15"/>
        </w:rPr>
      </w:pPr>
    </w:p>
    <w:p w14:paraId="39C10884" w14:textId="6FEFB88F" w:rsidR="00336E95" w:rsidRDefault="00736EA0" w:rsidP="00336E95">
      <w:pPr>
        <w:tabs>
          <w:tab w:val="left" w:pos="9360"/>
        </w:tabs>
        <w:ind w:right="473"/>
        <w:jc w:val="both"/>
        <w:rPr>
          <w:i/>
          <w:iCs/>
        </w:rPr>
      </w:pPr>
      <w:r>
        <w:t>10</w:t>
      </w:r>
      <w:r w:rsidR="00336E95">
        <w:t xml:space="preserve"> Kasım 2020</w:t>
      </w:r>
    </w:p>
    <w:p w14:paraId="3D70775C" w14:textId="77777777" w:rsidR="00336E95" w:rsidRDefault="00336E95" w:rsidP="00336E95">
      <w:pPr>
        <w:tabs>
          <w:tab w:val="left" w:pos="-720"/>
        </w:tabs>
        <w:jc w:val="both"/>
      </w:pPr>
      <w:r>
        <w:t>İstanbul, Türkiye</w:t>
      </w:r>
    </w:p>
    <w:p w14:paraId="3565EE9E" w14:textId="77777777" w:rsidR="00C81DA7" w:rsidRPr="00270CE6" w:rsidRDefault="00C81DA7" w:rsidP="009B7033">
      <w:pPr>
        <w:tabs>
          <w:tab w:val="left" w:pos="-720"/>
        </w:tabs>
        <w:jc w:val="both"/>
        <w:rPr>
          <w:highlight w:val="yellow"/>
        </w:rPr>
        <w:sectPr w:rsidR="00C81DA7" w:rsidRPr="00270CE6" w:rsidSect="00D35F92">
          <w:footerReference w:type="first" r:id="rId9"/>
          <w:pgSz w:w="11907" w:h="16840" w:code="9"/>
          <w:pgMar w:top="3402" w:right="1418" w:bottom="1418" w:left="1418" w:header="709" w:footer="709" w:gutter="170"/>
          <w:pgNumType w:start="2"/>
          <w:cols w:space="708"/>
          <w:noEndnote/>
          <w:titlePg/>
          <w:docGrid w:linePitch="272"/>
        </w:sectPr>
      </w:pPr>
    </w:p>
    <w:p w14:paraId="7C7ECC50" w14:textId="77777777" w:rsidR="009F487A" w:rsidRPr="009F487A" w:rsidRDefault="009F487A" w:rsidP="009F487A">
      <w:pPr>
        <w:pStyle w:val="Title"/>
        <w:tabs>
          <w:tab w:val="clear" w:pos="4395"/>
        </w:tabs>
        <w:rPr>
          <w:rFonts w:ascii="Times New Roman" w:hAnsi="Times New Roman"/>
          <w:sz w:val="12"/>
          <w:szCs w:val="12"/>
          <w:lang w:val="tr-TR"/>
        </w:rPr>
      </w:pPr>
      <w:bookmarkStart w:id="0" w:name="_Hlk40817245"/>
      <w:r w:rsidRPr="009F487A">
        <w:rPr>
          <w:rFonts w:ascii="Times New Roman" w:hAnsi="Times New Roman"/>
          <w:sz w:val="12"/>
          <w:szCs w:val="12"/>
          <w:lang w:val="tr-TR"/>
        </w:rPr>
        <w:lastRenderedPageBreak/>
        <w:t>Birinci bölüm</w:t>
      </w:r>
    </w:p>
    <w:p w14:paraId="27710B2E" w14:textId="77777777" w:rsidR="009F487A" w:rsidRPr="009F487A" w:rsidRDefault="009F487A" w:rsidP="009F487A">
      <w:pPr>
        <w:pStyle w:val="Title"/>
        <w:tabs>
          <w:tab w:val="clear" w:pos="4395"/>
        </w:tabs>
        <w:rPr>
          <w:rFonts w:ascii="Times New Roman" w:hAnsi="Times New Roman"/>
          <w:sz w:val="12"/>
          <w:szCs w:val="12"/>
          <w:lang w:val="tr-TR"/>
        </w:rPr>
      </w:pPr>
      <w:r w:rsidRPr="009F487A">
        <w:rPr>
          <w:rFonts w:ascii="Times New Roman" w:hAnsi="Times New Roman"/>
          <w:sz w:val="12"/>
          <w:szCs w:val="12"/>
          <w:lang w:val="tr-TR"/>
        </w:rPr>
        <w:t>Genel bilgiler</w:t>
      </w:r>
    </w:p>
    <w:p w14:paraId="36C6AFC4" w14:textId="77777777" w:rsidR="009F487A" w:rsidRPr="009F487A" w:rsidRDefault="009F487A" w:rsidP="009F487A">
      <w:pPr>
        <w:pStyle w:val="Title"/>
        <w:numPr>
          <w:ilvl w:val="0"/>
          <w:numId w:val="1"/>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Banka’nın kuruluş tarihi, başlangıç </w:t>
      </w:r>
      <w:proofErr w:type="gramStart"/>
      <w:r w:rsidRPr="009F487A">
        <w:rPr>
          <w:rFonts w:ascii="Times New Roman" w:hAnsi="Times New Roman"/>
          <w:b w:val="0"/>
          <w:sz w:val="12"/>
          <w:szCs w:val="12"/>
          <w:lang w:val="tr-TR"/>
        </w:rPr>
        <w:t>statüsü,  anılan</w:t>
      </w:r>
      <w:proofErr w:type="gramEnd"/>
      <w:r w:rsidRPr="009F487A">
        <w:rPr>
          <w:rFonts w:ascii="Times New Roman" w:hAnsi="Times New Roman"/>
          <w:b w:val="0"/>
          <w:sz w:val="12"/>
          <w:szCs w:val="12"/>
          <w:lang w:val="tr-TR"/>
        </w:rPr>
        <w:t xml:space="preserve"> statüde meydana gelen değişiklikleri ihtiva eden tarihçesi</w:t>
      </w:r>
      <w:r w:rsidRPr="009F487A">
        <w:rPr>
          <w:rFonts w:ascii="Times New Roman" w:hAnsi="Times New Roman"/>
          <w:b w:val="0"/>
          <w:sz w:val="12"/>
          <w:szCs w:val="12"/>
          <w:lang w:val="tr-TR"/>
        </w:rPr>
        <w:tab/>
        <w:t>1</w:t>
      </w:r>
    </w:p>
    <w:p w14:paraId="7F51B3B0" w14:textId="77777777" w:rsidR="009F487A" w:rsidRPr="009F487A" w:rsidRDefault="009F487A" w:rsidP="009F487A">
      <w:pPr>
        <w:pStyle w:val="Title"/>
        <w:numPr>
          <w:ilvl w:val="0"/>
          <w:numId w:val="1"/>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9F487A">
        <w:rPr>
          <w:rFonts w:ascii="Times New Roman" w:hAnsi="Times New Roman"/>
          <w:b w:val="0"/>
          <w:sz w:val="12"/>
          <w:szCs w:val="12"/>
          <w:lang w:val="tr-TR"/>
        </w:rPr>
        <w:tab/>
        <w:t>1</w:t>
      </w:r>
    </w:p>
    <w:p w14:paraId="7C675DB2" w14:textId="77777777" w:rsidR="009F487A" w:rsidRPr="009F487A" w:rsidRDefault="009F487A" w:rsidP="009F487A">
      <w:pPr>
        <w:pStyle w:val="Title"/>
        <w:numPr>
          <w:ilvl w:val="0"/>
          <w:numId w:val="1"/>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9F487A">
        <w:rPr>
          <w:rFonts w:ascii="Times New Roman" w:hAnsi="Times New Roman"/>
          <w:b w:val="0"/>
          <w:sz w:val="12"/>
          <w:szCs w:val="12"/>
          <w:lang w:val="tr-TR"/>
        </w:rPr>
        <w:tab/>
        <w:t xml:space="preserve">      1</w:t>
      </w:r>
    </w:p>
    <w:p w14:paraId="2482721F" w14:textId="77777777" w:rsidR="009F487A" w:rsidRPr="009F487A" w:rsidRDefault="009F487A" w:rsidP="009F487A">
      <w:pPr>
        <w:pStyle w:val="Title"/>
        <w:numPr>
          <w:ilvl w:val="0"/>
          <w:numId w:val="1"/>
        </w:numPr>
        <w:tabs>
          <w:tab w:val="clear" w:pos="4395"/>
          <w:tab w:val="left" w:pos="4650"/>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Banka’da nitelikli pay sahibi olan kişi ve kuruluşlara ilişkin açıklamalar </w:t>
      </w:r>
      <w:r w:rsidRPr="009F487A">
        <w:rPr>
          <w:rFonts w:ascii="Times New Roman" w:hAnsi="Times New Roman"/>
          <w:b w:val="0"/>
          <w:sz w:val="12"/>
          <w:szCs w:val="12"/>
          <w:lang w:val="tr-TR"/>
        </w:rPr>
        <w:tab/>
      </w:r>
      <w:r w:rsidRPr="009F487A">
        <w:rPr>
          <w:rFonts w:ascii="Times New Roman" w:hAnsi="Times New Roman"/>
          <w:b w:val="0"/>
          <w:sz w:val="12"/>
          <w:szCs w:val="12"/>
          <w:lang w:val="tr-TR"/>
        </w:rPr>
        <w:tab/>
        <w:t>2</w:t>
      </w:r>
    </w:p>
    <w:p w14:paraId="3B60DDDD" w14:textId="77777777" w:rsidR="009F487A" w:rsidRPr="009F487A" w:rsidRDefault="009F487A" w:rsidP="009F487A">
      <w:pPr>
        <w:pStyle w:val="Title"/>
        <w:numPr>
          <w:ilvl w:val="0"/>
          <w:numId w:val="1"/>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Banka’nın hizmet türü ve faaliyet alanlarını içeren özet bilgi </w:t>
      </w:r>
      <w:r w:rsidRPr="009F487A">
        <w:rPr>
          <w:rFonts w:ascii="Times New Roman" w:hAnsi="Times New Roman"/>
          <w:b w:val="0"/>
          <w:sz w:val="12"/>
          <w:szCs w:val="12"/>
          <w:lang w:val="tr-TR"/>
        </w:rPr>
        <w:tab/>
        <w:t>2</w:t>
      </w:r>
    </w:p>
    <w:p w14:paraId="0E2C2F85" w14:textId="77777777" w:rsidR="009F487A" w:rsidRPr="009F487A" w:rsidRDefault="009F487A" w:rsidP="009F487A">
      <w:pPr>
        <w:pStyle w:val="Title"/>
        <w:numPr>
          <w:ilvl w:val="0"/>
          <w:numId w:val="1"/>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Banka ile bağlı ortaklıkları arasında </w:t>
      </w:r>
      <w:proofErr w:type="spellStart"/>
      <w:r w:rsidRPr="009F487A">
        <w:rPr>
          <w:rFonts w:ascii="Times New Roman" w:hAnsi="Times New Roman"/>
          <w:b w:val="0"/>
          <w:sz w:val="12"/>
          <w:szCs w:val="12"/>
          <w:lang w:val="tr-TR"/>
        </w:rPr>
        <w:t>özkaynakların</w:t>
      </w:r>
      <w:proofErr w:type="spellEnd"/>
      <w:r w:rsidRPr="009F487A">
        <w:rPr>
          <w:rFonts w:ascii="Times New Roman" w:hAnsi="Times New Roman"/>
          <w:b w:val="0"/>
          <w:sz w:val="12"/>
          <w:szCs w:val="12"/>
          <w:lang w:val="tr-TR"/>
        </w:rPr>
        <w:t xml:space="preserve"> derhal transfer edilmesinin </w:t>
      </w:r>
      <w:proofErr w:type="gramStart"/>
      <w:r w:rsidRPr="009F487A">
        <w:rPr>
          <w:rFonts w:ascii="Times New Roman" w:hAnsi="Times New Roman"/>
          <w:b w:val="0"/>
          <w:sz w:val="12"/>
          <w:szCs w:val="12"/>
          <w:lang w:val="tr-TR"/>
        </w:rPr>
        <w:t>veya  borçların</w:t>
      </w:r>
      <w:proofErr w:type="gramEnd"/>
      <w:r w:rsidRPr="009F487A">
        <w:rPr>
          <w:rFonts w:ascii="Times New Roman" w:hAnsi="Times New Roman"/>
          <w:b w:val="0"/>
          <w:sz w:val="12"/>
          <w:szCs w:val="12"/>
          <w:lang w:val="tr-TR"/>
        </w:rPr>
        <w:t xml:space="preserve"> geri ödenmesinin önünde mevcut</w:t>
      </w:r>
      <w:r w:rsidRPr="009F487A">
        <w:rPr>
          <w:rFonts w:ascii="Times New Roman" w:hAnsi="Times New Roman"/>
          <w:b w:val="0"/>
          <w:sz w:val="12"/>
          <w:szCs w:val="12"/>
          <w:lang w:val="tr-TR"/>
        </w:rPr>
        <w:tab/>
        <w:t>2</w:t>
      </w:r>
    </w:p>
    <w:p w14:paraId="5027B8B0" w14:textId="77777777" w:rsidR="009F487A" w:rsidRPr="009F487A" w:rsidRDefault="009F487A" w:rsidP="009F487A">
      <w:pPr>
        <w:pStyle w:val="Title"/>
        <w:tabs>
          <w:tab w:val="clear" w:pos="4395"/>
          <w:tab w:val="right" w:pos="9000"/>
        </w:tabs>
        <w:ind w:left="720"/>
        <w:jc w:val="left"/>
        <w:rPr>
          <w:rFonts w:ascii="Times New Roman" w:hAnsi="Times New Roman"/>
          <w:b w:val="0"/>
          <w:sz w:val="12"/>
          <w:szCs w:val="12"/>
          <w:lang w:val="tr-TR"/>
        </w:rPr>
      </w:pPr>
      <w:r w:rsidRPr="009F487A">
        <w:rPr>
          <w:rFonts w:ascii="Times New Roman" w:hAnsi="Times New Roman"/>
          <w:b w:val="0"/>
          <w:sz w:val="12"/>
          <w:szCs w:val="12"/>
          <w:lang w:val="tr-TR"/>
        </w:rPr>
        <w:t xml:space="preserve"> </w:t>
      </w:r>
      <w:proofErr w:type="gramStart"/>
      <w:r w:rsidRPr="009F487A">
        <w:rPr>
          <w:rFonts w:ascii="Times New Roman" w:hAnsi="Times New Roman"/>
          <w:b w:val="0"/>
          <w:sz w:val="12"/>
          <w:szCs w:val="12"/>
          <w:lang w:val="tr-TR"/>
        </w:rPr>
        <w:t>veya</w:t>
      </w:r>
      <w:proofErr w:type="gramEnd"/>
      <w:r w:rsidRPr="009F487A">
        <w:rPr>
          <w:rFonts w:ascii="Times New Roman" w:hAnsi="Times New Roman"/>
          <w:b w:val="0"/>
          <w:sz w:val="12"/>
          <w:szCs w:val="12"/>
          <w:lang w:val="tr-TR"/>
        </w:rPr>
        <w:t xml:space="preserve"> muhtemel, fiili veya hukuki engeller</w:t>
      </w:r>
    </w:p>
    <w:p w14:paraId="1EE51AB2" w14:textId="77777777" w:rsidR="009F487A" w:rsidRPr="009F487A" w:rsidRDefault="009F487A" w:rsidP="009F487A">
      <w:pPr>
        <w:pStyle w:val="Title"/>
        <w:tabs>
          <w:tab w:val="clear" w:pos="4395"/>
          <w:tab w:val="right" w:pos="9000"/>
        </w:tabs>
        <w:jc w:val="left"/>
        <w:rPr>
          <w:rFonts w:ascii="Times New Roman" w:hAnsi="Times New Roman"/>
          <w:b w:val="0"/>
          <w:sz w:val="12"/>
          <w:szCs w:val="12"/>
          <w:lang w:val="tr-TR"/>
        </w:rPr>
      </w:pPr>
    </w:p>
    <w:p w14:paraId="563DE193" w14:textId="77777777" w:rsidR="009F487A" w:rsidRPr="009F487A" w:rsidRDefault="009F487A" w:rsidP="009F487A">
      <w:pPr>
        <w:pStyle w:val="Title"/>
        <w:tabs>
          <w:tab w:val="clear" w:pos="4395"/>
        </w:tabs>
        <w:rPr>
          <w:rFonts w:ascii="Times New Roman" w:hAnsi="Times New Roman"/>
          <w:sz w:val="12"/>
          <w:szCs w:val="12"/>
          <w:lang w:val="tr-TR"/>
        </w:rPr>
      </w:pPr>
      <w:r w:rsidRPr="009F487A">
        <w:rPr>
          <w:rFonts w:ascii="Times New Roman" w:hAnsi="Times New Roman"/>
          <w:sz w:val="12"/>
          <w:szCs w:val="12"/>
          <w:lang w:val="tr-TR"/>
        </w:rPr>
        <w:t>İkinci bölüm</w:t>
      </w:r>
    </w:p>
    <w:p w14:paraId="1F03A61C" w14:textId="77777777" w:rsidR="009F487A" w:rsidRPr="009F487A" w:rsidRDefault="009F487A" w:rsidP="009F487A">
      <w:pPr>
        <w:pStyle w:val="Title"/>
        <w:tabs>
          <w:tab w:val="clear" w:pos="4395"/>
        </w:tabs>
        <w:rPr>
          <w:rFonts w:ascii="Times New Roman" w:hAnsi="Times New Roman"/>
          <w:sz w:val="12"/>
          <w:szCs w:val="12"/>
          <w:lang w:val="tr-TR"/>
        </w:rPr>
      </w:pPr>
      <w:r w:rsidRPr="009F487A">
        <w:rPr>
          <w:rFonts w:ascii="Times New Roman" w:hAnsi="Times New Roman"/>
          <w:sz w:val="12"/>
          <w:szCs w:val="12"/>
          <w:lang w:val="tr-TR"/>
        </w:rPr>
        <w:t>Konsolide olmayan finansal tablolar</w:t>
      </w:r>
    </w:p>
    <w:p w14:paraId="6A08549D" w14:textId="77777777" w:rsidR="009F487A" w:rsidRPr="009F487A" w:rsidRDefault="009F487A" w:rsidP="009F487A">
      <w:pPr>
        <w:pStyle w:val="Title"/>
        <w:numPr>
          <w:ilvl w:val="0"/>
          <w:numId w:val="2"/>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Konsolide Olmayan Bilanço (Finansal durum tablosu)</w:t>
      </w:r>
      <w:r w:rsidRPr="009F487A">
        <w:rPr>
          <w:rFonts w:ascii="Times New Roman" w:hAnsi="Times New Roman"/>
          <w:b w:val="0"/>
          <w:sz w:val="12"/>
          <w:szCs w:val="12"/>
          <w:lang w:val="tr-TR"/>
        </w:rPr>
        <w:tab/>
        <w:t>3</w:t>
      </w:r>
    </w:p>
    <w:p w14:paraId="5CA30012" w14:textId="77777777" w:rsidR="009F487A" w:rsidRPr="009F487A" w:rsidRDefault="009F487A" w:rsidP="009F487A">
      <w:pPr>
        <w:pStyle w:val="Title"/>
        <w:numPr>
          <w:ilvl w:val="0"/>
          <w:numId w:val="2"/>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Konsolide Olmayan Nazım hesaplar tablosu</w:t>
      </w:r>
      <w:r w:rsidRPr="009F487A">
        <w:rPr>
          <w:rFonts w:ascii="Times New Roman" w:hAnsi="Times New Roman"/>
          <w:b w:val="0"/>
          <w:sz w:val="12"/>
          <w:szCs w:val="12"/>
          <w:lang w:val="tr-TR"/>
        </w:rPr>
        <w:tab/>
        <w:t>5</w:t>
      </w:r>
    </w:p>
    <w:p w14:paraId="7446A819" w14:textId="77777777" w:rsidR="009F487A" w:rsidRPr="009F487A" w:rsidRDefault="009F487A" w:rsidP="009F487A">
      <w:pPr>
        <w:pStyle w:val="Title"/>
        <w:numPr>
          <w:ilvl w:val="0"/>
          <w:numId w:val="2"/>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Konsolide Olmayan Gelir tablosu (Kar ve Zarar Cetveli)</w:t>
      </w:r>
      <w:r w:rsidRPr="009F487A">
        <w:rPr>
          <w:rFonts w:ascii="Times New Roman" w:hAnsi="Times New Roman"/>
          <w:b w:val="0"/>
          <w:sz w:val="12"/>
          <w:szCs w:val="12"/>
          <w:lang w:val="tr-TR"/>
        </w:rPr>
        <w:tab/>
        <w:t>6</w:t>
      </w:r>
    </w:p>
    <w:p w14:paraId="55ABC70F" w14:textId="77777777" w:rsidR="009F487A" w:rsidRPr="009F487A" w:rsidRDefault="009F487A" w:rsidP="009F487A">
      <w:pPr>
        <w:pStyle w:val="Title"/>
        <w:numPr>
          <w:ilvl w:val="0"/>
          <w:numId w:val="2"/>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Konsolide Olmayan Kar veya Zarar ve Diğer Kapsamlı Gelir Tablosu</w:t>
      </w:r>
      <w:r w:rsidRPr="009F487A">
        <w:rPr>
          <w:rFonts w:ascii="Times New Roman" w:hAnsi="Times New Roman"/>
          <w:b w:val="0"/>
          <w:sz w:val="12"/>
          <w:szCs w:val="12"/>
          <w:lang w:val="tr-TR"/>
        </w:rPr>
        <w:tab/>
        <w:t>7</w:t>
      </w:r>
    </w:p>
    <w:p w14:paraId="3A006D94" w14:textId="77777777" w:rsidR="009F487A" w:rsidRPr="009F487A" w:rsidRDefault="009F487A" w:rsidP="009F487A">
      <w:pPr>
        <w:pStyle w:val="Title"/>
        <w:numPr>
          <w:ilvl w:val="0"/>
          <w:numId w:val="2"/>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Konsolide Olmayan </w:t>
      </w:r>
      <w:proofErr w:type="spellStart"/>
      <w:r w:rsidRPr="009F487A">
        <w:rPr>
          <w:rFonts w:ascii="Times New Roman" w:hAnsi="Times New Roman"/>
          <w:b w:val="0"/>
          <w:sz w:val="12"/>
          <w:szCs w:val="12"/>
          <w:lang w:val="tr-TR"/>
        </w:rPr>
        <w:t>Özkaynak</w:t>
      </w:r>
      <w:proofErr w:type="spellEnd"/>
      <w:r w:rsidRPr="009F487A">
        <w:rPr>
          <w:rFonts w:ascii="Times New Roman" w:hAnsi="Times New Roman"/>
          <w:b w:val="0"/>
          <w:sz w:val="12"/>
          <w:szCs w:val="12"/>
          <w:lang w:val="tr-TR"/>
        </w:rPr>
        <w:t xml:space="preserve"> değişim tablosu</w:t>
      </w:r>
      <w:r w:rsidRPr="009F487A">
        <w:rPr>
          <w:rFonts w:ascii="Times New Roman" w:hAnsi="Times New Roman"/>
          <w:b w:val="0"/>
          <w:sz w:val="12"/>
          <w:szCs w:val="12"/>
          <w:lang w:val="tr-TR"/>
        </w:rPr>
        <w:tab/>
        <w:t>8</w:t>
      </w:r>
    </w:p>
    <w:p w14:paraId="3D78AC85" w14:textId="77777777" w:rsidR="009F487A" w:rsidRPr="009F487A" w:rsidRDefault="009F487A" w:rsidP="009F487A">
      <w:pPr>
        <w:pStyle w:val="Title"/>
        <w:numPr>
          <w:ilvl w:val="0"/>
          <w:numId w:val="2"/>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Konsolide Olmayan Nakit akış tablosu </w:t>
      </w:r>
      <w:r w:rsidRPr="009F487A">
        <w:rPr>
          <w:rFonts w:ascii="Times New Roman" w:hAnsi="Times New Roman"/>
          <w:b w:val="0"/>
          <w:sz w:val="12"/>
          <w:szCs w:val="12"/>
          <w:lang w:val="tr-TR"/>
        </w:rPr>
        <w:tab/>
        <w:t>9</w:t>
      </w:r>
    </w:p>
    <w:p w14:paraId="597F376B" w14:textId="77777777" w:rsidR="009F487A" w:rsidRPr="009F487A" w:rsidRDefault="009F487A" w:rsidP="009F487A">
      <w:pPr>
        <w:pStyle w:val="Title"/>
        <w:tabs>
          <w:tab w:val="clear" w:pos="4395"/>
        </w:tabs>
        <w:rPr>
          <w:rFonts w:ascii="Times New Roman" w:hAnsi="Times New Roman"/>
          <w:sz w:val="12"/>
          <w:szCs w:val="12"/>
          <w:lang w:val="tr-TR"/>
        </w:rPr>
      </w:pPr>
    </w:p>
    <w:p w14:paraId="007DDA31" w14:textId="77777777" w:rsidR="009F487A" w:rsidRPr="009F487A" w:rsidRDefault="009F487A" w:rsidP="009F487A">
      <w:pPr>
        <w:pStyle w:val="Title"/>
        <w:tabs>
          <w:tab w:val="clear" w:pos="4395"/>
        </w:tabs>
        <w:rPr>
          <w:rFonts w:ascii="Times New Roman" w:hAnsi="Times New Roman"/>
          <w:sz w:val="12"/>
          <w:szCs w:val="12"/>
          <w:lang w:val="tr-TR"/>
        </w:rPr>
      </w:pPr>
      <w:r w:rsidRPr="009F487A">
        <w:rPr>
          <w:rFonts w:ascii="Times New Roman" w:hAnsi="Times New Roman"/>
          <w:sz w:val="12"/>
          <w:szCs w:val="12"/>
          <w:lang w:val="tr-TR"/>
        </w:rPr>
        <w:t>Üçüncü bölüm</w:t>
      </w:r>
    </w:p>
    <w:p w14:paraId="772846DD" w14:textId="77777777" w:rsidR="009F487A" w:rsidRPr="009F487A" w:rsidRDefault="009F487A" w:rsidP="009F487A">
      <w:pPr>
        <w:pStyle w:val="Title"/>
        <w:tabs>
          <w:tab w:val="clear" w:pos="4395"/>
        </w:tabs>
        <w:rPr>
          <w:rFonts w:ascii="Times New Roman" w:hAnsi="Times New Roman"/>
          <w:sz w:val="12"/>
          <w:szCs w:val="12"/>
          <w:lang w:val="tr-TR"/>
        </w:rPr>
      </w:pPr>
      <w:r w:rsidRPr="009F487A">
        <w:rPr>
          <w:rFonts w:ascii="Times New Roman" w:hAnsi="Times New Roman"/>
          <w:sz w:val="12"/>
          <w:szCs w:val="12"/>
          <w:lang w:val="tr-TR"/>
        </w:rPr>
        <w:t>Muhasebe politikaları</w:t>
      </w:r>
    </w:p>
    <w:p w14:paraId="5F338DE9"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Sunum esaslarına ilişkin açıklamalar                                                                                                                                                                                                                     10</w:t>
      </w:r>
    </w:p>
    <w:p w14:paraId="57D8122A"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Finansal araçların kullanım stratejisi ve yabancı para cinsinden işlemlere ilişkin açıklamalar </w:t>
      </w:r>
      <w:r w:rsidRPr="009F487A">
        <w:rPr>
          <w:rFonts w:ascii="Times New Roman" w:hAnsi="Times New Roman"/>
          <w:b w:val="0"/>
          <w:sz w:val="12"/>
          <w:szCs w:val="12"/>
          <w:lang w:val="tr-TR"/>
        </w:rPr>
        <w:tab/>
        <w:t>13</w:t>
      </w:r>
    </w:p>
    <w:p w14:paraId="173DAC07"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İştirak ve bağlı ortaklıklara ilişkin bilgiler</w:t>
      </w:r>
      <w:r w:rsidRPr="009F487A">
        <w:rPr>
          <w:rFonts w:ascii="Times New Roman" w:hAnsi="Times New Roman"/>
          <w:b w:val="0"/>
          <w:sz w:val="12"/>
          <w:szCs w:val="12"/>
          <w:lang w:val="tr-TR"/>
        </w:rPr>
        <w:tab/>
        <w:t>13</w:t>
      </w:r>
    </w:p>
    <w:p w14:paraId="33FD490F"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Vadeli işlem ve opsiyon sözleşmeleri ile türev ürünlere ilişkin açıklamalar </w:t>
      </w:r>
      <w:r w:rsidRPr="009F487A">
        <w:rPr>
          <w:rFonts w:ascii="Times New Roman" w:hAnsi="Times New Roman"/>
          <w:b w:val="0"/>
          <w:sz w:val="12"/>
          <w:szCs w:val="12"/>
          <w:lang w:val="tr-TR"/>
        </w:rPr>
        <w:tab/>
        <w:t>14</w:t>
      </w:r>
    </w:p>
    <w:p w14:paraId="16E886FD"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proofErr w:type="gramStart"/>
      <w:r w:rsidRPr="009F487A">
        <w:rPr>
          <w:rFonts w:ascii="Times New Roman" w:hAnsi="Times New Roman"/>
          <w:b w:val="0"/>
          <w:sz w:val="12"/>
          <w:szCs w:val="12"/>
          <w:lang w:val="tr-TR"/>
        </w:rPr>
        <w:t>Kar</w:t>
      </w:r>
      <w:proofErr w:type="gramEnd"/>
      <w:r w:rsidRPr="009F487A">
        <w:rPr>
          <w:rFonts w:ascii="Times New Roman" w:hAnsi="Times New Roman"/>
          <w:b w:val="0"/>
          <w:sz w:val="12"/>
          <w:szCs w:val="12"/>
          <w:lang w:val="tr-TR"/>
        </w:rPr>
        <w:t xml:space="preserve"> payı gelir ve giderine ilişkin açıklamalar </w:t>
      </w:r>
      <w:r w:rsidRPr="009F487A">
        <w:rPr>
          <w:rFonts w:ascii="Times New Roman" w:hAnsi="Times New Roman"/>
          <w:b w:val="0"/>
          <w:sz w:val="12"/>
          <w:szCs w:val="12"/>
          <w:lang w:val="tr-TR"/>
        </w:rPr>
        <w:tab/>
        <w:t>14</w:t>
      </w:r>
    </w:p>
    <w:p w14:paraId="718F56C6"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Ücret ve komisyon gelir ve giderlerine ilişkin açıklamalar </w:t>
      </w:r>
      <w:r w:rsidRPr="009F487A">
        <w:rPr>
          <w:rFonts w:ascii="Times New Roman" w:hAnsi="Times New Roman"/>
          <w:b w:val="0"/>
          <w:sz w:val="12"/>
          <w:szCs w:val="12"/>
          <w:lang w:val="tr-TR"/>
        </w:rPr>
        <w:tab/>
        <w:t>14</w:t>
      </w:r>
    </w:p>
    <w:p w14:paraId="2300D2FB"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Finansal varlıklara ilişkin açıklama ve dipnotlar </w:t>
      </w:r>
      <w:r w:rsidRPr="009F487A">
        <w:rPr>
          <w:rFonts w:ascii="Times New Roman" w:hAnsi="Times New Roman"/>
          <w:b w:val="0"/>
          <w:sz w:val="12"/>
          <w:szCs w:val="12"/>
          <w:lang w:val="tr-TR"/>
        </w:rPr>
        <w:tab/>
        <w:t>15</w:t>
      </w:r>
    </w:p>
    <w:p w14:paraId="71AAB422"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Finansal araçların netleştirilmesine ilişkin açıklamalar</w:t>
      </w:r>
      <w:r w:rsidRPr="009F487A">
        <w:rPr>
          <w:rFonts w:ascii="Times New Roman" w:hAnsi="Times New Roman"/>
          <w:b w:val="0"/>
          <w:sz w:val="12"/>
          <w:szCs w:val="12"/>
          <w:lang w:val="tr-TR"/>
        </w:rPr>
        <w:tab/>
        <w:t>16</w:t>
      </w:r>
    </w:p>
    <w:p w14:paraId="3CCD6B19"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Satış ve geri alış anlaşmaları ve menkul değerlerin ödünç verilmesi işlemlerine ilişkin açıklamalar</w:t>
      </w:r>
      <w:r w:rsidRPr="009F487A">
        <w:rPr>
          <w:rFonts w:ascii="Times New Roman" w:hAnsi="Times New Roman"/>
          <w:b w:val="0"/>
          <w:sz w:val="12"/>
          <w:szCs w:val="12"/>
          <w:lang w:val="tr-TR"/>
        </w:rPr>
        <w:tab/>
        <w:t>16</w:t>
      </w:r>
    </w:p>
    <w:p w14:paraId="2F92638B"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Satış amaçlı elde tutulan ve durdurulan faaliyetlere ilişkin duran varlıklar ile bu varlıklara ilişkin borçlar hakkında açıklamalar</w:t>
      </w:r>
      <w:r w:rsidRPr="009F487A">
        <w:rPr>
          <w:rFonts w:ascii="Times New Roman" w:hAnsi="Times New Roman"/>
          <w:b w:val="0"/>
          <w:sz w:val="12"/>
          <w:szCs w:val="12"/>
          <w:lang w:val="tr-TR"/>
        </w:rPr>
        <w:tab/>
        <w:t>17</w:t>
      </w:r>
    </w:p>
    <w:p w14:paraId="1E018D96"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Şerefiye ve diğer maddi olmayan duran varlıklara ilişkin açıklamalar</w:t>
      </w:r>
      <w:r w:rsidRPr="009F487A">
        <w:rPr>
          <w:rFonts w:ascii="Times New Roman" w:hAnsi="Times New Roman"/>
          <w:b w:val="0"/>
          <w:sz w:val="12"/>
          <w:szCs w:val="12"/>
          <w:lang w:val="tr-TR"/>
        </w:rPr>
        <w:tab/>
        <w:t>17</w:t>
      </w:r>
    </w:p>
    <w:p w14:paraId="3CA16EE9" w14:textId="77777777" w:rsidR="009F487A" w:rsidRPr="009F487A" w:rsidRDefault="009F487A" w:rsidP="009F487A">
      <w:pPr>
        <w:pStyle w:val="Title"/>
        <w:numPr>
          <w:ilvl w:val="0"/>
          <w:numId w:val="3"/>
        </w:numPr>
        <w:tabs>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Maddi duran varlıklara ilişkin açıklamalar</w:t>
      </w:r>
      <w:r w:rsidRPr="009F487A">
        <w:rPr>
          <w:rFonts w:ascii="Times New Roman" w:hAnsi="Times New Roman"/>
          <w:b w:val="0"/>
          <w:sz w:val="12"/>
          <w:szCs w:val="12"/>
          <w:lang w:val="tr-TR"/>
        </w:rPr>
        <w:tab/>
      </w:r>
      <w:r w:rsidRPr="009F487A">
        <w:rPr>
          <w:rFonts w:ascii="Times New Roman" w:hAnsi="Times New Roman"/>
          <w:b w:val="0"/>
          <w:sz w:val="12"/>
          <w:szCs w:val="12"/>
          <w:lang w:val="tr-TR"/>
        </w:rPr>
        <w:tab/>
        <w:t>17</w:t>
      </w:r>
    </w:p>
    <w:p w14:paraId="1828BC0F" w14:textId="77777777" w:rsidR="009F487A" w:rsidRPr="009F487A" w:rsidRDefault="009F487A" w:rsidP="009F487A">
      <w:pPr>
        <w:pStyle w:val="Title"/>
        <w:numPr>
          <w:ilvl w:val="0"/>
          <w:numId w:val="3"/>
        </w:numPr>
        <w:tabs>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Kiralama işlemlerine ilişkin açıklamalar</w:t>
      </w:r>
      <w:r w:rsidRPr="009F487A">
        <w:rPr>
          <w:rFonts w:ascii="Times New Roman" w:hAnsi="Times New Roman"/>
          <w:b w:val="0"/>
          <w:sz w:val="12"/>
          <w:szCs w:val="12"/>
          <w:lang w:val="tr-TR"/>
        </w:rPr>
        <w:tab/>
      </w:r>
      <w:r w:rsidRPr="009F487A">
        <w:rPr>
          <w:rFonts w:ascii="Times New Roman" w:hAnsi="Times New Roman"/>
          <w:b w:val="0"/>
          <w:sz w:val="12"/>
          <w:szCs w:val="12"/>
          <w:lang w:val="tr-TR"/>
        </w:rPr>
        <w:tab/>
        <w:t>18</w:t>
      </w:r>
    </w:p>
    <w:p w14:paraId="6DC35600"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Karşılıklar ve koşullu yükümlülüklere ilişkin açıklamalar</w:t>
      </w:r>
      <w:r w:rsidRPr="009F487A">
        <w:rPr>
          <w:rFonts w:ascii="Times New Roman" w:hAnsi="Times New Roman"/>
          <w:b w:val="0"/>
          <w:sz w:val="12"/>
          <w:szCs w:val="12"/>
          <w:lang w:val="tr-TR"/>
        </w:rPr>
        <w:tab/>
        <w:t>19</w:t>
      </w:r>
    </w:p>
    <w:p w14:paraId="79C733EF"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Çalışanların haklarına ilişkin yükümlülüklere ilişkin açıklamalar </w:t>
      </w:r>
      <w:r w:rsidRPr="009F487A">
        <w:rPr>
          <w:rFonts w:ascii="Times New Roman" w:hAnsi="Times New Roman"/>
          <w:b w:val="0"/>
          <w:sz w:val="12"/>
          <w:szCs w:val="12"/>
          <w:lang w:val="tr-TR"/>
        </w:rPr>
        <w:tab/>
        <w:t>19</w:t>
      </w:r>
    </w:p>
    <w:p w14:paraId="6A20546D" w14:textId="77777777" w:rsidR="009F487A" w:rsidRPr="009F487A" w:rsidRDefault="009F487A" w:rsidP="009F487A">
      <w:pPr>
        <w:pStyle w:val="Title"/>
        <w:numPr>
          <w:ilvl w:val="0"/>
          <w:numId w:val="3"/>
        </w:numPr>
        <w:tabs>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Vergi uygulamalarına ilişkin açıklamalar</w:t>
      </w:r>
      <w:r w:rsidRPr="009F487A">
        <w:rPr>
          <w:rFonts w:ascii="Times New Roman" w:hAnsi="Times New Roman"/>
          <w:b w:val="0"/>
          <w:sz w:val="12"/>
          <w:szCs w:val="12"/>
          <w:lang w:val="tr-TR"/>
        </w:rPr>
        <w:tab/>
      </w:r>
      <w:r w:rsidRPr="009F487A">
        <w:rPr>
          <w:rFonts w:ascii="Times New Roman" w:hAnsi="Times New Roman"/>
          <w:b w:val="0"/>
          <w:sz w:val="12"/>
          <w:szCs w:val="12"/>
          <w:lang w:val="tr-TR"/>
        </w:rPr>
        <w:tab/>
        <w:t>20</w:t>
      </w:r>
    </w:p>
    <w:p w14:paraId="7553DC7F" w14:textId="77777777" w:rsidR="009F487A" w:rsidRPr="009F487A" w:rsidRDefault="009F487A" w:rsidP="009F487A">
      <w:pPr>
        <w:pStyle w:val="Title"/>
        <w:numPr>
          <w:ilvl w:val="0"/>
          <w:numId w:val="3"/>
        </w:numPr>
        <w:tabs>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Borçlanmalara ilişkin ilave açıklamalar</w:t>
      </w:r>
      <w:r w:rsidRPr="009F487A">
        <w:rPr>
          <w:rFonts w:ascii="Times New Roman" w:hAnsi="Times New Roman"/>
          <w:b w:val="0"/>
          <w:sz w:val="12"/>
          <w:szCs w:val="12"/>
          <w:lang w:val="tr-TR"/>
        </w:rPr>
        <w:tab/>
      </w:r>
      <w:r w:rsidRPr="009F487A">
        <w:rPr>
          <w:rFonts w:ascii="Times New Roman" w:hAnsi="Times New Roman"/>
          <w:b w:val="0"/>
          <w:sz w:val="12"/>
          <w:szCs w:val="12"/>
          <w:lang w:val="tr-TR"/>
        </w:rPr>
        <w:tab/>
        <w:t>21</w:t>
      </w:r>
    </w:p>
    <w:p w14:paraId="2D3EDA7E"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İhraç edilen hisse senetlerine ilişkin açıklamalar </w:t>
      </w:r>
      <w:r w:rsidRPr="009F487A">
        <w:rPr>
          <w:rFonts w:ascii="Times New Roman" w:hAnsi="Times New Roman"/>
          <w:b w:val="0"/>
          <w:sz w:val="12"/>
          <w:szCs w:val="12"/>
          <w:lang w:val="tr-TR"/>
        </w:rPr>
        <w:tab/>
        <w:t>21</w:t>
      </w:r>
    </w:p>
    <w:p w14:paraId="5F50CC0B"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Aval ve kabullere ilişkin açıklamalar </w:t>
      </w:r>
      <w:r w:rsidRPr="009F487A">
        <w:rPr>
          <w:rFonts w:ascii="Times New Roman" w:hAnsi="Times New Roman"/>
          <w:b w:val="0"/>
          <w:sz w:val="12"/>
          <w:szCs w:val="12"/>
          <w:lang w:val="tr-TR"/>
        </w:rPr>
        <w:tab/>
        <w:t>21</w:t>
      </w:r>
    </w:p>
    <w:p w14:paraId="39B0ABA5"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Devlet teşviklerine ilişkin açıklamalar </w:t>
      </w:r>
      <w:r w:rsidRPr="009F487A">
        <w:rPr>
          <w:rFonts w:ascii="Times New Roman" w:hAnsi="Times New Roman"/>
          <w:b w:val="0"/>
          <w:sz w:val="12"/>
          <w:szCs w:val="12"/>
          <w:lang w:val="tr-TR"/>
        </w:rPr>
        <w:tab/>
        <w:t>21</w:t>
      </w:r>
    </w:p>
    <w:p w14:paraId="49B5B720" w14:textId="77777777" w:rsidR="009F487A" w:rsidRPr="009F487A" w:rsidRDefault="009F487A" w:rsidP="009F487A">
      <w:pPr>
        <w:pStyle w:val="Title"/>
        <w:numPr>
          <w:ilvl w:val="0"/>
          <w:numId w:val="3"/>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Raporlamanın bölümlemeye göre yapılmasına ilişkin açıklamalar </w:t>
      </w:r>
      <w:r w:rsidRPr="009F487A">
        <w:rPr>
          <w:rFonts w:ascii="Times New Roman" w:hAnsi="Times New Roman"/>
          <w:b w:val="0"/>
          <w:sz w:val="12"/>
          <w:szCs w:val="12"/>
          <w:lang w:val="tr-TR"/>
        </w:rPr>
        <w:tab/>
        <w:t>21</w:t>
      </w:r>
    </w:p>
    <w:p w14:paraId="5B3F2CD3" w14:textId="77777777" w:rsidR="009F487A" w:rsidRPr="009F487A" w:rsidRDefault="009F487A" w:rsidP="009F487A">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Diğer hususlara ilişkin açıklamalar</w:t>
      </w:r>
      <w:r w:rsidRPr="009F487A">
        <w:rPr>
          <w:rFonts w:ascii="Times New Roman" w:hAnsi="Times New Roman"/>
          <w:b w:val="0"/>
          <w:sz w:val="12"/>
          <w:szCs w:val="12"/>
          <w:lang w:val="tr-TR"/>
        </w:rPr>
        <w:tab/>
      </w:r>
      <w:r w:rsidRPr="009F487A">
        <w:rPr>
          <w:rFonts w:ascii="Times New Roman" w:hAnsi="Times New Roman"/>
          <w:b w:val="0"/>
          <w:sz w:val="12"/>
          <w:szCs w:val="12"/>
          <w:lang w:val="tr-TR"/>
        </w:rPr>
        <w:tab/>
        <w:t>21</w:t>
      </w:r>
    </w:p>
    <w:p w14:paraId="21A79191" w14:textId="77777777" w:rsidR="009F487A" w:rsidRPr="009F487A" w:rsidRDefault="009F487A" w:rsidP="009F487A">
      <w:pPr>
        <w:pStyle w:val="Title"/>
        <w:tabs>
          <w:tab w:val="clear" w:pos="4395"/>
        </w:tabs>
        <w:jc w:val="left"/>
        <w:rPr>
          <w:rFonts w:ascii="Times New Roman" w:hAnsi="Times New Roman"/>
          <w:sz w:val="12"/>
          <w:szCs w:val="12"/>
          <w:lang w:val="tr-TR"/>
        </w:rPr>
      </w:pPr>
    </w:p>
    <w:p w14:paraId="34882545" w14:textId="77777777" w:rsidR="009F487A" w:rsidRPr="009F487A" w:rsidRDefault="009F487A" w:rsidP="009F487A">
      <w:pPr>
        <w:pStyle w:val="Title"/>
        <w:tabs>
          <w:tab w:val="clear" w:pos="4395"/>
        </w:tabs>
        <w:rPr>
          <w:rFonts w:ascii="Times New Roman" w:hAnsi="Times New Roman"/>
          <w:sz w:val="12"/>
          <w:szCs w:val="12"/>
          <w:lang w:val="tr-TR"/>
        </w:rPr>
      </w:pPr>
      <w:r w:rsidRPr="009F487A">
        <w:rPr>
          <w:rFonts w:ascii="Times New Roman" w:hAnsi="Times New Roman"/>
          <w:sz w:val="12"/>
          <w:szCs w:val="12"/>
          <w:lang w:val="tr-TR"/>
        </w:rPr>
        <w:t>Dördüncü bölüm</w:t>
      </w:r>
    </w:p>
    <w:p w14:paraId="660A8761" w14:textId="77777777" w:rsidR="009F487A" w:rsidRPr="009F487A" w:rsidRDefault="009F487A" w:rsidP="009F487A">
      <w:pPr>
        <w:pStyle w:val="Title"/>
        <w:tabs>
          <w:tab w:val="clear" w:pos="4395"/>
        </w:tabs>
        <w:rPr>
          <w:rFonts w:ascii="Times New Roman" w:hAnsi="Times New Roman"/>
          <w:sz w:val="12"/>
          <w:szCs w:val="12"/>
          <w:lang w:val="tr-TR"/>
        </w:rPr>
      </w:pPr>
      <w:r w:rsidRPr="009F487A">
        <w:rPr>
          <w:rFonts w:ascii="Times New Roman" w:hAnsi="Times New Roman"/>
          <w:sz w:val="12"/>
          <w:szCs w:val="12"/>
          <w:lang w:val="tr-TR"/>
        </w:rPr>
        <w:t xml:space="preserve">Mali Bünyeye ve Risk Yönetimine İlişkin Bilgiler  </w:t>
      </w:r>
    </w:p>
    <w:p w14:paraId="3CF880BC" w14:textId="77777777" w:rsidR="009F487A" w:rsidRPr="009F487A" w:rsidRDefault="009F487A" w:rsidP="009F487A">
      <w:pPr>
        <w:pStyle w:val="Title"/>
        <w:numPr>
          <w:ilvl w:val="0"/>
          <w:numId w:val="4"/>
        </w:numPr>
        <w:tabs>
          <w:tab w:val="right" w:pos="9000"/>
        </w:tabs>
        <w:jc w:val="left"/>
        <w:rPr>
          <w:rFonts w:ascii="Times New Roman" w:hAnsi="Times New Roman"/>
          <w:b w:val="0"/>
          <w:sz w:val="12"/>
          <w:szCs w:val="12"/>
          <w:lang w:val="tr-TR"/>
        </w:rPr>
      </w:pPr>
      <w:proofErr w:type="spellStart"/>
      <w:r w:rsidRPr="009F487A">
        <w:rPr>
          <w:rFonts w:ascii="Times New Roman" w:hAnsi="Times New Roman"/>
          <w:b w:val="0"/>
          <w:sz w:val="12"/>
          <w:szCs w:val="12"/>
          <w:lang w:val="tr-TR"/>
        </w:rPr>
        <w:t>Özkaynak</w:t>
      </w:r>
      <w:proofErr w:type="spellEnd"/>
      <w:r w:rsidRPr="009F487A">
        <w:rPr>
          <w:rFonts w:ascii="Times New Roman" w:hAnsi="Times New Roman"/>
          <w:b w:val="0"/>
          <w:sz w:val="12"/>
          <w:szCs w:val="12"/>
          <w:lang w:val="tr-TR"/>
        </w:rPr>
        <w:t xml:space="preserve"> kalemlerine ilişkin açıklamalar</w:t>
      </w:r>
      <w:r w:rsidRPr="009F487A">
        <w:rPr>
          <w:rFonts w:ascii="Times New Roman" w:hAnsi="Times New Roman"/>
          <w:b w:val="0"/>
          <w:sz w:val="12"/>
          <w:szCs w:val="12"/>
          <w:lang w:val="tr-TR"/>
        </w:rPr>
        <w:tab/>
      </w:r>
      <w:r w:rsidRPr="009F487A">
        <w:rPr>
          <w:rFonts w:ascii="Times New Roman" w:hAnsi="Times New Roman"/>
          <w:b w:val="0"/>
          <w:sz w:val="12"/>
          <w:szCs w:val="12"/>
          <w:lang w:val="tr-TR"/>
        </w:rPr>
        <w:tab/>
        <w:t>22</w:t>
      </w:r>
    </w:p>
    <w:p w14:paraId="246F86BD" w14:textId="77777777" w:rsidR="009F487A" w:rsidRPr="009F487A" w:rsidRDefault="009F487A" w:rsidP="009F487A">
      <w:pPr>
        <w:pStyle w:val="Title"/>
        <w:numPr>
          <w:ilvl w:val="0"/>
          <w:numId w:val="4"/>
        </w:numPr>
        <w:tabs>
          <w:tab w:val="clear" w:pos="4395"/>
          <w:tab w:val="right" w:pos="9000"/>
        </w:tabs>
        <w:jc w:val="left"/>
        <w:rPr>
          <w:rFonts w:ascii="Times New Roman" w:hAnsi="Times New Roman"/>
          <w:b w:val="0"/>
          <w:sz w:val="12"/>
          <w:szCs w:val="12"/>
          <w:lang w:val="tr-TR"/>
        </w:rPr>
      </w:pPr>
      <w:r w:rsidRPr="009F487A">
        <w:rPr>
          <w:rStyle w:val="fontstyle01"/>
          <w:b w:val="0"/>
          <w:sz w:val="12"/>
          <w:szCs w:val="12"/>
        </w:rPr>
        <w:t>Kur riskine ilişkin açıklamalar</w:t>
      </w:r>
      <w:r w:rsidRPr="009F487A">
        <w:rPr>
          <w:rFonts w:ascii="Times New Roman" w:hAnsi="Times New Roman"/>
          <w:b w:val="0"/>
          <w:sz w:val="12"/>
          <w:szCs w:val="12"/>
          <w:lang w:val="tr-TR"/>
        </w:rPr>
        <w:tab/>
        <w:t>27</w:t>
      </w:r>
    </w:p>
    <w:p w14:paraId="6590BD5A" w14:textId="77777777" w:rsidR="009F487A" w:rsidRPr="009F487A" w:rsidRDefault="009F487A" w:rsidP="009F487A">
      <w:pPr>
        <w:pStyle w:val="Title"/>
        <w:numPr>
          <w:ilvl w:val="0"/>
          <w:numId w:val="4"/>
        </w:numPr>
        <w:tabs>
          <w:tab w:val="clear" w:pos="4395"/>
          <w:tab w:val="right" w:pos="9000"/>
        </w:tabs>
        <w:jc w:val="left"/>
        <w:rPr>
          <w:rFonts w:ascii="Times New Roman" w:hAnsi="Times New Roman"/>
          <w:b w:val="0"/>
          <w:sz w:val="12"/>
          <w:szCs w:val="12"/>
          <w:lang w:val="tr-TR"/>
        </w:rPr>
      </w:pPr>
      <w:r w:rsidRPr="009F487A">
        <w:rPr>
          <w:rStyle w:val="fontstyle01"/>
          <w:b w:val="0"/>
          <w:sz w:val="12"/>
          <w:szCs w:val="12"/>
        </w:rPr>
        <w:t>Hisse senedi pozisyon riskine ilişkin açıklamalar</w:t>
      </w:r>
      <w:r w:rsidRPr="009F487A">
        <w:rPr>
          <w:rFonts w:ascii="Times New Roman" w:hAnsi="Times New Roman"/>
          <w:b w:val="0"/>
          <w:sz w:val="12"/>
          <w:szCs w:val="12"/>
          <w:lang w:val="tr-TR"/>
        </w:rPr>
        <w:tab/>
        <w:t>30</w:t>
      </w:r>
    </w:p>
    <w:p w14:paraId="7CBD047A" w14:textId="77777777" w:rsidR="009F487A" w:rsidRPr="009F487A" w:rsidRDefault="009F487A" w:rsidP="009F487A">
      <w:pPr>
        <w:pStyle w:val="Title"/>
        <w:numPr>
          <w:ilvl w:val="0"/>
          <w:numId w:val="4"/>
        </w:numPr>
        <w:tabs>
          <w:tab w:val="clear" w:pos="4395"/>
          <w:tab w:val="right" w:pos="9000"/>
        </w:tabs>
        <w:jc w:val="left"/>
        <w:rPr>
          <w:rFonts w:ascii="Times New Roman" w:hAnsi="Times New Roman"/>
          <w:b w:val="0"/>
          <w:sz w:val="12"/>
          <w:szCs w:val="12"/>
          <w:lang w:val="tr-TR"/>
        </w:rPr>
      </w:pPr>
      <w:r w:rsidRPr="009F487A">
        <w:rPr>
          <w:rStyle w:val="fontstyle01"/>
          <w:b w:val="0"/>
          <w:sz w:val="12"/>
          <w:szCs w:val="12"/>
        </w:rPr>
        <w:t>Likidite riski yönetimine ve likidite karşılama oranına ilişkin açıklamalar</w:t>
      </w:r>
      <w:r w:rsidRPr="009F487A">
        <w:rPr>
          <w:rFonts w:ascii="Times New Roman" w:hAnsi="Times New Roman"/>
          <w:b w:val="0"/>
          <w:sz w:val="12"/>
          <w:szCs w:val="12"/>
          <w:lang w:val="tr-TR"/>
        </w:rPr>
        <w:tab/>
        <w:t>31</w:t>
      </w:r>
    </w:p>
    <w:p w14:paraId="7A61B3E7" w14:textId="77777777" w:rsidR="009F487A" w:rsidRPr="009F487A" w:rsidRDefault="009F487A" w:rsidP="009F487A">
      <w:pPr>
        <w:pStyle w:val="Title"/>
        <w:numPr>
          <w:ilvl w:val="0"/>
          <w:numId w:val="4"/>
        </w:numPr>
        <w:tabs>
          <w:tab w:val="clear" w:pos="4395"/>
          <w:tab w:val="right" w:pos="9000"/>
        </w:tabs>
        <w:jc w:val="left"/>
        <w:rPr>
          <w:rFonts w:ascii="Times New Roman" w:hAnsi="Times New Roman"/>
          <w:b w:val="0"/>
          <w:sz w:val="12"/>
          <w:szCs w:val="12"/>
          <w:lang w:val="tr-TR"/>
        </w:rPr>
      </w:pPr>
      <w:r w:rsidRPr="009F487A">
        <w:rPr>
          <w:rStyle w:val="fontstyle01"/>
          <w:b w:val="0"/>
          <w:sz w:val="12"/>
          <w:szCs w:val="12"/>
        </w:rPr>
        <w:t>Kaldıraç oranına ilişkin açıklamalar</w:t>
      </w:r>
      <w:r w:rsidRPr="009F487A">
        <w:rPr>
          <w:rFonts w:ascii="Times New Roman" w:hAnsi="Times New Roman"/>
          <w:b w:val="0"/>
          <w:sz w:val="12"/>
          <w:szCs w:val="12"/>
          <w:lang w:val="tr-TR"/>
        </w:rPr>
        <w:tab/>
        <w:t>36</w:t>
      </w:r>
    </w:p>
    <w:p w14:paraId="113FA13A" w14:textId="77777777" w:rsidR="009F487A" w:rsidRPr="009F487A" w:rsidRDefault="009F487A" w:rsidP="009F487A">
      <w:pPr>
        <w:pStyle w:val="Title"/>
        <w:numPr>
          <w:ilvl w:val="0"/>
          <w:numId w:val="4"/>
        </w:numPr>
        <w:tabs>
          <w:tab w:val="clear" w:pos="4395"/>
          <w:tab w:val="right" w:pos="9000"/>
        </w:tabs>
        <w:jc w:val="left"/>
        <w:rPr>
          <w:rFonts w:ascii="Times New Roman" w:hAnsi="Times New Roman"/>
          <w:b w:val="0"/>
          <w:sz w:val="12"/>
          <w:szCs w:val="12"/>
          <w:lang w:val="tr-TR"/>
        </w:rPr>
      </w:pPr>
      <w:r w:rsidRPr="009F487A">
        <w:rPr>
          <w:rStyle w:val="fontstyle01"/>
          <w:b w:val="0"/>
          <w:sz w:val="12"/>
          <w:szCs w:val="12"/>
        </w:rPr>
        <w:t>Finansal varlık ve borçların gerçeğe uygun değeri ile gösterilmesine ilişkin açıklamalar</w:t>
      </w:r>
      <w:r w:rsidRPr="009F487A">
        <w:rPr>
          <w:rFonts w:ascii="Times New Roman" w:hAnsi="Times New Roman"/>
          <w:b w:val="0"/>
          <w:sz w:val="12"/>
          <w:szCs w:val="12"/>
          <w:lang w:val="tr-TR"/>
        </w:rPr>
        <w:tab/>
        <w:t>37</w:t>
      </w:r>
    </w:p>
    <w:p w14:paraId="5118EEBC" w14:textId="77777777" w:rsidR="009F487A" w:rsidRPr="009F487A" w:rsidRDefault="009F487A" w:rsidP="009F487A">
      <w:pPr>
        <w:pStyle w:val="Title"/>
        <w:numPr>
          <w:ilvl w:val="0"/>
          <w:numId w:val="4"/>
        </w:numPr>
        <w:tabs>
          <w:tab w:val="clear" w:pos="4395"/>
          <w:tab w:val="right" w:pos="9000"/>
        </w:tabs>
        <w:jc w:val="left"/>
        <w:rPr>
          <w:rFonts w:ascii="Times New Roman" w:hAnsi="Times New Roman"/>
          <w:b w:val="0"/>
          <w:sz w:val="12"/>
          <w:szCs w:val="12"/>
          <w:lang w:val="tr-TR"/>
        </w:rPr>
      </w:pPr>
      <w:r w:rsidRPr="009F487A">
        <w:rPr>
          <w:rStyle w:val="fontstyle01"/>
          <w:b w:val="0"/>
          <w:sz w:val="12"/>
          <w:szCs w:val="12"/>
        </w:rPr>
        <w:t>Başkaları nam ve hesabına yapılan işlemler, inanca dayalı işlemlere ilişkin açıklamalar</w:t>
      </w:r>
      <w:r w:rsidRPr="009F487A">
        <w:rPr>
          <w:rFonts w:ascii="Times New Roman" w:hAnsi="Times New Roman"/>
          <w:b w:val="0"/>
          <w:sz w:val="12"/>
          <w:szCs w:val="12"/>
          <w:lang w:val="tr-TR"/>
        </w:rPr>
        <w:tab/>
        <w:t xml:space="preserve"> 37</w:t>
      </w:r>
    </w:p>
    <w:p w14:paraId="448B72C5" w14:textId="77777777" w:rsidR="009F487A" w:rsidRPr="009F487A" w:rsidRDefault="009F487A" w:rsidP="009F487A">
      <w:pPr>
        <w:pStyle w:val="Title"/>
        <w:numPr>
          <w:ilvl w:val="0"/>
          <w:numId w:val="4"/>
        </w:numPr>
        <w:tabs>
          <w:tab w:val="clear" w:pos="4395"/>
          <w:tab w:val="right" w:pos="9000"/>
        </w:tabs>
        <w:jc w:val="left"/>
        <w:rPr>
          <w:rFonts w:ascii="Times New Roman" w:hAnsi="Times New Roman"/>
          <w:b w:val="0"/>
          <w:sz w:val="12"/>
          <w:szCs w:val="12"/>
          <w:lang w:val="tr-TR"/>
        </w:rPr>
      </w:pPr>
      <w:r w:rsidRPr="009F487A">
        <w:rPr>
          <w:rStyle w:val="fontstyle01"/>
          <w:b w:val="0"/>
          <w:sz w:val="12"/>
          <w:szCs w:val="12"/>
        </w:rPr>
        <w:t>Riskten korunma muhasebesi uygulamalarına ilişkin açıklamalar</w:t>
      </w:r>
      <w:r w:rsidRPr="009F487A">
        <w:rPr>
          <w:rFonts w:ascii="Times New Roman" w:hAnsi="Times New Roman"/>
          <w:b w:val="0"/>
          <w:sz w:val="12"/>
          <w:szCs w:val="12"/>
          <w:lang w:val="tr-TR"/>
        </w:rPr>
        <w:tab/>
        <w:t>37</w:t>
      </w:r>
    </w:p>
    <w:p w14:paraId="34BECC8E" w14:textId="77777777" w:rsidR="009F487A" w:rsidRPr="009F487A" w:rsidRDefault="009F487A" w:rsidP="009F487A">
      <w:pPr>
        <w:pStyle w:val="Title"/>
        <w:numPr>
          <w:ilvl w:val="0"/>
          <w:numId w:val="4"/>
        </w:numPr>
        <w:tabs>
          <w:tab w:val="clear" w:pos="4395"/>
          <w:tab w:val="right" w:pos="9000"/>
        </w:tabs>
        <w:jc w:val="left"/>
        <w:rPr>
          <w:rFonts w:ascii="Times New Roman" w:hAnsi="Times New Roman"/>
          <w:b w:val="0"/>
          <w:sz w:val="12"/>
          <w:szCs w:val="12"/>
          <w:lang w:val="tr-TR"/>
        </w:rPr>
      </w:pPr>
      <w:r w:rsidRPr="009F487A">
        <w:rPr>
          <w:rStyle w:val="fontstyle01"/>
          <w:b w:val="0"/>
          <w:sz w:val="12"/>
          <w:szCs w:val="12"/>
        </w:rPr>
        <w:t>Risk yönetimine ilişkin açıklamalar</w:t>
      </w:r>
      <w:r w:rsidRPr="009F487A">
        <w:rPr>
          <w:rFonts w:ascii="Times New Roman" w:hAnsi="Times New Roman"/>
          <w:b w:val="0"/>
          <w:sz w:val="12"/>
          <w:szCs w:val="12"/>
          <w:lang w:val="tr-TR"/>
        </w:rPr>
        <w:tab/>
        <w:t>39</w:t>
      </w:r>
    </w:p>
    <w:p w14:paraId="16BA2706" w14:textId="77777777" w:rsidR="009F487A" w:rsidRPr="009F487A" w:rsidRDefault="009F487A" w:rsidP="009F487A">
      <w:pPr>
        <w:pStyle w:val="Title"/>
        <w:numPr>
          <w:ilvl w:val="0"/>
          <w:numId w:val="4"/>
        </w:numPr>
        <w:tabs>
          <w:tab w:val="clear" w:pos="4395"/>
          <w:tab w:val="right" w:pos="9000"/>
        </w:tabs>
        <w:jc w:val="left"/>
        <w:rPr>
          <w:rStyle w:val="fontstyle01"/>
          <w:b w:val="0"/>
          <w:bCs/>
          <w:sz w:val="12"/>
          <w:szCs w:val="12"/>
          <w:lang w:val="tr-TR"/>
        </w:rPr>
      </w:pPr>
      <w:r w:rsidRPr="009F487A">
        <w:rPr>
          <w:rStyle w:val="fontstyle01"/>
          <w:b w:val="0"/>
          <w:sz w:val="12"/>
          <w:szCs w:val="12"/>
        </w:rPr>
        <w:t xml:space="preserve">Menkul kıymetleştirme pozisyonları                             </w:t>
      </w:r>
      <w:r w:rsidRPr="009F487A">
        <w:rPr>
          <w:rStyle w:val="fontstyle01"/>
          <w:b w:val="0"/>
          <w:sz w:val="12"/>
          <w:szCs w:val="12"/>
          <w:lang w:val="tr-TR"/>
        </w:rPr>
        <w:t xml:space="preserve"> </w:t>
      </w:r>
      <w:r w:rsidRPr="009F487A">
        <w:rPr>
          <w:rStyle w:val="fontstyle01"/>
          <w:b w:val="0"/>
          <w:sz w:val="12"/>
          <w:szCs w:val="12"/>
        </w:rPr>
        <w:t xml:space="preserve">                                </w:t>
      </w:r>
      <w:r w:rsidRPr="009F487A">
        <w:rPr>
          <w:rStyle w:val="fontstyle01"/>
          <w:b w:val="0"/>
          <w:sz w:val="12"/>
          <w:szCs w:val="12"/>
          <w:lang w:val="tr-TR"/>
        </w:rPr>
        <w:t xml:space="preserve">                                                                                                                                                        4</w:t>
      </w:r>
      <w:r w:rsidRPr="009F487A">
        <w:rPr>
          <w:rStyle w:val="fontstyle01"/>
          <w:b w:val="0"/>
          <w:sz w:val="12"/>
          <w:szCs w:val="12"/>
        </w:rPr>
        <w:t>0</w:t>
      </w:r>
    </w:p>
    <w:p w14:paraId="7E77D6EF" w14:textId="77777777" w:rsidR="009F487A" w:rsidRPr="009F487A" w:rsidRDefault="009F487A" w:rsidP="009F487A">
      <w:pPr>
        <w:pStyle w:val="Title"/>
        <w:numPr>
          <w:ilvl w:val="0"/>
          <w:numId w:val="4"/>
        </w:numPr>
        <w:tabs>
          <w:tab w:val="clear" w:pos="4395"/>
          <w:tab w:val="right" w:pos="9000"/>
        </w:tabs>
        <w:jc w:val="left"/>
        <w:rPr>
          <w:rStyle w:val="fontstyle01"/>
          <w:b w:val="0"/>
          <w:bCs/>
          <w:sz w:val="12"/>
          <w:szCs w:val="12"/>
          <w:lang w:val="tr-TR"/>
        </w:rPr>
      </w:pPr>
      <w:r w:rsidRPr="009F487A">
        <w:rPr>
          <w:rStyle w:val="fontstyle01"/>
          <w:b w:val="0"/>
          <w:sz w:val="12"/>
          <w:szCs w:val="12"/>
        </w:rPr>
        <w:t>Başkaları nam ve hesabına yapılan işlemler, inanca dayalı işlemler</w:t>
      </w:r>
      <w:r w:rsidRPr="009F487A">
        <w:rPr>
          <w:rStyle w:val="fontstyle01"/>
          <w:b w:val="0"/>
          <w:sz w:val="12"/>
          <w:szCs w:val="12"/>
          <w:lang w:val="tr-TR"/>
        </w:rPr>
        <w:t xml:space="preserve">                                                                                                                                                                      4</w:t>
      </w:r>
      <w:r w:rsidRPr="009F487A">
        <w:rPr>
          <w:rStyle w:val="fontstyle01"/>
          <w:b w:val="0"/>
          <w:sz w:val="12"/>
          <w:szCs w:val="12"/>
        </w:rPr>
        <w:t>0</w:t>
      </w:r>
    </w:p>
    <w:p w14:paraId="567D9326" w14:textId="77777777" w:rsidR="009F487A" w:rsidRPr="009F487A" w:rsidRDefault="009F487A" w:rsidP="009F487A">
      <w:pPr>
        <w:pStyle w:val="Title"/>
        <w:numPr>
          <w:ilvl w:val="0"/>
          <w:numId w:val="4"/>
        </w:numPr>
        <w:tabs>
          <w:tab w:val="clear" w:pos="4395"/>
          <w:tab w:val="right" w:pos="9000"/>
        </w:tabs>
        <w:jc w:val="left"/>
        <w:rPr>
          <w:rStyle w:val="fontstyle01"/>
          <w:b w:val="0"/>
          <w:bCs/>
          <w:sz w:val="12"/>
          <w:szCs w:val="12"/>
          <w:lang w:val="tr-TR"/>
        </w:rPr>
      </w:pPr>
      <w:r w:rsidRPr="009F487A">
        <w:rPr>
          <w:rStyle w:val="fontstyle01"/>
          <w:b w:val="0"/>
          <w:bCs/>
          <w:sz w:val="12"/>
          <w:szCs w:val="12"/>
          <w:lang w:val="tr-TR"/>
        </w:rPr>
        <w:t xml:space="preserve">Faaliyet bölümlerine ilişkin açıklamalar                                                                                                                                                                                                                 </w:t>
      </w:r>
      <w:r w:rsidRPr="009F487A">
        <w:rPr>
          <w:rStyle w:val="fontstyle01"/>
          <w:b w:val="0"/>
          <w:sz w:val="12"/>
          <w:szCs w:val="12"/>
          <w:lang w:val="tr-TR"/>
        </w:rPr>
        <w:t>4</w:t>
      </w:r>
      <w:r w:rsidRPr="009F487A">
        <w:rPr>
          <w:rStyle w:val="fontstyle01"/>
          <w:b w:val="0"/>
          <w:sz w:val="12"/>
          <w:szCs w:val="12"/>
        </w:rPr>
        <w:t>0</w:t>
      </w:r>
    </w:p>
    <w:p w14:paraId="2A82EA41" w14:textId="77777777" w:rsidR="009F487A" w:rsidRPr="009F487A" w:rsidRDefault="009F487A" w:rsidP="009F487A">
      <w:pPr>
        <w:pStyle w:val="Title"/>
        <w:tabs>
          <w:tab w:val="clear" w:pos="4395"/>
        </w:tabs>
        <w:rPr>
          <w:rFonts w:ascii="Times New Roman" w:hAnsi="Times New Roman"/>
          <w:sz w:val="12"/>
          <w:szCs w:val="12"/>
          <w:lang w:val="tr-TR"/>
        </w:rPr>
      </w:pPr>
    </w:p>
    <w:p w14:paraId="7B618418" w14:textId="77777777" w:rsidR="009F487A" w:rsidRPr="009F487A" w:rsidRDefault="009F487A" w:rsidP="009F487A">
      <w:pPr>
        <w:pStyle w:val="Title"/>
        <w:tabs>
          <w:tab w:val="clear" w:pos="4395"/>
        </w:tabs>
        <w:rPr>
          <w:rFonts w:ascii="Times New Roman" w:hAnsi="Times New Roman"/>
          <w:sz w:val="12"/>
          <w:szCs w:val="12"/>
          <w:lang w:val="tr-TR"/>
        </w:rPr>
      </w:pPr>
      <w:r w:rsidRPr="009F487A">
        <w:rPr>
          <w:rFonts w:ascii="Times New Roman" w:hAnsi="Times New Roman"/>
          <w:sz w:val="12"/>
          <w:szCs w:val="12"/>
          <w:lang w:val="tr-TR"/>
        </w:rPr>
        <w:t>Beşinci bölüm</w:t>
      </w:r>
    </w:p>
    <w:p w14:paraId="67158DAB" w14:textId="77777777" w:rsidR="009F487A" w:rsidRPr="009F487A" w:rsidRDefault="009F487A" w:rsidP="009F487A">
      <w:pPr>
        <w:pStyle w:val="Title"/>
        <w:tabs>
          <w:tab w:val="clear" w:pos="4395"/>
        </w:tabs>
        <w:rPr>
          <w:rFonts w:ascii="Times New Roman" w:hAnsi="Times New Roman"/>
          <w:sz w:val="12"/>
          <w:szCs w:val="12"/>
          <w:lang w:val="tr-TR"/>
        </w:rPr>
      </w:pPr>
      <w:r w:rsidRPr="009F487A">
        <w:rPr>
          <w:rFonts w:ascii="Times New Roman" w:hAnsi="Times New Roman"/>
          <w:sz w:val="12"/>
          <w:szCs w:val="12"/>
          <w:lang w:val="tr-TR"/>
        </w:rPr>
        <w:t>Konsolide olmayan finansal tablolara ilişkin açıklama ve dipnotlar</w:t>
      </w:r>
    </w:p>
    <w:p w14:paraId="40E8CA30" w14:textId="77777777" w:rsidR="009F487A" w:rsidRPr="009F487A" w:rsidRDefault="009F487A" w:rsidP="009F487A">
      <w:pPr>
        <w:pStyle w:val="Title"/>
        <w:jc w:val="left"/>
        <w:rPr>
          <w:rFonts w:ascii="Times New Roman" w:hAnsi="Times New Roman"/>
          <w:b w:val="0"/>
          <w:sz w:val="12"/>
          <w:szCs w:val="12"/>
          <w:lang w:val="tr-TR"/>
        </w:rPr>
      </w:pPr>
    </w:p>
    <w:p w14:paraId="3DA170F3" w14:textId="77777777" w:rsidR="009F487A" w:rsidRPr="009F487A" w:rsidRDefault="009F487A" w:rsidP="009F487A">
      <w:pPr>
        <w:pStyle w:val="Title"/>
        <w:numPr>
          <w:ilvl w:val="0"/>
          <w:numId w:val="5"/>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Bilançonun aktif hesaplarına ilişkin açıklama ve dipnotlar</w:t>
      </w:r>
      <w:r w:rsidRPr="009F487A">
        <w:rPr>
          <w:rFonts w:ascii="Times New Roman" w:hAnsi="Times New Roman"/>
          <w:b w:val="0"/>
          <w:sz w:val="12"/>
          <w:szCs w:val="12"/>
          <w:lang w:val="tr-TR"/>
        </w:rPr>
        <w:tab/>
        <w:t>42</w:t>
      </w:r>
    </w:p>
    <w:p w14:paraId="7576E820" w14:textId="77777777" w:rsidR="009F487A" w:rsidRPr="009F487A" w:rsidRDefault="009F487A" w:rsidP="009F487A">
      <w:pPr>
        <w:pStyle w:val="Title"/>
        <w:numPr>
          <w:ilvl w:val="0"/>
          <w:numId w:val="5"/>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Bilançonun pasif hesaplarına ilişkin açıklama ve dipnotlar</w:t>
      </w:r>
      <w:r w:rsidRPr="009F487A">
        <w:rPr>
          <w:rFonts w:ascii="Times New Roman" w:hAnsi="Times New Roman"/>
          <w:b w:val="0"/>
          <w:sz w:val="12"/>
          <w:szCs w:val="12"/>
          <w:lang w:val="tr-TR"/>
        </w:rPr>
        <w:tab/>
        <w:t>56</w:t>
      </w:r>
    </w:p>
    <w:p w14:paraId="6DB40943" w14:textId="77777777" w:rsidR="009F487A" w:rsidRPr="009F487A" w:rsidRDefault="009F487A" w:rsidP="009F487A">
      <w:pPr>
        <w:pStyle w:val="Title"/>
        <w:numPr>
          <w:ilvl w:val="0"/>
          <w:numId w:val="5"/>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Nazım hesaplara ilişkin açıklama ve dipnotlar</w:t>
      </w:r>
      <w:r w:rsidRPr="009F487A">
        <w:rPr>
          <w:rFonts w:ascii="Times New Roman" w:hAnsi="Times New Roman"/>
          <w:b w:val="0"/>
          <w:sz w:val="12"/>
          <w:szCs w:val="12"/>
          <w:lang w:val="tr-TR"/>
        </w:rPr>
        <w:tab/>
        <w:t>64</w:t>
      </w:r>
    </w:p>
    <w:p w14:paraId="2ED43013" w14:textId="77777777" w:rsidR="009F487A" w:rsidRPr="009F487A" w:rsidRDefault="009F487A" w:rsidP="009F487A">
      <w:pPr>
        <w:pStyle w:val="Title"/>
        <w:numPr>
          <w:ilvl w:val="0"/>
          <w:numId w:val="5"/>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Gelir tablosuna ilişkin açıklama ve dipnotlar</w:t>
      </w:r>
      <w:r w:rsidRPr="009F487A">
        <w:rPr>
          <w:rFonts w:ascii="Times New Roman" w:hAnsi="Times New Roman"/>
          <w:b w:val="0"/>
          <w:sz w:val="12"/>
          <w:szCs w:val="12"/>
          <w:lang w:val="tr-TR"/>
        </w:rPr>
        <w:tab/>
        <w:t>66</w:t>
      </w:r>
    </w:p>
    <w:p w14:paraId="1D450F90" w14:textId="77777777" w:rsidR="009F487A" w:rsidRPr="009F487A" w:rsidRDefault="009F487A" w:rsidP="009F487A">
      <w:pPr>
        <w:pStyle w:val="Title"/>
        <w:numPr>
          <w:ilvl w:val="0"/>
          <w:numId w:val="5"/>
        </w:numPr>
        <w:tabs>
          <w:tab w:val="clear" w:pos="4395"/>
          <w:tab w:val="right" w:pos="9000"/>
        </w:tabs>
        <w:jc w:val="left"/>
        <w:rPr>
          <w:rFonts w:ascii="Times New Roman" w:hAnsi="Times New Roman"/>
          <w:b w:val="0"/>
          <w:sz w:val="12"/>
          <w:szCs w:val="12"/>
          <w:lang w:val="tr-TR"/>
        </w:rPr>
      </w:pPr>
      <w:proofErr w:type="spellStart"/>
      <w:r w:rsidRPr="009F487A">
        <w:rPr>
          <w:rFonts w:ascii="Times New Roman" w:hAnsi="Times New Roman"/>
          <w:b w:val="0"/>
          <w:sz w:val="12"/>
          <w:szCs w:val="12"/>
          <w:lang w:val="tr-TR"/>
        </w:rPr>
        <w:t>Özkaynak</w:t>
      </w:r>
      <w:proofErr w:type="spellEnd"/>
      <w:r w:rsidRPr="009F487A">
        <w:rPr>
          <w:rFonts w:ascii="Times New Roman" w:hAnsi="Times New Roman"/>
          <w:b w:val="0"/>
          <w:sz w:val="12"/>
          <w:szCs w:val="12"/>
          <w:lang w:val="tr-TR"/>
        </w:rPr>
        <w:t xml:space="preserve"> değişim tablosuna ilişkin açıklama ve dipnotlar</w:t>
      </w:r>
      <w:r w:rsidRPr="009F487A">
        <w:rPr>
          <w:rFonts w:ascii="Times New Roman" w:hAnsi="Times New Roman"/>
          <w:b w:val="0"/>
          <w:sz w:val="12"/>
          <w:szCs w:val="12"/>
          <w:lang w:val="tr-TR"/>
        </w:rPr>
        <w:tab/>
        <w:t>71</w:t>
      </w:r>
    </w:p>
    <w:p w14:paraId="7D72C5CD" w14:textId="77777777" w:rsidR="009F487A" w:rsidRPr="009F487A" w:rsidRDefault="009F487A" w:rsidP="009F487A">
      <w:pPr>
        <w:pStyle w:val="Title"/>
        <w:numPr>
          <w:ilvl w:val="0"/>
          <w:numId w:val="5"/>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Nakit akış tablosuna ilişkin açıklama ve dipnotlar</w:t>
      </w:r>
      <w:r w:rsidRPr="009F487A">
        <w:rPr>
          <w:rFonts w:ascii="Times New Roman" w:hAnsi="Times New Roman"/>
          <w:b w:val="0"/>
          <w:sz w:val="12"/>
          <w:szCs w:val="12"/>
          <w:lang w:val="tr-TR"/>
        </w:rPr>
        <w:tab/>
        <w:t>71</w:t>
      </w:r>
    </w:p>
    <w:p w14:paraId="371B360B" w14:textId="77777777" w:rsidR="009F487A" w:rsidRPr="009F487A" w:rsidRDefault="009F487A" w:rsidP="009F487A">
      <w:pPr>
        <w:pStyle w:val="Title"/>
        <w:numPr>
          <w:ilvl w:val="0"/>
          <w:numId w:val="5"/>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Banka’nın dahil olduğu risk grubuna ilişkin açıklamalar</w:t>
      </w:r>
      <w:r w:rsidRPr="009F487A">
        <w:rPr>
          <w:rFonts w:ascii="Times New Roman" w:hAnsi="Times New Roman"/>
          <w:b w:val="0"/>
          <w:sz w:val="12"/>
          <w:szCs w:val="12"/>
          <w:lang w:val="tr-TR"/>
        </w:rPr>
        <w:tab/>
        <w:t>71</w:t>
      </w:r>
    </w:p>
    <w:p w14:paraId="29F5257B" w14:textId="77777777" w:rsidR="009F487A" w:rsidRPr="009F487A" w:rsidRDefault="009F487A" w:rsidP="009F487A">
      <w:pPr>
        <w:pStyle w:val="Title"/>
        <w:numPr>
          <w:ilvl w:val="0"/>
          <w:numId w:val="5"/>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 xml:space="preserve">Banka’nın </w:t>
      </w:r>
      <w:proofErr w:type="spellStart"/>
      <w:proofErr w:type="gramStart"/>
      <w:r w:rsidRPr="009F487A">
        <w:rPr>
          <w:rFonts w:ascii="Times New Roman" w:hAnsi="Times New Roman"/>
          <w:b w:val="0"/>
          <w:sz w:val="12"/>
          <w:szCs w:val="12"/>
          <w:lang w:val="tr-TR"/>
        </w:rPr>
        <w:t>yurtiçi,yurtdışı</w:t>
      </w:r>
      <w:proofErr w:type="spellEnd"/>
      <w:proofErr w:type="gramEnd"/>
      <w:r w:rsidRPr="009F487A">
        <w:rPr>
          <w:rFonts w:ascii="Times New Roman" w:hAnsi="Times New Roman"/>
          <w:b w:val="0"/>
          <w:sz w:val="12"/>
          <w:szCs w:val="12"/>
          <w:lang w:val="tr-TR"/>
        </w:rPr>
        <w:t>, kıyı bankacılığı bölgelerindeki şubeleri ile yurtdışı temsilciliklerine ilişkin bilgiler</w:t>
      </w:r>
      <w:r w:rsidRPr="009F487A">
        <w:rPr>
          <w:rFonts w:ascii="Times New Roman" w:hAnsi="Times New Roman"/>
          <w:b w:val="0"/>
          <w:sz w:val="12"/>
          <w:szCs w:val="12"/>
          <w:lang w:val="tr-TR"/>
        </w:rPr>
        <w:tab/>
        <w:t>72</w:t>
      </w:r>
    </w:p>
    <w:p w14:paraId="3CAB9F39" w14:textId="77777777" w:rsidR="009F487A" w:rsidRPr="009F487A" w:rsidRDefault="009F487A" w:rsidP="009F487A">
      <w:pPr>
        <w:pStyle w:val="Title"/>
        <w:numPr>
          <w:ilvl w:val="0"/>
          <w:numId w:val="5"/>
        </w:numPr>
        <w:tabs>
          <w:tab w:val="clear" w:pos="4395"/>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Bilanço sonrası hususlara ilişkin olarak açıklanması gereken hususlar                                                                                                                                                                 72</w:t>
      </w:r>
    </w:p>
    <w:p w14:paraId="1F0828BF" w14:textId="77777777" w:rsidR="009F487A" w:rsidRPr="009F487A" w:rsidRDefault="009F487A" w:rsidP="009F487A">
      <w:pPr>
        <w:pStyle w:val="Title"/>
        <w:rPr>
          <w:rFonts w:ascii="Times New Roman" w:hAnsi="Times New Roman"/>
          <w:sz w:val="11"/>
          <w:szCs w:val="13"/>
          <w:lang w:val="tr-TR"/>
        </w:rPr>
      </w:pPr>
    </w:p>
    <w:p w14:paraId="170FF577" w14:textId="77777777" w:rsidR="009F487A" w:rsidRPr="009F487A" w:rsidRDefault="009F487A" w:rsidP="009F487A">
      <w:pPr>
        <w:pStyle w:val="Title"/>
        <w:rPr>
          <w:rFonts w:ascii="Times New Roman" w:hAnsi="Times New Roman"/>
          <w:b w:val="0"/>
          <w:sz w:val="11"/>
          <w:szCs w:val="13"/>
          <w:lang w:val="tr-TR"/>
        </w:rPr>
      </w:pPr>
      <w:r w:rsidRPr="009F487A">
        <w:rPr>
          <w:rFonts w:ascii="Times New Roman" w:hAnsi="Times New Roman"/>
          <w:sz w:val="11"/>
          <w:szCs w:val="13"/>
          <w:lang w:val="tr-TR"/>
        </w:rPr>
        <w:t>Altıncı bölüm</w:t>
      </w:r>
    </w:p>
    <w:p w14:paraId="5A48940C" w14:textId="77777777" w:rsidR="009F487A" w:rsidRPr="009F487A" w:rsidRDefault="009F487A" w:rsidP="009F487A">
      <w:pPr>
        <w:pStyle w:val="Title"/>
        <w:tabs>
          <w:tab w:val="clear" w:pos="4395"/>
        </w:tabs>
        <w:rPr>
          <w:rFonts w:ascii="Times New Roman" w:hAnsi="Times New Roman"/>
          <w:sz w:val="11"/>
          <w:szCs w:val="13"/>
          <w:lang w:val="tr-TR"/>
        </w:rPr>
      </w:pPr>
      <w:r w:rsidRPr="009F487A">
        <w:rPr>
          <w:rFonts w:ascii="Times New Roman" w:hAnsi="Times New Roman"/>
          <w:sz w:val="11"/>
          <w:szCs w:val="13"/>
          <w:lang w:val="tr-TR"/>
        </w:rPr>
        <w:t>Diğer açıklamalar</w:t>
      </w:r>
    </w:p>
    <w:p w14:paraId="2D646495" w14:textId="77777777" w:rsidR="009F487A" w:rsidRPr="009F487A" w:rsidRDefault="009F487A" w:rsidP="009F487A">
      <w:pPr>
        <w:pStyle w:val="Title"/>
        <w:jc w:val="left"/>
        <w:rPr>
          <w:rFonts w:ascii="Times New Roman" w:hAnsi="Times New Roman"/>
          <w:b w:val="0"/>
          <w:sz w:val="11"/>
          <w:szCs w:val="13"/>
          <w:lang w:val="tr-TR"/>
        </w:rPr>
      </w:pPr>
    </w:p>
    <w:p w14:paraId="7F7361E5" w14:textId="77777777" w:rsidR="009F487A" w:rsidRPr="009F487A" w:rsidRDefault="009F487A" w:rsidP="009F487A">
      <w:pPr>
        <w:pStyle w:val="Title"/>
        <w:tabs>
          <w:tab w:val="clear" w:pos="4395"/>
          <w:tab w:val="right" w:pos="0"/>
          <w:tab w:val="left" w:pos="720"/>
          <w:tab w:val="right" w:pos="9000"/>
        </w:tabs>
        <w:jc w:val="left"/>
        <w:rPr>
          <w:rFonts w:ascii="Times New Roman" w:hAnsi="Times New Roman"/>
          <w:sz w:val="12"/>
          <w:szCs w:val="12"/>
          <w:lang w:val="tr-TR"/>
        </w:rPr>
      </w:pPr>
      <w:r w:rsidRPr="009F487A">
        <w:rPr>
          <w:rFonts w:ascii="Times New Roman" w:hAnsi="Times New Roman"/>
          <w:b w:val="0"/>
          <w:sz w:val="12"/>
          <w:szCs w:val="12"/>
          <w:lang w:val="tr-TR"/>
        </w:rPr>
        <w:t xml:space="preserve">I. </w:t>
      </w:r>
      <w:r w:rsidRPr="009F487A">
        <w:rPr>
          <w:rFonts w:ascii="Times New Roman" w:hAnsi="Times New Roman"/>
          <w:b w:val="0"/>
          <w:sz w:val="12"/>
          <w:szCs w:val="12"/>
          <w:lang w:val="tr-TR"/>
        </w:rPr>
        <w:tab/>
        <w:t>Bilançoyu önemli ölçüde etkileyen ya da bilançonun açık, yorumlanabilir ve anlaşılabilir olması açısından açıklanması</w:t>
      </w:r>
      <w:r w:rsidRPr="009F487A">
        <w:rPr>
          <w:rFonts w:ascii="Times New Roman" w:hAnsi="Times New Roman"/>
          <w:b w:val="0"/>
          <w:sz w:val="12"/>
          <w:szCs w:val="12"/>
          <w:lang w:val="tr-TR"/>
        </w:rPr>
        <w:tab/>
      </w:r>
    </w:p>
    <w:p w14:paraId="087F901F" w14:textId="77777777" w:rsidR="009F487A" w:rsidRPr="009F487A" w:rsidRDefault="009F487A" w:rsidP="009F487A">
      <w:pPr>
        <w:pStyle w:val="Title"/>
        <w:tabs>
          <w:tab w:val="clear" w:pos="4395"/>
          <w:tab w:val="left" w:pos="720"/>
          <w:tab w:val="right" w:pos="9000"/>
        </w:tabs>
        <w:jc w:val="left"/>
        <w:rPr>
          <w:rFonts w:ascii="Times New Roman" w:hAnsi="Times New Roman"/>
          <w:b w:val="0"/>
          <w:sz w:val="12"/>
          <w:szCs w:val="12"/>
          <w:lang w:val="tr-TR"/>
        </w:rPr>
      </w:pPr>
      <w:r w:rsidRPr="009F487A">
        <w:rPr>
          <w:rFonts w:ascii="Times New Roman" w:hAnsi="Times New Roman"/>
          <w:b w:val="0"/>
          <w:sz w:val="12"/>
          <w:szCs w:val="12"/>
          <w:lang w:val="tr-TR"/>
        </w:rPr>
        <w:tab/>
      </w:r>
      <w:proofErr w:type="gramStart"/>
      <w:r w:rsidRPr="009F487A">
        <w:rPr>
          <w:rFonts w:ascii="Times New Roman" w:hAnsi="Times New Roman"/>
          <w:b w:val="0"/>
          <w:sz w:val="12"/>
          <w:szCs w:val="12"/>
          <w:lang w:val="tr-TR"/>
        </w:rPr>
        <w:t>gerekli</w:t>
      </w:r>
      <w:proofErr w:type="gramEnd"/>
      <w:r w:rsidRPr="009F487A">
        <w:rPr>
          <w:rFonts w:ascii="Times New Roman" w:hAnsi="Times New Roman"/>
          <w:b w:val="0"/>
          <w:sz w:val="12"/>
          <w:szCs w:val="12"/>
          <w:lang w:val="tr-TR"/>
        </w:rPr>
        <w:t xml:space="preserve"> olan diğer hususlar</w:t>
      </w:r>
      <w:r w:rsidRPr="009F487A">
        <w:rPr>
          <w:rFonts w:ascii="Times New Roman" w:hAnsi="Times New Roman"/>
          <w:b w:val="0"/>
          <w:sz w:val="12"/>
          <w:szCs w:val="12"/>
          <w:lang w:val="tr-TR"/>
        </w:rPr>
        <w:tab/>
        <w:t>73</w:t>
      </w:r>
    </w:p>
    <w:p w14:paraId="20C8A78A" w14:textId="77777777" w:rsidR="009F487A" w:rsidRPr="009F487A" w:rsidRDefault="009F487A" w:rsidP="009F487A">
      <w:pPr>
        <w:pStyle w:val="Title"/>
        <w:tabs>
          <w:tab w:val="clear" w:pos="4395"/>
        </w:tabs>
        <w:rPr>
          <w:rFonts w:ascii="Times New Roman" w:hAnsi="Times New Roman"/>
          <w:sz w:val="12"/>
          <w:szCs w:val="12"/>
          <w:lang w:val="tr-TR"/>
        </w:rPr>
      </w:pPr>
    </w:p>
    <w:p w14:paraId="4CD02E67" w14:textId="77777777" w:rsidR="009F487A" w:rsidRPr="009F487A" w:rsidRDefault="009F487A" w:rsidP="009F487A">
      <w:pPr>
        <w:pStyle w:val="Title"/>
        <w:tabs>
          <w:tab w:val="clear" w:pos="4395"/>
        </w:tabs>
        <w:rPr>
          <w:rFonts w:ascii="Times New Roman" w:hAnsi="Times New Roman"/>
          <w:sz w:val="12"/>
          <w:szCs w:val="12"/>
          <w:lang w:val="tr-TR"/>
        </w:rPr>
      </w:pPr>
      <w:r w:rsidRPr="009F487A">
        <w:rPr>
          <w:rFonts w:ascii="Times New Roman" w:hAnsi="Times New Roman"/>
          <w:sz w:val="12"/>
          <w:szCs w:val="12"/>
          <w:lang w:val="tr-TR"/>
        </w:rPr>
        <w:t>Yedinci bölüm</w:t>
      </w:r>
    </w:p>
    <w:p w14:paraId="6990F404" w14:textId="77777777" w:rsidR="009F487A" w:rsidRPr="009F487A" w:rsidRDefault="009F487A" w:rsidP="009F487A">
      <w:pPr>
        <w:pStyle w:val="Title"/>
        <w:tabs>
          <w:tab w:val="clear" w:pos="4395"/>
        </w:tabs>
        <w:rPr>
          <w:rFonts w:ascii="Times New Roman" w:hAnsi="Times New Roman"/>
          <w:sz w:val="12"/>
          <w:szCs w:val="12"/>
          <w:lang w:val="tr-TR"/>
        </w:rPr>
      </w:pPr>
      <w:r w:rsidRPr="009F487A">
        <w:rPr>
          <w:rFonts w:ascii="Times New Roman" w:hAnsi="Times New Roman"/>
          <w:sz w:val="12"/>
          <w:szCs w:val="12"/>
          <w:lang w:val="tr-TR"/>
        </w:rPr>
        <w:t xml:space="preserve">Bağımsız </w:t>
      </w:r>
      <w:proofErr w:type="gramStart"/>
      <w:r w:rsidRPr="009F487A">
        <w:rPr>
          <w:rFonts w:ascii="Times New Roman" w:hAnsi="Times New Roman"/>
          <w:sz w:val="12"/>
          <w:szCs w:val="12"/>
          <w:lang w:val="tr-TR"/>
        </w:rPr>
        <w:t>sınırlı  denetim</w:t>
      </w:r>
      <w:proofErr w:type="gramEnd"/>
      <w:r w:rsidRPr="009F487A">
        <w:rPr>
          <w:rFonts w:ascii="Times New Roman" w:hAnsi="Times New Roman"/>
          <w:sz w:val="12"/>
          <w:szCs w:val="12"/>
          <w:lang w:val="tr-TR"/>
        </w:rPr>
        <w:t xml:space="preserve"> raporu</w:t>
      </w:r>
    </w:p>
    <w:p w14:paraId="78EE2C0B" w14:textId="77777777" w:rsidR="009F487A" w:rsidRPr="009F487A" w:rsidRDefault="009F487A" w:rsidP="009F487A">
      <w:pPr>
        <w:pStyle w:val="Title"/>
        <w:jc w:val="left"/>
        <w:rPr>
          <w:rFonts w:ascii="Times New Roman" w:hAnsi="Times New Roman"/>
          <w:sz w:val="12"/>
          <w:szCs w:val="12"/>
          <w:lang w:val="tr-TR"/>
        </w:rPr>
      </w:pPr>
    </w:p>
    <w:p w14:paraId="641CA618" w14:textId="77777777" w:rsidR="009F487A" w:rsidRPr="009F487A" w:rsidRDefault="009F487A" w:rsidP="009F487A">
      <w:pPr>
        <w:pStyle w:val="Title"/>
        <w:tabs>
          <w:tab w:val="clear" w:pos="4395"/>
          <w:tab w:val="right" w:pos="9000"/>
        </w:tabs>
        <w:ind w:left="720" w:hanging="720"/>
        <w:jc w:val="left"/>
        <w:rPr>
          <w:rFonts w:ascii="Times New Roman" w:hAnsi="Times New Roman"/>
          <w:b w:val="0"/>
          <w:sz w:val="12"/>
          <w:szCs w:val="12"/>
          <w:lang w:val="tr-TR"/>
        </w:rPr>
      </w:pPr>
      <w:r w:rsidRPr="009F487A">
        <w:rPr>
          <w:rFonts w:ascii="Times New Roman" w:hAnsi="Times New Roman"/>
          <w:b w:val="0"/>
          <w:sz w:val="12"/>
          <w:szCs w:val="12"/>
          <w:lang w:val="tr-TR"/>
        </w:rPr>
        <w:t>I.</w:t>
      </w:r>
      <w:r w:rsidRPr="009F487A">
        <w:rPr>
          <w:rFonts w:ascii="Times New Roman" w:hAnsi="Times New Roman"/>
          <w:b w:val="0"/>
          <w:sz w:val="12"/>
          <w:szCs w:val="12"/>
          <w:lang w:val="tr-TR"/>
        </w:rPr>
        <w:tab/>
      </w:r>
      <w:proofErr w:type="gramStart"/>
      <w:r w:rsidRPr="009F487A">
        <w:rPr>
          <w:rFonts w:ascii="Times New Roman" w:hAnsi="Times New Roman"/>
          <w:b w:val="0"/>
          <w:sz w:val="12"/>
          <w:szCs w:val="12"/>
          <w:lang w:val="tr-TR"/>
        </w:rPr>
        <w:t>Bağımsız  denetim</w:t>
      </w:r>
      <w:proofErr w:type="gramEnd"/>
      <w:r w:rsidRPr="009F487A">
        <w:rPr>
          <w:rFonts w:ascii="Times New Roman" w:hAnsi="Times New Roman"/>
          <w:b w:val="0"/>
          <w:sz w:val="12"/>
          <w:szCs w:val="12"/>
          <w:lang w:val="tr-TR"/>
        </w:rPr>
        <w:t xml:space="preserve"> raporuna ilişkin açıklamalar</w:t>
      </w:r>
      <w:r w:rsidRPr="009F487A">
        <w:rPr>
          <w:rFonts w:ascii="Times New Roman" w:hAnsi="Times New Roman"/>
          <w:b w:val="0"/>
          <w:sz w:val="12"/>
          <w:szCs w:val="12"/>
          <w:lang w:val="tr-TR"/>
        </w:rPr>
        <w:tab/>
        <w:t>73</w:t>
      </w:r>
    </w:p>
    <w:p w14:paraId="3A1CC98D" w14:textId="77777777" w:rsidR="009F487A" w:rsidRPr="009F487A" w:rsidRDefault="009F487A" w:rsidP="009F487A">
      <w:pPr>
        <w:pStyle w:val="Title"/>
        <w:tabs>
          <w:tab w:val="clear" w:pos="4395"/>
          <w:tab w:val="right" w:pos="9000"/>
        </w:tabs>
        <w:ind w:left="720" w:hanging="720"/>
        <w:jc w:val="left"/>
        <w:rPr>
          <w:rFonts w:ascii="Times New Roman" w:hAnsi="Times New Roman"/>
          <w:b w:val="0"/>
          <w:sz w:val="12"/>
          <w:szCs w:val="12"/>
          <w:lang w:val="tr-TR"/>
        </w:rPr>
      </w:pPr>
      <w:r w:rsidRPr="009F487A">
        <w:rPr>
          <w:rFonts w:ascii="Times New Roman" w:hAnsi="Times New Roman"/>
          <w:b w:val="0"/>
          <w:sz w:val="12"/>
          <w:szCs w:val="12"/>
          <w:lang w:val="tr-TR"/>
        </w:rPr>
        <w:t>II.</w:t>
      </w:r>
      <w:r w:rsidRPr="009F487A">
        <w:rPr>
          <w:rFonts w:ascii="Times New Roman" w:hAnsi="Times New Roman"/>
          <w:b w:val="0"/>
          <w:sz w:val="12"/>
          <w:szCs w:val="12"/>
          <w:lang w:val="tr-TR"/>
        </w:rPr>
        <w:tab/>
        <w:t>Bağımsız denetçi tarafından hazırlanan açıklama ve dipnotlar</w:t>
      </w:r>
      <w:r w:rsidRPr="009F487A">
        <w:rPr>
          <w:rFonts w:ascii="Times New Roman" w:hAnsi="Times New Roman"/>
          <w:b w:val="0"/>
          <w:sz w:val="12"/>
          <w:szCs w:val="12"/>
          <w:lang w:val="tr-TR"/>
        </w:rPr>
        <w:tab/>
        <w:t>73</w:t>
      </w:r>
    </w:p>
    <w:p w14:paraId="7D6CF019" w14:textId="77777777" w:rsidR="009F487A" w:rsidRPr="009F487A" w:rsidRDefault="009F487A" w:rsidP="009F487A">
      <w:pPr>
        <w:pStyle w:val="Title"/>
        <w:tabs>
          <w:tab w:val="clear" w:pos="4395"/>
          <w:tab w:val="right" w:pos="9000"/>
        </w:tabs>
        <w:ind w:left="720" w:hanging="720"/>
        <w:jc w:val="left"/>
        <w:rPr>
          <w:rFonts w:ascii="Times New Roman" w:hAnsi="Times New Roman"/>
          <w:sz w:val="12"/>
          <w:szCs w:val="12"/>
          <w:lang w:val="tr-TR"/>
        </w:rPr>
      </w:pPr>
    </w:p>
    <w:p w14:paraId="5743F308" w14:textId="77777777" w:rsidR="009F487A" w:rsidRPr="009F487A" w:rsidRDefault="009F487A" w:rsidP="009F487A">
      <w:pPr>
        <w:pStyle w:val="Title"/>
        <w:tabs>
          <w:tab w:val="clear" w:pos="4395"/>
          <w:tab w:val="right" w:pos="9000"/>
        </w:tabs>
        <w:ind w:left="720" w:hanging="720"/>
        <w:jc w:val="left"/>
        <w:rPr>
          <w:rFonts w:ascii="Times New Roman" w:hAnsi="Times New Roman"/>
          <w:b w:val="0"/>
          <w:sz w:val="12"/>
          <w:szCs w:val="12"/>
          <w:lang w:val="tr-TR"/>
        </w:rPr>
      </w:pPr>
      <w:r w:rsidRPr="009F487A">
        <w:rPr>
          <w:rFonts w:ascii="Times New Roman" w:hAnsi="Times New Roman"/>
          <w:sz w:val="12"/>
          <w:szCs w:val="12"/>
          <w:lang w:val="tr-TR"/>
        </w:rPr>
        <w:t xml:space="preserve">                                                                                                                                            Sekizinci bölüm</w:t>
      </w:r>
    </w:p>
    <w:p w14:paraId="64CF4ECC" w14:textId="77777777" w:rsidR="009F487A" w:rsidRPr="009F487A" w:rsidRDefault="009F487A" w:rsidP="009F487A">
      <w:pPr>
        <w:pStyle w:val="Title"/>
        <w:tabs>
          <w:tab w:val="clear" w:pos="4395"/>
        </w:tabs>
        <w:rPr>
          <w:rFonts w:ascii="Times New Roman" w:hAnsi="Times New Roman"/>
          <w:sz w:val="12"/>
          <w:szCs w:val="12"/>
          <w:lang w:val="tr-TR"/>
        </w:rPr>
      </w:pPr>
      <w:r w:rsidRPr="009F487A">
        <w:rPr>
          <w:rFonts w:ascii="Times New Roman" w:hAnsi="Times New Roman"/>
          <w:sz w:val="12"/>
          <w:szCs w:val="12"/>
          <w:lang w:val="tr-TR"/>
        </w:rPr>
        <w:t>Ara dönem faaliyet raporu</w:t>
      </w:r>
    </w:p>
    <w:p w14:paraId="000EE099" w14:textId="77777777" w:rsidR="009F487A" w:rsidRPr="00270CE6" w:rsidRDefault="009F487A" w:rsidP="009F487A">
      <w:pPr>
        <w:pStyle w:val="Title"/>
        <w:jc w:val="left"/>
        <w:rPr>
          <w:rFonts w:ascii="Times New Roman" w:hAnsi="Times New Roman"/>
          <w:b w:val="0"/>
          <w:sz w:val="12"/>
          <w:szCs w:val="12"/>
          <w:highlight w:val="yellow"/>
          <w:lang w:val="tr-TR"/>
        </w:rPr>
      </w:pPr>
    </w:p>
    <w:p w14:paraId="55CB040E" w14:textId="77777777" w:rsidR="009F487A" w:rsidRPr="009F487A" w:rsidRDefault="009F487A" w:rsidP="009F487A">
      <w:pPr>
        <w:pStyle w:val="Title"/>
        <w:tabs>
          <w:tab w:val="clear" w:pos="4395"/>
          <w:tab w:val="right" w:pos="0"/>
          <w:tab w:val="left" w:pos="720"/>
          <w:tab w:val="right" w:pos="9000"/>
        </w:tabs>
        <w:jc w:val="left"/>
        <w:rPr>
          <w:sz w:val="14"/>
          <w:szCs w:val="14"/>
        </w:rPr>
        <w:sectPr w:rsidR="009F487A" w:rsidRPr="009F487A" w:rsidSect="00A07E0F">
          <w:headerReference w:type="even" r:id="rId10"/>
          <w:headerReference w:type="default" r:id="rId11"/>
          <w:footerReference w:type="default" r:id="rId12"/>
          <w:headerReference w:type="first" r:id="rId13"/>
          <w:pgSz w:w="11907" w:h="16840" w:code="9"/>
          <w:pgMar w:top="1418" w:right="1418" w:bottom="1418" w:left="1418" w:header="708" w:footer="708" w:gutter="0"/>
          <w:pgNumType w:start="1"/>
          <w:cols w:space="708"/>
          <w:noEndnote/>
        </w:sectPr>
      </w:pPr>
      <w:r w:rsidRPr="009F487A">
        <w:rPr>
          <w:rFonts w:ascii="Times New Roman" w:hAnsi="Times New Roman"/>
          <w:b w:val="0"/>
          <w:sz w:val="12"/>
          <w:szCs w:val="12"/>
          <w:lang w:val="tr-TR"/>
        </w:rPr>
        <w:t xml:space="preserve">I. </w:t>
      </w:r>
      <w:r w:rsidRPr="009F487A">
        <w:rPr>
          <w:rFonts w:ascii="Times New Roman" w:hAnsi="Times New Roman"/>
          <w:b w:val="0"/>
          <w:sz w:val="12"/>
          <w:szCs w:val="12"/>
          <w:lang w:val="tr-TR"/>
        </w:rPr>
        <w:tab/>
        <w:t>Banka yönetim kurulu başkanı ve genel müdürünün ara dönem faaliyetlerine ilişkin değerlendirmelerini içerecek ara dönem faaliyet raporu</w:t>
      </w:r>
      <w:r w:rsidRPr="009F487A">
        <w:rPr>
          <w:rFonts w:ascii="Times New Roman" w:hAnsi="Times New Roman"/>
          <w:b w:val="0"/>
          <w:sz w:val="12"/>
          <w:szCs w:val="12"/>
          <w:lang w:val="tr-TR"/>
        </w:rPr>
        <w:tab/>
        <w:t>7</w:t>
      </w:r>
      <w:bookmarkEnd w:id="0"/>
      <w:r w:rsidRPr="009F487A">
        <w:rPr>
          <w:rFonts w:ascii="Times New Roman" w:hAnsi="Times New Roman"/>
          <w:b w:val="0"/>
          <w:sz w:val="12"/>
          <w:szCs w:val="12"/>
          <w:lang w:val="tr-TR"/>
        </w:rPr>
        <w:t>3</w:t>
      </w:r>
    </w:p>
    <w:p w14:paraId="0198CB8F" w14:textId="501FAAFE" w:rsidR="002C6787" w:rsidRPr="0004280F" w:rsidRDefault="002C6787" w:rsidP="002C6787">
      <w:pPr>
        <w:ind w:left="1416" w:firstLine="708"/>
        <w:rPr>
          <w:b/>
          <w:sz w:val="18"/>
          <w:szCs w:val="18"/>
        </w:rPr>
      </w:pPr>
      <w:r w:rsidRPr="0004280F">
        <w:rPr>
          <w:b/>
          <w:sz w:val="18"/>
          <w:szCs w:val="18"/>
        </w:rPr>
        <w:lastRenderedPageBreak/>
        <w:t xml:space="preserve">KUVEYT TÜRK KATILIM BANKASI ANONİM ŞİRKETİ' NİN </w:t>
      </w:r>
    </w:p>
    <w:p w14:paraId="3E6BC3E4" w14:textId="77777777" w:rsidR="008119DD" w:rsidRPr="0004280F" w:rsidRDefault="008119DD" w:rsidP="002C6787">
      <w:pPr>
        <w:ind w:left="1416" w:firstLine="708"/>
        <w:rPr>
          <w:b/>
          <w:sz w:val="10"/>
          <w:szCs w:val="18"/>
        </w:rPr>
      </w:pPr>
    </w:p>
    <w:p w14:paraId="5DC5EC0A" w14:textId="07F98C3E" w:rsidR="002C6787" w:rsidRPr="0004280F" w:rsidRDefault="002C6787" w:rsidP="002C6787">
      <w:pPr>
        <w:rPr>
          <w:b/>
          <w:sz w:val="18"/>
          <w:szCs w:val="18"/>
        </w:rPr>
      </w:pPr>
      <w:r w:rsidRPr="0004280F">
        <w:rPr>
          <w:b/>
          <w:sz w:val="18"/>
          <w:szCs w:val="18"/>
        </w:rPr>
        <w:t xml:space="preserve">                      3</w:t>
      </w:r>
      <w:r w:rsidR="002F3C63" w:rsidRPr="0004280F">
        <w:rPr>
          <w:b/>
          <w:sz w:val="18"/>
          <w:szCs w:val="18"/>
        </w:rPr>
        <w:t xml:space="preserve">0 </w:t>
      </w:r>
      <w:r w:rsidR="00270CE6" w:rsidRPr="0004280F">
        <w:rPr>
          <w:b/>
          <w:sz w:val="18"/>
          <w:szCs w:val="18"/>
        </w:rPr>
        <w:t>EYLÜL</w:t>
      </w:r>
      <w:r w:rsidR="00BC7909" w:rsidRPr="0004280F">
        <w:rPr>
          <w:b/>
          <w:sz w:val="18"/>
          <w:szCs w:val="18"/>
        </w:rPr>
        <w:t xml:space="preserve"> 2020</w:t>
      </w:r>
      <w:r w:rsidRPr="0004280F">
        <w:rPr>
          <w:b/>
          <w:sz w:val="18"/>
          <w:szCs w:val="18"/>
        </w:rPr>
        <w:t xml:space="preserve"> TARİHİ İTİBARIYLA HAZIRLANAN </w:t>
      </w:r>
      <w:r w:rsidR="007D5300" w:rsidRPr="0004280F">
        <w:rPr>
          <w:b/>
          <w:sz w:val="18"/>
          <w:szCs w:val="18"/>
        </w:rPr>
        <w:t>DOKUZ</w:t>
      </w:r>
      <w:r w:rsidR="00BC7909" w:rsidRPr="0004280F">
        <w:rPr>
          <w:b/>
          <w:sz w:val="18"/>
          <w:szCs w:val="18"/>
        </w:rPr>
        <w:t xml:space="preserve"> AYLIK</w:t>
      </w:r>
      <w:r w:rsidRPr="0004280F">
        <w:rPr>
          <w:b/>
          <w:sz w:val="18"/>
          <w:szCs w:val="18"/>
        </w:rPr>
        <w:t xml:space="preserve"> KONSOLİDE OLMAYAN </w:t>
      </w:r>
    </w:p>
    <w:p w14:paraId="48BACC9A" w14:textId="77777777" w:rsidR="008119DD" w:rsidRPr="0004280F" w:rsidRDefault="008119DD" w:rsidP="002C6787">
      <w:pPr>
        <w:ind w:left="2832" w:firstLine="708"/>
        <w:rPr>
          <w:b/>
          <w:sz w:val="10"/>
          <w:szCs w:val="18"/>
        </w:rPr>
      </w:pPr>
    </w:p>
    <w:p w14:paraId="0CFD133B" w14:textId="6CDBD658" w:rsidR="002C6787" w:rsidRPr="0004280F" w:rsidRDefault="002C6787" w:rsidP="002C6787">
      <w:pPr>
        <w:ind w:left="2832" w:firstLine="708"/>
        <w:rPr>
          <w:b/>
          <w:sz w:val="18"/>
          <w:szCs w:val="18"/>
        </w:rPr>
      </w:pPr>
      <w:r w:rsidRPr="0004280F">
        <w:rPr>
          <w:b/>
          <w:sz w:val="18"/>
          <w:szCs w:val="18"/>
        </w:rPr>
        <w:t xml:space="preserve"> FİNANSAL RAPORU</w:t>
      </w:r>
    </w:p>
    <w:p w14:paraId="3C1C964F" w14:textId="77777777" w:rsidR="008119DD" w:rsidRPr="0004280F" w:rsidRDefault="008119DD" w:rsidP="002C6787">
      <w:pPr>
        <w:ind w:left="2832" w:firstLine="708"/>
        <w:rPr>
          <w:b/>
          <w:sz w:val="28"/>
          <w:szCs w:val="18"/>
        </w:rPr>
      </w:pPr>
    </w:p>
    <w:p w14:paraId="63D763F9" w14:textId="77777777" w:rsidR="002C6787" w:rsidRPr="0004280F" w:rsidRDefault="002C6787" w:rsidP="002C6787">
      <w:pPr>
        <w:rPr>
          <w:sz w:val="2"/>
          <w:szCs w:val="18"/>
        </w:rPr>
      </w:pPr>
    </w:p>
    <w:p w14:paraId="5923215F" w14:textId="5A20D950" w:rsidR="002C6787" w:rsidRPr="0004280F" w:rsidRDefault="00E33AB7" w:rsidP="002C6787">
      <w:pPr>
        <w:rPr>
          <w:sz w:val="18"/>
          <w:szCs w:val="18"/>
        </w:rPr>
      </w:pPr>
      <w:r w:rsidRPr="0004280F">
        <w:rPr>
          <w:sz w:val="18"/>
          <w:szCs w:val="18"/>
        </w:rPr>
        <w:t>Banka’nın</w:t>
      </w:r>
      <w:r w:rsidR="002C6787" w:rsidRPr="0004280F">
        <w:rPr>
          <w:sz w:val="18"/>
          <w:szCs w:val="18"/>
        </w:rPr>
        <w:t xml:space="preserve"> Yönetim Merkezinin Adresi            </w:t>
      </w:r>
      <w:proofErr w:type="gramStart"/>
      <w:r w:rsidR="002C6787" w:rsidRPr="0004280F">
        <w:rPr>
          <w:sz w:val="18"/>
          <w:szCs w:val="18"/>
        </w:rPr>
        <w:t xml:space="preserve">  :</w:t>
      </w:r>
      <w:proofErr w:type="gramEnd"/>
      <w:r w:rsidR="002C6787" w:rsidRPr="0004280F">
        <w:rPr>
          <w:sz w:val="18"/>
          <w:szCs w:val="18"/>
        </w:rPr>
        <w:t xml:space="preserve">    Büyükdere Cad. No:129/1  34394 Esentepe / İSTANBUL</w:t>
      </w:r>
    </w:p>
    <w:p w14:paraId="33C41227" w14:textId="106292CA" w:rsidR="002C6787" w:rsidRPr="0004280F" w:rsidRDefault="00E33AB7" w:rsidP="002C6787">
      <w:pPr>
        <w:tabs>
          <w:tab w:val="left" w:pos="3261"/>
        </w:tabs>
        <w:rPr>
          <w:sz w:val="18"/>
          <w:szCs w:val="18"/>
        </w:rPr>
      </w:pPr>
      <w:r w:rsidRPr="0004280F">
        <w:rPr>
          <w:sz w:val="18"/>
          <w:szCs w:val="18"/>
        </w:rPr>
        <w:t>Banka’nın</w:t>
      </w:r>
      <w:r w:rsidR="002C6787" w:rsidRPr="0004280F">
        <w:rPr>
          <w:sz w:val="18"/>
          <w:szCs w:val="18"/>
        </w:rPr>
        <w:t xml:space="preserve"> Telefon ve </w:t>
      </w:r>
      <w:proofErr w:type="spellStart"/>
      <w:r w:rsidR="002C6787" w:rsidRPr="0004280F">
        <w:rPr>
          <w:sz w:val="18"/>
          <w:szCs w:val="18"/>
        </w:rPr>
        <w:t>Fax</w:t>
      </w:r>
      <w:proofErr w:type="spellEnd"/>
      <w:r w:rsidR="002C6787" w:rsidRPr="0004280F">
        <w:rPr>
          <w:sz w:val="18"/>
          <w:szCs w:val="18"/>
        </w:rPr>
        <w:t xml:space="preserve"> Numaraları              </w:t>
      </w:r>
      <w:proofErr w:type="gramStart"/>
      <w:r w:rsidR="002C6787" w:rsidRPr="0004280F">
        <w:rPr>
          <w:sz w:val="18"/>
          <w:szCs w:val="18"/>
        </w:rPr>
        <w:t xml:space="preserve">  :</w:t>
      </w:r>
      <w:proofErr w:type="gramEnd"/>
      <w:r w:rsidR="002C6787" w:rsidRPr="0004280F">
        <w:rPr>
          <w:sz w:val="18"/>
          <w:szCs w:val="18"/>
        </w:rPr>
        <w:t xml:space="preserve">    0212 354 11 11  -  0212 354 12 12</w:t>
      </w:r>
    </w:p>
    <w:p w14:paraId="03F93771" w14:textId="6B2A6AB4" w:rsidR="002C6787" w:rsidRPr="0004280F" w:rsidRDefault="00E33AB7" w:rsidP="002C6787">
      <w:pPr>
        <w:rPr>
          <w:sz w:val="18"/>
          <w:szCs w:val="18"/>
        </w:rPr>
      </w:pPr>
      <w:r w:rsidRPr="0004280F">
        <w:rPr>
          <w:sz w:val="18"/>
          <w:szCs w:val="18"/>
        </w:rPr>
        <w:t>Banka’nın</w:t>
      </w:r>
      <w:r w:rsidR="002C6787" w:rsidRPr="0004280F">
        <w:rPr>
          <w:sz w:val="18"/>
          <w:szCs w:val="18"/>
        </w:rPr>
        <w:t xml:space="preserve"> İnternet Sayfası Adresi                     </w:t>
      </w:r>
      <w:proofErr w:type="gramStart"/>
      <w:r w:rsidR="002C6787" w:rsidRPr="0004280F">
        <w:rPr>
          <w:sz w:val="18"/>
          <w:szCs w:val="18"/>
        </w:rPr>
        <w:t xml:space="preserve">  :</w:t>
      </w:r>
      <w:proofErr w:type="gramEnd"/>
      <w:r w:rsidR="002C6787" w:rsidRPr="0004280F">
        <w:rPr>
          <w:sz w:val="18"/>
          <w:szCs w:val="18"/>
        </w:rPr>
        <w:t xml:space="preserve">    </w:t>
      </w:r>
      <w:hyperlink r:id="rId14" w:history="1">
        <w:r w:rsidR="002C6787" w:rsidRPr="0004280F">
          <w:rPr>
            <w:rStyle w:val="Hyperlink"/>
            <w:rFonts w:eastAsia="Arial Unicode MS"/>
            <w:sz w:val="18"/>
            <w:szCs w:val="18"/>
          </w:rPr>
          <w:t>www.kuveytturk.com.tr</w:t>
        </w:r>
      </w:hyperlink>
    </w:p>
    <w:p w14:paraId="0AD0924A" w14:textId="77777777" w:rsidR="002C6787" w:rsidRPr="0004280F" w:rsidRDefault="002C6787" w:rsidP="002C6787">
      <w:pPr>
        <w:tabs>
          <w:tab w:val="left" w:pos="3402"/>
        </w:tabs>
        <w:rPr>
          <w:b/>
          <w:sz w:val="18"/>
          <w:szCs w:val="18"/>
        </w:rPr>
      </w:pPr>
      <w:r w:rsidRPr="0004280F">
        <w:rPr>
          <w:sz w:val="18"/>
          <w:szCs w:val="18"/>
        </w:rPr>
        <w:t xml:space="preserve">İrtibat İçin Elektronik Posta Adresi                  </w:t>
      </w:r>
      <w:proofErr w:type="gramStart"/>
      <w:r w:rsidRPr="0004280F">
        <w:rPr>
          <w:sz w:val="18"/>
          <w:szCs w:val="18"/>
        </w:rPr>
        <w:t xml:space="preserve">  :</w:t>
      </w:r>
      <w:proofErr w:type="gramEnd"/>
      <w:r w:rsidRPr="0004280F">
        <w:rPr>
          <w:sz w:val="18"/>
          <w:szCs w:val="18"/>
        </w:rPr>
        <w:t xml:space="preserve">    kuveytturk@kuveytturk.com.tr</w:t>
      </w:r>
    </w:p>
    <w:p w14:paraId="7E88E91C" w14:textId="77777777" w:rsidR="002C6787" w:rsidRPr="0004280F" w:rsidRDefault="002C6787" w:rsidP="002C6787">
      <w:pPr>
        <w:rPr>
          <w:sz w:val="6"/>
          <w:szCs w:val="18"/>
        </w:rPr>
      </w:pPr>
    </w:p>
    <w:p w14:paraId="6563DB45" w14:textId="23DFDC27" w:rsidR="002C6787" w:rsidRPr="0004280F" w:rsidRDefault="002C6787" w:rsidP="002C6787">
      <w:pPr>
        <w:spacing w:line="276" w:lineRule="auto"/>
        <w:jc w:val="both"/>
        <w:rPr>
          <w:sz w:val="18"/>
          <w:szCs w:val="18"/>
        </w:rPr>
      </w:pPr>
      <w:r w:rsidRPr="0004280F">
        <w:rPr>
          <w:sz w:val="18"/>
          <w:szCs w:val="18"/>
        </w:rPr>
        <w:t xml:space="preserve">Bankacılık Düzenleme ve Denetleme Kurumu tarafından düzenlenen "Bankalarca Kamuya Açıklanacak Finansal Tablolar ile Bunlara İlişkin Açıklama ve Dipnotlar Hakkında Tebliğe" göre hazırlanan </w:t>
      </w:r>
      <w:r w:rsidR="007D5300" w:rsidRPr="0004280F">
        <w:rPr>
          <w:sz w:val="18"/>
          <w:szCs w:val="18"/>
        </w:rPr>
        <w:t>dokuz</w:t>
      </w:r>
      <w:r w:rsidR="00E922F4" w:rsidRPr="0004280F">
        <w:rPr>
          <w:sz w:val="18"/>
          <w:szCs w:val="18"/>
        </w:rPr>
        <w:t xml:space="preserve"> a</w:t>
      </w:r>
      <w:r w:rsidR="007D5300" w:rsidRPr="0004280F">
        <w:rPr>
          <w:sz w:val="18"/>
          <w:szCs w:val="18"/>
        </w:rPr>
        <w:t>ylık</w:t>
      </w:r>
      <w:r w:rsidRPr="0004280F">
        <w:rPr>
          <w:sz w:val="18"/>
          <w:szCs w:val="18"/>
        </w:rPr>
        <w:t xml:space="preserve"> konsolide </w:t>
      </w:r>
      <w:proofErr w:type="gramStart"/>
      <w:r w:rsidRPr="0004280F">
        <w:rPr>
          <w:sz w:val="18"/>
          <w:szCs w:val="18"/>
        </w:rPr>
        <w:t>olmayan  finansal</w:t>
      </w:r>
      <w:proofErr w:type="gramEnd"/>
      <w:r w:rsidRPr="0004280F">
        <w:rPr>
          <w:sz w:val="18"/>
          <w:szCs w:val="18"/>
        </w:rPr>
        <w:t xml:space="preserve"> raporu aşağıda yer alan bölümlerden oluşmaktadır.</w:t>
      </w:r>
    </w:p>
    <w:p w14:paraId="42DFC8E6" w14:textId="77777777" w:rsidR="002C6787" w:rsidRPr="0004280F" w:rsidRDefault="002C6787" w:rsidP="002C6787">
      <w:pPr>
        <w:pStyle w:val="ListParagraph"/>
        <w:rPr>
          <w:sz w:val="18"/>
          <w:szCs w:val="18"/>
        </w:rPr>
      </w:pPr>
    </w:p>
    <w:p w14:paraId="1E2AE970" w14:textId="77777777" w:rsidR="002C6787" w:rsidRPr="0004280F" w:rsidRDefault="002C6787" w:rsidP="002C6787">
      <w:pPr>
        <w:pStyle w:val="ListParagraph"/>
        <w:numPr>
          <w:ilvl w:val="0"/>
          <w:numId w:val="15"/>
        </w:numPr>
        <w:spacing w:after="160" w:line="256" w:lineRule="auto"/>
        <w:contextualSpacing/>
        <w:rPr>
          <w:sz w:val="18"/>
          <w:szCs w:val="18"/>
        </w:rPr>
      </w:pPr>
      <w:r w:rsidRPr="0004280F">
        <w:rPr>
          <w:sz w:val="18"/>
          <w:szCs w:val="18"/>
        </w:rPr>
        <w:t>BANKA HAKKINDA GENEL BİLGİLER</w:t>
      </w:r>
    </w:p>
    <w:p w14:paraId="6F4A24E8" w14:textId="77777777" w:rsidR="002C6787" w:rsidRPr="0004280F" w:rsidRDefault="002C6787" w:rsidP="002C6787">
      <w:pPr>
        <w:pStyle w:val="ListParagraph"/>
        <w:numPr>
          <w:ilvl w:val="0"/>
          <w:numId w:val="15"/>
        </w:numPr>
        <w:spacing w:after="160" w:line="256" w:lineRule="auto"/>
        <w:contextualSpacing/>
        <w:rPr>
          <w:sz w:val="18"/>
          <w:szCs w:val="18"/>
        </w:rPr>
      </w:pPr>
      <w:r w:rsidRPr="0004280F">
        <w:rPr>
          <w:sz w:val="18"/>
          <w:szCs w:val="18"/>
        </w:rPr>
        <w:t>BANKA' NIN KONSOLİDE OLMAYAN FİNANSAL TABLOLARI</w:t>
      </w:r>
    </w:p>
    <w:p w14:paraId="0A76D378" w14:textId="77777777" w:rsidR="002C6787" w:rsidRPr="0004280F" w:rsidRDefault="002C6787" w:rsidP="002C6787">
      <w:pPr>
        <w:pStyle w:val="ListParagraph"/>
        <w:numPr>
          <w:ilvl w:val="0"/>
          <w:numId w:val="15"/>
        </w:numPr>
        <w:spacing w:after="160" w:line="256" w:lineRule="auto"/>
        <w:contextualSpacing/>
        <w:rPr>
          <w:sz w:val="18"/>
          <w:szCs w:val="18"/>
        </w:rPr>
      </w:pPr>
      <w:r w:rsidRPr="0004280F">
        <w:rPr>
          <w:sz w:val="18"/>
          <w:szCs w:val="18"/>
        </w:rPr>
        <w:t>İLGİLİ DÖNEMDE UYGULANAN MUHASEBE POLİTİKALARINA İLİŞKİN AÇIKLAMALAR</w:t>
      </w:r>
    </w:p>
    <w:p w14:paraId="0B9B4763" w14:textId="77777777" w:rsidR="002C6787" w:rsidRPr="0004280F" w:rsidRDefault="002C6787" w:rsidP="002C6787">
      <w:pPr>
        <w:pStyle w:val="ListParagraph"/>
        <w:numPr>
          <w:ilvl w:val="0"/>
          <w:numId w:val="15"/>
        </w:numPr>
        <w:spacing w:after="160" w:line="252" w:lineRule="auto"/>
        <w:contextualSpacing/>
        <w:rPr>
          <w:bCs/>
          <w:sz w:val="18"/>
          <w:szCs w:val="18"/>
        </w:rPr>
      </w:pPr>
      <w:r w:rsidRPr="0004280F">
        <w:rPr>
          <w:bCs/>
          <w:sz w:val="18"/>
          <w:szCs w:val="18"/>
        </w:rPr>
        <w:t>BANKA’NIN MALİ BÜNYESİNE VE RİSK YÖNETİMİNE İLİŞKİN BİLGİLER</w:t>
      </w:r>
    </w:p>
    <w:p w14:paraId="5F0E5B8F" w14:textId="77777777" w:rsidR="002C6787" w:rsidRPr="0004280F" w:rsidRDefault="002C6787" w:rsidP="002C6787">
      <w:pPr>
        <w:pStyle w:val="ListParagraph"/>
        <w:numPr>
          <w:ilvl w:val="0"/>
          <w:numId w:val="15"/>
        </w:numPr>
        <w:spacing w:after="160" w:line="256" w:lineRule="auto"/>
        <w:contextualSpacing/>
        <w:rPr>
          <w:sz w:val="18"/>
          <w:szCs w:val="18"/>
        </w:rPr>
      </w:pPr>
      <w:r w:rsidRPr="0004280F">
        <w:rPr>
          <w:sz w:val="18"/>
          <w:szCs w:val="18"/>
        </w:rPr>
        <w:t>KONSOLİDE OLMAYAN FİNANSAL TABLOLARA İLİŞKİN AÇIKLAMA VE DİPNOTLAR</w:t>
      </w:r>
    </w:p>
    <w:p w14:paraId="44DB5870" w14:textId="77777777" w:rsidR="002C6787" w:rsidRPr="0004280F" w:rsidRDefault="002C6787" w:rsidP="002C6787">
      <w:pPr>
        <w:pStyle w:val="ListParagraph"/>
        <w:numPr>
          <w:ilvl w:val="0"/>
          <w:numId w:val="15"/>
        </w:numPr>
        <w:spacing w:after="160" w:line="256" w:lineRule="auto"/>
        <w:contextualSpacing/>
        <w:rPr>
          <w:sz w:val="18"/>
          <w:szCs w:val="18"/>
        </w:rPr>
      </w:pPr>
      <w:r w:rsidRPr="0004280F">
        <w:rPr>
          <w:sz w:val="18"/>
          <w:szCs w:val="18"/>
        </w:rPr>
        <w:t>DİĞER AÇIKLAMALAR</w:t>
      </w:r>
    </w:p>
    <w:p w14:paraId="2DDC9236" w14:textId="012D3F79" w:rsidR="002C6787" w:rsidRPr="0004280F" w:rsidRDefault="002C6787" w:rsidP="002C6787">
      <w:pPr>
        <w:pStyle w:val="ListParagraph"/>
        <w:numPr>
          <w:ilvl w:val="0"/>
          <w:numId w:val="15"/>
        </w:numPr>
        <w:spacing w:after="160" w:line="256" w:lineRule="auto"/>
        <w:contextualSpacing/>
        <w:rPr>
          <w:sz w:val="18"/>
          <w:szCs w:val="18"/>
        </w:rPr>
      </w:pPr>
      <w:r w:rsidRPr="0004280F">
        <w:rPr>
          <w:sz w:val="18"/>
          <w:szCs w:val="18"/>
        </w:rPr>
        <w:t xml:space="preserve">BAĞIMSIZ </w:t>
      </w:r>
      <w:r w:rsidR="00BC437E" w:rsidRPr="0004280F">
        <w:rPr>
          <w:sz w:val="18"/>
          <w:szCs w:val="18"/>
        </w:rPr>
        <w:t xml:space="preserve">SINIRLI </w:t>
      </w:r>
      <w:r w:rsidRPr="0004280F">
        <w:rPr>
          <w:sz w:val="18"/>
          <w:szCs w:val="18"/>
        </w:rPr>
        <w:t>DENETİM RAPORU</w:t>
      </w:r>
    </w:p>
    <w:p w14:paraId="3FE8B25D" w14:textId="327E3FF6" w:rsidR="00BC437E" w:rsidRPr="00CC734C" w:rsidRDefault="00BC437E" w:rsidP="002C6787">
      <w:pPr>
        <w:pStyle w:val="ListParagraph"/>
        <w:numPr>
          <w:ilvl w:val="0"/>
          <w:numId w:val="15"/>
        </w:numPr>
        <w:spacing w:after="160" w:line="256" w:lineRule="auto"/>
        <w:contextualSpacing/>
        <w:rPr>
          <w:sz w:val="18"/>
          <w:szCs w:val="18"/>
        </w:rPr>
      </w:pPr>
      <w:r w:rsidRPr="00CC734C">
        <w:rPr>
          <w:sz w:val="18"/>
          <w:szCs w:val="18"/>
        </w:rPr>
        <w:t>ARA DÖNEM FAALİYET RAPORU</w:t>
      </w:r>
    </w:p>
    <w:p w14:paraId="01E1ED13" w14:textId="77777777" w:rsidR="002C6787" w:rsidRPr="00CC734C" w:rsidRDefault="002C6787" w:rsidP="002C6787">
      <w:pPr>
        <w:rPr>
          <w:sz w:val="18"/>
          <w:szCs w:val="18"/>
        </w:rPr>
      </w:pPr>
    </w:p>
    <w:p w14:paraId="387AAEB8" w14:textId="77777777" w:rsidR="00BC437E" w:rsidRPr="00CC734C" w:rsidRDefault="00BC437E" w:rsidP="00BC437E">
      <w:pPr>
        <w:spacing w:line="276" w:lineRule="auto"/>
        <w:rPr>
          <w:sz w:val="18"/>
          <w:szCs w:val="18"/>
        </w:rPr>
      </w:pPr>
      <w:r w:rsidRPr="00CC734C">
        <w:rPr>
          <w:sz w:val="18"/>
          <w:szCs w:val="18"/>
        </w:rPr>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5763F1BB" w14:textId="77777777" w:rsidR="002C6787" w:rsidRPr="00CC734C" w:rsidRDefault="002C6787" w:rsidP="002C6787">
      <w:pPr>
        <w:rPr>
          <w:sz w:val="4"/>
          <w:szCs w:val="18"/>
        </w:rPr>
      </w:pPr>
    </w:p>
    <w:p w14:paraId="303D7CF5" w14:textId="77777777" w:rsidR="002C6787" w:rsidRPr="00CC734C" w:rsidRDefault="002C6787" w:rsidP="002C6787">
      <w:pPr>
        <w:rPr>
          <w:sz w:val="4"/>
          <w:szCs w:val="18"/>
        </w:rPr>
      </w:pPr>
    </w:p>
    <w:p w14:paraId="41EF9DAB" w14:textId="77777777" w:rsidR="002C6787" w:rsidRPr="00CC734C" w:rsidRDefault="002C6787" w:rsidP="002C6787">
      <w:pPr>
        <w:rPr>
          <w:sz w:val="4"/>
          <w:szCs w:val="18"/>
        </w:rPr>
      </w:pPr>
    </w:p>
    <w:p w14:paraId="20807AB8" w14:textId="6F24356A" w:rsidR="002C6787" w:rsidRPr="00CC734C" w:rsidRDefault="002C6787" w:rsidP="002C6787">
      <w:pPr>
        <w:rPr>
          <w:sz w:val="4"/>
          <w:szCs w:val="18"/>
        </w:rPr>
      </w:pPr>
    </w:p>
    <w:p w14:paraId="5B221E64" w14:textId="19BC1FEE" w:rsidR="002C6787" w:rsidRPr="00CC734C" w:rsidRDefault="002C6787" w:rsidP="002C6787">
      <w:pPr>
        <w:rPr>
          <w:sz w:val="4"/>
          <w:szCs w:val="18"/>
        </w:rPr>
      </w:pPr>
    </w:p>
    <w:p w14:paraId="6121B4DE" w14:textId="2860DD2C" w:rsidR="002C6787" w:rsidRPr="00CC734C" w:rsidRDefault="002C6787" w:rsidP="002C6787">
      <w:pPr>
        <w:rPr>
          <w:sz w:val="4"/>
          <w:szCs w:val="18"/>
        </w:rPr>
      </w:pPr>
    </w:p>
    <w:p w14:paraId="2711B8BA" w14:textId="0C786B1C" w:rsidR="002C6787" w:rsidRPr="00CC734C" w:rsidRDefault="002C6787" w:rsidP="002C6787">
      <w:pPr>
        <w:rPr>
          <w:sz w:val="4"/>
          <w:szCs w:val="18"/>
        </w:rPr>
      </w:pPr>
    </w:p>
    <w:p w14:paraId="02B1D596" w14:textId="2D25F61B" w:rsidR="002C6787" w:rsidRPr="00CC734C" w:rsidRDefault="002C6787" w:rsidP="002C6787">
      <w:pPr>
        <w:rPr>
          <w:sz w:val="4"/>
          <w:szCs w:val="18"/>
        </w:rPr>
      </w:pPr>
    </w:p>
    <w:p w14:paraId="245F42C0" w14:textId="2685B051" w:rsidR="002C6787" w:rsidRPr="00CC734C" w:rsidRDefault="002C6787" w:rsidP="002C6787">
      <w:pPr>
        <w:rPr>
          <w:sz w:val="4"/>
          <w:szCs w:val="18"/>
        </w:rPr>
      </w:pPr>
    </w:p>
    <w:p w14:paraId="71C9DD27" w14:textId="26B43056" w:rsidR="002C6787" w:rsidRPr="00CC734C" w:rsidRDefault="002C6787" w:rsidP="002C6787">
      <w:pPr>
        <w:rPr>
          <w:sz w:val="4"/>
          <w:szCs w:val="18"/>
        </w:rPr>
      </w:pPr>
    </w:p>
    <w:p w14:paraId="69AF29C8" w14:textId="0626997A" w:rsidR="002C6787" w:rsidRPr="00CC734C" w:rsidRDefault="002C6787" w:rsidP="002C6787">
      <w:pPr>
        <w:rPr>
          <w:sz w:val="4"/>
          <w:szCs w:val="18"/>
        </w:rPr>
      </w:pPr>
    </w:p>
    <w:p w14:paraId="696EF29C" w14:textId="2C418AA7" w:rsidR="002C6787" w:rsidRPr="00CC734C" w:rsidRDefault="002C6787" w:rsidP="002C6787">
      <w:pPr>
        <w:rPr>
          <w:sz w:val="4"/>
          <w:szCs w:val="18"/>
        </w:rPr>
      </w:pPr>
    </w:p>
    <w:p w14:paraId="6970E50F" w14:textId="37EB094B" w:rsidR="002C6787" w:rsidRPr="00CC734C" w:rsidRDefault="002C6787" w:rsidP="002C6787">
      <w:pPr>
        <w:rPr>
          <w:sz w:val="4"/>
          <w:szCs w:val="18"/>
        </w:rPr>
      </w:pPr>
    </w:p>
    <w:p w14:paraId="4ED041A3" w14:textId="2DD5135B" w:rsidR="002C6787" w:rsidRPr="00CC734C" w:rsidRDefault="002C6787" w:rsidP="002C6787">
      <w:pPr>
        <w:rPr>
          <w:sz w:val="4"/>
          <w:szCs w:val="18"/>
        </w:rPr>
      </w:pPr>
    </w:p>
    <w:p w14:paraId="62545FA0" w14:textId="0832D8A9" w:rsidR="002C6787" w:rsidRPr="00CC734C" w:rsidRDefault="002C6787" w:rsidP="002C6787">
      <w:pPr>
        <w:rPr>
          <w:sz w:val="4"/>
          <w:szCs w:val="18"/>
        </w:rPr>
      </w:pPr>
    </w:p>
    <w:p w14:paraId="21AE7D99" w14:textId="1C61C47C" w:rsidR="002C6787" w:rsidRPr="00CC734C" w:rsidRDefault="002C6787" w:rsidP="002C6787">
      <w:pPr>
        <w:rPr>
          <w:sz w:val="4"/>
          <w:szCs w:val="18"/>
        </w:rPr>
      </w:pPr>
    </w:p>
    <w:p w14:paraId="6DBB8031" w14:textId="02650E05" w:rsidR="002C6787" w:rsidRPr="00CC734C" w:rsidRDefault="002C6787" w:rsidP="002C6787">
      <w:pPr>
        <w:rPr>
          <w:sz w:val="4"/>
          <w:szCs w:val="18"/>
        </w:rPr>
      </w:pPr>
    </w:p>
    <w:p w14:paraId="79D78E16" w14:textId="63760F8F" w:rsidR="002C6787" w:rsidRPr="00CC734C" w:rsidRDefault="002C6787" w:rsidP="002C6787">
      <w:pPr>
        <w:rPr>
          <w:sz w:val="4"/>
          <w:szCs w:val="18"/>
        </w:rPr>
      </w:pPr>
    </w:p>
    <w:p w14:paraId="433FDB02" w14:textId="5C234AE9" w:rsidR="002C6787" w:rsidRPr="00CC734C" w:rsidRDefault="002C6787" w:rsidP="002C6787">
      <w:pPr>
        <w:rPr>
          <w:sz w:val="4"/>
          <w:szCs w:val="18"/>
        </w:rPr>
      </w:pPr>
    </w:p>
    <w:p w14:paraId="50FDAA87" w14:textId="431480F4" w:rsidR="002C6787" w:rsidRPr="00CC734C" w:rsidRDefault="002C6787" w:rsidP="002C6787">
      <w:pPr>
        <w:rPr>
          <w:sz w:val="4"/>
          <w:szCs w:val="18"/>
        </w:rPr>
      </w:pPr>
    </w:p>
    <w:p w14:paraId="04A3F92B" w14:textId="3DA04C65" w:rsidR="002C6787" w:rsidRPr="00CC734C" w:rsidRDefault="002C6787" w:rsidP="002C6787">
      <w:pPr>
        <w:rPr>
          <w:sz w:val="4"/>
          <w:szCs w:val="18"/>
        </w:rPr>
      </w:pPr>
    </w:p>
    <w:p w14:paraId="499F8965" w14:textId="77777777" w:rsidR="00084767" w:rsidRPr="00CC734C" w:rsidRDefault="00084767" w:rsidP="002C6787">
      <w:pPr>
        <w:rPr>
          <w:sz w:val="4"/>
          <w:szCs w:val="18"/>
        </w:rPr>
      </w:pPr>
    </w:p>
    <w:p w14:paraId="71973150" w14:textId="77777777" w:rsidR="002C6787" w:rsidRPr="00CC734C" w:rsidRDefault="002C6787" w:rsidP="002C6787">
      <w:pPr>
        <w:rPr>
          <w:sz w:val="4"/>
          <w:szCs w:val="18"/>
        </w:rPr>
      </w:pPr>
    </w:p>
    <w:p w14:paraId="10202C97" w14:textId="46ADDC24" w:rsidR="002C6787" w:rsidRPr="00CC734C" w:rsidRDefault="002C6787" w:rsidP="002C6787">
      <w:pPr>
        <w:rPr>
          <w:sz w:val="4"/>
          <w:szCs w:val="18"/>
        </w:rPr>
      </w:pPr>
    </w:p>
    <w:p w14:paraId="16E31CFC" w14:textId="79EB5E99" w:rsidR="002C6787" w:rsidRPr="00CC734C" w:rsidRDefault="002C6787" w:rsidP="002C6787">
      <w:pPr>
        <w:rPr>
          <w:sz w:val="4"/>
          <w:szCs w:val="18"/>
        </w:rPr>
      </w:pPr>
    </w:p>
    <w:p w14:paraId="55990A31" w14:textId="03F797FB" w:rsidR="002C6787" w:rsidRPr="00CC734C" w:rsidRDefault="002C6787" w:rsidP="002C6787">
      <w:pPr>
        <w:rPr>
          <w:sz w:val="4"/>
          <w:szCs w:val="18"/>
        </w:rPr>
      </w:pPr>
    </w:p>
    <w:p w14:paraId="4C8E23A4" w14:textId="36510F45" w:rsidR="002C6787" w:rsidRPr="00CC734C" w:rsidRDefault="002C6787" w:rsidP="002C6787">
      <w:pPr>
        <w:rPr>
          <w:sz w:val="4"/>
          <w:szCs w:val="18"/>
        </w:rPr>
      </w:pPr>
    </w:p>
    <w:p w14:paraId="5EC3882E" w14:textId="748AE48F" w:rsidR="002C6787" w:rsidRPr="00CC734C" w:rsidRDefault="002C6787" w:rsidP="002C6787">
      <w:pPr>
        <w:rPr>
          <w:sz w:val="4"/>
          <w:szCs w:val="18"/>
        </w:rPr>
      </w:pPr>
    </w:p>
    <w:p w14:paraId="0F6F4A19" w14:textId="41E7699A" w:rsidR="002C6787" w:rsidRPr="00CC734C" w:rsidRDefault="002C6787" w:rsidP="002C6787">
      <w:pPr>
        <w:rPr>
          <w:sz w:val="4"/>
          <w:szCs w:val="18"/>
        </w:rPr>
      </w:pPr>
    </w:p>
    <w:p w14:paraId="65CB1D59" w14:textId="0FA52A3A" w:rsidR="002C6787" w:rsidRPr="00CC734C" w:rsidRDefault="002C6787" w:rsidP="002C6787">
      <w:pPr>
        <w:rPr>
          <w:sz w:val="4"/>
          <w:szCs w:val="18"/>
        </w:rPr>
      </w:pPr>
    </w:p>
    <w:p w14:paraId="4E51B708" w14:textId="0E6FE082" w:rsidR="002C6787" w:rsidRPr="00CC734C" w:rsidRDefault="002C6787" w:rsidP="002C6787">
      <w:pPr>
        <w:rPr>
          <w:sz w:val="4"/>
          <w:szCs w:val="18"/>
        </w:rPr>
      </w:pPr>
    </w:p>
    <w:p w14:paraId="7504A4F4" w14:textId="260FB06C" w:rsidR="002C6787" w:rsidRPr="00CC734C" w:rsidRDefault="002C6787" w:rsidP="002C6787">
      <w:pPr>
        <w:rPr>
          <w:sz w:val="4"/>
          <w:szCs w:val="18"/>
        </w:rPr>
      </w:pPr>
    </w:p>
    <w:p w14:paraId="42EFE06C" w14:textId="1F16A07A" w:rsidR="002C6787" w:rsidRPr="00CC734C" w:rsidRDefault="002C6787" w:rsidP="002C6787">
      <w:pPr>
        <w:rPr>
          <w:sz w:val="4"/>
          <w:szCs w:val="18"/>
        </w:rPr>
      </w:pPr>
    </w:p>
    <w:p w14:paraId="42172E87" w14:textId="1F0C0C31" w:rsidR="002C6787" w:rsidRPr="00CC734C" w:rsidRDefault="002C6787" w:rsidP="002C6787">
      <w:pPr>
        <w:rPr>
          <w:sz w:val="4"/>
          <w:szCs w:val="18"/>
        </w:rPr>
      </w:pPr>
    </w:p>
    <w:p w14:paraId="2C3C71FE" w14:textId="77777777" w:rsidR="002C6787" w:rsidRPr="00CC734C" w:rsidRDefault="002C6787" w:rsidP="002C6787">
      <w:pPr>
        <w:rPr>
          <w:sz w:val="4"/>
          <w:szCs w:val="18"/>
        </w:rPr>
      </w:pPr>
    </w:p>
    <w:p w14:paraId="7BF0B743" w14:textId="77777777" w:rsidR="002C6787" w:rsidRPr="00CC734C" w:rsidRDefault="002C6787" w:rsidP="002C6787">
      <w:pPr>
        <w:rPr>
          <w:sz w:val="2"/>
          <w:szCs w:val="18"/>
        </w:rPr>
      </w:pPr>
    </w:p>
    <w:p w14:paraId="5CB37E0C" w14:textId="77777777" w:rsidR="002C6787" w:rsidRPr="00CC734C" w:rsidRDefault="002C6787" w:rsidP="002C6787">
      <w:pPr>
        <w:rPr>
          <w:sz w:val="2"/>
          <w:szCs w:val="18"/>
        </w:rPr>
      </w:pPr>
    </w:p>
    <w:p w14:paraId="6CF7842C" w14:textId="77777777" w:rsidR="002C6787" w:rsidRPr="00CC734C" w:rsidRDefault="002C6787" w:rsidP="002C6787">
      <w:pPr>
        <w:rPr>
          <w:sz w:val="2"/>
          <w:szCs w:val="18"/>
        </w:rPr>
      </w:pPr>
    </w:p>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2C6787" w:rsidRPr="00CC734C" w14:paraId="30B222F2" w14:textId="77777777" w:rsidTr="002C6787">
        <w:trPr>
          <w:trHeight w:val="119"/>
        </w:trPr>
        <w:tc>
          <w:tcPr>
            <w:tcW w:w="3334" w:type="dxa"/>
            <w:vMerge w:val="restart"/>
            <w:tcBorders>
              <w:top w:val="single" w:sz="8" w:space="0" w:color="auto"/>
              <w:left w:val="nil"/>
              <w:bottom w:val="nil"/>
              <w:right w:val="nil"/>
            </w:tcBorders>
            <w:noWrap/>
            <w:hideMark/>
          </w:tcPr>
          <w:p w14:paraId="6E9688D0" w14:textId="77777777" w:rsidR="002C6787" w:rsidRPr="00CC734C" w:rsidRDefault="002C6787">
            <w:pPr>
              <w:spacing w:before="100" w:beforeAutospacing="1" w:after="100" w:afterAutospacing="1"/>
              <w:jc w:val="center"/>
              <w:rPr>
                <w:color w:val="000000"/>
                <w:sz w:val="18"/>
                <w:szCs w:val="18"/>
              </w:rPr>
            </w:pPr>
            <w:proofErr w:type="spellStart"/>
            <w:r w:rsidRPr="00CC734C">
              <w:rPr>
                <w:color w:val="000000"/>
                <w:sz w:val="18"/>
                <w:szCs w:val="18"/>
              </w:rPr>
              <w:t>Hamad</w:t>
            </w:r>
            <w:proofErr w:type="spellEnd"/>
            <w:r w:rsidRPr="00CC734C">
              <w:rPr>
                <w:color w:val="000000"/>
                <w:sz w:val="18"/>
                <w:szCs w:val="18"/>
              </w:rPr>
              <w:t xml:space="preserve"> </w:t>
            </w:r>
            <w:proofErr w:type="spellStart"/>
            <w:r w:rsidRPr="00CC734C">
              <w:rPr>
                <w:color w:val="000000"/>
                <w:sz w:val="18"/>
                <w:szCs w:val="18"/>
              </w:rPr>
              <w:t>Abdulmohsen</w:t>
            </w:r>
            <w:proofErr w:type="spellEnd"/>
            <w:r w:rsidRPr="00CC734C">
              <w:rPr>
                <w:color w:val="000000"/>
                <w:sz w:val="18"/>
                <w:szCs w:val="18"/>
              </w:rPr>
              <w:t xml:space="preserve"> AL-MARZOUQ</w:t>
            </w:r>
          </w:p>
        </w:tc>
        <w:tc>
          <w:tcPr>
            <w:tcW w:w="355" w:type="dxa"/>
            <w:vMerge w:val="restart"/>
            <w:noWrap/>
            <w:hideMark/>
          </w:tcPr>
          <w:p w14:paraId="200B8515" w14:textId="77777777" w:rsidR="002C6787" w:rsidRPr="00CC734C" w:rsidRDefault="002C6787">
            <w:pPr>
              <w:rPr>
                <w:color w:val="000000"/>
                <w:sz w:val="18"/>
                <w:szCs w:val="18"/>
              </w:rPr>
            </w:pPr>
          </w:p>
        </w:tc>
        <w:tc>
          <w:tcPr>
            <w:tcW w:w="2550" w:type="dxa"/>
            <w:vMerge w:val="restart"/>
            <w:tcBorders>
              <w:top w:val="single" w:sz="8" w:space="0" w:color="auto"/>
              <w:left w:val="nil"/>
              <w:bottom w:val="nil"/>
              <w:right w:val="nil"/>
            </w:tcBorders>
            <w:noWrap/>
            <w:hideMark/>
          </w:tcPr>
          <w:p w14:paraId="74FD314B" w14:textId="2AED6082" w:rsidR="002C6787" w:rsidRPr="00CC734C" w:rsidRDefault="00FA7730">
            <w:pPr>
              <w:spacing w:before="100" w:beforeAutospacing="1" w:after="100" w:afterAutospacing="1"/>
              <w:jc w:val="center"/>
              <w:rPr>
                <w:color w:val="000000"/>
                <w:sz w:val="18"/>
                <w:szCs w:val="18"/>
              </w:rPr>
            </w:pPr>
            <w:r w:rsidRPr="00FA7730">
              <w:rPr>
                <w:color w:val="000000"/>
                <w:sz w:val="18"/>
                <w:szCs w:val="18"/>
              </w:rPr>
              <w:t xml:space="preserve">Shadi Ahmed </w:t>
            </w:r>
            <w:proofErr w:type="spellStart"/>
            <w:r w:rsidRPr="00FA7730">
              <w:rPr>
                <w:color w:val="000000"/>
                <w:sz w:val="18"/>
                <w:szCs w:val="18"/>
              </w:rPr>
              <w:t>Yacoub</w:t>
            </w:r>
            <w:proofErr w:type="spellEnd"/>
            <w:r w:rsidRPr="00FA7730">
              <w:rPr>
                <w:color w:val="000000"/>
                <w:sz w:val="18"/>
                <w:szCs w:val="18"/>
              </w:rPr>
              <w:t xml:space="preserve"> Z</w:t>
            </w:r>
            <w:r>
              <w:rPr>
                <w:color w:val="000000"/>
                <w:sz w:val="18"/>
                <w:szCs w:val="18"/>
              </w:rPr>
              <w:t>AHRAN</w:t>
            </w:r>
          </w:p>
        </w:tc>
        <w:tc>
          <w:tcPr>
            <w:tcW w:w="355" w:type="dxa"/>
            <w:noWrap/>
            <w:hideMark/>
          </w:tcPr>
          <w:p w14:paraId="30591311" w14:textId="77777777" w:rsidR="002C6787" w:rsidRPr="00CC734C" w:rsidRDefault="002C6787">
            <w:pPr>
              <w:rPr>
                <w:color w:val="000000"/>
                <w:sz w:val="18"/>
                <w:szCs w:val="18"/>
              </w:rPr>
            </w:pPr>
          </w:p>
        </w:tc>
        <w:tc>
          <w:tcPr>
            <w:tcW w:w="2554" w:type="dxa"/>
            <w:vMerge w:val="restart"/>
            <w:tcBorders>
              <w:top w:val="single" w:sz="8" w:space="0" w:color="auto"/>
              <w:left w:val="nil"/>
              <w:bottom w:val="nil"/>
              <w:right w:val="nil"/>
            </w:tcBorders>
            <w:noWrap/>
            <w:hideMark/>
          </w:tcPr>
          <w:p w14:paraId="643D40BA" w14:textId="77777777" w:rsidR="002C6787" w:rsidRPr="00CC734C" w:rsidRDefault="002C6787">
            <w:pPr>
              <w:spacing w:before="100" w:beforeAutospacing="1" w:after="100" w:afterAutospacing="1"/>
              <w:jc w:val="center"/>
              <w:rPr>
                <w:color w:val="000000"/>
                <w:sz w:val="18"/>
                <w:szCs w:val="18"/>
              </w:rPr>
            </w:pPr>
            <w:r w:rsidRPr="00CC734C">
              <w:rPr>
                <w:color w:val="000000"/>
                <w:sz w:val="18"/>
                <w:szCs w:val="18"/>
              </w:rPr>
              <w:t>Nadir ALPASLAN</w:t>
            </w:r>
          </w:p>
        </w:tc>
        <w:tc>
          <w:tcPr>
            <w:tcW w:w="355" w:type="dxa"/>
            <w:noWrap/>
            <w:hideMark/>
          </w:tcPr>
          <w:p w14:paraId="1CE8F956" w14:textId="77777777" w:rsidR="002C6787" w:rsidRPr="00CC734C" w:rsidRDefault="002C6787">
            <w:pPr>
              <w:rPr>
                <w:color w:val="000000"/>
                <w:sz w:val="18"/>
                <w:szCs w:val="18"/>
              </w:rPr>
            </w:pPr>
          </w:p>
        </w:tc>
      </w:tr>
      <w:tr w:rsidR="002C6787" w:rsidRPr="00CC734C" w14:paraId="032451AA" w14:textId="77777777" w:rsidTr="002C6787">
        <w:trPr>
          <w:trHeight w:val="60"/>
        </w:trPr>
        <w:tc>
          <w:tcPr>
            <w:tcW w:w="0" w:type="auto"/>
            <w:vMerge/>
            <w:tcBorders>
              <w:top w:val="single" w:sz="8" w:space="0" w:color="auto"/>
              <w:left w:val="nil"/>
              <w:bottom w:val="nil"/>
              <w:right w:val="nil"/>
            </w:tcBorders>
            <w:vAlign w:val="center"/>
            <w:hideMark/>
          </w:tcPr>
          <w:p w14:paraId="3CF37B6D" w14:textId="77777777" w:rsidR="002C6787" w:rsidRPr="00CC734C" w:rsidRDefault="002C6787">
            <w:pPr>
              <w:rPr>
                <w:color w:val="000000"/>
                <w:sz w:val="18"/>
                <w:szCs w:val="18"/>
              </w:rPr>
            </w:pPr>
          </w:p>
        </w:tc>
        <w:tc>
          <w:tcPr>
            <w:tcW w:w="0" w:type="auto"/>
            <w:vMerge/>
            <w:vAlign w:val="center"/>
            <w:hideMark/>
          </w:tcPr>
          <w:p w14:paraId="63D2D272" w14:textId="77777777" w:rsidR="002C6787" w:rsidRPr="00CC734C" w:rsidRDefault="002C6787">
            <w:pPr>
              <w:rPr>
                <w:color w:val="000000"/>
                <w:sz w:val="18"/>
                <w:szCs w:val="18"/>
              </w:rPr>
            </w:pPr>
          </w:p>
        </w:tc>
        <w:tc>
          <w:tcPr>
            <w:tcW w:w="0" w:type="auto"/>
            <w:vMerge/>
            <w:tcBorders>
              <w:top w:val="single" w:sz="8" w:space="0" w:color="auto"/>
              <w:left w:val="nil"/>
              <w:bottom w:val="nil"/>
              <w:right w:val="nil"/>
            </w:tcBorders>
            <w:vAlign w:val="center"/>
            <w:hideMark/>
          </w:tcPr>
          <w:p w14:paraId="29E0550E" w14:textId="77777777" w:rsidR="002C6787" w:rsidRPr="00CC734C" w:rsidRDefault="002C6787">
            <w:pPr>
              <w:rPr>
                <w:color w:val="000000"/>
                <w:sz w:val="18"/>
                <w:szCs w:val="18"/>
              </w:rPr>
            </w:pPr>
          </w:p>
        </w:tc>
        <w:tc>
          <w:tcPr>
            <w:tcW w:w="355" w:type="dxa"/>
            <w:noWrap/>
            <w:vAlign w:val="center"/>
            <w:hideMark/>
          </w:tcPr>
          <w:p w14:paraId="1E2BB44F" w14:textId="77777777" w:rsidR="002C6787" w:rsidRPr="00CC734C" w:rsidRDefault="002C6787">
            <w:pPr>
              <w:rPr>
                <w:lang w:eastAsia="tr-TR"/>
              </w:rPr>
            </w:pPr>
          </w:p>
        </w:tc>
        <w:tc>
          <w:tcPr>
            <w:tcW w:w="0" w:type="auto"/>
            <w:vMerge/>
            <w:tcBorders>
              <w:top w:val="single" w:sz="8" w:space="0" w:color="auto"/>
              <w:left w:val="nil"/>
              <w:bottom w:val="nil"/>
              <w:right w:val="nil"/>
            </w:tcBorders>
            <w:vAlign w:val="center"/>
            <w:hideMark/>
          </w:tcPr>
          <w:p w14:paraId="0DB0F359" w14:textId="77777777" w:rsidR="002C6787" w:rsidRPr="00CC734C" w:rsidRDefault="002C6787">
            <w:pPr>
              <w:rPr>
                <w:color w:val="000000"/>
                <w:sz w:val="18"/>
                <w:szCs w:val="18"/>
              </w:rPr>
            </w:pPr>
          </w:p>
        </w:tc>
        <w:tc>
          <w:tcPr>
            <w:tcW w:w="355" w:type="dxa"/>
            <w:noWrap/>
            <w:vAlign w:val="center"/>
            <w:hideMark/>
          </w:tcPr>
          <w:p w14:paraId="58745D18" w14:textId="77777777" w:rsidR="002C6787" w:rsidRPr="00CC734C" w:rsidRDefault="002C6787">
            <w:pPr>
              <w:rPr>
                <w:lang w:eastAsia="tr-TR"/>
              </w:rPr>
            </w:pPr>
          </w:p>
        </w:tc>
      </w:tr>
      <w:tr w:rsidR="002C6787" w:rsidRPr="00CC734C" w14:paraId="6ABCBBBB" w14:textId="77777777" w:rsidTr="002C6787">
        <w:trPr>
          <w:trHeight w:val="179"/>
        </w:trPr>
        <w:tc>
          <w:tcPr>
            <w:tcW w:w="3334" w:type="dxa"/>
            <w:noWrap/>
            <w:hideMark/>
          </w:tcPr>
          <w:p w14:paraId="235DA879" w14:textId="77777777" w:rsidR="002C6787" w:rsidRPr="00CC734C" w:rsidRDefault="002C6787">
            <w:pPr>
              <w:spacing w:before="100" w:beforeAutospacing="1" w:after="100" w:afterAutospacing="1"/>
              <w:rPr>
                <w:color w:val="000000"/>
                <w:sz w:val="18"/>
                <w:szCs w:val="18"/>
              </w:rPr>
            </w:pPr>
            <w:r w:rsidRPr="00CC734C">
              <w:rPr>
                <w:color w:val="000000"/>
                <w:sz w:val="18"/>
                <w:szCs w:val="18"/>
              </w:rPr>
              <w:t xml:space="preserve">             Yönetim Kurulu Başkanı</w:t>
            </w:r>
          </w:p>
        </w:tc>
        <w:tc>
          <w:tcPr>
            <w:tcW w:w="355" w:type="dxa"/>
            <w:noWrap/>
            <w:hideMark/>
          </w:tcPr>
          <w:p w14:paraId="5B14E8E6" w14:textId="77777777" w:rsidR="002C6787" w:rsidRPr="00CC734C" w:rsidRDefault="002C6787">
            <w:pPr>
              <w:rPr>
                <w:color w:val="000000"/>
                <w:sz w:val="18"/>
                <w:szCs w:val="18"/>
              </w:rPr>
            </w:pPr>
          </w:p>
        </w:tc>
        <w:tc>
          <w:tcPr>
            <w:tcW w:w="2550" w:type="dxa"/>
            <w:noWrap/>
            <w:hideMark/>
          </w:tcPr>
          <w:p w14:paraId="4C37A036" w14:textId="77777777" w:rsidR="002C6787" w:rsidRPr="00CC734C" w:rsidRDefault="002C6787">
            <w:pPr>
              <w:spacing w:before="100" w:beforeAutospacing="1" w:after="100" w:afterAutospacing="1"/>
              <w:jc w:val="center"/>
              <w:rPr>
                <w:color w:val="000000"/>
                <w:sz w:val="18"/>
                <w:szCs w:val="18"/>
              </w:rPr>
            </w:pPr>
            <w:r w:rsidRPr="00CC734C">
              <w:rPr>
                <w:color w:val="000000"/>
                <w:sz w:val="18"/>
                <w:szCs w:val="18"/>
              </w:rPr>
              <w:t>Denetim Komitesi Başkanı</w:t>
            </w:r>
          </w:p>
        </w:tc>
        <w:tc>
          <w:tcPr>
            <w:tcW w:w="355" w:type="dxa"/>
            <w:noWrap/>
            <w:hideMark/>
          </w:tcPr>
          <w:p w14:paraId="0D0A1D99" w14:textId="77777777" w:rsidR="002C6787" w:rsidRPr="00CC734C" w:rsidRDefault="002C6787">
            <w:pPr>
              <w:rPr>
                <w:color w:val="000000"/>
                <w:sz w:val="18"/>
                <w:szCs w:val="18"/>
              </w:rPr>
            </w:pPr>
          </w:p>
        </w:tc>
        <w:tc>
          <w:tcPr>
            <w:tcW w:w="2554" w:type="dxa"/>
            <w:noWrap/>
            <w:hideMark/>
          </w:tcPr>
          <w:p w14:paraId="581E3239" w14:textId="77777777" w:rsidR="002C6787" w:rsidRPr="00CC734C" w:rsidRDefault="002C6787">
            <w:pPr>
              <w:spacing w:before="100" w:beforeAutospacing="1" w:after="100" w:afterAutospacing="1"/>
              <w:jc w:val="center"/>
              <w:rPr>
                <w:color w:val="000000"/>
                <w:sz w:val="18"/>
                <w:szCs w:val="18"/>
              </w:rPr>
            </w:pPr>
            <w:r w:rsidRPr="00CC734C">
              <w:rPr>
                <w:color w:val="000000"/>
                <w:sz w:val="18"/>
                <w:szCs w:val="18"/>
              </w:rPr>
              <w:t>Denetim Komitesi Üyesi</w:t>
            </w:r>
          </w:p>
        </w:tc>
        <w:tc>
          <w:tcPr>
            <w:tcW w:w="355" w:type="dxa"/>
            <w:noWrap/>
            <w:hideMark/>
          </w:tcPr>
          <w:p w14:paraId="1979A507" w14:textId="77777777" w:rsidR="002C6787" w:rsidRPr="00CC734C" w:rsidRDefault="002C6787">
            <w:pPr>
              <w:rPr>
                <w:color w:val="000000"/>
                <w:sz w:val="18"/>
                <w:szCs w:val="18"/>
              </w:rPr>
            </w:pPr>
          </w:p>
        </w:tc>
      </w:tr>
    </w:tbl>
    <w:p w14:paraId="657AEBFE" w14:textId="77777777" w:rsidR="002C6787" w:rsidRPr="00CC734C" w:rsidRDefault="002C6787" w:rsidP="002C6787">
      <w:pPr>
        <w:rPr>
          <w:sz w:val="18"/>
          <w:szCs w:val="18"/>
        </w:rPr>
      </w:pPr>
    </w:p>
    <w:p w14:paraId="37BC612A" w14:textId="77777777" w:rsidR="002C6787" w:rsidRPr="00CC734C" w:rsidRDefault="002C6787" w:rsidP="002C6787">
      <w:pPr>
        <w:rPr>
          <w:sz w:val="18"/>
          <w:szCs w:val="18"/>
        </w:rPr>
      </w:pPr>
    </w:p>
    <w:p w14:paraId="134FB5B2" w14:textId="3E05DC25" w:rsidR="002C6787" w:rsidRPr="00CC734C" w:rsidRDefault="002C6787" w:rsidP="002C6787">
      <w:pPr>
        <w:rPr>
          <w:sz w:val="18"/>
          <w:szCs w:val="18"/>
        </w:rPr>
      </w:pPr>
    </w:p>
    <w:p w14:paraId="01DB3EB4" w14:textId="77777777" w:rsidR="00084767" w:rsidRPr="00CC734C" w:rsidRDefault="00084767" w:rsidP="002C6787">
      <w:pPr>
        <w:rPr>
          <w:sz w:val="18"/>
          <w:szCs w:val="18"/>
        </w:rPr>
      </w:pPr>
    </w:p>
    <w:p w14:paraId="73FA178C" w14:textId="77777777" w:rsidR="002C6787" w:rsidRPr="00CC734C" w:rsidRDefault="002C6787" w:rsidP="002C6787">
      <w:pPr>
        <w:rPr>
          <w:sz w:val="18"/>
          <w:szCs w:val="18"/>
        </w:rPr>
      </w:pPr>
    </w:p>
    <w:p w14:paraId="5C66444D" w14:textId="77777777" w:rsidR="002C6787" w:rsidRPr="00CC734C" w:rsidRDefault="002C6787" w:rsidP="002C6787">
      <w:pPr>
        <w:rPr>
          <w:sz w:val="18"/>
          <w:szCs w:val="18"/>
        </w:rPr>
      </w:pPr>
    </w:p>
    <w:tbl>
      <w:tblPr>
        <w:tblpPr w:leftFromText="141" w:rightFromText="141" w:bottomFromText="160"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2C6787" w:rsidRPr="00CC734C" w14:paraId="46B30053" w14:textId="77777777" w:rsidTr="002C6787">
        <w:trPr>
          <w:trHeight w:val="22"/>
        </w:trPr>
        <w:tc>
          <w:tcPr>
            <w:tcW w:w="2292" w:type="dxa"/>
            <w:vMerge w:val="restart"/>
            <w:tcBorders>
              <w:top w:val="single" w:sz="8" w:space="0" w:color="auto"/>
              <w:left w:val="nil"/>
              <w:bottom w:val="nil"/>
              <w:right w:val="nil"/>
            </w:tcBorders>
            <w:noWrap/>
            <w:hideMark/>
          </w:tcPr>
          <w:p w14:paraId="5A573448" w14:textId="77777777" w:rsidR="002C6787" w:rsidRPr="00CC734C" w:rsidRDefault="002C6787">
            <w:pPr>
              <w:spacing w:before="100" w:beforeAutospacing="1" w:after="100" w:afterAutospacing="1"/>
              <w:jc w:val="center"/>
              <w:rPr>
                <w:color w:val="000000"/>
                <w:sz w:val="18"/>
                <w:szCs w:val="18"/>
              </w:rPr>
            </w:pPr>
            <w:proofErr w:type="spellStart"/>
            <w:r w:rsidRPr="00CC734C">
              <w:rPr>
                <w:color w:val="000000"/>
                <w:sz w:val="18"/>
                <w:szCs w:val="18"/>
              </w:rPr>
              <w:t>Mohamad</w:t>
            </w:r>
            <w:proofErr w:type="spellEnd"/>
            <w:r w:rsidRPr="00CC734C">
              <w:rPr>
                <w:color w:val="000000"/>
                <w:sz w:val="18"/>
                <w:szCs w:val="18"/>
              </w:rPr>
              <w:t xml:space="preserve"> AL-MIDANI</w:t>
            </w:r>
          </w:p>
        </w:tc>
        <w:tc>
          <w:tcPr>
            <w:tcW w:w="291" w:type="dxa"/>
            <w:noWrap/>
            <w:hideMark/>
          </w:tcPr>
          <w:p w14:paraId="5E7DA717" w14:textId="77777777" w:rsidR="002C6787" w:rsidRPr="00CC734C" w:rsidRDefault="002C6787">
            <w:pPr>
              <w:rPr>
                <w:color w:val="000000"/>
                <w:sz w:val="18"/>
                <w:szCs w:val="18"/>
              </w:rPr>
            </w:pPr>
          </w:p>
        </w:tc>
        <w:tc>
          <w:tcPr>
            <w:tcW w:w="1744" w:type="dxa"/>
            <w:vMerge w:val="restart"/>
            <w:tcBorders>
              <w:top w:val="single" w:sz="8" w:space="0" w:color="auto"/>
              <w:left w:val="nil"/>
              <w:bottom w:val="nil"/>
              <w:right w:val="nil"/>
            </w:tcBorders>
            <w:noWrap/>
            <w:hideMark/>
          </w:tcPr>
          <w:p w14:paraId="157FFDA4" w14:textId="77777777" w:rsidR="002C6787" w:rsidRPr="00CC734C" w:rsidRDefault="002C6787">
            <w:pPr>
              <w:spacing w:before="100" w:beforeAutospacing="1" w:after="100" w:afterAutospacing="1"/>
              <w:jc w:val="center"/>
              <w:rPr>
                <w:color w:val="000000"/>
                <w:sz w:val="18"/>
                <w:szCs w:val="18"/>
              </w:rPr>
            </w:pPr>
            <w:r w:rsidRPr="00CC734C">
              <w:rPr>
                <w:color w:val="000000"/>
                <w:sz w:val="18"/>
                <w:szCs w:val="18"/>
              </w:rPr>
              <w:t>Ufuk UYAN</w:t>
            </w:r>
          </w:p>
        </w:tc>
        <w:tc>
          <w:tcPr>
            <w:tcW w:w="291" w:type="dxa"/>
            <w:noWrap/>
            <w:hideMark/>
          </w:tcPr>
          <w:p w14:paraId="6A323FB6" w14:textId="77777777" w:rsidR="002C6787" w:rsidRPr="00CC734C" w:rsidRDefault="002C6787">
            <w:pPr>
              <w:rPr>
                <w:color w:val="000000"/>
                <w:sz w:val="18"/>
                <w:szCs w:val="18"/>
              </w:rPr>
            </w:pPr>
          </w:p>
        </w:tc>
        <w:tc>
          <w:tcPr>
            <w:tcW w:w="1947" w:type="dxa"/>
            <w:vMerge w:val="restart"/>
            <w:tcBorders>
              <w:top w:val="single" w:sz="8" w:space="0" w:color="auto"/>
              <w:left w:val="nil"/>
              <w:bottom w:val="nil"/>
              <w:right w:val="nil"/>
            </w:tcBorders>
            <w:noWrap/>
            <w:hideMark/>
          </w:tcPr>
          <w:p w14:paraId="24C31FBB" w14:textId="77777777" w:rsidR="002C6787" w:rsidRPr="00CC734C" w:rsidRDefault="002C6787">
            <w:pPr>
              <w:spacing w:before="100" w:beforeAutospacing="1" w:after="100" w:afterAutospacing="1"/>
              <w:jc w:val="center"/>
              <w:rPr>
                <w:color w:val="000000"/>
                <w:sz w:val="18"/>
                <w:szCs w:val="18"/>
              </w:rPr>
            </w:pPr>
            <w:r w:rsidRPr="00CC734C">
              <w:rPr>
                <w:color w:val="000000"/>
                <w:sz w:val="18"/>
                <w:szCs w:val="18"/>
              </w:rPr>
              <w:t>Ahmet KARACA</w:t>
            </w:r>
          </w:p>
        </w:tc>
        <w:tc>
          <w:tcPr>
            <w:tcW w:w="291" w:type="dxa"/>
            <w:noWrap/>
            <w:hideMark/>
          </w:tcPr>
          <w:p w14:paraId="6CA51103" w14:textId="77777777" w:rsidR="002C6787" w:rsidRPr="00CC734C" w:rsidRDefault="002C6787">
            <w:pPr>
              <w:rPr>
                <w:color w:val="000000"/>
                <w:sz w:val="18"/>
                <w:szCs w:val="18"/>
              </w:rPr>
            </w:pPr>
          </w:p>
        </w:tc>
        <w:tc>
          <w:tcPr>
            <w:tcW w:w="2327" w:type="dxa"/>
            <w:vMerge w:val="restart"/>
            <w:tcBorders>
              <w:top w:val="single" w:sz="8" w:space="0" w:color="auto"/>
              <w:left w:val="nil"/>
              <w:bottom w:val="nil"/>
              <w:right w:val="nil"/>
            </w:tcBorders>
            <w:noWrap/>
            <w:hideMark/>
          </w:tcPr>
          <w:p w14:paraId="138A9641" w14:textId="69C6BE09" w:rsidR="002C6787" w:rsidRPr="00CC734C" w:rsidRDefault="0004280F">
            <w:pPr>
              <w:spacing w:before="100" w:beforeAutospacing="1" w:after="100" w:afterAutospacing="1"/>
              <w:jc w:val="center"/>
              <w:rPr>
                <w:color w:val="000000"/>
                <w:sz w:val="18"/>
                <w:szCs w:val="18"/>
              </w:rPr>
            </w:pPr>
            <w:r w:rsidRPr="00CC734C">
              <w:rPr>
                <w:color w:val="000000"/>
                <w:sz w:val="18"/>
                <w:szCs w:val="18"/>
              </w:rPr>
              <w:t>Arslan Murat SONER</w:t>
            </w:r>
          </w:p>
        </w:tc>
      </w:tr>
      <w:tr w:rsidR="002C6787" w:rsidRPr="00CC734C" w14:paraId="29C3FF64" w14:textId="77777777" w:rsidTr="002C6787">
        <w:trPr>
          <w:trHeight w:val="22"/>
        </w:trPr>
        <w:tc>
          <w:tcPr>
            <w:tcW w:w="0" w:type="auto"/>
            <w:vMerge/>
            <w:tcBorders>
              <w:top w:val="single" w:sz="8" w:space="0" w:color="auto"/>
              <w:left w:val="nil"/>
              <w:bottom w:val="nil"/>
              <w:right w:val="nil"/>
            </w:tcBorders>
            <w:vAlign w:val="center"/>
            <w:hideMark/>
          </w:tcPr>
          <w:p w14:paraId="5C203948" w14:textId="77777777" w:rsidR="002C6787" w:rsidRPr="00CC734C" w:rsidRDefault="002C6787">
            <w:pPr>
              <w:rPr>
                <w:color w:val="000000"/>
                <w:sz w:val="18"/>
                <w:szCs w:val="18"/>
              </w:rPr>
            </w:pPr>
          </w:p>
        </w:tc>
        <w:tc>
          <w:tcPr>
            <w:tcW w:w="291" w:type="dxa"/>
            <w:noWrap/>
            <w:vAlign w:val="center"/>
            <w:hideMark/>
          </w:tcPr>
          <w:p w14:paraId="5B4263C9" w14:textId="77777777" w:rsidR="002C6787" w:rsidRPr="00CC734C" w:rsidRDefault="002C6787">
            <w:pPr>
              <w:rPr>
                <w:color w:val="000000"/>
                <w:sz w:val="18"/>
                <w:szCs w:val="18"/>
              </w:rPr>
            </w:pPr>
          </w:p>
        </w:tc>
        <w:tc>
          <w:tcPr>
            <w:tcW w:w="0" w:type="auto"/>
            <w:vMerge/>
            <w:tcBorders>
              <w:top w:val="single" w:sz="8" w:space="0" w:color="auto"/>
              <w:left w:val="nil"/>
              <w:bottom w:val="nil"/>
              <w:right w:val="nil"/>
            </w:tcBorders>
            <w:vAlign w:val="center"/>
            <w:hideMark/>
          </w:tcPr>
          <w:p w14:paraId="1CFAEDB0" w14:textId="77777777" w:rsidR="002C6787" w:rsidRPr="00CC734C" w:rsidRDefault="002C6787">
            <w:pPr>
              <w:rPr>
                <w:color w:val="000000"/>
                <w:sz w:val="18"/>
                <w:szCs w:val="18"/>
              </w:rPr>
            </w:pPr>
          </w:p>
        </w:tc>
        <w:tc>
          <w:tcPr>
            <w:tcW w:w="291" w:type="dxa"/>
            <w:noWrap/>
            <w:vAlign w:val="center"/>
            <w:hideMark/>
          </w:tcPr>
          <w:p w14:paraId="617D4058" w14:textId="77777777" w:rsidR="002C6787" w:rsidRPr="00CC734C" w:rsidRDefault="002C6787">
            <w:pPr>
              <w:rPr>
                <w:lang w:eastAsia="tr-TR"/>
              </w:rPr>
            </w:pPr>
          </w:p>
        </w:tc>
        <w:tc>
          <w:tcPr>
            <w:tcW w:w="0" w:type="auto"/>
            <w:vMerge/>
            <w:tcBorders>
              <w:top w:val="single" w:sz="8" w:space="0" w:color="auto"/>
              <w:left w:val="nil"/>
              <w:bottom w:val="nil"/>
              <w:right w:val="nil"/>
            </w:tcBorders>
            <w:vAlign w:val="center"/>
            <w:hideMark/>
          </w:tcPr>
          <w:p w14:paraId="1D1A4DC8" w14:textId="77777777" w:rsidR="002C6787" w:rsidRPr="00CC734C" w:rsidRDefault="002C6787">
            <w:pPr>
              <w:rPr>
                <w:color w:val="000000"/>
                <w:sz w:val="18"/>
                <w:szCs w:val="18"/>
              </w:rPr>
            </w:pPr>
          </w:p>
        </w:tc>
        <w:tc>
          <w:tcPr>
            <w:tcW w:w="291" w:type="dxa"/>
            <w:noWrap/>
            <w:vAlign w:val="center"/>
          </w:tcPr>
          <w:p w14:paraId="1526B505" w14:textId="77777777" w:rsidR="002C6787" w:rsidRPr="00CC734C" w:rsidRDefault="002C6787">
            <w:pPr>
              <w:spacing w:before="100" w:beforeAutospacing="1" w:after="100" w:afterAutospacing="1"/>
              <w:rPr>
                <w:color w:val="000000"/>
                <w:sz w:val="2"/>
                <w:szCs w:val="18"/>
              </w:rPr>
            </w:pPr>
          </w:p>
        </w:tc>
        <w:tc>
          <w:tcPr>
            <w:tcW w:w="0" w:type="auto"/>
            <w:vMerge/>
            <w:tcBorders>
              <w:top w:val="single" w:sz="8" w:space="0" w:color="auto"/>
              <w:left w:val="nil"/>
              <w:bottom w:val="nil"/>
              <w:right w:val="nil"/>
            </w:tcBorders>
            <w:vAlign w:val="center"/>
            <w:hideMark/>
          </w:tcPr>
          <w:p w14:paraId="08FB3F9C" w14:textId="77777777" w:rsidR="002C6787" w:rsidRPr="00CC734C" w:rsidRDefault="002C6787">
            <w:pPr>
              <w:rPr>
                <w:color w:val="000000"/>
                <w:sz w:val="18"/>
                <w:szCs w:val="18"/>
              </w:rPr>
            </w:pPr>
          </w:p>
        </w:tc>
      </w:tr>
      <w:tr w:rsidR="002C6787" w:rsidRPr="0004280F" w14:paraId="08F20116" w14:textId="77777777" w:rsidTr="002C6787">
        <w:trPr>
          <w:trHeight w:val="22"/>
        </w:trPr>
        <w:tc>
          <w:tcPr>
            <w:tcW w:w="2292" w:type="dxa"/>
            <w:vMerge w:val="restart"/>
            <w:noWrap/>
            <w:hideMark/>
          </w:tcPr>
          <w:p w14:paraId="5F297040" w14:textId="77777777" w:rsidR="002C6787" w:rsidRPr="00CC734C" w:rsidRDefault="002C6787">
            <w:pPr>
              <w:spacing w:before="100" w:beforeAutospacing="1" w:after="100" w:afterAutospacing="1"/>
              <w:rPr>
                <w:color w:val="000000"/>
                <w:sz w:val="18"/>
                <w:szCs w:val="18"/>
              </w:rPr>
            </w:pPr>
            <w:r w:rsidRPr="00CC734C">
              <w:rPr>
                <w:color w:val="000000"/>
                <w:sz w:val="18"/>
                <w:szCs w:val="18"/>
              </w:rPr>
              <w:t xml:space="preserve">    Denetim Komitesi Üyesi</w:t>
            </w:r>
          </w:p>
        </w:tc>
        <w:tc>
          <w:tcPr>
            <w:tcW w:w="291" w:type="dxa"/>
            <w:noWrap/>
            <w:hideMark/>
          </w:tcPr>
          <w:p w14:paraId="53C427AF" w14:textId="77777777" w:rsidR="002C6787" w:rsidRPr="00CC734C" w:rsidRDefault="002C6787">
            <w:pPr>
              <w:rPr>
                <w:color w:val="000000"/>
                <w:sz w:val="18"/>
                <w:szCs w:val="18"/>
              </w:rPr>
            </w:pPr>
          </w:p>
        </w:tc>
        <w:tc>
          <w:tcPr>
            <w:tcW w:w="1744" w:type="dxa"/>
            <w:vMerge w:val="restart"/>
            <w:noWrap/>
            <w:hideMark/>
          </w:tcPr>
          <w:p w14:paraId="273335A6" w14:textId="77777777" w:rsidR="002C6787" w:rsidRPr="00CC734C" w:rsidRDefault="002C6787">
            <w:pPr>
              <w:spacing w:before="100" w:beforeAutospacing="1" w:after="100" w:afterAutospacing="1"/>
              <w:jc w:val="center"/>
              <w:rPr>
                <w:color w:val="000000"/>
                <w:sz w:val="18"/>
                <w:szCs w:val="18"/>
              </w:rPr>
            </w:pPr>
            <w:r w:rsidRPr="00CC734C">
              <w:rPr>
                <w:color w:val="000000"/>
                <w:sz w:val="18"/>
                <w:szCs w:val="18"/>
              </w:rPr>
              <w:t>Genel Müdür</w:t>
            </w:r>
          </w:p>
        </w:tc>
        <w:tc>
          <w:tcPr>
            <w:tcW w:w="291" w:type="dxa"/>
            <w:noWrap/>
            <w:hideMark/>
          </w:tcPr>
          <w:p w14:paraId="729DE94F" w14:textId="77777777" w:rsidR="002C6787" w:rsidRPr="00CC734C" w:rsidRDefault="002C6787">
            <w:pPr>
              <w:rPr>
                <w:color w:val="000000"/>
                <w:sz w:val="18"/>
                <w:szCs w:val="18"/>
              </w:rPr>
            </w:pPr>
          </w:p>
        </w:tc>
        <w:tc>
          <w:tcPr>
            <w:tcW w:w="1947" w:type="dxa"/>
            <w:vMerge w:val="restart"/>
            <w:noWrap/>
            <w:hideMark/>
          </w:tcPr>
          <w:p w14:paraId="2F0C6AE5" w14:textId="77777777" w:rsidR="002C6787" w:rsidRPr="00CC734C" w:rsidRDefault="002C6787">
            <w:pPr>
              <w:spacing w:before="100" w:beforeAutospacing="1" w:after="100" w:afterAutospacing="1"/>
              <w:jc w:val="center"/>
              <w:rPr>
                <w:color w:val="000000"/>
                <w:sz w:val="18"/>
                <w:szCs w:val="18"/>
              </w:rPr>
            </w:pPr>
            <w:r w:rsidRPr="00CC734C">
              <w:rPr>
                <w:color w:val="000000"/>
                <w:sz w:val="18"/>
                <w:szCs w:val="18"/>
              </w:rPr>
              <w:t>Mali İşler Genel Müdür Yardımcısı</w:t>
            </w:r>
          </w:p>
        </w:tc>
        <w:tc>
          <w:tcPr>
            <w:tcW w:w="291" w:type="dxa"/>
            <w:noWrap/>
            <w:hideMark/>
          </w:tcPr>
          <w:p w14:paraId="0A6D9BF3" w14:textId="77777777" w:rsidR="002C6787" w:rsidRPr="00CC734C" w:rsidRDefault="002C6787">
            <w:pPr>
              <w:rPr>
                <w:color w:val="000000"/>
                <w:sz w:val="18"/>
                <w:szCs w:val="18"/>
              </w:rPr>
            </w:pPr>
          </w:p>
        </w:tc>
        <w:tc>
          <w:tcPr>
            <w:tcW w:w="2327" w:type="dxa"/>
            <w:vMerge w:val="restart"/>
            <w:noWrap/>
            <w:hideMark/>
          </w:tcPr>
          <w:p w14:paraId="2A047B11" w14:textId="77A6D548" w:rsidR="002C6787" w:rsidRPr="0004280F" w:rsidRDefault="0004280F" w:rsidP="00197E81">
            <w:pPr>
              <w:spacing w:before="100" w:beforeAutospacing="1" w:after="100" w:afterAutospacing="1"/>
              <w:jc w:val="center"/>
              <w:rPr>
                <w:color w:val="000000"/>
                <w:sz w:val="18"/>
                <w:szCs w:val="18"/>
              </w:rPr>
            </w:pPr>
            <w:r w:rsidRPr="00CC734C">
              <w:rPr>
                <w:color w:val="000000"/>
                <w:sz w:val="18"/>
                <w:szCs w:val="18"/>
                <w:lang w:eastAsia="tr-TR"/>
              </w:rPr>
              <w:t>Bütçe ve Yönetim Raporlama</w:t>
            </w:r>
            <w:r w:rsidR="002C6787" w:rsidRPr="00CC734C">
              <w:rPr>
                <w:color w:val="000000"/>
                <w:sz w:val="18"/>
                <w:szCs w:val="18"/>
                <w:lang w:eastAsia="tr-TR"/>
              </w:rPr>
              <w:t xml:space="preserve"> </w:t>
            </w:r>
            <w:r w:rsidRPr="00CC734C">
              <w:rPr>
                <w:color w:val="000000"/>
                <w:sz w:val="18"/>
                <w:szCs w:val="18"/>
                <w:lang w:eastAsia="tr-TR"/>
              </w:rPr>
              <w:t>Müdürü</w:t>
            </w:r>
            <w:r w:rsidR="002C6787" w:rsidRPr="0004280F">
              <w:rPr>
                <w:color w:val="000000"/>
                <w:sz w:val="18"/>
                <w:szCs w:val="18"/>
                <w:lang w:eastAsia="tr-TR"/>
              </w:rPr>
              <w:t xml:space="preserve">                         </w:t>
            </w:r>
          </w:p>
        </w:tc>
      </w:tr>
      <w:tr w:rsidR="002C6787" w:rsidRPr="0004280F" w14:paraId="49E575AA" w14:textId="77777777" w:rsidTr="002C6787">
        <w:trPr>
          <w:trHeight w:val="5"/>
        </w:trPr>
        <w:tc>
          <w:tcPr>
            <w:tcW w:w="0" w:type="auto"/>
            <w:vMerge/>
            <w:vAlign w:val="center"/>
            <w:hideMark/>
          </w:tcPr>
          <w:p w14:paraId="47206E87" w14:textId="77777777" w:rsidR="002C6787" w:rsidRPr="0004280F" w:rsidRDefault="002C6787">
            <w:pPr>
              <w:rPr>
                <w:color w:val="000000"/>
                <w:sz w:val="18"/>
                <w:szCs w:val="18"/>
              </w:rPr>
            </w:pPr>
          </w:p>
        </w:tc>
        <w:tc>
          <w:tcPr>
            <w:tcW w:w="291" w:type="dxa"/>
            <w:noWrap/>
            <w:vAlign w:val="center"/>
            <w:hideMark/>
          </w:tcPr>
          <w:p w14:paraId="423CFA19" w14:textId="77777777" w:rsidR="002C6787" w:rsidRPr="0004280F" w:rsidRDefault="002C6787">
            <w:pPr>
              <w:rPr>
                <w:color w:val="000000"/>
                <w:sz w:val="18"/>
                <w:szCs w:val="18"/>
              </w:rPr>
            </w:pPr>
          </w:p>
        </w:tc>
        <w:tc>
          <w:tcPr>
            <w:tcW w:w="0" w:type="auto"/>
            <w:vMerge/>
            <w:vAlign w:val="center"/>
            <w:hideMark/>
          </w:tcPr>
          <w:p w14:paraId="38536EBE" w14:textId="77777777" w:rsidR="002C6787" w:rsidRPr="0004280F" w:rsidRDefault="002C6787">
            <w:pPr>
              <w:rPr>
                <w:color w:val="000000"/>
                <w:sz w:val="18"/>
                <w:szCs w:val="18"/>
              </w:rPr>
            </w:pPr>
          </w:p>
        </w:tc>
        <w:tc>
          <w:tcPr>
            <w:tcW w:w="291" w:type="dxa"/>
            <w:noWrap/>
            <w:vAlign w:val="center"/>
            <w:hideMark/>
          </w:tcPr>
          <w:p w14:paraId="73CC4ACF" w14:textId="77777777" w:rsidR="002C6787" w:rsidRPr="0004280F" w:rsidRDefault="002C6787">
            <w:pPr>
              <w:rPr>
                <w:lang w:eastAsia="tr-TR"/>
              </w:rPr>
            </w:pPr>
          </w:p>
        </w:tc>
        <w:tc>
          <w:tcPr>
            <w:tcW w:w="0" w:type="auto"/>
            <w:vMerge/>
            <w:vAlign w:val="center"/>
            <w:hideMark/>
          </w:tcPr>
          <w:p w14:paraId="7F5ED497" w14:textId="77777777" w:rsidR="002C6787" w:rsidRPr="0004280F" w:rsidRDefault="002C6787">
            <w:pPr>
              <w:rPr>
                <w:color w:val="000000"/>
                <w:sz w:val="18"/>
                <w:szCs w:val="18"/>
              </w:rPr>
            </w:pPr>
          </w:p>
        </w:tc>
        <w:tc>
          <w:tcPr>
            <w:tcW w:w="291" w:type="dxa"/>
            <w:noWrap/>
            <w:vAlign w:val="center"/>
            <w:hideMark/>
          </w:tcPr>
          <w:p w14:paraId="740EAC8C" w14:textId="77777777" w:rsidR="002C6787" w:rsidRPr="0004280F" w:rsidRDefault="002C6787">
            <w:pPr>
              <w:rPr>
                <w:lang w:eastAsia="tr-TR"/>
              </w:rPr>
            </w:pPr>
          </w:p>
        </w:tc>
        <w:tc>
          <w:tcPr>
            <w:tcW w:w="0" w:type="auto"/>
            <w:vMerge/>
            <w:vAlign w:val="center"/>
            <w:hideMark/>
          </w:tcPr>
          <w:p w14:paraId="71FE7543" w14:textId="77777777" w:rsidR="002C6787" w:rsidRPr="0004280F" w:rsidRDefault="002C6787">
            <w:pPr>
              <w:rPr>
                <w:color w:val="000000"/>
                <w:sz w:val="18"/>
                <w:szCs w:val="18"/>
              </w:rPr>
            </w:pPr>
          </w:p>
        </w:tc>
      </w:tr>
      <w:tr w:rsidR="0004280F" w:rsidRPr="0004280F" w14:paraId="029C9257" w14:textId="77777777" w:rsidTr="002C6787">
        <w:trPr>
          <w:trHeight w:val="5"/>
        </w:trPr>
        <w:tc>
          <w:tcPr>
            <w:tcW w:w="0" w:type="auto"/>
            <w:vAlign w:val="center"/>
          </w:tcPr>
          <w:p w14:paraId="59D7EEE8" w14:textId="77777777" w:rsidR="0004280F" w:rsidRPr="0004280F" w:rsidRDefault="0004280F">
            <w:pPr>
              <w:rPr>
                <w:color w:val="000000"/>
                <w:sz w:val="18"/>
                <w:szCs w:val="18"/>
              </w:rPr>
            </w:pPr>
          </w:p>
        </w:tc>
        <w:tc>
          <w:tcPr>
            <w:tcW w:w="291" w:type="dxa"/>
            <w:noWrap/>
            <w:vAlign w:val="center"/>
          </w:tcPr>
          <w:p w14:paraId="4BF52521" w14:textId="77777777" w:rsidR="0004280F" w:rsidRPr="0004280F" w:rsidRDefault="0004280F">
            <w:pPr>
              <w:rPr>
                <w:color w:val="000000"/>
                <w:sz w:val="18"/>
                <w:szCs w:val="18"/>
              </w:rPr>
            </w:pPr>
          </w:p>
        </w:tc>
        <w:tc>
          <w:tcPr>
            <w:tcW w:w="0" w:type="auto"/>
            <w:vAlign w:val="center"/>
          </w:tcPr>
          <w:p w14:paraId="169E3D94" w14:textId="77777777" w:rsidR="0004280F" w:rsidRPr="0004280F" w:rsidRDefault="0004280F">
            <w:pPr>
              <w:rPr>
                <w:color w:val="000000"/>
                <w:sz w:val="18"/>
                <w:szCs w:val="18"/>
              </w:rPr>
            </w:pPr>
          </w:p>
        </w:tc>
        <w:tc>
          <w:tcPr>
            <w:tcW w:w="291" w:type="dxa"/>
            <w:noWrap/>
            <w:vAlign w:val="center"/>
          </w:tcPr>
          <w:p w14:paraId="4FAD2165" w14:textId="77777777" w:rsidR="0004280F" w:rsidRPr="0004280F" w:rsidRDefault="0004280F">
            <w:pPr>
              <w:rPr>
                <w:lang w:eastAsia="tr-TR"/>
              </w:rPr>
            </w:pPr>
          </w:p>
        </w:tc>
        <w:tc>
          <w:tcPr>
            <w:tcW w:w="0" w:type="auto"/>
            <w:vAlign w:val="center"/>
          </w:tcPr>
          <w:p w14:paraId="3FE6F63C" w14:textId="77777777" w:rsidR="0004280F" w:rsidRPr="0004280F" w:rsidRDefault="0004280F">
            <w:pPr>
              <w:rPr>
                <w:color w:val="000000"/>
                <w:sz w:val="18"/>
                <w:szCs w:val="18"/>
              </w:rPr>
            </w:pPr>
          </w:p>
        </w:tc>
        <w:tc>
          <w:tcPr>
            <w:tcW w:w="291" w:type="dxa"/>
            <w:noWrap/>
            <w:vAlign w:val="center"/>
          </w:tcPr>
          <w:p w14:paraId="1A812DC5" w14:textId="77777777" w:rsidR="0004280F" w:rsidRPr="0004280F" w:rsidRDefault="0004280F">
            <w:pPr>
              <w:rPr>
                <w:lang w:eastAsia="tr-TR"/>
              </w:rPr>
            </w:pPr>
          </w:p>
        </w:tc>
        <w:tc>
          <w:tcPr>
            <w:tcW w:w="0" w:type="auto"/>
            <w:vAlign w:val="center"/>
          </w:tcPr>
          <w:p w14:paraId="68C5AD77" w14:textId="77777777" w:rsidR="0004280F" w:rsidRPr="0004280F" w:rsidRDefault="0004280F">
            <w:pPr>
              <w:rPr>
                <w:color w:val="000000"/>
                <w:sz w:val="18"/>
                <w:szCs w:val="18"/>
              </w:rPr>
            </w:pPr>
          </w:p>
        </w:tc>
      </w:tr>
    </w:tbl>
    <w:p w14:paraId="4F797C00" w14:textId="36F38909" w:rsidR="002C6787" w:rsidRPr="0004280F" w:rsidRDefault="002C6787" w:rsidP="002C6787">
      <w:pPr>
        <w:rPr>
          <w:sz w:val="18"/>
          <w:szCs w:val="18"/>
          <w:lang w:eastAsia="tr-TR"/>
        </w:rPr>
      </w:pPr>
    </w:p>
    <w:p w14:paraId="5B6D4F11" w14:textId="0B7F1FD6" w:rsidR="0036128C" w:rsidRPr="0004280F" w:rsidRDefault="0036128C" w:rsidP="002C6787">
      <w:pPr>
        <w:rPr>
          <w:sz w:val="18"/>
          <w:szCs w:val="18"/>
          <w:lang w:eastAsia="tr-TR"/>
        </w:rPr>
      </w:pPr>
    </w:p>
    <w:p w14:paraId="26F5145C" w14:textId="231AC911" w:rsidR="0036128C" w:rsidRPr="0004280F" w:rsidRDefault="0036128C" w:rsidP="002C6787">
      <w:pPr>
        <w:rPr>
          <w:sz w:val="18"/>
          <w:szCs w:val="18"/>
          <w:lang w:eastAsia="tr-TR"/>
        </w:rPr>
      </w:pPr>
    </w:p>
    <w:p w14:paraId="0296E7A4" w14:textId="03D4E58C" w:rsidR="002C6787" w:rsidRPr="0004280F" w:rsidRDefault="002C6787" w:rsidP="002C6787">
      <w:pPr>
        <w:rPr>
          <w:sz w:val="18"/>
          <w:szCs w:val="18"/>
          <w:lang w:eastAsia="tr-TR"/>
        </w:rPr>
      </w:pPr>
      <w:r w:rsidRPr="0004280F">
        <w:rPr>
          <w:sz w:val="18"/>
          <w:szCs w:val="18"/>
          <w:lang w:eastAsia="tr-TR"/>
        </w:rPr>
        <w:t xml:space="preserve">Bu finansal rapor ile ilgili olarak soruların iletilebileceği yetkili personele ilişkin </w:t>
      </w:r>
      <w:proofErr w:type="gramStart"/>
      <w:r w:rsidRPr="0004280F">
        <w:rPr>
          <w:sz w:val="18"/>
          <w:szCs w:val="18"/>
          <w:lang w:eastAsia="tr-TR"/>
        </w:rPr>
        <w:t>bilgiler ;</w:t>
      </w:r>
      <w:proofErr w:type="gramEnd"/>
    </w:p>
    <w:p w14:paraId="724137AC" w14:textId="77777777" w:rsidR="002C6787" w:rsidRPr="0004280F" w:rsidRDefault="002C6787" w:rsidP="002C6787">
      <w:pPr>
        <w:pStyle w:val="Footer"/>
        <w:rPr>
          <w:rFonts w:eastAsiaTheme="minorHAnsi"/>
          <w:sz w:val="18"/>
          <w:szCs w:val="18"/>
        </w:rPr>
      </w:pPr>
    </w:p>
    <w:p w14:paraId="4B01AB0F" w14:textId="53F8353B" w:rsidR="002C6787" w:rsidRPr="0004280F" w:rsidRDefault="002C6787" w:rsidP="002C6787">
      <w:pPr>
        <w:pStyle w:val="Footer"/>
        <w:rPr>
          <w:sz w:val="18"/>
          <w:szCs w:val="18"/>
        </w:rPr>
      </w:pPr>
      <w:r w:rsidRPr="0004280F">
        <w:rPr>
          <w:sz w:val="18"/>
          <w:szCs w:val="18"/>
        </w:rPr>
        <w:t>Ad-</w:t>
      </w:r>
      <w:proofErr w:type="spellStart"/>
      <w:r w:rsidRPr="0004280F">
        <w:rPr>
          <w:sz w:val="18"/>
          <w:szCs w:val="18"/>
        </w:rPr>
        <w:t>Soyad</w:t>
      </w:r>
      <w:proofErr w:type="spellEnd"/>
      <w:r w:rsidRPr="0004280F">
        <w:rPr>
          <w:sz w:val="18"/>
          <w:szCs w:val="18"/>
        </w:rPr>
        <w:t xml:space="preserve">/Unvan     :  </w:t>
      </w:r>
      <w:r w:rsidR="00197E81" w:rsidRPr="0004280F">
        <w:rPr>
          <w:sz w:val="18"/>
          <w:szCs w:val="18"/>
        </w:rPr>
        <w:t>Mustafa Erdem</w:t>
      </w:r>
      <w:r w:rsidR="00197E81" w:rsidRPr="0004280F">
        <w:rPr>
          <w:sz w:val="18"/>
          <w:szCs w:val="18"/>
          <w:lang w:eastAsia="tr-TR"/>
        </w:rPr>
        <w:t xml:space="preserve"> / </w:t>
      </w:r>
      <w:r w:rsidR="00197E81" w:rsidRPr="0004280F">
        <w:rPr>
          <w:color w:val="000000" w:themeColor="text1"/>
          <w:sz w:val="18"/>
          <w:szCs w:val="18"/>
        </w:rPr>
        <w:t xml:space="preserve"> </w:t>
      </w:r>
      <w:r w:rsidR="00197E81" w:rsidRPr="0004280F">
        <w:rPr>
          <w:color w:val="000000"/>
          <w:sz w:val="18"/>
          <w:szCs w:val="18"/>
        </w:rPr>
        <w:t>Kıdemli Resmi Raporlama Yönetmeni</w:t>
      </w:r>
    </w:p>
    <w:p w14:paraId="786270A4" w14:textId="77777777" w:rsidR="00084767" w:rsidRPr="0004280F" w:rsidRDefault="00084767" w:rsidP="002C6787">
      <w:pPr>
        <w:pStyle w:val="Footer"/>
        <w:rPr>
          <w:sz w:val="18"/>
          <w:szCs w:val="18"/>
        </w:rPr>
      </w:pPr>
    </w:p>
    <w:p w14:paraId="64E61D60" w14:textId="56E70F5C" w:rsidR="002C6787" w:rsidRPr="0004280F" w:rsidRDefault="002C6787" w:rsidP="002C6787">
      <w:pPr>
        <w:pStyle w:val="Footer"/>
        <w:rPr>
          <w:sz w:val="18"/>
          <w:szCs w:val="18"/>
          <w:lang w:val="tr-TR"/>
        </w:rPr>
      </w:pPr>
      <w:r w:rsidRPr="0004280F">
        <w:rPr>
          <w:sz w:val="18"/>
          <w:szCs w:val="18"/>
        </w:rPr>
        <w:t xml:space="preserve">Tel No                      :  0212 354 </w:t>
      </w:r>
      <w:r w:rsidR="00197E81" w:rsidRPr="0004280F">
        <w:rPr>
          <w:sz w:val="18"/>
          <w:szCs w:val="18"/>
          <w:lang w:val="tr-TR"/>
        </w:rPr>
        <w:t>75</w:t>
      </w:r>
      <w:r w:rsidRPr="0004280F">
        <w:rPr>
          <w:sz w:val="18"/>
          <w:szCs w:val="18"/>
        </w:rPr>
        <w:t xml:space="preserve"> </w:t>
      </w:r>
      <w:r w:rsidR="00197E81" w:rsidRPr="0004280F">
        <w:rPr>
          <w:sz w:val="18"/>
          <w:szCs w:val="18"/>
          <w:lang w:val="tr-TR"/>
        </w:rPr>
        <w:t>24</w:t>
      </w:r>
    </w:p>
    <w:p w14:paraId="6B01E33C" w14:textId="77777777" w:rsidR="002C6787" w:rsidRPr="0004280F" w:rsidRDefault="002C6787" w:rsidP="002C6787">
      <w:pPr>
        <w:pStyle w:val="Footer"/>
        <w:rPr>
          <w:sz w:val="18"/>
          <w:szCs w:val="18"/>
        </w:rPr>
      </w:pPr>
    </w:p>
    <w:p w14:paraId="6759E4EF" w14:textId="77777777" w:rsidR="009F3434" w:rsidRPr="00270CE6" w:rsidRDefault="002C6787" w:rsidP="002C6787">
      <w:pPr>
        <w:pStyle w:val="Footer"/>
        <w:rPr>
          <w:sz w:val="18"/>
          <w:szCs w:val="18"/>
          <w:highlight w:val="yellow"/>
        </w:rPr>
        <w:sectPr w:rsidR="009F3434" w:rsidRPr="00270CE6" w:rsidSect="00A07E0F">
          <w:headerReference w:type="default" r:id="rId15"/>
          <w:pgSz w:w="11907" w:h="16840" w:code="9"/>
          <w:pgMar w:top="1418" w:right="1418" w:bottom="1418" w:left="1418" w:header="708" w:footer="708" w:gutter="0"/>
          <w:pgNumType w:start="1"/>
          <w:cols w:space="708"/>
          <w:noEndnote/>
        </w:sectPr>
      </w:pPr>
      <w:proofErr w:type="spellStart"/>
      <w:r w:rsidRPr="0004280F">
        <w:rPr>
          <w:sz w:val="18"/>
          <w:szCs w:val="18"/>
        </w:rPr>
        <w:t>Fax</w:t>
      </w:r>
      <w:proofErr w:type="spellEnd"/>
      <w:r w:rsidRPr="0004280F">
        <w:rPr>
          <w:sz w:val="18"/>
          <w:szCs w:val="18"/>
        </w:rPr>
        <w:t xml:space="preserve"> No                     :  0212 354 11 03</w:t>
      </w:r>
    </w:p>
    <w:p w14:paraId="56E3B608" w14:textId="1D4924F1" w:rsidR="00033391" w:rsidRPr="00A17148" w:rsidRDefault="00BC7909" w:rsidP="002C6787">
      <w:pPr>
        <w:pStyle w:val="Title"/>
        <w:tabs>
          <w:tab w:val="clear" w:pos="4395"/>
          <w:tab w:val="left" w:pos="567"/>
          <w:tab w:val="right" w:pos="9000"/>
        </w:tabs>
        <w:rPr>
          <w:rFonts w:ascii="Times New Roman" w:hAnsi="Times New Roman"/>
        </w:rPr>
      </w:pPr>
      <w:r w:rsidRPr="00A17148">
        <w:rPr>
          <w:rFonts w:ascii="Times New Roman" w:hAnsi="Times New Roman"/>
          <w:bCs/>
          <w:sz w:val="20"/>
          <w:lang w:val="tr-TR"/>
        </w:rPr>
        <w:lastRenderedPageBreak/>
        <w:br/>
      </w:r>
      <w:r w:rsidR="007F4798" w:rsidRPr="00A17148">
        <w:rPr>
          <w:rFonts w:ascii="Times New Roman" w:hAnsi="Times New Roman"/>
          <w:bCs/>
          <w:sz w:val="20"/>
          <w:lang w:val="tr-TR"/>
        </w:rPr>
        <w:t>BİRİNCİ BÖLÜM</w:t>
      </w:r>
    </w:p>
    <w:p w14:paraId="78CB2BDE" w14:textId="77777777" w:rsidR="00033391" w:rsidRPr="00A17148" w:rsidRDefault="00033391" w:rsidP="005A27E3">
      <w:pPr>
        <w:pStyle w:val="Heading5"/>
        <w:spacing w:line="230" w:lineRule="auto"/>
        <w:ind w:left="3420" w:hanging="3420"/>
        <w:jc w:val="center"/>
        <w:rPr>
          <w:sz w:val="8"/>
        </w:rPr>
      </w:pPr>
    </w:p>
    <w:p w14:paraId="255ED11F" w14:textId="77777777" w:rsidR="00033391" w:rsidRPr="00A17148" w:rsidRDefault="007F4798" w:rsidP="005A27E3">
      <w:pPr>
        <w:pStyle w:val="Heading5"/>
        <w:spacing w:line="230" w:lineRule="auto"/>
        <w:ind w:left="3420" w:hanging="3420"/>
        <w:jc w:val="center"/>
      </w:pPr>
      <w:r w:rsidRPr="00A17148">
        <w:t>GENEL BİLGİLER</w:t>
      </w:r>
    </w:p>
    <w:p w14:paraId="41895446" w14:textId="77777777" w:rsidR="00C04E9C" w:rsidRPr="00A17148" w:rsidRDefault="00C04E9C" w:rsidP="00C04E9C"/>
    <w:p w14:paraId="4C72DC3E" w14:textId="77777777" w:rsidR="00033391" w:rsidRPr="00A17148" w:rsidRDefault="00581E1E" w:rsidP="008F08F2">
      <w:pPr>
        <w:pStyle w:val="Heading5"/>
        <w:spacing w:line="230" w:lineRule="auto"/>
        <w:ind w:left="0" w:hanging="567"/>
        <w:jc w:val="left"/>
      </w:pPr>
      <w:r w:rsidRPr="00A17148">
        <w:rPr>
          <w:bCs w:val="0"/>
        </w:rPr>
        <w:t>1</w:t>
      </w:r>
      <w:r w:rsidR="00E253C8" w:rsidRPr="00A17148">
        <w:rPr>
          <w:bCs w:val="0"/>
        </w:rPr>
        <w:t>.</w:t>
      </w:r>
      <w:r w:rsidR="00E253C8" w:rsidRPr="00A17148">
        <w:rPr>
          <w:bCs w:val="0"/>
        </w:rPr>
        <w:tab/>
      </w:r>
      <w:r w:rsidR="00E253C8" w:rsidRPr="00A17148">
        <w:rPr>
          <w:rFonts w:eastAsia="Arial Unicode MS"/>
          <w:bCs w:val="0"/>
        </w:rPr>
        <w:t>Banka</w:t>
      </w:r>
      <w:r w:rsidR="00DC1BE5" w:rsidRPr="00A17148">
        <w:rPr>
          <w:rFonts w:eastAsia="Arial Unicode MS"/>
          <w:bCs w:val="0"/>
        </w:rPr>
        <w:t>’</w:t>
      </w:r>
      <w:r w:rsidR="00E253C8" w:rsidRPr="00A17148">
        <w:rPr>
          <w:rFonts w:eastAsia="Arial Unicode MS"/>
          <w:bCs w:val="0"/>
        </w:rPr>
        <w:t>nın kuruluş tarihi, başlangıç statüsü, anılan statüde meydana gelen değişiklikleri ihtiva eden tarihçesi</w:t>
      </w:r>
    </w:p>
    <w:p w14:paraId="6D78160E" w14:textId="77777777" w:rsidR="00033391" w:rsidRPr="00A17148" w:rsidRDefault="00033391">
      <w:pPr>
        <w:spacing w:line="230" w:lineRule="auto"/>
        <w:rPr>
          <w:sz w:val="16"/>
          <w:szCs w:val="16"/>
        </w:rPr>
      </w:pPr>
    </w:p>
    <w:p w14:paraId="32F307A1" w14:textId="77777777" w:rsidR="009B7033" w:rsidRPr="00A17148" w:rsidRDefault="009B7033" w:rsidP="005A27E3">
      <w:pPr>
        <w:pStyle w:val="BodyText"/>
        <w:tabs>
          <w:tab w:val="left" w:pos="4536"/>
        </w:tabs>
      </w:pPr>
      <w:r w:rsidRPr="00A17148">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30787EBC" w14:textId="77777777" w:rsidR="00033391" w:rsidRPr="00270CE6" w:rsidRDefault="00033391">
      <w:pPr>
        <w:spacing w:line="230" w:lineRule="auto"/>
        <w:rPr>
          <w:sz w:val="10"/>
          <w:highlight w:val="yellow"/>
        </w:rPr>
      </w:pPr>
    </w:p>
    <w:p w14:paraId="19A2C492" w14:textId="77777777" w:rsidR="00033391" w:rsidRPr="00143B59" w:rsidRDefault="00581E1E" w:rsidP="00D35F92">
      <w:pPr>
        <w:spacing w:line="230" w:lineRule="auto"/>
        <w:ind w:hanging="567"/>
        <w:jc w:val="both"/>
        <w:rPr>
          <w:b/>
        </w:rPr>
      </w:pPr>
      <w:r w:rsidRPr="00143B59">
        <w:rPr>
          <w:b/>
        </w:rPr>
        <w:t>2</w:t>
      </w:r>
      <w:r w:rsidR="00E253C8" w:rsidRPr="00143B59">
        <w:rPr>
          <w:b/>
        </w:rPr>
        <w:t>.</w:t>
      </w:r>
      <w:r w:rsidR="00E253C8" w:rsidRPr="00143B59">
        <w:rPr>
          <w:b/>
        </w:rPr>
        <w:tab/>
      </w:r>
      <w:r w:rsidR="00E253C8" w:rsidRPr="00143B59">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00E253C8" w:rsidRPr="00143B59">
        <w:rPr>
          <w:sz w:val="14"/>
          <w:szCs w:val="14"/>
        </w:rPr>
        <w:t xml:space="preserve"> </w:t>
      </w:r>
    </w:p>
    <w:p w14:paraId="145BD974" w14:textId="77777777" w:rsidR="00033391" w:rsidRPr="00143B59" w:rsidRDefault="00033391">
      <w:pPr>
        <w:spacing w:line="230" w:lineRule="auto"/>
        <w:rPr>
          <w:b/>
          <w:sz w:val="16"/>
          <w:szCs w:val="16"/>
        </w:rPr>
      </w:pPr>
    </w:p>
    <w:p w14:paraId="43E6FB1E" w14:textId="77777777" w:rsidR="00143B59" w:rsidRDefault="00143B59" w:rsidP="00311DAB">
      <w:pPr>
        <w:autoSpaceDE w:val="0"/>
        <w:autoSpaceDN w:val="0"/>
        <w:jc w:val="both"/>
        <w:rPr>
          <w:lang w:eastAsia="x-none"/>
        </w:rPr>
      </w:pPr>
      <w:r w:rsidRPr="00143B59">
        <w:rPr>
          <w:lang w:eastAsia="x-none"/>
        </w:rPr>
        <w:t xml:space="preserve">30 Eylül 2020 tarihi itibarıyla Banka hisselerinin </w:t>
      </w:r>
      <w:proofErr w:type="gramStart"/>
      <w:r w:rsidRPr="00143B59">
        <w:rPr>
          <w:lang w:eastAsia="x-none"/>
        </w:rPr>
        <w:t>%62.24</w:t>
      </w:r>
      <w:proofErr w:type="gramEnd"/>
      <w:r w:rsidRPr="00143B59">
        <w:rPr>
          <w:lang w:eastAsia="x-none"/>
        </w:rPr>
        <w:t xml:space="preserve">’ü Kuveyt’te mukim Kuwait Finance House’a, %18.72’si Vakıflar Genel Müdürlüğü Mazbut </w:t>
      </w:r>
      <w:proofErr w:type="spellStart"/>
      <w:r w:rsidRPr="00143B59">
        <w:rPr>
          <w:lang w:eastAsia="x-none"/>
        </w:rPr>
        <w:t>Vakıfları’na</w:t>
      </w:r>
      <w:proofErr w:type="spellEnd"/>
      <w:r w:rsidRPr="00143B59">
        <w:rPr>
          <w:lang w:eastAsia="x-none"/>
        </w:rPr>
        <w:t xml:space="preserve">, %9.00’u Kuveyt’te mukim </w:t>
      </w:r>
      <w:proofErr w:type="spellStart"/>
      <w:r w:rsidRPr="00143B59">
        <w:rPr>
          <w:lang w:eastAsia="x-none"/>
        </w:rPr>
        <w:t>Wafra</w:t>
      </w:r>
      <w:proofErr w:type="spellEnd"/>
      <w:r w:rsidRPr="00143B59">
        <w:rPr>
          <w:lang w:eastAsia="x-none"/>
        </w:rPr>
        <w:t xml:space="preserve"> International </w:t>
      </w:r>
      <w:proofErr w:type="spellStart"/>
      <w:r w:rsidRPr="00143B59">
        <w:rPr>
          <w:lang w:eastAsia="x-none"/>
        </w:rPr>
        <w:t>Investment</w:t>
      </w:r>
      <w:proofErr w:type="spellEnd"/>
      <w:r w:rsidRPr="00143B59">
        <w:rPr>
          <w:lang w:eastAsia="x-none"/>
        </w:rPr>
        <w:t xml:space="preserve"> </w:t>
      </w:r>
      <w:proofErr w:type="spellStart"/>
      <w:r w:rsidRPr="00143B59">
        <w:rPr>
          <w:lang w:eastAsia="x-none"/>
        </w:rPr>
        <w:t>Company’ye</w:t>
      </w:r>
      <w:proofErr w:type="spellEnd"/>
      <w:r w:rsidRPr="00143B59">
        <w:rPr>
          <w:lang w:eastAsia="x-none"/>
        </w:rPr>
        <w:t xml:space="preserve"> ve %9.00’u </w:t>
      </w:r>
      <w:proofErr w:type="spellStart"/>
      <w:r w:rsidRPr="00143B59">
        <w:rPr>
          <w:lang w:eastAsia="x-none"/>
        </w:rPr>
        <w:t>Islamic</w:t>
      </w:r>
      <w:proofErr w:type="spellEnd"/>
      <w:r w:rsidRPr="00143B59">
        <w:rPr>
          <w:lang w:eastAsia="x-none"/>
        </w:rPr>
        <w:t xml:space="preserve"> Development Bank’a ait olup geriye kalan %1.04 oranındaki hisseler diğer gerçek ve tüzel kişilere aittir.</w:t>
      </w:r>
    </w:p>
    <w:p w14:paraId="1D93EBCF" w14:textId="77777777" w:rsidR="00033391" w:rsidRPr="0074397F" w:rsidRDefault="00033391" w:rsidP="009B7033">
      <w:pPr>
        <w:pStyle w:val="BodyText"/>
        <w:autoSpaceDE/>
        <w:autoSpaceDN/>
        <w:adjustRightInd/>
        <w:spacing w:line="230" w:lineRule="auto"/>
        <w:rPr>
          <w:sz w:val="16"/>
          <w:szCs w:val="16"/>
        </w:rPr>
      </w:pPr>
    </w:p>
    <w:p w14:paraId="4ECA1401" w14:textId="41BE00CA" w:rsidR="00033391" w:rsidRDefault="00581E1E" w:rsidP="008F08F2">
      <w:pPr>
        <w:pStyle w:val="BodyText"/>
        <w:autoSpaceDE/>
        <w:autoSpaceDN/>
        <w:adjustRightInd/>
        <w:spacing w:line="230" w:lineRule="auto"/>
        <w:ind w:hanging="567"/>
        <w:rPr>
          <w:rFonts w:eastAsia="Arial Unicode MS"/>
          <w:b/>
        </w:rPr>
      </w:pPr>
      <w:r w:rsidRPr="0074397F">
        <w:rPr>
          <w:rFonts w:eastAsia="Arial Unicode MS"/>
          <w:b/>
        </w:rPr>
        <w:t xml:space="preserve">3.     </w:t>
      </w:r>
      <w:r w:rsidR="00D35F92">
        <w:rPr>
          <w:rFonts w:eastAsia="Arial Unicode MS"/>
          <w:b/>
        </w:rPr>
        <w:tab/>
      </w:r>
      <w:r w:rsidR="00E253C8" w:rsidRPr="0074397F">
        <w:rPr>
          <w:rFonts w:eastAsia="Arial Unicode MS"/>
          <w:b/>
        </w:rPr>
        <w:t>Banka’nın yönetim kurulu başkan ve üyeleri, denetim komitesi üyeleri ile genel müdür ve</w:t>
      </w:r>
      <w:r w:rsidR="00145F89" w:rsidRPr="0074397F">
        <w:rPr>
          <w:rFonts w:eastAsia="Arial Unicode MS"/>
          <w:b/>
        </w:rPr>
        <w:t xml:space="preserve"> </w:t>
      </w:r>
      <w:proofErr w:type="gramStart"/>
      <w:r w:rsidR="00E253C8" w:rsidRPr="0074397F">
        <w:rPr>
          <w:rFonts w:eastAsia="Arial Unicode MS"/>
          <w:b/>
        </w:rPr>
        <w:t xml:space="preserve">yardımcılarının, </w:t>
      </w:r>
      <w:r w:rsidRPr="0074397F">
        <w:rPr>
          <w:rFonts w:eastAsia="Arial Unicode MS"/>
          <w:b/>
        </w:rPr>
        <w:t xml:space="preserve">  </w:t>
      </w:r>
      <w:proofErr w:type="gramEnd"/>
      <w:r w:rsidRPr="0074397F">
        <w:rPr>
          <w:rFonts w:eastAsia="Arial Unicode MS"/>
          <w:b/>
        </w:rPr>
        <w:t xml:space="preserve">  </w:t>
      </w:r>
      <w:r w:rsidRPr="0074397F">
        <w:rPr>
          <w:rFonts w:eastAsia="Arial Unicode MS"/>
          <w:b/>
        </w:rPr>
        <w:br/>
      </w:r>
      <w:r w:rsidR="00E253C8" w:rsidRPr="0074397F">
        <w:rPr>
          <w:rFonts w:eastAsia="Arial Unicode MS"/>
          <w:b/>
        </w:rPr>
        <w:t xml:space="preserve">varsa </w:t>
      </w:r>
      <w:r w:rsidR="005147B7" w:rsidRPr="0074397F">
        <w:rPr>
          <w:rFonts w:eastAsia="Arial Unicode MS"/>
          <w:b/>
        </w:rPr>
        <w:t>B</w:t>
      </w:r>
      <w:r w:rsidR="00E253C8" w:rsidRPr="0074397F">
        <w:rPr>
          <w:rFonts w:eastAsia="Arial Unicode MS"/>
          <w:b/>
        </w:rPr>
        <w:t>anka</w:t>
      </w:r>
      <w:r w:rsidR="005147B7" w:rsidRPr="0074397F">
        <w:rPr>
          <w:rFonts w:eastAsia="Arial Unicode MS"/>
          <w:b/>
        </w:rPr>
        <w:t>’</w:t>
      </w:r>
      <w:r w:rsidR="00E253C8" w:rsidRPr="0074397F">
        <w:rPr>
          <w:rFonts w:eastAsia="Arial Unicode MS"/>
          <w:b/>
        </w:rPr>
        <w:t xml:space="preserve">da sahip oldukları paylara ve sorumluluk alanlarına ilişkin açıklamalar </w:t>
      </w:r>
    </w:p>
    <w:p w14:paraId="18223ED5" w14:textId="77777777" w:rsidR="00A54E92" w:rsidRPr="0074397F" w:rsidRDefault="00A54E92" w:rsidP="008F08F2">
      <w:pPr>
        <w:pStyle w:val="BodyText"/>
        <w:autoSpaceDE/>
        <w:autoSpaceDN/>
        <w:adjustRightInd/>
        <w:spacing w:line="230" w:lineRule="auto"/>
        <w:ind w:hanging="567"/>
        <w:rPr>
          <w:rFonts w:eastAsia="Arial Unicode MS"/>
          <w:b/>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99"/>
        <w:gridCol w:w="3380"/>
        <w:gridCol w:w="823"/>
        <w:gridCol w:w="778"/>
        <w:gridCol w:w="847"/>
        <w:gridCol w:w="765"/>
        <w:gridCol w:w="576"/>
      </w:tblGrid>
      <w:tr w:rsidR="00A54E92" w:rsidRPr="00A54E92" w14:paraId="29643442" w14:textId="77777777" w:rsidTr="00A54E92">
        <w:trPr>
          <w:trHeight w:val="230"/>
        </w:trPr>
        <w:tc>
          <w:tcPr>
            <w:tcW w:w="2099" w:type="dxa"/>
            <w:vMerge w:val="restart"/>
            <w:shd w:val="clear" w:color="auto" w:fill="auto"/>
            <w:noWrap/>
            <w:vAlign w:val="center"/>
            <w:hideMark/>
          </w:tcPr>
          <w:p w14:paraId="436EDB01" w14:textId="77777777" w:rsidR="00A54E92" w:rsidRPr="00A54E92" w:rsidRDefault="00A54E92" w:rsidP="00A54E92">
            <w:pPr>
              <w:rPr>
                <w:color w:val="000000"/>
                <w:sz w:val="14"/>
                <w:szCs w:val="14"/>
                <w:lang w:eastAsia="tr-TR"/>
              </w:rPr>
            </w:pPr>
            <w:r w:rsidRPr="00A54E92">
              <w:rPr>
                <w:color w:val="000000"/>
                <w:sz w:val="14"/>
                <w:szCs w:val="14"/>
                <w:lang w:eastAsia="tr-TR"/>
              </w:rPr>
              <w:t>İsim</w:t>
            </w:r>
          </w:p>
        </w:tc>
        <w:tc>
          <w:tcPr>
            <w:tcW w:w="3380" w:type="dxa"/>
            <w:vMerge w:val="restart"/>
            <w:shd w:val="clear" w:color="auto" w:fill="auto"/>
            <w:noWrap/>
            <w:vAlign w:val="center"/>
            <w:hideMark/>
          </w:tcPr>
          <w:p w14:paraId="0ED49700" w14:textId="77777777" w:rsidR="00A54E92" w:rsidRPr="00A54E92" w:rsidRDefault="00A54E92" w:rsidP="00A54E92">
            <w:pPr>
              <w:jc w:val="center"/>
              <w:rPr>
                <w:color w:val="000000"/>
                <w:sz w:val="14"/>
                <w:szCs w:val="14"/>
                <w:lang w:eastAsia="tr-TR"/>
              </w:rPr>
            </w:pPr>
            <w:r w:rsidRPr="00A54E92">
              <w:rPr>
                <w:color w:val="000000"/>
                <w:sz w:val="14"/>
                <w:szCs w:val="14"/>
                <w:lang w:eastAsia="tr-TR"/>
              </w:rPr>
              <w:t>Görevi</w:t>
            </w:r>
          </w:p>
        </w:tc>
        <w:tc>
          <w:tcPr>
            <w:tcW w:w="823" w:type="dxa"/>
            <w:vMerge w:val="restart"/>
            <w:shd w:val="clear" w:color="auto" w:fill="auto"/>
            <w:noWrap/>
            <w:vAlign w:val="center"/>
            <w:hideMark/>
          </w:tcPr>
          <w:p w14:paraId="0CB1821E" w14:textId="77777777" w:rsidR="00A54E92" w:rsidRPr="00A54E92" w:rsidRDefault="00A54E92" w:rsidP="00A54E92">
            <w:pPr>
              <w:jc w:val="right"/>
              <w:rPr>
                <w:color w:val="000000"/>
                <w:sz w:val="14"/>
                <w:szCs w:val="14"/>
                <w:lang w:eastAsia="tr-TR"/>
              </w:rPr>
            </w:pPr>
            <w:r w:rsidRPr="00A54E92">
              <w:rPr>
                <w:color w:val="000000"/>
                <w:sz w:val="14"/>
                <w:szCs w:val="14"/>
                <w:lang w:eastAsia="tr-TR"/>
              </w:rPr>
              <w:t>Göreve atanma tarihi</w:t>
            </w:r>
          </w:p>
        </w:tc>
        <w:tc>
          <w:tcPr>
            <w:tcW w:w="752" w:type="dxa"/>
            <w:vMerge w:val="restart"/>
            <w:shd w:val="clear" w:color="auto" w:fill="auto"/>
            <w:noWrap/>
            <w:vAlign w:val="center"/>
            <w:hideMark/>
          </w:tcPr>
          <w:p w14:paraId="10D96556" w14:textId="77777777" w:rsidR="00A54E92" w:rsidRPr="00A54E92" w:rsidRDefault="00A54E92" w:rsidP="00A54E92">
            <w:pPr>
              <w:jc w:val="right"/>
              <w:rPr>
                <w:color w:val="000000"/>
                <w:sz w:val="14"/>
                <w:szCs w:val="14"/>
                <w:lang w:eastAsia="tr-TR"/>
              </w:rPr>
            </w:pPr>
            <w:r w:rsidRPr="00A54E92">
              <w:rPr>
                <w:color w:val="000000"/>
                <w:sz w:val="14"/>
                <w:szCs w:val="14"/>
                <w:lang w:eastAsia="tr-TR"/>
              </w:rPr>
              <w:t>Denetim Komitesi görevi atanma tarihi</w:t>
            </w:r>
          </w:p>
        </w:tc>
        <w:tc>
          <w:tcPr>
            <w:tcW w:w="847" w:type="dxa"/>
            <w:vMerge w:val="restart"/>
            <w:shd w:val="clear" w:color="auto" w:fill="auto"/>
            <w:noWrap/>
            <w:vAlign w:val="center"/>
            <w:hideMark/>
          </w:tcPr>
          <w:p w14:paraId="7F113CB3" w14:textId="77777777" w:rsidR="00A54E92" w:rsidRPr="00A54E92" w:rsidRDefault="00A54E92" w:rsidP="00A54E92">
            <w:pPr>
              <w:jc w:val="right"/>
              <w:rPr>
                <w:color w:val="000000"/>
                <w:sz w:val="14"/>
                <w:szCs w:val="14"/>
                <w:lang w:eastAsia="tr-TR"/>
              </w:rPr>
            </w:pPr>
            <w:r w:rsidRPr="00A54E92">
              <w:rPr>
                <w:color w:val="000000"/>
                <w:sz w:val="14"/>
                <w:szCs w:val="14"/>
                <w:lang w:eastAsia="tr-TR"/>
              </w:rPr>
              <w:t>Denetim Komitesi görevi bitiş tarihi</w:t>
            </w:r>
          </w:p>
        </w:tc>
        <w:tc>
          <w:tcPr>
            <w:tcW w:w="765" w:type="dxa"/>
            <w:vMerge w:val="restart"/>
            <w:shd w:val="clear" w:color="auto" w:fill="auto"/>
            <w:noWrap/>
            <w:vAlign w:val="center"/>
            <w:hideMark/>
          </w:tcPr>
          <w:p w14:paraId="5352A287" w14:textId="77777777" w:rsidR="00A54E92" w:rsidRPr="00A54E92" w:rsidRDefault="00A54E92" w:rsidP="00A54E92">
            <w:pPr>
              <w:jc w:val="right"/>
              <w:rPr>
                <w:color w:val="000000"/>
                <w:sz w:val="14"/>
                <w:szCs w:val="14"/>
                <w:lang w:eastAsia="tr-TR"/>
              </w:rPr>
            </w:pPr>
            <w:r w:rsidRPr="00A54E92">
              <w:rPr>
                <w:color w:val="000000"/>
                <w:sz w:val="14"/>
                <w:szCs w:val="14"/>
                <w:lang w:eastAsia="tr-TR"/>
              </w:rPr>
              <w:t>Öğrenim durumu</w:t>
            </w:r>
          </w:p>
        </w:tc>
        <w:tc>
          <w:tcPr>
            <w:tcW w:w="576" w:type="dxa"/>
            <w:vMerge w:val="restart"/>
            <w:shd w:val="clear" w:color="auto" w:fill="auto"/>
            <w:noWrap/>
            <w:vAlign w:val="center"/>
            <w:hideMark/>
          </w:tcPr>
          <w:p w14:paraId="2431E67E" w14:textId="77777777" w:rsidR="00A54E92" w:rsidRPr="00A54E92" w:rsidRDefault="00A54E92" w:rsidP="00A54E92">
            <w:pPr>
              <w:jc w:val="right"/>
              <w:rPr>
                <w:color w:val="000000"/>
                <w:sz w:val="14"/>
                <w:szCs w:val="14"/>
                <w:lang w:eastAsia="tr-TR"/>
              </w:rPr>
            </w:pPr>
            <w:r w:rsidRPr="00A54E92">
              <w:rPr>
                <w:color w:val="000000"/>
                <w:sz w:val="14"/>
                <w:szCs w:val="14"/>
                <w:lang w:eastAsia="tr-TR"/>
              </w:rPr>
              <w:t>Pay oranı</w:t>
            </w:r>
          </w:p>
        </w:tc>
      </w:tr>
      <w:tr w:rsidR="00A54E92" w:rsidRPr="00A54E92" w14:paraId="0F62B3C9" w14:textId="77777777" w:rsidTr="00A54E92">
        <w:trPr>
          <w:trHeight w:val="247"/>
        </w:trPr>
        <w:tc>
          <w:tcPr>
            <w:tcW w:w="2099" w:type="dxa"/>
            <w:vMerge/>
            <w:vAlign w:val="center"/>
            <w:hideMark/>
          </w:tcPr>
          <w:p w14:paraId="0435A292" w14:textId="77777777" w:rsidR="00A54E92" w:rsidRPr="00A54E92" w:rsidRDefault="00A54E92" w:rsidP="00A54E92">
            <w:pPr>
              <w:rPr>
                <w:color w:val="000000"/>
                <w:sz w:val="14"/>
                <w:szCs w:val="14"/>
                <w:lang w:eastAsia="tr-TR"/>
              </w:rPr>
            </w:pPr>
          </w:p>
        </w:tc>
        <w:tc>
          <w:tcPr>
            <w:tcW w:w="3380" w:type="dxa"/>
            <w:vMerge/>
            <w:vAlign w:val="center"/>
            <w:hideMark/>
          </w:tcPr>
          <w:p w14:paraId="18AA5F4F" w14:textId="77777777" w:rsidR="00A54E92" w:rsidRPr="00A54E92" w:rsidRDefault="00A54E92" w:rsidP="00A54E92">
            <w:pPr>
              <w:jc w:val="center"/>
              <w:rPr>
                <w:color w:val="000000"/>
                <w:sz w:val="14"/>
                <w:szCs w:val="14"/>
                <w:lang w:eastAsia="tr-TR"/>
              </w:rPr>
            </w:pPr>
          </w:p>
        </w:tc>
        <w:tc>
          <w:tcPr>
            <w:tcW w:w="823" w:type="dxa"/>
            <w:vMerge/>
            <w:vAlign w:val="center"/>
            <w:hideMark/>
          </w:tcPr>
          <w:p w14:paraId="5B1709E0" w14:textId="77777777" w:rsidR="00A54E92" w:rsidRPr="00A54E92" w:rsidRDefault="00A54E92" w:rsidP="00A54E92">
            <w:pPr>
              <w:jc w:val="right"/>
              <w:rPr>
                <w:color w:val="000000"/>
                <w:sz w:val="14"/>
                <w:szCs w:val="14"/>
                <w:lang w:eastAsia="tr-TR"/>
              </w:rPr>
            </w:pPr>
          </w:p>
        </w:tc>
        <w:tc>
          <w:tcPr>
            <w:tcW w:w="752" w:type="dxa"/>
            <w:vMerge/>
            <w:vAlign w:val="center"/>
            <w:hideMark/>
          </w:tcPr>
          <w:p w14:paraId="1DE2CEB6" w14:textId="77777777" w:rsidR="00A54E92" w:rsidRPr="00A54E92" w:rsidRDefault="00A54E92" w:rsidP="00A54E92">
            <w:pPr>
              <w:jc w:val="right"/>
              <w:rPr>
                <w:color w:val="000000"/>
                <w:sz w:val="14"/>
                <w:szCs w:val="14"/>
                <w:lang w:eastAsia="tr-TR"/>
              </w:rPr>
            </w:pPr>
          </w:p>
        </w:tc>
        <w:tc>
          <w:tcPr>
            <w:tcW w:w="847" w:type="dxa"/>
            <w:vMerge/>
            <w:vAlign w:val="center"/>
            <w:hideMark/>
          </w:tcPr>
          <w:p w14:paraId="2120EB05" w14:textId="77777777" w:rsidR="00A54E92" w:rsidRPr="00A54E92" w:rsidRDefault="00A54E92" w:rsidP="00A54E92">
            <w:pPr>
              <w:jc w:val="right"/>
              <w:rPr>
                <w:color w:val="000000"/>
                <w:sz w:val="14"/>
                <w:szCs w:val="14"/>
                <w:lang w:eastAsia="tr-TR"/>
              </w:rPr>
            </w:pPr>
          </w:p>
        </w:tc>
        <w:tc>
          <w:tcPr>
            <w:tcW w:w="765" w:type="dxa"/>
            <w:vMerge/>
            <w:vAlign w:val="center"/>
            <w:hideMark/>
          </w:tcPr>
          <w:p w14:paraId="06E4DC90" w14:textId="77777777" w:rsidR="00A54E92" w:rsidRPr="00A54E92" w:rsidRDefault="00A54E92" w:rsidP="00A54E92">
            <w:pPr>
              <w:jc w:val="right"/>
              <w:rPr>
                <w:color w:val="000000"/>
                <w:sz w:val="14"/>
                <w:szCs w:val="14"/>
                <w:lang w:eastAsia="tr-TR"/>
              </w:rPr>
            </w:pPr>
          </w:p>
        </w:tc>
        <w:tc>
          <w:tcPr>
            <w:tcW w:w="576" w:type="dxa"/>
            <w:vMerge/>
            <w:vAlign w:val="center"/>
            <w:hideMark/>
          </w:tcPr>
          <w:p w14:paraId="14EE2734" w14:textId="77777777" w:rsidR="00A54E92" w:rsidRPr="00A54E92" w:rsidRDefault="00A54E92" w:rsidP="00A54E92">
            <w:pPr>
              <w:jc w:val="right"/>
              <w:rPr>
                <w:color w:val="000000"/>
                <w:sz w:val="14"/>
                <w:szCs w:val="14"/>
                <w:lang w:eastAsia="tr-TR"/>
              </w:rPr>
            </w:pPr>
          </w:p>
        </w:tc>
      </w:tr>
      <w:tr w:rsidR="00A54E92" w:rsidRPr="00A54E92" w14:paraId="168E5AE0" w14:textId="77777777" w:rsidTr="00A54E92">
        <w:trPr>
          <w:trHeight w:val="40"/>
        </w:trPr>
        <w:tc>
          <w:tcPr>
            <w:tcW w:w="2099" w:type="dxa"/>
            <w:shd w:val="clear" w:color="auto" w:fill="auto"/>
            <w:noWrap/>
            <w:vAlign w:val="center"/>
            <w:hideMark/>
          </w:tcPr>
          <w:p w14:paraId="5897DAD8" w14:textId="77777777" w:rsidR="00A54E92" w:rsidRPr="00A54E92" w:rsidRDefault="00A54E92" w:rsidP="00A54E92">
            <w:pPr>
              <w:rPr>
                <w:color w:val="000000"/>
                <w:sz w:val="14"/>
                <w:szCs w:val="14"/>
                <w:lang w:eastAsia="tr-TR"/>
              </w:rPr>
            </w:pPr>
            <w:proofErr w:type="spellStart"/>
            <w:r w:rsidRPr="00A54E92">
              <w:rPr>
                <w:color w:val="000000"/>
                <w:sz w:val="14"/>
                <w:szCs w:val="14"/>
                <w:lang w:eastAsia="tr-TR"/>
              </w:rPr>
              <w:t>Hamad</w:t>
            </w:r>
            <w:proofErr w:type="spellEnd"/>
            <w:r w:rsidRPr="00A54E92">
              <w:rPr>
                <w:color w:val="000000"/>
                <w:sz w:val="14"/>
                <w:szCs w:val="14"/>
                <w:lang w:eastAsia="tr-TR"/>
              </w:rPr>
              <w:t xml:space="preserve"> </w:t>
            </w:r>
            <w:proofErr w:type="spellStart"/>
            <w:r w:rsidRPr="00A54E92">
              <w:rPr>
                <w:color w:val="000000"/>
                <w:sz w:val="14"/>
                <w:szCs w:val="14"/>
                <w:lang w:eastAsia="tr-TR"/>
              </w:rPr>
              <w:t>Abdulmohsen</w:t>
            </w:r>
            <w:proofErr w:type="spellEnd"/>
            <w:r w:rsidRPr="00A54E92">
              <w:rPr>
                <w:color w:val="000000"/>
                <w:sz w:val="14"/>
                <w:szCs w:val="14"/>
                <w:lang w:eastAsia="tr-TR"/>
              </w:rPr>
              <w:t xml:space="preserve"> AL MARZOUQ</w:t>
            </w:r>
          </w:p>
        </w:tc>
        <w:tc>
          <w:tcPr>
            <w:tcW w:w="3380" w:type="dxa"/>
            <w:shd w:val="clear" w:color="auto" w:fill="auto"/>
            <w:noWrap/>
            <w:vAlign w:val="center"/>
            <w:hideMark/>
          </w:tcPr>
          <w:p w14:paraId="54B36C7B" w14:textId="77777777" w:rsidR="00A54E92" w:rsidRPr="00A54E92" w:rsidRDefault="00A54E92" w:rsidP="00A54E92">
            <w:pPr>
              <w:jc w:val="center"/>
              <w:rPr>
                <w:color w:val="000000"/>
                <w:sz w:val="14"/>
                <w:szCs w:val="14"/>
                <w:lang w:eastAsia="tr-TR"/>
              </w:rPr>
            </w:pPr>
            <w:r w:rsidRPr="00A54E92">
              <w:rPr>
                <w:color w:val="000000"/>
                <w:sz w:val="14"/>
                <w:szCs w:val="14"/>
                <w:lang w:eastAsia="tr-TR"/>
              </w:rPr>
              <w:t>Y.K. Başkanı</w:t>
            </w:r>
          </w:p>
        </w:tc>
        <w:tc>
          <w:tcPr>
            <w:tcW w:w="823" w:type="dxa"/>
            <w:shd w:val="clear" w:color="auto" w:fill="auto"/>
            <w:noWrap/>
            <w:vAlign w:val="center"/>
            <w:hideMark/>
          </w:tcPr>
          <w:p w14:paraId="025586A0" w14:textId="77777777" w:rsidR="00A54E92" w:rsidRPr="00A54E92" w:rsidRDefault="00A54E92" w:rsidP="00A54E92">
            <w:pPr>
              <w:jc w:val="right"/>
              <w:rPr>
                <w:color w:val="000000"/>
                <w:sz w:val="14"/>
                <w:szCs w:val="14"/>
                <w:lang w:eastAsia="tr-TR"/>
              </w:rPr>
            </w:pPr>
            <w:r w:rsidRPr="00A54E92">
              <w:rPr>
                <w:color w:val="000000"/>
                <w:sz w:val="14"/>
                <w:szCs w:val="14"/>
                <w:lang w:eastAsia="tr-TR"/>
              </w:rPr>
              <w:t>25/06/2014</w:t>
            </w:r>
          </w:p>
        </w:tc>
        <w:tc>
          <w:tcPr>
            <w:tcW w:w="752" w:type="dxa"/>
            <w:shd w:val="clear" w:color="auto" w:fill="auto"/>
            <w:noWrap/>
            <w:vAlign w:val="center"/>
            <w:hideMark/>
          </w:tcPr>
          <w:p w14:paraId="261A56BB"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5B7E1D06" w14:textId="77777777" w:rsidR="00A54E92" w:rsidRPr="00A54E92" w:rsidRDefault="00A54E92" w:rsidP="00A54E92">
            <w:pPr>
              <w:jc w:val="right"/>
              <w:rPr>
                <w:lang w:eastAsia="tr-TR"/>
              </w:rPr>
            </w:pPr>
          </w:p>
        </w:tc>
        <w:tc>
          <w:tcPr>
            <w:tcW w:w="765" w:type="dxa"/>
            <w:shd w:val="clear" w:color="auto" w:fill="auto"/>
            <w:noWrap/>
            <w:vAlign w:val="center"/>
            <w:hideMark/>
          </w:tcPr>
          <w:p w14:paraId="102C5EE7" w14:textId="77777777" w:rsidR="00A54E92" w:rsidRPr="00A54E92" w:rsidRDefault="00A54E92" w:rsidP="00A54E92">
            <w:pPr>
              <w:jc w:val="right"/>
              <w:rPr>
                <w:color w:val="000000"/>
                <w:sz w:val="14"/>
                <w:szCs w:val="14"/>
                <w:lang w:eastAsia="tr-TR"/>
              </w:rPr>
            </w:pPr>
            <w:r w:rsidRPr="00A54E92">
              <w:rPr>
                <w:color w:val="000000"/>
                <w:sz w:val="14"/>
                <w:szCs w:val="14"/>
                <w:lang w:eastAsia="tr-TR"/>
              </w:rPr>
              <w:t>Yüksek Lisans</w:t>
            </w:r>
          </w:p>
        </w:tc>
        <w:tc>
          <w:tcPr>
            <w:tcW w:w="576" w:type="dxa"/>
            <w:shd w:val="clear" w:color="auto" w:fill="auto"/>
            <w:noWrap/>
            <w:vAlign w:val="center"/>
            <w:hideMark/>
          </w:tcPr>
          <w:p w14:paraId="114170BA" w14:textId="77777777" w:rsidR="00A54E92" w:rsidRPr="00A54E92" w:rsidRDefault="00A54E92" w:rsidP="00A54E92">
            <w:pPr>
              <w:jc w:val="right"/>
              <w:rPr>
                <w:color w:val="000000"/>
                <w:sz w:val="14"/>
                <w:szCs w:val="14"/>
                <w:lang w:eastAsia="tr-TR"/>
              </w:rPr>
            </w:pPr>
            <w:r w:rsidRPr="00A54E92">
              <w:rPr>
                <w:color w:val="000000"/>
                <w:sz w:val="14"/>
                <w:szCs w:val="14"/>
                <w:lang w:eastAsia="tr-TR"/>
              </w:rPr>
              <w:t>-</w:t>
            </w:r>
          </w:p>
        </w:tc>
      </w:tr>
      <w:tr w:rsidR="00A54E92" w:rsidRPr="00A54E92" w14:paraId="750CC596" w14:textId="77777777" w:rsidTr="00A54E92">
        <w:trPr>
          <w:trHeight w:val="40"/>
        </w:trPr>
        <w:tc>
          <w:tcPr>
            <w:tcW w:w="2099" w:type="dxa"/>
            <w:shd w:val="clear" w:color="auto" w:fill="auto"/>
            <w:noWrap/>
            <w:vAlign w:val="center"/>
            <w:hideMark/>
          </w:tcPr>
          <w:p w14:paraId="6E410BE7" w14:textId="2955B37B" w:rsidR="00A54E92" w:rsidRPr="00A54E92" w:rsidRDefault="00A54E92" w:rsidP="00A54E92">
            <w:pPr>
              <w:rPr>
                <w:color w:val="000000"/>
                <w:sz w:val="14"/>
                <w:szCs w:val="14"/>
                <w:lang w:eastAsia="tr-TR"/>
              </w:rPr>
            </w:pPr>
            <w:r w:rsidRPr="00A54E92">
              <w:rPr>
                <w:color w:val="000000"/>
                <w:sz w:val="14"/>
                <w:szCs w:val="14"/>
                <w:lang w:eastAsia="tr-TR"/>
              </w:rPr>
              <w:t>Burhan E</w:t>
            </w:r>
            <w:r>
              <w:rPr>
                <w:color w:val="000000"/>
                <w:sz w:val="14"/>
                <w:szCs w:val="14"/>
                <w:lang w:eastAsia="tr-TR"/>
              </w:rPr>
              <w:t>RSOY</w:t>
            </w:r>
          </w:p>
        </w:tc>
        <w:tc>
          <w:tcPr>
            <w:tcW w:w="3380" w:type="dxa"/>
            <w:shd w:val="clear" w:color="auto" w:fill="auto"/>
            <w:noWrap/>
            <w:vAlign w:val="center"/>
            <w:hideMark/>
          </w:tcPr>
          <w:p w14:paraId="50729687" w14:textId="74D12DD8" w:rsidR="00A54E92" w:rsidRPr="00A54E92" w:rsidRDefault="00A54E92" w:rsidP="00A54E92">
            <w:pPr>
              <w:jc w:val="center"/>
              <w:rPr>
                <w:sz w:val="14"/>
                <w:szCs w:val="14"/>
                <w:lang w:eastAsia="tr-TR"/>
              </w:rPr>
            </w:pPr>
            <w:r w:rsidRPr="00A54E92">
              <w:rPr>
                <w:sz w:val="14"/>
                <w:szCs w:val="14"/>
                <w:lang w:eastAsia="tr-TR"/>
              </w:rPr>
              <w:t>Y.K. Üyesi</w:t>
            </w:r>
          </w:p>
        </w:tc>
        <w:tc>
          <w:tcPr>
            <w:tcW w:w="823" w:type="dxa"/>
            <w:shd w:val="clear" w:color="auto" w:fill="auto"/>
            <w:noWrap/>
            <w:vAlign w:val="center"/>
            <w:hideMark/>
          </w:tcPr>
          <w:p w14:paraId="57058B63" w14:textId="77777777" w:rsidR="00A54E92" w:rsidRPr="00A54E92" w:rsidRDefault="00A54E92" w:rsidP="00A54E92">
            <w:pPr>
              <w:jc w:val="right"/>
              <w:rPr>
                <w:color w:val="000000"/>
                <w:sz w:val="14"/>
                <w:szCs w:val="14"/>
                <w:lang w:eastAsia="tr-TR"/>
              </w:rPr>
            </w:pPr>
            <w:r w:rsidRPr="00A54E92">
              <w:rPr>
                <w:color w:val="000000"/>
                <w:sz w:val="14"/>
                <w:szCs w:val="14"/>
                <w:lang w:eastAsia="tr-TR"/>
              </w:rPr>
              <w:t>18/06/2020</w:t>
            </w:r>
          </w:p>
        </w:tc>
        <w:tc>
          <w:tcPr>
            <w:tcW w:w="752" w:type="dxa"/>
            <w:shd w:val="clear" w:color="auto" w:fill="auto"/>
            <w:noWrap/>
            <w:vAlign w:val="center"/>
            <w:hideMark/>
          </w:tcPr>
          <w:p w14:paraId="0AC146B6"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33C25D41" w14:textId="77777777" w:rsidR="00A54E92" w:rsidRPr="00A54E92" w:rsidRDefault="00A54E92" w:rsidP="00A54E92">
            <w:pPr>
              <w:jc w:val="right"/>
              <w:rPr>
                <w:lang w:eastAsia="tr-TR"/>
              </w:rPr>
            </w:pPr>
          </w:p>
        </w:tc>
        <w:tc>
          <w:tcPr>
            <w:tcW w:w="765" w:type="dxa"/>
            <w:shd w:val="clear" w:color="auto" w:fill="auto"/>
            <w:noWrap/>
            <w:vAlign w:val="center"/>
            <w:hideMark/>
          </w:tcPr>
          <w:p w14:paraId="428055BD" w14:textId="77777777" w:rsidR="00A54E92" w:rsidRPr="00A54E92" w:rsidRDefault="00A54E92" w:rsidP="00A54E92">
            <w:pPr>
              <w:jc w:val="right"/>
              <w:rPr>
                <w:color w:val="000000"/>
                <w:sz w:val="14"/>
                <w:szCs w:val="14"/>
                <w:lang w:eastAsia="tr-TR"/>
              </w:rPr>
            </w:pPr>
            <w:r w:rsidRPr="00A54E92">
              <w:rPr>
                <w:color w:val="000000"/>
                <w:sz w:val="14"/>
                <w:szCs w:val="14"/>
                <w:lang w:eastAsia="tr-TR"/>
              </w:rPr>
              <w:t>Lisans</w:t>
            </w:r>
          </w:p>
        </w:tc>
        <w:tc>
          <w:tcPr>
            <w:tcW w:w="576" w:type="dxa"/>
            <w:shd w:val="clear" w:color="auto" w:fill="auto"/>
            <w:noWrap/>
            <w:vAlign w:val="center"/>
            <w:hideMark/>
          </w:tcPr>
          <w:p w14:paraId="5066064E" w14:textId="77777777" w:rsidR="00A54E92" w:rsidRPr="00A54E92" w:rsidRDefault="00A54E92" w:rsidP="00A54E92">
            <w:pPr>
              <w:jc w:val="right"/>
              <w:rPr>
                <w:color w:val="000000"/>
                <w:sz w:val="14"/>
                <w:szCs w:val="14"/>
                <w:lang w:eastAsia="tr-TR"/>
              </w:rPr>
            </w:pPr>
            <w:r w:rsidRPr="00A54E92">
              <w:rPr>
                <w:color w:val="000000"/>
                <w:sz w:val="14"/>
                <w:szCs w:val="14"/>
                <w:lang w:eastAsia="tr-TR"/>
              </w:rPr>
              <w:t>-</w:t>
            </w:r>
          </w:p>
        </w:tc>
      </w:tr>
      <w:tr w:rsidR="00A54E92" w:rsidRPr="00A54E92" w14:paraId="451EFEB1" w14:textId="77777777" w:rsidTr="00A54E92">
        <w:trPr>
          <w:trHeight w:val="40"/>
        </w:trPr>
        <w:tc>
          <w:tcPr>
            <w:tcW w:w="2099" w:type="dxa"/>
            <w:shd w:val="clear" w:color="auto" w:fill="auto"/>
            <w:noWrap/>
            <w:vAlign w:val="center"/>
            <w:hideMark/>
          </w:tcPr>
          <w:p w14:paraId="0604F0E0" w14:textId="77777777" w:rsidR="00A54E92" w:rsidRPr="00A54E92" w:rsidRDefault="00A54E92" w:rsidP="00A54E92">
            <w:pPr>
              <w:rPr>
                <w:color w:val="000000"/>
                <w:sz w:val="14"/>
                <w:szCs w:val="14"/>
                <w:lang w:eastAsia="tr-TR"/>
              </w:rPr>
            </w:pPr>
            <w:r w:rsidRPr="00A54E92">
              <w:rPr>
                <w:color w:val="000000"/>
                <w:sz w:val="14"/>
                <w:szCs w:val="14"/>
                <w:lang w:eastAsia="tr-TR"/>
              </w:rPr>
              <w:t>Nadir ALPASLAN</w:t>
            </w:r>
          </w:p>
        </w:tc>
        <w:tc>
          <w:tcPr>
            <w:tcW w:w="3380" w:type="dxa"/>
            <w:shd w:val="clear" w:color="auto" w:fill="auto"/>
            <w:noWrap/>
            <w:vAlign w:val="center"/>
            <w:hideMark/>
          </w:tcPr>
          <w:p w14:paraId="06996BB7" w14:textId="77777777" w:rsidR="00A54E92" w:rsidRPr="00A54E92" w:rsidRDefault="00A54E92" w:rsidP="00A54E92">
            <w:pPr>
              <w:jc w:val="center"/>
              <w:rPr>
                <w:sz w:val="14"/>
                <w:szCs w:val="14"/>
                <w:lang w:eastAsia="tr-TR"/>
              </w:rPr>
            </w:pPr>
            <w:r w:rsidRPr="00A54E92">
              <w:rPr>
                <w:sz w:val="14"/>
                <w:szCs w:val="14"/>
                <w:lang w:eastAsia="tr-TR"/>
              </w:rPr>
              <w:t>Y.K. Üyesi ve Denetim Komitesi Üyesi</w:t>
            </w:r>
          </w:p>
        </w:tc>
        <w:tc>
          <w:tcPr>
            <w:tcW w:w="823" w:type="dxa"/>
            <w:shd w:val="clear" w:color="auto" w:fill="auto"/>
            <w:noWrap/>
            <w:vAlign w:val="center"/>
            <w:hideMark/>
          </w:tcPr>
          <w:p w14:paraId="46C5F0A5" w14:textId="77777777" w:rsidR="00A54E92" w:rsidRPr="00A54E92" w:rsidRDefault="00A54E92" w:rsidP="00A54E92">
            <w:pPr>
              <w:jc w:val="right"/>
              <w:rPr>
                <w:color w:val="000000"/>
                <w:sz w:val="14"/>
                <w:szCs w:val="14"/>
                <w:lang w:eastAsia="tr-TR"/>
              </w:rPr>
            </w:pPr>
            <w:r w:rsidRPr="00A54E92">
              <w:rPr>
                <w:color w:val="000000"/>
                <w:sz w:val="14"/>
                <w:szCs w:val="14"/>
                <w:lang w:eastAsia="tr-TR"/>
              </w:rPr>
              <w:t>15/04/2011</w:t>
            </w:r>
          </w:p>
        </w:tc>
        <w:tc>
          <w:tcPr>
            <w:tcW w:w="752" w:type="dxa"/>
            <w:shd w:val="clear" w:color="auto" w:fill="auto"/>
            <w:noWrap/>
            <w:vAlign w:val="center"/>
            <w:hideMark/>
          </w:tcPr>
          <w:p w14:paraId="32ADC761" w14:textId="77777777" w:rsidR="00A54E92" w:rsidRPr="00A54E92" w:rsidRDefault="00A54E92" w:rsidP="00A54E92">
            <w:pPr>
              <w:jc w:val="right"/>
              <w:rPr>
                <w:color w:val="000000"/>
                <w:sz w:val="14"/>
                <w:szCs w:val="14"/>
                <w:lang w:eastAsia="tr-TR"/>
              </w:rPr>
            </w:pPr>
            <w:r w:rsidRPr="00A54E92">
              <w:rPr>
                <w:color w:val="000000"/>
                <w:sz w:val="14"/>
                <w:szCs w:val="14"/>
                <w:lang w:eastAsia="tr-TR"/>
              </w:rPr>
              <w:t>24/12/2019</w:t>
            </w:r>
          </w:p>
        </w:tc>
        <w:tc>
          <w:tcPr>
            <w:tcW w:w="847" w:type="dxa"/>
            <w:shd w:val="clear" w:color="auto" w:fill="auto"/>
            <w:noWrap/>
            <w:vAlign w:val="center"/>
            <w:hideMark/>
          </w:tcPr>
          <w:p w14:paraId="4FC69B1F" w14:textId="77777777" w:rsidR="00A54E92" w:rsidRPr="00A54E92" w:rsidRDefault="00A54E92" w:rsidP="00A54E92">
            <w:pPr>
              <w:jc w:val="right"/>
              <w:rPr>
                <w:color w:val="000000"/>
                <w:sz w:val="14"/>
                <w:szCs w:val="14"/>
                <w:lang w:eastAsia="tr-TR"/>
              </w:rPr>
            </w:pPr>
          </w:p>
        </w:tc>
        <w:tc>
          <w:tcPr>
            <w:tcW w:w="765" w:type="dxa"/>
            <w:shd w:val="clear" w:color="auto" w:fill="auto"/>
            <w:noWrap/>
            <w:vAlign w:val="center"/>
            <w:hideMark/>
          </w:tcPr>
          <w:p w14:paraId="1139C7A9" w14:textId="77777777" w:rsidR="00A54E92" w:rsidRPr="00A54E92" w:rsidRDefault="00A54E92" w:rsidP="00A54E92">
            <w:pPr>
              <w:jc w:val="right"/>
              <w:rPr>
                <w:color w:val="000000"/>
                <w:sz w:val="14"/>
                <w:szCs w:val="14"/>
                <w:lang w:eastAsia="tr-TR"/>
              </w:rPr>
            </w:pPr>
            <w:r w:rsidRPr="00A54E92">
              <w:rPr>
                <w:color w:val="000000"/>
                <w:sz w:val="14"/>
                <w:szCs w:val="14"/>
                <w:lang w:eastAsia="tr-TR"/>
              </w:rPr>
              <w:t>Lisans</w:t>
            </w:r>
          </w:p>
        </w:tc>
        <w:tc>
          <w:tcPr>
            <w:tcW w:w="576" w:type="dxa"/>
            <w:shd w:val="clear" w:color="auto" w:fill="auto"/>
            <w:noWrap/>
            <w:vAlign w:val="center"/>
            <w:hideMark/>
          </w:tcPr>
          <w:p w14:paraId="70AD583D" w14:textId="77777777" w:rsidR="00A54E92" w:rsidRPr="00A54E92" w:rsidRDefault="00A54E92" w:rsidP="00A54E92">
            <w:pPr>
              <w:jc w:val="right"/>
              <w:rPr>
                <w:color w:val="000000"/>
                <w:sz w:val="14"/>
                <w:szCs w:val="14"/>
                <w:lang w:eastAsia="tr-TR"/>
              </w:rPr>
            </w:pPr>
            <w:r w:rsidRPr="00A54E92">
              <w:rPr>
                <w:color w:val="000000"/>
                <w:sz w:val="14"/>
                <w:szCs w:val="14"/>
                <w:lang w:eastAsia="tr-TR"/>
              </w:rPr>
              <w:t>-</w:t>
            </w:r>
          </w:p>
        </w:tc>
      </w:tr>
      <w:tr w:rsidR="00A54E92" w:rsidRPr="00A54E92" w14:paraId="67DC1F43" w14:textId="77777777" w:rsidTr="00A54E92">
        <w:trPr>
          <w:trHeight w:val="40"/>
        </w:trPr>
        <w:tc>
          <w:tcPr>
            <w:tcW w:w="2099" w:type="dxa"/>
            <w:shd w:val="clear" w:color="auto" w:fill="auto"/>
            <w:noWrap/>
            <w:vAlign w:val="center"/>
            <w:hideMark/>
          </w:tcPr>
          <w:p w14:paraId="511DA0BF" w14:textId="77777777" w:rsidR="00A54E92" w:rsidRPr="00A54E92" w:rsidRDefault="00A54E92" w:rsidP="00A54E92">
            <w:pPr>
              <w:rPr>
                <w:color w:val="000000"/>
                <w:sz w:val="14"/>
                <w:szCs w:val="14"/>
                <w:lang w:eastAsia="tr-TR"/>
              </w:rPr>
            </w:pPr>
            <w:r w:rsidRPr="00A54E92">
              <w:rPr>
                <w:color w:val="000000"/>
                <w:sz w:val="14"/>
                <w:szCs w:val="14"/>
                <w:lang w:eastAsia="tr-TR"/>
              </w:rPr>
              <w:t>Salah A E AL MUDHAF</w:t>
            </w:r>
          </w:p>
        </w:tc>
        <w:tc>
          <w:tcPr>
            <w:tcW w:w="3380" w:type="dxa"/>
            <w:shd w:val="clear" w:color="auto" w:fill="auto"/>
            <w:noWrap/>
            <w:vAlign w:val="center"/>
            <w:hideMark/>
          </w:tcPr>
          <w:p w14:paraId="78AC8E0F" w14:textId="77777777" w:rsidR="00A54E92" w:rsidRPr="00A54E92" w:rsidRDefault="00A54E92" w:rsidP="00A54E92">
            <w:pPr>
              <w:jc w:val="center"/>
              <w:rPr>
                <w:sz w:val="14"/>
                <w:szCs w:val="14"/>
                <w:lang w:eastAsia="tr-TR"/>
              </w:rPr>
            </w:pPr>
            <w:r w:rsidRPr="00A54E92">
              <w:rPr>
                <w:sz w:val="14"/>
                <w:szCs w:val="14"/>
                <w:lang w:eastAsia="tr-TR"/>
              </w:rPr>
              <w:t>Y.K. Üyesi</w:t>
            </w:r>
          </w:p>
        </w:tc>
        <w:tc>
          <w:tcPr>
            <w:tcW w:w="823" w:type="dxa"/>
            <w:shd w:val="clear" w:color="auto" w:fill="auto"/>
            <w:noWrap/>
            <w:vAlign w:val="center"/>
            <w:hideMark/>
          </w:tcPr>
          <w:p w14:paraId="0ED2CB04" w14:textId="77777777" w:rsidR="00A54E92" w:rsidRPr="00A54E92" w:rsidRDefault="00A54E92" w:rsidP="00A54E92">
            <w:pPr>
              <w:jc w:val="right"/>
              <w:rPr>
                <w:color w:val="000000"/>
                <w:sz w:val="14"/>
                <w:szCs w:val="14"/>
                <w:lang w:eastAsia="tr-TR"/>
              </w:rPr>
            </w:pPr>
            <w:r w:rsidRPr="00A54E92">
              <w:rPr>
                <w:color w:val="000000"/>
                <w:sz w:val="14"/>
                <w:szCs w:val="14"/>
                <w:lang w:eastAsia="tr-TR"/>
              </w:rPr>
              <w:t>07/10/2019</w:t>
            </w:r>
          </w:p>
        </w:tc>
        <w:tc>
          <w:tcPr>
            <w:tcW w:w="752" w:type="dxa"/>
            <w:shd w:val="clear" w:color="auto" w:fill="auto"/>
            <w:noWrap/>
            <w:vAlign w:val="center"/>
            <w:hideMark/>
          </w:tcPr>
          <w:p w14:paraId="47C30BC7"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20A7BB65" w14:textId="77777777" w:rsidR="00A54E92" w:rsidRPr="00A54E92" w:rsidRDefault="00A54E92" w:rsidP="00A54E92">
            <w:pPr>
              <w:jc w:val="right"/>
              <w:rPr>
                <w:lang w:eastAsia="tr-TR"/>
              </w:rPr>
            </w:pPr>
          </w:p>
        </w:tc>
        <w:tc>
          <w:tcPr>
            <w:tcW w:w="765" w:type="dxa"/>
            <w:shd w:val="clear" w:color="auto" w:fill="auto"/>
            <w:noWrap/>
            <w:vAlign w:val="center"/>
            <w:hideMark/>
          </w:tcPr>
          <w:p w14:paraId="5DCCCCF5" w14:textId="77777777" w:rsidR="00A54E92" w:rsidRPr="00A54E92" w:rsidRDefault="00A54E92" w:rsidP="00A54E92">
            <w:pPr>
              <w:jc w:val="right"/>
              <w:rPr>
                <w:color w:val="000000"/>
                <w:sz w:val="14"/>
                <w:szCs w:val="14"/>
                <w:lang w:eastAsia="tr-TR"/>
              </w:rPr>
            </w:pPr>
            <w:r w:rsidRPr="00A54E92">
              <w:rPr>
                <w:color w:val="000000"/>
                <w:sz w:val="14"/>
                <w:szCs w:val="14"/>
                <w:lang w:eastAsia="tr-TR"/>
              </w:rPr>
              <w:t>Lisans</w:t>
            </w:r>
          </w:p>
        </w:tc>
        <w:tc>
          <w:tcPr>
            <w:tcW w:w="576" w:type="dxa"/>
            <w:shd w:val="clear" w:color="auto" w:fill="auto"/>
            <w:noWrap/>
            <w:vAlign w:val="center"/>
            <w:hideMark/>
          </w:tcPr>
          <w:p w14:paraId="14DFC6D9" w14:textId="77777777" w:rsidR="00A54E92" w:rsidRPr="00A54E92" w:rsidRDefault="00A54E92" w:rsidP="00A54E92">
            <w:pPr>
              <w:jc w:val="right"/>
              <w:rPr>
                <w:color w:val="000000"/>
                <w:sz w:val="14"/>
                <w:szCs w:val="14"/>
                <w:lang w:eastAsia="tr-TR"/>
              </w:rPr>
            </w:pPr>
            <w:r w:rsidRPr="00A54E92">
              <w:rPr>
                <w:color w:val="000000"/>
                <w:sz w:val="14"/>
                <w:szCs w:val="14"/>
                <w:lang w:eastAsia="tr-TR"/>
              </w:rPr>
              <w:t>0.01%</w:t>
            </w:r>
          </w:p>
        </w:tc>
      </w:tr>
      <w:tr w:rsidR="00A54E92" w:rsidRPr="00A54E92" w14:paraId="179650CE" w14:textId="77777777" w:rsidTr="00A54E92">
        <w:trPr>
          <w:trHeight w:val="40"/>
        </w:trPr>
        <w:tc>
          <w:tcPr>
            <w:tcW w:w="2099" w:type="dxa"/>
            <w:shd w:val="clear" w:color="auto" w:fill="auto"/>
            <w:noWrap/>
            <w:vAlign w:val="center"/>
            <w:hideMark/>
          </w:tcPr>
          <w:p w14:paraId="02A84288" w14:textId="7BE6C052" w:rsidR="00A54E92" w:rsidRPr="00A54E92" w:rsidRDefault="00A54E92" w:rsidP="00A54E92">
            <w:pPr>
              <w:rPr>
                <w:color w:val="000000"/>
                <w:sz w:val="14"/>
                <w:szCs w:val="14"/>
                <w:lang w:eastAsia="tr-TR"/>
              </w:rPr>
            </w:pPr>
            <w:r w:rsidRPr="00A54E92">
              <w:rPr>
                <w:color w:val="000000"/>
                <w:sz w:val="14"/>
                <w:szCs w:val="14"/>
                <w:lang w:eastAsia="tr-TR"/>
              </w:rPr>
              <w:t xml:space="preserve">Shadi Ahmed </w:t>
            </w:r>
            <w:proofErr w:type="spellStart"/>
            <w:r w:rsidRPr="00A54E92">
              <w:rPr>
                <w:color w:val="000000"/>
                <w:sz w:val="14"/>
                <w:szCs w:val="14"/>
                <w:lang w:eastAsia="tr-TR"/>
              </w:rPr>
              <w:t>Yacoub</w:t>
            </w:r>
            <w:proofErr w:type="spellEnd"/>
            <w:r w:rsidRPr="00A54E92">
              <w:rPr>
                <w:color w:val="000000"/>
                <w:sz w:val="14"/>
                <w:szCs w:val="14"/>
                <w:lang w:eastAsia="tr-TR"/>
              </w:rPr>
              <w:t xml:space="preserve"> </w:t>
            </w:r>
            <w:r>
              <w:rPr>
                <w:color w:val="000000"/>
                <w:sz w:val="14"/>
                <w:szCs w:val="14"/>
                <w:lang w:eastAsia="tr-TR"/>
              </w:rPr>
              <w:t>ZAHRAN</w:t>
            </w:r>
          </w:p>
        </w:tc>
        <w:tc>
          <w:tcPr>
            <w:tcW w:w="3380" w:type="dxa"/>
            <w:shd w:val="clear" w:color="auto" w:fill="auto"/>
            <w:noWrap/>
            <w:vAlign w:val="center"/>
            <w:hideMark/>
          </w:tcPr>
          <w:p w14:paraId="0C0D122F" w14:textId="7357A20F" w:rsidR="00A54E92" w:rsidRPr="00A54E92" w:rsidRDefault="00A54E92" w:rsidP="00A54E92">
            <w:pPr>
              <w:jc w:val="center"/>
              <w:rPr>
                <w:sz w:val="14"/>
                <w:szCs w:val="14"/>
                <w:lang w:eastAsia="tr-TR"/>
              </w:rPr>
            </w:pPr>
            <w:r w:rsidRPr="00A54E92">
              <w:rPr>
                <w:sz w:val="14"/>
                <w:szCs w:val="14"/>
                <w:lang w:eastAsia="tr-TR"/>
              </w:rPr>
              <w:t>Y.K. Üyesi ve Denetim Komitesi Başkanı</w:t>
            </w:r>
          </w:p>
        </w:tc>
        <w:tc>
          <w:tcPr>
            <w:tcW w:w="823" w:type="dxa"/>
            <w:shd w:val="clear" w:color="auto" w:fill="auto"/>
            <w:noWrap/>
            <w:vAlign w:val="center"/>
            <w:hideMark/>
          </w:tcPr>
          <w:p w14:paraId="6C7F4015" w14:textId="77777777" w:rsidR="00A54E92" w:rsidRPr="00A54E92" w:rsidRDefault="00A54E92" w:rsidP="00A54E92">
            <w:pPr>
              <w:jc w:val="right"/>
              <w:rPr>
                <w:color w:val="000000"/>
                <w:sz w:val="14"/>
                <w:szCs w:val="14"/>
                <w:lang w:eastAsia="tr-TR"/>
              </w:rPr>
            </w:pPr>
            <w:r w:rsidRPr="00A54E92">
              <w:rPr>
                <w:color w:val="000000"/>
                <w:sz w:val="14"/>
                <w:szCs w:val="14"/>
                <w:lang w:eastAsia="tr-TR"/>
              </w:rPr>
              <w:t>25/09/2020</w:t>
            </w:r>
          </w:p>
        </w:tc>
        <w:tc>
          <w:tcPr>
            <w:tcW w:w="752" w:type="dxa"/>
            <w:shd w:val="clear" w:color="auto" w:fill="auto"/>
            <w:noWrap/>
            <w:vAlign w:val="center"/>
            <w:hideMark/>
          </w:tcPr>
          <w:p w14:paraId="68CA6080" w14:textId="60DE2951" w:rsidR="00A54E92" w:rsidRPr="00A54E92" w:rsidRDefault="00A54E92" w:rsidP="00A54E92">
            <w:pPr>
              <w:jc w:val="right"/>
              <w:rPr>
                <w:color w:val="000000"/>
                <w:sz w:val="14"/>
                <w:szCs w:val="14"/>
                <w:lang w:eastAsia="tr-TR"/>
              </w:rPr>
            </w:pPr>
            <w:r>
              <w:rPr>
                <w:color w:val="000000"/>
                <w:sz w:val="14"/>
                <w:szCs w:val="14"/>
                <w:lang w:eastAsia="tr-TR"/>
              </w:rPr>
              <w:t>04/11/2020</w:t>
            </w:r>
          </w:p>
        </w:tc>
        <w:tc>
          <w:tcPr>
            <w:tcW w:w="847" w:type="dxa"/>
            <w:shd w:val="clear" w:color="auto" w:fill="auto"/>
            <w:noWrap/>
            <w:vAlign w:val="center"/>
            <w:hideMark/>
          </w:tcPr>
          <w:p w14:paraId="36E4FB5F" w14:textId="77777777" w:rsidR="00A54E92" w:rsidRPr="00A54E92" w:rsidRDefault="00A54E92" w:rsidP="00A54E92">
            <w:pPr>
              <w:jc w:val="right"/>
              <w:rPr>
                <w:lang w:eastAsia="tr-TR"/>
              </w:rPr>
            </w:pPr>
          </w:p>
        </w:tc>
        <w:tc>
          <w:tcPr>
            <w:tcW w:w="765" w:type="dxa"/>
            <w:shd w:val="clear" w:color="auto" w:fill="auto"/>
            <w:noWrap/>
            <w:vAlign w:val="center"/>
            <w:hideMark/>
          </w:tcPr>
          <w:p w14:paraId="098C426F" w14:textId="77777777" w:rsidR="00A54E92" w:rsidRPr="00A54E92" w:rsidRDefault="00A54E92" w:rsidP="00A54E92">
            <w:pPr>
              <w:jc w:val="right"/>
              <w:rPr>
                <w:color w:val="000000"/>
                <w:sz w:val="14"/>
                <w:szCs w:val="14"/>
                <w:lang w:eastAsia="tr-TR"/>
              </w:rPr>
            </w:pPr>
            <w:r w:rsidRPr="00A54E92">
              <w:rPr>
                <w:color w:val="000000"/>
                <w:sz w:val="14"/>
                <w:szCs w:val="14"/>
                <w:lang w:eastAsia="tr-TR"/>
              </w:rPr>
              <w:t>Lisans</w:t>
            </w:r>
          </w:p>
        </w:tc>
        <w:tc>
          <w:tcPr>
            <w:tcW w:w="576" w:type="dxa"/>
            <w:shd w:val="clear" w:color="auto" w:fill="auto"/>
            <w:noWrap/>
            <w:vAlign w:val="center"/>
            <w:hideMark/>
          </w:tcPr>
          <w:p w14:paraId="64DD4469" w14:textId="77777777" w:rsidR="00A54E92" w:rsidRPr="00A54E92" w:rsidRDefault="00A54E92" w:rsidP="00A54E92">
            <w:pPr>
              <w:jc w:val="right"/>
              <w:rPr>
                <w:color w:val="000000"/>
                <w:sz w:val="14"/>
                <w:szCs w:val="14"/>
                <w:lang w:eastAsia="tr-TR"/>
              </w:rPr>
            </w:pPr>
            <w:r w:rsidRPr="00A54E92">
              <w:rPr>
                <w:color w:val="000000"/>
                <w:sz w:val="14"/>
                <w:szCs w:val="14"/>
                <w:lang w:eastAsia="tr-TR"/>
              </w:rPr>
              <w:t>-</w:t>
            </w:r>
          </w:p>
        </w:tc>
      </w:tr>
      <w:tr w:rsidR="00A54E92" w:rsidRPr="00A54E92" w14:paraId="779D9B82" w14:textId="77777777" w:rsidTr="00A54E92">
        <w:trPr>
          <w:trHeight w:val="40"/>
        </w:trPr>
        <w:tc>
          <w:tcPr>
            <w:tcW w:w="2099" w:type="dxa"/>
            <w:shd w:val="clear" w:color="auto" w:fill="auto"/>
            <w:noWrap/>
            <w:vAlign w:val="center"/>
            <w:hideMark/>
          </w:tcPr>
          <w:p w14:paraId="7CA6AE72" w14:textId="0191E839" w:rsidR="00A54E92" w:rsidRPr="00A54E92" w:rsidRDefault="00A54E92" w:rsidP="00A54E92">
            <w:pPr>
              <w:rPr>
                <w:color w:val="000000"/>
                <w:sz w:val="14"/>
                <w:szCs w:val="14"/>
                <w:lang w:eastAsia="tr-TR"/>
              </w:rPr>
            </w:pPr>
            <w:proofErr w:type="spellStart"/>
            <w:r w:rsidRPr="00A54E92">
              <w:rPr>
                <w:color w:val="000000"/>
                <w:sz w:val="14"/>
                <w:szCs w:val="14"/>
                <w:lang w:eastAsia="tr-TR"/>
              </w:rPr>
              <w:t>Gehad</w:t>
            </w:r>
            <w:proofErr w:type="spellEnd"/>
            <w:r w:rsidRPr="00A54E92">
              <w:rPr>
                <w:color w:val="000000"/>
                <w:sz w:val="14"/>
                <w:szCs w:val="14"/>
                <w:lang w:eastAsia="tr-TR"/>
              </w:rPr>
              <w:t xml:space="preserve"> Mohamed </w:t>
            </w:r>
            <w:proofErr w:type="spellStart"/>
            <w:r w:rsidRPr="00A54E92">
              <w:rPr>
                <w:color w:val="000000"/>
                <w:sz w:val="14"/>
                <w:szCs w:val="14"/>
                <w:lang w:eastAsia="tr-TR"/>
              </w:rPr>
              <w:t>Elbendary</w:t>
            </w:r>
            <w:proofErr w:type="spellEnd"/>
            <w:r w:rsidRPr="00A54E92">
              <w:rPr>
                <w:color w:val="000000"/>
                <w:sz w:val="14"/>
                <w:szCs w:val="14"/>
                <w:lang w:eastAsia="tr-TR"/>
              </w:rPr>
              <w:t xml:space="preserve"> A</w:t>
            </w:r>
            <w:r>
              <w:rPr>
                <w:color w:val="000000"/>
                <w:sz w:val="14"/>
                <w:szCs w:val="14"/>
                <w:lang w:eastAsia="tr-TR"/>
              </w:rPr>
              <w:t>NANY</w:t>
            </w:r>
          </w:p>
        </w:tc>
        <w:tc>
          <w:tcPr>
            <w:tcW w:w="3380" w:type="dxa"/>
            <w:shd w:val="clear" w:color="auto" w:fill="auto"/>
            <w:noWrap/>
            <w:vAlign w:val="center"/>
            <w:hideMark/>
          </w:tcPr>
          <w:p w14:paraId="217F53C9" w14:textId="72E1D428" w:rsidR="00A54E92" w:rsidRPr="00A54E92" w:rsidRDefault="00A54E92" w:rsidP="00A54E92">
            <w:pPr>
              <w:jc w:val="center"/>
              <w:rPr>
                <w:sz w:val="14"/>
                <w:szCs w:val="14"/>
                <w:lang w:eastAsia="tr-TR"/>
              </w:rPr>
            </w:pPr>
            <w:r w:rsidRPr="00A54E92">
              <w:rPr>
                <w:sz w:val="14"/>
                <w:szCs w:val="14"/>
                <w:lang w:eastAsia="tr-TR"/>
              </w:rPr>
              <w:t>Y.K. Üyesi</w:t>
            </w:r>
          </w:p>
        </w:tc>
        <w:tc>
          <w:tcPr>
            <w:tcW w:w="823" w:type="dxa"/>
            <w:shd w:val="clear" w:color="auto" w:fill="auto"/>
            <w:noWrap/>
            <w:vAlign w:val="center"/>
            <w:hideMark/>
          </w:tcPr>
          <w:p w14:paraId="2CBE0FFA" w14:textId="77777777" w:rsidR="00A54E92" w:rsidRPr="00A54E92" w:rsidRDefault="00A54E92" w:rsidP="00A54E92">
            <w:pPr>
              <w:jc w:val="right"/>
              <w:rPr>
                <w:color w:val="000000"/>
                <w:sz w:val="14"/>
                <w:szCs w:val="14"/>
                <w:lang w:eastAsia="tr-TR"/>
              </w:rPr>
            </w:pPr>
            <w:r w:rsidRPr="00A54E92">
              <w:rPr>
                <w:color w:val="000000"/>
                <w:sz w:val="14"/>
                <w:szCs w:val="14"/>
                <w:lang w:eastAsia="tr-TR"/>
              </w:rPr>
              <w:t>25/09/2020</w:t>
            </w:r>
          </w:p>
        </w:tc>
        <w:tc>
          <w:tcPr>
            <w:tcW w:w="752" w:type="dxa"/>
            <w:shd w:val="clear" w:color="auto" w:fill="auto"/>
            <w:noWrap/>
            <w:vAlign w:val="center"/>
            <w:hideMark/>
          </w:tcPr>
          <w:p w14:paraId="1277A804" w14:textId="77777777" w:rsidR="00A54E92" w:rsidRPr="00A54E92" w:rsidRDefault="00A54E92" w:rsidP="00A54E92">
            <w:pPr>
              <w:jc w:val="right"/>
              <w:rPr>
                <w:color w:val="000000"/>
                <w:sz w:val="14"/>
                <w:szCs w:val="14"/>
                <w:lang w:eastAsia="tr-TR"/>
              </w:rPr>
            </w:pPr>
            <w:r w:rsidRPr="00A54E92">
              <w:rPr>
                <w:color w:val="000000"/>
                <w:sz w:val="14"/>
                <w:szCs w:val="14"/>
                <w:lang w:eastAsia="tr-TR"/>
              </w:rPr>
              <w:t>09/09/2020</w:t>
            </w:r>
          </w:p>
        </w:tc>
        <w:tc>
          <w:tcPr>
            <w:tcW w:w="847" w:type="dxa"/>
            <w:shd w:val="clear" w:color="auto" w:fill="auto"/>
            <w:noWrap/>
            <w:vAlign w:val="center"/>
            <w:hideMark/>
          </w:tcPr>
          <w:p w14:paraId="13754BCA" w14:textId="77777777" w:rsidR="00A54E92" w:rsidRPr="00A54E92" w:rsidRDefault="00A54E92" w:rsidP="00A54E92">
            <w:pPr>
              <w:jc w:val="right"/>
              <w:rPr>
                <w:color w:val="000000"/>
                <w:sz w:val="14"/>
                <w:szCs w:val="14"/>
                <w:lang w:eastAsia="tr-TR"/>
              </w:rPr>
            </w:pPr>
          </w:p>
        </w:tc>
        <w:tc>
          <w:tcPr>
            <w:tcW w:w="765" w:type="dxa"/>
            <w:shd w:val="clear" w:color="auto" w:fill="auto"/>
            <w:noWrap/>
            <w:vAlign w:val="center"/>
            <w:hideMark/>
          </w:tcPr>
          <w:p w14:paraId="15E94FEA" w14:textId="77777777" w:rsidR="00A54E92" w:rsidRPr="00A54E92" w:rsidRDefault="00A54E92" w:rsidP="00A54E92">
            <w:pPr>
              <w:jc w:val="right"/>
              <w:rPr>
                <w:color w:val="000000"/>
                <w:sz w:val="14"/>
                <w:szCs w:val="14"/>
                <w:lang w:eastAsia="tr-TR"/>
              </w:rPr>
            </w:pPr>
            <w:r w:rsidRPr="00A54E92">
              <w:rPr>
                <w:color w:val="000000"/>
                <w:sz w:val="14"/>
                <w:szCs w:val="14"/>
                <w:lang w:eastAsia="tr-TR"/>
              </w:rPr>
              <w:t>Lisans</w:t>
            </w:r>
          </w:p>
        </w:tc>
        <w:tc>
          <w:tcPr>
            <w:tcW w:w="576" w:type="dxa"/>
            <w:shd w:val="clear" w:color="auto" w:fill="auto"/>
            <w:noWrap/>
            <w:vAlign w:val="center"/>
            <w:hideMark/>
          </w:tcPr>
          <w:p w14:paraId="32AB7B15" w14:textId="77777777" w:rsidR="00A54E92" w:rsidRPr="00A54E92" w:rsidRDefault="00A54E92" w:rsidP="00A54E92">
            <w:pPr>
              <w:jc w:val="right"/>
              <w:rPr>
                <w:color w:val="FF0000"/>
                <w:sz w:val="14"/>
                <w:szCs w:val="14"/>
                <w:lang w:eastAsia="tr-TR"/>
              </w:rPr>
            </w:pPr>
            <w:r w:rsidRPr="00A54E92">
              <w:rPr>
                <w:color w:val="FF0000"/>
                <w:sz w:val="14"/>
                <w:szCs w:val="14"/>
                <w:lang w:eastAsia="tr-TR"/>
              </w:rPr>
              <w:t>-</w:t>
            </w:r>
          </w:p>
        </w:tc>
      </w:tr>
      <w:tr w:rsidR="00A54E92" w:rsidRPr="00A54E92" w14:paraId="12CEA61B" w14:textId="77777777" w:rsidTr="00A54E92">
        <w:trPr>
          <w:trHeight w:val="40"/>
        </w:trPr>
        <w:tc>
          <w:tcPr>
            <w:tcW w:w="2099" w:type="dxa"/>
            <w:shd w:val="clear" w:color="auto" w:fill="auto"/>
            <w:noWrap/>
            <w:vAlign w:val="center"/>
            <w:hideMark/>
          </w:tcPr>
          <w:p w14:paraId="7463C3FB" w14:textId="77777777" w:rsidR="00A54E92" w:rsidRPr="00A54E92" w:rsidRDefault="00A54E92" w:rsidP="00A54E92">
            <w:pPr>
              <w:rPr>
                <w:color w:val="000000"/>
                <w:sz w:val="14"/>
                <w:szCs w:val="14"/>
                <w:lang w:eastAsia="tr-TR"/>
              </w:rPr>
            </w:pPr>
            <w:proofErr w:type="spellStart"/>
            <w:r w:rsidRPr="00A54E92">
              <w:rPr>
                <w:color w:val="000000"/>
                <w:sz w:val="14"/>
                <w:szCs w:val="14"/>
                <w:lang w:eastAsia="tr-TR"/>
              </w:rPr>
              <w:t>Mohamad</w:t>
            </w:r>
            <w:proofErr w:type="spellEnd"/>
            <w:r w:rsidRPr="00A54E92">
              <w:rPr>
                <w:color w:val="000000"/>
                <w:sz w:val="14"/>
                <w:szCs w:val="14"/>
                <w:lang w:eastAsia="tr-TR"/>
              </w:rPr>
              <w:t xml:space="preserve"> Al-MIDANI</w:t>
            </w:r>
          </w:p>
        </w:tc>
        <w:tc>
          <w:tcPr>
            <w:tcW w:w="3380" w:type="dxa"/>
            <w:shd w:val="clear" w:color="auto" w:fill="auto"/>
            <w:noWrap/>
            <w:vAlign w:val="center"/>
            <w:hideMark/>
          </w:tcPr>
          <w:p w14:paraId="32627AD5" w14:textId="77777777" w:rsidR="00A54E92" w:rsidRPr="00A54E92" w:rsidRDefault="00A54E92" w:rsidP="00A54E92">
            <w:pPr>
              <w:jc w:val="center"/>
              <w:rPr>
                <w:sz w:val="14"/>
                <w:szCs w:val="14"/>
                <w:lang w:eastAsia="tr-TR"/>
              </w:rPr>
            </w:pPr>
            <w:r w:rsidRPr="00A54E92">
              <w:rPr>
                <w:sz w:val="14"/>
                <w:szCs w:val="14"/>
                <w:lang w:eastAsia="tr-TR"/>
              </w:rPr>
              <w:t>Y.K. Üyesi ve Denetim Komitesi Üyesi</w:t>
            </w:r>
          </w:p>
        </w:tc>
        <w:tc>
          <w:tcPr>
            <w:tcW w:w="823" w:type="dxa"/>
            <w:shd w:val="clear" w:color="auto" w:fill="auto"/>
            <w:noWrap/>
            <w:vAlign w:val="center"/>
            <w:hideMark/>
          </w:tcPr>
          <w:p w14:paraId="070F0098" w14:textId="77777777" w:rsidR="00A54E92" w:rsidRPr="00A54E92" w:rsidRDefault="00A54E92" w:rsidP="00A54E92">
            <w:pPr>
              <w:jc w:val="right"/>
              <w:rPr>
                <w:color w:val="000000"/>
                <w:sz w:val="14"/>
                <w:szCs w:val="14"/>
                <w:lang w:eastAsia="tr-TR"/>
              </w:rPr>
            </w:pPr>
            <w:r w:rsidRPr="00A54E92">
              <w:rPr>
                <w:color w:val="000000"/>
                <w:sz w:val="14"/>
                <w:szCs w:val="14"/>
                <w:lang w:eastAsia="tr-TR"/>
              </w:rPr>
              <w:t>05/05/2015</w:t>
            </w:r>
          </w:p>
        </w:tc>
        <w:tc>
          <w:tcPr>
            <w:tcW w:w="752" w:type="dxa"/>
            <w:shd w:val="clear" w:color="auto" w:fill="auto"/>
            <w:noWrap/>
            <w:vAlign w:val="center"/>
            <w:hideMark/>
          </w:tcPr>
          <w:p w14:paraId="65967812" w14:textId="77777777" w:rsidR="00A54E92" w:rsidRPr="00A54E92" w:rsidRDefault="00A54E92" w:rsidP="00A54E92">
            <w:pPr>
              <w:jc w:val="right"/>
              <w:rPr>
                <w:color w:val="000000"/>
                <w:sz w:val="14"/>
                <w:szCs w:val="14"/>
                <w:lang w:eastAsia="tr-TR"/>
              </w:rPr>
            </w:pPr>
            <w:r w:rsidRPr="00A54E92">
              <w:rPr>
                <w:color w:val="000000"/>
                <w:sz w:val="14"/>
                <w:szCs w:val="14"/>
                <w:lang w:eastAsia="tr-TR"/>
              </w:rPr>
              <w:t>15/05/2015</w:t>
            </w:r>
          </w:p>
        </w:tc>
        <w:tc>
          <w:tcPr>
            <w:tcW w:w="847" w:type="dxa"/>
            <w:shd w:val="clear" w:color="auto" w:fill="auto"/>
            <w:noWrap/>
            <w:vAlign w:val="center"/>
            <w:hideMark/>
          </w:tcPr>
          <w:p w14:paraId="588934DC" w14:textId="77777777" w:rsidR="00A54E92" w:rsidRPr="00A54E92" w:rsidRDefault="00A54E92" w:rsidP="00A54E92">
            <w:pPr>
              <w:jc w:val="right"/>
              <w:rPr>
                <w:color w:val="000000"/>
                <w:sz w:val="14"/>
                <w:szCs w:val="14"/>
                <w:lang w:eastAsia="tr-TR"/>
              </w:rPr>
            </w:pPr>
          </w:p>
        </w:tc>
        <w:tc>
          <w:tcPr>
            <w:tcW w:w="765" w:type="dxa"/>
            <w:shd w:val="clear" w:color="auto" w:fill="auto"/>
            <w:noWrap/>
            <w:vAlign w:val="center"/>
            <w:hideMark/>
          </w:tcPr>
          <w:p w14:paraId="22BDD276" w14:textId="77777777" w:rsidR="00A54E92" w:rsidRPr="00A54E92" w:rsidRDefault="00A54E92" w:rsidP="00A54E92">
            <w:pPr>
              <w:jc w:val="right"/>
              <w:rPr>
                <w:color w:val="000000"/>
                <w:sz w:val="14"/>
                <w:szCs w:val="14"/>
                <w:lang w:eastAsia="tr-TR"/>
              </w:rPr>
            </w:pPr>
            <w:r w:rsidRPr="00A54E92">
              <w:rPr>
                <w:color w:val="000000"/>
                <w:sz w:val="14"/>
                <w:szCs w:val="14"/>
                <w:lang w:eastAsia="tr-TR"/>
              </w:rPr>
              <w:t>Yüksek Lisans</w:t>
            </w:r>
          </w:p>
        </w:tc>
        <w:tc>
          <w:tcPr>
            <w:tcW w:w="576" w:type="dxa"/>
            <w:shd w:val="clear" w:color="auto" w:fill="auto"/>
            <w:noWrap/>
            <w:vAlign w:val="center"/>
            <w:hideMark/>
          </w:tcPr>
          <w:p w14:paraId="673FB9FA" w14:textId="77777777" w:rsidR="00A54E92" w:rsidRPr="00A54E92" w:rsidRDefault="00A54E92" w:rsidP="00A54E92">
            <w:pPr>
              <w:jc w:val="right"/>
              <w:rPr>
                <w:color w:val="000000"/>
                <w:sz w:val="14"/>
                <w:szCs w:val="14"/>
                <w:lang w:eastAsia="tr-TR"/>
              </w:rPr>
            </w:pPr>
            <w:r w:rsidRPr="00A54E92">
              <w:rPr>
                <w:color w:val="000000"/>
                <w:sz w:val="14"/>
                <w:szCs w:val="14"/>
                <w:lang w:eastAsia="tr-TR"/>
              </w:rPr>
              <w:t>-</w:t>
            </w:r>
          </w:p>
        </w:tc>
      </w:tr>
      <w:tr w:rsidR="00A54E92" w:rsidRPr="00A54E92" w14:paraId="26951A2C" w14:textId="77777777" w:rsidTr="00A54E92">
        <w:trPr>
          <w:trHeight w:val="118"/>
        </w:trPr>
        <w:tc>
          <w:tcPr>
            <w:tcW w:w="2099" w:type="dxa"/>
            <w:shd w:val="clear" w:color="auto" w:fill="auto"/>
            <w:noWrap/>
            <w:vAlign w:val="center"/>
            <w:hideMark/>
          </w:tcPr>
          <w:p w14:paraId="1CC71E12" w14:textId="77777777" w:rsidR="00A54E92" w:rsidRPr="00A54E92" w:rsidRDefault="00A54E92" w:rsidP="00A54E92">
            <w:pPr>
              <w:rPr>
                <w:color w:val="000000"/>
                <w:sz w:val="14"/>
                <w:szCs w:val="14"/>
                <w:lang w:eastAsia="tr-TR"/>
              </w:rPr>
            </w:pPr>
            <w:r w:rsidRPr="00A54E92">
              <w:rPr>
                <w:color w:val="000000"/>
                <w:sz w:val="14"/>
                <w:szCs w:val="14"/>
                <w:lang w:eastAsia="tr-TR"/>
              </w:rPr>
              <w:t xml:space="preserve">Ahmad S A </w:t>
            </w:r>
            <w:proofErr w:type="spellStart"/>
            <w:r w:rsidRPr="00A54E92">
              <w:rPr>
                <w:color w:val="000000"/>
                <w:sz w:val="14"/>
                <w:szCs w:val="14"/>
                <w:lang w:eastAsia="tr-TR"/>
              </w:rPr>
              <w:t>A</w:t>
            </w:r>
            <w:proofErr w:type="spellEnd"/>
            <w:r w:rsidRPr="00A54E92">
              <w:rPr>
                <w:color w:val="000000"/>
                <w:sz w:val="14"/>
                <w:szCs w:val="14"/>
                <w:lang w:eastAsia="tr-TR"/>
              </w:rPr>
              <w:t xml:space="preserve"> AL KHARJI</w:t>
            </w:r>
          </w:p>
        </w:tc>
        <w:tc>
          <w:tcPr>
            <w:tcW w:w="3380" w:type="dxa"/>
            <w:shd w:val="clear" w:color="auto" w:fill="auto"/>
            <w:noWrap/>
            <w:vAlign w:val="center"/>
            <w:hideMark/>
          </w:tcPr>
          <w:p w14:paraId="1DD95E3A" w14:textId="77777777" w:rsidR="00A54E92" w:rsidRPr="00A54E92" w:rsidRDefault="00A54E92" w:rsidP="00A54E92">
            <w:pPr>
              <w:jc w:val="center"/>
              <w:rPr>
                <w:sz w:val="14"/>
                <w:szCs w:val="14"/>
                <w:lang w:eastAsia="tr-TR"/>
              </w:rPr>
            </w:pPr>
            <w:r w:rsidRPr="00A54E92">
              <w:rPr>
                <w:sz w:val="14"/>
                <w:szCs w:val="14"/>
                <w:lang w:eastAsia="tr-TR"/>
              </w:rPr>
              <w:t>Y.K. Üyesi</w:t>
            </w:r>
          </w:p>
        </w:tc>
        <w:tc>
          <w:tcPr>
            <w:tcW w:w="823" w:type="dxa"/>
            <w:shd w:val="clear" w:color="auto" w:fill="auto"/>
            <w:noWrap/>
            <w:vAlign w:val="center"/>
            <w:hideMark/>
          </w:tcPr>
          <w:p w14:paraId="370087B3" w14:textId="77777777" w:rsidR="00A54E92" w:rsidRPr="00A54E92" w:rsidRDefault="00A54E92" w:rsidP="00A54E92">
            <w:pPr>
              <w:jc w:val="right"/>
              <w:rPr>
                <w:color w:val="000000"/>
                <w:sz w:val="14"/>
                <w:szCs w:val="14"/>
                <w:lang w:eastAsia="tr-TR"/>
              </w:rPr>
            </w:pPr>
            <w:r w:rsidRPr="00A54E92">
              <w:rPr>
                <w:color w:val="000000"/>
                <w:sz w:val="14"/>
                <w:szCs w:val="14"/>
                <w:lang w:eastAsia="tr-TR"/>
              </w:rPr>
              <w:t>26/03/2014</w:t>
            </w:r>
          </w:p>
        </w:tc>
        <w:tc>
          <w:tcPr>
            <w:tcW w:w="752" w:type="dxa"/>
            <w:shd w:val="clear" w:color="auto" w:fill="auto"/>
            <w:noWrap/>
            <w:vAlign w:val="center"/>
            <w:hideMark/>
          </w:tcPr>
          <w:p w14:paraId="2A62B372" w14:textId="77777777" w:rsidR="00A54E92" w:rsidRPr="00A54E92" w:rsidRDefault="00A54E92" w:rsidP="00A54E92">
            <w:pPr>
              <w:jc w:val="right"/>
              <w:rPr>
                <w:color w:val="000000"/>
                <w:sz w:val="14"/>
                <w:szCs w:val="14"/>
                <w:lang w:eastAsia="tr-TR"/>
              </w:rPr>
            </w:pPr>
            <w:r w:rsidRPr="00A54E92">
              <w:rPr>
                <w:color w:val="000000"/>
                <w:sz w:val="14"/>
                <w:szCs w:val="14"/>
                <w:lang w:eastAsia="tr-TR"/>
              </w:rPr>
              <w:t>24/09/2014</w:t>
            </w:r>
          </w:p>
        </w:tc>
        <w:tc>
          <w:tcPr>
            <w:tcW w:w="847" w:type="dxa"/>
            <w:shd w:val="clear" w:color="auto" w:fill="auto"/>
            <w:noWrap/>
            <w:vAlign w:val="center"/>
            <w:hideMark/>
          </w:tcPr>
          <w:p w14:paraId="278AF8F4" w14:textId="77777777" w:rsidR="00A54E92" w:rsidRPr="00A54E92" w:rsidRDefault="00A54E92" w:rsidP="00A54E92">
            <w:pPr>
              <w:jc w:val="right"/>
              <w:rPr>
                <w:color w:val="000000"/>
                <w:sz w:val="14"/>
                <w:szCs w:val="14"/>
                <w:lang w:eastAsia="tr-TR"/>
              </w:rPr>
            </w:pPr>
            <w:r w:rsidRPr="00A54E92">
              <w:rPr>
                <w:color w:val="000000"/>
                <w:sz w:val="14"/>
                <w:szCs w:val="14"/>
                <w:lang w:eastAsia="tr-TR"/>
              </w:rPr>
              <w:t>09/09/2020</w:t>
            </w:r>
          </w:p>
        </w:tc>
        <w:tc>
          <w:tcPr>
            <w:tcW w:w="765" w:type="dxa"/>
            <w:shd w:val="clear" w:color="auto" w:fill="auto"/>
            <w:noWrap/>
            <w:vAlign w:val="center"/>
            <w:hideMark/>
          </w:tcPr>
          <w:p w14:paraId="197D68A2" w14:textId="77777777" w:rsidR="00A54E92" w:rsidRPr="00A54E92" w:rsidRDefault="00A54E92" w:rsidP="00A54E92">
            <w:pPr>
              <w:jc w:val="right"/>
              <w:rPr>
                <w:color w:val="000000"/>
                <w:sz w:val="14"/>
                <w:szCs w:val="14"/>
                <w:lang w:eastAsia="tr-TR"/>
              </w:rPr>
            </w:pPr>
            <w:r w:rsidRPr="00A54E92">
              <w:rPr>
                <w:color w:val="000000"/>
                <w:sz w:val="14"/>
                <w:szCs w:val="14"/>
                <w:lang w:eastAsia="tr-TR"/>
              </w:rPr>
              <w:t>Yüksek Lisans</w:t>
            </w:r>
          </w:p>
        </w:tc>
        <w:tc>
          <w:tcPr>
            <w:tcW w:w="576" w:type="dxa"/>
            <w:shd w:val="clear" w:color="auto" w:fill="auto"/>
            <w:noWrap/>
            <w:vAlign w:val="center"/>
            <w:hideMark/>
          </w:tcPr>
          <w:p w14:paraId="7B23C6F8" w14:textId="77777777" w:rsidR="00A54E92" w:rsidRPr="00A54E92" w:rsidRDefault="00A54E92" w:rsidP="00A54E92">
            <w:pPr>
              <w:jc w:val="right"/>
              <w:rPr>
                <w:color w:val="000000"/>
                <w:sz w:val="14"/>
                <w:szCs w:val="14"/>
                <w:lang w:eastAsia="tr-TR"/>
              </w:rPr>
            </w:pPr>
            <w:r w:rsidRPr="00A54E92">
              <w:rPr>
                <w:color w:val="000000"/>
                <w:sz w:val="14"/>
                <w:szCs w:val="14"/>
                <w:lang w:eastAsia="tr-TR"/>
              </w:rPr>
              <w:t>-</w:t>
            </w:r>
          </w:p>
        </w:tc>
      </w:tr>
      <w:tr w:rsidR="00A54E92" w:rsidRPr="00A54E92" w14:paraId="05D35CE9" w14:textId="77777777" w:rsidTr="00A54E92">
        <w:trPr>
          <w:trHeight w:val="40"/>
        </w:trPr>
        <w:tc>
          <w:tcPr>
            <w:tcW w:w="2099" w:type="dxa"/>
            <w:shd w:val="clear" w:color="auto" w:fill="auto"/>
            <w:noWrap/>
            <w:vAlign w:val="center"/>
            <w:hideMark/>
          </w:tcPr>
          <w:p w14:paraId="4119CA0C" w14:textId="77777777" w:rsidR="00A54E92" w:rsidRPr="00A54E92" w:rsidRDefault="00A54E92" w:rsidP="00A54E92">
            <w:pPr>
              <w:rPr>
                <w:color w:val="000000"/>
                <w:sz w:val="14"/>
                <w:szCs w:val="14"/>
                <w:lang w:eastAsia="tr-TR"/>
              </w:rPr>
            </w:pPr>
            <w:r w:rsidRPr="00A54E92">
              <w:rPr>
                <w:color w:val="000000"/>
                <w:sz w:val="14"/>
                <w:szCs w:val="14"/>
                <w:lang w:eastAsia="tr-TR"/>
              </w:rPr>
              <w:t>Ufuk UYAN</w:t>
            </w:r>
          </w:p>
        </w:tc>
        <w:tc>
          <w:tcPr>
            <w:tcW w:w="3380" w:type="dxa"/>
            <w:shd w:val="clear" w:color="auto" w:fill="auto"/>
            <w:noWrap/>
            <w:vAlign w:val="center"/>
            <w:hideMark/>
          </w:tcPr>
          <w:p w14:paraId="156913D1" w14:textId="77777777" w:rsidR="00A54E92" w:rsidRPr="00A54E92" w:rsidRDefault="00A54E92" w:rsidP="00A54E92">
            <w:pPr>
              <w:jc w:val="center"/>
              <w:rPr>
                <w:sz w:val="14"/>
                <w:szCs w:val="14"/>
                <w:lang w:eastAsia="tr-TR"/>
              </w:rPr>
            </w:pPr>
            <w:r w:rsidRPr="00A54E92">
              <w:rPr>
                <w:sz w:val="14"/>
                <w:szCs w:val="14"/>
                <w:lang w:eastAsia="tr-TR"/>
              </w:rPr>
              <w:t>Y.K. Üyesi ve Genel Müdür</w:t>
            </w:r>
          </w:p>
        </w:tc>
        <w:tc>
          <w:tcPr>
            <w:tcW w:w="823" w:type="dxa"/>
            <w:shd w:val="clear" w:color="auto" w:fill="auto"/>
            <w:noWrap/>
            <w:vAlign w:val="center"/>
            <w:hideMark/>
          </w:tcPr>
          <w:p w14:paraId="7B29EA26" w14:textId="77777777" w:rsidR="00A54E92" w:rsidRPr="00A54E92" w:rsidRDefault="00A54E92" w:rsidP="00A54E92">
            <w:pPr>
              <w:jc w:val="right"/>
              <w:rPr>
                <w:color w:val="000000"/>
                <w:sz w:val="14"/>
                <w:szCs w:val="14"/>
                <w:lang w:eastAsia="tr-TR"/>
              </w:rPr>
            </w:pPr>
            <w:r w:rsidRPr="00A54E92">
              <w:rPr>
                <w:color w:val="000000"/>
                <w:sz w:val="14"/>
                <w:szCs w:val="14"/>
                <w:lang w:eastAsia="tr-TR"/>
              </w:rPr>
              <w:t>10/05/1999</w:t>
            </w:r>
          </w:p>
        </w:tc>
        <w:tc>
          <w:tcPr>
            <w:tcW w:w="752" w:type="dxa"/>
            <w:shd w:val="clear" w:color="auto" w:fill="auto"/>
            <w:noWrap/>
            <w:vAlign w:val="center"/>
            <w:hideMark/>
          </w:tcPr>
          <w:p w14:paraId="1208C0F9"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74DFCC06" w14:textId="77777777" w:rsidR="00A54E92" w:rsidRPr="00A54E92" w:rsidRDefault="00A54E92" w:rsidP="00A54E92">
            <w:pPr>
              <w:jc w:val="right"/>
              <w:rPr>
                <w:lang w:eastAsia="tr-TR"/>
              </w:rPr>
            </w:pPr>
          </w:p>
        </w:tc>
        <w:tc>
          <w:tcPr>
            <w:tcW w:w="765" w:type="dxa"/>
            <w:shd w:val="clear" w:color="auto" w:fill="auto"/>
            <w:noWrap/>
            <w:vAlign w:val="center"/>
            <w:hideMark/>
          </w:tcPr>
          <w:p w14:paraId="48A2EB87" w14:textId="77777777" w:rsidR="00A54E92" w:rsidRPr="00A54E92" w:rsidRDefault="00A54E92" w:rsidP="00A54E92">
            <w:pPr>
              <w:jc w:val="right"/>
              <w:rPr>
                <w:color w:val="000000"/>
                <w:sz w:val="14"/>
                <w:szCs w:val="14"/>
                <w:lang w:eastAsia="tr-TR"/>
              </w:rPr>
            </w:pPr>
            <w:r w:rsidRPr="00A54E92">
              <w:rPr>
                <w:color w:val="000000"/>
                <w:sz w:val="14"/>
                <w:szCs w:val="14"/>
                <w:lang w:eastAsia="tr-TR"/>
              </w:rPr>
              <w:t>Yüksek Lisans</w:t>
            </w:r>
          </w:p>
        </w:tc>
        <w:tc>
          <w:tcPr>
            <w:tcW w:w="576" w:type="dxa"/>
            <w:shd w:val="clear" w:color="auto" w:fill="auto"/>
            <w:noWrap/>
            <w:vAlign w:val="center"/>
            <w:hideMark/>
          </w:tcPr>
          <w:p w14:paraId="2D3282DE" w14:textId="77777777" w:rsidR="00A54E92" w:rsidRPr="00A54E92" w:rsidRDefault="00A54E92" w:rsidP="00A54E92">
            <w:pPr>
              <w:jc w:val="right"/>
              <w:rPr>
                <w:color w:val="000000"/>
                <w:sz w:val="14"/>
                <w:szCs w:val="14"/>
                <w:lang w:eastAsia="tr-TR"/>
              </w:rPr>
            </w:pPr>
            <w:r w:rsidRPr="00A54E92">
              <w:rPr>
                <w:color w:val="000000"/>
                <w:sz w:val="14"/>
                <w:szCs w:val="14"/>
                <w:lang w:eastAsia="tr-TR"/>
              </w:rPr>
              <w:t>0.06%</w:t>
            </w:r>
          </w:p>
        </w:tc>
      </w:tr>
      <w:tr w:rsidR="00A54E92" w:rsidRPr="00A54E92" w14:paraId="5CC34300" w14:textId="77777777" w:rsidTr="00A54E92">
        <w:trPr>
          <w:trHeight w:val="40"/>
        </w:trPr>
        <w:tc>
          <w:tcPr>
            <w:tcW w:w="2099" w:type="dxa"/>
            <w:shd w:val="clear" w:color="auto" w:fill="auto"/>
            <w:noWrap/>
            <w:vAlign w:val="center"/>
            <w:hideMark/>
          </w:tcPr>
          <w:p w14:paraId="18A01D74" w14:textId="77777777" w:rsidR="00A54E92" w:rsidRPr="00A54E92" w:rsidRDefault="00A54E92" w:rsidP="00A54E92">
            <w:pPr>
              <w:rPr>
                <w:color w:val="000000"/>
                <w:sz w:val="14"/>
                <w:szCs w:val="14"/>
                <w:lang w:eastAsia="tr-TR"/>
              </w:rPr>
            </w:pPr>
            <w:r w:rsidRPr="00A54E92">
              <w:rPr>
                <w:color w:val="000000"/>
                <w:sz w:val="14"/>
                <w:szCs w:val="14"/>
                <w:lang w:eastAsia="tr-TR"/>
              </w:rPr>
              <w:t>Ahmet KARACA</w:t>
            </w:r>
          </w:p>
        </w:tc>
        <w:tc>
          <w:tcPr>
            <w:tcW w:w="3380" w:type="dxa"/>
            <w:shd w:val="clear" w:color="auto" w:fill="auto"/>
            <w:noWrap/>
            <w:vAlign w:val="center"/>
            <w:hideMark/>
          </w:tcPr>
          <w:p w14:paraId="5196B791" w14:textId="77777777" w:rsidR="00A54E92" w:rsidRPr="00A54E92" w:rsidRDefault="00A54E92" w:rsidP="00A54E92">
            <w:pPr>
              <w:jc w:val="center"/>
              <w:rPr>
                <w:sz w:val="14"/>
                <w:szCs w:val="14"/>
                <w:lang w:eastAsia="tr-TR"/>
              </w:rPr>
            </w:pPr>
            <w:r w:rsidRPr="00A54E92">
              <w:rPr>
                <w:sz w:val="14"/>
                <w:szCs w:val="14"/>
                <w:lang w:eastAsia="tr-TR"/>
              </w:rPr>
              <w:t xml:space="preserve">Mali İşler Grubundan Sor. </w:t>
            </w:r>
            <w:proofErr w:type="spellStart"/>
            <w:r w:rsidRPr="00A54E92">
              <w:rPr>
                <w:sz w:val="14"/>
                <w:szCs w:val="14"/>
                <w:lang w:eastAsia="tr-TR"/>
              </w:rPr>
              <w:t>Gnl</w:t>
            </w:r>
            <w:proofErr w:type="spellEnd"/>
            <w:r w:rsidRPr="00A54E92">
              <w:rPr>
                <w:sz w:val="14"/>
                <w:szCs w:val="14"/>
                <w:lang w:eastAsia="tr-TR"/>
              </w:rPr>
              <w:t>. Md. Yrd.</w:t>
            </w:r>
          </w:p>
        </w:tc>
        <w:tc>
          <w:tcPr>
            <w:tcW w:w="823" w:type="dxa"/>
            <w:shd w:val="clear" w:color="auto" w:fill="auto"/>
            <w:noWrap/>
            <w:vAlign w:val="center"/>
            <w:hideMark/>
          </w:tcPr>
          <w:p w14:paraId="1E0D1A02" w14:textId="77777777" w:rsidR="00A54E92" w:rsidRPr="00A54E92" w:rsidRDefault="00A54E92" w:rsidP="00A54E92">
            <w:pPr>
              <w:jc w:val="right"/>
              <w:rPr>
                <w:color w:val="000000"/>
                <w:sz w:val="14"/>
                <w:szCs w:val="14"/>
                <w:lang w:eastAsia="tr-TR"/>
              </w:rPr>
            </w:pPr>
            <w:r w:rsidRPr="00A54E92">
              <w:rPr>
                <w:color w:val="000000"/>
                <w:sz w:val="14"/>
                <w:szCs w:val="14"/>
                <w:lang w:eastAsia="tr-TR"/>
              </w:rPr>
              <w:t>12/07/2006</w:t>
            </w:r>
          </w:p>
        </w:tc>
        <w:tc>
          <w:tcPr>
            <w:tcW w:w="752" w:type="dxa"/>
            <w:shd w:val="clear" w:color="auto" w:fill="auto"/>
            <w:noWrap/>
            <w:vAlign w:val="center"/>
            <w:hideMark/>
          </w:tcPr>
          <w:p w14:paraId="77AB7A84"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08881836" w14:textId="77777777" w:rsidR="00A54E92" w:rsidRPr="00A54E92" w:rsidRDefault="00A54E92" w:rsidP="00A54E92">
            <w:pPr>
              <w:jc w:val="right"/>
              <w:rPr>
                <w:lang w:eastAsia="tr-TR"/>
              </w:rPr>
            </w:pPr>
          </w:p>
        </w:tc>
        <w:tc>
          <w:tcPr>
            <w:tcW w:w="765" w:type="dxa"/>
            <w:shd w:val="clear" w:color="auto" w:fill="auto"/>
            <w:noWrap/>
            <w:vAlign w:val="center"/>
            <w:hideMark/>
          </w:tcPr>
          <w:p w14:paraId="681585A3" w14:textId="77777777" w:rsidR="00A54E92" w:rsidRPr="00A54E92" w:rsidRDefault="00A54E92" w:rsidP="00A54E92">
            <w:pPr>
              <w:jc w:val="right"/>
              <w:rPr>
                <w:color w:val="000000"/>
                <w:sz w:val="14"/>
                <w:szCs w:val="14"/>
                <w:lang w:eastAsia="tr-TR"/>
              </w:rPr>
            </w:pPr>
            <w:r w:rsidRPr="00A54E92">
              <w:rPr>
                <w:color w:val="000000"/>
                <w:sz w:val="14"/>
                <w:szCs w:val="14"/>
                <w:lang w:eastAsia="tr-TR"/>
              </w:rPr>
              <w:t>Yüksek Lisans</w:t>
            </w:r>
          </w:p>
        </w:tc>
        <w:tc>
          <w:tcPr>
            <w:tcW w:w="576" w:type="dxa"/>
            <w:shd w:val="clear" w:color="auto" w:fill="auto"/>
            <w:noWrap/>
            <w:vAlign w:val="center"/>
            <w:hideMark/>
          </w:tcPr>
          <w:p w14:paraId="1CB4BCFF" w14:textId="77777777" w:rsidR="00A54E92" w:rsidRPr="00A54E92" w:rsidRDefault="00A54E92" w:rsidP="00A54E92">
            <w:pPr>
              <w:jc w:val="right"/>
              <w:rPr>
                <w:color w:val="000000"/>
                <w:sz w:val="14"/>
                <w:szCs w:val="14"/>
                <w:lang w:eastAsia="tr-TR"/>
              </w:rPr>
            </w:pPr>
            <w:r w:rsidRPr="00A54E92">
              <w:rPr>
                <w:color w:val="000000"/>
                <w:sz w:val="14"/>
                <w:szCs w:val="14"/>
                <w:lang w:eastAsia="tr-TR"/>
              </w:rPr>
              <w:t>0.00%</w:t>
            </w:r>
          </w:p>
        </w:tc>
      </w:tr>
      <w:tr w:rsidR="00A54E92" w:rsidRPr="00A54E92" w14:paraId="2BF7A9E4" w14:textId="77777777" w:rsidTr="00A54E92">
        <w:trPr>
          <w:trHeight w:val="40"/>
        </w:trPr>
        <w:tc>
          <w:tcPr>
            <w:tcW w:w="2099" w:type="dxa"/>
            <w:shd w:val="clear" w:color="auto" w:fill="auto"/>
            <w:noWrap/>
            <w:vAlign w:val="center"/>
            <w:hideMark/>
          </w:tcPr>
          <w:p w14:paraId="49EE31F6" w14:textId="77777777" w:rsidR="00A54E92" w:rsidRPr="00A54E92" w:rsidRDefault="00A54E92" w:rsidP="00A54E92">
            <w:pPr>
              <w:rPr>
                <w:color w:val="000000"/>
                <w:sz w:val="14"/>
                <w:szCs w:val="14"/>
                <w:lang w:eastAsia="tr-TR"/>
              </w:rPr>
            </w:pPr>
            <w:r w:rsidRPr="00A54E92">
              <w:rPr>
                <w:color w:val="000000"/>
                <w:sz w:val="14"/>
                <w:szCs w:val="14"/>
                <w:lang w:eastAsia="tr-TR"/>
              </w:rPr>
              <w:t>Ahmet Süleyman KARAKAYA</w:t>
            </w:r>
          </w:p>
        </w:tc>
        <w:tc>
          <w:tcPr>
            <w:tcW w:w="3380" w:type="dxa"/>
            <w:shd w:val="clear" w:color="auto" w:fill="auto"/>
            <w:noWrap/>
            <w:vAlign w:val="center"/>
            <w:hideMark/>
          </w:tcPr>
          <w:p w14:paraId="51FF97D6" w14:textId="77777777" w:rsidR="00A54E92" w:rsidRPr="00A54E92" w:rsidRDefault="00A54E92" w:rsidP="00A54E92">
            <w:pPr>
              <w:jc w:val="center"/>
              <w:rPr>
                <w:sz w:val="14"/>
                <w:szCs w:val="14"/>
                <w:lang w:eastAsia="tr-TR"/>
              </w:rPr>
            </w:pPr>
            <w:r w:rsidRPr="00A54E92">
              <w:rPr>
                <w:sz w:val="14"/>
                <w:szCs w:val="14"/>
                <w:lang w:eastAsia="tr-TR"/>
              </w:rPr>
              <w:t xml:space="preserve">Kurumsal ve Ticari Bankacılıktan Sor. </w:t>
            </w:r>
            <w:proofErr w:type="spellStart"/>
            <w:r w:rsidRPr="00A54E92">
              <w:rPr>
                <w:sz w:val="14"/>
                <w:szCs w:val="14"/>
                <w:lang w:eastAsia="tr-TR"/>
              </w:rPr>
              <w:t>Gnl</w:t>
            </w:r>
            <w:proofErr w:type="spellEnd"/>
            <w:r w:rsidRPr="00A54E92">
              <w:rPr>
                <w:sz w:val="14"/>
                <w:szCs w:val="14"/>
                <w:lang w:eastAsia="tr-TR"/>
              </w:rPr>
              <w:t>. Md. Yrd.</w:t>
            </w:r>
          </w:p>
        </w:tc>
        <w:tc>
          <w:tcPr>
            <w:tcW w:w="823" w:type="dxa"/>
            <w:shd w:val="clear" w:color="auto" w:fill="auto"/>
            <w:noWrap/>
            <w:vAlign w:val="center"/>
            <w:hideMark/>
          </w:tcPr>
          <w:p w14:paraId="5570D50B" w14:textId="77777777" w:rsidR="00A54E92" w:rsidRPr="00A54E92" w:rsidRDefault="00A54E92" w:rsidP="00A54E92">
            <w:pPr>
              <w:jc w:val="right"/>
              <w:rPr>
                <w:color w:val="000000"/>
                <w:sz w:val="14"/>
                <w:szCs w:val="14"/>
                <w:lang w:eastAsia="tr-TR"/>
              </w:rPr>
            </w:pPr>
            <w:r w:rsidRPr="00A54E92">
              <w:rPr>
                <w:color w:val="000000"/>
                <w:sz w:val="14"/>
                <w:szCs w:val="14"/>
                <w:lang w:eastAsia="tr-TR"/>
              </w:rPr>
              <w:t>14/01/2003</w:t>
            </w:r>
          </w:p>
        </w:tc>
        <w:tc>
          <w:tcPr>
            <w:tcW w:w="752" w:type="dxa"/>
            <w:shd w:val="clear" w:color="auto" w:fill="auto"/>
            <w:noWrap/>
            <w:vAlign w:val="center"/>
            <w:hideMark/>
          </w:tcPr>
          <w:p w14:paraId="64A9DAD7"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633D4DC2" w14:textId="77777777" w:rsidR="00A54E92" w:rsidRPr="00A54E92" w:rsidRDefault="00A54E92" w:rsidP="00A54E92">
            <w:pPr>
              <w:jc w:val="right"/>
              <w:rPr>
                <w:lang w:eastAsia="tr-TR"/>
              </w:rPr>
            </w:pPr>
          </w:p>
        </w:tc>
        <w:tc>
          <w:tcPr>
            <w:tcW w:w="765" w:type="dxa"/>
            <w:shd w:val="clear" w:color="auto" w:fill="auto"/>
            <w:noWrap/>
            <w:vAlign w:val="center"/>
            <w:hideMark/>
          </w:tcPr>
          <w:p w14:paraId="41DCFBA5" w14:textId="77777777" w:rsidR="00A54E92" w:rsidRPr="00A54E92" w:rsidRDefault="00A54E92" w:rsidP="00A54E92">
            <w:pPr>
              <w:jc w:val="right"/>
              <w:rPr>
                <w:color w:val="000000"/>
                <w:sz w:val="14"/>
                <w:szCs w:val="14"/>
                <w:lang w:eastAsia="tr-TR"/>
              </w:rPr>
            </w:pPr>
            <w:r w:rsidRPr="00A54E92">
              <w:rPr>
                <w:color w:val="000000"/>
                <w:sz w:val="14"/>
                <w:szCs w:val="14"/>
                <w:lang w:eastAsia="tr-TR"/>
              </w:rPr>
              <w:t>Lisans</w:t>
            </w:r>
          </w:p>
        </w:tc>
        <w:tc>
          <w:tcPr>
            <w:tcW w:w="576" w:type="dxa"/>
            <w:shd w:val="clear" w:color="auto" w:fill="auto"/>
            <w:noWrap/>
            <w:vAlign w:val="center"/>
            <w:hideMark/>
          </w:tcPr>
          <w:p w14:paraId="55AEBF8F" w14:textId="77777777" w:rsidR="00A54E92" w:rsidRPr="00A54E92" w:rsidRDefault="00A54E92" w:rsidP="00A54E92">
            <w:pPr>
              <w:jc w:val="right"/>
              <w:rPr>
                <w:color w:val="000000"/>
                <w:sz w:val="14"/>
                <w:szCs w:val="14"/>
                <w:lang w:eastAsia="tr-TR"/>
              </w:rPr>
            </w:pPr>
            <w:r w:rsidRPr="00A54E92">
              <w:rPr>
                <w:color w:val="000000"/>
                <w:sz w:val="14"/>
                <w:szCs w:val="14"/>
                <w:lang w:eastAsia="tr-TR"/>
              </w:rPr>
              <w:t>-</w:t>
            </w:r>
          </w:p>
        </w:tc>
      </w:tr>
      <w:tr w:rsidR="00A54E92" w:rsidRPr="00A54E92" w14:paraId="3EC9B7C3" w14:textId="77777777" w:rsidTr="00A54E92">
        <w:trPr>
          <w:trHeight w:val="40"/>
        </w:trPr>
        <w:tc>
          <w:tcPr>
            <w:tcW w:w="2099" w:type="dxa"/>
            <w:shd w:val="clear" w:color="auto" w:fill="auto"/>
            <w:noWrap/>
            <w:vAlign w:val="center"/>
            <w:hideMark/>
          </w:tcPr>
          <w:p w14:paraId="573D5A9B" w14:textId="77777777" w:rsidR="00A54E92" w:rsidRPr="00A54E92" w:rsidRDefault="00A54E92" w:rsidP="00A54E92">
            <w:pPr>
              <w:rPr>
                <w:color w:val="000000"/>
                <w:sz w:val="14"/>
                <w:szCs w:val="14"/>
                <w:lang w:eastAsia="tr-TR"/>
              </w:rPr>
            </w:pPr>
            <w:r w:rsidRPr="00A54E92">
              <w:rPr>
                <w:color w:val="000000"/>
                <w:sz w:val="14"/>
                <w:szCs w:val="14"/>
                <w:lang w:eastAsia="tr-TR"/>
              </w:rPr>
              <w:t>Bilal SAYIN</w:t>
            </w:r>
          </w:p>
        </w:tc>
        <w:tc>
          <w:tcPr>
            <w:tcW w:w="3380" w:type="dxa"/>
            <w:shd w:val="clear" w:color="auto" w:fill="auto"/>
            <w:noWrap/>
            <w:vAlign w:val="center"/>
            <w:hideMark/>
          </w:tcPr>
          <w:p w14:paraId="67C9D0C9" w14:textId="77777777" w:rsidR="00A54E92" w:rsidRPr="00A54E92" w:rsidRDefault="00A54E92" w:rsidP="00A54E92">
            <w:pPr>
              <w:jc w:val="center"/>
              <w:rPr>
                <w:sz w:val="14"/>
                <w:szCs w:val="14"/>
                <w:lang w:eastAsia="tr-TR"/>
              </w:rPr>
            </w:pPr>
            <w:r w:rsidRPr="00A54E92">
              <w:rPr>
                <w:sz w:val="14"/>
                <w:szCs w:val="14"/>
                <w:lang w:eastAsia="tr-TR"/>
              </w:rPr>
              <w:t xml:space="preserve">Krediler Grubundan Sor. </w:t>
            </w:r>
            <w:proofErr w:type="spellStart"/>
            <w:r w:rsidRPr="00A54E92">
              <w:rPr>
                <w:sz w:val="14"/>
                <w:szCs w:val="14"/>
                <w:lang w:eastAsia="tr-TR"/>
              </w:rPr>
              <w:t>Gnl</w:t>
            </w:r>
            <w:proofErr w:type="spellEnd"/>
            <w:r w:rsidRPr="00A54E92">
              <w:rPr>
                <w:sz w:val="14"/>
                <w:szCs w:val="14"/>
                <w:lang w:eastAsia="tr-TR"/>
              </w:rPr>
              <w:t>. Md. Yrd.</w:t>
            </w:r>
          </w:p>
        </w:tc>
        <w:tc>
          <w:tcPr>
            <w:tcW w:w="823" w:type="dxa"/>
            <w:shd w:val="clear" w:color="auto" w:fill="auto"/>
            <w:noWrap/>
            <w:vAlign w:val="center"/>
            <w:hideMark/>
          </w:tcPr>
          <w:p w14:paraId="445B9F1D" w14:textId="77777777" w:rsidR="00A54E92" w:rsidRPr="00A54E92" w:rsidRDefault="00A54E92" w:rsidP="00A54E92">
            <w:pPr>
              <w:jc w:val="right"/>
              <w:rPr>
                <w:color w:val="000000"/>
                <w:sz w:val="14"/>
                <w:szCs w:val="14"/>
                <w:lang w:eastAsia="tr-TR"/>
              </w:rPr>
            </w:pPr>
            <w:r w:rsidRPr="00A54E92">
              <w:rPr>
                <w:color w:val="000000"/>
                <w:sz w:val="14"/>
                <w:szCs w:val="14"/>
                <w:lang w:eastAsia="tr-TR"/>
              </w:rPr>
              <w:t>20/08/2003</w:t>
            </w:r>
          </w:p>
        </w:tc>
        <w:tc>
          <w:tcPr>
            <w:tcW w:w="752" w:type="dxa"/>
            <w:shd w:val="clear" w:color="auto" w:fill="auto"/>
            <w:noWrap/>
            <w:vAlign w:val="center"/>
            <w:hideMark/>
          </w:tcPr>
          <w:p w14:paraId="09F3EB30"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6D924722" w14:textId="77777777" w:rsidR="00A54E92" w:rsidRPr="00A54E92" w:rsidRDefault="00A54E92" w:rsidP="00A54E92">
            <w:pPr>
              <w:jc w:val="right"/>
              <w:rPr>
                <w:lang w:eastAsia="tr-TR"/>
              </w:rPr>
            </w:pPr>
          </w:p>
        </w:tc>
        <w:tc>
          <w:tcPr>
            <w:tcW w:w="765" w:type="dxa"/>
            <w:shd w:val="clear" w:color="auto" w:fill="auto"/>
            <w:noWrap/>
            <w:vAlign w:val="center"/>
            <w:hideMark/>
          </w:tcPr>
          <w:p w14:paraId="1FBFD41F" w14:textId="77777777" w:rsidR="00A54E92" w:rsidRPr="00A54E92" w:rsidRDefault="00A54E92" w:rsidP="00A54E92">
            <w:pPr>
              <w:jc w:val="right"/>
              <w:rPr>
                <w:color w:val="000000"/>
                <w:sz w:val="14"/>
                <w:szCs w:val="14"/>
                <w:lang w:eastAsia="tr-TR"/>
              </w:rPr>
            </w:pPr>
            <w:r w:rsidRPr="00A54E92">
              <w:rPr>
                <w:color w:val="000000"/>
                <w:sz w:val="14"/>
                <w:szCs w:val="14"/>
                <w:lang w:eastAsia="tr-TR"/>
              </w:rPr>
              <w:t>Lisans</w:t>
            </w:r>
          </w:p>
        </w:tc>
        <w:tc>
          <w:tcPr>
            <w:tcW w:w="576" w:type="dxa"/>
            <w:shd w:val="clear" w:color="auto" w:fill="auto"/>
            <w:noWrap/>
            <w:vAlign w:val="center"/>
            <w:hideMark/>
          </w:tcPr>
          <w:p w14:paraId="1D396AFA" w14:textId="77777777" w:rsidR="00A54E92" w:rsidRPr="00A54E92" w:rsidRDefault="00A54E92" w:rsidP="00A54E92">
            <w:pPr>
              <w:jc w:val="right"/>
              <w:rPr>
                <w:color w:val="000000"/>
                <w:sz w:val="14"/>
                <w:szCs w:val="14"/>
                <w:lang w:eastAsia="tr-TR"/>
              </w:rPr>
            </w:pPr>
            <w:r w:rsidRPr="00A54E92">
              <w:rPr>
                <w:color w:val="000000"/>
                <w:sz w:val="14"/>
                <w:szCs w:val="14"/>
                <w:lang w:eastAsia="tr-TR"/>
              </w:rPr>
              <w:t>0.00%</w:t>
            </w:r>
          </w:p>
        </w:tc>
      </w:tr>
      <w:tr w:rsidR="00A54E92" w:rsidRPr="00A54E92" w14:paraId="44D26EA8" w14:textId="77777777" w:rsidTr="00A54E92">
        <w:trPr>
          <w:trHeight w:val="40"/>
        </w:trPr>
        <w:tc>
          <w:tcPr>
            <w:tcW w:w="2099" w:type="dxa"/>
            <w:shd w:val="clear" w:color="auto" w:fill="auto"/>
            <w:noWrap/>
            <w:vAlign w:val="center"/>
            <w:hideMark/>
          </w:tcPr>
          <w:p w14:paraId="5B9B7D7E" w14:textId="77777777" w:rsidR="00A54E92" w:rsidRPr="00A54E92" w:rsidRDefault="00A54E92" w:rsidP="00A54E92">
            <w:pPr>
              <w:rPr>
                <w:color w:val="000000"/>
                <w:sz w:val="14"/>
                <w:szCs w:val="14"/>
                <w:lang w:eastAsia="tr-TR"/>
              </w:rPr>
            </w:pPr>
            <w:r w:rsidRPr="00A54E92">
              <w:rPr>
                <w:color w:val="000000"/>
                <w:sz w:val="14"/>
                <w:szCs w:val="14"/>
                <w:lang w:eastAsia="tr-TR"/>
              </w:rPr>
              <w:t>İrfan YILMAZ</w:t>
            </w:r>
          </w:p>
        </w:tc>
        <w:tc>
          <w:tcPr>
            <w:tcW w:w="3380" w:type="dxa"/>
            <w:shd w:val="clear" w:color="auto" w:fill="auto"/>
            <w:noWrap/>
            <w:vAlign w:val="center"/>
            <w:hideMark/>
          </w:tcPr>
          <w:p w14:paraId="772A39D0" w14:textId="77777777" w:rsidR="00A54E92" w:rsidRPr="00A54E92" w:rsidRDefault="00A54E92" w:rsidP="00A54E92">
            <w:pPr>
              <w:jc w:val="center"/>
              <w:rPr>
                <w:sz w:val="14"/>
                <w:szCs w:val="14"/>
                <w:lang w:eastAsia="tr-TR"/>
              </w:rPr>
            </w:pPr>
            <w:r w:rsidRPr="00A54E92">
              <w:rPr>
                <w:sz w:val="14"/>
                <w:szCs w:val="14"/>
                <w:lang w:eastAsia="tr-TR"/>
              </w:rPr>
              <w:t xml:space="preserve">Bankacılık Servis Grubundan Sor. </w:t>
            </w:r>
            <w:proofErr w:type="spellStart"/>
            <w:r w:rsidRPr="00A54E92">
              <w:rPr>
                <w:sz w:val="14"/>
                <w:szCs w:val="14"/>
                <w:lang w:eastAsia="tr-TR"/>
              </w:rPr>
              <w:t>Gnl</w:t>
            </w:r>
            <w:proofErr w:type="spellEnd"/>
            <w:r w:rsidRPr="00A54E92">
              <w:rPr>
                <w:sz w:val="14"/>
                <w:szCs w:val="14"/>
                <w:lang w:eastAsia="tr-TR"/>
              </w:rPr>
              <w:t>. Md. Yrd.</w:t>
            </w:r>
          </w:p>
        </w:tc>
        <w:tc>
          <w:tcPr>
            <w:tcW w:w="823" w:type="dxa"/>
            <w:shd w:val="clear" w:color="auto" w:fill="auto"/>
            <w:noWrap/>
            <w:vAlign w:val="center"/>
            <w:hideMark/>
          </w:tcPr>
          <w:p w14:paraId="29F8E81C" w14:textId="77777777" w:rsidR="00A54E92" w:rsidRPr="00A54E92" w:rsidRDefault="00A54E92" w:rsidP="00A54E92">
            <w:pPr>
              <w:jc w:val="right"/>
              <w:rPr>
                <w:color w:val="000000"/>
                <w:sz w:val="14"/>
                <w:szCs w:val="14"/>
                <w:lang w:eastAsia="tr-TR"/>
              </w:rPr>
            </w:pPr>
            <w:r w:rsidRPr="00A54E92">
              <w:rPr>
                <w:color w:val="000000"/>
                <w:sz w:val="14"/>
                <w:szCs w:val="14"/>
                <w:lang w:eastAsia="tr-TR"/>
              </w:rPr>
              <w:t>27/10/2005</w:t>
            </w:r>
          </w:p>
        </w:tc>
        <w:tc>
          <w:tcPr>
            <w:tcW w:w="752" w:type="dxa"/>
            <w:shd w:val="clear" w:color="auto" w:fill="auto"/>
            <w:noWrap/>
            <w:vAlign w:val="center"/>
            <w:hideMark/>
          </w:tcPr>
          <w:p w14:paraId="4CED4447"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456123EC" w14:textId="77777777" w:rsidR="00A54E92" w:rsidRPr="00A54E92" w:rsidRDefault="00A54E92" w:rsidP="00A54E92">
            <w:pPr>
              <w:jc w:val="right"/>
              <w:rPr>
                <w:lang w:eastAsia="tr-TR"/>
              </w:rPr>
            </w:pPr>
          </w:p>
        </w:tc>
        <w:tc>
          <w:tcPr>
            <w:tcW w:w="765" w:type="dxa"/>
            <w:shd w:val="clear" w:color="auto" w:fill="auto"/>
            <w:noWrap/>
            <w:vAlign w:val="center"/>
            <w:hideMark/>
          </w:tcPr>
          <w:p w14:paraId="3AABDD31" w14:textId="77777777" w:rsidR="00A54E92" w:rsidRPr="00A54E92" w:rsidRDefault="00A54E92" w:rsidP="00A54E92">
            <w:pPr>
              <w:jc w:val="right"/>
              <w:rPr>
                <w:color w:val="000000"/>
                <w:sz w:val="14"/>
                <w:szCs w:val="14"/>
                <w:lang w:eastAsia="tr-TR"/>
              </w:rPr>
            </w:pPr>
            <w:r w:rsidRPr="00A54E92">
              <w:rPr>
                <w:color w:val="000000"/>
                <w:sz w:val="14"/>
                <w:szCs w:val="14"/>
                <w:lang w:eastAsia="tr-TR"/>
              </w:rPr>
              <w:t>Lisans</w:t>
            </w:r>
          </w:p>
        </w:tc>
        <w:tc>
          <w:tcPr>
            <w:tcW w:w="576" w:type="dxa"/>
            <w:shd w:val="clear" w:color="auto" w:fill="auto"/>
            <w:noWrap/>
            <w:vAlign w:val="center"/>
            <w:hideMark/>
          </w:tcPr>
          <w:p w14:paraId="6E516D13" w14:textId="77777777" w:rsidR="00A54E92" w:rsidRPr="00A54E92" w:rsidRDefault="00A54E92" w:rsidP="00A54E92">
            <w:pPr>
              <w:jc w:val="right"/>
              <w:rPr>
                <w:color w:val="000000"/>
                <w:sz w:val="14"/>
                <w:szCs w:val="14"/>
                <w:lang w:eastAsia="tr-TR"/>
              </w:rPr>
            </w:pPr>
            <w:r w:rsidRPr="00A54E92">
              <w:rPr>
                <w:color w:val="000000"/>
                <w:sz w:val="14"/>
                <w:szCs w:val="14"/>
                <w:lang w:eastAsia="tr-TR"/>
              </w:rPr>
              <w:t>0.02%</w:t>
            </w:r>
          </w:p>
        </w:tc>
      </w:tr>
      <w:tr w:rsidR="00A54E92" w:rsidRPr="00A54E92" w14:paraId="216CB1A1" w14:textId="77777777" w:rsidTr="00A54E92">
        <w:trPr>
          <w:trHeight w:val="40"/>
        </w:trPr>
        <w:tc>
          <w:tcPr>
            <w:tcW w:w="2099" w:type="dxa"/>
            <w:shd w:val="clear" w:color="auto" w:fill="auto"/>
            <w:noWrap/>
            <w:vAlign w:val="center"/>
            <w:hideMark/>
          </w:tcPr>
          <w:p w14:paraId="57EC0D81" w14:textId="77777777" w:rsidR="00A54E92" w:rsidRPr="00A54E92" w:rsidRDefault="00A54E92" w:rsidP="00A54E92">
            <w:pPr>
              <w:rPr>
                <w:color w:val="000000"/>
                <w:sz w:val="14"/>
                <w:szCs w:val="14"/>
                <w:lang w:eastAsia="tr-TR"/>
              </w:rPr>
            </w:pPr>
            <w:r w:rsidRPr="00A54E92">
              <w:rPr>
                <w:color w:val="000000"/>
                <w:sz w:val="14"/>
                <w:szCs w:val="14"/>
                <w:lang w:eastAsia="tr-TR"/>
              </w:rPr>
              <w:t>Dr. Ruşen Ahmet ALBAYRAK</w:t>
            </w:r>
          </w:p>
        </w:tc>
        <w:tc>
          <w:tcPr>
            <w:tcW w:w="3380" w:type="dxa"/>
            <w:shd w:val="clear" w:color="auto" w:fill="auto"/>
            <w:noWrap/>
            <w:vAlign w:val="center"/>
            <w:hideMark/>
          </w:tcPr>
          <w:p w14:paraId="15CEEBFA" w14:textId="77777777" w:rsidR="00A54E92" w:rsidRPr="00A54E92" w:rsidRDefault="00A54E92" w:rsidP="00A54E92">
            <w:pPr>
              <w:jc w:val="center"/>
              <w:rPr>
                <w:sz w:val="14"/>
                <w:szCs w:val="14"/>
                <w:lang w:eastAsia="tr-TR"/>
              </w:rPr>
            </w:pPr>
            <w:r w:rsidRPr="00A54E92">
              <w:rPr>
                <w:sz w:val="14"/>
                <w:szCs w:val="14"/>
                <w:lang w:eastAsia="tr-TR"/>
              </w:rPr>
              <w:t xml:space="preserve">Hazine ve Uluslararası Bankacılıktan Sor. </w:t>
            </w:r>
            <w:proofErr w:type="spellStart"/>
            <w:r w:rsidRPr="00A54E92">
              <w:rPr>
                <w:sz w:val="14"/>
                <w:szCs w:val="14"/>
                <w:lang w:eastAsia="tr-TR"/>
              </w:rPr>
              <w:t>Gnl</w:t>
            </w:r>
            <w:proofErr w:type="spellEnd"/>
            <w:r w:rsidRPr="00A54E92">
              <w:rPr>
                <w:sz w:val="14"/>
                <w:szCs w:val="14"/>
                <w:lang w:eastAsia="tr-TR"/>
              </w:rPr>
              <w:t>. Md. Yrd.</w:t>
            </w:r>
          </w:p>
        </w:tc>
        <w:tc>
          <w:tcPr>
            <w:tcW w:w="823" w:type="dxa"/>
            <w:shd w:val="clear" w:color="auto" w:fill="auto"/>
            <w:noWrap/>
            <w:vAlign w:val="center"/>
            <w:hideMark/>
          </w:tcPr>
          <w:p w14:paraId="3E3F8EB1" w14:textId="77777777" w:rsidR="00A54E92" w:rsidRPr="00A54E92" w:rsidRDefault="00A54E92" w:rsidP="00A54E92">
            <w:pPr>
              <w:jc w:val="right"/>
              <w:rPr>
                <w:color w:val="000000"/>
                <w:sz w:val="14"/>
                <w:szCs w:val="14"/>
                <w:lang w:eastAsia="tr-TR"/>
              </w:rPr>
            </w:pPr>
            <w:r w:rsidRPr="00A54E92">
              <w:rPr>
                <w:color w:val="000000"/>
                <w:sz w:val="14"/>
                <w:szCs w:val="14"/>
                <w:lang w:eastAsia="tr-TR"/>
              </w:rPr>
              <w:t>05/05/2005</w:t>
            </w:r>
          </w:p>
        </w:tc>
        <w:tc>
          <w:tcPr>
            <w:tcW w:w="752" w:type="dxa"/>
            <w:shd w:val="clear" w:color="auto" w:fill="auto"/>
            <w:noWrap/>
            <w:vAlign w:val="center"/>
            <w:hideMark/>
          </w:tcPr>
          <w:p w14:paraId="2751F0F9"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0D963DAD" w14:textId="77777777" w:rsidR="00A54E92" w:rsidRPr="00A54E92" w:rsidRDefault="00A54E92" w:rsidP="00A54E92">
            <w:pPr>
              <w:jc w:val="right"/>
              <w:rPr>
                <w:lang w:eastAsia="tr-TR"/>
              </w:rPr>
            </w:pPr>
          </w:p>
        </w:tc>
        <w:tc>
          <w:tcPr>
            <w:tcW w:w="765" w:type="dxa"/>
            <w:shd w:val="clear" w:color="auto" w:fill="auto"/>
            <w:noWrap/>
            <w:vAlign w:val="center"/>
            <w:hideMark/>
          </w:tcPr>
          <w:p w14:paraId="57C8D8AF" w14:textId="77777777" w:rsidR="00A54E92" w:rsidRPr="00A54E92" w:rsidRDefault="00A54E92" w:rsidP="00A54E92">
            <w:pPr>
              <w:jc w:val="right"/>
              <w:rPr>
                <w:color w:val="000000"/>
                <w:sz w:val="14"/>
                <w:szCs w:val="14"/>
                <w:lang w:eastAsia="tr-TR"/>
              </w:rPr>
            </w:pPr>
            <w:r w:rsidRPr="00A54E92">
              <w:rPr>
                <w:color w:val="000000"/>
                <w:sz w:val="14"/>
                <w:szCs w:val="14"/>
                <w:lang w:eastAsia="tr-TR"/>
              </w:rPr>
              <w:t>Doktora</w:t>
            </w:r>
          </w:p>
        </w:tc>
        <w:tc>
          <w:tcPr>
            <w:tcW w:w="576" w:type="dxa"/>
            <w:shd w:val="clear" w:color="auto" w:fill="auto"/>
            <w:noWrap/>
            <w:vAlign w:val="center"/>
            <w:hideMark/>
          </w:tcPr>
          <w:p w14:paraId="4F2D8C50" w14:textId="77777777" w:rsidR="00A54E92" w:rsidRPr="00A54E92" w:rsidRDefault="00A54E92" w:rsidP="00A54E92">
            <w:pPr>
              <w:jc w:val="right"/>
              <w:rPr>
                <w:color w:val="000000"/>
                <w:sz w:val="14"/>
                <w:szCs w:val="14"/>
                <w:lang w:eastAsia="tr-TR"/>
              </w:rPr>
            </w:pPr>
            <w:r w:rsidRPr="00A54E92">
              <w:rPr>
                <w:color w:val="000000"/>
                <w:sz w:val="14"/>
                <w:szCs w:val="14"/>
                <w:lang w:eastAsia="tr-TR"/>
              </w:rPr>
              <w:t>0.01%</w:t>
            </w:r>
          </w:p>
        </w:tc>
      </w:tr>
      <w:tr w:rsidR="00A54E92" w:rsidRPr="00A54E92" w14:paraId="416B14B6" w14:textId="77777777" w:rsidTr="00A54E92">
        <w:trPr>
          <w:trHeight w:val="40"/>
        </w:trPr>
        <w:tc>
          <w:tcPr>
            <w:tcW w:w="2099" w:type="dxa"/>
            <w:shd w:val="clear" w:color="auto" w:fill="auto"/>
            <w:noWrap/>
            <w:vAlign w:val="center"/>
            <w:hideMark/>
          </w:tcPr>
          <w:p w14:paraId="61E73BC9" w14:textId="77777777" w:rsidR="00A54E92" w:rsidRPr="00A54E92" w:rsidRDefault="00A54E92" w:rsidP="00A54E92">
            <w:pPr>
              <w:rPr>
                <w:color w:val="000000"/>
                <w:sz w:val="14"/>
                <w:szCs w:val="14"/>
                <w:lang w:eastAsia="tr-TR"/>
              </w:rPr>
            </w:pPr>
            <w:r w:rsidRPr="00A54E92">
              <w:rPr>
                <w:color w:val="000000"/>
                <w:sz w:val="14"/>
                <w:szCs w:val="14"/>
                <w:lang w:eastAsia="tr-TR"/>
              </w:rPr>
              <w:t>Nurettin KOLAÇ</w:t>
            </w:r>
          </w:p>
        </w:tc>
        <w:tc>
          <w:tcPr>
            <w:tcW w:w="3380" w:type="dxa"/>
            <w:shd w:val="clear" w:color="auto" w:fill="auto"/>
            <w:noWrap/>
            <w:vAlign w:val="center"/>
            <w:hideMark/>
          </w:tcPr>
          <w:p w14:paraId="7EED871A" w14:textId="77777777" w:rsidR="00A54E92" w:rsidRPr="00A54E92" w:rsidRDefault="00A54E92" w:rsidP="00A54E92">
            <w:pPr>
              <w:jc w:val="center"/>
              <w:rPr>
                <w:sz w:val="14"/>
                <w:szCs w:val="14"/>
                <w:lang w:eastAsia="tr-TR"/>
              </w:rPr>
            </w:pPr>
            <w:r w:rsidRPr="00A54E92">
              <w:rPr>
                <w:sz w:val="14"/>
                <w:szCs w:val="14"/>
                <w:lang w:eastAsia="tr-TR"/>
              </w:rPr>
              <w:t xml:space="preserve">Hukuk ve Risk Takip Grubundan Sor. </w:t>
            </w:r>
            <w:proofErr w:type="spellStart"/>
            <w:r w:rsidRPr="00A54E92">
              <w:rPr>
                <w:sz w:val="14"/>
                <w:szCs w:val="14"/>
                <w:lang w:eastAsia="tr-TR"/>
              </w:rPr>
              <w:t>Gnl</w:t>
            </w:r>
            <w:proofErr w:type="spellEnd"/>
            <w:r w:rsidRPr="00A54E92">
              <w:rPr>
                <w:sz w:val="14"/>
                <w:szCs w:val="14"/>
                <w:lang w:eastAsia="tr-TR"/>
              </w:rPr>
              <w:t>. Md. Yrd.</w:t>
            </w:r>
          </w:p>
        </w:tc>
        <w:tc>
          <w:tcPr>
            <w:tcW w:w="823" w:type="dxa"/>
            <w:shd w:val="clear" w:color="auto" w:fill="auto"/>
            <w:noWrap/>
            <w:vAlign w:val="center"/>
            <w:hideMark/>
          </w:tcPr>
          <w:p w14:paraId="7964DEA9" w14:textId="77777777" w:rsidR="00A54E92" w:rsidRPr="00A54E92" w:rsidRDefault="00A54E92" w:rsidP="00A54E92">
            <w:pPr>
              <w:jc w:val="right"/>
              <w:rPr>
                <w:color w:val="000000"/>
                <w:sz w:val="14"/>
                <w:szCs w:val="14"/>
                <w:lang w:eastAsia="tr-TR"/>
              </w:rPr>
            </w:pPr>
            <w:r w:rsidRPr="00A54E92">
              <w:rPr>
                <w:color w:val="000000"/>
                <w:sz w:val="14"/>
                <w:szCs w:val="14"/>
                <w:lang w:eastAsia="tr-TR"/>
              </w:rPr>
              <w:t>20/04/2010</w:t>
            </w:r>
          </w:p>
        </w:tc>
        <w:tc>
          <w:tcPr>
            <w:tcW w:w="752" w:type="dxa"/>
            <w:shd w:val="clear" w:color="auto" w:fill="auto"/>
            <w:noWrap/>
            <w:vAlign w:val="center"/>
            <w:hideMark/>
          </w:tcPr>
          <w:p w14:paraId="2DBF0117"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1399A766" w14:textId="77777777" w:rsidR="00A54E92" w:rsidRPr="00A54E92" w:rsidRDefault="00A54E92" w:rsidP="00A54E92">
            <w:pPr>
              <w:jc w:val="right"/>
              <w:rPr>
                <w:lang w:eastAsia="tr-TR"/>
              </w:rPr>
            </w:pPr>
          </w:p>
        </w:tc>
        <w:tc>
          <w:tcPr>
            <w:tcW w:w="765" w:type="dxa"/>
            <w:shd w:val="clear" w:color="auto" w:fill="auto"/>
            <w:noWrap/>
            <w:vAlign w:val="center"/>
            <w:hideMark/>
          </w:tcPr>
          <w:p w14:paraId="08B7B7F2" w14:textId="77777777" w:rsidR="00A54E92" w:rsidRPr="00A54E92" w:rsidRDefault="00A54E92" w:rsidP="00A54E92">
            <w:pPr>
              <w:jc w:val="right"/>
              <w:rPr>
                <w:color w:val="000000"/>
                <w:sz w:val="14"/>
                <w:szCs w:val="14"/>
                <w:lang w:eastAsia="tr-TR"/>
              </w:rPr>
            </w:pPr>
            <w:r w:rsidRPr="00A54E92">
              <w:rPr>
                <w:color w:val="000000"/>
                <w:sz w:val="14"/>
                <w:szCs w:val="14"/>
                <w:lang w:eastAsia="tr-TR"/>
              </w:rPr>
              <w:t>Lisans</w:t>
            </w:r>
          </w:p>
        </w:tc>
        <w:tc>
          <w:tcPr>
            <w:tcW w:w="576" w:type="dxa"/>
            <w:shd w:val="clear" w:color="auto" w:fill="auto"/>
            <w:noWrap/>
            <w:vAlign w:val="center"/>
            <w:hideMark/>
          </w:tcPr>
          <w:p w14:paraId="0B1861C2" w14:textId="77777777" w:rsidR="00A54E92" w:rsidRPr="00A54E92" w:rsidRDefault="00A54E92" w:rsidP="00A54E92">
            <w:pPr>
              <w:jc w:val="right"/>
              <w:rPr>
                <w:color w:val="000000"/>
                <w:sz w:val="14"/>
                <w:szCs w:val="14"/>
                <w:lang w:eastAsia="tr-TR"/>
              </w:rPr>
            </w:pPr>
            <w:r w:rsidRPr="00A54E92">
              <w:rPr>
                <w:color w:val="000000"/>
                <w:sz w:val="14"/>
                <w:szCs w:val="14"/>
                <w:lang w:eastAsia="tr-TR"/>
              </w:rPr>
              <w:t>0.00%</w:t>
            </w:r>
          </w:p>
        </w:tc>
      </w:tr>
      <w:tr w:rsidR="00A54E92" w:rsidRPr="00A54E92" w14:paraId="6BF0B63D" w14:textId="77777777" w:rsidTr="00A54E92">
        <w:trPr>
          <w:trHeight w:val="40"/>
        </w:trPr>
        <w:tc>
          <w:tcPr>
            <w:tcW w:w="2099" w:type="dxa"/>
            <w:shd w:val="clear" w:color="auto" w:fill="auto"/>
            <w:noWrap/>
            <w:vAlign w:val="center"/>
            <w:hideMark/>
          </w:tcPr>
          <w:p w14:paraId="44065DAA" w14:textId="77777777" w:rsidR="00A54E92" w:rsidRPr="00A54E92" w:rsidRDefault="00A54E92" w:rsidP="00A54E92">
            <w:pPr>
              <w:rPr>
                <w:color w:val="000000"/>
                <w:sz w:val="14"/>
                <w:szCs w:val="14"/>
                <w:lang w:eastAsia="tr-TR"/>
              </w:rPr>
            </w:pPr>
            <w:r w:rsidRPr="00A54E92">
              <w:rPr>
                <w:color w:val="000000"/>
                <w:sz w:val="14"/>
                <w:szCs w:val="14"/>
                <w:lang w:eastAsia="tr-TR"/>
              </w:rPr>
              <w:t>Aslan DEMİR</w:t>
            </w:r>
          </w:p>
        </w:tc>
        <w:tc>
          <w:tcPr>
            <w:tcW w:w="3380" w:type="dxa"/>
            <w:shd w:val="clear" w:color="auto" w:fill="auto"/>
            <w:noWrap/>
            <w:vAlign w:val="center"/>
            <w:hideMark/>
          </w:tcPr>
          <w:p w14:paraId="43440A8A" w14:textId="77777777" w:rsidR="00A54E92" w:rsidRPr="00A54E92" w:rsidRDefault="00A54E92" w:rsidP="00A54E92">
            <w:pPr>
              <w:jc w:val="center"/>
              <w:rPr>
                <w:sz w:val="14"/>
                <w:szCs w:val="14"/>
                <w:lang w:eastAsia="tr-TR"/>
              </w:rPr>
            </w:pPr>
            <w:r w:rsidRPr="00A54E92">
              <w:rPr>
                <w:sz w:val="14"/>
                <w:szCs w:val="14"/>
                <w:lang w:eastAsia="tr-TR"/>
              </w:rPr>
              <w:t xml:space="preserve">Stratejiden Sor. </w:t>
            </w:r>
            <w:proofErr w:type="spellStart"/>
            <w:r w:rsidRPr="00A54E92">
              <w:rPr>
                <w:sz w:val="14"/>
                <w:szCs w:val="14"/>
                <w:lang w:eastAsia="tr-TR"/>
              </w:rPr>
              <w:t>Gnl</w:t>
            </w:r>
            <w:proofErr w:type="spellEnd"/>
            <w:r w:rsidRPr="00A54E92">
              <w:rPr>
                <w:sz w:val="14"/>
                <w:szCs w:val="14"/>
                <w:lang w:eastAsia="tr-TR"/>
              </w:rPr>
              <w:t>. Md. Yrd.</w:t>
            </w:r>
          </w:p>
        </w:tc>
        <w:tc>
          <w:tcPr>
            <w:tcW w:w="823" w:type="dxa"/>
            <w:shd w:val="clear" w:color="auto" w:fill="auto"/>
            <w:noWrap/>
            <w:vAlign w:val="center"/>
            <w:hideMark/>
          </w:tcPr>
          <w:p w14:paraId="24552A6C" w14:textId="77777777" w:rsidR="00A54E92" w:rsidRPr="00A54E92" w:rsidRDefault="00A54E92" w:rsidP="00A54E92">
            <w:pPr>
              <w:jc w:val="right"/>
              <w:rPr>
                <w:color w:val="000000"/>
                <w:sz w:val="14"/>
                <w:szCs w:val="14"/>
                <w:lang w:eastAsia="tr-TR"/>
              </w:rPr>
            </w:pPr>
            <w:r w:rsidRPr="00A54E92">
              <w:rPr>
                <w:color w:val="000000"/>
                <w:sz w:val="14"/>
                <w:szCs w:val="14"/>
                <w:lang w:eastAsia="tr-TR"/>
              </w:rPr>
              <w:t>08/10/2012</w:t>
            </w:r>
          </w:p>
        </w:tc>
        <w:tc>
          <w:tcPr>
            <w:tcW w:w="752" w:type="dxa"/>
            <w:shd w:val="clear" w:color="auto" w:fill="auto"/>
            <w:noWrap/>
            <w:vAlign w:val="center"/>
            <w:hideMark/>
          </w:tcPr>
          <w:p w14:paraId="7249465A"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001CD1BA" w14:textId="77777777" w:rsidR="00A54E92" w:rsidRPr="00A54E92" w:rsidRDefault="00A54E92" w:rsidP="00A54E92">
            <w:pPr>
              <w:jc w:val="right"/>
              <w:rPr>
                <w:lang w:eastAsia="tr-TR"/>
              </w:rPr>
            </w:pPr>
          </w:p>
        </w:tc>
        <w:tc>
          <w:tcPr>
            <w:tcW w:w="765" w:type="dxa"/>
            <w:shd w:val="clear" w:color="auto" w:fill="auto"/>
            <w:noWrap/>
            <w:vAlign w:val="center"/>
            <w:hideMark/>
          </w:tcPr>
          <w:p w14:paraId="6CA676C1" w14:textId="77777777" w:rsidR="00A54E92" w:rsidRPr="00A54E92" w:rsidRDefault="00A54E92" w:rsidP="00A54E92">
            <w:pPr>
              <w:jc w:val="right"/>
              <w:rPr>
                <w:color w:val="000000"/>
                <w:sz w:val="14"/>
                <w:szCs w:val="14"/>
                <w:lang w:eastAsia="tr-TR"/>
              </w:rPr>
            </w:pPr>
            <w:r w:rsidRPr="00A54E92">
              <w:rPr>
                <w:color w:val="000000"/>
                <w:sz w:val="14"/>
                <w:szCs w:val="14"/>
                <w:lang w:eastAsia="tr-TR"/>
              </w:rPr>
              <w:t>Lisans</w:t>
            </w:r>
          </w:p>
        </w:tc>
        <w:tc>
          <w:tcPr>
            <w:tcW w:w="576" w:type="dxa"/>
            <w:shd w:val="clear" w:color="auto" w:fill="auto"/>
            <w:noWrap/>
            <w:vAlign w:val="center"/>
            <w:hideMark/>
          </w:tcPr>
          <w:p w14:paraId="4926AE12" w14:textId="77777777" w:rsidR="00A54E92" w:rsidRPr="00A54E92" w:rsidRDefault="00A54E92" w:rsidP="00A54E92">
            <w:pPr>
              <w:jc w:val="right"/>
              <w:rPr>
                <w:color w:val="000000"/>
                <w:sz w:val="14"/>
                <w:szCs w:val="14"/>
                <w:lang w:eastAsia="tr-TR"/>
              </w:rPr>
            </w:pPr>
            <w:r w:rsidRPr="00A54E92">
              <w:rPr>
                <w:color w:val="000000"/>
                <w:sz w:val="14"/>
                <w:szCs w:val="14"/>
                <w:lang w:eastAsia="tr-TR"/>
              </w:rPr>
              <w:t>0.01%</w:t>
            </w:r>
          </w:p>
        </w:tc>
      </w:tr>
      <w:tr w:rsidR="00A54E92" w:rsidRPr="00A54E92" w14:paraId="6B615B10" w14:textId="77777777" w:rsidTr="00A54E92">
        <w:trPr>
          <w:trHeight w:val="40"/>
        </w:trPr>
        <w:tc>
          <w:tcPr>
            <w:tcW w:w="2099" w:type="dxa"/>
            <w:shd w:val="clear" w:color="auto" w:fill="auto"/>
            <w:noWrap/>
            <w:vAlign w:val="center"/>
            <w:hideMark/>
          </w:tcPr>
          <w:p w14:paraId="0C8C29DD" w14:textId="77777777" w:rsidR="00A54E92" w:rsidRPr="00A54E92" w:rsidRDefault="00A54E92" w:rsidP="00A54E92">
            <w:pPr>
              <w:rPr>
                <w:color w:val="000000"/>
                <w:sz w:val="14"/>
                <w:szCs w:val="14"/>
                <w:lang w:eastAsia="tr-TR"/>
              </w:rPr>
            </w:pPr>
            <w:r w:rsidRPr="00A54E92">
              <w:rPr>
                <w:color w:val="000000"/>
                <w:sz w:val="14"/>
                <w:szCs w:val="14"/>
                <w:lang w:eastAsia="tr-TR"/>
              </w:rPr>
              <w:t>Mehmet ORAL</w:t>
            </w:r>
          </w:p>
        </w:tc>
        <w:tc>
          <w:tcPr>
            <w:tcW w:w="3380" w:type="dxa"/>
            <w:shd w:val="clear" w:color="auto" w:fill="auto"/>
            <w:noWrap/>
            <w:vAlign w:val="center"/>
            <w:hideMark/>
          </w:tcPr>
          <w:p w14:paraId="782EC5BE" w14:textId="77777777" w:rsidR="00A54E92" w:rsidRPr="00A54E92" w:rsidRDefault="00A54E92" w:rsidP="00A54E92">
            <w:pPr>
              <w:jc w:val="center"/>
              <w:rPr>
                <w:sz w:val="14"/>
                <w:szCs w:val="14"/>
                <w:lang w:eastAsia="tr-TR"/>
              </w:rPr>
            </w:pPr>
            <w:r w:rsidRPr="00A54E92">
              <w:rPr>
                <w:sz w:val="14"/>
                <w:szCs w:val="14"/>
                <w:lang w:eastAsia="tr-TR"/>
              </w:rPr>
              <w:t xml:space="preserve">Bireysel Bankacılık Grubundan Sor. </w:t>
            </w:r>
            <w:proofErr w:type="spellStart"/>
            <w:r w:rsidRPr="00A54E92">
              <w:rPr>
                <w:sz w:val="14"/>
                <w:szCs w:val="14"/>
                <w:lang w:eastAsia="tr-TR"/>
              </w:rPr>
              <w:t>Gnl</w:t>
            </w:r>
            <w:proofErr w:type="spellEnd"/>
            <w:r w:rsidRPr="00A54E92">
              <w:rPr>
                <w:sz w:val="14"/>
                <w:szCs w:val="14"/>
                <w:lang w:eastAsia="tr-TR"/>
              </w:rPr>
              <w:t>. Md. Yrd.</w:t>
            </w:r>
          </w:p>
        </w:tc>
        <w:tc>
          <w:tcPr>
            <w:tcW w:w="823" w:type="dxa"/>
            <w:shd w:val="clear" w:color="auto" w:fill="auto"/>
            <w:noWrap/>
            <w:vAlign w:val="center"/>
            <w:hideMark/>
          </w:tcPr>
          <w:p w14:paraId="35650EA6" w14:textId="77777777" w:rsidR="00A54E92" w:rsidRPr="00A54E92" w:rsidRDefault="00A54E92" w:rsidP="00A54E92">
            <w:pPr>
              <w:jc w:val="right"/>
              <w:rPr>
                <w:color w:val="000000"/>
                <w:sz w:val="14"/>
                <w:szCs w:val="14"/>
                <w:lang w:eastAsia="tr-TR"/>
              </w:rPr>
            </w:pPr>
            <w:r w:rsidRPr="00A54E92">
              <w:rPr>
                <w:color w:val="000000"/>
                <w:sz w:val="14"/>
                <w:szCs w:val="14"/>
                <w:lang w:eastAsia="tr-TR"/>
              </w:rPr>
              <w:t>01/10/2012</w:t>
            </w:r>
          </w:p>
        </w:tc>
        <w:tc>
          <w:tcPr>
            <w:tcW w:w="752" w:type="dxa"/>
            <w:shd w:val="clear" w:color="auto" w:fill="auto"/>
            <w:noWrap/>
            <w:vAlign w:val="center"/>
            <w:hideMark/>
          </w:tcPr>
          <w:p w14:paraId="00EFBD44"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083C8DB5" w14:textId="77777777" w:rsidR="00A54E92" w:rsidRPr="00A54E92" w:rsidRDefault="00A54E92" w:rsidP="00A54E92">
            <w:pPr>
              <w:jc w:val="right"/>
              <w:rPr>
                <w:lang w:eastAsia="tr-TR"/>
              </w:rPr>
            </w:pPr>
          </w:p>
        </w:tc>
        <w:tc>
          <w:tcPr>
            <w:tcW w:w="765" w:type="dxa"/>
            <w:shd w:val="clear" w:color="auto" w:fill="auto"/>
            <w:noWrap/>
            <w:vAlign w:val="center"/>
            <w:hideMark/>
          </w:tcPr>
          <w:p w14:paraId="16150E7B" w14:textId="77777777" w:rsidR="00A54E92" w:rsidRPr="00A54E92" w:rsidRDefault="00A54E92" w:rsidP="00A54E92">
            <w:pPr>
              <w:jc w:val="right"/>
              <w:rPr>
                <w:color w:val="000000"/>
                <w:sz w:val="14"/>
                <w:szCs w:val="14"/>
                <w:lang w:eastAsia="tr-TR"/>
              </w:rPr>
            </w:pPr>
            <w:r w:rsidRPr="00A54E92">
              <w:rPr>
                <w:color w:val="000000"/>
                <w:sz w:val="14"/>
                <w:szCs w:val="14"/>
                <w:lang w:eastAsia="tr-TR"/>
              </w:rPr>
              <w:t>Lisans</w:t>
            </w:r>
          </w:p>
        </w:tc>
        <w:tc>
          <w:tcPr>
            <w:tcW w:w="576" w:type="dxa"/>
            <w:shd w:val="clear" w:color="auto" w:fill="auto"/>
            <w:noWrap/>
            <w:vAlign w:val="center"/>
            <w:hideMark/>
          </w:tcPr>
          <w:p w14:paraId="40D94CBA" w14:textId="77777777" w:rsidR="00A54E92" w:rsidRPr="00A54E92" w:rsidRDefault="00A54E92" w:rsidP="00A54E92">
            <w:pPr>
              <w:jc w:val="right"/>
              <w:rPr>
                <w:color w:val="000000"/>
                <w:sz w:val="14"/>
                <w:szCs w:val="14"/>
                <w:lang w:eastAsia="tr-TR"/>
              </w:rPr>
            </w:pPr>
            <w:r w:rsidRPr="00A54E92">
              <w:rPr>
                <w:color w:val="000000"/>
                <w:sz w:val="14"/>
                <w:szCs w:val="14"/>
                <w:lang w:eastAsia="tr-TR"/>
              </w:rPr>
              <w:t>0.00%</w:t>
            </w:r>
          </w:p>
        </w:tc>
      </w:tr>
      <w:tr w:rsidR="00A54E92" w:rsidRPr="00A54E92" w14:paraId="13C0AFA9" w14:textId="77777777" w:rsidTr="00A54E92">
        <w:trPr>
          <w:trHeight w:val="40"/>
        </w:trPr>
        <w:tc>
          <w:tcPr>
            <w:tcW w:w="2099" w:type="dxa"/>
            <w:shd w:val="clear" w:color="auto" w:fill="auto"/>
            <w:noWrap/>
            <w:vAlign w:val="center"/>
            <w:hideMark/>
          </w:tcPr>
          <w:p w14:paraId="10EF7518" w14:textId="77777777" w:rsidR="00A54E92" w:rsidRPr="00A54E92" w:rsidRDefault="00A54E92" w:rsidP="00A54E92">
            <w:pPr>
              <w:rPr>
                <w:color w:val="000000"/>
                <w:sz w:val="14"/>
                <w:szCs w:val="14"/>
                <w:lang w:eastAsia="tr-TR"/>
              </w:rPr>
            </w:pPr>
            <w:r w:rsidRPr="00A54E92">
              <w:rPr>
                <w:color w:val="000000"/>
                <w:sz w:val="14"/>
                <w:szCs w:val="14"/>
                <w:lang w:eastAsia="tr-TR"/>
              </w:rPr>
              <w:t>Abdurrahman DELİPOYRAZ</w:t>
            </w:r>
          </w:p>
        </w:tc>
        <w:tc>
          <w:tcPr>
            <w:tcW w:w="3380" w:type="dxa"/>
            <w:shd w:val="clear" w:color="auto" w:fill="auto"/>
            <w:noWrap/>
            <w:vAlign w:val="center"/>
            <w:hideMark/>
          </w:tcPr>
          <w:p w14:paraId="4D6BCBFF" w14:textId="77777777" w:rsidR="00A54E92" w:rsidRPr="00A54E92" w:rsidRDefault="00A54E92" w:rsidP="00A54E92">
            <w:pPr>
              <w:jc w:val="center"/>
              <w:rPr>
                <w:sz w:val="14"/>
                <w:szCs w:val="14"/>
                <w:lang w:eastAsia="tr-TR"/>
              </w:rPr>
            </w:pPr>
            <w:r w:rsidRPr="00A54E92">
              <w:rPr>
                <w:sz w:val="14"/>
                <w:szCs w:val="14"/>
                <w:lang w:eastAsia="tr-TR"/>
              </w:rPr>
              <w:t xml:space="preserve">KOBİ Bankacılığından Sor. </w:t>
            </w:r>
            <w:proofErr w:type="spellStart"/>
            <w:r w:rsidRPr="00A54E92">
              <w:rPr>
                <w:sz w:val="14"/>
                <w:szCs w:val="14"/>
                <w:lang w:eastAsia="tr-TR"/>
              </w:rPr>
              <w:t>Gnl</w:t>
            </w:r>
            <w:proofErr w:type="spellEnd"/>
            <w:r w:rsidRPr="00A54E92">
              <w:rPr>
                <w:sz w:val="14"/>
                <w:szCs w:val="14"/>
                <w:lang w:eastAsia="tr-TR"/>
              </w:rPr>
              <w:t>. Md. Yrd.</w:t>
            </w:r>
          </w:p>
        </w:tc>
        <w:tc>
          <w:tcPr>
            <w:tcW w:w="823" w:type="dxa"/>
            <w:shd w:val="clear" w:color="auto" w:fill="auto"/>
            <w:noWrap/>
            <w:vAlign w:val="center"/>
            <w:hideMark/>
          </w:tcPr>
          <w:p w14:paraId="3B7DCAE8" w14:textId="77777777" w:rsidR="00A54E92" w:rsidRPr="00A54E92" w:rsidRDefault="00A54E92" w:rsidP="00A54E92">
            <w:pPr>
              <w:jc w:val="right"/>
              <w:rPr>
                <w:color w:val="000000"/>
                <w:sz w:val="14"/>
                <w:szCs w:val="14"/>
                <w:lang w:eastAsia="tr-TR"/>
              </w:rPr>
            </w:pPr>
            <w:r w:rsidRPr="00A54E92">
              <w:rPr>
                <w:color w:val="000000"/>
                <w:sz w:val="14"/>
                <w:szCs w:val="14"/>
                <w:lang w:eastAsia="tr-TR"/>
              </w:rPr>
              <w:t>09/01/2015</w:t>
            </w:r>
          </w:p>
        </w:tc>
        <w:tc>
          <w:tcPr>
            <w:tcW w:w="752" w:type="dxa"/>
            <w:shd w:val="clear" w:color="auto" w:fill="auto"/>
            <w:noWrap/>
            <w:vAlign w:val="center"/>
            <w:hideMark/>
          </w:tcPr>
          <w:p w14:paraId="63DDF4E1" w14:textId="77777777" w:rsidR="00A54E92" w:rsidRPr="00A54E92" w:rsidRDefault="00A54E92" w:rsidP="00A54E92">
            <w:pPr>
              <w:jc w:val="right"/>
              <w:rPr>
                <w:color w:val="000000"/>
                <w:sz w:val="14"/>
                <w:szCs w:val="14"/>
                <w:lang w:eastAsia="tr-TR"/>
              </w:rPr>
            </w:pPr>
          </w:p>
        </w:tc>
        <w:tc>
          <w:tcPr>
            <w:tcW w:w="847" w:type="dxa"/>
            <w:shd w:val="clear" w:color="auto" w:fill="auto"/>
            <w:noWrap/>
            <w:vAlign w:val="center"/>
            <w:hideMark/>
          </w:tcPr>
          <w:p w14:paraId="55084A55" w14:textId="77777777" w:rsidR="00A54E92" w:rsidRPr="00A54E92" w:rsidRDefault="00A54E92" w:rsidP="00A54E92">
            <w:pPr>
              <w:jc w:val="right"/>
              <w:rPr>
                <w:lang w:eastAsia="tr-TR"/>
              </w:rPr>
            </w:pPr>
          </w:p>
        </w:tc>
        <w:tc>
          <w:tcPr>
            <w:tcW w:w="765" w:type="dxa"/>
            <w:shd w:val="clear" w:color="auto" w:fill="auto"/>
            <w:noWrap/>
            <w:vAlign w:val="center"/>
            <w:hideMark/>
          </w:tcPr>
          <w:p w14:paraId="3A187C9D" w14:textId="77777777" w:rsidR="00A54E92" w:rsidRPr="00A54E92" w:rsidRDefault="00A54E92" w:rsidP="00A54E92">
            <w:pPr>
              <w:jc w:val="right"/>
              <w:rPr>
                <w:color w:val="000000"/>
                <w:sz w:val="14"/>
                <w:szCs w:val="14"/>
                <w:lang w:eastAsia="tr-TR"/>
              </w:rPr>
            </w:pPr>
            <w:r w:rsidRPr="00A54E92">
              <w:rPr>
                <w:color w:val="000000"/>
                <w:sz w:val="14"/>
                <w:szCs w:val="14"/>
                <w:lang w:eastAsia="tr-TR"/>
              </w:rPr>
              <w:t>Lisans</w:t>
            </w:r>
          </w:p>
        </w:tc>
        <w:tc>
          <w:tcPr>
            <w:tcW w:w="576" w:type="dxa"/>
            <w:shd w:val="clear" w:color="auto" w:fill="auto"/>
            <w:noWrap/>
            <w:vAlign w:val="center"/>
            <w:hideMark/>
          </w:tcPr>
          <w:p w14:paraId="587175CA" w14:textId="77777777" w:rsidR="00A54E92" w:rsidRPr="00A54E92" w:rsidRDefault="00A54E92" w:rsidP="00A54E92">
            <w:pPr>
              <w:jc w:val="right"/>
              <w:rPr>
                <w:color w:val="000000"/>
                <w:sz w:val="14"/>
                <w:szCs w:val="14"/>
                <w:lang w:eastAsia="tr-TR"/>
              </w:rPr>
            </w:pPr>
            <w:r w:rsidRPr="00A54E92">
              <w:rPr>
                <w:color w:val="000000"/>
                <w:sz w:val="14"/>
                <w:szCs w:val="14"/>
                <w:lang w:eastAsia="tr-TR"/>
              </w:rPr>
              <w:t>0.01%</w:t>
            </w:r>
          </w:p>
        </w:tc>
      </w:tr>
    </w:tbl>
    <w:p w14:paraId="40B5FD5D" w14:textId="1D1CC8E0" w:rsidR="00A54E92" w:rsidRPr="00A54E92" w:rsidRDefault="005E5A64" w:rsidP="00A54E92">
      <w:pPr>
        <w:pStyle w:val="BodyText"/>
        <w:autoSpaceDE/>
        <w:autoSpaceDN/>
        <w:adjustRightInd/>
        <w:spacing w:line="230" w:lineRule="auto"/>
        <w:rPr>
          <w:sz w:val="12"/>
          <w:szCs w:val="14"/>
          <w:lang w:eastAsia="tr-TR"/>
        </w:rPr>
      </w:pPr>
      <w:r w:rsidRPr="00A54E92">
        <w:rPr>
          <w:sz w:val="12"/>
          <w:szCs w:val="14"/>
          <w:lang w:eastAsia="tr-TR"/>
        </w:rPr>
        <w:t> </w:t>
      </w:r>
      <w:bookmarkStart w:id="1" w:name="_Hlk40200778"/>
      <w:r w:rsidR="00A54E92" w:rsidRPr="00A54E92">
        <w:rPr>
          <w:sz w:val="12"/>
          <w:szCs w:val="14"/>
          <w:lang w:eastAsia="tr-TR"/>
        </w:rPr>
        <w:t>(</w:t>
      </w:r>
      <w:proofErr w:type="gramStart"/>
      <w:r w:rsidR="00A54E92" w:rsidRPr="00A54E92">
        <w:rPr>
          <w:sz w:val="12"/>
          <w:szCs w:val="14"/>
          <w:lang w:eastAsia="tr-TR"/>
        </w:rPr>
        <w:t>*)Shadi</w:t>
      </w:r>
      <w:proofErr w:type="gramEnd"/>
      <w:r w:rsidR="00A54E92" w:rsidRPr="00A54E92">
        <w:rPr>
          <w:sz w:val="12"/>
          <w:szCs w:val="14"/>
          <w:lang w:eastAsia="tr-TR"/>
        </w:rPr>
        <w:t xml:space="preserve"> Ahmed </w:t>
      </w:r>
      <w:proofErr w:type="spellStart"/>
      <w:r w:rsidR="00A54E92" w:rsidRPr="00A54E92">
        <w:rPr>
          <w:sz w:val="12"/>
          <w:szCs w:val="14"/>
          <w:lang w:eastAsia="tr-TR"/>
        </w:rPr>
        <w:t>Yacoub</w:t>
      </w:r>
      <w:proofErr w:type="spellEnd"/>
      <w:r w:rsidR="00A54E92" w:rsidRPr="00A54E92">
        <w:rPr>
          <w:sz w:val="12"/>
          <w:szCs w:val="14"/>
          <w:lang w:eastAsia="tr-TR"/>
        </w:rPr>
        <w:t xml:space="preserve"> ZAHRAN, 4 Kasım 2020 tarihli karar ile denetim komitesi başkanlığına getirilmiştir.</w:t>
      </w:r>
    </w:p>
    <w:bookmarkEnd w:id="1"/>
    <w:p w14:paraId="7EB5DCC4" w14:textId="49D98A6B" w:rsidR="00442ABD" w:rsidRPr="0074397F" w:rsidRDefault="00442ABD" w:rsidP="00442ABD">
      <w:pPr>
        <w:pStyle w:val="BodyText"/>
        <w:autoSpaceDE/>
        <w:spacing w:line="228" w:lineRule="auto"/>
        <w:rPr>
          <w:sz w:val="2"/>
          <w:szCs w:val="14"/>
          <w:lang w:eastAsia="en-US"/>
        </w:rPr>
      </w:pPr>
    </w:p>
    <w:p w14:paraId="284F20D7" w14:textId="7EAB9C96" w:rsidR="00442ABD" w:rsidRPr="0074397F" w:rsidRDefault="00442ABD" w:rsidP="00442ABD">
      <w:pPr>
        <w:pStyle w:val="BodyText"/>
        <w:autoSpaceDE/>
        <w:spacing w:line="228" w:lineRule="auto"/>
        <w:rPr>
          <w:sz w:val="2"/>
          <w:szCs w:val="14"/>
          <w:lang w:eastAsia="en-US"/>
        </w:rPr>
      </w:pPr>
    </w:p>
    <w:p w14:paraId="4D8DAD02" w14:textId="77777777" w:rsidR="00A54E92" w:rsidRDefault="00A54E92" w:rsidP="003D2471">
      <w:pPr>
        <w:pStyle w:val="BodyText"/>
        <w:autoSpaceDE/>
        <w:autoSpaceDN/>
        <w:adjustRightInd/>
        <w:spacing w:line="230" w:lineRule="auto"/>
      </w:pPr>
    </w:p>
    <w:p w14:paraId="49A4D55A" w14:textId="39A0168B" w:rsidR="00033391" w:rsidRPr="0074397F" w:rsidRDefault="00E253C8" w:rsidP="003D2471">
      <w:pPr>
        <w:pStyle w:val="BodyText"/>
        <w:autoSpaceDE/>
        <w:autoSpaceDN/>
        <w:adjustRightInd/>
        <w:spacing w:line="230" w:lineRule="auto"/>
        <w:rPr>
          <w:sz w:val="16"/>
        </w:rPr>
      </w:pPr>
      <w:r w:rsidRPr="0074397F">
        <w:t xml:space="preserve">Banka’nın Yönetim Kurulu Başkan ve </w:t>
      </w:r>
      <w:r w:rsidR="00DC6CFE" w:rsidRPr="0074397F">
        <w:t>Ü</w:t>
      </w:r>
      <w:r w:rsidRPr="0074397F">
        <w:t xml:space="preserve">yeleri, </w:t>
      </w:r>
      <w:r w:rsidR="00DC6CFE" w:rsidRPr="0074397F">
        <w:t>D</w:t>
      </w:r>
      <w:r w:rsidRPr="0074397F">
        <w:t xml:space="preserve">enetim </w:t>
      </w:r>
      <w:r w:rsidR="00DC6CFE" w:rsidRPr="0074397F">
        <w:t>K</w:t>
      </w:r>
      <w:r w:rsidRPr="0074397F">
        <w:t xml:space="preserve">urulu </w:t>
      </w:r>
      <w:r w:rsidR="00DC6CFE" w:rsidRPr="0074397F">
        <w:t>Ü</w:t>
      </w:r>
      <w:r w:rsidRPr="0074397F">
        <w:t xml:space="preserve">yeleri, </w:t>
      </w:r>
      <w:r w:rsidR="00DC6CFE" w:rsidRPr="0074397F">
        <w:t>G</w:t>
      </w:r>
      <w:r w:rsidRPr="0074397F">
        <w:t xml:space="preserve">enel </w:t>
      </w:r>
      <w:r w:rsidR="00DC6CFE" w:rsidRPr="0074397F">
        <w:t>M</w:t>
      </w:r>
      <w:r w:rsidRPr="0074397F">
        <w:t xml:space="preserve">üdür ve </w:t>
      </w:r>
      <w:r w:rsidR="00DC6CFE" w:rsidRPr="0074397F">
        <w:t>Y</w:t>
      </w:r>
      <w:r w:rsidRPr="0074397F">
        <w:t xml:space="preserve">ardımcılarının Banka sermayesindeki pay </w:t>
      </w:r>
      <w:r w:rsidR="009D1652" w:rsidRPr="0074397F">
        <w:t>oranı %0.1</w:t>
      </w:r>
      <w:r w:rsidR="00366464" w:rsidRPr="0074397F">
        <w:t>2</w:t>
      </w:r>
      <w:r w:rsidRPr="0074397F">
        <w:t>’d</w:t>
      </w:r>
      <w:r w:rsidR="004E1CFD" w:rsidRPr="0074397F">
        <w:t>i</w:t>
      </w:r>
      <w:r w:rsidRPr="0074397F">
        <w:t xml:space="preserve">r (31 Aralık </w:t>
      </w:r>
      <w:proofErr w:type="gramStart"/>
      <w:r w:rsidR="00416592" w:rsidRPr="0074397F">
        <w:t>201</w:t>
      </w:r>
      <w:r w:rsidR="00E922F4" w:rsidRPr="0074397F">
        <w:t>9</w:t>
      </w:r>
      <w:r w:rsidRPr="0074397F">
        <w:t xml:space="preserve"> -</w:t>
      </w:r>
      <w:proofErr w:type="gramEnd"/>
      <w:r w:rsidRPr="0074397F">
        <w:t xml:space="preserve"> %</w:t>
      </w:r>
      <w:r w:rsidR="009D1652" w:rsidRPr="0074397F">
        <w:t>0.1</w:t>
      </w:r>
      <w:r w:rsidR="00E922F4" w:rsidRPr="0074397F">
        <w:t>2</w:t>
      </w:r>
      <w:r w:rsidRPr="0074397F">
        <w:t xml:space="preserve">). </w:t>
      </w:r>
    </w:p>
    <w:p w14:paraId="5399C29F" w14:textId="77777777" w:rsidR="00E73302" w:rsidRPr="00270CE6" w:rsidRDefault="00E73302" w:rsidP="006F64CB">
      <w:pPr>
        <w:pStyle w:val="BodyText"/>
        <w:autoSpaceDE/>
        <w:autoSpaceDN/>
        <w:adjustRightInd/>
        <w:spacing w:line="230" w:lineRule="auto"/>
        <w:jc w:val="left"/>
        <w:rPr>
          <w:highlight w:val="yellow"/>
        </w:rPr>
        <w:sectPr w:rsidR="00E73302" w:rsidRPr="00270CE6" w:rsidSect="00A07E0F">
          <w:headerReference w:type="default" r:id="rId16"/>
          <w:footerReference w:type="default" r:id="rId17"/>
          <w:pgSz w:w="11907" w:h="16840" w:code="9"/>
          <w:pgMar w:top="1418" w:right="1418" w:bottom="1418" w:left="1418" w:header="708" w:footer="708" w:gutter="0"/>
          <w:pgNumType w:start="1"/>
          <w:cols w:space="708"/>
          <w:noEndnote/>
        </w:sectPr>
      </w:pPr>
    </w:p>
    <w:p w14:paraId="4CCC414D" w14:textId="77777777" w:rsidR="00584973" w:rsidRPr="00502A4E" w:rsidRDefault="00811E18" w:rsidP="008F08F2">
      <w:pPr>
        <w:pStyle w:val="BodyText"/>
        <w:autoSpaceDE/>
        <w:autoSpaceDN/>
        <w:adjustRightInd/>
        <w:ind w:left="-540" w:hanging="27"/>
        <w:jc w:val="left"/>
        <w:rPr>
          <w:b/>
        </w:rPr>
      </w:pPr>
      <w:bookmarkStart w:id="2" w:name="_Hlk39959252"/>
      <w:r w:rsidRPr="00502A4E">
        <w:rPr>
          <w:b/>
        </w:rPr>
        <w:lastRenderedPageBreak/>
        <w:t xml:space="preserve">4.      </w:t>
      </w:r>
      <w:r w:rsidR="008F08F2" w:rsidRPr="00502A4E">
        <w:rPr>
          <w:b/>
        </w:rPr>
        <w:tab/>
      </w:r>
      <w:r w:rsidR="00E253C8" w:rsidRPr="00502A4E">
        <w:rPr>
          <w:b/>
        </w:rPr>
        <w:t xml:space="preserve">Banka’da nitelikli pay sahibi olan kişi ve kuruluşlara ilişkin açıklamalar </w:t>
      </w:r>
    </w:p>
    <w:p w14:paraId="35BA14A7" w14:textId="5E0D09B9" w:rsidR="008E00BC" w:rsidRPr="00502A4E" w:rsidRDefault="008E00BC" w:rsidP="00134A72">
      <w:pPr>
        <w:pStyle w:val="BodyText"/>
        <w:autoSpaceDE/>
        <w:autoSpaceDN/>
        <w:adjustRightInd/>
        <w:jc w:val="left"/>
        <w:rPr>
          <w:lang w:val="en-GB" w:eastAsia="en-GB"/>
        </w:rPr>
      </w:pPr>
    </w:p>
    <w:tbl>
      <w:tblPr>
        <w:tblW w:w="9074" w:type="dxa"/>
        <w:tblCellMar>
          <w:left w:w="70" w:type="dxa"/>
          <w:right w:w="70" w:type="dxa"/>
        </w:tblCellMar>
        <w:tblLook w:val="04A0" w:firstRow="1" w:lastRow="0" w:firstColumn="1" w:lastColumn="0" w:noHBand="0" w:noVBand="1"/>
      </w:tblPr>
      <w:tblGrid>
        <w:gridCol w:w="4592"/>
        <w:gridCol w:w="1057"/>
        <w:gridCol w:w="1014"/>
        <w:gridCol w:w="1202"/>
        <w:gridCol w:w="1209"/>
      </w:tblGrid>
      <w:tr w:rsidR="00D35F92" w:rsidRPr="00502A4E" w14:paraId="1B4AC03C" w14:textId="77777777" w:rsidTr="00D35F92">
        <w:trPr>
          <w:divId w:val="429665764"/>
          <w:trHeight w:val="690"/>
        </w:trPr>
        <w:tc>
          <w:tcPr>
            <w:tcW w:w="4592" w:type="dxa"/>
            <w:tcBorders>
              <w:top w:val="single" w:sz="8" w:space="0" w:color="auto"/>
              <w:left w:val="nil"/>
              <w:bottom w:val="single" w:sz="8" w:space="0" w:color="000000"/>
              <w:right w:val="nil"/>
            </w:tcBorders>
            <w:shd w:val="clear" w:color="000000" w:fill="FFFFFF"/>
            <w:noWrap/>
            <w:vAlign w:val="center"/>
            <w:hideMark/>
          </w:tcPr>
          <w:p w14:paraId="27E1F368" w14:textId="048D2466" w:rsidR="00D35F92" w:rsidRPr="00502A4E" w:rsidRDefault="00D35F92" w:rsidP="008E00BC">
            <w:pPr>
              <w:rPr>
                <w:b/>
                <w:bCs/>
                <w:color w:val="000000"/>
                <w:lang w:eastAsia="tr-TR"/>
              </w:rPr>
            </w:pPr>
            <w:r w:rsidRPr="00502A4E">
              <w:rPr>
                <w:b/>
                <w:bCs/>
                <w:color w:val="000000"/>
                <w:lang w:eastAsia="tr-TR"/>
              </w:rPr>
              <w:t xml:space="preserve">Ad </w:t>
            </w:r>
            <w:proofErr w:type="spellStart"/>
            <w:r w:rsidRPr="00502A4E">
              <w:rPr>
                <w:b/>
                <w:bCs/>
                <w:color w:val="000000"/>
                <w:lang w:eastAsia="tr-TR"/>
              </w:rPr>
              <w:t>soyad</w:t>
            </w:r>
            <w:proofErr w:type="spellEnd"/>
            <w:r w:rsidRPr="00502A4E">
              <w:rPr>
                <w:b/>
                <w:bCs/>
                <w:color w:val="000000"/>
                <w:lang w:eastAsia="tr-TR"/>
              </w:rPr>
              <w:t xml:space="preserve">/Ticari </w:t>
            </w:r>
            <w:proofErr w:type="spellStart"/>
            <w:r w:rsidRPr="00502A4E">
              <w:rPr>
                <w:b/>
                <w:bCs/>
                <w:color w:val="000000"/>
                <w:lang w:eastAsia="tr-TR"/>
              </w:rPr>
              <w:t>ünvanı</w:t>
            </w:r>
            <w:proofErr w:type="spellEnd"/>
          </w:p>
        </w:tc>
        <w:tc>
          <w:tcPr>
            <w:tcW w:w="1057" w:type="dxa"/>
            <w:tcBorders>
              <w:top w:val="single" w:sz="8" w:space="0" w:color="auto"/>
              <w:left w:val="nil"/>
              <w:bottom w:val="single" w:sz="8" w:space="0" w:color="000000"/>
              <w:right w:val="nil"/>
            </w:tcBorders>
            <w:shd w:val="clear" w:color="000000" w:fill="FFFFFF"/>
            <w:noWrap/>
            <w:vAlign w:val="bottom"/>
            <w:hideMark/>
          </w:tcPr>
          <w:p w14:paraId="2243A756" w14:textId="77777777" w:rsidR="00D35F92" w:rsidRPr="00502A4E" w:rsidRDefault="00D35F92" w:rsidP="00D35F92">
            <w:pPr>
              <w:jc w:val="right"/>
              <w:rPr>
                <w:b/>
                <w:bCs/>
                <w:color w:val="000000"/>
                <w:lang w:eastAsia="tr-TR"/>
              </w:rPr>
            </w:pPr>
            <w:r w:rsidRPr="00502A4E">
              <w:rPr>
                <w:b/>
                <w:bCs/>
                <w:color w:val="000000"/>
                <w:lang w:eastAsia="tr-TR"/>
              </w:rPr>
              <w:t>Pay tutarları (Nominal)</w:t>
            </w:r>
          </w:p>
        </w:tc>
        <w:tc>
          <w:tcPr>
            <w:tcW w:w="1014" w:type="dxa"/>
            <w:tcBorders>
              <w:top w:val="single" w:sz="8" w:space="0" w:color="auto"/>
              <w:left w:val="nil"/>
              <w:bottom w:val="single" w:sz="4" w:space="0" w:color="auto"/>
              <w:right w:val="nil"/>
            </w:tcBorders>
            <w:shd w:val="clear" w:color="000000" w:fill="FFFFFF"/>
            <w:noWrap/>
            <w:vAlign w:val="bottom"/>
            <w:hideMark/>
          </w:tcPr>
          <w:p w14:paraId="3FBE7CDB" w14:textId="77777777" w:rsidR="00D35F92" w:rsidRPr="00502A4E" w:rsidRDefault="00D35F92" w:rsidP="00D35F92">
            <w:pPr>
              <w:jc w:val="right"/>
              <w:rPr>
                <w:b/>
                <w:bCs/>
                <w:color w:val="000000"/>
                <w:lang w:eastAsia="tr-TR"/>
              </w:rPr>
            </w:pPr>
            <w:r w:rsidRPr="00502A4E">
              <w:rPr>
                <w:b/>
                <w:bCs/>
                <w:color w:val="000000"/>
                <w:lang w:eastAsia="tr-TR"/>
              </w:rPr>
              <w:t>Pay</w:t>
            </w:r>
          </w:p>
          <w:p w14:paraId="18775DD2" w14:textId="09C8AC89" w:rsidR="00D35F92" w:rsidRPr="00502A4E" w:rsidRDefault="00D35F92" w:rsidP="00D35F92">
            <w:pPr>
              <w:jc w:val="right"/>
              <w:rPr>
                <w:b/>
                <w:bCs/>
                <w:color w:val="000000"/>
                <w:lang w:eastAsia="tr-TR"/>
              </w:rPr>
            </w:pPr>
            <w:proofErr w:type="gramStart"/>
            <w:r w:rsidRPr="00502A4E">
              <w:rPr>
                <w:b/>
                <w:bCs/>
                <w:color w:val="000000"/>
                <w:lang w:eastAsia="tr-TR"/>
              </w:rPr>
              <w:t>oranları</w:t>
            </w:r>
            <w:proofErr w:type="gramEnd"/>
          </w:p>
        </w:tc>
        <w:tc>
          <w:tcPr>
            <w:tcW w:w="1202" w:type="dxa"/>
            <w:tcBorders>
              <w:top w:val="single" w:sz="8" w:space="0" w:color="auto"/>
              <w:left w:val="nil"/>
              <w:bottom w:val="single" w:sz="4" w:space="0" w:color="auto"/>
              <w:right w:val="nil"/>
            </w:tcBorders>
            <w:shd w:val="clear" w:color="000000" w:fill="FFFFFF"/>
            <w:noWrap/>
            <w:vAlign w:val="bottom"/>
            <w:hideMark/>
          </w:tcPr>
          <w:p w14:paraId="3656F105" w14:textId="77777777" w:rsidR="00D35F92" w:rsidRPr="00502A4E" w:rsidRDefault="00D35F92" w:rsidP="00D35F92">
            <w:pPr>
              <w:jc w:val="right"/>
              <w:rPr>
                <w:b/>
                <w:bCs/>
                <w:color w:val="000000"/>
                <w:lang w:eastAsia="tr-TR"/>
              </w:rPr>
            </w:pPr>
            <w:r w:rsidRPr="00502A4E">
              <w:rPr>
                <w:b/>
                <w:bCs/>
                <w:color w:val="000000"/>
                <w:lang w:eastAsia="tr-TR"/>
              </w:rPr>
              <w:t>Ödenmiş paylar (Nominal)</w:t>
            </w:r>
          </w:p>
        </w:tc>
        <w:tc>
          <w:tcPr>
            <w:tcW w:w="1209" w:type="dxa"/>
            <w:tcBorders>
              <w:top w:val="single" w:sz="8" w:space="0" w:color="auto"/>
              <w:left w:val="nil"/>
              <w:bottom w:val="single" w:sz="4" w:space="0" w:color="auto"/>
              <w:right w:val="nil"/>
            </w:tcBorders>
            <w:shd w:val="clear" w:color="000000" w:fill="FFFFFF"/>
            <w:noWrap/>
            <w:vAlign w:val="bottom"/>
            <w:hideMark/>
          </w:tcPr>
          <w:p w14:paraId="3FDC02E3" w14:textId="77777777" w:rsidR="00D35F92" w:rsidRPr="00502A4E" w:rsidRDefault="00D35F92" w:rsidP="00D35F92">
            <w:pPr>
              <w:jc w:val="right"/>
              <w:rPr>
                <w:b/>
                <w:bCs/>
                <w:color w:val="000000"/>
                <w:lang w:eastAsia="tr-TR"/>
              </w:rPr>
            </w:pPr>
            <w:r w:rsidRPr="00502A4E">
              <w:rPr>
                <w:b/>
                <w:bCs/>
                <w:color w:val="000000"/>
                <w:lang w:eastAsia="tr-TR"/>
              </w:rPr>
              <w:t>Ödenmemiş</w:t>
            </w:r>
          </w:p>
          <w:p w14:paraId="40691B57" w14:textId="7667A08B" w:rsidR="00D35F92" w:rsidRPr="00502A4E" w:rsidRDefault="00D35F92" w:rsidP="00D35F92">
            <w:pPr>
              <w:jc w:val="right"/>
              <w:rPr>
                <w:b/>
                <w:bCs/>
                <w:color w:val="000000"/>
                <w:lang w:eastAsia="tr-TR"/>
              </w:rPr>
            </w:pPr>
            <w:proofErr w:type="gramStart"/>
            <w:r w:rsidRPr="00502A4E">
              <w:rPr>
                <w:b/>
                <w:bCs/>
                <w:color w:val="000000"/>
                <w:lang w:eastAsia="tr-TR"/>
              </w:rPr>
              <w:t>paylar</w:t>
            </w:r>
            <w:proofErr w:type="gramEnd"/>
          </w:p>
        </w:tc>
      </w:tr>
      <w:tr w:rsidR="008E00BC" w:rsidRPr="00502A4E" w14:paraId="71A141B9" w14:textId="77777777" w:rsidTr="00D35F92">
        <w:trPr>
          <w:divId w:val="429665764"/>
          <w:trHeight w:val="216"/>
        </w:trPr>
        <w:tc>
          <w:tcPr>
            <w:tcW w:w="4592" w:type="dxa"/>
            <w:tcBorders>
              <w:top w:val="nil"/>
              <w:left w:val="nil"/>
              <w:bottom w:val="nil"/>
              <w:right w:val="nil"/>
            </w:tcBorders>
            <w:shd w:val="clear" w:color="000000" w:fill="FFFFFF"/>
            <w:noWrap/>
            <w:vAlign w:val="center"/>
            <w:hideMark/>
          </w:tcPr>
          <w:p w14:paraId="126C085A" w14:textId="77777777" w:rsidR="008E00BC" w:rsidRPr="00502A4E" w:rsidRDefault="008E00BC" w:rsidP="008E00BC">
            <w:pPr>
              <w:rPr>
                <w:color w:val="000000"/>
                <w:lang w:eastAsia="tr-TR"/>
              </w:rPr>
            </w:pPr>
            <w:r w:rsidRPr="00502A4E">
              <w:rPr>
                <w:color w:val="000000"/>
                <w:lang w:eastAsia="tr-TR"/>
              </w:rPr>
              <w:t> </w:t>
            </w:r>
          </w:p>
        </w:tc>
        <w:tc>
          <w:tcPr>
            <w:tcW w:w="1057" w:type="dxa"/>
            <w:tcBorders>
              <w:top w:val="nil"/>
              <w:left w:val="nil"/>
              <w:bottom w:val="nil"/>
              <w:right w:val="nil"/>
            </w:tcBorders>
            <w:shd w:val="clear" w:color="auto" w:fill="auto"/>
            <w:noWrap/>
            <w:vAlign w:val="bottom"/>
            <w:hideMark/>
          </w:tcPr>
          <w:p w14:paraId="55892CB3" w14:textId="77777777" w:rsidR="008E00BC" w:rsidRPr="00502A4E" w:rsidRDefault="008E00BC" w:rsidP="00D35F92">
            <w:pPr>
              <w:jc w:val="right"/>
              <w:rPr>
                <w:color w:val="000000"/>
                <w:lang w:eastAsia="tr-TR"/>
              </w:rPr>
            </w:pPr>
          </w:p>
        </w:tc>
        <w:tc>
          <w:tcPr>
            <w:tcW w:w="1014" w:type="dxa"/>
            <w:tcBorders>
              <w:top w:val="single" w:sz="4" w:space="0" w:color="auto"/>
              <w:left w:val="nil"/>
              <w:bottom w:val="nil"/>
              <w:right w:val="nil"/>
            </w:tcBorders>
            <w:shd w:val="clear" w:color="auto" w:fill="auto"/>
            <w:noWrap/>
            <w:vAlign w:val="bottom"/>
            <w:hideMark/>
          </w:tcPr>
          <w:p w14:paraId="0A84BE39" w14:textId="77777777" w:rsidR="008E00BC" w:rsidRPr="00502A4E" w:rsidRDefault="008E00BC" w:rsidP="00D35F92">
            <w:pPr>
              <w:jc w:val="right"/>
              <w:rPr>
                <w:lang w:eastAsia="tr-TR"/>
              </w:rPr>
            </w:pPr>
          </w:p>
        </w:tc>
        <w:tc>
          <w:tcPr>
            <w:tcW w:w="1202" w:type="dxa"/>
            <w:tcBorders>
              <w:top w:val="single" w:sz="4" w:space="0" w:color="auto"/>
              <w:left w:val="nil"/>
              <w:bottom w:val="nil"/>
              <w:right w:val="nil"/>
            </w:tcBorders>
            <w:shd w:val="clear" w:color="auto" w:fill="auto"/>
            <w:noWrap/>
            <w:vAlign w:val="bottom"/>
            <w:hideMark/>
          </w:tcPr>
          <w:p w14:paraId="21825977" w14:textId="77777777" w:rsidR="008E00BC" w:rsidRPr="00502A4E" w:rsidRDefault="008E00BC" w:rsidP="00D35F92">
            <w:pPr>
              <w:jc w:val="right"/>
              <w:rPr>
                <w:lang w:eastAsia="tr-TR"/>
              </w:rPr>
            </w:pPr>
          </w:p>
        </w:tc>
        <w:tc>
          <w:tcPr>
            <w:tcW w:w="1209" w:type="dxa"/>
            <w:tcBorders>
              <w:top w:val="single" w:sz="4" w:space="0" w:color="auto"/>
              <w:left w:val="nil"/>
              <w:bottom w:val="nil"/>
              <w:right w:val="nil"/>
            </w:tcBorders>
            <w:shd w:val="clear" w:color="auto" w:fill="auto"/>
            <w:noWrap/>
            <w:vAlign w:val="bottom"/>
            <w:hideMark/>
          </w:tcPr>
          <w:p w14:paraId="20AEEC05" w14:textId="77777777" w:rsidR="008E00BC" w:rsidRPr="00502A4E" w:rsidRDefault="008E00BC" w:rsidP="00D35F92">
            <w:pPr>
              <w:jc w:val="right"/>
              <w:rPr>
                <w:lang w:eastAsia="tr-TR"/>
              </w:rPr>
            </w:pPr>
          </w:p>
        </w:tc>
      </w:tr>
      <w:tr w:rsidR="008E00BC" w:rsidRPr="00502A4E" w14:paraId="56E53C91" w14:textId="77777777" w:rsidTr="00D35F92">
        <w:trPr>
          <w:divId w:val="429665764"/>
          <w:trHeight w:val="216"/>
        </w:trPr>
        <w:tc>
          <w:tcPr>
            <w:tcW w:w="4592" w:type="dxa"/>
            <w:tcBorders>
              <w:top w:val="nil"/>
              <w:left w:val="nil"/>
              <w:bottom w:val="nil"/>
              <w:right w:val="nil"/>
            </w:tcBorders>
            <w:shd w:val="clear" w:color="000000" w:fill="FFFFFF"/>
            <w:noWrap/>
            <w:vAlign w:val="center"/>
            <w:hideMark/>
          </w:tcPr>
          <w:p w14:paraId="5263421A" w14:textId="77777777" w:rsidR="008E00BC" w:rsidRPr="00502A4E" w:rsidRDefault="008E00BC" w:rsidP="008E00BC">
            <w:pPr>
              <w:rPr>
                <w:color w:val="000000"/>
                <w:lang w:eastAsia="tr-TR"/>
              </w:rPr>
            </w:pPr>
            <w:r w:rsidRPr="00502A4E">
              <w:rPr>
                <w:color w:val="000000"/>
                <w:lang w:eastAsia="tr-TR"/>
              </w:rPr>
              <w:t>Kuwait Finance House</w:t>
            </w:r>
          </w:p>
        </w:tc>
        <w:tc>
          <w:tcPr>
            <w:tcW w:w="1057" w:type="dxa"/>
            <w:tcBorders>
              <w:top w:val="nil"/>
              <w:left w:val="nil"/>
              <w:bottom w:val="nil"/>
              <w:right w:val="nil"/>
            </w:tcBorders>
            <w:shd w:val="clear" w:color="auto" w:fill="auto"/>
            <w:noWrap/>
            <w:vAlign w:val="bottom"/>
            <w:hideMark/>
          </w:tcPr>
          <w:p w14:paraId="44EBCEDD" w14:textId="77777777" w:rsidR="008E00BC" w:rsidRPr="00502A4E" w:rsidRDefault="008E00BC" w:rsidP="00D35F92">
            <w:pPr>
              <w:jc w:val="right"/>
              <w:rPr>
                <w:color w:val="000000"/>
                <w:lang w:eastAsia="tr-TR"/>
              </w:rPr>
            </w:pPr>
            <w:r w:rsidRPr="00502A4E">
              <w:rPr>
                <w:color w:val="000000"/>
                <w:lang w:eastAsia="tr-TR"/>
              </w:rPr>
              <w:t>2,863,098</w:t>
            </w:r>
          </w:p>
        </w:tc>
        <w:tc>
          <w:tcPr>
            <w:tcW w:w="1014" w:type="dxa"/>
            <w:tcBorders>
              <w:top w:val="nil"/>
              <w:left w:val="nil"/>
              <w:bottom w:val="nil"/>
              <w:right w:val="nil"/>
            </w:tcBorders>
            <w:shd w:val="clear" w:color="auto" w:fill="auto"/>
            <w:noWrap/>
            <w:vAlign w:val="bottom"/>
            <w:hideMark/>
          </w:tcPr>
          <w:p w14:paraId="256BD1F3" w14:textId="77777777" w:rsidR="008E00BC" w:rsidRPr="00502A4E" w:rsidRDefault="008E00BC" w:rsidP="00D35F92">
            <w:pPr>
              <w:jc w:val="right"/>
              <w:rPr>
                <w:color w:val="000000"/>
                <w:lang w:eastAsia="tr-TR"/>
              </w:rPr>
            </w:pPr>
            <w:proofErr w:type="gramStart"/>
            <w:r w:rsidRPr="00502A4E">
              <w:rPr>
                <w:color w:val="000000"/>
                <w:lang w:eastAsia="tr-TR"/>
              </w:rPr>
              <w:t>%62.24</w:t>
            </w:r>
            <w:proofErr w:type="gramEnd"/>
          </w:p>
        </w:tc>
        <w:tc>
          <w:tcPr>
            <w:tcW w:w="1202" w:type="dxa"/>
            <w:tcBorders>
              <w:top w:val="nil"/>
              <w:left w:val="nil"/>
              <w:bottom w:val="nil"/>
              <w:right w:val="nil"/>
            </w:tcBorders>
            <w:shd w:val="clear" w:color="auto" w:fill="auto"/>
            <w:noWrap/>
            <w:vAlign w:val="bottom"/>
            <w:hideMark/>
          </w:tcPr>
          <w:p w14:paraId="34620CB4" w14:textId="77777777" w:rsidR="008E00BC" w:rsidRPr="00502A4E" w:rsidRDefault="008E00BC" w:rsidP="00D35F92">
            <w:pPr>
              <w:jc w:val="right"/>
              <w:rPr>
                <w:color w:val="000000"/>
                <w:lang w:eastAsia="tr-TR"/>
              </w:rPr>
            </w:pPr>
            <w:r w:rsidRPr="00502A4E">
              <w:rPr>
                <w:color w:val="000000"/>
                <w:lang w:eastAsia="tr-TR"/>
              </w:rPr>
              <w:t>2,863,098</w:t>
            </w:r>
          </w:p>
        </w:tc>
        <w:tc>
          <w:tcPr>
            <w:tcW w:w="1209" w:type="dxa"/>
            <w:tcBorders>
              <w:top w:val="nil"/>
              <w:left w:val="nil"/>
              <w:bottom w:val="nil"/>
              <w:right w:val="nil"/>
            </w:tcBorders>
            <w:shd w:val="clear" w:color="auto" w:fill="auto"/>
            <w:noWrap/>
            <w:vAlign w:val="bottom"/>
            <w:hideMark/>
          </w:tcPr>
          <w:p w14:paraId="308E1C6D" w14:textId="77777777" w:rsidR="008E00BC" w:rsidRPr="00502A4E" w:rsidRDefault="008E00BC" w:rsidP="00D35F92">
            <w:pPr>
              <w:jc w:val="right"/>
              <w:rPr>
                <w:color w:val="000000"/>
                <w:lang w:eastAsia="tr-TR"/>
              </w:rPr>
            </w:pPr>
            <w:r w:rsidRPr="00502A4E">
              <w:rPr>
                <w:color w:val="000000"/>
                <w:lang w:eastAsia="tr-TR"/>
              </w:rPr>
              <w:t>-</w:t>
            </w:r>
          </w:p>
        </w:tc>
      </w:tr>
      <w:tr w:rsidR="008E00BC" w:rsidRPr="00502A4E" w14:paraId="2E4EB68C" w14:textId="77777777" w:rsidTr="00D35F92">
        <w:trPr>
          <w:divId w:val="429665764"/>
          <w:trHeight w:val="216"/>
        </w:trPr>
        <w:tc>
          <w:tcPr>
            <w:tcW w:w="4592" w:type="dxa"/>
            <w:tcBorders>
              <w:top w:val="nil"/>
              <w:left w:val="nil"/>
              <w:bottom w:val="nil"/>
              <w:right w:val="nil"/>
            </w:tcBorders>
            <w:shd w:val="clear" w:color="000000" w:fill="FFFFFF"/>
            <w:noWrap/>
            <w:vAlign w:val="center"/>
            <w:hideMark/>
          </w:tcPr>
          <w:p w14:paraId="33515EA5" w14:textId="77777777" w:rsidR="008E00BC" w:rsidRPr="00502A4E" w:rsidRDefault="008E00BC" w:rsidP="008E00BC">
            <w:pPr>
              <w:rPr>
                <w:color w:val="000000"/>
                <w:lang w:eastAsia="tr-TR"/>
              </w:rPr>
            </w:pPr>
            <w:r w:rsidRPr="00502A4E">
              <w:rPr>
                <w:color w:val="000000"/>
                <w:lang w:eastAsia="tr-TR"/>
              </w:rPr>
              <w:t>Vakıflar Genel Müdürlüğü Mazbut Vakıfları</w:t>
            </w:r>
          </w:p>
        </w:tc>
        <w:tc>
          <w:tcPr>
            <w:tcW w:w="1057" w:type="dxa"/>
            <w:tcBorders>
              <w:top w:val="nil"/>
              <w:left w:val="nil"/>
              <w:bottom w:val="nil"/>
              <w:right w:val="nil"/>
            </w:tcBorders>
            <w:shd w:val="clear" w:color="auto" w:fill="auto"/>
            <w:noWrap/>
            <w:vAlign w:val="bottom"/>
            <w:hideMark/>
          </w:tcPr>
          <w:p w14:paraId="53A89CDB" w14:textId="77777777" w:rsidR="008E00BC" w:rsidRPr="00502A4E" w:rsidRDefault="008E00BC" w:rsidP="00D35F92">
            <w:pPr>
              <w:jc w:val="right"/>
              <w:rPr>
                <w:color w:val="000000"/>
                <w:lang w:eastAsia="tr-TR"/>
              </w:rPr>
            </w:pPr>
            <w:r w:rsidRPr="00502A4E">
              <w:rPr>
                <w:color w:val="000000"/>
                <w:lang w:eastAsia="tr-TR"/>
              </w:rPr>
              <w:t>861,086</w:t>
            </w:r>
          </w:p>
        </w:tc>
        <w:tc>
          <w:tcPr>
            <w:tcW w:w="1014" w:type="dxa"/>
            <w:tcBorders>
              <w:top w:val="nil"/>
              <w:left w:val="nil"/>
              <w:bottom w:val="nil"/>
              <w:right w:val="nil"/>
            </w:tcBorders>
            <w:shd w:val="clear" w:color="auto" w:fill="auto"/>
            <w:noWrap/>
            <w:vAlign w:val="bottom"/>
            <w:hideMark/>
          </w:tcPr>
          <w:p w14:paraId="06967140" w14:textId="77777777" w:rsidR="008E00BC" w:rsidRPr="00502A4E" w:rsidRDefault="008E00BC" w:rsidP="00D35F92">
            <w:pPr>
              <w:jc w:val="right"/>
              <w:rPr>
                <w:color w:val="000000"/>
                <w:lang w:eastAsia="tr-TR"/>
              </w:rPr>
            </w:pPr>
            <w:proofErr w:type="gramStart"/>
            <w:r w:rsidRPr="00502A4E">
              <w:rPr>
                <w:color w:val="000000"/>
                <w:lang w:eastAsia="tr-TR"/>
              </w:rPr>
              <w:t>%18.72</w:t>
            </w:r>
            <w:proofErr w:type="gramEnd"/>
          </w:p>
        </w:tc>
        <w:tc>
          <w:tcPr>
            <w:tcW w:w="1202" w:type="dxa"/>
            <w:tcBorders>
              <w:top w:val="nil"/>
              <w:left w:val="nil"/>
              <w:bottom w:val="nil"/>
              <w:right w:val="nil"/>
            </w:tcBorders>
            <w:shd w:val="clear" w:color="auto" w:fill="auto"/>
            <w:noWrap/>
            <w:vAlign w:val="bottom"/>
            <w:hideMark/>
          </w:tcPr>
          <w:p w14:paraId="5483691C" w14:textId="77777777" w:rsidR="008E00BC" w:rsidRPr="00502A4E" w:rsidRDefault="008E00BC" w:rsidP="00D35F92">
            <w:pPr>
              <w:jc w:val="right"/>
              <w:rPr>
                <w:color w:val="000000"/>
                <w:lang w:eastAsia="tr-TR"/>
              </w:rPr>
            </w:pPr>
            <w:r w:rsidRPr="00502A4E">
              <w:rPr>
                <w:color w:val="000000"/>
                <w:lang w:eastAsia="tr-TR"/>
              </w:rPr>
              <w:t>861,086</w:t>
            </w:r>
          </w:p>
        </w:tc>
        <w:tc>
          <w:tcPr>
            <w:tcW w:w="1209" w:type="dxa"/>
            <w:tcBorders>
              <w:top w:val="nil"/>
              <w:left w:val="nil"/>
              <w:bottom w:val="nil"/>
              <w:right w:val="nil"/>
            </w:tcBorders>
            <w:shd w:val="clear" w:color="auto" w:fill="auto"/>
            <w:noWrap/>
            <w:vAlign w:val="bottom"/>
            <w:hideMark/>
          </w:tcPr>
          <w:p w14:paraId="50642E3D" w14:textId="77777777" w:rsidR="008E00BC" w:rsidRPr="00502A4E" w:rsidRDefault="008E00BC" w:rsidP="00D35F92">
            <w:pPr>
              <w:jc w:val="right"/>
              <w:rPr>
                <w:color w:val="000000"/>
                <w:lang w:eastAsia="tr-TR"/>
              </w:rPr>
            </w:pPr>
            <w:r w:rsidRPr="00502A4E">
              <w:rPr>
                <w:color w:val="000000"/>
                <w:lang w:eastAsia="tr-TR"/>
              </w:rPr>
              <w:t>-</w:t>
            </w:r>
          </w:p>
        </w:tc>
      </w:tr>
      <w:tr w:rsidR="008E00BC" w:rsidRPr="00502A4E" w14:paraId="00842180" w14:textId="77777777" w:rsidTr="00D35F92">
        <w:trPr>
          <w:divId w:val="429665764"/>
          <w:trHeight w:val="226"/>
        </w:trPr>
        <w:tc>
          <w:tcPr>
            <w:tcW w:w="4592" w:type="dxa"/>
            <w:tcBorders>
              <w:top w:val="nil"/>
              <w:left w:val="nil"/>
              <w:bottom w:val="single" w:sz="8" w:space="0" w:color="auto"/>
              <w:right w:val="nil"/>
            </w:tcBorders>
            <w:shd w:val="clear" w:color="000000" w:fill="FFFFFF"/>
            <w:noWrap/>
            <w:vAlign w:val="center"/>
            <w:hideMark/>
          </w:tcPr>
          <w:p w14:paraId="1CBDF147" w14:textId="77777777" w:rsidR="008E00BC" w:rsidRPr="00502A4E" w:rsidRDefault="008E00BC" w:rsidP="008E00BC">
            <w:pPr>
              <w:rPr>
                <w:b/>
                <w:bCs/>
                <w:color w:val="000000"/>
                <w:lang w:eastAsia="tr-TR"/>
              </w:rPr>
            </w:pPr>
            <w:r w:rsidRPr="00502A4E">
              <w:rPr>
                <w:b/>
                <w:bCs/>
                <w:color w:val="000000"/>
                <w:lang w:eastAsia="tr-TR"/>
              </w:rPr>
              <w:t> </w:t>
            </w:r>
          </w:p>
        </w:tc>
        <w:tc>
          <w:tcPr>
            <w:tcW w:w="1057" w:type="dxa"/>
            <w:tcBorders>
              <w:top w:val="nil"/>
              <w:left w:val="nil"/>
              <w:bottom w:val="single" w:sz="8" w:space="0" w:color="auto"/>
              <w:right w:val="nil"/>
            </w:tcBorders>
            <w:shd w:val="clear" w:color="auto" w:fill="auto"/>
            <w:noWrap/>
            <w:vAlign w:val="bottom"/>
            <w:hideMark/>
          </w:tcPr>
          <w:p w14:paraId="3DDDF128" w14:textId="77777777" w:rsidR="008E00BC" w:rsidRPr="00502A4E" w:rsidRDefault="008E00BC" w:rsidP="00D35F92">
            <w:pPr>
              <w:jc w:val="right"/>
              <w:rPr>
                <w:b/>
                <w:bCs/>
                <w:color w:val="000000"/>
                <w:lang w:eastAsia="tr-TR"/>
              </w:rPr>
            </w:pPr>
            <w:r w:rsidRPr="00502A4E">
              <w:rPr>
                <w:b/>
                <w:bCs/>
                <w:color w:val="000000"/>
                <w:lang w:eastAsia="tr-TR"/>
              </w:rPr>
              <w:t> </w:t>
            </w:r>
          </w:p>
        </w:tc>
        <w:tc>
          <w:tcPr>
            <w:tcW w:w="1014" w:type="dxa"/>
            <w:tcBorders>
              <w:top w:val="nil"/>
              <w:left w:val="nil"/>
              <w:bottom w:val="single" w:sz="8" w:space="0" w:color="auto"/>
              <w:right w:val="nil"/>
            </w:tcBorders>
            <w:shd w:val="clear" w:color="auto" w:fill="auto"/>
            <w:noWrap/>
            <w:vAlign w:val="bottom"/>
            <w:hideMark/>
          </w:tcPr>
          <w:p w14:paraId="0679667F" w14:textId="77777777" w:rsidR="008E00BC" w:rsidRPr="00502A4E" w:rsidRDefault="008E00BC" w:rsidP="00D35F92">
            <w:pPr>
              <w:jc w:val="right"/>
              <w:rPr>
                <w:b/>
                <w:bCs/>
                <w:color w:val="000000"/>
                <w:lang w:eastAsia="tr-TR"/>
              </w:rPr>
            </w:pPr>
            <w:r w:rsidRPr="00502A4E">
              <w:rPr>
                <w:b/>
                <w:bCs/>
                <w:color w:val="000000"/>
                <w:lang w:eastAsia="tr-TR"/>
              </w:rPr>
              <w:t> </w:t>
            </w:r>
          </w:p>
        </w:tc>
        <w:tc>
          <w:tcPr>
            <w:tcW w:w="1202" w:type="dxa"/>
            <w:tcBorders>
              <w:top w:val="nil"/>
              <w:left w:val="nil"/>
              <w:bottom w:val="single" w:sz="8" w:space="0" w:color="auto"/>
              <w:right w:val="nil"/>
            </w:tcBorders>
            <w:shd w:val="clear" w:color="auto" w:fill="auto"/>
            <w:noWrap/>
            <w:vAlign w:val="bottom"/>
            <w:hideMark/>
          </w:tcPr>
          <w:p w14:paraId="7A5DDD3E" w14:textId="77777777" w:rsidR="008E00BC" w:rsidRPr="00502A4E" w:rsidRDefault="008E00BC" w:rsidP="00D35F92">
            <w:pPr>
              <w:jc w:val="right"/>
              <w:rPr>
                <w:b/>
                <w:bCs/>
                <w:color w:val="000000"/>
                <w:lang w:eastAsia="tr-TR"/>
              </w:rPr>
            </w:pPr>
            <w:r w:rsidRPr="00502A4E">
              <w:rPr>
                <w:b/>
                <w:bCs/>
                <w:color w:val="000000"/>
                <w:lang w:eastAsia="tr-TR"/>
              </w:rPr>
              <w:t> </w:t>
            </w:r>
          </w:p>
        </w:tc>
        <w:tc>
          <w:tcPr>
            <w:tcW w:w="1209" w:type="dxa"/>
            <w:tcBorders>
              <w:top w:val="nil"/>
              <w:left w:val="nil"/>
              <w:bottom w:val="single" w:sz="8" w:space="0" w:color="auto"/>
              <w:right w:val="nil"/>
            </w:tcBorders>
            <w:shd w:val="clear" w:color="auto" w:fill="auto"/>
            <w:noWrap/>
            <w:vAlign w:val="bottom"/>
            <w:hideMark/>
          </w:tcPr>
          <w:p w14:paraId="7DFD7BD2" w14:textId="77777777" w:rsidR="008E00BC" w:rsidRPr="00502A4E" w:rsidRDefault="008E00BC" w:rsidP="00D35F92">
            <w:pPr>
              <w:jc w:val="right"/>
              <w:rPr>
                <w:b/>
                <w:bCs/>
                <w:color w:val="000000"/>
                <w:lang w:eastAsia="tr-TR"/>
              </w:rPr>
            </w:pPr>
            <w:r w:rsidRPr="00502A4E">
              <w:rPr>
                <w:b/>
                <w:bCs/>
                <w:color w:val="000000"/>
                <w:lang w:eastAsia="tr-TR"/>
              </w:rPr>
              <w:t> </w:t>
            </w:r>
          </w:p>
        </w:tc>
      </w:tr>
      <w:tr w:rsidR="008E00BC" w:rsidRPr="00502A4E" w14:paraId="4FD048FE" w14:textId="77777777" w:rsidTr="00D35F92">
        <w:trPr>
          <w:divId w:val="429665764"/>
          <w:trHeight w:val="226"/>
        </w:trPr>
        <w:tc>
          <w:tcPr>
            <w:tcW w:w="4592" w:type="dxa"/>
            <w:tcBorders>
              <w:top w:val="nil"/>
              <w:left w:val="nil"/>
              <w:bottom w:val="double" w:sz="6" w:space="0" w:color="auto"/>
              <w:right w:val="nil"/>
            </w:tcBorders>
            <w:shd w:val="clear" w:color="000000" w:fill="FFFFFF"/>
            <w:noWrap/>
            <w:vAlign w:val="center"/>
            <w:hideMark/>
          </w:tcPr>
          <w:p w14:paraId="6805E8DD" w14:textId="77777777" w:rsidR="008E00BC" w:rsidRPr="00502A4E" w:rsidRDefault="008E00BC" w:rsidP="008E00BC">
            <w:pPr>
              <w:rPr>
                <w:b/>
                <w:bCs/>
                <w:color w:val="000000"/>
                <w:lang w:eastAsia="tr-TR"/>
              </w:rPr>
            </w:pPr>
            <w:r w:rsidRPr="00502A4E">
              <w:rPr>
                <w:b/>
                <w:bCs/>
                <w:color w:val="000000"/>
                <w:lang w:eastAsia="tr-TR"/>
              </w:rPr>
              <w:t>Toplam</w:t>
            </w:r>
          </w:p>
        </w:tc>
        <w:tc>
          <w:tcPr>
            <w:tcW w:w="1057" w:type="dxa"/>
            <w:tcBorders>
              <w:top w:val="nil"/>
              <w:left w:val="nil"/>
              <w:bottom w:val="double" w:sz="6" w:space="0" w:color="auto"/>
              <w:right w:val="nil"/>
            </w:tcBorders>
            <w:shd w:val="clear" w:color="auto" w:fill="auto"/>
            <w:noWrap/>
            <w:vAlign w:val="bottom"/>
            <w:hideMark/>
          </w:tcPr>
          <w:p w14:paraId="45C35D6C" w14:textId="77777777" w:rsidR="008E00BC" w:rsidRPr="00502A4E" w:rsidRDefault="008E00BC" w:rsidP="00D35F92">
            <w:pPr>
              <w:jc w:val="right"/>
              <w:rPr>
                <w:b/>
                <w:bCs/>
                <w:color w:val="000000"/>
                <w:lang w:eastAsia="tr-TR"/>
              </w:rPr>
            </w:pPr>
            <w:r w:rsidRPr="00502A4E">
              <w:rPr>
                <w:b/>
                <w:bCs/>
                <w:color w:val="000000"/>
                <w:lang w:eastAsia="tr-TR"/>
              </w:rPr>
              <w:t>3,724,184</w:t>
            </w:r>
          </w:p>
        </w:tc>
        <w:tc>
          <w:tcPr>
            <w:tcW w:w="1014" w:type="dxa"/>
            <w:tcBorders>
              <w:top w:val="nil"/>
              <w:left w:val="nil"/>
              <w:bottom w:val="double" w:sz="6" w:space="0" w:color="auto"/>
              <w:right w:val="nil"/>
            </w:tcBorders>
            <w:shd w:val="clear" w:color="auto" w:fill="auto"/>
            <w:noWrap/>
            <w:vAlign w:val="bottom"/>
            <w:hideMark/>
          </w:tcPr>
          <w:p w14:paraId="72E3D631" w14:textId="77777777" w:rsidR="008E00BC" w:rsidRPr="00502A4E" w:rsidRDefault="008E00BC" w:rsidP="00D35F92">
            <w:pPr>
              <w:jc w:val="right"/>
              <w:rPr>
                <w:b/>
                <w:bCs/>
                <w:color w:val="000000"/>
                <w:lang w:eastAsia="tr-TR"/>
              </w:rPr>
            </w:pPr>
            <w:proofErr w:type="gramStart"/>
            <w:r w:rsidRPr="00502A4E">
              <w:rPr>
                <w:b/>
                <w:bCs/>
                <w:color w:val="000000"/>
                <w:lang w:eastAsia="tr-TR"/>
              </w:rPr>
              <w:t>%80.96</w:t>
            </w:r>
            <w:proofErr w:type="gramEnd"/>
          </w:p>
        </w:tc>
        <w:tc>
          <w:tcPr>
            <w:tcW w:w="1202" w:type="dxa"/>
            <w:tcBorders>
              <w:top w:val="nil"/>
              <w:left w:val="nil"/>
              <w:bottom w:val="double" w:sz="6" w:space="0" w:color="auto"/>
              <w:right w:val="nil"/>
            </w:tcBorders>
            <w:shd w:val="clear" w:color="auto" w:fill="auto"/>
            <w:noWrap/>
            <w:vAlign w:val="bottom"/>
            <w:hideMark/>
          </w:tcPr>
          <w:p w14:paraId="299D0D77" w14:textId="77777777" w:rsidR="008E00BC" w:rsidRPr="00502A4E" w:rsidRDefault="008E00BC" w:rsidP="00D35F92">
            <w:pPr>
              <w:jc w:val="right"/>
              <w:rPr>
                <w:b/>
                <w:bCs/>
                <w:color w:val="000000"/>
                <w:lang w:eastAsia="tr-TR"/>
              </w:rPr>
            </w:pPr>
            <w:r w:rsidRPr="00502A4E">
              <w:rPr>
                <w:b/>
                <w:bCs/>
                <w:color w:val="000000"/>
                <w:lang w:eastAsia="tr-TR"/>
              </w:rPr>
              <w:t>3,724,184</w:t>
            </w:r>
          </w:p>
        </w:tc>
        <w:tc>
          <w:tcPr>
            <w:tcW w:w="1209" w:type="dxa"/>
            <w:tcBorders>
              <w:top w:val="nil"/>
              <w:left w:val="nil"/>
              <w:bottom w:val="double" w:sz="6" w:space="0" w:color="auto"/>
              <w:right w:val="nil"/>
            </w:tcBorders>
            <w:shd w:val="clear" w:color="auto" w:fill="auto"/>
            <w:noWrap/>
            <w:vAlign w:val="bottom"/>
            <w:hideMark/>
          </w:tcPr>
          <w:p w14:paraId="091A44DB" w14:textId="77777777" w:rsidR="008E00BC" w:rsidRPr="00502A4E" w:rsidRDefault="008E00BC" w:rsidP="00D35F92">
            <w:pPr>
              <w:jc w:val="right"/>
              <w:rPr>
                <w:color w:val="000000"/>
                <w:lang w:eastAsia="tr-TR"/>
              </w:rPr>
            </w:pPr>
            <w:r w:rsidRPr="00502A4E">
              <w:rPr>
                <w:color w:val="000000"/>
                <w:lang w:eastAsia="tr-TR"/>
              </w:rPr>
              <w:t>-</w:t>
            </w:r>
          </w:p>
        </w:tc>
      </w:tr>
    </w:tbl>
    <w:p w14:paraId="52F20442" w14:textId="7C47802C" w:rsidR="00584973" w:rsidRPr="00270CE6" w:rsidRDefault="00584973" w:rsidP="00134A72">
      <w:pPr>
        <w:pStyle w:val="BodyText"/>
        <w:autoSpaceDE/>
        <w:autoSpaceDN/>
        <w:adjustRightInd/>
        <w:jc w:val="left"/>
        <w:rPr>
          <w:sz w:val="16"/>
          <w:szCs w:val="16"/>
          <w:highlight w:val="yellow"/>
        </w:rPr>
      </w:pPr>
    </w:p>
    <w:p w14:paraId="5CB3172C" w14:textId="48A22778" w:rsidR="00C43430" w:rsidRPr="00143B59" w:rsidRDefault="0044609D" w:rsidP="00C43430">
      <w:pPr>
        <w:pStyle w:val="BodyText"/>
      </w:pPr>
      <w:r w:rsidRPr="00143B59">
        <w:t xml:space="preserve">30 Eylül </w:t>
      </w:r>
      <w:proofErr w:type="gramStart"/>
      <w:r w:rsidRPr="00143B59">
        <w:t xml:space="preserve">2020 </w:t>
      </w:r>
      <w:r w:rsidR="00E922F4" w:rsidRPr="00143B59">
        <w:t xml:space="preserve"> </w:t>
      </w:r>
      <w:r w:rsidR="0014199D" w:rsidRPr="00143B59">
        <w:t>itibarıyla</w:t>
      </w:r>
      <w:proofErr w:type="gramEnd"/>
      <w:r w:rsidR="0014199D" w:rsidRPr="00143B59">
        <w:t xml:space="preserve"> </w:t>
      </w:r>
      <w:r w:rsidR="00C43430" w:rsidRPr="00143B59">
        <w:t xml:space="preserve">Banka’nın ana ortağı </w:t>
      </w:r>
      <w:r w:rsidR="00645884" w:rsidRPr="00143B59">
        <w:t>Kuwait Finance House’un %51.95</w:t>
      </w:r>
      <w:r w:rsidR="00C54CA9" w:rsidRPr="00143B59">
        <w:t>’</w:t>
      </w:r>
      <w:r w:rsidR="00645884" w:rsidRPr="00143B59">
        <w:t>i</w:t>
      </w:r>
      <w:r w:rsidR="00C43430" w:rsidRPr="00143B59">
        <w:t xml:space="preserve"> halka açık olup %24.08’i Kuwait </w:t>
      </w:r>
      <w:proofErr w:type="spellStart"/>
      <w:r w:rsidR="00C43430" w:rsidRPr="00143B59">
        <w:t>Investment</w:t>
      </w:r>
      <w:proofErr w:type="spellEnd"/>
      <w:r w:rsidR="00C43430" w:rsidRPr="00143B59">
        <w:t xml:space="preserve"> </w:t>
      </w:r>
      <w:proofErr w:type="spellStart"/>
      <w:r w:rsidR="00C43430" w:rsidRPr="00143B59">
        <w:t>Authority’e</w:t>
      </w:r>
      <w:proofErr w:type="spellEnd"/>
      <w:r w:rsidR="00C43430" w:rsidRPr="00143B59">
        <w:t xml:space="preserve">, %10.48’i </w:t>
      </w:r>
      <w:proofErr w:type="spellStart"/>
      <w:r w:rsidR="00C43430" w:rsidRPr="00143B59">
        <w:t>Public</w:t>
      </w:r>
      <w:proofErr w:type="spellEnd"/>
      <w:r w:rsidR="00C43430" w:rsidRPr="00143B59">
        <w:t xml:space="preserve"> </w:t>
      </w:r>
      <w:proofErr w:type="spellStart"/>
      <w:r w:rsidR="00C43430" w:rsidRPr="00143B59">
        <w:t>Authority</w:t>
      </w:r>
      <w:proofErr w:type="spellEnd"/>
      <w:r w:rsidR="00C43430" w:rsidRPr="00143B59">
        <w:t xml:space="preserve"> </w:t>
      </w:r>
      <w:proofErr w:type="spellStart"/>
      <w:r w:rsidR="00C43430" w:rsidRPr="00143B59">
        <w:t>for</w:t>
      </w:r>
      <w:proofErr w:type="spellEnd"/>
      <w:r w:rsidR="00C43430" w:rsidRPr="00143B59">
        <w:t xml:space="preserve"> </w:t>
      </w:r>
      <w:proofErr w:type="spellStart"/>
      <w:r w:rsidR="00C43430" w:rsidRPr="00143B59">
        <w:t>Minors</w:t>
      </w:r>
      <w:proofErr w:type="spellEnd"/>
      <w:r w:rsidR="00C43430" w:rsidRPr="00143B59">
        <w:t xml:space="preserve"> </w:t>
      </w:r>
      <w:proofErr w:type="spellStart"/>
      <w:r w:rsidR="00C43430" w:rsidRPr="00143B59">
        <w:t>Affairs</w:t>
      </w:r>
      <w:proofErr w:type="spellEnd"/>
      <w:r w:rsidR="00C43430" w:rsidRPr="00143B59">
        <w:t xml:space="preserve"> Kuveyt kamu kuruluşuna aittir. </w:t>
      </w:r>
    </w:p>
    <w:bookmarkEnd w:id="2"/>
    <w:p w14:paraId="5D8CD956" w14:textId="77777777" w:rsidR="00A35B0B" w:rsidRPr="00270CE6" w:rsidRDefault="000004DF" w:rsidP="00231D2B">
      <w:pPr>
        <w:pStyle w:val="BodyText"/>
        <w:autoSpaceDE/>
        <w:autoSpaceDN/>
        <w:adjustRightInd/>
        <w:rPr>
          <w:sz w:val="16"/>
          <w:szCs w:val="16"/>
          <w:highlight w:val="yellow"/>
        </w:rPr>
      </w:pPr>
      <w:r w:rsidRPr="00270CE6">
        <w:rPr>
          <w:highlight w:val="yellow"/>
        </w:rPr>
        <w:t xml:space="preserve"> </w:t>
      </w:r>
    </w:p>
    <w:p w14:paraId="7F7A96B9" w14:textId="77777777" w:rsidR="00033391" w:rsidRPr="00A04630" w:rsidRDefault="00811E18" w:rsidP="008F08F2">
      <w:pPr>
        <w:pStyle w:val="BodyText"/>
        <w:autoSpaceDE/>
        <w:autoSpaceDN/>
        <w:adjustRightInd/>
        <w:ind w:left="-540" w:hanging="27"/>
        <w:jc w:val="left"/>
        <w:rPr>
          <w:b/>
        </w:rPr>
      </w:pPr>
      <w:r w:rsidRPr="00A04630">
        <w:rPr>
          <w:b/>
        </w:rPr>
        <w:t xml:space="preserve">5.     </w:t>
      </w:r>
      <w:r w:rsidR="008F08F2" w:rsidRPr="00A04630">
        <w:rPr>
          <w:b/>
        </w:rPr>
        <w:tab/>
      </w:r>
      <w:r w:rsidR="00E253C8" w:rsidRPr="00A04630">
        <w:rPr>
          <w:b/>
        </w:rPr>
        <w:t>Banka’nın hizmet türü ve faaliyet alanlarını içeren özet bilgi</w:t>
      </w:r>
    </w:p>
    <w:p w14:paraId="1CF53949" w14:textId="77777777" w:rsidR="00E73302" w:rsidRPr="00A04630" w:rsidRDefault="00E73302">
      <w:pPr>
        <w:pStyle w:val="BodyText"/>
        <w:autoSpaceDE/>
        <w:autoSpaceDN/>
        <w:adjustRightInd/>
        <w:ind w:left="-540"/>
        <w:jc w:val="left"/>
        <w:rPr>
          <w:b/>
          <w:sz w:val="16"/>
          <w:szCs w:val="16"/>
        </w:rPr>
      </w:pPr>
    </w:p>
    <w:p w14:paraId="06A36596" w14:textId="77777777" w:rsidR="00771559" w:rsidRPr="00A04630" w:rsidRDefault="00777DE5" w:rsidP="00777DE5">
      <w:pPr>
        <w:pStyle w:val="BodyText"/>
        <w:autoSpaceDE/>
        <w:autoSpaceDN/>
        <w:adjustRightInd/>
      </w:pPr>
      <w:r w:rsidRPr="00A04630">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w:t>
      </w:r>
      <w:r w:rsidR="006F3474" w:rsidRPr="00A04630">
        <w:t>e fon kullandırmaktır.</w:t>
      </w:r>
    </w:p>
    <w:p w14:paraId="7526D1E3" w14:textId="77777777" w:rsidR="002B7EC5" w:rsidRPr="00A04630" w:rsidRDefault="002B7EC5" w:rsidP="00777DE5">
      <w:pPr>
        <w:pStyle w:val="BodyText"/>
        <w:autoSpaceDE/>
        <w:autoSpaceDN/>
        <w:adjustRightInd/>
      </w:pPr>
    </w:p>
    <w:p w14:paraId="457CEA95" w14:textId="389B7135" w:rsidR="00777DE5" w:rsidRPr="00A04630" w:rsidRDefault="0044609D" w:rsidP="00777DE5">
      <w:pPr>
        <w:pStyle w:val="BodyText"/>
        <w:autoSpaceDE/>
        <w:autoSpaceDN/>
        <w:adjustRightInd/>
      </w:pPr>
      <w:r w:rsidRPr="00A04630">
        <w:t>30 Eylül 2020</w:t>
      </w:r>
      <w:r w:rsidR="00E922F4" w:rsidRPr="00A04630">
        <w:t xml:space="preserve"> </w:t>
      </w:r>
      <w:r w:rsidR="00590C6F" w:rsidRPr="00A04630">
        <w:t xml:space="preserve">tarihi itibarıyla Banka </w:t>
      </w:r>
      <w:r w:rsidR="0067066F" w:rsidRPr="00A04630">
        <w:t>4</w:t>
      </w:r>
      <w:r w:rsidR="00F14DAC" w:rsidRPr="00A04630">
        <w:t>3</w:t>
      </w:r>
      <w:r w:rsidR="00AA4DCA" w:rsidRPr="00A04630">
        <w:t>5</w:t>
      </w:r>
      <w:r w:rsidR="0067066F" w:rsidRPr="00A04630">
        <w:t xml:space="preserve"> şubesi (31 Aralık</w:t>
      </w:r>
      <w:r w:rsidR="00590C6F" w:rsidRPr="00A04630">
        <w:t xml:space="preserve"> 201</w:t>
      </w:r>
      <w:r w:rsidR="00E922F4" w:rsidRPr="00A04630">
        <w:t>9</w:t>
      </w:r>
      <w:r w:rsidR="00590C6F" w:rsidRPr="00A04630">
        <w:t xml:space="preserve"> – </w:t>
      </w:r>
      <w:r w:rsidR="0065159D" w:rsidRPr="00A04630">
        <w:rPr>
          <w:color w:val="000000"/>
          <w:spacing w:val="-2"/>
        </w:rPr>
        <w:t>4</w:t>
      </w:r>
      <w:r w:rsidR="00E922F4" w:rsidRPr="00A04630">
        <w:rPr>
          <w:color w:val="000000"/>
          <w:spacing w:val="-2"/>
        </w:rPr>
        <w:t>31</w:t>
      </w:r>
      <w:r w:rsidR="00590C6F" w:rsidRPr="00A04630">
        <w:t xml:space="preserve">) ve </w:t>
      </w:r>
      <w:r w:rsidR="00AA4DCA" w:rsidRPr="00A04630">
        <w:t>5</w:t>
      </w:r>
      <w:r w:rsidR="00590C6F" w:rsidRPr="00A04630">
        <w:t>,</w:t>
      </w:r>
      <w:r w:rsidR="00AA4DCA" w:rsidRPr="00A04630">
        <w:t>9</w:t>
      </w:r>
      <w:r w:rsidR="00A04630" w:rsidRPr="00A04630">
        <w:t>77</w:t>
      </w:r>
      <w:r w:rsidR="00777DE5" w:rsidRPr="00A04630">
        <w:t xml:space="preserve"> p</w:t>
      </w:r>
      <w:r w:rsidR="00590C6F" w:rsidRPr="00A04630">
        <w:t>ersoneli (31 Aralık 201</w:t>
      </w:r>
      <w:r w:rsidR="00E922F4" w:rsidRPr="00A04630">
        <w:t>9</w:t>
      </w:r>
      <w:r w:rsidR="00590C6F" w:rsidRPr="00A04630">
        <w:t xml:space="preserve"> – </w:t>
      </w:r>
      <w:r w:rsidR="005513AE" w:rsidRPr="00A04630">
        <w:rPr>
          <w:color w:val="000000"/>
          <w:spacing w:val="-2"/>
        </w:rPr>
        <w:t>5,</w:t>
      </w:r>
      <w:r w:rsidR="00E922F4" w:rsidRPr="00A04630">
        <w:rPr>
          <w:color w:val="000000"/>
          <w:spacing w:val="-2"/>
        </w:rPr>
        <w:t>955</w:t>
      </w:r>
      <w:r w:rsidR="00777DE5" w:rsidRPr="00A04630">
        <w:t xml:space="preserve">) ile faaliyet göstermektedir. Kısaca Banka’nın faaliyet alanları Ana </w:t>
      </w:r>
      <w:proofErr w:type="spellStart"/>
      <w:r w:rsidR="00777DE5" w:rsidRPr="00A04630">
        <w:t>Sözleşme’de</w:t>
      </w:r>
      <w:proofErr w:type="spellEnd"/>
      <w:r w:rsidR="00777DE5" w:rsidRPr="00A04630">
        <w:t xml:space="preserve"> aşağıdaki gibi belirtilmiştir;</w:t>
      </w:r>
    </w:p>
    <w:p w14:paraId="64402DB8" w14:textId="77777777" w:rsidR="00777DE5" w:rsidRPr="00A04630" w:rsidRDefault="00777DE5" w:rsidP="00777DE5">
      <w:pPr>
        <w:pStyle w:val="BodyText"/>
        <w:autoSpaceDE/>
        <w:autoSpaceDN/>
        <w:adjustRightInd/>
        <w:jc w:val="left"/>
        <w:rPr>
          <w:sz w:val="12"/>
        </w:rPr>
      </w:pPr>
    </w:p>
    <w:p w14:paraId="0D26D2A6" w14:textId="77777777" w:rsidR="00777DE5" w:rsidRPr="00A04630" w:rsidRDefault="00777DE5" w:rsidP="000E2BA1">
      <w:pPr>
        <w:numPr>
          <w:ilvl w:val="0"/>
          <w:numId w:val="6"/>
        </w:numPr>
        <w:tabs>
          <w:tab w:val="clear" w:pos="360"/>
        </w:tabs>
        <w:ind w:left="567" w:hanging="567"/>
        <w:jc w:val="both"/>
      </w:pPr>
      <w:r w:rsidRPr="00A04630">
        <w:t>Mevzuatla belirlenen yöntemlerle fon toplamak; cari hesaplarla katılma hesapları, özel fon havuzları hesapları açmak ve fon temin etmek,</w:t>
      </w:r>
    </w:p>
    <w:p w14:paraId="256BE5E0" w14:textId="77777777" w:rsidR="00777DE5" w:rsidRPr="00A04630" w:rsidRDefault="00777DE5" w:rsidP="000E2BA1">
      <w:pPr>
        <w:numPr>
          <w:ilvl w:val="0"/>
          <w:numId w:val="6"/>
        </w:numPr>
        <w:tabs>
          <w:tab w:val="clear" w:pos="360"/>
        </w:tabs>
        <w:ind w:left="567" w:hanging="567"/>
        <w:jc w:val="both"/>
      </w:pPr>
      <w:r w:rsidRPr="00A04630">
        <w:t xml:space="preserve">Faizsiz bankacılık prensipleri dahilinde; ekonomiye fon tahsis etmek, nakdi, </w:t>
      </w:r>
      <w:proofErr w:type="spellStart"/>
      <w:r w:rsidRPr="00A04630">
        <w:t>gayrinakdi</w:t>
      </w:r>
      <w:proofErr w:type="spellEnd"/>
      <w:r w:rsidRPr="00A04630">
        <w:t xml:space="preserve"> her cins ve surette kredi kullandırmak,</w:t>
      </w:r>
    </w:p>
    <w:p w14:paraId="375E855D" w14:textId="77777777" w:rsidR="00777DE5" w:rsidRPr="00A04630" w:rsidRDefault="00777DE5" w:rsidP="000E2BA1">
      <w:pPr>
        <w:numPr>
          <w:ilvl w:val="0"/>
          <w:numId w:val="6"/>
        </w:numPr>
        <w:tabs>
          <w:tab w:val="clear" w:pos="360"/>
        </w:tabs>
        <w:ind w:left="567" w:hanging="567"/>
        <w:jc w:val="both"/>
      </w:pPr>
      <w:r w:rsidRPr="00A04630">
        <w:t>Finansal kiralama işlemleri yapmak, operasyonel kiralama işlemleri yapmak,</w:t>
      </w:r>
    </w:p>
    <w:p w14:paraId="402F0319" w14:textId="77777777" w:rsidR="00777DE5" w:rsidRPr="00A04630" w:rsidRDefault="00777DE5" w:rsidP="000E2BA1">
      <w:pPr>
        <w:numPr>
          <w:ilvl w:val="0"/>
          <w:numId w:val="6"/>
        </w:numPr>
        <w:tabs>
          <w:tab w:val="clear" w:pos="360"/>
        </w:tabs>
        <w:ind w:left="567" w:hanging="567"/>
        <w:jc w:val="both"/>
      </w:pPr>
      <w:r w:rsidRPr="00A04630">
        <w:t>Her türlü ödeme ve tahsilat işlemleri yapmak, seyahat çekleri, kredi kartları gibi ödeme vasıtalarının faaliyetlerin yürütülmesi, üye işyeri hizmetleri (POS) vermek, müşavirlik ve danışmanlık yapmak, kiralık kasa hizmetleri sunmak,</w:t>
      </w:r>
    </w:p>
    <w:p w14:paraId="6696A667" w14:textId="77777777" w:rsidR="00777DE5" w:rsidRPr="00A04630" w:rsidRDefault="00777DE5" w:rsidP="000E2BA1">
      <w:pPr>
        <w:numPr>
          <w:ilvl w:val="0"/>
          <w:numId w:val="6"/>
        </w:numPr>
        <w:tabs>
          <w:tab w:val="clear" w:pos="360"/>
        </w:tabs>
        <w:ind w:left="567" w:hanging="567"/>
        <w:jc w:val="both"/>
      </w:pPr>
      <w:r w:rsidRPr="00A04630">
        <w:t>Mevzuat ve faizsiz bankacılık prensiplerine göre para veya sermaye piyasası araçlarını spot veya vadeli almak, satmak ve bunların alım satımına aracılık etmek, menkul kıymetler borsalarında faaliyette bulunmak,</w:t>
      </w:r>
    </w:p>
    <w:p w14:paraId="3C7AB2D5" w14:textId="77777777" w:rsidR="00777DE5" w:rsidRPr="00A04630" w:rsidRDefault="00777DE5" w:rsidP="000E2BA1">
      <w:pPr>
        <w:numPr>
          <w:ilvl w:val="0"/>
          <w:numId w:val="6"/>
        </w:numPr>
        <w:tabs>
          <w:tab w:val="clear" w:pos="360"/>
        </w:tabs>
        <w:ind w:left="567" w:hanging="567"/>
        <w:jc w:val="both"/>
      </w:pPr>
      <w:r w:rsidRPr="00A04630">
        <w:t>Her nevi gayrimenkuller satın almak, iktisap etmek, inşa ettirmek ve gerektiğinde bunları diğer kişilere devir, kiralamak ve üzerlerinde her türlü tasarrufta bulunmak,</w:t>
      </w:r>
    </w:p>
    <w:p w14:paraId="4A2B610E" w14:textId="77777777" w:rsidR="00777DE5" w:rsidRPr="00A04630" w:rsidRDefault="00777DE5" w:rsidP="000E2BA1">
      <w:pPr>
        <w:numPr>
          <w:ilvl w:val="0"/>
          <w:numId w:val="6"/>
        </w:numPr>
        <w:tabs>
          <w:tab w:val="clear" w:pos="360"/>
        </w:tabs>
        <w:ind w:left="567" w:hanging="567"/>
        <w:jc w:val="both"/>
      </w:pPr>
      <w:r w:rsidRPr="00A04630">
        <w:t>Şirket ve kuruluşların (sigorta şirketleri dahil); mümessillik, vekalet ve acenteliklerini yapmak,</w:t>
      </w:r>
    </w:p>
    <w:p w14:paraId="7D374174" w14:textId="77777777" w:rsidR="00777DE5" w:rsidRPr="00A04630" w:rsidRDefault="00777DE5" w:rsidP="000E2BA1">
      <w:pPr>
        <w:numPr>
          <w:ilvl w:val="0"/>
          <w:numId w:val="6"/>
        </w:numPr>
        <w:tabs>
          <w:tab w:val="clear" w:pos="360"/>
        </w:tabs>
        <w:ind w:left="567" w:hanging="567"/>
        <w:jc w:val="both"/>
      </w:pPr>
      <w:r w:rsidRPr="00A04630">
        <w:t>Mevzuat dahilinde, toplumun düzen ve yararına Banka’nın prensipleri dahilinde sosyal gayeli yardımlarda bulunmak.</w:t>
      </w:r>
    </w:p>
    <w:p w14:paraId="4BD70A82" w14:textId="77777777" w:rsidR="00777DE5" w:rsidRPr="00A04630" w:rsidRDefault="00777DE5" w:rsidP="00777DE5">
      <w:pPr>
        <w:ind w:left="360"/>
        <w:rPr>
          <w:sz w:val="16"/>
          <w:szCs w:val="16"/>
        </w:rPr>
      </w:pPr>
    </w:p>
    <w:p w14:paraId="13BAF160" w14:textId="77777777" w:rsidR="00777DE5" w:rsidRPr="00A04630" w:rsidRDefault="00777DE5" w:rsidP="00777DE5">
      <w:pPr>
        <w:autoSpaceDE w:val="0"/>
        <w:autoSpaceDN w:val="0"/>
        <w:adjustRightInd w:val="0"/>
        <w:jc w:val="both"/>
      </w:pPr>
      <w:r w:rsidRPr="00A04630">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A04630">
        <w:t>Sözleşme’de</w:t>
      </w:r>
      <w:proofErr w:type="spellEnd"/>
      <w:r w:rsidRPr="00A04630">
        <w:t xml:space="preserve"> değişiklik mahiyetinde olan bu kararın Gümrük ve Ticaret Bakanlığı’nca onanmasına bağlıdır. Bu suretle tasdik olunan karar Ana </w:t>
      </w:r>
      <w:proofErr w:type="spellStart"/>
      <w:r w:rsidRPr="00A04630">
        <w:t>Sözleşme’ye</w:t>
      </w:r>
      <w:proofErr w:type="spellEnd"/>
      <w:r w:rsidRPr="00A04630">
        <w:t xml:space="preserve"> eklenir.</w:t>
      </w:r>
    </w:p>
    <w:p w14:paraId="05CAA2AE" w14:textId="77777777" w:rsidR="00E73302" w:rsidRPr="00A04630" w:rsidRDefault="00E73302">
      <w:pPr>
        <w:autoSpaceDE w:val="0"/>
        <w:autoSpaceDN w:val="0"/>
        <w:adjustRightInd w:val="0"/>
        <w:rPr>
          <w:b/>
          <w:bCs/>
          <w:sz w:val="16"/>
          <w:szCs w:val="16"/>
        </w:rPr>
      </w:pPr>
    </w:p>
    <w:p w14:paraId="49CFA688" w14:textId="27E637D6" w:rsidR="00911499" w:rsidRPr="00A04630" w:rsidRDefault="00581E1E" w:rsidP="00311DAB">
      <w:pPr>
        <w:pStyle w:val="Default"/>
        <w:ind w:hanging="567"/>
        <w:jc w:val="both"/>
        <w:rPr>
          <w:rFonts w:eastAsia="Arial Unicode MS"/>
          <w:bCs/>
          <w:color w:val="auto"/>
          <w:sz w:val="14"/>
          <w:szCs w:val="14"/>
          <w:lang w:eastAsia="en-US"/>
        </w:rPr>
      </w:pPr>
      <w:r w:rsidRPr="00A04630">
        <w:rPr>
          <w:b/>
          <w:bCs/>
          <w:sz w:val="20"/>
          <w:szCs w:val="20"/>
        </w:rPr>
        <w:t>6</w:t>
      </w:r>
      <w:r w:rsidR="00911499" w:rsidRPr="00A04630">
        <w:rPr>
          <w:b/>
          <w:bCs/>
          <w:sz w:val="20"/>
          <w:szCs w:val="20"/>
        </w:rPr>
        <w:t xml:space="preserve">. </w:t>
      </w:r>
      <w:r w:rsidR="004E1CFD" w:rsidRPr="00A04630">
        <w:rPr>
          <w:b/>
          <w:bCs/>
          <w:sz w:val="20"/>
          <w:szCs w:val="20"/>
        </w:rPr>
        <w:t xml:space="preserve">  </w:t>
      </w:r>
      <w:r w:rsidRPr="00A04630">
        <w:rPr>
          <w:b/>
          <w:bCs/>
          <w:sz w:val="20"/>
          <w:szCs w:val="20"/>
        </w:rPr>
        <w:t xml:space="preserve">  </w:t>
      </w:r>
      <w:r w:rsidR="008F08F2" w:rsidRPr="00A04630">
        <w:rPr>
          <w:b/>
          <w:bCs/>
          <w:sz w:val="20"/>
          <w:szCs w:val="20"/>
        </w:rPr>
        <w:tab/>
      </w:r>
      <w:r w:rsidR="00243A0C" w:rsidRPr="00A04630">
        <w:rPr>
          <w:rFonts w:eastAsia="Arial Unicode MS"/>
          <w:b/>
          <w:bCs/>
          <w:color w:val="auto"/>
          <w:sz w:val="20"/>
          <w:szCs w:val="20"/>
          <w:lang w:eastAsia="en-US"/>
        </w:rPr>
        <w:t>B</w:t>
      </w:r>
      <w:r w:rsidR="00911499" w:rsidRPr="00A04630">
        <w:rPr>
          <w:rFonts w:eastAsia="Arial Unicode MS"/>
          <w:b/>
          <w:bCs/>
          <w:color w:val="auto"/>
          <w:sz w:val="20"/>
          <w:szCs w:val="20"/>
          <w:lang w:eastAsia="en-US"/>
        </w:rPr>
        <w:t xml:space="preserve">anka ile bağlı ortaklıkları arasında </w:t>
      </w:r>
      <w:proofErr w:type="spellStart"/>
      <w:r w:rsidR="00911499" w:rsidRPr="00A04630">
        <w:rPr>
          <w:rFonts w:eastAsia="Arial Unicode MS"/>
          <w:b/>
          <w:bCs/>
          <w:color w:val="auto"/>
          <w:sz w:val="20"/>
          <w:szCs w:val="20"/>
          <w:lang w:eastAsia="en-US"/>
        </w:rPr>
        <w:t>özkaynakların</w:t>
      </w:r>
      <w:proofErr w:type="spellEnd"/>
      <w:r w:rsidR="00911499" w:rsidRPr="00A04630">
        <w:rPr>
          <w:rFonts w:eastAsia="Arial Unicode MS"/>
          <w:b/>
          <w:bCs/>
          <w:color w:val="auto"/>
          <w:sz w:val="20"/>
          <w:szCs w:val="20"/>
          <w:lang w:eastAsia="en-US"/>
        </w:rPr>
        <w:t xml:space="preserve"> derhal transfer edilmesinin </w:t>
      </w:r>
      <w:proofErr w:type="gramStart"/>
      <w:r w:rsidR="00911499" w:rsidRPr="00A04630">
        <w:rPr>
          <w:rFonts w:eastAsia="Arial Unicode MS"/>
          <w:b/>
          <w:bCs/>
          <w:color w:val="auto"/>
          <w:sz w:val="20"/>
          <w:szCs w:val="20"/>
          <w:lang w:eastAsia="en-US"/>
        </w:rPr>
        <w:t xml:space="preserve">veya </w:t>
      </w:r>
      <w:r w:rsidR="005A27E3" w:rsidRPr="00A04630">
        <w:rPr>
          <w:rFonts w:eastAsia="Arial Unicode MS"/>
          <w:b/>
          <w:bCs/>
          <w:color w:val="auto"/>
          <w:sz w:val="20"/>
          <w:szCs w:val="20"/>
          <w:lang w:eastAsia="en-US"/>
        </w:rPr>
        <w:t xml:space="preserve"> </w:t>
      </w:r>
      <w:r w:rsidR="002B7EC5" w:rsidRPr="00A04630">
        <w:rPr>
          <w:rFonts w:eastAsia="Arial Unicode MS"/>
          <w:b/>
          <w:bCs/>
          <w:color w:val="auto"/>
          <w:sz w:val="20"/>
          <w:szCs w:val="20"/>
          <w:lang w:eastAsia="en-US"/>
        </w:rPr>
        <w:t>borçların</w:t>
      </w:r>
      <w:proofErr w:type="gramEnd"/>
      <w:r w:rsidR="002B7EC5" w:rsidRPr="00A04630">
        <w:rPr>
          <w:rFonts w:eastAsia="Arial Unicode MS"/>
          <w:b/>
          <w:bCs/>
          <w:color w:val="auto"/>
          <w:sz w:val="20"/>
          <w:szCs w:val="20"/>
          <w:lang w:eastAsia="en-US"/>
        </w:rPr>
        <w:t xml:space="preserve"> geri</w:t>
      </w:r>
      <w:r w:rsidR="00EB4F5F" w:rsidRPr="00A04630">
        <w:rPr>
          <w:rFonts w:eastAsia="Arial Unicode MS"/>
          <w:b/>
          <w:bCs/>
          <w:color w:val="auto"/>
          <w:sz w:val="20"/>
          <w:szCs w:val="20"/>
          <w:lang w:eastAsia="en-US"/>
        </w:rPr>
        <w:t xml:space="preserve">    </w:t>
      </w:r>
      <w:r w:rsidR="00911499" w:rsidRPr="00A04630">
        <w:rPr>
          <w:rFonts w:eastAsia="Arial Unicode MS"/>
          <w:b/>
          <w:bCs/>
          <w:color w:val="auto"/>
          <w:sz w:val="20"/>
          <w:szCs w:val="20"/>
          <w:lang w:eastAsia="en-US"/>
        </w:rPr>
        <w:t>ödenmesinin önünde mevcut veya muhtemel, fiili veya hukuki engeller</w:t>
      </w:r>
      <w:r w:rsidR="00911499" w:rsidRPr="00A04630">
        <w:rPr>
          <w:rFonts w:eastAsia="Arial Unicode MS"/>
          <w:bCs/>
          <w:color w:val="auto"/>
          <w:sz w:val="14"/>
          <w:szCs w:val="14"/>
          <w:lang w:eastAsia="en-US"/>
        </w:rPr>
        <w:t xml:space="preserve"> </w:t>
      </w:r>
    </w:p>
    <w:p w14:paraId="3E348786" w14:textId="77777777" w:rsidR="00911499" w:rsidRPr="00A04630" w:rsidRDefault="00911499" w:rsidP="00911499">
      <w:pPr>
        <w:rPr>
          <w:sz w:val="16"/>
          <w:szCs w:val="16"/>
        </w:rPr>
      </w:pPr>
    </w:p>
    <w:p w14:paraId="003FEA8A" w14:textId="77777777" w:rsidR="00911499" w:rsidRPr="00A04630" w:rsidRDefault="00911499" w:rsidP="00911499">
      <w:r w:rsidRPr="00A04630">
        <w:t>Bulunmamaktadır.</w:t>
      </w:r>
    </w:p>
    <w:p w14:paraId="2F154EDB" w14:textId="77777777" w:rsidR="00910E03" w:rsidRPr="00270CE6" w:rsidRDefault="00910E03" w:rsidP="00134A72">
      <w:pPr>
        <w:autoSpaceDE w:val="0"/>
        <w:autoSpaceDN w:val="0"/>
        <w:adjustRightInd w:val="0"/>
        <w:rPr>
          <w:b/>
          <w:bCs/>
          <w:sz w:val="22"/>
          <w:szCs w:val="22"/>
          <w:highlight w:val="yellow"/>
        </w:rPr>
        <w:sectPr w:rsidR="00910E03" w:rsidRPr="00270CE6" w:rsidSect="00A07E0F">
          <w:headerReference w:type="default" r:id="rId18"/>
          <w:footerReference w:type="default" r:id="rId19"/>
          <w:pgSz w:w="11907" w:h="16840" w:code="9"/>
          <w:pgMar w:top="1418" w:right="1418" w:bottom="1418" w:left="1418" w:header="708" w:footer="708" w:gutter="0"/>
          <w:pgNumType w:start="2"/>
          <w:cols w:space="708"/>
          <w:noEndnote/>
        </w:sectPr>
      </w:pPr>
    </w:p>
    <w:p w14:paraId="5F7EED2B" w14:textId="77777777" w:rsidR="00EC2505" w:rsidRPr="00F46167" w:rsidRDefault="00EC2505" w:rsidP="00EC2505">
      <w:pPr>
        <w:autoSpaceDE w:val="0"/>
        <w:autoSpaceDN w:val="0"/>
        <w:adjustRightInd w:val="0"/>
        <w:jc w:val="both"/>
      </w:pPr>
    </w:p>
    <w:p w14:paraId="235D6908" w14:textId="77777777" w:rsidR="00EC2505" w:rsidRPr="00F46167" w:rsidRDefault="00EC2505" w:rsidP="00EC2505">
      <w:pPr>
        <w:pStyle w:val="Heading1"/>
        <w:rPr>
          <w:sz w:val="24"/>
        </w:rPr>
      </w:pPr>
      <w:r w:rsidRPr="00F46167">
        <w:rPr>
          <w:sz w:val="24"/>
        </w:rPr>
        <w:t>İKİNCİ BÖLÜM</w:t>
      </w:r>
    </w:p>
    <w:p w14:paraId="51932CA6" w14:textId="77777777" w:rsidR="00EC2505" w:rsidRPr="00F46167" w:rsidRDefault="00EC2505" w:rsidP="00EC2505">
      <w:pPr>
        <w:jc w:val="center"/>
        <w:rPr>
          <w:sz w:val="16"/>
          <w:szCs w:val="16"/>
        </w:rPr>
      </w:pPr>
    </w:p>
    <w:p w14:paraId="1624C6DB" w14:textId="77777777" w:rsidR="00EC2505" w:rsidRPr="00F46167" w:rsidRDefault="00EC2505" w:rsidP="00EC2505">
      <w:pPr>
        <w:jc w:val="center"/>
        <w:rPr>
          <w:b/>
          <w:sz w:val="22"/>
        </w:rPr>
      </w:pPr>
      <w:r w:rsidRPr="00F46167">
        <w:rPr>
          <w:b/>
          <w:sz w:val="22"/>
        </w:rPr>
        <w:t xml:space="preserve">KONSOLİDE OLMAYAN FİNANSAL TABLOLAR </w:t>
      </w:r>
    </w:p>
    <w:p w14:paraId="1BED7E47" w14:textId="77777777" w:rsidR="00BD5290" w:rsidRPr="00F46167" w:rsidRDefault="00BD5290" w:rsidP="00134A72">
      <w:pPr>
        <w:autoSpaceDE w:val="0"/>
        <w:autoSpaceDN w:val="0"/>
        <w:adjustRightInd w:val="0"/>
        <w:rPr>
          <w:b/>
          <w:bCs/>
          <w:sz w:val="22"/>
          <w:szCs w:val="22"/>
        </w:rPr>
      </w:pPr>
    </w:p>
    <w:p w14:paraId="01121E8C" w14:textId="77777777" w:rsidR="00282116" w:rsidRPr="00F46167"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F46167" w14:paraId="165614E6" w14:textId="77777777" w:rsidTr="00DE6DD3">
        <w:trPr>
          <w:trHeight w:val="20"/>
        </w:trPr>
        <w:tc>
          <w:tcPr>
            <w:tcW w:w="720" w:type="dxa"/>
          </w:tcPr>
          <w:p w14:paraId="2F2A8F8B" w14:textId="77777777" w:rsidR="00BD5290" w:rsidRPr="00F46167" w:rsidRDefault="00E253C8" w:rsidP="008D745E">
            <w:pPr>
              <w:autoSpaceDE w:val="0"/>
              <w:autoSpaceDN w:val="0"/>
              <w:adjustRightInd w:val="0"/>
              <w:spacing w:line="360" w:lineRule="auto"/>
            </w:pPr>
            <w:r w:rsidRPr="00F46167">
              <w:t>I.</w:t>
            </w:r>
          </w:p>
        </w:tc>
        <w:tc>
          <w:tcPr>
            <w:tcW w:w="8172" w:type="dxa"/>
          </w:tcPr>
          <w:p w14:paraId="0ED18132" w14:textId="04B9C5C3" w:rsidR="00BD5290" w:rsidRPr="00F46167" w:rsidRDefault="00936CFF" w:rsidP="008D745E">
            <w:pPr>
              <w:spacing w:line="360" w:lineRule="auto"/>
              <w:ind w:right="-469"/>
            </w:pPr>
            <w:r w:rsidRPr="00F46167">
              <w:t xml:space="preserve">Konsolide Olmayan </w:t>
            </w:r>
            <w:r w:rsidR="00E253C8" w:rsidRPr="00F46167">
              <w:t xml:space="preserve">Bilanço (Finansal </w:t>
            </w:r>
            <w:r w:rsidR="004338A8" w:rsidRPr="00F46167">
              <w:t>D</w:t>
            </w:r>
            <w:r w:rsidR="00E253C8" w:rsidRPr="00F46167">
              <w:t xml:space="preserve">urum </w:t>
            </w:r>
            <w:r w:rsidR="004338A8" w:rsidRPr="00F46167">
              <w:t>T</w:t>
            </w:r>
            <w:r w:rsidR="00E253C8" w:rsidRPr="00F46167">
              <w:t>ablosu)</w:t>
            </w:r>
          </w:p>
        </w:tc>
      </w:tr>
      <w:tr w:rsidR="00BD5290" w:rsidRPr="00F46167" w14:paraId="15DBCDD9" w14:textId="77777777" w:rsidTr="00DE6DD3">
        <w:trPr>
          <w:trHeight w:val="20"/>
        </w:trPr>
        <w:tc>
          <w:tcPr>
            <w:tcW w:w="720" w:type="dxa"/>
          </w:tcPr>
          <w:p w14:paraId="7F6C8073" w14:textId="77777777" w:rsidR="00BD5290" w:rsidRPr="00F46167" w:rsidRDefault="00E253C8" w:rsidP="008D745E">
            <w:pPr>
              <w:autoSpaceDE w:val="0"/>
              <w:autoSpaceDN w:val="0"/>
              <w:adjustRightInd w:val="0"/>
              <w:spacing w:line="360" w:lineRule="auto"/>
            </w:pPr>
            <w:r w:rsidRPr="00F46167">
              <w:t>II.</w:t>
            </w:r>
          </w:p>
        </w:tc>
        <w:tc>
          <w:tcPr>
            <w:tcW w:w="8172" w:type="dxa"/>
          </w:tcPr>
          <w:p w14:paraId="0088A984" w14:textId="6897ADF5" w:rsidR="003A56BC" w:rsidRPr="00F46167" w:rsidRDefault="00936CFF" w:rsidP="008D745E">
            <w:pPr>
              <w:spacing w:line="360" w:lineRule="auto"/>
              <w:ind w:right="-469"/>
            </w:pPr>
            <w:r w:rsidRPr="00F46167">
              <w:t xml:space="preserve">Konsolide Olmayan </w:t>
            </w:r>
            <w:r w:rsidR="00EC2505" w:rsidRPr="00F46167">
              <w:t>Nazım Hesaplar T</w:t>
            </w:r>
            <w:r w:rsidR="00E253C8" w:rsidRPr="00F46167">
              <w:t>ablosu</w:t>
            </w:r>
          </w:p>
        </w:tc>
      </w:tr>
      <w:tr w:rsidR="006766EA" w:rsidRPr="00F46167" w14:paraId="7D44179C" w14:textId="77777777" w:rsidTr="00DE6DD3">
        <w:trPr>
          <w:trHeight w:val="20"/>
        </w:trPr>
        <w:tc>
          <w:tcPr>
            <w:tcW w:w="720" w:type="dxa"/>
          </w:tcPr>
          <w:p w14:paraId="2C74CDB5" w14:textId="77777777" w:rsidR="006766EA" w:rsidRPr="00F46167" w:rsidRDefault="00E253C8" w:rsidP="008D745E">
            <w:pPr>
              <w:autoSpaceDE w:val="0"/>
              <w:autoSpaceDN w:val="0"/>
              <w:adjustRightInd w:val="0"/>
              <w:spacing w:line="360" w:lineRule="auto"/>
            </w:pPr>
            <w:r w:rsidRPr="00F46167">
              <w:t>III.</w:t>
            </w:r>
          </w:p>
        </w:tc>
        <w:tc>
          <w:tcPr>
            <w:tcW w:w="8172" w:type="dxa"/>
          </w:tcPr>
          <w:p w14:paraId="18046FDC" w14:textId="51337DE6" w:rsidR="006766EA" w:rsidRPr="00F46167" w:rsidRDefault="00936CFF" w:rsidP="008D745E">
            <w:pPr>
              <w:spacing w:line="360" w:lineRule="auto"/>
              <w:ind w:right="-469"/>
            </w:pPr>
            <w:r w:rsidRPr="00F46167">
              <w:t xml:space="preserve">Konsolide Olmayan </w:t>
            </w:r>
            <w:r w:rsidR="00EC2505" w:rsidRPr="00F46167">
              <w:t>Gelir T</w:t>
            </w:r>
            <w:r w:rsidR="00E253C8" w:rsidRPr="00F46167">
              <w:t>ablosu</w:t>
            </w:r>
            <w:r w:rsidR="00AA7178" w:rsidRPr="00F46167">
              <w:t xml:space="preserve"> (Kar ve </w:t>
            </w:r>
            <w:r w:rsidR="00DD7ACA" w:rsidRPr="00F46167">
              <w:t>Z</w:t>
            </w:r>
            <w:r w:rsidR="00AA7178" w:rsidRPr="00F46167">
              <w:t xml:space="preserve">arar </w:t>
            </w:r>
            <w:r w:rsidR="00DD7ACA" w:rsidRPr="00F46167">
              <w:t>C</w:t>
            </w:r>
            <w:r w:rsidR="00AA7178" w:rsidRPr="00F46167">
              <w:t>etveli)</w:t>
            </w:r>
          </w:p>
        </w:tc>
      </w:tr>
      <w:tr w:rsidR="00245035" w:rsidRPr="00F46167" w14:paraId="73269FA0" w14:textId="77777777" w:rsidTr="00DE6DD3">
        <w:trPr>
          <w:trHeight w:val="20"/>
        </w:trPr>
        <w:tc>
          <w:tcPr>
            <w:tcW w:w="720" w:type="dxa"/>
          </w:tcPr>
          <w:p w14:paraId="384AA536" w14:textId="77777777" w:rsidR="00245035" w:rsidRPr="00F46167" w:rsidRDefault="00E253C8" w:rsidP="008D745E">
            <w:pPr>
              <w:autoSpaceDE w:val="0"/>
              <w:autoSpaceDN w:val="0"/>
              <w:adjustRightInd w:val="0"/>
              <w:spacing w:line="360" w:lineRule="auto"/>
            </w:pPr>
            <w:r w:rsidRPr="00F46167">
              <w:t>IV.</w:t>
            </w:r>
          </w:p>
        </w:tc>
        <w:tc>
          <w:tcPr>
            <w:tcW w:w="8172" w:type="dxa"/>
          </w:tcPr>
          <w:p w14:paraId="22B0C948" w14:textId="1F3881C5" w:rsidR="00245035" w:rsidRPr="00F46167" w:rsidRDefault="00936CFF" w:rsidP="00B95E31">
            <w:pPr>
              <w:spacing w:line="360" w:lineRule="auto"/>
              <w:ind w:right="-469"/>
            </w:pPr>
            <w:r w:rsidRPr="00F46167">
              <w:t xml:space="preserve">Konsolide Olmayan </w:t>
            </w:r>
            <w:r w:rsidR="00F97CAE" w:rsidRPr="00F46167">
              <w:t xml:space="preserve">Kar </w:t>
            </w:r>
            <w:r w:rsidR="00B95E31" w:rsidRPr="00F46167">
              <w:t>v</w:t>
            </w:r>
            <w:r w:rsidR="00F97CAE" w:rsidRPr="00F46167">
              <w:t xml:space="preserve">eya Zarar </w:t>
            </w:r>
            <w:r w:rsidR="00B95E31" w:rsidRPr="00F46167">
              <w:t>v</w:t>
            </w:r>
            <w:r w:rsidR="00F97CAE" w:rsidRPr="00F46167">
              <w:t>e Di</w:t>
            </w:r>
            <w:r w:rsidR="00F97CAE" w:rsidRPr="00F46167">
              <w:rPr>
                <w:rFonts w:hint="eastAsia"/>
              </w:rPr>
              <w:t>ğ</w:t>
            </w:r>
            <w:r w:rsidR="00F97CAE" w:rsidRPr="00F46167">
              <w:t>er Kapsaml</w:t>
            </w:r>
            <w:r w:rsidR="00F97CAE" w:rsidRPr="00F46167">
              <w:rPr>
                <w:rFonts w:hint="eastAsia"/>
              </w:rPr>
              <w:t>ı</w:t>
            </w:r>
            <w:r w:rsidR="00F97CAE" w:rsidRPr="00F46167">
              <w:t xml:space="preserve"> Gelir Tablosu</w:t>
            </w:r>
          </w:p>
        </w:tc>
      </w:tr>
      <w:tr w:rsidR="006766EA" w:rsidRPr="00F46167" w14:paraId="6BE2771A" w14:textId="77777777" w:rsidTr="00DE6DD3">
        <w:trPr>
          <w:trHeight w:val="20"/>
        </w:trPr>
        <w:tc>
          <w:tcPr>
            <w:tcW w:w="720" w:type="dxa"/>
          </w:tcPr>
          <w:p w14:paraId="2BC6C07A" w14:textId="77777777" w:rsidR="006766EA" w:rsidRPr="00F46167" w:rsidRDefault="00E253C8" w:rsidP="008D745E">
            <w:pPr>
              <w:autoSpaceDE w:val="0"/>
              <w:autoSpaceDN w:val="0"/>
              <w:adjustRightInd w:val="0"/>
              <w:spacing w:line="360" w:lineRule="auto"/>
            </w:pPr>
            <w:r w:rsidRPr="00F46167">
              <w:t>V.</w:t>
            </w:r>
          </w:p>
        </w:tc>
        <w:tc>
          <w:tcPr>
            <w:tcW w:w="8172" w:type="dxa"/>
          </w:tcPr>
          <w:p w14:paraId="02D2CBD6" w14:textId="1C0B5D92" w:rsidR="006766EA" w:rsidRPr="00F46167" w:rsidRDefault="00936CFF" w:rsidP="008D745E">
            <w:pPr>
              <w:spacing w:line="360" w:lineRule="auto"/>
              <w:ind w:right="-469"/>
            </w:pPr>
            <w:r w:rsidRPr="00F46167">
              <w:t xml:space="preserve">Konsolide Olmayan </w:t>
            </w:r>
            <w:proofErr w:type="spellStart"/>
            <w:r w:rsidR="00EC2505" w:rsidRPr="00F46167">
              <w:t>Özkaynak</w:t>
            </w:r>
            <w:proofErr w:type="spellEnd"/>
            <w:r w:rsidR="00EC2505" w:rsidRPr="00F46167">
              <w:t xml:space="preserve"> Değişim T</w:t>
            </w:r>
            <w:r w:rsidR="00E253C8" w:rsidRPr="00F46167">
              <w:t>ablosu</w:t>
            </w:r>
          </w:p>
        </w:tc>
      </w:tr>
      <w:tr w:rsidR="00AC5B2A" w:rsidRPr="00270CE6" w14:paraId="45553582" w14:textId="77777777" w:rsidTr="00DE6DD3">
        <w:trPr>
          <w:trHeight w:val="20"/>
        </w:trPr>
        <w:tc>
          <w:tcPr>
            <w:tcW w:w="720" w:type="dxa"/>
          </w:tcPr>
          <w:p w14:paraId="6A0020A6" w14:textId="77777777" w:rsidR="00AC5B2A" w:rsidRPr="00F46167" w:rsidRDefault="00E253C8" w:rsidP="008D745E">
            <w:pPr>
              <w:autoSpaceDE w:val="0"/>
              <w:autoSpaceDN w:val="0"/>
              <w:adjustRightInd w:val="0"/>
              <w:spacing w:line="360" w:lineRule="auto"/>
            </w:pPr>
            <w:r w:rsidRPr="00F46167">
              <w:t>VI.</w:t>
            </w:r>
          </w:p>
        </w:tc>
        <w:tc>
          <w:tcPr>
            <w:tcW w:w="8172" w:type="dxa"/>
          </w:tcPr>
          <w:p w14:paraId="21F168FB" w14:textId="69715F6E" w:rsidR="00AC5B2A" w:rsidRPr="00F46167" w:rsidRDefault="00936CFF" w:rsidP="008D745E">
            <w:pPr>
              <w:spacing w:line="360" w:lineRule="auto"/>
              <w:ind w:right="-469"/>
            </w:pPr>
            <w:r w:rsidRPr="00F46167">
              <w:t xml:space="preserve">Konsolide Olmayan </w:t>
            </w:r>
            <w:r w:rsidR="00EC2505" w:rsidRPr="00F46167">
              <w:t>Nakit Akış T</w:t>
            </w:r>
            <w:r w:rsidR="00E253C8" w:rsidRPr="00F46167">
              <w:t>ablosu</w:t>
            </w:r>
          </w:p>
        </w:tc>
      </w:tr>
      <w:tr w:rsidR="0060734E" w:rsidRPr="00270CE6" w14:paraId="13A10996" w14:textId="77777777" w:rsidTr="00DE6DD3">
        <w:trPr>
          <w:trHeight w:val="20"/>
        </w:trPr>
        <w:tc>
          <w:tcPr>
            <w:tcW w:w="720" w:type="dxa"/>
          </w:tcPr>
          <w:p w14:paraId="30629B67" w14:textId="522238FF" w:rsidR="0060734E" w:rsidRPr="00270CE6" w:rsidRDefault="0060734E" w:rsidP="0060734E">
            <w:pPr>
              <w:autoSpaceDE w:val="0"/>
              <w:autoSpaceDN w:val="0"/>
              <w:adjustRightInd w:val="0"/>
              <w:spacing w:line="360" w:lineRule="auto"/>
              <w:rPr>
                <w:highlight w:val="yellow"/>
              </w:rPr>
            </w:pPr>
          </w:p>
        </w:tc>
        <w:tc>
          <w:tcPr>
            <w:tcW w:w="8172" w:type="dxa"/>
          </w:tcPr>
          <w:p w14:paraId="51F08812" w14:textId="7B890217" w:rsidR="0060734E" w:rsidRPr="00270CE6" w:rsidRDefault="0060734E" w:rsidP="0060734E">
            <w:pPr>
              <w:spacing w:line="360" w:lineRule="auto"/>
              <w:ind w:right="-469"/>
              <w:rPr>
                <w:highlight w:val="yellow"/>
              </w:rPr>
            </w:pPr>
          </w:p>
        </w:tc>
      </w:tr>
    </w:tbl>
    <w:p w14:paraId="70F28B46" w14:textId="77777777" w:rsidR="00BD5290" w:rsidRPr="00270CE6" w:rsidRDefault="00BD5290" w:rsidP="00134A72">
      <w:pPr>
        <w:autoSpaceDE w:val="0"/>
        <w:autoSpaceDN w:val="0"/>
        <w:adjustRightInd w:val="0"/>
        <w:rPr>
          <w:b/>
          <w:bCs/>
          <w:highlight w:val="yellow"/>
        </w:rPr>
      </w:pPr>
    </w:p>
    <w:p w14:paraId="23D5EE79" w14:textId="77777777" w:rsidR="00394ED0" w:rsidRPr="00270CE6" w:rsidRDefault="00394ED0" w:rsidP="00134A72">
      <w:pPr>
        <w:autoSpaceDE w:val="0"/>
        <w:autoSpaceDN w:val="0"/>
        <w:adjustRightInd w:val="0"/>
        <w:rPr>
          <w:highlight w:val="yellow"/>
        </w:rPr>
      </w:pPr>
    </w:p>
    <w:p w14:paraId="612A5D1D" w14:textId="77777777" w:rsidR="00394ED0" w:rsidRPr="00270CE6" w:rsidRDefault="00394ED0" w:rsidP="00134A72">
      <w:pPr>
        <w:autoSpaceDE w:val="0"/>
        <w:autoSpaceDN w:val="0"/>
        <w:adjustRightInd w:val="0"/>
        <w:rPr>
          <w:highlight w:val="yellow"/>
        </w:rPr>
      </w:pPr>
    </w:p>
    <w:p w14:paraId="3143147A" w14:textId="77777777" w:rsidR="00394ED0" w:rsidRPr="00270CE6" w:rsidRDefault="00394ED0" w:rsidP="00134A72">
      <w:pPr>
        <w:autoSpaceDE w:val="0"/>
        <w:autoSpaceDN w:val="0"/>
        <w:adjustRightInd w:val="0"/>
        <w:rPr>
          <w:highlight w:val="yellow"/>
        </w:rPr>
        <w:sectPr w:rsidR="00394ED0" w:rsidRPr="00270CE6" w:rsidSect="00A07E0F">
          <w:footerReference w:type="first" r:id="rId20"/>
          <w:pgSz w:w="11907" w:h="16840" w:code="9"/>
          <w:pgMar w:top="1418" w:right="1418" w:bottom="1418" w:left="1418" w:header="709" w:footer="709" w:gutter="0"/>
          <w:pgNumType w:start="2"/>
          <w:cols w:space="708"/>
          <w:vAlign w:val="center"/>
          <w:noEndnote/>
          <w:titlePg/>
        </w:sectPr>
      </w:pPr>
    </w:p>
    <w:p w14:paraId="75755838" w14:textId="77777777" w:rsidR="00AE641D" w:rsidRPr="00270CE6"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3" w:name="OLE_LINK24"/>
      <w:bookmarkStart w:id="4" w:name="OLE_LINK25"/>
    </w:p>
    <w:p w14:paraId="4A605377" w14:textId="2375507B" w:rsidR="00615D21" w:rsidRPr="00E162DB" w:rsidRDefault="005866BD" w:rsidP="00615D21">
      <w:pPr>
        <w:tabs>
          <w:tab w:val="left" w:pos="709"/>
        </w:tabs>
        <w:autoSpaceDE w:val="0"/>
        <w:autoSpaceDN w:val="0"/>
        <w:adjustRightInd w:val="0"/>
        <w:ind w:hanging="567"/>
      </w:pPr>
      <w:r w:rsidRPr="00E162DB">
        <w:rPr>
          <w:rFonts w:eastAsia="Arial Unicode MS"/>
          <w:b/>
          <w:sz w:val="22"/>
        </w:rPr>
        <w:t>1</w:t>
      </w:r>
      <w:r w:rsidR="005E005F" w:rsidRPr="00E162DB">
        <w:rPr>
          <w:rFonts w:eastAsia="Arial Unicode MS"/>
          <w:b/>
          <w:sz w:val="22"/>
        </w:rPr>
        <w:t>.</w:t>
      </w:r>
      <w:r w:rsidR="005E005F" w:rsidRPr="00E162DB">
        <w:rPr>
          <w:rFonts w:eastAsia="Arial Unicode MS"/>
          <w:b/>
          <w:sz w:val="22"/>
        </w:rPr>
        <w:tab/>
        <w:t xml:space="preserve">BİLANÇO-AKTİF </w:t>
      </w:r>
      <w:r w:rsidR="005D3E4D" w:rsidRPr="00E162DB">
        <w:rPr>
          <w:rFonts w:eastAsia="Arial Unicode MS"/>
          <w:b/>
          <w:sz w:val="22"/>
        </w:rPr>
        <w:t>KALEMLER (FİNANSAL DURUM TABLOSU)</w:t>
      </w:r>
    </w:p>
    <w:p w14:paraId="3F1A5B65" w14:textId="77777777" w:rsidR="00DB0502" w:rsidRPr="00E162DB" w:rsidRDefault="00615D21" w:rsidP="00615D21">
      <w:pPr>
        <w:tabs>
          <w:tab w:val="left" w:pos="709"/>
        </w:tabs>
        <w:autoSpaceDE w:val="0"/>
        <w:autoSpaceDN w:val="0"/>
        <w:adjustRightInd w:val="0"/>
        <w:rPr>
          <w:rFonts w:eastAsia="Arial Unicode MS"/>
          <w:sz w:val="4"/>
        </w:rPr>
      </w:pPr>
      <w:r w:rsidRPr="00E162DB">
        <w:rPr>
          <w:rFonts w:eastAsia="Arial Unicode MS"/>
          <w:sz w:val="4"/>
        </w:rPr>
        <w:t>-</w:t>
      </w:r>
    </w:p>
    <w:p w14:paraId="7C4E5DA2" w14:textId="388C5FE4" w:rsidR="00F25246" w:rsidRDefault="00F25246" w:rsidP="00615D21">
      <w:pPr>
        <w:tabs>
          <w:tab w:val="left" w:pos="709"/>
        </w:tabs>
        <w:autoSpaceDE w:val="0"/>
        <w:autoSpaceDN w:val="0"/>
        <w:adjustRightInd w:val="0"/>
        <w:rPr>
          <w:lang w:val="en-GB" w:eastAsia="en-GB"/>
        </w:rPr>
      </w:pPr>
    </w:p>
    <w:tbl>
      <w:tblPr>
        <w:tblW w:w="9493" w:type="dxa"/>
        <w:tblCellMar>
          <w:left w:w="70" w:type="dxa"/>
          <w:right w:w="70" w:type="dxa"/>
        </w:tblCellMar>
        <w:tblLook w:val="04A0" w:firstRow="1" w:lastRow="0" w:firstColumn="1" w:lastColumn="0" w:noHBand="0" w:noVBand="1"/>
      </w:tblPr>
      <w:tblGrid>
        <w:gridCol w:w="455"/>
        <w:gridCol w:w="3356"/>
        <w:gridCol w:w="619"/>
        <w:gridCol w:w="810"/>
        <w:gridCol w:w="851"/>
        <w:gridCol w:w="850"/>
        <w:gridCol w:w="851"/>
        <w:gridCol w:w="850"/>
        <w:gridCol w:w="851"/>
      </w:tblGrid>
      <w:tr w:rsidR="00F25246" w:rsidRPr="00F25246" w14:paraId="1EF0976B" w14:textId="77777777" w:rsidTr="00717AB5">
        <w:trPr>
          <w:divId w:val="1660189425"/>
          <w:trHeight w:val="180"/>
        </w:trPr>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BCFD20A" w14:textId="7DF35D47" w:rsidR="00F25246" w:rsidRPr="00F25246" w:rsidRDefault="00F25246" w:rsidP="00F25246">
            <w:pPr>
              <w:rPr>
                <w:color w:val="000000"/>
                <w:sz w:val="14"/>
                <w:szCs w:val="14"/>
                <w:lang w:eastAsia="tr-TR"/>
              </w:rPr>
            </w:pPr>
            <w:r w:rsidRPr="00F25246">
              <w:rPr>
                <w:color w:val="000000"/>
                <w:sz w:val="14"/>
                <w:szCs w:val="14"/>
                <w:lang w:eastAsia="tr-TR"/>
              </w:rPr>
              <w:t> </w:t>
            </w:r>
          </w:p>
        </w:tc>
        <w:tc>
          <w:tcPr>
            <w:tcW w:w="335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B98FFE" w14:textId="77777777" w:rsidR="00F25246" w:rsidRPr="00F25246" w:rsidRDefault="00F25246" w:rsidP="00F25246">
            <w:pPr>
              <w:rPr>
                <w:color w:val="000000"/>
                <w:sz w:val="14"/>
                <w:szCs w:val="14"/>
                <w:lang w:eastAsia="tr-TR"/>
              </w:rPr>
            </w:pPr>
            <w:r w:rsidRPr="00F25246">
              <w:rPr>
                <w:color w:val="000000"/>
                <w:sz w:val="14"/>
                <w:szCs w:val="14"/>
                <w:lang w:eastAsia="tr-TR"/>
              </w:rPr>
              <w:t> </w:t>
            </w: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5CC40" w14:textId="77777777" w:rsidR="00F25246" w:rsidRPr="00F25246" w:rsidRDefault="00F25246" w:rsidP="00F25246">
            <w:pPr>
              <w:rPr>
                <w:color w:val="000000"/>
                <w:sz w:val="14"/>
                <w:szCs w:val="14"/>
                <w:lang w:eastAsia="tr-TR"/>
              </w:rPr>
            </w:pPr>
            <w:r w:rsidRPr="00F25246">
              <w:rPr>
                <w:color w:val="000000"/>
                <w:sz w:val="14"/>
                <w:szCs w:val="14"/>
                <w:lang w:eastAsia="tr-TR"/>
              </w:rPr>
              <w:t> </w:t>
            </w:r>
          </w:p>
        </w:tc>
        <w:tc>
          <w:tcPr>
            <w:tcW w:w="2511" w:type="dxa"/>
            <w:gridSpan w:val="3"/>
            <w:tcBorders>
              <w:top w:val="single" w:sz="4" w:space="0" w:color="auto"/>
              <w:left w:val="single" w:sz="4" w:space="0" w:color="auto"/>
              <w:bottom w:val="nil"/>
              <w:right w:val="single" w:sz="4" w:space="0" w:color="auto"/>
            </w:tcBorders>
            <w:shd w:val="clear" w:color="auto" w:fill="auto"/>
            <w:noWrap/>
            <w:vAlign w:val="center"/>
            <w:hideMark/>
          </w:tcPr>
          <w:p w14:paraId="4809B04E" w14:textId="77777777" w:rsidR="00F25246" w:rsidRPr="00F25246" w:rsidRDefault="00F25246" w:rsidP="00717AB5">
            <w:pPr>
              <w:ind w:left="-104"/>
              <w:jc w:val="right"/>
              <w:rPr>
                <w:b/>
                <w:bCs/>
                <w:color w:val="000000"/>
                <w:sz w:val="14"/>
                <w:szCs w:val="14"/>
                <w:lang w:eastAsia="tr-TR"/>
              </w:rPr>
            </w:pPr>
            <w:r w:rsidRPr="00F25246">
              <w:rPr>
                <w:b/>
                <w:bCs/>
                <w:color w:val="000000"/>
                <w:sz w:val="14"/>
                <w:szCs w:val="14"/>
                <w:lang w:eastAsia="tr-TR"/>
              </w:rPr>
              <w:t>Bağımsız Sınırlı Denetimden Geçmiş</w:t>
            </w:r>
          </w:p>
        </w:tc>
        <w:tc>
          <w:tcPr>
            <w:tcW w:w="2552" w:type="dxa"/>
            <w:gridSpan w:val="3"/>
            <w:tcBorders>
              <w:top w:val="single" w:sz="4" w:space="0" w:color="auto"/>
              <w:left w:val="single" w:sz="4" w:space="0" w:color="auto"/>
              <w:bottom w:val="nil"/>
              <w:right w:val="single" w:sz="4" w:space="0" w:color="auto"/>
            </w:tcBorders>
            <w:shd w:val="clear" w:color="auto" w:fill="auto"/>
            <w:noWrap/>
            <w:vAlign w:val="center"/>
            <w:hideMark/>
          </w:tcPr>
          <w:p w14:paraId="36BD8052" w14:textId="77777777" w:rsidR="00F25246" w:rsidRPr="00F25246" w:rsidRDefault="00F25246" w:rsidP="00717AB5">
            <w:pPr>
              <w:ind w:left="-104"/>
              <w:jc w:val="right"/>
              <w:rPr>
                <w:b/>
                <w:bCs/>
                <w:color w:val="000000"/>
                <w:sz w:val="14"/>
                <w:szCs w:val="14"/>
                <w:lang w:eastAsia="tr-TR"/>
              </w:rPr>
            </w:pPr>
            <w:r w:rsidRPr="00F25246">
              <w:rPr>
                <w:b/>
                <w:bCs/>
                <w:color w:val="000000"/>
                <w:sz w:val="14"/>
                <w:szCs w:val="14"/>
                <w:lang w:eastAsia="tr-TR"/>
              </w:rPr>
              <w:t>Bağımsız Denetimden Geçmiş</w:t>
            </w:r>
          </w:p>
        </w:tc>
      </w:tr>
      <w:tr w:rsidR="00F25246" w:rsidRPr="00F25246" w14:paraId="418E8EDF" w14:textId="77777777" w:rsidTr="00717AB5">
        <w:trPr>
          <w:divId w:val="1660189425"/>
          <w:trHeight w:val="180"/>
        </w:trPr>
        <w:tc>
          <w:tcPr>
            <w:tcW w:w="455" w:type="dxa"/>
            <w:vMerge/>
            <w:tcBorders>
              <w:top w:val="single" w:sz="8" w:space="0" w:color="auto"/>
              <w:left w:val="single" w:sz="4" w:space="0" w:color="auto"/>
              <w:bottom w:val="single" w:sz="8" w:space="0" w:color="000000"/>
              <w:right w:val="single" w:sz="4" w:space="0" w:color="auto"/>
            </w:tcBorders>
            <w:vAlign w:val="center"/>
            <w:hideMark/>
          </w:tcPr>
          <w:p w14:paraId="0EED9E3E" w14:textId="77777777" w:rsidR="00F25246" w:rsidRPr="00F25246" w:rsidRDefault="00F25246" w:rsidP="00F25246">
            <w:pPr>
              <w:rPr>
                <w:color w:val="000000"/>
                <w:sz w:val="14"/>
                <w:szCs w:val="14"/>
                <w:lang w:eastAsia="tr-TR"/>
              </w:rPr>
            </w:pPr>
          </w:p>
        </w:tc>
        <w:tc>
          <w:tcPr>
            <w:tcW w:w="3356" w:type="dxa"/>
            <w:vMerge/>
            <w:tcBorders>
              <w:top w:val="single" w:sz="8" w:space="0" w:color="auto"/>
              <w:left w:val="single" w:sz="4" w:space="0" w:color="auto"/>
              <w:bottom w:val="single" w:sz="8" w:space="0" w:color="000000"/>
              <w:right w:val="single" w:sz="4" w:space="0" w:color="auto"/>
            </w:tcBorders>
            <w:vAlign w:val="center"/>
            <w:hideMark/>
          </w:tcPr>
          <w:p w14:paraId="4CDC771B" w14:textId="77777777" w:rsidR="00F25246" w:rsidRPr="00F25246" w:rsidRDefault="00F25246" w:rsidP="00F25246">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center"/>
            <w:hideMark/>
          </w:tcPr>
          <w:p w14:paraId="40D224B2"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tcBorders>
            <w:shd w:val="clear" w:color="auto" w:fill="auto"/>
            <w:noWrap/>
            <w:vAlign w:val="center"/>
            <w:hideMark/>
          </w:tcPr>
          <w:p w14:paraId="58D68AFE" w14:textId="77777777" w:rsidR="00F25246" w:rsidRPr="00F25246" w:rsidRDefault="00F25246" w:rsidP="00717AB5">
            <w:pPr>
              <w:ind w:left="-104"/>
              <w:jc w:val="right"/>
              <w:rPr>
                <w:b/>
                <w:bCs/>
                <w:color w:val="000000"/>
                <w:sz w:val="14"/>
                <w:szCs w:val="14"/>
                <w:lang w:eastAsia="tr-TR"/>
              </w:rPr>
            </w:pPr>
          </w:p>
        </w:tc>
        <w:tc>
          <w:tcPr>
            <w:tcW w:w="851" w:type="dxa"/>
            <w:tcBorders>
              <w:top w:val="nil"/>
              <w:bottom w:val="nil"/>
            </w:tcBorders>
            <w:shd w:val="clear" w:color="auto" w:fill="auto"/>
            <w:noWrap/>
            <w:vAlign w:val="center"/>
            <w:hideMark/>
          </w:tcPr>
          <w:p w14:paraId="399F134E" w14:textId="77777777" w:rsidR="00F25246" w:rsidRPr="00F25246" w:rsidRDefault="00F25246" w:rsidP="00717AB5">
            <w:pPr>
              <w:ind w:left="-104"/>
              <w:jc w:val="right"/>
              <w:rPr>
                <w:lang w:eastAsia="tr-TR"/>
              </w:rPr>
            </w:pPr>
          </w:p>
        </w:tc>
        <w:tc>
          <w:tcPr>
            <w:tcW w:w="850" w:type="dxa"/>
            <w:tcBorders>
              <w:top w:val="nil"/>
              <w:left w:val="nil"/>
              <w:bottom w:val="nil"/>
              <w:right w:val="single" w:sz="4" w:space="0" w:color="auto"/>
            </w:tcBorders>
            <w:shd w:val="clear" w:color="auto" w:fill="auto"/>
            <w:vAlign w:val="center"/>
            <w:hideMark/>
          </w:tcPr>
          <w:p w14:paraId="26B479CB" w14:textId="77777777" w:rsidR="00F25246" w:rsidRPr="00F25246" w:rsidRDefault="00F25246" w:rsidP="00717AB5">
            <w:pPr>
              <w:ind w:left="-104"/>
              <w:jc w:val="right"/>
              <w:rPr>
                <w:b/>
                <w:bCs/>
                <w:color w:val="000000"/>
                <w:sz w:val="14"/>
                <w:szCs w:val="14"/>
                <w:lang w:eastAsia="tr-TR"/>
              </w:rPr>
            </w:pPr>
            <w:r w:rsidRPr="00F25246">
              <w:rPr>
                <w:b/>
                <w:bCs/>
                <w:color w:val="000000"/>
                <w:sz w:val="14"/>
                <w:szCs w:val="14"/>
                <w:lang w:eastAsia="tr-TR"/>
              </w:rPr>
              <w:t>Cari Dönem</w:t>
            </w:r>
          </w:p>
        </w:tc>
        <w:tc>
          <w:tcPr>
            <w:tcW w:w="851" w:type="dxa"/>
            <w:tcBorders>
              <w:top w:val="nil"/>
              <w:left w:val="single" w:sz="4" w:space="0" w:color="auto"/>
              <w:bottom w:val="nil"/>
            </w:tcBorders>
            <w:shd w:val="clear" w:color="auto" w:fill="auto"/>
            <w:noWrap/>
            <w:vAlign w:val="center"/>
            <w:hideMark/>
          </w:tcPr>
          <w:p w14:paraId="74B12E25" w14:textId="77777777" w:rsidR="00F25246" w:rsidRPr="00F25246" w:rsidRDefault="00F25246" w:rsidP="00717AB5">
            <w:pPr>
              <w:ind w:left="-104"/>
              <w:jc w:val="right"/>
              <w:rPr>
                <w:b/>
                <w:bCs/>
                <w:color w:val="000000"/>
                <w:sz w:val="14"/>
                <w:szCs w:val="14"/>
                <w:lang w:eastAsia="tr-TR"/>
              </w:rPr>
            </w:pPr>
          </w:p>
        </w:tc>
        <w:tc>
          <w:tcPr>
            <w:tcW w:w="850" w:type="dxa"/>
            <w:tcBorders>
              <w:top w:val="nil"/>
              <w:bottom w:val="nil"/>
            </w:tcBorders>
            <w:shd w:val="clear" w:color="auto" w:fill="auto"/>
            <w:noWrap/>
            <w:vAlign w:val="center"/>
            <w:hideMark/>
          </w:tcPr>
          <w:p w14:paraId="4C4433A2" w14:textId="77777777" w:rsidR="00F25246" w:rsidRPr="00F25246" w:rsidRDefault="00F25246" w:rsidP="00717AB5">
            <w:pPr>
              <w:ind w:left="-104"/>
              <w:jc w:val="right"/>
              <w:rPr>
                <w:lang w:eastAsia="tr-TR"/>
              </w:rPr>
            </w:pPr>
          </w:p>
        </w:tc>
        <w:tc>
          <w:tcPr>
            <w:tcW w:w="851" w:type="dxa"/>
            <w:tcBorders>
              <w:top w:val="nil"/>
              <w:left w:val="nil"/>
              <w:bottom w:val="nil"/>
              <w:right w:val="single" w:sz="4" w:space="0" w:color="auto"/>
            </w:tcBorders>
            <w:shd w:val="clear" w:color="auto" w:fill="auto"/>
            <w:noWrap/>
            <w:vAlign w:val="center"/>
            <w:hideMark/>
          </w:tcPr>
          <w:p w14:paraId="6F7DA0CB" w14:textId="77777777" w:rsidR="00F25246" w:rsidRPr="00F25246" w:rsidRDefault="00F25246" w:rsidP="00717AB5">
            <w:pPr>
              <w:ind w:left="-104"/>
              <w:jc w:val="right"/>
              <w:rPr>
                <w:b/>
                <w:bCs/>
                <w:color w:val="000000"/>
                <w:sz w:val="14"/>
                <w:szCs w:val="14"/>
                <w:lang w:eastAsia="tr-TR"/>
              </w:rPr>
            </w:pPr>
            <w:r w:rsidRPr="00F25246">
              <w:rPr>
                <w:b/>
                <w:bCs/>
                <w:color w:val="000000"/>
                <w:sz w:val="14"/>
                <w:szCs w:val="14"/>
                <w:lang w:eastAsia="tr-TR"/>
              </w:rPr>
              <w:t>Önceki Dönem</w:t>
            </w:r>
          </w:p>
        </w:tc>
      </w:tr>
      <w:tr w:rsidR="00F25246" w:rsidRPr="00F25246" w14:paraId="121B671D" w14:textId="77777777" w:rsidTr="00717AB5">
        <w:trPr>
          <w:divId w:val="1660189425"/>
          <w:trHeight w:val="120"/>
        </w:trPr>
        <w:tc>
          <w:tcPr>
            <w:tcW w:w="455" w:type="dxa"/>
            <w:vMerge/>
            <w:tcBorders>
              <w:top w:val="single" w:sz="8" w:space="0" w:color="auto"/>
              <w:left w:val="single" w:sz="4" w:space="0" w:color="auto"/>
              <w:bottom w:val="single" w:sz="4" w:space="0" w:color="auto"/>
              <w:right w:val="single" w:sz="4" w:space="0" w:color="auto"/>
            </w:tcBorders>
            <w:vAlign w:val="center"/>
            <w:hideMark/>
          </w:tcPr>
          <w:p w14:paraId="150BD60F" w14:textId="77777777" w:rsidR="00F25246" w:rsidRPr="00F25246" w:rsidRDefault="00F25246" w:rsidP="00F25246">
            <w:pPr>
              <w:rPr>
                <w:color w:val="000000"/>
                <w:sz w:val="14"/>
                <w:szCs w:val="14"/>
                <w:lang w:eastAsia="tr-TR"/>
              </w:rPr>
            </w:pPr>
          </w:p>
        </w:tc>
        <w:tc>
          <w:tcPr>
            <w:tcW w:w="3356" w:type="dxa"/>
            <w:vMerge/>
            <w:tcBorders>
              <w:top w:val="single" w:sz="8" w:space="0" w:color="auto"/>
              <w:left w:val="single" w:sz="4" w:space="0" w:color="auto"/>
              <w:bottom w:val="single" w:sz="4" w:space="0" w:color="auto"/>
              <w:right w:val="single" w:sz="4" w:space="0" w:color="auto"/>
            </w:tcBorders>
            <w:vAlign w:val="center"/>
            <w:hideMark/>
          </w:tcPr>
          <w:p w14:paraId="021FB726" w14:textId="77777777" w:rsidR="00F25246" w:rsidRPr="00F25246" w:rsidRDefault="00F25246" w:rsidP="00F25246">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center"/>
            <w:hideMark/>
          </w:tcPr>
          <w:p w14:paraId="15C1DB0A" w14:textId="77777777" w:rsidR="00F25246" w:rsidRPr="00F25246" w:rsidRDefault="00F25246" w:rsidP="00F25246">
            <w:pPr>
              <w:rPr>
                <w:color w:val="000000"/>
                <w:sz w:val="14"/>
                <w:szCs w:val="14"/>
                <w:lang w:eastAsia="tr-TR"/>
              </w:rPr>
            </w:pPr>
          </w:p>
        </w:tc>
        <w:tc>
          <w:tcPr>
            <w:tcW w:w="2511" w:type="dxa"/>
            <w:gridSpan w:val="3"/>
            <w:tcBorders>
              <w:top w:val="nil"/>
              <w:left w:val="single" w:sz="4" w:space="0" w:color="auto"/>
              <w:bottom w:val="single" w:sz="4" w:space="0" w:color="auto"/>
              <w:right w:val="single" w:sz="4" w:space="0" w:color="auto"/>
            </w:tcBorders>
            <w:shd w:val="clear" w:color="auto" w:fill="auto"/>
            <w:noWrap/>
            <w:vAlign w:val="center"/>
            <w:hideMark/>
          </w:tcPr>
          <w:p w14:paraId="48FCC4E2" w14:textId="77777777" w:rsidR="00F25246" w:rsidRPr="00F25246" w:rsidRDefault="00F25246" w:rsidP="00717AB5">
            <w:pPr>
              <w:ind w:left="-104"/>
              <w:jc w:val="right"/>
              <w:rPr>
                <w:b/>
                <w:bCs/>
                <w:color w:val="000000"/>
                <w:sz w:val="14"/>
                <w:szCs w:val="14"/>
                <w:lang w:eastAsia="tr-TR"/>
              </w:rPr>
            </w:pPr>
            <w:r w:rsidRPr="00F25246">
              <w:rPr>
                <w:b/>
                <w:bCs/>
                <w:color w:val="000000"/>
                <w:sz w:val="14"/>
                <w:szCs w:val="14"/>
                <w:lang w:eastAsia="tr-TR"/>
              </w:rPr>
              <w:t>30.09.2020</w:t>
            </w:r>
          </w:p>
        </w:tc>
        <w:tc>
          <w:tcPr>
            <w:tcW w:w="2552" w:type="dxa"/>
            <w:gridSpan w:val="3"/>
            <w:tcBorders>
              <w:top w:val="nil"/>
              <w:left w:val="single" w:sz="4" w:space="0" w:color="auto"/>
              <w:bottom w:val="single" w:sz="4" w:space="0" w:color="auto"/>
              <w:right w:val="single" w:sz="4" w:space="0" w:color="auto"/>
            </w:tcBorders>
            <w:shd w:val="clear" w:color="auto" w:fill="auto"/>
            <w:noWrap/>
            <w:vAlign w:val="center"/>
            <w:hideMark/>
          </w:tcPr>
          <w:p w14:paraId="2419F010" w14:textId="77777777" w:rsidR="00F25246" w:rsidRPr="00F25246" w:rsidRDefault="00F25246" w:rsidP="00717AB5">
            <w:pPr>
              <w:ind w:left="-104"/>
              <w:jc w:val="right"/>
              <w:rPr>
                <w:b/>
                <w:bCs/>
                <w:color w:val="000000"/>
                <w:sz w:val="14"/>
                <w:szCs w:val="14"/>
                <w:lang w:eastAsia="tr-TR"/>
              </w:rPr>
            </w:pPr>
            <w:r w:rsidRPr="00F25246">
              <w:rPr>
                <w:b/>
                <w:bCs/>
                <w:color w:val="000000"/>
                <w:sz w:val="14"/>
                <w:szCs w:val="14"/>
                <w:lang w:eastAsia="tr-TR"/>
              </w:rPr>
              <w:t>31.12.2019</w:t>
            </w:r>
          </w:p>
        </w:tc>
      </w:tr>
      <w:tr w:rsidR="00F25246" w:rsidRPr="00F25246" w14:paraId="091F8E95" w14:textId="77777777" w:rsidTr="00717AB5">
        <w:trPr>
          <w:divId w:val="1660189425"/>
          <w:trHeight w:val="270"/>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F7A15" w14:textId="77777777" w:rsidR="00F25246" w:rsidRPr="00F25246" w:rsidRDefault="00F25246" w:rsidP="00F25246">
            <w:pPr>
              <w:rPr>
                <w:color w:val="000000"/>
                <w:sz w:val="14"/>
                <w:szCs w:val="14"/>
                <w:lang w:eastAsia="tr-TR"/>
              </w:rPr>
            </w:pPr>
            <w:r w:rsidRPr="00F25246">
              <w:rPr>
                <w:color w:val="000000"/>
                <w:sz w:val="14"/>
                <w:szCs w:val="14"/>
                <w:lang w:eastAsia="tr-TR"/>
              </w:rPr>
              <w:t> </w:t>
            </w:r>
          </w:p>
        </w:tc>
        <w:tc>
          <w:tcPr>
            <w:tcW w:w="3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B5A76"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VARLIKLAR</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A2AC0" w14:textId="77777777" w:rsidR="00F25246" w:rsidRPr="00F25246" w:rsidRDefault="00F25246" w:rsidP="00F25246">
            <w:pPr>
              <w:jc w:val="center"/>
              <w:rPr>
                <w:b/>
                <w:bCs/>
                <w:color w:val="000000"/>
                <w:sz w:val="14"/>
                <w:szCs w:val="14"/>
                <w:lang w:eastAsia="tr-TR"/>
              </w:rPr>
            </w:pPr>
            <w:r w:rsidRPr="00F25246">
              <w:rPr>
                <w:b/>
                <w:bCs/>
                <w:color w:val="000000"/>
                <w:sz w:val="14"/>
                <w:szCs w:val="14"/>
                <w:lang w:eastAsia="tr-TR"/>
              </w:rPr>
              <w:t>Dipnot</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6BEF8" w14:textId="77777777" w:rsidR="00F25246" w:rsidRPr="00F25246" w:rsidRDefault="00F25246" w:rsidP="00717AB5">
            <w:pPr>
              <w:ind w:left="-104"/>
              <w:jc w:val="right"/>
              <w:rPr>
                <w:b/>
                <w:bCs/>
                <w:color w:val="000000"/>
                <w:sz w:val="14"/>
                <w:szCs w:val="14"/>
                <w:lang w:eastAsia="tr-TR"/>
              </w:rPr>
            </w:pPr>
            <w:r w:rsidRPr="00F25246">
              <w:rPr>
                <w:b/>
                <w:bCs/>
                <w:color w:val="000000"/>
                <w:sz w:val="14"/>
                <w:szCs w:val="14"/>
                <w:lang w:eastAsia="tr-TR"/>
              </w:rPr>
              <w:t>TP</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92B47" w14:textId="77777777" w:rsidR="00F25246" w:rsidRPr="00F25246" w:rsidRDefault="00F25246" w:rsidP="00717AB5">
            <w:pPr>
              <w:ind w:left="-104"/>
              <w:jc w:val="right"/>
              <w:rPr>
                <w:b/>
                <w:bCs/>
                <w:color w:val="000000"/>
                <w:sz w:val="14"/>
                <w:szCs w:val="14"/>
                <w:lang w:eastAsia="tr-TR"/>
              </w:rPr>
            </w:pPr>
            <w:r w:rsidRPr="00F25246">
              <w:rPr>
                <w:b/>
                <w:bCs/>
                <w:color w:val="000000"/>
                <w:sz w:val="14"/>
                <w:szCs w:val="14"/>
                <w:lang w:eastAsia="tr-TR"/>
              </w:rPr>
              <w:t>YP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E2507" w14:textId="77777777" w:rsidR="00F25246" w:rsidRPr="00F25246" w:rsidRDefault="00F25246" w:rsidP="00717AB5">
            <w:pPr>
              <w:ind w:left="-104"/>
              <w:jc w:val="right"/>
              <w:rPr>
                <w:b/>
                <w:bCs/>
                <w:color w:val="000000"/>
                <w:sz w:val="14"/>
                <w:szCs w:val="14"/>
                <w:lang w:eastAsia="tr-TR"/>
              </w:rPr>
            </w:pPr>
            <w:r w:rsidRPr="00F25246">
              <w:rPr>
                <w:b/>
                <w:bCs/>
                <w:color w:val="000000"/>
                <w:sz w:val="14"/>
                <w:szCs w:val="14"/>
                <w:lang w:eastAsia="tr-TR"/>
              </w:rPr>
              <w:t>Toplam</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F3609" w14:textId="77777777" w:rsidR="00F25246" w:rsidRPr="00F25246" w:rsidRDefault="00F25246" w:rsidP="00717AB5">
            <w:pPr>
              <w:ind w:left="-104"/>
              <w:jc w:val="right"/>
              <w:rPr>
                <w:b/>
                <w:bCs/>
                <w:color w:val="000000"/>
                <w:sz w:val="14"/>
                <w:szCs w:val="14"/>
                <w:lang w:eastAsia="tr-TR"/>
              </w:rPr>
            </w:pPr>
            <w:r w:rsidRPr="00F25246">
              <w:rPr>
                <w:b/>
                <w:bCs/>
                <w:color w:val="000000"/>
                <w:sz w:val="14"/>
                <w:szCs w:val="14"/>
                <w:lang w:eastAsia="tr-TR"/>
              </w:rPr>
              <w:t>TP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8F5D3" w14:textId="77777777" w:rsidR="00F25246" w:rsidRPr="00F25246" w:rsidRDefault="00F25246" w:rsidP="00717AB5">
            <w:pPr>
              <w:ind w:left="-104"/>
              <w:jc w:val="right"/>
              <w:rPr>
                <w:b/>
                <w:bCs/>
                <w:color w:val="000000"/>
                <w:sz w:val="14"/>
                <w:szCs w:val="14"/>
                <w:lang w:eastAsia="tr-TR"/>
              </w:rPr>
            </w:pPr>
            <w:r w:rsidRPr="00F25246">
              <w:rPr>
                <w:b/>
                <w:bCs/>
                <w:color w:val="000000"/>
                <w:sz w:val="14"/>
                <w:szCs w:val="14"/>
                <w:lang w:eastAsia="tr-TR"/>
              </w:rPr>
              <w:t>YP</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B887B" w14:textId="77777777" w:rsidR="00F25246" w:rsidRPr="00F25246" w:rsidRDefault="00F25246" w:rsidP="00717AB5">
            <w:pPr>
              <w:ind w:left="-104"/>
              <w:jc w:val="right"/>
              <w:rPr>
                <w:b/>
                <w:bCs/>
                <w:color w:val="000000"/>
                <w:sz w:val="14"/>
                <w:szCs w:val="14"/>
                <w:lang w:eastAsia="tr-TR"/>
              </w:rPr>
            </w:pPr>
            <w:r w:rsidRPr="00F25246">
              <w:rPr>
                <w:b/>
                <w:bCs/>
                <w:color w:val="000000"/>
                <w:sz w:val="14"/>
                <w:szCs w:val="14"/>
                <w:lang w:eastAsia="tr-TR"/>
              </w:rPr>
              <w:t>Toplam</w:t>
            </w:r>
          </w:p>
        </w:tc>
      </w:tr>
      <w:tr w:rsidR="00F25246" w:rsidRPr="00F25246" w14:paraId="768A57CC" w14:textId="77777777" w:rsidTr="00717AB5">
        <w:trPr>
          <w:divId w:val="1660189425"/>
          <w:trHeight w:val="165"/>
        </w:trPr>
        <w:tc>
          <w:tcPr>
            <w:tcW w:w="455" w:type="dxa"/>
            <w:tcBorders>
              <w:top w:val="single" w:sz="4" w:space="0" w:color="auto"/>
              <w:left w:val="single" w:sz="4" w:space="0" w:color="auto"/>
              <w:bottom w:val="nil"/>
              <w:right w:val="single" w:sz="4" w:space="0" w:color="auto"/>
            </w:tcBorders>
            <w:shd w:val="clear" w:color="auto" w:fill="auto"/>
            <w:noWrap/>
            <w:vAlign w:val="center"/>
            <w:hideMark/>
          </w:tcPr>
          <w:p w14:paraId="1AADB0F0" w14:textId="77777777" w:rsidR="00F25246" w:rsidRPr="00F25246" w:rsidRDefault="00F25246" w:rsidP="00F25246">
            <w:pPr>
              <w:jc w:val="right"/>
              <w:rPr>
                <w:b/>
                <w:bCs/>
                <w:color w:val="000000"/>
                <w:sz w:val="14"/>
                <w:szCs w:val="14"/>
                <w:lang w:eastAsia="tr-TR"/>
              </w:rPr>
            </w:pPr>
          </w:p>
        </w:tc>
        <w:tc>
          <w:tcPr>
            <w:tcW w:w="3356" w:type="dxa"/>
            <w:tcBorders>
              <w:top w:val="single" w:sz="4" w:space="0" w:color="auto"/>
              <w:left w:val="single" w:sz="4" w:space="0" w:color="auto"/>
              <w:bottom w:val="nil"/>
              <w:right w:val="single" w:sz="4" w:space="0" w:color="auto"/>
            </w:tcBorders>
            <w:shd w:val="clear" w:color="auto" w:fill="auto"/>
            <w:noWrap/>
            <w:vAlign w:val="center"/>
            <w:hideMark/>
          </w:tcPr>
          <w:p w14:paraId="1469B39E" w14:textId="77777777" w:rsidR="00F25246" w:rsidRPr="00F25246" w:rsidRDefault="00F25246" w:rsidP="00F25246">
            <w:pPr>
              <w:rPr>
                <w:lang w:eastAsia="tr-TR"/>
              </w:rPr>
            </w:pPr>
          </w:p>
        </w:tc>
        <w:tc>
          <w:tcPr>
            <w:tcW w:w="619" w:type="dxa"/>
            <w:tcBorders>
              <w:top w:val="single" w:sz="4" w:space="0" w:color="auto"/>
              <w:left w:val="single" w:sz="4" w:space="0" w:color="auto"/>
              <w:bottom w:val="nil"/>
              <w:right w:val="single" w:sz="4" w:space="0" w:color="auto"/>
            </w:tcBorders>
            <w:shd w:val="clear" w:color="auto" w:fill="auto"/>
            <w:noWrap/>
            <w:vAlign w:val="center"/>
            <w:hideMark/>
          </w:tcPr>
          <w:p w14:paraId="361C725D" w14:textId="77777777" w:rsidR="00F25246" w:rsidRPr="00F25246" w:rsidRDefault="00F25246" w:rsidP="00F25246">
            <w:pPr>
              <w:rPr>
                <w:lang w:eastAsia="tr-TR"/>
              </w:rPr>
            </w:pPr>
          </w:p>
        </w:tc>
        <w:tc>
          <w:tcPr>
            <w:tcW w:w="810" w:type="dxa"/>
            <w:tcBorders>
              <w:top w:val="single" w:sz="4" w:space="0" w:color="auto"/>
              <w:left w:val="single" w:sz="4" w:space="0" w:color="auto"/>
              <w:bottom w:val="nil"/>
              <w:right w:val="single" w:sz="4" w:space="0" w:color="auto"/>
            </w:tcBorders>
            <w:shd w:val="clear" w:color="auto" w:fill="auto"/>
            <w:noWrap/>
            <w:vAlign w:val="center"/>
            <w:hideMark/>
          </w:tcPr>
          <w:p w14:paraId="7C5C3BF0" w14:textId="77777777" w:rsidR="00F25246" w:rsidRPr="00F25246" w:rsidRDefault="00F25246" w:rsidP="00717AB5">
            <w:pPr>
              <w:ind w:left="-104"/>
              <w:jc w:val="center"/>
              <w:rPr>
                <w:lang w:eastAsia="tr-TR"/>
              </w:rPr>
            </w:pPr>
          </w:p>
        </w:tc>
        <w:tc>
          <w:tcPr>
            <w:tcW w:w="851" w:type="dxa"/>
            <w:tcBorders>
              <w:top w:val="single" w:sz="4" w:space="0" w:color="auto"/>
              <w:left w:val="single" w:sz="4" w:space="0" w:color="auto"/>
              <w:bottom w:val="nil"/>
              <w:right w:val="single" w:sz="4" w:space="0" w:color="auto"/>
            </w:tcBorders>
            <w:shd w:val="clear" w:color="auto" w:fill="auto"/>
            <w:noWrap/>
            <w:vAlign w:val="center"/>
            <w:hideMark/>
          </w:tcPr>
          <w:p w14:paraId="79746470" w14:textId="77777777" w:rsidR="00F25246" w:rsidRPr="00F25246" w:rsidRDefault="00F25246" w:rsidP="00717AB5">
            <w:pPr>
              <w:ind w:left="-104"/>
              <w:jc w:val="right"/>
              <w:rPr>
                <w:lang w:eastAsia="tr-TR"/>
              </w:rPr>
            </w:pPr>
          </w:p>
        </w:tc>
        <w:tc>
          <w:tcPr>
            <w:tcW w:w="850" w:type="dxa"/>
            <w:tcBorders>
              <w:top w:val="single" w:sz="4" w:space="0" w:color="auto"/>
              <w:left w:val="single" w:sz="4" w:space="0" w:color="auto"/>
              <w:bottom w:val="nil"/>
              <w:right w:val="single" w:sz="4" w:space="0" w:color="auto"/>
            </w:tcBorders>
            <w:shd w:val="clear" w:color="auto" w:fill="auto"/>
            <w:noWrap/>
            <w:vAlign w:val="center"/>
            <w:hideMark/>
          </w:tcPr>
          <w:p w14:paraId="013E1F71" w14:textId="77777777" w:rsidR="00F25246" w:rsidRPr="00F25246" w:rsidRDefault="00F25246" w:rsidP="00717AB5">
            <w:pPr>
              <w:ind w:left="-104"/>
              <w:jc w:val="right"/>
              <w:rPr>
                <w:lang w:eastAsia="tr-TR"/>
              </w:rPr>
            </w:pPr>
          </w:p>
        </w:tc>
        <w:tc>
          <w:tcPr>
            <w:tcW w:w="851" w:type="dxa"/>
            <w:tcBorders>
              <w:top w:val="single" w:sz="4" w:space="0" w:color="auto"/>
              <w:left w:val="single" w:sz="4" w:space="0" w:color="auto"/>
              <w:bottom w:val="nil"/>
              <w:right w:val="single" w:sz="4" w:space="0" w:color="auto"/>
            </w:tcBorders>
            <w:shd w:val="clear" w:color="auto" w:fill="auto"/>
            <w:noWrap/>
            <w:vAlign w:val="center"/>
            <w:hideMark/>
          </w:tcPr>
          <w:p w14:paraId="4748E42D" w14:textId="77777777" w:rsidR="00F25246" w:rsidRPr="00F25246" w:rsidRDefault="00F25246" w:rsidP="00717AB5">
            <w:pPr>
              <w:ind w:left="-104"/>
              <w:jc w:val="right"/>
              <w:rPr>
                <w:lang w:eastAsia="tr-TR"/>
              </w:rPr>
            </w:pPr>
          </w:p>
        </w:tc>
        <w:tc>
          <w:tcPr>
            <w:tcW w:w="850" w:type="dxa"/>
            <w:tcBorders>
              <w:top w:val="single" w:sz="4" w:space="0" w:color="auto"/>
              <w:left w:val="single" w:sz="4" w:space="0" w:color="auto"/>
              <w:bottom w:val="nil"/>
              <w:right w:val="single" w:sz="4" w:space="0" w:color="auto"/>
            </w:tcBorders>
            <w:shd w:val="clear" w:color="auto" w:fill="auto"/>
            <w:noWrap/>
            <w:vAlign w:val="center"/>
            <w:hideMark/>
          </w:tcPr>
          <w:p w14:paraId="5266800B" w14:textId="77777777" w:rsidR="00F25246" w:rsidRPr="00F25246" w:rsidRDefault="00F25246" w:rsidP="00717AB5">
            <w:pPr>
              <w:ind w:left="-104"/>
              <w:jc w:val="right"/>
              <w:rPr>
                <w:lang w:eastAsia="tr-TR"/>
              </w:rPr>
            </w:pPr>
          </w:p>
        </w:tc>
        <w:tc>
          <w:tcPr>
            <w:tcW w:w="851" w:type="dxa"/>
            <w:tcBorders>
              <w:top w:val="single" w:sz="4" w:space="0" w:color="auto"/>
              <w:left w:val="single" w:sz="4" w:space="0" w:color="auto"/>
              <w:bottom w:val="nil"/>
              <w:right w:val="single" w:sz="4" w:space="0" w:color="auto"/>
            </w:tcBorders>
            <w:shd w:val="clear" w:color="auto" w:fill="auto"/>
            <w:noWrap/>
            <w:vAlign w:val="center"/>
            <w:hideMark/>
          </w:tcPr>
          <w:p w14:paraId="414B084D" w14:textId="77777777" w:rsidR="00F25246" w:rsidRPr="00F25246" w:rsidRDefault="00F25246" w:rsidP="00717AB5">
            <w:pPr>
              <w:ind w:left="-104"/>
              <w:jc w:val="right"/>
              <w:rPr>
                <w:lang w:eastAsia="tr-TR"/>
              </w:rPr>
            </w:pPr>
          </w:p>
        </w:tc>
      </w:tr>
      <w:tr w:rsidR="00F25246" w:rsidRPr="00F25246" w14:paraId="74AB5A00"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3457278B"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w:t>
            </w:r>
          </w:p>
        </w:tc>
        <w:tc>
          <w:tcPr>
            <w:tcW w:w="3356" w:type="dxa"/>
            <w:tcBorders>
              <w:top w:val="nil"/>
              <w:left w:val="single" w:sz="4" w:space="0" w:color="auto"/>
              <w:bottom w:val="nil"/>
              <w:right w:val="single" w:sz="4" w:space="0" w:color="auto"/>
            </w:tcBorders>
            <w:shd w:val="clear" w:color="auto" w:fill="auto"/>
            <w:noWrap/>
            <w:vAlign w:val="center"/>
            <w:hideMark/>
          </w:tcPr>
          <w:p w14:paraId="0E94D1D8"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7E4316D8" w14:textId="77777777" w:rsidR="00F25246" w:rsidRPr="00F25246" w:rsidRDefault="00F25246" w:rsidP="00F25246">
            <w:pPr>
              <w:rPr>
                <w:b/>
                <w:bCs/>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6ED05254" w14:textId="77777777" w:rsidR="00F25246" w:rsidRPr="00F25246" w:rsidRDefault="00F25246" w:rsidP="00717AB5">
            <w:pPr>
              <w:ind w:left="-104"/>
              <w:jc w:val="right"/>
              <w:rPr>
                <w:b/>
                <w:bCs/>
                <w:sz w:val="14"/>
                <w:szCs w:val="14"/>
                <w:lang w:eastAsia="tr-TR"/>
              </w:rPr>
            </w:pPr>
            <w:r w:rsidRPr="00F25246">
              <w:rPr>
                <w:b/>
                <w:bCs/>
                <w:sz w:val="14"/>
                <w:szCs w:val="14"/>
                <w:lang w:eastAsia="tr-TR"/>
              </w:rPr>
              <w:t>27,968,703</w:t>
            </w:r>
          </w:p>
        </w:tc>
        <w:tc>
          <w:tcPr>
            <w:tcW w:w="851" w:type="dxa"/>
            <w:tcBorders>
              <w:top w:val="nil"/>
              <w:left w:val="single" w:sz="4" w:space="0" w:color="auto"/>
              <w:bottom w:val="nil"/>
              <w:right w:val="single" w:sz="4" w:space="0" w:color="auto"/>
            </w:tcBorders>
            <w:shd w:val="clear" w:color="auto" w:fill="auto"/>
            <w:vAlign w:val="bottom"/>
            <w:hideMark/>
          </w:tcPr>
          <w:p w14:paraId="48F35614" w14:textId="77777777" w:rsidR="00F25246" w:rsidRPr="00F25246" w:rsidRDefault="00F25246" w:rsidP="00717AB5">
            <w:pPr>
              <w:ind w:left="-104"/>
              <w:jc w:val="right"/>
              <w:rPr>
                <w:b/>
                <w:bCs/>
                <w:sz w:val="14"/>
                <w:szCs w:val="14"/>
                <w:lang w:eastAsia="tr-TR"/>
              </w:rPr>
            </w:pPr>
            <w:r w:rsidRPr="00F25246">
              <w:rPr>
                <w:b/>
                <w:bCs/>
                <w:sz w:val="14"/>
                <w:szCs w:val="14"/>
                <w:lang w:eastAsia="tr-TR"/>
              </w:rPr>
              <w:t>40,305,353</w:t>
            </w:r>
          </w:p>
        </w:tc>
        <w:tc>
          <w:tcPr>
            <w:tcW w:w="850" w:type="dxa"/>
            <w:tcBorders>
              <w:top w:val="nil"/>
              <w:left w:val="single" w:sz="4" w:space="0" w:color="auto"/>
              <w:bottom w:val="nil"/>
              <w:right w:val="single" w:sz="4" w:space="0" w:color="auto"/>
            </w:tcBorders>
            <w:shd w:val="clear" w:color="auto" w:fill="auto"/>
            <w:vAlign w:val="bottom"/>
            <w:hideMark/>
          </w:tcPr>
          <w:p w14:paraId="3A3A16F5" w14:textId="77777777" w:rsidR="00F25246" w:rsidRPr="00F25246" w:rsidRDefault="00F25246" w:rsidP="00717AB5">
            <w:pPr>
              <w:ind w:left="-104"/>
              <w:jc w:val="right"/>
              <w:rPr>
                <w:b/>
                <w:bCs/>
                <w:sz w:val="14"/>
                <w:szCs w:val="14"/>
                <w:lang w:eastAsia="tr-TR"/>
              </w:rPr>
            </w:pPr>
            <w:r w:rsidRPr="00F25246">
              <w:rPr>
                <w:b/>
                <w:bCs/>
                <w:sz w:val="14"/>
                <w:szCs w:val="14"/>
                <w:lang w:eastAsia="tr-TR"/>
              </w:rPr>
              <w:t>68,274,056</w:t>
            </w:r>
          </w:p>
        </w:tc>
        <w:tc>
          <w:tcPr>
            <w:tcW w:w="851" w:type="dxa"/>
            <w:tcBorders>
              <w:top w:val="nil"/>
              <w:left w:val="single" w:sz="4" w:space="0" w:color="auto"/>
              <w:bottom w:val="nil"/>
              <w:right w:val="single" w:sz="4" w:space="0" w:color="auto"/>
            </w:tcBorders>
            <w:shd w:val="clear" w:color="auto" w:fill="auto"/>
            <w:vAlign w:val="bottom"/>
            <w:hideMark/>
          </w:tcPr>
          <w:p w14:paraId="618F78BD" w14:textId="77777777" w:rsidR="00F25246" w:rsidRPr="00F25246" w:rsidRDefault="00F25246" w:rsidP="00717AB5">
            <w:pPr>
              <w:ind w:left="-104"/>
              <w:jc w:val="right"/>
              <w:rPr>
                <w:b/>
                <w:bCs/>
                <w:sz w:val="14"/>
                <w:szCs w:val="14"/>
                <w:lang w:eastAsia="tr-TR"/>
              </w:rPr>
            </w:pPr>
            <w:r w:rsidRPr="00F25246">
              <w:rPr>
                <w:b/>
                <w:bCs/>
                <w:sz w:val="14"/>
                <w:szCs w:val="14"/>
                <w:lang w:eastAsia="tr-TR"/>
              </w:rPr>
              <w:t>4,803,455</w:t>
            </w:r>
          </w:p>
        </w:tc>
        <w:tc>
          <w:tcPr>
            <w:tcW w:w="850" w:type="dxa"/>
            <w:tcBorders>
              <w:top w:val="nil"/>
              <w:left w:val="single" w:sz="4" w:space="0" w:color="auto"/>
              <w:bottom w:val="nil"/>
              <w:right w:val="single" w:sz="4" w:space="0" w:color="auto"/>
            </w:tcBorders>
            <w:shd w:val="clear" w:color="auto" w:fill="auto"/>
            <w:vAlign w:val="bottom"/>
            <w:hideMark/>
          </w:tcPr>
          <w:p w14:paraId="5817CC4A" w14:textId="77777777" w:rsidR="00F25246" w:rsidRPr="00F25246" w:rsidRDefault="00F25246" w:rsidP="00717AB5">
            <w:pPr>
              <w:ind w:left="-104"/>
              <w:jc w:val="right"/>
              <w:rPr>
                <w:b/>
                <w:bCs/>
                <w:sz w:val="14"/>
                <w:szCs w:val="14"/>
                <w:lang w:eastAsia="tr-TR"/>
              </w:rPr>
            </w:pPr>
            <w:r w:rsidRPr="00F25246">
              <w:rPr>
                <w:b/>
                <w:bCs/>
                <w:sz w:val="14"/>
                <w:szCs w:val="14"/>
                <w:lang w:eastAsia="tr-TR"/>
              </w:rPr>
              <w:t>37,903,612</w:t>
            </w:r>
          </w:p>
        </w:tc>
        <w:tc>
          <w:tcPr>
            <w:tcW w:w="851" w:type="dxa"/>
            <w:tcBorders>
              <w:top w:val="nil"/>
              <w:left w:val="single" w:sz="4" w:space="0" w:color="auto"/>
              <w:bottom w:val="nil"/>
              <w:right w:val="single" w:sz="4" w:space="0" w:color="auto"/>
            </w:tcBorders>
            <w:shd w:val="clear" w:color="auto" w:fill="auto"/>
            <w:vAlign w:val="bottom"/>
            <w:hideMark/>
          </w:tcPr>
          <w:p w14:paraId="240526B9" w14:textId="77777777" w:rsidR="00F25246" w:rsidRPr="00F25246" w:rsidRDefault="00F25246" w:rsidP="00717AB5">
            <w:pPr>
              <w:ind w:left="-104"/>
              <w:jc w:val="right"/>
              <w:rPr>
                <w:b/>
                <w:bCs/>
                <w:sz w:val="14"/>
                <w:szCs w:val="14"/>
                <w:lang w:eastAsia="tr-TR"/>
              </w:rPr>
            </w:pPr>
            <w:r w:rsidRPr="00F25246">
              <w:rPr>
                <w:b/>
                <w:bCs/>
                <w:sz w:val="14"/>
                <w:szCs w:val="14"/>
                <w:lang w:eastAsia="tr-TR"/>
              </w:rPr>
              <w:t>42,707,067</w:t>
            </w:r>
          </w:p>
        </w:tc>
      </w:tr>
      <w:tr w:rsidR="00F25246" w:rsidRPr="00F25246" w14:paraId="7D617B2D"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6CA8A72F"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1.1.</w:t>
            </w:r>
          </w:p>
        </w:tc>
        <w:tc>
          <w:tcPr>
            <w:tcW w:w="3356" w:type="dxa"/>
            <w:tcBorders>
              <w:top w:val="nil"/>
              <w:left w:val="single" w:sz="4" w:space="0" w:color="auto"/>
              <w:bottom w:val="nil"/>
              <w:right w:val="single" w:sz="4" w:space="0" w:color="auto"/>
            </w:tcBorders>
            <w:shd w:val="clear" w:color="auto" w:fill="auto"/>
            <w:noWrap/>
            <w:vAlign w:val="center"/>
            <w:hideMark/>
          </w:tcPr>
          <w:p w14:paraId="1D22B993"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vAlign w:val="center"/>
            <w:hideMark/>
          </w:tcPr>
          <w:p w14:paraId="58360DD9" w14:textId="77777777" w:rsidR="00F25246" w:rsidRPr="00F25246" w:rsidRDefault="00F25246" w:rsidP="00F25246">
            <w:pPr>
              <w:rPr>
                <w:b/>
                <w:bCs/>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2CBE28AE" w14:textId="77777777" w:rsidR="00F25246" w:rsidRPr="00F25246" w:rsidRDefault="00F25246" w:rsidP="00717AB5">
            <w:pPr>
              <w:ind w:left="-104"/>
              <w:jc w:val="right"/>
              <w:rPr>
                <w:b/>
                <w:bCs/>
                <w:sz w:val="14"/>
                <w:szCs w:val="14"/>
                <w:lang w:eastAsia="tr-TR"/>
              </w:rPr>
            </w:pPr>
            <w:r w:rsidRPr="00F25246">
              <w:rPr>
                <w:b/>
                <w:bCs/>
                <w:sz w:val="14"/>
                <w:szCs w:val="14"/>
                <w:lang w:eastAsia="tr-TR"/>
              </w:rPr>
              <w:t>1,301,080</w:t>
            </w:r>
          </w:p>
        </w:tc>
        <w:tc>
          <w:tcPr>
            <w:tcW w:w="851" w:type="dxa"/>
            <w:tcBorders>
              <w:top w:val="nil"/>
              <w:left w:val="single" w:sz="4" w:space="0" w:color="auto"/>
              <w:bottom w:val="nil"/>
              <w:right w:val="single" w:sz="4" w:space="0" w:color="auto"/>
            </w:tcBorders>
            <w:shd w:val="clear" w:color="auto" w:fill="auto"/>
            <w:vAlign w:val="bottom"/>
            <w:hideMark/>
          </w:tcPr>
          <w:p w14:paraId="162B75CD" w14:textId="77777777" w:rsidR="00F25246" w:rsidRPr="00F25246" w:rsidRDefault="00F25246" w:rsidP="00717AB5">
            <w:pPr>
              <w:ind w:left="-104"/>
              <w:jc w:val="right"/>
              <w:rPr>
                <w:b/>
                <w:bCs/>
                <w:sz w:val="14"/>
                <w:szCs w:val="14"/>
                <w:lang w:eastAsia="tr-TR"/>
              </w:rPr>
            </w:pPr>
            <w:r w:rsidRPr="00F25246">
              <w:rPr>
                <w:b/>
                <w:bCs/>
                <w:sz w:val="14"/>
                <w:szCs w:val="14"/>
                <w:lang w:eastAsia="tr-TR"/>
              </w:rPr>
              <w:t>24,665,713</w:t>
            </w:r>
          </w:p>
        </w:tc>
        <w:tc>
          <w:tcPr>
            <w:tcW w:w="850" w:type="dxa"/>
            <w:tcBorders>
              <w:top w:val="nil"/>
              <w:left w:val="single" w:sz="4" w:space="0" w:color="auto"/>
              <w:bottom w:val="nil"/>
              <w:right w:val="single" w:sz="4" w:space="0" w:color="auto"/>
            </w:tcBorders>
            <w:shd w:val="clear" w:color="auto" w:fill="auto"/>
            <w:vAlign w:val="bottom"/>
            <w:hideMark/>
          </w:tcPr>
          <w:p w14:paraId="1C53041B" w14:textId="77777777" w:rsidR="00F25246" w:rsidRPr="00F25246" w:rsidRDefault="00F25246" w:rsidP="00717AB5">
            <w:pPr>
              <w:ind w:left="-104"/>
              <w:jc w:val="right"/>
              <w:rPr>
                <w:b/>
                <w:bCs/>
                <w:sz w:val="14"/>
                <w:szCs w:val="14"/>
                <w:lang w:eastAsia="tr-TR"/>
              </w:rPr>
            </w:pPr>
            <w:r w:rsidRPr="00F25246">
              <w:rPr>
                <w:b/>
                <w:bCs/>
                <w:sz w:val="14"/>
                <w:szCs w:val="14"/>
                <w:lang w:eastAsia="tr-TR"/>
              </w:rPr>
              <w:t>25,966,793</w:t>
            </w:r>
          </w:p>
        </w:tc>
        <w:tc>
          <w:tcPr>
            <w:tcW w:w="851" w:type="dxa"/>
            <w:tcBorders>
              <w:top w:val="nil"/>
              <w:left w:val="single" w:sz="4" w:space="0" w:color="auto"/>
              <w:bottom w:val="nil"/>
              <w:right w:val="single" w:sz="4" w:space="0" w:color="auto"/>
            </w:tcBorders>
            <w:shd w:val="clear" w:color="auto" w:fill="auto"/>
            <w:vAlign w:val="bottom"/>
            <w:hideMark/>
          </w:tcPr>
          <w:p w14:paraId="37D12FFD" w14:textId="77777777" w:rsidR="00F25246" w:rsidRPr="00F25246" w:rsidRDefault="00F25246" w:rsidP="00717AB5">
            <w:pPr>
              <w:ind w:left="-104"/>
              <w:jc w:val="right"/>
              <w:rPr>
                <w:b/>
                <w:bCs/>
                <w:sz w:val="14"/>
                <w:szCs w:val="14"/>
                <w:lang w:eastAsia="tr-TR"/>
              </w:rPr>
            </w:pPr>
            <w:r w:rsidRPr="00F25246">
              <w:rPr>
                <w:b/>
                <w:bCs/>
                <w:sz w:val="14"/>
                <w:szCs w:val="14"/>
                <w:lang w:eastAsia="tr-TR"/>
              </w:rPr>
              <w:t>1,781,590</w:t>
            </w:r>
          </w:p>
        </w:tc>
        <w:tc>
          <w:tcPr>
            <w:tcW w:w="850" w:type="dxa"/>
            <w:tcBorders>
              <w:top w:val="nil"/>
              <w:left w:val="single" w:sz="4" w:space="0" w:color="auto"/>
              <w:bottom w:val="nil"/>
              <w:right w:val="single" w:sz="4" w:space="0" w:color="auto"/>
            </w:tcBorders>
            <w:shd w:val="clear" w:color="auto" w:fill="auto"/>
            <w:vAlign w:val="bottom"/>
            <w:hideMark/>
          </w:tcPr>
          <w:p w14:paraId="6F2ACEE1" w14:textId="77777777" w:rsidR="00F25246" w:rsidRPr="00F25246" w:rsidRDefault="00F25246" w:rsidP="00717AB5">
            <w:pPr>
              <w:ind w:left="-104"/>
              <w:jc w:val="right"/>
              <w:rPr>
                <w:b/>
                <w:bCs/>
                <w:sz w:val="14"/>
                <w:szCs w:val="14"/>
                <w:lang w:eastAsia="tr-TR"/>
              </w:rPr>
            </w:pPr>
            <w:r w:rsidRPr="00F25246">
              <w:rPr>
                <w:b/>
                <w:bCs/>
                <w:sz w:val="14"/>
                <w:szCs w:val="14"/>
                <w:lang w:eastAsia="tr-TR"/>
              </w:rPr>
              <w:t>24,099,321</w:t>
            </w:r>
          </w:p>
        </w:tc>
        <w:tc>
          <w:tcPr>
            <w:tcW w:w="851" w:type="dxa"/>
            <w:tcBorders>
              <w:top w:val="nil"/>
              <w:left w:val="single" w:sz="4" w:space="0" w:color="auto"/>
              <w:bottom w:val="nil"/>
              <w:right w:val="single" w:sz="4" w:space="0" w:color="auto"/>
            </w:tcBorders>
            <w:shd w:val="clear" w:color="auto" w:fill="auto"/>
            <w:vAlign w:val="bottom"/>
            <w:hideMark/>
          </w:tcPr>
          <w:p w14:paraId="584F8300" w14:textId="77777777" w:rsidR="00F25246" w:rsidRPr="00F25246" w:rsidRDefault="00F25246" w:rsidP="00717AB5">
            <w:pPr>
              <w:ind w:left="-104"/>
              <w:jc w:val="right"/>
              <w:rPr>
                <w:b/>
                <w:bCs/>
                <w:sz w:val="14"/>
                <w:szCs w:val="14"/>
                <w:lang w:eastAsia="tr-TR"/>
              </w:rPr>
            </w:pPr>
            <w:r w:rsidRPr="00F25246">
              <w:rPr>
                <w:b/>
                <w:bCs/>
                <w:sz w:val="14"/>
                <w:szCs w:val="14"/>
                <w:lang w:eastAsia="tr-TR"/>
              </w:rPr>
              <w:t>25,880,911</w:t>
            </w:r>
          </w:p>
        </w:tc>
      </w:tr>
      <w:tr w:rsidR="00F25246" w:rsidRPr="00F25246" w14:paraId="1A0CA2DF"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1FBF67EF" w14:textId="77777777" w:rsidR="00F25246" w:rsidRPr="00F25246" w:rsidRDefault="00F25246" w:rsidP="00F25246">
            <w:pPr>
              <w:rPr>
                <w:color w:val="000000"/>
                <w:sz w:val="14"/>
                <w:szCs w:val="14"/>
                <w:lang w:eastAsia="tr-TR"/>
              </w:rPr>
            </w:pPr>
            <w:r w:rsidRPr="00F25246">
              <w:rPr>
                <w:color w:val="000000"/>
                <w:sz w:val="14"/>
                <w:szCs w:val="14"/>
                <w:lang w:eastAsia="tr-TR"/>
              </w:rPr>
              <w:t>1.1.1.</w:t>
            </w:r>
          </w:p>
        </w:tc>
        <w:tc>
          <w:tcPr>
            <w:tcW w:w="3356" w:type="dxa"/>
            <w:tcBorders>
              <w:top w:val="nil"/>
              <w:left w:val="single" w:sz="4" w:space="0" w:color="auto"/>
              <w:bottom w:val="nil"/>
              <w:right w:val="single" w:sz="4" w:space="0" w:color="auto"/>
            </w:tcBorders>
            <w:shd w:val="clear" w:color="auto" w:fill="auto"/>
            <w:noWrap/>
            <w:vAlign w:val="center"/>
            <w:hideMark/>
          </w:tcPr>
          <w:p w14:paraId="0D02F599" w14:textId="77777777" w:rsidR="00F25246" w:rsidRPr="00F25246" w:rsidRDefault="00F25246" w:rsidP="00F25246">
            <w:pPr>
              <w:rPr>
                <w:color w:val="000000"/>
                <w:sz w:val="14"/>
                <w:szCs w:val="14"/>
                <w:lang w:eastAsia="tr-TR"/>
              </w:rPr>
            </w:pPr>
            <w:r w:rsidRPr="00F25246">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vAlign w:val="center"/>
            <w:hideMark/>
          </w:tcPr>
          <w:p w14:paraId="4594A3C8" w14:textId="77777777" w:rsidR="00F25246" w:rsidRPr="00F25246" w:rsidRDefault="00F25246" w:rsidP="00F25246">
            <w:pPr>
              <w:rPr>
                <w:color w:val="000000"/>
                <w:sz w:val="14"/>
                <w:szCs w:val="14"/>
                <w:lang w:eastAsia="tr-TR"/>
              </w:rPr>
            </w:pPr>
            <w:r w:rsidRPr="00F25246">
              <w:rPr>
                <w:color w:val="000000"/>
                <w:sz w:val="14"/>
                <w:szCs w:val="14"/>
                <w:lang w:eastAsia="tr-TR"/>
              </w:rPr>
              <w:t>(5.1.1.)</w:t>
            </w:r>
          </w:p>
        </w:tc>
        <w:tc>
          <w:tcPr>
            <w:tcW w:w="810" w:type="dxa"/>
            <w:tcBorders>
              <w:top w:val="nil"/>
              <w:left w:val="single" w:sz="4" w:space="0" w:color="auto"/>
              <w:bottom w:val="nil"/>
              <w:right w:val="single" w:sz="4" w:space="0" w:color="auto"/>
            </w:tcBorders>
            <w:shd w:val="clear" w:color="auto" w:fill="auto"/>
            <w:vAlign w:val="bottom"/>
            <w:hideMark/>
          </w:tcPr>
          <w:p w14:paraId="725C0825" w14:textId="77777777" w:rsidR="00F25246" w:rsidRPr="00F25246" w:rsidRDefault="00F25246" w:rsidP="00717AB5">
            <w:pPr>
              <w:ind w:left="-104"/>
              <w:jc w:val="right"/>
              <w:rPr>
                <w:sz w:val="14"/>
                <w:szCs w:val="14"/>
                <w:lang w:eastAsia="tr-TR"/>
              </w:rPr>
            </w:pPr>
            <w:r w:rsidRPr="00F25246">
              <w:rPr>
                <w:sz w:val="14"/>
                <w:szCs w:val="14"/>
                <w:lang w:eastAsia="tr-TR"/>
              </w:rPr>
              <w:t>1,276,456</w:t>
            </w:r>
          </w:p>
        </w:tc>
        <w:tc>
          <w:tcPr>
            <w:tcW w:w="851" w:type="dxa"/>
            <w:tcBorders>
              <w:top w:val="nil"/>
              <w:left w:val="single" w:sz="4" w:space="0" w:color="auto"/>
              <w:bottom w:val="nil"/>
              <w:right w:val="single" w:sz="4" w:space="0" w:color="auto"/>
            </w:tcBorders>
            <w:shd w:val="clear" w:color="auto" w:fill="auto"/>
            <w:vAlign w:val="bottom"/>
            <w:hideMark/>
          </w:tcPr>
          <w:p w14:paraId="4FB16123" w14:textId="77777777" w:rsidR="00F25246" w:rsidRPr="00F25246" w:rsidRDefault="00F25246" w:rsidP="00717AB5">
            <w:pPr>
              <w:ind w:left="-104"/>
              <w:jc w:val="right"/>
              <w:rPr>
                <w:sz w:val="14"/>
                <w:szCs w:val="14"/>
                <w:lang w:eastAsia="tr-TR"/>
              </w:rPr>
            </w:pPr>
            <w:r w:rsidRPr="00F25246">
              <w:rPr>
                <w:sz w:val="14"/>
                <w:szCs w:val="14"/>
                <w:lang w:eastAsia="tr-TR"/>
              </w:rPr>
              <w:t>20,544,218</w:t>
            </w:r>
          </w:p>
        </w:tc>
        <w:tc>
          <w:tcPr>
            <w:tcW w:w="850" w:type="dxa"/>
            <w:tcBorders>
              <w:top w:val="nil"/>
              <w:left w:val="single" w:sz="4" w:space="0" w:color="auto"/>
              <w:bottom w:val="nil"/>
              <w:right w:val="single" w:sz="4" w:space="0" w:color="auto"/>
            </w:tcBorders>
            <w:shd w:val="clear" w:color="auto" w:fill="auto"/>
            <w:vAlign w:val="bottom"/>
            <w:hideMark/>
          </w:tcPr>
          <w:p w14:paraId="62E8528E" w14:textId="77777777" w:rsidR="00F25246" w:rsidRPr="00F25246" w:rsidRDefault="00F25246" w:rsidP="00717AB5">
            <w:pPr>
              <w:ind w:left="-104"/>
              <w:jc w:val="right"/>
              <w:rPr>
                <w:sz w:val="14"/>
                <w:szCs w:val="14"/>
                <w:lang w:eastAsia="tr-TR"/>
              </w:rPr>
            </w:pPr>
            <w:r w:rsidRPr="00F25246">
              <w:rPr>
                <w:sz w:val="14"/>
                <w:szCs w:val="14"/>
                <w:lang w:eastAsia="tr-TR"/>
              </w:rPr>
              <w:t>21,820,674</w:t>
            </w:r>
          </w:p>
        </w:tc>
        <w:tc>
          <w:tcPr>
            <w:tcW w:w="851" w:type="dxa"/>
            <w:tcBorders>
              <w:top w:val="nil"/>
              <w:left w:val="single" w:sz="4" w:space="0" w:color="auto"/>
              <w:bottom w:val="nil"/>
              <w:right w:val="single" w:sz="4" w:space="0" w:color="auto"/>
            </w:tcBorders>
            <w:shd w:val="clear" w:color="auto" w:fill="auto"/>
            <w:vAlign w:val="bottom"/>
            <w:hideMark/>
          </w:tcPr>
          <w:p w14:paraId="05B3FF6F" w14:textId="77777777" w:rsidR="00F25246" w:rsidRPr="00F25246" w:rsidRDefault="00F25246" w:rsidP="00717AB5">
            <w:pPr>
              <w:ind w:left="-104"/>
              <w:jc w:val="right"/>
              <w:rPr>
                <w:sz w:val="14"/>
                <w:szCs w:val="14"/>
                <w:lang w:eastAsia="tr-TR"/>
              </w:rPr>
            </w:pPr>
            <w:r w:rsidRPr="00F25246">
              <w:rPr>
                <w:sz w:val="14"/>
                <w:szCs w:val="14"/>
                <w:lang w:eastAsia="tr-TR"/>
              </w:rPr>
              <w:t>1,768,747</w:t>
            </w:r>
          </w:p>
        </w:tc>
        <w:tc>
          <w:tcPr>
            <w:tcW w:w="850" w:type="dxa"/>
            <w:tcBorders>
              <w:top w:val="nil"/>
              <w:left w:val="single" w:sz="4" w:space="0" w:color="auto"/>
              <w:bottom w:val="nil"/>
              <w:right w:val="single" w:sz="4" w:space="0" w:color="auto"/>
            </w:tcBorders>
            <w:shd w:val="clear" w:color="auto" w:fill="auto"/>
            <w:vAlign w:val="bottom"/>
            <w:hideMark/>
          </w:tcPr>
          <w:p w14:paraId="655B03BD" w14:textId="77777777" w:rsidR="00F25246" w:rsidRPr="00F25246" w:rsidRDefault="00F25246" w:rsidP="00717AB5">
            <w:pPr>
              <w:ind w:left="-104"/>
              <w:jc w:val="right"/>
              <w:rPr>
                <w:sz w:val="14"/>
                <w:szCs w:val="14"/>
                <w:lang w:eastAsia="tr-TR"/>
              </w:rPr>
            </w:pPr>
            <w:r w:rsidRPr="00F25246">
              <w:rPr>
                <w:sz w:val="14"/>
                <w:szCs w:val="14"/>
                <w:lang w:eastAsia="tr-TR"/>
              </w:rPr>
              <w:t>17,124,339</w:t>
            </w:r>
          </w:p>
        </w:tc>
        <w:tc>
          <w:tcPr>
            <w:tcW w:w="851" w:type="dxa"/>
            <w:tcBorders>
              <w:top w:val="nil"/>
              <w:left w:val="single" w:sz="4" w:space="0" w:color="auto"/>
              <w:bottom w:val="nil"/>
              <w:right w:val="single" w:sz="4" w:space="0" w:color="auto"/>
            </w:tcBorders>
            <w:shd w:val="clear" w:color="auto" w:fill="auto"/>
            <w:vAlign w:val="bottom"/>
            <w:hideMark/>
          </w:tcPr>
          <w:p w14:paraId="6FAB4F43" w14:textId="77777777" w:rsidR="00F25246" w:rsidRPr="00F25246" w:rsidRDefault="00F25246" w:rsidP="00717AB5">
            <w:pPr>
              <w:ind w:left="-104"/>
              <w:jc w:val="right"/>
              <w:rPr>
                <w:sz w:val="14"/>
                <w:szCs w:val="14"/>
                <w:lang w:eastAsia="tr-TR"/>
              </w:rPr>
            </w:pPr>
            <w:r w:rsidRPr="00F25246">
              <w:rPr>
                <w:sz w:val="14"/>
                <w:szCs w:val="14"/>
                <w:lang w:eastAsia="tr-TR"/>
              </w:rPr>
              <w:t>18,893,086</w:t>
            </w:r>
          </w:p>
        </w:tc>
      </w:tr>
      <w:tr w:rsidR="00F25246" w:rsidRPr="00F25246" w14:paraId="3CF81A23"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71D0FD48" w14:textId="77777777" w:rsidR="00F25246" w:rsidRPr="00F25246" w:rsidRDefault="00F25246" w:rsidP="00F25246">
            <w:pPr>
              <w:rPr>
                <w:color w:val="000000"/>
                <w:sz w:val="14"/>
                <w:szCs w:val="14"/>
                <w:lang w:eastAsia="tr-TR"/>
              </w:rPr>
            </w:pPr>
            <w:r w:rsidRPr="00F25246">
              <w:rPr>
                <w:color w:val="000000"/>
                <w:sz w:val="14"/>
                <w:szCs w:val="14"/>
                <w:lang w:eastAsia="tr-TR"/>
              </w:rPr>
              <w:t>1.1.2.</w:t>
            </w:r>
          </w:p>
        </w:tc>
        <w:tc>
          <w:tcPr>
            <w:tcW w:w="3356" w:type="dxa"/>
            <w:tcBorders>
              <w:top w:val="nil"/>
              <w:left w:val="single" w:sz="4" w:space="0" w:color="auto"/>
              <w:bottom w:val="nil"/>
              <w:right w:val="single" w:sz="4" w:space="0" w:color="auto"/>
            </w:tcBorders>
            <w:shd w:val="clear" w:color="auto" w:fill="auto"/>
            <w:noWrap/>
            <w:vAlign w:val="center"/>
            <w:hideMark/>
          </w:tcPr>
          <w:p w14:paraId="79919CCD" w14:textId="77777777" w:rsidR="00F25246" w:rsidRPr="00F25246" w:rsidRDefault="00F25246" w:rsidP="00F25246">
            <w:pPr>
              <w:rPr>
                <w:color w:val="000000"/>
                <w:sz w:val="14"/>
                <w:szCs w:val="14"/>
                <w:lang w:eastAsia="tr-TR"/>
              </w:rPr>
            </w:pPr>
            <w:r w:rsidRPr="00F25246">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vAlign w:val="center"/>
            <w:hideMark/>
          </w:tcPr>
          <w:p w14:paraId="6239692B" w14:textId="77777777" w:rsidR="00F25246" w:rsidRPr="00F25246" w:rsidRDefault="00F25246" w:rsidP="00F25246">
            <w:pPr>
              <w:rPr>
                <w:color w:val="000000"/>
                <w:sz w:val="14"/>
                <w:szCs w:val="14"/>
                <w:lang w:eastAsia="tr-TR"/>
              </w:rPr>
            </w:pPr>
            <w:r w:rsidRPr="00F25246">
              <w:rPr>
                <w:color w:val="000000"/>
                <w:sz w:val="14"/>
                <w:szCs w:val="14"/>
                <w:lang w:eastAsia="tr-TR"/>
              </w:rPr>
              <w:t>(5.1.3.)</w:t>
            </w:r>
          </w:p>
        </w:tc>
        <w:tc>
          <w:tcPr>
            <w:tcW w:w="810" w:type="dxa"/>
            <w:tcBorders>
              <w:top w:val="nil"/>
              <w:left w:val="single" w:sz="4" w:space="0" w:color="auto"/>
              <w:bottom w:val="nil"/>
              <w:right w:val="single" w:sz="4" w:space="0" w:color="auto"/>
            </w:tcBorders>
            <w:shd w:val="clear" w:color="auto" w:fill="auto"/>
            <w:vAlign w:val="bottom"/>
            <w:hideMark/>
          </w:tcPr>
          <w:p w14:paraId="4F848AD6" w14:textId="77777777" w:rsidR="00F25246" w:rsidRPr="00F25246" w:rsidRDefault="00F25246" w:rsidP="00717AB5">
            <w:pPr>
              <w:ind w:left="-104"/>
              <w:jc w:val="right"/>
              <w:rPr>
                <w:sz w:val="14"/>
                <w:szCs w:val="14"/>
                <w:lang w:eastAsia="tr-TR"/>
              </w:rPr>
            </w:pPr>
            <w:r w:rsidRPr="00F25246">
              <w:rPr>
                <w:sz w:val="14"/>
                <w:szCs w:val="14"/>
                <w:lang w:eastAsia="tr-TR"/>
              </w:rPr>
              <w:t>25,261</w:t>
            </w:r>
          </w:p>
        </w:tc>
        <w:tc>
          <w:tcPr>
            <w:tcW w:w="851" w:type="dxa"/>
            <w:tcBorders>
              <w:top w:val="nil"/>
              <w:left w:val="single" w:sz="4" w:space="0" w:color="auto"/>
              <w:bottom w:val="nil"/>
              <w:right w:val="single" w:sz="4" w:space="0" w:color="auto"/>
            </w:tcBorders>
            <w:shd w:val="clear" w:color="auto" w:fill="auto"/>
            <w:vAlign w:val="bottom"/>
            <w:hideMark/>
          </w:tcPr>
          <w:p w14:paraId="2ACF0305" w14:textId="77777777" w:rsidR="00F25246" w:rsidRPr="00F25246" w:rsidRDefault="00F25246" w:rsidP="00717AB5">
            <w:pPr>
              <w:ind w:left="-104"/>
              <w:jc w:val="right"/>
              <w:rPr>
                <w:sz w:val="14"/>
                <w:szCs w:val="14"/>
                <w:lang w:eastAsia="tr-TR"/>
              </w:rPr>
            </w:pPr>
            <w:r w:rsidRPr="00F25246">
              <w:rPr>
                <w:sz w:val="14"/>
                <w:szCs w:val="14"/>
                <w:lang w:eastAsia="tr-TR"/>
              </w:rPr>
              <w:t>4,121,880</w:t>
            </w:r>
          </w:p>
        </w:tc>
        <w:tc>
          <w:tcPr>
            <w:tcW w:w="850" w:type="dxa"/>
            <w:tcBorders>
              <w:top w:val="nil"/>
              <w:left w:val="single" w:sz="4" w:space="0" w:color="auto"/>
              <w:bottom w:val="nil"/>
              <w:right w:val="single" w:sz="4" w:space="0" w:color="auto"/>
            </w:tcBorders>
            <w:shd w:val="clear" w:color="auto" w:fill="auto"/>
            <w:vAlign w:val="bottom"/>
            <w:hideMark/>
          </w:tcPr>
          <w:p w14:paraId="62B39109" w14:textId="77777777" w:rsidR="00F25246" w:rsidRPr="00F25246" w:rsidRDefault="00F25246" w:rsidP="00717AB5">
            <w:pPr>
              <w:ind w:left="-104"/>
              <w:jc w:val="right"/>
              <w:rPr>
                <w:sz w:val="14"/>
                <w:szCs w:val="14"/>
                <w:lang w:eastAsia="tr-TR"/>
              </w:rPr>
            </w:pPr>
            <w:r w:rsidRPr="00F25246">
              <w:rPr>
                <w:sz w:val="14"/>
                <w:szCs w:val="14"/>
                <w:lang w:eastAsia="tr-TR"/>
              </w:rPr>
              <w:t>4,147,141</w:t>
            </w:r>
          </w:p>
        </w:tc>
        <w:tc>
          <w:tcPr>
            <w:tcW w:w="851" w:type="dxa"/>
            <w:tcBorders>
              <w:top w:val="nil"/>
              <w:left w:val="single" w:sz="4" w:space="0" w:color="auto"/>
              <w:bottom w:val="nil"/>
              <w:right w:val="single" w:sz="4" w:space="0" w:color="auto"/>
            </w:tcBorders>
            <w:shd w:val="clear" w:color="auto" w:fill="auto"/>
            <w:vAlign w:val="bottom"/>
            <w:hideMark/>
          </w:tcPr>
          <w:p w14:paraId="1DCFE548" w14:textId="77777777" w:rsidR="00F25246" w:rsidRPr="00F25246" w:rsidRDefault="00F25246" w:rsidP="00717AB5">
            <w:pPr>
              <w:ind w:left="-104"/>
              <w:jc w:val="right"/>
              <w:rPr>
                <w:sz w:val="14"/>
                <w:szCs w:val="14"/>
                <w:lang w:eastAsia="tr-TR"/>
              </w:rPr>
            </w:pPr>
            <w:r w:rsidRPr="00F25246">
              <w:rPr>
                <w:sz w:val="14"/>
                <w:szCs w:val="14"/>
                <w:lang w:eastAsia="tr-TR"/>
              </w:rPr>
              <w:t>12,983</w:t>
            </w:r>
          </w:p>
        </w:tc>
        <w:tc>
          <w:tcPr>
            <w:tcW w:w="850" w:type="dxa"/>
            <w:tcBorders>
              <w:top w:val="nil"/>
              <w:left w:val="single" w:sz="4" w:space="0" w:color="auto"/>
              <w:bottom w:val="nil"/>
              <w:right w:val="single" w:sz="4" w:space="0" w:color="auto"/>
            </w:tcBorders>
            <w:shd w:val="clear" w:color="auto" w:fill="auto"/>
            <w:vAlign w:val="bottom"/>
            <w:hideMark/>
          </w:tcPr>
          <w:p w14:paraId="4B9BBAEB" w14:textId="77777777" w:rsidR="00F25246" w:rsidRPr="00F25246" w:rsidRDefault="00F25246" w:rsidP="00717AB5">
            <w:pPr>
              <w:ind w:left="-104"/>
              <w:jc w:val="right"/>
              <w:rPr>
                <w:sz w:val="14"/>
                <w:szCs w:val="14"/>
                <w:lang w:eastAsia="tr-TR"/>
              </w:rPr>
            </w:pPr>
            <w:r w:rsidRPr="00F25246">
              <w:rPr>
                <w:sz w:val="14"/>
                <w:szCs w:val="14"/>
                <w:lang w:eastAsia="tr-TR"/>
              </w:rPr>
              <w:t>6,977,847</w:t>
            </w:r>
          </w:p>
        </w:tc>
        <w:tc>
          <w:tcPr>
            <w:tcW w:w="851" w:type="dxa"/>
            <w:tcBorders>
              <w:top w:val="nil"/>
              <w:left w:val="single" w:sz="4" w:space="0" w:color="auto"/>
              <w:bottom w:val="nil"/>
              <w:right w:val="single" w:sz="4" w:space="0" w:color="auto"/>
            </w:tcBorders>
            <w:shd w:val="clear" w:color="auto" w:fill="auto"/>
            <w:vAlign w:val="bottom"/>
            <w:hideMark/>
          </w:tcPr>
          <w:p w14:paraId="305EB951" w14:textId="77777777" w:rsidR="00F25246" w:rsidRPr="00F25246" w:rsidRDefault="00F25246" w:rsidP="00717AB5">
            <w:pPr>
              <w:ind w:left="-104"/>
              <w:jc w:val="right"/>
              <w:rPr>
                <w:sz w:val="14"/>
                <w:szCs w:val="14"/>
                <w:lang w:eastAsia="tr-TR"/>
              </w:rPr>
            </w:pPr>
            <w:r w:rsidRPr="00F25246">
              <w:rPr>
                <w:sz w:val="14"/>
                <w:szCs w:val="14"/>
                <w:lang w:eastAsia="tr-TR"/>
              </w:rPr>
              <w:t>6,990,830</w:t>
            </w:r>
          </w:p>
        </w:tc>
      </w:tr>
      <w:tr w:rsidR="00F25246" w:rsidRPr="00F25246" w14:paraId="1F3CD0F4"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150F9605" w14:textId="77777777" w:rsidR="00F25246" w:rsidRPr="00F25246" w:rsidRDefault="00F25246" w:rsidP="00F25246">
            <w:pPr>
              <w:rPr>
                <w:color w:val="000000"/>
                <w:sz w:val="14"/>
                <w:szCs w:val="14"/>
                <w:lang w:eastAsia="tr-TR"/>
              </w:rPr>
            </w:pPr>
            <w:r w:rsidRPr="00F25246">
              <w:rPr>
                <w:color w:val="000000"/>
                <w:sz w:val="14"/>
                <w:szCs w:val="14"/>
                <w:lang w:eastAsia="tr-TR"/>
              </w:rPr>
              <w:t>1.1.3.</w:t>
            </w:r>
          </w:p>
        </w:tc>
        <w:tc>
          <w:tcPr>
            <w:tcW w:w="3356" w:type="dxa"/>
            <w:tcBorders>
              <w:top w:val="nil"/>
              <w:left w:val="single" w:sz="4" w:space="0" w:color="auto"/>
              <w:bottom w:val="nil"/>
              <w:right w:val="single" w:sz="4" w:space="0" w:color="auto"/>
            </w:tcBorders>
            <w:shd w:val="clear" w:color="auto" w:fill="auto"/>
            <w:noWrap/>
            <w:vAlign w:val="center"/>
            <w:hideMark/>
          </w:tcPr>
          <w:p w14:paraId="11FB0779" w14:textId="77777777" w:rsidR="00F25246" w:rsidRPr="00F25246" w:rsidRDefault="00F25246" w:rsidP="00F25246">
            <w:pPr>
              <w:rPr>
                <w:color w:val="000000"/>
                <w:sz w:val="14"/>
                <w:szCs w:val="14"/>
                <w:lang w:eastAsia="tr-TR"/>
              </w:rPr>
            </w:pPr>
            <w:r w:rsidRPr="00F25246">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vAlign w:val="center"/>
            <w:hideMark/>
          </w:tcPr>
          <w:p w14:paraId="665A75A3"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375FCF66"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1A44615"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6217F27"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E17C7D3"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1599629"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4E278B0" w14:textId="77777777" w:rsidR="00F25246" w:rsidRPr="00F25246" w:rsidRDefault="00F25246" w:rsidP="00717AB5">
            <w:pPr>
              <w:ind w:left="-104"/>
              <w:jc w:val="right"/>
              <w:rPr>
                <w:sz w:val="14"/>
                <w:szCs w:val="14"/>
                <w:lang w:eastAsia="tr-TR"/>
              </w:rPr>
            </w:pPr>
            <w:r w:rsidRPr="00F25246">
              <w:rPr>
                <w:sz w:val="14"/>
                <w:szCs w:val="14"/>
                <w:lang w:eastAsia="tr-TR"/>
              </w:rPr>
              <w:t>-</w:t>
            </w:r>
          </w:p>
        </w:tc>
      </w:tr>
      <w:tr w:rsidR="00F25246" w:rsidRPr="00F25246" w14:paraId="18DC818B"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7B28F262" w14:textId="77777777" w:rsidR="00F25246" w:rsidRPr="00F25246" w:rsidRDefault="00F25246" w:rsidP="00F25246">
            <w:pPr>
              <w:rPr>
                <w:color w:val="000000"/>
                <w:sz w:val="14"/>
                <w:szCs w:val="14"/>
                <w:lang w:eastAsia="tr-TR"/>
              </w:rPr>
            </w:pPr>
            <w:r w:rsidRPr="00F25246">
              <w:rPr>
                <w:color w:val="000000"/>
                <w:sz w:val="14"/>
                <w:szCs w:val="14"/>
                <w:lang w:eastAsia="tr-TR"/>
              </w:rPr>
              <w:t>1.1.4.</w:t>
            </w:r>
          </w:p>
        </w:tc>
        <w:tc>
          <w:tcPr>
            <w:tcW w:w="3356" w:type="dxa"/>
            <w:tcBorders>
              <w:top w:val="nil"/>
              <w:left w:val="single" w:sz="4" w:space="0" w:color="auto"/>
              <w:bottom w:val="nil"/>
              <w:right w:val="single" w:sz="4" w:space="0" w:color="auto"/>
            </w:tcBorders>
            <w:shd w:val="clear" w:color="auto" w:fill="auto"/>
            <w:noWrap/>
            <w:vAlign w:val="center"/>
            <w:hideMark/>
          </w:tcPr>
          <w:p w14:paraId="6CE7A052" w14:textId="77777777" w:rsidR="00F25246" w:rsidRPr="00F25246" w:rsidRDefault="00F25246" w:rsidP="00F25246">
            <w:pPr>
              <w:rPr>
                <w:color w:val="000000"/>
                <w:sz w:val="14"/>
                <w:szCs w:val="14"/>
                <w:lang w:eastAsia="tr-TR"/>
              </w:rPr>
            </w:pPr>
            <w:r w:rsidRPr="00F25246">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0CFE5A69"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14DF21EC" w14:textId="77777777" w:rsidR="00F25246" w:rsidRPr="00F25246" w:rsidRDefault="00F25246" w:rsidP="00717AB5">
            <w:pPr>
              <w:ind w:left="-104"/>
              <w:jc w:val="right"/>
              <w:rPr>
                <w:sz w:val="14"/>
                <w:szCs w:val="14"/>
                <w:lang w:eastAsia="tr-TR"/>
              </w:rPr>
            </w:pPr>
            <w:r w:rsidRPr="00F25246">
              <w:rPr>
                <w:sz w:val="14"/>
                <w:szCs w:val="14"/>
                <w:lang w:eastAsia="tr-TR"/>
              </w:rPr>
              <w:t>637</w:t>
            </w:r>
          </w:p>
        </w:tc>
        <w:tc>
          <w:tcPr>
            <w:tcW w:w="851" w:type="dxa"/>
            <w:tcBorders>
              <w:top w:val="nil"/>
              <w:left w:val="single" w:sz="4" w:space="0" w:color="auto"/>
              <w:bottom w:val="nil"/>
              <w:right w:val="single" w:sz="4" w:space="0" w:color="auto"/>
            </w:tcBorders>
            <w:shd w:val="clear" w:color="auto" w:fill="auto"/>
            <w:vAlign w:val="bottom"/>
            <w:hideMark/>
          </w:tcPr>
          <w:p w14:paraId="4F2521EA" w14:textId="77777777" w:rsidR="00F25246" w:rsidRPr="00F25246" w:rsidRDefault="00F25246" w:rsidP="00717AB5">
            <w:pPr>
              <w:ind w:left="-104"/>
              <w:jc w:val="right"/>
              <w:rPr>
                <w:sz w:val="14"/>
                <w:szCs w:val="14"/>
                <w:lang w:eastAsia="tr-TR"/>
              </w:rPr>
            </w:pPr>
            <w:r w:rsidRPr="00F25246">
              <w:rPr>
                <w:sz w:val="14"/>
                <w:szCs w:val="14"/>
                <w:lang w:eastAsia="tr-TR"/>
              </w:rPr>
              <w:t>385</w:t>
            </w:r>
          </w:p>
        </w:tc>
        <w:tc>
          <w:tcPr>
            <w:tcW w:w="850" w:type="dxa"/>
            <w:tcBorders>
              <w:top w:val="nil"/>
              <w:left w:val="single" w:sz="4" w:space="0" w:color="auto"/>
              <w:bottom w:val="nil"/>
              <w:right w:val="single" w:sz="4" w:space="0" w:color="auto"/>
            </w:tcBorders>
            <w:shd w:val="clear" w:color="auto" w:fill="auto"/>
            <w:vAlign w:val="bottom"/>
            <w:hideMark/>
          </w:tcPr>
          <w:p w14:paraId="5E92FD46" w14:textId="77777777" w:rsidR="00F25246" w:rsidRPr="00F25246" w:rsidRDefault="00F25246" w:rsidP="00717AB5">
            <w:pPr>
              <w:ind w:left="-104"/>
              <w:jc w:val="right"/>
              <w:rPr>
                <w:sz w:val="14"/>
                <w:szCs w:val="14"/>
                <w:lang w:eastAsia="tr-TR"/>
              </w:rPr>
            </w:pPr>
            <w:r w:rsidRPr="00F25246">
              <w:rPr>
                <w:sz w:val="14"/>
                <w:szCs w:val="14"/>
                <w:lang w:eastAsia="tr-TR"/>
              </w:rPr>
              <w:t>1,022</w:t>
            </w:r>
          </w:p>
        </w:tc>
        <w:tc>
          <w:tcPr>
            <w:tcW w:w="851" w:type="dxa"/>
            <w:tcBorders>
              <w:top w:val="nil"/>
              <w:left w:val="single" w:sz="4" w:space="0" w:color="auto"/>
              <w:bottom w:val="nil"/>
              <w:right w:val="single" w:sz="4" w:space="0" w:color="auto"/>
            </w:tcBorders>
            <w:shd w:val="clear" w:color="auto" w:fill="auto"/>
            <w:vAlign w:val="bottom"/>
            <w:hideMark/>
          </w:tcPr>
          <w:p w14:paraId="480B5C84" w14:textId="77777777" w:rsidR="00F25246" w:rsidRPr="00F25246" w:rsidRDefault="00F25246" w:rsidP="00717AB5">
            <w:pPr>
              <w:ind w:left="-104"/>
              <w:jc w:val="right"/>
              <w:rPr>
                <w:sz w:val="14"/>
                <w:szCs w:val="14"/>
                <w:lang w:eastAsia="tr-TR"/>
              </w:rPr>
            </w:pPr>
            <w:r w:rsidRPr="00F25246">
              <w:rPr>
                <w:sz w:val="14"/>
                <w:szCs w:val="14"/>
                <w:lang w:eastAsia="tr-TR"/>
              </w:rPr>
              <w:t>140</w:t>
            </w:r>
          </w:p>
        </w:tc>
        <w:tc>
          <w:tcPr>
            <w:tcW w:w="850" w:type="dxa"/>
            <w:tcBorders>
              <w:top w:val="nil"/>
              <w:left w:val="single" w:sz="4" w:space="0" w:color="auto"/>
              <w:bottom w:val="nil"/>
              <w:right w:val="single" w:sz="4" w:space="0" w:color="auto"/>
            </w:tcBorders>
            <w:shd w:val="clear" w:color="auto" w:fill="auto"/>
            <w:vAlign w:val="bottom"/>
            <w:hideMark/>
          </w:tcPr>
          <w:p w14:paraId="76E917FB" w14:textId="77777777" w:rsidR="00F25246" w:rsidRPr="00F25246" w:rsidRDefault="00F25246" w:rsidP="00717AB5">
            <w:pPr>
              <w:ind w:left="-104"/>
              <w:jc w:val="right"/>
              <w:rPr>
                <w:sz w:val="14"/>
                <w:szCs w:val="14"/>
                <w:lang w:eastAsia="tr-TR"/>
              </w:rPr>
            </w:pPr>
            <w:r w:rsidRPr="00F25246">
              <w:rPr>
                <w:sz w:val="14"/>
                <w:szCs w:val="14"/>
                <w:lang w:eastAsia="tr-TR"/>
              </w:rPr>
              <w:t>2,865</w:t>
            </w:r>
          </w:p>
        </w:tc>
        <w:tc>
          <w:tcPr>
            <w:tcW w:w="851" w:type="dxa"/>
            <w:tcBorders>
              <w:top w:val="nil"/>
              <w:left w:val="single" w:sz="4" w:space="0" w:color="auto"/>
              <w:bottom w:val="nil"/>
              <w:right w:val="single" w:sz="4" w:space="0" w:color="auto"/>
            </w:tcBorders>
            <w:shd w:val="clear" w:color="auto" w:fill="auto"/>
            <w:vAlign w:val="bottom"/>
            <w:hideMark/>
          </w:tcPr>
          <w:p w14:paraId="6749E4D4" w14:textId="77777777" w:rsidR="00F25246" w:rsidRPr="00F25246" w:rsidRDefault="00F25246" w:rsidP="00717AB5">
            <w:pPr>
              <w:ind w:left="-104"/>
              <w:jc w:val="right"/>
              <w:rPr>
                <w:sz w:val="14"/>
                <w:szCs w:val="14"/>
                <w:lang w:eastAsia="tr-TR"/>
              </w:rPr>
            </w:pPr>
            <w:r w:rsidRPr="00F25246">
              <w:rPr>
                <w:sz w:val="14"/>
                <w:szCs w:val="14"/>
                <w:lang w:eastAsia="tr-TR"/>
              </w:rPr>
              <w:t>3,005</w:t>
            </w:r>
          </w:p>
        </w:tc>
      </w:tr>
      <w:tr w:rsidR="00F25246" w:rsidRPr="00F25246" w14:paraId="5CD87194"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5E6273E2"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1.2.</w:t>
            </w:r>
          </w:p>
        </w:tc>
        <w:tc>
          <w:tcPr>
            <w:tcW w:w="3356" w:type="dxa"/>
            <w:tcBorders>
              <w:top w:val="nil"/>
              <w:left w:val="single" w:sz="4" w:space="0" w:color="auto"/>
              <w:bottom w:val="nil"/>
              <w:right w:val="single" w:sz="4" w:space="0" w:color="auto"/>
            </w:tcBorders>
            <w:shd w:val="clear" w:color="auto" w:fill="auto"/>
            <w:vAlign w:val="center"/>
            <w:hideMark/>
          </w:tcPr>
          <w:p w14:paraId="02047C66"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0124F9A0"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(5.1.2.)</w:t>
            </w:r>
          </w:p>
        </w:tc>
        <w:tc>
          <w:tcPr>
            <w:tcW w:w="810" w:type="dxa"/>
            <w:tcBorders>
              <w:top w:val="nil"/>
              <w:left w:val="single" w:sz="4" w:space="0" w:color="auto"/>
              <w:bottom w:val="nil"/>
              <w:right w:val="single" w:sz="4" w:space="0" w:color="auto"/>
            </w:tcBorders>
            <w:shd w:val="clear" w:color="auto" w:fill="auto"/>
            <w:vAlign w:val="bottom"/>
            <w:hideMark/>
          </w:tcPr>
          <w:p w14:paraId="028914D2" w14:textId="77777777" w:rsidR="00F25246" w:rsidRPr="00F25246" w:rsidRDefault="00F25246" w:rsidP="00717AB5">
            <w:pPr>
              <w:ind w:left="-104"/>
              <w:jc w:val="right"/>
              <w:rPr>
                <w:b/>
                <w:bCs/>
                <w:sz w:val="14"/>
                <w:szCs w:val="14"/>
                <w:lang w:eastAsia="tr-TR"/>
              </w:rPr>
            </w:pPr>
            <w:r w:rsidRPr="00F25246">
              <w:rPr>
                <w:b/>
                <w:bCs/>
                <w:sz w:val="14"/>
                <w:szCs w:val="14"/>
                <w:lang w:eastAsia="tr-TR"/>
              </w:rPr>
              <w:t>989,441</w:t>
            </w:r>
          </w:p>
        </w:tc>
        <w:tc>
          <w:tcPr>
            <w:tcW w:w="851" w:type="dxa"/>
            <w:tcBorders>
              <w:top w:val="nil"/>
              <w:left w:val="single" w:sz="4" w:space="0" w:color="auto"/>
              <w:bottom w:val="nil"/>
              <w:right w:val="single" w:sz="4" w:space="0" w:color="auto"/>
            </w:tcBorders>
            <w:shd w:val="clear" w:color="auto" w:fill="auto"/>
            <w:vAlign w:val="bottom"/>
            <w:hideMark/>
          </w:tcPr>
          <w:p w14:paraId="5FF06E69" w14:textId="77777777" w:rsidR="00F25246" w:rsidRPr="00F25246" w:rsidRDefault="00F25246" w:rsidP="00717AB5">
            <w:pPr>
              <w:ind w:left="-104"/>
              <w:jc w:val="right"/>
              <w:rPr>
                <w:b/>
                <w:bCs/>
                <w:sz w:val="14"/>
                <w:szCs w:val="14"/>
                <w:lang w:eastAsia="tr-TR"/>
              </w:rPr>
            </w:pPr>
            <w:r w:rsidRPr="00F25246">
              <w:rPr>
                <w:b/>
                <w:bCs/>
                <w:sz w:val="14"/>
                <w:szCs w:val="14"/>
                <w:lang w:eastAsia="tr-TR"/>
              </w:rPr>
              <w:t>7,055,315</w:t>
            </w:r>
          </w:p>
        </w:tc>
        <w:tc>
          <w:tcPr>
            <w:tcW w:w="850" w:type="dxa"/>
            <w:tcBorders>
              <w:top w:val="nil"/>
              <w:left w:val="single" w:sz="4" w:space="0" w:color="auto"/>
              <w:bottom w:val="nil"/>
              <w:right w:val="single" w:sz="4" w:space="0" w:color="auto"/>
            </w:tcBorders>
            <w:shd w:val="clear" w:color="auto" w:fill="auto"/>
            <w:vAlign w:val="bottom"/>
            <w:hideMark/>
          </w:tcPr>
          <w:p w14:paraId="25C88CB8" w14:textId="77777777" w:rsidR="00F25246" w:rsidRPr="00F25246" w:rsidRDefault="00F25246" w:rsidP="00717AB5">
            <w:pPr>
              <w:ind w:left="-104"/>
              <w:jc w:val="right"/>
              <w:rPr>
                <w:b/>
                <w:bCs/>
                <w:sz w:val="14"/>
                <w:szCs w:val="14"/>
                <w:lang w:eastAsia="tr-TR"/>
              </w:rPr>
            </w:pPr>
            <w:r w:rsidRPr="00F25246">
              <w:rPr>
                <w:b/>
                <w:bCs/>
                <w:sz w:val="14"/>
                <w:szCs w:val="14"/>
                <w:lang w:eastAsia="tr-TR"/>
              </w:rPr>
              <w:t>8,044,756</w:t>
            </w:r>
          </w:p>
        </w:tc>
        <w:tc>
          <w:tcPr>
            <w:tcW w:w="851" w:type="dxa"/>
            <w:tcBorders>
              <w:top w:val="nil"/>
              <w:left w:val="single" w:sz="4" w:space="0" w:color="auto"/>
              <w:bottom w:val="nil"/>
              <w:right w:val="single" w:sz="4" w:space="0" w:color="auto"/>
            </w:tcBorders>
            <w:shd w:val="clear" w:color="auto" w:fill="auto"/>
            <w:vAlign w:val="bottom"/>
            <w:hideMark/>
          </w:tcPr>
          <w:p w14:paraId="19CB31FB" w14:textId="77777777" w:rsidR="00F25246" w:rsidRPr="00F25246" w:rsidRDefault="00F25246" w:rsidP="00717AB5">
            <w:pPr>
              <w:ind w:left="-104"/>
              <w:jc w:val="right"/>
              <w:rPr>
                <w:b/>
                <w:bCs/>
                <w:sz w:val="14"/>
                <w:szCs w:val="14"/>
                <w:lang w:eastAsia="tr-TR"/>
              </w:rPr>
            </w:pPr>
            <w:r w:rsidRPr="00F25246">
              <w:rPr>
                <w:b/>
                <w:bCs/>
                <w:sz w:val="14"/>
                <w:szCs w:val="14"/>
                <w:lang w:eastAsia="tr-TR"/>
              </w:rPr>
              <w:t>104,688</w:t>
            </w:r>
          </w:p>
        </w:tc>
        <w:tc>
          <w:tcPr>
            <w:tcW w:w="850" w:type="dxa"/>
            <w:tcBorders>
              <w:top w:val="nil"/>
              <w:left w:val="single" w:sz="4" w:space="0" w:color="auto"/>
              <w:bottom w:val="nil"/>
              <w:right w:val="single" w:sz="4" w:space="0" w:color="auto"/>
            </w:tcBorders>
            <w:shd w:val="clear" w:color="auto" w:fill="auto"/>
            <w:vAlign w:val="bottom"/>
            <w:hideMark/>
          </w:tcPr>
          <w:p w14:paraId="23493A6F" w14:textId="77777777" w:rsidR="00F25246" w:rsidRPr="00F25246" w:rsidRDefault="00F25246" w:rsidP="00717AB5">
            <w:pPr>
              <w:ind w:left="-104"/>
              <w:jc w:val="right"/>
              <w:rPr>
                <w:b/>
                <w:bCs/>
                <w:sz w:val="14"/>
                <w:szCs w:val="14"/>
                <w:lang w:eastAsia="tr-TR"/>
              </w:rPr>
            </w:pPr>
            <w:r w:rsidRPr="00F25246">
              <w:rPr>
                <w:b/>
                <w:bCs/>
                <w:sz w:val="14"/>
                <w:szCs w:val="14"/>
                <w:lang w:eastAsia="tr-TR"/>
              </w:rPr>
              <w:t>3,907,054</w:t>
            </w:r>
          </w:p>
        </w:tc>
        <w:tc>
          <w:tcPr>
            <w:tcW w:w="851" w:type="dxa"/>
            <w:tcBorders>
              <w:top w:val="nil"/>
              <w:left w:val="single" w:sz="4" w:space="0" w:color="auto"/>
              <w:bottom w:val="nil"/>
              <w:right w:val="single" w:sz="4" w:space="0" w:color="auto"/>
            </w:tcBorders>
            <w:shd w:val="clear" w:color="auto" w:fill="auto"/>
            <w:vAlign w:val="bottom"/>
            <w:hideMark/>
          </w:tcPr>
          <w:p w14:paraId="4B537C68" w14:textId="77777777" w:rsidR="00F25246" w:rsidRPr="00F25246" w:rsidRDefault="00F25246" w:rsidP="00717AB5">
            <w:pPr>
              <w:ind w:left="-104"/>
              <w:jc w:val="right"/>
              <w:rPr>
                <w:b/>
                <w:bCs/>
                <w:sz w:val="14"/>
                <w:szCs w:val="14"/>
                <w:lang w:eastAsia="tr-TR"/>
              </w:rPr>
            </w:pPr>
            <w:r w:rsidRPr="00F25246">
              <w:rPr>
                <w:b/>
                <w:bCs/>
                <w:sz w:val="14"/>
                <w:szCs w:val="14"/>
                <w:lang w:eastAsia="tr-TR"/>
              </w:rPr>
              <w:t>4,011,742</w:t>
            </w:r>
          </w:p>
        </w:tc>
      </w:tr>
      <w:tr w:rsidR="00F25246" w:rsidRPr="00F25246" w14:paraId="445D0227"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768A25C3" w14:textId="77777777" w:rsidR="00F25246" w:rsidRPr="00F25246" w:rsidRDefault="00F25246" w:rsidP="00F25246">
            <w:pPr>
              <w:rPr>
                <w:color w:val="000000"/>
                <w:sz w:val="14"/>
                <w:szCs w:val="14"/>
                <w:lang w:eastAsia="tr-TR"/>
              </w:rPr>
            </w:pPr>
            <w:r w:rsidRPr="00F25246">
              <w:rPr>
                <w:color w:val="000000"/>
                <w:sz w:val="14"/>
                <w:szCs w:val="14"/>
                <w:lang w:eastAsia="tr-TR"/>
              </w:rPr>
              <w:t>1.2.1.</w:t>
            </w:r>
          </w:p>
        </w:tc>
        <w:tc>
          <w:tcPr>
            <w:tcW w:w="3356" w:type="dxa"/>
            <w:tcBorders>
              <w:top w:val="nil"/>
              <w:left w:val="single" w:sz="4" w:space="0" w:color="auto"/>
              <w:bottom w:val="nil"/>
              <w:right w:val="single" w:sz="4" w:space="0" w:color="auto"/>
            </w:tcBorders>
            <w:shd w:val="clear" w:color="auto" w:fill="auto"/>
            <w:noWrap/>
            <w:vAlign w:val="center"/>
            <w:hideMark/>
          </w:tcPr>
          <w:p w14:paraId="2CD7925E" w14:textId="77777777" w:rsidR="00F25246" w:rsidRPr="00F25246" w:rsidRDefault="00F25246" w:rsidP="00F25246">
            <w:pPr>
              <w:rPr>
                <w:color w:val="000000"/>
                <w:sz w:val="14"/>
                <w:szCs w:val="14"/>
                <w:lang w:eastAsia="tr-TR"/>
              </w:rPr>
            </w:pPr>
            <w:r w:rsidRPr="00F25246">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6516E29C"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3A0058EF" w14:textId="77777777" w:rsidR="00F25246" w:rsidRPr="00F25246" w:rsidRDefault="00F25246" w:rsidP="00717AB5">
            <w:pPr>
              <w:ind w:left="-104"/>
              <w:jc w:val="right"/>
              <w:rPr>
                <w:sz w:val="14"/>
                <w:szCs w:val="14"/>
                <w:lang w:eastAsia="tr-TR"/>
              </w:rPr>
            </w:pPr>
            <w:r w:rsidRPr="00F25246">
              <w:rPr>
                <w:sz w:val="14"/>
                <w:szCs w:val="14"/>
                <w:lang w:eastAsia="tr-TR"/>
              </w:rPr>
              <w:t>401,164</w:t>
            </w:r>
          </w:p>
        </w:tc>
        <w:tc>
          <w:tcPr>
            <w:tcW w:w="851" w:type="dxa"/>
            <w:tcBorders>
              <w:top w:val="nil"/>
              <w:left w:val="single" w:sz="4" w:space="0" w:color="auto"/>
              <w:bottom w:val="nil"/>
              <w:right w:val="single" w:sz="4" w:space="0" w:color="auto"/>
            </w:tcBorders>
            <w:shd w:val="clear" w:color="auto" w:fill="auto"/>
            <w:vAlign w:val="bottom"/>
            <w:hideMark/>
          </w:tcPr>
          <w:p w14:paraId="3A608FA2" w14:textId="77777777" w:rsidR="00F25246" w:rsidRPr="00F25246" w:rsidRDefault="00F25246" w:rsidP="00717AB5">
            <w:pPr>
              <w:ind w:left="-104"/>
              <w:jc w:val="right"/>
              <w:rPr>
                <w:sz w:val="14"/>
                <w:szCs w:val="14"/>
                <w:lang w:eastAsia="tr-TR"/>
              </w:rPr>
            </w:pPr>
            <w:r w:rsidRPr="00F25246">
              <w:rPr>
                <w:sz w:val="14"/>
                <w:szCs w:val="14"/>
                <w:lang w:eastAsia="tr-TR"/>
              </w:rPr>
              <w:t>6,997,599</w:t>
            </w:r>
          </w:p>
        </w:tc>
        <w:tc>
          <w:tcPr>
            <w:tcW w:w="850" w:type="dxa"/>
            <w:tcBorders>
              <w:top w:val="nil"/>
              <w:left w:val="single" w:sz="4" w:space="0" w:color="auto"/>
              <w:bottom w:val="nil"/>
              <w:right w:val="single" w:sz="4" w:space="0" w:color="auto"/>
            </w:tcBorders>
            <w:shd w:val="clear" w:color="auto" w:fill="auto"/>
            <w:vAlign w:val="bottom"/>
            <w:hideMark/>
          </w:tcPr>
          <w:p w14:paraId="25730648" w14:textId="77777777" w:rsidR="00F25246" w:rsidRPr="00F25246" w:rsidRDefault="00F25246" w:rsidP="00717AB5">
            <w:pPr>
              <w:ind w:left="-104"/>
              <w:jc w:val="right"/>
              <w:rPr>
                <w:sz w:val="14"/>
                <w:szCs w:val="14"/>
                <w:lang w:eastAsia="tr-TR"/>
              </w:rPr>
            </w:pPr>
            <w:r w:rsidRPr="00F25246">
              <w:rPr>
                <w:sz w:val="14"/>
                <w:szCs w:val="14"/>
                <w:lang w:eastAsia="tr-TR"/>
              </w:rPr>
              <w:t>7,398,763</w:t>
            </w:r>
          </w:p>
        </w:tc>
        <w:tc>
          <w:tcPr>
            <w:tcW w:w="851" w:type="dxa"/>
            <w:tcBorders>
              <w:top w:val="nil"/>
              <w:left w:val="single" w:sz="4" w:space="0" w:color="auto"/>
              <w:bottom w:val="nil"/>
              <w:right w:val="single" w:sz="4" w:space="0" w:color="auto"/>
            </w:tcBorders>
            <w:shd w:val="clear" w:color="auto" w:fill="auto"/>
            <w:vAlign w:val="bottom"/>
            <w:hideMark/>
          </w:tcPr>
          <w:p w14:paraId="48C4B61F" w14:textId="77777777" w:rsidR="00F25246" w:rsidRPr="00F25246" w:rsidRDefault="00F25246" w:rsidP="00717AB5">
            <w:pPr>
              <w:ind w:left="-104"/>
              <w:jc w:val="right"/>
              <w:rPr>
                <w:sz w:val="14"/>
                <w:szCs w:val="14"/>
                <w:lang w:eastAsia="tr-TR"/>
              </w:rPr>
            </w:pPr>
            <w:r w:rsidRPr="00F25246">
              <w:rPr>
                <w:sz w:val="14"/>
                <w:szCs w:val="14"/>
                <w:lang w:eastAsia="tr-TR"/>
              </w:rPr>
              <w:t>77,977</w:t>
            </w:r>
          </w:p>
        </w:tc>
        <w:tc>
          <w:tcPr>
            <w:tcW w:w="850" w:type="dxa"/>
            <w:tcBorders>
              <w:top w:val="nil"/>
              <w:left w:val="single" w:sz="4" w:space="0" w:color="auto"/>
              <w:bottom w:val="nil"/>
              <w:right w:val="single" w:sz="4" w:space="0" w:color="auto"/>
            </w:tcBorders>
            <w:shd w:val="clear" w:color="auto" w:fill="auto"/>
            <w:vAlign w:val="bottom"/>
            <w:hideMark/>
          </w:tcPr>
          <w:p w14:paraId="3D8BA56B" w14:textId="77777777" w:rsidR="00F25246" w:rsidRPr="00F25246" w:rsidRDefault="00F25246" w:rsidP="00717AB5">
            <w:pPr>
              <w:ind w:left="-104"/>
              <w:jc w:val="right"/>
              <w:rPr>
                <w:sz w:val="14"/>
                <w:szCs w:val="14"/>
                <w:lang w:eastAsia="tr-TR"/>
              </w:rPr>
            </w:pPr>
            <w:r w:rsidRPr="00F25246">
              <w:rPr>
                <w:sz w:val="14"/>
                <w:szCs w:val="14"/>
                <w:lang w:eastAsia="tr-TR"/>
              </w:rPr>
              <w:t>3,863,617</w:t>
            </w:r>
          </w:p>
        </w:tc>
        <w:tc>
          <w:tcPr>
            <w:tcW w:w="851" w:type="dxa"/>
            <w:tcBorders>
              <w:top w:val="nil"/>
              <w:left w:val="single" w:sz="4" w:space="0" w:color="auto"/>
              <w:bottom w:val="nil"/>
              <w:right w:val="single" w:sz="4" w:space="0" w:color="auto"/>
            </w:tcBorders>
            <w:shd w:val="clear" w:color="auto" w:fill="auto"/>
            <w:vAlign w:val="bottom"/>
            <w:hideMark/>
          </w:tcPr>
          <w:p w14:paraId="3155D1C3" w14:textId="77777777" w:rsidR="00F25246" w:rsidRPr="00F25246" w:rsidRDefault="00F25246" w:rsidP="00717AB5">
            <w:pPr>
              <w:ind w:left="-104"/>
              <w:jc w:val="right"/>
              <w:rPr>
                <w:sz w:val="14"/>
                <w:szCs w:val="14"/>
                <w:lang w:eastAsia="tr-TR"/>
              </w:rPr>
            </w:pPr>
            <w:r w:rsidRPr="00F25246">
              <w:rPr>
                <w:sz w:val="14"/>
                <w:szCs w:val="14"/>
                <w:lang w:eastAsia="tr-TR"/>
              </w:rPr>
              <w:t>3,941,594</w:t>
            </w:r>
          </w:p>
        </w:tc>
      </w:tr>
      <w:tr w:rsidR="00F25246" w:rsidRPr="00F25246" w14:paraId="6C68CC7B"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3F28639E" w14:textId="77777777" w:rsidR="00F25246" w:rsidRPr="00F25246" w:rsidRDefault="00F25246" w:rsidP="00F25246">
            <w:pPr>
              <w:rPr>
                <w:color w:val="000000"/>
                <w:sz w:val="14"/>
                <w:szCs w:val="14"/>
                <w:lang w:eastAsia="tr-TR"/>
              </w:rPr>
            </w:pPr>
            <w:r w:rsidRPr="00F25246">
              <w:rPr>
                <w:color w:val="000000"/>
                <w:sz w:val="14"/>
                <w:szCs w:val="14"/>
                <w:lang w:eastAsia="tr-TR"/>
              </w:rPr>
              <w:t>1.2.2.</w:t>
            </w:r>
          </w:p>
        </w:tc>
        <w:tc>
          <w:tcPr>
            <w:tcW w:w="3356" w:type="dxa"/>
            <w:tcBorders>
              <w:top w:val="nil"/>
              <w:left w:val="single" w:sz="4" w:space="0" w:color="auto"/>
              <w:bottom w:val="nil"/>
              <w:right w:val="single" w:sz="4" w:space="0" w:color="auto"/>
            </w:tcBorders>
            <w:shd w:val="clear" w:color="auto" w:fill="auto"/>
            <w:noWrap/>
            <w:vAlign w:val="center"/>
            <w:hideMark/>
          </w:tcPr>
          <w:p w14:paraId="0B8268E3" w14:textId="77777777" w:rsidR="00F25246" w:rsidRPr="00F25246" w:rsidRDefault="00F25246" w:rsidP="00F25246">
            <w:pPr>
              <w:rPr>
                <w:color w:val="000000"/>
                <w:sz w:val="14"/>
                <w:szCs w:val="14"/>
                <w:lang w:eastAsia="tr-TR"/>
              </w:rPr>
            </w:pPr>
            <w:r w:rsidRPr="00F25246">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24FE80B1"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529BD0EE"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EAB1101"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3B82556"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A7D2325"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DBA002E"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3A5D853" w14:textId="77777777" w:rsidR="00F25246" w:rsidRPr="00F25246" w:rsidRDefault="00F25246" w:rsidP="00717AB5">
            <w:pPr>
              <w:ind w:left="-104"/>
              <w:jc w:val="right"/>
              <w:rPr>
                <w:sz w:val="14"/>
                <w:szCs w:val="14"/>
                <w:lang w:eastAsia="tr-TR"/>
              </w:rPr>
            </w:pPr>
            <w:r w:rsidRPr="00F25246">
              <w:rPr>
                <w:sz w:val="14"/>
                <w:szCs w:val="14"/>
                <w:lang w:eastAsia="tr-TR"/>
              </w:rPr>
              <w:t>-</w:t>
            </w:r>
          </w:p>
        </w:tc>
      </w:tr>
      <w:tr w:rsidR="00F25246" w:rsidRPr="00F25246" w14:paraId="01EA4268"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0B796CD8" w14:textId="77777777" w:rsidR="00F25246" w:rsidRPr="00F25246" w:rsidRDefault="00F25246" w:rsidP="00F25246">
            <w:pPr>
              <w:rPr>
                <w:color w:val="000000"/>
                <w:sz w:val="14"/>
                <w:szCs w:val="14"/>
                <w:lang w:eastAsia="tr-TR"/>
              </w:rPr>
            </w:pPr>
            <w:r w:rsidRPr="00F25246">
              <w:rPr>
                <w:color w:val="000000"/>
                <w:sz w:val="14"/>
                <w:szCs w:val="14"/>
                <w:lang w:eastAsia="tr-TR"/>
              </w:rPr>
              <w:t>1.2.3.</w:t>
            </w:r>
          </w:p>
        </w:tc>
        <w:tc>
          <w:tcPr>
            <w:tcW w:w="3356" w:type="dxa"/>
            <w:tcBorders>
              <w:top w:val="nil"/>
              <w:left w:val="single" w:sz="4" w:space="0" w:color="auto"/>
              <w:bottom w:val="nil"/>
              <w:right w:val="single" w:sz="4" w:space="0" w:color="auto"/>
            </w:tcBorders>
            <w:shd w:val="clear" w:color="auto" w:fill="auto"/>
            <w:noWrap/>
            <w:vAlign w:val="center"/>
            <w:hideMark/>
          </w:tcPr>
          <w:p w14:paraId="4C514C25" w14:textId="77777777" w:rsidR="00F25246" w:rsidRPr="00F25246" w:rsidRDefault="00F25246" w:rsidP="00F25246">
            <w:pPr>
              <w:rPr>
                <w:color w:val="000000"/>
                <w:sz w:val="14"/>
                <w:szCs w:val="14"/>
                <w:lang w:eastAsia="tr-TR"/>
              </w:rPr>
            </w:pPr>
            <w:r w:rsidRPr="00F25246">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65E311B0"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532A7C81" w14:textId="77777777" w:rsidR="00F25246" w:rsidRPr="00F25246" w:rsidRDefault="00F25246" w:rsidP="00717AB5">
            <w:pPr>
              <w:ind w:left="-104"/>
              <w:jc w:val="right"/>
              <w:rPr>
                <w:sz w:val="14"/>
                <w:szCs w:val="14"/>
                <w:lang w:eastAsia="tr-TR"/>
              </w:rPr>
            </w:pPr>
            <w:r w:rsidRPr="00F25246">
              <w:rPr>
                <w:sz w:val="14"/>
                <w:szCs w:val="14"/>
                <w:lang w:eastAsia="tr-TR"/>
              </w:rPr>
              <w:t>588,277</w:t>
            </w:r>
          </w:p>
        </w:tc>
        <w:tc>
          <w:tcPr>
            <w:tcW w:w="851" w:type="dxa"/>
            <w:tcBorders>
              <w:top w:val="nil"/>
              <w:left w:val="single" w:sz="4" w:space="0" w:color="auto"/>
              <w:bottom w:val="nil"/>
              <w:right w:val="single" w:sz="4" w:space="0" w:color="auto"/>
            </w:tcBorders>
            <w:shd w:val="clear" w:color="auto" w:fill="auto"/>
            <w:vAlign w:val="bottom"/>
            <w:hideMark/>
          </w:tcPr>
          <w:p w14:paraId="1FF74C76" w14:textId="77777777" w:rsidR="00F25246" w:rsidRPr="00F25246" w:rsidRDefault="00F25246" w:rsidP="00717AB5">
            <w:pPr>
              <w:ind w:left="-104"/>
              <w:jc w:val="right"/>
              <w:rPr>
                <w:sz w:val="14"/>
                <w:szCs w:val="14"/>
                <w:lang w:eastAsia="tr-TR"/>
              </w:rPr>
            </w:pPr>
            <w:r w:rsidRPr="00F25246">
              <w:rPr>
                <w:sz w:val="14"/>
                <w:szCs w:val="14"/>
                <w:lang w:eastAsia="tr-TR"/>
              </w:rPr>
              <w:t>57,716</w:t>
            </w:r>
          </w:p>
        </w:tc>
        <w:tc>
          <w:tcPr>
            <w:tcW w:w="850" w:type="dxa"/>
            <w:tcBorders>
              <w:top w:val="nil"/>
              <w:left w:val="single" w:sz="4" w:space="0" w:color="auto"/>
              <w:bottom w:val="nil"/>
              <w:right w:val="single" w:sz="4" w:space="0" w:color="auto"/>
            </w:tcBorders>
            <w:shd w:val="clear" w:color="auto" w:fill="auto"/>
            <w:vAlign w:val="bottom"/>
            <w:hideMark/>
          </w:tcPr>
          <w:p w14:paraId="6D3D1E69" w14:textId="77777777" w:rsidR="00F25246" w:rsidRPr="00F25246" w:rsidRDefault="00F25246" w:rsidP="00717AB5">
            <w:pPr>
              <w:ind w:left="-104"/>
              <w:jc w:val="right"/>
              <w:rPr>
                <w:sz w:val="14"/>
                <w:szCs w:val="14"/>
                <w:lang w:eastAsia="tr-TR"/>
              </w:rPr>
            </w:pPr>
            <w:r w:rsidRPr="00F25246">
              <w:rPr>
                <w:sz w:val="14"/>
                <w:szCs w:val="14"/>
                <w:lang w:eastAsia="tr-TR"/>
              </w:rPr>
              <w:t>645,993</w:t>
            </w:r>
          </w:p>
        </w:tc>
        <w:tc>
          <w:tcPr>
            <w:tcW w:w="851" w:type="dxa"/>
            <w:tcBorders>
              <w:top w:val="nil"/>
              <w:left w:val="single" w:sz="4" w:space="0" w:color="auto"/>
              <w:bottom w:val="nil"/>
              <w:right w:val="single" w:sz="4" w:space="0" w:color="auto"/>
            </w:tcBorders>
            <w:shd w:val="clear" w:color="auto" w:fill="auto"/>
            <w:vAlign w:val="bottom"/>
            <w:hideMark/>
          </w:tcPr>
          <w:p w14:paraId="5CC4904A" w14:textId="77777777" w:rsidR="00F25246" w:rsidRPr="00F25246" w:rsidRDefault="00F25246" w:rsidP="00717AB5">
            <w:pPr>
              <w:ind w:left="-104"/>
              <w:jc w:val="right"/>
              <w:rPr>
                <w:sz w:val="14"/>
                <w:szCs w:val="14"/>
                <w:lang w:eastAsia="tr-TR"/>
              </w:rPr>
            </w:pPr>
            <w:r w:rsidRPr="00F25246">
              <w:rPr>
                <w:sz w:val="14"/>
                <w:szCs w:val="14"/>
                <w:lang w:eastAsia="tr-TR"/>
              </w:rPr>
              <w:t>26,711</w:t>
            </w:r>
          </w:p>
        </w:tc>
        <w:tc>
          <w:tcPr>
            <w:tcW w:w="850" w:type="dxa"/>
            <w:tcBorders>
              <w:top w:val="nil"/>
              <w:left w:val="single" w:sz="4" w:space="0" w:color="auto"/>
              <w:bottom w:val="nil"/>
              <w:right w:val="single" w:sz="4" w:space="0" w:color="auto"/>
            </w:tcBorders>
            <w:shd w:val="clear" w:color="auto" w:fill="auto"/>
            <w:vAlign w:val="bottom"/>
            <w:hideMark/>
          </w:tcPr>
          <w:p w14:paraId="7BE04151" w14:textId="77777777" w:rsidR="00F25246" w:rsidRPr="00F25246" w:rsidRDefault="00F25246" w:rsidP="00717AB5">
            <w:pPr>
              <w:ind w:left="-104"/>
              <w:jc w:val="right"/>
              <w:rPr>
                <w:sz w:val="14"/>
                <w:szCs w:val="14"/>
                <w:lang w:eastAsia="tr-TR"/>
              </w:rPr>
            </w:pPr>
            <w:r w:rsidRPr="00F25246">
              <w:rPr>
                <w:sz w:val="14"/>
                <w:szCs w:val="14"/>
                <w:lang w:eastAsia="tr-TR"/>
              </w:rPr>
              <w:t>43,437</w:t>
            </w:r>
          </w:p>
        </w:tc>
        <w:tc>
          <w:tcPr>
            <w:tcW w:w="851" w:type="dxa"/>
            <w:tcBorders>
              <w:top w:val="nil"/>
              <w:left w:val="single" w:sz="4" w:space="0" w:color="auto"/>
              <w:bottom w:val="nil"/>
              <w:right w:val="single" w:sz="4" w:space="0" w:color="auto"/>
            </w:tcBorders>
            <w:shd w:val="clear" w:color="auto" w:fill="auto"/>
            <w:vAlign w:val="bottom"/>
            <w:hideMark/>
          </w:tcPr>
          <w:p w14:paraId="6536C9D8" w14:textId="77777777" w:rsidR="00F25246" w:rsidRPr="00F25246" w:rsidRDefault="00F25246" w:rsidP="00717AB5">
            <w:pPr>
              <w:ind w:left="-104"/>
              <w:jc w:val="right"/>
              <w:rPr>
                <w:sz w:val="14"/>
                <w:szCs w:val="14"/>
                <w:lang w:eastAsia="tr-TR"/>
              </w:rPr>
            </w:pPr>
            <w:r w:rsidRPr="00F25246">
              <w:rPr>
                <w:sz w:val="14"/>
                <w:szCs w:val="14"/>
                <w:lang w:eastAsia="tr-TR"/>
              </w:rPr>
              <w:t>70,148</w:t>
            </w:r>
          </w:p>
        </w:tc>
      </w:tr>
      <w:tr w:rsidR="00F25246" w:rsidRPr="00F25246" w14:paraId="62ADCE3B"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13024894"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1.3.</w:t>
            </w:r>
          </w:p>
        </w:tc>
        <w:tc>
          <w:tcPr>
            <w:tcW w:w="3356" w:type="dxa"/>
            <w:tcBorders>
              <w:top w:val="nil"/>
              <w:left w:val="single" w:sz="4" w:space="0" w:color="auto"/>
              <w:bottom w:val="nil"/>
              <w:right w:val="single" w:sz="4" w:space="0" w:color="auto"/>
            </w:tcBorders>
            <w:shd w:val="clear" w:color="auto" w:fill="auto"/>
            <w:vAlign w:val="center"/>
            <w:hideMark/>
          </w:tcPr>
          <w:p w14:paraId="59A72378"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7C088AEE"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(5.1.4.)</w:t>
            </w:r>
          </w:p>
        </w:tc>
        <w:tc>
          <w:tcPr>
            <w:tcW w:w="810" w:type="dxa"/>
            <w:tcBorders>
              <w:top w:val="nil"/>
              <w:left w:val="single" w:sz="4" w:space="0" w:color="auto"/>
              <w:bottom w:val="nil"/>
              <w:right w:val="single" w:sz="4" w:space="0" w:color="auto"/>
            </w:tcBorders>
            <w:shd w:val="clear" w:color="auto" w:fill="auto"/>
            <w:vAlign w:val="bottom"/>
            <w:hideMark/>
          </w:tcPr>
          <w:p w14:paraId="6EC6D294" w14:textId="77777777" w:rsidR="00F25246" w:rsidRPr="00F25246" w:rsidRDefault="00F25246" w:rsidP="00717AB5">
            <w:pPr>
              <w:ind w:left="-104"/>
              <w:jc w:val="right"/>
              <w:rPr>
                <w:b/>
                <w:bCs/>
                <w:sz w:val="14"/>
                <w:szCs w:val="14"/>
                <w:lang w:eastAsia="tr-TR"/>
              </w:rPr>
            </w:pPr>
            <w:r w:rsidRPr="00F25246">
              <w:rPr>
                <w:b/>
                <w:bCs/>
                <w:sz w:val="14"/>
                <w:szCs w:val="14"/>
                <w:lang w:eastAsia="tr-TR"/>
              </w:rPr>
              <w:t>24,449,183</w:t>
            </w:r>
          </w:p>
        </w:tc>
        <w:tc>
          <w:tcPr>
            <w:tcW w:w="851" w:type="dxa"/>
            <w:tcBorders>
              <w:top w:val="nil"/>
              <w:left w:val="single" w:sz="4" w:space="0" w:color="auto"/>
              <w:bottom w:val="nil"/>
              <w:right w:val="single" w:sz="4" w:space="0" w:color="auto"/>
            </w:tcBorders>
            <w:shd w:val="clear" w:color="auto" w:fill="auto"/>
            <w:vAlign w:val="bottom"/>
            <w:hideMark/>
          </w:tcPr>
          <w:p w14:paraId="5C897D5D" w14:textId="77777777" w:rsidR="00F25246" w:rsidRPr="00F25246" w:rsidRDefault="00F25246" w:rsidP="00717AB5">
            <w:pPr>
              <w:ind w:left="-104"/>
              <w:jc w:val="right"/>
              <w:rPr>
                <w:b/>
                <w:bCs/>
                <w:sz w:val="14"/>
                <w:szCs w:val="14"/>
                <w:lang w:eastAsia="tr-TR"/>
              </w:rPr>
            </w:pPr>
            <w:r w:rsidRPr="00F25246">
              <w:rPr>
                <w:b/>
                <w:bCs/>
                <w:sz w:val="14"/>
                <w:szCs w:val="14"/>
                <w:lang w:eastAsia="tr-TR"/>
              </w:rPr>
              <w:t>8,124,634</w:t>
            </w:r>
          </w:p>
        </w:tc>
        <w:tc>
          <w:tcPr>
            <w:tcW w:w="850" w:type="dxa"/>
            <w:tcBorders>
              <w:top w:val="nil"/>
              <w:left w:val="single" w:sz="4" w:space="0" w:color="auto"/>
              <w:bottom w:val="nil"/>
              <w:right w:val="single" w:sz="4" w:space="0" w:color="auto"/>
            </w:tcBorders>
            <w:shd w:val="clear" w:color="auto" w:fill="auto"/>
            <w:vAlign w:val="bottom"/>
            <w:hideMark/>
          </w:tcPr>
          <w:p w14:paraId="219B2D88" w14:textId="77777777" w:rsidR="00F25246" w:rsidRPr="00F25246" w:rsidRDefault="00F25246" w:rsidP="00717AB5">
            <w:pPr>
              <w:ind w:left="-104"/>
              <w:jc w:val="right"/>
              <w:rPr>
                <w:b/>
                <w:bCs/>
                <w:sz w:val="14"/>
                <w:szCs w:val="14"/>
                <w:lang w:eastAsia="tr-TR"/>
              </w:rPr>
            </w:pPr>
            <w:r w:rsidRPr="00F25246">
              <w:rPr>
                <w:b/>
                <w:bCs/>
                <w:sz w:val="14"/>
                <w:szCs w:val="14"/>
                <w:lang w:eastAsia="tr-TR"/>
              </w:rPr>
              <w:t>32,573,817</w:t>
            </w:r>
          </w:p>
        </w:tc>
        <w:tc>
          <w:tcPr>
            <w:tcW w:w="851" w:type="dxa"/>
            <w:tcBorders>
              <w:top w:val="nil"/>
              <w:left w:val="single" w:sz="4" w:space="0" w:color="auto"/>
              <w:bottom w:val="nil"/>
              <w:right w:val="single" w:sz="4" w:space="0" w:color="auto"/>
            </w:tcBorders>
            <w:shd w:val="clear" w:color="auto" w:fill="auto"/>
            <w:vAlign w:val="bottom"/>
            <w:hideMark/>
          </w:tcPr>
          <w:p w14:paraId="592E7E97" w14:textId="77777777" w:rsidR="00F25246" w:rsidRPr="00F25246" w:rsidRDefault="00F25246" w:rsidP="00717AB5">
            <w:pPr>
              <w:ind w:left="-104"/>
              <w:jc w:val="right"/>
              <w:rPr>
                <w:b/>
                <w:bCs/>
                <w:sz w:val="14"/>
                <w:szCs w:val="14"/>
                <w:lang w:eastAsia="tr-TR"/>
              </w:rPr>
            </w:pPr>
            <w:r w:rsidRPr="00F25246">
              <w:rPr>
                <w:b/>
                <w:bCs/>
                <w:sz w:val="14"/>
                <w:szCs w:val="14"/>
                <w:lang w:eastAsia="tr-TR"/>
              </w:rPr>
              <w:t>2,898,407</w:t>
            </w:r>
          </w:p>
        </w:tc>
        <w:tc>
          <w:tcPr>
            <w:tcW w:w="850" w:type="dxa"/>
            <w:tcBorders>
              <w:top w:val="nil"/>
              <w:left w:val="single" w:sz="4" w:space="0" w:color="auto"/>
              <w:bottom w:val="nil"/>
              <w:right w:val="single" w:sz="4" w:space="0" w:color="auto"/>
            </w:tcBorders>
            <w:shd w:val="clear" w:color="auto" w:fill="auto"/>
            <w:vAlign w:val="bottom"/>
            <w:hideMark/>
          </w:tcPr>
          <w:p w14:paraId="67BB4BEE" w14:textId="77777777" w:rsidR="00F25246" w:rsidRPr="00F25246" w:rsidRDefault="00F25246" w:rsidP="00717AB5">
            <w:pPr>
              <w:ind w:left="-104"/>
              <w:jc w:val="right"/>
              <w:rPr>
                <w:b/>
                <w:bCs/>
                <w:sz w:val="14"/>
                <w:szCs w:val="14"/>
                <w:lang w:eastAsia="tr-TR"/>
              </w:rPr>
            </w:pPr>
            <w:r w:rsidRPr="00F25246">
              <w:rPr>
                <w:b/>
                <w:bCs/>
                <w:sz w:val="14"/>
                <w:szCs w:val="14"/>
                <w:lang w:eastAsia="tr-TR"/>
              </w:rPr>
              <w:t>9,732,060</w:t>
            </w:r>
          </w:p>
        </w:tc>
        <w:tc>
          <w:tcPr>
            <w:tcW w:w="851" w:type="dxa"/>
            <w:tcBorders>
              <w:top w:val="nil"/>
              <w:left w:val="single" w:sz="4" w:space="0" w:color="auto"/>
              <w:bottom w:val="nil"/>
              <w:right w:val="single" w:sz="4" w:space="0" w:color="auto"/>
            </w:tcBorders>
            <w:shd w:val="clear" w:color="auto" w:fill="auto"/>
            <w:vAlign w:val="bottom"/>
            <w:hideMark/>
          </w:tcPr>
          <w:p w14:paraId="175CEAF1" w14:textId="77777777" w:rsidR="00F25246" w:rsidRPr="00F25246" w:rsidRDefault="00F25246" w:rsidP="00717AB5">
            <w:pPr>
              <w:ind w:left="-104"/>
              <w:jc w:val="right"/>
              <w:rPr>
                <w:b/>
                <w:bCs/>
                <w:sz w:val="14"/>
                <w:szCs w:val="14"/>
                <w:lang w:eastAsia="tr-TR"/>
              </w:rPr>
            </w:pPr>
            <w:r w:rsidRPr="00F25246">
              <w:rPr>
                <w:b/>
                <w:bCs/>
                <w:sz w:val="14"/>
                <w:szCs w:val="14"/>
                <w:lang w:eastAsia="tr-TR"/>
              </w:rPr>
              <w:t>12,630,467</w:t>
            </w:r>
          </w:p>
        </w:tc>
      </w:tr>
      <w:tr w:rsidR="00F25246" w:rsidRPr="00F25246" w14:paraId="04AE48A2"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40CD8D7E" w14:textId="77777777" w:rsidR="00F25246" w:rsidRPr="00F25246" w:rsidRDefault="00F25246" w:rsidP="00F25246">
            <w:pPr>
              <w:rPr>
                <w:color w:val="000000"/>
                <w:sz w:val="14"/>
                <w:szCs w:val="14"/>
                <w:lang w:eastAsia="tr-TR"/>
              </w:rPr>
            </w:pPr>
            <w:r w:rsidRPr="00F25246">
              <w:rPr>
                <w:color w:val="000000"/>
                <w:sz w:val="14"/>
                <w:szCs w:val="14"/>
                <w:lang w:eastAsia="tr-TR"/>
              </w:rPr>
              <w:t>1.3.1.</w:t>
            </w:r>
          </w:p>
        </w:tc>
        <w:tc>
          <w:tcPr>
            <w:tcW w:w="3356" w:type="dxa"/>
            <w:tcBorders>
              <w:top w:val="nil"/>
              <w:left w:val="single" w:sz="4" w:space="0" w:color="auto"/>
              <w:bottom w:val="nil"/>
              <w:right w:val="single" w:sz="4" w:space="0" w:color="auto"/>
            </w:tcBorders>
            <w:shd w:val="clear" w:color="auto" w:fill="auto"/>
            <w:noWrap/>
            <w:vAlign w:val="center"/>
            <w:hideMark/>
          </w:tcPr>
          <w:p w14:paraId="28B9EF5F" w14:textId="77777777" w:rsidR="00F25246" w:rsidRPr="00F25246" w:rsidRDefault="00F25246" w:rsidP="00F25246">
            <w:pPr>
              <w:rPr>
                <w:color w:val="000000"/>
                <w:sz w:val="14"/>
                <w:szCs w:val="14"/>
                <w:lang w:eastAsia="tr-TR"/>
              </w:rPr>
            </w:pPr>
            <w:r w:rsidRPr="00F25246">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0020C5C4"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044F90CD" w14:textId="77777777" w:rsidR="00F25246" w:rsidRPr="00F25246" w:rsidRDefault="00F25246" w:rsidP="00717AB5">
            <w:pPr>
              <w:ind w:left="-104"/>
              <w:jc w:val="right"/>
              <w:rPr>
                <w:sz w:val="14"/>
                <w:szCs w:val="14"/>
                <w:lang w:eastAsia="tr-TR"/>
              </w:rPr>
            </w:pPr>
            <w:r w:rsidRPr="00F25246">
              <w:rPr>
                <w:sz w:val="14"/>
                <w:szCs w:val="14"/>
                <w:lang w:eastAsia="tr-TR"/>
              </w:rPr>
              <w:t>24,338,752</w:t>
            </w:r>
          </w:p>
        </w:tc>
        <w:tc>
          <w:tcPr>
            <w:tcW w:w="851" w:type="dxa"/>
            <w:tcBorders>
              <w:top w:val="nil"/>
              <w:left w:val="single" w:sz="4" w:space="0" w:color="auto"/>
              <w:bottom w:val="nil"/>
              <w:right w:val="single" w:sz="4" w:space="0" w:color="auto"/>
            </w:tcBorders>
            <w:shd w:val="clear" w:color="auto" w:fill="auto"/>
            <w:vAlign w:val="bottom"/>
            <w:hideMark/>
          </w:tcPr>
          <w:p w14:paraId="7B72BC79" w14:textId="77777777" w:rsidR="00F25246" w:rsidRPr="00F25246" w:rsidRDefault="00F25246" w:rsidP="00717AB5">
            <w:pPr>
              <w:ind w:left="-104"/>
              <w:jc w:val="right"/>
              <w:rPr>
                <w:sz w:val="14"/>
                <w:szCs w:val="14"/>
                <w:lang w:eastAsia="tr-TR"/>
              </w:rPr>
            </w:pPr>
            <w:r w:rsidRPr="00F25246">
              <w:rPr>
                <w:sz w:val="14"/>
                <w:szCs w:val="14"/>
                <w:lang w:eastAsia="tr-TR"/>
              </w:rPr>
              <w:t>7,922,447</w:t>
            </w:r>
          </w:p>
        </w:tc>
        <w:tc>
          <w:tcPr>
            <w:tcW w:w="850" w:type="dxa"/>
            <w:tcBorders>
              <w:top w:val="nil"/>
              <w:left w:val="single" w:sz="4" w:space="0" w:color="auto"/>
              <w:bottom w:val="nil"/>
              <w:right w:val="single" w:sz="4" w:space="0" w:color="auto"/>
            </w:tcBorders>
            <w:shd w:val="clear" w:color="auto" w:fill="auto"/>
            <w:vAlign w:val="bottom"/>
            <w:hideMark/>
          </w:tcPr>
          <w:p w14:paraId="7BB5586A" w14:textId="77777777" w:rsidR="00F25246" w:rsidRPr="00F25246" w:rsidRDefault="00F25246" w:rsidP="00717AB5">
            <w:pPr>
              <w:ind w:left="-104"/>
              <w:jc w:val="right"/>
              <w:rPr>
                <w:sz w:val="14"/>
                <w:szCs w:val="14"/>
                <w:lang w:eastAsia="tr-TR"/>
              </w:rPr>
            </w:pPr>
            <w:r w:rsidRPr="00F25246">
              <w:rPr>
                <w:sz w:val="14"/>
                <w:szCs w:val="14"/>
                <w:lang w:eastAsia="tr-TR"/>
              </w:rPr>
              <w:t>32,261,199</w:t>
            </w:r>
          </w:p>
        </w:tc>
        <w:tc>
          <w:tcPr>
            <w:tcW w:w="851" w:type="dxa"/>
            <w:tcBorders>
              <w:top w:val="nil"/>
              <w:left w:val="single" w:sz="4" w:space="0" w:color="auto"/>
              <w:bottom w:val="nil"/>
              <w:right w:val="single" w:sz="4" w:space="0" w:color="auto"/>
            </w:tcBorders>
            <w:shd w:val="clear" w:color="auto" w:fill="auto"/>
            <w:vAlign w:val="bottom"/>
            <w:hideMark/>
          </w:tcPr>
          <w:p w14:paraId="770DC820" w14:textId="77777777" w:rsidR="00F25246" w:rsidRPr="00F25246" w:rsidRDefault="00F25246" w:rsidP="00717AB5">
            <w:pPr>
              <w:ind w:left="-104"/>
              <w:jc w:val="right"/>
              <w:rPr>
                <w:sz w:val="14"/>
                <w:szCs w:val="14"/>
                <w:lang w:eastAsia="tr-TR"/>
              </w:rPr>
            </w:pPr>
            <w:r w:rsidRPr="00F25246">
              <w:rPr>
                <w:sz w:val="14"/>
                <w:szCs w:val="14"/>
                <w:lang w:eastAsia="tr-TR"/>
              </w:rPr>
              <w:t>2,792,631</w:t>
            </w:r>
          </w:p>
        </w:tc>
        <w:tc>
          <w:tcPr>
            <w:tcW w:w="850" w:type="dxa"/>
            <w:tcBorders>
              <w:top w:val="nil"/>
              <w:left w:val="single" w:sz="4" w:space="0" w:color="auto"/>
              <w:bottom w:val="nil"/>
              <w:right w:val="single" w:sz="4" w:space="0" w:color="auto"/>
            </w:tcBorders>
            <w:shd w:val="clear" w:color="auto" w:fill="auto"/>
            <w:vAlign w:val="bottom"/>
            <w:hideMark/>
          </w:tcPr>
          <w:p w14:paraId="66C369EF" w14:textId="77777777" w:rsidR="00F25246" w:rsidRPr="00F25246" w:rsidRDefault="00F25246" w:rsidP="00717AB5">
            <w:pPr>
              <w:ind w:left="-104"/>
              <w:jc w:val="right"/>
              <w:rPr>
                <w:sz w:val="14"/>
                <w:szCs w:val="14"/>
                <w:lang w:eastAsia="tr-TR"/>
              </w:rPr>
            </w:pPr>
            <w:r w:rsidRPr="00F25246">
              <w:rPr>
                <w:sz w:val="14"/>
                <w:szCs w:val="14"/>
                <w:lang w:eastAsia="tr-TR"/>
              </w:rPr>
              <w:t>9,313,887</w:t>
            </w:r>
          </w:p>
        </w:tc>
        <w:tc>
          <w:tcPr>
            <w:tcW w:w="851" w:type="dxa"/>
            <w:tcBorders>
              <w:top w:val="nil"/>
              <w:left w:val="single" w:sz="4" w:space="0" w:color="auto"/>
              <w:bottom w:val="nil"/>
              <w:right w:val="single" w:sz="4" w:space="0" w:color="auto"/>
            </w:tcBorders>
            <w:shd w:val="clear" w:color="auto" w:fill="auto"/>
            <w:vAlign w:val="bottom"/>
            <w:hideMark/>
          </w:tcPr>
          <w:p w14:paraId="71C3EED5" w14:textId="77777777" w:rsidR="00F25246" w:rsidRPr="00F25246" w:rsidRDefault="00F25246" w:rsidP="00717AB5">
            <w:pPr>
              <w:ind w:left="-104"/>
              <w:jc w:val="right"/>
              <w:rPr>
                <w:sz w:val="14"/>
                <w:szCs w:val="14"/>
                <w:lang w:eastAsia="tr-TR"/>
              </w:rPr>
            </w:pPr>
            <w:r w:rsidRPr="00F25246">
              <w:rPr>
                <w:sz w:val="14"/>
                <w:szCs w:val="14"/>
                <w:lang w:eastAsia="tr-TR"/>
              </w:rPr>
              <w:t>12,106,518</w:t>
            </w:r>
          </w:p>
        </w:tc>
      </w:tr>
      <w:tr w:rsidR="00F25246" w:rsidRPr="00F25246" w14:paraId="12CF693A"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2D252E05" w14:textId="77777777" w:rsidR="00F25246" w:rsidRPr="00F25246" w:rsidRDefault="00F25246" w:rsidP="00F25246">
            <w:pPr>
              <w:rPr>
                <w:color w:val="000000"/>
                <w:sz w:val="14"/>
                <w:szCs w:val="14"/>
                <w:lang w:eastAsia="tr-TR"/>
              </w:rPr>
            </w:pPr>
            <w:r w:rsidRPr="00F25246">
              <w:rPr>
                <w:color w:val="000000"/>
                <w:sz w:val="14"/>
                <w:szCs w:val="14"/>
                <w:lang w:eastAsia="tr-TR"/>
              </w:rPr>
              <w:t>1.3.2.</w:t>
            </w:r>
          </w:p>
        </w:tc>
        <w:tc>
          <w:tcPr>
            <w:tcW w:w="3356" w:type="dxa"/>
            <w:tcBorders>
              <w:top w:val="nil"/>
              <w:left w:val="single" w:sz="4" w:space="0" w:color="auto"/>
              <w:bottom w:val="nil"/>
              <w:right w:val="single" w:sz="4" w:space="0" w:color="auto"/>
            </w:tcBorders>
            <w:shd w:val="clear" w:color="auto" w:fill="auto"/>
            <w:noWrap/>
            <w:vAlign w:val="center"/>
            <w:hideMark/>
          </w:tcPr>
          <w:p w14:paraId="06632E04" w14:textId="77777777" w:rsidR="00F25246" w:rsidRPr="00F25246" w:rsidRDefault="00F25246" w:rsidP="00F25246">
            <w:pPr>
              <w:rPr>
                <w:color w:val="000000"/>
                <w:sz w:val="14"/>
                <w:szCs w:val="14"/>
                <w:lang w:eastAsia="tr-TR"/>
              </w:rPr>
            </w:pPr>
            <w:r w:rsidRPr="00F25246">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25E90BC6"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787566DF" w14:textId="77777777" w:rsidR="00F25246" w:rsidRPr="00F25246" w:rsidRDefault="00F25246" w:rsidP="00717AB5">
            <w:pPr>
              <w:ind w:left="-104"/>
              <w:jc w:val="right"/>
              <w:rPr>
                <w:sz w:val="14"/>
                <w:szCs w:val="14"/>
                <w:lang w:eastAsia="tr-TR"/>
              </w:rPr>
            </w:pPr>
            <w:r w:rsidRPr="00F25246">
              <w:rPr>
                <w:sz w:val="14"/>
                <w:szCs w:val="14"/>
                <w:lang w:eastAsia="tr-TR"/>
              </w:rPr>
              <w:t>8,056</w:t>
            </w:r>
          </w:p>
        </w:tc>
        <w:tc>
          <w:tcPr>
            <w:tcW w:w="851" w:type="dxa"/>
            <w:tcBorders>
              <w:top w:val="nil"/>
              <w:left w:val="single" w:sz="4" w:space="0" w:color="auto"/>
              <w:bottom w:val="nil"/>
              <w:right w:val="single" w:sz="4" w:space="0" w:color="auto"/>
            </w:tcBorders>
            <w:shd w:val="clear" w:color="auto" w:fill="auto"/>
            <w:vAlign w:val="bottom"/>
            <w:hideMark/>
          </w:tcPr>
          <w:p w14:paraId="4AF85ED7" w14:textId="77777777" w:rsidR="00F25246" w:rsidRPr="00F25246" w:rsidRDefault="00F25246" w:rsidP="00717AB5">
            <w:pPr>
              <w:ind w:left="-104"/>
              <w:jc w:val="right"/>
              <w:rPr>
                <w:sz w:val="14"/>
                <w:szCs w:val="14"/>
                <w:lang w:eastAsia="tr-TR"/>
              </w:rPr>
            </w:pPr>
            <w:r w:rsidRPr="00F25246">
              <w:rPr>
                <w:sz w:val="14"/>
                <w:szCs w:val="14"/>
                <w:lang w:eastAsia="tr-TR"/>
              </w:rPr>
              <w:t>18,660</w:t>
            </w:r>
          </w:p>
        </w:tc>
        <w:tc>
          <w:tcPr>
            <w:tcW w:w="850" w:type="dxa"/>
            <w:tcBorders>
              <w:top w:val="nil"/>
              <w:left w:val="single" w:sz="4" w:space="0" w:color="auto"/>
              <w:bottom w:val="nil"/>
              <w:right w:val="single" w:sz="4" w:space="0" w:color="auto"/>
            </w:tcBorders>
            <w:shd w:val="clear" w:color="auto" w:fill="auto"/>
            <w:vAlign w:val="bottom"/>
            <w:hideMark/>
          </w:tcPr>
          <w:p w14:paraId="355B3240" w14:textId="77777777" w:rsidR="00F25246" w:rsidRPr="00F25246" w:rsidRDefault="00F25246" w:rsidP="00717AB5">
            <w:pPr>
              <w:ind w:left="-104"/>
              <w:jc w:val="right"/>
              <w:rPr>
                <w:sz w:val="14"/>
                <w:szCs w:val="14"/>
                <w:lang w:eastAsia="tr-TR"/>
              </w:rPr>
            </w:pPr>
            <w:r w:rsidRPr="00F25246">
              <w:rPr>
                <w:sz w:val="14"/>
                <w:szCs w:val="14"/>
                <w:lang w:eastAsia="tr-TR"/>
              </w:rPr>
              <w:t>26,716</w:t>
            </w:r>
          </w:p>
        </w:tc>
        <w:tc>
          <w:tcPr>
            <w:tcW w:w="851" w:type="dxa"/>
            <w:tcBorders>
              <w:top w:val="nil"/>
              <w:left w:val="single" w:sz="4" w:space="0" w:color="auto"/>
              <w:bottom w:val="nil"/>
              <w:right w:val="single" w:sz="4" w:space="0" w:color="auto"/>
            </w:tcBorders>
            <w:shd w:val="clear" w:color="auto" w:fill="auto"/>
            <w:vAlign w:val="bottom"/>
            <w:hideMark/>
          </w:tcPr>
          <w:p w14:paraId="06A39A6B" w14:textId="77777777" w:rsidR="00F25246" w:rsidRPr="00F25246" w:rsidRDefault="00F25246" w:rsidP="00717AB5">
            <w:pPr>
              <w:ind w:left="-104"/>
              <w:jc w:val="right"/>
              <w:rPr>
                <w:sz w:val="14"/>
                <w:szCs w:val="14"/>
                <w:lang w:eastAsia="tr-TR"/>
              </w:rPr>
            </w:pPr>
            <w:r w:rsidRPr="00F25246">
              <w:rPr>
                <w:sz w:val="14"/>
                <w:szCs w:val="14"/>
                <w:lang w:eastAsia="tr-TR"/>
              </w:rPr>
              <w:t>11,237</w:t>
            </w:r>
          </w:p>
        </w:tc>
        <w:tc>
          <w:tcPr>
            <w:tcW w:w="850" w:type="dxa"/>
            <w:tcBorders>
              <w:top w:val="nil"/>
              <w:left w:val="single" w:sz="4" w:space="0" w:color="auto"/>
              <w:bottom w:val="nil"/>
              <w:right w:val="single" w:sz="4" w:space="0" w:color="auto"/>
            </w:tcBorders>
            <w:shd w:val="clear" w:color="auto" w:fill="auto"/>
            <w:vAlign w:val="bottom"/>
            <w:hideMark/>
          </w:tcPr>
          <w:p w14:paraId="4D67B431" w14:textId="77777777" w:rsidR="00F25246" w:rsidRPr="00F25246" w:rsidRDefault="00F25246" w:rsidP="00717AB5">
            <w:pPr>
              <w:ind w:left="-104"/>
              <w:jc w:val="right"/>
              <w:rPr>
                <w:sz w:val="14"/>
                <w:szCs w:val="14"/>
                <w:lang w:eastAsia="tr-TR"/>
              </w:rPr>
            </w:pPr>
            <w:r w:rsidRPr="00F25246">
              <w:rPr>
                <w:sz w:val="14"/>
                <w:szCs w:val="14"/>
                <w:lang w:eastAsia="tr-TR"/>
              </w:rPr>
              <w:t>27,346</w:t>
            </w:r>
          </w:p>
        </w:tc>
        <w:tc>
          <w:tcPr>
            <w:tcW w:w="851" w:type="dxa"/>
            <w:tcBorders>
              <w:top w:val="nil"/>
              <w:left w:val="single" w:sz="4" w:space="0" w:color="auto"/>
              <w:bottom w:val="nil"/>
              <w:right w:val="single" w:sz="4" w:space="0" w:color="auto"/>
            </w:tcBorders>
            <w:shd w:val="clear" w:color="auto" w:fill="auto"/>
            <w:vAlign w:val="bottom"/>
            <w:hideMark/>
          </w:tcPr>
          <w:p w14:paraId="1E7893EB" w14:textId="77777777" w:rsidR="00F25246" w:rsidRPr="00F25246" w:rsidRDefault="00F25246" w:rsidP="00717AB5">
            <w:pPr>
              <w:ind w:left="-104"/>
              <w:jc w:val="right"/>
              <w:rPr>
                <w:sz w:val="14"/>
                <w:szCs w:val="14"/>
                <w:lang w:eastAsia="tr-TR"/>
              </w:rPr>
            </w:pPr>
            <w:r w:rsidRPr="00F25246">
              <w:rPr>
                <w:sz w:val="14"/>
                <w:szCs w:val="14"/>
                <w:lang w:eastAsia="tr-TR"/>
              </w:rPr>
              <w:t>38,583</w:t>
            </w:r>
          </w:p>
        </w:tc>
      </w:tr>
      <w:tr w:rsidR="00F25246" w:rsidRPr="00F25246" w14:paraId="6D5750C5"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3A049B28" w14:textId="77777777" w:rsidR="00F25246" w:rsidRPr="00F25246" w:rsidRDefault="00F25246" w:rsidP="00F25246">
            <w:pPr>
              <w:rPr>
                <w:color w:val="000000"/>
                <w:sz w:val="14"/>
                <w:szCs w:val="14"/>
                <w:lang w:eastAsia="tr-TR"/>
              </w:rPr>
            </w:pPr>
            <w:r w:rsidRPr="00F25246">
              <w:rPr>
                <w:color w:val="000000"/>
                <w:sz w:val="14"/>
                <w:szCs w:val="14"/>
                <w:lang w:eastAsia="tr-TR"/>
              </w:rPr>
              <w:t>1.3.3.</w:t>
            </w:r>
          </w:p>
        </w:tc>
        <w:tc>
          <w:tcPr>
            <w:tcW w:w="3356" w:type="dxa"/>
            <w:tcBorders>
              <w:top w:val="nil"/>
              <w:left w:val="single" w:sz="4" w:space="0" w:color="auto"/>
              <w:bottom w:val="nil"/>
              <w:right w:val="single" w:sz="4" w:space="0" w:color="auto"/>
            </w:tcBorders>
            <w:shd w:val="clear" w:color="auto" w:fill="auto"/>
            <w:noWrap/>
            <w:vAlign w:val="center"/>
            <w:hideMark/>
          </w:tcPr>
          <w:p w14:paraId="5DC11323" w14:textId="77777777" w:rsidR="00F25246" w:rsidRPr="00F25246" w:rsidRDefault="00F25246" w:rsidP="00F25246">
            <w:pPr>
              <w:rPr>
                <w:color w:val="000000"/>
                <w:sz w:val="14"/>
                <w:szCs w:val="14"/>
                <w:lang w:eastAsia="tr-TR"/>
              </w:rPr>
            </w:pPr>
            <w:r w:rsidRPr="00F25246">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53081C1A"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792AEAFB" w14:textId="77777777" w:rsidR="00F25246" w:rsidRPr="00F25246" w:rsidRDefault="00F25246" w:rsidP="00717AB5">
            <w:pPr>
              <w:ind w:left="-104"/>
              <w:jc w:val="right"/>
              <w:rPr>
                <w:sz w:val="14"/>
                <w:szCs w:val="14"/>
                <w:lang w:eastAsia="tr-TR"/>
              </w:rPr>
            </w:pPr>
            <w:r w:rsidRPr="00F25246">
              <w:rPr>
                <w:sz w:val="14"/>
                <w:szCs w:val="14"/>
                <w:lang w:eastAsia="tr-TR"/>
              </w:rPr>
              <w:t>102,375</w:t>
            </w:r>
          </w:p>
        </w:tc>
        <w:tc>
          <w:tcPr>
            <w:tcW w:w="851" w:type="dxa"/>
            <w:tcBorders>
              <w:top w:val="nil"/>
              <w:left w:val="single" w:sz="4" w:space="0" w:color="auto"/>
              <w:bottom w:val="nil"/>
              <w:right w:val="single" w:sz="4" w:space="0" w:color="auto"/>
            </w:tcBorders>
            <w:shd w:val="clear" w:color="auto" w:fill="auto"/>
            <w:vAlign w:val="bottom"/>
            <w:hideMark/>
          </w:tcPr>
          <w:p w14:paraId="7E85A1B5" w14:textId="77777777" w:rsidR="00F25246" w:rsidRPr="00F25246" w:rsidRDefault="00F25246" w:rsidP="00717AB5">
            <w:pPr>
              <w:ind w:left="-104"/>
              <w:jc w:val="right"/>
              <w:rPr>
                <w:sz w:val="14"/>
                <w:szCs w:val="14"/>
                <w:lang w:eastAsia="tr-TR"/>
              </w:rPr>
            </w:pPr>
            <w:r w:rsidRPr="00F25246">
              <w:rPr>
                <w:sz w:val="14"/>
                <w:szCs w:val="14"/>
                <w:lang w:eastAsia="tr-TR"/>
              </w:rPr>
              <w:t>183,527</w:t>
            </w:r>
          </w:p>
        </w:tc>
        <w:tc>
          <w:tcPr>
            <w:tcW w:w="850" w:type="dxa"/>
            <w:tcBorders>
              <w:top w:val="nil"/>
              <w:left w:val="single" w:sz="4" w:space="0" w:color="auto"/>
              <w:bottom w:val="nil"/>
              <w:right w:val="single" w:sz="4" w:space="0" w:color="auto"/>
            </w:tcBorders>
            <w:shd w:val="clear" w:color="auto" w:fill="auto"/>
            <w:vAlign w:val="bottom"/>
            <w:hideMark/>
          </w:tcPr>
          <w:p w14:paraId="679986C6" w14:textId="77777777" w:rsidR="00F25246" w:rsidRPr="00F25246" w:rsidRDefault="00F25246" w:rsidP="00717AB5">
            <w:pPr>
              <w:ind w:left="-104"/>
              <w:jc w:val="right"/>
              <w:rPr>
                <w:sz w:val="14"/>
                <w:szCs w:val="14"/>
                <w:lang w:eastAsia="tr-TR"/>
              </w:rPr>
            </w:pPr>
            <w:r w:rsidRPr="00F25246">
              <w:rPr>
                <w:sz w:val="14"/>
                <w:szCs w:val="14"/>
                <w:lang w:eastAsia="tr-TR"/>
              </w:rPr>
              <w:t>285,902</w:t>
            </w:r>
          </w:p>
        </w:tc>
        <w:tc>
          <w:tcPr>
            <w:tcW w:w="851" w:type="dxa"/>
            <w:tcBorders>
              <w:top w:val="nil"/>
              <w:left w:val="single" w:sz="4" w:space="0" w:color="auto"/>
              <w:bottom w:val="nil"/>
              <w:right w:val="single" w:sz="4" w:space="0" w:color="auto"/>
            </w:tcBorders>
            <w:shd w:val="clear" w:color="auto" w:fill="auto"/>
            <w:vAlign w:val="bottom"/>
            <w:hideMark/>
          </w:tcPr>
          <w:p w14:paraId="07D45B09" w14:textId="77777777" w:rsidR="00F25246" w:rsidRPr="00F25246" w:rsidRDefault="00F25246" w:rsidP="00717AB5">
            <w:pPr>
              <w:ind w:left="-104"/>
              <w:jc w:val="right"/>
              <w:rPr>
                <w:sz w:val="14"/>
                <w:szCs w:val="14"/>
                <w:lang w:eastAsia="tr-TR"/>
              </w:rPr>
            </w:pPr>
            <w:r w:rsidRPr="00F25246">
              <w:rPr>
                <w:sz w:val="14"/>
                <w:szCs w:val="14"/>
                <w:lang w:eastAsia="tr-TR"/>
              </w:rPr>
              <w:t>94,539</w:t>
            </w:r>
          </w:p>
        </w:tc>
        <w:tc>
          <w:tcPr>
            <w:tcW w:w="850" w:type="dxa"/>
            <w:tcBorders>
              <w:top w:val="nil"/>
              <w:left w:val="single" w:sz="4" w:space="0" w:color="auto"/>
              <w:bottom w:val="nil"/>
              <w:right w:val="single" w:sz="4" w:space="0" w:color="auto"/>
            </w:tcBorders>
            <w:shd w:val="clear" w:color="auto" w:fill="auto"/>
            <w:vAlign w:val="bottom"/>
            <w:hideMark/>
          </w:tcPr>
          <w:p w14:paraId="78B51A78" w14:textId="77777777" w:rsidR="00F25246" w:rsidRPr="00F25246" w:rsidRDefault="00F25246" w:rsidP="00717AB5">
            <w:pPr>
              <w:ind w:left="-104"/>
              <w:jc w:val="right"/>
              <w:rPr>
                <w:sz w:val="14"/>
                <w:szCs w:val="14"/>
                <w:lang w:eastAsia="tr-TR"/>
              </w:rPr>
            </w:pPr>
            <w:r w:rsidRPr="00F25246">
              <w:rPr>
                <w:sz w:val="14"/>
                <w:szCs w:val="14"/>
                <w:lang w:eastAsia="tr-TR"/>
              </w:rPr>
              <w:t>390,827</w:t>
            </w:r>
          </w:p>
        </w:tc>
        <w:tc>
          <w:tcPr>
            <w:tcW w:w="851" w:type="dxa"/>
            <w:tcBorders>
              <w:top w:val="nil"/>
              <w:left w:val="single" w:sz="4" w:space="0" w:color="auto"/>
              <w:bottom w:val="nil"/>
              <w:right w:val="single" w:sz="4" w:space="0" w:color="auto"/>
            </w:tcBorders>
            <w:shd w:val="clear" w:color="auto" w:fill="auto"/>
            <w:vAlign w:val="bottom"/>
            <w:hideMark/>
          </w:tcPr>
          <w:p w14:paraId="56C56242" w14:textId="77777777" w:rsidR="00F25246" w:rsidRPr="00F25246" w:rsidRDefault="00F25246" w:rsidP="00717AB5">
            <w:pPr>
              <w:ind w:left="-104"/>
              <w:jc w:val="right"/>
              <w:rPr>
                <w:sz w:val="14"/>
                <w:szCs w:val="14"/>
                <w:lang w:eastAsia="tr-TR"/>
              </w:rPr>
            </w:pPr>
            <w:r w:rsidRPr="00F25246">
              <w:rPr>
                <w:sz w:val="14"/>
                <w:szCs w:val="14"/>
                <w:lang w:eastAsia="tr-TR"/>
              </w:rPr>
              <w:t>485,366</w:t>
            </w:r>
          </w:p>
        </w:tc>
      </w:tr>
      <w:tr w:rsidR="00F25246" w:rsidRPr="00F25246" w14:paraId="440F03FB" w14:textId="77777777" w:rsidTr="00717AB5">
        <w:trPr>
          <w:divId w:val="1660189425"/>
          <w:trHeight w:val="240"/>
        </w:trPr>
        <w:tc>
          <w:tcPr>
            <w:tcW w:w="455" w:type="dxa"/>
            <w:tcBorders>
              <w:top w:val="nil"/>
              <w:left w:val="single" w:sz="4" w:space="0" w:color="auto"/>
              <w:bottom w:val="nil"/>
              <w:right w:val="single" w:sz="4" w:space="0" w:color="auto"/>
            </w:tcBorders>
            <w:shd w:val="clear" w:color="auto" w:fill="auto"/>
            <w:noWrap/>
            <w:hideMark/>
          </w:tcPr>
          <w:p w14:paraId="49C28AC1"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1.4.</w:t>
            </w:r>
          </w:p>
        </w:tc>
        <w:tc>
          <w:tcPr>
            <w:tcW w:w="3356" w:type="dxa"/>
            <w:tcBorders>
              <w:top w:val="nil"/>
              <w:left w:val="single" w:sz="4" w:space="0" w:color="auto"/>
              <w:bottom w:val="nil"/>
              <w:right w:val="single" w:sz="4" w:space="0" w:color="auto"/>
            </w:tcBorders>
            <w:shd w:val="clear" w:color="auto" w:fill="auto"/>
            <w:noWrap/>
            <w:vAlign w:val="center"/>
            <w:hideMark/>
          </w:tcPr>
          <w:p w14:paraId="4751EB40"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2CBAC7A0" w14:textId="77777777" w:rsidR="00F25246" w:rsidRPr="00F25246" w:rsidRDefault="00F25246" w:rsidP="00F25246">
            <w:pPr>
              <w:rPr>
                <w:b/>
                <w:bCs/>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148902A5" w14:textId="77777777" w:rsidR="00F25246" w:rsidRPr="00F25246" w:rsidRDefault="00F25246" w:rsidP="00717AB5">
            <w:pPr>
              <w:ind w:left="-104"/>
              <w:jc w:val="right"/>
              <w:rPr>
                <w:b/>
                <w:bCs/>
                <w:sz w:val="14"/>
                <w:szCs w:val="14"/>
                <w:lang w:eastAsia="tr-TR"/>
              </w:rPr>
            </w:pPr>
            <w:r w:rsidRPr="00F25246">
              <w:rPr>
                <w:b/>
                <w:bCs/>
                <w:sz w:val="14"/>
                <w:szCs w:val="14"/>
                <w:lang w:eastAsia="tr-TR"/>
              </w:rPr>
              <w:t>1,228,999</w:t>
            </w:r>
          </w:p>
        </w:tc>
        <w:tc>
          <w:tcPr>
            <w:tcW w:w="851" w:type="dxa"/>
            <w:tcBorders>
              <w:top w:val="nil"/>
              <w:left w:val="single" w:sz="4" w:space="0" w:color="auto"/>
              <w:bottom w:val="nil"/>
              <w:right w:val="single" w:sz="4" w:space="0" w:color="auto"/>
            </w:tcBorders>
            <w:shd w:val="clear" w:color="auto" w:fill="auto"/>
            <w:vAlign w:val="bottom"/>
            <w:hideMark/>
          </w:tcPr>
          <w:p w14:paraId="67372C49" w14:textId="77777777" w:rsidR="00F25246" w:rsidRPr="00F25246" w:rsidRDefault="00F25246" w:rsidP="00717AB5">
            <w:pPr>
              <w:ind w:left="-104"/>
              <w:jc w:val="right"/>
              <w:rPr>
                <w:b/>
                <w:bCs/>
                <w:sz w:val="14"/>
                <w:szCs w:val="14"/>
                <w:lang w:eastAsia="tr-TR"/>
              </w:rPr>
            </w:pPr>
            <w:r w:rsidRPr="00F25246">
              <w:rPr>
                <w:b/>
                <w:bCs/>
                <w:sz w:val="14"/>
                <w:szCs w:val="14"/>
                <w:lang w:eastAsia="tr-TR"/>
              </w:rPr>
              <w:t>459,691</w:t>
            </w:r>
          </w:p>
        </w:tc>
        <w:tc>
          <w:tcPr>
            <w:tcW w:w="850" w:type="dxa"/>
            <w:tcBorders>
              <w:top w:val="nil"/>
              <w:left w:val="single" w:sz="4" w:space="0" w:color="auto"/>
              <w:bottom w:val="nil"/>
              <w:right w:val="single" w:sz="4" w:space="0" w:color="auto"/>
            </w:tcBorders>
            <w:shd w:val="clear" w:color="auto" w:fill="auto"/>
            <w:vAlign w:val="bottom"/>
            <w:hideMark/>
          </w:tcPr>
          <w:p w14:paraId="4AAADD23" w14:textId="77777777" w:rsidR="00F25246" w:rsidRPr="00F25246" w:rsidRDefault="00F25246" w:rsidP="00717AB5">
            <w:pPr>
              <w:ind w:left="-104"/>
              <w:jc w:val="right"/>
              <w:rPr>
                <w:b/>
                <w:bCs/>
                <w:sz w:val="14"/>
                <w:szCs w:val="14"/>
                <w:lang w:eastAsia="tr-TR"/>
              </w:rPr>
            </w:pPr>
            <w:r w:rsidRPr="00F25246">
              <w:rPr>
                <w:b/>
                <w:bCs/>
                <w:sz w:val="14"/>
                <w:szCs w:val="14"/>
                <w:lang w:eastAsia="tr-TR"/>
              </w:rPr>
              <w:t>1,688,690</w:t>
            </w:r>
          </w:p>
        </w:tc>
        <w:tc>
          <w:tcPr>
            <w:tcW w:w="851" w:type="dxa"/>
            <w:tcBorders>
              <w:top w:val="nil"/>
              <w:left w:val="single" w:sz="4" w:space="0" w:color="auto"/>
              <w:bottom w:val="nil"/>
              <w:right w:val="single" w:sz="4" w:space="0" w:color="auto"/>
            </w:tcBorders>
            <w:shd w:val="clear" w:color="auto" w:fill="auto"/>
            <w:vAlign w:val="bottom"/>
            <w:hideMark/>
          </w:tcPr>
          <w:p w14:paraId="17F261C8" w14:textId="77777777" w:rsidR="00F25246" w:rsidRPr="00F25246" w:rsidRDefault="00F25246" w:rsidP="00717AB5">
            <w:pPr>
              <w:ind w:left="-104"/>
              <w:jc w:val="right"/>
              <w:rPr>
                <w:b/>
                <w:bCs/>
                <w:sz w:val="14"/>
                <w:szCs w:val="14"/>
                <w:lang w:eastAsia="tr-TR"/>
              </w:rPr>
            </w:pPr>
            <w:r w:rsidRPr="00F25246">
              <w:rPr>
                <w:b/>
                <w:bCs/>
                <w:sz w:val="14"/>
                <w:szCs w:val="14"/>
                <w:lang w:eastAsia="tr-TR"/>
              </w:rPr>
              <w:t>18,770</w:t>
            </w:r>
          </w:p>
        </w:tc>
        <w:tc>
          <w:tcPr>
            <w:tcW w:w="850" w:type="dxa"/>
            <w:tcBorders>
              <w:top w:val="nil"/>
              <w:left w:val="single" w:sz="4" w:space="0" w:color="auto"/>
              <w:bottom w:val="nil"/>
              <w:right w:val="single" w:sz="4" w:space="0" w:color="auto"/>
            </w:tcBorders>
            <w:shd w:val="clear" w:color="auto" w:fill="auto"/>
            <w:vAlign w:val="bottom"/>
            <w:hideMark/>
          </w:tcPr>
          <w:p w14:paraId="489DF5DF" w14:textId="77777777" w:rsidR="00F25246" w:rsidRPr="00F25246" w:rsidRDefault="00F25246" w:rsidP="00717AB5">
            <w:pPr>
              <w:ind w:left="-104"/>
              <w:jc w:val="right"/>
              <w:rPr>
                <w:b/>
                <w:bCs/>
                <w:sz w:val="14"/>
                <w:szCs w:val="14"/>
                <w:lang w:eastAsia="tr-TR"/>
              </w:rPr>
            </w:pPr>
            <w:r w:rsidRPr="00F25246">
              <w:rPr>
                <w:b/>
                <w:bCs/>
                <w:sz w:val="14"/>
                <w:szCs w:val="14"/>
                <w:lang w:eastAsia="tr-TR"/>
              </w:rPr>
              <w:t>165,177</w:t>
            </w:r>
          </w:p>
        </w:tc>
        <w:tc>
          <w:tcPr>
            <w:tcW w:w="851" w:type="dxa"/>
            <w:tcBorders>
              <w:top w:val="nil"/>
              <w:left w:val="single" w:sz="4" w:space="0" w:color="auto"/>
              <w:bottom w:val="nil"/>
              <w:right w:val="single" w:sz="4" w:space="0" w:color="auto"/>
            </w:tcBorders>
            <w:shd w:val="clear" w:color="auto" w:fill="auto"/>
            <w:vAlign w:val="bottom"/>
            <w:hideMark/>
          </w:tcPr>
          <w:p w14:paraId="6EEE3909" w14:textId="77777777" w:rsidR="00F25246" w:rsidRPr="00F25246" w:rsidRDefault="00F25246" w:rsidP="00717AB5">
            <w:pPr>
              <w:ind w:left="-104"/>
              <w:jc w:val="right"/>
              <w:rPr>
                <w:b/>
                <w:bCs/>
                <w:sz w:val="14"/>
                <w:szCs w:val="14"/>
                <w:lang w:eastAsia="tr-TR"/>
              </w:rPr>
            </w:pPr>
            <w:r w:rsidRPr="00F25246">
              <w:rPr>
                <w:b/>
                <w:bCs/>
                <w:sz w:val="14"/>
                <w:szCs w:val="14"/>
                <w:lang w:eastAsia="tr-TR"/>
              </w:rPr>
              <w:t>183,947</w:t>
            </w:r>
          </w:p>
        </w:tc>
      </w:tr>
      <w:tr w:rsidR="00F25246" w:rsidRPr="00F25246" w14:paraId="510B3F60"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0F189BD0" w14:textId="77777777" w:rsidR="00F25246" w:rsidRPr="00F25246" w:rsidRDefault="00F25246" w:rsidP="00F25246">
            <w:pPr>
              <w:rPr>
                <w:color w:val="000000"/>
                <w:sz w:val="14"/>
                <w:szCs w:val="14"/>
                <w:lang w:eastAsia="tr-TR"/>
              </w:rPr>
            </w:pPr>
            <w:r w:rsidRPr="00F25246">
              <w:rPr>
                <w:color w:val="000000"/>
                <w:sz w:val="14"/>
                <w:szCs w:val="14"/>
                <w:lang w:eastAsia="tr-TR"/>
              </w:rPr>
              <w:t>1.4.1.</w:t>
            </w:r>
          </w:p>
        </w:tc>
        <w:tc>
          <w:tcPr>
            <w:tcW w:w="3356" w:type="dxa"/>
            <w:tcBorders>
              <w:top w:val="nil"/>
              <w:left w:val="single" w:sz="4" w:space="0" w:color="auto"/>
              <w:bottom w:val="nil"/>
              <w:right w:val="single" w:sz="4" w:space="0" w:color="auto"/>
            </w:tcBorders>
            <w:shd w:val="clear" w:color="auto" w:fill="auto"/>
            <w:vAlign w:val="center"/>
            <w:hideMark/>
          </w:tcPr>
          <w:p w14:paraId="3E1E360E" w14:textId="77777777" w:rsidR="00F25246" w:rsidRPr="00F25246" w:rsidRDefault="00F25246" w:rsidP="00F25246">
            <w:pPr>
              <w:rPr>
                <w:color w:val="000000"/>
                <w:sz w:val="14"/>
                <w:szCs w:val="14"/>
                <w:lang w:eastAsia="tr-TR"/>
              </w:rPr>
            </w:pPr>
            <w:r w:rsidRPr="00F25246">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280C9978"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06685708" w14:textId="77777777" w:rsidR="00F25246" w:rsidRPr="00F25246" w:rsidRDefault="00F25246" w:rsidP="00717AB5">
            <w:pPr>
              <w:ind w:left="-104"/>
              <w:jc w:val="right"/>
              <w:rPr>
                <w:sz w:val="14"/>
                <w:szCs w:val="14"/>
                <w:lang w:eastAsia="tr-TR"/>
              </w:rPr>
            </w:pPr>
            <w:r w:rsidRPr="00F25246">
              <w:rPr>
                <w:sz w:val="14"/>
                <w:szCs w:val="14"/>
                <w:lang w:eastAsia="tr-TR"/>
              </w:rPr>
              <w:t>1,228,999</w:t>
            </w:r>
          </w:p>
        </w:tc>
        <w:tc>
          <w:tcPr>
            <w:tcW w:w="851" w:type="dxa"/>
            <w:tcBorders>
              <w:top w:val="nil"/>
              <w:left w:val="single" w:sz="4" w:space="0" w:color="auto"/>
              <w:bottom w:val="nil"/>
              <w:right w:val="single" w:sz="4" w:space="0" w:color="auto"/>
            </w:tcBorders>
            <w:shd w:val="clear" w:color="auto" w:fill="auto"/>
            <w:vAlign w:val="bottom"/>
            <w:hideMark/>
          </w:tcPr>
          <w:p w14:paraId="6BDF777D" w14:textId="77777777" w:rsidR="00F25246" w:rsidRPr="00F25246" w:rsidRDefault="00F25246" w:rsidP="00717AB5">
            <w:pPr>
              <w:ind w:left="-104"/>
              <w:jc w:val="right"/>
              <w:rPr>
                <w:sz w:val="14"/>
                <w:szCs w:val="14"/>
                <w:lang w:eastAsia="tr-TR"/>
              </w:rPr>
            </w:pPr>
            <w:r w:rsidRPr="00F25246">
              <w:rPr>
                <w:sz w:val="14"/>
                <w:szCs w:val="14"/>
                <w:lang w:eastAsia="tr-TR"/>
              </w:rPr>
              <w:t>459,691</w:t>
            </w:r>
          </w:p>
        </w:tc>
        <w:tc>
          <w:tcPr>
            <w:tcW w:w="850" w:type="dxa"/>
            <w:tcBorders>
              <w:top w:val="nil"/>
              <w:left w:val="single" w:sz="4" w:space="0" w:color="auto"/>
              <w:bottom w:val="nil"/>
              <w:right w:val="single" w:sz="4" w:space="0" w:color="auto"/>
            </w:tcBorders>
            <w:shd w:val="clear" w:color="auto" w:fill="auto"/>
            <w:vAlign w:val="bottom"/>
            <w:hideMark/>
          </w:tcPr>
          <w:p w14:paraId="76F7EF57" w14:textId="77777777" w:rsidR="00F25246" w:rsidRPr="00F25246" w:rsidRDefault="00F25246" w:rsidP="00717AB5">
            <w:pPr>
              <w:ind w:left="-104"/>
              <w:jc w:val="right"/>
              <w:rPr>
                <w:sz w:val="14"/>
                <w:szCs w:val="14"/>
                <w:lang w:eastAsia="tr-TR"/>
              </w:rPr>
            </w:pPr>
            <w:r w:rsidRPr="00F25246">
              <w:rPr>
                <w:sz w:val="14"/>
                <w:szCs w:val="14"/>
                <w:lang w:eastAsia="tr-TR"/>
              </w:rPr>
              <w:t>1,688,690</w:t>
            </w:r>
          </w:p>
        </w:tc>
        <w:tc>
          <w:tcPr>
            <w:tcW w:w="851" w:type="dxa"/>
            <w:tcBorders>
              <w:top w:val="nil"/>
              <w:left w:val="single" w:sz="4" w:space="0" w:color="auto"/>
              <w:bottom w:val="nil"/>
              <w:right w:val="single" w:sz="4" w:space="0" w:color="auto"/>
            </w:tcBorders>
            <w:shd w:val="clear" w:color="auto" w:fill="auto"/>
            <w:vAlign w:val="bottom"/>
            <w:hideMark/>
          </w:tcPr>
          <w:p w14:paraId="20A5E367" w14:textId="77777777" w:rsidR="00F25246" w:rsidRPr="00F25246" w:rsidRDefault="00F25246" w:rsidP="00717AB5">
            <w:pPr>
              <w:ind w:left="-104"/>
              <w:jc w:val="right"/>
              <w:rPr>
                <w:sz w:val="14"/>
                <w:szCs w:val="14"/>
                <w:lang w:eastAsia="tr-TR"/>
              </w:rPr>
            </w:pPr>
            <w:r w:rsidRPr="00F25246">
              <w:rPr>
                <w:sz w:val="14"/>
                <w:szCs w:val="14"/>
                <w:lang w:eastAsia="tr-TR"/>
              </w:rPr>
              <w:t>18,770</w:t>
            </w:r>
          </w:p>
        </w:tc>
        <w:tc>
          <w:tcPr>
            <w:tcW w:w="850" w:type="dxa"/>
            <w:tcBorders>
              <w:top w:val="nil"/>
              <w:left w:val="single" w:sz="4" w:space="0" w:color="auto"/>
              <w:bottom w:val="nil"/>
              <w:right w:val="single" w:sz="4" w:space="0" w:color="auto"/>
            </w:tcBorders>
            <w:shd w:val="clear" w:color="auto" w:fill="auto"/>
            <w:vAlign w:val="bottom"/>
            <w:hideMark/>
          </w:tcPr>
          <w:p w14:paraId="1711B791" w14:textId="77777777" w:rsidR="00F25246" w:rsidRPr="00F25246" w:rsidRDefault="00F25246" w:rsidP="00717AB5">
            <w:pPr>
              <w:ind w:left="-104"/>
              <w:jc w:val="right"/>
              <w:rPr>
                <w:sz w:val="14"/>
                <w:szCs w:val="14"/>
                <w:lang w:eastAsia="tr-TR"/>
              </w:rPr>
            </w:pPr>
            <w:r w:rsidRPr="00F25246">
              <w:rPr>
                <w:sz w:val="14"/>
                <w:szCs w:val="14"/>
                <w:lang w:eastAsia="tr-TR"/>
              </w:rPr>
              <w:t>165,177</w:t>
            </w:r>
          </w:p>
        </w:tc>
        <w:tc>
          <w:tcPr>
            <w:tcW w:w="851" w:type="dxa"/>
            <w:tcBorders>
              <w:top w:val="nil"/>
              <w:left w:val="single" w:sz="4" w:space="0" w:color="auto"/>
              <w:bottom w:val="nil"/>
              <w:right w:val="single" w:sz="4" w:space="0" w:color="auto"/>
            </w:tcBorders>
            <w:shd w:val="clear" w:color="auto" w:fill="auto"/>
            <w:vAlign w:val="bottom"/>
            <w:hideMark/>
          </w:tcPr>
          <w:p w14:paraId="1DBC04A7" w14:textId="77777777" w:rsidR="00F25246" w:rsidRPr="00F25246" w:rsidRDefault="00F25246" w:rsidP="00717AB5">
            <w:pPr>
              <w:ind w:left="-104"/>
              <w:jc w:val="right"/>
              <w:rPr>
                <w:sz w:val="14"/>
                <w:szCs w:val="14"/>
                <w:lang w:eastAsia="tr-TR"/>
              </w:rPr>
            </w:pPr>
            <w:r w:rsidRPr="00F25246">
              <w:rPr>
                <w:sz w:val="14"/>
                <w:szCs w:val="14"/>
                <w:lang w:eastAsia="tr-TR"/>
              </w:rPr>
              <w:t>183,947</w:t>
            </w:r>
          </w:p>
        </w:tc>
      </w:tr>
      <w:tr w:rsidR="00F25246" w:rsidRPr="00F25246" w14:paraId="3E49CEBC"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378B355E" w14:textId="77777777" w:rsidR="00F25246" w:rsidRPr="00F25246" w:rsidRDefault="00F25246" w:rsidP="00F25246">
            <w:pPr>
              <w:rPr>
                <w:color w:val="000000"/>
                <w:sz w:val="14"/>
                <w:szCs w:val="14"/>
                <w:lang w:eastAsia="tr-TR"/>
              </w:rPr>
            </w:pPr>
            <w:r w:rsidRPr="00F25246">
              <w:rPr>
                <w:color w:val="000000"/>
                <w:sz w:val="14"/>
                <w:szCs w:val="14"/>
                <w:lang w:eastAsia="tr-TR"/>
              </w:rPr>
              <w:t>1.4.2.</w:t>
            </w:r>
          </w:p>
        </w:tc>
        <w:tc>
          <w:tcPr>
            <w:tcW w:w="3356" w:type="dxa"/>
            <w:tcBorders>
              <w:top w:val="nil"/>
              <w:left w:val="single" w:sz="4" w:space="0" w:color="auto"/>
              <w:bottom w:val="nil"/>
              <w:right w:val="single" w:sz="4" w:space="0" w:color="auto"/>
            </w:tcBorders>
            <w:shd w:val="clear" w:color="auto" w:fill="auto"/>
            <w:vAlign w:val="center"/>
            <w:hideMark/>
          </w:tcPr>
          <w:p w14:paraId="728B3BC6" w14:textId="77777777" w:rsidR="00F25246" w:rsidRPr="00F25246" w:rsidRDefault="00F25246" w:rsidP="00F25246">
            <w:pPr>
              <w:rPr>
                <w:color w:val="000000"/>
                <w:sz w:val="14"/>
                <w:szCs w:val="14"/>
                <w:lang w:eastAsia="tr-TR"/>
              </w:rPr>
            </w:pPr>
            <w:r w:rsidRPr="00F25246">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628118F5"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0DA75CED"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8A4B57B"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1D3112B"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9465E28"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B9725EF"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0970FE7" w14:textId="77777777" w:rsidR="00F25246" w:rsidRPr="00F25246" w:rsidRDefault="00F25246" w:rsidP="00717AB5">
            <w:pPr>
              <w:ind w:left="-104"/>
              <w:jc w:val="right"/>
              <w:rPr>
                <w:sz w:val="14"/>
                <w:szCs w:val="14"/>
                <w:lang w:eastAsia="tr-TR"/>
              </w:rPr>
            </w:pPr>
            <w:r w:rsidRPr="00F25246">
              <w:rPr>
                <w:sz w:val="14"/>
                <w:szCs w:val="14"/>
                <w:lang w:eastAsia="tr-TR"/>
              </w:rPr>
              <w:t>-</w:t>
            </w:r>
          </w:p>
        </w:tc>
      </w:tr>
      <w:tr w:rsidR="00F25246" w:rsidRPr="00F25246" w14:paraId="6E7C092D"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308CD685"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II.</w:t>
            </w:r>
          </w:p>
        </w:tc>
        <w:tc>
          <w:tcPr>
            <w:tcW w:w="3356" w:type="dxa"/>
            <w:tcBorders>
              <w:top w:val="nil"/>
              <w:left w:val="single" w:sz="4" w:space="0" w:color="auto"/>
              <w:bottom w:val="nil"/>
              <w:right w:val="single" w:sz="4" w:space="0" w:color="auto"/>
            </w:tcBorders>
            <w:shd w:val="clear" w:color="auto" w:fill="auto"/>
            <w:vAlign w:val="center"/>
            <w:hideMark/>
          </w:tcPr>
          <w:p w14:paraId="260E718D"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132701C5"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(5.1.5.)</w:t>
            </w:r>
          </w:p>
        </w:tc>
        <w:tc>
          <w:tcPr>
            <w:tcW w:w="810" w:type="dxa"/>
            <w:tcBorders>
              <w:top w:val="nil"/>
              <w:left w:val="single" w:sz="4" w:space="0" w:color="auto"/>
              <w:bottom w:val="nil"/>
              <w:right w:val="single" w:sz="4" w:space="0" w:color="auto"/>
            </w:tcBorders>
            <w:shd w:val="clear" w:color="auto" w:fill="auto"/>
            <w:vAlign w:val="bottom"/>
            <w:hideMark/>
          </w:tcPr>
          <w:p w14:paraId="5A7BAA59" w14:textId="77777777" w:rsidR="00F25246" w:rsidRPr="00F25246" w:rsidRDefault="00F25246" w:rsidP="00717AB5">
            <w:pPr>
              <w:ind w:left="-104"/>
              <w:jc w:val="right"/>
              <w:rPr>
                <w:b/>
                <w:bCs/>
                <w:sz w:val="14"/>
                <w:szCs w:val="14"/>
                <w:lang w:eastAsia="tr-TR"/>
              </w:rPr>
            </w:pPr>
            <w:r w:rsidRPr="00F25246">
              <w:rPr>
                <w:b/>
                <w:bCs/>
                <w:sz w:val="14"/>
                <w:szCs w:val="14"/>
                <w:lang w:eastAsia="tr-TR"/>
              </w:rPr>
              <w:t>50,299,028</w:t>
            </w:r>
          </w:p>
        </w:tc>
        <w:tc>
          <w:tcPr>
            <w:tcW w:w="851" w:type="dxa"/>
            <w:tcBorders>
              <w:top w:val="nil"/>
              <w:left w:val="single" w:sz="4" w:space="0" w:color="auto"/>
              <w:bottom w:val="nil"/>
              <w:right w:val="single" w:sz="4" w:space="0" w:color="auto"/>
            </w:tcBorders>
            <w:shd w:val="clear" w:color="auto" w:fill="auto"/>
            <w:vAlign w:val="bottom"/>
            <w:hideMark/>
          </w:tcPr>
          <w:p w14:paraId="5542F29F" w14:textId="77777777" w:rsidR="00F25246" w:rsidRPr="00F25246" w:rsidRDefault="00F25246" w:rsidP="00717AB5">
            <w:pPr>
              <w:ind w:left="-104"/>
              <w:jc w:val="right"/>
              <w:rPr>
                <w:b/>
                <w:bCs/>
                <w:sz w:val="14"/>
                <w:szCs w:val="14"/>
                <w:lang w:eastAsia="tr-TR"/>
              </w:rPr>
            </w:pPr>
            <w:r w:rsidRPr="00F25246">
              <w:rPr>
                <w:b/>
                <w:bCs/>
                <w:sz w:val="14"/>
                <w:szCs w:val="14"/>
                <w:lang w:eastAsia="tr-TR"/>
              </w:rPr>
              <w:t>29,401,145</w:t>
            </w:r>
          </w:p>
        </w:tc>
        <w:tc>
          <w:tcPr>
            <w:tcW w:w="850" w:type="dxa"/>
            <w:tcBorders>
              <w:top w:val="nil"/>
              <w:left w:val="single" w:sz="4" w:space="0" w:color="auto"/>
              <w:bottom w:val="nil"/>
              <w:right w:val="single" w:sz="4" w:space="0" w:color="auto"/>
            </w:tcBorders>
            <w:shd w:val="clear" w:color="auto" w:fill="auto"/>
            <w:vAlign w:val="bottom"/>
            <w:hideMark/>
          </w:tcPr>
          <w:p w14:paraId="046292E2" w14:textId="77777777" w:rsidR="00F25246" w:rsidRPr="00F25246" w:rsidRDefault="00F25246" w:rsidP="00717AB5">
            <w:pPr>
              <w:ind w:left="-104"/>
              <w:jc w:val="right"/>
              <w:rPr>
                <w:b/>
                <w:bCs/>
                <w:sz w:val="14"/>
                <w:szCs w:val="14"/>
                <w:lang w:eastAsia="tr-TR"/>
              </w:rPr>
            </w:pPr>
            <w:r w:rsidRPr="00F25246">
              <w:rPr>
                <w:b/>
                <w:bCs/>
                <w:sz w:val="14"/>
                <w:szCs w:val="14"/>
                <w:lang w:eastAsia="tr-TR"/>
              </w:rPr>
              <w:t>79,700,173</w:t>
            </w:r>
          </w:p>
        </w:tc>
        <w:tc>
          <w:tcPr>
            <w:tcW w:w="851" w:type="dxa"/>
            <w:tcBorders>
              <w:top w:val="nil"/>
              <w:left w:val="single" w:sz="4" w:space="0" w:color="auto"/>
              <w:bottom w:val="nil"/>
              <w:right w:val="single" w:sz="4" w:space="0" w:color="auto"/>
            </w:tcBorders>
            <w:shd w:val="clear" w:color="auto" w:fill="auto"/>
            <w:vAlign w:val="bottom"/>
            <w:hideMark/>
          </w:tcPr>
          <w:p w14:paraId="54A9A8C4" w14:textId="77777777" w:rsidR="00F25246" w:rsidRPr="00F25246" w:rsidRDefault="00F25246" w:rsidP="00717AB5">
            <w:pPr>
              <w:ind w:left="-104"/>
              <w:jc w:val="right"/>
              <w:rPr>
                <w:b/>
                <w:bCs/>
                <w:sz w:val="14"/>
                <w:szCs w:val="14"/>
                <w:lang w:eastAsia="tr-TR"/>
              </w:rPr>
            </w:pPr>
            <w:r w:rsidRPr="00F25246">
              <w:rPr>
                <w:b/>
                <w:bCs/>
                <w:sz w:val="14"/>
                <w:szCs w:val="14"/>
                <w:lang w:eastAsia="tr-TR"/>
              </w:rPr>
              <w:t>32,535,710</w:t>
            </w:r>
          </w:p>
        </w:tc>
        <w:tc>
          <w:tcPr>
            <w:tcW w:w="850" w:type="dxa"/>
            <w:tcBorders>
              <w:top w:val="nil"/>
              <w:left w:val="single" w:sz="4" w:space="0" w:color="auto"/>
              <w:bottom w:val="nil"/>
              <w:right w:val="single" w:sz="4" w:space="0" w:color="auto"/>
            </w:tcBorders>
            <w:shd w:val="clear" w:color="auto" w:fill="auto"/>
            <w:vAlign w:val="bottom"/>
            <w:hideMark/>
          </w:tcPr>
          <w:p w14:paraId="0BBC37AE" w14:textId="77777777" w:rsidR="00F25246" w:rsidRPr="00F25246" w:rsidRDefault="00F25246" w:rsidP="00717AB5">
            <w:pPr>
              <w:ind w:left="-104"/>
              <w:jc w:val="right"/>
              <w:rPr>
                <w:b/>
                <w:bCs/>
                <w:sz w:val="14"/>
                <w:szCs w:val="14"/>
                <w:lang w:eastAsia="tr-TR"/>
              </w:rPr>
            </w:pPr>
            <w:r w:rsidRPr="00F25246">
              <w:rPr>
                <w:b/>
                <w:bCs/>
                <w:sz w:val="14"/>
                <w:szCs w:val="14"/>
                <w:lang w:eastAsia="tr-TR"/>
              </w:rPr>
              <w:t>25,009,784</w:t>
            </w:r>
          </w:p>
        </w:tc>
        <w:tc>
          <w:tcPr>
            <w:tcW w:w="851" w:type="dxa"/>
            <w:tcBorders>
              <w:top w:val="nil"/>
              <w:left w:val="single" w:sz="4" w:space="0" w:color="auto"/>
              <w:bottom w:val="nil"/>
              <w:right w:val="single" w:sz="4" w:space="0" w:color="auto"/>
            </w:tcBorders>
            <w:shd w:val="clear" w:color="auto" w:fill="auto"/>
            <w:vAlign w:val="bottom"/>
            <w:hideMark/>
          </w:tcPr>
          <w:p w14:paraId="4EB0C4D5" w14:textId="77777777" w:rsidR="00F25246" w:rsidRPr="00F25246" w:rsidRDefault="00F25246" w:rsidP="00717AB5">
            <w:pPr>
              <w:ind w:left="-104"/>
              <w:jc w:val="right"/>
              <w:rPr>
                <w:b/>
                <w:bCs/>
                <w:sz w:val="14"/>
                <w:szCs w:val="14"/>
                <w:lang w:eastAsia="tr-TR"/>
              </w:rPr>
            </w:pPr>
            <w:r w:rsidRPr="00F25246">
              <w:rPr>
                <w:b/>
                <w:bCs/>
                <w:sz w:val="14"/>
                <w:szCs w:val="14"/>
                <w:lang w:eastAsia="tr-TR"/>
              </w:rPr>
              <w:t>57,545,494</w:t>
            </w:r>
          </w:p>
        </w:tc>
      </w:tr>
      <w:tr w:rsidR="00F25246" w:rsidRPr="00F25246" w14:paraId="12657EC9"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2778EF79"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2.1.</w:t>
            </w:r>
          </w:p>
        </w:tc>
        <w:tc>
          <w:tcPr>
            <w:tcW w:w="3356" w:type="dxa"/>
            <w:tcBorders>
              <w:top w:val="nil"/>
              <w:left w:val="single" w:sz="4" w:space="0" w:color="auto"/>
              <w:bottom w:val="nil"/>
              <w:right w:val="single" w:sz="4" w:space="0" w:color="auto"/>
            </w:tcBorders>
            <w:shd w:val="clear" w:color="auto" w:fill="auto"/>
            <w:noWrap/>
            <w:vAlign w:val="center"/>
            <w:hideMark/>
          </w:tcPr>
          <w:p w14:paraId="6587ACA0"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vAlign w:val="center"/>
            <w:hideMark/>
          </w:tcPr>
          <w:p w14:paraId="20F674C2" w14:textId="77777777" w:rsidR="00F25246" w:rsidRPr="00F25246" w:rsidRDefault="00F25246" w:rsidP="00F25246">
            <w:pPr>
              <w:rPr>
                <w:b/>
                <w:bCs/>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29E9E8E8" w14:textId="77777777" w:rsidR="00F25246" w:rsidRPr="00F25246" w:rsidRDefault="00F25246" w:rsidP="00717AB5">
            <w:pPr>
              <w:ind w:left="-104"/>
              <w:jc w:val="right"/>
              <w:rPr>
                <w:b/>
                <w:bCs/>
                <w:sz w:val="14"/>
                <w:szCs w:val="14"/>
                <w:lang w:eastAsia="tr-TR"/>
              </w:rPr>
            </w:pPr>
            <w:r w:rsidRPr="00F25246">
              <w:rPr>
                <w:b/>
                <w:bCs/>
                <w:sz w:val="14"/>
                <w:szCs w:val="14"/>
                <w:lang w:eastAsia="tr-TR"/>
              </w:rPr>
              <w:t>51,775,823</w:t>
            </w:r>
          </w:p>
        </w:tc>
        <w:tc>
          <w:tcPr>
            <w:tcW w:w="851" w:type="dxa"/>
            <w:tcBorders>
              <w:top w:val="nil"/>
              <w:left w:val="single" w:sz="4" w:space="0" w:color="auto"/>
              <w:bottom w:val="nil"/>
              <w:right w:val="single" w:sz="4" w:space="0" w:color="auto"/>
            </w:tcBorders>
            <w:shd w:val="clear" w:color="auto" w:fill="auto"/>
            <w:vAlign w:val="bottom"/>
            <w:hideMark/>
          </w:tcPr>
          <w:p w14:paraId="0D98C920" w14:textId="77777777" w:rsidR="00F25246" w:rsidRPr="00F25246" w:rsidRDefault="00F25246" w:rsidP="00717AB5">
            <w:pPr>
              <w:ind w:left="-104"/>
              <w:jc w:val="right"/>
              <w:rPr>
                <w:b/>
                <w:bCs/>
                <w:sz w:val="14"/>
                <w:szCs w:val="14"/>
                <w:lang w:eastAsia="tr-TR"/>
              </w:rPr>
            </w:pPr>
            <w:r w:rsidRPr="00F25246">
              <w:rPr>
                <w:b/>
                <w:bCs/>
                <w:sz w:val="14"/>
                <w:szCs w:val="14"/>
                <w:lang w:eastAsia="tr-TR"/>
              </w:rPr>
              <w:t>22,273,202</w:t>
            </w:r>
          </w:p>
        </w:tc>
        <w:tc>
          <w:tcPr>
            <w:tcW w:w="850" w:type="dxa"/>
            <w:tcBorders>
              <w:top w:val="nil"/>
              <w:left w:val="single" w:sz="4" w:space="0" w:color="auto"/>
              <w:bottom w:val="nil"/>
              <w:right w:val="single" w:sz="4" w:space="0" w:color="auto"/>
            </w:tcBorders>
            <w:shd w:val="clear" w:color="auto" w:fill="auto"/>
            <w:vAlign w:val="bottom"/>
            <w:hideMark/>
          </w:tcPr>
          <w:p w14:paraId="396896FC" w14:textId="77777777" w:rsidR="00F25246" w:rsidRPr="00F25246" w:rsidRDefault="00F25246" w:rsidP="00717AB5">
            <w:pPr>
              <w:ind w:left="-104"/>
              <w:jc w:val="right"/>
              <w:rPr>
                <w:b/>
                <w:bCs/>
                <w:sz w:val="14"/>
                <w:szCs w:val="14"/>
                <w:lang w:eastAsia="tr-TR"/>
              </w:rPr>
            </w:pPr>
            <w:r w:rsidRPr="00F25246">
              <w:rPr>
                <w:b/>
                <w:bCs/>
                <w:sz w:val="14"/>
                <w:szCs w:val="14"/>
                <w:lang w:eastAsia="tr-TR"/>
              </w:rPr>
              <w:t>74,049,025</w:t>
            </w:r>
          </w:p>
        </w:tc>
        <w:tc>
          <w:tcPr>
            <w:tcW w:w="851" w:type="dxa"/>
            <w:tcBorders>
              <w:top w:val="nil"/>
              <w:left w:val="single" w:sz="4" w:space="0" w:color="auto"/>
              <w:bottom w:val="nil"/>
              <w:right w:val="single" w:sz="4" w:space="0" w:color="auto"/>
            </w:tcBorders>
            <w:shd w:val="clear" w:color="auto" w:fill="auto"/>
            <w:vAlign w:val="bottom"/>
            <w:hideMark/>
          </w:tcPr>
          <w:p w14:paraId="7C750A86" w14:textId="77777777" w:rsidR="00F25246" w:rsidRPr="00F25246" w:rsidRDefault="00F25246" w:rsidP="00717AB5">
            <w:pPr>
              <w:ind w:left="-104"/>
              <w:jc w:val="right"/>
              <w:rPr>
                <w:b/>
                <w:bCs/>
                <w:sz w:val="14"/>
                <w:szCs w:val="14"/>
                <w:lang w:eastAsia="tr-TR"/>
              </w:rPr>
            </w:pPr>
            <w:r w:rsidRPr="00F25246">
              <w:rPr>
                <w:b/>
                <w:bCs/>
                <w:sz w:val="14"/>
                <w:szCs w:val="14"/>
                <w:lang w:eastAsia="tr-TR"/>
              </w:rPr>
              <w:t>33,532,383</w:t>
            </w:r>
          </w:p>
        </w:tc>
        <w:tc>
          <w:tcPr>
            <w:tcW w:w="850" w:type="dxa"/>
            <w:tcBorders>
              <w:top w:val="nil"/>
              <w:left w:val="single" w:sz="4" w:space="0" w:color="auto"/>
              <w:bottom w:val="nil"/>
              <w:right w:val="single" w:sz="4" w:space="0" w:color="auto"/>
            </w:tcBorders>
            <w:shd w:val="clear" w:color="auto" w:fill="auto"/>
            <w:vAlign w:val="bottom"/>
            <w:hideMark/>
          </w:tcPr>
          <w:p w14:paraId="3121B3BC" w14:textId="77777777" w:rsidR="00F25246" w:rsidRPr="00F25246" w:rsidRDefault="00F25246" w:rsidP="00717AB5">
            <w:pPr>
              <w:ind w:left="-104"/>
              <w:jc w:val="right"/>
              <w:rPr>
                <w:b/>
                <w:bCs/>
                <w:sz w:val="14"/>
                <w:szCs w:val="14"/>
                <w:lang w:eastAsia="tr-TR"/>
              </w:rPr>
            </w:pPr>
            <w:r w:rsidRPr="00F25246">
              <w:rPr>
                <w:b/>
                <w:bCs/>
                <w:sz w:val="14"/>
                <w:szCs w:val="14"/>
                <w:lang w:eastAsia="tr-TR"/>
              </w:rPr>
              <w:t>21,686,066</w:t>
            </w:r>
          </w:p>
        </w:tc>
        <w:tc>
          <w:tcPr>
            <w:tcW w:w="851" w:type="dxa"/>
            <w:tcBorders>
              <w:top w:val="nil"/>
              <w:left w:val="single" w:sz="4" w:space="0" w:color="auto"/>
              <w:bottom w:val="nil"/>
              <w:right w:val="single" w:sz="4" w:space="0" w:color="auto"/>
            </w:tcBorders>
            <w:shd w:val="clear" w:color="auto" w:fill="auto"/>
            <w:vAlign w:val="bottom"/>
            <w:hideMark/>
          </w:tcPr>
          <w:p w14:paraId="74F91347" w14:textId="77777777" w:rsidR="00F25246" w:rsidRPr="00F25246" w:rsidRDefault="00F25246" w:rsidP="00717AB5">
            <w:pPr>
              <w:ind w:left="-104"/>
              <w:jc w:val="right"/>
              <w:rPr>
                <w:b/>
                <w:bCs/>
                <w:sz w:val="14"/>
                <w:szCs w:val="14"/>
                <w:lang w:eastAsia="tr-TR"/>
              </w:rPr>
            </w:pPr>
            <w:r w:rsidRPr="00F25246">
              <w:rPr>
                <w:b/>
                <w:bCs/>
                <w:sz w:val="14"/>
                <w:szCs w:val="14"/>
                <w:lang w:eastAsia="tr-TR"/>
              </w:rPr>
              <w:t>55,218,449</w:t>
            </w:r>
          </w:p>
        </w:tc>
      </w:tr>
      <w:tr w:rsidR="00F25246" w:rsidRPr="00F25246" w14:paraId="25EFAE6D"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5ABD9F63"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2.2.</w:t>
            </w:r>
          </w:p>
        </w:tc>
        <w:tc>
          <w:tcPr>
            <w:tcW w:w="3356" w:type="dxa"/>
            <w:tcBorders>
              <w:top w:val="nil"/>
              <w:left w:val="single" w:sz="4" w:space="0" w:color="auto"/>
              <w:bottom w:val="nil"/>
              <w:right w:val="single" w:sz="4" w:space="0" w:color="auto"/>
            </w:tcBorders>
            <w:shd w:val="clear" w:color="auto" w:fill="auto"/>
            <w:vAlign w:val="center"/>
            <w:hideMark/>
          </w:tcPr>
          <w:p w14:paraId="379885E9"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vAlign w:val="center"/>
            <w:hideMark/>
          </w:tcPr>
          <w:p w14:paraId="71561987"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(5.1.10.)</w:t>
            </w:r>
          </w:p>
        </w:tc>
        <w:tc>
          <w:tcPr>
            <w:tcW w:w="810" w:type="dxa"/>
            <w:tcBorders>
              <w:top w:val="nil"/>
              <w:left w:val="single" w:sz="4" w:space="0" w:color="auto"/>
              <w:bottom w:val="nil"/>
              <w:right w:val="single" w:sz="4" w:space="0" w:color="auto"/>
            </w:tcBorders>
            <w:shd w:val="clear" w:color="auto" w:fill="auto"/>
            <w:vAlign w:val="bottom"/>
            <w:hideMark/>
          </w:tcPr>
          <w:p w14:paraId="0F1E40BD" w14:textId="77777777" w:rsidR="00F25246" w:rsidRPr="00F25246" w:rsidRDefault="00F25246" w:rsidP="00717AB5">
            <w:pPr>
              <w:ind w:left="-104"/>
              <w:jc w:val="right"/>
              <w:rPr>
                <w:b/>
                <w:bCs/>
                <w:sz w:val="14"/>
                <w:szCs w:val="14"/>
                <w:lang w:eastAsia="tr-TR"/>
              </w:rPr>
            </w:pPr>
            <w:r w:rsidRPr="00F25246">
              <w:rPr>
                <w:b/>
                <w:bCs/>
                <w:sz w:val="14"/>
                <w:szCs w:val="14"/>
                <w:lang w:eastAsia="tr-TR"/>
              </w:rPr>
              <w:t>2,374,498</w:t>
            </w:r>
          </w:p>
        </w:tc>
        <w:tc>
          <w:tcPr>
            <w:tcW w:w="851" w:type="dxa"/>
            <w:tcBorders>
              <w:top w:val="nil"/>
              <w:left w:val="single" w:sz="4" w:space="0" w:color="auto"/>
              <w:bottom w:val="nil"/>
              <w:right w:val="single" w:sz="4" w:space="0" w:color="auto"/>
            </w:tcBorders>
            <w:shd w:val="clear" w:color="auto" w:fill="auto"/>
            <w:vAlign w:val="bottom"/>
            <w:hideMark/>
          </w:tcPr>
          <w:p w14:paraId="16A64D55" w14:textId="77777777" w:rsidR="00F25246" w:rsidRPr="00F25246" w:rsidRDefault="00F25246" w:rsidP="00717AB5">
            <w:pPr>
              <w:ind w:left="-104"/>
              <w:jc w:val="right"/>
              <w:rPr>
                <w:b/>
                <w:bCs/>
                <w:sz w:val="14"/>
                <w:szCs w:val="14"/>
                <w:lang w:eastAsia="tr-TR"/>
              </w:rPr>
            </w:pPr>
            <w:r w:rsidRPr="00F25246">
              <w:rPr>
                <w:b/>
                <w:bCs/>
                <w:sz w:val="14"/>
                <w:szCs w:val="14"/>
                <w:lang w:eastAsia="tr-TR"/>
              </w:rPr>
              <w:t>2,509,191</w:t>
            </w:r>
          </w:p>
        </w:tc>
        <w:tc>
          <w:tcPr>
            <w:tcW w:w="850" w:type="dxa"/>
            <w:tcBorders>
              <w:top w:val="nil"/>
              <w:left w:val="single" w:sz="4" w:space="0" w:color="auto"/>
              <w:bottom w:val="nil"/>
              <w:right w:val="single" w:sz="4" w:space="0" w:color="auto"/>
            </w:tcBorders>
            <w:shd w:val="clear" w:color="auto" w:fill="auto"/>
            <w:vAlign w:val="bottom"/>
            <w:hideMark/>
          </w:tcPr>
          <w:p w14:paraId="04F171FA" w14:textId="77777777" w:rsidR="00F25246" w:rsidRPr="00F25246" w:rsidRDefault="00F25246" w:rsidP="00717AB5">
            <w:pPr>
              <w:ind w:left="-104"/>
              <w:jc w:val="right"/>
              <w:rPr>
                <w:b/>
                <w:bCs/>
                <w:sz w:val="14"/>
                <w:szCs w:val="14"/>
                <w:lang w:eastAsia="tr-TR"/>
              </w:rPr>
            </w:pPr>
            <w:r w:rsidRPr="00F25246">
              <w:rPr>
                <w:b/>
                <w:bCs/>
                <w:sz w:val="14"/>
                <w:szCs w:val="14"/>
                <w:lang w:eastAsia="tr-TR"/>
              </w:rPr>
              <w:t>4,883,689</w:t>
            </w:r>
          </w:p>
        </w:tc>
        <w:tc>
          <w:tcPr>
            <w:tcW w:w="851" w:type="dxa"/>
            <w:tcBorders>
              <w:top w:val="nil"/>
              <w:left w:val="single" w:sz="4" w:space="0" w:color="auto"/>
              <w:bottom w:val="nil"/>
              <w:right w:val="single" w:sz="4" w:space="0" w:color="auto"/>
            </w:tcBorders>
            <w:shd w:val="clear" w:color="auto" w:fill="auto"/>
            <w:vAlign w:val="bottom"/>
            <w:hideMark/>
          </w:tcPr>
          <w:p w14:paraId="3DAE2ADC" w14:textId="77777777" w:rsidR="00F25246" w:rsidRPr="00F25246" w:rsidRDefault="00F25246" w:rsidP="00717AB5">
            <w:pPr>
              <w:ind w:left="-104"/>
              <w:jc w:val="right"/>
              <w:rPr>
                <w:b/>
                <w:bCs/>
                <w:sz w:val="14"/>
                <w:szCs w:val="14"/>
                <w:lang w:eastAsia="tr-TR"/>
              </w:rPr>
            </w:pPr>
            <w:r w:rsidRPr="00F25246">
              <w:rPr>
                <w:b/>
                <w:bCs/>
                <w:sz w:val="14"/>
                <w:szCs w:val="14"/>
                <w:lang w:eastAsia="tr-TR"/>
              </w:rPr>
              <w:t>1,406,165</w:t>
            </w:r>
          </w:p>
        </w:tc>
        <w:tc>
          <w:tcPr>
            <w:tcW w:w="850" w:type="dxa"/>
            <w:tcBorders>
              <w:top w:val="nil"/>
              <w:left w:val="single" w:sz="4" w:space="0" w:color="auto"/>
              <w:bottom w:val="nil"/>
              <w:right w:val="single" w:sz="4" w:space="0" w:color="auto"/>
            </w:tcBorders>
            <w:shd w:val="clear" w:color="auto" w:fill="auto"/>
            <w:vAlign w:val="bottom"/>
            <w:hideMark/>
          </w:tcPr>
          <w:p w14:paraId="5DAF05BF" w14:textId="77777777" w:rsidR="00F25246" w:rsidRPr="00F25246" w:rsidRDefault="00F25246" w:rsidP="00717AB5">
            <w:pPr>
              <w:ind w:left="-104"/>
              <w:jc w:val="right"/>
              <w:rPr>
                <w:b/>
                <w:bCs/>
                <w:sz w:val="14"/>
                <w:szCs w:val="14"/>
                <w:lang w:eastAsia="tr-TR"/>
              </w:rPr>
            </w:pPr>
            <w:r w:rsidRPr="00F25246">
              <w:rPr>
                <w:b/>
                <w:bCs/>
                <w:sz w:val="14"/>
                <w:szCs w:val="14"/>
                <w:lang w:eastAsia="tr-TR"/>
              </w:rPr>
              <w:t>1,301,355</w:t>
            </w:r>
          </w:p>
        </w:tc>
        <w:tc>
          <w:tcPr>
            <w:tcW w:w="851" w:type="dxa"/>
            <w:tcBorders>
              <w:top w:val="nil"/>
              <w:left w:val="single" w:sz="4" w:space="0" w:color="auto"/>
              <w:bottom w:val="nil"/>
              <w:right w:val="single" w:sz="4" w:space="0" w:color="auto"/>
            </w:tcBorders>
            <w:shd w:val="clear" w:color="auto" w:fill="auto"/>
            <w:vAlign w:val="bottom"/>
            <w:hideMark/>
          </w:tcPr>
          <w:p w14:paraId="1E7C69B3" w14:textId="77777777" w:rsidR="00F25246" w:rsidRPr="00F25246" w:rsidRDefault="00F25246" w:rsidP="00717AB5">
            <w:pPr>
              <w:ind w:left="-104"/>
              <w:jc w:val="right"/>
              <w:rPr>
                <w:b/>
                <w:bCs/>
                <w:sz w:val="14"/>
                <w:szCs w:val="14"/>
                <w:lang w:eastAsia="tr-TR"/>
              </w:rPr>
            </w:pPr>
            <w:r w:rsidRPr="00F25246">
              <w:rPr>
                <w:b/>
                <w:bCs/>
                <w:sz w:val="14"/>
                <w:szCs w:val="14"/>
                <w:lang w:eastAsia="tr-TR"/>
              </w:rPr>
              <w:t>2,707,520</w:t>
            </w:r>
          </w:p>
        </w:tc>
      </w:tr>
      <w:tr w:rsidR="00F25246" w:rsidRPr="00F25246" w14:paraId="7026A50F"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7703607D"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2.3.</w:t>
            </w:r>
          </w:p>
        </w:tc>
        <w:tc>
          <w:tcPr>
            <w:tcW w:w="3356" w:type="dxa"/>
            <w:tcBorders>
              <w:top w:val="nil"/>
              <w:left w:val="single" w:sz="4" w:space="0" w:color="auto"/>
              <w:bottom w:val="nil"/>
              <w:right w:val="single" w:sz="4" w:space="0" w:color="auto"/>
            </w:tcBorders>
            <w:shd w:val="clear" w:color="auto" w:fill="auto"/>
            <w:vAlign w:val="center"/>
            <w:hideMark/>
          </w:tcPr>
          <w:p w14:paraId="579993E5"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39CB9507"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(5.1.6.)</w:t>
            </w:r>
          </w:p>
        </w:tc>
        <w:tc>
          <w:tcPr>
            <w:tcW w:w="810" w:type="dxa"/>
            <w:tcBorders>
              <w:top w:val="nil"/>
              <w:left w:val="single" w:sz="4" w:space="0" w:color="auto"/>
              <w:bottom w:val="nil"/>
              <w:right w:val="single" w:sz="4" w:space="0" w:color="auto"/>
            </w:tcBorders>
            <w:shd w:val="clear" w:color="auto" w:fill="auto"/>
            <w:vAlign w:val="bottom"/>
            <w:hideMark/>
          </w:tcPr>
          <w:p w14:paraId="52210967"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872A8C8" w14:textId="77777777" w:rsidR="00F25246" w:rsidRPr="00F25246" w:rsidRDefault="00F25246" w:rsidP="00717AB5">
            <w:pPr>
              <w:ind w:left="-104"/>
              <w:jc w:val="right"/>
              <w:rPr>
                <w:b/>
                <w:bCs/>
                <w:sz w:val="14"/>
                <w:szCs w:val="14"/>
                <w:lang w:eastAsia="tr-TR"/>
              </w:rPr>
            </w:pPr>
            <w:r w:rsidRPr="00F25246">
              <w:rPr>
                <w:b/>
                <w:bCs/>
                <w:sz w:val="14"/>
                <w:szCs w:val="14"/>
                <w:lang w:eastAsia="tr-TR"/>
              </w:rPr>
              <w:t>5,999,181</w:t>
            </w:r>
          </w:p>
        </w:tc>
        <w:tc>
          <w:tcPr>
            <w:tcW w:w="850" w:type="dxa"/>
            <w:tcBorders>
              <w:top w:val="nil"/>
              <w:left w:val="single" w:sz="4" w:space="0" w:color="auto"/>
              <w:bottom w:val="nil"/>
              <w:right w:val="single" w:sz="4" w:space="0" w:color="auto"/>
            </w:tcBorders>
            <w:shd w:val="clear" w:color="auto" w:fill="auto"/>
            <w:vAlign w:val="bottom"/>
            <w:hideMark/>
          </w:tcPr>
          <w:p w14:paraId="41C1DDDE" w14:textId="77777777" w:rsidR="00F25246" w:rsidRPr="00F25246" w:rsidRDefault="00F25246" w:rsidP="00717AB5">
            <w:pPr>
              <w:ind w:left="-104"/>
              <w:jc w:val="right"/>
              <w:rPr>
                <w:b/>
                <w:bCs/>
                <w:sz w:val="14"/>
                <w:szCs w:val="14"/>
                <w:lang w:eastAsia="tr-TR"/>
              </w:rPr>
            </w:pPr>
            <w:r w:rsidRPr="00F25246">
              <w:rPr>
                <w:b/>
                <w:bCs/>
                <w:sz w:val="14"/>
                <w:szCs w:val="14"/>
                <w:lang w:eastAsia="tr-TR"/>
              </w:rPr>
              <w:t>5,999,181</w:t>
            </w:r>
          </w:p>
        </w:tc>
        <w:tc>
          <w:tcPr>
            <w:tcW w:w="851" w:type="dxa"/>
            <w:tcBorders>
              <w:top w:val="nil"/>
              <w:left w:val="single" w:sz="4" w:space="0" w:color="auto"/>
              <w:bottom w:val="nil"/>
              <w:right w:val="single" w:sz="4" w:space="0" w:color="auto"/>
            </w:tcBorders>
            <w:shd w:val="clear" w:color="auto" w:fill="auto"/>
            <w:vAlign w:val="bottom"/>
            <w:hideMark/>
          </w:tcPr>
          <w:p w14:paraId="456965FD"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77A7AAA" w14:textId="77777777" w:rsidR="00F25246" w:rsidRPr="00F25246" w:rsidRDefault="00F25246" w:rsidP="00717AB5">
            <w:pPr>
              <w:ind w:left="-104"/>
              <w:jc w:val="right"/>
              <w:rPr>
                <w:b/>
                <w:bCs/>
                <w:sz w:val="14"/>
                <w:szCs w:val="14"/>
                <w:lang w:eastAsia="tr-TR"/>
              </w:rPr>
            </w:pPr>
            <w:r w:rsidRPr="00F25246">
              <w:rPr>
                <w:b/>
                <w:bCs/>
                <w:sz w:val="14"/>
                <w:szCs w:val="14"/>
                <w:lang w:eastAsia="tr-TR"/>
              </w:rPr>
              <w:t>2,630,914</w:t>
            </w:r>
          </w:p>
        </w:tc>
        <w:tc>
          <w:tcPr>
            <w:tcW w:w="851" w:type="dxa"/>
            <w:tcBorders>
              <w:top w:val="nil"/>
              <w:left w:val="single" w:sz="4" w:space="0" w:color="auto"/>
              <w:bottom w:val="nil"/>
              <w:right w:val="single" w:sz="4" w:space="0" w:color="auto"/>
            </w:tcBorders>
            <w:shd w:val="clear" w:color="auto" w:fill="auto"/>
            <w:vAlign w:val="bottom"/>
            <w:hideMark/>
          </w:tcPr>
          <w:p w14:paraId="30C0D135" w14:textId="77777777" w:rsidR="00F25246" w:rsidRPr="00F25246" w:rsidRDefault="00F25246" w:rsidP="00717AB5">
            <w:pPr>
              <w:ind w:left="-104"/>
              <w:jc w:val="right"/>
              <w:rPr>
                <w:b/>
                <w:bCs/>
                <w:sz w:val="14"/>
                <w:szCs w:val="14"/>
                <w:lang w:eastAsia="tr-TR"/>
              </w:rPr>
            </w:pPr>
            <w:r w:rsidRPr="00F25246">
              <w:rPr>
                <w:b/>
                <w:bCs/>
                <w:sz w:val="14"/>
                <w:szCs w:val="14"/>
                <w:lang w:eastAsia="tr-TR"/>
              </w:rPr>
              <w:t>2,630,914</w:t>
            </w:r>
          </w:p>
        </w:tc>
      </w:tr>
      <w:tr w:rsidR="00F25246" w:rsidRPr="00F25246" w14:paraId="6D02418D"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1597233E" w14:textId="77777777" w:rsidR="00F25246" w:rsidRPr="00F25246" w:rsidRDefault="00F25246" w:rsidP="00F25246">
            <w:pPr>
              <w:rPr>
                <w:color w:val="000000"/>
                <w:sz w:val="14"/>
                <w:szCs w:val="14"/>
                <w:lang w:eastAsia="tr-TR"/>
              </w:rPr>
            </w:pPr>
            <w:r w:rsidRPr="00F25246">
              <w:rPr>
                <w:color w:val="000000"/>
                <w:sz w:val="14"/>
                <w:szCs w:val="14"/>
                <w:lang w:eastAsia="tr-TR"/>
              </w:rPr>
              <w:t>2.3.1.</w:t>
            </w:r>
          </w:p>
        </w:tc>
        <w:tc>
          <w:tcPr>
            <w:tcW w:w="3356" w:type="dxa"/>
            <w:tcBorders>
              <w:top w:val="nil"/>
              <w:left w:val="single" w:sz="4" w:space="0" w:color="auto"/>
              <w:bottom w:val="nil"/>
              <w:right w:val="single" w:sz="4" w:space="0" w:color="auto"/>
            </w:tcBorders>
            <w:shd w:val="clear" w:color="auto" w:fill="auto"/>
            <w:noWrap/>
            <w:vAlign w:val="center"/>
            <w:hideMark/>
          </w:tcPr>
          <w:p w14:paraId="622FBF7D" w14:textId="77777777" w:rsidR="00F25246" w:rsidRPr="00F25246" w:rsidRDefault="00F25246" w:rsidP="00F25246">
            <w:pPr>
              <w:rPr>
                <w:color w:val="000000"/>
                <w:sz w:val="14"/>
                <w:szCs w:val="14"/>
                <w:lang w:eastAsia="tr-TR"/>
              </w:rPr>
            </w:pPr>
            <w:r w:rsidRPr="00F25246">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5CD20091"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7F6C9290"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33FA0FE" w14:textId="77777777" w:rsidR="00F25246" w:rsidRPr="00F25246" w:rsidRDefault="00F25246" w:rsidP="00717AB5">
            <w:pPr>
              <w:ind w:left="-104"/>
              <w:jc w:val="right"/>
              <w:rPr>
                <w:sz w:val="14"/>
                <w:szCs w:val="14"/>
                <w:lang w:eastAsia="tr-TR"/>
              </w:rPr>
            </w:pPr>
            <w:r w:rsidRPr="00F25246">
              <w:rPr>
                <w:sz w:val="14"/>
                <w:szCs w:val="14"/>
                <w:lang w:eastAsia="tr-TR"/>
              </w:rPr>
              <w:t>5,999,181</w:t>
            </w:r>
          </w:p>
        </w:tc>
        <w:tc>
          <w:tcPr>
            <w:tcW w:w="850" w:type="dxa"/>
            <w:tcBorders>
              <w:top w:val="nil"/>
              <w:left w:val="single" w:sz="4" w:space="0" w:color="auto"/>
              <w:bottom w:val="nil"/>
              <w:right w:val="single" w:sz="4" w:space="0" w:color="auto"/>
            </w:tcBorders>
            <w:shd w:val="clear" w:color="auto" w:fill="auto"/>
            <w:vAlign w:val="bottom"/>
            <w:hideMark/>
          </w:tcPr>
          <w:p w14:paraId="3B0FDB5C" w14:textId="77777777" w:rsidR="00F25246" w:rsidRPr="00F25246" w:rsidRDefault="00F25246" w:rsidP="00717AB5">
            <w:pPr>
              <w:ind w:left="-104"/>
              <w:jc w:val="right"/>
              <w:rPr>
                <w:sz w:val="14"/>
                <w:szCs w:val="14"/>
                <w:lang w:eastAsia="tr-TR"/>
              </w:rPr>
            </w:pPr>
            <w:r w:rsidRPr="00F25246">
              <w:rPr>
                <w:sz w:val="14"/>
                <w:szCs w:val="14"/>
                <w:lang w:eastAsia="tr-TR"/>
              </w:rPr>
              <w:t>5,999,181</w:t>
            </w:r>
          </w:p>
        </w:tc>
        <w:tc>
          <w:tcPr>
            <w:tcW w:w="851" w:type="dxa"/>
            <w:tcBorders>
              <w:top w:val="nil"/>
              <w:left w:val="single" w:sz="4" w:space="0" w:color="auto"/>
              <w:bottom w:val="nil"/>
              <w:right w:val="single" w:sz="4" w:space="0" w:color="auto"/>
            </w:tcBorders>
            <w:shd w:val="clear" w:color="auto" w:fill="auto"/>
            <w:vAlign w:val="bottom"/>
            <w:hideMark/>
          </w:tcPr>
          <w:p w14:paraId="6A5F1CE8"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DE4E1DF" w14:textId="77777777" w:rsidR="00F25246" w:rsidRPr="00F25246" w:rsidRDefault="00F25246" w:rsidP="00717AB5">
            <w:pPr>
              <w:ind w:left="-104"/>
              <w:jc w:val="right"/>
              <w:rPr>
                <w:sz w:val="14"/>
                <w:szCs w:val="14"/>
                <w:lang w:eastAsia="tr-TR"/>
              </w:rPr>
            </w:pPr>
            <w:r w:rsidRPr="00F25246">
              <w:rPr>
                <w:sz w:val="14"/>
                <w:szCs w:val="14"/>
                <w:lang w:eastAsia="tr-TR"/>
              </w:rPr>
              <w:t>2,630,914</w:t>
            </w:r>
          </w:p>
        </w:tc>
        <w:tc>
          <w:tcPr>
            <w:tcW w:w="851" w:type="dxa"/>
            <w:tcBorders>
              <w:top w:val="nil"/>
              <w:left w:val="single" w:sz="4" w:space="0" w:color="auto"/>
              <w:bottom w:val="nil"/>
              <w:right w:val="single" w:sz="4" w:space="0" w:color="auto"/>
            </w:tcBorders>
            <w:shd w:val="clear" w:color="auto" w:fill="auto"/>
            <w:vAlign w:val="bottom"/>
            <w:hideMark/>
          </w:tcPr>
          <w:p w14:paraId="30BA0FF0" w14:textId="77777777" w:rsidR="00F25246" w:rsidRPr="00F25246" w:rsidRDefault="00F25246" w:rsidP="00717AB5">
            <w:pPr>
              <w:ind w:left="-104"/>
              <w:jc w:val="right"/>
              <w:rPr>
                <w:sz w:val="14"/>
                <w:szCs w:val="14"/>
                <w:lang w:eastAsia="tr-TR"/>
              </w:rPr>
            </w:pPr>
            <w:r w:rsidRPr="00F25246">
              <w:rPr>
                <w:sz w:val="14"/>
                <w:szCs w:val="14"/>
                <w:lang w:eastAsia="tr-TR"/>
              </w:rPr>
              <w:t>2,630,914</w:t>
            </w:r>
          </w:p>
        </w:tc>
      </w:tr>
      <w:tr w:rsidR="00F25246" w:rsidRPr="00F25246" w14:paraId="290A434E"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0A99B67C" w14:textId="77777777" w:rsidR="00F25246" w:rsidRPr="00F25246" w:rsidRDefault="00F25246" w:rsidP="00F25246">
            <w:pPr>
              <w:rPr>
                <w:color w:val="000000"/>
                <w:sz w:val="14"/>
                <w:szCs w:val="14"/>
                <w:lang w:eastAsia="tr-TR"/>
              </w:rPr>
            </w:pPr>
            <w:r w:rsidRPr="00F25246">
              <w:rPr>
                <w:color w:val="000000"/>
                <w:sz w:val="14"/>
                <w:szCs w:val="14"/>
                <w:lang w:eastAsia="tr-TR"/>
              </w:rPr>
              <w:t>2.3.2.</w:t>
            </w:r>
          </w:p>
        </w:tc>
        <w:tc>
          <w:tcPr>
            <w:tcW w:w="3356" w:type="dxa"/>
            <w:tcBorders>
              <w:top w:val="nil"/>
              <w:left w:val="single" w:sz="4" w:space="0" w:color="auto"/>
              <w:bottom w:val="nil"/>
              <w:right w:val="single" w:sz="4" w:space="0" w:color="auto"/>
            </w:tcBorders>
            <w:shd w:val="clear" w:color="auto" w:fill="auto"/>
            <w:noWrap/>
            <w:vAlign w:val="center"/>
            <w:hideMark/>
          </w:tcPr>
          <w:p w14:paraId="45FA7B0E" w14:textId="77777777" w:rsidR="00F25246" w:rsidRPr="00F25246" w:rsidRDefault="00F25246" w:rsidP="00F25246">
            <w:pPr>
              <w:rPr>
                <w:color w:val="000000"/>
                <w:sz w:val="14"/>
                <w:szCs w:val="14"/>
                <w:lang w:eastAsia="tr-TR"/>
              </w:rPr>
            </w:pPr>
            <w:r w:rsidRPr="00F25246">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354F90EB"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48775020"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449C3C7"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3CE86F34"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BFEE36D"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3C6795A7"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CE50553" w14:textId="77777777" w:rsidR="00F25246" w:rsidRPr="00F25246" w:rsidRDefault="00F25246" w:rsidP="00717AB5">
            <w:pPr>
              <w:ind w:left="-104"/>
              <w:jc w:val="right"/>
              <w:rPr>
                <w:sz w:val="14"/>
                <w:szCs w:val="14"/>
                <w:lang w:eastAsia="tr-TR"/>
              </w:rPr>
            </w:pPr>
            <w:r w:rsidRPr="00F25246">
              <w:rPr>
                <w:sz w:val="14"/>
                <w:szCs w:val="14"/>
                <w:lang w:eastAsia="tr-TR"/>
              </w:rPr>
              <w:t>-</w:t>
            </w:r>
          </w:p>
        </w:tc>
      </w:tr>
      <w:tr w:rsidR="00F25246" w:rsidRPr="00F25246" w14:paraId="67FC50CB"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09C4CE72"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2.4.</w:t>
            </w:r>
          </w:p>
        </w:tc>
        <w:tc>
          <w:tcPr>
            <w:tcW w:w="3356" w:type="dxa"/>
            <w:tcBorders>
              <w:top w:val="nil"/>
              <w:left w:val="single" w:sz="4" w:space="0" w:color="auto"/>
              <w:bottom w:val="nil"/>
              <w:right w:val="single" w:sz="4" w:space="0" w:color="auto"/>
            </w:tcBorders>
            <w:shd w:val="clear" w:color="auto" w:fill="auto"/>
            <w:vAlign w:val="center"/>
            <w:hideMark/>
          </w:tcPr>
          <w:p w14:paraId="5E30AD59"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0C77298B" w14:textId="77777777" w:rsidR="00F25246" w:rsidRPr="00F25246" w:rsidRDefault="00F25246" w:rsidP="00F25246">
            <w:pPr>
              <w:rPr>
                <w:b/>
                <w:bCs/>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528176C9" w14:textId="77777777" w:rsidR="00F25246" w:rsidRPr="00F25246" w:rsidRDefault="00F25246" w:rsidP="00717AB5">
            <w:pPr>
              <w:ind w:left="-104"/>
              <w:jc w:val="right"/>
              <w:rPr>
                <w:b/>
                <w:bCs/>
                <w:sz w:val="14"/>
                <w:szCs w:val="14"/>
                <w:lang w:eastAsia="tr-TR"/>
              </w:rPr>
            </w:pPr>
            <w:r w:rsidRPr="00F25246">
              <w:rPr>
                <w:b/>
                <w:bCs/>
                <w:sz w:val="14"/>
                <w:szCs w:val="14"/>
                <w:lang w:eastAsia="tr-TR"/>
              </w:rPr>
              <w:t>3,851,293</w:t>
            </w:r>
          </w:p>
        </w:tc>
        <w:tc>
          <w:tcPr>
            <w:tcW w:w="851" w:type="dxa"/>
            <w:tcBorders>
              <w:top w:val="nil"/>
              <w:left w:val="single" w:sz="4" w:space="0" w:color="auto"/>
              <w:bottom w:val="nil"/>
              <w:right w:val="single" w:sz="4" w:space="0" w:color="auto"/>
            </w:tcBorders>
            <w:shd w:val="clear" w:color="auto" w:fill="auto"/>
            <w:vAlign w:val="bottom"/>
            <w:hideMark/>
          </w:tcPr>
          <w:p w14:paraId="4BB6ED30" w14:textId="77777777" w:rsidR="00F25246" w:rsidRPr="00F25246" w:rsidRDefault="00F25246" w:rsidP="00717AB5">
            <w:pPr>
              <w:ind w:left="-104"/>
              <w:jc w:val="right"/>
              <w:rPr>
                <w:b/>
                <w:bCs/>
                <w:sz w:val="14"/>
                <w:szCs w:val="14"/>
                <w:lang w:eastAsia="tr-TR"/>
              </w:rPr>
            </w:pPr>
            <w:r w:rsidRPr="00F25246">
              <w:rPr>
                <w:b/>
                <w:bCs/>
                <w:sz w:val="14"/>
                <w:szCs w:val="14"/>
                <w:lang w:eastAsia="tr-TR"/>
              </w:rPr>
              <w:t>1,380,429</w:t>
            </w:r>
          </w:p>
        </w:tc>
        <w:tc>
          <w:tcPr>
            <w:tcW w:w="850" w:type="dxa"/>
            <w:tcBorders>
              <w:top w:val="nil"/>
              <w:left w:val="single" w:sz="4" w:space="0" w:color="auto"/>
              <w:bottom w:val="nil"/>
              <w:right w:val="single" w:sz="4" w:space="0" w:color="auto"/>
            </w:tcBorders>
            <w:shd w:val="clear" w:color="auto" w:fill="auto"/>
            <w:vAlign w:val="bottom"/>
            <w:hideMark/>
          </w:tcPr>
          <w:p w14:paraId="43B6210E" w14:textId="77777777" w:rsidR="00F25246" w:rsidRPr="00F25246" w:rsidRDefault="00F25246" w:rsidP="00717AB5">
            <w:pPr>
              <w:ind w:left="-104"/>
              <w:jc w:val="right"/>
              <w:rPr>
                <w:b/>
                <w:bCs/>
                <w:sz w:val="14"/>
                <w:szCs w:val="14"/>
                <w:lang w:eastAsia="tr-TR"/>
              </w:rPr>
            </w:pPr>
            <w:r w:rsidRPr="00F25246">
              <w:rPr>
                <w:b/>
                <w:bCs/>
                <w:sz w:val="14"/>
                <w:szCs w:val="14"/>
                <w:lang w:eastAsia="tr-TR"/>
              </w:rPr>
              <w:t>5,231,722</w:t>
            </w:r>
          </w:p>
        </w:tc>
        <w:tc>
          <w:tcPr>
            <w:tcW w:w="851" w:type="dxa"/>
            <w:tcBorders>
              <w:top w:val="nil"/>
              <w:left w:val="single" w:sz="4" w:space="0" w:color="auto"/>
              <w:bottom w:val="nil"/>
              <w:right w:val="single" w:sz="4" w:space="0" w:color="auto"/>
            </w:tcBorders>
            <w:shd w:val="clear" w:color="auto" w:fill="auto"/>
            <w:vAlign w:val="bottom"/>
            <w:hideMark/>
          </w:tcPr>
          <w:p w14:paraId="3D1EEF07" w14:textId="77777777" w:rsidR="00F25246" w:rsidRPr="00F25246" w:rsidRDefault="00F25246" w:rsidP="00717AB5">
            <w:pPr>
              <w:ind w:left="-104"/>
              <w:jc w:val="right"/>
              <w:rPr>
                <w:b/>
                <w:bCs/>
                <w:sz w:val="14"/>
                <w:szCs w:val="14"/>
                <w:lang w:eastAsia="tr-TR"/>
              </w:rPr>
            </w:pPr>
            <w:r w:rsidRPr="00F25246">
              <w:rPr>
                <w:b/>
                <w:bCs/>
                <w:sz w:val="14"/>
                <w:szCs w:val="14"/>
                <w:lang w:eastAsia="tr-TR"/>
              </w:rPr>
              <w:t>2,402,838</w:t>
            </w:r>
          </w:p>
        </w:tc>
        <w:tc>
          <w:tcPr>
            <w:tcW w:w="850" w:type="dxa"/>
            <w:tcBorders>
              <w:top w:val="nil"/>
              <w:left w:val="single" w:sz="4" w:space="0" w:color="auto"/>
              <w:bottom w:val="nil"/>
              <w:right w:val="single" w:sz="4" w:space="0" w:color="auto"/>
            </w:tcBorders>
            <w:shd w:val="clear" w:color="auto" w:fill="auto"/>
            <w:vAlign w:val="bottom"/>
            <w:hideMark/>
          </w:tcPr>
          <w:p w14:paraId="66C4AA52" w14:textId="77777777" w:rsidR="00F25246" w:rsidRPr="00F25246" w:rsidRDefault="00F25246" w:rsidP="00717AB5">
            <w:pPr>
              <w:ind w:left="-104"/>
              <w:jc w:val="right"/>
              <w:rPr>
                <w:b/>
                <w:bCs/>
                <w:sz w:val="14"/>
                <w:szCs w:val="14"/>
                <w:lang w:eastAsia="tr-TR"/>
              </w:rPr>
            </w:pPr>
            <w:r w:rsidRPr="00F25246">
              <w:rPr>
                <w:b/>
                <w:bCs/>
                <w:sz w:val="14"/>
                <w:szCs w:val="14"/>
                <w:lang w:eastAsia="tr-TR"/>
              </w:rPr>
              <w:t>608,551</w:t>
            </w:r>
          </w:p>
        </w:tc>
        <w:tc>
          <w:tcPr>
            <w:tcW w:w="851" w:type="dxa"/>
            <w:tcBorders>
              <w:top w:val="nil"/>
              <w:left w:val="single" w:sz="4" w:space="0" w:color="auto"/>
              <w:bottom w:val="nil"/>
              <w:right w:val="single" w:sz="4" w:space="0" w:color="auto"/>
            </w:tcBorders>
            <w:shd w:val="clear" w:color="auto" w:fill="auto"/>
            <w:vAlign w:val="bottom"/>
            <w:hideMark/>
          </w:tcPr>
          <w:p w14:paraId="21C6F045" w14:textId="77777777" w:rsidR="00F25246" w:rsidRPr="00F25246" w:rsidRDefault="00F25246" w:rsidP="00717AB5">
            <w:pPr>
              <w:ind w:left="-104"/>
              <w:jc w:val="right"/>
              <w:rPr>
                <w:b/>
                <w:bCs/>
                <w:sz w:val="14"/>
                <w:szCs w:val="14"/>
                <w:lang w:eastAsia="tr-TR"/>
              </w:rPr>
            </w:pPr>
            <w:r w:rsidRPr="00F25246">
              <w:rPr>
                <w:b/>
                <w:bCs/>
                <w:sz w:val="14"/>
                <w:szCs w:val="14"/>
                <w:lang w:eastAsia="tr-TR"/>
              </w:rPr>
              <w:t>3,011,389</w:t>
            </w:r>
          </w:p>
        </w:tc>
      </w:tr>
      <w:tr w:rsidR="00F25246" w:rsidRPr="00F25246" w14:paraId="0F5C2215"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hideMark/>
          </w:tcPr>
          <w:p w14:paraId="55B471C2"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III.</w:t>
            </w:r>
          </w:p>
        </w:tc>
        <w:tc>
          <w:tcPr>
            <w:tcW w:w="3356" w:type="dxa"/>
            <w:tcBorders>
              <w:top w:val="nil"/>
              <w:left w:val="single" w:sz="4" w:space="0" w:color="auto"/>
              <w:bottom w:val="nil"/>
              <w:right w:val="single" w:sz="4" w:space="0" w:color="auto"/>
            </w:tcBorders>
            <w:shd w:val="clear" w:color="auto" w:fill="auto"/>
            <w:vAlign w:val="center"/>
            <w:hideMark/>
          </w:tcPr>
          <w:p w14:paraId="067CFC8B"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03F1048A" w14:textId="77777777" w:rsidR="00F25246" w:rsidRPr="00F25246" w:rsidRDefault="00F25246" w:rsidP="00F25246">
            <w:pPr>
              <w:rPr>
                <w:b/>
                <w:bCs/>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5047E3C5" w14:textId="77777777" w:rsidR="00F25246" w:rsidRPr="00F25246" w:rsidRDefault="00F25246" w:rsidP="00717AB5">
            <w:pPr>
              <w:ind w:left="-104"/>
              <w:jc w:val="right"/>
              <w:rPr>
                <w:b/>
                <w:bCs/>
                <w:sz w:val="14"/>
                <w:szCs w:val="14"/>
                <w:lang w:eastAsia="tr-TR"/>
              </w:rPr>
            </w:pPr>
            <w:r w:rsidRPr="00F25246">
              <w:rPr>
                <w:b/>
                <w:bCs/>
                <w:sz w:val="14"/>
                <w:szCs w:val="14"/>
                <w:lang w:eastAsia="tr-TR"/>
              </w:rPr>
              <w:t>491,580</w:t>
            </w:r>
          </w:p>
        </w:tc>
        <w:tc>
          <w:tcPr>
            <w:tcW w:w="851" w:type="dxa"/>
            <w:tcBorders>
              <w:top w:val="nil"/>
              <w:left w:val="single" w:sz="4" w:space="0" w:color="auto"/>
              <w:bottom w:val="nil"/>
              <w:right w:val="single" w:sz="4" w:space="0" w:color="auto"/>
            </w:tcBorders>
            <w:shd w:val="clear" w:color="auto" w:fill="auto"/>
            <w:vAlign w:val="bottom"/>
            <w:hideMark/>
          </w:tcPr>
          <w:p w14:paraId="70F9DAE6"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3C4F9DB2" w14:textId="77777777" w:rsidR="00F25246" w:rsidRPr="00F25246" w:rsidRDefault="00F25246" w:rsidP="00717AB5">
            <w:pPr>
              <w:ind w:left="-104"/>
              <w:jc w:val="right"/>
              <w:rPr>
                <w:b/>
                <w:bCs/>
                <w:sz w:val="14"/>
                <w:szCs w:val="14"/>
                <w:lang w:eastAsia="tr-TR"/>
              </w:rPr>
            </w:pPr>
            <w:r w:rsidRPr="00F25246">
              <w:rPr>
                <w:b/>
                <w:bCs/>
                <w:sz w:val="14"/>
                <w:szCs w:val="14"/>
                <w:lang w:eastAsia="tr-TR"/>
              </w:rPr>
              <w:t>491,580</w:t>
            </w:r>
          </w:p>
        </w:tc>
        <w:tc>
          <w:tcPr>
            <w:tcW w:w="851" w:type="dxa"/>
            <w:tcBorders>
              <w:top w:val="nil"/>
              <w:left w:val="single" w:sz="4" w:space="0" w:color="auto"/>
              <w:bottom w:val="nil"/>
              <w:right w:val="single" w:sz="4" w:space="0" w:color="auto"/>
            </w:tcBorders>
            <w:shd w:val="clear" w:color="auto" w:fill="auto"/>
            <w:vAlign w:val="bottom"/>
            <w:hideMark/>
          </w:tcPr>
          <w:p w14:paraId="55617E1E" w14:textId="77777777" w:rsidR="00F25246" w:rsidRPr="00F25246" w:rsidRDefault="00F25246" w:rsidP="00717AB5">
            <w:pPr>
              <w:ind w:left="-104"/>
              <w:jc w:val="right"/>
              <w:rPr>
                <w:b/>
                <w:bCs/>
                <w:sz w:val="14"/>
                <w:szCs w:val="14"/>
                <w:lang w:eastAsia="tr-TR"/>
              </w:rPr>
            </w:pPr>
            <w:r w:rsidRPr="00F25246">
              <w:rPr>
                <w:b/>
                <w:bCs/>
                <w:sz w:val="14"/>
                <w:szCs w:val="14"/>
                <w:lang w:eastAsia="tr-TR"/>
              </w:rPr>
              <w:t>473,326</w:t>
            </w:r>
          </w:p>
        </w:tc>
        <w:tc>
          <w:tcPr>
            <w:tcW w:w="850" w:type="dxa"/>
            <w:tcBorders>
              <w:top w:val="nil"/>
              <w:left w:val="single" w:sz="4" w:space="0" w:color="auto"/>
              <w:bottom w:val="nil"/>
              <w:right w:val="single" w:sz="4" w:space="0" w:color="auto"/>
            </w:tcBorders>
            <w:shd w:val="clear" w:color="auto" w:fill="auto"/>
            <w:vAlign w:val="bottom"/>
            <w:hideMark/>
          </w:tcPr>
          <w:p w14:paraId="1830378B"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CCF7F87" w14:textId="77777777" w:rsidR="00F25246" w:rsidRPr="00F25246" w:rsidRDefault="00F25246" w:rsidP="00717AB5">
            <w:pPr>
              <w:ind w:left="-104"/>
              <w:jc w:val="right"/>
              <w:rPr>
                <w:b/>
                <w:bCs/>
                <w:sz w:val="14"/>
                <w:szCs w:val="14"/>
                <w:lang w:eastAsia="tr-TR"/>
              </w:rPr>
            </w:pPr>
            <w:r w:rsidRPr="00F25246">
              <w:rPr>
                <w:b/>
                <w:bCs/>
                <w:sz w:val="14"/>
                <w:szCs w:val="14"/>
                <w:lang w:eastAsia="tr-TR"/>
              </w:rPr>
              <w:t>473,326</w:t>
            </w:r>
          </w:p>
        </w:tc>
      </w:tr>
      <w:tr w:rsidR="00F25246" w:rsidRPr="00F25246" w14:paraId="5F538FBF"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5C943068" w14:textId="77777777" w:rsidR="00F25246" w:rsidRPr="00F25246" w:rsidRDefault="00F25246" w:rsidP="00F25246">
            <w:pPr>
              <w:rPr>
                <w:color w:val="000000"/>
                <w:sz w:val="14"/>
                <w:szCs w:val="14"/>
                <w:lang w:eastAsia="tr-TR"/>
              </w:rPr>
            </w:pPr>
            <w:r w:rsidRPr="00F25246">
              <w:rPr>
                <w:color w:val="000000"/>
                <w:sz w:val="14"/>
                <w:szCs w:val="14"/>
                <w:lang w:eastAsia="tr-TR"/>
              </w:rPr>
              <w:t>3.1.</w:t>
            </w:r>
          </w:p>
        </w:tc>
        <w:tc>
          <w:tcPr>
            <w:tcW w:w="3356" w:type="dxa"/>
            <w:tcBorders>
              <w:top w:val="nil"/>
              <w:left w:val="single" w:sz="4" w:space="0" w:color="auto"/>
              <w:bottom w:val="nil"/>
              <w:right w:val="single" w:sz="4" w:space="0" w:color="auto"/>
            </w:tcBorders>
            <w:shd w:val="clear" w:color="auto" w:fill="auto"/>
            <w:noWrap/>
            <w:vAlign w:val="center"/>
            <w:hideMark/>
          </w:tcPr>
          <w:p w14:paraId="3C11E923" w14:textId="77777777" w:rsidR="00F25246" w:rsidRPr="00F25246" w:rsidRDefault="00F25246" w:rsidP="00F25246">
            <w:pPr>
              <w:rPr>
                <w:color w:val="000000"/>
                <w:sz w:val="14"/>
                <w:szCs w:val="14"/>
                <w:lang w:eastAsia="tr-TR"/>
              </w:rPr>
            </w:pPr>
            <w:r w:rsidRPr="00F25246">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vAlign w:val="center"/>
            <w:hideMark/>
          </w:tcPr>
          <w:p w14:paraId="1629B803"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59850BD4" w14:textId="77777777" w:rsidR="00F25246" w:rsidRPr="00F25246" w:rsidRDefault="00F25246" w:rsidP="00717AB5">
            <w:pPr>
              <w:ind w:left="-104"/>
              <w:jc w:val="right"/>
              <w:rPr>
                <w:sz w:val="14"/>
                <w:szCs w:val="14"/>
                <w:lang w:eastAsia="tr-TR"/>
              </w:rPr>
            </w:pPr>
            <w:r w:rsidRPr="00F25246">
              <w:rPr>
                <w:sz w:val="14"/>
                <w:szCs w:val="14"/>
                <w:lang w:eastAsia="tr-TR"/>
              </w:rPr>
              <w:t>491,580</w:t>
            </w:r>
          </w:p>
        </w:tc>
        <w:tc>
          <w:tcPr>
            <w:tcW w:w="851" w:type="dxa"/>
            <w:tcBorders>
              <w:top w:val="nil"/>
              <w:left w:val="single" w:sz="4" w:space="0" w:color="auto"/>
              <w:bottom w:val="nil"/>
              <w:right w:val="single" w:sz="4" w:space="0" w:color="auto"/>
            </w:tcBorders>
            <w:shd w:val="clear" w:color="auto" w:fill="auto"/>
            <w:vAlign w:val="bottom"/>
            <w:hideMark/>
          </w:tcPr>
          <w:p w14:paraId="60239B75"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10FB05E" w14:textId="77777777" w:rsidR="00F25246" w:rsidRPr="00F25246" w:rsidRDefault="00F25246" w:rsidP="00717AB5">
            <w:pPr>
              <w:ind w:left="-104"/>
              <w:jc w:val="right"/>
              <w:rPr>
                <w:sz w:val="14"/>
                <w:szCs w:val="14"/>
                <w:lang w:eastAsia="tr-TR"/>
              </w:rPr>
            </w:pPr>
            <w:r w:rsidRPr="00F25246">
              <w:rPr>
                <w:sz w:val="14"/>
                <w:szCs w:val="14"/>
                <w:lang w:eastAsia="tr-TR"/>
              </w:rPr>
              <w:t>491,580</w:t>
            </w:r>
          </w:p>
        </w:tc>
        <w:tc>
          <w:tcPr>
            <w:tcW w:w="851" w:type="dxa"/>
            <w:tcBorders>
              <w:top w:val="nil"/>
              <w:left w:val="single" w:sz="4" w:space="0" w:color="auto"/>
              <w:bottom w:val="nil"/>
              <w:right w:val="single" w:sz="4" w:space="0" w:color="auto"/>
            </w:tcBorders>
            <w:shd w:val="clear" w:color="auto" w:fill="auto"/>
            <w:vAlign w:val="bottom"/>
            <w:hideMark/>
          </w:tcPr>
          <w:p w14:paraId="61EDF052" w14:textId="77777777" w:rsidR="00F25246" w:rsidRPr="00F25246" w:rsidRDefault="00F25246" w:rsidP="00717AB5">
            <w:pPr>
              <w:ind w:left="-104"/>
              <w:jc w:val="right"/>
              <w:rPr>
                <w:sz w:val="14"/>
                <w:szCs w:val="14"/>
                <w:lang w:eastAsia="tr-TR"/>
              </w:rPr>
            </w:pPr>
            <w:r w:rsidRPr="00F25246">
              <w:rPr>
                <w:sz w:val="14"/>
                <w:szCs w:val="14"/>
                <w:lang w:eastAsia="tr-TR"/>
              </w:rPr>
              <w:t>473,326</w:t>
            </w:r>
          </w:p>
        </w:tc>
        <w:tc>
          <w:tcPr>
            <w:tcW w:w="850" w:type="dxa"/>
            <w:tcBorders>
              <w:top w:val="nil"/>
              <w:left w:val="single" w:sz="4" w:space="0" w:color="auto"/>
              <w:bottom w:val="nil"/>
              <w:right w:val="single" w:sz="4" w:space="0" w:color="auto"/>
            </w:tcBorders>
            <w:shd w:val="clear" w:color="auto" w:fill="auto"/>
            <w:vAlign w:val="bottom"/>
            <w:hideMark/>
          </w:tcPr>
          <w:p w14:paraId="00296265"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EB05FAF" w14:textId="77777777" w:rsidR="00F25246" w:rsidRPr="00F25246" w:rsidRDefault="00F25246" w:rsidP="00717AB5">
            <w:pPr>
              <w:ind w:left="-104"/>
              <w:jc w:val="right"/>
              <w:rPr>
                <w:sz w:val="14"/>
                <w:szCs w:val="14"/>
                <w:lang w:eastAsia="tr-TR"/>
              </w:rPr>
            </w:pPr>
            <w:r w:rsidRPr="00F25246">
              <w:rPr>
                <w:sz w:val="14"/>
                <w:szCs w:val="14"/>
                <w:lang w:eastAsia="tr-TR"/>
              </w:rPr>
              <w:t>473,326</w:t>
            </w:r>
          </w:p>
        </w:tc>
      </w:tr>
      <w:tr w:rsidR="00F25246" w:rsidRPr="00F25246" w14:paraId="61B94F5C"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23BE6C14" w14:textId="77777777" w:rsidR="00F25246" w:rsidRPr="00F25246" w:rsidRDefault="00F25246" w:rsidP="00F25246">
            <w:pPr>
              <w:rPr>
                <w:color w:val="000000"/>
                <w:sz w:val="14"/>
                <w:szCs w:val="14"/>
                <w:lang w:eastAsia="tr-TR"/>
              </w:rPr>
            </w:pPr>
            <w:r w:rsidRPr="00F25246">
              <w:rPr>
                <w:color w:val="000000"/>
                <w:sz w:val="14"/>
                <w:szCs w:val="14"/>
                <w:lang w:eastAsia="tr-TR"/>
              </w:rPr>
              <w:t>3.2.</w:t>
            </w:r>
          </w:p>
        </w:tc>
        <w:tc>
          <w:tcPr>
            <w:tcW w:w="3356" w:type="dxa"/>
            <w:tcBorders>
              <w:top w:val="nil"/>
              <w:left w:val="single" w:sz="4" w:space="0" w:color="auto"/>
              <w:bottom w:val="nil"/>
              <w:right w:val="single" w:sz="4" w:space="0" w:color="auto"/>
            </w:tcBorders>
            <w:shd w:val="clear" w:color="auto" w:fill="auto"/>
            <w:noWrap/>
            <w:vAlign w:val="center"/>
            <w:hideMark/>
          </w:tcPr>
          <w:p w14:paraId="5B44FF00" w14:textId="77777777" w:rsidR="00F25246" w:rsidRPr="00F25246" w:rsidRDefault="00F25246" w:rsidP="00F25246">
            <w:pPr>
              <w:rPr>
                <w:color w:val="000000"/>
                <w:sz w:val="14"/>
                <w:szCs w:val="14"/>
                <w:lang w:eastAsia="tr-TR"/>
              </w:rPr>
            </w:pPr>
            <w:r w:rsidRPr="00F25246">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vAlign w:val="center"/>
            <w:hideMark/>
          </w:tcPr>
          <w:p w14:paraId="00F784A3"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32A80854"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354514F"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4C04464"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F0C75C9"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C0F8877"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AF3455F" w14:textId="77777777" w:rsidR="00F25246" w:rsidRPr="00F25246" w:rsidRDefault="00F25246" w:rsidP="00717AB5">
            <w:pPr>
              <w:ind w:left="-104"/>
              <w:jc w:val="right"/>
              <w:rPr>
                <w:sz w:val="14"/>
                <w:szCs w:val="14"/>
                <w:lang w:eastAsia="tr-TR"/>
              </w:rPr>
            </w:pPr>
            <w:r w:rsidRPr="00F25246">
              <w:rPr>
                <w:sz w:val="14"/>
                <w:szCs w:val="14"/>
                <w:lang w:eastAsia="tr-TR"/>
              </w:rPr>
              <w:t>-</w:t>
            </w:r>
          </w:p>
        </w:tc>
      </w:tr>
      <w:tr w:rsidR="00F25246" w:rsidRPr="00F25246" w14:paraId="4E565281"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1D267462"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IV.</w:t>
            </w:r>
          </w:p>
        </w:tc>
        <w:tc>
          <w:tcPr>
            <w:tcW w:w="3356" w:type="dxa"/>
            <w:tcBorders>
              <w:top w:val="nil"/>
              <w:left w:val="single" w:sz="4" w:space="0" w:color="auto"/>
              <w:bottom w:val="nil"/>
              <w:right w:val="single" w:sz="4" w:space="0" w:color="auto"/>
            </w:tcBorders>
            <w:shd w:val="clear" w:color="auto" w:fill="auto"/>
            <w:vAlign w:val="center"/>
            <w:hideMark/>
          </w:tcPr>
          <w:p w14:paraId="674BA605"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vAlign w:val="center"/>
            <w:hideMark/>
          </w:tcPr>
          <w:p w14:paraId="5C2D0686" w14:textId="77777777" w:rsidR="00F25246" w:rsidRPr="00F25246" w:rsidRDefault="00F25246" w:rsidP="00F25246">
            <w:pPr>
              <w:rPr>
                <w:b/>
                <w:bCs/>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4660346C" w14:textId="77777777" w:rsidR="00F25246" w:rsidRPr="00F25246" w:rsidRDefault="00F25246" w:rsidP="00717AB5">
            <w:pPr>
              <w:ind w:left="-104"/>
              <w:jc w:val="right"/>
              <w:rPr>
                <w:b/>
                <w:bCs/>
                <w:sz w:val="14"/>
                <w:szCs w:val="14"/>
                <w:lang w:eastAsia="tr-TR"/>
              </w:rPr>
            </w:pPr>
            <w:r w:rsidRPr="00F25246">
              <w:rPr>
                <w:b/>
                <w:bCs/>
                <w:sz w:val="14"/>
                <w:szCs w:val="14"/>
                <w:lang w:eastAsia="tr-TR"/>
              </w:rPr>
              <w:t>1,481,015</w:t>
            </w:r>
          </w:p>
        </w:tc>
        <w:tc>
          <w:tcPr>
            <w:tcW w:w="851" w:type="dxa"/>
            <w:tcBorders>
              <w:top w:val="nil"/>
              <w:left w:val="single" w:sz="4" w:space="0" w:color="auto"/>
              <w:bottom w:val="nil"/>
              <w:right w:val="single" w:sz="4" w:space="0" w:color="auto"/>
            </w:tcBorders>
            <w:shd w:val="clear" w:color="auto" w:fill="auto"/>
            <w:vAlign w:val="bottom"/>
            <w:hideMark/>
          </w:tcPr>
          <w:p w14:paraId="73C7E2BB"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652156C" w14:textId="77777777" w:rsidR="00F25246" w:rsidRPr="00F25246" w:rsidRDefault="00F25246" w:rsidP="00717AB5">
            <w:pPr>
              <w:ind w:left="-104"/>
              <w:jc w:val="right"/>
              <w:rPr>
                <w:b/>
                <w:bCs/>
                <w:sz w:val="14"/>
                <w:szCs w:val="14"/>
                <w:lang w:eastAsia="tr-TR"/>
              </w:rPr>
            </w:pPr>
            <w:r w:rsidRPr="00F25246">
              <w:rPr>
                <w:b/>
                <w:bCs/>
                <w:sz w:val="14"/>
                <w:szCs w:val="14"/>
                <w:lang w:eastAsia="tr-TR"/>
              </w:rPr>
              <w:t>1,481,015</w:t>
            </w:r>
          </w:p>
        </w:tc>
        <w:tc>
          <w:tcPr>
            <w:tcW w:w="851" w:type="dxa"/>
            <w:tcBorders>
              <w:top w:val="nil"/>
              <w:left w:val="single" w:sz="4" w:space="0" w:color="auto"/>
              <w:bottom w:val="nil"/>
              <w:right w:val="single" w:sz="4" w:space="0" w:color="auto"/>
            </w:tcBorders>
            <w:shd w:val="clear" w:color="auto" w:fill="auto"/>
            <w:vAlign w:val="bottom"/>
            <w:hideMark/>
          </w:tcPr>
          <w:p w14:paraId="260CA2E2" w14:textId="77777777" w:rsidR="00F25246" w:rsidRPr="00F25246" w:rsidRDefault="00F25246" w:rsidP="00717AB5">
            <w:pPr>
              <w:ind w:left="-104"/>
              <w:jc w:val="right"/>
              <w:rPr>
                <w:b/>
                <w:bCs/>
                <w:sz w:val="14"/>
                <w:szCs w:val="14"/>
                <w:lang w:eastAsia="tr-TR"/>
              </w:rPr>
            </w:pPr>
            <w:r w:rsidRPr="00F25246">
              <w:rPr>
                <w:b/>
                <w:bCs/>
                <w:sz w:val="14"/>
                <w:szCs w:val="14"/>
                <w:lang w:eastAsia="tr-TR"/>
              </w:rPr>
              <w:t>564,853</w:t>
            </w:r>
          </w:p>
        </w:tc>
        <w:tc>
          <w:tcPr>
            <w:tcW w:w="850" w:type="dxa"/>
            <w:tcBorders>
              <w:top w:val="nil"/>
              <w:left w:val="single" w:sz="4" w:space="0" w:color="auto"/>
              <w:bottom w:val="nil"/>
              <w:right w:val="single" w:sz="4" w:space="0" w:color="auto"/>
            </w:tcBorders>
            <w:shd w:val="clear" w:color="auto" w:fill="auto"/>
            <w:vAlign w:val="bottom"/>
            <w:hideMark/>
          </w:tcPr>
          <w:p w14:paraId="4DD178FD"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81B6749" w14:textId="77777777" w:rsidR="00F25246" w:rsidRPr="00F25246" w:rsidRDefault="00F25246" w:rsidP="00717AB5">
            <w:pPr>
              <w:ind w:left="-104"/>
              <w:jc w:val="right"/>
              <w:rPr>
                <w:b/>
                <w:bCs/>
                <w:sz w:val="14"/>
                <w:szCs w:val="14"/>
                <w:lang w:eastAsia="tr-TR"/>
              </w:rPr>
            </w:pPr>
            <w:r w:rsidRPr="00F25246">
              <w:rPr>
                <w:b/>
                <w:bCs/>
                <w:sz w:val="14"/>
                <w:szCs w:val="14"/>
                <w:lang w:eastAsia="tr-TR"/>
              </w:rPr>
              <w:t>564,853</w:t>
            </w:r>
          </w:p>
        </w:tc>
      </w:tr>
      <w:tr w:rsidR="00F25246" w:rsidRPr="00F25246" w14:paraId="44922ADA" w14:textId="77777777" w:rsidTr="00717AB5">
        <w:trPr>
          <w:divId w:val="1660189425"/>
          <w:trHeight w:val="195"/>
        </w:trPr>
        <w:tc>
          <w:tcPr>
            <w:tcW w:w="455" w:type="dxa"/>
            <w:tcBorders>
              <w:top w:val="nil"/>
              <w:left w:val="single" w:sz="4" w:space="0" w:color="auto"/>
              <w:bottom w:val="nil"/>
              <w:right w:val="single" w:sz="4" w:space="0" w:color="auto"/>
            </w:tcBorders>
            <w:shd w:val="clear" w:color="auto" w:fill="auto"/>
            <w:noWrap/>
            <w:hideMark/>
          </w:tcPr>
          <w:p w14:paraId="60A809C9"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4.1.</w:t>
            </w:r>
          </w:p>
        </w:tc>
        <w:tc>
          <w:tcPr>
            <w:tcW w:w="3356" w:type="dxa"/>
            <w:tcBorders>
              <w:top w:val="nil"/>
              <w:left w:val="single" w:sz="4" w:space="0" w:color="auto"/>
              <w:bottom w:val="nil"/>
              <w:right w:val="single" w:sz="4" w:space="0" w:color="auto"/>
            </w:tcBorders>
            <w:shd w:val="clear" w:color="auto" w:fill="auto"/>
            <w:noWrap/>
            <w:vAlign w:val="center"/>
            <w:hideMark/>
          </w:tcPr>
          <w:p w14:paraId="298C4594"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vAlign w:val="center"/>
            <w:hideMark/>
          </w:tcPr>
          <w:p w14:paraId="05560547"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(5.1.7.)</w:t>
            </w:r>
          </w:p>
        </w:tc>
        <w:tc>
          <w:tcPr>
            <w:tcW w:w="810" w:type="dxa"/>
            <w:tcBorders>
              <w:top w:val="nil"/>
              <w:left w:val="single" w:sz="4" w:space="0" w:color="auto"/>
              <w:bottom w:val="nil"/>
              <w:right w:val="single" w:sz="4" w:space="0" w:color="auto"/>
            </w:tcBorders>
            <w:shd w:val="clear" w:color="auto" w:fill="auto"/>
            <w:vAlign w:val="bottom"/>
            <w:hideMark/>
          </w:tcPr>
          <w:p w14:paraId="50152559"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64695C8"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CECFA50"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A4BB50A"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56D22B7"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6D99767"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r>
      <w:tr w:rsidR="00F25246" w:rsidRPr="00F25246" w14:paraId="32D462C3"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3682BE45" w14:textId="77777777" w:rsidR="00F25246" w:rsidRPr="00F25246" w:rsidRDefault="00F25246" w:rsidP="00F25246">
            <w:pPr>
              <w:rPr>
                <w:color w:val="000000"/>
                <w:sz w:val="14"/>
                <w:szCs w:val="14"/>
                <w:lang w:eastAsia="tr-TR"/>
              </w:rPr>
            </w:pPr>
            <w:r w:rsidRPr="00F25246">
              <w:rPr>
                <w:color w:val="000000"/>
                <w:sz w:val="14"/>
                <w:szCs w:val="14"/>
                <w:lang w:eastAsia="tr-TR"/>
              </w:rPr>
              <w:t>4.1.1.</w:t>
            </w:r>
          </w:p>
        </w:tc>
        <w:tc>
          <w:tcPr>
            <w:tcW w:w="3356" w:type="dxa"/>
            <w:tcBorders>
              <w:top w:val="nil"/>
              <w:left w:val="single" w:sz="4" w:space="0" w:color="auto"/>
              <w:bottom w:val="nil"/>
              <w:right w:val="single" w:sz="4" w:space="0" w:color="auto"/>
            </w:tcBorders>
            <w:shd w:val="clear" w:color="auto" w:fill="auto"/>
            <w:noWrap/>
            <w:vAlign w:val="center"/>
            <w:hideMark/>
          </w:tcPr>
          <w:p w14:paraId="50CA2512" w14:textId="77777777" w:rsidR="00F25246" w:rsidRPr="00F25246" w:rsidRDefault="00F25246" w:rsidP="00F25246">
            <w:pPr>
              <w:rPr>
                <w:color w:val="000000"/>
                <w:sz w:val="14"/>
                <w:szCs w:val="14"/>
                <w:lang w:eastAsia="tr-TR"/>
              </w:rPr>
            </w:pPr>
            <w:proofErr w:type="spellStart"/>
            <w:r w:rsidRPr="00F25246">
              <w:rPr>
                <w:color w:val="000000"/>
                <w:sz w:val="14"/>
                <w:szCs w:val="14"/>
                <w:lang w:eastAsia="tr-TR"/>
              </w:rPr>
              <w:t>Özkaynak</w:t>
            </w:r>
            <w:proofErr w:type="spellEnd"/>
            <w:r w:rsidRPr="00F25246">
              <w:rPr>
                <w:color w:val="000000"/>
                <w:sz w:val="14"/>
                <w:szCs w:val="14"/>
                <w:lang w:eastAsia="tr-TR"/>
              </w:rPr>
              <w:t xml:space="preserve">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75FD12BB"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08C47F0E"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54AFDF2"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8FD2027"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1C76019"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8BE5015"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8132DE5" w14:textId="77777777" w:rsidR="00F25246" w:rsidRPr="00F25246" w:rsidRDefault="00F25246" w:rsidP="00717AB5">
            <w:pPr>
              <w:ind w:left="-104"/>
              <w:jc w:val="right"/>
              <w:rPr>
                <w:sz w:val="14"/>
                <w:szCs w:val="14"/>
                <w:lang w:eastAsia="tr-TR"/>
              </w:rPr>
            </w:pPr>
            <w:r w:rsidRPr="00F25246">
              <w:rPr>
                <w:sz w:val="14"/>
                <w:szCs w:val="14"/>
                <w:lang w:eastAsia="tr-TR"/>
              </w:rPr>
              <w:t>-</w:t>
            </w:r>
          </w:p>
        </w:tc>
      </w:tr>
      <w:tr w:rsidR="00F25246" w:rsidRPr="00F25246" w14:paraId="0ED2AB65"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18DDB200" w14:textId="77777777" w:rsidR="00F25246" w:rsidRPr="00F25246" w:rsidRDefault="00F25246" w:rsidP="00F25246">
            <w:pPr>
              <w:rPr>
                <w:color w:val="000000"/>
                <w:sz w:val="14"/>
                <w:szCs w:val="14"/>
                <w:lang w:eastAsia="tr-TR"/>
              </w:rPr>
            </w:pPr>
            <w:r w:rsidRPr="00F25246">
              <w:rPr>
                <w:color w:val="000000"/>
                <w:sz w:val="14"/>
                <w:szCs w:val="14"/>
                <w:lang w:eastAsia="tr-TR"/>
              </w:rPr>
              <w:t>4.1.2.</w:t>
            </w:r>
          </w:p>
        </w:tc>
        <w:tc>
          <w:tcPr>
            <w:tcW w:w="3356" w:type="dxa"/>
            <w:tcBorders>
              <w:top w:val="nil"/>
              <w:left w:val="single" w:sz="4" w:space="0" w:color="auto"/>
              <w:bottom w:val="nil"/>
              <w:right w:val="single" w:sz="4" w:space="0" w:color="auto"/>
            </w:tcBorders>
            <w:shd w:val="clear" w:color="auto" w:fill="auto"/>
            <w:noWrap/>
            <w:vAlign w:val="center"/>
            <w:hideMark/>
          </w:tcPr>
          <w:p w14:paraId="0C0277B4" w14:textId="77777777" w:rsidR="00F25246" w:rsidRPr="00F25246" w:rsidRDefault="00F25246" w:rsidP="00F25246">
            <w:pPr>
              <w:rPr>
                <w:color w:val="000000"/>
                <w:sz w:val="14"/>
                <w:szCs w:val="14"/>
                <w:lang w:eastAsia="tr-TR"/>
              </w:rPr>
            </w:pPr>
            <w:r w:rsidRPr="00F25246">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55B6F5BA"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66FDC965"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12405F4"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E052873"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6ED9035"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2C1FF38"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768E97F" w14:textId="77777777" w:rsidR="00F25246" w:rsidRPr="00F25246" w:rsidRDefault="00F25246" w:rsidP="00717AB5">
            <w:pPr>
              <w:ind w:left="-104"/>
              <w:jc w:val="right"/>
              <w:rPr>
                <w:sz w:val="14"/>
                <w:szCs w:val="14"/>
                <w:lang w:eastAsia="tr-TR"/>
              </w:rPr>
            </w:pPr>
            <w:r w:rsidRPr="00F25246">
              <w:rPr>
                <w:sz w:val="14"/>
                <w:szCs w:val="14"/>
                <w:lang w:eastAsia="tr-TR"/>
              </w:rPr>
              <w:t>-</w:t>
            </w:r>
          </w:p>
        </w:tc>
      </w:tr>
      <w:tr w:rsidR="00F25246" w:rsidRPr="00F25246" w14:paraId="1F2924BB"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4305F7B7"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4.2.</w:t>
            </w:r>
          </w:p>
        </w:tc>
        <w:tc>
          <w:tcPr>
            <w:tcW w:w="3356" w:type="dxa"/>
            <w:tcBorders>
              <w:top w:val="nil"/>
              <w:left w:val="single" w:sz="4" w:space="0" w:color="auto"/>
              <w:bottom w:val="nil"/>
              <w:right w:val="single" w:sz="4" w:space="0" w:color="auto"/>
            </w:tcBorders>
            <w:shd w:val="clear" w:color="auto" w:fill="auto"/>
            <w:vAlign w:val="center"/>
            <w:hideMark/>
          </w:tcPr>
          <w:p w14:paraId="56FCFFE5"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 xml:space="preserve">Bağlı </w:t>
            </w:r>
            <w:proofErr w:type="gramStart"/>
            <w:r w:rsidRPr="00F25246">
              <w:rPr>
                <w:b/>
                <w:bCs/>
                <w:color w:val="000000"/>
                <w:sz w:val="14"/>
                <w:szCs w:val="14"/>
                <w:lang w:eastAsia="tr-TR"/>
              </w:rPr>
              <w:t>Ortaklıklar  (</w:t>
            </w:r>
            <w:proofErr w:type="gramEnd"/>
            <w:r w:rsidRPr="00F25246">
              <w:rPr>
                <w:b/>
                <w:bCs/>
                <w:color w:val="000000"/>
                <w:sz w:val="14"/>
                <w:szCs w:val="14"/>
                <w:lang w:eastAsia="tr-TR"/>
              </w:rPr>
              <w:t>Net)</w:t>
            </w:r>
          </w:p>
        </w:tc>
        <w:tc>
          <w:tcPr>
            <w:tcW w:w="619" w:type="dxa"/>
            <w:tcBorders>
              <w:top w:val="nil"/>
              <w:left w:val="single" w:sz="4" w:space="0" w:color="auto"/>
              <w:bottom w:val="nil"/>
              <w:right w:val="single" w:sz="4" w:space="0" w:color="auto"/>
            </w:tcBorders>
            <w:shd w:val="clear" w:color="auto" w:fill="auto"/>
            <w:noWrap/>
            <w:vAlign w:val="center"/>
            <w:hideMark/>
          </w:tcPr>
          <w:p w14:paraId="42F1DAEB"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(5.1.8.)</w:t>
            </w:r>
          </w:p>
        </w:tc>
        <w:tc>
          <w:tcPr>
            <w:tcW w:w="810" w:type="dxa"/>
            <w:tcBorders>
              <w:top w:val="nil"/>
              <w:left w:val="single" w:sz="4" w:space="0" w:color="auto"/>
              <w:bottom w:val="nil"/>
              <w:right w:val="single" w:sz="4" w:space="0" w:color="auto"/>
            </w:tcBorders>
            <w:shd w:val="clear" w:color="auto" w:fill="auto"/>
            <w:vAlign w:val="bottom"/>
            <w:hideMark/>
          </w:tcPr>
          <w:p w14:paraId="53684455" w14:textId="77777777" w:rsidR="00F25246" w:rsidRPr="00F25246" w:rsidRDefault="00F25246" w:rsidP="00717AB5">
            <w:pPr>
              <w:ind w:left="-104"/>
              <w:jc w:val="right"/>
              <w:rPr>
                <w:b/>
                <w:bCs/>
                <w:sz w:val="14"/>
                <w:szCs w:val="14"/>
                <w:lang w:eastAsia="tr-TR"/>
              </w:rPr>
            </w:pPr>
            <w:r w:rsidRPr="00F25246">
              <w:rPr>
                <w:b/>
                <w:bCs/>
                <w:sz w:val="14"/>
                <w:szCs w:val="14"/>
                <w:lang w:eastAsia="tr-TR"/>
              </w:rPr>
              <w:t>1,461,015</w:t>
            </w:r>
          </w:p>
        </w:tc>
        <w:tc>
          <w:tcPr>
            <w:tcW w:w="851" w:type="dxa"/>
            <w:tcBorders>
              <w:top w:val="nil"/>
              <w:left w:val="single" w:sz="4" w:space="0" w:color="auto"/>
              <w:bottom w:val="nil"/>
              <w:right w:val="single" w:sz="4" w:space="0" w:color="auto"/>
            </w:tcBorders>
            <w:shd w:val="clear" w:color="auto" w:fill="auto"/>
            <w:vAlign w:val="bottom"/>
            <w:hideMark/>
          </w:tcPr>
          <w:p w14:paraId="62125E59"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5BA64A1" w14:textId="77777777" w:rsidR="00F25246" w:rsidRPr="00F25246" w:rsidRDefault="00F25246" w:rsidP="00717AB5">
            <w:pPr>
              <w:ind w:left="-104"/>
              <w:jc w:val="right"/>
              <w:rPr>
                <w:b/>
                <w:bCs/>
                <w:sz w:val="14"/>
                <w:szCs w:val="14"/>
                <w:lang w:eastAsia="tr-TR"/>
              </w:rPr>
            </w:pPr>
            <w:r w:rsidRPr="00F25246">
              <w:rPr>
                <w:b/>
                <w:bCs/>
                <w:sz w:val="14"/>
                <w:szCs w:val="14"/>
                <w:lang w:eastAsia="tr-TR"/>
              </w:rPr>
              <w:t>1,461,015</w:t>
            </w:r>
          </w:p>
        </w:tc>
        <w:tc>
          <w:tcPr>
            <w:tcW w:w="851" w:type="dxa"/>
            <w:tcBorders>
              <w:top w:val="nil"/>
              <w:left w:val="single" w:sz="4" w:space="0" w:color="auto"/>
              <w:bottom w:val="nil"/>
              <w:right w:val="single" w:sz="4" w:space="0" w:color="auto"/>
            </w:tcBorders>
            <w:shd w:val="clear" w:color="auto" w:fill="auto"/>
            <w:vAlign w:val="bottom"/>
            <w:hideMark/>
          </w:tcPr>
          <w:p w14:paraId="0AB36EB3" w14:textId="77777777" w:rsidR="00F25246" w:rsidRPr="00F25246" w:rsidRDefault="00F25246" w:rsidP="00717AB5">
            <w:pPr>
              <w:ind w:left="-104"/>
              <w:jc w:val="right"/>
              <w:rPr>
                <w:b/>
                <w:bCs/>
                <w:sz w:val="14"/>
                <w:szCs w:val="14"/>
                <w:lang w:eastAsia="tr-TR"/>
              </w:rPr>
            </w:pPr>
            <w:r w:rsidRPr="00F25246">
              <w:rPr>
                <w:b/>
                <w:bCs/>
                <w:sz w:val="14"/>
                <w:szCs w:val="14"/>
                <w:lang w:eastAsia="tr-TR"/>
              </w:rPr>
              <w:t>544,853</w:t>
            </w:r>
          </w:p>
        </w:tc>
        <w:tc>
          <w:tcPr>
            <w:tcW w:w="850" w:type="dxa"/>
            <w:tcBorders>
              <w:top w:val="nil"/>
              <w:left w:val="single" w:sz="4" w:space="0" w:color="auto"/>
              <w:bottom w:val="nil"/>
              <w:right w:val="single" w:sz="4" w:space="0" w:color="auto"/>
            </w:tcBorders>
            <w:shd w:val="clear" w:color="auto" w:fill="auto"/>
            <w:vAlign w:val="bottom"/>
            <w:hideMark/>
          </w:tcPr>
          <w:p w14:paraId="20AA8665"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8F2A177" w14:textId="77777777" w:rsidR="00F25246" w:rsidRPr="00F25246" w:rsidRDefault="00F25246" w:rsidP="00717AB5">
            <w:pPr>
              <w:ind w:left="-104"/>
              <w:jc w:val="right"/>
              <w:rPr>
                <w:b/>
                <w:bCs/>
                <w:sz w:val="14"/>
                <w:szCs w:val="14"/>
                <w:lang w:eastAsia="tr-TR"/>
              </w:rPr>
            </w:pPr>
            <w:r w:rsidRPr="00F25246">
              <w:rPr>
                <w:b/>
                <w:bCs/>
                <w:sz w:val="14"/>
                <w:szCs w:val="14"/>
                <w:lang w:eastAsia="tr-TR"/>
              </w:rPr>
              <w:t>544,853</w:t>
            </w:r>
          </w:p>
        </w:tc>
      </w:tr>
      <w:tr w:rsidR="00F25246" w:rsidRPr="00F25246" w14:paraId="4063619E"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0872CCE3" w14:textId="77777777" w:rsidR="00F25246" w:rsidRPr="00F25246" w:rsidRDefault="00F25246" w:rsidP="00F25246">
            <w:pPr>
              <w:rPr>
                <w:color w:val="000000"/>
                <w:sz w:val="14"/>
                <w:szCs w:val="14"/>
                <w:lang w:eastAsia="tr-TR"/>
              </w:rPr>
            </w:pPr>
            <w:r w:rsidRPr="00F25246">
              <w:rPr>
                <w:color w:val="000000"/>
                <w:sz w:val="14"/>
                <w:szCs w:val="14"/>
                <w:lang w:eastAsia="tr-TR"/>
              </w:rPr>
              <w:t>4.2.1.</w:t>
            </w:r>
          </w:p>
        </w:tc>
        <w:tc>
          <w:tcPr>
            <w:tcW w:w="3356" w:type="dxa"/>
            <w:tcBorders>
              <w:top w:val="nil"/>
              <w:left w:val="single" w:sz="4" w:space="0" w:color="auto"/>
              <w:bottom w:val="nil"/>
              <w:right w:val="single" w:sz="4" w:space="0" w:color="auto"/>
            </w:tcBorders>
            <w:shd w:val="clear" w:color="auto" w:fill="auto"/>
            <w:noWrap/>
            <w:vAlign w:val="center"/>
            <w:hideMark/>
          </w:tcPr>
          <w:p w14:paraId="372AE7B9" w14:textId="77777777" w:rsidR="00F25246" w:rsidRPr="00F25246" w:rsidRDefault="00F25246" w:rsidP="00F25246">
            <w:pPr>
              <w:rPr>
                <w:color w:val="000000"/>
                <w:sz w:val="14"/>
                <w:szCs w:val="14"/>
                <w:lang w:eastAsia="tr-TR"/>
              </w:rPr>
            </w:pPr>
            <w:r w:rsidRPr="00F25246">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04087416"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535A153B" w14:textId="77777777" w:rsidR="00F25246" w:rsidRPr="00F25246" w:rsidRDefault="00F25246" w:rsidP="00717AB5">
            <w:pPr>
              <w:ind w:left="-104"/>
              <w:jc w:val="right"/>
              <w:rPr>
                <w:sz w:val="14"/>
                <w:szCs w:val="14"/>
                <w:lang w:eastAsia="tr-TR"/>
              </w:rPr>
            </w:pPr>
            <w:r w:rsidRPr="00F25246">
              <w:rPr>
                <w:sz w:val="14"/>
                <w:szCs w:val="14"/>
                <w:lang w:eastAsia="tr-TR"/>
              </w:rPr>
              <w:t>1,437,335</w:t>
            </w:r>
          </w:p>
        </w:tc>
        <w:tc>
          <w:tcPr>
            <w:tcW w:w="851" w:type="dxa"/>
            <w:tcBorders>
              <w:top w:val="nil"/>
              <w:left w:val="single" w:sz="4" w:space="0" w:color="auto"/>
              <w:bottom w:val="nil"/>
              <w:right w:val="single" w:sz="4" w:space="0" w:color="auto"/>
            </w:tcBorders>
            <w:shd w:val="clear" w:color="auto" w:fill="auto"/>
            <w:vAlign w:val="bottom"/>
            <w:hideMark/>
          </w:tcPr>
          <w:p w14:paraId="41ED5CD6"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A0F66DE" w14:textId="77777777" w:rsidR="00F25246" w:rsidRPr="00F25246" w:rsidRDefault="00F25246" w:rsidP="00717AB5">
            <w:pPr>
              <w:ind w:left="-104"/>
              <w:jc w:val="right"/>
              <w:rPr>
                <w:sz w:val="14"/>
                <w:szCs w:val="14"/>
                <w:lang w:eastAsia="tr-TR"/>
              </w:rPr>
            </w:pPr>
            <w:r w:rsidRPr="00F25246">
              <w:rPr>
                <w:sz w:val="14"/>
                <w:szCs w:val="14"/>
                <w:lang w:eastAsia="tr-TR"/>
              </w:rPr>
              <w:t>1,437,335</w:t>
            </w:r>
          </w:p>
        </w:tc>
        <w:tc>
          <w:tcPr>
            <w:tcW w:w="851" w:type="dxa"/>
            <w:tcBorders>
              <w:top w:val="nil"/>
              <w:left w:val="single" w:sz="4" w:space="0" w:color="auto"/>
              <w:bottom w:val="nil"/>
              <w:right w:val="single" w:sz="4" w:space="0" w:color="auto"/>
            </w:tcBorders>
            <w:shd w:val="clear" w:color="auto" w:fill="auto"/>
            <w:vAlign w:val="bottom"/>
            <w:hideMark/>
          </w:tcPr>
          <w:p w14:paraId="4BEA266B" w14:textId="77777777" w:rsidR="00F25246" w:rsidRPr="00F25246" w:rsidRDefault="00F25246" w:rsidP="00717AB5">
            <w:pPr>
              <w:ind w:left="-104"/>
              <w:jc w:val="right"/>
              <w:rPr>
                <w:sz w:val="14"/>
                <w:szCs w:val="14"/>
                <w:lang w:eastAsia="tr-TR"/>
              </w:rPr>
            </w:pPr>
            <w:r w:rsidRPr="00F25246">
              <w:rPr>
                <w:sz w:val="14"/>
                <w:szCs w:val="14"/>
                <w:lang w:eastAsia="tr-TR"/>
              </w:rPr>
              <w:t>521,173</w:t>
            </w:r>
          </w:p>
        </w:tc>
        <w:tc>
          <w:tcPr>
            <w:tcW w:w="850" w:type="dxa"/>
            <w:tcBorders>
              <w:top w:val="nil"/>
              <w:left w:val="single" w:sz="4" w:space="0" w:color="auto"/>
              <w:bottom w:val="nil"/>
              <w:right w:val="single" w:sz="4" w:space="0" w:color="auto"/>
            </w:tcBorders>
            <w:shd w:val="clear" w:color="auto" w:fill="auto"/>
            <w:vAlign w:val="bottom"/>
            <w:hideMark/>
          </w:tcPr>
          <w:p w14:paraId="70D0B38E"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18542E1" w14:textId="77777777" w:rsidR="00F25246" w:rsidRPr="00F25246" w:rsidRDefault="00F25246" w:rsidP="00717AB5">
            <w:pPr>
              <w:ind w:left="-104"/>
              <w:jc w:val="right"/>
              <w:rPr>
                <w:sz w:val="14"/>
                <w:szCs w:val="14"/>
                <w:lang w:eastAsia="tr-TR"/>
              </w:rPr>
            </w:pPr>
            <w:r w:rsidRPr="00F25246">
              <w:rPr>
                <w:sz w:val="14"/>
                <w:szCs w:val="14"/>
                <w:lang w:eastAsia="tr-TR"/>
              </w:rPr>
              <w:t>521,173</w:t>
            </w:r>
          </w:p>
        </w:tc>
      </w:tr>
      <w:tr w:rsidR="00F25246" w:rsidRPr="00F25246" w14:paraId="2E82531A"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3FA4C6DC" w14:textId="77777777" w:rsidR="00F25246" w:rsidRPr="00F25246" w:rsidRDefault="00F25246" w:rsidP="00F25246">
            <w:pPr>
              <w:rPr>
                <w:color w:val="000000"/>
                <w:sz w:val="14"/>
                <w:szCs w:val="14"/>
                <w:lang w:eastAsia="tr-TR"/>
              </w:rPr>
            </w:pPr>
            <w:r w:rsidRPr="00F25246">
              <w:rPr>
                <w:color w:val="000000"/>
                <w:sz w:val="14"/>
                <w:szCs w:val="14"/>
                <w:lang w:eastAsia="tr-TR"/>
              </w:rPr>
              <w:t>4.2.2.</w:t>
            </w:r>
          </w:p>
        </w:tc>
        <w:tc>
          <w:tcPr>
            <w:tcW w:w="3356" w:type="dxa"/>
            <w:tcBorders>
              <w:top w:val="nil"/>
              <w:left w:val="single" w:sz="4" w:space="0" w:color="auto"/>
              <w:bottom w:val="nil"/>
              <w:right w:val="single" w:sz="4" w:space="0" w:color="auto"/>
            </w:tcBorders>
            <w:shd w:val="clear" w:color="auto" w:fill="auto"/>
            <w:noWrap/>
            <w:vAlign w:val="center"/>
            <w:hideMark/>
          </w:tcPr>
          <w:p w14:paraId="2F6DC54F" w14:textId="77777777" w:rsidR="00F25246" w:rsidRPr="00F25246" w:rsidRDefault="00F25246" w:rsidP="00F25246">
            <w:pPr>
              <w:rPr>
                <w:color w:val="000000"/>
                <w:sz w:val="14"/>
                <w:szCs w:val="14"/>
                <w:lang w:eastAsia="tr-TR"/>
              </w:rPr>
            </w:pPr>
            <w:r w:rsidRPr="00F25246">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213723F2"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5B6AAFE3" w14:textId="77777777" w:rsidR="00F25246" w:rsidRPr="00F25246" w:rsidRDefault="00F25246" w:rsidP="00717AB5">
            <w:pPr>
              <w:ind w:left="-104"/>
              <w:jc w:val="right"/>
              <w:rPr>
                <w:sz w:val="14"/>
                <w:szCs w:val="14"/>
                <w:lang w:eastAsia="tr-TR"/>
              </w:rPr>
            </w:pPr>
            <w:r w:rsidRPr="00F25246">
              <w:rPr>
                <w:sz w:val="14"/>
                <w:szCs w:val="14"/>
                <w:lang w:eastAsia="tr-TR"/>
              </w:rPr>
              <w:t>23,680</w:t>
            </w:r>
          </w:p>
        </w:tc>
        <w:tc>
          <w:tcPr>
            <w:tcW w:w="851" w:type="dxa"/>
            <w:tcBorders>
              <w:top w:val="nil"/>
              <w:left w:val="single" w:sz="4" w:space="0" w:color="auto"/>
              <w:bottom w:val="nil"/>
              <w:right w:val="single" w:sz="4" w:space="0" w:color="auto"/>
            </w:tcBorders>
            <w:shd w:val="clear" w:color="auto" w:fill="auto"/>
            <w:vAlign w:val="bottom"/>
            <w:hideMark/>
          </w:tcPr>
          <w:p w14:paraId="26EA816A"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D739335" w14:textId="77777777" w:rsidR="00F25246" w:rsidRPr="00F25246" w:rsidRDefault="00F25246" w:rsidP="00717AB5">
            <w:pPr>
              <w:ind w:left="-104"/>
              <w:jc w:val="right"/>
              <w:rPr>
                <w:sz w:val="14"/>
                <w:szCs w:val="14"/>
                <w:lang w:eastAsia="tr-TR"/>
              </w:rPr>
            </w:pPr>
            <w:r w:rsidRPr="00F25246">
              <w:rPr>
                <w:sz w:val="14"/>
                <w:szCs w:val="14"/>
                <w:lang w:eastAsia="tr-TR"/>
              </w:rPr>
              <w:t>23,680</w:t>
            </w:r>
          </w:p>
        </w:tc>
        <w:tc>
          <w:tcPr>
            <w:tcW w:w="851" w:type="dxa"/>
            <w:tcBorders>
              <w:top w:val="nil"/>
              <w:left w:val="single" w:sz="4" w:space="0" w:color="auto"/>
              <w:bottom w:val="nil"/>
              <w:right w:val="single" w:sz="4" w:space="0" w:color="auto"/>
            </w:tcBorders>
            <w:shd w:val="clear" w:color="auto" w:fill="auto"/>
            <w:vAlign w:val="bottom"/>
            <w:hideMark/>
          </w:tcPr>
          <w:p w14:paraId="25E3079C" w14:textId="77777777" w:rsidR="00F25246" w:rsidRPr="00F25246" w:rsidRDefault="00F25246" w:rsidP="00717AB5">
            <w:pPr>
              <w:ind w:left="-104"/>
              <w:jc w:val="right"/>
              <w:rPr>
                <w:sz w:val="14"/>
                <w:szCs w:val="14"/>
                <w:lang w:eastAsia="tr-TR"/>
              </w:rPr>
            </w:pPr>
            <w:r w:rsidRPr="00F25246">
              <w:rPr>
                <w:sz w:val="14"/>
                <w:szCs w:val="14"/>
                <w:lang w:eastAsia="tr-TR"/>
              </w:rPr>
              <w:t>23,680</w:t>
            </w:r>
          </w:p>
        </w:tc>
        <w:tc>
          <w:tcPr>
            <w:tcW w:w="850" w:type="dxa"/>
            <w:tcBorders>
              <w:top w:val="nil"/>
              <w:left w:val="single" w:sz="4" w:space="0" w:color="auto"/>
              <w:bottom w:val="nil"/>
              <w:right w:val="single" w:sz="4" w:space="0" w:color="auto"/>
            </w:tcBorders>
            <w:shd w:val="clear" w:color="auto" w:fill="auto"/>
            <w:vAlign w:val="bottom"/>
            <w:hideMark/>
          </w:tcPr>
          <w:p w14:paraId="11A7BDB9"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B2611B6" w14:textId="77777777" w:rsidR="00F25246" w:rsidRPr="00F25246" w:rsidRDefault="00F25246" w:rsidP="00717AB5">
            <w:pPr>
              <w:ind w:left="-104"/>
              <w:jc w:val="right"/>
              <w:rPr>
                <w:sz w:val="14"/>
                <w:szCs w:val="14"/>
                <w:lang w:eastAsia="tr-TR"/>
              </w:rPr>
            </w:pPr>
            <w:r w:rsidRPr="00F25246">
              <w:rPr>
                <w:sz w:val="14"/>
                <w:szCs w:val="14"/>
                <w:lang w:eastAsia="tr-TR"/>
              </w:rPr>
              <w:t>23,680</w:t>
            </w:r>
          </w:p>
        </w:tc>
      </w:tr>
      <w:tr w:rsidR="00F25246" w:rsidRPr="00F25246" w14:paraId="386EEB34"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58BADA25"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4.3.</w:t>
            </w:r>
          </w:p>
        </w:tc>
        <w:tc>
          <w:tcPr>
            <w:tcW w:w="3356" w:type="dxa"/>
            <w:tcBorders>
              <w:top w:val="nil"/>
              <w:left w:val="single" w:sz="4" w:space="0" w:color="auto"/>
              <w:bottom w:val="nil"/>
              <w:right w:val="single" w:sz="4" w:space="0" w:color="auto"/>
            </w:tcBorders>
            <w:shd w:val="clear" w:color="auto" w:fill="auto"/>
            <w:vAlign w:val="center"/>
            <w:hideMark/>
          </w:tcPr>
          <w:p w14:paraId="134FA525"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vAlign w:val="center"/>
            <w:hideMark/>
          </w:tcPr>
          <w:p w14:paraId="717F3EE6"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(5.1.9.)</w:t>
            </w:r>
          </w:p>
        </w:tc>
        <w:tc>
          <w:tcPr>
            <w:tcW w:w="810" w:type="dxa"/>
            <w:tcBorders>
              <w:top w:val="nil"/>
              <w:left w:val="single" w:sz="4" w:space="0" w:color="auto"/>
              <w:bottom w:val="nil"/>
              <w:right w:val="single" w:sz="4" w:space="0" w:color="auto"/>
            </w:tcBorders>
            <w:shd w:val="clear" w:color="auto" w:fill="auto"/>
            <w:vAlign w:val="bottom"/>
            <w:hideMark/>
          </w:tcPr>
          <w:p w14:paraId="399D022E" w14:textId="77777777" w:rsidR="00F25246" w:rsidRPr="00F25246" w:rsidRDefault="00F25246" w:rsidP="00717AB5">
            <w:pPr>
              <w:ind w:left="-104"/>
              <w:jc w:val="right"/>
              <w:rPr>
                <w:b/>
                <w:bCs/>
                <w:sz w:val="14"/>
                <w:szCs w:val="14"/>
                <w:lang w:eastAsia="tr-TR"/>
              </w:rPr>
            </w:pPr>
            <w:r w:rsidRPr="00F25246">
              <w:rPr>
                <w:b/>
                <w:bCs/>
                <w:sz w:val="14"/>
                <w:szCs w:val="14"/>
                <w:lang w:eastAsia="tr-TR"/>
              </w:rPr>
              <w:t>20,000</w:t>
            </w:r>
          </w:p>
        </w:tc>
        <w:tc>
          <w:tcPr>
            <w:tcW w:w="851" w:type="dxa"/>
            <w:tcBorders>
              <w:top w:val="nil"/>
              <w:left w:val="single" w:sz="4" w:space="0" w:color="auto"/>
              <w:bottom w:val="nil"/>
              <w:right w:val="single" w:sz="4" w:space="0" w:color="auto"/>
            </w:tcBorders>
            <w:shd w:val="clear" w:color="auto" w:fill="auto"/>
            <w:vAlign w:val="bottom"/>
            <w:hideMark/>
          </w:tcPr>
          <w:p w14:paraId="576965AB"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16E2B7D" w14:textId="77777777" w:rsidR="00F25246" w:rsidRPr="00F25246" w:rsidRDefault="00F25246" w:rsidP="00717AB5">
            <w:pPr>
              <w:ind w:left="-104"/>
              <w:jc w:val="right"/>
              <w:rPr>
                <w:b/>
                <w:bCs/>
                <w:sz w:val="14"/>
                <w:szCs w:val="14"/>
                <w:lang w:eastAsia="tr-TR"/>
              </w:rPr>
            </w:pPr>
            <w:r w:rsidRPr="00F25246">
              <w:rPr>
                <w:b/>
                <w:bCs/>
                <w:sz w:val="14"/>
                <w:szCs w:val="14"/>
                <w:lang w:eastAsia="tr-TR"/>
              </w:rPr>
              <w:t>20,000</w:t>
            </w:r>
          </w:p>
        </w:tc>
        <w:tc>
          <w:tcPr>
            <w:tcW w:w="851" w:type="dxa"/>
            <w:tcBorders>
              <w:top w:val="nil"/>
              <w:left w:val="single" w:sz="4" w:space="0" w:color="auto"/>
              <w:bottom w:val="nil"/>
              <w:right w:val="single" w:sz="4" w:space="0" w:color="auto"/>
            </w:tcBorders>
            <w:shd w:val="clear" w:color="auto" w:fill="auto"/>
            <w:vAlign w:val="bottom"/>
            <w:hideMark/>
          </w:tcPr>
          <w:p w14:paraId="7A871021" w14:textId="77777777" w:rsidR="00F25246" w:rsidRPr="00F25246" w:rsidRDefault="00F25246" w:rsidP="00717AB5">
            <w:pPr>
              <w:ind w:left="-104"/>
              <w:jc w:val="right"/>
              <w:rPr>
                <w:b/>
                <w:bCs/>
                <w:sz w:val="14"/>
                <w:szCs w:val="14"/>
                <w:lang w:eastAsia="tr-TR"/>
              </w:rPr>
            </w:pPr>
            <w:r w:rsidRPr="00F25246">
              <w:rPr>
                <w:b/>
                <w:bCs/>
                <w:sz w:val="14"/>
                <w:szCs w:val="14"/>
                <w:lang w:eastAsia="tr-TR"/>
              </w:rPr>
              <w:t>20,000</w:t>
            </w:r>
          </w:p>
        </w:tc>
        <w:tc>
          <w:tcPr>
            <w:tcW w:w="850" w:type="dxa"/>
            <w:tcBorders>
              <w:top w:val="nil"/>
              <w:left w:val="single" w:sz="4" w:space="0" w:color="auto"/>
              <w:bottom w:val="nil"/>
              <w:right w:val="single" w:sz="4" w:space="0" w:color="auto"/>
            </w:tcBorders>
            <w:shd w:val="clear" w:color="auto" w:fill="auto"/>
            <w:vAlign w:val="bottom"/>
            <w:hideMark/>
          </w:tcPr>
          <w:p w14:paraId="2A82CB42"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6BC7F5C" w14:textId="77777777" w:rsidR="00F25246" w:rsidRPr="00F25246" w:rsidRDefault="00F25246" w:rsidP="00717AB5">
            <w:pPr>
              <w:ind w:left="-104"/>
              <w:jc w:val="right"/>
              <w:rPr>
                <w:b/>
                <w:bCs/>
                <w:sz w:val="14"/>
                <w:szCs w:val="14"/>
                <w:lang w:eastAsia="tr-TR"/>
              </w:rPr>
            </w:pPr>
            <w:r w:rsidRPr="00F25246">
              <w:rPr>
                <w:b/>
                <w:bCs/>
                <w:sz w:val="14"/>
                <w:szCs w:val="14"/>
                <w:lang w:eastAsia="tr-TR"/>
              </w:rPr>
              <w:t>20,000</w:t>
            </w:r>
          </w:p>
        </w:tc>
      </w:tr>
      <w:tr w:rsidR="00F25246" w:rsidRPr="00F25246" w14:paraId="42EE9D58"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1241EA42" w14:textId="77777777" w:rsidR="00F25246" w:rsidRPr="00F25246" w:rsidRDefault="00F25246" w:rsidP="00F25246">
            <w:pPr>
              <w:rPr>
                <w:color w:val="000000"/>
                <w:sz w:val="14"/>
                <w:szCs w:val="14"/>
                <w:lang w:eastAsia="tr-TR"/>
              </w:rPr>
            </w:pPr>
            <w:r w:rsidRPr="00F25246">
              <w:rPr>
                <w:color w:val="000000"/>
                <w:sz w:val="14"/>
                <w:szCs w:val="14"/>
                <w:lang w:eastAsia="tr-TR"/>
              </w:rPr>
              <w:t>4.3.1.</w:t>
            </w:r>
          </w:p>
        </w:tc>
        <w:tc>
          <w:tcPr>
            <w:tcW w:w="3356" w:type="dxa"/>
            <w:tcBorders>
              <w:top w:val="nil"/>
              <w:left w:val="single" w:sz="4" w:space="0" w:color="auto"/>
              <w:bottom w:val="nil"/>
              <w:right w:val="single" w:sz="4" w:space="0" w:color="auto"/>
            </w:tcBorders>
            <w:shd w:val="clear" w:color="auto" w:fill="auto"/>
            <w:noWrap/>
            <w:vAlign w:val="center"/>
            <w:hideMark/>
          </w:tcPr>
          <w:p w14:paraId="05C49A95" w14:textId="77777777" w:rsidR="00F25246" w:rsidRPr="00F25246" w:rsidRDefault="00F25246" w:rsidP="00F25246">
            <w:pPr>
              <w:rPr>
                <w:color w:val="000000"/>
                <w:sz w:val="14"/>
                <w:szCs w:val="14"/>
                <w:lang w:eastAsia="tr-TR"/>
              </w:rPr>
            </w:pPr>
            <w:proofErr w:type="spellStart"/>
            <w:r w:rsidRPr="00F25246">
              <w:rPr>
                <w:color w:val="000000"/>
                <w:sz w:val="14"/>
                <w:szCs w:val="14"/>
                <w:lang w:eastAsia="tr-TR"/>
              </w:rPr>
              <w:t>Özkaynak</w:t>
            </w:r>
            <w:proofErr w:type="spellEnd"/>
            <w:r w:rsidRPr="00F25246">
              <w:rPr>
                <w:color w:val="000000"/>
                <w:sz w:val="14"/>
                <w:szCs w:val="14"/>
                <w:lang w:eastAsia="tr-TR"/>
              </w:rPr>
              <w:t xml:space="preserve">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626AE6DF"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3A27E150" w14:textId="77777777" w:rsidR="00F25246" w:rsidRPr="00F25246" w:rsidRDefault="00F25246" w:rsidP="00717AB5">
            <w:pPr>
              <w:ind w:left="-104"/>
              <w:jc w:val="right"/>
              <w:rPr>
                <w:sz w:val="14"/>
                <w:szCs w:val="14"/>
                <w:lang w:eastAsia="tr-TR"/>
              </w:rPr>
            </w:pPr>
            <w:r w:rsidRPr="00F25246">
              <w:rPr>
                <w:sz w:val="14"/>
                <w:szCs w:val="14"/>
                <w:lang w:eastAsia="tr-TR"/>
              </w:rPr>
              <w:t>20,000</w:t>
            </w:r>
          </w:p>
        </w:tc>
        <w:tc>
          <w:tcPr>
            <w:tcW w:w="851" w:type="dxa"/>
            <w:tcBorders>
              <w:top w:val="nil"/>
              <w:left w:val="single" w:sz="4" w:space="0" w:color="auto"/>
              <w:bottom w:val="nil"/>
              <w:right w:val="single" w:sz="4" w:space="0" w:color="auto"/>
            </w:tcBorders>
            <w:shd w:val="clear" w:color="auto" w:fill="auto"/>
            <w:vAlign w:val="bottom"/>
            <w:hideMark/>
          </w:tcPr>
          <w:p w14:paraId="26FB8DE9"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B7FE0F0" w14:textId="77777777" w:rsidR="00F25246" w:rsidRPr="00F25246" w:rsidRDefault="00F25246" w:rsidP="00717AB5">
            <w:pPr>
              <w:ind w:left="-104"/>
              <w:jc w:val="right"/>
              <w:rPr>
                <w:sz w:val="14"/>
                <w:szCs w:val="14"/>
                <w:lang w:eastAsia="tr-TR"/>
              </w:rPr>
            </w:pPr>
            <w:r w:rsidRPr="00F25246">
              <w:rPr>
                <w:sz w:val="14"/>
                <w:szCs w:val="14"/>
                <w:lang w:eastAsia="tr-TR"/>
              </w:rPr>
              <w:t>20,000</w:t>
            </w:r>
          </w:p>
        </w:tc>
        <w:tc>
          <w:tcPr>
            <w:tcW w:w="851" w:type="dxa"/>
            <w:tcBorders>
              <w:top w:val="nil"/>
              <w:left w:val="single" w:sz="4" w:space="0" w:color="auto"/>
              <w:bottom w:val="nil"/>
              <w:right w:val="single" w:sz="4" w:space="0" w:color="auto"/>
            </w:tcBorders>
            <w:shd w:val="clear" w:color="auto" w:fill="auto"/>
            <w:vAlign w:val="bottom"/>
            <w:hideMark/>
          </w:tcPr>
          <w:p w14:paraId="13E520FF" w14:textId="77777777" w:rsidR="00F25246" w:rsidRPr="00F25246" w:rsidRDefault="00F25246" w:rsidP="00717AB5">
            <w:pPr>
              <w:ind w:left="-104"/>
              <w:jc w:val="right"/>
              <w:rPr>
                <w:sz w:val="14"/>
                <w:szCs w:val="14"/>
                <w:lang w:eastAsia="tr-TR"/>
              </w:rPr>
            </w:pPr>
            <w:r w:rsidRPr="00F25246">
              <w:rPr>
                <w:sz w:val="14"/>
                <w:szCs w:val="14"/>
                <w:lang w:eastAsia="tr-TR"/>
              </w:rPr>
              <w:t>20,000</w:t>
            </w:r>
          </w:p>
        </w:tc>
        <w:tc>
          <w:tcPr>
            <w:tcW w:w="850" w:type="dxa"/>
            <w:tcBorders>
              <w:top w:val="nil"/>
              <w:left w:val="single" w:sz="4" w:space="0" w:color="auto"/>
              <w:bottom w:val="nil"/>
              <w:right w:val="single" w:sz="4" w:space="0" w:color="auto"/>
            </w:tcBorders>
            <w:shd w:val="clear" w:color="auto" w:fill="auto"/>
            <w:vAlign w:val="bottom"/>
            <w:hideMark/>
          </w:tcPr>
          <w:p w14:paraId="582F86E4"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256B1C5" w14:textId="77777777" w:rsidR="00F25246" w:rsidRPr="00F25246" w:rsidRDefault="00F25246" w:rsidP="00717AB5">
            <w:pPr>
              <w:ind w:left="-104"/>
              <w:jc w:val="right"/>
              <w:rPr>
                <w:sz w:val="14"/>
                <w:szCs w:val="14"/>
                <w:lang w:eastAsia="tr-TR"/>
              </w:rPr>
            </w:pPr>
            <w:r w:rsidRPr="00F25246">
              <w:rPr>
                <w:sz w:val="14"/>
                <w:szCs w:val="14"/>
                <w:lang w:eastAsia="tr-TR"/>
              </w:rPr>
              <w:t>20,000</w:t>
            </w:r>
          </w:p>
        </w:tc>
      </w:tr>
      <w:tr w:rsidR="00F25246" w:rsidRPr="00F25246" w14:paraId="4BB0C6F6"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57171D72" w14:textId="77777777" w:rsidR="00F25246" w:rsidRPr="00F25246" w:rsidRDefault="00F25246" w:rsidP="00F25246">
            <w:pPr>
              <w:rPr>
                <w:color w:val="000000"/>
                <w:sz w:val="14"/>
                <w:szCs w:val="14"/>
                <w:lang w:eastAsia="tr-TR"/>
              </w:rPr>
            </w:pPr>
            <w:r w:rsidRPr="00F25246">
              <w:rPr>
                <w:color w:val="000000"/>
                <w:sz w:val="14"/>
                <w:szCs w:val="14"/>
                <w:lang w:eastAsia="tr-TR"/>
              </w:rPr>
              <w:t>4.3.2.</w:t>
            </w:r>
          </w:p>
        </w:tc>
        <w:tc>
          <w:tcPr>
            <w:tcW w:w="3356" w:type="dxa"/>
            <w:tcBorders>
              <w:top w:val="nil"/>
              <w:left w:val="single" w:sz="4" w:space="0" w:color="auto"/>
              <w:bottom w:val="nil"/>
              <w:right w:val="single" w:sz="4" w:space="0" w:color="auto"/>
            </w:tcBorders>
            <w:shd w:val="clear" w:color="auto" w:fill="auto"/>
            <w:noWrap/>
            <w:vAlign w:val="center"/>
            <w:hideMark/>
          </w:tcPr>
          <w:p w14:paraId="2CD18E82" w14:textId="77777777" w:rsidR="00F25246" w:rsidRPr="00F25246" w:rsidRDefault="00F25246" w:rsidP="00F25246">
            <w:pPr>
              <w:rPr>
                <w:color w:val="000000"/>
                <w:sz w:val="14"/>
                <w:szCs w:val="14"/>
                <w:lang w:eastAsia="tr-TR"/>
              </w:rPr>
            </w:pPr>
            <w:r w:rsidRPr="00F25246">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7E54E0DF"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1943CE70"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953693D"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FF93F18"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7F6782D"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56D24F2"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72F4682" w14:textId="77777777" w:rsidR="00F25246" w:rsidRPr="00F25246" w:rsidRDefault="00F25246" w:rsidP="00717AB5">
            <w:pPr>
              <w:ind w:left="-104"/>
              <w:jc w:val="right"/>
              <w:rPr>
                <w:sz w:val="14"/>
                <w:szCs w:val="14"/>
                <w:lang w:eastAsia="tr-TR"/>
              </w:rPr>
            </w:pPr>
            <w:r w:rsidRPr="00F25246">
              <w:rPr>
                <w:sz w:val="14"/>
                <w:szCs w:val="14"/>
                <w:lang w:eastAsia="tr-TR"/>
              </w:rPr>
              <w:t>-</w:t>
            </w:r>
          </w:p>
        </w:tc>
      </w:tr>
      <w:tr w:rsidR="00F25246" w:rsidRPr="00F25246" w14:paraId="20D28448"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57CDAE1F"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V.</w:t>
            </w:r>
          </w:p>
        </w:tc>
        <w:tc>
          <w:tcPr>
            <w:tcW w:w="3356" w:type="dxa"/>
            <w:tcBorders>
              <w:top w:val="nil"/>
              <w:left w:val="single" w:sz="4" w:space="0" w:color="auto"/>
              <w:bottom w:val="nil"/>
              <w:right w:val="single" w:sz="4" w:space="0" w:color="auto"/>
            </w:tcBorders>
            <w:shd w:val="clear" w:color="auto" w:fill="auto"/>
            <w:vAlign w:val="center"/>
            <w:hideMark/>
          </w:tcPr>
          <w:p w14:paraId="089DC48A"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27899D7A" w14:textId="77777777" w:rsidR="00F25246" w:rsidRPr="00F25246" w:rsidRDefault="00F25246" w:rsidP="00F25246">
            <w:pPr>
              <w:rPr>
                <w:b/>
                <w:bCs/>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656B25C3" w14:textId="77777777" w:rsidR="00F25246" w:rsidRPr="00F25246" w:rsidRDefault="00F25246" w:rsidP="00717AB5">
            <w:pPr>
              <w:ind w:left="-104"/>
              <w:jc w:val="right"/>
              <w:rPr>
                <w:b/>
                <w:bCs/>
                <w:sz w:val="14"/>
                <w:szCs w:val="14"/>
                <w:lang w:eastAsia="tr-TR"/>
              </w:rPr>
            </w:pPr>
            <w:r w:rsidRPr="00F25246">
              <w:rPr>
                <w:b/>
                <w:bCs/>
                <w:sz w:val="14"/>
                <w:szCs w:val="14"/>
                <w:lang w:eastAsia="tr-TR"/>
              </w:rPr>
              <w:t>1,074,044</w:t>
            </w:r>
          </w:p>
        </w:tc>
        <w:tc>
          <w:tcPr>
            <w:tcW w:w="851" w:type="dxa"/>
            <w:tcBorders>
              <w:top w:val="nil"/>
              <w:left w:val="single" w:sz="4" w:space="0" w:color="auto"/>
              <w:bottom w:val="nil"/>
              <w:right w:val="single" w:sz="4" w:space="0" w:color="auto"/>
            </w:tcBorders>
            <w:shd w:val="clear" w:color="auto" w:fill="auto"/>
            <w:vAlign w:val="bottom"/>
            <w:hideMark/>
          </w:tcPr>
          <w:p w14:paraId="5A949EE0" w14:textId="77777777" w:rsidR="00F25246" w:rsidRPr="00F25246" w:rsidRDefault="00F25246" w:rsidP="00717AB5">
            <w:pPr>
              <w:ind w:left="-104"/>
              <w:jc w:val="right"/>
              <w:rPr>
                <w:b/>
                <w:bCs/>
                <w:sz w:val="14"/>
                <w:szCs w:val="14"/>
                <w:lang w:eastAsia="tr-TR"/>
              </w:rPr>
            </w:pPr>
            <w:r w:rsidRPr="00F25246">
              <w:rPr>
                <w:b/>
                <w:bCs/>
                <w:sz w:val="14"/>
                <w:szCs w:val="14"/>
                <w:lang w:eastAsia="tr-TR"/>
              </w:rPr>
              <w:t>1,325</w:t>
            </w:r>
          </w:p>
        </w:tc>
        <w:tc>
          <w:tcPr>
            <w:tcW w:w="850" w:type="dxa"/>
            <w:tcBorders>
              <w:top w:val="nil"/>
              <w:left w:val="single" w:sz="4" w:space="0" w:color="auto"/>
              <w:bottom w:val="nil"/>
              <w:right w:val="single" w:sz="4" w:space="0" w:color="auto"/>
            </w:tcBorders>
            <w:shd w:val="clear" w:color="auto" w:fill="auto"/>
            <w:vAlign w:val="bottom"/>
            <w:hideMark/>
          </w:tcPr>
          <w:p w14:paraId="129FECF1" w14:textId="77777777" w:rsidR="00F25246" w:rsidRPr="00F25246" w:rsidRDefault="00F25246" w:rsidP="00717AB5">
            <w:pPr>
              <w:ind w:left="-104"/>
              <w:jc w:val="right"/>
              <w:rPr>
                <w:b/>
                <w:bCs/>
                <w:sz w:val="14"/>
                <w:szCs w:val="14"/>
                <w:lang w:eastAsia="tr-TR"/>
              </w:rPr>
            </w:pPr>
            <w:r w:rsidRPr="00F25246">
              <w:rPr>
                <w:b/>
                <w:bCs/>
                <w:sz w:val="14"/>
                <w:szCs w:val="14"/>
                <w:lang w:eastAsia="tr-TR"/>
              </w:rPr>
              <w:t>1,075,369</w:t>
            </w:r>
          </w:p>
        </w:tc>
        <w:tc>
          <w:tcPr>
            <w:tcW w:w="851" w:type="dxa"/>
            <w:tcBorders>
              <w:top w:val="nil"/>
              <w:left w:val="single" w:sz="4" w:space="0" w:color="auto"/>
              <w:bottom w:val="nil"/>
              <w:right w:val="single" w:sz="4" w:space="0" w:color="auto"/>
            </w:tcBorders>
            <w:shd w:val="clear" w:color="auto" w:fill="auto"/>
            <w:vAlign w:val="bottom"/>
            <w:hideMark/>
          </w:tcPr>
          <w:p w14:paraId="1C518CCE" w14:textId="77777777" w:rsidR="00F25246" w:rsidRPr="00F25246" w:rsidRDefault="00F25246" w:rsidP="00717AB5">
            <w:pPr>
              <w:ind w:left="-104"/>
              <w:jc w:val="right"/>
              <w:rPr>
                <w:b/>
                <w:bCs/>
                <w:sz w:val="14"/>
                <w:szCs w:val="14"/>
                <w:lang w:eastAsia="tr-TR"/>
              </w:rPr>
            </w:pPr>
            <w:r w:rsidRPr="00F25246">
              <w:rPr>
                <w:b/>
                <w:bCs/>
                <w:sz w:val="14"/>
                <w:szCs w:val="14"/>
                <w:lang w:eastAsia="tr-TR"/>
              </w:rPr>
              <w:t>1,033,995</w:t>
            </w:r>
          </w:p>
        </w:tc>
        <w:tc>
          <w:tcPr>
            <w:tcW w:w="850" w:type="dxa"/>
            <w:tcBorders>
              <w:top w:val="nil"/>
              <w:left w:val="single" w:sz="4" w:space="0" w:color="auto"/>
              <w:bottom w:val="nil"/>
              <w:right w:val="single" w:sz="4" w:space="0" w:color="auto"/>
            </w:tcBorders>
            <w:shd w:val="clear" w:color="auto" w:fill="auto"/>
            <w:vAlign w:val="bottom"/>
            <w:hideMark/>
          </w:tcPr>
          <w:p w14:paraId="7F937799" w14:textId="77777777" w:rsidR="00F25246" w:rsidRPr="00F25246" w:rsidRDefault="00F25246" w:rsidP="00717AB5">
            <w:pPr>
              <w:ind w:left="-104"/>
              <w:jc w:val="right"/>
              <w:rPr>
                <w:b/>
                <w:bCs/>
                <w:sz w:val="14"/>
                <w:szCs w:val="14"/>
                <w:lang w:eastAsia="tr-TR"/>
              </w:rPr>
            </w:pPr>
            <w:r w:rsidRPr="00F25246">
              <w:rPr>
                <w:b/>
                <w:bCs/>
                <w:sz w:val="14"/>
                <w:szCs w:val="14"/>
                <w:lang w:eastAsia="tr-TR"/>
              </w:rPr>
              <w:t>957</w:t>
            </w:r>
          </w:p>
        </w:tc>
        <w:tc>
          <w:tcPr>
            <w:tcW w:w="851" w:type="dxa"/>
            <w:tcBorders>
              <w:top w:val="nil"/>
              <w:left w:val="single" w:sz="4" w:space="0" w:color="auto"/>
              <w:bottom w:val="nil"/>
              <w:right w:val="single" w:sz="4" w:space="0" w:color="auto"/>
            </w:tcBorders>
            <w:shd w:val="clear" w:color="auto" w:fill="auto"/>
            <w:vAlign w:val="bottom"/>
            <w:hideMark/>
          </w:tcPr>
          <w:p w14:paraId="576034B2" w14:textId="77777777" w:rsidR="00F25246" w:rsidRPr="00F25246" w:rsidRDefault="00F25246" w:rsidP="00717AB5">
            <w:pPr>
              <w:ind w:left="-104"/>
              <w:jc w:val="right"/>
              <w:rPr>
                <w:b/>
                <w:bCs/>
                <w:sz w:val="14"/>
                <w:szCs w:val="14"/>
                <w:lang w:eastAsia="tr-TR"/>
              </w:rPr>
            </w:pPr>
            <w:r w:rsidRPr="00F25246">
              <w:rPr>
                <w:b/>
                <w:bCs/>
                <w:sz w:val="14"/>
                <w:szCs w:val="14"/>
                <w:lang w:eastAsia="tr-TR"/>
              </w:rPr>
              <w:t>1,034,952</w:t>
            </w:r>
          </w:p>
        </w:tc>
      </w:tr>
      <w:tr w:rsidR="00F25246" w:rsidRPr="00F25246" w14:paraId="2EA10703"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47297C0C"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VI.</w:t>
            </w:r>
          </w:p>
        </w:tc>
        <w:tc>
          <w:tcPr>
            <w:tcW w:w="3356" w:type="dxa"/>
            <w:tcBorders>
              <w:top w:val="nil"/>
              <w:left w:val="single" w:sz="4" w:space="0" w:color="auto"/>
              <w:bottom w:val="nil"/>
              <w:right w:val="single" w:sz="4" w:space="0" w:color="auto"/>
            </w:tcBorders>
            <w:shd w:val="clear" w:color="auto" w:fill="auto"/>
            <w:vAlign w:val="center"/>
            <w:hideMark/>
          </w:tcPr>
          <w:p w14:paraId="1D88B38D"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205CDDE0" w14:textId="77777777" w:rsidR="00F25246" w:rsidRPr="00F25246" w:rsidRDefault="00F25246" w:rsidP="00F25246">
            <w:pPr>
              <w:rPr>
                <w:b/>
                <w:bCs/>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25B88FF3" w14:textId="77777777" w:rsidR="00F25246" w:rsidRPr="00F25246" w:rsidRDefault="00F25246" w:rsidP="00717AB5">
            <w:pPr>
              <w:ind w:left="-104"/>
              <w:jc w:val="right"/>
              <w:rPr>
                <w:b/>
                <w:bCs/>
                <w:sz w:val="14"/>
                <w:szCs w:val="14"/>
                <w:lang w:eastAsia="tr-TR"/>
              </w:rPr>
            </w:pPr>
            <w:r w:rsidRPr="00F25246">
              <w:rPr>
                <w:b/>
                <w:bCs/>
                <w:sz w:val="14"/>
                <w:szCs w:val="14"/>
                <w:lang w:eastAsia="tr-TR"/>
              </w:rPr>
              <w:t>164,720</w:t>
            </w:r>
          </w:p>
        </w:tc>
        <w:tc>
          <w:tcPr>
            <w:tcW w:w="851" w:type="dxa"/>
            <w:tcBorders>
              <w:top w:val="nil"/>
              <w:left w:val="single" w:sz="4" w:space="0" w:color="auto"/>
              <w:bottom w:val="nil"/>
              <w:right w:val="single" w:sz="4" w:space="0" w:color="auto"/>
            </w:tcBorders>
            <w:shd w:val="clear" w:color="auto" w:fill="auto"/>
            <w:vAlign w:val="bottom"/>
            <w:hideMark/>
          </w:tcPr>
          <w:p w14:paraId="3477323F" w14:textId="77777777" w:rsidR="00F25246" w:rsidRPr="00F25246" w:rsidRDefault="00F25246" w:rsidP="00717AB5">
            <w:pPr>
              <w:ind w:left="-104"/>
              <w:jc w:val="right"/>
              <w:rPr>
                <w:b/>
                <w:bCs/>
                <w:sz w:val="14"/>
                <w:szCs w:val="14"/>
                <w:lang w:eastAsia="tr-TR"/>
              </w:rPr>
            </w:pPr>
            <w:r w:rsidRPr="00F25246">
              <w:rPr>
                <w:b/>
                <w:bCs/>
                <w:sz w:val="14"/>
                <w:szCs w:val="14"/>
                <w:lang w:eastAsia="tr-TR"/>
              </w:rPr>
              <w:t>3</w:t>
            </w:r>
          </w:p>
        </w:tc>
        <w:tc>
          <w:tcPr>
            <w:tcW w:w="850" w:type="dxa"/>
            <w:tcBorders>
              <w:top w:val="nil"/>
              <w:left w:val="single" w:sz="4" w:space="0" w:color="auto"/>
              <w:bottom w:val="nil"/>
              <w:right w:val="single" w:sz="4" w:space="0" w:color="auto"/>
            </w:tcBorders>
            <w:shd w:val="clear" w:color="auto" w:fill="auto"/>
            <w:vAlign w:val="bottom"/>
            <w:hideMark/>
          </w:tcPr>
          <w:p w14:paraId="5BCF73FA" w14:textId="77777777" w:rsidR="00F25246" w:rsidRPr="00F25246" w:rsidRDefault="00F25246" w:rsidP="00717AB5">
            <w:pPr>
              <w:ind w:left="-104"/>
              <w:jc w:val="right"/>
              <w:rPr>
                <w:b/>
                <w:bCs/>
                <w:sz w:val="14"/>
                <w:szCs w:val="14"/>
                <w:lang w:eastAsia="tr-TR"/>
              </w:rPr>
            </w:pPr>
            <w:r w:rsidRPr="00F25246">
              <w:rPr>
                <w:b/>
                <w:bCs/>
                <w:sz w:val="14"/>
                <w:szCs w:val="14"/>
                <w:lang w:eastAsia="tr-TR"/>
              </w:rPr>
              <w:t>164,723</w:t>
            </w:r>
          </w:p>
        </w:tc>
        <w:tc>
          <w:tcPr>
            <w:tcW w:w="851" w:type="dxa"/>
            <w:tcBorders>
              <w:top w:val="nil"/>
              <w:left w:val="single" w:sz="4" w:space="0" w:color="auto"/>
              <w:bottom w:val="nil"/>
              <w:right w:val="single" w:sz="4" w:space="0" w:color="auto"/>
            </w:tcBorders>
            <w:shd w:val="clear" w:color="auto" w:fill="auto"/>
            <w:vAlign w:val="bottom"/>
            <w:hideMark/>
          </w:tcPr>
          <w:p w14:paraId="40A11689" w14:textId="77777777" w:rsidR="00F25246" w:rsidRPr="00F25246" w:rsidRDefault="00F25246" w:rsidP="00717AB5">
            <w:pPr>
              <w:ind w:left="-104"/>
              <w:jc w:val="right"/>
              <w:rPr>
                <w:b/>
                <w:bCs/>
                <w:sz w:val="14"/>
                <w:szCs w:val="14"/>
                <w:lang w:eastAsia="tr-TR"/>
              </w:rPr>
            </w:pPr>
            <w:r w:rsidRPr="00F25246">
              <w:rPr>
                <w:b/>
                <w:bCs/>
                <w:sz w:val="14"/>
                <w:szCs w:val="14"/>
                <w:lang w:eastAsia="tr-TR"/>
              </w:rPr>
              <w:t>133,955</w:t>
            </w:r>
          </w:p>
        </w:tc>
        <w:tc>
          <w:tcPr>
            <w:tcW w:w="850" w:type="dxa"/>
            <w:tcBorders>
              <w:top w:val="nil"/>
              <w:left w:val="single" w:sz="4" w:space="0" w:color="auto"/>
              <w:bottom w:val="nil"/>
              <w:right w:val="single" w:sz="4" w:space="0" w:color="auto"/>
            </w:tcBorders>
            <w:shd w:val="clear" w:color="auto" w:fill="auto"/>
            <w:vAlign w:val="bottom"/>
            <w:hideMark/>
          </w:tcPr>
          <w:p w14:paraId="7EEA6201" w14:textId="77777777" w:rsidR="00F25246" w:rsidRPr="00F25246" w:rsidRDefault="00F25246" w:rsidP="00717AB5">
            <w:pPr>
              <w:ind w:left="-104"/>
              <w:jc w:val="right"/>
              <w:rPr>
                <w:b/>
                <w:bCs/>
                <w:sz w:val="14"/>
                <w:szCs w:val="14"/>
                <w:lang w:eastAsia="tr-TR"/>
              </w:rPr>
            </w:pPr>
            <w:r w:rsidRPr="00F25246">
              <w:rPr>
                <w:b/>
                <w:bCs/>
                <w:sz w:val="14"/>
                <w:szCs w:val="14"/>
                <w:lang w:eastAsia="tr-TR"/>
              </w:rPr>
              <w:t>25</w:t>
            </w:r>
          </w:p>
        </w:tc>
        <w:tc>
          <w:tcPr>
            <w:tcW w:w="851" w:type="dxa"/>
            <w:tcBorders>
              <w:top w:val="nil"/>
              <w:left w:val="single" w:sz="4" w:space="0" w:color="auto"/>
              <w:bottom w:val="nil"/>
              <w:right w:val="single" w:sz="4" w:space="0" w:color="auto"/>
            </w:tcBorders>
            <w:shd w:val="clear" w:color="auto" w:fill="auto"/>
            <w:vAlign w:val="bottom"/>
            <w:hideMark/>
          </w:tcPr>
          <w:p w14:paraId="00BEB136" w14:textId="77777777" w:rsidR="00F25246" w:rsidRPr="00F25246" w:rsidRDefault="00F25246" w:rsidP="00717AB5">
            <w:pPr>
              <w:ind w:left="-104"/>
              <w:jc w:val="right"/>
              <w:rPr>
                <w:b/>
                <w:bCs/>
                <w:sz w:val="14"/>
                <w:szCs w:val="14"/>
                <w:lang w:eastAsia="tr-TR"/>
              </w:rPr>
            </w:pPr>
            <w:r w:rsidRPr="00F25246">
              <w:rPr>
                <w:b/>
                <w:bCs/>
                <w:sz w:val="14"/>
                <w:szCs w:val="14"/>
                <w:lang w:eastAsia="tr-TR"/>
              </w:rPr>
              <w:t>133,980</w:t>
            </w:r>
          </w:p>
        </w:tc>
      </w:tr>
      <w:tr w:rsidR="00F25246" w:rsidRPr="00F25246" w14:paraId="3F64FCB5"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7296BFE0" w14:textId="77777777" w:rsidR="00F25246" w:rsidRPr="00F25246" w:rsidRDefault="00F25246" w:rsidP="00F25246">
            <w:pPr>
              <w:rPr>
                <w:color w:val="000000"/>
                <w:sz w:val="14"/>
                <w:szCs w:val="14"/>
                <w:lang w:eastAsia="tr-TR"/>
              </w:rPr>
            </w:pPr>
            <w:r w:rsidRPr="00F25246">
              <w:rPr>
                <w:color w:val="000000"/>
                <w:sz w:val="14"/>
                <w:szCs w:val="14"/>
                <w:lang w:eastAsia="tr-TR"/>
              </w:rPr>
              <w:t>6.1.</w:t>
            </w:r>
          </w:p>
        </w:tc>
        <w:tc>
          <w:tcPr>
            <w:tcW w:w="3356" w:type="dxa"/>
            <w:tcBorders>
              <w:top w:val="nil"/>
              <w:left w:val="single" w:sz="4" w:space="0" w:color="auto"/>
              <w:bottom w:val="nil"/>
              <w:right w:val="single" w:sz="4" w:space="0" w:color="auto"/>
            </w:tcBorders>
            <w:shd w:val="clear" w:color="auto" w:fill="auto"/>
            <w:noWrap/>
            <w:vAlign w:val="center"/>
            <w:hideMark/>
          </w:tcPr>
          <w:p w14:paraId="1C4BEC26" w14:textId="77777777" w:rsidR="00F25246" w:rsidRPr="00F25246" w:rsidRDefault="00F25246" w:rsidP="00F25246">
            <w:pPr>
              <w:rPr>
                <w:color w:val="000000"/>
                <w:sz w:val="14"/>
                <w:szCs w:val="14"/>
                <w:lang w:eastAsia="tr-TR"/>
              </w:rPr>
            </w:pPr>
            <w:r w:rsidRPr="00F25246">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vAlign w:val="center"/>
            <w:hideMark/>
          </w:tcPr>
          <w:p w14:paraId="27AF421A"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0987A030"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3190284"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1825AD1"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0E2EE19"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CD51DAE" w14:textId="77777777" w:rsidR="00F25246" w:rsidRPr="00F25246" w:rsidRDefault="00F25246" w:rsidP="00717AB5">
            <w:pPr>
              <w:ind w:left="-10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6E08BEF" w14:textId="77777777" w:rsidR="00F25246" w:rsidRPr="00F25246" w:rsidRDefault="00F25246" w:rsidP="00717AB5">
            <w:pPr>
              <w:ind w:left="-104"/>
              <w:jc w:val="right"/>
              <w:rPr>
                <w:sz w:val="14"/>
                <w:szCs w:val="14"/>
                <w:lang w:eastAsia="tr-TR"/>
              </w:rPr>
            </w:pPr>
            <w:r w:rsidRPr="00F25246">
              <w:rPr>
                <w:sz w:val="14"/>
                <w:szCs w:val="14"/>
                <w:lang w:eastAsia="tr-TR"/>
              </w:rPr>
              <w:t>-</w:t>
            </w:r>
          </w:p>
        </w:tc>
      </w:tr>
      <w:tr w:rsidR="00F25246" w:rsidRPr="00F25246" w14:paraId="464523E1"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hideMark/>
          </w:tcPr>
          <w:p w14:paraId="203F7E07" w14:textId="77777777" w:rsidR="00F25246" w:rsidRPr="00F25246" w:rsidRDefault="00F25246" w:rsidP="00F25246">
            <w:pPr>
              <w:rPr>
                <w:color w:val="000000"/>
                <w:sz w:val="14"/>
                <w:szCs w:val="14"/>
                <w:lang w:eastAsia="tr-TR"/>
              </w:rPr>
            </w:pPr>
            <w:r w:rsidRPr="00F25246">
              <w:rPr>
                <w:color w:val="000000"/>
                <w:sz w:val="14"/>
                <w:szCs w:val="14"/>
                <w:lang w:eastAsia="tr-TR"/>
              </w:rPr>
              <w:t>6.2.</w:t>
            </w:r>
          </w:p>
        </w:tc>
        <w:tc>
          <w:tcPr>
            <w:tcW w:w="3356" w:type="dxa"/>
            <w:tcBorders>
              <w:top w:val="nil"/>
              <w:left w:val="single" w:sz="4" w:space="0" w:color="auto"/>
              <w:bottom w:val="nil"/>
              <w:right w:val="single" w:sz="4" w:space="0" w:color="auto"/>
            </w:tcBorders>
            <w:shd w:val="clear" w:color="auto" w:fill="auto"/>
            <w:noWrap/>
            <w:vAlign w:val="center"/>
            <w:hideMark/>
          </w:tcPr>
          <w:p w14:paraId="3ED296F4" w14:textId="77777777" w:rsidR="00F25246" w:rsidRPr="00F25246" w:rsidRDefault="00F25246" w:rsidP="00F25246">
            <w:pPr>
              <w:rPr>
                <w:color w:val="000000"/>
                <w:sz w:val="14"/>
                <w:szCs w:val="14"/>
                <w:lang w:eastAsia="tr-TR"/>
              </w:rPr>
            </w:pPr>
            <w:r w:rsidRPr="00F25246">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2FF5E243" w14:textId="77777777" w:rsidR="00F25246" w:rsidRPr="00F25246" w:rsidRDefault="00F25246" w:rsidP="00F25246">
            <w:pPr>
              <w:rPr>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06F5F318" w14:textId="77777777" w:rsidR="00F25246" w:rsidRPr="00F25246" w:rsidRDefault="00F25246" w:rsidP="00717AB5">
            <w:pPr>
              <w:ind w:left="-104"/>
              <w:jc w:val="right"/>
              <w:rPr>
                <w:sz w:val="14"/>
                <w:szCs w:val="14"/>
                <w:lang w:eastAsia="tr-TR"/>
              </w:rPr>
            </w:pPr>
            <w:r w:rsidRPr="00F25246">
              <w:rPr>
                <w:sz w:val="14"/>
                <w:szCs w:val="14"/>
                <w:lang w:eastAsia="tr-TR"/>
              </w:rPr>
              <w:t>164,720</w:t>
            </w:r>
          </w:p>
        </w:tc>
        <w:tc>
          <w:tcPr>
            <w:tcW w:w="851" w:type="dxa"/>
            <w:tcBorders>
              <w:top w:val="nil"/>
              <w:left w:val="single" w:sz="4" w:space="0" w:color="auto"/>
              <w:bottom w:val="nil"/>
              <w:right w:val="single" w:sz="4" w:space="0" w:color="auto"/>
            </w:tcBorders>
            <w:shd w:val="clear" w:color="auto" w:fill="auto"/>
            <w:vAlign w:val="bottom"/>
            <w:hideMark/>
          </w:tcPr>
          <w:p w14:paraId="247B8F86" w14:textId="77777777" w:rsidR="00F25246" w:rsidRPr="00F25246" w:rsidRDefault="00F25246" w:rsidP="00717AB5">
            <w:pPr>
              <w:ind w:left="-104"/>
              <w:jc w:val="right"/>
              <w:rPr>
                <w:sz w:val="14"/>
                <w:szCs w:val="14"/>
                <w:lang w:eastAsia="tr-TR"/>
              </w:rPr>
            </w:pPr>
            <w:r w:rsidRPr="00F25246">
              <w:rPr>
                <w:sz w:val="14"/>
                <w:szCs w:val="14"/>
                <w:lang w:eastAsia="tr-TR"/>
              </w:rPr>
              <w:t>3</w:t>
            </w:r>
          </w:p>
        </w:tc>
        <w:tc>
          <w:tcPr>
            <w:tcW w:w="850" w:type="dxa"/>
            <w:tcBorders>
              <w:top w:val="nil"/>
              <w:left w:val="single" w:sz="4" w:space="0" w:color="auto"/>
              <w:bottom w:val="nil"/>
              <w:right w:val="single" w:sz="4" w:space="0" w:color="auto"/>
            </w:tcBorders>
            <w:shd w:val="clear" w:color="auto" w:fill="auto"/>
            <w:vAlign w:val="bottom"/>
            <w:hideMark/>
          </w:tcPr>
          <w:p w14:paraId="333DDD2D" w14:textId="77777777" w:rsidR="00F25246" w:rsidRPr="00F25246" w:rsidRDefault="00F25246" w:rsidP="00717AB5">
            <w:pPr>
              <w:ind w:left="-104"/>
              <w:jc w:val="right"/>
              <w:rPr>
                <w:sz w:val="14"/>
                <w:szCs w:val="14"/>
                <w:lang w:eastAsia="tr-TR"/>
              </w:rPr>
            </w:pPr>
            <w:r w:rsidRPr="00F25246">
              <w:rPr>
                <w:sz w:val="14"/>
                <w:szCs w:val="14"/>
                <w:lang w:eastAsia="tr-TR"/>
              </w:rPr>
              <w:t>164,723</w:t>
            </w:r>
          </w:p>
        </w:tc>
        <w:tc>
          <w:tcPr>
            <w:tcW w:w="851" w:type="dxa"/>
            <w:tcBorders>
              <w:top w:val="nil"/>
              <w:left w:val="single" w:sz="4" w:space="0" w:color="auto"/>
              <w:bottom w:val="nil"/>
              <w:right w:val="single" w:sz="4" w:space="0" w:color="auto"/>
            </w:tcBorders>
            <w:shd w:val="clear" w:color="auto" w:fill="auto"/>
            <w:vAlign w:val="bottom"/>
            <w:hideMark/>
          </w:tcPr>
          <w:p w14:paraId="675AC47D" w14:textId="77777777" w:rsidR="00F25246" w:rsidRPr="00F25246" w:rsidRDefault="00F25246" w:rsidP="00717AB5">
            <w:pPr>
              <w:ind w:left="-104"/>
              <w:jc w:val="right"/>
              <w:rPr>
                <w:sz w:val="14"/>
                <w:szCs w:val="14"/>
                <w:lang w:eastAsia="tr-TR"/>
              </w:rPr>
            </w:pPr>
            <w:r w:rsidRPr="00F25246">
              <w:rPr>
                <w:sz w:val="14"/>
                <w:szCs w:val="14"/>
                <w:lang w:eastAsia="tr-TR"/>
              </w:rPr>
              <w:t>133,955</w:t>
            </w:r>
          </w:p>
        </w:tc>
        <w:tc>
          <w:tcPr>
            <w:tcW w:w="850" w:type="dxa"/>
            <w:tcBorders>
              <w:top w:val="nil"/>
              <w:left w:val="single" w:sz="4" w:space="0" w:color="auto"/>
              <w:bottom w:val="nil"/>
              <w:right w:val="single" w:sz="4" w:space="0" w:color="auto"/>
            </w:tcBorders>
            <w:shd w:val="clear" w:color="auto" w:fill="auto"/>
            <w:vAlign w:val="bottom"/>
            <w:hideMark/>
          </w:tcPr>
          <w:p w14:paraId="2030D1A5" w14:textId="77777777" w:rsidR="00F25246" w:rsidRPr="00F25246" w:rsidRDefault="00F25246" w:rsidP="00717AB5">
            <w:pPr>
              <w:ind w:left="-104"/>
              <w:jc w:val="right"/>
              <w:rPr>
                <w:sz w:val="14"/>
                <w:szCs w:val="14"/>
                <w:lang w:eastAsia="tr-TR"/>
              </w:rPr>
            </w:pPr>
            <w:r w:rsidRPr="00F25246">
              <w:rPr>
                <w:sz w:val="14"/>
                <w:szCs w:val="14"/>
                <w:lang w:eastAsia="tr-TR"/>
              </w:rPr>
              <w:t>25</w:t>
            </w:r>
          </w:p>
        </w:tc>
        <w:tc>
          <w:tcPr>
            <w:tcW w:w="851" w:type="dxa"/>
            <w:tcBorders>
              <w:top w:val="nil"/>
              <w:left w:val="single" w:sz="4" w:space="0" w:color="auto"/>
              <w:bottom w:val="nil"/>
              <w:right w:val="single" w:sz="4" w:space="0" w:color="auto"/>
            </w:tcBorders>
            <w:shd w:val="clear" w:color="auto" w:fill="auto"/>
            <w:vAlign w:val="bottom"/>
            <w:hideMark/>
          </w:tcPr>
          <w:p w14:paraId="0BE75F71" w14:textId="77777777" w:rsidR="00F25246" w:rsidRPr="00F25246" w:rsidRDefault="00F25246" w:rsidP="00717AB5">
            <w:pPr>
              <w:ind w:left="-104"/>
              <w:jc w:val="right"/>
              <w:rPr>
                <w:sz w:val="14"/>
                <w:szCs w:val="14"/>
                <w:lang w:eastAsia="tr-TR"/>
              </w:rPr>
            </w:pPr>
            <w:r w:rsidRPr="00F25246">
              <w:rPr>
                <w:sz w:val="14"/>
                <w:szCs w:val="14"/>
                <w:lang w:eastAsia="tr-TR"/>
              </w:rPr>
              <w:t>133,980</w:t>
            </w:r>
          </w:p>
        </w:tc>
      </w:tr>
      <w:tr w:rsidR="00F25246" w:rsidRPr="00F25246" w14:paraId="3C5D2E13"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657E408F"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VII.</w:t>
            </w:r>
          </w:p>
        </w:tc>
        <w:tc>
          <w:tcPr>
            <w:tcW w:w="3356" w:type="dxa"/>
            <w:tcBorders>
              <w:top w:val="nil"/>
              <w:left w:val="single" w:sz="4" w:space="0" w:color="auto"/>
              <w:bottom w:val="nil"/>
              <w:right w:val="single" w:sz="4" w:space="0" w:color="auto"/>
            </w:tcBorders>
            <w:shd w:val="clear" w:color="auto" w:fill="auto"/>
            <w:vAlign w:val="center"/>
            <w:hideMark/>
          </w:tcPr>
          <w:p w14:paraId="377F9547"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vAlign w:val="center"/>
            <w:hideMark/>
          </w:tcPr>
          <w:p w14:paraId="348E8AC7" w14:textId="77777777" w:rsidR="00F25246" w:rsidRPr="00F25246" w:rsidRDefault="00F25246" w:rsidP="00F25246">
            <w:pPr>
              <w:rPr>
                <w:b/>
                <w:bCs/>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5B6EC0CB" w14:textId="77777777" w:rsidR="00F25246" w:rsidRPr="00F25246" w:rsidRDefault="00F25246" w:rsidP="00717AB5">
            <w:pPr>
              <w:ind w:left="-104"/>
              <w:jc w:val="right"/>
              <w:rPr>
                <w:b/>
                <w:bCs/>
                <w:sz w:val="14"/>
                <w:szCs w:val="14"/>
                <w:lang w:eastAsia="tr-TR"/>
              </w:rPr>
            </w:pPr>
            <w:r w:rsidRPr="00F25246">
              <w:rPr>
                <w:b/>
                <w:bCs/>
                <w:sz w:val="14"/>
                <w:szCs w:val="14"/>
                <w:lang w:eastAsia="tr-TR"/>
              </w:rPr>
              <w:t>25,027</w:t>
            </w:r>
          </w:p>
        </w:tc>
        <w:tc>
          <w:tcPr>
            <w:tcW w:w="851" w:type="dxa"/>
            <w:tcBorders>
              <w:top w:val="nil"/>
              <w:left w:val="single" w:sz="4" w:space="0" w:color="auto"/>
              <w:bottom w:val="nil"/>
              <w:right w:val="single" w:sz="4" w:space="0" w:color="auto"/>
            </w:tcBorders>
            <w:shd w:val="clear" w:color="auto" w:fill="auto"/>
            <w:vAlign w:val="bottom"/>
            <w:hideMark/>
          </w:tcPr>
          <w:p w14:paraId="42E7170B"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366BDF08" w14:textId="77777777" w:rsidR="00F25246" w:rsidRPr="00F25246" w:rsidRDefault="00F25246" w:rsidP="00717AB5">
            <w:pPr>
              <w:ind w:left="-104"/>
              <w:jc w:val="right"/>
              <w:rPr>
                <w:b/>
                <w:bCs/>
                <w:sz w:val="14"/>
                <w:szCs w:val="14"/>
                <w:lang w:eastAsia="tr-TR"/>
              </w:rPr>
            </w:pPr>
            <w:r w:rsidRPr="00F25246">
              <w:rPr>
                <w:b/>
                <w:bCs/>
                <w:sz w:val="14"/>
                <w:szCs w:val="14"/>
                <w:lang w:eastAsia="tr-TR"/>
              </w:rPr>
              <w:t>25,027</w:t>
            </w:r>
          </w:p>
        </w:tc>
        <w:tc>
          <w:tcPr>
            <w:tcW w:w="851" w:type="dxa"/>
            <w:tcBorders>
              <w:top w:val="nil"/>
              <w:left w:val="single" w:sz="4" w:space="0" w:color="auto"/>
              <w:bottom w:val="nil"/>
              <w:right w:val="single" w:sz="4" w:space="0" w:color="auto"/>
            </w:tcBorders>
            <w:shd w:val="clear" w:color="auto" w:fill="auto"/>
            <w:vAlign w:val="bottom"/>
            <w:hideMark/>
          </w:tcPr>
          <w:p w14:paraId="63580E2C" w14:textId="77777777" w:rsidR="00F25246" w:rsidRPr="00F25246" w:rsidRDefault="00F25246" w:rsidP="00717AB5">
            <w:pPr>
              <w:ind w:left="-104"/>
              <w:jc w:val="right"/>
              <w:rPr>
                <w:b/>
                <w:bCs/>
                <w:sz w:val="14"/>
                <w:szCs w:val="14"/>
                <w:lang w:eastAsia="tr-TR"/>
              </w:rPr>
            </w:pPr>
            <w:r w:rsidRPr="00F25246">
              <w:rPr>
                <w:b/>
                <w:bCs/>
                <w:sz w:val="14"/>
                <w:szCs w:val="14"/>
                <w:lang w:eastAsia="tr-TR"/>
              </w:rPr>
              <w:t>25,146</w:t>
            </w:r>
          </w:p>
        </w:tc>
        <w:tc>
          <w:tcPr>
            <w:tcW w:w="850" w:type="dxa"/>
            <w:tcBorders>
              <w:top w:val="nil"/>
              <w:left w:val="single" w:sz="4" w:space="0" w:color="auto"/>
              <w:bottom w:val="nil"/>
              <w:right w:val="single" w:sz="4" w:space="0" w:color="auto"/>
            </w:tcBorders>
            <w:shd w:val="clear" w:color="auto" w:fill="auto"/>
            <w:vAlign w:val="bottom"/>
            <w:hideMark/>
          </w:tcPr>
          <w:p w14:paraId="442486C6"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8533D22" w14:textId="77777777" w:rsidR="00F25246" w:rsidRPr="00F25246" w:rsidRDefault="00F25246" w:rsidP="00717AB5">
            <w:pPr>
              <w:ind w:left="-104"/>
              <w:jc w:val="right"/>
              <w:rPr>
                <w:b/>
                <w:bCs/>
                <w:sz w:val="14"/>
                <w:szCs w:val="14"/>
                <w:lang w:eastAsia="tr-TR"/>
              </w:rPr>
            </w:pPr>
            <w:r w:rsidRPr="00F25246">
              <w:rPr>
                <w:b/>
                <w:bCs/>
                <w:sz w:val="14"/>
                <w:szCs w:val="14"/>
                <w:lang w:eastAsia="tr-TR"/>
              </w:rPr>
              <w:t>25,146</w:t>
            </w:r>
          </w:p>
        </w:tc>
      </w:tr>
      <w:tr w:rsidR="00F25246" w:rsidRPr="00F25246" w14:paraId="4F884138"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5DBD57E2"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VIII.</w:t>
            </w:r>
          </w:p>
        </w:tc>
        <w:tc>
          <w:tcPr>
            <w:tcW w:w="3356" w:type="dxa"/>
            <w:tcBorders>
              <w:top w:val="nil"/>
              <w:left w:val="single" w:sz="4" w:space="0" w:color="auto"/>
              <w:bottom w:val="nil"/>
              <w:right w:val="single" w:sz="4" w:space="0" w:color="auto"/>
            </w:tcBorders>
            <w:shd w:val="clear" w:color="auto" w:fill="auto"/>
            <w:vAlign w:val="center"/>
            <w:hideMark/>
          </w:tcPr>
          <w:p w14:paraId="43E14FCB"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35BEFEA8" w14:textId="77777777" w:rsidR="00F25246" w:rsidRPr="00F25246" w:rsidRDefault="00F25246" w:rsidP="00F25246">
            <w:pPr>
              <w:rPr>
                <w:b/>
                <w:bCs/>
                <w:color w:val="000000"/>
                <w:sz w:val="14"/>
                <w:szCs w:val="14"/>
                <w:lang w:eastAsia="tr-TR"/>
              </w:rPr>
            </w:pPr>
          </w:p>
        </w:tc>
        <w:tc>
          <w:tcPr>
            <w:tcW w:w="810" w:type="dxa"/>
            <w:tcBorders>
              <w:top w:val="nil"/>
              <w:left w:val="single" w:sz="4" w:space="0" w:color="auto"/>
              <w:bottom w:val="nil"/>
              <w:right w:val="single" w:sz="4" w:space="0" w:color="auto"/>
            </w:tcBorders>
            <w:shd w:val="clear" w:color="auto" w:fill="auto"/>
            <w:vAlign w:val="bottom"/>
            <w:hideMark/>
          </w:tcPr>
          <w:p w14:paraId="7B3C39AF"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07DF9CA"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BE4A71B"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DEB7FCA"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E923F14"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B8A9BD0"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r>
      <w:tr w:rsidR="00F25246" w:rsidRPr="00F25246" w14:paraId="36E1066C"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393AE633"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IX.</w:t>
            </w:r>
          </w:p>
        </w:tc>
        <w:tc>
          <w:tcPr>
            <w:tcW w:w="3356" w:type="dxa"/>
            <w:tcBorders>
              <w:top w:val="nil"/>
              <w:left w:val="single" w:sz="4" w:space="0" w:color="auto"/>
              <w:bottom w:val="nil"/>
              <w:right w:val="single" w:sz="4" w:space="0" w:color="auto"/>
            </w:tcBorders>
            <w:shd w:val="clear" w:color="auto" w:fill="auto"/>
            <w:vAlign w:val="center"/>
            <w:hideMark/>
          </w:tcPr>
          <w:p w14:paraId="239DF8BD"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7E5C25B3"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(5.1.15.)</w:t>
            </w:r>
          </w:p>
        </w:tc>
        <w:tc>
          <w:tcPr>
            <w:tcW w:w="810" w:type="dxa"/>
            <w:tcBorders>
              <w:top w:val="nil"/>
              <w:left w:val="single" w:sz="4" w:space="0" w:color="auto"/>
              <w:bottom w:val="nil"/>
              <w:right w:val="single" w:sz="4" w:space="0" w:color="auto"/>
            </w:tcBorders>
            <w:shd w:val="clear" w:color="auto" w:fill="auto"/>
            <w:vAlign w:val="bottom"/>
            <w:hideMark/>
          </w:tcPr>
          <w:p w14:paraId="301F4953" w14:textId="77777777" w:rsidR="00F25246" w:rsidRPr="00F25246" w:rsidRDefault="00F25246" w:rsidP="00717AB5">
            <w:pPr>
              <w:ind w:left="-104"/>
              <w:jc w:val="right"/>
              <w:rPr>
                <w:b/>
                <w:bCs/>
                <w:sz w:val="14"/>
                <w:szCs w:val="14"/>
                <w:lang w:eastAsia="tr-TR"/>
              </w:rPr>
            </w:pPr>
            <w:r w:rsidRPr="00F25246">
              <w:rPr>
                <w:b/>
                <w:bCs/>
                <w:sz w:val="14"/>
                <w:szCs w:val="14"/>
                <w:lang w:eastAsia="tr-TR"/>
              </w:rPr>
              <w:t>594,759</w:t>
            </w:r>
          </w:p>
        </w:tc>
        <w:tc>
          <w:tcPr>
            <w:tcW w:w="851" w:type="dxa"/>
            <w:tcBorders>
              <w:top w:val="nil"/>
              <w:left w:val="single" w:sz="4" w:space="0" w:color="auto"/>
              <w:bottom w:val="nil"/>
              <w:right w:val="single" w:sz="4" w:space="0" w:color="auto"/>
            </w:tcBorders>
            <w:shd w:val="clear" w:color="auto" w:fill="auto"/>
            <w:vAlign w:val="bottom"/>
            <w:hideMark/>
          </w:tcPr>
          <w:p w14:paraId="3B4CD463"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D7CAEA3" w14:textId="77777777" w:rsidR="00F25246" w:rsidRPr="00F25246" w:rsidRDefault="00F25246" w:rsidP="00717AB5">
            <w:pPr>
              <w:ind w:left="-104"/>
              <w:jc w:val="right"/>
              <w:rPr>
                <w:b/>
                <w:bCs/>
                <w:sz w:val="14"/>
                <w:szCs w:val="14"/>
                <w:lang w:eastAsia="tr-TR"/>
              </w:rPr>
            </w:pPr>
            <w:r w:rsidRPr="00F25246">
              <w:rPr>
                <w:b/>
                <w:bCs/>
                <w:sz w:val="14"/>
                <w:szCs w:val="14"/>
                <w:lang w:eastAsia="tr-TR"/>
              </w:rPr>
              <w:t>594,759</w:t>
            </w:r>
          </w:p>
        </w:tc>
        <w:tc>
          <w:tcPr>
            <w:tcW w:w="851" w:type="dxa"/>
            <w:tcBorders>
              <w:top w:val="nil"/>
              <w:left w:val="single" w:sz="4" w:space="0" w:color="auto"/>
              <w:bottom w:val="nil"/>
              <w:right w:val="single" w:sz="4" w:space="0" w:color="auto"/>
            </w:tcBorders>
            <w:shd w:val="clear" w:color="auto" w:fill="auto"/>
            <w:vAlign w:val="bottom"/>
            <w:hideMark/>
          </w:tcPr>
          <w:p w14:paraId="0344606F" w14:textId="77777777" w:rsidR="00F25246" w:rsidRPr="00F25246" w:rsidRDefault="00F25246" w:rsidP="00717AB5">
            <w:pPr>
              <w:ind w:left="-104"/>
              <w:jc w:val="right"/>
              <w:rPr>
                <w:b/>
                <w:bCs/>
                <w:sz w:val="14"/>
                <w:szCs w:val="14"/>
                <w:lang w:eastAsia="tr-TR"/>
              </w:rPr>
            </w:pPr>
            <w:r w:rsidRPr="00F25246">
              <w:rPr>
                <w:b/>
                <w:bCs/>
                <w:sz w:val="14"/>
                <w:szCs w:val="14"/>
                <w:lang w:eastAsia="tr-TR"/>
              </w:rPr>
              <w:t>358,097</w:t>
            </w:r>
          </w:p>
        </w:tc>
        <w:tc>
          <w:tcPr>
            <w:tcW w:w="850" w:type="dxa"/>
            <w:tcBorders>
              <w:top w:val="nil"/>
              <w:left w:val="single" w:sz="4" w:space="0" w:color="auto"/>
              <w:bottom w:val="nil"/>
              <w:right w:val="single" w:sz="4" w:space="0" w:color="auto"/>
            </w:tcBorders>
            <w:shd w:val="clear" w:color="auto" w:fill="auto"/>
            <w:vAlign w:val="bottom"/>
            <w:hideMark/>
          </w:tcPr>
          <w:p w14:paraId="71344528" w14:textId="77777777" w:rsidR="00F25246" w:rsidRPr="00F25246" w:rsidRDefault="00F25246" w:rsidP="00717AB5">
            <w:pPr>
              <w:ind w:left="-10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D4E10A2" w14:textId="77777777" w:rsidR="00F25246" w:rsidRPr="00F25246" w:rsidRDefault="00F25246" w:rsidP="00717AB5">
            <w:pPr>
              <w:ind w:left="-104"/>
              <w:jc w:val="right"/>
              <w:rPr>
                <w:b/>
                <w:bCs/>
                <w:sz w:val="14"/>
                <w:szCs w:val="14"/>
                <w:lang w:eastAsia="tr-TR"/>
              </w:rPr>
            </w:pPr>
            <w:r w:rsidRPr="00F25246">
              <w:rPr>
                <w:b/>
                <w:bCs/>
                <w:sz w:val="14"/>
                <w:szCs w:val="14"/>
                <w:lang w:eastAsia="tr-TR"/>
              </w:rPr>
              <w:t>358,097</w:t>
            </w:r>
          </w:p>
        </w:tc>
      </w:tr>
      <w:tr w:rsidR="00F25246" w:rsidRPr="00F25246" w14:paraId="2CE4D153" w14:textId="77777777" w:rsidTr="00717AB5">
        <w:trPr>
          <w:divId w:val="1660189425"/>
          <w:trHeight w:val="150"/>
        </w:trPr>
        <w:tc>
          <w:tcPr>
            <w:tcW w:w="455" w:type="dxa"/>
            <w:tcBorders>
              <w:top w:val="nil"/>
              <w:left w:val="single" w:sz="4" w:space="0" w:color="auto"/>
              <w:bottom w:val="nil"/>
              <w:right w:val="single" w:sz="4" w:space="0" w:color="auto"/>
            </w:tcBorders>
            <w:shd w:val="clear" w:color="auto" w:fill="auto"/>
            <w:noWrap/>
            <w:hideMark/>
          </w:tcPr>
          <w:p w14:paraId="71C0228A"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X.</w:t>
            </w:r>
          </w:p>
        </w:tc>
        <w:tc>
          <w:tcPr>
            <w:tcW w:w="3356" w:type="dxa"/>
            <w:tcBorders>
              <w:top w:val="nil"/>
              <w:left w:val="single" w:sz="4" w:space="0" w:color="auto"/>
              <w:bottom w:val="nil"/>
              <w:right w:val="single" w:sz="4" w:space="0" w:color="auto"/>
            </w:tcBorders>
            <w:shd w:val="clear" w:color="auto" w:fill="auto"/>
            <w:vAlign w:val="center"/>
            <w:hideMark/>
          </w:tcPr>
          <w:p w14:paraId="72FA0902"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vAlign w:val="center"/>
            <w:hideMark/>
          </w:tcPr>
          <w:p w14:paraId="7D387BBF"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(5.1.17.)</w:t>
            </w:r>
          </w:p>
        </w:tc>
        <w:tc>
          <w:tcPr>
            <w:tcW w:w="810" w:type="dxa"/>
            <w:tcBorders>
              <w:top w:val="nil"/>
              <w:left w:val="single" w:sz="4" w:space="0" w:color="auto"/>
              <w:bottom w:val="nil"/>
              <w:right w:val="single" w:sz="4" w:space="0" w:color="auto"/>
            </w:tcBorders>
            <w:shd w:val="clear" w:color="auto" w:fill="auto"/>
            <w:vAlign w:val="bottom"/>
            <w:hideMark/>
          </w:tcPr>
          <w:p w14:paraId="7AF04F7C" w14:textId="77777777" w:rsidR="00F25246" w:rsidRPr="00F25246" w:rsidRDefault="00F25246" w:rsidP="00717AB5">
            <w:pPr>
              <w:ind w:left="-104"/>
              <w:jc w:val="right"/>
              <w:rPr>
                <w:b/>
                <w:bCs/>
                <w:sz w:val="14"/>
                <w:szCs w:val="14"/>
                <w:lang w:eastAsia="tr-TR"/>
              </w:rPr>
            </w:pPr>
            <w:r w:rsidRPr="00F25246">
              <w:rPr>
                <w:b/>
                <w:bCs/>
                <w:sz w:val="14"/>
                <w:szCs w:val="14"/>
                <w:lang w:eastAsia="tr-TR"/>
              </w:rPr>
              <w:t>998,595</w:t>
            </w:r>
          </w:p>
        </w:tc>
        <w:tc>
          <w:tcPr>
            <w:tcW w:w="851" w:type="dxa"/>
            <w:tcBorders>
              <w:top w:val="nil"/>
              <w:left w:val="single" w:sz="4" w:space="0" w:color="auto"/>
              <w:bottom w:val="nil"/>
              <w:right w:val="single" w:sz="4" w:space="0" w:color="auto"/>
            </w:tcBorders>
            <w:shd w:val="clear" w:color="auto" w:fill="auto"/>
            <w:vAlign w:val="bottom"/>
            <w:hideMark/>
          </w:tcPr>
          <w:p w14:paraId="7026470C" w14:textId="77777777" w:rsidR="00F25246" w:rsidRPr="00F25246" w:rsidRDefault="00F25246" w:rsidP="00717AB5">
            <w:pPr>
              <w:ind w:left="-104"/>
              <w:jc w:val="right"/>
              <w:rPr>
                <w:b/>
                <w:bCs/>
                <w:sz w:val="14"/>
                <w:szCs w:val="14"/>
                <w:lang w:eastAsia="tr-TR"/>
              </w:rPr>
            </w:pPr>
            <w:r w:rsidRPr="00F25246">
              <w:rPr>
                <w:b/>
                <w:bCs/>
                <w:sz w:val="14"/>
                <w:szCs w:val="14"/>
                <w:lang w:eastAsia="tr-TR"/>
              </w:rPr>
              <w:t>314,423</w:t>
            </w:r>
          </w:p>
        </w:tc>
        <w:tc>
          <w:tcPr>
            <w:tcW w:w="850" w:type="dxa"/>
            <w:tcBorders>
              <w:top w:val="nil"/>
              <w:left w:val="single" w:sz="4" w:space="0" w:color="auto"/>
              <w:bottom w:val="nil"/>
              <w:right w:val="single" w:sz="4" w:space="0" w:color="auto"/>
            </w:tcBorders>
            <w:shd w:val="clear" w:color="auto" w:fill="auto"/>
            <w:vAlign w:val="bottom"/>
            <w:hideMark/>
          </w:tcPr>
          <w:p w14:paraId="07809312" w14:textId="77777777" w:rsidR="00F25246" w:rsidRPr="00F25246" w:rsidRDefault="00F25246" w:rsidP="00717AB5">
            <w:pPr>
              <w:ind w:left="-104"/>
              <w:jc w:val="right"/>
              <w:rPr>
                <w:b/>
                <w:bCs/>
                <w:sz w:val="14"/>
                <w:szCs w:val="14"/>
                <w:lang w:eastAsia="tr-TR"/>
              </w:rPr>
            </w:pPr>
            <w:r w:rsidRPr="00F25246">
              <w:rPr>
                <w:b/>
                <w:bCs/>
                <w:sz w:val="14"/>
                <w:szCs w:val="14"/>
                <w:lang w:eastAsia="tr-TR"/>
              </w:rPr>
              <w:t>1,313,018</w:t>
            </w:r>
          </w:p>
        </w:tc>
        <w:tc>
          <w:tcPr>
            <w:tcW w:w="851" w:type="dxa"/>
            <w:tcBorders>
              <w:top w:val="nil"/>
              <w:left w:val="single" w:sz="4" w:space="0" w:color="auto"/>
              <w:bottom w:val="nil"/>
              <w:right w:val="single" w:sz="4" w:space="0" w:color="auto"/>
            </w:tcBorders>
            <w:shd w:val="clear" w:color="auto" w:fill="auto"/>
            <w:vAlign w:val="bottom"/>
            <w:hideMark/>
          </w:tcPr>
          <w:p w14:paraId="6A96C8D1" w14:textId="77777777" w:rsidR="00F25246" w:rsidRPr="00F25246" w:rsidRDefault="00F25246" w:rsidP="00717AB5">
            <w:pPr>
              <w:ind w:left="-104"/>
              <w:jc w:val="right"/>
              <w:rPr>
                <w:b/>
                <w:bCs/>
                <w:sz w:val="14"/>
                <w:szCs w:val="14"/>
                <w:lang w:eastAsia="tr-TR"/>
              </w:rPr>
            </w:pPr>
            <w:r w:rsidRPr="00F25246">
              <w:rPr>
                <w:b/>
                <w:bCs/>
                <w:sz w:val="14"/>
                <w:szCs w:val="14"/>
                <w:lang w:eastAsia="tr-TR"/>
              </w:rPr>
              <w:t>658,556</w:t>
            </w:r>
          </w:p>
        </w:tc>
        <w:tc>
          <w:tcPr>
            <w:tcW w:w="850" w:type="dxa"/>
            <w:tcBorders>
              <w:top w:val="nil"/>
              <w:left w:val="single" w:sz="4" w:space="0" w:color="auto"/>
              <w:bottom w:val="nil"/>
              <w:right w:val="single" w:sz="4" w:space="0" w:color="auto"/>
            </w:tcBorders>
            <w:shd w:val="clear" w:color="auto" w:fill="auto"/>
            <w:vAlign w:val="bottom"/>
            <w:hideMark/>
          </w:tcPr>
          <w:p w14:paraId="35A2EB5E" w14:textId="77777777" w:rsidR="00F25246" w:rsidRPr="00F25246" w:rsidRDefault="00F25246" w:rsidP="00717AB5">
            <w:pPr>
              <w:ind w:left="-104"/>
              <w:jc w:val="right"/>
              <w:rPr>
                <w:b/>
                <w:bCs/>
                <w:sz w:val="14"/>
                <w:szCs w:val="14"/>
                <w:lang w:eastAsia="tr-TR"/>
              </w:rPr>
            </w:pPr>
            <w:r w:rsidRPr="00F25246">
              <w:rPr>
                <w:b/>
                <w:bCs/>
                <w:sz w:val="14"/>
                <w:szCs w:val="14"/>
                <w:lang w:eastAsia="tr-TR"/>
              </w:rPr>
              <w:t>937,874</w:t>
            </w:r>
          </w:p>
        </w:tc>
        <w:tc>
          <w:tcPr>
            <w:tcW w:w="851" w:type="dxa"/>
            <w:tcBorders>
              <w:top w:val="nil"/>
              <w:left w:val="single" w:sz="4" w:space="0" w:color="auto"/>
              <w:bottom w:val="nil"/>
              <w:right w:val="single" w:sz="4" w:space="0" w:color="auto"/>
            </w:tcBorders>
            <w:shd w:val="clear" w:color="auto" w:fill="auto"/>
            <w:vAlign w:val="bottom"/>
            <w:hideMark/>
          </w:tcPr>
          <w:p w14:paraId="462C4F23" w14:textId="77777777" w:rsidR="00F25246" w:rsidRPr="00F25246" w:rsidRDefault="00F25246" w:rsidP="00717AB5">
            <w:pPr>
              <w:ind w:left="-104"/>
              <w:jc w:val="right"/>
              <w:rPr>
                <w:b/>
                <w:bCs/>
                <w:sz w:val="14"/>
                <w:szCs w:val="14"/>
                <w:lang w:eastAsia="tr-TR"/>
              </w:rPr>
            </w:pPr>
            <w:r w:rsidRPr="00F25246">
              <w:rPr>
                <w:b/>
                <w:bCs/>
                <w:sz w:val="14"/>
                <w:szCs w:val="14"/>
                <w:lang w:eastAsia="tr-TR"/>
              </w:rPr>
              <w:t>1,596,430</w:t>
            </w:r>
          </w:p>
        </w:tc>
      </w:tr>
      <w:tr w:rsidR="00F25246" w:rsidRPr="00F25246" w14:paraId="1C7457A1" w14:textId="77777777" w:rsidTr="00717AB5">
        <w:trPr>
          <w:divId w:val="1660189425"/>
          <w:trHeight w:val="180"/>
        </w:trPr>
        <w:tc>
          <w:tcPr>
            <w:tcW w:w="455" w:type="dxa"/>
            <w:tcBorders>
              <w:top w:val="nil"/>
              <w:left w:val="single" w:sz="4" w:space="0" w:color="auto"/>
              <w:bottom w:val="nil"/>
              <w:right w:val="single" w:sz="4" w:space="0" w:color="auto"/>
            </w:tcBorders>
            <w:shd w:val="clear" w:color="auto" w:fill="auto"/>
            <w:noWrap/>
            <w:vAlign w:val="bottom"/>
            <w:hideMark/>
          </w:tcPr>
          <w:p w14:paraId="613F2E4C" w14:textId="77777777" w:rsidR="00F25246" w:rsidRPr="00F25246" w:rsidRDefault="00F25246" w:rsidP="00F25246">
            <w:pPr>
              <w:jc w:val="right"/>
              <w:rPr>
                <w:b/>
                <w:bCs/>
                <w:sz w:val="14"/>
                <w:szCs w:val="14"/>
                <w:lang w:eastAsia="tr-TR"/>
              </w:rPr>
            </w:pPr>
          </w:p>
        </w:tc>
        <w:tc>
          <w:tcPr>
            <w:tcW w:w="3356" w:type="dxa"/>
            <w:tcBorders>
              <w:top w:val="nil"/>
              <w:left w:val="single" w:sz="4" w:space="0" w:color="auto"/>
              <w:bottom w:val="nil"/>
              <w:right w:val="single" w:sz="4" w:space="0" w:color="auto"/>
            </w:tcBorders>
            <w:shd w:val="clear" w:color="auto" w:fill="auto"/>
            <w:noWrap/>
            <w:vAlign w:val="bottom"/>
            <w:hideMark/>
          </w:tcPr>
          <w:p w14:paraId="4FE00EF2" w14:textId="77777777" w:rsidR="00F25246" w:rsidRPr="00F25246" w:rsidRDefault="00F25246" w:rsidP="00F25246">
            <w:pPr>
              <w:rPr>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61AA44FC" w14:textId="77777777" w:rsidR="00F25246" w:rsidRPr="00F25246" w:rsidRDefault="00F25246" w:rsidP="00F25246">
            <w:pPr>
              <w:rPr>
                <w:lang w:eastAsia="tr-TR"/>
              </w:rPr>
            </w:pPr>
          </w:p>
        </w:tc>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5C25670A" w14:textId="77777777" w:rsidR="00F25246" w:rsidRPr="00F25246" w:rsidRDefault="00F25246" w:rsidP="00717AB5">
            <w:pPr>
              <w:ind w:left="-104"/>
              <w:jc w:val="right"/>
              <w:rPr>
                <w:color w:val="000000"/>
                <w:lang w:eastAsia="tr-TR"/>
              </w:rPr>
            </w:pPr>
            <w:r w:rsidRPr="00F25246">
              <w:rPr>
                <w:color w:val="000000"/>
                <w:lang w:eastAsia="tr-TR"/>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1EECF43" w14:textId="77777777" w:rsidR="00F25246" w:rsidRPr="00F25246" w:rsidRDefault="00F25246" w:rsidP="00717AB5">
            <w:pPr>
              <w:ind w:left="-104"/>
              <w:jc w:val="right"/>
              <w:rPr>
                <w:color w:val="000000"/>
                <w:lang w:eastAsia="tr-TR"/>
              </w:rPr>
            </w:pPr>
            <w:r w:rsidRPr="00F25246">
              <w:rPr>
                <w:color w:val="000000"/>
                <w:lang w:eastAsia="tr-TR"/>
              </w:rPr>
              <w:t> </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14:paraId="61921501" w14:textId="77777777" w:rsidR="00F25246" w:rsidRPr="00F25246" w:rsidRDefault="00F25246" w:rsidP="00717AB5">
            <w:pPr>
              <w:ind w:left="-104"/>
              <w:jc w:val="right"/>
              <w:rPr>
                <w:color w:val="000000"/>
                <w:lang w:eastAsia="tr-TR"/>
              </w:rPr>
            </w:pPr>
            <w:r w:rsidRPr="00F25246">
              <w:rPr>
                <w:color w:val="000000"/>
                <w:lang w:eastAsia="tr-TR"/>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C3CB522" w14:textId="77777777" w:rsidR="00F25246" w:rsidRPr="00F25246" w:rsidRDefault="00F25246" w:rsidP="00717AB5">
            <w:pPr>
              <w:ind w:left="-104"/>
              <w:jc w:val="right"/>
              <w:rPr>
                <w:color w:val="000000"/>
                <w:lang w:eastAsia="tr-TR"/>
              </w:rPr>
            </w:pPr>
            <w:r w:rsidRPr="00F25246">
              <w:rPr>
                <w:color w:val="000000"/>
                <w:lang w:eastAsia="tr-TR"/>
              </w:rPr>
              <w:t> </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14:paraId="7FFDB729" w14:textId="77777777" w:rsidR="00F25246" w:rsidRPr="00F25246" w:rsidRDefault="00F25246" w:rsidP="00717AB5">
            <w:pPr>
              <w:ind w:left="-104"/>
              <w:jc w:val="right"/>
              <w:rPr>
                <w:color w:val="000000"/>
                <w:lang w:eastAsia="tr-TR"/>
              </w:rPr>
            </w:pPr>
            <w:r w:rsidRPr="00F25246">
              <w:rPr>
                <w:color w:val="000000"/>
                <w:lang w:eastAsia="tr-TR"/>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368899E" w14:textId="77777777" w:rsidR="00F25246" w:rsidRPr="00F25246" w:rsidRDefault="00F25246" w:rsidP="00717AB5">
            <w:pPr>
              <w:ind w:left="-104"/>
              <w:jc w:val="right"/>
              <w:rPr>
                <w:color w:val="000000"/>
                <w:lang w:eastAsia="tr-TR"/>
              </w:rPr>
            </w:pPr>
            <w:r w:rsidRPr="00F25246">
              <w:rPr>
                <w:color w:val="000000"/>
                <w:lang w:eastAsia="tr-TR"/>
              </w:rPr>
              <w:t> </w:t>
            </w:r>
          </w:p>
        </w:tc>
      </w:tr>
      <w:tr w:rsidR="00F25246" w:rsidRPr="00F25246" w14:paraId="1FAAFE88" w14:textId="77777777" w:rsidTr="00717AB5">
        <w:trPr>
          <w:divId w:val="1660189425"/>
          <w:trHeight w:val="150"/>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27E2D"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 </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F5127"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8FF9C"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 </w:t>
            </w:r>
          </w:p>
        </w:tc>
        <w:tc>
          <w:tcPr>
            <w:tcW w:w="810" w:type="dxa"/>
            <w:tcBorders>
              <w:top w:val="nil"/>
              <w:left w:val="single" w:sz="4" w:space="0" w:color="auto"/>
              <w:bottom w:val="single" w:sz="4" w:space="0" w:color="auto"/>
              <w:right w:val="single" w:sz="4" w:space="0" w:color="auto"/>
            </w:tcBorders>
            <w:shd w:val="clear" w:color="auto" w:fill="auto"/>
            <w:vAlign w:val="bottom"/>
            <w:hideMark/>
          </w:tcPr>
          <w:p w14:paraId="7392F795" w14:textId="77777777" w:rsidR="00F25246" w:rsidRPr="00F25246" w:rsidRDefault="00F25246" w:rsidP="00717AB5">
            <w:pPr>
              <w:ind w:left="-104"/>
              <w:jc w:val="right"/>
              <w:rPr>
                <w:b/>
                <w:bCs/>
                <w:sz w:val="14"/>
                <w:szCs w:val="14"/>
                <w:lang w:eastAsia="tr-TR"/>
              </w:rPr>
            </w:pPr>
            <w:r w:rsidRPr="00F25246">
              <w:rPr>
                <w:b/>
                <w:bCs/>
                <w:sz w:val="14"/>
                <w:szCs w:val="14"/>
                <w:lang w:eastAsia="tr-TR"/>
              </w:rPr>
              <w:t>83,097,471</w:t>
            </w: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68310F41" w14:textId="77777777" w:rsidR="00F25246" w:rsidRPr="00F25246" w:rsidRDefault="00F25246" w:rsidP="00717AB5">
            <w:pPr>
              <w:ind w:left="-104"/>
              <w:jc w:val="right"/>
              <w:rPr>
                <w:b/>
                <w:bCs/>
                <w:sz w:val="14"/>
                <w:szCs w:val="14"/>
                <w:lang w:eastAsia="tr-TR"/>
              </w:rPr>
            </w:pPr>
            <w:r w:rsidRPr="00F25246">
              <w:rPr>
                <w:b/>
                <w:bCs/>
                <w:sz w:val="14"/>
                <w:szCs w:val="14"/>
                <w:lang w:eastAsia="tr-TR"/>
              </w:rPr>
              <w:t>70,022,249</w:t>
            </w: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3D2321D5" w14:textId="77777777" w:rsidR="00F25246" w:rsidRPr="00F25246" w:rsidRDefault="00F25246" w:rsidP="00717AB5">
            <w:pPr>
              <w:ind w:left="-104"/>
              <w:jc w:val="right"/>
              <w:rPr>
                <w:b/>
                <w:bCs/>
                <w:sz w:val="14"/>
                <w:szCs w:val="14"/>
                <w:lang w:eastAsia="tr-TR"/>
              </w:rPr>
            </w:pPr>
            <w:r w:rsidRPr="00F25246">
              <w:rPr>
                <w:b/>
                <w:bCs/>
                <w:sz w:val="14"/>
                <w:szCs w:val="14"/>
                <w:lang w:eastAsia="tr-TR"/>
              </w:rPr>
              <w:t>153,119,720</w:t>
            </w: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07D5AD77" w14:textId="77777777" w:rsidR="00F25246" w:rsidRPr="00F25246" w:rsidRDefault="00F25246" w:rsidP="00717AB5">
            <w:pPr>
              <w:ind w:left="-104"/>
              <w:jc w:val="right"/>
              <w:rPr>
                <w:b/>
                <w:bCs/>
                <w:sz w:val="14"/>
                <w:szCs w:val="14"/>
                <w:lang w:eastAsia="tr-TR"/>
              </w:rPr>
            </w:pPr>
            <w:r w:rsidRPr="00F25246">
              <w:rPr>
                <w:b/>
                <w:bCs/>
                <w:sz w:val="14"/>
                <w:szCs w:val="14"/>
                <w:lang w:eastAsia="tr-TR"/>
              </w:rPr>
              <w:t>40,587,093</w:t>
            </w: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2B6C73D7" w14:textId="77777777" w:rsidR="00F25246" w:rsidRPr="00F25246" w:rsidRDefault="00F25246" w:rsidP="00717AB5">
            <w:pPr>
              <w:ind w:left="-104"/>
              <w:jc w:val="right"/>
              <w:rPr>
                <w:b/>
                <w:bCs/>
                <w:sz w:val="14"/>
                <w:szCs w:val="14"/>
                <w:lang w:eastAsia="tr-TR"/>
              </w:rPr>
            </w:pPr>
            <w:r w:rsidRPr="00F25246">
              <w:rPr>
                <w:b/>
                <w:bCs/>
                <w:sz w:val="14"/>
                <w:szCs w:val="14"/>
                <w:lang w:eastAsia="tr-TR"/>
              </w:rPr>
              <w:t>63,852,252</w:t>
            </w: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7AA4CF20" w14:textId="77777777" w:rsidR="00F25246" w:rsidRPr="00F25246" w:rsidRDefault="00F25246" w:rsidP="00717AB5">
            <w:pPr>
              <w:ind w:left="-104"/>
              <w:jc w:val="right"/>
              <w:rPr>
                <w:b/>
                <w:bCs/>
                <w:sz w:val="14"/>
                <w:szCs w:val="14"/>
                <w:lang w:eastAsia="tr-TR"/>
              </w:rPr>
            </w:pPr>
            <w:r w:rsidRPr="00F25246">
              <w:rPr>
                <w:b/>
                <w:bCs/>
                <w:sz w:val="14"/>
                <w:szCs w:val="14"/>
                <w:lang w:eastAsia="tr-TR"/>
              </w:rPr>
              <w:t>104,439,345</w:t>
            </w:r>
          </w:p>
        </w:tc>
      </w:tr>
    </w:tbl>
    <w:p w14:paraId="5B0A40F9" w14:textId="73810AE8" w:rsidR="002F1C1D" w:rsidRPr="00E162DB" w:rsidRDefault="002F1C1D" w:rsidP="00615D21">
      <w:pPr>
        <w:tabs>
          <w:tab w:val="left" w:pos="709"/>
        </w:tabs>
        <w:autoSpaceDE w:val="0"/>
        <w:autoSpaceDN w:val="0"/>
        <w:adjustRightInd w:val="0"/>
        <w:rPr>
          <w:lang w:val="en-GB" w:eastAsia="en-GB"/>
        </w:rPr>
      </w:pPr>
    </w:p>
    <w:p w14:paraId="649168C5" w14:textId="38AFE433" w:rsidR="00DB0502" w:rsidRPr="00E162DB" w:rsidRDefault="00DB0502" w:rsidP="00615D21">
      <w:pPr>
        <w:tabs>
          <w:tab w:val="left" w:pos="709"/>
        </w:tabs>
        <w:autoSpaceDE w:val="0"/>
        <w:autoSpaceDN w:val="0"/>
        <w:adjustRightInd w:val="0"/>
        <w:rPr>
          <w:rFonts w:eastAsia="Arial Unicode MS"/>
          <w:bCs/>
          <w:sz w:val="14"/>
          <w:szCs w:val="14"/>
        </w:rPr>
      </w:pPr>
    </w:p>
    <w:p w14:paraId="2E543A2B" w14:textId="5E844F91" w:rsidR="00615D21" w:rsidRPr="00E162DB" w:rsidRDefault="00615D21" w:rsidP="00615D21">
      <w:pPr>
        <w:tabs>
          <w:tab w:val="left" w:pos="709"/>
        </w:tabs>
        <w:autoSpaceDE w:val="0"/>
        <w:autoSpaceDN w:val="0"/>
        <w:adjustRightInd w:val="0"/>
        <w:rPr>
          <w:rFonts w:eastAsia="Arial Unicode MS"/>
          <w:b/>
          <w:sz w:val="22"/>
        </w:rPr>
      </w:pPr>
    </w:p>
    <w:p w14:paraId="14ED5322" w14:textId="6F9AF094" w:rsidR="00224A8A" w:rsidRPr="00E162DB" w:rsidRDefault="00224A8A" w:rsidP="00615D21">
      <w:pPr>
        <w:tabs>
          <w:tab w:val="left" w:pos="709"/>
        </w:tabs>
        <w:autoSpaceDE w:val="0"/>
        <w:autoSpaceDN w:val="0"/>
        <w:adjustRightInd w:val="0"/>
        <w:rPr>
          <w:rFonts w:eastAsia="Arial Unicode MS"/>
          <w:b/>
          <w:sz w:val="22"/>
        </w:rPr>
      </w:pPr>
    </w:p>
    <w:p w14:paraId="260C4492" w14:textId="77777777" w:rsidR="00224A8A" w:rsidRPr="00E162DB" w:rsidRDefault="00224A8A" w:rsidP="00615D21">
      <w:pPr>
        <w:tabs>
          <w:tab w:val="left" w:pos="709"/>
        </w:tabs>
        <w:autoSpaceDE w:val="0"/>
        <w:autoSpaceDN w:val="0"/>
        <w:adjustRightInd w:val="0"/>
        <w:rPr>
          <w:rFonts w:eastAsia="Arial Unicode MS"/>
          <w:b/>
          <w:sz w:val="22"/>
        </w:rPr>
      </w:pPr>
    </w:p>
    <w:p w14:paraId="59B2EC0F" w14:textId="75F91523" w:rsidR="0038384F" w:rsidRPr="00E162DB" w:rsidRDefault="00E15C64" w:rsidP="00615D21">
      <w:pPr>
        <w:tabs>
          <w:tab w:val="left" w:pos="5880"/>
        </w:tabs>
        <w:autoSpaceDE w:val="0"/>
        <w:autoSpaceDN w:val="0"/>
        <w:adjustRightInd w:val="0"/>
        <w:jc w:val="center"/>
        <w:rPr>
          <w:bCs/>
          <w:i/>
          <w:iCs/>
          <w:sz w:val="14"/>
          <w:szCs w:val="14"/>
        </w:rPr>
      </w:pPr>
      <w:r w:rsidRPr="00E162DB">
        <w:rPr>
          <w:bCs/>
          <w:i/>
          <w:iCs/>
          <w:sz w:val="14"/>
          <w:szCs w:val="14"/>
        </w:rPr>
        <w:t>.</w:t>
      </w:r>
      <w:bookmarkEnd w:id="3"/>
      <w:bookmarkEnd w:id="4"/>
    </w:p>
    <w:p w14:paraId="75FF9C52" w14:textId="7A245191" w:rsidR="00172AD9" w:rsidRPr="00E162DB" w:rsidRDefault="00172AD9" w:rsidP="00615D21">
      <w:pPr>
        <w:tabs>
          <w:tab w:val="left" w:pos="5880"/>
        </w:tabs>
        <w:autoSpaceDE w:val="0"/>
        <w:autoSpaceDN w:val="0"/>
        <w:adjustRightInd w:val="0"/>
        <w:jc w:val="center"/>
        <w:rPr>
          <w:bCs/>
          <w:i/>
          <w:iCs/>
          <w:sz w:val="14"/>
          <w:szCs w:val="14"/>
        </w:rPr>
      </w:pPr>
    </w:p>
    <w:p w14:paraId="5E5A1A51" w14:textId="5F1AD698" w:rsidR="00DB0502" w:rsidRPr="00E162DB" w:rsidRDefault="00DB0502" w:rsidP="00615D21">
      <w:pPr>
        <w:tabs>
          <w:tab w:val="left" w:pos="5880"/>
        </w:tabs>
        <w:autoSpaceDE w:val="0"/>
        <w:autoSpaceDN w:val="0"/>
        <w:adjustRightInd w:val="0"/>
        <w:jc w:val="center"/>
        <w:rPr>
          <w:bCs/>
          <w:i/>
          <w:iCs/>
          <w:sz w:val="14"/>
          <w:szCs w:val="14"/>
        </w:rPr>
      </w:pPr>
    </w:p>
    <w:p w14:paraId="23A777A3" w14:textId="1E63AF21" w:rsidR="00DB0502" w:rsidRPr="00E162DB" w:rsidRDefault="00DB0502" w:rsidP="00615D21">
      <w:pPr>
        <w:tabs>
          <w:tab w:val="left" w:pos="5880"/>
        </w:tabs>
        <w:autoSpaceDE w:val="0"/>
        <w:autoSpaceDN w:val="0"/>
        <w:adjustRightInd w:val="0"/>
        <w:jc w:val="center"/>
        <w:rPr>
          <w:bCs/>
          <w:i/>
          <w:iCs/>
          <w:sz w:val="14"/>
          <w:szCs w:val="14"/>
        </w:rPr>
      </w:pPr>
    </w:p>
    <w:p w14:paraId="71424E7E" w14:textId="5CDDEDE0" w:rsidR="00666B0D" w:rsidRPr="00E162DB" w:rsidRDefault="00666B0D" w:rsidP="00615D21">
      <w:pPr>
        <w:tabs>
          <w:tab w:val="left" w:pos="5880"/>
        </w:tabs>
        <w:autoSpaceDE w:val="0"/>
        <w:autoSpaceDN w:val="0"/>
        <w:adjustRightInd w:val="0"/>
        <w:jc w:val="center"/>
        <w:rPr>
          <w:bCs/>
          <w:i/>
          <w:iCs/>
          <w:sz w:val="14"/>
          <w:szCs w:val="14"/>
        </w:rPr>
      </w:pPr>
    </w:p>
    <w:p w14:paraId="48FBA1BC" w14:textId="7D354B08" w:rsidR="00666B0D" w:rsidRPr="00E162DB" w:rsidRDefault="00666B0D" w:rsidP="00615D21">
      <w:pPr>
        <w:tabs>
          <w:tab w:val="left" w:pos="5880"/>
        </w:tabs>
        <w:autoSpaceDE w:val="0"/>
        <w:autoSpaceDN w:val="0"/>
        <w:adjustRightInd w:val="0"/>
        <w:jc w:val="center"/>
        <w:rPr>
          <w:bCs/>
          <w:i/>
          <w:iCs/>
          <w:sz w:val="14"/>
          <w:szCs w:val="14"/>
        </w:rPr>
      </w:pPr>
    </w:p>
    <w:p w14:paraId="008C6261" w14:textId="54D3D894" w:rsidR="00666B0D" w:rsidRPr="00E162DB" w:rsidRDefault="00666B0D" w:rsidP="00615D21">
      <w:pPr>
        <w:tabs>
          <w:tab w:val="left" w:pos="5880"/>
        </w:tabs>
        <w:autoSpaceDE w:val="0"/>
        <w:autoSpaceDN w:val="0"/>
        <w:adjustRightInd w:val="0"/>
        <w:jc w:val="center"/>
        <w:rPr>
          <w:bCs/>
          <w:i/>
          <w:iCs/>
          <w:sz w:val="14"/>
          <w:szCs w:val="14"/>
        </w:rPr>
      </w:pPr>
    </w:p>
    <w:p w14:paraId="5E28897E" w14:textId="3520AAF6" w:rsidR="00666B0D" w:rsidRPr="00E162DB" w:rsidRDefault="00666B0D" w:rsidP="00615D21">
      <w:pPr>
        <w:tabs>
          <w:tab w:val="left" w:pos="5880"/>
        </w:tabs>
        <w:autoSpaceDE w:val="0"/>
        <w:autoSpaceDN w:val="0"/>
        <w:adjustRightInd w:val="0"/>
        <w:jc w:val="center"/>
        <w:rPr>
          <w:bCs/>
          <w:i/>
          <w:iCs/>
          <w:sz w:val="14"/>
          <w:szCs w:val="14"/>
        </w:rPr>
      </w:pPr>
    </w:p>
    <w:p w14:paraId="414B63ED" w14:textId="66E62F57" w:rsidR="00666B0D" w:rsidRPr="00E162DB" w:rsidRDefault="00666B0D" w:rsidP="00615D21">
      <w:pPr>
        <w:tabs>
          <w:tab w:val="left" w:pos="5880"/>
        </w:tabs>
        <w:autoSpaceDE w:val="0"/>
        <w:autoSpaceDN w:val="0"/>
        <w:adjustRightInd w:val="0"/>
        <w:jc w:val="center"/>
        <w:rPr>
          <w:bCs/>
          <w:i/>
          <w:iCs/>
          <w:sz w:val="14"/>
          <w:szCs w:val="14"/>
        </w:rPr>
      </w:pPr>
    </w:p>
    <w:p w14:paraId="27B2FE8A" w14:textId="18333430" w:rsidR="00666B0D" w:rsidRPr="00E162DB" w:rsidRDefault="00666B0D" w:rsidP="00615D21">
      <w:pPr>
        <w:tabs>
          <w:tab w:val="left" w:pos="5880"/>
        </w:tabs>
        <w:autoSpaceDE w:val="0"/>
        <w:autoSpaceDN w:val="0"/>
        <w:adjustRightInd w:val="0"/>
        <w:jc w:val="center"/>
        <w:rPr>
          <w:bCs/>
          <w:i/>
          <w:iCs/>
          <w:sz w:val="14"/>
          <w:szCs w:val="14"/>
        </w:rPr>
      </w:pPr>
    </w:p>
    <w:p w14:paraId="62851F3C" w14:textId="3F568854" w:rsidR="00666B0D" w:rsidRPr="00E162DB" w:rsidRDefault="00666B0D" w:rsidP="00D52791">
      <w:pPr>
        <w:tabs>
          <w:tab w:val="left" w:pos="5880"/>
        </w:tabs>
        <w:autoSpaceDE w:val="0"/>
        <w:autoSpaceDN w:val="0"/>
        <w:adjustRightInd w:val="0"/>
        <w:rPr>
          <w:bCs/>
          <w:i/>
          <w:iCs/>
          <w:sz w:val="14"/>
          <w:szCs w:val="14"/>
        </w:rPr>
      </w:pPr>
    </w:p>
    <w:p w14:paraId="75B8C924" w14:textId="75657EFE" w:rsidR="00666B0D" w:rsidRPr="00E162DB" w:rsidRDefault="00084767" w:rsidP="00615D21">
      <w:pPr>
        <w:tabs>
          <w:tab w:val="left" w:pos="5880"/>
        </w:tabs>
        <w:autoSpaceDE w:val="0"/>
        <w:autoSpaceDN w:val="0"/>
        <w:adjustRightInd w:val="0"/>
        <w:jc w:val="center"/>
        <w:rPr>
          <w:bCs/>
          <w:i/>
          <w:iCs/>
          <w:sz w:val="14"/>
          <w:szCs w:val="14"/>
        </w:rPr>
      </w:pPr>
      <w:r w:rsidRPr="00E162DB">
        <w:rPr>
          <w:bCs/>
          <w:i/>
          <w:iCs/>
          <w:sz w:val="14"/>
          <w:szCs w:val="14"/>
        </w:rPr>
        <w:t>İlişikteki notlar bu finansal tabloların tamamlayıcı parçalarıdır</w:t>
      </w:r>
    </w:p>
    <w:p w14:paraId="14C3C80F" w14:textId="5E34C78A" w:rsidR="00DB0502" w:rsidRPr="00502A4E" w:rsidRDefault="00DB0502" w:rsidP="00615D21">
      <w:pPr>
        <w:tabs>
          <w:tab w:val="left" w:pos="5880"/>
        </w:tabs>
        <w:autoSpaceDE w:val="0"/>
        <w:autoSpaceDN w:val="0"/>
        <w:adjustRightInd w:val="0"/>
        <w:jc w:val="center"/>
        <w:rPr>
          <w:bCs/>
          <w:i/>
          <w:iCs/>
          <w:sz w:val="14"/>
          <w:szCs w:val="14"/>
          <w:highlight w:val="yellow"/>
        </w:rPr>
      </w:pPr>
    </w:p>
    <w:p w14:paraId="29D7E7A7" w14:textId="77777777" w:rsidR="00D07144" w:rsidRPr="00502A4E" w:rsidRDefault="00D07144" w:rsidP="00615D21">
      <w:pPr>
        <w:tabs>
          <w:tab w:val="left" w:pos="5880"/>
        </w:tabs>
        <w:autoSpaceDE w:val="0"/>
        <w:autoSpaceDN w:val="0"/>
        <w:adjustRightInd w:val="0"/>
        <w:jc w:val="center"/>
        <w:rPr>
          <w:bCs/>
          <w:i/>
          <w:iCs/>
          <w:sz w:val="14"/>
          <w:szCs w:val="14"/>
          <w:highlight w:val="yellow"/>
        </w:rPr>
      </w:pPr>
    </w:p>
    <w:p w14:paraId="4016F369" w14:textId="77777777" w:rsidR="0072684B" w:rsidRPr="00E162DB" w:rsidRDefault="006C3524" w:rsidP="00376680">
      <w:pPr>
        <w:autoSpaceDE w:val="0"/>
        <w:autoSpaceDN w:val="0"/>
        <w:adjustRightInd w:val="0"/>
        <w:ind w:hanging="567"/>
        <w:jc w:val="both"/>
        <w:rPr>
          <w:rFonts w:eastAsia="Arial Unicode MS"/>
          <w:b/>
          <w:sz w:val="22"/>
        </w:rPr>
      </w:pPr>
      <w:r w:rsidRPr="00E162DB">
        <w:rPr>
          <w:rFonts w:eastAsia="Arial Unicode MS"/>
          <w:b/>
          <w:sz w:val="22"/>
        </w:rPr>
        <w:t>1</w:t>
      </w:r>
      <w:r w:rsidR="0072684B" w:rsidRPr="00E162DB">
        <w:rPr>
          <w:rFonts w:eastAsia="Arial Unicode MS"/>
          <w:b/>
          <w:sz w:val="22"/>
        </w:rPr>
        <w:t>.</w:t>
      </w:r>
      <w:r w:rsidR="0072684B" w:rsidRPr="00E162DB">
        <w:rPr>
          <w:rFonts w:eastAsia="Arial Unicode MS"/>
          <w:b/>
          <w:sz w:val="22"/>
        </w:rPr>
        <w:tab/>
        <w:t>BİLANÇO – PASİF KALEMLER (FİNANSAL DURUM TABLOSU)</w:t>
      </w:r>
    </w:p>
    <w:p w14:paraId="3212CC52" w14:textId="5EE956B2" w:rsidR="00F25246" w:rsidRDefault="00F25246" w:rsidP="00F25246">
      <w:pPr>
        <w:autoSpaceDE w:val="0"/>
        <w:autoSpaceDN w:val="0"/>
        <w:adjustRightInd w:val="0"/>
        <w:spacing w:after="60"/>
        <w:ind w:left="709" w:hanging="709"/>
        <w:jc w:val="both"/>
        <w:rPr>
          <w:lang w:val="en-GB" w:eastAsia="en-GB"/>
        </w:rPr>
      </w:pPr>
    </w:p>
    <w:tbl>
      <w:tblPr>
        <w:tblW w:w="9486" w:type="dxa"/>
        <w:tblCellMar>
          <w:left w:w="70" w:type="dxa"/>
          <w:right w:w="70" w:type="dxa"/>
        </w:tblCellMar>
        <w:tblLook w:val="04A0" w:firstRow="1" w:lastRow="0" w:firstColumn="1" w:lastColumn="0" w:noHBand="0" w:noVBand="1"/>
      </w:tblPr>
      <w:tblGrid>
        <w:gridCol w:w="525"/>
        <w:gridCol w:w="3278"/>
        <w:gridCol w:w="654"/>
        <w:gridCol w:w="783"/>
        <w:gridCol w:w="851"/>
        <w:gridCol w:w="970"/>
        <w:gridCol w:w="14"/>
        <w:gridCol w:w="743"/>
        <w:gridCol w:w="758"/>
        <w:gridCol w:w="910"/>
      </w:tblGrid>
      <w:tr w:rsidR="00F25246" w:rsidRPr="00F25246" w14:paraId="33D89F79" w14:textId="77777777" w:rsidTr="00717AB5">
        <w:trPr>
          <w:divId w:val="1907639562"/>
          <w:trHeight w:val="228"/>
        </w:trPr>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F181E8A" w14:textId="7E5F88DF" w:rsidR="00F25246" w:rsidRPr="00F25246" w:rsidRDefault="00F25246" w:rsidP="00F25246">
            <w:pPr>
              <w:rPr>
                <w:color w:val="000000"/>
                <w:sz w:val="14"/>
                <w:szCs w:val="14"/>
                <w:lang w:eastAsia="tr-TR"/>
              </w:rPr>
            </w:pPr>
            <w:r w:rsidRPr="00F25246">
              <w:rPr>
                <w:color w:val="000000"/>
                <w:sz w:val="14"/>
                <w:szCs w:val="14"/>
                <w:lang w:eastAsia="tr-TR"/>
              </w:rPr>
              <w:t> </w:t>
            </w:r>
          </w:p>
        </w:tc>
        <w:tc>
          <w:tcPr>
            <w:tcW w:w="32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B586FB3" w14:textId="77777777" w:rsidR="00F25246" w:rsidRPr="00F25246" w:rsidRDefault="00F25246" w:rsidP="00F25246">
            <w:pPr>
              <w:rPr>
                <w:color w:val="000000"/>
                <w:sz w:val="14"/>
                <w:szCs w:val="14"/>
                <w:lang w:eastAsia="tr-TR"/>
              </w:rPr>
            </w:pPr>
            <w:r w:rsidRPr="00F25246">
              <w:rPr>
                <w:color w:val="000000"/>
                <w:sz w:val="14"/>
                <w:szCs w:val="14"/>
                <w:lang w:eastAsia="tr-TR"/>
              </w:rPr>
              <w:t> </w:t>
            </w:r>
          </w:p>
        </w:tc>
        <w:tc>
          <w:tcPr>
            <w:tcW w:w="6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AC1D828" w14:textId="77777777" w:rsidR="00F25246" w:rsidRPr="00F25246" w:rsidRDefault="00F25246" w:rsidP="00F25246">
            <w:pPr>
              <w:rPr>
                <w:color w:val="000000"/>
                <w:sz w:val="14"/>
                <w:szCs w:val="14"/>
                <w:lang w:eastAsia="tr-TR"/>
              </w:rPr>
            </w:pPr>
            <w:r w:rsidRPr="00F25246">
              <w:rPr>
                <w:color w:val="000000"/>
                <w:sz w:val="14"/>
                <w:szCs w:val="14"/>
                <w:lang w:eastAsia="tr-TR"/>
              </w:rPr>
              <w:t> </w:t>
            </w:r>
          </w:p>
        </w:tc>
        <w:tc>
          <w:tcPr>
            <w:tcW w:w="2618" w:type="dxa"/>
            <w:gridSpan w:val="4"/>
            <w:tcBorders>
              <w:top w:val="single" w:sz="4" w:space="0" w:color="auto"/>
              <w:left w:val="single" w:sz="4" w:space="0" w:color="auto"/>
              <w:right w:val="single" w:sz="4" w:space="0" w:color="auto"/>
            </w:tcBorders>
            <w:shd w:val="clear" w:color="auto" w:fill="auto"/>
            <w:noWrap/>
            <w:vAlign w:val="bottom"/>
            <w:hideMark/>
          </w:tcPr>
          <w:p w14:paraId="698E3DDC" w14:textId="77777777" w:rsidR="00F25246" w:rsidRPr="00F25246" w:rsidRDefault="00F25246" w:rsidP="00717AB5">
            <w:pPr>
              <w:ind w:left="-14"/>
              <w:jc w:val="right"/>
              <w:rPr>
                <w:b/>
                <w:bCs/>
                <w:color w:val="000000"/>
                <w:sz w:val="14"/>
                <w:szCs w:val="14"/>
                <w:lang w:eastAsia="tr-TR"/>
              </w:rPr>
            </w:pPr>
            <w:r w:rsidRPr="00F25246">
              <w:rPr>
                <w:b/>
                <w:bCs/>
                <w:color w:val="000000"/>
                <w:sz w:val="14"/>
                <w:szCs w:val="14"/>
                <w:lang w:eastAsia="tr-TR"/>
              </w:rPr>
              <w:t>Bağımsız Sınırlı Denetimden Geçmiş</w:t>
            </w:r>
          </w:p>
        </w:tc>
        <w:tc>
          <w:tcPr>
            <w:tcW w:w="2411" w:type="dxa"/>
            <w:gridSpan w:val="3"/>
            <w:tcBorders>
              <w:top w:val="single" w:sz="4" w:space="0" w:color="auto"/>
              <w:left w:val="single" w:sz="4" w:space="0" w:color="auto"/>
              <w:right w:val="single" w:sz="4" w:space="0" w:color="auto"/>
            </w:tcBorders>
            <w:shd w:val="clear" w:color="auto" w:fill="auto"/>
            <w:noWrap/>
            <w:vAlign w:val="bottom"/>
            <w:hideMark/>
          </w:tcPr>
          <w:p w14:paraId="10E81E21" w14:textId="77777777" w:rsidR="00F25246" w:rsidRPr="00F25246" w:rsidRDefault="00F25246" w:rsidP="00717AB5">
            <w:pPr>
              <w:ind w:left="-14"/>
              <w:jc w:val="right"/>
              <w:rPr>
                <w:b/>
                <w:bCs/>
                <w:color w:val="000000"/>
                <w:sz w:val="14"/>
                <w:szCs w:val="14"/>
                <w:lang w:eastAsia="tr-TR"/>
              </w:rPr>
            </w:pPr>
            <w:r w:rsidRPr="00F25246">
              <w:rPr>
                <w:b/>
                <w:bCs/>
                <w:color w:val="000000"/>
                <w:sz w:val="14"/>
                <w:szCs w:val="14"/>
                <w:lang w:eastAsia="tr-TR"/>
              </w:rPr>
              <w:t>Bağımsız Denetimden Geçmiş</w:t>
            </w:r>
          </w:p>
        </w:tc>
      </w:tr>
      <w:tr w:rsidR="00717AB5" w:rsidRPr="00F25246" w14:paraId="7FD8CE18" w14:textId="77777777" w:rsidTr="00717AB5">
        <w:trPr>
          <w:divId w:val="1907639562"/>
          <w:trHeight w:val="171"/>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186AA360" w14:textId="77777777" w:rsidR="00717AB5" w:rsidRPr="00F25246" w:rsidRDefault="00717AB5" w:rsidP="00F25246">
            <w:pPr>
              <w:rPr>
                <w:color w:val="000000"/>
                <w:sz w:val="14"/>
                <w:szCs w:val="14"/>
                <w:lang w:eastAsia="tr-TR"/>
              </w:rPr>
            </w:pPr>
          </w:p>
        </w:tc>
        <w:tc>
          <w:tcPr>
            <w:tcW w:w="3278" w:type="dxa"/>
            <w:vMerge/>
            <w:tcBorders>
              <w:top w:val="single" w:sz="8" w:space="0" w:color="auto"/>
              <w:left w:val="single" w:sz="4" w:space="0" w:color="auto"/>
              <w:bottom w:val="single" w:sz="8" w:space="0" w:color="000000"/>
              <w:right w:val="single" w:sz="4" w:space="0" w:color="auto"/>
            </w:tcBorders>
            <w:vAlign w:val="center"/>
            <w:hideMark/>
          </w:tcPr>
          <w:p w14:paraId="4E0A591D" w14:textId="77777777" w:rsidR="00717AB5" w:rsidRPr="00F25246" w:rsidRDefault="00717AB5" w:rsidP="00F25246">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center"/>
            <w:hideMark/>
          </w:tcPr>
          <w:p w14:paraId="7E09930F" w14:textId="77777777" w:rsidR="00717AB5" w:rsidRPr="00F25246" w:rsidRDefault="00717AB5" w:rsidP="00F25246">
            <w:pPr>
              <w:rPr>
                <w:color w:val="000000"/>
                <w:sz w:val="14"/>
                <w:szCs w:val="14"/>
                <w:lang w:eastAsia="tr-TR"/>
              </w:rPr>
            </w:pPr>
          </w:p>
        </w:tc>
        <w:tc>
          <w:tcPr>
            <w:tcW w:w="783" w:type="dxa"/>
            <w:tcBorders>
              <w:top w:val="nil"/>
              <w:left w:val="single" w:sz="4" w:space="0" w:color="auto"/>
              <w:bottom w:val="nil"/>
            </w:tcBorders>
            <w:shd w:val="clear" w:color="auto" w:fill="auto"/>
            <w:noWrap/>
            <w:vAlign w:val="bottom"/>
            <w:hideMark/>
          </w:tcPr>
          <w:p w14:paraId="505BAB5F" w14:textId="77777777" w:rsidR="00717AB5" w:rsidRPr="00F25246" w:rsidRDefault="00717AB5" w:rsidP="00717AB5">
            <w:pPr>
              <w:ind w:left="-14"/>
              <w:jc w:val="right"/>
              <w:rPr>
                <w:b/>
                <w:bCs/>
                <w:color w:val="000000"/>
                <w:sz w:val="14"/>
                <w:szCs w:val="14"/>
                <w:lang w:eastAsia="tr-TR"/>
              </w:rPr>
            </w:pPr>
          </w:p>
        </w:tc>
        <w:tc>
          <w:tcPr>
            <w:tcW w:w="851" w:type="dxa"/>
            <w:tcBorders>
              <w:top w:val="nil"/>
              <w:bottom w:val="nil"/>
            </w:tcBorders>
            <w:shd w:val="clear" w:color="auto" w:fill="auto"/>
            <w:noWrap/>
            <w:vAlign w:val="bottom"/>
            <w:hideMark/>
          </w:tcPr>
          <w:p w14:paraId="67CA3E57" w14:textId="77777777" w:rsidR="00717AB5" w:rsidRPr="00F25246" w:rsidRDefault="00717AB5" w:rsidP="00717AB5">
            <w:pPr>
              <w:ind w:left="-14"/>
              <w:jc w:val="right"/>
              <w:rPr>
                <w:b/>
                <w:bCs/>
                <w:color w:val="000000"/>
                <w:sz w:val="14"/>
                <w:szCs w:val="14"/>
                <w:lang w:eastAsia="tr-TR"/>
              </w:rPr>
            </w:pPr>
          </w:p>
        </w:tc>
        <w:tc>
          <w:tcPr>
            <w:tcW w:w="970" w:type="dxa"/>
            <w:tcBorders>
              <w:top w:val="nil"/>
              <w:bottom w:val="nil"/>
              <w:right w:val="single" w:sz="4" w:space="0" w:color="auto"/>
            </w:tcBorders>
            <w:shd w:val="clear" w:color="auto" w:fill="auto"/>
            <w:vAlign w:val="bottom"/>
            <w:hideMark/>
          </w:tcPr>
          <w:p w14:paraId="54C67FD9" w14:textId="77777777" w:rsidR="00717AB5" w:rsidRPr="00F25246" w:rsidRDefault="00717AB5" w:rsidP="00717AB5">
            <w:pPr>
              <w:ind w:left="-14"/>
              <w:jc w:val="right"/>
              <w:rPr>
                <w:b/>
                <w:bCs/>
                <w:color w:val="000000"/>
                <w:sz w:val="14"/>
                <w:szCs w:val="14"/>
                <w:lang w:eastAsia="tr-TR"/>
              </w:rPr>
            </w:pPr>
            <w:r w:rsidRPr="00F25246">
              <w:rPr>
                <w:b/>
                <w:bCs/>
                <w:color w:val="000000"/>
                <w:sz w:val="14"/>
                <w:szCs w:val="14"/>
                <w:lang w:eastAsia="tr-TR"/>
              </w:rPr>
              <w:t>Cari Dönem</w:t>
            </w:r>
          </w:p>
        </w:tc>
        <w:tc>
          <w:tcPr>
            <w:tcW w:w="757" w:type="dxa"/>
            <w:gridSpan w:val="2"/>
            <w:tcBorders>
              <w:top w:val="nil"/>
              <w:left w:val="single" w:sz="4" w:space="0" w:color="auto"/>
              <w:bottom w:val="nil"/>
            </w:tcBorders>
            <w:shd w:val="clear" w:color="auto" w:fill="auto"/>
            <w:noWrap/>
            <w:vAlign w:val="bottom"/>
            <w:hideMark/>
          </w:tcPr>
          <w:p w14:paraId="5E23856A" w14:textId="77777777" w:rsidR="00717AB5" w:rsidRPr="00F25246" w:rsidRDefault="00717AB5" w:rsidP="00717AB5">
            <w:pPr>
              <w:ind w:left="-14"/>
              <w:jc w:val="right"/>
              <w:rPr>
                <w:b/>
                <w:bCs/>
                <w:color w:val="000000"/>
                <w:sz w:val="14"/>
                <w:szCs w:val="14"/>
                <w:lang w:eastAsia="tr-TR"/>
              </w:rPr>
            </w:pPr>
          </w:p>
        </w:tc>
        <w:tc>
          <w:tcPr>
            <w:tcW w:w="1668" w:type="dxa"/>
            <w:gridSpan w:val="2"/>
            <w:tcBorders>
              <w:top w:val="nil"/>
              <w:bottom w:val="nil"/>
              <w:right w:val="single" w:sz="4" w:space="0" w:color="auto"/>
            </w:tcBorders>
            <w:shd w:val="clear" w:color="auto" w:fill="auto"/>
            <w:noWrap/>
            <w:vAlign w:val="bottom"/>
            <w:hideMark/>
          </w:tcPr>
          <w:p w14:paraId="1B860775" w14:textId="77777777" w:rsidR="00717AB5" w:rsidRPr="00F25246" w:rsidRDefault="00717AB5" w:rsidP="00717AB5">
            <w:pPr>
              <w:ind w:left="-14"/>
              <w:jc w:val="right"/>
              <w:rPr>
                <w:b/>
                <w:bCs/>
                <w:color w:val="000000"/>
                <w:sz w:val="14"/>
                <w:szCs w:val="14"/>
                <w:lang w:eastAsia="tr-TR"/>
              </w:rPr>
            </w:pPr>
            <w:r w:rsidRPr="00F25246">
              <w:rPr>
                <w:b/>
                <w:bCs/>
                <w:color w:val="000000"/>
                <w:sz w:val="14"/>
                <w:szCs w:val="14"/>
                <w:lang w:eastAsia="tr-TR"/>
              </w:rPr>
              <w:t>Önceki Dönem</w:t>
            </w:r>
          </w:p>
        </w:tc>
      </w:tr>
      <w:tr w:rsidR="00F25246" w:rsidRPr="00F25246" w14:paraId="61658CCD" w14:textId="77777777" w:rsidTr="00717AB5">
        <w:trPr>
          <w:divId w:val="1907639562"/>
          <w:trHeight w:val="152"/>
        </w:trPr>
        <w:tc>
          <w:tcPr>
            <w:tcW w:w="525" w:type="dxa"/>
            <w:vMerge/>
            <w:tcBorders>
              <w:top w:val="single" w:sz="8" w:space="0" w:color="auto"/>
              <w:left w:val="single" w:sz="4" w:space="0" w:color="auto"/>
              <w:bottom w:val="single" w:sz="4" w:space="0" w:color="auto"/>
              <w:right w:val="single" w:sz="4" w:space="0" w:color="auto"/>
            </w:tcBorders>
            <w:vAlign w:val="center"/>
            <w:hideMark/>
          </w:tcPr>
          <w:p w14:paraId="3B677092" w14:textId="77777777" w:rsidR="00F25246" w:rsidRPr="00F25246" w:rsidRDefault="00F25246" w:rsidP="00F25246">
            <w:pPr>
              <w:rPr>
                <w:color w:val="000000"/>
                <w:sz w:val="14"/>
                <w:szCs w:val="14"/>
                <w:lang w:eastAsia="tr-TR"/>
              </w:rPr>
            </w:pPr>
          </w:p>
        </w:tc>
        <w:tc>
          <w:tcPr>
            <w:tcW w:w="3278" w:type="dxa"/>
            <w:vMerge/>
            <w:tcBorders>
              <w:top w:val="single" w:sz="8" w:space="0" w:color="auto"/>
              <w:left w:val="single" w:sz="4" w:space="0" w:color="auto"/>
              <w:bottom w:val="single" w:sz="4" w:space="0" w:color="auto"/>
              <w:right w:val="single" w:sz="4" w:space="0" w:color="auto"/>
            </w:tcBorders>
            <w:vAlign w:val="center"/>
            <w:hideMark/>
          </w:tcPr>
          <w:p w14:paraId="0A5662A4" w14:textId="77777777" w:rsidR="00F25246" w:rsidRPr="00F25246" w:rsidRDefault="00F25246" w:rsidP="00F25246">
            <w:pPr>
              <w:rPr>
                <w:color w:val="000000"/>
                <w:sz w:val="14"/>
                <w:szCs w:val="14"/>
                <w:lang w:eastAsia="tr-TR"/>
              </w:rPr>
            </w:pPr>
          </w:p>
        </w:tc>
        <w:tc>
          <w:tcPr>
            <w:tcW w:w="654" w:type="dxa"/>
            <w:vMerge/>
            <w:tcBorders>
              <w:top w:val="single" w:sz="8" w:space="0" w:color="000000"/>
              <w:left w:val="single" w:sz="4" w:space="0" w:color="auto"/>
              <w:bottom w:val="single" w:sz="4" w:space="0" w:color="auto"/>
              <w:right w:val="single" w:sz="4" w:space="0" w:color="auto"/>
            </w:tcBorders>
            <w:vAlign w:val="center"/>
            <w:hideMark/>
          </w:tcPr>
          <w:p w14:paraId="2F12D9A3" w14:textId="77777777" w:rsidR="00F25246" w:rsidRPr="00F25246" w:rsidRDefault="00F25246" w:rsidP="00F25246">
            <w:pPr>
              <w:rPr>
                <w:color w:val="000000"/>
                <w:sz w:val="14"/>
                <w:szCs w:val="14"/>
                <w:lang w:eastAsia="tr-TR"/>
              </w:rPr>
            </w:pPr>
          </w:p>
        </w:tc>
        <w:tc>
          <w:tcPr>
            <w:tcW w:w="2618" w:type="dxa"/>
            <w:gridSpan w:val="4"/>
            <w:tcBorders>
              <w:top w:val="nil"/>
              <w:left w:val="single" w:sz="4" w:space="0" w:color="auto"/>
              <w:bottom w:val="single" w:sz="4" w:space="0" w:color="auto"/>
              <w:right w:val="single" w:sz="4" w:space="0" w:color="auto"/>
            </w:tcBorders>
            <w:shd w:val="clear" w:color="auto" w:fill="auto"/>
            <w:noWrap/>
            <w:vAlign w:val="bottom"/>
            <w:hideMark/>
          </w:tcPr>
          <w:p w14:paraId="01341491" w14:textId="77777777" w:rsidR="00F25246" w:rsidRPr="00F25246" w:rsidRDefault="00F25246" w:rsidP="00717AB5">
            <w:pPr>
              <w:ind w:left="-14"/>
              <w:jc w:val="right"/>
              <w:rPr>
                <w:b/>
                <w:bCs/>
                <w:color w:val="000000"/>
                <w:sz w:val="14"/>
                <w:szCs w:val="14"/>
                <w:lang w:eastAsia="tr-TR"/>
              </w:rPr>
            </w:pPr>
            <w:r w:rsidRPr="00F25246">
              <w:rPr>
                <w:b/>
                <w:bCs/>
                <w:color w:val="000000"/>
                <w:sz w:val="14"/>
                <w:szCs w:val="14"/>
                <w:lang w:eastAsia="tr-TR"/>
              </w:rPr>
              <w:t>30.09.2020</w:t>
            </w:r>
          </w:p>
        </w:tc>
        <w:tc>
          <w:tcPr>
            <w:tcW w:w="2411" w:type="dxa"/>
            <w:gridSpan w:val="3"/>
            <w:tcBorders>
              <w:top w:val="nil"/>
              <w:left w:val="single" w:sz="4" w:space="0" w:color="auto"/>
              <w:bottom w:val="single" w:sz="4" w:space="0" w:color="auto"/>
              <w:right w:val="single" w:sz="4" w:space="0" w:color="auto"/>
            </w:tcBorders>
            <w:shd w:val="clear" w:color="auto" w:fill="auto"/>
            <w:noWrap/>
            <w:vAlign w:val="bottom"/>
            <w:hideMark/>
          </w:tcPr>
          <w:p w14:paraId="4605A3B1" w14:textId="77777777" w:rsidR="00F25246" w:rsidRPr="00F25246" w:rsidRDefault="00F25246" w:rsidP="00717AB5">
            <w:pPr>
              <w:ind w:left="-14"/>
              <w:jc w:val="right"/>
              <w:rPr>
                <w:b/>
                <w:bCs/>
                <w:color w:val="000000"/>
                <w:sz w:val="14"/>
                <w:szCs w:val="14"/>
                <w:lang w:eastAsia="tr-TR"/>
              </w:rPr>
            </w:pPr>
            <w:r w:rsidRPr="00F25246">
              <w:rPr>
                <w:b/>
                <w:bCs/>
                <w:color w:val="000000"/>
                <w:sz w:val="14"/>
                <w:szCs w:val="14"/>
                <w:lang w:eastAsia="tr-TR"/>
              </w:rPr>
              <w:t>31.12.2019</w:t>
            </w:r>
          </w:p>
        </w:tc>
      </w:tr>
      <w:tr w:rsidR="00F25246" w:rsidRPr="00F25246" w14:paraId="1B3F9474" w14:textId="77777777" w:rsidTr="00717AB5">
        <w:trPr>
          <w:divId w:val="1907639562"/>
          <w:trHeight w:val="400"/>
        </w:trPr>
        <w:tc>
          <w:tcPr>
            <w:tcW w:w="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76F10"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 </w:t>
            </w:r>
          </w:p>
        </w:tc>
        <w:tc>
          <w:tcPr>
            <w:tcW w:w="3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C8371"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YÜKÜMLÜLÜKLER</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B5C97"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Dipnot</w:t>
            </w:r>
          </w:p>
        </w:tc>
        <w:tc>
          <w:tcPr>
            <w:tcW w:w="7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C0531" w14:textId="77777777" w:rsidR="00F25246" w:rsidRPr="00F25246" w:rsidRDefault="00F25246" w:rsidP="00717AB5">
            <w:pPr>
              <w:ind w:left="-14"/>
              <w:jc w:val="right"/>
              <w:rPr>
                <w:b/>
                <w:bCs/>
                <w:color w:val="000000"/>
                <w:sz w:val="14"/>
                <w:szCs w:val="14"/>
                <w:lang w:eastAsia="tr-TR"/>
              </w:rPr>
            </w:pPr>
            <w:r w:rsidRPr="00F25246">
              <w:rPr>
                <w:b/>
                <w:bCs/>
                <w:color w:val="000000"/>
                <w:sz w:val="14"/>
                <w:szCs w:val="14"/>
                <w:lang w:eastAsia="tr-TR"/>
              </w:rPr>
              <w:t>TP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FF7D9" w14:textId="77777777" w:rsidR="00F25246" w:rsidRPr="00F25246" w:rsidRDefault="00F25246" w:rsidP="00717AB5">
            <w:pPr>
              <w:ind w:left="-14"/>
              <w:jc w:val="right"/>
              <w:rPr>
                <w:b/>
                <w:bCs/>
                <w:color w:val="000000"/>
                <w:sz w:val="14"/>
                <w:szCs w:val="14"/>
                <w:lang w:eastAsia="tr-TR"/>
              </w:rPr>
            </w:pPr>
            <w:r w:rsidRPr="00F25246">
              <w:rPr>
                <w:b/>
                <w:bCs/>
                <w:color w:val="000000"/>
                <w:sz w:val="14"/>
                <w:szCs w:val="14"/>
                <w:lang w:eastAsia="tr-TR"/>
              </w:rPr>
              <w:t>YP</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431DF" w14:textId="77777777" w:rsidR="00F25246" w:rsidRPr="00F25246" w:rsidRDefault="00F25246" w:rsidP="00717AB5">
            <w:pPr>
              <w:ind w:left="-14"/>
              <w:jc w:val="right"/>
              <w:rPr>
                <w:b/>
                <w:bCs/>
                <w:color w:val="000000"/>
                <w:sz w:val="14"/>
                <w:szCs w:val="14"/>
                <w:lang w:eastAsia="tr-TR"/>
              </w:rPr>
            </w:pPr>
            <w:r w:rsidRPr="00F25246">
              <w:rPr>
                <w:b/>
                <w:bCs/>
                <w:color w:val="000000"/>
                <w:sz w:val="14"/>
                <w:szCs w:val="14"/>
                <w:lang w:eastAsia="tr-TR"/>
              </w:rPr>
              <w:t>Toplam</w:t>
            </w:r>
          </w:p>
        </w:tc>
        <w:tc>
          <w:tcPr>
            <w:tcW w:w="7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6A2388" w14:textId="77777777" w:rsidR="00F25246" w:rsidRPr="00F25246" w:rsidRDefault="00F25246" w:rsidP="00717AB5">
            <w:pPr>
              <w:ind w:left="-14"/>
              <w:jc w:val="right"/>
              <w:rPr>
                <w:b/>
                <w:bCs/>
                <w:color w:val="000000"/>
                <w:sz w:val="14"/>
                <w:szCs w:val="14"/>
                <w:lang w:eastAsia="tr-TR"/>
              </w:rPr>
            </w:pPr>
            <w:r w:rsidRPr="00F25246">
              <w:rPr>
                <w:b/>
                <w:bCs/>
                <w:color w:val="000000"/>
                <w:sz w:val="14"/>
                <w:szCs w:val="14"/>
                <w:lang w:eastAsia="tr-TR"/>
              </w:rPr>
              <w:t>TP</w:t>
            </w:r>
          </w:p>
        </w:tc>
        <w:tc>
          <w:tcPr>
            <w:tcW w:w="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20B59" w14:textId="77777777" w:rsidR="00F25246" w:rsidRPr="00F25246" w:rsidRDefault="00F25246" w:rsidP="00717AB5">
            <w:pPr>
              <w:ind w:left="-14"/>
              <w:jc w:val="right"/>
              <w:rPr>
                <w:b/>
                <w:bCs/>
                <w:color w:val="000000"/>
                <w:sz w:val="14"/>
                <w:szCs w:val="14"/>
                <w:lang w:eastAsia="tr-TR"/>
              </w:rPr>
            </w:pPr>
            <w:r w:rsidRPr="00F25246">
              <w:rPr>
                <w:b/>
                <w:bCs/>
                <w:color w:val="000000"/>
                <w:sz w:val="14"/>
                <w:szCs w:val="14"/>
                <w:lang w:eastAsia="tr-TR"/>
              </w:rPr>
              <w:t>YP</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A2163" w14:textId="77777777" w:rsidR="00F25246" w:rsidRPr="00F25246" w:rsidRDefault="00F25246" w:rsidP="00717AB5">
            <w:pPr>
              <w:ind w:left="-14"/>
              <w:jc w:val="right"/>
              <w:rPr>
                <w:b/>
                <w:bCs/>
                <w:color w:val="000000"/>
                <w:sz w:val="14"/>
                <w:szCs w:val="14"/>
                <w:lang w:eastAsia="tr-TR"/>
              </w:rPr>
            </w:pPr>
            <w:r w:rsidRPr="00F25246">
              <w:rPr>
                <w:b/>
                <w:bCs/>
                <w:color w:val="000000"/>
                <w:sz w:val="14"/>
                <w:szCs w:val="14"/>
                <w:lang w:eastAsia="tr-TR"/>
              </w:rPr>
              <w:t>Toplam</w:t>
            </w:r>
          </w:p>
        </w:tc>
      </w:tr>
      <w:tr w:rsidR="00F25246" w:rsidRPr="00F25246" w14:paraId="05CAFC9E" w14:textId="77777777" w:rsidTr="00717AB5">
        <w:trPr>
          <w:divId w:val="1907639562"/>
          <w:trHeight w:val="68"/>
        </w:trPr>
        <w:tc>
          <w:tcPr>
            <w:tcW w:w="525" w:type="dxa"/>
            <w:tcBorders>
              <w:top w:val="single" w:sz="4" w:space="0" w:color="auto"/>
              <w:left w:val="single" w:sz="4" w:space="0" w:color="auto"/>
              <w:bottom w:val="nil"/>
              <w:right w:val="single" w:sz="4" w:space="0" w:color="auto"/>
            </w:tcBorders>
            <w:shd w:val="clear" w:color="auto" w:fill="auto"/>
            <w:noWrap/>
            <w:vAlign w:val="center"/>
            <w:hideMark/>
          </w:tcPr>
          <w:p w14:paraId="712EF689" w14:textId="77777777" w:rsidR="00F25246" w:rsidRPr="00311DAB" w:rsidRDefault="00F25246" w:rsidP="00F25246">
            <w:pPr>
              <w:jc w:val="right"/>
              <w:rPr>
                <w:b/>
                <w:bCs/>
                <w:color w:val="000000"/>
                <w:sz w:val="10"/>
                <w:szCs w:val="10"/>
                <w:lang w:eastAsia="tr-TR"/>
              </w:rPr>
            </w:pPr>
          </w:p>
        </w:tc>
        <w:tc>
          <w:tcPr>
            <w:tcW w:w="3278" w:type="dxa"/>
            <w:tcBorders>
              <w:top w:val="single" w:sz="4" w:space="0" w:color="auto"/>
              <w:left w:val="single" w:sz="4" w:space="0" w:color="auto"/>
              <w:bottom w:val="nil"/>
              <w:right w:val="single" w:sz="4" w:space="0" w:color="auto"/>
            </w:tcBorders>
            <w:shd w:val="clear" w:color="auto" w:fill="auto"/>
            <w:noWrap/>
            <w:vAlign w:val="center"/>
            <w:hideMark/>
          </w:tcPr>
          <w:p w14:paraId="31B4E227" w14:textId="77777777" w:rsidR="00F25246" w:rsidRPr="00311DAB" w:rsidRDefault="00F25246" w:rsidP="00F25246">
            <w:pPr>
              <w:rPr>
                <w:sz w:val="10"/>
                <w:szCs w:val="10"/>
                <w:lang w:eastAsia="tr-TR"/>
              </w:rPr>
            </w:pPr>
          </w:p>
        </w:tc>
        <w:tc>
          <w:tcPr>
            <w:tcW w:w="654" w:type="dxa"/>
            <w:tcBorders>
              <w:top w:val="single" w:sz="4" w:space="0" w:color="auto"/>
              <w:left w:val="single" w:sz="4" w:space="0" w:color="auto"/>
              <w:bottom w:val="nil"/>
              <w:right w:val="single" w:sz="4" w:space="0" w:color="auto"/>
            </w:tcBorders>
            <w:shd w:val="clear" w:color="auto" w:fill="auto"/>
            <w:noWrap/>
            <w:vAlign w:val="center"/>
            <w:hideMark/>
          </w:tcPr>
          <w:p w14:paraId="0354B9BB" w14:textId="77777777" w:rsidR="00F25246" w:rsidRPr="00311DAB" w:rsidRDefault="00F25246" w:rsidP="00F25246">
            <w:pPr>
              <w:rPr>
                <w:sz w:val="10"/>
                <w:szCs w:val="10"/>
                <w:lang w:eastAsia="tr-TR"/>
              </w:rPr>
            </w:pPr>
          </w:p>
        </w:tc>
        <w:tc>
          <w:tcPr>
            <w:tcW w:w="783" w:type="dxa"/>
            <w:tcBorders>
              <w:top w:val="single" w:sz="4" w:space="0" w:color="auto"/>
              <w:left w:val="single" w:sz="4" w:space="0" w:color="auto"/>
              <w:bottom w:val="nil"/>
              <w:right w:val="single" w:sz="4" w:space="0" w:color="auto"/>
            </w:tcBorders>
            <w:shd w:val="clear" w:color="auto" w:fill="auto"/>
            <w:noWrap/>
            <w:vAlign w:val="bottom"/>
            <w:hideMark/>
          </w:tcPr>
          <w:p w14:paraId="6465D9F4" w14:textId="77777777" w:rsidR="00F25246" w:rsidRPr="00311DAB" w:rsidRDefault="00F25246" w:rsidP="00717AB5">
            <w:pPr>
              <w:ind w:left="-14"/>
              <w:jc w:val="right"/>
              <w:rPr>
                <w:sz w:val="10"/>
                <w:szCs w:val="10"/>
                <w:lang w:eastAsia="tr-TR"/>
              </w:rPr>
            </w:pPr>
          </w:p>
        </w:tc>
        <w:tc>
          <w:tcPr>
            <w:tcW w:w="851" w:type="dxa"/>
            <w:tcBorders>
              <w:top w:val="single" w:sz="4" w:space="0" w:color="auto"/>
              <w:left w:val="single" w:sz="4" w:space="0" w:color="auto"/>
              <w:bottom w:val="nil"/>
              <w:right w:val="single" w:sz="4" w:space="0" w:color="auto"/>
            </w:tcBorders>
            <w:shd w:val="clear" w:color="auto" w:fill="auto"/>
            <w:noWrap/>
            <w:vAlign w:val="bottom"/>
            <w:hideMark/>
          </w:tcPr>
          <w:p w14:paraId="32674720" w14:textId="77777777" w:rsidR="00F25246" w:rsidRPr="00311DAB" w:rsidRDefault="00F25246" w:rsidP="00717AB5">
            <w:pPr>
              <w:ind w:left="-14"/>
              <w:jc w:val="right"/>
              <w:rPr>
                <w:sz w:val="10"/>
                <w:szCs w:val="10"/>
                <w:lang w:eastAsia="tr-TR"/>
              </w:rPr>
            </w:pPr>
          </w:p>
        </w:tc>
        <w:tc>
          <w:tcPr>
            <w:tcW w:w="970" w:type="dxa"/>
            <w:tcBorders>
              <w:top w:val="single" w:sz="4" w:space="0" w:color="auto"/>
              <w:left w:val="single" w:sz="4" w:space="0" w:color="auto"/>
              <w:bottom w:val="nil"/>
              <w:right w:val="single" w:sz="4" w:space="0" w:color="auto"/>
            </w:tcBorders>
            <w:shd w:val="clear" w:color="auto" w:fill="auto"/>
            <w:noWrap/>
            <w:vAlign w:val="bottom"/>
            <w:hideMark/>
          </w:tcPr>
          <w:p w14:paraId="3F206D2B" w14:textId="77777777" w:rsidR="00F25246" w:rsidRPr="00311DAB" w:rsidRDefault="00F25246" w:rsidP="00717AB5">
            <w:pPr>
              <w:ind w:left="-14"/>
              <w:jc w:val="right"/>
              <w:rPr>
                <w:sz w:val="10"/>
                <w:szCs w:val="10"/>
                <w:lang w:eastAsia="tr-TR"/>
              </w:rPr>
            </w:pPr>
          </w:p>
        </w:tc>
        <w:tc>
          <w:tcPr>
            <w:tcW w:w="757" w:type="dxa"/>
            <w:gridSpan w:val="2"/>
            <w:tcBorders>
              <w:top w:val="single" w:sz="4" w:space="0" w:color="auto"/>
              <w:left w:val="single" w:sz="4" w:space="0" w:color="auto"/>
              <w:bottom w:val="nil"/>
              <w:right w:val="single" w:sz="4" w:space="0" w:color="auto"/>
            </w:tcBorders>
            <w:shd w:val="clear" w:color="auto" w:fill="auto"/>
            <w:noWrap/>
            <w:vAlign w:val="bottom"/>
            <w:hideMark/>
          </w:tcPr>
          <w:p w14:paraId="5A08DC97" w14:textId="77777777" w:rsidR="00F25246" w:rsidRPr="00311DAB" w:rsidRDefault="00F25246" w:rsidP="00717AB5">
            <w:pPr>
              <w:ind w:left="-14"/>
              <w:jc w:val="right"/>
              <w:rPr>
                <w:sz w:val="10"/>
                <w:szCs w:val="10"/>
                <w:lang w:eastAsia="tr-TR"/>
              </w:rPr>
            </w:pPr>
          </w:p>
        </w:tc>
        <w:tc>
          <w:tcPr>
            <w:tcW w:w="758" w:type="dxa"/>
            <w:tcBorders>
              <w:top w:val="single" w:sz="4" w:space="0" w:color="auto"/>
              <w:left w:val="single" w:sz="4" w:space="0" w:color="auto"/>
              <w:bottom w:val="nil"/>
              <w:right w:val="single" w:sz="4" w:space="0" w:color="auto"/>
            </w:tcBorders>
            <w:shd w:val="clear" w:color="auto" w:fill="auto"/>
            <w:noWrap/>
            <w:vAlign w:val="bottom"/>
            <w:hideMark/>
          </w:tcPr>
          <w:p w14:paraId="2103821F" w14:textId="77777777" w:rsidR="00F25246" w:rsidRPr="00311DAB" w:rsidRDefault="00F25246" w:rsidP="00717AB5">
            <w:pPr>
              <w:ind w:left="-14"/>
              <w:jc w:val="right"/>
              <w:rPr>
                <w:sz w:val="10"/>
                <w:szCs w:val="10"/>
                <w:lang w:eastAsia="tr-TR"/>
              </w:rPr>
            </w:pPr>
          </w:p>
        </w:tc>
        <w:tc>
          <w:tcPr>
            <w:tcW w:w="910" w:type="dxa"/>
            <w:tcBorders>
              <w:top w:val="single" w:sz="4" w:space="0" w:color="auto"/>
              <w:left w:val="single" w:sz="4" w:space="0" w:color="auto"/>
              <w:bottom w:val="nil"/>
              <w:right w:val="single" w:sz="4" w:space="0" w:color="auto"/>
            </w:tcBorders>
            <w:shd w:val="clear" w:color="auto" w:fill="auto"/>
            <w:noWrap/>
            <w:vAlign w:val="bottom"/>
            <w:hideMark/>
          </w:tcPr>
          <w:p w14:paraId="1EA39D01" w14:textId="77777777" w:rsidR="00F25246" w:rsidRPr="00311DAB" w:rsidRDefault="00F25246" w:rsidP="00717AB5">
            <w:pPr>
              <w:ind w:left="-14"/>
              <w:jc w:val="right"/>
              <w:rPr>
                <w:sz w:val="10"/>
                <w:szCs w:val="10"/>
                <w:lang w:eastAsia="tr-TR"/>
              </w:rPr>
            </w:pPr>
          </w:p>
        </w:tc>
      </w:tr>
      <w:tr w:rsidR="00F25246" w:rsidRPr="00F25246" w14:paraId="283A470B"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5749F74A"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w:t>
            </w:r>
          </w:p>
        </w:tc>
        <w:tc>
          <w:tcPr>
            <w:tcW w:w="3278" w:type="dxa"/>
            <w:tcBorders>
              <w:top w:val="nil"/>
              <w:left w:val="single" w:sz="4" w:space="0" w:color="auto"/>
              <w:bottom w:val="nil"/>
              <w:right w:val="single" w:sz="4" w:space="0" w:color="auto"/>
            </w:tcBorders>
            <w:shd w:val="clear" w:color="auto" w:fill="auto"/>
            <w:vAlign w:val="center"/>
            <w:hideMark/>
          </w:tcPr>
          <w:p w14:paraId="4BA0AD12"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TOPLANAN FONLAR</w:t>
            </w:r>
          </w:p>
        </w:tc>
        <w:tc>
          <w:tcPr>
            <w:tcW w:w="654" w:type="dxa"/>
            <w:tcBorders>
              <w:top w:val="nil"/>
              <w:left w:val="single" w:sz="4" w:space="0" w:color="auto"/>
              <w:bottom w:val="nil"/>
              <w:right w:val="single" w:sz="4" w:space="0" w:color="auto"/>
            </w:tcBorders>
            <w:shd w:val="clear" w:color="auto" w:fill="auto"/>
            <w:noWrap/>
            <w:vAlign w:val="center"/>
            <w:hideMark/>
          </w:tcPr>
          <w:p w14:paraId="6E1C678C"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(5.2.1.)</w:t>
            </w:r>
          </w:p>
        </w:tc>
        <w:tc>
          <w:tcPr>
            <w:tcW w:w="783" w:type="dxa"/>
            <w:tcBorders>
              <w:top w:val="nil"/>
              <w:left w:val="single" w:sz="4" w:space="0" w:color="auto"/>
              <w:bottom w:val="nil"/>
              <w:right w:val="single" w:sz="4" w:space="0" w:color="auto"/>
            </w:tcBorders>
            <w:shd w:val="clear" w:color="auto" w:fill="auto"/>
            <w:vAlign w:val="bottom"/>
            <w:hideMark/>
          </w:tcPr>
          <w:p w14:paraId="52BD6829" w14:textId="77777777" w:rsidR="00F25246" w:rsidRPr="00F25246" w:rsidRDefault="00F25246" w:rsidP="00717AB5">
            <w:pPr>
              <w:ind w:left="-14"/>
              <w:jc w:val="right"/>
              <w:rPr>
                <w:b/>
                <w:bCs/>
                <w:sz w:val="14"/>
                <w:szCs w:val="14"/>
                <w:lang w:eastAsia="tr-TR"/>
              </w:rPr>
            </w:pPr>
            <w:r w:rsidRPr="00F25246">
              <w:rPr>
                <w:b/>
                <w:bCs/>
                <w:sz w:val="14"/>
                <w:szCs w:val="14"/>
                <w:lang w:eastAsia="tr-TR"/>
              </w:rPr>
              <w:t>38,903,245</w:t>
            </w:r>
          </w:p>
        </w:tc>
        <w:tc>
          <w:tcPr>
            <w:tcW w:w="851" w:type="dxa"/>
            <w:tcBorders>
              <w:top w:val="nil"/>
              <w:left w:val="single" w:sz="4" w:space="0" w:color="auto"/>
              <w:bottom w:val="nil"/>
              <w:right w:val="single" w:sz="4" w:space="0" w:color="auto"/>
            </w:tcBorders>
            <w:shd w:val="clear" w:color="auto" w:fill="auto"/>
            <w:vAlign w:val="bottom"/>
            <w:hideMark/>
          </w:tcPr>
          <w:p w14:paraId="4751C1F0" w14:textId="77777777" w:rsidR="00F25246" w:rsidRPr="00F25246" w:rsidRDefault="00F25246" w:rsidP="00717AB5">
            <w:pPr>
              <w:ind w:left="-14"/>
              <w:jc w:val="right"/>
              <w:rPr>
                <w:b/>
                <w:bCs/>
                <w:sz w:val="14"/>
                <w:szCs w:val="14"/>
                <w:lang w:eastAsia="tr-TR"/>
              </w:rPr>
            </w:pPr>
            <w:r w:rsidRPr="00F25246">
              <w:rPr>
                <w:b/>
                <w:bCs/>
                <w:sz w:val="14"/>
                <w:szCs w:val="14"/>
                <w:lang w:eastAsia="tr-TR"/>
              </w:rPr>
              <w:t>80,436,904</w:t>
            </w:r>
          </w:p>
        </w:tc>
        <w:tc>
          <w:tcPr>
            <w:tcW w:w="970" w:type="dxa"/>
            <w:tcBorders>
              <w:top w:val="nil"/>
              <w:left w:val="single" w:sz="4" w:space="0" w:color="auto"/>
              <w:bottom w:val="nil"/>
              <w:right w:val="single" w:sz="4" w:space="0" w:color="auto"/>
            </w:tcBorders>
            <w:shd w:val="clear" w:color="auto" w:fill="auto"/>
            <w:vAlign w:val="bottom"/>
            <w:hideMark/>
          </w:tcPr>
          <w:p w14:paraId="2689F43F" w14:textId="77777777" w:rsidR="00F25246" w:rsidRPr="00F25246" w:rsidRDefault="00F25246" w:rsidP="00717AB5">
            <w:pPr>
              <w:ind w:left="-14"/>
              <w:jc w:val="right"/>
              <w:rPr>
                <w:b/>
                <w:bCs/>
                <w:sz w:val="14"/>
                <w:szCs w:val="14"/>
                <w:lang w:eastAsia="tr-TR"/>
              </w:rPr>
            </w:pPr>
            <w:r w:rsidRPr="00F25246">
              <w:rPr>
                <w:b/>
                <w:bCs/>
                <w:sz w:val="14"/>
                <w:szCs w:val="14"/>
                <w:lang w:eastAsia="tr-TR"/>
              </w:rPr>
              <w:t>119,340,149</w:t>
            </w:r>
          </w:p>
        </w:tc>
        <w:tc>
          <w:tcPr>
            <w:tcW w:w="757" w:type="dxa"/>
            <w:gridSpan w:val="2"/>
            <w:tcBorders>
              <w:top w:val="nil"/>
              <w:left w:val="single" w:sz="4" w:space="0" w:color="auto"/>
              <w:bottom w:val="nil"/>
              <w:right w:val="single" w:sz="4" w:space="0" w:color="auto"/>
            </w:tcBorders>
            <w:shd w:val="clear" w:color="auto" w:fill="auto"/>
            <w:vAlign w:val="bottom"/>
            <w:hideMark/>
          </w:tcPr>
          <w:p w14:paraId="156BE97C" w14:textId="77777777" w:rsidR="00F25246" w:rsidRPr="00F25246" w:rsidRDefault="00F25246" w:rsidP="00717AB5">
            <w:pPr>
              <w:ind w:left="-14"/>
              <w:jc w:val="right"/>
              <w:rPr>
                <w:b/>
                <w:bCs/>
                <w:sz w:val="14"/>
                <w:szCs w:val="14"/>
                <w:lang w:eastAsia="tr-TR"/>
              </w:rPr>
            </w:pPr>
            <w:r w:rsidRPr="00F25246">
              <w:rPr>
                <w:b/>
                <w:bCs/>
                <w:sz w:val="14"/>
                <w:szCs w:val="14"/>
                <w:lang w:eastAsia="tr-TR"/>
              </w:rPr>
              <w:t>35,410,329</w:t>
            </w:r>
          </w:p>
        </w:tc>
        <w:tc>
          <w:tcPr>
            <w:tcW w:w="758" w:type="dxa"/>
            <w:tcBorders>
              <w:top w:val="nil"/>
              <w:left w:val="single" w:sz="4" w:space="0" w:color="auto"/>
              <w:bottom w:val="nil"/>
              <w:right w:val="single" w:sz="4" w:space="0" w:color="auto"/>
            </w:tcBorders>
            <w:shd w:val="clear" w:color="auto" w:fill="auto"/>
            <w:vAlign w:val="bottom"/>
            <w:hideMark/>
          </w:tcPr>
          <w:p w14:paraId="67E8F04B" w14:textId="77777777" w:rsidR="00F25246" w:rsidRPr="00F25246" w:rsidRDefault="00F25246" w:rsidP="00717AB5">
            <w:pPr>
              <w:ind w:left="-14"/>
              <w:jc w:val="right"/>
              <w:rPr>
                <w:b/>
                <w:bCs/>
                <w:sz w:val="14"/>
                <w:szCs w:val="14"/>
                <w:lang w:eastAsia="tr-TR"/>
              </w:rPr>
            </w:pPr>
            <w:r w:rsidRPr="00F25246">
              <w:rPr>
                <w:b/>
                <w:bCs/>
                <w:sz w:val="14"/>
                <w:szCs w:val="14"/>
                <w:lang w:eastAsia="tr-TR"/>
              </w:rPr>
              <w:t>50,084,058</w:t>
            </w:r>
          </w:p>
        </w:tc>
        <w:tc>
          <w:tcPr>
            <w:tcW w:w="910" w:type="dxa"/>
            <w:tcBorders>
              <w:top w:val="nil"/>
              <w:left w:val="single" w:sz="4" w:space="0" w:color="auto"/>
              <w:bottom w:val="nil"/>
              <w:right w:val="single" w:sz="4" w:space="0" w:color="auto"/>
            </w:tcBorders>
            <w:shd w:val="clear" w:color="auto" w:fill="auto"/>
            <w:vAlign w:val="bottom"/>
            <w:hideMark/>
          </w:tcPr>
          <w:p w14:paraId="6E575A90" w14:textId="77777777" w:rsidR="00F25246" w:rsidRPr="00F25246" w:rsidRDefault="00F25246" w:rsidP="00717AB5">
            <w:pPr>
              <w:ind w:left="-14"/>
              <w:jc w:val="right"/>
              <w:rPr>
                <w:b/>
                <w:bCs/>
                <w:sz w:val="14"/>
                <w:szCs w:val="14"/>
                <w:lang w:eastAsia="tr-TR"/>
              </w:rPr>
            </w:pPr>
            <w:r w:rsidRPr="00F25246">
              <w:rPr>
                <w:b/>
                <w:bCs/>
                <w:sz w:val="14"/>
                <w:szCs w:val="14"/>
                <w:lang w:eastAsia="tr-TR"/>
              </w:rPr>
              <w:t>85,494,387</w:t>
            </w:r>
          </w:p>
        </w:tc>
      </w:tr>
      <w:tr w:rsidR="00F25246" w:rsidRPr="00F25246" w14:paraId="41F88AF9"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5EC426DE"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II.</w:t>
            </w:r>
          </w:p>
        </w:tc>
        <w:tc>
          <w:tcPr>
            <w:tcW w:w="3278" w:type="dxa"/>
            <w:tcBorders>
              <w:top w:val="nil"/>
              <w:left w:val="single" w:sz="4" w:space="0" w:color="auto"/>
              <w:bottom w:val="nil"/>
              <w:right w:val="single" w:sz="4" w:space="0" w:color="auto"/>
            </w:tcBorders>
            <w:shd w:val="clear" w:color="auto" w:fill="auto"/>
            <w:vAlign w:val="center"/>
            <w:hideMark/>
          </w:tcPr>
          <w:p w14:paraId="2614037E"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ALINAN KREDİLER</w:t>
            </w:r>
          </w:p>
        </w:tc>
        <w:tc>
          <w:tcPr>
            <w:tcW w:w="654" w:type="dxa"/>
            <w:tcBorders>
              <w:top w:val="nil"/>
              <w:left w:val="single" w:sz="4" w:space="0" w:color="auto"/>
              <w:bottom w:val="nil"/>
              <w:right w:val="single" w:sz="4" w:space="0" w:color="auto"/>
            </w:tcBorders>
            <w:shd w:val="clear" w:color="auto" w:fill="auto"/>
            <w:noWrap/>
            <w:vAlign w:val="center"/>
            <w:hideMark/>
          </w:tcPr>
          <w:p w14:paraId="68D6C160"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(5.2.3.)</w:t>
            </w:r>
          </w:p>
        </w:tc>
        <w:tc>
          <w:tcPr>
            <w:tcW w:w="783" w:type="dxa"/>
            <w:tcBorders>
              <w:top w:val="nil"/>
              <w:left w:val="single" w:sz="4" w:space="0" w:color="auto"/>
              <w:bottom w:val="nil"/>
              <w:right w:val="single" w:sz="4" w:space="0" w:color="auto"/>
            </w:tcBorders>
            <w:shd w:val="clear" w:color="auto" w:fill="auto"/>
            <w:vAlign w:val="bottom"/>
            <w:hideMark/>
          </w:tcPr>
          <w:p w14:paraId="11C58075" w14:textId="77777777" w:rsidR="00F25246" w:rsidRPr="00F25246" w:rsidRDefault="00F25246" w:rsidP="00717AB5">
            <w:pPr>
              <w:ind w:left="-14"/>
              <w:jc w:val="right"/>
              <w:rPr>
                <w:b/>
                <w:bCs/>
                <w:sz w:val="14"/>
                <w:szCs w:val="14"/>
                <w:lang w:eastAsia="tr-TR"/>
              </w:rPr>
            </w:pPr>
            <w:r w:rsidRPr="00F25246">
              <w:rPr>
                <w:b/>
                <w:bCs/>
                <w:sz w:val="14"/>
                <w:szCs w:val="14"/>
                <w:lang w:eastAsia="tr-TR"/>
              </w:rPr>
              <w:t>2,327,668</w:t>
            </w:r>
          </w:p>
        </w:tc>
        <w:tc>
          <w:tcPr>
            <w:tcW w:w="851" w:type="dxa"/>
            <w:tcBorders>
              <w:top w:val="nil"/>
              <w:left w:val="single" w:sz="4" w:space="0" w:color="auto"/>
              <w:bottom w:val="nil"/>
              <w:right w:val="single" w:sz="4" w:space="0" w:color="auto"/>
            </w:tcBorders>
            <w:shd w:val="clear" w:color="auto" w:fill="auto"/>
            <w:vAlign w:val="bottom"/>
            <w:hideMark/>
          </w:tcPr>
          <w:p w14:paraId="60DDB04A" w14:textId="77777777" w:rsidR="00F25246" w:rsidRPr="00F25246" w:rsidRDefault="00F25246" w:rsidP="00717AB5">
            <w:pPr>
              <w:ind w:left="-14"/>
              <w:jc w:val="right"/>
              <w:rPr>
                <w:b/>
                <w:bCs/>
                <w:sz w:val="14"/>
                <w:szCs w:val="14"/>
                <w:lang w:eastAsia="tr-TR"/>
              </w:rPr>
            </w:pPr>
            <w:r w:rsidRPr="00F25246">
              <w:rPr>
                <w:b/>
                <w:bCs/>
                <w:sz w:val="14"/>
                <w:szCs w:val="14"/>
                <w:lang w:eastAsia="tr-TR"/>
              </w:rPr>
              <w:t>6,594,755</w:t>
            </w:r>
          </w:p>
        </w:tc>
        <w:tc>
          <w:tcPr>
            <w:tcW w:w="970" w:type="dxa"/>
            <w:tcBorders>
              <w:top w:val="nil"/>
              <w:left w:val="single" w:sz="4" w:space="0" w:color="auto"/>
              <w:bottom w:val="nil"/>
              <w:right w:val="single" w:sz="4" w:space="0" w:color="auto"/>
            </w:tcBorders>
            <w:shd w:val="clear" w:color="auto" w:fill="auto"/>
            <w:vAlign w:val="bottom"/>
            <w:hideMark/>
          </w:tcPr>
          <w:p w14:paraId="33C0F208" w14:textId="77777777" w:rsidR="00F25246" w:rsidRPr="00F25246" w:rsidRDefault="00F25246" w:rsidP="00717AB5">
            <w:pPr>
              <w:ind w:left="-14"/>
              <w:jc w:val="right"/>
              <w:rPr>
                <w:b/>
                <w:bCs/>
                <w:sz w:val="14"/>
                <w:szCs w:val="14"/>
                <w:lang w:eastAsia="tr-TR"/>
              </w:rPr>
            </w:pPr>
            <w:r w:rsidRPr="00F25246">
              <w:rPr>
                <w:b/>
                <w:bCs/>
                <w:sz w:val="14"/>
                <w:szCs w:val="14"/>
                <w:lang w:eastAsia="tr-TR"/>
              </w:rPr>
              <w:t>8,922,423</w:t>
            </w:r>
          </w:p>
        </w:tc>
        <w:tc>
          <w:tcPr>
            <w:tcW w:w="757" w:type="dxa"/>
            <w:gridSpan w:val="2"/>
            <w:tcBorders>
              <w:top w:val="nil"/>
              <w:left w:val="single" w:sz="4" w:space="0" w:color="auto"/>
              <w:bottom w:val="nil"/>
              <w:right w:val="single" w:sz="4" w:space="0" w:color="auto"/>
            </w:tcBorders>
            <w:shd w:val="clear" w:color="auto" w:fill="auto"/>
            <w:vAlign w:val="bottom"/>
            <w:hideMark/>
          </w:tcPr>
          <w:p w14:paraId="0C11ED02" w14:textId="77777777" w:rsidR="00F25246" w:rsidRPr="00F25246" w:rsidRDefault="00F25246" w:rsidP="00717AB5">
            <w:pPr>
              <w:ind w:left="-14"/>
              <w:jc w:val="right"/>
              <w:rPr>
                <w:b/>
                <w:bCs/>
                <w:sz w:val="14"/>
                <w:szCs w:val="14"/>
                <w:lang w:eastAsia="tr-TR"/>
              </w:rPr>
            </w:pPr>
            <w:r w:rsidRPr="00F25246">
              <w:rPr>
                <w:b/>
                <w:bCs/>
                <w:sz w:val="14"/>
                <w:szCs w:val="14"/>
                <w:lang w:eastAsia="tr-TR"/>
              </w:rPr>
              <w:t>923,177</w:t>
            </w:r>
          </w:p>
        </w:tc>
        <w:tc>
          <w:tcPr>
            <w:tcW w:w="758" w:type="dxa"/>
            <w:tcBorders>
              <w:top w:val="nil"/>
              <w:left w:val="single" w:sz="4" w:space="0" w:color="auto"/>
              <w:bottom w:val="nil"/>
              <w:right w:val="single" w:sz="4" w:space="0" w:color="auto"/>
            </w:tcBorders>
            <w:shd w:val="clear" w:color="auto" w:fill="auto"/>
            <w:vAlign w:val="bottom"/>
            <w:hideMark/>
          </w:tcPr>
          <w:p w14:paraId="26BE1FDF" w14:textId="77777777" w:rsidR="00F25246" w:rsidRPr="00F25246" w:rsidRDefault="00F25246" w:rsidP="00717AB5">
            <w:pPr>
              <w:ind w:left="-14"/>
              <w:jc w:val="right"/>
              <w:rPr>
                <w:b/>
                <w:bCs/>
                <w:sz w:val="14"/>
                <w:szCs w:val="14"/>
                <w:lang w:eastAsia="tr-TR"/>
              </w:rPr>
            </w:pPr>
            <w:r w:rsidRPr="00F25246">
              <w:rPr>
                <w:b/>
                <w:bCs/>
                <w:sz w:val="14"/>
                <w:szCs w:val="14"/>
                <w:lang w:eastAsia="tr-TR"/>
              </w:rPr>
              <w:t>4,468,500</w:t>
            </w:r>
          </w:p>
        </w:tc>
        <w:tc>
          <w:tcPr>
            <w:tcW w:w="910" w:type="dxa"/>
            <w:tcBorders>
              <w:top w:val="nil"/>
              <w:left w:val="single" w:sz="4" w:space="0" w:color="auto"/>
              <w:bottom w:val="nil"/>
              <w:right w:val="single" w:sz="4" w:space="0" w:color="auto"/>
            </w:tcBorders>
            <w:shd w:val="clear" w:color="auto" w:fill="auto"/>
            <w:vAlign w:val="bottom"/>
            <w:hideMark/>
          </w:tcPr>
          <w:p w14:paraId="66D9860D" w14:textId="77777777" w:rsidR="00F25246" w:rsidRPr="00F25246" w:rsidRDefault="00F25246" w:rsidP="00717AB5">
            <w:pPr>
              <w:ind w:left="-14"/>
              <w:jc w:val="right"/>
              <w:rPr>
                <w:b/>
                <w:bCs/>
                <w:sz w:val="14"/>
                <w:szCs w:val="14"/>
                <w:lang w:eastAsia="tr-TR"/>
              </w:rPr>
            </w:pPr>
            <w:r w:rsidRPr="00F25246">
              <w:rPr>
                <w:b/>
                <w:bCs/>
                <w:sz w:val="14"/>
                <w:szCs w:val="14"/>
                <w:lang w:eastAsia="tr-TR"/>
              </w:rPr>
              <w:t>5,391,677</w:t>
            </w:r>
          </w:p>
        </w:tc>
      </w:tr>
      <w:tr w:rsidR="00F25246" w:rsidRPr="00F25246" w14:paraId="06572410"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76F83BA9"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III.</w:t>
            </w:r>
          </w:p>
        </w:tc>
        <w:tc>
          <w:tcPr>
            <w:tcW w:w="3278" w:type="dxa"/>
            <w:tcBorders>
              <w:top w:val="nil"/>
              <w:left w:val="single" w:sz="4" w:space="0" w:color="auto"/>
              <w:bottom w:val="nil"/>
              <w:right w:val="single" w:sz="4" w:space="0" w:color="auto"/>
            </w:tcBorders>
            <w:shd w:val="clear" w:color="auto" w:fill="auto"/>
            <w:vAlign w:val="center"/>
            <w:hideMark/>
          </w:tcPr>
          <w:p w14:paraId="2C15ADFE"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PARA PİYASALARINA BORÇLAR</w:t>
            </w:r>
          </w:p>
        </w:tc>
        <w:tc>
          <w:tcPr>
            <w:tcW w:w="654" w:type="dxa"/>
            <w:tcBorders>
              <w:top w:val="nil"/>
              <w:left w:val="single" w:sz="4" w:space="0" w:color="auto"/>
              <w:bottom w:val="nil"/>
              <w:right w:val="single" w:sz="4" w:space="0" w:color="auto"/>
            </w:tcBorders>
            <w:shd w:val="clear" w:color="auto" w:fill="auto"/>
            <w:noWrap/>
            <w:vAlign w:val="center"/>
            <w:hideMark/>
          </w:tcPr>
          <w:p w14:paraId="56C0BCD1" w14:textId="77777777" w:rsidR="00F25246" w:rsidRPr="00F25246" w:rsidRDefault="00F25246" w:rsidP="00F25246">
            <w:pPr>
              <w:rPr>
                <w:b/>
                <w:bCs/>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3B188C12" w14:textId="77777777" w:rsidR="00F25246" w:rsidRPr="00F25246" w:rsidRDefault="00F25246" w:rsidP="00717AB5">
            <w:pPr>
              <w:ind w:left="-14"/>
              <w:jc w:val="right"/>
              <w:rPr>
                <w:b/>
                <w:sz w:val="14"/>
                <w:szCs w:val="14"/>
                <w:lang w:eastAsia="tr-TR"/>
              </w:rPr>
            </w:pPr>
            <w:r w:rsidRPr="00F25246">
              <w:rPr>
                <w:b/>
                <w:sz w:val="14"/>
                <w:szCs w:val="14"/>
                <w:lang w:eastAsia="tr-TR"/>
              </w:rPr>
              <w:t>8,224,602</w:t>
            </w:r>
          </w:p>
        </w:tc>
        <w:tc>
          <w:tcPr>
            <w:tcW w:w="851" w:type="dxa"/>
            <w:tcBorders>
              <w:top w:val="nil"/>
              <w:left w:val="single" w:sz="4" w:space="0" w:color="auto"/>
              <w:bottom w:val="nil"/>
              <w:right w:val="single" w:sz="4" w:space="0" w:color="auto"/>
            </w:tcBorders>
            <w:shd w:val="clear" w:color="auto" w:fill="auto"/>
            <w:vAlign w:val="bottom"/>
            <w:hideMark/>
          </w:tcPr>
          <w:p w14:paraId="37C268D4" w14:textId="77777777" w:rsidR="00F25246" w:rsidRPr="00F25246" w:rsidRDefault="00F25246" w:rsidP="00717AB5">
            <w:pPr>
              <w:ind w:left="-14"/>
              <w:jc w:val="right"/>
              <w:rPr>
                <w:b/>
                <w:sz w:val="14"/>
                <w:szCs w:val="14"/>
                <w:lang w:eastAsia="tr-TR"/>
              </w:rPr>
            </w:pPr>
            <w:r w:rsidRPr="00F25246">
              <w:rPr>
                <w:b/>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383C6223" w14:textId="77777777" w:rsidR="00F25246" w:rsidRPr="00F25246" w:rsidRDefault="00F25246" w:rsidP="00717AB5">
            <w:pPr>
              <w:ind w:left="-14"/>
              <w:jc w:val="right"/>
              <w:rPr>
                <w:b/>
                <w:sz w:val="14"/>
                <w:szCs w:val="14"/>
                <w:lang w:eastAsia="tr-TR"/>
              </w:rPr>
            </w:pPr>
            <w:r w:rsidRPr="00F25246">
              <w:rPr>
                <w:b/>
                <w:sz w:val="14"/>
                <w:szCs w:val="14"/>
                <w:lang w:eastAsia="tr-TR"/>
              </w:rPr>
              <w:t>8,224,602</w:t>
            </w:r>
          </w:p>
        </w:tc>
        <w:tc>
          <w:tcPr>
            <w:tcW w:w="757" w:type="dxa"/>
            <w:gridSpan w:val="2"/>
            <w:tcBorders>
              <w:top w:val="nil"/>
              <w:left w:val="single" w:sz="4" w:space="0" w:color="auto"/>
              <w:bottom w:val="nil"/>
              <w:right w:val="single" w:sz="4" w:space="0" w:color="auto"/>
            </w:tcBorders>
            <w:shd w:val="clear" w:color="auto" w:fill="auto"/>
            <w:vAlign w:val="bottom"/>
            <w:hideMark/>
          </w:tcPr>
          <w:p w14:paraId="7F8D9960" w14:textId="77777777" w:rsidR="00F25246" w:rsidRPr="00F25246" w:rsidRDefault="00F25246" w:rsidP="00717AB5">
            <w:pPr>
              <w:ind w:left="-14"/>
              <w:jc w:val="right"/>
              <w:rPr>
                <w:b/>
                <w:sz w:val="14"/>
                <w:szCs w:val="14"/>
                <w:lang w:eastAsia="tr-TR"/>
              </w:rPr>
            </w:pPr>
            <w:r w:rsidRPr="00F25246">
              <w:rPr>
                <w:b/>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7641EEB5" w14:textId="77777777" w:rsidR="00F25246" w:rsidRPr="00F25246" w:rsidRDefault="00F25246" w:rsidP="00717AB5">
            <w:pPr>
              <w:ind w:left="-14"/>
              <w:jc w:val="right"/>
              <w:rPr>
                <w:b/>
                <w:sz w:val="14"/>
                <w:szCs w:val="14"/>
                <w:lang w:eastAsia="tr-TR"/>
              </w:rPr>
            </w:pPr>
            <w:r w:rsidRPr="00F25246">
              <w:rPr>
                <w:b/>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5A6F9940" w14:textId="77777777" w:rsidR="00F25246" w:rsidRPr="00F25246" w:rsidRDefault="00F25246" w:rsidP="00717AB5">
            <w:pPr>
              <w:ind w:left="-14"/>
              <w:jc w:val="right"/>
              <w:rPr>
                <w:b/>
                <w:sz w:val="14"/>
                <w:szCs w:val="14"/>
                <w:lang w:eastAsia="tr-TR"/>
              </w:rPr>
            </w:pPr>
            <w:r w:rsidRPr="00F25246">
              <w:rPr>
                <w:b/>
                <w:sz w:val="14"/>
                <w:szCs w:val="14"/>
                <w:lang w:eastAsia="tr-TR"/>
              </w:rPr>
              <w:t>-</w:t>
            </w:r>
          </w:p>
        </w:tc>
      </w:tr>
      <w:tr w:rsidR="00F25246" w:rsidRPr="00F25246" w14:paraId="5FFFB1BA"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580F3E4C"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IV.</w:t>
            </w:r>
          </w:p>
        </w:tc>
        <w:tc>
          <w:tcPr>
            <w:tcW w:w="3278" w:type="dxa"/>
            <w:tcBorders>
              <w:top w:val="nil"/>
              <w:left w:val="single" w:sz="4" w:space="0" w:color="auto"/>
              <w:bottom w:val="nil"/>
              <w:right w:val="single" w:sz="4" w:space="0" w:color="auto"/>
            </w:tcBorders>
            <w:shd w:val="clear" w:color="auto" w:fill="auto"/>
            <w:noWrap/>
            <w:vAlign w:val="center"/>
            <w:hideMark/>
          </w:tcPr>
          <w:p w14:paraId="5BD5C432"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İHRAÇ EDİLEN MENKUL KIYMETLER (Net)</w:t>
            </w:r>
          </w:p>
        </w:tc>
        <w:tc>
          <w:tcPr>
            <w:tcW w:w="654" w:type="dxa"/>
            <w:tcBorders>
              <w:top w:val="nil"/>
              <w:left w:val="single" w:sz="4" w:space="0" w:color="auto"/>
              <w:bottom w:val="nil"/>
              <w:right w:val="single" w:sz="4" w:space="0" w:color="auto"/>
            </w:tcBorders>
            <w:shd w:val="clear" w:color="auto" w:fill="auto"/>
            <w:noWrap/>
            <w:vAlign w:val="center"/>
            <w:hideMark/>
          </w:tcPr>
          <w:p w14:paraId="32D4A328" w14:textId="77777777" w:rsidR="00F25246" w:rsidRPr="00F25246" w:rsidRDefault="00F25246" w:rsidP="00F25246">
            <w:pPr>
              <w:rPr>
                <w:b/>
                <w:bCs/>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22840C13"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ED006E0"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4DA48E46"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3CF2F789"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500F1005"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6CE67411" w14:textId="77777777" w:rsidR="00F25246" w:rsidRPr="00F25246" w:rsidRDefault="00F25246" w:rsidP="00717AB5">
            <w:pPr>
              <w:ind w:left="-14"/>
              <w:jc w:val="right"/>
              <w:rPr>
                <w:sz w:val="14"/>
                <w:szCs w:val="14"/>
                <w:lang w:eastAsia="tr-TR"/>
              </w:rPr>
            </w:pPr>
            <w:r w:rsidRPr="00F25246">
              <w:rPr>
                <w:sz w:val="14"/>
                <w:szCs w:val="14"/>
                <w:lang w:eastAsia="tr-TR"/>
              </w:rPr>
              <w:t>-</w:t>
            </w:r>
          </w:p>
        </w:tc>
      </w:tr>
      <w:tr w:rsidR="00F25246" w:rsidRPr="00F25246" w14:paraId="66FEC435"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6F5208A8"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V.</w:t>
            </w:r>
          </w:p>
        </w:tc>
        <w:tc>
          <w:tcPr>
            <w:tcW w:w="3278" w:type="dxa"/>
            <w:tcBorders>
              <w:top w:val="nil"/>
              <w:left w:val="single" w:sz="4" w:space="0" w:color="auto"/>
              <w:bottom w:val="nil"/>
              <w:right w:val="single" w:sz="4" w:space="0" w:color="auto"/>
            </w:tcBorders>
            <w:shd w:val="clear" w:color="auto" w:fill="auto"/>
            <w:vAlign w:val="center"/>
            <w:hideMark/>
          </w:tcPr>
          <w:p w14:paraId="3922F7F0"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GERÇEĞE UYGUN DEĞER FARKI KAR ZARARA YANSITILAN FİNANSAL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0D8E830A" w14:textId="77777777" w:rsidR="00F25246" w:rsidRPr="00F25246" w:rsidRDefault="00F25246" w:rsidP="00F25246">
            <w:pPr>
              <w:rPr>
                <w:b/>
                <w:bCs/>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2F45C9BC"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359067E"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295AD768"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1D067D23"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1CFB5EB7"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726D5264" w14:textId="77777777" w:rsidR="00F25246" w:rsidRPr="00F25246" w:rsidRDefault="00F25246" w:rsidP="00717AB5">
            <w:pPr>
              <w:ind w:left="-14"/>
              <w:jc w:val="right"/>
              <w:rPr>
                <w:sz w:val="14"/>
                <w:szCs w:val="14"/>
                <w:lang w:eastAsia="tr-TR"/>
              </w:rPr>
            </w:pPr>
            <w:r w:rsidRPr="00F25246">
              <w:rPr>
                <w:sz w:val="14"/>
                <w:szCs w:val="14"/>
                <w:lang w:eastAsia="tr-TR"/>
              </w:rPr>
              <w:t>-</w:t>
            </w:r>
          </w:p>
        </w:tc>
      </w:tr>
      <w:tr w:rsidR="00F25246" w:rsidRPr="00F25246" w14:paraId="43BF9046"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56BA0516"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VI.</w:t>
            </w:r>
          </w:p>
        </w:tc>
        <w:tc>
          <w:tcPr>
            <w:tcW w:w="3278" w:type="dxa"/>
            <w:tcBorders>
              <w:top w:val="nil"/>
              <w:left w:val="single" w:sz="4" w:space="0" w:color="auto"/>
              <w:bottom w:val="nil"/>
              <w:right w:val="single" w:sz="4" w:space="0" w:color="auto"/>
            </w:tcBorders>
            <w:shd w:val="clear" w:color="auto" w:fill="auto"/>
            <w:vAlign w:val="center"/>
            <w:hideMark/>
          </w:tcPr>
          <w:p w14:paraId="3962030C"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TÜREV FİNANSAL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001BA5FA" w14:textId="77777777" w:rsidR="00F25246" w:rsidRPr="00F25246" w:rsidRDefault="00F25246" w:rsidP="00F25246">
            <w:pPr>
              <w:rPr>
                <w:b/>
                <w:bCs/>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3FBB074A" w14:textId="77777777" w:rsidR="00F25246" w:rsidRPr="00F25246" w:rsidRDefault="00F25246" w:rsidP="00717AB5">
            <w:pPr>
              <w:ind w:left="-14"/>
              <w:jc w:val="right"/>
              <w:rPr>
                <w:b/>
                <w:bCs/>
                <w:sz w:val="14"/>
                <w:szCs w:val="14"/>
                <w:lang w:eastAsia="tr-TR"/>
              </w:rPr>
            </w:pPr>
            <w:r w:rsidRPr="00F25246">
              <w:rPr>
                <w:b/>
                <w:bCs/>
                <w:sz w:val="14"/>
                <w:szCs w:val="14"/>
                <w:lang w:eastAsia="tr-TR"/>
              </w:rPr>
              <w:t>50,954</w:t>
            </w:r>
          </w:p>
        </w:tc>
        <w:tc>
          <w:tcPr>
            <w:tcW w:w="851" w:type="dxa"/>
            <w:tcBorders>
              <w:top w:val="nil"/>
              <w:left w:val="single" w:sz="4" w:space="0" w:color="auto"/>
              <w:bottom w:val="nil"/>
              <w:right w:val="single" w:sz="4" w:space="0" w:color="auto"/>
            </w:tcBorders>
            <w:shd w:val="clear" w:color="auto" w:fill="auto"/>
            <w:vAlign w:val="bottom"/>
            <w:hideMark/>
          </w:tcPr>
          <w:p w14:paraId="051386D1" w14:textId="77777777" w:rsidR="00F25246" w:rsidRPr="00F25246" w:rsidRDefault="00F25246" w:rsidP="00717AB5">
            <w:pPr>
              <w:ind w:left="-14"/>
              <w:jc w:val="right"/>
              <w:rPr>
                <w:b/>
                <w:bCs/>
                <w:sz w:val="14"/>
                <w:szCs w:val="14"/>
                <w:lang w:eastAsia="tr-TR"/>
              </w:rPr>
            </w:pPr>
            <w:r w:rsidRPr="00F25246">
              <w:rPr>
                <w:b/>
                <w:bCs/>
                <w:sz w:val="14"/>
                <w:szCs w:val="14"/>
                <w:lang w:eastAsia="tr-TR"/>
              </w:rPr>
              <w:t>331,376</w:t>
            </w:r>
          </w:p>
        </w:tc>
        <w:tc>
          <w:tcPr>
            <w:tcW w:w="970" w:type="dxa"/>
            <w:tcBorders>
              <w:top w:val="nil"/>
              <w:left w:val="single" w:sz="4" w:space="0" w:color="auto"/>
              <w:bottom w:val="nil"/>
              <w:right w:val="single" w:sz="4" w:space="0" w:color="auto"/>
            </w:tcBorders>
            <w:shd w:val="clear" w:color="auto" w:fill="auto"/>
            <w:vAlign w:val="bottom"/>
            <w:hideMark/>
          </w:tcPr>
          <w:p w14:paraId="5927B520" w14:textId="77777777" w:rsidR="00F25246" w:rsidRPr="00F25246" w:rsidRDefault="00F25246" w:rsidP="00717AB5">
            <w:pPr>
              <w:ind w:left="-14"/>
              <w:jc w:val="right"/>
              <w:rPr>
                <w:b/>
                <w:bCs/>
                <w:sz w:val="14"/>
                <w:szCs w:val="14"/>
                <w:lang w:eastAsia="tr-TR"/>
              </w:rPr>
            </w:pPr>
            <w:r w:rsidRPr="00F25246">
              <w:rPr>
                <w:b/>
                <w:bCs/>
                <w:sz w:val="14"/>
                <w:szCs w:val="14"/>
                <w:lang w:eastAsia="tr-TR"/>
              </w:rPr>
              <w:t>382,330</w:t>
            </w:r>
          </w:p>
        </w:tc>
        <w:tc>
          <w:tcPr>
            <w:tcW w:w="757" w:type="dxa"/>
            <w:gridSpan w:val="2"/>
            <w:tcBorders>
              <w:top w:val="nil"/>
              <w:left w:val="single" w:sz="4" w:space="0" w:color="auto"/>
              <w:bottom w:val="nil"/>
              <w:right w:val="single" w:sz="4" w:space="0" w:color="auto"/>
            </w:tcBorders>
            <w:shd w:val="clear" w:color="auto" w:fill="auto"/>
            <w:vAlign w:val="bottom"/>
            <w:hideMark/>
          </w:tcPr>
          <w:p w14:paraId="635C651D" w14:textId="77777777" w:rsidR="00F25246" w:rsidRPr="00F25246" w:rsidRDefault="00F25246" w:rsidP="00717AB5">
            <w:pPr>
              <w:ind w:left="-14"/>
              <w:jc w:val="right"/>
              <w:rPr>
                <w:b/>
                <w:bCs/>
                <w:sz w:val="14"/>
                <w:szCs w:val="14"/>
                <w:lang w:eastAsia="tr-TR"/>
              </w:rPr>
            </w:pPr>
            <w:r w:rsidRPr="00F25246">
              <w:rPr>
                <w:b/>
                <w:bCs/>
                <w:sz w:val="14"/>
                <w:szCs w:val="14"/>
                <w:lang w:eastAsia="tr-TR"/>
              </w:rPr>
              <w:t>129,690</w:t>
            </w:r>
          </w:p>
        </w:tc>
        <w:tc>
          <w:tcPr>
            <w:tcW w:w="758" w:type="dxa"/>
            <w:tcBorders>
              <w:top w:val="nil"/>
              <w:left w:val="single" w:sz="4" w:space="0" w:color="auto"/>
              <w:bottom w:val="nil"/>
              <w:right w:val="single" w:sz="4" w:space="0" w:color="auto"/>
            </w:tcBorders>
            <w:shd w:val="clear" w:color="auto" w:fill="auto"/>
            <w:vAlign w:val="bottom"/>
            <w:hideMark/>
          </w:tcPr>
          <w:p w14:paraId="6A9FF73A" w14:textId="77777777" w:rsidR="00F25246" w:rsidRPr="00F25246" w:rsidRDefault="00F25246" w:rsidP="00717AB5">
            <w:pPr>
              <w:ind w:left="-14"/>
              <w:jc w:val="right"/>
              <w:rPr>
                <w:b/>
                <w:bCs/>
                <w:sz w:val="14"/>
                <w:szCs w:val="14"/>
                <w:lang w:eastAsia="tr-TR"/>
              </w:rPr>
            </w:pPr>
            <w:r w:rsidRPr="00F25246">
              <w:rPr>
                <w:b/>
                <w:bCs/>
                <w:sz w:val="14"/>
                <w:szCs w:val="14"/>
                <w:lang w:eastAsia="tr-TR"/>
              </w:rPr>
              <w:t>294,447</w:t>
            </w:r>
          </w:p>
        </w:tc>
        <w:tc>
          <w:tcPr>
            <w:tcW w:w="910" w:type="dxa"/>
            <w:tcBorders>
              <w:top w:val="nil"/>
              <w:left w:val="single" w:sz="4" w:space="0" w:color="auto"/>
              <w:bottom w:val="nil"/>
              <w:right w:val="single" w:sz="4" w:space="0" w:color="auto"/>
            </w:tcBorders>
            <w:shd w:val="clear" w:color="auto" w:fill="auto"/>
            <w:vAlign w:val="bottom"/>
            <w:hideMark/>
          </w:tcPr>
          <w:p w14:paraId="15DC6947" w14:textId="77777777" w:rsidR="00F25246" w:rsidRPr="00F25246" w:rsidRDefault="00F25246" w:rsidP="00717AB5">
            <w:pPr>
              <w:ind w:left="-14"/>
              <w:jc w:val="right"/>
              <w:rPr>
                <w:b/>
                <w:bCs/>
                <w:sz w:val="14"/>
                <w:szCs w:val="14"/>
                <w:lang w:eastAsia="tr-TR"/>
              </w:rPr>
            </w:pPr>
            <w:r w:rsidRPr="00F25246">
              <w:rPr>
                <w:b/>
                <w:bCs/>
                <w:sz w:val="14"/>
                <w:szCs w:val="14"/>
                <w:lang w:eastAsia="tr-TR"/>
              </w:rPr>
              <w:t>424,137</w:t>
            </w:r>
          </w:p>
        </w:tc>
      </w:tr>
      <w:tr w:rsidR="00F25246" w:rsidRPr="00F25246" w14:paraId="62C036CD"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270EB236" w14:textId="77777777" w:rsidR="00F25246" w:rsidRPr="00F25246" w:rsidRDefault="00F25246" w:rsidP="00F25246">
            <w:pPr>
              <w:rPr>
                <w:color w:val="000000"/>
                <w:sz w:val="14"/>
                <w:szCs w:val="14"/>
                <w:lang w:eastAsia="tr-TR"/>
              </w:rPr>
            </w:pPr>
            <w:r w:rsidRPr="00F25246">
              <w:rPr>
                <w:color w:val="000000"/>
                <w:sz w:val="14"/>
                <w:szCs w:val="14"/>
                <w:lang w:eastAsia="tr-TR"/>
              </w:rPr>
              <w:t>6.1.</w:t>
            </w:r>
          </w:p>
        </w:tc>
        <w:tc>
          <w:tcPr>
            <w:tcW w:w="3278" w:type="dxa"/>
            <w:tcBorders>
              <w:top w:val="nil"/>
              <w:left w:val="single" w:sz="4" w:space="0" w:color="auto"/>
              <w:bottom w:val="nil"/>
              <w:right w:val="single" w:sz="4" w:space="0" w:color="auto"/>
            </w:tcBorders>
            <w:shd w:val="clear" w:color="auto" w:fill="auto"/>
            <w:vAlign w:val="center"/>
            <w:hideMark/>
          </w:tcPr>
          <w:p w14:paraId="79D780DA" w14:textId="77777777" w:rsidR="00F25246" w:rsidRPr="00F25246" w:rsidRDefault="00F25246" w:rsidP="00F25246">
            <w:pPr>
              <w:rPr>
                <w:color w:val="000000"/>
                <w:sz w:val="14"/>
                <w:szCs w:val="14"/>
                <w:lang w:eastAsia="tr-TR"/>
              </w:rPr>
            </w:pPr>
            <w:r w:rsidRPr="00F25246">
              <w:rPr>
                <w:color w:val="000000"/>
                <w:sz w:val="14"/>
                <w:szCs w:val="14"/>
                <w:lang w:eastAsia="tr-TR"/>
              </w:rPr>
              <w:t>Türev Finansal Yükümlülüklerin Gerçeğe Uygun Değer Farkı Kar Zarara Yansıtılan Kısmı</w:t>
            </w:r>
          </w:p>
        </w:tc>
        <w:tc>
          <w:tcPr>
            <w:tcW w:w="654" w:type="dxa"/>
            <w:tcBorders>
              <w:top w:val="nil"/>
              <w:left w:val="single" w:sz="4" w:space="0" w:color="auto"/>
              <w:bottom w:val="nil"/>
              <w:right w:val="single" w:sz="4" w:space="0" w:color="auto"/>
            </w:tcBorders>
            <w:shd w:val="clear" w:color="auto" w:fill="auto"/>
            <w:noWrap/>
            <w:vAlign w:val="center"/>
            <w:hideMark/>
          </w:tcPr>
          <w:p w14:paraId="5B773716" w14:textId="77777777" w:rsidR="00F25246" w:rsidRPr="00F25246" w:rsidRDefault="00F25246" w:rsidP="00F25246">
            <w:pPr>
              <w:rPr>
                <w:color w:val="000000"/>
                <w:sz w:val="14"/>
                <w:szCs w:val="14"/>
                <w:lang w:eastAsia="tr-TR"/>
              </w:rPr>
            </w:pPr>
            <w:r w:rsidRPr="00F25246">
              <w:rPr>
                <w:color w:val="000000"/>
                <w:sz w:val="14"/>
                <w:szCs w:val="14"/>
                <w:lang w:eastAsia="tr-TR"/>
              </w:rPr>
              <w:t>(5.2.2.)</w:t>
            </w:r>
          </w:p>
        </w:tc>
        <w:tc>
          <w:tcPr>
            <w:tcW w:w="783" w:type="dxa"/>
            <w:tcBorders>
              <w:top w:val="nil"/>
              <w:left w:val="single" w:sz="4" w:space="0" w:color="auto"/>
              <w:bottom w:val="nil"/>
              <w:right w:val="single" w:sz="4" w:space="0" w:color="auto"/>
            </w:tcBorders>
            <w:shd w:val="clear" w:color="auto" w:fill="auto"/>
            <w:vAlign w:val="bottom"/>
            <w:hideMark/>
          </w:tcPr>
          <w:p w14:paraId="078925A1" w14:textId="77777777" w:rsidR="00F25246" w:rsidRPr="00F25246" w:rsidRDefault="00F25246" w:rsidP="00717AB5">
            <w:pPr>
              <w:ind w:left="-14"/>
              <w:jc w:val="right"/>
              <w:rPr>
                <w:sz w:val="14"/>
                <w:szCs w:val="14"/>
                <w:lang w:eastAsia="tr-TR"/>
              </w:rPr>
            </w:pPr>
            <w:r w:rsidRPr="00F25246">
              <w:rPr>
                <w:sz w:val="14"/>
                <w:szCs w:val="14"/>
                <w:lang w:eastAsia="tr-TR"/>
              </w:rPr>
              <w:t>50,954</w:t>
            </w:r>
          </w:p>
        </w:tc>
        <w:tc>
          <w:tcPr>
            <w:tcW w:w="851" w:type="dxa"/>
            <w:tcBorders>
              <w:top w:val="nil"/>
              <w:left w:val="single" w:sz="4" w:space="0" w:color="auto"/>
              <w:bottom w:val="nil"/>
              <w:right w:val="single" w:sz="4" w:space="0" w:color="auto"/>
            </w:tcBorders>
            <w:shd w:val="clear" w:color="auto" w:fill="auto"/>
            <w:vAlign w:val="bottom"/>
            <w:hideMark/>
          </w:tcPr>
          <w:p w14:paraId="337554C6" w14:textId="77777777" w:rsidR="00F25246" w:rsidRPr="00F25246" w:rsidRDefault="00F25246" w:rsidP="00717AB5">
            <w:pPr>
              <w:ind w:left="-14"/>
              <w:jc w:val="right"/>
              <w:rPr>
                <w:sz w:val="14"/>
                <w:szCs w:val="14"/>
                <w:lang w:eastAsia="tr-TR"/>
              </w:rPr>
            </w:pPr>
            <w:r w:rsidRPr="00F25246">
              <w:rPr>
                <w:sz w:val="14"/>
                <w:szCs w:val="14"/>
                <w:lang w:eastAsia="tr-TR"/>
              </w:rPr>
              <w:t>331,376</w:t>
            </w:r>
          </w:p>
        </w:tc>
        <w:tc>
          <w:tcPr>
            <w:tcW w:w="970" w:type="dxa"/>
            <w:tcBorders>
              <w:top w:val="nil"/>
              <w:left w:val="single" w:sz="4" w:space="0" w:color="auto"/>
              <w:bottom w:val="nil"/>
              <w:right w:val="single" w:sz="4" w:space="0" w:color="auto"/>
            </w:tcBorders>
            <w:shd w:val="clear" w:color="auto" w:fill="auto"/>
            <w:vAlign w:val="bottom"/>
            <w:hideMark/>
          </w:tcPr>
          <w:p w14:paraId="37420E1E" w14:textId="77777777" w:rsidR="00F25246" w:rsidRPr="00F25246" w:rsidRDefault="00F25246" w:rsidP="00717AB5">
            <w:pPr>
              <w:ind w:left="-14"/>
              <w:jc w:val="right"/>
              <w:rPr>
                <w:sz w:val="14"/>
                <w:szCs w:val="14"/>
                <w:lang w:eastAsia="tr-TR"/>
              </w:rPr>
            </w:pPr>
            <w:r w:rsidRPr="00F25246">
              <w:rPr>
                <w:sz w:val="14"/>
                <w:szCs w:val="14"/>
                <w:lang w:eastAsia="tr-TR"/>
              </w:rPr>
              <w:t>382,330</w:t>
            </w:r>
          </w:p>
        </w:tc>
        <w:tc>
          <w:tcPr>
            <w:tcW w:w="757" w:type="dxa"/>
            <w:gridSpan w:val="2"/>
            <w:tcBorders>
              <w:top w:val="nil"/>
              <w:left w:val="single" w:sz="4" w:space="0" w:color="auto"/>
              <w:bottom w:val="nil"/>
              <w:right w:val="single" w:sz="4" w:space="0" w:color="auto"/>
            </w:tcBorders>
            <w:shd w:val="clear" w:color="auto" w:fill="auto"/>
            <w:vAlign w:val="bottom"/>
            <w:hideMark/>
          </w:tcPr>
          <w:p w14:paraId="7C2454BC" w14:textId="77777777" w:rsidR="00F25246" w:rsidRPr="00F25246" w:rsidRDefault="00F25246" w:rsidP="00717AB5">
            <w:pPr>
              <w:ind w:left="-14"/>
              <w:jc w:val="right"/>
              <w:rPr>
                <w:sz w:val="14"/>
                <w:szCs w:val="14"/>
                <w:lang w:eastAsia="tr-TR"/>
              </w:rPr>
            </w:pPr>
            <w:r w:rsidRPr="00F25246">
              <w:rPr>
                <w:sz w:val="14"/>
                <w:szCs w:val="14"/>
                <w:lang w:eastAsia="tr-TR"/>
              </w:rPr>
              <w:t>129,690</w:t>
            </w:r>
          </w:p>
        </w:tc>
        <w:tc>
          <w:tcPr>
            <w:tcW w:w="758" w:type="dxa"/>
            <w:tcBorders>
              <w:top w:val="nil"/>
              <w:left w:val="single" w:sz="4" w:space="0" w:color="auto"/>
              <w:bottom w:val="nil"/>
              <w:right w:val="single" w:sz="4" w:space="0" w:color="auto"/>
            </w:tcBorders>
            <w:shd w:val="clear" w:color="auto" w:fill="auto"/>
            <w:vAlign w:val="bottom"/>
            <w:hideMark/>
          </w:tcPr>
          <w:p w14:paraId="18D3A736" w14:textId="77777777" w:rsidR="00F25246" w:rsidRPr="00F25246" w:rsidRDefault="00F25246" w:rsidP="00717AB5">
            <w:pPr>
              <w:ind w:left="-14"/>
              <w:jc w:val="right"/>
              <w:rPr>
                <w:sz w:val="14"/>
                <w:szCs w:val="14"/>
                <w:lang w:eastAsia="tr-TR"/>
              </w:rPr>
            </w:pPr>
            <w:r w:rsidRPr="00F25246">
              <w:rPr>
                <w:sz w:val="14"/>
                <w:szCs w:val="14"/>
                <w:lang w:eastAsia="tr-TR"/>
              </w:rPr>
              <w:t>164,719</w:t>
            </w:r>
          </w:p>
        </w:tc>
        <w:tc>
          <w:tcPr>
            <w:tcW w:w="910" w:type="dxa"/>
            <w:tcBorders>
              <w:top w:val="nil"/>
              <w:left w:val="single" w:sz="4" w:space="0" w:color="auto"/>
              <w:bottom w:val="nil"/>
              <w:right w:val="single" w:sz="4" w:space="0" w:color="auto"/>
            </w:tcBorders>
            <w:shd w:val="clear" w:color="auto" w:fill="auto"/>
            <w:vAlign w:val="bottom"/>
            <w:hideMark/>
          </w:tcPr>
          <w:p w14:paraId="0AC28049" w14:textId="77777777" w:rsidR="00F25246" w:rsidRPr="00F25246" w:rsidRDefault="00F25246" w:rsidP="00717AB5">
            <w:pPr>
              <w:ind w:left="-14"/>
              <w:jc w:val="right"/>
              <w:rPr>
                <w:sz w:val="14"/>
                <w:szCs w:val="14"/>
                <w:lang w:eastAsia="tr-TR"/>
              </w:rPr>
            </w:pPr>
            <w:r w:rsidRPr="00F25246">
              <w:rPr>
                <w:sz w:val="14"/>
                <w:szCs w:val="14"/>
                <w:lang w:eastAsia="tr-TR"/>
              </w:rPr>
              <w:t>294,409</w:t>
            </w:r>
          </w:p>
        </w:tc>
      </w:tr>
      <w:tr w:rsidR="00F25246" w:rsidRPr="00F25246" w14:paraId="713FCF62"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03033EDA" w14:textId="77777777" w:rsidR="00F25246" w:rsidRPr="00F25246" w:rsidRDefault="00F25246" w:rsidP="00F25246">
            <w:pPr>
              <w:rPr>
                <w:color w:val="000000"/>
                <w:sz w:val="14"/>
                <w:szCs w:val="14"/>
                <w:lang w:eastAsia="tr-TR"/>
              </w:rPr>
            </w:pPr>
            <w:r w:rsidRPr="00F25246">
              <w:rPr>
                <w:color w:val="000000"/>
                <w:sz w:val="14"/>
                <w:szCs w:val="14"/>
                <w:lang w:eastAsia="tr-TR"/>
              </w:rPr>
              <w:t>6.2.</w:t>
            </w:r>
          </w:p>
        </w:tc>
        <w:tc>
          <w:tcPr>
            <w:tcW w:w="3278" w:type="dxa"/>
            <w:tcBorders>
              <w:top w:val="nil"/>
              <w:left w:val="single" w:sz="4" w:space="0" w:color="auto"/>
              <w:bottom w:val="nil"/>
              <w:right w:val="single" w:sz="4" w:space="0" w:color="auto"/>
            </w:tcBorders>
            <w:shd w:val="clear" w:color="auto" w:fill="auto"/>
            <w:vAlign w:val="center"/>
            <w:hideMark/>
          </w:tcPr>
          <w:p w14:paraId="2E8EE5A6" w14:textId="77777777" w:rsidR="00F25246" w:rsidRPr="00F25246" w:rsidRDefault="00F25246" w:rsidP="00F25246">
            <w:pPr>
              <w:rPr>
                <w:color w:val="000000"/>
                <w:sz w:val="14"/>
                <w:szCs w:val="14"/>
                <w:lang w:eastAsia="tr-TR"/>
              </w:rPr>
            </w:pPr>
            <w:r w:rsidRPr="00F25246">
              <w:rPr>
                <w:color w:val="000000"/>
                <w:sz w:val="14"/>
                <w:szCs w:val="14"/>
                <w:lang w:eastAsia="tr-TR"/>
              </w:rPr>
              <w:t>Türev Finansal Yükümlülüklerin Gerçeğe Uygun Değer Farkı Diğer Kapsamlı Gelire Yansıtılan Kısmı</w:t>
            </w:r>
          </w:p>
        </w:tc>
        <w:tc>
          <w:tcPr>
            <w:tcW w:w="654" w:type="dxa"/>
            <w:tcBorders>
              <w:top w:val="nil"/>
              <w:left w:val="single" w:sz="4" w:space="0" w:color="auto"/>
              <w:bottom w:val="nil"/>
              <w:right w:val="single" w:sz="4" w:space="0" w:color="auto"/>
            </w:tcBorders>
            <w:shd w:val="clear" w:color="auto" w:fill="auto"/>
            <w:noWrap/>
            <w:vAlign w:val="center"/>
            <w:hideMark/>
          </w:tcPr>
          <w:p w14:paraId="3B0CCA7A" w14:textId="77777777" w:rsidR="00F25246" w:rsidRPr="00F25246" w:rsidRDefault="00F25246" w:rsidP="00F25246">
            <w:pPr>
              <w:rPr>
                <w:color w:val="000000"/>
                <w:sz w:val="14"/>
                <w:szCs w:val="14"/>
                <w:lang w:eastAsia="tr-TR"/>
              </w:rPr>
            </w:pPr>
            <w:r w:rsidRPr="00F25246">
              <w:rPr>
                <w:color w:val="000000"/>
                <w:sz w:val="14"/>
                <w:szCs w:val="14"/>
                <w:lang w:eastAsia="tr-TR"/>
              </w:rPr>
              <w:t>(5.2.6.)</w:t>
            </w:r>
          </w:p>
        </w:tc>
        <w:tc>
          <w:tcPr>
            <w:tcW w:w="783" w:type="dxa"/>
            <w:tcBorders>
              <w:top w:val="nil"/>
              <w:left w:val="single" w:sz="4" w:space="0" w:color="auto"/>
              <w:bottom w:val="nil"/>
              <w:right w:val="single" w:sz="4" w:space="0" w:color="auto"/>
            </w:tcBorders>
            <w:shd w:val="clear" w:color="auto" w:fill="auto"/>
            <w:vAlign w:val="bottom"/>
            <w:hideMark/>
          </w:tcPr>
          <w:p w14:paraId="74C08B80"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9B49DE5"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411A1F5A"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22318C46"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61DF2555" w14:textId="77777777" w:rsidR="00F25246" w:rsidRPr="00F25246" w:rsidRDefault="00F25246" w:rsidP="00717AB5">
            <w:pPr>
              <w:ind w:left="-14"/>
              <w:jc w:val="right"/>
              <w:rPr>
                <w:sz w:val="14"/>
                <w:szCs w:val="14"/>
                <w:lang w:eastAsia="tr-TR"/>
              </w:rPr>
            </w:pPr>
            <w:r w:rsidRPr="00F25246">
              <w:rPr>
                <w:sz w:val="14"/>
                <w:szCs w:val="14"/>
                <w:lang w:eastAsia="tr-TR"/>
              </w:rPr>
              <w:t>129,728</w:t>
            </w:r>
          </w:p>
        </w:tc>
        <w:tc>
          <w:tcPr>
            <w:tcW w:w="910" w:type="dxa"/>
            <w:tcBorders>
              <w:top w:val="nil"/>
              <w:left w:val="single" w:sz="4" w:space="0" w:color="auto"/>
              <w:bottom w:val="nil"/>
              <w:right w:val="single" w:sz="4" w:space="0" w:color="auto"/>
            </w:tcBorders>
            <w:shd w:val="clear" w:color="auto" w:fill="auto"/>
            <w:vAlign w:val="bottom"/>
            <w:hideMark/>
          </w:tcPr>
          <w:p w14:paraId="48A807CB" w14:textId="77777777" w:rsidR="00F25246" w:rsidRPr="00F25246" w:rsidRDefault="00F25246" w:rsidP="00717AB5">
            <w:pPr>
              <w:ind w:left="-14"/>
              <w:jc w:val="right"/>
              <w:rPr>
                <w:sz w:val="14"/>
                <w:szCs w:val="14"/>
                <w:lang w:eastAsia="tr-TR"/>
              </w:rPr>
            </w:pPr>
            <w:r w:rsidRPr="00F25246">
              <w:rPr>
                <w:sz w:val="14"/>
                <w:szCs w:val="14"/>
                <w:lang w:eastAsia="tr-TR"/>
              </w:rPr>
              <w:t>129,728</w:t>
            </w:r>
          </w:p>
        </w:tc>
      </w:tr>
      <w:tr w:rsidR="00F25246" w:rsidRPr="00F25246" w14:paraId="36AEC610"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3803DE3C"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VII.</w:t>
            </w:r>
          </w:p>
        </w:tc>
        <w:tc>
          <w:tcPr>
            <w:tcW w:w="3278" w:type="dxa"/>
            <w:tcBorders>
              <w:top w:val="nil"/>
              <w:left w:val="single" w:sz="4" w:space="0" w:color="auto"/>
              <w:bottom w:val="nil"/>
              <w:right w:val="single" w:sz="4" w:space="0" w:color="auto"/>
            </w:tcBorders>
            <w:shd w:val="clear" w:color="auto" w:fill="auto"/>
            <w:vAlign w:val="center"/>
            <w:hideMark/>
          </w:tcPr>
          <w:p w14:paraId="0771728D"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KİRALAMA İŞLEMLERİNDEN YÜKÜMLÜLÜKLER (</w:t>
            </w:r>
            <w:proofErr w:type="gramStart"/>
            <w:r w:rsidRPr="00F25246">
              <w:rPr>
                <w:b/>
                <w:bCs/>
                <w:color w:val="000000"/>
                <w:sz w:val="14"/>
                <w:szCs w:val="14"/>
                <w:lang w:eastAsia="tr-TR"/>
              </w:rPr>
              <w:t xml:space="preserve">Net)   </w:t>
            </w:r>
            <w:proofErr w:type="gramEnd"/>
            <w:r w:rsidRPr="00F25246">
              <w:rPr>
                <w:b/>
                <w:bCs/>
                <w:color w:val="000000"/>
                <w:sz w:val="14"/>
                <w:szCs w:val="14"/>
                <w:lang w:eastAsia="tr-TR"/>
              </w:rPr>
              <w:t xml:space="preserve">                                            </w:t>
            </w:r>
          </w:p>
        </w:tc>
        <w:tc>
          <w:tcPr>
            <w:tcW w:w="654" w:type="dxa"/>
            <w:tcBorders>
              <w:top w:val="nil"/>
              <w:left w:val="single" w:sz="4" w:space="0" w:color="auto"/>
              <w:bottom w:val="nil"/>
              <w:right w:val="single" w:sz="4" w:space="0" w:color="auto"/>
            </w:tcBorders>
            <w:shd w:val="clear" w:color="auto" w:fill="auto"/>
            <w:noWrap/>
            <w:vAlign w:val="center"/>
            <w:hideMark/>
          </w:tcPr>
          <w:p w14:paraId="26443B07"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(5.2.5.)</w:t>
            </w:r>
          </w:p>
        </w:tc>
        <w:tc>
          <w:tcPr>
            <w:tcW w:w="783" w:type="dxa"/>
            <w:tcBorders>
              <w:top w:val="nil"/>
              <w:left w:val="single" w:sz="4" w:space="0" w:color="auto"/>
              <w:bottom w:val="nil"/>
              <w:right w:val="single" w:sz="4" w:space="0" w:color="auto"/>
            </w:tcBorders>
            <w:shd w:val="clear" w:color="auto" w:fill="auto"/>
            <w:vAlign w:val="bottom"/>
            <w:hideMark/>
          </w:tcPr>
          <w:p w14:paraId="2299510A" w14:textId="77777777" w:rsidR="00F25246" w:rsidRPr="00F25246" w:rsidRDefault="00F25246" w:rsidP="00717AB5">
            <w:pPr>
              <w:ind w:left="-14"/>
              <w:jc w:val="right"/>
              <w:rPr>
                <w:b/>
                <w:bCs/>
                <w:sz w:val="14"/>
                <w:szCs w:val="14"/>
                <w:lang w:eastAsia="tr-TR"/>
              </w:rPr>
            </w:pPr>
            <w:r w:rsidRPr="00F25246">
              <w:rPr>
                <w:b/>
                <w:bCs/>
                <w:sz w:val="14"/>
                <w:szCs w:val="14"/>
                <w:lang w:eastAsia="tr-TR"/>
              </w:rPr>
              <w:t>336,397</w:t>
            </w:r>
          </w:p>
        </w:tc>
        <w:tc>
          <w:tcPr>
            <w:tcW w:w="851" w:type="dxa"/>
            <w:tcBorders>
              <w:top w:val="nil"/>
              <w:left w:val="single" w:sz="4" w:space="0" w:color="auto"/>
              <w:bottom w:val="nil"/>
              <w:right w:val="single" w:sz="4" w:space="0" w:color="auto"/>
            </w:tcBorders>
            <w:shd w:val="clear" w:color="auto" w:fill="auto"/>
            <w:vAlign w:val="bottom"/>
            <w:hideMark/>
          </w:tcPr>
          <w:p w14:paraId="6EC6A9C6" w14:textId="77777777" w:rsidR="00F25246" w:rsidRPr="00F25246" w:rsidRDefault="00F25246" w:rsidP="00717AB5">
            <w:pPr>
              <w:ind w:left="-14"/>
              <w:jc w:val="right"/>
              <w:rPr>
                <w:b/>
                <w:bCs/>
                <w:sz w:val="14"/>
                <w:szCs w:val="14"/>
                <w:lang w:eastAsia="tr-TR"/>
              </w:rPr>
            </w:pPr>
            <w:r w:rsidRPr="00F25246">
              <w:rPr>
                <w:b/>
                <w:bCs/>
                <w:sz w:val="14"/>
                <w:szCs w:val="14"/>
                <w:lang w:eastAsia="tr-TR"/>
              </w:rPr>
              <w:t>6,134</w:t>
            </w:r>
          </w:p>
        </w:tc>
        <w:tc>
          <w:tcPr>
            <w:tcW w:w="970" w:type="dxa"/>
            <w:tcBorders>
              <w:top w:val="nil"/>
              <w:left w:val="single" w:sz="4" w:space="0" w:color="auto"/>
              <w:bottom w:val="nil"/>
              <w:right w:val="single" w:sz="4" w:space="0" w:color="auto"/>
            </w:tcBorders>
            <w:shd w:val="clear" w:color="auto" w:fill="auto"/>
            <w:vAlign w:val="bottom"/>
            <w:hideMark/>
          </w:tcPr>
          <w:p w14:paraId="566BF329" w14:textId="77777777" w:rsidR="00F25246" w:rsidRPr="00F25246" w:rsidRDefault="00F25246" w:rsidP="00717AB5">
            <w:pPr>
              <w:ind w:left="-14"/>
              <w:jc w:val="right"/>
              <w:rPr>
                <w:b/>
                <w:bCs/>
                <w:sz w:val="14"/>
                <w:szCs w:val="14"/>
                <w:lang w:eastAsia="tr-TR"/>
              </w:rPr>
            </w:pPr>
            <w:r w:rsidRPr="00F25246">
              <w:rPr>
                <w:b/>
                <w:bCs/>
                <w:sz w:val="14"/>
                <w:szCs w:val="14"/>
                <w:lang w:eastAsia="tr-TR"/>
              </w:rPr>
              <w:t>342,531</w:t>
            </w:r>
          </w:p>
        </w:tc>
        <w:tc>
          <w:tcPr>
            <w:tcW w:w="757" w:type="dxa"/>
            <w:gridSpan w:val="2"/>
            <w:tcBorders>
              <w:top w:val="nil"/>
              <w:left w:val="single" w:sz="4" w:space="0" w:color="auto"/>
              <w:bottom w:val="nil"/>
              <w:right w:val="single" w:sz="4" w:space="0" w:color="auto"/>
            </w:tcBorders>
            <w:shd w:val="clear" w:color="auto" w:fill="auto"/>
            <w:vAlign w:val="bottom"/>
            <w:hideMark/>
          </w:tcPr>
          <w:p w14:paraId="065C4AD5" w14:textId="77777777" w:rsidR="00F25246" w:rsidRPr="00F25246" w:rsidRDefault="00F25246" w:rsidP="00717AB5">
            <w:pPr>
              <w:ind w:left="-14"/>
              <w:jc w:val="right"/>
              <w:rPr>
                <w:b/>
                <w:bCs/>
                <w:sz w:val="14"/>
                <w:szCs w:val="14"/>
                <w:lang w:eastAsia="tr-TR"/>
              </w:rPr>
            </w:pPr>
            <w:r w:rsidRPr="00F25246">
              <w:rPr>
                <w:b/>
                <w:bCs/>
                <w:sz w:val="14"/>
                <w:szCs w:val="14"/>
                <w:lang w:eastAsia="tr-TR"/>
              </w:rPr>
              <w:t>315,732</w:t>
            </w:r>
          </w:p>
        </w:tc>
        <w:tc>
          <w:tcPr>
            <w:tcW w:w="758" w:type="dxa"/>
            <w:tcBorders>
              <w:top w:val="nil"/>
              <w:left w:val="single" w:sz="4" w:space="0" w:color="auto"/>
              <w:bottom w:val="nil"/>
              <w:right w:val="single" w:sz="4" w:space="0" w:color="auto"/>
            </w:tcBorders>
            <w:shd w:val="clear" w:color="auto" w:fill="auto"/>
            <w:vAlign w:val="bottom"/>
            <w:hideMark/>
          </w:tcPr>
          <w:p w14:paraId="1DAF862D" w14:textId="77777777" w:rsidR="00F25246" w:rsidRPr="00F25246" w:rsidRDefault="00F25246" w:rsidP="00717AB5">
            <w:pPr>
              <w:ind w:left="-14"/>
              <w:jc w:val="right"/>
              <w:rPr>
                <w:b/>
                <w:bCs/>
                <w:sz w:val="14"/>
                <w:szCs w:val="14"/>
                <w:lang w:eastAsia="tr-TR"/>
              </w:rPr>
            </w:pPr>
            <w:r w:rsidRPr="00F25246">
              <w:rPr>
                <w:b/>
                <w:bCs/>
                <w:sz w:val="14"/>
                <w:szCs w:val="14"/>
                <w:lang w:eastAsia="tr-TR"/>
              </w:rPr>
              <w:t>10,446</w:t>
            </w:r>
          </w:p>
        </w:tc>
        <w:tc>
          <w:tcPr>
            <w:tcW w:w="910" w:type="dxa"/>
            <w:tcBorders>
              <w:top w:val="nil"/>
              <w:left w:val="single" w:sz="4" w:space="0" w:color="auto"/>
              <w:bottom w:val="nil"/>
              <w:right w:val="single" w:sz="4" w:space="0" w:color="auto"/>
            </w:tcBorders>
            <w:shd w:val="clear" w:color="auto" w:fill="auto"/>
            <w:vAlign w:val="bottom"/>
            <w:hideMark/>
          </w:tcPr>
          <w:p w14:paraId="71BB3A0C" w14:textId="77777777" w:rsidR="00F25246" w:rsidRPr="00F25246" w:rsidRDefault="00F25246" w:rsidP="00717AB5">
            <w:pPr>
              <w:ind w:left="-14"/>
              <w:jc w:val="right"/>
              <w:rPr>
                <w:b/>
                <w:bCs/>
                <w:sz w:val="14"/>
                <w:szCs w:val="14"/>
                <w:lang w:eastAsia="tr-TR"/>
              </w:rPr>
            </w:pPr>
            <w:r w:rsidRPr="00F25246">
              <w:rPr>
                <w:b/>
                <w:bCs/>
                <w:sz w:val="14"/>
                <w:szCs w:val="14"/>
                <w:lang w:eastAsia="tr-TR"/>
              </w:rPr>
              <w:t>326,178</w:t>
            </w:r>
          </w:p>
        </w:tc>
      </w:tr>
      <w:tr w:rsidR="00F25246" w:rsidRPr="00F25246" w14:paraId="4A8892E4"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69F11646"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VIII.</w:t>
            </w:r>
          </w:p>
        </w:tc>
        <w:tc>
          <w:tcPr>
            <w:tcW w:w="3278" w:type="dxa"/>
            <w:tcBorders>
              <w:top w:val="nil"/>
              <w:left w:val="single" w:sz="4" w:space="0" w:color="auto"/>
              <w:bottom w:val="nil"/>
              <w:right w:val="single" w:sz="4" w:space="0" w:color="auto"/>
            </w:tcBorders>
            <w:shd w:val="clear" w:color="auto" w:fill="auto"/>
            <w:vAlign w:val="center"/>
            <w:hideMark/>
          </w:tcPr>
          <w:p w14:paraId="60F059B0"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KARŞILIKLAR</w:t>
            </w:r>
          </w:p>
        </w:tc>
        <w:tc>
          <w:tcPr>
            <w:tcW w:w="654" w:type="dxa"/>
            <w:tcBorders>
              <w:top w:val="nil"/>
              <w:left w:val="single" w:sz="4" w:space="0" w:color="auto"/>
              <w:bottom w:val="nil"/>
              <w:right w:val="single" w:sz="4" w:space="0" w:color="auto"/>
            </w:tcBorders>
            <w:shd w:val="clear" w:color="auto" w:fill="auto"/>
            <w:noWrap/>
            <w:vAlign w:val="center"/>
            <w:hideMark/>
          </w:tcPr>
          <w:p w14:paraId="7FADA21B"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(5.2.7.)</w:t>
            </w:r>
          </w:p>
        </w:tc>
        <w:tc>
          <w:tcPr>
            <w:tcW w:w="783" w:type="dxa"/>
            <w:tcBorders>
              <w:top w:val="nil"/>
              <w:left w:val="single" w:sz="4" w:space="0" w:color="auto"/>
              <w:bottom w:val="nil"/>
              <w:right w:val="single" w:sz="4" w:space="0" w:color="auto"/>
            </w:tcBorders>
            <w:shd w:val="clear" w:color="auto" w:fill="auto"/>
            <w:vAlign w:val="bottom"/>
            <w:hideMark/>
          </w:tcPr>
          <w:p w14:paraId="4330D899" w14:textId="77777777" w:rsidR="00F25246" w:rsidRPr="00F25246" w:rsidRDefault="00F25246" w:rsidP="00717AB5">
            <w:pPr>
              <w:ind w:left="-14"/>
              <w:jc w:val="right"/>
              <w:rPr>
                <w:b/>
                <w:bCs/>
                <w:sz w:val="14"/>
                <w:szCs w:val="14"/>
                <w:lang w:eastAsia="tr-TR"/>
              </w:rPr>
            </w:pPr>
            <w:r w:rsidRPr="00F25246">
              <w:rPr>
                <w:b/>
                <w:bCs/>
                <w:sz w:val="14"/>
                <w:szCs w:val="14"/>
                <w:lang w:eastAsia="tr-TR"/>
              </w:rPr>
              <w:t>1,005,728</w:t>
            </w:r>
          </w:p>
        </w:tc>
        <w:tc>
          <w:tcPr>
            <w:tcW w:w="851" w:type="dxa"/>
            <w:tcBorders>
              <w:top w:val="nil"/>
              <w:left w:val="single" w:sz="4" w:space="0" w:color="auto"/>
              <w:bottom w:val="nil"/>
              <w:right w:val="single" w:sz="4" w:space="0" w:color="auto"/>
            </w:tcBorders>
            <w:shd w:val="clear" w:color="auto" w:fill="auto"/>
            <w:vAlign w:val="bottom"/>
            <w:hideMark/>
          </w:tcPr>
          <w:p w14:paraId="43F249E9" w14:textId="77777777" w:rsidR="00F25246" w:rsidRPr="00F25246" w:rsidRDefault="00F25246" w:rsidP="00717AB5">
            <w:pPr>
              <w:ind w:left="-14"/>
              <w:jc w:val="right"/>
              <w:rPr>
                <w:b/>
                <w:bCs/>
                <w:sz w:val="14"/>
                <w:szCs w:val="14"/>
                <w:lang w:eastAsia="tr-TR"/>
              </w:rPr>
            </w:pPr>
            <w:r w:rsidRPr="00F25246">
              <w:rPr>
                <w:b/>
                <w:bCs/>
                <w:sz w:val="14"/>
                <w:szCs w:val="14"/>
                <w:lang w:eastAsia="tr-TR"/>
              </w:rPr>
              <w:t>413,284</w:t>
            </w:r>
          </w:p>
        </w:tc>
        <w:tc>
          <w:tcPr>
            <w:tcW w:w="970" w:type="dxa"/>
            <w:tcBorders>
              <w:top w:val="nil"/>
              <w:left w:val="single" w:sz="4" w:space="0" w:color="auto"/>
              <w:bottom w:val="nil"/>
              <w:right w:val="single" w:sz="4" w:space="0" w:color="auto"/>
            </w:tcBorders>
            <w:shd w:val="clear" w:color="auto" w:fill="auto"/>
            <w:vAlign w:val="bottom"/>
            <w:hideMark/>
          </w:tcPr>
          <w:p w14:paraId="410A51CD" w14:textId="77777777" w:rsidR="00F25246" w:rsidRPr="00F25246" w:rsidRDefault="00F25246" w:rsidP="00717AB5">
            <w:pPr>
              <w:ind w:left="-14"/>
              <w:jc w:val="right"/>
              <w:rPr>
                <w:b/>
                <w:bCs/>
                <w:sz w:val="14"/>
                <w:szCs w:val="14"/>
                <w:lang w:eastAsia="tr-TR"/>
              </w:rPr>
            </w:pPr>
            <w:r w:rsidRPr="00F25246">
              <w:rPr>
                <w:b/>
                <w:bCs/>
                <w:sz w:val="14"/>
                <w:szCs w:val="14"/>
                <w:lang w:eastAsia="tr-TR"/>
              </w:rPr>
              <w:t>1,419,012</w:t>
            </w:r>
          </w:p>
        </w:tc>
        <w:tc>
          <w:tcPr>
            <w:tcW w:w="757" w:type="dxa"/>
            <w:gridSpan w:val="2"/>
            <w:tcBorders>
              <w:top w:val="nil"/>
              <w:left w:val="single" w:sz="4" w:space="0" w:color="auto"/>
              <w:bottom w:val="nil"/>
              <w:right w:val="single" w:sz="4" w:space="0" w:color="auto"/>
            </w:tcBorders>
            <w:shd w:val="clear" w:color="auto" w:fill="auto"/>
            <w:vAlign w:val="bottom"/>
            <w:hideMark/>
          </w:tcPr>
          <w:p w14:paraId="43F0FD5D" w14:textId="77777777" w:rsidR="00F25246" w:rsidRPr="00F25246" w:rsidRDefault="00F25246" w:rsidP="00717AB5">
            <w:pPr>
              <w:ind w:left="-14"/>
              <w:jc w:val="right"/>
              <w:rPr>
                <w:b/>
                <w:bCs/>
                <w:sz w:val="14"/>
                <w:szCs w:val="14"/>
                <w:lang w:eastAsia="tr-TR"/>
              </w:rPr>
            </w:pPr>
            <w:r w:rsidRPr="00F25246">
              <w:rPr>
                <w:b/>
                <w:bCs/>
                <w:sz w:val="14"/>
                <w:szCs w:val="14"/>
                <w:lang w:eastAsia="tr-TR"/>
              </w:rPr>
              <w:t>850,649</w:t>
            </w:r>
          </w:p>
        </w:tc>
        <w:tc>
          <w:tcPr>
            <w:tcW w:w="758" w:type="dxa"/>
            <w:tcBorders>
              <w:top w:val="nil"/>
              <w:left w:val="single" w:sz="4" w:space="0" w:color="auto"/>
              <w:bottom w:val="nil"/>
              <w:right w:val="single" w:sz="4" w:space="0" w:color="auto"/>
            </w:tcBorders>
            <w:shd w:val="clear" w:color="auto" w:fill="auto"/>
            <w:vAlign w:val="bottom"/>
            <w:hideMark/>
          </w:tcPr>
          <w:p w14:paraId="0F34B51A" w14:textId="77777777" w:rsidR="00F25246" w:rsidRPr="00F25246" w:rsidRDefault="00F25246" w:rsidP="00717AB5">
            <w:pPr>
              <w:ind w:left="-14"/>
              <w:jc w:val="right"/>
              <w:rPr>
                <w:b/>
                <w:bCs/>
                <w:sz w:val="14"/>
                <w:szCs w:val="14"/>
                <w:lang w:eastAsia="tr-TR"/>
              </w:rPr>
            </w:pPr>
            <w:r w:rsidRPr="00F25246">
              <w:rPr>
                <w:b/>
                <w:bCs/>
                <w:sz w:val="14"/>
                <w:szCs w:val="14"/>
                <w:lang w:eastAsia="tr-TR"/>
              </w:rPr>
              <w:t>240,346</w:t>
            </w:r>
          </w:p>
        </w:tc>
        <w:tc>
          <w:tcPr>
            <w:tcW w:w="910" w:type="dxa"/>
            <w:tcBorders>
              <w:top w:val="nil"/>
              <w:left w:val="single" w:sz="4" w:space="0" w:color="auto"/>
              <w:bottom w:val="nil"/>
              <w:right w:val="single" w:sz="4" w:space="0" w:color="auto"/>
            </w:tcBorders>
            <w:shd w:val="clear" w:color="auto" w:fill="auto"/>
            <w:vAlign w:val="bottom"/>
            <w:hideMark/>
          </w:tcPr>
          <w:p w14:paraId="74145187" w14:textId="77777777" w:rsidR="00F25246" w:rsidRPr="00F25246" w:rsidRDefault="00F25246" w:rsidP="00717AB5">
            <w:pPr>
              <w:ind w:left="-14"/>
              <w:jc w:val="right"/>
              <w:rPr>
                <w:b/>
                <w:bCs/>
                <w:sz w:val="14"/>
                <w:szCs w:val="14"/>
                <w:lang w:eastAsia="tr-TR"/>
              </w:rPr>
            </w:pPr>
            <w:r w:rsidRPr="00F25246">
              <w:rPr>
                <w:b/>
                <w:bCs/>
                <w:sz w:val="14"/>
                <w:szCs w:val="14"/>
                <w:lang w:eastAsia="tr-TR"/>
              </w:rPr>
              <w:t>1,090,995</w:t>
            </w:r>
          </w:p>
        </w:tc>
      </w:tr>
      <w:tr w:rsidR="00F25246" w:rsidRPr="00F25246" w14:paraId="4E78F5B9"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74780F90" w14:textId="77777777" w:rsidR="00F25246" w:rsidRPr="00F25246" w:rsidRDefault="00F25246" w:rsidP="00F25246">
            <w:pPr>
              <w:rPr>
                <w:color w:val="000000"/>
                <w:sz w:val="14"/>
                <w:szCs w:val="14"/>
                <w:lang w:eastAsia="tr-TR"/>
              </w:rPr>
            </w:pPr>
            <w:r w:rsidRPr="00F25246">
              <w:rPr>
                <w:color w:val="000000"/>
                <w:sz w:val="14"/>
                <w:szCs w:val="14"/>
                <w:lang w:eastAsia="tr-TR"/>
              </w:rPr>
              <w:t>8.1.</w:t>
            </w:r>
          </w:p>
        </w:tc>
        <w:tc>
          <w:tcPr>
            <w:tcW w:w="3278" w:type="dxa"/>
            <w:tcBorders>
              <w:top w:val="nil"/>
              <w:left w:val="single" w:sz="4" w:space="0" w:color="auto"/>
              <w:bottom w:val="nil"/>
              <w:right w:val="single" w:sz="4" w:space="0" w:color="auto"/>
            </w:tcBorders>
            <w:shd w:val="clear" w:color="auto" w:fill="auto"/>
            <w:noWrap/>
            <w:vAlign w:val="center"/>
            <w:hideMark/>
          </w:tcPr>
          <w:p w14:paraId="3CFA063E" w14:textId="77777777" w:rsidR="00F25246" w:rsidRPr="00F25246" w:rsidRDefault="00F25246" w:rsidP="00F25246">
            <w:pPr>
              <w:rPr>
                <w:color w:val="000000"/>
                <w:sz w:val="14"/>
                <w:szCs w:val="14"/>
                <w:lang w:eastAsia="tr-TR"/>
              </w:rPr>
            </w:pPr>
            <w:r w:rsidRPr="00F25246">
              <w:rPr>
                <w:color w:val="000000"/>
                <w:sz w:val="14"/>
                <w:szCs w:val="14"/>
                <w:lang w:eastAsia="tr-TR"/>
              </w:rPr>
              <w:t>Yeniden Yapılanma Karşılığı</w:t>
            </w:r>
          </w:p>
        </w:tc>
        <w:tc>
          <w:tcPr>
            <w:tcW w:w="654" w:type="dxa"/>
            <w:tcBorders>
              <w:top w:val="nil"/>
              <w:left w:val="single" w:sz="4" w:space="0" w:color="auto"/>
              <w:bottom w:val="nil"/>
              <w:right w:val="single" w:sz="4" w:space="0" w:color="auto"/>
            </w:tcBorders>
            <w:shd w:val="clear" w:color="auto" w:fill="auto"/>
            <w:noWrap/>
            <w:vAlign w:val="center"/>
            <w:hideMark/>
          </w:tcPr>
          <w:p w14:paraId="5ECE46F9"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2A859F1E"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3360183"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29E4E099"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4C891789"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4258C753"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62E38BD9"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r>
      <w:tr w:rsidR="00F25246" w:rsidRPr="00F25246" w14:paraId="0023155C"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117797A5" w14:textId="77777777" w:rsidR="00F25246" w:rsidRPr="00F25246" w:rsidRDefault="00F25246" w:rsidP="00F25246">
            <w:pPr>
              <w:rPr>
                <w:color w:val="000000"/>
                <w:sz w:val="14"/>
                <w:szCs w:val="14"/>
                <w:lang w:eastAsia="tr-TR"/>
              </w:rPr>
            </w:pPr>
            <w:r w:rsidRPr="00F25246">
              <w:rPr>
                <w:color w:val="000000"/>
                <w:sz w:val="14"/>
                <w:szCs w:val="14"/>
                <w:lang w:eastAsia="tr-TR"/>
              </w:rPr>
              <w:t>8.2.</w:t>
            </w:r>
          </w:p>
        </w:tc>
        <w:tc>
          <w:tcPr>
            <w:tcW w:w="3278" w:type="dxa"/>
            <w:tcBorders>
              <w:top w:val="nil"/>
              <w:left w:val="single" w:sz="4" w:space="0" w:color="auto"/>
              <w:bottom w:val="nil"/>
              <w:right w:val="single" w:sz="4" w:space="0" w:color="auto"/>
            </w:tcBorders>
            <w:shd w:val="clear" w:color="auto" w:fill="auto"/>
            <w:noWrap/>
            <w:vAlign w:val="center"/>
            <w:hideMark/>
          </w:tcPr>
          <w:p w14:paraId="34015BD3" w14:textId="77777777" w:rsidR="00F25246" w:rsidRPr="00F25246" w:rsidRDefault="00F25246" w:rsidP="00F25246">
            <w:pPr>
              <w:rPr>
                <w:color w:val="000000"/>
                <w:sz w:val="14"/>
                <w:szCs w:val="14"/>
                <w:lang w:eastAsia="tr-TR"/>
              </w:rPr>
            </w:pPr>
            <w:r w:rsidRPr="00F25246">
              <w:rPr>
                <w:color w:val="000000"/>
                <w:sz w:val="14"/>
                <w:szCs w:val="14"/>
                <w:lang w:eastAsia="tr-TR"/>
              </w:rPr>
              <w:t>Çalışan Hakları Karşılığı</w:t>
            </w:r>
          </w:p>
        </w:tc>
        <w:tc>
          <w:tcPr>
            <w:tcW w:w="654" w:type="dxa"/>
            <w:tcBorders>
              <w:top w:val="nil"/>
              <w:left w:val="single" w:sz="4" w:space="0" w:color="auto"/>
              <w:bottom w:val="nil"/>
              <w:right w:val="single" w:sz="4" w:space="0" w:color="auto"/>
            </w:tcBorders>
            <w:shd w:val="clear" w:color="auto" w:fill="auto"/>
            <w:noWrap/>
            <w:vAlign w:val="center"/>
            <w:hideMark/>
          </w:tcPr>
          <w:p w14:paraId="332C810C"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4D5F8991" w14:textId="77777777" w:rsidR="00F25246" w:rsidRPr="00F25246" w:rsidRDefault="00F25246" w:rsidP="00717AB5">
            <w:pPr>
              <w:ind w:left="-14"/>
              <w:jc w:val="right"/>
              <w:rPr>
                <w:sz w:val="14"/>
                <w:szCs w:val="14"/>
                <w:lang w:eastAsia="tr-TR"/>
              </w:rPr>
            </w:pPr>
            <w:r w:rsidRPr="00F25246">
              <w:rPr>
                <w:sz w:val="14"/>
                <w:szCs w:val="14"/>
                <w:lang w:eastAsia="tr-TR"/>
              </w:rPr>
              <w:t>305,227</w:t>
            </w:r>
          </w:p>
        </w:tc>
        <w:tc>
          <w:tcPr>
            <w:tcW w:w="851" w:type="dxa"/>
            <w:tcBorders>
              <w:top w:val="nil"/>
              <w:left w:val="single" w:sz="4" w:space="0" w:color="auto"/>
              <w:bottom w:val="nil"/>
              <w:right w:val="single" w:sz="4" w:space="0" w:color="auto"/>
            </w:tcBorders>
            <w:shd w:val="clear" w:color="auto" w:fill="auto"/>
            <w:vAlign w:val="bottom"/>
            <w:hideMark/>
          </w:tcPr>
          <w:p w14:paraId="652D6234" w14:textId="77777777" w:rsidR="00F25246" w:rsidRPr="00F25246" w:rsidRDefault="00F25246" w:rsidP="00717AB5">
            <w:pPr>
              <w:ind w:left="-14"/>
              <w:jc w:val="right"/>
              <w:rPr>
                <w:sz w:val="14"/>
                <w:szCs w:val="14"/>
                <w:lang w:eastAsia="tr-TR"/>
              </w:rPr>
            </w:pPr>
            <w:r w:rsidRPr="00F25246">
              <w:rPr>
                <w:sz w:val="14"/>
                <w:szCs w:val="14"/>
                <w:lang w:eastAsia="tr-TR"/>
              </w:rPr>
              <w:t>692</w:t>
            </w:r>
          </w:p>
        </w:tc>
        <w:tc>
          <w:tcPr>
            <w:tcW w:w="970" w:type="dxa"/>
            <w:tcBorders>
              <w:top w:val="nil"/>
              <w:left w:val="single" w:sz="4" w:space="0" w:color="auto"/>
              <w:bottom w:val="nil"/>
              <w:right w:val="single" w:sz="4" w:space="0" w:color="auto"/>
            </w:tcBorders>
            <w:shd w:val="clear" w:color="auto" w:fill="auto"/>
            <w:vAlign w:val="bottom"/>
            <w:hideMark/>
          </w:tcPr>
          <w:p w14:paraId="191D5FA0" w14:textId="77777777" w:rsidR="00F25246" w:rsidRPr="00F25246" w:rsidRDefault="00F25246" w:rsidP="00717AB5">
            <w:pPr>
              <w:ind w:left="-14"/>
              <w:jc w:val="right"/>
              <w:rPr>
                <w:sz w:val="14"/>
                <w:szCs w:val="14"/>
                <w:lang w:eastAsia="tr-TR"/>
              </w:rPr>
            </w:pPr>
            <w:r w:rsidRPr="00F25246">
              <w:rPr>
                <w:sz w:val="14"/>
                <w:szCs w:val="14"/>
                <w:lang w:eastAsia="tr-TR"/>
              </w:rPr>
              <w:t>305,919</w:t>
            </w:r>
          </w:p>
        </w:tc>
        <w:tc>
          <w:tcPr>
            <w:tcW w:w="757" w:type="dxa"/>
            <w:gridSpan w:val="2"/>
            <w:tcBorders>
              <w:top w:val="nil"/>
              <w:left w:val="single" w:sz="4" w:space="0" w:color="auto"/>
              <w:bottom w:val="nil"/>
              <w:right w:val="single" w:sz="4" w:space="0" w:color="auto"/>
            </w:tcBorders>
            <w:shd w:val="clear" w:color="auto" w:fill="auto"/>
            <w:vAlign w:val="bottom"/>
            <w:hideMark/>
          </w:tcPr>
          <w:p w14:paraId="16EA44D6" w14:textId="77777777" w:rsidR="00F25246" w:rsidRPr="00F25246" w:rsidRDefault="00F25246" w:rsidP="00717AB5">
            <w:pPr>
              <w:ind w:left="-14"/>
              <w:jc w:val="right"/>
              <w:rPr>
                <w:sz w:val="14"/>
                <w:szCs w:val="14"/>
                <w:lang w:eastAsia="tr-TR"/>
              </w:rPr>
            </w:pPr>
            <w:r w:rsidRPr="00F25246">
              <w:rPr>
                <w:sz w:val="14"/>
                <w:szCs w:val="14"/>
                <w:lang w:eastAsia="tr-TR"/>
              </w:rPr>
              <w:t>301,593</w:t>
            </w:r>
          </w:p>
        </w:tc>
        <w:tc>
          <w:tcPr>
            <w:tcW w:w="758" w:type="dxa"/>
            <w:tcBorders>
              <w:top w:val="nil"/>
              <w:left w:val="single" w:sz="4" w:space="0" w:color="auto"/>
              <w:bottom w:val="nil"/>
              <w:right w:val="single" w:sz="4" w:space="0" w:color="auto"/>
            </w:tcBorders>
            <w:shd w:val="clear" w:color="auto" w:fill="auto"/>
            <w:vAlign w:val="bottom"/>
            <w:hideMark/>
          </w:tcPr>
          <w:p w14:paraId="345F72B3" w14:textId="77777777" w:rsidR="00F25246" w:rsidRPr="00F25246" w:rsidRDefault="00F25246" w:rsidP="00717AB5">
            <w:pPr>
              <w:ind w:left="-14"/>
              <w:jc w:val="right"/>
              <w:rPr>
                <w:sz w:val="14"/>
                <w:szCs w:val="14"/>
                <w:lang w:eastAsia="tr-TR"/>
              </w:rPr>
            </w:pPr>
            <w:r w:rsidRPr="00F25246">
              <w:rPr>
                <w:sz w:val="14"/>
                <w:szCs w:val="14"/>
                <w:lang w:eastAsia="tr-TR"/>
              </w:rPr>
              <w:t>446</w:t>
            </w:r>
          </w:p>
        </w:tc>
        <w:tc>
          <w:tcPr>
            <w:tcW w:w="910" w:type="dxa"/>
            <w:tcBorders>
              <w:top w:val="nil"/>
              <w:left w:val="single" w:sz="4" w:space="0" w:color="auto"/>
              <w:bottom w:val="nil"/>
              <w:right w:val="single" w:sz="4" w:space="0" w:color="auto"/>
            </w:tcBorders>
            <w:shd w:val="clear" w:color="auto" w:fill="auto"/>
            <w:vAlign w:val="bottom"/>
            <w:hideMark/>
          </w:tcPr>
          <w:p w14:paraId="4CC01644" w14:textId="77777777" w:rsidR="00F25246" w:rsidRPr="00F25246" w:rsidRDefault="00F25246" w:rsidP="00717AB5">
            <w:pPr>
              <w:ind w:left="-14"/>
              <w:jc w:val="right"/>
              <w:rPr>
                <w:sz w:val="14"/>
                <w:szCs w:val="14"/>
                <w:lang w:eastAsia="tr-TR"/>
              </w:rPr>
            </w:pPr>
            <w:r w:rsidRPr="00F25246">
              <w:rPr>
                <w:sz w:val="14"/>
                <w:szCs w:val="14"/>
                <w:lang w:eastAsia="tr-TR"/>
              </w:rPr>
              <w:t>302,039</w:t>
            </w:r>
          </w:p>
        </w:tc>
      </w:tr>
      <w:tr w:rsidR="00F25246" w:rsidRPr="00F25246" w14:paraId="27806806"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5CF7180D" w14:textId="77777777" w:rsidR="00F25246" w:rsidRPr="00F25246" w:rsidRDefault="00F25246" w:rsidP="00F25246">
            <w:pPr>
              <w:rPr>
                <w:color w:val="000000"/>
                <w:sz w:val="14"/>
                <w:szCs w:val="14"/>
                <w:lang w:eastAsia="tr-TR"/>
              </w:rPr>
            </w:pPr>
            <w:r w:rsidRPr="00F25246">
              <w:rPr>
                <w:color w:val="000000"/>
                <w:sz w:val="14"/>
                <w:szCs w:val="14"/>
                <w:lang w:eastAsia="tr-TR"/>
              </w:rPr>
              <w:t>8.3.</w:t>
            </w:r>
          </w:p>
        </w:tc>
        <w:tc>
          <w:tcPr>
            <w:tcW w:w="3278" w:type="dxa"/>
            <w:tcBorders>
              <w:top w:val="nil"/>
              <w:left w:val="single" w:sz="4" w:space="0" w:color="auto"/>
              <w:bottom w:val="nil"/>
              <w:right w:val="single" w:sz="4" w:space="0" w:color="auto"/>
            </w:tcBorders>
            <w:shd w:val="clear" w:color="auto" w:fill="auto"/>
            <w:noWrap/>
            <w:vAlign w:val="center"/>
            <w:hideMark/>
          </w:tcPr>
          <w:p w14:paraId="0E629C52" w14:textId="77777777" w:rsidR="00F25246" w:rsidRPr="00F25246" w:rsidRDefault="00F25246" w:rsidP="00F25246">
            <w:pPr>
              <w:rPr>
                <w:color w:val="000000"/>
                <w:sz w:val="14"/>
                <w:szCs w:val="14"/>
                <w:lang w:eastAsia="tr-TR"/>
              </w:rPr>
            </w:pPr>
            <w:r w:rsidRPr="00F25246">
              <w:rPr>
                <w:color w:val="000000"/>
                <w:sz w:val="14"/>
                <w:szCs w:val="14"/>
                <w:lang w:eastAsia="tr-TR"/>
              </w:rPr>
              <w:t>Sigorta Teknik Karşılıkları (Net)</w:t>
            </w:r>
          </w:p>
        </w:tc>
        <w:tc>
          <w:tcPr>
            <w:tcW w:w="654" w:type="dxa"/>
            <w:tcBorders>
              <w:top w:val="nil"/>
              <w:left w:val="single" w:sz="4" w:space="0" w:color="auto"/>
              <w:bottom w:val="nil"/>
              <w:right w:val="single" w:sz="4" w:space="0" w:color="auto"/>
            </w:tcBorders>
            <w:shd w:val="clear" w:color="auto" w:fill="auto"/>
            <w:noWrap/>
            <w:vAlign w:val="center"/>
            <w:hideMark/>
          </w:tcPr>
          <w:p w14:paraId="78139F5F"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23D5F873"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2A90DD8"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0A850EE8"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2D99A24A"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79F3B9B6"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16286A3D" w14:textId="77777777" w:rsidR="00F25246" w:rsidRPr="00F25246" w:rsidRDefault="00F25246" w:rsidP="00717AB5">
            <w:pPr>
              <w:ind w:left="-14"/>
              <w:jc w:val="right"/>
              <w:rPr>
                <w:sz w:val="14"/>
                <w:szCs w:val="14"/>
                <w:lang w:eastAsia="tr-TR"/>
              </w:rPr>
            </w:pPr>
            <w:r w:rsidRPr="00F25246">
              <w:rPr>
                <w:sz w:val="14"/>
                <w:szCs w:val="14"/>
                <w:lang w:eastAsia="tr-TR"/>
              </w:rPr>
              <w:t>-</w:t>
            </w:r>
          </w:p>
        </w:tc>
      </w:tr>
      <w:tr w:rsidR="00F25246" w:rsidRPr="00F25246" w14:paraId="09AB68BF"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04237B0F" w14:textId="77777777" w:rsidR="00F25246" w:rsidRPr="00F25246" w:rsidRDefault="00F25246" w:rsidP="00F25246">
            <w:pPr>
              <w:rPr>
                <w:color w:val="000000"/>
                <w:sz w:val="14"/>
                <w:szCs w:val="14"/>
                <w:lang w:eastAsia="tr-TR"/>
              </w:rPr>
            </w:pPr>
            <w:r w:rsidRPr="00F25246">
              <w:rPr>
                <w:color w:val="000000"/>
                <w:sz w:val="14"/>
                <w:szCs w:val="14"/>
                <w:lang w:eastAsia="tr-TR"/>
              </w:rPr>
              <w:t>8.4.</w:t>
            </w:r>
          </w:p>
        </w:tc>
        <w:tc>
          <w:tcPr>
            <w:tcW w:w="3278" w:type="dxa"/>
            <w:tcBorders>
              <w:top w:val="nil"/>
              <w:left w:val="single" w:sz="4" w:space="0" w:color="auto"/>
              <w:bottom w:val="nil"/>
              <w:right w:val="single" w:sz="4" w:space="0" w:color="auto"/>
            </w:tcBorders>
            <w:shd w:val="clear" w:color="auto" w:fill="auto"/>
            <w:noWrap/>
            <w:vAlign w:val="center"/>
            <w:hideMark/>
          </w:tcPr>
          <w:p w14:paraId="6034AFDC" w14:textId="77777777" w:rsidR="00F25246" w:rsidRPr="00F25246" w:rsidRDefault="00F25246" w:rsidP="00F25246">
            <w:pPr>
              <w:rPr>
                <w:color w:val="000000"/>
                <w:sz w:val="14"/>
                <w:szCs w:val="14"/>
                <w:lang w:eastAsia="tr-TR"/>
              </w:rPr>
            </w:pPr>
            <w:r w:rsidRPr="00F25246">
              <w:rPr>
                <w:color w:val="000000"/>
                <w:sz w:val="14"/>
                <w:szCs w:val="14"/>
                <w:lang w:eastAsia="tr-TR"/>
              </w:rPr>
              <w:t>Diğer Karşılıklar</w:t>
            </w:r>
          </w:p>
        </w:tc>
        <w:tc>
          <w:tcPr>
            <w:tcW w:w="654" w:type="dxa"/>
            <w:tcBorders>
              <w:top w:val="nil"/>
              <w:left w:val="single" w:sz="4" w:space="0" w:color="auto"/>
              <w:bottom w:val="nil"/>
              <w:right w:val="single" w:sz="4" w:space="0" w:color="auto"/>
            </w:tcBorders>
            <w:shd w:val="clear" w:color="auto" w:fill="auto"/>
            <w:noWrap/>
            <w:vAlign w:val="center"/>
            <w:hideMark/>
          </w:tcPr>
          <w:p w14:paraId="604B7AB7"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4AAF989E" w14:textId="77777777" w:rsidR="00F25246" w:rsidRPr="00F25246" w:rsidRDefault="00F25246" w:rsidP="00717AB5">
            <w:pPr>
              <w:ind w:left="-14"/>
              <w:jc w:val="right"/>
              <w:rPr>
                <w:sz w:val="14"/>
                <w:szCs w:val="14"/>
                <w:lang w:eastAsia="tr-TR"/>
              </w:rPr>
            </w:pPr>
            <w:r w:rsidRPr="00F25246">
              <w:rPr>
                <w:sz w:val="14"/>
                <w:szCs w:val="14"/>
                <w:lang w:eastAsia="tr-TR"/>
              </w:rPr>
              <w:t>700,501</w:t>
            </w:r>
          </w:p>
        </w:tc>
        <w:tc>
          <w:tcPr>
            <w:tcW w:w="851" w:type="dxa"/>
            <w:tcBorders>
              <w:top w:val="nil"/>
              <w:left w:val="single" w:sz="4" w:space="0" w:color="auto"/>
              <w:bottom w:val="nil"/>
              <w:right w:val="single" w:sz="4" w:space="0" w:color="auto"/>
            </w:tcBorders>
            <w:shd w:val="clear" w:color="auto" w:fill="auto"/>
            <w:vAlign w:val="bottom"/>
            <w:hideMark/>
          </w:tcPr>
          <w:p w14:paraId="4D7ED2F1" w14:textId="77777777" w:rsidR="00F25246" w:rsidRPr="00F25246" w:rsidRDefault="00F25246" w:rsidP="00717AB5">
            <w:pPr>
              <w:ind w:left="-14"/>
              <w:jc w:val="right"/>
              <w:rPr>
                <w:sz w:val="14"/>
                <w:szCs w:val="14"/>
                <w:lang w:eastAsia="tr-TR"/>
              </w:rPr>
            </w:pPr>
            <w:r w:rsidRPr="00F25246">
              <w:rPr>
                <w:sz w:val="14"/>
                <w:szCs w:val="14"/>
                <w:lang w:eastAsia="tr-TR"/>
              </w:rPr>
              <w:t>412,592</w:t>
            </w:r>
          </w:p>
        </w:tc>
        <w:tc>
          <w:tcPr>
            <w:tcW w:w="970" w:type="dxa"/>
            <w:tcBorders>
              <w:top w:val="nil"/>
              <w:left w:val="single" w:sz="4" w:space="0" w:color="auto"/>
              <w:bottom w:val="nil"/>
              <w:right w:val="single" w:sz="4" w:space="0" w:color="auto"/>
            </w:tcBorders>
            <w:shd w:val="clear" w:color="auto" w:fill="auto"/>
            <w:vAlign w:val="bottom"/>
            <w:hideMark/>
          </w:tcPr>
          <w:p w14:paraId="156F56D2" w14:textId="77777777" w:rsidR="00F25246" w:rsidRPr="00F25246" w:rsidRDefault="00F25246" w:rsidP="00717AB5">
            <w:pPr>
              <w:ind w:left="-14"/>
              <w:jc w:val="right"/>
              <w:rPr>
                <w:sz w:val="14"/>
                <w:szCs w:val="14"/>
                <w:lang w:eastAsia="tr-TR"/>
              </w:rPr>
            </w:pPr>
            <w:r w:rsidRPr="00F25246">
              <w:rPr>
                <w:sz w:val="14"/>
                <w:szCs w:val="14"/>
                <w:lang w:eastAsia="tr-TR"/>
              </w:rPr>
              <w:t>1,113,093</w:t>
            </w:r>
          </w:p>
        </w:tc>
        <w:tc>
          <w:tcPr>
            <w:tcW w:w="757" w:type="dxa"/>
            <w:gridSpan w:val="2"/>
            <w:tcBorders>
              <w:top w:val="nil"/>
              <w:left w:val="single" w:sz="4" w:space="0" w:color="auto"/>
              <w:bottom w:val="nil"/>
              <w:right w:val="single" w:sz="4" w:space="0" w:color="auto"/>
            </w:tcBorders>
            <w:shd w:val="clear" w:color="auto" w:fill="auto"/>
            <w:vAlign w:val="bottom"/>
            <w:hideMark/>
          </w:tcPr>
          <w:p w14:paraId="6B628603" w14:textId="77777777" w:rsidR="00F25246" w:rsidRPr="00F25246" w:rsidRDefault="00F25246" w:rsidP="00717AB5">
            <w:pPr>
              <w:ind w:left="-14"/>
              <w:jc w:val="right"/>
              <w:rPr>
                <w:sz w:val="14"/>
                <w:szCs w:val="14"/>
                <w:lang w:eastAsia="tr-TR"/>
              </w:rPr>
            </w:pPr>
            <w:r w:rsidRPr="00F25246">
              <w:rPr>
                <w:sz w:val="14"/>
                <w:szCs w:val="14"/>
                <w:lang w:eastAsia="tr-TR"/>
              </w:rPr>
              <w:t>549,056</w:t>
            </w:r>
          </w:p>
        </w:tc>
        <w:tc>
          <w:tcPr>
            <w:tcW w:w="758" w:type="dxa"/>
            <w:tcBorders>
              <w:top w:val="nil"/>
              <w:left w:val="single" w:sz="4" w:space="0" w:color="auto"/>
              <w:bottom w:val="nil"/>
              <w:right w:val="single" w:sz="4" w:space="0" w:color="auto"/>
            </w:tcBorders>
            <w:shd w:val="clear" w:color="auto" w:fill="auto"/>
            <w:vAlign w:val="bottom"/>
            <w:hideMark/>
          </w:tcPr>
          <w:p w14:paraId="3DBC051F" w14:textId="77777777" w:rsidR="00F25246" w:rsidRPr="00F25246" w:rsidRDefault="00F25246" w:rsidP="00717AB5">
            <w:pPr>
              <w:ind w:left="-14"/>
              <w:jc w:val="right"/>
              <w:rPr>
                <w:sz w:val="14"/>
                <w:szCs w:val="14"/>
                <w:lang w:eastAsia="tr-TR"/>
              </w:rPr>
            </w:pPr>
            <w:r w:rsidRPr="00F25246">
              <w:rPr>
                <w:sz w:val="14"/>
                <w:szCs w:val="14"/>
                <w:lang w:eastAsia="tr-TR"/>
              </w:rPr>
              <w:t>239,900</w:t>
            </w:r>
          </w:p>
        </w:tc>
        <w:tc>
          <w:tcPr>
            <w:tcW w:w="910" w:type="dxa"/>
            <w:tcBorders>
              <w:top w:val="nil"/>
              <w:left w:val="single" w:sz="4" w:space="0" w:color="auto"/>
              <w:bottom w:val="nil"/>
              <w:right w:val="single" w:sz="4" w:space="0" w:color="auto"/>
            </w:tcBorders>
            <w:shd w:val="clear" w:color="auto" w:fill="auto"/>
            <w:vAlign w:val="bottom"/>
            <w:hideMark/>
          </w:tcPr>
          <w:p w14:paraId="711D3C9E" w14:textId="77777777" w:rsidR="00F25246" w:rsidRPr="00F25246" w:rsidRDefault="00F25246" w:rsidP="00717AB5">
            <w:pPr>
              <w:ind w:left="-14"/>
              <w:jc w:val="right"/>
              <w:rPr>
                <w:sz w:val="14"/>
                <w:szCs w:val="14"/>
                <w:lang w:eastAsia="tr-TR"/>
              </w:rPr>
            </w:pPr>
            <w:r w:rsidRPr="00F25246">
              <w:rPr>
                <w:sz w:val="14"/>
                <w:szCs w:val="14"/>
                <w:lang w:eastAsia="tr-TR"/>
              </w:rPr>
              <w:t>788,956</w:t>
            </w:r>
          </w:p>
        </w:tc>
      </w:tr>
      <w:tr w:rsidR="00F25246" w:rsidRPr="00F25246" w14:paraId="356BB792"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0FDE17DE"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IX.</w:t>
            </w:r>
          </w:p>
        </w:tc>
        <w:tc>
          <w:tcPr>
            <w:tcW w:w="3278" w:type="dxa"/>
            <w:tcBorders>
              <w:top w:val="nil"/>
              <w:left w:val="single" w:sz="4" w:space="0" w:color="auto"/>
              <w:bottom w:val="nil"/>
              <w:right w:val="single" w:sz="4" w:space="0" w:color="auto"/>
            </w:tcBorders>
            <w:shd w:val="clear" w:color="auto" w:fill="auto"/>
            <w:vAlign w:val="center"/>
            <w:hideMark/>
          </w:tcPr>
          <w:p w14:paraId="56466721"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CARİ VERGİ BORCU</w:t>
            </w:r>
          </w:p>
        </w:tc>
        <w:tc>
          <w:tcPr>
            <w:tcW w:w="654" w:type="dxa"/>
            <w:tcBorders>
              <w:top w:val="nil"/>
              <w:left w:val="single" w:sz="4" w:space="0" w:color="auto"/>
              <w:bottom w:val="nil"/>
              <w:right w:val="single" w:sz="4" w:space="0" w:color="auto"/>
            </w:tcBorders>
            <w:shd w:val="clear" w:color="auto" w:fill="auto"/>
            <w:noWrap/>
            <w:vAlign w:val="center"/>
            <w:hideMark/>
          </w:tcPr>
          <w:p w14:paraId="65EF41C4"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(5.2.8.1.)</w:t>
            </w:r>
          </w:p>
        </w:tc>
        <w:tc>
          <w:tcPr>
            <w:tcW w:w="783" w:type="dxa"/>
            <w:tcBorders>
              <w:top w:val="nil"/>
              <w:left w:val="single" w:sz="4" w:space="0" w:color="auto"/>
              <w:bottom w:val="nil"/>
              <w:right w:val="single" w:sz="4" w:space="0" w:color="auto"/>
            </w:tcBorders>
            <w:shd w:val="clear" w:color="auto" w:fill="auto"/>
            <w:vAlign w:val="bottom"/>
            <w:hideMark/>
          </w:tcPr>
          <w:p w14:paraId="26BAE1CF" w14:textId="77777777" w:rsidR="00F25246" w:rsidRPr="00F25246" w:rsidRDefault="00F25246" w:rsidP="00717AB5">
            <w:pPr>
              <w:ind w:left="-14"/>
              <w:jc w:val="right"/>
              <w:rPr>
                <w:b/>
                <w:bCs/>
                <w:sz w:val="14"/>
                <w:szCs w:val="14"/>
                <w:lang w:eastAsia="tr-TR"/>
              </w:rPr>
            </w:pPr>
            <w:r w:rsidRPr="00F25246">
              <w:rPr>
                <w:b/>
                <w:bCs/>
                <w:sz w:val="14"/>
                <w:szCs w:val="14"/>
                <w:lang w:eastAsia="tr-TR"/>
              </w:rPr>
              <w:t>130,466</w:t>
            </w:r>
          </w:p>
        </w:tc>
        <w:tc>
          <w:tcPr>
            <w:tcW w:w="851" w:type="dxa"/>
            <w:tcBorders>
              <w:top w:val="nil"/>
              <w:left w:val="single" w:sz="4" w:space="0" w:color="auto"/>
              <w:bottom w:val="nil"/>
              <w:right w:val="single" w:sz="4" w:space="0" w:color="auto"/>
            </w:tcBorders>
            <w:shd w:val="clear" w:color="auto" w:fill="auto"/>
            <w:vAlign w:val="bottom"/>
            <w:hideMark/>
          </w:tcPr>
          <w:p w14:paraId="6A75815D"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38F0AB58" w14:textId="77777777" w:rsidR="00F25246" w:rsidRPr="00F25246" w:rsidRDefault="00F25246" w:rsidP="00717AB5">
            <w:pPr>
              <w:ind w:left="-14"/>
              <w:jc w:val="right"/>
              <w:rPr>
                <w:b/>
                <w:bCs/>
                <w:sz w:val="14"/>
                <w:szCs w:val="14"/>
                <w:lang w:eastAsia="tr-TR"/>
              </w:rPr>
            </w:pPr>
            <w:r w:rsidRPr="00F25246">
              <w:rPr>
                <w:b/>
                <w:bCs/>
                <w:sz w:val="14"/>
                <w:szCs w:val="14"/>
                <w:lang w:eastAsia="tr-TR"/>
              </w:rPr>
              <w:t>130,466</w:t>
            </w:r>
          </w:p>
        </w:tc>
        <w:tc>
          <w:tcPr>
            <w:tcW w:w="757" w:type="dxa"/>
            <w:gridSpan w:val="2"/>
            <w:tcBorders>
              <w:top w:val="nil"/>
              <w:left w:val="single" w:sz="4" w:space="0" w:color="auto"/>
              <w:bottom w:val="nil"/>
              <w:right w:val="single" w:sz="4" w:space="0" w:color="auto"/>
            </w:tcBorders>
            <w:shd w:val="clear" w:color="auto" w:fill="auto"/>
            <w:vAlign w:val="bottom"/>
            <w:hideMark/>
          </w:tcPr>
          <w:p w14:paraId="03EA31A7" w14:textId="77777777" w:rsidR="00F25246" w:rsidRPr="00F25246" w:rsidRDefault="00F25246" w:rsidP="00717AB5">
            <w:pPr>
              <w:ind w:left="-14"/>
              <w:jc w:val="right"/>
              <w:rPr>
                <w:b/>
                <w:bCs/>
                <w:sz w:val="14"/>
                <w:szCs w:val="14"/>
                <w:lang w:eastAsia="tr-TR"/>
              </w:rPr>
            </w:pPr>
            <w:r w:rsidRPr="00F25246">
              <w:rPr>
                <w:b/>
                <w:bCs/>
                <w:sz w:val="14"/>
                <w:szCs w:val="14"/>
                <w:lang w:eastAsia="tr-TR"/>
              </w:rPr>
              <w:t>224,425</w:t>
            </w:r>
          </w:p>
        </w:tc>
        <w:tc>
          <w:tcPr>
            <w:tcW w:w="758" w:type="dxa"/>
            <w:tcBorders>
              <w:top w:val="nil"/>
              <w:left w:val="single" w:sz="4" w:space="0" w:color="auto"/>
              <w:bottom w:val="nil"/>
              <w:right w:val="single" w:sz="4" w:space="0" w:color="auto"/>
            </w:tcBorders>
            <w:shd w:val="clear" w:color="auto" w:fill="auto"/>
            <w:vAlign w:val="bottom"/>
            <w:hideMark/>
          </w:tcPr>
          <w:p w14:paraId="4A7F8F9C"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1AB53981" w14:textId="77777777" w:rsidR="00F25246" w:rsidRPr="00F25246" w:rsidRDefault="00F25246" w:rsidP="00717AB5">
            <w:pPr>
              <w:ind w:left="-14"/>
              <w:jc w:val="right"/>
              <w:rPr>
                <w:b/>
                <w:bCs/>
                <w:sz w:val="14"/>
                <w:szCs w:val="14"/>
                <w:lang w:eastAsia="tr-TR"/>
              </w:rPr>
            </w:pPr>
            <w:r w:rsidRPr="00F25246">
              <w:rPr>
                <w:b/>
                <w:bCs/>
                <w:sz w:val="14"/>
                <w:szCs w:val="14"/>
                <w:lang w:eastAsia="tr-TR"/>
              </w:rPr>
              <w:t>224,425</w:t>
            </w:r>
          </w:p>
        </w:tc>
      </w:tr>
      <w:tr w:rsidR="00F25246" w:rsidRPr="00F25246" w14:paraId="6B5B22EE"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006E2E3D"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X.</w:t>
            </w:r>
          </w:p>
        </w:tc>
        <w:tc>
          <w:tcPr>
            <w:tcW w:w="3278" w:type="dxa"/>
            <w:tcBorders>
              <w:top w:val="nil"/>
              <w:left w:val="single" w:sz="4" w:space="0" w:color="auto"/>
              <w:bottom w:val="nil"/>
              <w:right w:val="single" w:sz="4" w:space="0" w:color="auto"/>
            </w:tcBorders>
            <w:shd w:val="clear" w:color="auto" w:fill="auto"/>
            <w:vAlign w:val="center"/>
            <w:hideMark/>
          </w:tcPr>
          <w:p w14:paraId="1DF0979B"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ERTELENMİŞ VERGİ BORCU</w:t>
            </w:r>
          </w:p>
        </w:tc>
        <w:tc>
          <w:tcPr>
            <w:tcW w:w="654" w:type="dxa"/>
            <w:tcBorders>
              <w:top w:val="nil"/>
              <w:left w:val="single" w:sz="4" w:space="0" w:color="auto"/>
              <w:bottom w:val="nil"/>
              <w:right w:val="single" w:sz="4" w:space="0" w:color="auto"/>
            </w:tcBorders>
            <w:shd w:val="clear" w:color="auto" w:fill="auto"/>
            <w:noWrap/>
            <w:vAlign w:val="center"/>
            <w:hideMark/>
          </w:tcPr>
          <w:p w14:paraId="31F4C6B0" w14:textId="77777777" w:rsidR="00F25246" w:rsidRPr="00F25246" w:rsidRDefault="00F25246" w:rsidP="00F25246">
            <w:pPr>
              <w:rPr>
                <w:b/>
                <w:bCs/>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167727D1"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43F3EE6"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395CE811"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3C3FA2A0"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704EB4C8"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167A42A3"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r>
      <w:tr w:rsidR="00F25246" w:rsidRPr="00F25246" w14:paraId="740C530A"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2257FBC0"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XI.</w:t>
            </w:r>
          </w:p>
        </w:tc>
        <w:tc>
          <w:tcPr>
            <w:tcW w:w="3278" w:type="dxa"/>
            <w:tcBorders>
              <w:top w:val="nil"/>
              <w:left w:val="single" w:sz="4" w:space="0" w:color="auto"/>
              <w:bottom w:val="nil"/>
              <w:right w:val="single" w:sz="4" w:space="0" w:color="auto"/>
            </w:tcBorders>
            <w:shd w:val="clear" w:color="auto" w:fill="auto"/>
            <w:vAlign w:val="center"/>
            <w:hideMark/>
          </w:tcPr>
          <w:p w14:paraId="2461AED2"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SATIŞ AMAÇLI ELDE TUTULAN VE DURDURULAN FAALİYETLERE İLİŞKİN DURAN VARLIK BORÇLARI (Net)</w:t>
            </w:r>
          </w:p>
        </w:tc>
        <w:tc>
          <w:tcPr>
            <w:tcW w:w="654" w:type="dxa"/>
            <w:tcBorders>
              <w:top w:val="nil"/>
              <w:left w:val="single" w:sz="4" w:space="0" w:color="auto"/>
              <w:bottom w:val="nil"/>
              <w:right w:val="single" w:sz="4" w:space="0" w:color="auto"/>
            </w:tcBorders>
            <w:shd w:val="clear" w:color="auto" w:fill="auto"/>
            <w:noWrap/>
            <w:vAlign w:val="center"/>
            <w:hideMark/>
          </w:tcPr>
          <w:p w14:paraId="527C7F5C"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(5.2.9.)</w:t>
            </w:r>
          </w:p>
        </w:tc>
        <w:tc>
          <w:tcPr>
            <w:tcW w:w="783" w:type="dxa"/>
            <w:tcBorders>
              <w:top w:val="nil"/>
              <w:left w:val="single" w:sz="4" w:space="0" w:color="auto"/>
              <w:bottom w:val="nil"/>
              <w:right w:val="single" w:sz="4" w:space="0" w:color="auto"/>
            </w:tcBorders>
            <w:shd w:val="clear" w:color="auto" w:fill="auto"/>
            <w:vAlign w:val="bottom"/>
            <w:hideMark/>
          </w:tcPr>
          <w:p w14:paraId="0D2EDACB"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98C6693"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7A480485"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37E24A78"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7F4FA3A6"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2D461124"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r>
      <w:tr w:rsidR="00F25246" w:rsidRPr="00F25246" w14:paraId="7341FF6D"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17DA92FB" w14:textId="77777777" w:rsidR="00F25246" w:rsidRPr="00F25246" w:rsidRDefault="00F25246" w:rsidP="00F25246">
            <w:pPr>
              <w:rPr>
                <w:color w:val="000000"/>
                <w:sz w:val="14"/>
                <w:szCs w:val="14"/>
                <w:lang w:eastAsia="tr-TR"/>
              </w:rPr>
            </w:pPr>
            <w:r w:rsidRPr="00F25246">
              <w:rPr>
                <w:color w:val="000000"/>
                <w:sz w:val="14"/>
                <w:szCs w:val="14"/>
                <w:lang w:eastAsia="tr-TR"/>
              </w:rPr>
              <w:t>11.1.</w:t>
            </w:r>
          </w:p>
        </w:tc>
        <w:tc>
          <w:tcPr>
            <w:tcW w:w="3278" w:type="dxa"/>
            <w:tcBorders>
              <w:top w:val="nil"/>
              <w:left w:val="single" w:sz="4" w:space="0" w:color="auto"/>
              <w:bottom w:val="nil"/>
              <w:right w:val="single" w:sz="4" w:space="0" w:color="auto"/>
            </w:tcBorders>
            <w:shd w:val="clear" w:color="auto" w:fill="auto"/>
            <w:noWrap/>
            <w:vAlign w:val="center"/>
            <w:hideMark/>
          </w:tcPr>
          <w:p w14:paraId="374573D6" w14:textId="77777777" w:rsidR="00F25246" w:rsidRPr="00F25246" w:rsidRDefault="00F25246" w:rsidP="00F25246">
            <w:pPr>
              <w:rPr>
                <w:color w:val="000000"/>
                <w:sz w:val="14"/>
                <w:szCs w:val="14"/>
                <w:lang w:eastAsia="tr-TR"/>
              </w:rPr>
            </w:pPr>
            <w:r w:rsidRPr="00F25246">
              <w:rPr>
                <w:color w:val="000000"/>
                <w:sz w:val="14"/>
                <w:szCs w:val="14"/>
                <w:lang w:eastAsia="tr-TR"/>
              </w:rPr>
              <w:t>Satış Amaçlı</w:t>
            </w:r>
          </w:p>
        </w:tc>
        <w:tc>
          <w:tcPr>
            <w:tcW w:w="654" w:type="dxa"/>
            <w:tcBorders>
              <w:top w:val="nil"/>
              <w:left w:val="single" w:sz="4" w:space="0" w:color="auto"/>
              <w:bottom w:val="nil"/>
              <w:right w:val="single" w:sz="4" w:space="0" w:color="auto"/>
            </w:tcBorders>
            <w:shd w:val="clear" w:color="auto" w:fill="auto"/>
            <w:noWrap/>
            <w:vAlign w:val="center"/>
            <w:hideMark/>
          </w:tcPr>
          <w:p w14:paraId="7E79AB9C"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1CB97BD5"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2D04D1C"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5C2ADD86"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738139EA"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3F97B6DA"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3A4E91F4"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r>
      <w:tr w:rsidR="00F25246" w:rsidRPr="00F25246" w14:paraId="2E0AF81D"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45F0E4DE" w14:textId="77777777" w:rsidR="00F25246" w:rsidRPr="00F25246" w:rsidRDefault="00F25246" w:rsidP="00F25246">
            <w:pPr>
              <w:rPr>
                <w:color w:val="000000"/>
                <w:sz w:val="14"/>
                <w:szCs w:val="14"/>
                <w:lang w:eastAsia="tr-TR"/>
              </w:rPr>
            </w:pPr>
            <w:r w:rsidRPr="00F25246">
              <w:rPr>
                <w:color w:val="000000"/>
                <w:sz w:val="14"/>
                <w:szCs w:val="14"/>
                <w:lang w:eastAsia="tr-TR"/>
              </w:rPr>
              <w:t>11.2.</w:t>
            </w:r>
          </w:p>
        </w:tc>
        <w:tc>
          <w:tcPr>
            <w:tcW w:w="3278" w:type="dxa"/>
            <w:tcBorders>
              <w:top w:val="nil"/>
              <w:left w:val="single" w:sz="4" w:space="0" w:color="auto"/>
              <w:bottom w:val="nil"/>
              <w:right w:val="single" w:sz="4" w:space="0" w:color="auto"/>
            </w:tcBorders>
            <w:shd w:val="clear" w:color="auto" w:fill="auto"/>
            <w:noWrap/>
            <w:vAlign w:val="center"/>
            <w:hideMark/>
          </w:tcPr>
          <w:p w14:paraId="4589049F" w14:textId="77777777" w:rsidR="00F25246" w:rsidRPr="00F25246" w:rsidRDefault="00F25246" w:rsidP="00F25246">
            <w:pPr>
              <w:rPr>
                <w:color w:val="000000"/>
                <w:sz w:val="14"/>
                <w:szCs w:val="14"/>
                <w:lang w:eastAsia="tr-TR"/>
              </w:rPr>
            </w:pPr>
            <w:r w:rsidRPr="00F25246">
              <w:rPr>
                <w:color w:val="000000"/>
                <w:sz w:val="14"/>
                <w:szCs w:val="14"/>
                <w:lang w:eastAsia="tr-TR"/>
              </w:rPr>
              <w:t>Durdurulan Faaliyetlere İlişkin</w:t>
            </w:r>
          </w:p>
        </w:tc>
        <w:tc>
          <w:tcPr>
            <w:tcW w:w="654" w:type="dxa"/>
            <w:tcBorders>
              <w:top w:val="nil"/>
              <w:left w:val="single" w:sz="4" w:space="0" w:color="auto"/>
              <w:bottom w:val="nil"/>
              <w:right w:val="single" w:sz="4" w:space="0" w:color="auto"/>
            </w:tcBorders>
            <w:shd w:val="clear" w:color="auto" w:fill="auto"/>
            <w:noWrap/>
            <w:vAlign w:val="center"/>
            <w:hideMark/>
          </w:tcPr>
          <w:p w14:paraId="348317C9"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24345390"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676711D"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08DE290D"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4DD97E16"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2BC6EBD5"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09521C0E"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r>
      <w:tr w:rsidR="00F25246" w:rsidRPr="00F25246" w14:paraId="0E6F84CA"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75DD3EC2"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XII.</w:t>
            </w:r>
          </w:p>
        </w:tc>
        <w:tc>
          <w:tcPr>
            <w:tcW w:w="3278" w:type="dxa"/>
            <w:tcBorders>
              <w:top w:val="nil"/>
              <w:left w:val="single" w:sz="4" w:space="0" w:color="auto"/>
              <w:bottom w:val="nil"/>
              <w:right w:val="single" w:sz="4" w:space="0" w:color="auto"/>
            </w:tcBorders>
            <w:shd w:val="clear" w:color="auto" w:fill="auto"/>
            <w:vAlign w:val="center"/>
            <w:hideMark/>
          </w:tcPr>
          <w:p w14:paraId="43BD8A98"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SERMAYE BENZERİ BORÇLANMA ARAÇLARI</w:t>
            </w:r>
          </w:p>
        </w:tc>
        <w:tc>
          <w:tcPr>
            <w:tcW w:w="654" w:type="dxa"/>
            <w:tcBorders>
              <w:top w:val="nil"/>
              <w:left w:val="single" w:sz="4" w:space="0" w:color="auto"/>
              <w:bottom w:val="nil"/>
              <w:right w:val="single" w:sz="4" w:space="0" w:color="auto"/>
            </w:tcBorders>
            <w:shd w:val="clear" w:color="auto" w:fill="auto"/>
            <w:noWrap/>
            <w:vAlign w:val="center"/>
            <w:hideMark/>
          </w:tcPr>
          <w:p w14:paraId="597AB545"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(5.2.10.)</w:t>
            </w:r>
          </w:p>
        </w:tc>
        <w:tc>
          <w:tcPr>
            <w:tcW w:w="783" w:type="dxa"/>
            <w:tcBorders>
              <w:top w:val="nil"/>
              <w:left w:val="single" w:sz="4" w:space="0" w:color="auto"/>
              <w:bottom w:val="nil"/>
              <w:right w:val="single" w:sz="4" w:space="0" w:color="auto"/>
            </w:tcBorders>
            <w:shd w:val="clear" w:color="auto" w:fill="auto"/>
            <w:vAlign w:val="bottom"/>
            <w:hideMark/>
          </w:tcPr>
          <w:p w14:paraId="5388FFEB"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9CEAAC5" w14:textId="77777777" w:rsidR="00F25246" w:rsidRPr="00F25246" w:rsidRDefault="00F25246" w:rsidP="00717AB5">
            <w:pPr>
              <w:ind w:left="-14"/>
              <w:jc w:val="right"/>
              <w:rPr>
                <w:b/>
                <w:bCs/>
                <w:sz w:val="14"/>
                <w:szCs w:val="14"/>
                <w:lang w:eastAsia="tr-TR"/>
              </w:rPr>
            </w:pPr>
            <w:r w:rsidRPr="00F25246">
              <w:rPr>
                <w:b/>
                <w:bCs/>
                <w:sz w:val="14"/>
                <w:szCs w:val="14"/>
                <w:lang w:eastAsia="tr-TR"/>
              </w:rPr>
              <w:t>4,720,851</w:t>
            </w:r>
          </w:p>
        </w:tc>
        <w:tc>
          <w:tcPr>
            <w:tcW w:w="970" w:type="dxa"/>
            <w:tcBorders>
              <w:top w:val="nil"/>
              <w:left w:val="single" w:sz="4" w:space="0" w:color="auto"/>
              <w:bottom w:val="nil"/>
              <w:right w:val="single" w:sz="4" w:space="0" w:color="auto"/>
            </w:tcBorders>
            <w:shd w:val="clear" w:color="auto" w:fill="auto"/>
            <w:vAlign w:val="bottom"/>
            <w:hideMark/>
          </w:tcPr>
          <w:p w14:paraId="187A1D96" w14:textId="77777777" w:rsidR="00F25246" w:rsidRPr="00F25246" w:rsidRDefault="00F25246" w:rsidP="00717AB5">
            <w:pPr>
              <w:ind w:left="-14"/>
              <w:jc w:val="right"/>
              <w:rPr>
                <w:b/>
                <w:bCs/>
                <w:sz w:val="14"/>
                <w:szCs w:val="14"/>
                <w:lang w:eastAsia="tr-TR"/>
              </w:rPr>
            </w:pPr>
            <w:r w:rsidRPr="00F25246">
              <w:rPr>
                <w:b/>
                <w:bCs/>
                <w:sz w:val="14"/>
                <w:szCs w:val="14"/>
                <w:lang w:eastAsia="tr-TR"/>
              </w:rPr>
              <w:t>4,720,851</w:t>
            </w:r>
          </w:p>
        </w:tc>
        <w:tc>
          <w:tcPr>
            <w:tcW w:w="757" w:type="dxa"/>
            <w:gridSpan w:val="2"/>
            <w:tcBorders>
              <w:top w:val="nil"/>
              <w:left w:val="single" w:sz="4" w:space="0" w:color="auto"/>
              <w:bottom w:val="nil"/>
              <w:right w:val="single" w:sz="4" w:space="0" w:color="auto"/>
            </w:tcBorders>
            <w:shd w:val="clear" w:color="auto" w:fill="auto"/>
            <w:vAlign w:val="bottom"/>
            <w:hideMark/>
          </w:tcPr>
          <w:p w14:paraId="1FCDCB0D"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34F3771B" w14:textId="77777777" w:rsidR="00F25246" w:rsidRPr="00F25246" w:rsidRDefault="00F25246" w:rsidP="00717AB5">
            <w:pPr>
              <w:ind w:left="-14"/>
              <w:jc w:val="right"/>
              <w:rPr>
                <w:b/>
                <w:bCs/>
                <w:sz w:val="14"/>
                <w:szCs w:val="14"/>
                <w:lang w:eastAsia="tr-TR"/>
              </w:rPr>
            </w:pPr>
            <w:r w:rsidRPr="00F25246">
              <w:rPr>
                <w:b/>
                <w:bCs/>
                <w:sz w:val="14"/>
                <w:szCs w:val="14"/>
                <w:lang w:eastAsia="tr-TR"/>
              </w:rPr>
              <w:t>3,380,983</w:t>
            </w:r>
          </w:p>
        </w:tc>
        <w:tc>
          <w:tcPr>
            <w:tcW w:w="910" w:type="dxa"/>
            <w:tcBorders>
              <w:top w:val="nil"/>
              <w:left w:val="single" w:sz="4" w:space="0" w:color="auto"/>
              <w:bottom w:val="nil"/>
              <w:right w:val="single" w:sz="4" w:space="0" w:color="auto"/>
            </w:tcBorders>
            <w:shd w:val="clear" w:color="auto" w:fill="auto"/>
            <w:vAlign w:val="bottom"/>
            <w:hideMark/>
          </w:tcPr>
          <w:p w14:paraId="7B2D2849" w14:textId="77777777" w:rsidR="00F25246" w:rsidRPr="00F25246" w:rsidRDefault="00F25246" w:rsidP="00717AB5">
            <w:pPr>
              <w:ind w:left="-14"/>
              <w:jc w:val="right"/>
              <w:rPr>
                <w:b/>
                <w:bCs/>
                <w:sz w:val="14"/>
                <w:szCs w:val="14"/>
                <w:lang w:eastAsia="tr-TR"/>
              </w:rPr>
            </w:pPr>
            <w:r w:rsidRPr="00F25246">
              <w:rPr>
                <w:b/>
                <w:bCs/>
                <w:sz w:val="14"/>
                <w:szCs w:val="14"/>
                <w:lang w:eastAsia="tr-TR"/>
              </w:rPr>
              <w:t>3,380,983</w:t>
            </w:r>
          </w:p>
        </w:tc>
      </w:tr>
      <w:tr w:rsidR="00F25246" w:rsidRPr="00F25246" w14:paraId="39A0630A"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6745EE0E" w14:textId="77777777" w:rsidR="00F25246" w:rsidRPr="00F25246" w:rsidRDefault="00F25246" w:rsidP="00F25246">
            <w:pPr>
              <w:rPr>
                <w:color w:val="000000"/>
                <w:sz w:val="14"/>
                <w:szCs w:val="14"/>
                <w:lang w:eastAsia="tr-TR"/>
              </w:rPr>
            </w:pPr>
            <w:r w:rsidRPr="00F25246">
              <w:rPr>
                <w:color w:val="000000"/>
                <w:sz w:val="14"/>
                <w:szCs w:val="14"/>
                <w:lang w:eastAsia="tr-TR"/>
              </w:rPr>
              <w:t>12.1.</w:t>
            </w:r>
          </w:p>
        </w:tc>
        <w:tc>
          <w:tcPr>
            <w:tcW w:w="3278" w:type="dxa"/>
            <w:tcBorders>
              <w:top w:val="nil"/>
              <w:left w:val="single" w:sz="4" w:space="0" w:color="auto"/>
              <w:bottom w:val="nil"/>
              <w:right w:val="single" w:sz="4" w:space="0" w:color="auto"/>
            </w:tcBorders>
            <w:shd w:val="clear" w:color="auto" w:fill="auto"/>
            <w:noWrap/>
            <w:vAlign w:val="center"/>
            <w:hideMark/>
          </w:tcPr>
          <w:p w14:paraId="00CA8387" w14:textId="77777777" w:rsidR="00F25246" w:rsidRPr="00F25246" w:rsidRDefault="00F25246" w:rsidP="00F25246">
            <w:pPr>
              <w:rPr>
                <w:color w:val="000000"/>
                <w:sz w:val="14"/>
                <w:szCs w:val="14"/>
                <w:lang w:eastAsia="tr-TR"/>
              </w:rPr>
            </w:pPr>
            <w:r w:rsidRPr="00F25246">
              <w:rPr>
                <w:color w:val="000000"/>
                <w:sz w:val="14"/>
                <w:szCs w:val="14"/>
                <w:lang w:eastAsia="tr-TR"/>
              </w:rPr>
              <w:t>Krediler</w:t>
            </w:r>
          </w:p>
        </w:tc>
        <w:tc>
          <w:tcPr>
            <w:tcW w:w="654" w:type="dxa"/>
            <w:tcBorders>
              <w:top w:val="nil"/>
              <w:left w:val="single" w:sz="4" w:space="0" w:color="auto"/>
              <w:bottom w:val="nil"/>
              <w:right w:val="single" w:sz="4" w:space="0" w:color="auto"/>
            </w:tcBorders>
            <w:shd w:val="clear" w:color="auto" w:fill="auto"/>
            <w:noWrap/>
            <w:vAlign w:val="center"/>
            <w:hideMark/>
          </w:tcPr>
          <w:p w14:paraId="74248FDB"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39AFBF25"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644B3C1"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34B0A744"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780D9F5C"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3DA78D73"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5FEA4686" w14:textId="77777777" w:rsidR="00F25246" w:rsidRPr="00F25246" w:rsidRDefault="00F25246" w:rsidP="00717AB5">
            <w:pPr>
              <w:ind w:left="-14"/>
              <w:jc w:val="right"/>
              <w:rPr>
                <w:b/>
                <w:bCs/>
                <w:sz w:val="14"/>
                <w:szCs w:val="14"/>
                <w:lang w:eastAsia="tr-TR"/>
              </w:rPr>
            </w:pPr>
            <w:r w:rsidRPr="00F25246">
              <w:rPr>
                <w:b/>
                <w:bCs/>
                <w:sz w:val="14"/>
                <w:szCs w:val="14"/>
                <w:lang w:eastAsia="tr-TR"/>
              </w:rPr>
              <w:t>-</w:t>
            </w:r>
          </w:p>
        </w:tc>
      </w:tr>
      <w:tr w:rsidR="00F25246" w:rsidRPr="00F25246" w14:paraId="79ED25CF"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590440BC" w14:textId="77777777" w:rsidR="00F25246" w:rsidRPr="00F25246" w:rsidRDefault="00F25246" w:rsidP="00F25246">
            <w:pPr>
              <w:rPr>
                <w:color w:val="000000"/>
                <w:sz w:val="14"/>
                <w:szCs w:val="14"/>
                <w:lang w:eastAsia="tr-TR"/>
              </w:rPr>
            </w:pPr>
            <w:r w:rsidRPr="00F25246">
              <w:rPr>
                <w:color w:val="000000"/>
                <w:sz w:val="14"/>
                <w:szCs w:val="14"/>
                <w:lang w:eastAsia="tr-TR"/>
              </w:rPr>
              <w:t>12.2.</w:t>
            </w:r>
          </w:p>
        </w:tc>
        <w:tc>
          <w:tcPr>
            <w:tcW w:w="3278" w:type="dxa"/>
            <w:tcBorders>
              <w:top w:val="nil"/>
              <w:left w:val="single" w:sz="4" w:space="0" w:color="auto"/>
              <w:bottom w:val="nil"/>
              <w:right w:val="single" w:sz="4" w:space="0" w:color="auto"/>
            </w:tcBorders>
            <w:shd w:val="clear" w:color="auto" w:fill="auto"/>
            <w:noWrap/>
            <w:vAlign w:val="center"/>
            <w:hideMark/>
          </w:tcPr>
          <w:p w14:paraId="13345ECA" w14:textId="77777777" w:rsidR="00F25246" w:rsidRPr="00F25246" w:rsidRDefault="00F25246" w:rsidP="00F25246">
            <w:pPr>
              <w:rPr>
                <w:color w:val="000000"/>
                <w:sz w:val="14"/>
                <w:szCs w:val="14"/>
                <w:lang w:eastAsia="tr-TR"/>
              </w:rPr>
            </w:pPr>
            <w:r w:rsidRPr="00F25246">
              <w:rPr>
                <w:color w:val="000000"/>
                <w:sz w:val="14"/>
                <w:szCs w:val="14"/>
                <w:lang w:eastAsia="tr-TR"/>
              </w:rPr>
              <w:t>Diğer Borçlanma Araçları</w:t>
            </w:r>
          </w:p>
        </w:tc>
        <w:tc>
          <w:tcPr>
            <w:tcW w:w="654" w:type="dxa"/>
            <w:tcBorders>
              <w:top w:val="nil"/>
              <w:left w:val="single" w:sz="4" w:space="0" w:color="auto"/>
              <w:bottom w:val="nil"/>
              <w:right w:val="single" w:sz="4" w:space="0" w:color="auto"/>
            </w:tcBorders>
            <w:shd w:val="clear" w:color="auto" w:fill="auto"/>
            <w:noWrap/>
            <w:vAlign w:val="center"/>
            <w:hideMark/>
          </w:tcPr>
          <w:p w14:paraId="5B2533D6"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3D428B62"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CEA04FF" w14:textId="77777777" w:rsidR="00F25246" w:rsidRPr="00F25246" w:rsidRDefault="00F25246" w:rsidP="00717AB5">
            <w:pPr>
              <w:ind w:left="-14"/>
              <w:jc w:val="right"/>
              <w:rPr>
                <w:sz w:val="14"/>
                <w:szCs w:val="14"/>
                <w:lang w:eastAsia="tr-TR"/>
              </w:rPr>
            </w:pPr>
            <w:r w:rsidRPr="00F25246">
              <w:rPr>
                <w:sz w:val="14"/>
                <w:szCs w:val="14"/>
                <w:lang w:eastAsia="tr-TR"/>
              </w:rPr>
              <w:t>4,720,851</w:t>
            </w:r>
          </w:p>
        </w:tc>
        <w:tc>
          <w:tcPr>
            <w:tcW w:w="970" w:type="dxa"/>
            <w:tcBorders>
              <w:top w:val="nil"/>
              <w:left w:val="single" w:sz="4" w:space="0" w:color="auto"/>
              <w:bottom w:val="nil"/>
              <w:right w:val="single" w:sz="4" w:space="0" w:color="auto"/>
            </w:tcBorders>
            <w:shd w:val="clear" w:color="auto" w:fill="auto"/>
            <w:vAlign w:val="bottom"/>
            <w:hideMark/>
          </w:tcPr>
          <w:p w14:paraId="78CE6EAB" w14:textId="77777777" w:rsidR="00F25246" w:rsidRPr="00F25246" w:rsidRDefault="00F25246" w:rsidP="00717AB5">
            <w:pPr>
              <w:ind w:left="-14"/>
              <w:jc w:val="right"/>
              <w:rPr>
                <w:sz w:val="14"/>
                <w:szCs w:val="14"/>
                <w:lang w:eastAsia="tr-TR"/>
              </w:rPr>
            </w:pPr>
            <w:r w:rsidRPr="00F25246">
              <w:rPr>
                <w:sz w:val="14"/>
                <w:szCs w:val="14"/>
                <w:lang w:eastAsia="tr-TR"/>
              </w:rPr>
              <w:t>4,720,851</w:t>
            </w:r>
          </w:p>
        </w:tc>
        <w:tc>
          <w:tcPr>
            <w:tcW w:w="757" w:type="dxa"/>
            <w:gridSpan w:val="2"/>
            <w:tcBorders>
              <w:top w:val="nil"/>
              <w:left w:val="single" w:sz="4" w:space="0" w:color="auto"/>
              <w:bottom w:val="nil"/>
              <w:right w:val="single" w:sz="4" w:space="0" w:color="auto"/>
            </w:tcBorders>
            <w:shd w:val="clear" w:color="auto" w:fill="auto"/>
            <w:vAlign w:val="bottom"/>
            <w:hideMark/>
          </w:tcPr>
          <w:p w14:paraId="227893A1"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06C4448F" w14:textId="77777777" w:rsidR="00F25246" w:rsidRPr="00F25246" w:rsidRDefault="00F25246" w:rsidP="00717AB5">
            <w:pPr>
              <w:ind w:left="-14"/>
              <w:jc w:val="right"/>
              <w:rPr>
                <w:sz w:val="14"/>
                <w:szCs w:val="14"/>
                <w:lang w:eastAsia="tr-TR"/>
              </w:rPr>
            </w:pPr>
            <w:r w:rsidRPr="00F25246">
              <w:rPr>
                <w:sz w:val="14"/>
                <w:szCs w:val="14"/>
                <w:lang w:eastAsia="tr-TR"/>
              </w:rPr>
              <w:t>3,380,983</w:t>
            </w:r>
          </w:p>
        </w:tc>
        <w:tc>
          <w:tcPr>
            <w:tcW w:w="910" w:type="dxa"/>
            <w:tcBorders>
              <w:top w:val="nil"/>
              <w:left w:val="single" w:sz="4" w:space="0" w:color="auto"/>
              <w:bottom w:val="nil"/>
              <w:right w:val="single" w:sz="4" w:space="0" w:color="auto"/>
            </w:tcBorders>
            <w:shd w:val="clear" w:color="auto" w:fill="auto"/>
            <w:vAlign w:val="bottom"/>
            <w:hideMark/>
          </w:tcPr>
          <w:p w14:paraId="3286D6DA" w14:textId="77777777" w:rsidR="00F25246" w:rsidRPr="00F25246" w:rsidRDefault="00F25246" w:rsidP="00717AB5">
            <w:pPr>
              <w:ind w:left="-14"/>
              <w:jc w:val="right"/>
              <w:rPr>
                <w:sz w:val="14"/>
                <w:szCs w:val="14"/>
                <w:lang w:eastAsia="tr-TR"/>
              </w:rPr>
            </w:pPr>
            <w:r w:rsidRPr="00F25246">
              <w:rPr>
                <w:sz w:val="14"/>
                <w:szCs w:val="14"/>
                <w:lang w:eastAsia="tr-TR"/>
              </w:rPr>
              <w:t>3,380,983</w:t>
            </w:r>
          </w:p>
        </w:tc>
      </w:tr>
      <w:tr w:rsidR="00F25246" w:rsidRPr="00F25246" w14:paraId="0FDD3C72"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19D07462"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XIII.</w:t>
            </w:r>
          </w:p>
        </w:tc>
        <w:tc>
          <w:tcPr>
            <w:tcW w:w="3278" w:type="dxa"/>
            <w:tcBorders>
              <w:top w:val="nil"/>
              <w:left w:val="single" w:sz="4" w:space="0" w:color="auto"/>
              <w:bottom w:val="nil"/>
              <w:right w:val="single" w:sz="4" w:space="0" w:color="auto"/>
            </w:tcBorders>
            <w:shd w:val="clear" w:color="auto" w:fill="auto"/>
            <w:vAlign w:val="center"/>
            <w:hideMark/>
          </w:tcPr>
          <w:p w14:paraId="6D0D8294"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DİĞER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3A5763B3"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(5.2.4.)</w:t>
            </w:r>
          </w:p>
        </w:tc>
        <w:tc>
          <w:tcPr>
            <w:tcW w:w="783" w:type="dxa"/>
            <w:tcBorders>
              <w:top w:val="nil"/>
              <w:left w:val="single" w:sz="4" w:space="0" w:color="auto"/>
              <w:bottom w:val="nil"/>
              <w:right w:val="single" w:sz="4" w:space="0" w:color="auto"/>
            </w:tcBorders>
            <w:shd w:val="clear" w:color="auto" w:fill="auto"/>
            <w:vAlign w:val="bottom"/>
            <w:hideMark/>
          </w:tcPr>
          <w:p w14:paraId="45988E49" w14:textId="77777777" w:rsidR="00F25246" w:rsidRPr="00F25246" w:rsidRDefault="00F25246" w:rsidP="00717AB5">
            <w:pPr>
              <w:ind w:left="-14"/>
              <w:jc w:val="right"/>
              <w:rPr>
                <w:b/>
                <w:bCs/>
                <w:sz w:val="14"/>
                <w:szCs w:val="14"/>
                <w:lang w:eastAsia="tr-TR"/>
              </w:rPr>
            </w:pPr>
            <w:r w:rsidRPr="00F25246">
              <w:rPr>
                <w:b/>
                <w:bCs/>
                <w:sz w:val="14"/>
                <w:szCs w:val="14"/>
                <w:lang w:eastAsia="tr-TR"/>
              </w:rPr>
              <w:t>1,354,238</w:t>
            </w:r>
          </w:p>
        </w:tc>
        <w:tc>
          <w:tcPr>
            <w:tcW w:w="851" w:type="dxa"/>
            <w:tcBorders>
              <w:top w:val="nil"/>
              <w:left w:val="single" w:sz="4" w:space="0" w:color="auto"/>
              <w:bottom w:val="nil"/>
              <w:right w:val="single" w:sz="4" w:space="0" w:color="auto"/>
            </w:tcBorders>
            <w:shd w:val="clear" w:color="auto" w:fill="auto"/>
            <w:vAlign w:val="bottom"/>
            <w:hideMark/>
          </w:tcPr>
          <w:p w14:paraId="08977292" w14:textId="77777777" w:rsidR="00F25246" w:rsidRPr="00F25246" w:rsidRDefault="00F25246" w:rsidP="00717AB5">
            <w:pPr>
              <w:ind w:left="-14"/>
              <w:jc w:val="right"/>
              <w:rPr>
                <w:b/>
                <w:bCs/>
                <w:sz w:val="14"/>
                <w:szCs w:val="14"/>
                <w:lang w:eastAsia="tr-TR"/>
              </w:rPr>
            </w:pPr>
            <w:r w:rsidRPr="00F25246">
              <w:rPr>
                <w:b/>
                <w:bCs/>
                <w:sz w:val="14"/>
                <w:szCs w:val="14"/>
                <w:lang w:eastAsia="tr-TR"/>
              </w:rPr>
              <w:t>751,075</w:t>
            </w:r>
          </w:p>
        </w:tc>
        <w:tc>
          <w:tcPr>
            <w:tcW w:w="970" w:type="dxa"/>
            <w:tcBorders>
              <w:top w:val="nil"/>
              <w:left w:val="single" w:sz="4" w:space="0" w:color="auto"/>
              <w:bottom w:val="nil"/>
              <w:right w:val="single" w:sz="4" w:space="0" w:color="auto"/>
            </w:tcBorders>
            <w:shd w:val="clear" w:color="auto" w:fill="auto"/>
            <w:vAlign w:val="bottom"/>
            <w:hideMark/>
          </w:tcPr>
          <w:p w14:paraId="3512FBAB" w14:textId="77777777" w:rsidR="00F25246" w:rsidRPr="00F25246" w:rsidRDefault="00F25246" w:rsidP="00717AB5">
            <w:pPr>
              <w:ind w:left="-14"/>
              <w:jc w:val="right"/>
              <w:rPr>
                <w:b/>
                <w:bCs/>
                <w:sz w:val="14"/>
                <w:szCs w:val="14"/>
                <w:lang w:eastAsia="tr-TR"/>
              </w:rPr>
            </w:pPr>
            <w:r w:rsidRPr="00F25246">
              <w:rPr>
                <w:b/>
                <w:bCs/>
                <w:sz w:val="14"/>
                <w:szCs w:val="14"/>
                <w:lang w:eastAsia="tr-TR"/>
              </w:rPr>
              <w:t>2,105,313</w:t>
            </w:r>
          </w:p>
        </w:tc>
        <w:tc>
          <w:tcPr>
            <w:tcW w:w="757" w:type="dxa"/>
            <w:gridSpan w:val="2"/>
            <w:tcBorders>
              <w:top w:val="nil"/>
              <w:left w:val="single" w:sz="4" w:space="0" w:color="auto"/>
              <w:bottom w:val="nil"/>
              <w:right w:val="single" w:sz="4" w:space="0" w:color="auto"/>
            </w:tcBorders>
            <w:shd w:val="clear" w:color="auto" w:fill="auto"/>
            <w:vAlign w:val="bottom"/>
            <w:hideMark/>
          </w:tcPr>
          <w:p w14:paraId="344DA48A" w14:textId="77777777" w:rsidR="00F25246" w:rsidRPr="00F25246" w:rsidRDefault="00F25246" w:rsidP="00717AB5">
            <w:pPr>
              <w:ind w:left="-14"/>
              <w:jc w:val="right"/>
              <w:rPr>
                <w:b/>
                <w:bCs/>
                <w:sz w:val="14"/>
                <w:szCs w:val="14"/>
                <w:lang w:eastAsia="tr-TR"/>
              </w:rPr>
            </w:pPr>
            <w:r w:rsidRPr="00F25246">
              <w:rPr>
                <w:b/>
                <w:bCs/>
                <w:sz w:val="14"/>
                <w:szCs w:val="14"/>
                <w:lang w:eastAsia="tr-TR"/>
              </w:rPr>
              <w:t>1,023,193</w:t>
            </w:r>
          </w:p>
        </w:tc>
        <w:tc>
          <w:tcPr>
            <w:tcW w:w="758" w:type="dxa"/>
            <w:tcBorders>
              <w:top w:val="nil"/>
              <w:left w:val="single" w:sz="4" w:space="0" w:color="auto"/>
              <w:bottom w:val="nil"/>
              <w:right w:val="single" w:sz="4" w:space="0" w:color="auto"/>
            </w:tcBorders>
            <w:shd w:val="clear" w:color="auto" w:fill="auto"/>
            <w:vAlign w:val="bottom"/>
            <w:hideMark/>
          </w:tcPr>
          <w:p w14:paraId="21AE1EAC" w14:textId="77777777" w:rsidR="00F25246" w:rsidRPr="00F25246" w:rsidRDefault="00F25246" w:rsidP="00717AB5">
            <w:pPr>
              <w:ind w:left="-14"/>
              <w:jc w:val="right"/>
              <w:rPr>
                <w:b/>
                <w:bCs/>
                <w:sz w:val="14"/>
                <w:szCs w:val="14"/>
                <w:lang w:eastAsia="tr-TR"/>
              </w:rPr>
            </w:pPr>
            <w:r w:rsidRPr="00F25246">
              <w:rPr>
                <w:b/>
                <w:bCs/>
                <w:sz w:val="14"/>
                <w:szCs w:val="14"/>
                <w:lang w:eastAsia="tr-TR"/>
              </w:rPr>
              <w:t>262,080</w:t>
            </w:r>
          </w:p>
        </w:tc>
        <w:tc>
          <w:tcPr>
            <w:tcW w:w="910" w:type="dxa"/>
            <w:tcBorders>
              <w:top w:val="nil"/>
              <w:left w:val="single" w:sz="4" w:space="0" w:color="auto"/>
              <w:bottom w:val="nil"/>
              <w:right w:val="single" w:sz="4" w:space="0" w:color="auto"/>
            </w:tcBorders>
            <w:shd w:val="clear" w:color="auto" w:fill="auto"/>
            <w:vAlign w:val="bottom"/>
            <w:hideMark/>
          </w:tcPr>
          <w:p w14:paraId="2FDB6C79" w14:textId="77777777" w:rsidR="00F25246" w:rsidRPr="00F25246" w:rsidRDefault="00F25246" w:rsidP="00717AB5">
            <w:pPr>
              <w:ind w:left="-14"/>
              <w:jc w:val="right"/>
              <w:rPr>
                <w:b/>
                <w:bCs/>
                <w:sz w:val="14"/>
                <w:szCs w:val="14"/>
                <w:lang w:eastAsia="tr-TR"/>
              </w:rPr>
            </w:pPr>
            <w:r w:rsidRPr="00F25246">
              <w:rPr>
                <w:b/>
                <w:bCs/>
                <w:sz w:val="14"/>
                <w:szCs w:val="14"/>
                <w:lang w:eastAsia="tr-TR"/>
              </w:rPr>
              <w:t>1,285,273</w:t>
            </w:r>
          </w:p>
        </w:tc>
      </w:tr>
      <w:tr w:rsidR="00F25246" w:rsidRPr="00F25246" w14:paraId="440EE033" w14:textId="77777777" w:rsidTr="00717AB5">
        <w:trPr>
          <w:divId w:val="1907639562"/>
          <w:trHeight w:val="190"/>
        </w:trPr>
        <w:tc>
          <w:tcPr>
            <w:tcW w:w="525" w:type="dxa"/>
            <w:tcBorders>
              <w:top w:val="nil"/>
              <w:left w:val="single" w:sz="4" w:space="0" w:color="auto"/>
              <w:bottom w:val="nil"/>
              <w:right w:val="single" w:sz="4" w:space="0" w:color="auto"/>
            </w:tcBorders>
            <w:shd w:val="clear" w:color="auto" w:fill="auto"/>
            <w:noWrap/>
            <w:vAlign w:val="center"/>
            <w:hideMark/>
          </w:tcPr>
          <w:p w14:paraId="356496C4"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XIV.</w:t>
            </w:r>
          </w:p>
        </w:tc>
        <w:tc>
          <w:tcPr>
            <w:tcW w:w="3278" w:type="dxa"/>
            <w:tcBorders>
              <w:top w:val="nil"/>
              <w:left w:val="single" w:sz="4" w:space="0" w:color="auto"/>
              <w:bottom w:val="nil"/>
              <w:right w:val="single" w:sz="4" w:space="0" w:color="auto"/>
            </w:tcBorders>
            <w:shd w:val="clear" w:color="auto" w:fill="auto"/>
            <w:vAlign w:val="center"/>
            <w:hideMark/>
          </w:tcPr>
          <w:p w14:paraId="6EF89D44"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ÖZKAYNAKLAR</w:t>
            </w:r>
          </w:p>
        </w:tc>
        <w:tc>
          <w:tcPr>
            <w:tcW w:w="654" w:type="dxa"/>
            <w:tcBorders>
              <w:top w:val="nil"/>
              <w:left w:val="single" w:sz="4" w:space="0" w:color="auto"/>
              <w:bottom w:val="nil"/>
              <w:right w:val="single" w:sz="4" w:space="0" w:color="auto"/>
            </w:tcBorders>
            <w:shd w:val="clear" w:color="auto" w:fill="auto"/>
            <w:noWrap/>
            <w:vAlign w:val="center"/>
            <w:hideMark/>
          </w:tcPr>
          <w:p w14:paraId="52B61F28"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(5.2.11.)</w:t>
            </w:r>
          </w:p>
        </w:tc>
        <w:tc>
          <w:tcPr>
            <w:tcW w:w="783" w:type="dxa"/>
            <w:tcBorders>
              <w:top w:val="nil"/>
              <w:left w:val="single" w:sz="4" w:space="0" w:color="auto"/>
              <w:bottom w:val="nil"/>
              <w:right w:val="single" w:sz="4" w:space="0" w:color="auto"/>
            </w:tcBorders>
            <w:shd w:val="clear" w:color="auto" w:fill="auto"/>
            <w:vAlign w:val="bottom"/>
            <w:hideMark/>
          </w:tcPr>
          <w:p w14:paraId="2FD61946" w14:textId="77777777" w:rsidR="00F25246" w:rsidRPr="00F25246" w:rsidRDefault="00F25246" w:rsidP="00717AB5">
            <w:pPr>
              <w:ind w:left="-14"/>
              <w:jc w:val="right"/>
              <w:rPr>
                <w:b/>
                <w:bCs/>
                <w:sz w:val="14"/>
                <w:szCs w:val="14"/>
                <w:lang w:eastAsia="tr-TR"/>
              </w:rPr>
            </w:pPr>
            <w:r w:rsidRPr="00F25246">
              <w:rPr>
                <w:b/>
                <w:bCs/>
                <w:sz w:val="14"/>
                <w:szCs w:val="14"/>
                <w:lang w:eastAsia="tr-TR"/>
              </w:rPr>
              <w:t>7,532,382</w:t>
            </w:r>
          </w:p>
        </w:tc>
        <w:tc>
          <w:tcPr>
            <w:tcW w:w="851" w:type="dxa"/>
            <w:tcBorders>
              <w:top w:val="nil"/>
              <w:left w:val="single" w:sz="4" w:space="0" w:color="auto"/>
              <w:bottom w:val="nil"/>
              <w:right w:val="single" w:sz="4" w:space="0" w:color="auto"/>
            </w:tcBorders>
            <w:shd w:val="clear" w:color="auto" w:fill="auto"/>
            <w:vAlign w:val="bottom"/>
            <w:hideMark/>
          </w:tcPr>
          <w:p w14:paraId="439460CE" w14:textId="77777777" w:rsidR="00F25246" w:rsidRPr="00F25246" w:rsidRDefault="00F25246" w:rsidP="00717AB5">
            <w:pPr>
              <w:ind w:left="-14"/>
              <w:jc w:val="right"/>
              <w:rPr>
                <w:b/>
                <w:bCs/>
                <w:sz w:val="14"/>
                <w:szCs w:val="14"/>
                <w:lang w:eastAsia="tr-TR"/>
              </w:rPr>
            </w:pPr>
            <w:r w:rsidRPr="00F25246">
              <w:rPr>
                <w:b/>
                <w:bCs/>
                <w:sz w:val="14"/>
                <w:szCs w:val="14"/>
                <w:lang w:eastAsia="tr-TR"/>
              </w:rPr>
              <w:t>(339)</w:t>
            </w:r>
          </w:p>
        </w:tc>
        <w:tc>
          <w:tcPr>
            <w:tcW w:w="970" w:type="dxa"/>
            <w:tcBorders>
              <w:top w:val="nil"/>
              <w:left w:val="single" w:sz="4" w:space="0" w:color="auto"/>
              <w:bottom w:val="nil"/>
              <w:right w:val="single" w:sz="4" w:space="0" w:color="auto"/>
            </w:tcBorders>
            <w:shd w:val="clear" w:color="auto" w:fill="auto"/>
            <w:vAlign w:val="bottom"/>
            <w:hideMark/>
          </w:tcPr>
          <w:p w14:paraId="2E529887" w14:textId="77777777" w:rsidR="00F25246" w:rsidRPr="00F25246" w:rsidRDefault="00F25246" w:rsidP="00717AB5">
            <w:pPr>
              <w:ind w:left="-14"/>
              <w:jc w:val="right"/>
              <w:rPr>
                <w:b/>
                <w:bCs/>
                <w:sz w:val="14"/>
                <w:szCs w:val="14"/>
                <w:lang w:eastAsia="tr-TR"/>
              </w:rPr>
            </w:pPr>
            <w:r w:rsidRPr="00F25246">
              <w:rPr>
                <w:b/>
                <w:bCs/>
                <w:sz w:val="14"/>
                <w:szCs w:val="14"/>
                <w:lang w:eastAsia="tr-TR"/>
              </w:rPr>
              <w:t>7,532,043</w:t>
            </w:r>
          </w:p>
        </w:tc>
        <w:tc>
          <w:tcPr>
            <w:tcW w:w="757" w:type="dxa"/>
            <w:gridSpan w:val="2"/>
            <w:tcBorders>
              <w:top w:val="nil"/>
              <w:left w:val="single" w:sz="4" w:space="0" w:color="auto"/>
              <w:bottom w:val="nil"/>
              <w:right w:val="single" w:sz="4" w:space="0" w:color="auto"/>
            </w:tcBorders>
            <w:shd w:val="clear" w:color="auto" w:fill="auto"/>
            <w:vAlign w:val="bottom"/>
            <w:hideMark/>
          </w:tcPr>
          <w:p w14:paraId="31B236C8" w14:textId="77777777" w:rsidR="00F25246" w:rsidRPr="00F25246" w:rsidRDefault="00F25246" w:rsidP="00717AB5">
            <w:pPr>
              <w:ind w:left="-14"/>
              <w:jc w:val="right"/>
              <w:rPr>
                <w:b/>
                <w:bCs/>
                <w:sz w:val="14"/>
                <w:szCs w:val="14"/>
                <w:lang w:eastAsia="tr-TR"/>
              </w:rPr>
            </w:pPr>
            <w:r w:rsidRPr="00F25246">
              <w:rPr>
                <w:b/>
                <w:bCs/>
                <w:sz w:val="14"/>
                <w:szCs w:val="14"/>
                <w:lang w:eastAsia="tr-TR"/>
              </w:rPr>
              <w:t>6,742,813</w:t>
            </w:r>
          </w:p>
        </w:tc>
        <w:tc>
          <w:tcPr>
            <w:tcW w:w="758" w:type="dxa"/>
            <w:tcBorders>
              <w:top w:val="nil"/>
              <w:left w:val="single" w:sz="4" w:space="0" w:color="auto"/>
              <w:bottom w:val="nil"/>
              <w:right w:val="single" w:sz="4" w:space="0" w:color="auto"/>
            </w:tcBorders>
            <w:shd w:val="clear" w:color="auto" w:fill="auto"/>
            <w:vAlign w:val="bottom"/>
            <w:hideMark/>
          </w:tcPr>
          <w:p w14:paraId="1CEC51ED" w14:textId="77777777" w:rsidR="00F25246" w:rsidRPr="00F25246" w:rsidRDefault="00F25246" w:rsidP="00717AB5">
            <w:pPr>
              <w:ind w:left="-14"/>
              <w:jc w:val="right"/>
              <w:rPr>
                <w:b/>
                <w:bCs/>
                <w:sz w:val="14"/>
                <w:szCs w:val="14"/>
                <w:lang w:eastAsia="tr-TR"/>
              </w:rPr>
            </w:pPr>
            <w:r w:rsidRPr="00F25246">
              <w:rPr>
                <w:b/>
                <w:bCs/>
                <w:sz w:val="14"/>
                <w:szCs w:val="14"/>
                <w:lang w:eastAsia="tr-TR"/>
              </w:rPr>
              <w:t>78,477</w:t>
            </w:r>
          </w:p>
        </w:tc>
        <w:tc>
          <w:tcPr>
            <w:tcW w:w="910" w:type="dxa"/>
            <w:tcBorders>
              <w:top w:val="nil"/>
              <w:left w:val="single" w:sz="4" w:space="0" w:color="auto"/>
              <w:bottom w:val="nil"/>
              <w:right w:val="single" w:sz="4" w:space="0" w:color="auto"/>
            </w:tcBorders>
            <w:shd w:val="clear" w:color="auto" w:fill="auto"/>
            <w:vAlign w:val="bottom"/>
            <w:hideMark/>
          </w:tcPr>
          <w:p w14:paraId="310FBE93" w14:textId="77777777" w:rsidR="00F25246" w:rsidRPr="00F25246" w:rsidRDefault="00F25246" w:rsidP="00717AB5">
            <w:pPr>
              <w:ind w:left="-14"/>
              <w:jc w:val="right"/>
              <w:rPr>
                <w:b/>
                <w:bCs/>
                <w:sz w:val="14"/>
                <w:szCs w:val="14"/>
                <w:lang w:eastAsia="tr-TR"/>
              </w:rPr>
            </w:pPr>
            <w:r w:rsidRPr="00F25246">
              <w:rPr>
                <w:b/>
                <w:bCs/>
                <w:sz w:val="14"/>
                <w:szCs w:val="14"/>
                <w:lang w:eastAsia="tr-TR"/>
              </w:rPr>
              <w:t>6,821,290</w:t>
            </w:r>
          </w:p>
        </w:tc>
      </w:tr>
      <w:tr w:rsidR="00F25246" w:rsidRPr="00F25246" w14:paraId="26354EB1"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09BBD35B" w14:textId="77777777" w:rsidR="00F25246" w:rsidRPr="00F25246" w:rsidRDefault="00F25246" w:rsidP="00F25246">
            <w:pPr>
              <w:rPr>
                <w:color w:val="000000"/>
                <w:sz w:val="14"/>
                <w:szCs w:val="14"/>
                <w:lang w:eastAsia="tr-TR"/>
              </w:rPr>
            </w:pPr>
            <w:r w:rsidRPr="00F25246">
              <w:rPr>
                <w:color w:val="000000"/>
                <w:sz w:val="14"/>
                <w:szCs w:val="14"/>
                <w:lang w:eastAsia="tr-TR"/>
              </w:rPr>
              <w:t>14.1.</w:t>
            </w:r>
          </w:p>
        </w:tc>
        <w:tc>
          <w:tcPr>
            <w:tcW w:w="3278" w:type="dxa"/>
            <w:tcBorders>
              <w:top w:val="nil"/>
              <w:left w:val="single" w:sz="4" w:space="0" w:color="auto"/>
              <w:bottom w:val="nil"/>
              <w:right w:val="single" w:sz="4" w:space="0" w:color="auto"/>
            </w:tcBorders>
            <w:shd w:val="clear" w:color="auto" w:fill="auto"/>
            <w:noWrap/>
            <w:vAlign w:val="center"/>
            <w:hideMark/>
          </w:tcPr>
          <w:p w14:paraId="05A800D6" w14:textId="77777777" w:rsidR="00F25246" w:rsidRPr="00F25246" w:rsidRDefault="00F25246" w:rsidP="00F25246">
            <w:pPr>
              <w:rPr>
                <w:color w:val="000000"/>
                <w:sz w:val="14"/>
                <w:szCs w:val="14"/>
                <w:lang w:eastAsia="tr-TR"/>
              </w:rPr>
            </w:pPr>
            <w:r w:rsidRPr="00F25246">
              <w:rPr>
                <w:color w:val="000000"/>
                <w:sz w:val="14"/>
                <w:szCs w:val="14"/>
                <w:lang w:eastAsia="tr-TR"/>
              </w:rPr>
              <w:t>Ödenmiş Sermaye</w:t>
            </w:r>
          </w:p>
        </w:tc>
        <w:tc>
          <w:tcPr>
            <w:tcW w:w="654" w:type="dxa"/>
            <w:tcBorders>
              <w:top w:val="nil"/>
              <w:left w:val="single" w:sz="4" w:space="0" w:color="auto"/>
              <w:bottom w:val="nil"/>
              <w:right w:val="single" w:sz="4" w:space="0" w:color="auto"/>
            </w:tcBorders>
            <w:shd w:val="clear" w:color="auto" w:fill="auto"/>
            <w:noWrap/>
            <w:vAlign w:val="center"/>
            <w:hideMark/>
          </w:tcPr>
          <w:p w14:paraId="1934BCC1"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1739F5A2" w14:textId="77777777" w:rsidR="00F25246" w:rsidRPr="00F25246" w:rsidRDefault="00F25246" w:rsidP="00717AB5">
            <w:pPr>
              <w:ind w:left="-14"/>
              <w:jc w:val="right"/>
              <w:rPr>
                <w:sz w:val="14"/>
                <w:szCs w:val="14"/>
                <w:lang w:eastAsia="tr-TR"/>
              </w:rPr>
            </w:pPr>
            <w:r w:rsidRPr="00F25246">
              <w:rPr>
                <w:sz w:val="14"/>
                <w:szCs w:val="14"/>
                <w:lang w:eastAsia="tr-TR"/>
              </w:rPr>
              <w:t>4,595,131</w:t>
            </w:r>
          </w:p>
        </w:tc>
        <w:tc>
          <w:tcPr>
            <w:tcW w:w="851" w:type="dxa"/>
            <w:tcBorders>
              <w:top w:val="nil"/>
              <w:left w:val="single" w:sz="4" w:space="0" w:color="auto"/>
              <w:bottom w:val="nil"/>
              <w:right w:val="single" w:sz="4" w:space="0" w:color="auto"/>
            </w:tcBorders>
            <w:shd w:val="clear" w:color="auto" w:fill="auto"/>
            <w:vAlign w:val="bottom"/>
            <w:hideMark/>
          </w:tcPr>
          <w:p w14:paraId="25910033"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46C16EC8" w14:textId="77777777" w:rsidR="00F25246" w:rsidRPr="00F25246" w:rsidRDefault="00F25246" w:rsidP="00717AB5">
            <w:pPr>
              <w:ind w:left="-14"/>
              <w:jc w:val="right"/>
              <w:rPr>
                <w:sz w:val="14"/>
                <w:szCs w:val="14"/>
                <w:lang w:eastAsia="tr-TR"/>
              </w:rPr>
            </w:pPr>
            <w:r w:rsidRPr="00F25246">
              <w:rPr>
                <w:sz w:val="14"/>
                <w:szCs w:val="14"/>
                <w:lang w:eastAsia="tr-TR"/>
              </w:rPr>
              <w:t>4,595,131</w:t>
            </w:r>
          </w:p>
        </w:tc>
        <w:tc>
          <w:tcPr>
            <w:tcW w:w="757" w:type="dxa"/>
            <w:gridSpan w:val="2"/>
            <w:tcBorders>
              <w:top w:val="nil"/>
              <w:left w:val="single" w:sz="4" w:space="0" w:color="auto"/>
              <w:bottom w:val="nil"/>
              <w:right w:val="single" w:sz="4" w:space="0" w:color="auto"/>
            </w:tcBorders>
            <w:shd w:val="clear" w:color="auto" w:fill="auto"/>
            <w:vAlign w:val="bottom"/>
            <w:hideMark/>
          </w:tcPr>
          <w:p w14:paraId="05C3C8B9" w14:textId="77777777" w:rsidR="00F25246" w:rsidRPr="00F25246" w:rsidRDefault="00F25246" w:rsidP="00717AB5">
            <w:pPr>
              <w:ind w:left="-14"/>
              <w:jc w:val="right"/>
              <w:rPr>
                <w:sz w:val="14"/>
                <w:szCs w:val="14"/>
                <w:lang w:eastAsia="tr-TR"/>
              </w:rPr>
            </w:pPr>
            <w:r w:rsidRPr="00F25246">
              <w:rPr>
                <w:sz w:val="14"/>
                <w:szCs w:val="14"/>
                <w:lang w:eastAsia="tr-TR"/>
              </w:rPr>
              <w:t>3,995,766</w:t>
            </w:r>
          </w:p>
        </w:tc>
        <w:tc>
          <w:tcPr>
            <w:tcW w:w="758" w:type="dxa"/>
            <w:tcBorders>
              <w:top w:val="nil"/>
              <w:left w:val="single" w:sz="4" w:space="0" w:color="auto"/>
              <w:bottom w:val="nil"/>
              <w:right w:val="single" w:sz="4" w:space="0" w:color="auto"/>
            </w:tcBorders>
            <w:shd w:val="clear" w:color="auto" w:fill="auto"/>
            <w:vAlign w:val="bottom"/>
            <w:hideMark/>
          </w:tcPr>
          <w:p w14:paraId="42F8216C"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4426F943" w14:textId="77777777" w:rsidR="00F25246" w:rsidRPr="00F25246" w:rsidRDefault="00F25246" w:rsidP="00717AB5">
            <w:pPr>
              <w:ind w:left="-14"/>
              <w:jc w:val="right"/>
              <w:rPr>
                <w:sz w:val="14"/>
                <w:szCs w:val="14"/>
                <w:lang w:eastAsia="tr-TR"/>
              </w:rPr>
            </w:pPr>
            <w:r w:rsidRPr="00F25246">
              <w:rPr>
                <w:sz w:val="14"/>
                <w:szCs w:val="14"/>
                <w:lang w:eastAsia="tr-TR"/>
              </w:rPr>
              <w:t>3,995,766</w:t>
            </w:r>
          </w:p>
        </w:tc>
      </w:tr>
      <w:tr w:rsidR="00F25246" w:rsidRPr="00F25246" w14:paraId="1166DBD9"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66189D7D" w14:textId="77777777" w:rsidR="00F25246" w:rsidRPr="00F25246" w:rsidRDefault="00F25246" w:rsidP="00F25246">
            <w:pPr>
              <w:rPr>
                <w:color w:val="000000"/>
                <w:sz w:val="14"/>
                <w:szCs w:val="14"/>
                <w:lang w:eastAsia="tr-TR"/>
              </w:rPr>
            </w:pPr>
            <w:r w:rsidRPr="00F25246">
              <w:rPr>
                <w:color w:val="000000"/>
                <w:sz w:val="14"/>
                <w:szCs w:val="14"/>
                <w:lang w:eastAsia="tr-TR"/>
              </w:rPr>
              <w:t>14.2.</w:t>
            </w:r>
          </w:p>
        </w:tc>
        <w:tc>
          <w:tcPr>
            <w:tcW w:w="3278" w:type="dxa"/>
            <w:tcBorders>
              <w:top w:val="nil"/>
              <w:left w:val="single" w:sz="4" w:space="0" w:color="auto"/>
              <w:bottom w:val="nil"/>
              <w:right w:val="single" w:sz="4" w:space="0" w:color="auto"/>
            </w:tcBorders>
            <w:shd w:val="clear" w:color="auto" w:fill="auto"/>
            <w:noWrap/>
            <w:vAlign w:val="center"/>
            <w:hideMark/>
          </w:tcPr>
          <w:p w14:paraId="595E9F4C" w14:textId="77777777" w:rsidR="00F25246" w:rsidRPr="00F25246" w:rsidRDefault="00F25246" w:rsidP="00F25246">
            <w:pPr>
              <w:rPr>
                <w:color w:val="000000"/>
                <w:sz w:val="14"/>
                <w:szCs w:val="14"/>
                <w:lang w:eastAsia="tr-TR"/>
              </w:rPr>
            </w:pPr>
            <w:r w:rsidRPr="00F25246">
              <w:rPr>
                <w:color w:val="000000"/>
                <w:sz w:val="14"/>
                <w:szCs w:val="14"/>
                <w:lang w:eastAsia="tr-TR"/>
              </w:rPr>
              <w:t>Sermaye Yedekleri</w:t>
            </w:r>
          </w:p>
        </w:tc>
        <w:tc>
          <w:tcPr>
            <w:tcW w:w="654" w:type="dxa"/>
            <w:tcBorders>
              <w:top w:val="nil"/>
              <w:left w:val="single" w:sz="4" w:space="0" w:color="auto"/>
              <w:bottom w:val="nil"/>
              <w:right w:val="single" w:sz="4" w:space="0" w:color="auto"/>
            </w:tcBorders>
            <w:shd w:val="clear" w:color="auto" w:fill="auto"/>
            <w:noWrap/>
            <w:vAlign w:val="center"/>
            <w:hideMark/>
          </w:tcPr>
          <w:p w14:paraId="1E120D1D"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358DD798" w14:textId="77777777" w:rsidR="00F25246" w:rsidRPr="00F25246" w:rsidRDefault="00F25246" w:rsidP="00717AB5">
            <w:pPr>
              <w:ind w:left="-14"/>
              <w:jc w:val="right"/>
              <w:rPr>
                <w:sz w:val="14"/>
                <w:szCs w:val="14"/>
                <w:lang w:eastAsia="tr-TR"/>
              </w:rPr>
            </w:pPr>
            <w:r w:rsidRPr="00F25246">
              <w:rPr>
                <w:sz w:val="14"/>
                <w:szCs w:val="14"/>
                <w:lang w:eastAsia="tr-TR"/>
              </w:rPr>
              <w:t>25,124</w:t>
            </w:r>
          </w:p>
        </w:tc>
        <w:tc>
          <w:tcPr>
            <w:tcW w:w="851" w:type="dxa"/>
            <w:tcBorders>
              <w:top w:val="nil"/>
              <w:left w:val="single" w:sz="4" w:space="0" w:color="auto"/>
              <w:bottom w:val="nil"/>
              <w:right w:val="single" w:sz="4" w:space="0" w:color="auto"/>
            </w:tcBorders>
            <w:shd w:val="clear" w:color="auto" w:fill="auto"/>
            <w:vAlign w:val="bottom"/>
            <w:hideMark/>
          </w:tcPr>
          <w:p w14:paraId="1D94B5B1"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6D0B081D" w14:textId="77777777" w:rsidR="00F25246" w:rsidRPr="00F25246" w:rsidRDefault="00F25246" w:rsidP="00717AB5">
            <w:pPr>
              <w:ind w:left="-14"/>
              <w:jc w:val="right"/>
              <w:rPr>
                <w:sz w:val="14"/>
                <w:szCs w:val="14"/>
                <w:lang w:eastAsia="tr-TR"/>
              </w:rPr>
            </w:pPr>
            <w:r w:rsidRPr="00F25246">
              <w:rPr>
                <w:sz w:val="14"/>
                <w:szCs w:val="14"/>
                <w:lang w:eastAsia="tr-TR"/>
              </w:rPr>
              <w:t>25,124</w:t>
            </w:r>
          </w:p>
        </w:tc>
        <w:tc>
          <w:tcPr>
            <w:tcW w:w="757" w:type="dxa"/>
            <w:gridSpan w:val="2"/>
            <w:tcBorders>
              <w:top w:val="nil"/>
              <w:left w:val="single" w:sz="4" w:space="0" w:color="auto"/>
              <w:bottom w:val="nil"/>
              <w:right w:val="single" w:sz="4" w:space="0" w:color="auto"/>
            </w:tcBorders>
            <w:shd w:val="clear" w:color="auto" w:fill="auto"/>
            <w:vAlign w:val="bottom"/>
            <w:hideMark/>
          </w:tcPr>
          <w:p w14:paraId="5B431EF2" w14:textId="77777777" w:rsidR="00F25246" w:rsidRPr="00F25246" w:rsidRDefault="00F25246" w:rsidP="00717AB5">
            <w:pPr>
              <w:ind w:left="-14"/>
              <w:jc w:val="right"/>
              <w:rPr>
                <w:sz w:val="14"/>
                <w:szCs w:val="14"/>
                <w:lang w:eastAsia="tr-TR"/>
              </w:rPr>
            </w:pPr>
            <w:r w:rsidRPr="00F25246">
              <w:rPr>
                <w:sz w:val="14"/>
                <w:szCs w:val="14"/>
                <w:lang w:eastAsia="tr-TR"/>
              </w:rPr>
              <w:t>24,489</w:t>
            </w:r>
          </w:p>
        </w:tc>
        <w:tc>
          <w:tcPr>
            <w:tcW w:w="758" w:type="dxa"/>
            <w:tcBorders>
              <w:top w:val="nil"/>
              <w:left w:val="single" w:sz="4" w:space="0" w:color="auto"/>
              <w:bottom w:val="nil"/>
              <w:right w:val="single" w:sz="4" w:space="0" w:color="auto"/>
            </w:tcBorders>
            <w:shd w:val="clear" w:color="auto" w:fill="auto"/>
            <w:vAlign w:val="bottom"/>
            <w:hideMark/>
          </w:tcPr>
          <w:p w14:paraId="3906FEA9"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5C645D94" w14:textId="77777777" w:rsidR="00F25246" w:rsidRPr="00F25246" w:rsidRDefault="00F25246" w:rsidP="00717AB5">
            <w:pPr>
              <w:ind w:left="-14"/>
              <w:jc w:val="right"/>
              <w:rPr>
                <w:sz w:val="14"/>
                <w:szCs w:val="14"/>
                <w:lang w:eastAsia="tr-TR"/>
              </w:rPr>
            </w:pPr>
            <w:r w:rsidRPr="00F25246">
              <w:rPr>
                <w:sz w:val="14"/>
                <w:szCs w:val="14"/>
                <w:lang w:eastAsia="tr-TR"/>
              </w:rPr>
              <w:t>24,489</w:t>
            </w:r>
          </w:p>
        </w:tc>
      </w:tr>
      <w:tr w:rsidR="00F25246" w:rsidRPr="00F25246" w14:paraId="157CF61E"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320CC895" w14:textId="77777777" w:rsidR="00F25246" w:rsidRPr="00F25246" w:rsidRDefault="00F25246" w:rsidP="00F25246">
            <w:pPr>
              <w:rPr>
                <w:color w:val="000000"/>
                <w:sz w:val="14"/>
                <w:szCs w:val="14"/>
                <w:lang w:eastAsia="tr-TR"/>
              </w:rPr>
            </w:pPr>
            <w:r w:rsidRPr="00F25246">
              <w:rPr>
                <w:color w:val="000000"/>
                <w:sz w:val="14"/>
                <w:szCs w:val="14"/>
                <w:lang w:eastAsia="tr-TR"/>
              </w:rPr>
              <w:t>14.2.1.</w:t>
            </w:r>
          </w:p>
        </w:tc>
        <w:tc>
          <w:tcPr>
            <w:tcW w:w="3278" w:type="dxa"/>
            <w:tcBorders>
              <w:top w:val="nil"/>
              <w:left w:val="single" w:sz="4" w:space="0" w:color="auto"/>
              <w:bottom w:val="nil"/>
              <w:right w:val="single" w:sz="4" w:space="0" w:color="auto"/>
            </w:tcBorders>
            <w:shd w:val="clear" w:color="auto" w:fill="auto"/>
            <w:noWrap/>
            <w:vAlign w:val="center"/>
            <w:hideMark/>
          </w:tcPr>
          <w:p w14:paraId="2F77D12D" w14:textId="77777777" w:rsidR="00F25246" w:rsidRPr="00F25246" w:rsidRDefault="00F25246" w:rsidP="00F25246">
            <w:pPr>
              <w:rPr>
                <w:color w:val="000000"/>
                <w:sz w:val="14"/>
                <w:szCs w:val="14"/>
                <w:lang w:eastAsia="tr-TR"/>
              </w:rPr>
            </w:pPr>
            <w:r w:rsidRPr="00F25246">
              <w:rPr>
                <w:color w:val="000000"/>
                <w:sz w:val="14"/>
                <w:szCs w:val="14"/>
                <w:lang w:eastAsia="tr-TR"/>
              </w:rPr>
              <w:t>Hisse Senedi İhraç Primleri</w:t>
            </w:r>
          </w:p>
        </w:tc>
        <w:tc>
          <w:tcPr>
            <w:tcW w:w="654" w:type="dxa"/>
            <w:tcBorders>
              <w:top w:val="nil"/>
              <w:left w:val="single" w:sz="4" w:space="0" w:color="auto"/>
              <w:bottom w:val="nil"/>
              <w:right w:val="single" w:sz="4" w:space="0" w:color="auto"/>
            </w:tcBorders>
            <w:shd w:val="clear" w:color="auto" w:fill="auto"/>
            <w:noWrap/>
            <w:vAlign w:val="center"/>
            <w:hideMark/>
          </w:tcPr>
          <w:p w14:paraId="22A0650B"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7E512B96" w14:textId="77777777" w:rsidR="00F25246" w:rsidRPr="00F25246" w:rsidRDefault="00F25246" w:rsidP="00717AB5">
            <w:pPr>
              <w:ind w:left="-14"/>
              <w:jc w:val="right"/>
              <w:rPr>
                <w:sz w:val="14"/>
                <w:szCs w:val="14"/>
                <w:lang w:eastAsia="tr-TR"/>
              </w:rPr>
            </w:pPr>
            <w:r w:rsidRPr="00F25246">
              <w:rPr>
                <w:sz w:val="14"/>
                <w:szCs w:val="14"/>
                <w:lang w:eastAsia="tr-TR"/>
              </w:rPr>
              <w:t>23,250</w:t>
            </w:r>
          </w:p>
        </w:tc>
        <w:tc>
          <w:tcPr>
            <w:tcW w:w="851" w:type="dxa"/>
            <w:tcBorders>
              <w:top w:val="nil"/>
              <w:left w:val="single" w:sz="4" w:space="0" w:color="auto"/>
              <w:bottom w:val="nil"/>
              <w:right w:val="single" w:sz="4" w:space="0" w:color="auto"/>
            </w:tcBorders>
            <w:shd w:val="clear" w:color="auto" w:fill="auto"/>
            <w:vAlign w:val="bottom"/>
            <w:hideMark/>
          </w:tcPr>
          <w:p w14:paraId="0B021C78"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6B0AEE8C" w14:textId="77777777" w:rsidR="00F25246" w:rsidRPr="00F25246" w:rsidRDefault="00F25246" w:rsidP="00717AB5">
            <w:pPr>
              <w:ind w:left="-14"/>
              <w:jc w:val="right"/>
              <w:rPr>
                <w:sz w:val="14"/>
                <w:szCs w:val="14"/>
                <w:lang w:eastAsia="tr-TR"/>
              </w:rPr>
            </w:pPr>
            <w:r w:rsidRPr="00F25246">
              <w:rPr>
                <w:sz w:val="14"/>
                <w:szCs w:val="14"/>
                <w:lang w:eastAsia="tr-TR"/>
              </w:rPr>
              <w:t>23,250</w:t>
            </w:r>
          </w:p>
        </w:tc>
        <w:tc>
          <w:tcPr>
            <w:tcW w:w="757" w:type="dxa"/>
            <w:gridSpan w:val="2"/>
            <w:tcBorders>
              <w:top w:val="nil"/>
              <w:left w:val="single" w:sz="4" w:space="0" w:color="auto"/>
              <w:bottom w:val="nil"/>
              <w:right w:val="single" w:sz="4" w:space="0" w:color="auto"/>
            </w:tcBorders>
            <w:shd w:val="clear" w:color="auto" w:fill="auto"/>
            <w:vAlign w:val="bottom"/>
            <w:hideMark/>
          </w:tcPr>
          <w:p w14:paraId="1D6E7197" w14:textId="77777777" w:rsidR="00F25246" w:rsidRPr="00F25246" w:rsidRDefault="00F25246" w:rsidP="00717AB5">
            <w:pPr>
              <w:ind w:left="-14"/>
              <w:jc w:val="right"/>
              <w:rPr>
                <w:sz w:val="14"/>
                <w:szCs w:val="14"/>
                <w:lang w:eastAsia="tr-TR"/>
              </w:rPr>
            </w:pPr>
            <w:r w:rsidRPr="00F25246">
              <w:rPr>
                <w:sz w:val="14"/>
                <w:szCs w:val="14"/>
                <w:lang w:eastAsia="tr-TR"/>
              </w:rPr>
              <w:t>23,250</w:t>
            </w:r>
          </w:p>
        </w:tc>
        <w:tc>
          <w:tcPr>
            <w:tcW w:w="758" w:type="dxa"/>
            <w:tcBorders>
              <w:top w:val="nil"/>
              <w:left w:val="single" w:sz="4" w:space="0" w:color="auto"/>
              <w:bottom w:val="nil"/>
              <w:right w:val="single" w:sz="4" w:space="0" w:color="auto"/>
            </w:tcBorders>
            <w:shd w:val="clear" w:color="auto" w:fill="auto"/>
            <w:vAlign w:val="bottom"/>
            <w:hideMark/>
          </w:tcPr>
          <w:p w14:paraId="310863BB"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29E6C76A" w14:textId="77777777" w:rsidR="00F25246" w:rsidRPr="00F25246" w:rsidRDefault="00F25246" w:rsidP="00717AB5">
            <w:pPr>
              <w:ind w:left="-14"/>
              <w:jc w:val="right"/>
              <w:rPr>
                <w:sz w:val="14"/>
                <w:szCs w:val="14"/>
                <w:lang w:eastAsia="tr-TR"/>
              </w:rPr>
            </w:pPr>
            <w:r w:rsidRPr="00F25246">
              <w:rPr>
                <w:sz w:val="14"/>
                <w:szCs w:val="14"/>
                <w:lang w:eastAsia="tr-TR"/>
              </w:rPr>
              <w:t>23,250</w:t>
            </w:r>
          </w:p>
        </w:tc>
      </w:tr>
      <w:tr w:rsidR="00F25246" w:rsidRPr="00F25246" w14:paraId="704B5638"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75FA90BF" w14:textId="77777777" w:rsidR="00F25246" w:rsidRPr="00F25246" w:rsidRDefault="00F25246" w:rsidP="00F25246">
            <w:pPr>
              <w:rPr>
                <w:color w:val="000000"/>
                <w:sz w:val="14"/>
                <w:szCs w:val="14"/>
                <w:lang w:eastAsia="tr-TR"/>
              </w:rPr>
            </w:pPr>
            <w:r w:rsidRPr="00F25246">
              <w:rPr>
                <w:color w:val="000000"/>
                <w:sz w:val="14"/>
                <w:szCs w:val="14"/>
                <w:lang w:eastAsia="tr-TR"/>
              </w:rPr>
              <w:t>14.2.2.</w:t>
            </w:r>
          </w:p>
        </w:tc>
        <w:tc>
          <w:tcPr>
            <w:tcW w:w="3278" w:type="dxa"/>
            <w:tcBorders>
              <w:top w:val="nil"/>
              <w:left w:val="single" w:sz="4" w:space="0" w:color="auto"/>
              <w:bottom w:val="nil"/>
              <w:right w:val="single" w:sz="4" w:space="0" w:color="auto"/>
            </w:tcBorders>
            <w:shd w:val="clear" w:color="auto" w:fill="auto"/>
            <w:noWrap/>
            <w:vAlign w:val="center"/>
            <w:hideMark/>
          </w:tcPr>
          <w:p w14:paraId="288FE3E7" w14:textId="77777777" w:rsidR="00F25246" w:rsidRPr="00F25246" w:rsidRDefault="00F25246" w:rsidP="00F25246">
            <w:pPr>
              <w:rPr>
                <w:color w:val="000000"/>
                <w:sz w:val="14"/>
                <w:szCs w:val="14"/>
                <w:lang w:eastAsia="tr-TR"/>
              </w:rPr>
            </w:pPr>
            <w:r w:rsidRPr="00F25246">
              <w:rPr>
                <w:color w:val="000000"/>
                <w:sz w:val="14"/>
                <w:szCs w:val="14"/>
                <w:lang w:eastAsia="tr-TR"/>
              </w:rPr>
              <w:t>Hisse Senedi İptal Kârları</w:t>
            </w:r>
          </w:p>
        </w:tc>
        <w:tc>
          <w:tcPr>
            <w:tcW w:w="654" w:type="dxa"/>
            <w:tcBorders>
              <w:top w:val="nil"/>
              <w:left w:val="single" w:sz="4" w:space="0" w:color="auto"/>
              <w:bottom w:val="nil"/>
              <w:right w:val="single" w:sz="4" w:space="0" w:color="auto"/>
            </w:tcBorders>
            <w:shd w:val="clear" w:color="auto" w:fill="auto"/>
            <w:noWrap/>
            <w:vAlign w:val="center"/>
            <w:hideMark/>
          </w:tcPr>
          <w:p w14:paraId="3326D9C7"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747D7E5B" w14:textId="77777777" w:rsidR="00F25246" w:rsidRPr="00F25246" w:rsidRDefault="00F25246" w:rsidP="00717AB5">
            <w:pPr>
              <w:ind w:left="-14"/>
              <w:jc w:val="right"/>
              <w:rPr>
                <w:sz w:val="14"/>
                <w:szCs w:val="14"/>
                <w:lang w:eastAsia="tr-TR"/>
              </w:rPr>
            </w:pPr>
            <w:r w:rsidRPr="00F25246">
              <w:rPr>
                <w:sz w:val="14"/>
                <w:szCs w:val="14"/>
                <w:lang w:eastAsia="tr-TR"/>
              </w:rPr>
              <w:t>1,874</w:t>
            </w:r>
          </w:p>
        </w:tc>
        <w:tc>
          <w:tcPr>
            <w:tcW w:w="851" w:type="dxa"/>
            <w:tcBorders>
              <w:top w:val="nil"/>
              <w:left w:val="single" w:sz="4" w:space="0" w:color="auto"/>
              <w:bottom w:val="nil"/>
              <w:right w:val="single" w:sz="4" w:space="0" w:color="auto"/>
            </w:tcBorders>
            <w:shd w:val="clear" w:color="auto" w:fill="auto"/>
            <w:vAlign w:val="bottom"/>
            <w:hideMark/>
          </w:tcPr>
          <w:p w14:paraId="0D656BD0"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06E5BCB1" w14:textId="77777777" w:rsidR="00F25246" w:rsidRPr="00F25246" w:rsidRDefault="00F25246" w:rsidP="00717AB5">
            <w:pPr>
              <w:ind w:left="-14"/>
              <w:jc w:val="right"/>
              <w:rPr>
                <w:sz w:val="14"/>
                <w:szCs w:val="14"/>
                <w:lang w:eastAsia="tr-TR"/>
              </w:rPr>
            </w:pPr>
            <w:r w:rsidRPr="00F25246">
              <w:rPr>
                <w:sz w:val="14"/>
                <w:szCs w:val="14"/>
                <w:lang w:eastAsia="tr-TR"/>
              </w:rPr>
              <w:t>1,874</w:t>
            </w:r>
          </w:p>
        </w:tc>
        <w:tc>
          <w:tcPr>
            <w:tcW w:w="757" w:type="dxa"/>
            <w:gridSpan w:val="2"/>
            <w:tcBorders>
              <w:top w:val="nil"/>
              <w:left w:val="single" w:sz="4" w:space="0" w:color="auto"/>
              <w:bottom w:val="nil"/>
              <w:right w:val="single" w:sz="4" w:space="0" w:color="auto"/>
            </w:tcBorders>
            <w:shd w:val="clear" w:color="auto" w:fill="auto"/>
            <w:vAlign w:val="bottom"/>
            <w:hideMark/>
          </w:tcPr>
          <w:p w14:paraId="368499A2" w14:textId="77777777" w:rsidR="00F25246" w:rsidRPr="00F25246" w:rsidRDefault="00F25246" w:rsidP="00717AB5">
            <w:pPr>
              <w:ind w:left="-14"/>
              <w:jc w:val="right"/>
              <w:rPr>
                <w:sz w:val="14"/>
                <w:szCs w:val="14"/>
                <w:lang w:eastAsia="tr-TR"/>
              </w:rPr>
            </w:pPr>
            <w:r w:rsidRPr="00F25246">
              <w:rPr>
                <w:sz w:val="14"/>
                <w:szCs w:val="14"/>
                <w:lang w:eastAsia="tr-TR"/>
              </w:rPr>
              <w:t>1,239</w:t>
            </w:r>
          </w:p>
        </w:tc>
        <w:tc>
          <w:tcPr>
            <w:tcW w:w="758" w:type="dxa"/>
            <w:tcBorders>
              <w:top w:val="nil"/>
              <w:left w:val="single" w:sz="4" w:space="0" w:color="auto"/>
              <w:bottom w:val="nil"/>
              <w:right w:val="single" w:sz="4" w:space="0" w:color="auto"/>
            </w:tcBorders>
            <w:shd w:val="clear" w:color="auto" w:fill="auto"/>
            <w:vAlign w:val="bottom"/>
            <w:hideMark/>
          </w:tcPr>
          <w:p w14:paraId="1806B2B2"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54021E25" w14:textId="77777777" w:rsidR="00F25246" w:rsidRPr="00F25246" w:rsidRDefault="00F25246" w:rsidP="00717AB5">
            <w:pPr>
              <w:ind w:left="-14"/>
              <w:jc w:val="right"/>
              <w:rPr>
                <w:sz w:val="14"/>
                <w:szCs w:val="14"/>
                <w:lang w:eastAsia="tr-TR"/>
              </w:rPr>
            </w:pPr>
            <w:r w:rsidRPr="00F25246">
              <w:rPr>
                <w:sz w:val="14"/>
                <w:szCs w:val="14"/>
                <w:lang w:eastAsia="tr-TR"/>
              </w:rPr>
              <w:t>1,239</w:t>
            </w:r>
          </w:p>
        </w:tc>
      </w:tr>
      <w:tr w:rsidR="00F25246" w:rsidRPr="00F25246" w14:paraId="46901A0C"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153787F3" w14:textId="77777777" w:rsidR="00F25246" w:rsidRPr="00F25246" w:rsidRDefault="00F25246" w:rsidP="00F25246">
            <w:pPr>
              <w:rPr>
                <w:color w:val="000000"/>
                <w:sz w:val="14"/>
                <w:szCs w:val="14"/>
                <w:lang w:eastAsia="tr-TR"/>
              </w:rPr>
            </w:pPr>
            <w:r w:rsidRPr="00F25246">
              <w:rPr>
                <w:color w:val="000000"/>
                <w:sz w:val="14"/>
                <w:szCs w:val="14"/>
                <w:lang w:eastAsia="tr-TR"/>
              </w:rPr>
              <w:t>14.2.3.</w:t>
            </w:r>
          </w:p>
        </w:tc>
        <w:tc>
          <w:tcPr>
            <w:tcW w:w="3278" w:type="dxa"/>
            <w:tcBorders>
              <w:top w:val="nil"/>
              <w:left w:val="single" w:sz="4" w:space="0" w:color="auto"/>
              <w:bottom w:val="nil"/>
              <w:right w:val="single" w:sz="4" w:space="0" w:color="auto"/>
            </w:tcBorders>
            <w:shd w:val="clear" w:color="auto" w:fill="auto"/>
            <w:noWrap/>
            <w:vAlign w:val="center"/>
            <w:hideMark/>
          </w:tcPr>
          <w:p w14:paraId="0E673472" w14:textId="77777777" w:rsidR="00F25246" w:rsidRPr="00F25246" w:rsidRDefault="00F25246" w:rsidP="00F25246">
            <w:pPr>
              <w:rPr>
                <w:color w:val="000000"/>
                <w:sz w:val="14"/>
                <w:szCs w:val="14"/>
                <w:lang w:eastAsia="tr-TR"/>
              </w:rPr>
            </w:pPr>
            <w:r w:rsidRPr="00F25246">
              <w:rPr>
                <w:color w:val="000000"/>
                <w:sz w:val="14"/>
                <w:szCs w:val="14"/>
                <w:lang w:eastAsia="tr-TR"/>
              </w:rPr>
              <w:t>Diğer Sermaye Yedekleri</w:t>
            </w:r>
          </w:p>
        </w:tc>
        <w:tc>
          <w:tcPr>
            <w:tcW w:w="654" w:type="dxa"/>
            <w:tcBorders>
              <w:top w:val="nil"/>
              <w:left w:val="single" w:sz="4" w:space="0" w:color="auto"/>
              <w:bottom w:val="nil"/>
              <w:right w:val="single" w:sz="4" w:space="0" w:color="auto"/>
            </w:tcBorders>
            <w:shd w:val="clear" w:color="auto" w:fill="auto"/>
            <w:noWrap/>
            <w:vAlign w:val="center"/>
            <w:hideMark/>
          </w:tcPr>
          <w:p w14:paraId="2853B19D"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2DD1905B"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B9BAF00"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7E9578D3"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47493116"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5DECEB56"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650D33FB" w14:textId="77777777" w:rsidR="00F25246" w:rsidRPr="00F25246" w:rsidRDefault="00F25246" w:rsidP="00717AB5">
            <w:pPr>
              <w:ind w:left="-14"/>
              <w:jc w:val="right"/>
              <w:rPr>
                <w:sz w:val="14"/>
                <w:szCs w:val="14"/>
                <w:lang w:eastAsia="tr-TR"/>
              </w:rPr>
            </w:pPr>
            <w:r w:rsidRPr="00F25246">
              <w:rPr>
                <w:sz w:val="14"/>
                <w:szCs w:val="14"/>
                <w:lang w:eastAsia="tr-TR"/>
              </w:rPr>
              <w:t>-</w:t>
            </w:r>
          </w:p>
        </w:tc>
      </w:tr>
      <w:tr w:rsidR="00F25246" w:rsidRPr="00F25246" w14:paraId="5E663598"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21440D7C" w14:textId="77777777" w:rsidR="00F25246" w:rsidRPr="00F25246" w:rsidRDefault="00F25246" w:rsidP="00F25246">
            <w:pPr>
              <w:rPr>
                <w:color w:val="000000"/>
                <w:sz w:val="14"/>
                <w:szCs w:val="14"/>
                <w:lang w:eastAsia="tr-TR"/>
              </w:rPr>
            </w:pPr>
            <w:r w:rsidRPr="00F25246">
              <w:rPr>
                <w:color w:val="000000"/>
                <w:sz w:val="14"/>
                <w:szCs w:val="14"/>
                <w:lang w:eastAsia="tr-TR"/>
              </w:rPr>
              <w:t>14.3.</w:t>
            </w:r>
          </w:p>
        </w:tc>
        <w:tc>
          <w:tcPr>
            <w:tcW w:w="3278" w:type="dxa"/>
            <w:tcBorders>
              <w:top w:val="nil"/>
              <w:left w:val="single" w:sz="4" w:space="0" w:color="auto"/>
              <w:bottom w:val="nil"/>
              <w:right w:val="single" w:sz="4" w:space="0" w:color="auto"/>
            </w:tcBorders>
            <w:shd w:val="clear" w:color="auto" w:fill="auto"/>
            <w:vAlign w:val="center"/>
            <w:hideMark/>
          </w:tcPr>
          <w:p w14:paraId="4AC620B1" w14:textId="77777777" w:rsidR="00F25246" w:rsidRPr="00F25246" w:rsidRDefault="00F25246" w:rsidP="00F25246">
            <w:pPr>
              <w:rPr>
                <w:color w:val="000000"/>
                <w:sz w:val="14"/>
                <w:szCs w:val="14"/>
                <w:lang w:eastAsia="tr-TR"/>
              </w:rPr>
            </w:pPr>
            <w:r w:rsidRPr="00F25246">
              <w:rPr>
                <w:color w:val="000000"/>
                <w:sz w:val="14"/>
                <w:szCs w:val="14"/>
                <w:lang w:eastAsia="tr-TR"/>
              </w:rPr>
              <w:t>Kâr veya Zararda Yeniden Sınıflandırılmayacak Birikmiş Diğer Kapsamlı Gelirler veya Giderler</w:t>
            </w:r>
          </w:p>
        </w:tc>
        <w:tc>
          <w:tcPr>
            <w:tcW w:w="654" w:type="dxa"/>
            <w:tcBorders>
              <w:top w:val="nil"/>
              <w:left w:val="single" w:sz="4" w:space="0" w:color="auto"/>
              <w:bottom w:val="nil"/>
              <w:right w:val="single" w:sz="4" w:space="0" w:color="auto"/>
            </w:tcBorders>
            <w:shd w:val="clear" w:color="auto" w:fill="auto"/>
            <w:noWrap/>
            <w:vAlign w:val="center"/>
            <w:hideMark/>
          </w:tcPr>
          <w:p w14:paraId="2DE10D8E"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2DD1BF9A" w14:textId="77777777" w:rsidR="00F25246" w:rsidRPr="00F25246" w:rsidRDefault="00F25246" w:rsidP="00717AB5">
            <w:pPr>
              <w:ind w:left="-14"/>
              <w:jc w:val="right"/>
              <w:rPr>
                <w:sz w:val="14"/>
                <w:szCs w:val="14"/>
                <w:lang w:eastAsia="tr-TR"/>
              </w:rPr>
            </w:pPr>
            <w:r w:rsidRPr="00F25246">
              <w:rPr>
                <w:sz w:val="14"/>
                <w:szCs w:val="14"/>
                <w:lang w:eastAsia="tr-TR"/>
              </w:rPr>
              <w:t>(19,082)</w:t>
            </w:r>
          </w:p>
        </w:tc>
        <w:tc>
          <w:tcPr>
            <w:tcW w:w="851" w:type="dxa"/>
            <w:tcBorders>
              <w:top w:val="nil"/>
              <w:left w:val="single" w:sz="4" w:space="0" w:color="auto"/>
              <w:bottom w:val="nil"/>
              <w:right w:val="single" w:sz="4" w:space="0" w:color="auto"/>
            </w:tcBorders>
            <w:shd w:val="clear" w:color="auto" w:fill="auto"/>
            <w:vAlign w:val="bottom"/>
            <w:hideMark/>
          </w:tcPr>
          <w:p w14:paraId="62B04791"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1FB6709A" w14:textId="77777777" w:rsidR="00F25246" w:rsidRPr="00F25246" w:rsidRDefault="00F25246" w:rsidP="00717AB5">
            <w:pPr>
              <w:ind w:left="-14"/>
              <w:jc w:val="right"/>
              <w:rPr>
                <w:sz w:val="14"/>
                <w:szCs w:val="14"/>
                <w:lang w:eastAsia="tr-TR"/>
              </w:rPr>
            </w:pPr>
            <w:r w:rsidRPr="00F25246">
              <w:rPr>
                <w:sz w:val="14"/>
                <w:szCs w:val="14"/>
                <w:lang w:eastAsia="tr-TR"/>
              </w:rPr>
              <w:t>(19,082)</w:t>
            </w:r>
          </w:p>
        </w:tc>
        <w:tc>
          <w:tcPr>
            <w:tcW w:w="757" w:type="dxa"/>
            <w:gridSpan w:val="2"/>
            <w:tcBorders>
              <w:top w:val="nil"/>
              <w:left w:val="single" w:sz="4" w:space="0" w:color="auto"/>
              <w:bottom w:val="nil"/>
              <w:right w:val="single" w:sz="4" w:space="0" w:color="auto"/>
            </w:tcBorders>
            <w:shd w:val="clear" w:color="auto" w:fill="auto"/>
            <w:vAlign w:val="bottom"/>
            <w:hideMark/>
          </w:tcPr>
          <w:p w14:paraId="350A7F24" w14:textId="77777777" w:rsidR="00F25246" w:rsidRPr="00F25246" w:rsidRDefault="00F25246" w:rsidP="00717AB5">
            <w:pPr>
              <w:ind w:left="-14"/>
              <w:jc w:val="right"/>
              <w:rPr>
                <w:sz w:val="14"/>
                <w:szCs w:val="14"/>
                <w:lang w:eastAsia="tr-TR"/>
              </w:rPr>
            </w:pPr>
            <w:r w:rsidRPr="00F25246">
              <w:rPr>
                <w:sz w:val="14"/>
                <w:szCs w:val="14"/>
                <w:lang w:eastAsia="tr-TR"/>
              </w:rPr>
              <w:t>(19,082)</w:t>
            </w:r>
          </w:p>
        </w:tc>
        <w:tc>
          <w:tcPr>
            <w:tcW w:w="758" w:type="dxa"/>
            <w:tcBorders>
              <w:top w:val="nil"/>
              <w:left w:val="single" w:sz="4" w:space="0" w:color="auto"/>
              <w:bottom w:val="nil"/>
              <w:right w:val="single" w:sz="4" w:space="0" w:color="auto"/>
            </w:tcBorders>
            <w:shd w:val="clear" w:color="auto" w:fill="auto"/>
            <w:vAlign w:val="bottom"/>
            <w:hideMark/>
          </w:tcPr>
          <w:p w14:paraId="6EBC4E95"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491FA769" w14:textId="77777777" w:rsidR="00F25246" w:rsidRPr="00F25246" w:rsidRDefault="00F25246" w:rsidP="00717AB5">
            <w:pPr>
              <w:ind w:left="-14"/>
              <w:jc w:val="right"/>
              <w:rPr>
                <w:sz w:val="14"/>
                <w:szCs w:val="14"/>
                <w:lang w:eastAsia="tr-TR"/>
              </w:rPr>
            </w:pPr>
            <w:r w:rsidRPr="00F25246">
              <w:rPr>
                <w:sz w:val="14"/>
                <w:szCs w:val="14"/>
                <w:lang w:eastAsia="tr-TR"/>
              </w:rPr>
              <w:t>(19,082)</w:t>
            </w:r>
          </w:p>
        </w:tc>
      </w:tr>
      <w:tr w:rsidR="00F25246" w:rsidRPr="00F25246" w14:paraId="4E12FA0F"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1222E8E1" w14:textId="77777777" w:rsidR="00F25246" w:rsidRPr="00F25246" w:rsidRDefault="00F25246" w:rsidP="00F25246">
            <w:pPr>
              <w:rPr>
                <w:color w:val="000000"/>
                <w:sz w:val="14"/>
                <w:szCs w:val="14"/>
                <w:lang w:eastAsia="tr-TR"/>
              </w:rPr>
            </w:pPr>
            <w:r w:rsidRPr="00F25246">
              <w:rPr>
                <w:color w:val="000000"/>
                <w:sz w:val="14"/>
                <w:szCs w:val="14"/>
                <w:lang w:eastAsia="tr-TR"/>
              </w:rPr>
              <w:t>14.4.</w:t>
            </w:r>
          </w:p>
        </w:tc>
        <w:tc>
          <w:tcPr>
            <w:tcW w:w="3278" w:type="dxa"/>
            <w:tcBorders>
              <w:top w:val="nil"/>
              <w:left w:val="single" w:sz="4" w:space="0" w:color="auto"/>
              <w:bottom w:val="nil"/>
              <w:right w:val="single" w:sz="4" w:space="0" w:color="auto"/>
            </w:tcBorders>
            <w:shd w:val="clear" w:color="auto" w:fill="auto"/>
            <w:vAlign w:val="center"/>
            <w:hideMark/>
          </w:tcPr>
          <w:p w14:paraId="604CBF5A" w14:textId="77777777" w:rsidR="00F25246" w:rsidRPr="00F25246" w:rsidRDefault="00F25246" w:rsidP="00F25246">
            <w:pPr>
              <w:rPr>
                <w:color w:val="000000"/>
                <w:sz w:val="14"/>
                <w:szCs w:val="14"/>
                <w:lang w:eastAsia="tr-TR"/>
              </w:rPr>
            </w:pPr>
            <w:r w:rsidRPr="00F25246">
              <w:rPr>
                <w:color w:val="000000"/>
                <w:sz w:val="14"/>
                <w:szCs w:val="14"/>
                <w:lang w:eastAsia="tr-TR"/>
              </w:rPr>
              <w:t>Kâr veya Zararda Yeniden Sınıflandırılacak Birikmiş Diğer Kapsamlı Gelirler veya Giderler</w:t>
            </w:r>
          </w:p>
        </w:tc>
        <w:tc>
          <w:tcPr>
            <w:tcW w:w="654" w:type="dxa"/>
            <w:tcBorders>
              <w:top w:val="nil"/>
              <w:left w:val="single" w:sz="4" w:space="0" w:color="auto"/>
              <w:bottom w:val="nil"/>
              <w:right w:val="single" w:sz="4" w:space="0" w:color="auto"/>
            </w:tcBorders>
            <w:shd w:val="clear" w:color="auto" w:fill="auto"/>
            <w:noWrap/>
            <w:vAlign w:val="center"/>
            <w:hideMark/>
          </w:tcPr>
          <w:p w14:paraId="7B55C1B3"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23F4E059" w14:textId="77777777" w:rsidR="00F25246" w:rsidRPr="00F25246" w:rsidRDefault="00F25246" w:rsidP="00717AB5">
            <w:pPr>
              <w:ind w:left="-14"/>
              <w:jc w:val="right"/>
              <w:rPr>
                <w:sz w:val="14"/>
                <w:szCs w:val="14"/>
                <w:lang w:eastAsia="tr-TR"/>
              </w:rPr>
            </w:pPr>
            <w:r w:rsidRPr="00F25246">
              <w:rPr>
                <w:sz w:val="14"/>
                <w:szCs w:val="14"/>
                <w:lang w:eastAsia="tr-TR"/>
              </w:rPr>
              <w:t>(133,550)</w:t>
            </w:r>
          </w:p>
        </w:tc>
        <w:tc>
          <w:tcPr>
            <w:tcW w:w="851" w:type="dxa"/>
            <w:tcBorders>
              <w:top w:val="nil"/>
              <w:left w:val="single" w:sz="4" w:space="0" w:color="auto"/>
              <w:bottom w:val="nil"/>
              <w:right w:val="single" w:sz="4" w:space="0" w:color="auto"/>
            </w:tcBorders>
            <w:shd w:val="clear" w:color="auto" w:fill="auto"/>
            <w:vAlign w:val="bottom"/>
            <w:hideMark/>
          </w:tcPr>
          <w:p w14:paraId="044F749A" w14:textId="77777777" w:rsidR="00F25246" w:rsidRPr="00F25246" w:rsidRDefault="00F25246" w:rsidP="00717AB5">
            <w:pPr>
              <w:ind w:left="-14"/>
              <w:jc w:val="right"/>
              <w:rPr>
                <w:sz w:val="14"/>
                <w:szCs w:val="14"/>
                <w:lang w:eastAsia="tr-TR"/>
              </w:rPr>
            </w:pPr>
            <w:r w:rsidRPr="00F25246">
              <w:rPr>
                <w:sz w:val="14"/>
                <w:szCs w:val="14"/>
                <w:lang w:eastAsia="tr-TR"/>
              </w:rPr>
              <w:t>(339)</w:t>
            </w:r>
          </w:p>
        </w:tc>
        <w:tc>
          <w:tcPr>
            <w:tcW w:w="970" w:type="dxa"/>
            <w:tcBorders>
              <w:top w:val="nil"/>
              <w:left w:val="single" w:sz="4" w:space="0" w:color="auto"/>
              <w:bottom w:val="nil"/>
              <w:right w:val="single" w:sz="4" w:space="0" w:color="auto"/>
            </w:tcBorders>
            <w:shd w:val="clear" w:color="auto" w:fill="auto"/>
            <w:vAlign w:val="bottom"/>
            <w:hideMark/>
          </w:tcPr>
          <w:p w14:paraId="7738E93F" w14:textId="77777777" w:rsidR="00F25246" w:rsidRPr="00F25246" w:rsidRDefault="00F25246" w:rsidP="00717AB5">
            <w:pPr>
              <w:ind w:left="-14"/>
              <w:jc w:val="right"/>
              <w:rPr>
                <w:sz w:val="14"/>
                <w:szCs w:val="14"/>
                <w:lang w:eastAsia="tr-TR"/>
              </w:rPr>
            </w:pPr>
            <w:r w:rsidRPr="00F25246">
              <w:rPr>
                <w:sz w:val="14"/>
                <w:szCs w:val="14"/>
                <w:lang w:eastAsia="tr-TR"/>
              </w:rPr>
              <w:t>(133,889)</w:t>
            </w:r>
          </w:p>
        </w:tc>
        <w:tc>
          <w:tcPr>
            <w:tcW w:w="757" w:type="dxa"/>
            <w:gridSpan w:val="2"/>
            <w:tcBorders>
              <w:top w:val="nil"/>
              <w:left w:val="single" w:sz="4" w:space="0" w:color="auto"/>
              <w:bottom w:val="nil"/>
              <w:right w:val="single" w:sz="4" w:space="0" w:color="auto"/>
            </w:tcBorders>
            <w:shd w:val="clear" w:color="auto" w:fill="auto"/>
            <w:vAlign w:val="bottom"/>
            <w:hideMark/>
          </w:tcPr>
          <w:p w14:paraId="5D5903A8" w14:textId="77777777" w:rsidR="00F25246" w:rsidRPr="00F25246" w:rsidRDefault="00F25246" w:rsidP="00717AB5">
            <w:pPr>
              <w:ind w:left="-14"/>
              <w:jc w:val="right"/>
              <w:rPr>
                <w:sz w:val="14"/>
                <w:szCs w:val="14"/>
                <w:lang w:eastAsia="tr-TR"/>
              </w:rPr>
            </w:pPr>
            <w:r w:rsidRPr="00F25246">
              <w:rPr>
                <w:sz w:val="14"/>
                <w:szCs w:val="14"/>
                <w:lang w:eastAsia="tr-TR"/>
              </w:rPr>
              <w:t>127,237</w:t>
            </w:r>
          </w:p>
        </w:tc>
        <w:tc>
          <w:tcPr>
            <w:tcW w:w="758" w:type="dxa"/>
            <w:tcBorders>
              <w:top w:val="nil"/>
              <w:left w:val="single" w:sz="4" w:space="0" w:color="auto"/>
              <w:bottom w:val="nil"/>
              <w:right w:val="single" w:sz="4" w:space="0" w:color="auto"/>
            </w:tcBorders>
            <w:shd w:val="clear" w:color="auto" w:fill="auto"/>
            <w:vAlign w:val="bottom"/>
            <w:hideMark/>
          </w:tcPr>
          <w:p w14:paraId="3AEE21EB" w14:textId="77777777" w:rsidR="00F25246" w:rsidRPr="00F25246" w:rsidRDefault="00F25246" w:rsidP="00717AB5">
            <w:pPr>
              <w:ind w:left="-14"/>
              <w:jc w:val="right"/>
              <w:rPr>
                <w:sz w:val="14"/>
                <w:szCs w:val="14"/>
                <w:lang w:eastAsia="tr-TR"/>
              </w:rPr>
            </w:pPr>
            <w:r w:rsidRPr="00F25246">
              <w:rPr>
                <w:sz w:val="14"/>
                <w:szCs w:val="14"/>
                <w:lang w:eastAsia="tr-TR"/>
              </w:rPr>
              <w:t>78,477</w:t>
            </w:r>
          </w:p>
        </w:tc>
        <w:tc>
          <w:tcPr>
            <w:tcW w:w="910" w:type="dxa"/>
            <w:tcBorders>
              <w:top w:val="nil"/>
              <w:left w:val="single" w:sz="4" w:space="0" w:color="auto"/>
              <w:bottom w:val="nil"/>
              <w:right w:val="single" w:sz="4" w:space="0" w:color="auto"/>
            </w:tcBorders>
            <w:shd w:val="clear" w:color="auto" w:fill="auto"/>
            <w:vAlign w:val="bottom"/>
            <w:hideMark/>
          </w:tcPr>
          <w:p w14:paraId="5C97FEB3" w14:textId="77777777" w:rsidR="00F25246" w:rsidRPr="00F25246" w:rsidRDefault="00F25246" w:rsidP="00717AB5">
            <w:pPr>
              <w:ind w:left="-14"/>
              <w:jc w:val="right"/>
              <w:rPr>
                <w:sz w:val="14"/>
                <w:szCs w:val="14"/>
                <w:lang w:eastAsia="tr-TR"/>
              </w:rPr>
            </w:pPr>
            <w:r w:rsidRPr="00F25246">
              <w:rPr>
                <w:sz w:val="14"/>
                <w:szCs w:val="14"/>
                <w:lang w:eastAsia="tr-TR"/>
              </w:rPr>
              <w:t>205,714</w:t>
            </w:r>
          </w:p>
        </w:tc>
      </w:tr>
      <w:tr w:rsidR="00F25246" w:rsidRPr="00F25246" w14:paraId="2EAFAF48"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490FF3E8" w14:textId="77777777" w:rsidR="00F25246" w:rsidRPr="00F25246" w:rsidRDefault="00F25246" w:rsidP="00F25246">
            <w:pPr>
              <w:rPr>
                <w:color w:val="000000"/>
                <w:sz w:val="14"/>
                <w:szCs w:val="14"/>
                <w:lang w:eastAsia="tr-TR"/>
              </w:rPr>
            </w:pPr>
            <w:r w:rsidRPr="00F25246">
              <w:rPr>
                <w:color w:val="000000"/>
                <w:sz w:val="14"/>
                <w:szCs w:val="14"/>
                <w:lang w:eastAsia="tr-TR"/>
              </w:rPr>
              <w:t>14.5.</w:t>
            </w:r>
          </w:p>
        </w:tc>
        <w:tc>
          <w:tcPr>
            <w:tcW w:w="3278" w:type="dxa"/>
            <w:tcBorders>
              <w:top w:val="nil"/>
              <w:left w:val="single" w:sz="4" w:space="0" w:color="auto"/>
              <w:bottom w:val="nil"/>
              <w:right w:val="single" w:sz="4" w:space="0" w:color="auto"/>
            </w:tcBorders>
            <w:shd w:val="clear" w:color="auto" w:fill="auto"/>
            <w:noWrap/>
            <w:vAlign w:val="center"/>
            <w:hideMark/>
          </w:tcPr>
          <w:p w14:paraId="040CD8B0" w14:textId="77777777" w:rsidR="00F25246" w:rsidRPr="00F25246" w:rsidRDefault="00F25246" w:rsidP="00F25246">
            <w:pPr>
              <w:rPr>
                <w:color w:val="000000"/>
                <w:sz w:val="14"/>
                <w:szCs w:val="14"/>
                <w:lang w:eastAsia="tr-TR"/>
              </w:rPr>
            </w:pPr>
            <w:r w:rsidRPr="00F25246">
              <w:rPr>
                <w:color w:val="000000"/>
                <w:sz w:val="14"/>
                <w:szCs w:val="14"/>
                <w:lang w:eastAsia="tr-TR"/>
              </w:rPr>
              <w:t>Kâr Yedekleri</w:t>
            </w:r>
          </w:p>
        </w:tc>
        <w:tc>
          <w:tcPr>
            <w:tcW w:w="654" w:type="dxa"/>
            <w:tcBorders>
              <w:top w:val="nil"/>
              <w:left w:val="single" w:sz="4" w:space="0" w:color="auto"/>
              <w:bottom w:val="nil"/>
              <w:right w:val="single" w:sz="4" w:space="0" w:color="auto"/>
            </w:tcBorders>
            <w:shd w:val="clear" w:color="auto" w:fill="auto"/>
            <w:noWrap/>
            <w:vAlign w:val="center"/>
            <w:hideMark/>
          </w:tcPr>
          <w:p w14:paraId="7BE17D66"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1494AB5E" w14:textId="77777777" w:rsidR="00F25246" w:rsidRPr="00F25246" w:rsidRDefault="00F25246" w:rsidP="00717AB5">
            <w:pPr>
              <w:ind w:left="-14"/>
              <w:jc w:val="right"/>
              <w:rPr>
                <w:sz w:val="14"/>
                <w:szCs w:val="14"/>
                <w:lang w:eastAsia="tr-TR"/>
              </w:rPr>
            </w:pPr>
            <w:r w:rsidRPr="00F25246">
              <w:rPr>
                <w:sz w:val="14"/>
                <w:szCs w:val="14"/>
                <w:lang w:eastAsia="tr-TR"/>
              </w:rPr>
              <w:t>1,970,505</w:t>
            </w:r>
          </w:p>
        </w:tc>
        <w:tc>
          <w:tcPr>
            <w:tcW w:w="851" w:type="dxa"/>
            <w:tcBorders>
              <w:top w:val="nil"/>
              <w:left w:val="single" w:sz="4" w:space="0" w:color="auto"/>
              <w:bottom w:val="nil"/>
              <w:right w:val="single" w:sz="4" w:space="0" w:color="auto"/>
            </w:tcBorders>
            <w:shd w:val="clear" w:color="auto" w:fill="auto"/>
            <w:vAlign w:val="bottom"/>
            <w:hideMark/>
          </w:tcPr>
          <w:p w14:paraId="267EEBA0"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6E220E9F" w14:textId="77777777" w:rsidR="00F25246" w:rsidRPr="00F25246" w:rsidRDefault="00F25246" w:rsidP="00717AB5">
            <w:pPr>
              <w:ind w:left="-14"/>
              <w:jc w:val="right"/>
              <w:rPr>
                <w:sz w:val="14"/>
                <w:szCs w:val="14"/>
                <w:lang w:eastAsia="tr-TR"/>
              </w:rPr>
            </w:pPr>
            <w:r w:rsidRPr="00F25246">
              <w:rPr>
                <w:sz w:val="14"/>
                <w:szCs w:val="14"/>
                <w:lang w:eastAsia="tr-TR"/>
              </w:rPr>
              <w:t>1,970,505</w:t>
            </w:r>
          </w:p>
        </w:tc>
        <w:tc>
          <w:tcPr>
            <w:tcW w:w="757" w:type="dxa"/>
            <w:gridSpan w:val="2"/>
            <w:tcBorders>
              <w:top w:val="nil"/>
              <w:left w:val="single" w:sz="4" w:space="0" w:color="auto"/>
              <w:bottom w:val="nil"/>
              <w:right w:val="single" w:sz="4" w:space="0" w:color="auto"/>
            </w:tcBorders>
            <w:shd w:val="clear" w:color="auto" w:fill="auto"/>
            <w:vAlign w:val="bottom"/>
            <w:hideMark/>
          </w:tcPr>
          <w:p w14:paraId="2B97DE20" w14:textId="77777777" w:rsidR="00F25246" w:rsidRPr="00F25246" w:rsidRDefault="00F25246" w:rsidP="00717AB5">
            <w:pPr>
              <w:ind w:left="-14"/>
              <w:jc w:val="right"/>
              <w:rPr>
                <w:sz w:val="14"/>
                <w:szCs w:val="14"/>
                <w:lang w:eastAsia="tr-TR"/>
              </w:rPr>
            </w:pPr>
            <w:r w:rsidRPr="00F25246">
              <w:rPr>
                <w:sz w:val="14"/>
                <w:szCs w:val="14"/>
                <w:lang w:eastAsia="tr-TR"/>
              </w:rPr>
              <w:t>1,469,025</w:t>
            </w:r>
          </w:p>
        </w:tc>
        <w:tc>
          <w:tcPr>
            <w:tcW w:w="758" w:type="dxa"/>
            <w:tcBorders>
              <w:top w:val="nil"/>
              <w:left w:val="single" w:sz="4" w:space="0" w:color="auto"/>
              <w:bottom w:val="nil"/>
              <w:right w:val="single" w:sz="4" w:space="0" w:color="auto"/>
            </w:tcBorders>
            <w:shd w:val="clear" w:color="auto" w:fill="auto"/>
            <w:vAlign w:val="bottom"/>
            <w:hideMark/>
          </w:tcPr>
          <w:p w14:paraId="7C314EE8"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0AAD1FF5" w14:textId="77777777" w:rsidR="00F25246" w:rsidRPr="00F25246" w:rsidRDefault="00F25246" w:rsidP="00717AB5">
            <w:pPr>
              <w:ind w:left="-14"/>
              <w:jc w:val="right"/>
              <w:rPr>
                <w:sz w:val="14"/>
                <w:szCs w:val="14"/>
                <w:lang w:eastAsia="tr-TR"/>
              </w:rPr>
            </w:pPr>
            <w:r w:rsidRPr="00F25246">
              <w:rPr>
                <w:sz w:val="14"/>
                <w:szCs w:val="14"/>
                <w:lang w:eastAsia="tr-TR"/>
              </w:rPr>
              <w:t>1,469,025</w:t>
            </w:r>
          </w:p>
        </w:tc>
      </w:tr>
      <w:tr w:rsidR="00F25246" w:rsidRPr="00F25246" w14:paraId="1979127F"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24E41641" w14:textId="77777777" w:rsidR="00F25246" w:rsidRPr="00F25246" w:rsidRDefault="00F25246" w:rsidP="00F25246">
            <w:pPr>
              <w:rPr>
                <w:color w:val="000000"/>
                <w:sz w:val="14"/>
                <w:szCs w:val="14"/>
                <w:lang w:eastAsia="tr-TR"/>
              </w:rPr>
            </w:pPr>
            <w:r w:rsidRPr="00F25246">
              <w:rPr>
                <w:color w:val="000000"/>
                <w:sz w:val="14"/>
                <w:szCs w:val="14"/>
                <w:lang w:eastAsia="tr-TR"/>
              </w:rPr>
              <w:t>14.5.1.</w:t>
            </w:r>
          </w:p>
        </w:tc>
        <w:tc>
          <w:tcPr>
            <w:tcW w:w="3278" w:type="dxa"/>
            <w:tcBorders>
              <w:top w:val="nil"/>
              <w:left w:val="single" w:sz="4" w:space="0" w:color="auto"/>
              <w:bottom w:val="nil"/>
              <w:right w:val="single" w:sz="4" w:space="0" w:color="auto"/>
            </w:tcBorders>
            <w:shd w:val="clear" w:color="auto" w:fill="auto"/>
            <w:noWrap/>
            <w:vAlign w:val="center"/>
            <w:hideMark/>
          </w:tcPr>
          <w:p w14:paraId="5D367ED3" w14:textId="77777777" w:rsidR="00F25246" w:rsidRPr="00F25246" w:rsidRDefault="00F25246" w:rsidP="00F25246">
            <w:pPr>
              <w:rPr>
                <w:color w:val="000000"/>
                <w:sz w:val="14"/>
                <w:szCs w:val="14"/>
                <w:lang w:eastAsia="tr-TR"/>
              </w:rPr>
            </w:pPr>
            <w:r w:rsidRPr="00F25246">
              <w:rPr>
                <w:color w:val="000000"/>
                <w:sz w:val="14"/>
                <w:szCs w:val="14"/>
                <w:lang w:eastAsia="tr-TR"/>
              </w:rPr>
              <w:t>Yasal Yedekler</w:t>
            </w:r>
          </w:p>
        </w:tc>
        <w:tc>
          <w:tcPr>
            <w:tcW w:w="654" w:type="dxa"/>
            <w:tcBorders>
              <w:top w:val="nil"/>
              <w:left w:val="single" w:sz="4" w:space="0" w:color="auto"/>
              <w:bottom w:val="nil"/>
              <w:right w:val="single" w:sz="4" w:space="0" w:color="auto"/>
            </w:tcBorders>
            <w:shd w:val="clear" w:color="auto" w:fill="auto"/>
            <w:noWrap/>
            <w:vAlign w:val="center"/>
            <w:hideMark/>
          </w:tcPr>
          <w:p w14:paraId="0EAC3BDF"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00819DFA" w14:textId="77777777" w:rsidR="00F25246" w:rsidRPr="00F25246" w:rsidRDefault="00F25246" w:rsidP="00717AB5">
            <w:pPr>
              <w:ind w:left="-14"/>
              <w:jc w:val="right"/>
              <w:rPr>
                <w:sz w:val="14"/>
                <w:szCs w:val="14"/>
                <w:lang w:eastAsia="tr-TR"/>
              </w:rPr>
            </w:pPr>
            <w:r w:rsidRPr="00F25246">
              <w:rPr>
                <w:sz w:val="14"/>
                <w:szCs w:val="14"/>
                <w:lang w:eastAsia="tr-TR"/>
              </w:rPr>
              <w:t>284,943</w:t>
            </w:r>
          </w:p>
        </w:tc>
        <w:tc>
          <w:tcPr>
            <w:tcW w:w="851" w:type="dxa"/>
            <w:tcBorders>
              <w:top w:val="nil"/>
              <w:left w:val="single" w:sz="4" w:space="0" w:color="auto"/>
              <w:bottom w:val="nil"/>
              <w:right w:val="single" w:sz="4" w:space="0" w:color="auto"/>
            </w:tcBorders>
            <w:shd w:val="clear" w:color="auto" w:fill="auto"/>
            <w:vAlign w:val="bottom"/>
            <w:hideMark/>
          </w:tcPr>
          <w:p w14:paraId="079629A2"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26C7ECF8" w14:textId="77777777" w:rsidR="00F25246" w:rsidRPr="00F25246" w:rsidRDefault="00F25246" w:rsidP="00717AB5">
            <w:pPr>
              <w:ind w:left="-14"/>
              <w:jc w:val="right"/>
              <w:rPr>
                <w:sz w:val="14"/>
                <w:szCs w:val="14"/>
                <w:lang w:eastAsia="tr-TR"/>
              </w:rPr>
            </w:pPr>
            <w:r w:rsidRPr="00F25246">
              <w:rPr>
                <w:sz w:val="14"/>
                <w:szCs w:val="14"/>
                <w:lang w:eastAsia="tr-TR"/>
              </w:rPr>
              <w:t>284,943</w:t>
            </w:r>
          </w:p>
        </w:tc>
        <w:tc>
          <w:tcPr>
            <w:tcW w:w="757" w:type="dxa"/>
            <w:gridSpan w:val="2"/>
            <w:tcBorders>
              <w:top w:val="nil"/>
              <w:left w:val="single" w:sz="4" w:space="0" w:color="auto"/>
              <w:bottom w:val="nil"/>
              <w:right w:val="single" w:sz="4" w:space="0" w:color="auto"/>
            </w:tcBorders>
            <w:shd w:val="clear" w:color="auto" w:fill="auto"/>
            <w:vAlign w:val="bottom"/>
            <w:hideMark/>
          </w:tcPr>
          <w:p w14:paraId="5EDA9F26" w14:textId="77777777" w:rsidR="00F25246" w:rsidRPr="00F25246" w:rsidRDefault="00F25246" w:rsidP="00717AB5">
            <w:pPr>
              <w:ind w:left="-14"/>
              <w:jc w:val="right"/>
              <w:rPr>
                <w:sz w:val="14"/>
                <w:szCs w:val="14"/>
                <w:lang w:eastAsia="tr-TR"/>
              </w:rPr>
            </w:pPr>
            <w:r w:rsidRPr="00F25246">
              <w:rPr>
                <w:sz w:val="14"/>
                <w:szCs w:val="14"/>
                <w:lang w:eastAsia="tr-TR"/>
              </w:rPr>
              <w:t>228,723</w:t>
            </w:r>
          </w:p>
        </w:tc>
        <w:tc>
          <w:tcPr>
            <w:tcW w:w="758" w:type="dxa"/>
            <w:tcBorders>
              <w:top w:val="nil"/>
              <w:left w:val="single" w:sz="4" w:space="0" w:color="auto"/>
              <w:bottom w:val="nil"/>
              <w:right w:val="single" w:sz="4" w:space="0" w:color="auto"/>
            </w:tcBorders>
            <w:shd w:val="clear" w:color="auto" w:fill="auto"/>
            <w:vAlign w:val="bottom"/>
            <w:hideMark/>
          </w:tcPr>
          <w:p w14:paraId="04186E15"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3843BB66" w14:textId="77777777" w:rsidR="00F25246" w:rsidRPr="00F25246" w:rsidRDefault="00F25246" w:rsidP="00717AB5">
            <w:pPr>
              <w:ind w:left="-14"/>
              <w:jc w:val="right"/>
              <w:rPr>
                <w:sz w:val="14"/>
                <w:szCs w:val="14"/>
                <w:lang w:eastAsia="tr-TR"/>
              </w:rPr>
            </w:pPr>
            <w:r w:rsidRPr="00F25246">
              <w:rPr>
                <w:sz w:val="14"/>
                <w:szCs w:val="14"/>
                <w:lang w:eastAsia="tr-TR"/>
              </w:rPr>
              <w:t>228,723</w:t>
            </w:r>
          </w:p>
        </w:tc>
      </w:tr>
      <w:tr w:rsidR="00F25246" w:rsidRPr="00F25246" w14:paraId="47E8A7D7"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54C74ED4" w14:textId="77777777" w:rsidR="00F25246" w:rsidRPr="00F25246" w:rsidRDefault="00F25246" w:rsidP="00F25246">
            <w:pPr>
              <w:rPr>
                <w:color w:val="000000"/>
                <w:sz w:val="14"/>
                <w:szCs w:val="14"/>
                <w:lang w:eastAsia="tr-TR"/>
              </w:rPr>
            </w:pPr>
            <w:r w:rsidRPr="00F25246">
              <w:rPr>
                <w:color w:val="000000"/>
                <w:sz w:val="14"/>
                <w:szCs w:val="14"/>
                <w:lang w:eastAsia="tr-TR"/>
              </w:rPr>
              <w:t>14.5.2.</w:t>
            </w:r>
          </w:p>
        </w:tc>
        <w:tc>
          <w:tcPr>
            <w:tcW w:w="3278" w:type="dxa"/>
            <w:tcBorders>
              <w:top w:val="nil"/>
              <w:left w:val="single" w:sz="4" w:space="0" w:color="auto"/>
              <w:bottom w:val="nil"/>
              <w:right w:val="single" w:sz="4" w:space="0" w:color="auto"/>
            </w:tcBorders>
            <w:shd w:val="clear" w:color="auto" w:fill="auto"/>
            <w:noWrap/>
            <w:vAlign w:val="center"/>
            <w:hideMark/>
          </w:tcPr>
          <w:p w14:paraId="7D27F9CC" w14:textId="77777777" w:rsidR="00F25246" w:rsidRPr="00F25246" w:rsidRDefault="00F25246" w:rsidP="00F25246">
            <w:pPr>
              <w:rPr>
                <w:color w:val="000000"/>
                <w:sz w:val="14"/>
                <w:szCs w:val="14"/>
                <w:lang w:eastAsia="tr-TR"/>
              </w:rPr>
            </w:pPr>
            <w:r w:rsidRPr="00F25246">
              <w:rPr>
                <w:color w:val="000000"/>
                <w:sz w:val="14"/>
                <w:szCs w:val="14"/>
                <w:lang w:eastAsia="tr-TR"/>
              </w:rPr>
              <w:t>Statü Yedekleri</w:t>
            </w:r>
          </w:p>
        </w:tc>
        <w:tc>
          <w:tcPr>
            <w:tcW w:w="654" w:type="dxa"/>
            <w:tcBorders>
              <w:top w:val="nil"/>
              <w:left w:val="single" w:sz="4" w:space="0" w:color="auto"/>
              <w:bottom w:val="nil"/>
              <w:right w:val="single" w:sz="4" w:space="0" w:color="auto"/>
            </w:tcBorders>
            <w:shd w:val="clear" w:color="auto" w:fill="auto"/>
            <w:noWrap/>
            <w:vAlign w:val="center"/>
            <w:hideMark/>
          </w:tcPr>
          <w:p w14:paraId="01A6FEB3"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7E85C89A"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D6DC942"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27CEE463"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471C63BC"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272AFEDC"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3780166A" w14:textId="77777777" w:rsidR="00F25246" w:rsidRPr="00F25246" w:rsidRDefault="00F25246" w:rsidP="00717AB5">
            <w:pPr>
              <w:ind w:left="-14"/>
              <w:jc w:val="right"/>
              <w:rPr>
                <w:sz w:val="14"/>
                <w:szCs w:val="14"/>
                <w:lang w:eastAsia="tr-TR"/>
              </w:rPr>
            </w:pPr>
            <w:r w:rsidRPr="00F25246">
              <w:rPr>
                <w:sz w:val="14"/>
                <w:szCs w:val="14"/>
                <w:lang w:eastAsia="tr-TR"/>
              </w:rPr>
              <w:t>-</w:t>
            </w:r>
          </w:p>
        </w:tc>
      </w:tr>
      <w:tr w:rsidR="00F25246" w:rsidRPr="00F25246" w14:paraId="305C13FB"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437BB9F3" w14:textId="77777777" w:rsidR="00F25246" w:rsidRPr="00F25246" w:rsidRDefault="00F25246" w:rsidP="00F25246">
            <w:pPr>
              <w:rPr>
                <w:color w:val="000000"/>
                <w:sz w:val="14"/>
                <w:szCs w:val="14"/>
                <w:lang w:eastAsia="tr-TR"/>
              </w:rPr>
            </w:pPr>
            <w:r w:rsidRPr="00F25246">
              <w:rPr>
                <w:color w:val="000000"/>
                <w:sz w:val="14"/>
                <w:szCs w:val="14"/>
                <w:lang w:eastAsia="tr-TR"/>
              </w:rPr>
              <w:t>14.5.3.</w:t>
            </w:r>
          </w:p>
        </w:tc>
        <w:tc>
          <w:tcPr>
            <w:tcW w:w="3278" w:type="dxa"/>
            <w:tcBorders>
              <w:top w:val="nil"/>
              <w:left w:val="single" w:sz="4" w:space="0" w:color="auto"/>
              <w:bottom w:val="nil"/>
              <w:right w:val="single" w:sz="4" w:space="0" w:color="auto"/>
            </w:tcBorders>
            <w:shd w:val="clear" w:color="auto" w:fill="auto"/>
            <w:noWrap/>
            <w:vAlign w:val="center"/>
            <w:hideMark/>
          </w:tcPr>
          <w:p w14:paraId="7C9966C1" w14:textId="77777777" w:rsidR="00F25246" w:rsidRPr="00F25246" w:rsidRDefault="00F25246" w:rsidP="00F25246">
            <w:pPr>
              <w:rPr>
                <w:color w:val="000000"/>
                <w:sz w:val="14"/>
                <w:szCs w:val="14"/>
                <w:lang w:eastAsia="tr-TR"/>
              </w:rPr>
            </w:pPr>
            <w:r w:rsidRPr="00F25246">
              <w:rPr>
                <w:color w:val="000000"/>
                <w:sz w:val="14"/>
                <w:szCs w:val="14"/>
                <w:lang w:eastAsia="tr-TR"/>
              </w:rPr>
              <w:t>Olağanüstü Yedekler</w:t>
            </w:r>
          </w:p>
        </w:tc>
        <w:tc>
          <w:tcPr>
            <w:tcW w:w="654" w:type="dxa"/>
            <w:tcBorders>
              <w:top w:val="nil"/>
              <w:left w:val="single" w:sz="4" w:space="0" w:color="auto"/>
              <w:bottom w:val="nil"/>
              <w:right w:val="single" w:sz="4" w:space="0" w:color="auto"/>
            </w:tcBorders>
            <w:shd w:val="clear" w:color="auto" w:fill="auto"/>
            <w:noWrap/>
            <w:vAlign w:val="center"/>
            <w:hideMark/>
          </w:tcPr>
          <w:p w14:paraId="24080542"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62BE744A" w14:textId="77777777" w:rsidR="00F25246" w:rsidRPr="00F25246" w:rsidRDefault="00F25246" w:rsidP="00717AB5">
            <w:pPr>
              <w:ind w:left="-14"/>
              <w:jc w:val="right"/>
              <w:rPr>
                <w:sz w:val="14"/>
                <w:szCs w:val="14"/>
                <w:lang w:eastAsia="tr-TR"/>
              </w:rPr>
            </w:pPr>
            <w:r w:rsidRPr="00F25246">
              <w:rPr>
                <w:sz w:val="14"/>
                <w:szCs w:val="14"/>
                <w:lang w:eastAsia="tr-TR"/>
              </w:rPr>
              <w:t>1,617,135</w:t>
            </w:r>
          </w:p>
        </w:tc>
        <w:tc>
          <w:tcPr>
            <w:tcW w:w="851" w:type="dxa"/>
            <w:tcBorders>
              <w:top w:val="nil"/>
              <w:left w:val="single" w:sz="4" w:space="0" w:color="auto"/>
              <w:bottom w:val="nil"/>
              <w:right w:val="single" w:sz="4" w:space="0" w:color="auto"/>
            </w:tcBorders>
            <w:shd w:val="clear" w:color="auto" w:fill="auto"/>
            <w:vAlign w:val="bottom"/>
            <w:hideMark/>
          </w:tcPr>
          <w:p w14:paraId="3F802761"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32738EAE" w14:textId="77777777" w:rsidR="00F25246" w:rsidRPr="00F25246" w:rsidRDefault="00F25246" w:rsidP="00717AB5">
            <w:pPr>
              <w:ind w:left="-14"/>
              <w:jc w:val="right"/>
              <w:rPr>
                <w:sz w:val="14"/>
                <w:szCs w:val="14"/>
                <w:lang w:eastAsia="tr-TR"/>
              </w:rPr>
            </w:pPr>
            <w:r w:rsidRPr="00F25246">
              <w:rPr>
                <w:sz w:val="14"/>
                <w:szCs w:val="14"/>
                <w:lang w:eastAsia="tr-TR"/>
              </w:rPr>
              <w:t>1,617,135</w:t>
            </w:r>
          </w:p>
        </w:tc>
        <w:tc>
          <w:tcPr>
            <w:tcW w:w="757" w:type="dxa"/>
            <w:gridSpan w:val="2"/>
            <w:tcBorders>
              <w:top w:val="nil"/>
              <w:left w:val="single" w:sz="4" w:space="0" w:color="auto"/>
              <w:bottom w:val="nil"/>
              <w:right w:val="single" w:sz="4" w:space="0" w:color="auto"/>
            </w:tcBorders>
            <w:shd w:val="clear" w:color="auto" w:fill="auto"/>
            <w:vAlign w:val="bottom"/>
            <w:hideMark/>
          </w:tcPr>
          <w:p w14:paraId="163565E8" w14:textId="77777777" w:rsidR="00F25246" w:rsidRPr="00F25246" w:rsidRDefault="00F25246" w:rsidP="00717AB5">
            <w:pPr>
              <w:ind w:left="-14"/>
              <w:jc w:val="right"/>
              <w:rPr>
                <w:sz w:val="14"/>
                <w:szCs w:val="14"/>
                <w:lang w:eastAsia="tr-TR"/>
              </w:rPr>
            </w:pPr>
            <w:r w:rsidRPr="00F25246">
              <w:rPr>
                <w:sz w:val="14"/>
                <w:szCs w:val="14"/>
                <w:lang w:eastAsia="tr-TR"/>
              </w:rPr>
              <w:t>1,170,797</w:t>
            </w:r>
          </w:p>
        </w:tc>
        <w:tc>
          <w:tcPr>
            <w:tcW w:w="758" w:type="dxa"/>
            <w:tcBorders>
              <w:top w:val="nil"/>
              <w:left w:val="single" w:sz="4" w:space="0" w:color="auto"/>
              <w:bottom w:val="nil"/>
              <w:right w:val="single" w:sz="4" w:space="0" w:color="auto"/>
            </w:tcBorders>
            <w:shd w:val="clear" w:color="auto" w:fill="auto"/>
            <w:vAlign w:val="bottom"/>
            <w:hideMark/>
          </w:tcPr>
          <w:p w14:paraId="19932DB4"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3E4D239D" w14:textId="77777777" w:rsidR="00F25246" w:rsidRPr="00F25246" w:rsidRDefault="00F25246" w:rsidP="00717AB5">
            <w:pPr>
              <w:ind w:left="-14"/>
              <w:jc w:val="right"/>
              <w:rPr>
                <w:sz w:val="14"/>
                <w:szCs w:val="14"/>
                <w:lang w:eastAsia="tr-TR"/>
              </w:rPr>
            </w:pPr>
            <w:r w:rsidRPr="00F25246">
              <w:rPr>
                <w:sz w:val="14"/>
                <w:szCs w:val="14"/>
                <w:lang w:eastAsia="tr-TR"/>
              </w:rPr>
              <w:t>1,170,797</w:t>
            </w:r>
          </w:p>
        </w:tc>
      </w:tr>
      <w:tr w:rsidR="00F25246" w:rsidRPr="00F25246" w14:paraId="73A4A164"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577744C5" w14:textId="77777777" w:rsidR="00F25246" w:rsidRPr="00F25246" w:rsidRDefault="00F25246" w:rsidP="00F25246">
            <w:pPr>
              <w:rPr>
                <w:color w:val="000000"/>
                <w:sz w:val="14"/>
                <w:szCs w:val="14"/>
                <w:lang w:eastAsia="tr-TR"/>
              </w:rPr>
            </w:pPr>
            <w:r w:rsidRPr="00F25246">
              <w:rPr>
                <w:color w:val="000000"/>
                <w:sz w:val="14"/>
                <w:szCs w:val="14"/>
                <w:lang w:eastAsia="tr-TR"/>
              </w:rPr>
              <w:t>14.5.4.</w:t>
            </w:r>
          </w:p>
        </w:tc>
        <w:tc>
          <w:tcPr>
            <w:tcW w:w="3278" w:type="dxa"/>
            <w:tcBorders>
              <w:top w:val="nil"/>
              <w:left w:val="single" w:sz="4" w:space="0" w:color="auto"/>
              <w:bottom w:val="nil"/>
              <w:right w:val="single" w:sz="4" w:space="0" w:color="auto"/>
            </w:tcBorders>
            <w:shd w:val="clear" w:color="auto" w:fill="auto"/>
            <w:noWrap/>
            <w:vAlign w:val="center"/>
            <w:hideMark/>
          </w:tcPr>
          <w:p w14:paraId="15962970" w14:textId="77777777" w:rsidR="00F25246" w:rsidRPr="00F25246" w:rsidRDefault="00F25246" w:rsidP="00F25246">
            <w:pPr>
              <w:rPr>
                <w:color w:val="000000"/>
                <w:sz w:val="14"/>
                <w:szCs w:val="14"/>
                <w:lang w:eastAsia="tr-TR"/>
              </w:rPr>
            </w:pPr>
            <w:r w:rsidRPr="00F25246">
              <w:rPr>
                <w:color w:val="000000"/>
                <w:sz w:val="14"/>
                <w:szCs w:val="14"/>
                <w:lang w:eastAsia="tr-TR"/>
              </w:rPr>
              <w:t>Diğer Kâr Yedekleri</w:t>
            </w:r>
          </w:p>
        </w:tc>
        <w:tc>
          <w:tcPr>
            <w:tcW w:w="654" w:type="dxa"/>
            <w:tcBorders>
              <w:top w:val="nil"/>
              <w:left w:val="single" w:sz="4" w:space="0" w:color="auto"/>
              <w:bottom w:val="nil"/>
              <w:right w:val="single" w:sz="4" w:space="0" w:color="auto"/>
            </w:tcBorders>
            <w:shd w:val="clear" w:color="auto" w:fill="auto"/>
            <w:noWrap/>
            <w:vAlign w:val="center"/>
            <w:hideMark/>
          </w:tcPr>
          <w:p w14:paraId="3CC0686F"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3C732D63" w14:textId="77777777" w:rsidR="00F25246" w:rsidRPr="00F25246" w:rsidRDefault="00F25246" w:rsidP="00717AB5">
            <w:pPr>
              <w:ind w:left="-14"/>
              <w:jc w:val="right"/>
              <w:rPr>
                <w:sz w:val="14"/>
                <w:szCs w:val="14"/>
                <w:lang w:eastAsia="tr-TR"/>
              </w:rPr>
            </w:pPr>
            <w:r w:rsidRPr="00F25246">
              <w:rPr>
                <w:sz w:val="14"/>
                <w:szCs w:val="14"/>
                <w:lang w:eastAsia="tr-TR"/>
              </w:rPr>
              <w:t>68,427</w:t>
            </w:r>
          </w:p>
        </w:tc>
        <w:tc>
          <w:tcPr>
            <w:tcW w:w="851" w:type="dxa"/>
            <w:tcBorders>
              <w:top w:val="nil"/>
              <w:left w:val="single" w:sz="4" w:space="0" w:color="auto"/>
              <w:bottom w:val="nil"/>
              <w:right w:val="single" w:sz="4" w:space="0" w:color="auto"/>
            </w:tcBorders>
            <w:shd w:val="clear" w:color="auto" w:fill="auto"/>
            <w:vAlign w:val="bottom"/>
            <w:hideMark/>
          </w:tcPr>
          <w:p w14:paraId="29A0F83F"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1F605517" w14:textId="77777777" w:rsidR="00F25246" w:rsidRPr="00F25246" w:rsidRDefault="00F25246" w:rsidP="00717AB5">
            <w:pPr>
              <w:ind w:left="-14"/>
              <w:jc w:val="right"/>
              <w:rPr>
                <w:sz w:val="14"/>
                <w:szCs w:val="14"/>
                <w:lang w:eastAsia="tr-TR"/>
              </w:rPr>
            </w:pPr>
            <w:r w:rsidRPr="00F25246">
              <w:rPr>
                <w:sz w:val="14"/>
                <w:szCs w:val="14"/>
                <w:lang w:eastAsia="tr-TR"/>
              </w:rPr>
              <w:t>68,427</w:t>
            </w:r>
          </w:p>
        </w:tc>
        <w:tc>
          <w:tcPr>
            <w:tcW w:w="757" w:type="dxa"/>
            <w:gridSpan w:val="2"/>
            <w:tcBorders>
              <w:top w:val="nil"/>
              <w:left w:val="single" w:sz="4" w:space="0" w:color="auto"/>
              <w:bottom w:val="nil"/>
              <w:right w:val="single" w:sz="4" w:space="0" w:color="auto"/>
            </w:tcBorders>
            <w:shd w:val="clear" w:color="auto" w:fill="auto"/>
            <w:vAlign w:val="bottom"/>
            <w:hideMark/>
          </w:tcPr>
          <w:p w14:paraId="4DAD22C7" w14:textId="77777777" w:rsidR="00F25246" w:rsidRPr="00F25246" w:rsidRDefault="00F25246" w:rsidP="00717AB5">
            <w:pPr>
              <w:ind w:left="-14"/>
              <w:jc w:val="right"/>
              <w:rPr>
                <w:sz w:val="14"/>
                <w:szCs w:val="14"/>
                <w:lang w:eastAsia="tr-TR"/>
              </w:rPr>
            </w:pPr>
            <w:r w:rsidRPr="00F25246">
              <w:rPr>
                <w:sz w:val="14"/>
                <w:szCs w:val="14"/>
                <w:lang w:eastAsia="tr-TR"/>
              </w:rPr>
              <w:t>69,505</w:t>
            </w:r>
          </w:p>
        </w:tc>
        <w:tc>
          <w:tcPr>
            <w:tcW w:w="758" w:type="dxa"/>
            <w:tcBorders>
              <w:top w:val="nil"/>
              <w:left w:val="single" w:sz="4" w:space="0" w:color="auto"/>
              <w:bottom w:val="nil"/>
              <w:right w:val="single" w:sz="4" w:space="0" w:color="auto"/>
            </w:tcBorders>
            <w:shd w:val="clear" w:color="auto" w:fill="auto"/>
            <w:vAlign w:val="bottom"/>
            <w:hideMark/>
          </w:tcPr>
          <w:p w14:paraId="061C1AD1"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7F3D7453" w14:textId="77777777" w:rsidR="00F25246" w:rsidRPr="00F25246" w:rsidRDefault="00F25246" w:rsidP="00717AB5">
            <w:pPr>
              <w:ind w:left="-14"/>
              <w:jc w:val="right"/>
              <w:rPr>
                <w:sz w:val="14"/>
                <w:szCs w:val="14"/>
                <w:lang w:eastAsia="tr-TR"/>
              </w:rPr>
            </w:pPr>
            <w:r w:rsidRPr="00F25246">
              <w:rPr>
                <w:sz w:val="14"/>
                <w:szCs w:val="14"/>
                <w:lang w:eastAsia="tr-TR"/>
              </w:rPr>
              <w:t>69,505</w:t>
            </w:r>
          </w:p>
        </w:tc>
      </w:tr>
      <w:tr w:rsidR="00F25246" w:rsidRPr="00F25246" w14:paraId="18ABB572"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0DD0624E" w14:textId="77777777" w:rsidR="00F25246" w:rsidRPr="00F25246" w:rsidRDefault="00F25246" w:rsidP="00F25246">
            <w:pPr>
              <w:rPr>
                <w:color w:val="000000"/>
                <w:sz w:val="14"/>
                <w:szCs w:val="14"/>
                <w:lang w:eastAsia="tr-TR"/>
              </w:rPr>
            </w:pPr>
            <w:r w:rsidRPr="00F25246">
              <w:rPr>
                <w:color w:val="000000"/>
                <w:sz w:val="14"/>
                <w:szCs w:val="14"/>
                <w:lang w:eastAsia="tr-TR"/>
              </w:rPr>
              <w:t>14.6.</w:t>
            </w:r>
          </w:p>
        </w:tc>
        <w:tc>
          <w:tcPr>
            <w:tcW w:w="3278" w:type="dxa"/>
            <w:tcBorders>
              <w:top w:val="nil"/>
              <w:left w:val="single" w:sz="4" w:space="0" w:color="auto"/>
              <w:bottom w:val="nil"/>
              <w:right w:val="single" w:sz="4" w:space="0" w:color="auto"/>
            </w:tcBorders>
            <w:shd w:val="clear" w:color="auto" w:fill="auto"/>
            <w:noWrap/>
            <w:vAlign w:val="center"/>
            <w:hideMark/>
          </w:tcPr>
          <w:p w14:paraId="0E58103F" w14:textId="77777777" w:rsidR="00F25246" w:rsidRPr="00F25246" w:rsidRDefault="00F25246" w:rsidP="00F25246">
            <w:pPr>
              <w:rPr>
                <w:color w:val="000000"/>
                <w:sz w:val="14"/>
                <w:szCs w:val="14"/>
                <w:lang w:eastAsia="tr-TR"/>
              </w:rPr>
            </w:pPr>
            <w:r w:rsidRPr="00F25246">
              <w:rPr>
                <w:color w:val="000000"/>
                <w:sz w:val="14"/>
                <w:szCs w:val="14"/>
                <w:lang w:eastAsia="tr-TR"/>
              </w:rPr>
              <w:t>Kâr veya Zarar</w:t>
            </w:r>
          </w:p>
        </w:tc>
        <w:tc>
          <w:tcPr>
            <w:tcW w:w="654" w:type="dxa"/>
            <w:tcBorders>
              <w:top w:val="nil"/>
              <w:left w:val="single" w:sz="4" w:space="0" w:color="auto"/>
              <w:bottom w:val="nil"/>
              <w:right w:val="single" w:sz="4" w:space="0" w:color="auto"/>
            </w:tcBorders>
            <w:shd w:val="clear" w:color="auto" w:fill="auto"/>
            <w:noWrap/>
            <w:vAlign w:val="center"/>
            <w:hideMark/>
          </w:tcPr>
          <w:p w14:paraId="6374066B"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75272649" w14:textId="77777777" w:rsidR="00F25246" w:rsidRPr="00F25246" w:rsidRDefault="00F25246" w:rsidP="00717AB5">
            <w:pPr>
              <w:ind w:left="-14"/>
              <w:jc w:val="right"/>
              <w:rPr>
                <w:sz w:val="14"/>
                <w:szCs w:val="14"/>
                <w:lang w:eastAsia="tr-TR"/>
              </w:rPr>
            </w:pPr>
            <w:r w:rsidRPr="00F25246">
              <w:rPr>
                <w:sz w:val="14"/>
                <w:szCs w:val="14"/>
                <w:lang w:eastAsia="tr-TR"/>
              </w:rPr>
              <w:t>1,094,254</w:t>
            </w:r>
          </w:p>
        </w:tc>
        <w:tc>
          <w:tcPr>
            <w:tcW w:w="851" w:type="dxa"/>
            <w:tcBorders>
              <w:top w:val="nil"/>
              <w:left w:val="single" w:sz="4" w:space="0" w:color="auto"/>
              <w:bottom w:val="nil"/>
              <w:right w:val="single" w:sz="4" w:space="0" w:color="auto"/>
            </w:tcBorders>
            <w:shd w:val="clear" w:color="auto" w:fill="auto"/>
            <w:vAlign w:val="bottom"/>
            <w:hideMark/>
          </w:tcPr>
          <w:p w14:paraId="79F4C28A"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3DD82A6F" w14:textId="77777777" w:rsidR="00F25246" w:rsidRPr="00F25246" w:rsidRDefault="00F25246" w:rsidP="00717AB5">
            <w:pPr>
              <w:ind w:left="-14"/>
              <w:jc w:val="right"/>
              <w:rPr>
                <w:sz w:val="14"/>
                <w:szCs w:val="14"/>
                <w:lang w:eastAsia="tr-TR"/>
              </w:rPr>
            </w:pPr>
            <w:r w:rsidRPr="00F25246">
              <w:rPr>
                <w:sz w:val="14"/>
                <w:szCs w:val="14"/>
                <w:lang w:eastAsia="tr-TR"/>
              </w:rPr>
              <w:t>1,094,254</w:t>
            </w:r>
          </w:p>
        </w:tc>
        <w:tc>
          <w:tcPr>
            <w:tcW w:w="757" w:type="dxa"/>
            <w:gridSpan w:val="2"/>
            <w:tcBorders>
              <w:top w:val="nil"/>
              <w:left w:val="single" w:sz="4" w:space="0" w:color="auto"/>
              <w:bottom w:val="nil"/>
              <w:right w:val="single" w:sz="4" w:space="0" w:color="auto"/>
            </w:tcBorders>
            <w:shd w:val="clear" w:color="auto" w:fill="auto"/>
            <w:vAlign w:val="bottom"/>
            <w:hideMark/>
          </w:tcPr>
          <w:p w14:paraId="28E0B95F" w14:textId="77777777" w:rsidR="00F25246" w:rsidRPr="00F25246" w:rsidRDefault="00F25246" w:rsidP="00717AB5">
            <w:pPr>
              <w:ind w:left="-14"/>
              <w:jc w:val="right"/>
              <w:rPr>
                <w:sz w:val="14"/>
                <w:szCs w:val="14"/>
                <w:lang w:eastAsia="tr-TR"/>
              </w:rPr>
            </w:pPr>
            <w:r w:rsidRPr="00F25246">
              <w:rPr>
                <w:sz w:val="14"/>
                <w:szCs w:val="14"/>
                <w:lang w:eastAsia="tr-TR"/>
              </w:rPr>
              <w:t>1,145,378</w:t>
            </w:r>
          </w:p>
        </w:tc>
        <w:tc>
          <w:tcPr>
            <w:tcW w:w="758" w:type="dxa"/>
            <w:tcBorders>
              <w:top w:val="nil"/>
              <w:left w:val="single" w:sz="4" w:space="0" w:color="auto"/>
              <w:bottom w:val="nil"/>
              <w:right w:val="single" w:sz="4" w:space="0" w:color="auto"/>
            </w:tcBorders>
            <w:shd w:val="clear" w:color="auto" w:fill="auto"/>
            <w:vAlign w:val="bottom"/>
            <w:hideMark/>
          </w:tcPr>
          <w:p w14:paraId="50342B35"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7C6A64D8" w14:textId="77777777" w:rsidR="00F25246" w:rsidRPr="00F25246" w:rsidRDefault="00F25246" w:rsidP="00717AB5">
            <w:pPr>
              <w:ind w:left="-14"/>
              <w:jc w:val="right"/>
              <w:rPr>
                <w:sz w:val="14"/>
                <w:szCs w:val="14"/>
                <w:lang w:eastAsia="tr-TR"/>
              </w:rPr>
            </w:pPr>
            <w:r w:rsidRPr="00F25246">
              <w:rPr>
                <w:sz w:val="14"/>
                <w:szCs w:val="14"/>
                <w:lang w:eastAsia="tr-TR"/>
              </w:rPr>
              <w:t>1,145,378</w:t>
            </w:r>
          </w:p>
        </w:tc>
      </w:tr>
      <w:tr w:rsidR="00F25246" w:rsidRPr="00F25246" w14:paraId="2A34B49D"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0E5C9D60" w14:textId="77777777" w:rsidR="00F25246" w:rsidRPr="00F25246" w:rsidRDefault="00F25246" w:rsidP="00F25246">
            <w:pPr>
              <w:rPr>
                <w:color w:val="000000"/>
                <w:sz w:val="14"/>
                <w:szCs w:val="14"/>
                <w:lang w:eastAsia="tr-TR"/>
              </w:rPr>
            </w:pPr>
            <w:r w:rsidRPr="00F25246">
              <w:rPr>
                <w:color w:val="000000"/>
                <w:sz w:val="14"/>
                <w:szCs w:val="14"/>
                <w:lang w:eastAsia="tr-TR"/>
              </w:rPr>
              <w:t>14.6.1.</w:t>
            </w:r>
          </w:p>
        </w:tc>
        <w:tc>
          <w:tcPr>
            <w:tcW w:w="3278" w:type="dxa"/>
            <w:tcBorders>
              <w:top w:val="nil"/>
              <w:left w:val="single" w:sz="4" w:space="0" w:color="auto"/>
              <w:bottom w:val="nil"/>
              <w:right w:val="single" w:sz="4" w:space="0" w:color="auto"/>
            </w:tcBorders>
            <w:shd w:val="clear" w:color="auto" w:fill="auto"/>
            <w:noWrap/>
            <w:vAlign w:val="center"/>
            <w:hideMark/>
          </w:tcPr>
          <w:p w14:paraId="120E1FE1" w14:textId="77777777" w:rsidR="00F25246" w:rsidRPr="00F25246" w:rsidRDefault="00F25246" w:rsidP="00F25246">
            <w:pPr>
              <w:rPr>
                <w:color w:val="000000"/>
                <w:sz w:val="14"/>
                <w:szCs w:val="14"/>
                <w:lang w:eastAsia="tr-TR"/>
              </w:rPr>
            </w:pPr>
            <w:r w:rsidRPr="00F25246">
              <w:rPr>
                <w:color w:val="000000"/>
                <w:sz w:val="14"/>
                <w:szCs w:val="14"/>
                <w:lang w:eastAsia="tr-TR"/>
              </w:rPr>
              <w:t>Geçmiş Yıllar Kâr veya Zararı</w:t>
            </w:r>
          </w:p>
        </w:tc>
        <w:tc>
          <w:tcPr>
            <w:tcW w:w="654" w:type="dxa"/>
            <w:tcBorders>
              <w:top w:val="nil"/>
              <w:left w:val="single" w:sz="4" w:space="0" w:color="auto"/>
              <w:bottom w:val="nil"/>
              <w:right w:val="single" w:sz="4" w:space="0" w:color="auto"/>
            </w:tcBorders>
            <w:shd w:val="clear" w:color="auto" w:fill="auto"/>
            <w:noWrap/>
            <w:vAlign w:val="center"/>
            <w:hideMark/>
          </w:tcPr>
          <w:p w14:paraId="42E9B076"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1A2381C6" w14:textId="77777777" w:rsidR="00F25246" w:rsidRPr="00F25246" w:rsidRDefault="00F25246" w:rsidP="00717AB5">
            <w:pPr>
              <w:ind w:left="-14"/>
              <w:jc w:val="right"/>
              <w:rPr>
                <w:sz w:val="14"/>
                <w:szCs w:val="14"/>
                <w:lang w:eastAsia="tr-TR"/>
              </w:rPr>
            </w:pPr>
            <w:r w:rsidRPr="00F25246">
              <w:rPr>
                <w:sz w:val="14"/>
                <w:szCs w:val="14"/>
                <w:lang w:eastAsia="tr-TR"/>
              </w:rPr>
              <w:t>58,198</w:t>
            </w:r>
          </w:p>
        </w:tc>
        <w:tc>
          <w:tcPr>
            <w:tcW w:w="851" w:type="dxa"/>
            <w:tcBorders>
              <w:top w:val="nil"/>
              <w:left w:val="single" w:sz="4" w:space="0" w:color="auto"/>
              <w:bottom w:val="nil"/>
              <w:right w:val="single" w:sz="4" w:space="0" w:color="auto"/>
            </w:tcBorders>
            <w:shd w:val="clear" w:color="auto" w:fill="auto"/>
            <w:vAlign w:val="bottom"/>
            <w:hideMark/>
          </w:tcPr>
          <w:p w14:paraId="5F3659C7"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431F00C2" w14:textId="77777777" w:rsidR="00F25246" w:rsidRPr="00F25246" w:rsidRDefault="00F25246" w:rsidP="00717AB5">
            <w:pPr>
              <w:ind w:left="-14"/>
              <w:jc w:val="right"/>
              <w:rPr>
                <w:sz w:val="14"/>
                <w:szCs w:val="14"/>
                <w:lang w:eastAsia="tr-TR"/>
              </w:rPr>
            </w:pPr>
            <w:r w:rsidRPr="00F25246">
              <w:rPr>
                <w:sz w:val="14"/>
                <w:szCs w:val="14"/>
                <w:lang w:eastAsia="tr-TR"/>
              </w:rPr>
              <w:t>58,198</w:t>
            </w:r>
          </w:p>
        </w:tc>
        <w:tc>
          <w:tcPr>
            <w:tcW w:w="757" w:type="dxa"/>
            <w:gridSpan w:val="2"/>
            <w:tcBorders>
              <w:top w:val="nil"/>
              <w:left w:val="single" w:sz="4" w:space="0" w:color="auto"/>
              <w:bottom w:val="nil"/>
              <w:right w:val="single" w:sz="4" w:space="0" w:color="auto"/>
            </w:tcBorders>
            <w:shd w:val="clear" w:color="auto" w:fill="auto"/>
            <w:vAlign w:val="bottom"/>
            <w:hideMark/>
          </w:tcPr>
          <w:p w14:paraId="176CE7AC" w14:textId="77777777" w:rsidR="00F25246" w:rsidRPr="00F25246" w:rsidRDefault="00F25246" w:rsidP="00717AB5">
            <w:pPr>
              <w:ind w:left="-14"/>
              <w:jc w:val="right"/>
              <w:rPr>
                <w:sz w:val="14"/>
                <w:szCs w:val="14"/>
                <w:lang w:eastAsia="tr-TR"/>
              </w:rPr>
            </w:pPr>
            <w:r w:rsidRPr="00F25246">
              <w:rPr>
                <w:sz w:val="14"/>
                <w:szCs w:val="14"/>
                <w:lang w:eastAsia="tr-TR"/>
              </w:rPr>
              <w:t>35,540</w:t>
            </w:r>
          </w:p>
        </w:tc>
        <w:tc>
          <w:tcPr>
            <w:tcW w:w="758" w:type="dxa"/>
            <w:tcBorders>
              <w:top w:val="nil"/>
              <w:left w:val="single" w:sz="4" w:space="0" w:color="auto"/>
              <w:bottom w:val="nil"/>
              <w:right w:val="single" w:sz="4" w:space="0" w:color="auto"/>
            </w:tcBorders>
            <w:shd w:val="clear" w:color="auto" w:fill="auto"/>
            <w:vAlign w:val="bottom"/>
            <w:hideMark/>
          </w:tcPr>
          <w:p w14:paraId="4800791E"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55334040" w14:textId="77777777" w:rsidR="00F25246" w:rsidRPr="00F25246" w:rsidRDefault="00F25246" w:rsidP="00717AB5">
            <w:pPr>
              <w:ind w:left="-14"/>
              <w:jc w:val="right"/>
              <w:rPr>
                <w:sz w:val="14"/>
                <w:szCs w:val="14"/>
                <w:lang w:eastAsia="tr-TR"/>
              </w:rPr>
            </w:pPr>
            <w:r w:rsidRPr="00F25246">
              <w:rPr>
                <w:sz w:val="14"/>
                <w:szCs w:val="14"/>
                <w:lang w:eastAsia="tr-TR"/>
              </w:rPr>
              <w:t>35,540</w:t>
            </w:r>
          </w:p>
        </w:tc>
      </w:tr>
      <w:tr w:rsidR="00F25246" w:rsidRPr="00F25246" w14:paraId="0A3A9F60"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4301AAF3" w14:textId="77777777" w:rsidR="00F25246" w:rsidRPr="00F25246" w:rsidRDefault="00F25246" w:rsidP="00F25246">
            <w:pPr>
              <w:rPr>
                <w:color w:val="000000"/>
                <w:sz w:val="14"/>
                <w:szCs w:val="14"/>
                <w:lang w:eastAsia="tr-TR"/>
              </w:rPr>
            </w:pPr>
            <w:r w:rsidRPr="00F25246">
              <w:rPr>
                <w:color w:val="000000"/>
                <w:sz w:val="14"/>
                <w:szCs w:val="14"/>
                <w:lang w:eastAsia="tr-TR"/>
              </w:rPr>
              <w:t>14.6.2.</w:t>
            </w:r>
          </w:p>
        </w:tc>
        <w:tc>
          <w:tcPr>
            <w:tcW w:w="3278" w:type="dxa"/>
            <w:tcBorders>
              <w:top w:val="nil"/>
              <w:left w:val="single" w:sz="4" w:space="0" w:color="auto"/>
              <w:bottom w:val="nil"/>
              <w:right w:val="single" w:sz="4" w:space="0" w:color="auto"/>
            </w:tcBorders>
            <w:shd w:val="clear" w:color="auto" w:fill="auto"/>
            <w:noWrap/>
            <w:vAlign w:val="center"/>
            <w:hideMark/>
          </w:tcPr>
          <w:p w14:paraId="320803CB" w14:textId="77777777" w:rsidR="00F25246" w:rsidRPr="00F25246" w:rsidRDefault="00F25246" w:rsidP="00F25246">
            <w:pPr>
              <w:rPr>
                <w:color w:val="000000"/>
                <w:sz w:val="14"/>
                <w:szCs w:val="14"/>
                <w:lang w:eastAsia="tr-TR"/>
              </w:rPr>
            </w:pPr>
            <w:r w:rsidRPr="00F25246">
              <w:rPr>
                <w:color w:val="000000"/>
                <w:sz w:val="14"/>
                <w:szCs w:val="14"/>
                <w:lang w:eastAsia="tr-TR"/>
              </w:rPr>
              <w:t>Dönem Net Kâr veya Zararı</w:t>
            </w:r>
          </w:p>
        </w:tc>
        <w:tc>
          <w:tcPr>
            <w:tcW w:w="654" w:type="dxa"/>
            <w:tcBorders>
              <w:top w:val="nil"/>
              <w:left w:val="single" w:sz="4" w:space="0" w:color="auto"/>
              <w:bottom w:val="nil"/>
              <w:right w:val="single" w:sz="4" w:space="0" w:color="auto"/>
            </w:tcBorders>
            <w:shd w:val="clear" w:color="auto" w:fill="auto"/>
            <w:noWrap/>
            <w:vAlign w:val="center"/>
            <w:hideMark/>
          </w:tcPr>
          <w:p w14:paraId="78866294" w14:textId="77777777" w:rsidR="00F25246" w:rsidRPr="00F25246" w:rsidRDefault="00F25246" w:rsidP="00F25246">
            <w:pPr>
              <w:rPr>
                <w:color w:val="000000"/>
                <w:sz w:val="14"/>
                <w:szCs w:val="14"/>
                <w:lang w:eastAsia="tr-TR"/>
              </w:rPr>
            </w:pPr>
          </w:p>
        </w:tc>
        <w:tc>
          <w:tcPr>
            <w:tcW w:w="783" w:type="dxa"/>
            <w:tcBorders>
              <w:top w:val="nil"/>
              <w:left w:val="single" w:sz="4" w:space="0" w:color="auto"/>
              <w:bottom w:val="nil"/>
              <w:right w:val="single" w:sz="4" w:space="0" w:color="auto"/>
            </w:tcBorders>
            <w:shd w:val="clear" w:color="auto" w:fill="auto"/>
            <w:vAlign w:val="bottom"/>
            <w:hideMark/>
          </w:tcPr>
          <w:p w14:paraId="5680ADD1" w14:textId="77777777" w:rsidR="00F25246" w:rsidRPr="00F25246" w:rsidRDefault="00F25246" w:rsidP="00717AB5">
            <w:pPr>
              <w:ind w:left="-14"/>
              <w:jc w:val="right"/>
              <w:rPr>
                <w:sz w:val="14"/>
                <w:szCs w:val="14"/>
                <w:lang w:eastAsia="tr-TR"/>
              </w:rPr>
            </w:pPr>
            <w:r w:rsidRPr="00F25246">
              <w:rPr>
                <w:sz w:val="14"/>
                <w:szCs w:val="14"/>
                <w:lang w:eastAsia="tr-TR"/>
              </w:rPr>
              <w:t>1,036,056</w:t>
            </w:r>
          </w:p>
        </w:tc>
        <w:tc>
          <w:tcPr>
            <w:tcW w:w="851" w:type="dxa"/>
            <w:tcBorders>
              <w:top w:val="nil"/>
              <w:left w:val="single" w:sz="4" w:space="0" w:color="auto"/>
              <w:bottom w:val="nil"/>
              <w:right w:val="single" w:sz="4" w:space="0" w:color="auto"/>
            </w:tcBorders>
            <w:shd w:val="clear" w:color="auto" w:fill="auto"/>
            <w:vAlign w:val="bottom"/>
            <w:hideMark/>
          </w:tcPr>
          <w:p w14:paraId="2199140D"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08A30A7F" w14:textId="77777777" w:rsidR="00F25246" w:rsidRPr="00F25246" w:rsidRDefault="00F25246" w:rsidP="00717AB5">
            <w:pPr>
              <w:ind w:left="-14"/>
              <w:jc w:val="right"/>
              <w:rPr>
                <w:sz w:val="14"/>
                <w:szCs w:val="14"/>
                <w:lang w:eastAsia="tr-TR"/>
              </w:rPr>
            </w:pPr>
            <w:r w:rsidRPr="00F25246">
              <w:rPr>
                <w:sz w:val="14"/>
                <w:szCs w:val="14"/>
                <w:lang w:eastAsia="tr-TR"/>
              </w:rPr>
              <w:t>1,036,056</w:t>
            </w:r>
          </w:p>
        </w:tc>
        <w:tc>
          <w:tcPr>
            <w:tcW w:w="757" w:type="dxa"/>
            <w:gridSpan w:val="2"/>
            <w:tcBorders>
              <w:top w:val="nil"/>
              <w:left w:val="single" w:sz="4" w:space="0" w:color="auto"/>
              <w:bottom w:val="nil"/>
              <w:right w:val="single" w:sz="4" w:space="0" w:color="auto"/>
            </w:tcBorders>
            <w:shd w:val="clear" w:color="auto" w:fill="auto"/>
            <w:vAlign w:val="bottom"/>
            <w:hideMark/>
          </w:tcPr>
          <w:p w14:paraId="71D66075" w14:textId="77777777" w:rsidR="00F25246" w:rsidRPr="00F25246" w:rsidRDefault="00F25246" w:rsidP="00717AB5">
            <w:pPr>
              <w:ind w:left="-14"/>
              <w:jc w:val="right"/>
              <w:rPr>
                <w:sz w:val="14"/>
                <w:szCs w:val="14"/>
                <w:lang w:eastAsia="tr-TR"/>
              </w:rPr>
            </w:pPr>
            <w:r w:rsidRPr="00F25246">
              <w:rPr>
                <w:sz w:val="14"/>
                <w:szCs w:val="14"/>
                <w:lang w:eastAsia="tr-TR"/>
              </w:rPr>
              <w:t>1,109,838</w:t>
            </w:r>
          </w:p>
        </w:tc>
        <w:tc>
          <w:tcPr>
            <w:tcW w:w="758" w:type="dxa"/>
            <w:tcBorders>
              <w:top w:val="nil"/>
              <w:left w:val="single" w:sz="4" w:space="0" w:color="auto"/>
              <w:bottom w:val="nil"/>
              <w:right w:val="single" w:sz="4" w:space="0" w:color="auto"/>
            </w:tcBorders>
            <w:shd w:val="clear" w:color="auto" w:fill="auto"/>
            <w:vAlign w:val="bottom"/>
            <w:hideMark/>
          </w:tcPr>
          <w:p w14:paraId="483F5CCB"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41D7ADFD" w14:textId="77777777" w:rsidR="00F25246" w:rsidRPr="00F25246" w:rsidRDefault="00F25246" w:rsidP="00717AB5">
            <w:pPr>
              <w:ind w:left="-14"/>
              <w:jc w:val="right"/>
              <w:rPr>
                <w:sz w:val="14"/>
                <w:szCs w:val="14"/>
                <w:lang w:eastAsia="tr-TR"/>
              </w:rPr>
            </w:pPr>
            <w:r w:rsidRPr="00F25246">
              <w:rPr>
                <w:sz w:val="14"/>
                <w:szCs w:val="14"/>
                <w:lang w:eastAsia="tr-TR"/>
              </w:rPr>
              <w:t>1,109,838</w:t>
            </w:r>
          </w:p>
        </w:tc>
      </w:tr>
      <w:tr w:rsidR="00F25246" w:rsidRPr="00F25246" w14:paraId="76EA5DFB" w14:textId="77777777" w:rsidTr="00717AB5">
        <w:trPr>
          <w:divId w:val="1907639562"/>
          <w:trHeight w:val="228"/>
        </w:trPr>
        <w:tc>
          <w:tcPr>
            <w:tcW w:w="525" w:type="dxa"/>
            <w:tcBorders>
              <w:top w:val="nil"/>
              <w:left w:val="single" w:sz="4" w:space="0" w:color="auto"/>
              <w:bottom w:val="nil"/>
              <w:right w:val="single" w:sz="4" w:space="0" w:color="auto"/>
            </w:tcBorders>
            <w:shd w:val="clear" w:color="auto" w:fill="auto"/>
            <w:noWrap/>
            <w:vAlign w:val="center"/>
            <w:hideMark/>
          </w:tcPr>
          <w:p w14:paraId="0600DEE6" w14:textId="77777777" w:rsidR="00F25246" w:rsidRPr="00F25246" w:rsidRDefault="00F25246" w:rsidP="00F25246">
            <w:pPr>
              <w:rPr>
                <w:color w:val="000000"/>
                <w:sz w:val="14"/>
                <w:szCs w:val="14"/>
                <w:lang w:eastAsia="tr-TR"/>
              </w:rPr>
            </w:pPr>
            <w:r w:rsidRPr="00F25246">
              <w:rPr>
                <w:color w:val="000000"/>
                <w:sz w:val="14"/>
                <w:szCs w:val="14"/>
                <w:lang w:eastAsia="tr-TR"/>
              </w:rPr>
              <w:t>14.7.</w:t>
            </w:r>
          </w:p>
        </w:tc>
        <w:tc>
          <w:tcPr>
            <w:tcW w:w="3278" w:type="dxa"/>
            <w:tcBorders>
              <w:top w:val="nil"/>
              <w:left w:val="single" w:sz="4" w:space="0" w:color="auto"/>
              <w:bottom w:val="nil"/>
              <w:right w:val="single" w:sz="4" w:space="0" w:color="auto"/>
            </w:tcBorders>
            <w:shd w:val="clear" w:color="auto" w:fill="auto"/>
            <w:noWrap/>
            <w:vAlign w:val="center"/>
            <w:hideMark/>
          </w:tcPr>
          <w:p w14:paraId="6A73D9CB" w14:textId="77777777" w:rsidR="00F25246" w:rsidRPr="00F25246" w:rsidRDefault="00F25246" w:rsidP="00F25246">
            <w:pPr>
              <w:rPr>
                <w:color w:val="000000"/>
                <w:sz w:val="14"/>
                <w:szCs w:val="14"/>
                <w:lang w:eastAsia="tr-TR"/>
              </w:rPr>
            </w:pPr>
            <w:r w:rsidRPr="00F25246">
              <w:rPr>
                <w:color w:val="000000"/>
                <w:sz w:val="14"/>
                <w:szCs w:val="14"/>
                <w:lang w:eastAsia="tr-TR"/>
              </w:rPr>
              <w:t>Azınlık Payları</w:t>
            </w:r>
          </w:p>
        </w:tc>
        <w:tc>
          <w:tcPr>
            <w:tcW w:w="654" w:type="dxa"/>
            <w:tcBorders>
              <w:top w:val="nil"/>
              <w:left w:val="single" w:sz="4" w:space="0" w:color="auto"/>
              <w:bottom w:val="nil"/>
              <w:right w:val="single" w:sz="4" w:space="0" w:color="auto"/>
            </w:tcBorders>
            <w:shd w:val="clear" w:color="auto" w:fill="auto"/>
            <w:noWrap/>
            <w:vAlign w:val="center"/>
            <w:hideMark/>
          </w:tcPr>
          <w:p w14:paraId="79774272" w14:textId="77777777" w:rsidR="00F25246" w:rsidRPr="00F25246" w:rsidRDefault="00F25246" w:rsidP="00F25246">
            <w:pPr>
              <w:rPr>
                <w:color w:val="000000"/>
                <w:sz w:val="14"/>
                <w:szCs w:val="14"/>
                <w:lang w:eastAsia="tr-TR"/>
              </w:rPr>
            </w:pPr>
            <w:r w:rsidRPr="00F25246">
              <w:rPr>
                <w:color w:val="000000"/>
                <w:sz w:val="14"/>
                <w:szCs w:val="14"/>
                <w:lang w:eastAsia="tr-TR"/>
              </w:rPr>
              <w:t>(5.2.12.)</w:t>
            </w:r>
          </w:p>
        </w:tc>
        <w:tc>
          <w:tcPr>
            <w:tcW w:w="783" w:type="dxa"/>
            <w:tcBorders>
              <w:top w:val="nil"/>
              <w:left w:val="single" w:sz="4" w:space="0" w:color="auto"/>
              <w:bottom w:val="nil"/>
              <w:right w:val="single" w:sz="4" w:space="0" w:color="auto"/>
            </w:tcBorders>
            <w:shd w:val="clear" w:color="auto" w:fill="auto"/>
            <w:vAlign w:val="bottom"/>
            <w:hideMark/>
          </w:tcPr>
          <w:p w14:paraId="6F3CF95C"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13738A2"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70" w:type="dxa"/>
            <w:tcBorders>
              <w:top w:val="nil"/>
              <w:left w:val="single" w:sz="4" w:space="0" w:color="auto"/>
              <w:bottom w:val="nil"/>
              <w:right w:val="single" w:sz="4" w:space="0" w:color="auto"/>
            </w:tcBorders>
            <w:shd w:val="clear" w:color="auto" w:fill="auto"/>
            <w:vAlign w:val="bottom"/>
            <w:hideMark/>
          </w:tcPr>
          <w:p w14:paraId="0E845C39"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7" w:type="dxa"/>
            <w:gridSpan w:val="2"/>
            <w:tcBorders>
              <w:top w:val="nil"/>
              <w:left w:val="single" w:sz="4" w:space="0" w:color="auto"/>
              <w:bottom w:val="nil"/>
              <w:right w:val="single" w:sz="4" w:space="0" w:color="auto"/>
            </w:tcBorders>
            <w:shd w:val="clear" w:color="auto" w:fill="auto"/>
            <w:vAlign w:val="bottom"/>
            <w:hideMark/>
          </w:tcPr>
          <w:p w14:paraId="06D2A11F"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758" w:type="dxa"/>
            <w:tcBorders>
              <w:top w:val="nil"/>
              <w:left w:val="single" w:sz="4" w:space="0" w:color="auto"/>
              <w:bottom w:val="nil"/>
              <w:right w:val="single" w:sz="4" w:space="0" w:color="auto"/>
            </w:tcBorders>
            <w:shd w:val="clear" w:color="auto" w:fill="auto"/>
            <w:vAlign w:val="bottom"/>
            <w:hideMark/>
          </w:tcPr>
          <w:p w14:paraId="597BCE65" w14:textId="77777777" w:rsidR="00F25246" w:rsidRPr="00F25246" w:rsidRDefault="00F25246" w:rsidP="00717AB5">
            <w:pPr>
              <w:ind w:left="-14"/>
              <w:jc w:val="right"/>
              <w:rPr>
                <w:sz w:val="14"/>
                <w:szCs w:val="14"/>
                <w:lang w:eastAsia="tr-TR"/>
              </w:rPr>
            </w:pPr>
            <w:r w:rsidRPr="00F25246">
              <w:rPr>
                <w:sz w:val="14"/>
                <w:szCs w:val="14"/>
                <w:lang w:eastAsia="tr-TR"/>
              </w:rPr>
              <w:t>-</w:t>
            </w:r>
          </w:p>
        </w:tc>
        <w:tc>
          <w:tcPr>
            <w:tcW w:w="910" w:type="dxa"/>
            <w:tcBorders>
              <w:top w:val="nil"/>
              <w:left w:val="single" w:sz="4" w:space="0" w:color="auto"/>
              <w:bottom w:val="nil"/>
              <w:right w:val="single" w:sz="4" w:space="0" w:color="auto"/>
            </w:tcBorders>
            <w:shd w:val="clear" w:color="auto" w:fill="auto"/>
            <w:vAlign w:val="bottom"/>
            <w:hideMark/>
          </w:tcPr>
          <w:p w14:paraId="7DA9D201" w14:textId="77777777" w:rsidR="00F25246" w:rsidRPr="00F25246" w:rsidRDefault="00F25246" w:rsidP="00717AB5">
            <w:pPr>
              <w:ind w:left="-14"/>
              <w:jc w:val="right"/>
              <w:rPr>
                <w:sz w:val="14"/>
                <w:szCs w:val="14"/>
                <w:lang w:eastAsia="tr-TR"/>
              </w:rPr>
            </w:pPr>
            <w:r w:rsidRPr="00F25246">
              <w:rPr>
                <w:sz w:val="14"/>
                <w:szCs w:val="14"/>
                <w:lang w:eastAsia="tr-TR"/>
              </w:rPr>
              <w:t>-</w:t>
            </w:r>
          </w:p>
        </w:tc>
      </w:tr>
      <w:tr w:rsidR="00F25246" w:rsidRPr="00F25246" w14:paraId="63D39815" w14:textId="77777777" w:rsidTr="00717AB5">
        <w:trPr>
          <w:divId w:val="1907639562"/>
          <w:trHeight w:val="57"/>
        </w:trPr>
        <w:tc>
          <w:tcPr>
            <w:tcW w:w="525" w:type="dxa"/>
            <w:tcBorders>
              <w:top w:val="nil"/>
              <w:left w:val="single" w:sz="4" w:space="0" w:color="auto"/>
              <w:bottom w:val="single" w:sz="4" w:space="0" w:color="auto"/>
              <w:right w:val="single" w:sz="4" w:space="0" w:color="auto"/>
            </w:tcBorders>
            <w:shd w:val="clear" w:color="auto" w:fill="auto"/>
            <w:noWrap/>
            <w:vAlign w:val="bottom"/>
            <w:hideMark/>
          </w:tcPr>
          <w:p w14:paraId="18245C80" w14:textId="77777777" w:rsidR="00F25246" w:rsidRPr="00311DAB" w:rsidRDefault="00F25246" w:rsidP="00F25246">
            <w:pPr>
              <w:rPr>
                <w:color w:val="000000"/>
                <w:sz w:val="10"/>
                <w:szCs w:val="10"/>
                <w:lang w:eastAsia="tr-TR"/>
              </w:rPr>
            </w:pPr>
            <w:r w:rsidRPr="00311DAB">
              <w:rPr>
                <w:color w:val="000000"/>
                <w:sz w:val="10"/>
                <w:szCs w:val="10"/>
                <w:lang w:eastAsia="tr-TR"/>
              </w:rPr>
              <w:t> </w:t>
            </w:r>
          </w:p>
        </w:tc>
        <w:tc>
          <w:tcPr>
            <w:tcW w:w="3278" w:type="dxa"/>
            <w:tcBorders>
              <w:top w:val="nil"/>
              <w:left w:val="single" w:sz="4" w:space="0" w:color="auto"/>
              <w:bottom w:val="single" w:sz="4" w:space="0" w:color="auto"/>
              <w:right w:val="single" w:sz="4" w:space="0" w:color="auto"/>
            </w:tcBorders>
            <w:shd w:val="clear" w:color="auto" w:fill="auto"/>
            <w:noWrap/>
            <w:vAlign w:val="bottom"/>
            <w:hideMark/>
          </w:tcPr>
          <w:p w14:paraId="45FD46C8" w14:textId="77777777" w:rsidR="00F25246" w:rsidRPr="00311DAB" w:rsidRDefault="00F25246" w:rsidP="00F25246">
            <w:pPr>
              <w:rPr>
                <w:color w:val="000000"/>
                <w:sz w:val="10"/>
                <w:szCs w:val="10"/>
                <w:lang w:eastAsia="tr-TR"/>
              </w:rPr>
            </w:pPr>
            <w:r w:rsidRPr="00311DAB">
              <w:rPr>
                <w:color w:val="000000"/>
                <w:sz w:val="10"/>
                <w:szCs w:val="10"/>
                <w:lang w:eastAsia="tr-TR"/>
              </w:rPr>
              <w:t> </w:t>
            </w: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20914DE9" w14:textId="77777777" w:rsidR="00F25246" w:rsidRPr="00311DAB" w:rsidRDefault="00F25246" w:rsidP="00F25246">
            <w:pPr>
              <w:rPr>
                <w:color w:val="000000"/>
                <w:sz w:val="10"/>
                <w:szCs w:val="10"/>
                <w:lang w:eastAsia="tr-TR"/>
              </w:rPr>
            </w:pPr>
            <w:r w:rsidRPr="00311DAB">
              <w:rPr>
                <w:color w:val="000000"/>
                <w:sz w:val="10"/>
                <w:szCs w:val="10"/>
                <w:lang w:eastAsia="tr-TR"/>
              </w:rPr>
              <w:t> </w:t>
            </w:r>
          </w:p>
        </w:tc>
        <w:tc>
          <w:tcPr>
            <w:tcW w:w="783" w:type="dxa"/>
            <w:tcBorders>
              <w:top w:val="nil"/>
              <w:left w:val="single" w:sz="4" w:space="0" w:color="auto"/>
              <w:bottom w:val="single" w:sz="4" w:space="0" w:color="auto"/>
              <w:right w:val="single" w:sz="4" w:space="0" w:color="auto"/>
            </w:tcBorders>
            <w:shd w:val="clear" w:color="auto" w:fill="auto"/>
            <w:vAlign w:val="bottom"/>
            <w:hideMark/>
          </w:tcPr>
          <w:p w14:paraId="0166A2AA" w14:textId="77777777" w:rsidR="00F25246" w:rsidRPr="00311DAB" w:rsidRDefault="00F25246" w:rsidP="00717AB5">
            <w:pPr>
              <w:ind w:left="-14"/>
              <w:jc w:val="right"/>
              <w:rPr>
                <w:sz w:val="10"/>
                <w:szCs w:val="10"/>
                <w:lang w:eastAsia="tr-TR"/>
              </w:rPr>
            </w:pPr>
            <w:r w:rsidRPr="00311DAB">
              <w:rPr>
                <w:sz w:val="10"/>
                <w:szCs w:val="10"/>
                <w:lang w:eastAsia="tr-TR"/>
              </w:rPr>
              <w:t> </w:t>
            </w: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597AFE04" w14:textId="77777777" w:rsidR="00F25246" w:rsidRPr="00311DAB" w:rsidRDefault="00F25246" w:rsidP="00717AB5">
            <w:pPr>
              <w:ind w:left="-14"/>
              <w:jc w:val="right"/>
              <w:rPr>
                <w:sz w:val="10"/>
                <w:szCs w:val="10"/>
                <w:lang w:eastAsia="tr-TR"/>
              </w:rPr>
            </w:pPr>
            <w:r w:rsidRPr="00311DAB">
              <w:rPr>
                <w:sz w:val="10"/>
                <w:szCs w:val="10"/>
                <w:lang w:eastAsia="tr-TR"/>
              </w:rPr>
              <w:t> </w:t>
            </w:r>
          </w:p>
        </w:tc>
        <w:tc>
          <w:tcPr>
            <w:tcW w:w="970" w:type="dxa"/>
            <w:tcBorders>
              <w:top w:val="nil"/>
              <w:left w:val="single" w:sz="4" w:space="0" w:color="auto"/>
              <w:bottom w:val="single" w:sz="4" w:space="0" w:color="auto"/>
              <w:right w:val="single" w:sz="4" w:space="0" w:color="auto"/>
            </w:tcBorders>
            <w:shd w:val="clear" w:color="auto" w:fill="auto"/>
            <w:vAlign w:val="bottom"/>
            <w:hideMark/>
          </w:tcPr>
          <w:p w14:paraId="5E6FCA60" w14:textId="77777777" w:rsidR="00F25246" w:rsidRPr="00311DAB" w:rsidRDefault="00F25246" w:rsidP="00717AB5">
            <w:pPr>
              <w:ind w:left="-14"/>
              <w:jc w:val="right"/>
              <w:rPr>
                <w:sz w:val="10"/>
                <w:szCs w:val="10"/>
                <w:lang w:eastAsia="tr-TR"/>
              </w:rPr>
            </w:pPr>
            <w:r w:rsidRPr="00311DAB">
              <w:rPr>
                <w:sz w:val="10"/>
                <w:szCs w:val="10"/>
                <w:lang w:eastAsia="tr-TR"/>
              </w:rPr>
              <w:t> </w:t>
            </w:r>
          </w:p>
        </w:tc>
        <w:tc>
          <w:tcPr>
            <w:tcW w:w="757" w:type="dxa"/>
            <w:gridSpan w:val="2"/>
            <w:tcBorders>
              <w:top w:val="nil"/>
              <w:left w:val="single" w:sz="4" w:space="0" w:color="auto"/>
              <w:bottom w:val="single" w:sz="4" w:space="0" w:color="auto"/>
              <w:right w:val="single" w:sz="4" w:space="0" w:color="auto"/>
            </w:tcBorders>
            <w:shd w:val="clear" w:color="auto" w:fill="auto"/>
            <w:vAlign w:val="bottom"/>
            <w:hideMark/>
          </w:tcPr>
          <w:p w14:paraId="01B3B1E6" w14:textId="77777777" w:rsidR="00F25246" w:rsidRPr="00311DAB" w:rsidRDefault="00F25246" w:rsidP="00717AB5">
            <w:pPr>
              <w:ind w:left="-14"/>
              <w:jc w:val="right"/>
              <w:rPr>
                <w:sz w:val="10"/>
                <w:szCs w:val="10"/>
                <w:lang w:eastAsia="tr-TR"/>
              </w:rPr>
            </w:pPr>
            <w:r w:rsidRPr="00311DAB">
              <w:rPr>
                <w:sz w:val="10"/>
                <w:szCs w:val="10"/>
                <w:lang w:eastAsia="tr-TR"/>
              </w:rPr>
              <w:t> </w:t>
            </w:r>
          </w:p>
        </w:tc>
        <w:tc>
          <w:tcPr>
            <w:tcW w:w="758" w:type="dxa"/>
            <w:tcBorders>
              <w:top w:val="nil"/>
              <w:left w:val="single" w:sz="4" w:space="0" w:color="auto"/>
              <w:bottom w:val="single" w:sz="4" w:space="0" w:color="auto"/>
              <w:right w:val="single" w:sz="4" w:space="0" w:color="auto"/>
            </w:tcBorders>
            <w:shd w:val="clear" w:color="auto" w:fill="auto"/>
            <w:vAlign w:val="bottom"/>
            <w:hideMark/>
          </w:tcPr>
          <w:p w14:paraId="65BC830B" w14:textId="77777777" w:rsidR="00F25246" w:rsidRPr="00311DAB" w:rsidRDefault="00F25246" w:rsidP="00717AB5">
            <w:pPr>
              <w:ind w:left="-14"/>
              <w:jc w:val="right"/>
              <w:rPr>
                <w:sz w:val="10"/>
                <w:szCs w:val="10"/>
                <w:lang w:eastAsia="tr-TR"/>
              </w:rPr>
            </w:pPr>
            <w:r w:rsidRPr="00311DAB">
              <w:rPr>
                <w:sz w:val="10"/>
                <w:szCs w:val="10"/>
                <w:lang w:eastAsia="tr-TR"/>
              </w:rPr>
              <w:t> </w:t>
            </w:r>
          </w:p>
        </w:tc>
        <w:tc>
          <w:tcPr>
            <w:tcW w:w="910" w:type="dxa"/>
            <w:tcBorders>
              <w:top w:val="nil"/>
              <w:left w:val="single" w:sz="4" w:space="0" w:color="auto"/>
              <w:bottom w:val="single" w:sz="4" w:space="0" w:color="auto"/>
              <w:right w:val="single" w:sz="4" w:space="0" w:color="auto"/>
            </w:tcBorders>
            <w:shd w:val="clear" w:color="auto" w:fill="auto"/>
            <w:vAlign w:val="bottom"/>
            <w:hideMark/>
          </w:tcPr>
          <w:p w14:paraId="0BFC2993" w14:textId="77777777" w:rsidR="00F25246" w:rsidRPr="00311DAB" w:rsidRDefault="00F25246" w:rsidP="00717AB5">
            <w:pPr>
              <w:ind w:left="-14"/>
              <w:jc w:val="right"/>
              <w:rPr>
                <w:sz w:val="10"/>
                <w:szCs w:val="10"/>
                <w:lang w:eastAsia="tr-TR"/>
              </w:rPr>
            </w:pPr>
            <w:r w:rsidRPr="00311DAB">
              <w:rPr>
                <w:sz w:val="10"/>
                <w:szCs w:val="10"/>
                <w:lang w:eastAsia="tr-TR"/>
              </w:rPr>
              <w:t> </w:t>
            </w:r>
          </w:p>
        </w:tc>
      </w:tr>
      <w:tr w:rsidR="00F25246" w:rsidRPr="00F25246" w14:paraId="06EE487D" w14:textId="77777777" w:rsidTr="00717AB5">
        <w:trPr>
          <w:divId w:val="1907639562"/>
          <w:trHeight w:val="190"/>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477E59DC"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 </w:t>
            </w:r>
          </w:p>
        </w:tc>
        <w:tc>
          <w:tcPr>
            <w:tcW w:w="3278" w:type="dxa"/>
            <w:tcBorders>
              <w:top w:val="nil"/>
              <w:left w:val="single" w:sz="4" w:space="0" w:color="auto"/>
              <w:bottom w:val="single" w:sz="4" w:space="0" w:color="auto"/>
              <w:right w:val="single" w:sz="4" w:space="0" w:color="auto"/>
            </w:tcBorders>
            <w:shd w:val="clear" w:color="auto" w:fill="auto"/>
            <w:vAlign w:val="center"/>
            <w:hideMark/>
          </w:tcPr>
          <w:p w14:paraId="554A2CE7"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YÜKÜMLÜLÜKLER TOPLAMI</w:t>
            </w:r>
          </w:p>
        </w:tc>
        <w:tc>
          <w:tcPr>
            <w:tcW w:w="654" w:type="dxa"/>
            <w:tcBorders>
              <w:top w:val="nil"/>
              <w:left w:val="single" w:sz="4" w:space="0" w:color="auto"/>
              <w:bottom w:val="single" w:sz="4" w:space="0" w:color="auto"/>
              <w:right w:val="single" w:sz="4" w:space="0" w:color="auto"/>
            </w:tcBorders>
            <w:shd w:val="clear" w:color="auto" w:fill="auto"/>
            <w:noWrap/>
            <w:vAlign w:val="center"/>
            <w:hideMark/>
          </w:tcPr>
          <w:p w14:paraId="19A98DE9" w14:textId="77777777" w:rsidR="00F25246" w:rsidRPr="00F25246" w:rsidRDefault="00F25246" w:rsidP="00F25246">
            <w:pPr>
              <w:rPr>
                <w:b/>
                <w:bCs/>
                <w:color w:val="000000"/>
                <w:sz w:val="14"/>
                <w:szCs w:val="14"/>
                <w:lang w:eastAsia="tr-TR"/>
              </w:rPr>
            </w:pPr>
            <w:r w:rsidRPr="00F25246">
              <w:rPr>
                <w:b/>
                <w:bCs/>
                <w:color w:val="000000"/>
                <w:sz w:val="14"/>
                <w:szCs w:val="14"/>
                <w:lang w:eastAsia="tr-TR"/>
              </w:rPr>
              <w:t> </w:t>
            </w:r>
          </w:p>
        </w:tc>
        <w:tc>
          <w:tcPr>
            <w:tcW w:w="783" w:type="dxa"/>
            <w:tcBorders>
              <w:top w:val="nil"/>
              <w:left w:val="single" w:sz="4" w:space="0" w:color="auto"/>
              <w:bottom w:val="single" w:sz="4" w:space="0" w:color="auto"/>
              <w:right w:val="single" w:sz="4" w:space="0" w:color="auto"/>
            </w:tcBorders>
            <w:shd w:val="clear" w:color="auto" w:fill="auto"/>
            <w:vAlign w:val="bottom"/>
            <w:hideMark/>
          </w:tcPr>
          <w:p w14:paraId="18B5DE04" w14:textId="77777777" w:rsidR="00F25246" w:rsidRPr="00F25246" w:rsidRDefault="00F25246" w:rsidP="00717AB5">
            <w:pPr>
              <w:ind w:left="-14"/>
              <w:jc w:val="right"/>
              <w:rPr>
                <w:b/>
                <w:bCs/>
                <w:sz w:val="14"/>
                <w:szCs w:val="14"/>
                <w:lang w:eastAsia="tr-TR"/>
              </w:rPr>
            </w:pPr>
            <w:r w:rsidRPr="00F25246">
              <w:rPr>
                <w:b/>
                <w:bCs/>
                <w:sz w:val="14"/>
                <w:szCs w:val="14"/>
                <w:lang w:eastAsia="tr-TR"/>
              </w:rPr>
              <w:t>59,865,680</w:t>
            </w: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1413060A" w14:textId="77777777" w:rsidR="00F25246" w:rsidRPr="00F25246" w:rsidRDefault="00F25246" w:rsidP="00717AB5">
            <w:pPr>
              <w:ind w:left="-14"/>
              <w:jc w:val="right"/>
              <w:rPr>
                <w:b/>
                <w:bCs/>
                <w:sz w:val="14"/>
                <w:szCs w:val="14"/>
                <w:lang w:eastAsia="tr-TR"/>
              </w:rPr>
            </w:pPr>
            <w:r w:rsidRPr="00F25246">
              <w:rPr>
                <w:b/>
                <w:bCs/>
                <w:sz w:val="14"/>
                <w:szCs w:val="14"/>
                <w:lang w:eastAsia="tr-TR"/>
              </w:rPr>
              <w:t>93,254,040</w:t>
            </w:r>
          </w:p>
        </w:tc>
        <w:tc>
          <w:tcPr>
            <w:tcW w:w="970" w:type="dxa"/>
            <w:tcBorders>
              <w:top w:val="nil"/>
              <w:left w:val="single" w:sz="4" w:space="0" w:color="auto"/>
              <w:bottom w:val="single" w:sz="4" w:space="0" w:color="auto"/>
              <w:right w:val="single" w:sz="4" w:space="0" w:color="auto"/>
            </w:tcBorders>
            <w:shd w:val="clear" w:color="auto" w:fill="auto"/>
            <w:vAlign w:val="bottom"/>
            <w:hideMark/>
          </w:tcPr>
          <w:p w14:paraId="38DB6528" w14:textId="77777777" w:rsidR="00F25246" w:rsidRPr="00F25246" w:rsidRDefault="00F25246" w:rsidP="00717AB5">
            <w:pPr>
              <w:ind w:left="-14"/>
              <w:jc w:val="right"/>
              <w:rPr>
                <w:b/>
                <w:bCs/>
                <w:sz w:val="14"/>
                <w:szCs w:val="14"/>
                <w:lang w:eastAsia="tr-TR"/>
              </w:rPr>
            </w:pPr>
            <w:r w:rsidRPr="00F25246">
              <w:rPr>
                <w:b/>
                <w:bCs/>
                <w:sz w:val="14"/>
                <w:szCs w:val="14"/>
                <w:lang w:eastAsia="tr-TR"/>
              </w:rPr>
              <w:t>153,119,720</w:t>
            </w:r>
          </w:p>
        </w:tc>
        <w:tc>
          <w:tcPr>
            <w:tcW w:w="757" w:type="dxa"/>
            <w:gridSpan w:val="2"/>
            <w:tcBorders>
              <w:top w:val="nil"/>
              <w:left w:val="single" w:sz="4" w:space="0" w:color="auto"/>
              <w:bottom w:val="single" w:sz="4" w:space="0" w:color="auto"/>
              <w:right w:val="single" w:sz="4" w:space="0" w:color="auto"/>
            </w:tcBorders>
            <w:shd w:val="clear" w:color="auto" w:fill="auto"/>
            <w:vAlign w:val="bottom"/>
            <w:hideMark/>
          </w:tcPr>
          <w:p w14:paraId="53C479DC" w14:textId="77777777" w:rsidR="00F25246" w:rsidRPr="00F25246" w:rsidRDefault="00F25246" w:rsidP="00717AB5">
            <w:pPr>
              <w:ind w:left="-14"/>
              <w:jc w:val="right"/>
              <w:rPr>
                <w:b/>
                <w:bCs/>
                <w:sz w:val="14"/>
                <w:szCs w:val="14"/>
                <w:lang w:eastAsia="tr-TR"/>
              </w:rPr>
            </w:pPr>
            <w:r w:rsidRPr="00F25246">
              <w:rPr>
                <w:b/>
                <w:bCs/>
                <w:sz w:val="14"/>
                <w:szCs w:val="14"/>
                <w:lang w:eastAsia="tr-TR"/>
              </w:rPr>
              <w:t>45,620,008</w:t>
            </w:r>
          </w:p>
        </w:tc>
        <w:tc>
          <w:tcPr>
            <w:tcW w:w="758" w:type="dxa"/>
            <w:tcBorders>
              <w:top w:val="nil"/>
              <w:left w:val="single" w:sz="4" w:space="0" w:color="auto"/>
              <w:bottom w:val="single" w:sz="4" w:space="0" w:color="auto"/>
              <w:right w:val="single" w:sz="4" w:space="0" w:color="auto"/>
            </w:tcBorders>
            <w:shd w:val="clear" w:color="auto" w:fill="auto"/>
            <w:vAlign w:val="bottom"/>
            <w:hideMark/>
          </w:tcPr>
          <w:p w14:paraId="3383CDF5" w14:textId="77777777" w:rsidR="00F25246" w:rsidRPr="00F25246" w:rsidRDefault="00F25246" w:rsidP="00717AB5">
            <w:pPr>
              <w:ind w:left="-14"/>
              <w:jc w:val="right"/>
              <w:rPr>
                <w:b/>
                <w:bCs/>
                <w:sz w:val="14"/>
                <w:szCs w:val="14"/>
                <w:lang w:eastAsia="tr-TR"/>
              </w:rPr>
            </w:pPr>
            <w:r w:rsidRPr="00F25246">
              <w:rPr>
                <w:b/>
                <w:bCs/>
                <w:sz w:val="14"/>
                <w:szCs w:val="14"/>
                <w:lang w:eastAsia="tr-TR"/>
              </w:rPr>
              <w:t>58,819,337</w:t>
            </w:r>
          </w:p>
        </w:tc>
        <w:tc>
          <w:tcPr>
            <w:tcW w:w="910" w:type="dxa"/>
            <w:tcBorders>
              <w:top w:val="nil"/>
              <w:left w:val="single" w:sz="4" w:space="0" w:color="auto"/>
              <w:bottom w:val="single" w:sz="4" w:space="0" w:color="auto"/>
              <w:right w:val="single" w:sz="4" w:space="0" w:color="auto"/>
            </w:tcBorders>
            <w:shd w:val="clear" w:color="auto" w:fill="auto"/>
            <w:vAlign w:val="bottom"/>
            <w:hideMark/>
          </w:tcPr>
          <w:p w14:paraId="6280EC18" w14:textId="77777777" w:rsidR="00F25246" w:rsidRPr="00F25246" w:rsidRDefault="00F25246" w:rsidP="00717AB5">
            <w:pPr>
              <w:ind w:left="-14"/>
              <w:jc w:val="right"/>
              <w:rPr>
                <w:b/>
                <w:bCs/>
                <w:sz w:val="14"/>
                <w:szCs w:val="14"/>
                <w:lang w:eastAsia="tr-TR"/>
              </w:rPr>
            </w:pPr>
            <w:r w:rsidRPr="00F25246">
              <w:rPr>
                <w:b/>
                <w:bCs/>
                <w:sz w:val="14"/>
                <w:szCs w:val="14"/>
                <w:lang w:eastAsia="tr-TR"/>
              </w:rPr>
              <w:t>104,439,345</w:t>
            </w:r>
          </w:p>
        </w:tc>
      </w:tr>
    </w:tbl>
    <w:p w14:paraId="529F8C85" w14:textId="1A703D38" w:rsidR="002F1C1D" w:rsidRPr="00502A4E" w:rsidRDefault="002F1C1D" w:rsidP="00666B0D">
      <w:pPr>
        <w:autoSpaceDE w:val="0"/>
        <w:autoSpaceDN w:val="0"/>
        <w:adjustRightInd w:val="0"/>
        <w:spacing w:after="60"/>
        <w:jc w:val="both"/>
        <w:rPr>
          <w:highlight w:val="yellow"/>
          <w:lang w:val="en-GB" w:eastAsia="en-GB"/>
        </w:rPr>
      </w:pPr>
    </w:p>
    <w:p w14:paraId="4580BB08" w14:textId="630973A5" w:rsidR="007A576D" w:rsidRPr="00B0539F" w:rsidRDefault="007A576D" w:rsidP="00666B0D">
      <w:pPr>
        <w:autoSpaceDE w:val="0"/>
        <w:autoSpaceDN w:val="0"/>
        <w:adjustRightInd w:val="0"/>
        <w:spacing w:after="60"/>
        <w:jc w:val="both"/>
        <w:rPr>
          <w:b/>
          <w:sz w:val="14"/>
          <w:szCs w:val="14"/>
        </w:rPr>
      </w:pPr>
    </w:p>
    <w:p w14:paraId="26501E82" w14:textId="1662255F" w:rsidR="0038384F" w:rsidRPr="00B0539F" w:rsidRDefault="0038384F" w:rsidP="00690AD3">
      <w:pPr>
        <w:tabs>
          <w:tab w:val="left" w:pos="5880"/>
        </w:tabs>
        <w:autoSpaceDE w:val="0"/>
        <w:autoSpaceDN w:val="0"/>
        <w:adjustRightInd w:val="0"/>
        <w:rPr>
          <w:b/>
          <w:sz w:val="14"/>
          <w:szCs w:val="14"/>
        </w:rPr>
      </w:pPr>
    </w:p>
    <w:p w14:paraId="60DD3DC3" w14:textId="4F67C6BF" w:rsidR="00666B0D" w:rsidRPr="00B0539F" w:rsidRDefault="00666B0D" w:rsidP="00690AD3">
      <w:pPr>
        <w:tabs>
          <w:tab w:val="left" w:pos="5880"/>
        </w:tabs>
        <w:autoSpaceDE w:val="0"/>
        <w:autoSpaceDN w:val="0"/>
        <w:adjustRightInd w:val="0"/>
        <w:rPr>
          <w:b/>
          <w:sz w:val="14"/>
          <w:szCs w:val="14"/>
        </w:rPr>
      </w:pPr>
    </w:p>
    <w:p w14:paraId="5B406FEB" w14:textId="2033A5FD" w:rsidR="00666B0D" w:rsidRPr="00B0539F" w:rsidRDefault="00666B0D" w:rsidP="00690AD3">
      <w:pPr>
        <w:tabs>
          <w:tab w:val="left" w:pos="5880"/>
        </w:tabs>
        <w:autoSpaceDE w:val="0"/>
        <w:autoSpaceDN w:val="0"/>
        <w:adjustRightInd w:val="0"/>
        <w:rPr>
          <w:b/>
          <w:sz w:val="14"/>
          <w:szCs w:val="14"/>
        </w:rPr>
      </w:pPr>
    </w:p>
    <w:p w14:paraId="7873943A" w14:textId="448122D3" w:rsidR="00666B0D" w:rsidRPr="00B0539F" w:rsidRDefault="00666B0D" w:rsidP="00690AD3">
      <w:pPr>
        <w:tabs>
          <w:tab w:val="left" w:pos="5880"/>
        </w:tabs>
        <w:autoSpaceDE w:val="0"/>
        <w:autoSpaceDN w:val="0"/>
        <w:adjustRightInd w:val="0"/>
        <w:rPr>
          <w:b/>
          <w:sz w:val="14"/>
          <w:szCs w:val="14"/>
        </w:rPr>
      </w:pPr>
    </w:p>
    <w:p w14:paraId="2921DBDC" w14:textId="409F1355" w:rsidR="00666B0D" w:rsidRPr="00B0539F" w:rsidRDefault="00666B0D" w:rsidP="00690AD3">
      <w:pPr>
        <w:tabs>
          <w:tab w:val="left" w:pos="5880"/>
        </w:tabs>
        <w:autoSpaceDE w:val="0"/>
        <w:autoSpaceDN w:val="0"/>
        <w:adjustRightInd w:val="0"/>
        <w:rPr>
          <w:b/>
          <w:sz w:val="14"/>
          <w:szCs w:val="14"/>
        </w:rPr>
      </w:pPr>
    </w:p>
    <w:p w14:paraId="31B581EA" w14:textId="24EE4D72" w:rsidR="00666B0D" w:rsidRPr="00B0539F" w:rsidRDefault="00666B0D" w:rsidP="00690AD3">
      <w:pPr>
        <w:tabs>
          <w:tab w:val="left" w:pos="5880"/>
        </w:tabs>
        <w:autoSpaceDE w:val="0"/>
        <w:autoSpaceDN w:val="0"/>
        <w:adjustRightInd w:val="0"/>
        <w:rPr>
          <w:b/>
          <w:sz w:val="14"/>
          <w:szCs w:val="14"/>
        </w:rPr>
      </w:pPr>
    </w:p>
    <w:p w14:paraId="651DE601" w14:textId="5134E3F7" w:rsidR="00666B0D" w:rsidRPr="00B0539F" w:rsidRDefault="00666B0D" w:rsidP="00690AD3">
      <w:pPr>
        <w:tabs>
          <w:tab w:val="left" w:pos="5880"/>
        </w:tabs>
        <w:autoSpaceDE w:val="0"/>
        <w:autoSpaceDN w:val="0"/>
        <w:adjustRightInd w:val="0"/>
        <w:rPr>
          <w:b/>
          <w:sz w:val="14"/>
          <w:szCs w:val="14"/>
        </w:rPr>
      </w:pPr>
    </w:p>
    <w:p w14:paraId="751A529E" w14:textId="27333BCA" w:rsidR="00666B0D" w:rsidRPr="00B0539F" w:rsidRDefault="00666B0D" w:rsidP="00690AD3">
      <w:pPr>
        <w:tabs>
          <w:tab w:val="left" w:pos="5880"/>
        </w:tabs>
        <w:autoSpaceDE w:val="0"/>
        <w:autoSpaceDN w:val="0"/>
        <w:adjustRightInd w:val="0"/>
        <w:rPr>
          <w:b/>
          <w:sz w:val="14"/>
          <w:szCs w:val="14"/>
        </w:rPr>
      </w:pPr>
    </w:p>
    <w:p w14:paraId="73897C3C" w14:textId="40A3FEEC" w:rsidR="00666B0D" w:rsidRPr="00B0539F" w:rsidRDefault="00666B0D" w:rsidP="00690AD3">
      <w:pPr>
        <w:tabs>
          <w:tab w:val="left" w:pos="5880"/>
        </w:tabs>
        <w:autoSpaceDE w:val="0"/>
        <w:autoSpaceDN w:val="0"/>
        <w:adjustRightInd w:val="0"/>
        <w:rPr>
          <w:b/>
          <w:sz w:val="14"/>
          <w:szCs w:val="14"/>
        </w:rPr>
      </w:pPr>
    </w:p>
    <w:p w14:paraId="6E777960" w14:textId="49FD60F4" w:rsidR="00666B0D" w:rsidRPr="00B0539F" w:rsidRDefault="00666B0D" w:rsidP="00690AD3">
      <w:pPr>
        <w:tabs>
          <w:tab w:val="left" w:pos="5880"/>
        </w:tabs>
        <w:autoSpaceDE w:val="0"/>
        <w:autoSpaceDN w:val="0"/>
        <w:adjustRightInd w:val="0"/>
        <w:rPr>
          <w:b/>
          <w:sz w:val="14"/>
          <w:szCs w:val="14"/>
        </w:rPr>
      </w:pPr>
    </w:p>
    <w:p w14:paraId="187D446A" w14:textId="77777777" w:rsidR="00666B0D" w:rsidRPr="00B0539F" w:rsidRDefault="00666B0D" w:rsidP="00690AD3">
      <w:pPr>
        <w:tabs>
          <w:tab w:val="left" w:pos="5880"/>
        </w:tabs>
        <w:autoSpaceDE w:val="0"/>
        <w:autoSpaceDN w:val="0"/>
        <w:adjustRightInd w:val="0"/>
        <w:rPr>
          <w:b/>
          <w:sz w:val="14"/>
          <w:szCs w:val="14"/>
        </w:rPr>
      </w:pPr>
    </w:p>
    <w:p w14:paraId="3E74429D" w14:textId="77777777" w:rsidR="00690AD3" w:rsidRPr="00B0539F" w:rsidRDefault="00690AD3" w:rsidP="00690AD3">
      <w:pPr>
        <w:tabs>
          <w:tab w:val="left" w:pos="5880"/>
        </w:tabs>
        <w:autoSpaceDE w:val="0"/>
        <w:autoSpaceDN w:val="0"/>
        <w:adjustRightInd w:val="0"/>
        <w:rPr>
          <w:b/>
          <w:sz w:val="14"/>
          <w:szCs w:val="14"/>
        </w:rPr>
      </w:pPr>
    </w:p>
    <w:p w14:paraId="77CCCA62" w14:textId="071E5038" w:rsidR="008D745E" w:rsidRPr="00B0539F" w:rsidRDefault="00690AD3" w:rsidP="002B3F7E">
      <w:pPr>
        <w:tabs>
          <w:tab w:val="left" w:pos="5880"/>
        </w:tabs>
        <w:autoSpaceDE w:val="0"/>
        <w:autoSpaceDN w:val="0"/>
        <w:adjustRightInd w:val="0"/>
        <w:rPr>
          <w:bCs/>
          <w:i/>
          <w:iCs/>
          <w:sz w:val="15"/>
          <w:szCs w:val="15"/>
        </w:rPr>
        <w:sectPr w:rsidR="008D745E" w:rsidRPr="00B0539F" w:rsidSect="004D3907">
          <w:headerReference w:type="default" r:id="rId21"/>
          <w:footerReference w:type="default" r:id="rId22"/>
          <w:pgSz w:w="11907" w:h="16840" w:code="9"/>
          <w:pgMar w:top="624" w:right="1247" w:bottom="624" w:left="1418" w:header="357" w:footer="709" w:gutter="0"/>
          <w:pgNumType w:start="3"/>
          <w:cols w:space="708"/>
          <w:noEndnote/>
        </w:sectPr>
      </w:pPr>
      <w:r w:rsidRPr="00B0539F">
        <w:rPr>
          <w:bCs/>
          <w:i/>
          <w:iCs/>
          <w:sz w:val="14"/>
          <w:szCs w:val="14"/>
        </w:rPr>
        <w:t xml:space="preserve">                                                                          </w:t>
      </w:r>
      <w:r w:rsidR="00CD1DB2" w:rsidRPr="00B0539F">
        <w:rPr>
          <w:bCs/>
          <w:i/>
          <w:iCs/>
          <w:sz w:val="14"/>
          <w:szCs w:val="14"/>
        </w:rPr>
        <w:t xml:space="preserve">   </w:t>
      </w:r>
      <w:r w:rsidRPr="00B0539F">
        <w:rPr>
          <w:bCs/>
          <w:i/>
          <w:iCs/>
          <w:sz w:val="14"/>
          <w:szCs w:val="14"/>
        </w:rPr>
        <w:t xml:space="preserve"> </w:t>
      </w:r>
      <w:r w:rsidR="00C74D0A" w:rsidRPr="00B0539F">
        <w:rPr>
          <w:bCs/>
          <w:i/>
          <w:iCs/>
          <w:sz w:val="14"/>
          <w:szCs w:val="14"/>
        </w:rPr>
        <w:t xml:space="preserve">         </w:t>
      </w:r>
      <w:r w:rsidRPr="00B0539F">
        <w:rPr>
          <w:bCs/>
          <w:i/>
          <w:iCs/>
          <w:sz w:val="14"/>
          <w:szCs w:val="14"/>
        </w:rPr>
        <w:t xml:space="preserve">İlişikteki notlar bu finansal tabloların tamamlayıcı </w:t>
      </w:r>
      <w:proofErr w:type="spellStart"/>
      <w:r w:rsidRPr="00B0539F">
        <w:rPr>
          <w:bCs/>
          <w:i/>
          <w:iCs/>
          <w:sz w:val="14"/>
          <w:szCs w:val="14"/>
        </w:rPr>
        <w:t>parçalarıdı</w:t>
      </w:r>
      <w:proofErr w:type="spellEnd"/>
    </w:p>
    <w:p w14:paraId="067D06CB" w14:textId="77777777" w:rsidR="002745FF" w:rsidRPr="00B0539F" w:rsidRDefault="006C3524" w:rsidP="002B3F7E">
      <w:pPr>
        <w:autoSpaceDE w:val="0"/>
        <w:autoSpaceDN w:val="0"/>
        <w:adjustRightInd w:val="0"/>
        <w:ind w:hanging="567"/>
        <w:jc w:val="both"/>
        <w:rPr>
          <w:rFonts w:eastAsia="Arial Unicode MS"/>
          <w:b/>
          <w:sz w:val="22"/>
        </w:rPr>
      </w:pPr>
      <w:r w:rsidRPr="00B0539F">
        <w:rPr>
          <w:rFonts w:eastAsia="Arial Unicode MS"/>
          <w:b/>
          <w:sz w:val="22"/>
        </w:rPr>
        <w:lastRenderedPageBreak/>
        <w:t>2</w:t>
      </w:r>
      <w:r w:rsidR="002745FF" w:rsidRPr="00B0539F">
        <w:rPr>
          <w:rFonts w:eastAsia="Arial Unicode MS"/>
          <w:b/>
          <w:sz w:val="22"/>
        </w:rPr>
        <w:t>.</w:t>
      </w:r>
      <w:r w:rsidR="002745FF" w:rsidRPr="00B0539F">
        <w:rPr>
          <w:rFonts w:eastAsia="Arial Unicode MS"/>
          <w:b/>
          <w:sz w:val="22"/>
        </w:rPr>
        <w:tab/>
        <w:t xml:space="preserve">NAZIM HESAPLAR TABLOSU </w:t>
      </w:r>
    </w:p>
    <w:p w14:paraId="68E5FB73" w14:textId="6E62E574" w:rsidR="00EE0DB2" w:rsidRDefault="00EE0DB2" w:rsidP="002B3F7E">
      <w:pPr>
        <w:autoSpaceDE w:val="0"/>
        <w:autoSpaceDN w:val="0"/>
        <w:adjustRightInd w:val="0"/>
        <w:ind w:hanging="567"/>
        <w:jc w:val="both"/>
        <w:rPr>
          <w:lang w:val="en-GB" w:eastAsia="en-GB"/>
        </w:rPr>
      </w:pPr>
    </w:p>
    <w:tbl>
      <w:tblPr>
        <w:tblW w:w="9660" w:type="dxa"/>
        <w:tblCellMar>
          <w:left w:w="70" w:type="dxa"/>
          <w:right w:w="70" w:type="dxa"/>
        </w:tblCellMar>
        <w:tblLook w:val="04A0" w:firstRow="1" w:lastRow="0" w:firstColumn="1" w:lastColumn="0" w:noHBand="0" w:noVBand="1"/>
      </w:tblPr>
      <w:tblGrid>
        <w:gridCol w:w="536"/>
        <w:gridCol w:w="3236"/>
        <w:gridCol w:w="576"/>
        <w:gridCol w:w="886"/>
        <w:gridCol w:w="885"/>
        <w:gridCol w:w="885"/>
        <w:gridCol w:w="886"/>
        <w:gridCol w:w="885"/>
        <w:gridCol w:w="885"/>
      </w:tblGrid>
      <w:tr w:rsidR="00EE0DB2" w:rsidRPr="00EE0DB2" w14:paraId="779FA31A" w14:textId="77777777" w:rsidTr="00EE0DB2">
        <w:trPr>
          <w:divId w:val="713430740"/>
          <w:trHeight w:val="165"/>
        </w:trPr>
        <w:tc>
          <w:tcPr>
            <w:tcW w:w="53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258A491" w14:textId="715F1CEF" w:rsidR="00EE0DB2" w:rsidRPr="00EE0DB2" w:rsidRDefault="00EE0DB2" w:rsidP="00EE0DB2">
            <w:pPr>
              <w:jc w:val="center"/>
              <w:rPr>
                <w:color w:val="000000"/>
                <w:sz w:val="13"/>
                <w:szCs w:val="13"/>
                <w:lang w:eastAsia="tr-TR"/>
              </w:rPr>
            </w:pPr>
            <w:r w:rsidRPr="00EE0DB2">
              <w:rPr>
                <w:color w:val="000000"/>
                <w:sz w:val="13"/>
                <w:szCs w:val="13"/>
                <w:lang w:eastAsia="tr-TR"/>
              </w:rPr>
              <w:t> </w:t>
            </w:r>
          </w:p>
        </w:tc>
        <w:tc>
          <w:tcPr>
            <w:tcW w:w="323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DAE29DC" w14:textId="77777777" w:rsidR="00EE0DB2" w:rsidRPr="00EE0DB2" w:rsidRDefault="00EE0DB2" w:rsidP="00EE0DB2">
            <w:pPr>
              <w:jc w:val="center"/>
              <w:rPr>
                <w:color w:val="000000"/>
                <w:sz w:val="13"/>
                <w:szCs w:val="13"/>
                <w:lang w:eastAsia="tr-TR"/>
              </w:rPr>
            </w:pPr>
            <w:r w:rsidRPr="00EE0DB2">
              <w:rPr>
                <w:color w:val="000000"/>
                <w:sz w:val="13"/>
                <w:szCs w:val="13"/>
                <w:lang w:eastAsia="tr-TR"/>
              </w:rPr>
              <w:t> </w:t>
            </w:r>
          </w:p>
        </w:tc>
        <w:tc>
          <w:tcPr>
            <w:tcW w:w="57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D88DF4D" w14:textId="77777777" w:rsidR="00EE0DB2" w:rsidRPr="00EE0DB2" w:rsidRDefault="00EE0DB2" w:rsidP="00EE0DB2">
            <w:pPr>
              <w:jc w:val="center"/>
              <w:rPr>
                <w:color w:val="000000"/>
                <w:sz w:val="13"/>
                <w:szCs w:val="13"/>
                <w:lang w:eastAsia="tr-TR"/>
              </w:rPr>
            </w:pPr>
            <w:r w:rsidRPr="00EE0DB2">
              <w:rPr>
                <w:color w:val="000000"/>
                <w:sz w:val="13"/>
                <w:szCs w:val="13"/>
                <w:lang w:eastAsia="tr-TR"/>
              </w:rPr>
              <w:t> </w:t>
            </w:r>
          </w:p>
        </w:tc>
        <w:tc>
          <w:tcPr>
            <w:tcW w:w="2656" w:type="dxa"/>
            <w:gridSpan w:val="3"/>
            <w:tcBorders>
              <w:top w:val="single" w:sz="4" w:space="0" w:color="auto"/>
              <w:left w:val="single" w:sz="4" w:space="0" w:color="auto"/>
              <w:bottom w:val="nil"/>
              <w:right w:val="single" w:sz="4" w:space="0" w:color="auto"/>
            </w:tcBorders>
            <w:shd w:val="clear" w:color="auto" w:fill="auto"/>
            <w:noWrap/>
            <w:vAlign w:val="center"/>
            <w:hideMark/>
          </w:tcPr>
          <w:p w14:paraId="26EB428C" w14:textId="77777777" w:rsidR="00EE0DB2" w:rsidRPr="00EE0DB2" w:rsidRDefault="00EE0DB2" w:rsidP="00EE0DB2">
            <w:pPr>
              <w:jc w:val="right"/>
              <w:rPr>
                <w:b/>
                <w:bCs/>
                <w:color w:val="000000"/>
                <w:sz w:val="14"/>
                <w:szCs w:val="14"/>
                <w:lang w:eastAsia="tr-TR"/>
              </w:rPr>
            </w:pPr>
            <w:r w:rsidRPr="00EE0DB2">
              <w:rPr>
                <w:b/>
                <w:bCs/>
                <w:color w:val="000000"/>
                <w:sz w:val="14"/>
                <w:szCs w:val="14"/>
                <w:lang w:eastAsia="tr-TR"/>
              </w:rPr>
              <w:t>Bağımsız Sınırlı Denetimden Geçmiş</w:t>
            </w:r>
          </w:p>
        </w:tc>
        <w:tc>
          <w:tcPr>
            <w:tcW w:w="2656" w:type="dxa"/>
            <w:gridSpan w:val="3"/>
            <w:tcBorders>
              <w:top w:val="single" w:sz="4" w:space="0" w:color="auto"/>
              <w:left w:val="single" w:sz="4" w:space="0" w:color="auto"/>
              <w:bottom w:val="nil"/>
              <w:right w:val="single" w:sz="4" w:space="0" w:color="auto"/>
            </w:tcBorders>
            <w:shd w:val="clear" w:color="auto" w:fill="auto"/>
            <w:noWrap/>
            <w:vAlign w:val="center"/>
            <w:hideMark/>
          </w:tcPr>
          <w:p w14:paraId="2A64C9D4" w14:textId="77777777" w:rsidR="00EE0DB2" w:rsidRPr="00EE0DB2" w:rsidRDefault="00EE0DB2" w:rsidP="00EE0DB2">
            <w:pPr>
              <w:jc w:val="right"/>
              <w:rPr>
                <w:b/>
                <w:bCs/>
                <w:color w:val="000000"/>
                <w:sz w:val="14"/>
                <w:szCs w:val="14"/>
                <w:lang w:eastAsia="tr-TR"/>
              </w:rPr>
            </w:pPr>
            <w:r w:rsidRPr="00EE0DB2">
              <w:rPr>
                <w:b/>
                <w:bCs/>
                <w:color w:val="000000"/>
                <w:sz w:val="14"/>
                <w:szCs w:val="14"/>
                <w:lang w:eastAsia="tr-TR"/>
              </w:rPr>
              <w:t>Bağımsız Denetimden Geçmiş</w:t>
            </w:r>
          </w:p>
        </w:tc>
      </w:tr>
      <w:tr w:rsidR="00EE0DB2" w:rsidRPr="00EE0DB2" w14:paraId="65837716" w14:textId="77777777" w:rsidTr="00EE0DB2">
        <w:trPr>
          <w:divId w:val="713430740"/>
          <w:trHeight w:val="120"/>
        </w:trPr>
        <w:tc>
          <w:tcPr>
            <w:tcW w:w="536" w:type="dxa"/>
            <w:vMerge/>
            <w:tcBorders>
              <w:top w:val="single" w:sz="8" w:space="0" w:color="auto"/>
              <w:left w:val="single" w:sz="4" w:space="0" w:color="auto"/>
              <w:bottom w:val="single" w:sz="8" w:space="0" w:color="000000"/>
              <w:right w:val="single" w:sz="4" w:space="0" w:color="auto"/>
            </w:tcBorders>
            <w:vAlign w:val="center"/>
            <w:hideMark/>
          </w:tcPr>
          <w:p w14:paraId="42411B86" w14:textId="77777777" w:rsidR="00EE0DB2" w:rsidRPr="00EE0DB2" w:rsidRDefault="00EE0DB2" w:rsidP="00EE0DB2">
            <w:pPr>
              <w:rPr>
                <w:color w:val="000000"/>
                <w:sz w:val="13"/>
                <w:szCs w:val="13"/>
                <w:lang w:eastAsia="tr-TR"/>
              </w:rPr>
            </w:pPr>
          </w:p>
        </w:tc>
        <w:tc>
          <w:tcPr>
            <w:tcW w:w="3236" w:type="dxa"/>
            <w:vMerge/>
            <w:tcBorders>
              <w:top w:val="single" w:sz="8" w:space="0" w:color="auto"/>
              <w:left w:val="single" w:sz="4" w:space="0" w:color="auto"/>
              <w:bottom w:val="single" w:sz="8" w:space="0" w:color="000000"/>
              <w:right w:val="single" w:sz="4" w:space="0" w:color="auto"/>
            </w:tcBorders>
            <w:vAlign w:val="center"/>
            <w:hideMark/>
          </w:tcPr>
          <w:p w14:paraId="56C9BFEA" w14:textId="77777777" w:rsidR="00EE0DB2" w:rsidRPr="00EE0DB2" w:rsidRDefault="00EE0DB2" w:rsidP="00EE0DB2">
            <w:pPr>
              <w:rPr>
                <w:color w:val="000000"/>
                <w:sz w:val="13"/>
                <w:szCs w:val="13"/>
                <w:lang w:eastAsia="tr-TR"/>
              </w:rPr>
            </w:pPr>
          </w:p>
        </w:tc>
        <w:tc>
          <w:tcPr>
            <w:tcW w:w="576" w:type="dxa"/>
            <w:vMerge/>
            <w:tcBorders>
              <w:top w:val="single" w:sz="8" w:space="0" w:color="auto"/>
              <w:left w:val="single" w:sz="4" w:space="0" w:color="auto"/>
              <w:bottom w:val="single" w:sz="8" w:space="0" w:color="000000"/>
              <w:right w:val="single" w:sz="4" w:space="0" w:color="auto"/>
            </w:tcBorders>
            <w:vAlign w:val="center"/>
            <w:hideMark/>
          </w:tcPr>
          <w:p w14:paraId="14D464DA" w14:textId="77777777" w:rsidR="00EE0DB2" w:rsidRPr="00EE0DB2" w:rsidRDefault="00EE0DB2" w:rsidP="00EE0DB2">
            <w:pPr>
              <w:rPr>
                <w:color w:val="000000"/>
                <w:sz w:val="13"/>
                <w:szCs w:val="13"/>
                <w:lang w:eastAsia="tr-TR"/>
              </w:rPr>
            </w:pPr>
          </w:p>
        </w:tc>
        <w:tc>
          <w:tcPr>
            <w:tcW w:w="2656" w:type="dxa"/>
            <w:gridSpan w:val="3"/>
            <w:tcBorders>
              <w:top w:val="nil"/>
              <w:left w:val="single" w:sz="4" w:space="0" w:color="auto"/>
              <w:bottom w:val="nil"/>
              <w:right w:val="single" w:sz="4" w:space="0" w:color="auto"/>
            </w:tcBorders>
            <w:shd w:val="clear" w:color="auto" w:fill="auto"/>
            <w:noWrap/>
            <w:vAlign w:val="center"/>
            <w:hideMark/>
          </w:tcPr>
          <w:p w14:paraId="332DC7CD" w14:textId="77777777" w:rsidR="00EE0DB2" w:rsidRPr="00EE0DB2" w:rsidRDefault="00EE0DB2" w:rsidP="00EE0DB2">
            <w:pPr>
              <w:jc w:val="right"/>
              <w:rPr>
                <w:b/>
                <w:bCs/>
                <w:color w:val="000000"/>
                <w:sz w:val="14"/>
                <w:szCs w:val="14"/>
                <w:lang w:eastAsia="tr-TR"/>
              </w:rPr>
            </w:pPr>
            <w:r w:rsidRPr="00EE0DB2">
              <w:rPr>
                <w:b/>
                <w:bCs/>
                <w:color w:val="000000"/>
                <w:sz w:val="14"/>
                <w:szCs w:val="14"/>
                <w:lang w:eastAsia="tr-TR"/>
              </w:rPr>
              <w:t>Cari Dönem</w:t>
            </w:r>
          </w:p>
        </w:tc>
        <w:tc>
          <w:tcPr>
            <w:tcW w:w="2656" w:type="dxa"/>
            <w:gridSpan w:val="3"/>
            <w:tcBorders>
              <w:top w:val="nil"/>
              <w:left w:val="single" w:sz="4" w:space="0" w:color="auto"/>
              <w:bottom w:val="nil"/>
              <w:right w:val="single" w:sz="4" w:space="0" w:color="auto"/>
            </w:tcBorders>
            <w:shd w:val="clear" w:color="auto" w:fill="auto"/>
            <w:noWrap/>
            <w:vAlign w:val="center"/>
            <w:hideMark/>
          </w:tcPr>
          <w:p w14:paraId="7E56DDAF" w14:textId="77777777" w:rsidR="00EE0DB2" w:rsidRPr="00EE0DB2" w:rsidRDefault="00EE0DB2" w:rsidP="00EE0DB2">
            <w:pPr>
              <w:jc w:val="right"/>
              <w:rPr>
                <w:b/>
                <w:bCs/>
                <w:color w:val="000000"/>
                <w:sz w:val="14"/>
                <w:szCs w:val="14"/>
                <w:lang w:eastAsia="tr-TR"/>
              </w:rPr>
            </w:pPr>
            <w:r w:rsidRPr="00EE0DB2">
              <w:rPr>
                <w:b/>
                <w:bCs/>
                <w:color w:val="000000"/>
                <w:sz w:val="14"/>
                <w:szCs w:val="14"/>
                <w:lang w:eastAsia="tr-TR"/>
              </w:rPr>
              <w:t>Önceki Dönem</w:t>
            </w:r>
          </w:p>
        </w:tc>
      </w:tr>
      <w:tr w:rsidR="00EE0DB2" w:rsidRPr="00EE0DB2" w14:paraId="43A948E5" w14:textId="77777777" w:rsidTr="00311DAB">
        <w:trPr>
          <w:divId w:val="713430740"/>
          <w:trHeight w:val="180"/>
        </w:trPr>
        <w:tc>
          <w:tcPr>
            <w:tcW w:w="536" w:type="dxa"/>
            <w:vMerge/>
            <w:tcBorders>
              <w:top w:val="single" w:sz="8" w:space="0" w:color="auto"/>
              <w:left w:val="single" w:sz="4" w:space="0" w:color="auto"/>
              <w:bottom w:val="single" w:sz="4" w:space="0" w:color="auto"/>
              <w:right w:val="single" w:sz="4" w:space="0" w:color="auto"/>
            </w:tcBorders>
            <w:vAlign w:val="center"/>
            <w:hideMark/>
          </w:tcPr>
          <w:p w14:paraId="7F7C7236" w14:textId="77777777" w:rsidR="00EE0DB2" w:rsidRPr="00EE0DB2" w:rsidRDefault="00EE0DB2" w:rsidP="00EE0DB2">
            <w:pPr>
              <w:rPr>
                <w:color w:val="000000"/>
                <w:sz w:val="13"/>
                <w:szCs w:val="13"/>
                <w:lang w:eastAsia="tr-TR"/>
              </w:rPr>
            </w:pPr>
          </w:p>
        </w:tc>
        <w:tc>
          <w:tcPr>
            <w:tcW w:w="3236" w:type="dxa"/>
            <w:vMerge/>
            <w:tcBorders>
              <w:top w:val="single" w:sz="8" w:space="0" w:color="auto"/>
              <w:left w:val="single" w:sz="4" w:space="0" w:color="auto"/>
              <w:bottom w:val="single" w:sz="4" w:space="0" w:color="auto"/>
              <w:right w:val="single" w:sz="4" w:space="0" w:color="auto"/>
            </w:tcBorders>
            <w:vAlign w:val="center"/>
            <w:hideMark/>
          </w:tcPr>
          <w:p w14:paraId="64367F0C" w14:textId="77777777" w:rsidR="00EE0DB2" w:rsidRPr="00EE0DB2" w:rsidRDefault="00EE0DB2" w:rsidP="00EE0DB2">
            <w:pPr>
              <w:rPr>
                <w:color w:val="000000"/>
                <w:sz w:val="13"/>
                <w:szCs w:val="13"/>
                <w:lang w:eastAsia="tr-TR"/>
              </w:rPr>
            </w:pPr>
          </w:p>
        </w:tc>
        <w:tc>
          <w:tcPr>
            <w:tcW w:w="576" w:type="dxa"/>
            <w:vMerge/>
            <w:tcBorders>
              <w:top w:val="single" w:sz="8" w:space="0" w:color="auto"/>
              <w:left w:val="single" w:sz="4" w:space="0" w:color="auto"/>
              <w:bottom w:val="single" w:sz="4" w:space="0" w:color="auto"/>
              <w:right w:val="single" w:sz="4" w:space="0" w:color="auto"/>
            </w:tcBorders>
            <w:vAlign w:val="center"/>
            <w:hideMark/>
          </w:tcPr>
          <w:p w14:paraId="19B4CBE6" w14:textId="77777777" w:rsidR="00EE0DB2" w:rsidRPr="00EE0DB2" w:rsidRDefault="00EE0DB2" w:rsidP="00EE0DB2">
            <w:pPr>
              <w:rPr>
                <w:color w:val="000000"/>
                <w:sz w:val="13"/>
                <w:szCs w:val="13"/>
                <w:lang w:eastAsia="tr-TR"/>
              </w:rPr>
            </w:pPr>
          </w:p>
        </w:tc>
        <w:tc>
          <w:tcPr>
            <w:tcW w:w="2656" w:type="dxa"/>
            <w:gridSpan w:val="3"/>
            <w:tcBorders>
              <w:top w:val="nil"/>
              <w:left w:val="single" w:sz="4" w:space="0" w:color="auto"/>
              <w:bottom w:val="single" w:sz="4" w:space="0" w:color="auto"/>
              <w:right w:val="single" w:sz="4" w:space="0" w:color="auto"/>
            </w:tcBorders>
            <w:shd w:val="clear" w:color="auto" w:fill="auto"/>
            <w:noWrap/>
            <w:vAlign w:val="center"/>
            <w:hideMark/>
          </w:tcPr>
          <w:p w14:paraId="47FEF68B" w14:textId="77777777" w:rsidR="00EE0DB2" w:rsidRPr="00EE0DB2" w:rsidRDefault="00EE0DB2" w:rsidP="00EE0DB2">
            <w:pPr>
              <w:jc w:val="right"/>
              <w:rPr>
                <w:b/>
                <w:bCs/>
                <w:color w:val="000000"/>
                <w:sz w:val="14"/>
                <w:szCs w:val="14"/>
                <w:lang w:eastAsia="tr-TR"/>
              </w:rPr>
            </w:pPr>
            <w:r w:rsidRPr="00EE0DB2">
              <w:rPr>
                <w:b/>
                <w:bCs/>
                <w:color w:val="000000"/>
                <w:sz w:val="14"/>
                <w:szCs w:val="14"/>
                <w:lang w:eastAsia="tr-TR"/>
              </w:rPr>
              <w:t>30.09.2020</w:t>
            </w:r>
          </w:p>
        </w:tc>
        <w:tc>
          <w:tcPr>
            <w:tcW w:w="2656" w:type="dxa"/>
            <w:gridSpan w:val="3"/>
            <w:tcBorders>
              <w:top w:val="nil"/>
              <w:left w:val="single" w:sz="4" w:space="0" w:color="auto"/>
              <w:bottom w:val="single" w:sz="4" w:space="0" w:color="auto"/>
              <w:right w:val="single" w:sz="4" w:space="0" w:color="auto"/>
            </w:tcBorders>
            <w:shd w:val="clear" w:color="auto" w:fill="auto"/>
            <w:noWrap/>
            <w:vAlign w:val="center"/>
            <w:hideMark/>
          </w:tcPr>
          <w:p w14:paraId="1B4510FC" w14:textId="77777777" w:rsidR="00EE0DB2" w:rsidRPr="00EE0DB2" w:rsidRDefault="00EE0DB2" w:rsidP="00EE0DB2">
            <w:pPr>
              <w:jc w:val="right"/>
              <w:rPr>
                <w:b/>
                <w:bCs/>
                <w:color w:val="000000"/>
                <w:sz w:val="14"/>
                <w:szCs w:val="14"/>
                <w:lang w:eastAsia="tr-TR"/>
              </w:rPr>
            </w:pPr>
            <w:r w:rsidRPr="00EE0DB2">
              <w:rPr>
                <w:b/>
                <w:bCs/>
                <w:color w:val="000000"/>
                <w:sz w:val="14"/>
                <w:szCs w:val="14"/>
                <w:lang w:eastAsia="tr-TR"/>
              </w:rPr>
              <w:t>31.12.2019</w:t>
            </w:r>
          </w:p>
        </w:tc>
      </w:tr>
      <w:tr w:rsidR="00EE0DB2" w:rsidRPr="00EE0DB2" w14:paraId="150FCF74" w14:textId="77777777" w:rsidTr="00311DAB">
        <w:trPr>
          <w:divId w:val="713430740"/>
          <w:trHeight w:val="315"/>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E5F9E" w14:textId="77777777" w:rsidR="00EE0DB2" w:rsidRPr="00EE0DB2" w:rsidRDefault="00EE0DB2" w:rsidP="00EE0DB2">
            <w:pPr>
              <w:rPr>
                <w:color w:val="000000"/>
                <w:lang w:eastAsia="tr-TR"/>
              </w:rPr>
            </w:pPr>
            <w:r w:rsidRPr="00EE0DB2">
              <w:rPr>
                <w:color w:val="000000"/>
                <w:lang w:eastAsia="tr-TR"/>
              </w:rPr>
              <w:t> </w:t>
            </w:r>
          </w:p>
        </w:tc>
        <w:tc>
          <w:tcPr>
            <w:tcW w:w="3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715DA" w14:textId="77777777" w:rsidR="00EE0DB2" w:rsidRPr="00EE0DB2" w:rsidRDefault="00EE0DB2" w:rsidP="00EE0DB2">
            <w:pPr>
              <w:rPr>
                <w:color w:val="000000"/>
                <w:lang w:eastAsia="tr-TR"/>
              </w:rPr>
            </w:pPr>
            <w:r w:rsidRPr="00EE0DB2">
              <w:rPr>
                <w:color w:val="000000"/>
                <w:lang w:eastAsia="tr-TR"/>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E23CA" w14:textId="77777777" w:rsidR="00EE0DB2" w:rsidRPr="00EE0DB2" w:rsidRDefault="00EE0DB2" w:rsidP="00EE0DB2">
            <w:pPr>
              <w:jc w:val="center"/>
              <w:rPr>
                <w:color w:val="000000"/>
                <w:sz w:val="13"/>
                <w:szCs w:val="13"/>
                <w:lang w:eastAsia="tr-TR"/>
              </w:rPr>
            </w:pPr>
            <w:r w:rsidRPr="00EE0DB2">
              <w:rPr>
                <w:color w:val="000000"/>
                <w:sz w:val="13"/>
                <w:szCs w:val="13"/>
                <w:lang w:eastAsia="tr-TR"/>
              </w:rPr>
              <w:t>Dipnot</w:t>
            </w:r>
          </w:p>
        </w:tc>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FBCD3" w14:textId="77777777" w:rsidR="00EE0DB2" w:rsidRPr="00EE0DB2" w:rsidRDefault="00EE0DB2" w:rsidP="00EE0DB2">
            <w:pPr>
              <w:jc w:val="center"/>
              <w:rPr>
                <w:b/>
                <w:bCs/>
                <w:color w:val="000000"/>
                <w:sz w:val="13"/>
                <w:szCs w:val="13"/>
                <w:lang w:eastAsia="tr-TR"/>
              </w:rPr>
            </w:pPr>
            <w:r w:rsidRPr="00EE0DB2">
              <w:rPr>
                <w:b/>
                <w:bCs/>
                <w:color w:val="000000"/>
                <w:sz w:val="13"/>
                <w:szCs w:val="13"/>
                <w:lang w:eastAsia="tr-TR"/>
              </w:rPr>
              <w:t>TP</w:t>
            </w:r>
          </w:p>
        </w:tc>
        <w:tc>
          <w:tcPr>
            <w:tcW w:w="8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BA639" w14:textId="77777777" w:rsidR="00EE0DB2" w:rsidRPr="00EE0DB2" w:rsidRDefault="00EE0DB2" w:rsidP="00EE0DB2">
            <w:pPr>
              <w:jc w:val="center"/>
              <w:rPr>
                <w:b/>
                <w:bCs/>
                <w:color w:val="000000"/>
                <w:sz w:val="13"/>
                <w:szCs w:val="13"/>
                <w:lang w:eastAsia="tr-TR"/>
              </w:rPr>
            </w:pPr>
            <w:r w:rsidRPr="00EE0DB2">
              <w:rPr>
                <w:b/>
                <w:bCs/>
                <w:color w:val="000000"/>
                <w:sz w:val="13"/>
                <w:szCs w:val="13"/>
                <w:lang w:eastAsia="tr-TR"/>
              </w:rPr>
              <w:t>YP</w:t>
            </w:r>
          </w:p>
        </w:tc>
        <w:tc>
          <w:tcPr>
            <w:tcW w:w="8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49BB2" w14:textId="77777777" w:rsidR="00EE0DB2" w:rsidRPr="00EE0DB2" w:rsidRDefault="00EE0DB2" w:rsidP="00EE0DB2">
            <w:pPr>
              <w:jc w:val="center"/>
              <w:rPr>
                <w:b/>
                <w:bCs/>
                <w:color w:val="000000"/>
                <w:sz w:val="13"/>
                <w:szCs w:val="13"/>
                <w:lang w:eastAsia="tr-TR"/>
              </w:rPr>
            </w:pPr>
            <w:r w:rsidRPr="00EE0DB2">
              <w:rPr>
                <w:b/>
                <w:bCs/>
                <w:color w:val="000000"/>
                <w:sz w:val="13"/>
                <w:szCs w:val="13"/>
                <w:lang w:eastAsia="tr-TR"/>
              </w:rPr>
              <w:t>TOPLAM</w:t>
            </w:r>
          </w:p>
        </w:tc>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5BDF9" w14:textId="77777777" w:rsidR="00EE0DB2" w:rsidRPr="00EE0DB2" w:rsidRDefault="00EE0DB2" w:rsidP="00EE0DB2">
            <w:pPr>
              <w:jc w:val="center"/>
              <w:rPr>
                <w:b/>
                <w:bCs/>
                <w:color w:val="000000"/>
                <w:sz w:val="13"/>
                <w:szCs w:val="13"/>
                <w:lang w:eastAsia="tr-TR"/>
              </w:rPr>
            </w:pPr>
            <w:r w:rsidRPr="00EE0DB2">
              <w:rPr>
                <w:b/>
                <w:bCs/>
                <w:color w:val="000000"/>
                <w:sz w:val="13"/>
                <w:szCs w:val="13"/>
                <w:lang w:eastAsia="tr-TR"/>
              </w:rPr>
              <w:t>TP</w:t>
            </w:r>
          </w:p>
        </w:tc>
        <w:tc>
          <w:tcPr>
            <w:tcW w:w="8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5F025" w14:textId="77777777" w:rsidR="00EE0DB2" w:rsidRPr="00EE0DB2" w:rsidRDefault="00EE0DB2" w:rsidP="00EE0DB2">
            <w:pPr>
              <w:jc w:val="center"/>
              <w:rPr>
                <w:b/>
                <w:bCs/>
                <w:color w:val="000000"/>
                <w:sz w:val="13"/>
                <w:szCs w:val="13"/>
                <w:lang w:eastAsia="tr-TR"/>
              </w:rPr>
            </w:pPr>
            <w:r w:rsidRPr="00EE0DB2">
              <w:rPr>
                <w:b/>
                <w:bCs/>
                <w:color w:val="000000"/>
                <w:sz w:val="13"/>
                <w:szCs w:val="13"/>
                <w:lang w:eastAsia="tr-TR"/>
              </w:rPr>
              <w:t>YP</w:t>
            </w:r>
          </w:p>
        </w:tc>
        <w:tc>
          <w:tcPr>
            <w:tcW w:w="8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A8A7D" w14:textId="77777777" w:rsidR="00EE0DB2" w:rsidRPr="00EE0DB2" w:rsidRDefault="00EE0DB2" w:rsidP="00EE0DB2">
            <w:pPr>
              <w:jc w:val="center"/>
              <w:rPr>
                <w:b/>
                <w:bCs/>
                <w:color w:val="000000"/>
                <w:sz w:val="13"/>
                <w:szCs w:val="13"/>
                <w:lang w:eastAsia="tr-TR"/>
              </w:rPr>
            </w:pPr>
            <w:r w:rsidRPr="00EE0DB2">
              <w:rPr>
                <w:b/>
                <w:bCs/>
                <w:color w:val="000000"/>
                <w:sz w:val="13"/>
                <w:szCs w:val="13"/>
                <w:lang w:eastAsia="tr-TR"/>
              </w:rPr>
              <w:t>TOPLAM</w:t>
            </w:r>
          </w:p>
        </w:tc>
      </w:tr>
      <w:tr w:rsidR="00EE0DB2" w:rsidRPr="00EE0DB2" w14:paraId="5D1701F6" w14:textId="77777777" w:rsidTr="00311DAB">
        <w:trPr>
          <w:divId w:val="713430740"/>
          <w:trHeight w:val="105"/>
        </w:trPr>
        <w:tc>
          <w:tcPr>
            <w:tcW w:w="536" w:type="dxa"/>
            <w:tcBorders>
              <w:top w:val="single" w:sz="4" w:space="0" w:color="auto"/>
              <w:left w:val="single" w:sz="4" w:space="0" w:color="auto"/>
              <w:bottom w:val="nil"/>
              <w:right w:val="single" w:sz="4" w:space="0" w:color="auto"/>
            </w:tcBorders>
            <w:shd w:val="clear" w:color="auto" w:fill="auto"/>
            <w:noWrap/>
            <w:vAlign w:val="center"/>
            <w:hideMark/>
          </w:tcPr>
          <w:p w14:paraId="1A965A27" w14:textId="77777777" w:rsidR="00EE0DB2" w:rsidRPr="00EE0DB2" w:rsidRDefault="00EE0DB2" w:rsidP="00EE0DB2">
            <w:pPr>
              <w:jc w:val="center"/>
              <w:rPr>
                <w:b/>
                <w:bCs/>
                <w:color w:val="000000"/>
                <w:sz w:val="13"/>
                <w:szCs w:val="13"/>
                <w:lang w:eastAsia="tr-TR"/>
              </w:rPr>
            </w:pPr>
          </w:p>
        </w:tc>
        <w:tc>
          <w:tcPr>
            <w:tcW w:w="3236" w:type="dxa"/>
            <w:tcBorders>
              <w:top w:val="single" w:sz="4" w:space="0" w:color="auto"/>
              <w:left w:val="single" w:sz="4" w:space="0" w:color="auto"/>
              <w:bottom w:val="nil"/>
              <w:right w:val="single" w:sz="4" w:space="0" w:color="auto"/>
            </w:tcBorders>
            <w:shd w:val="clear" w:color="auto" w:fill="auto"/>
            <w:noWrap/>
            <w:vAlign w:val="center"/>
            <w:hideMark/>
          </w:tcPr>
          <w:p w14:paraId="150D48D0" w14:textId="77777777" w:rsidR="00EE0DB2" w:rsidRPr="00EE0DB2" w:rsidRDefault="00EE0DB2" w:rsidP="00EE0DB2">
            <w:pPr>
              <w:rPr>
                <w:lang w:eastAsia="tr-TR"/>
              </w:rPr>
            </w:pPr>
          </w:p>
        </w:tc>
        <w:tc>
          <w:tcPr>
            <w:tcW w:w="576" w:type="dxa"/>
            <w:tcBorders>
              <w:top w:val="single" w:sz="4" w:space="0" w:color="auto"/>
              <w:left w:val="single" w:sz="4" w:space="0" w:color="auto"/>
              <w:bottom w:val="nil"/>
              <w:right w:val="single" w:sz="4" w:space="0" w:color="auto"/>
            </w:tcBorders>
            <w:shd w:val="clear" w:color="auto" w:fill="auto"/>
            <w:vAlign w:val="center"/>
            <w:hideMark/>
          </w:tcPr>
          <w:p w14:paraId="39AF0158" w14:textId="77777777" w:rsidR="00EE0DB2" w:rsidRPr="00EE0DB2" w:rsidRDefault="00EE0DB2" w:rsidP="00EE0DB2">
            <w:pPr>
              <w:rPr>
                <w:lang w:eastAsia="tr-TR"/>
              </w:rPr>
            </w:pPr>
          </w:p>
        </w:tc>
        <w:tc>
          <w:tcPr>
            <w:tcW w:w="886" w:type="dxa"/>
            <w:tcBorders>
              <w:top w:val="single" w:sz="4" w:space="0" w:color="auto"/>
              <w:left w:val="single" w:sz="4" w:space="0" w:color="auto"/>
              <w:bottom w:val="nil"/>
              <w:right w:val="single" w:sz="4" w:space="0" w:color="auto"/>
            </w:tcBorders>
            <w:shd w:val="clear" w:color="auto" w:fill="auto"/>
            <w:vAlign w:val="center"/>
            <w:hideMark/>
          </w:tcPr>
          <w:p w14:paraId="09D36623" w14:textId="77777777" w:rsidR="00EE0DB2" w:rsidRPr="00EE0DB2" w:rsidRDefault="00EE0DB2" w:rsidP="00EE0DB2">
            <w:pPr>
              <w:jc w:val="right"/>
              <w:rPr>
                <w:lang w:eastAsia="tr-TR"/>
              </w:rPr>
            </w:pPr>
          </w:p>
        </w:tc>
        <w:tc>
          <w:tcPr>
            <w:tcW w:w="885" w:type="dxa"/>
            <w:tcBorders>
              <w:top w:val="single" w:sz="4" w:space="0" w:color="auto"/>
              <w:left w:val="single" w:sz="4" w:space="0" w:color="auto"/>
              <w:bottom w:val="nil"/>
              <w:right w:val="single" w:sz="4" w:space="0" w:color="auto"/>
            </w:tcBorders>
            <w:shd w:val="clear" w:color="auto" w:fill="auto"/>
            <w:vAlign w:val="center"/>
            <w:hideMark/>
          </w:tcPr>
          <w:p w14:paraId="0E02060A" w14:textId="77777777" w:rsidR="00EE0DB2" w:rsidRPr="00EE0DB2" w:rsidRDefault="00EE0DB2" w:rsidP="00EE0DB2">
            <w:pPr>
              <w:jc w:val="right"/>
              <w:rPr>
                <w:lang w:eastAsia="tr-TR"/>
              </w:rPr>
            </w:pPr>
          </w:p>
        </w:tc>
        <w:tc>
          <w:tcPr>
            <w:tcW w:w="885" w:type="dxa"/>
            <w:tcBorders>
              <w:top w:val="single" w:sz="4" w:space="0" w:color="auto"/>
              <w:left w:val="single" w:sz="4" w:space="0" w:color="auto"/>
              <w:bottom w:val="nil"/>
              <w:right w:val="single" w:sz="4" w:space="0" w:color="auto"/>
            </w:tcBorders>
            <w:shd w:val="clear" w:color="auto" w:fill="auto"/>
            <w:vAlign w:val="center"/>
            <w:hideMark/>
          </w:tcPr>
          <w:p w14:paraId="7EAE5F62" w14:textId="77777777" w:rsidR="00EE0DB2" w:rsidRPr="00EE0DB2" w:rsidRDefault="00EE0DB2" w:rsidP="00EE0DB2">
            <w:pPr>
              <w:jc w:val="right"/>
              <w:rPr>
                <w:lang w:eastAsia="tr-TR"/>
              </w:rPr>
            </w:pPr>
          </w:p>
        </w:tc>
        <w:tc>
          <w:tcPr>
            <w:tcW w:w="886" w:type="dxa"/>
            <w:tcBorders>
              <w:top w:val="single" w:sz="4" w:space="0" w:color="auto"/>
              <w:left w:val="single" w:sz="4" w:space="0" w:color="auto"/>
              <w:bottom w:val="nil"/>
              <w:right w:val="single" w:sz="4" w:space="0" w:color="auto"/>
            </w:tcBorders>
            <w:shd w:val="clear" w:color="auto" w:fill="auto"/>
            <w:vAlign w:val="center"/>
            <w:hideMark/>
          </w:tcPr>
          <w:p w14:paraId="028E23D3" w14:textId="77777777" w:rsidR="00EE0DB2" w:rsidRPr="00EE0DB2" w:rsidRDefault="00EE0DB2" w:rsidP="00EE0DB2">
            <w:pPr>
              <w:jc w:val="right"/>
              <w:rPr>
                <w:lang w:eastAsia="tr-TR"/>
              </w:rPr>
            </w:pPr>
          </w:p>
        </w:tc>
        <w:tc>
          <w:tcPr>
            <w:tcW w:w="885" w:type="dxa"/>
            <w:tcBorders>
              <w:top w:val="single" w:sz="4" w:space="0" w:color="auto"/>
              <w:left w:val="single" w:sz="4" w:space="0" w:color="auto"/>
              <w:bottom w:val="nil"/>
              <w:right w:val="single" w:sz="4" w:space="0" w:color="auto"/>
            </w:tcBorders>
            <w:shd w:val="clear" w:color="auto" w:fill="auto"/>
            <w:vAlign w:val="center"/>
            <w:hideMark/>
          </w:tcPr>
          <w:p w14:paraId="2200F473" w14:textId="77777777" w:rsidR="00EE0DB2" w:rsidRPr="00EE0DB2" w:rsidRDefault="00EE0DB2" w:rsidP="00EE0DB2">
            <w:pPr>
              <w:jc w:val="right"/>
              <w:rPr>
                <w:lang w:eastAsia="tr-TR"/>
              </w:rPr>
            </w:pPr>
          </w:p>
        </w:tc>
        <w:tc>
          <w:tcPr>
            <w:tcW w:w="885" w:type="dxa"/>
            <w:tcBorders>
              <w:top w:val="single" w:sz="4" w:space="0" w:color="auto"/>
              <w:left w:val="single" w:sz="4" w:space="0" w:color="auto"/>
              <w:bottom w:val="nil"/>
              <w:right w:val="single" w:sz="4" w:space="0" w:color="auto"/>
            </w:tcBorders>
            <w:shd w:val="clear" w:color="auto" w:fill="auto"/>
            <w:vAlign w:val="center"/>
            <w:hideMark/>
          </w:tcPr>
          <w:p w14:paraId="19AEAC5C" w14:textId="77777777" w:rsidR="00EE0DB2" w:rsidRPr="00EE0DB2" w:rsidRDefault="00EE0DB2" w:rsidP="00EE0DB2">
            <w:pPr>
              <w:jc w:val="right"/>
              <w:rPr>
                <w:lang w:eastAsia="tr-TR"/>
              </w:rPr>
            </w:pPr>
          </w:p>
        </w:tc>
      </w:tr>
      <w:tr w:rsidR="00EE0DB2" w:rsidRPr="00EE0DB2" w14:paraId="1326C4EB"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56B33194"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A.</w:t>
            </w:r>
          </w:p>
        </w:tc>
        <w:tc>
          <w:tcPr>
            <w:tcW w:w="3236" w:type="dxa"/>
            <w:tcBorders>
              <w:top w:val="nil"/>
              <w:left w:val="single" w:sz="4" w:space="0" w:color="auto"/>
              <w:bottom w:val="nil"/>
              <w:right w:val="single" w:sz="4" w:space="0" w:color="auto"/>
            </w:tcBorders>
            <w:shd w:val="clear" w:color="auto" w:fill="auto"/>
            <w:noWrap/>
            <w:vAlign w:val="center"/>
            <w:hideMark/>
          </w:tcPr>
          <w:p w14:paraId="3381D43B"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BİLANÇO DIŞI YÜKÜMLÜLÜKLER (I+II+III)</w:t>
            </w:r>
          </w:p>
        </w:tc>
        <w:tc>
          <w:tcPr>
            <w:tcW w:w="576" w:type="dxa"/>
            <w:tcBorders>
              <w:top w:val="nil"/>
              <w:left w:val="single" w:sz="4" w:space="0" w:color="auto"/>
              <w:bottom w:val="nil"/>
              <w:right w:val="single" w:sz="4" w:space="0" w:color="auto"/>
            </w:tcBorders>
            <w:shd w:val="clear" w:color="auto" w:fill="auto"/>
            <w:vAlign w:val="center"/>
            <w:hideMark/>
          </w:tcPr>
          <w:p w14:paraId="16B7B0A1" w14:textId="77777777" w:rsidR="00EE0DB2" w:rsidRPr="00EE0DB2" w:rsidRDefault="00EE0DB2" w:rsidP="00EE0DB2">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FFFD81F" w14:textId="77777777" w:rsidR="00EE0DB2" w:rsidRPr="00EE0DB2" w:rsidRDefault="00EE0DB2" w:rsidP="00EE0DB2">
            <w:pPr>
              <w:jc w:val="right"/>
              <w:rPr>
                <w:b/>
                <w:bCs/>
                <w:sz w:val="14"/>
                <w:szCs w:val="14"/>
                <w:lang w:eastAsia="tr-TR"/>
              </w:rPr>
            </w:pPr>
            <w:r w:rsidRPr="00EE0DB2">
              <w:rPr>
                <w:b/>
                <w:bCs/>
                <w:sz w:val="14"/>
                <w:szCs w:val="14"/>
                <w:lang w:eastAsia="tr-TR"/>
              </w:rPr>
              <w:t>81,391,394</w:t>
            </w:r>
          </w:p>
        </w:tc>
        <w:tc>
          <w:tcPr>
            <w:tcW w:w="885" w:type="dxa"/>
            <w:tcBorders>
              <w:top w:val="nil"/>
              <w:left w:val="single" w:sz="4" w:space="0" w:color="auto"/>
              <w:bottom w:val="nil"/>
              <w:right w:val="single" w:sz="4" w:space="0" w:color="auto"/>
            </w:tcBorders>
            <w:shd w:val="clear" w:color="auto" w:fill="auto"/>
            <w:vAlign w:val="center"/>
            <w:hideMark/>
          </w:tcPr>
          <w:p w14:paraId="3512E99D" w14:textId="77777777" w:rsidR="00EE0DB2" w:rsidRPr="00EE0DB2" w:rsidRDefault="00EE0DB2" w:rsidP="00EE0DB2">
            <w:pPr>
              <w:jc w:val="right"/>
              <w:rPr>
                <w:b/>
                <w:bCs/>
                <w:sz w:val="14"/>
                <w:szCs w:val="14"/>
                <w:lang w:eastAsia="tr-TR"/>
              </w:rPr>
            </w:pPr>
            <w:r w:rsidRPr="00EE0DB2">
              <w:rPr>
                <w:b/>
                <w:bCs/>
                <w:sz w:val="14"/>
                <w:szCs w:val="14"/>
                <w:lang w:eastAsia="tr-TR"/>
              </w:rPr>
              <w:t>72,540,928</w:t>
            </w:r>
          </w:p>
        </w:tc>
        <w:tc>
          <w:tcPr>
            <w:tcW w:w="885" w:type="dxa"/>
            <w:tcBorders>
              <w:top w:val="nil"/>
              <w:left w:val="single" w:sz="4" w:space="0" w:color="auto"/>
              <w:bottom w:val="nil"/>
              <w:right w:val="single" w:sz="4" w:space="0" w:color="auto"/>
            </w:tcBorders>
            <w:shd w:val="clear" w:color="auto" w:fill="auto"/>
            <w:vAlign w:val="center"/>
            <w:hideMark/>
          </w:tcPr>
          <w:p w14:paraId="31990966" w14:textId="77777777" w:rsidR="00EE0DB2" w:rsidRPr="00EE0DB2" w:rsidRDefault="00EE0DB2" w:rsidP="00EE0DB2">
            <w:pPr>
              <w:jc w:val="right"/>
              <w:rPr>
                <w:b/>
                <w:bCs/>
                <w:sz w:val="14"/>
                <w:szCs w:val="14"/>
                <w:lang w:eastAsia="tr-TR"/>
              </w:rPr>
            </w:pPr>
            <w:r w:rsidRPr="00EE0DB2">
              <w:rPr>
                <w:b/>
                <w:bCs/>
                <w:sz w:val="14"/>
                <w:szCs w:val="14"/>
                <w:lang w:eastAsia="tr-TR"/>
              </w:rPr>
              <w:t>153,932,322</w:t>
            </w:r>
          </w:p>
        </w:tc>
        <w:tc>
          <w:tcPr>
            <w:tcW w:w="886" w:type="dxa"/>
            <w:tcBorders>
              <w:top w:val="nil"/>
              <w:left w:val="single" w:sz="4" w:space="0" w:color="auto"/>
              <w:bottom w:val="nil"/>
              <w:right w:val="single" w:sz="4" w:space="0" w:color="auto"/>
            </w:tcBorders>
            <w:shd w:val="clear" w:color="auto" w:fill="auto"/>
            <w:vAlign w:val="center"/>
            <w:hideMark/>
          </w:tcPr>
          <w:p w14:paraId="570A4DF8" w14:textId="77777777" w:rsidR="00EE0DB2" w:rsidRPr="00EE0DB2" w:rsidRDefault="00EE0DB2" w:rsidP="00EE0DB2">
            <w:pPr>
              <w:jc w:val="right"/>
              <w:rPr>
                <w:b/>
                <w:bCs/>
                <w:sz w:val="14"/>
                <w:szCs w:val="14"/>
                <w:lang w:eastAsia="tr-TR"/>
              </w:rPr>
            </w:pPr>
            <w:r w:rsidRPr="00EE0DB2">
              <w:rPr>
                <w:b/>
                <w:bCs/>
                <w:sz w:val="14"/>
                <w:szCs w:val="14"/>
                <w:lang w:eastAsia="tr-TR"/>
              </w:rPr>
              <w:t>67,365,973</w:t>
            </w:r>
          </w:p>
        </w:tc>
        <w:tc>
          <w:tcPr>
            <w:tcW w:w="885" w:type="dxa"/>
            <w:tcBorders>
              <w:top w:val="nil"/>
              <w:left w:val="single" w:sz="4" w:space="0" w:color="auto"/>
              <w:bottom w:val="nil"/>
              <w:right w:val="single" w:sz="4" w:space="0" w:color="auto"/>
            </w:tcBorders>
            <w:shd w:val="clear" w:color="auto" w:fill="auto"/>
            <w:vAlign w:val="center"/>
            <w:hideMark/>
          </w:tcPr>
          <w:p w14:paraId="415DFA9C" w14:textId="77777777" w:rsidR="00EE0DB2" w:rsidRPr="00EE0DB2" w:rsidRDefault="00EE0DB2" w:rsidP="00EE0DB2">
            <w:pPr>
              <w:jc w:val="right"/>
              <w:rPr>
                <w:b/>
                <w:bCs/>
                <w:sz w:val="14"/>
                <w:szCs w:val="14"/>
                <w:lang w:eastAsia="tr-TR"/>
              </w:rPr>
            </w:pPr>
            <w:r w:rsidRPr="00EE0DB2">
              <w:rPr>
                <w:b/>
                <w:bCs/>
                <w:sz w:val="14"/>
                <w:szCs w:val="14"/>
                <w:lang w:eastAsia="tr-TR"/>
              </w:rPr>
              <w:t>56,289,772</w:t>
            </w:r>
          </w:p>
        </w:tc>
        <w:tc>
          <w:tcPr>
            <w:tcW w:w="885" w:type="dxa"/>
            <w:tcBorders>
              <w:top w:val="nil"/>
              <w:left w:val="single" w:sz="4" w:space="0" w:color="auto"/>
              <w:bottom w:val="nil"/>
              <w:right w:val="single" w:sz="4" w:space="0" w:color="auto"/>
            </w:tcBorders>
            <w:shd w:val="clear" w:color="auto" w:fill="auto"/>
            <w:vAlign w:val="center"/>
            <w:hideMark/>
          </w:tcPr>
          <w:p w14:paraId="4D641281" w14:textId="77777777" w:rsidR="00EE0DB2" w:rsidRPr="00EE0DB2" w:rsidRDefault="00EE0DB2" w:rsidP="00EE0DB2">
            <w:pPr>
              <w:jc w:val="right"/>
              <w:rPr>
                <w:b/>
                <w:bCs/>
                <w:sz w:val="14"/>
                <w:szCs w:val="14"/>
                <w:lang w:eastAsia="tr-TR"/>
              </w:rPr>
            </w:pPr>
            <w:r w:rsidRPr="00EE0DB2">
              <w:rPr>
                <w:b/>
                <w:bCs/>
                <w:sz w:val="14"/>
                <w:szCs w:val="14"/>
                <w:lang w:eastAsia="tr-TR"/>
              </w:rPr>
              <w:t>123,655,745</w:t>
            </w:r>
          </w:p>
        </w:tc>
      </w:tr>
      <w:tr w:rsidR="00EE0DB2" w:rsidRPr="00EE0DB2" w14:paraId="407E54D2"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515D2DFB"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I.</w:t>
            </w:r>
          </w:p>
        </w:tc>
        <w:tc>
          <w:tcPr>
            <w:tcW w:w="3236" w:type="dxa"/>
            <w:tcBorders>
              <w:top w:val="nil"/>
              <w:left w:val="single" w:sz="4" w:space="0" w:color="auto"/>
              <w:bottom w:val="nil"/>
              <w:right w:val="single" w:sz="4" w:space="0" w:color="auto"/>
            </w:tcBorders>
            <w:shd w:val="clear" w:color="auto" w:fill="auto"/>
            <w:noWrap/>
            <w:vAlign w:val="center"/>
            <w:hideMark/>
          </w:tcPr>
          <w:p w14:paraId="7EB9E260"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GARANTİ ve KEFALETLER</w:t>
            </w:r>
          </w:p>
        </w:tc>
        <w:tc>
          <w:tcPr>
            <w:tcW w:w="576" w:type="dxa"/>
            <w:tcBorders>
              <w:top w:val="nil"/>
              <w:left w:val="single" w:sz="4" w:space="0" w:color="auto"/>
              <w:bottom w:val="nil"/>
              <w:right w:val="single" w:sz="4" w:space="0" w:color="auto"/>
            </w:tcBorders>
            <w:shd w:val="clear" w:color="auto" w:fill="auto"/>
            <w:vAlign w:val="center"/>
            <w:hideMark/>
          </w:tcPr>
          <w:p w14:paraId="3C2E882B" w14:textId="77777777" w:rsidR="00EE0DB2" w:rsidRPr="00EE0DB2" w:rsidRDefault="00EE0DB2" w:rsidP="00EE0DB2">
            <w:pPr>
              <w:jc w:val="right"/>
              <w:rPr>
                <w:b/>
                <w:bCs/>
                <w:sz w:val="14"/>
                <w:szCs w:val="14"/>
                <w:lang w:eastAsia="tr-TR"/>
              </w:rPr>
            </w:pPr>
            <w:r w:rsidRPr="00EE0DB2">
              <w:rPr>
                <w:b/>
                <w:bCs/>
                <w:sz w:val="14"/>
                <w:szCs w:val="14"/>
                <w:lang w:eastAsia="tr-TR"/>
              </w:rPr>
              <w:t>(5.3.1.)</w:t>
            </w:r>
          </w:p>
        </w:tc>
        <w:tc>
          <w:tcPr>
            <w:tcW w:w="886" w:type="dxa"/>
            <w:tcBorders>
              <w:top w:val="nil"/>
              <w:left w:val="single" w:sz="4" w:space="0" w:color="auto"/>
              <w:bottom w:val="nil"/>
              <w:right w:val="single" w:sz="4" w:space="0" w:color="auto"/>
            </w:tcBorders>
            <w:shd w:val="clear" w:color="auto" w:fill="auto"/>
            <w:vAlign w:val="center"/>
            <w:hideMark/>
          </w:tcPr>
          <w:p w14:paraId="602AA6DF" w14:textId="77777777" w:rsidR="00EE0DB2" w:rsidRPr="00EE0DB2" w:rsidRDefault="00EE0DB2" w:rsidP="00EE0DB2">
            <w:pPr>
              <w:jc w:val="right"/>
              <w:rPr>
                <w:b/>
                <w:bCs/>
                <w:sz w:val="14"/>
                <w:szCs w:val="14"/>
                <w:lang w:eastAsia="tr-TR"/>
              </w:rPr>
            </w:pPr>
            <w:r w:rsidRPr="00EE0DB2">
              <w:rPr>
                <w:b/>
                <w:bCs/>
                <w:sz w:val="14"/>
                <w:szCs w:val="14"/>
                <w:lang w:eastAsia="tr-TR"/>
              </w:rPr>
              <w:t>7,167,212</w:t>
            </w:r>
          </w:p>
        </w:tc>
        <w:tc>
          <w:tcPr>
            <w:tcW w:w="885" w:type="dxa"/>
            <w:tcBorders>
              <w:top w:val="nil"/>
              <w:left w:val="single" w:sz="4" w:space="0" w:color="auto"/>
              <w:bottom w:val="nil"/>
              <w:right w:val="single" w:sz="4" w:space="0" w:color="auto"/>
            </w:tcBorders>
            <w:shd w:val="clear" w:color="auto" w:fill="auto"/>
            <w:vAlign w:val="center"/>
            <w:hideMark/>
          </w:tcPr>
          <w:p w14:paraId="5F509D44" w14:textId="77777777" w:rsidR="00EE0DB2" w:rsidRPr="00EE0DB2" w:rsidRDefault="00EE0DB2" w:rsidP="00EE0DB2">
            <w:pPr>
              <w:jc w:val="right"/>
              <w:rPr>
                <w:b/>
                <w:bCs/>
                <w:sz w:val="14"/>
                <w:szCs w:val="14"/>
                <w:lang w:eastAsia="tr-TR"/>
              </w:rPr>
            </w:pPr>
            <w:r w:rsidRPr="00EE0DB2">
              <w:rPr>
                <w:b/>
                <w:bCs/>
                <w:sz w:val="14"/>
                <w:szCs w:val="14"/>
                <w:lang w:eastAsia="tr-TR"/>
              </w:rPr>
              <w:t>5,238,984</w:t>
            </w:r>
          </w:p>
        </w:tc>
        <w:tc>
          <w:tcPr>
            <w:tcW w:w="885" w:type="dxa"/>
            <w:tcBorders>
              <w:top w:val="nil"/>
              <w:left w:val="single" w:sz="4" w:space="0" w:color="auto"/>
              <w:bottom w:val="nil"/>
              <w:right w:val="single" w:sz="4" w:space="0" w:color="auto"/>
            </w:tcBorders>
            <w:shd w:val="clear" w:color="auto" w:fill="auto"/>
            <w:vAlign w:val="center"/>
            <w:hideMark/>
          </w:tcPr>
          <w:p w14:paraId="32AE14E4" w14:textId="77777777" w:rsidR="00EE0DB2" w:rsidRPr="00EE0DB2" w:rsidRDefault="00EE0DB2" w:rsidP="00EE0DB2">
            <w:pPr>
              <w:jc w:val="right"/>
              <w:rPr>
                <w:b/>
                <w:bCs/>
                <w:sz w:val="14"/>
                <w:szCs w:val="14"/>
                <w:lang w:eastAsia="tr-TR"/>
              </w:rPr>
            </w:pPr>
            <w:r w:rsidRPr="00EE0DB2">
              <w:rPr>
                <w:b/>
                <w:bCs/>
                <w:sz w:val="14"/>
                <w:szCs w:val="14"/>
                <w:lang w:eastAsia="tr-TR"/>
              </w:rPr>
              <w:t>12,406,196</w:t>
            </w:r>
          </w:p>
        </w:tc>
        <w:tc>
          <w:tcPr>
            <w:tcW w:w="886" w:type="dxa"/>
            <w:tcBorders>
              <w:top w:val="nil"/>
              <w:left w:val="single" w:sz="4" w:space="0" w:color="auto"/>
              <w:bottom w:val="nil"/>
              <w:right w:val="single" w:sz="4" w:space="0" w:color="auto"/>
            </w:tcBorders>
            <w:shd w:val="clear" w:color="auto" w:fill="auto"/>
            <w:vAlign w:val="center"/>
            <w:hideMark/>
          </w:tcPr>
          <w:p w14:paraId="5B644AD7" w14:textId="77777777" w:rsidR="00EE0DB2" w:rsidRPr="00EE0DB2" w:rsidRDefault="00EE0DB2" w:rsidP="00EE0DB2">
            <w:pPr>
              <w:jc w:val="right"/>
              <w:rPr>
                <w:b/>
                <w:bCs/>
                <w:sz w:val="14"/>
                <w:szCs w:val="14"/>
                <w:lang w:eastAsia="tr-TR"/>
              </w:rPr>
            </w:pPr>
            <w:r w:rsidRPr="00EE0DB2">
              <w:rPr>
                <w:b/>
                <w:bCs/>
                <w:sz w:val="14"/>
                <w:szCs w:val="14"/>
                <w:lang w:eastAsia="tr-TR"/>
              </w:rPr>
              <w:t>6,938,439</w:t>
            </w:r>
          </w:p>
        </w:tc>
        <w:tc>
          <w:tcPr>
            <w:tcW w:w="885" w:type="dxa"/>
            <w:tcBorders>
              <w:top w:val="nil"/>
              <w:left w:val="single" w:sz="4" w:space="0" w:color="auto"/>
              <w:bottom w:val="nil"/>
              <w:right w:val="single" w:sz="4" w:space="0" w:color="auto"/>
            </w:tcBorders>
            <w:shd w:val="clear" w:color="auto" w:fill="auto"/>
            <w:vAlign w:val="center"/>
            <w:hideMark/>
          </w:tcPr>
          <w:p w14:paraId="3197F60B" w14:textId="77777777" w:rsidR="00EE0DB2" w:rsidRPr="00EE0DB2" w:rsidRDefault="00EE0DB2" w:rsidP="00EE0DB2">
            <w:pPr>
              <w:jc w:val="right"/>
              <w:rPr>
                <w:b/>
                <w:bCs/>
                <w:sz w:val="14"/>
                <w:szCs w:val="14"/>
                <w:lang w:eastAsia="tr-TR"/>
              </w:rPr>
            </w:pPr>
            <w:r w:rsidRPr="00EE0DB2">
              <w:rPr>
                <w:b/>
                <w:bCs/>
                <w:sz w:val="14"/>
                <w:szCs w:val="14"/>
                <w:lang w:eastAsia="tr-TR"/>
              </w:rPr>
              <w:t>4,962,863</w:t>
            </w:r>
          </w:p>
        </w:tc>
        <w:tc>
          <w:tcPr>
            <w:tcW w:w="885" w:type="dxa"/>
            <w:tcBorders>
              <w:top w:val="nil"/>
              <w:left w:val="single" w:sz="4" w:space="0" w:color="auto"/>
              <w:bottom w:val="nil"/>
              <w:right w:val="single" w:sz="4" w:space="0" w:color="auto"/>
            </w:tcBorders>
            <w:shd w:val="clear" w:color="auto" w:fill="auto"/>
            <w:vAlign w:val="center"/>
            <w:hideMark/>
          </w:tcPr>
          <w:p w14:paraId="2DC6D8F7" w14:textId="77777777" w:rsidR="00EE0DB2" w:rsidRPr="00EE0DB2" w:rsidRDefault="00EE0DB2" w:rsidP="00EE0DB2">
            <w:pPr>
              <w:jc w:val="right"/>
              <w:rPr>
                <w:b/>
                <w:bCs/>
                <w:sz w:val="14"/>
                <w:szCs w:val="14"/>
                <w:lang w:eastAsia="tr-TR"/>
              </w:rPr>
            </w:pPr>
            <w:r w:rsidRPr="00EE0DB2">
              <w:rPr>
                <w:b/>
                <w:bCs/>
                <w:sz w:val="14"/>
                <w:szCs w:val="14"/>
                <w:lang w:eastAsia="tr-TR"/>
              </w:rPr>
              <w:t>11,901,302</w:t>
            </w:r>
          </w:p>
        </w:tc>
      </w:tr>
      <w:tr w:rsidR="00EE0DB2" w:rsidRPr="00EE0DB2" w14:paraId="605C7FA8"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4988D501" w14:textId="77777777" w:rsidR="00EE0DB2" w:rsidRPr="00EE0DB2" w:rsidRDefault="00EE0DB2" w:rsidP="00EE0DB2">
            <w:pPr>
              <w:rPr>
                <w:color w:val="000000"/>
                <w:sz w:val="14"/>
                <w:szCs w:val="14"/>
                <w:lang w:eastAsia="tr-TR"/>
              </w:rPr>
            </w:pPr>
            <w:r w:rsidRPr="00EE0DB2">
              <w:rPr>
                <w:color w:val="000000"/>
                <w:sz w:val="14"/>
                <w:szCs w:val="14"/>
                <w:lang w:eastAsia="tr-TR"/>
              </w:rPr>
              <w:t>1.1.</w:t>
            </w:r>
          </w:p>
        </w:tc>
        <w:tc>
          <w:tcPr>
            <w:tcW w:w="3236" w:type="dxa"/>
            <w:tcBorders>
              <w:top w:val="nil"/>
              <w:left w:val="single" w:sz="4" w:space="0" w:color="auto"/>
              <w:bottom w:val="nil"/>
              <w:right w:val="single" w:sz="4" w:space="0" w:color="auto"/>
            </w:tcBorders>
            <w:shd w:val="clear" w:color="auto" w:fill="auto"/>
            <w:noWrap/>
            <w:vAlign w:val="center"/>
            <w:hideMark/>
          </w:tcPr>
          <w:p w14:paraId="2160639A" w14:textId="77777777" w:rsidR="00EE0DB2" w:rsidRPr="00EE0DB2" w:rsidRDefault="00EE0DB2" w:rsidP="00EE0DB2">
            <w:pPr>
              <w:rPr>
                <w:color w:val="000000"/>
                <w:sz w:val="14"/>
                <w:szCs w:val="14"/>
                <w:lang w:eastAsia="tr-TR"/>
              </w:rPr>
            </w:pPr>
            <w:r w:rsidRPr="00EE0DB2">
              <w:rPr>
                <w:color w:val="000000"/>
                <w:sz w:val="14"/>
                <w:szCs w:val="14"/>
                <w:lang w:eastAsia="tr-TR"/>
              </w:rPr>
              <w:t>Teminat Mektupları</w:t>
            </w:r>
          </w:p>
        </w:tc>
        <w:tc>
          <w:tcPr>
            <w:tcW w:w="576" w:type="dxa"/>
            <w:tcBorders>
              <w:top w:val="nil"/>
              <w:left w:val="single" w:sz="4" w:space="0" w:color="auto"/>
              <w:bottom w:val="nil"/>
              <w:right w:val="single" w:sz="4" w:space="0" w:color="auto"/>
            </w:tcBorders>
            <w:shd w:val="clear" w:color="auto" w:fill="auto"/>
            <w:vAlign w:val="center"/>
            <w:hideMark/>
          </w:tcPr>
          <w:p w14:paraId="09D9D56D"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4DD7F35" w14:textId="77777777" w:rsidR="00EE0DB2" w:rsidRPr="00EE0DB2" w:rsidRDefault="00EE0DB2" w:rsidP="00EE0DB2">
            <w:pPr>
              <w:jc w:val="right"/>
              <w:rPr>
                <w:sz w:val="14"/>
                <w:szCs w:val="14"/>
                <w:lang w:eastAsia="tr-TR"/>
              </w:rPr>
            </w:pPr>
            <w:r w:rsidRPr="00EE0DB2">
              <w:rPr>
                <w:sz w:val="14"/>
                <w:szCs w:val="14"/>
                <w:lang w:eastAsia="tr-TR"/>
              </w:rPr>
              <w:t>6,699,134</w:t>
            </w:r>
          </w:p>
        </w:tc>
        <w:tc>
          <w:tcPr>
            <w:tcW w:w="885" w:type="dxa"/>
            <w:tcBorders>
              <w:top w:val="nil"/>
              <w:left w:val="single" w:sz="4" w:space="0" w:color="auto"/>
              <w:bottom w:val="nil"/>
              <w:right w:val="single" w:sz="4" w:space="0" w:color="auto"/>
            </w:tcBorders>
            <w:shd w:val="clear" w:color="auto" w:fill="auto"/>
            <w:vAlign w:val="center"/>
            <w:hideMark/>
          </w:tcPr>
          <w:p w14:paraId="4065C81B" w14:textId="77777777" w:rsidR="00EE0DB2" w:rsidRPr="00EE0DB2" w:rsidRDefault="00EE0DB2" w:rsidP="00EE0DB2">
            <w:pPr>
              <w:jc w:val="right"/>
              <w:rPr>
                <w:sz w:val="14"/>
                <w:szCs w:val="14"/>
                <w:lang w:eastAsia="tr-TR"/>
              </w:rPr>
            </w:pPr>
            <w:r w:rsidRPr="00EE0DB2">
              <w:rPr>
                <w:sz w:val="14"/>
                <w:szCs w:val="14"/>
                <w:lang w:eastAsia="tr-TR"/>
              </w:rPr>
              <w:t>3,457,696</w:t>
            </w:r>
          </w:p>
        </w:tc>
        <w:tc>
          <w:tcPr>
            <w:tcW w:w="885" w:type="dxa"/>
            <w:tcBorders>
              <w:top w:val="nil"/>
              <w:left w:val="single" w:sz="4" w:space="0" w:color="auto"/>
              <w:bottom w:val="nil"/>
              <w:right w:val="single" w:sz="4" w:space="0" w:color="auto"/>
            </w:tcBorders>
            <w:shd w:val="clear" w:color="auto" w:fill="auto"/>
            <w:vAlign w:val="center"/>
            <w:hideMark/>
          </w:tcPr>
          <w:p w14:paraId="1BBA81F6" w14:textId="77777777" w:rsidR="00EE0DB2" w:rsidRPr="00EE0DB2" w:rsidRDefault="00EE0DB2" w:rsidP="00EE0DB2">
            <w:pPr>
              <w:jc w:val="right"/>
              <w:rPr>
                <w:sz w:val="14"/>
                <w:szCs w:val="14"/>
                <w:lang w:eastAsia="tr-TR"/>
              </w:rPr>
            </w:pPr>
            <w:r w:rsidRPr="00EE0DB2">
              <w:rPr>
                <w:sz w:val="14"/>
                <w:szCs w:val="14"/>
                <w:lang w:eastAsia="tr-TR"/>
              </w:rPr>
              <w:t>10,156,830</w:t>
            </w:r>
          </w:p>
        </w:tc>
        <w:tc>
          <w:tcPr>
            <w:tcW w:w="886" w:type="dxa"/>
            <w:tcBorders>
              <w:top w:val="nil"/>
              <w:left w:val="single" w:sz="4" w:space="0" w:color="auto"/>
              <w:bottom w:val="nil"/>
              <w:right w:val="single" w:sz="4" w:space="0" w:color="auto"/>
            </w:tcBorders>
            <w:shd w:val="clear" w:color="auto" w:fill="auto"/>
            <w:vAlign w:val="center"/>
            <w:hideMark/>
          </w:tcPr>
          <w:p w14:paraId="5D187F26" w14:textId="77777777" w:rsidR="00EE0DB2" w:rsidRPr="00EE0DB2" w:rsidRDefault="00EE0DB2" w:rsidP="00EE0DB2">
            <w:pPr>
              <w:jc w:val="right"/>
              <w:rPr>
                <w:sz w:val="14"/>
                <w:szCs w:val="14"/>
                <w:lang w:eastAsia="tr-TR"/>
              </w:rPr>
            </w:pPr>
            <w:r w:rsidRPr="00EE0DB2">
              <w:rPr>
                <w:sz w:val="14"/>
                <w:szCs w:val="14"/>
                <w:lang w:eastAsia="tr-TR"/>
              </w:rPr>
              <w:t>6,592,042</w:t>
            </w:r>
          </w:p>
        </w:tc>
        <w:tc>
          <w:tcPr>
            <w:tcW w:w="885" w:type="dxa"/>
            <w:tcBorders>
              <w:top w:val="nil"/>
              <w:left w:val="single" w:sz="4" w:space="0" w:color="auto"/>
              <w:bottom w:val="nil"/>
              <w:right w:val="single" w:sz="4" w:space="0" w:color="auto"/>
            </w:tcBorders>
            <w:shd w:val="clear" w:color="auto" w:fill="auto"/>
            <w:vAlign w:val="center"/>
            <w:hideMark/>
          </w:tcPr>
          <w:p w14:paraId="0FD2CB45" w14:textId="77777777" w:rsidR="00EE0DB2" w:rsidRPr="00EE0DB2" w:rsidRDefault="00EE0DB2" w:rsidP="00EE0DB2">
            <w:pPr>
              <w:jc w:val="right"/>
              <w:rPr>
                <w:sz w:val="14"/>
                <w:szCs w:val="14"/>
                <w:lang w:eastAsia="tr-TR"/>
              </w:rPr>
            </w:pPr>
            <w:r w:rsidRPr="00EE0DB2">
              <w:rPr>
                <w:sz w:val="14"/>
                <w:szCs w:val="14"/>
                <w:lang w:eastAsia="tr-TR"/>
              </w:rPr>
              <w:t>3,414,624</w:t>
            </w:r>
          </w:p>
        </w:tc>
        <w:tc>
          <w:tcPr>
            <w:tcW w:w="885" w:type="dxa"/>
            <w:tcBorders>
              <w:top w:val="nil"/>
              <w:left w:val="single" w:sz="4" w:space="0" w:color="auto"/>
              <w:bottom w:val="nil"/>
              <w:right w:val="single" w:sz="4" w:space="0" w:color="auto"/>
            </w:tcBorders>
            <w:shd w:val="clear" w:color="auto" w:fill="auto"/>
            <w:vAlign w:val="center"/>
            <w:hideMark/>
          </w:tcPr>
          <w:p w14:paraId="24CCD036" w14:textId="77777777" w:rsidR="00EE0DB2" w:rsidRPr="00EE0DB2" w:rsidRDefault="00EE0DB2" w:rsidP="00EE0DB2">
            <w:pPr>
              <w:jc w:val="right"/>
              <w:rPr>
                <w:sz w:val="14"/>
                <w:szCs w:val="14"/>
                <w:lang w:eastAsia="tr-TR"/>
              </w:rPr>
            </w:pPr>
            <w:r w:rsidRPr="00EE0DB2">
              <w:rPr>
                <w:sz w:val="14"/>
                <w:szCs w:val="14"/>
                <w:lang w:eastAsia="tr-TR"/>
              </w:rPr>
              <w:t>10,006,666</w:t>
            </w:r>
          </w:p>
        </w:tc>
      </w:tr>
      <w:tr w:rsidR="00EE0DB2" w:rsidRPr="00EE0DB2" w14:paraId="086A6AF5"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579A3A47" w14:textId="77777777" w:rsidR="00EE0DB2" w:rsidRPr="00EE0DB2" w:rsidRDefault="00EE0DB2" w:rsidP="00EE0DB2">
            <w:pPr>
              <w:rPr>
                <w:color w:val="000000"/>
                <w:sz w:val="14"/>
                <w:szCs w:val="14"/>
                <w:lang w:eastAsia="tr-TR"/>
              </w:rPr>
            </w:pPr>
            <w:r w:rsidRPr="00EE0DB2">
              <w:rPr>
                <w:color w:val="000000"/>
                <w:sz w:val="14"/>
                <w:szCs w:val="14"/>
                <w:lang w:eastAsia="tr-TR"/>
              </w:rPr>
              <w:t>1.1.1.</w:t>
            </w:r>
          </w:p>
        </w:tc>
        <w:tc>
          <w:tcPr>
            <w:tcW w:w="3236" w:type="dxa"/>
            <w:tcBorders>
              <w:top w:val="nil"/>
              <w:left w:val="single" w:sz="4" w:space="0" w:color="auto"/>
              <w:bottom w:val="nil"/>
              <w:right w:val="single" w:sz="4" w:space="0" w:color="auto"/>
            </w:tcBorders>
            <w:shd w:val="clear" w:color="auto" w:fill="auto"/>
            <w:noWrap/>
            <w:vAlign w:val="center"/>
            <w:hideMark/>
          </w:tcPr>
          <w:p w14:paraId="52BAA55C" w14:textId="77777777" w:rsidR="00EE0DB2" w:rsidRPr="00EE0DB2" w:rsidRDefault="00EE0DB2" w:rsidP="00EE0DB2">
            <w:pPr>
              <w:rPr>
                <w:color w:val="000000"/>
                <w:sz w:val="14"/>
                <w:szCs w:val="14"/>
                <w:lang w:eastAsia="tr-TR"/>
              </w:rPr>
            </w:pPr>
            <w:r w:rsidRPr="00EE0DB2">
              <w:rPr>
                <w:color w:val="000000"/>
                <w:sz w:val="14"/>
                <w:szCs w:val="14"/>
                <w:lang w:eastAsia="tr-TR"/>
              </w:rPr>
              <w:t>Devlet İhale Kanunu Kapsamına Girenler</w:t>
            </w:r>
          </w:p>
        </w:tc>
        <w:tc>
          <w:tcPr>
            <w:tcW w:w="576" w:type="dxa"/>
            <w:tcBorders>
              <w:top w:val="nil"/>
              <w:left w:val="single" w:sz="4" w:space="0" w:color="auto"/>
              <w:bottom w:val="nil"/>
              <w:right w:val="single" w:sz="4" w:space="0" w:color="auto"/>
            </w:tcBorders>
            <w:shd w:val="clear" w:color="auto" w:fill="auto"/>
            <w:vAlign w:val="center"/>
            <w:hideMark/>
          </w:tcPr>
          <w:p w14:paraId="5D66A604"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5FBE15D" w14:textId="77777777" w:rsidR="00EE0DB2" w:rsidRPr="00EE0DB2" w:rsidRDefault="00EE0DB2" w:rsidP="00EE0DB2">
            <w:pPr>
              <w:jc w:val="right"/>
              <w:rPr>
                <w:sz w:val="14"/>
                <w:szCs w:val="14"/>
                <w:lang w:eastAsia="tr-TR"/>
              </w:rPr>
            </w:pPr>
            <w:r w:rsidRPr="00EE0DB2">
              <w:rPr>
                <w:sz w:val="14"/>
                <w:szCs w:val="14"/>
                <w:lang w:eastAsia="tr-TR"/>
              </w:rPr>
              <w:t>213,988</w:t>
            </w:r>
          </w:p>
        </w:tc>
        <w:tc>
          <w:tcPr>
            <w:tcW w:w="885" w:type="dxa"/>
            <w:tcBorders>
              <w:top w:val="nil"/>
              <w:left w:val="single" w:sz="4" w:space="0" w:color="auto"/>
              <w:bottom w:val="nil"/>
              <w:right w:val="single" w:sz="4" w:space="0" w:color="auto"/>
            </w:tcBorders>
            <w:shd w:val="clear" w:color="auto" w:fill="auto"/>
            <w:vAlign w:val="center"/>
            <w:hideMark/>
          </w:tcPr>
          <w:p w14:paraId="6B017490" w14:textId="77777777" w:rsidR="00EE0DB2" w:rsidRPr="00EE0DB2" w:rsidRDefault="00EE0DB2" w:rsidP="00EE0DB2">
            <w:pPr>
              <w:jc w:val="right"/>
              <w:rPr>
                <w:sz w:val="14"/>
                <w:szCs w:val="14"/>
                <w:lang w:eastAsia="tr-TR"/>
              </w:rPr>
            </w:pPr>
            <w:r w:rsidRPr="00EE0DB2">
              <w:rPr>
                <w:sz w:val="14"/>
                <w:szCs w:val="14"/>
                <w:lang w:eastAsia="tr-TR"/>
              </w:rPr>
              <w:t>46,153</w:t>
            </w:r>
          </w:p>
        </w:tc>
        <w:tc>
          <w:tcPr>
            <w:tcW w:w="885" w:type="dxa"/>
            <w:tcBorders>
              <w:top w:val="nil"/>
              <w:left w:val="single" w:sz="4" w:space="0" w:color="auto"/>
              <w:bottom w:val="nil"/>
              <w:right w:val="single" w:sz="4" w:space="0" w:color="auto"/>
            </w:tcBorders>
            <w:shd w:val="clear" w:color="auto" w:fill="auto"/>
            <w:vAlign w:val="center"/>
            <w:hideMark/>
          </w:tcPr>
          <w:p w14:paraId="31E1B8F7" w14:textId="77777777" w:rsidR="00EE0DB2" w:rsidRPr="00EE0DB2" w:rsidRDefault="00EE0DB2" w:rsidP="00EE0DB2">
            <w:pPr>
              <w:jc w:val="right"/>
              <w:rPr>
                <w:sz w:val="14"/>
                <w:szCs w:val="14"/>
                <w:lang w:eastAsia="tr-TR"/>
              </w:rPr>
            </w:pPr>
            <w:r w:rsidRPr="00EE0DB2">
              <w:rPr>
                <w:sz w:val="14"/>
                <w:szCs w:val="14"/>
                <w:lang w:eastAsia="tr-TR"/>
              </w:rPr>
              <w:t>260,141</w:t>
            </w:r>
          </w:p>
        </w:tc>
        <w:tc>
          <w:tcPr>
            <w:tcW w:w="886" w:type="dxa"/>
            <w:tcBorders>
              <w:top w:val="nil"/>
              <w:left w:val="single" w:sz="4" w:space="0" w:color="auto"/>
              <w:bottom w:val="nil"/>
              <w:right w:val="single" w:sz="4" w:space="0" w:color="auto"/>
            </w:tcBorders>
            <w:shd w:val="clear" w:color="auto" w:fill="auto"/>
            <w:vAlign w:val="center"/>
            <w:hideMark/>
          </w:tcPr>
          <w:p w14:paraId="3B81B0ED" w14:textId="77777777" w:rsidR="00EE0DB2" w:rsidRPr="00EE0DB2" w:rsidRDefault="00EE0DB2" w:rsidP="00EE0DB2">
            <w:pPr>
              <w:jc w:val="right"/>
              <w:rPr>
                <w:sz w:val="14"/>
                <w:szCs w:val="14"/>
                <w:lang w:eastAsia="tr-TR"/>
              </w:rPr>
            </w:pPr>
            <w:r w:rsidRPr="00EE0DB2">
              <w:rPr>
                <w:sz w:val="14"/>
                <w:szCs w:val="14"/>
                <w:lang w:eastAsia="tr-TR"/>
              </w:rPr>
              <w:t>218,286</w:t>
            </w:r>
          </w:p>
        </w:tc>
        <w:tc>
          <w:tcPr>
            <w:tcW w:w="885" w:type="dxa"/>
            <w:tcBorders>
              <w:top w:val="nil"/>
              <w:left w:val="single" w:sz="4" w:space="0" w:color="auto"/>
              <w:bottom w:val="nil"/>
              <w:right w:val="single" w:sz="4" w:space="0" w:color="auto"/>
            </w:tcBorders>
            <w:shd w:val="clear" w:color="auto" w:fill="auto"/>
            <w:vAlign w:val="center"/>
            <w:hideMark/>
          </w:tcPr>
          <w:p w14:paraId="796D3BBA" w14:textId="77777777" w:rsidR="00EE0DB2" w:rsidRPr="00EE0DB2" w:rsidRDefault="00EE0DB2" w:rsidP="00EE0DB2">
            <w:pPr>
              <w:jc w:val="right"/>
              <w:rPr>
                <w:sz w:val="14"/>
                <w:szCs w:val="14"/>
                <w:lang w:eastAsia="tr-TR"/>
              </w:rPr>
            </w:pPr>
            <w:r w:rsidRPr="00EE0DB2">
              <w:rPr>
                <w:sz w:val="14"/>
                <w:szCs w:val="14"/>
                <w:lang w:eastAsia="tr-TR"/>
              </w:rPr>
              <w:t>62,740</w:t>
            </w:r>
          </w:p>
        </w:tc>
        <w:tc>
          <w:tcPr>
            <w:tcW w:w="885" w:type="dxa"/>
            <w:tcBorders>
              <w:top w:val="nil"/>
              <w:left w:val="single" w:sz="4" w:space="0" w:color="auto"/>
              <w:bottom w:val="nil"/>
              <w:right w:val="single" w:sz="4" w:space="0" w:color="auto"/>
            </w:tcBorders>
            <w:shd w:val="clear" w:color="auto" w:fill="auto"/>
            <w:vAlign w:val="center"/>
            <w:hideMark/>
          </w:tcPr>
          <w:p w14:paraId="6E994148" w14:textId="77777777" w:rsidR="00EE0DB2" w:rsidRPr="00EE0DB2" w:rsidRDefault="00EE0DB2" w:rsidP="00EE0DB2">
            <w:pPr>
              <w:jc w:val="right"/>
              <w:rPr>
                <w:sz w:val="14"/>
                <w:szCs w:val="14"/>
                <w:lang w:eastAsia="tr-TR"/>
              </w:rPr>
            </w:pPr>
            <w:r w:rsidRPr="00EE0DB2">
              <w:rPr>
                <w:sz w:val="14"/>
                <w:szCs w:val="14"/>
                <w:lang w:eastAsia="tr-TR"/>
              </w:rPr>
              <w:t>281,026</w:t>
            </w:r>
          </w:p>
        </w:tc>
      </w:tr>
      <w:tr w:rsidR="00EE0DB2" w:rsidRPr="00EE0DB2" w14:paraId="069FDA31"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7595FFF5" w14:textId="77777777" w:rsidR="00EE0DB2" w:rsidRPr="00EE0DB2" w:rsidRDefault="00EE0DB2" w:rsidP="00EE0DB2">
            <w:pPr>
              <w:rPr>
                <w:color w:val="000000"/>
                <w:sz w:val="14"/>
                <w:szCs w:val="14"/>
                <w:lang w:eastAsia="tr-TR"/>
              </w:rPr>
            </w:pPr>
            <w:r w:rsidRPr="00EE0DB2">
              <w:rPr>
                <w:color w:val="000000"/>
                <w:sz w:val="14"/>
                <w:szCs w:val="14"/>
                <w:lang w:eastAsia="tr-TR"/>
              </w:rPr>
              <w:t>1.1.2.</w:t>
            </w:r>
          </w:p>
        </w:tc>
        <w:tc>
          <w:tcPr>
            <w:tcW w:w="3236" w:type="dxa"/>
            <w:tcBorders>
              <w:top w:val="nil"/>
              <w:left w:val="single" w:sz="4" w:space="0" w:color="auto"/>
              <w:bottom w:val="nil"/>
              <w:right w:val="single" w:sz="4" w:space="0" w:color="auto"/>
            </w:tcBorders>
            <w:shd w:val="clear" w:color="auto" w:fill="auto"/>
            <w:noWrap/>
            <w:vAlign w:val="center"/>
            <w:hideMark/>
          </w:tcPr>
          <w:p w14:paraId="16895ABC" w14:textId="77777777" w:rsidR="00EE0DB2" w:rsidRPr="00EE0DB2" w:rsidRDefault="00EE0DB2" w:rsidP="00EE0DB2">
            <w:pPr>
              <w:rPr>
                <w:color w:val="000000"/>
                <w:sz w:val="14"/>
                <w:szCs w:val="14"/>
                <w:lang w:eastAsia="tr-TR"/>
              </w:rPr>
            </w:pPr>
            <w:r w:rsidRPr="00EE0DB2">
              <w:rPr>
                <w:color w:val="000000"/>
                <w:sz w:val="14"/>
                <w:szCs w:val="14"/>
                <w:lang w:eastAsia="tr-TR"/>
              </w:rPr>
              <w:t>Dış Ticaret İşlemleri Dolayısıyla Verilenler</w:t>
            </w:r>
          </w:p>
        </w:tc>
        <w:tc>
          <w:tcPr>
            <w:tcW w:w="576" w:type="dxa"/>
            <w:tcBorders>
              <w:top w:val="nil"/>
              <w:left w:val="single" w:sz="4" w:space="0" w:color="auto"/>
              <w:bottom w:val="nil"/>
              <w:right w:val="single" w:sz="4" w:space="0" w:color="auto"/>
            </w:tcBorders>
            <w:shd w:val="clear" w:color="auto" w:fill="auto"/>
            <w:vAlign w:val="center"/>
            <w:hideMark/>
          </w:tcPr>
          <w:p w14:paraId="2E6A942C"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9C32676" w14:textId="77777777" w:rsidR="00EE0DB2" w:rsidRPr="00EE0DB2" w:rsidRDefault="00EE0DB2" w:rsidP="00EE0DB2">
            <w:pPr>
              <w:jc w:val="right"/>
              <w:rPr>
                <w:sz w:val="14"/>
                <w:szCs w:val="14"/>
                <w:lang w:eastAsia="tr-TR"/>
              </w:rPr>
            </w:pPr>
            <w:r w:rsidRPr="00EE0DB2">
              <w:rPr>
                <w:sz w:val="14"/>
                <w:szCs w:val="14"/>
                <w:lang w:eastAsia="tr-TR"/>
              </w:rPr>
              <w:t>398,895</w:t>
            </w:r>
          </w:p>
        </w:tc>
        <w:tc>
          <w:tcPr>
            <w:tcW w:w="885" w:type="dxa"/>
            <w:tcBorders>
              <w:top w:val="nil"/>
              <w:left w:val="single" w:sz="4" w:space="0" w:color="auto"/>
              <w:bottom w:val="nil"/>
              <w:right w:val="single" w:sz="4" w:space="0" w:color="auto"/>
            </w:tcBorders>
            <w:shd w:val="clear" w:color="auto" w:fill="auto"/>
            <w:vAlign w:val="center"/>
            <w:hideMark/>
          </w:tcPr>
          <w:p w14:paraId="5EA76BD6" w14:textId="77777777" w:rsidR="00EE0DB2" w:rsidRPr="00EE0DB2" w:rsidRDefault="00EE0DB2" w:rsidP="00EE0DB2">
            <w:pPr>
              <w:jc w:val="right"/>
              <w:rPr>
                <w:sz w:val="14"/>
                <w:szCs w:val="14"/>
                <w:lang w:eastAsia="tr-TR"/>
              </w:rPr>
            </w:pPr>
            <w:r w:rsidRPr="00EE0DB2">
              <w:rPr>
                <w:sz w:val="14"/>
                <w:szCs w:val="14"/>
                <w:lang w:eastAsia="tr-TR"/>
              </w:rPr>
              <w:t>64,204</w:t>
            </w:r>
          </w:p>
        </w:tc>
        <w:tc>
          <w:tcPr>
            <w:tcW w:w="885" w:type="dxa"/>
            <w:tcBorders>
              <w:top w:val="nil"/>
              <w:left w:val="single" w:sz="4" w:space="0" w:color="auto"/>
              <w:bottom w:val="nil"/>
              <w:right w:val="single" w:sz="4" w:space="0" w:color="auto"/>
            </w:tcBorders>
            <w:shd w:val="clear" w:color="auto" w:fill="auto"/>
            <w:vAlign w:val="center"/>
            <w:hideMark/>
          </w:tcPr>
          <w:p w14:paraId="57E0CAF4" w14:textId="77777777" w:rsidR="00EE0DB2" w:rsidRPr="00EE0DB2" w:rsidRDefault="00EE0DB2" w:rsidP="00EE0DB2">
            <w:pPr>
              <w:jc w:val="right"/>
              <w:rPr>
                <w:sz w:val="14"/>
                <w:szCs w:val="14"/>
                <w:lang w:eastAsia="tr-TR"/>
              </w:rPr>
            </w:pPr>
            <w:r w:rsidRPr="00EE0DB2">
              <w:rPr>
                <w:sz w:val="14"/>
                <w:szCs w:val="14"/>
                <w:lang w:eastAsia="tr-TR"/>
              </w:rPr>
              <w:t>463,099</w:t>
            </w:r>
          </w:p>
        </w:tc>
        <w:tc>
          <w:tcPr>
            <w:tcW w:w="886" w:type="dxa"/>
            <w:tcBorders>
              <w:top w:val="nil"/>
              <w:left w:val="single" w:sz="4" w:space="0" w:color="auto"/>
              <w:bottom w:val="nil"/>
              <w:right w:val="single" w:sz="4" w:space="0" w:color="auto"/>
            </w:tcBorders>
            <w:shd w:val="clear" w:color="auto" w:fill="auto"/>
            <w:vAlign w:val="center"/>
            <w:hideMark/>
          </w:tcPr>
          <w:p w14:paraId="65D6E727" w14:textId="77777777" w:rsidR="00EE0DB2" w:rsidRPr="00EE0DB2" w:rsidRDefault="00EE0DB2" w:rsidP="00EE0DB2">
            <w:pPr>
              <w:jc w:val="right"/>
              <w:rPr>
                <w:sz w:val="14"/>
                <w:szCs w:val="14"/>
                <w:lang w:eastAsia="tr-TR"/>
              </w:rPr>
            </w:pPr>
            <w:r w:rsidRPr="00EE0DB2">
              <w:rPr>
                <w:sz w:val="14"/>
                <w:szCs w:val="14"/>
                <w:lang w:eastAsia="tr-TR"/>
              </w:rPr>
              <w:t>375,091</w:t>
            </w:r>
          </w:p>
        </w:tc>
        <w:tc>
          <w:tcPr>
            <w:tcW w:w="885" w:type="dxa"/>
            <w:tcBorders>
              <w:top w:val="nil"/>
              <w:left w:val="single" w:sz="4" w:space="0" w:color="auto"/>
              <w:bottom w:val="nil"/>
              <w:right w:val="single" w:sz="4" w:space="0" w:color="auto"/>
            </w:tcBorders>
            <w:shd w:val="clear" w:color="auto" w:fill="auto"/>
            <w:vAlign w:val="center"/>
            <w:hideMark/>
          </w:tcPr>
          <w:p w14:paraId="006EAE52" w14:textId="77777777" w:rsidR="00EE0DB2" w:rsidRPr="00EE0DB2" w:rsidRDefault="00EE0DB2" w:rsidP="00EE0DB2">
            <w:pPr>
              <w:jc w:val="right"/>
              <w:rPr>
                <w:sz w:val="14"/>
                <w:szCs w:val="14"/>
                <w:lang w:eastAsia="tr-TR"/>
              </w:rPr>
            </w:pPr>
            <w:r w:rsidRPr="00EE0DB2">
              <w:rPr>
                <w:sz w:val="14"/>
                <w:szCs w:val="14"/>
                <w:lang w:eastAsia="tr-TR"/>
              </w:rPr>
              <w:t>79,315</w:t>
            </w:r>
          </w:p>
        </w:tc>
        <w:tc>
          <w:tcPr>
            <w:tcW w:w="885" w:type="dxa"/>
            <w:tcBorders>
              <w:top w:val="nil"/>
              <w:left w:val="single" w:sz="4" w:space="0" w:color="auto"/>
              <w:bottom w:val="nil"/>
              <w:right w:val="single" w:sz="4" w:space="0" w:color="auto"/>
            </w:tcBorders>
            <w:shd w:val="clear" w:color="auto" w:fill="auto"/>
            <w:vAlign w:val="center"/>
            <w:hideMark/>
          </w:tcPr>
          <w:p w14:paraId="31222986" w14:textId="77777777" w:rsidR="00EE0DB2" w:rsidRPr="00EE0DB2" w:rsidRDefault="00EE0DB2" w:rsidP="00EE0DB2">
            <w:pPr>
              <w:jc w:val="right"/>
              <w:rPr>
                <w:sz w:val="14"/>
                <w:szCs w:val="14"/>
                <w:lang w:eastAsia="tr-TR"/>
              </w:rPr>
            </w:pPr>
            <w:r w:rsidRPr="00EE0DB2">
              <w:rPr>
                <w:sz w:val="14"/>
                <w:szCs w:val="14"/>
                <w:lang w:eastAsia="tr-TR"/>
              </w:rPr>
              <w:t>454,406</w:t>
            </w:r>
          </w:p>
        </w:tc>
      </w:tr>
      <w:tr w:rsidR="00EE0DB2" w:rsidRPr="00EE0DB2" w14:paraId="4C1A553B"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3D8246FB" w14:textId="77777777" w:rsidR="00EE0DB2" w:rsidRPr="00EE0DB2" w:rsidRDefault="00EE0DB2" w:rsidP="00EE0DB2">
            <w:pPr>
              <w:rPr>
                <w:color w:val="000000"/>
                <w:sz w:val="14"/>
                <w:szCs w:val="14"/>
                <w:lang w:eastAsia="tr-TR"/>
              </w:rPr>
            </w:pPr>
            <w:r w:rsidRPr="00EE0DB2">
              <w:rPr>
                <w:color w:val="000000"/>
                <w:sz w:val="14"/>
                <w:szCs w:val="14"/>
                <w:lang w:eastAsia="tr-TR"/>
              </w:rPr>
              <w:t>1.1.3.</w:t>
            </w:r>
          </w:p>
        </w:tc>
        <w:tc>
          <w:tcPr>
            <w:tcW w:w="3236" w:type="dxa"/>
            <w:tcBorders>
              <w:top w:val="nil"/>
              <w:left w:val="single" w:sz="4" w:space="0" w:color="auto"/>
              <w:bottom w:val="nil"/>
              <w:right w:val="single" w:sz="4" w:space="0" w:color="auto"/>
            </w:tcBorders>
            <w:shd w:val="clear" w:color="auto" w:fill="auto"/>
            <w:noWrap/>
            <w:vAlign w:val="center"/>
            <w:hideMark/>
          </w:tcPr>
          <w:p w14:paraId="49E9DDB8" w14:textId="77777777" w:rsidR="00EE0DB2" w:rsidRPr="00EE0DB2" w:rsidRDefault="00EE0DB2" w:rsidP="00EE0DB2">
            <w:pPr>
              <w:rPr>
                <w:color w:val="000000"/>
                <w:sz w:val="14"/>
                <w:szCs w:val="14"/>
                <w:lang w:eastAsia="tr-TR"/>
              </w:rPr>
            </w:pPr>
            <w:r w:rsidRPr="00EE0DB2">
              <w:rPr>
                <w:color w:val="000000"/>
                <w:sz w:val="14"/>
                <w:szCs w:val="14"/>
                <w:lang w:eastAsia="tr-TR"/>
              </w:rPr>
              <w:t>Diğer Teminat Mektupları</w:t>
            </w:r>
          </w:p>
        </w:tc>
        <w:tc>
          <w:tcPr>
            <w:tcW w:w="576" w:type="dxa"/>
            <w:tcBorders>
              <w:top w:val="nil"/>
              <w:left w:val="single" w:sz="4" w:space="0" w:color="auto"/>
              <w:bottom w:val="nil"/>
              <w:right w:val="single" w:sz="4" w:space="0" w:color="auto"/>
            </w:tcBorders>
            <w:shd w:val="clear" w:color="auto" w:fill="auto"/>
            <w:vAlign w:val="center"/>
            <w:hideMark/>
          </w:tcPr>
          <w:p w14:paraId="2BEBA56D"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A360850" w14:textId="77777777" w:rsidR="00EE0DB2" w:rsidRPr="00EE0DB2" w:rsidRDefault="00EE0DB2" w:rsidP="00EE0DB2">
            <w:pPr>
              <w:jc w:val="right"/>
              <w:rPr>
                <w:sz w:val="14"/>
                <w:szCs w:val="14"/>
                <w:lang w:eastAsia="tr-TR"/>
              </w:rPr>
            </w:pPr>
            <w:r w:rsidRPr="00EE0DB2">
              <w:rPr>
                <w:sz w:val="14"/>
                <w:szCs w:val="14"/>
                <w:lang w:eastAsia="tr-TR"/>
              </w:rPr>
              <w:t>6,086,251</w:t>
            </w:r>
          </w:p>
        </w:tc>
        <w:tc>
          <w:tcPr>
            <w:tcW w:w="885" w:type="dxa"/>
            <w:tcBorders>
              <w:top w:val="nil"/>
              <w:left w:val="single" w:sz="4" w:space="0" w:color="auto"/>
              <w:bottom w:val="nil"/>
              <w:right w:val="single" w:sz="4" w:space="0" w:color="auto"/>
            </w:tcBorders>
            <w:shd w:val="clear" w:color="auto" w:fill="auto"/>
            <w:vAlign w:val="center"/>
            <w:hideMark/>
          </w:tcPr>
          <w:p w14:paraId="55E9A400" w14:textId="77777777" w:rsidR="00EE0DB2" w:rsidRPr="00EE0DB2" w:rsidRDefault="00EE0DB2" w:rsidP="00EE0DB2">
            <w:pPr>
              <w:jc w:val="right"/>
              <w:rPr>
                <w:sz w:val="14"/>
                <w:szCs w:val="14"/>
                <w:lang w:eastAsia="tr-TR"/>
              </w:rPr>
            </w:pPr>
            <w:r w:rsidRPr="00EE0DB2">
              <w:rPr>
                <w:sz w:val="14"/>
                <w:szCs w:val="14"/>
                <w:lang w:eastAsia="tr-TR"/>
              </w:rPr>
              <w:t>3,347,339</w:t>
            </w:r>
          </w:p>
        </w:tc>
        <w:tc>
          <w:tcPr>
            <w:tcW w:w="885" w:type="dxa"/>
            <w:tcBorders>
              <w:top w:val="nil"/>
              <w:left w:val="single" w:sz="4" w:space="0" w:color="auto"/>
              <w:bottom w:val="nil"/>
              <w:right w:val="single" w:sz="4" w:space="0" w:color="auto"/>
            </w:tcBorders>
            <w:shd w:val="clear" w:color="auto" w:fill="auto"/>
            <w:vAlign w:val="center"/>
            <w:hideMark/>
          </w:tcPr>
          <w:p w14:paraId="7F458404" w14:textId="77777777" w:rsidR="00EE0DB2" w:rsidRPr="00EE0DB2" w:rsidRDefault="00EE0DB2" w:rsidP="00EE0DB2">
            <w:pPr>
              <w:jc w:val="right"/>
              <w:rPr>
                <w:sz w:val="14"/>
                <w:szCs w:val="14"/>
                <w:lang w:eastAsia="tr-TR"/>
              </w:rPr>
            </w:pPr>
            <w:r w:rsidRPr="00EE0DB2">
              <w:rPr>
                <w:sz w:val="14"/>
                <w:szCs w:val="14"/>
                <w:lang w:eastAsia="tr-TR"/>
              </w:rPr>
              <w:t>9,433,590</w:t>
            </w:r>
          </w:p>
        </w:tc>
        <w:tc>
          <w:tcPr>
            <w:tcW w:w="886" w:type="dxa"/>
            <w:tcBorders>
              <w:top w:val="nil"/>
              <w:left w:val="single" w:sz="4" w:space="0" w:color="auto"/>
              <w:bottom w:val="nil"/>
              <w:right w:val="single" w:sz="4" w:space="0" w:color="auto"/>
            </w:tcBorders>
            <w:shd w:val="clear" w:color="auto" w:fill="auto"/>
            <w:vAlign w:val="center"/>
            <w:hideMark/>
          </w:tcPr>
          <w:p w14:paraId="28E67C80" w14:textId="77777777" w:rsidR="00EE0DB2" w:rsidRPr="00EE0DB2" w:rsidRDefault="00EE0DB2" w:rsidP="00EE0DB2">
            <w:pPr>
              <w:jc w:val="right"/>
              <w:rPr>
                <w:sz w:val="14"/>
                <w:szCs w:val="14"/>
                <w:lang w:eastAsia="tr-TR"/>
              </w:rPr>
            </w:pPr>
            <w:r w:rsidRPr="00EE0DB2">
              <w:rPr>
                <w:sz w:val="14"/>
                <w:szCs w:val="14"/>
                <w:lang w:eastAsia="tr-TR"/>
              </w:rPr>
              <w:t>5,998,665</w:t>
            </w:r>
          </w:p>
        </w:tc>
        <w:tc>
          <w:tcPr>
            <w:tcW w:w="885" w:type="dxa"/>
            <w:tcBorders>
              <w:top w:val="nil"/>
              <w:left w:val="single" w:sz="4" w:space="0" w:color="auto"/>
              <w:bottom w:val="nil"/>
              <w:right w:val="single" w:sz="4" w:space="0" w:color="auto"/>
            </w:tcBorders>
            <w:shd w:val="clear" w:color="auto" w:fill="auto"/>
            <w:vAlign w:val="center"/>
            <w:hideMark/>
          </w:tcPr>
          <w:p w14:paraId="2D42F578" w14:textId="77777777" w:rsidR="00EE0DB2" w:rsidRPr="00EE0DB2" w:rsidRDefault="00EE0DB2" w:rsidP="00EE0DB2">
            <w:pPr>
              <w:jc w:val="right"/>
              <w:rPr>
                <w:sz w:val="14"/>
                <w:szCs w:val="14"/>
                <w:lang w:eastAsia="tr-TR"/>
              </w:rPr>
            </w:pPr>
            <w:r w:rsidRPr="00EE0DB2">
              <w:rPr>
                <w:sz w:val="14"/>
                <w:szCs w:val="14"/>
                <w:lang w:eastAsia="tr-TR"/>
              </w:rPr>
              <w:t>3,272,569</w:t>
            </w:r>
          </w:p>
        </w:tc>
        <w:tc>
          <w:tcPr>
            <w:tcW w:w="885" w:type="dxa"/>
            <w:tcBorders>
              <w:top w:val="nil"/>
              <w:left w:val="single" w:sz="4" w:space="0" w:color="auto"/>
              <w:bottom w:val="nil"/>
              <w:right w:val="single" w:sz="4" w:space="0" w:color="auto"/>
            </w:tcBorders>
            <w:shd w:val="clear" w:color="auto" w:fill="auto"/>
            <w:vAlign w:val="center"/>
            <w:hideMark/>
          </w:tcPr>
          <w:p w14:paraId="7CCFD48E" w14:textId="77777777" w:rsidR="00EE0DB2" w:rsidRPr="00EE0DB2" w:rsidRDefault="00EE0DB2" w:rsidP="00EE0DB2">
            <w:pPr>
              <w:jc w:val="right"/>
              <w:rPr>
                <w:sz w:val="14"/>
                <w:szCs w:val="14"/>
                <w:lang w:eastAsia="tr-TR"/>
              </w:rPr>
            </w:pPr>
            <w:r w:rsidRPr="00EE0DB2">
              <w:rPr>
                <w:sz w:val="14"/>
                <w:szCs w:val="14"/>
                <w:lang w:eastAsia="tr-TR"/>
              </w:rPr>
              <w:t>9,271,234</w:t>
            </w:r>
          </w:p>
        </w:tc>
      </w:tr>
      <w:tr w:rsidR="00EE0DB2" w:rsidRPr="00EE0DB2" w14:paraId="650F914E"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294485D6" w14:textId="77777777" w:rsidR="00EE0DB2" w:rsidRPr="00EE0DB2" w:rsidRDefault="00EE0DB2" w:rsidP="00EE0DB2">
            <w:pPr>
              <w:rPr>
                <w:color w:val="000000"/>
                <w:sz w:val="14"/>
                <w:szCs w:val="14"/>
                <w:lang w:eastAsia="tr-TR"/>
              </w:rPr>
            </w:pPr>
            <w:r w:rsidRPr="00EE0DB2">
              <w:rPr>
                <w:color w:val="000000"/>
                <w:sz w:val="14"/>
                <w:szCs w:val="14"/>
                <w:lang w:eastAsia="tr-TR"/>
              </w:rPr>
              <w:t>1.2.</w:t>
            </w:r>
          </w:p>
        </w:tc>
        <w:tc>
          <w:tcPr>
            <w:tcW w:w="3236" w:type="dxa"/>
            <w:tcBorders>
              <w:top w:val="nil"/>
              <w:left w:val="single" w:sz="4" w:space="0" w:color="auto"/>
              <w:bottom w:val="nil"/>
              <w:right w:val="single" w:sz="4" w:space="0" w:color="auto"/>
            </w:tcBorders>
            <w:shd w:val="clear" w:color="auto" w:fill="auto"/>
            <w:noWrap/>
            <w:vAlign w:val="center"/>
            <w:hideMark/>
          </w:tcPr>
          <w:p w14:paraId="44CF2E92" w14:textId="77777777" w:rsidR="00EE0DB2" w:rsidRPr="00EE0DB2" w:rsidRDefault="00EE0DB2" w:rsidP="00EE0DB2">
            <w:pPr>
              <w:rPr>
                <w:color w:val="000000"/>
                <w:sz w:val="14"/>
                <w:szCs w:val="14"/>
                <w:lang w:eastAsia="tr-TR"/>
              </w:rPr>
            </w:pPr>
            <w:r w:rsidRPr="00EE0DB2">
              <w:rPr>
                <w:color w:val="000000"/>
                <w:sz w:val="14"/>
                <w:szCs w:val="14"/>
                <w:lang w:eastAsia="tr-TR"/>
              </w:rPr>
              <w:t>Banka Kredileri</w:t>
            </w:r>
          </w:p>
        </w:tc>
        <w:tc>
          <w:tcPr>
            <w:tcW w:w="576" w:type="dxa"/>
            <w:tcBorders>
              <w:top w:val="nil"/>
              <w:left w:val="single" w:sz="4" w:space="0" w:color="auto"/>
              <w:bottom w:val="nil"/>
              <w:right w:val="single" w:sz="4" w:space="0" w:color="auto"/>
            </w:tcBorders>
            <w:shd w:val="clear" w:color="auto" w:fill="auto"/>
            <w:vAlign w:val="center"/>
            <w:hideMark/>
          </w:tcPr>
          <w:p w14:paraId="5B3A69FC"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B00C54E" w14:textId="77777777" w:rsidR="00EE0DB2" w:rsidRPr="00EE0DB2" w:rsidRDefault="00EE0DB2" w:rsidP="00EE0DB2">
            <w:pPr>
              <w:jc w:val="right"/>
              <w:rPr>
                <w:sz w:val="14"/>
                <w:szCs w:val="14"/>
                <w:lang w:eastAsia="tr-TR"/>
              </w:rPr>
            </w:pPr>
            <w:r w:rsidRPr="00EE0DB2">
              <w:rPr>
                <w:sz w:val="14"/>
                <w:szCs w:val="14"/>
                <w:lang w:eastAsia="tr-TR"/>
              </w:rPr>
              <w:t>5,264</w:t>
            </w:r>
          </w:p>
        </w:tc>
        <w:tc>
          <w:tcPr>
            <w:tcW w:w="885" w:type="dxa"/>
            <w:tcBorders>
              <w:top w:val="nil"/>
              <w:left w:val="single" w:sz="4" w:space="0" w:color="auto"/>
              <w:bottom w:val="nil"/>
              <w:right w:val="single" w:sz="4" w:space="0" w:color="auto"/>
            </w:tcBorders>
            <w:shd w:val="clear" w:color="auto" w:fill="auto"/>
            <w:vAlign w:val="center"/>
            <w:hideMark/>
          </w:tcPr>
          <w:p w14:paraId="179E3C99" w14:textId="77777777" w:rsidR="00EE0DB2" w:rsidRPr="00EE0DB2" w:rsidRDefault="00EE0DB2" w:rsidP="00EE0DB2">
            <w:pPr>
              <w:jc w:val="right"/>
              <w:rPr>
                <w:sz w:val="14"/>
                <w:szCs w:val="14"/>
                <w:lang w:eastAsia="tr-TR"/>
              </w:rPr>
            </w:pPr>
            <w:r w:rsidRPr="00EE0DB2">
              <w:rPr>
                <w:sz w:val="14"/>
                <w:szCs w:val="14"/>
                <w:lang w:eastAsia="tr-TR"/>
              </w:rPr>
              <w:t>50,783</w:t>
            </w:r>
          </w:p>
        </w:tc>
        <w:tc>
          <w:tcPr>
            <w:tcW w:w="885" w:type="dxa"/>
            <w:tcBorders>
              <w:top w:val="nil"/>
              <w:left w:val="single" w:sz="4" w:space="0" w:color="auto"/>
              <w:bottom w:val="nil"/>
              <w:right w:val="single" w:sz="4" w:space="0" w:color="auto"/>
            </w:tcBorders>
            <w:shd w:val="clear" w:color="auto" w:fill="auto"/>
            <w:vAlign w:val="center"/>
            <w:hideMark/>
          </w:tcPr>
          <w:p w14:paraId="2C87656B" w14:textId="77777777" w:rsidR="00EE0DB2" w:rsidRPr="00EE0DB2" w:rsidRDefault="00EE0DB2" w:rsidP="00EE0DB2">
            <w:pPr>
              <w:jc w:val="right"/>
              <w:rPr>
                <w:sz w:val="14"/>
                <w:szCs w:val="14"/>
                <w:lang w:eastAsia="tr-TR"/>
              </w:rPr>
            </w:pPr>
            <w:r w:rsidRPr="00EE0DB2">
              <w:rPr>
                <w:sz w:val="14"/>
                <w:szCs w:val="14"/>
                <w:lang w:eastAsia="tr-TR"/>
              </w:rPr>
              <w:t>56,047</w:t>
            </w:r>
          </w:p>
        </w:tc>
        <w:tc>
          <w:tcPr>
            <w:tcW w:w="886" w:type="dxa"/>
            <w:tcBorders>
              <w:top w:val="nil"/>
              <w:left w:val="single" w:sz="4" w:space="0" w:color="auto"/>
              <w:bottom w:val="nil"/>
              <w:right w:val="single" w:sz="4" w:space="0" w:color="auto"/>
            </w:tcBorders>
            <w:shd w:val="clear" w:color="auto" w:fill="auto"/>
            <w:vAlign w:val="center"/>
            <w:hideMark/>
          </w:tcPr>
          <w:p w14:paraId="614A7750" w14:textId="77777777" w:rsidR="00EE0DB2" w:rsidRPr="00EE0DB2" w:rsidRDefault="00EE0DB2" w:rsidP="00EE0DB2">
            <w:pPr>
              <w:jc w:val="right"/>
              <w:rPr>
                <w:sz w:val="14"/>
                <w:szCs w:val="14"/>
                <w:lang w:eastAsia="tr-TR"/>
              </w:rPr>
            </w:pPr>
            <w:r w:rsidRPr="00EE0DB2">
              <w:rPr>
                <w:sz w:val="14"/>
                <w:szCs w:val="14"/>
                <w:lang w:eastAsia="tr-TR"/>
              </w:rPr>
              <w:t>8,546</w:t>
            </w:r>
          </w:p>
        </w:tc>
        <w:tc>
          <w:tcPr>
            <w:tcW w:w="885" w:type="dxa"/>
            <w:tcBorders>
              <w:top w:val="nil"/>
              <w:left w:val="single" w:sz="4" w:space="0" w:color="auto"/>
              <w:bottom w:val="nil"/>
              <w:right w:val="single" w:sz="4" w:space="0" w:color="auto"/>
            </w:tcBorders>
            <w:shd w:val="clear" w:color="auto" w:fill="auto"/>
            <w:vAlign w:val="center"/>
            <w:hideMark/>
          </w:tcPr>
          <w:p w14:paraId="00D00FCF" w14:textId="77777777" w:rsidR="00EE0DB2" w:rsidRPr="00EE0DB2" w:rsidRDefault="00EE0DB2" w:rsidP="00EE0DB2">
            <w:pPr>
              <w:jc w:val="right"/>
              <w:rPr>
                <w:sz w:val="14"/>
                <w:szCs w:val="14"/>
                <w:lang w:eastAsia="tr-TR"/>
              </w:rPr>
            </w:pPr>
            <w:r w:rsidRPr="00EE0DB2">
              <w:rPr>
                <w:sz w:val="14"/>
                <w:szCs w:val="14"/>
                <w:lang w:eastAsia="tr-TR"/>
              </w:rPr>
              <w:t>46,489</w:t>
            </w:r>
          </w:p>
        </w:tc>
        <w:tc>
          <w:tcPr>
            <w:tcW w:w="885" w:type="dxa"/>
            <w:tcBorders>
              <w:top w:val="nil"/>
              <w:left w:val="single" w:sz="4" w:space="0" w:color="auto"/>
              <w:bottom w:val="nil"/>
              <w:right w:val="single" w:sz="4" w:space="0" w:color="auto"/>
            </w:tcBorders>
            <w:shd w:val="clear" w:color="auto" w:fill="auto"/>
            <w:vAlign w:val="center"/>
            <w:hideMark/>
          </w:tcPr>
          <w:p w14:paraId="48FB2036" w14:textId="77777777" w:rsidR="00EE0DB2" w:rsidRPr="00EE0DB2" w:rsidRDefault="00EE0DB2" w:rsidP="00EE0DB2">
            <w:pPr>
              <w:jc w:val="right"/>
              <w:rPr>
                <w:sz w:val="14"/>
                <w:szCs w:val="14"/>
                <w:lang w:eastAsia="tr-TR"/>
              </w:rPr>
            </w:pPr>
            <w:r w:rsidRPr="00EE0DB2">
              <w:rPr>
                <w:sz w:val="14"/>
                <w:szCs w:val="14"/>
                <w:lang w:eastAsia="tr-TR"/>
              </w:rPr>
              <w:t>55,035</w:t>
            </w:r>
          </w:p>
        </w:tc>
      </w:tr>
      <w:tr w:rsidR="00EE0DB2" w:rsidRPr="00EE0DB2" w14:paraId="3786858D"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214652E7" w14:textId="77777777" w:rsidR="00EE0DB2" w:rsidRPr="00EE0DB2" w:rsidRDefault="00EE0DB2" w:rsidP="00EE0DB2">
            <w:pPr>
              <w:rPr>
                <w:color w:val="000000"/>
                <w:sz w:val="14"/>
                <w:szCs w:val="14"/>
                <w:lang w:eastAsia="tr-TR"/>
              </w:rPr>
            </w:pPr>
            <w:r w:rsidRPr="00EE0DB2">
              <w:rPr>
                <w:color w:val="000000"/>
                <w:sz w:val="14"/>
                <w:szCs w:val="14"/>
                <w:lang w:eastAsia="tr-TR"/>
              </w:rPr>
              <w:t>1.2.1.</w:t>
            </w:r>
          </w:p>
        </w:tc>
        <w:tc>
          <w:tcPr>
            <w:tcW w:w="3236" w:type="dxa"/>
            <w:tcBorders>
              <w:top w:val="nil"/>
              <w:left w:val="single" w:sz="4" w:space="0" w:color="auto"/>
              <w:bottom w:val="nil"/>
              <w:right w:val="single" w:sz="4" w:space="0" w:color="auto"/>
            </w:tcBorders>
            <w:shd w:val="clear" w:color="auto" w:fill="auto"/>
            <w:noWrap/>
            <w:vAlign w:val="center"/>
            <w:hideMark/>
          </w:tcPr>
          <w:p w14:paraId="21E71B2C" w14:textId="77777777" w:rsidR="00EE0DB2" w:rsidRPr="00EE0DB2" w:rsidRDefault="00EE0DB2" w:rsidP="00EE0DB2">
            <w:pPr>
              <w:rPr>
                <w:color w:val="000000"/>
                <w:sz w:val="14"/>
                <w:szCs w:val="14"/>
                <w:lang w:eastAsia="tr-TR"/>
              </w:rPr>
            </w:pPr>
            <w:r w:rsidRPr="00EE0DB2">
              <w:rPr>
                <w:color w:val="000000"/>
                <w:sz w:val="14"/>
                <w:szCs w:val="14"/>
                <w:lang w:eastAsia="tr-TR"/>
              </w:rPr>
              <w:t>İthalat Kabul Kredileri</w:t>
            </w:r>
          </w:p>
        </w:tc>
        <w:tc>
          <w:tcPr>
            <w:tcW w:w="576" w:type="dxa"/>
            <w:tcBorders>
              <w:top w:val="nil"/>
              <w:left w:val="single" w:sz="4" w:space="0" w:color="auto"/>
              <w:bottom w:val="nil"/>
              <w:right w:val="single" w:sz="4" w:space="0" w:color="auto"/>
            </w:tcBorders>
            <w:shd w:val="clear" w:color="auto" w:fill="auto"/>
            <w:vAlign w:val="center"/>
            <w:hideMark/>
          </w:tcPr>
          <w:p w14:paraId="3A0A23C0"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20A6281" w14:textId="77777777" w:rsidR="00EE0DB2" w:rsidRPr="00EE0DB2" w:rsidRDefault="00EE0DB2" w:rsidP="00EE0DB2">
            <w:pPr>
              <w:jc w:val="right"/>
              <w:rPr>
                <w:sz w:val="14"/>
                <w:szCs w:val="14"/>
                <w:lang w:eastAsia="tr-TR"/>
              </w:rPr>
            </w:pPr>
            <w:r w:rsidRPr="00EE0DB2">
              <w:rPr>
                <w:sz w:val="14"/>
                <w:szCs w:val="14"/>
                <w:lang w:eastAsia="tr-TR"/>
              </w:rPr>
              <w:t>5,264</w:t>
            </w:r>
          </w:p>
        </w:tc>
        <w:tc>
          <w:tcPr>
            <w:tcW w:w="885" w:type="dxa"/>
            <w:tcBorders>
              <w:top w:val="nil"/>
              <w:left w:val="single" w:sz="4" w:space="0" w:color="auto"/>
              <w:bottom w:val="nil"/>
              <w:right w:val="single" w:sz="4" w:space="0" w:color="auto"/>
            </w:tcBorders>
            <w:shd w:val="clear" w:color="auto" w:fill="auto"/>
            <w:vAlign w:val="center"/>
            <w:hideMark/>
          </w:tcPr>
          <w:p w14:paraId="5371BBF7" w14:textId="77777777" w:rsidR="00EE0DB2" w:rsidRPr="00EE0DB2" w:rsidRDefault="00EE0DB2" w:rsidP="00EE0DB2">
            <w:pPr>
              <w:jc w:val="right"/>
              <w:rPr>
                <w:sz w:val="14"/>
                <w:szCs w:val="14"/>
                <w:lang w:eastAsia="tr-TR"/>
              </w:rPr>
            </w:pPr>
            <w:r w:rsidRPr="00EE0DB2">
              <w:rPr>
                <w:sz w:val="14"/>
                <w:szCs w:val="14"/>
                <w:lang w:eastAsia="tr-TR"/>
              </w:rPr>
              <w:t>50,783</w:t>
            </w:r>
          </w:p>
        </w:tc>
        <w:tc>
          <w:tcPr>
            <w:tcW w:w="885" w:type="dxa"/>
            <w:tcBorders>
              <w:top w:val="nil"/>
              <w:left w:val="single" w:sz="4" w:space="0" w:color="auto"/>
              <w:bottom w:val="nil"/>
              <w:right w:val="single" w:sz="4" w:space="0" w:color="auto"/>
            </w:tcBorders>
            <w:shd w:val="clear" w:color="auto" w:fill="auto"/>
            <w:vAlign w:val="center"/>
            <w:hideMark/>
          </w:tcPr>
          <w:p w14:paraId="4D44C90C" w14:textId="77777777" w:rsidR="00EE0DB2" w:rsidRPr="00EE0DB2" w:rsidRDefault="00EE0DB2" w:rsidP="00EE0DB2">
            <w:pPr>
              <w:jc w:val="right"/>
              <w:rPr>
                <w:sz w:val="14"/>
                <w:szCs w:val="14"/>
                <w:lang w:eastAsia="tr-TR"/>
              </w:rPr>
            </w:pPr>
            <w:r w:rsidRPr="00EE0DB2">
              <w:rPr>
                <w:sz w:val="14"/>
                <w:szCs w:val="14"/>
                <w:lang w:eastAsia="tr-TR"/>
              </w:rPr>
              <w:t>56,047</w:t>
            </w:r>
          </w:p>
        </w:tc>
        <w:tc>
          <w:tcPr>
            <w:tcW w:w="886" w:type="dxa"/>
            <w:tcBorders>
              <w:top w:val="nil"/>
              <w:left w:val="single" w:sz="4" w:space="0" w:color="auto"/>
              <w:bottom w:val="nil"/>
              <w:right w:val="single" w:sz="4" w:space="0" w:color="auto"/>
            </w:tcBorders>
            <w:shd w:val="clear" w:color="auto" w:fill="auto"/>
            <w:vAlign w:val="center"/>
            <w:hideMark/>
          </w:tcPr>
          <w:p w14:paraId="62E1B4CA" w14:textId="77777777" w:rsidR="00EE0DB2" w:rsidRPr="00EE0DB2" w:rsidRDefault="00EE0DB2" w:rsidP="00EE0DB2">
            <w:pPr>
              <w:jc w:val="right"/>
              <w:rPr>
                <w:sz w:val="14"/>
                <w:szCs w:val="14"/>
                <w:lang w:eastAsia="tr-TR"/>
              </w:rPr>
            </w:pPr>
            <w:r w:rsidRPr="00EE0DB2">
              <w:rPr>
                <w:sz w:val="14"/>
                <w:szCs w:val="14"/>
                <w:lang w:eastAsia="tr-TR"/>
              </w:rPr>
              <w:t>8,546</w:t>
            </w:r>
          </w:p>
        </w:tc>
        <w:tc>
          <w:tcPr>
            <w:tcW w:w="885" w:type="dxa"/>
            <w:tcBorders>
              <w:top w:val="nil"/>
              <w:left w:val="single" w:sz="4" w:space="0" w:color="auto"/>
              <w:bottom w:val="nil"/>
              <w:right w:val="single" w:sz="4" w:space="0" w:color="auto"/>
            </w:tcBorders>
            <w:shd w:val="clear" w:color="auto" w:fill="auto"/>
            <w:vAlign w:val="center"/>
            <w:hideMark/>
          </w:tcPr>
          <w:p w14:paraId="07E184A6" w14:textId="77777777" w:rsidR="00EE0DB2" w:rsidRPr="00EE0DB2" w:rsidRDefault="00EE0DB2" w:rsidP="00EE0DB2">
            <w:pPr>
              <w:jc w:val="right"/>
              <w:rPr>
                <w:sz w:val="14"/>
                <w:szCs w:val="14"/>
                <w:lang w:eastAsia="tr-TR"/>
              </w:rPr>
            </w:pPr>
            <w:r w:rsidRPr="00EE0DB2">
              <w:rPr>
                <w:sz w:val="14"/>
                <w:szCs w:val="14"/>
                <w:lang w:eastAsia="tr-TR"/>
              </w:rPr>
              <w:t>46,489</w:t>
            </w:r>
          </w:p>
        </w:tc>
        <w:tc>
          <w:tcPr>
            <w:tcW w:w="885" w:type="dxa"/>
            <w:tcBorders>
              <w:top w:val="nil"/>
              <w:left w:val="single" w:sz="4" w:space="0" w:color="auto"/>
              <w:bottom w:val="nil"/>
              <w:right w:val="single" w:sz="4" w:space="0" w:color="auto"/>
            </w:tcBorders>
            <w:shd w:val="clear" w:color="auto" w:fill="auto"/>
            <w:vAlign w:val="center"/>
            <w:hideMark/>
          </w:tcPr>
          <w:p w14:paraId="71AA90EB" w14:textId="77777777" w:rsidR="00EE0DB2" w:rsidRPr="00EE0DB2" w:rsidRDefault="00EE0DB2" w:rsidP="00EE0DB2">
            <w:pPr>
              <w:jc w:val="right"/>
              <w:rPr>
                <w:sz w:val="14"/>
                <w:szCs w:val="14"/>
                <w:lang w:eastAsia="tr-TR"/>
              </w:rPr>
            </w:pPr>
            <w:r w:rsidRPr="00EE0DB2">
              <w:rPr>
                <w:sz w:val="14"/>
                <w:szCs w:val="14"/>
                <w:lang w:eastAsia="tr-TR"/>
              </w:rPr>
              <w:t>55,035</w:t>
            </w:r>
          </w:p>
        </w:tc>
      </w:tr>
      <w:tr w:rsidR="00EE0DB2" w:rsidRPr="00EE0DB2" w14:paraId="35A575DB"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3EBE4791" w14:textId="77777777" w:rsidR="00EE0DB2" w:rsidRPr="00EE0DB2" w:rsidRDefault="00EE0DB2" w:rsidP="00EE0DB2">
            <w:pPr>
              <w:rPr>
                <w:color w:val="000000"/>
                <w:sz w:val="14"/>
                <w:szCs w:val="14"/>
                <w:lang w:eastAsia="tr-TR"/>
              </w:rPr>
            </w:pPr>
            <w:r w:rsidRPr="00EE0DB2">
              <w:rPr>
                <w:color w:val="000000"/>
                <w:sz w:val="14"/>
                <w:szCs w:val="14"/>
                <w:lang w:eastAsia="tr-TR"/>
              </w:rPr>
              <w:t>1.2.2.</w:t>
            </w:r>
          </w:p>
        </w:tc>
        <w:tc>
          <w:tcPr>
            <w:tcW w:w="3236" w:type="dxa"/>
            <w:tcBorders>
              <w:top w:val="nil"/>
              <w:left w:val="single" w:sz="4" w:space="0" w:color="auto"/>
              <w:bottom w:val="nil"/>
              <w:right w:val="single" w:sz="4" w:space="0" w:color="auto"/>
            </w:tcBorders>
            <w:shd w:val="clear" w:color="auto" w:fill="auto"/>
            <w:noWrap/>
            <w:vAlign w:val="center"/>
            <w:hideMark/>
          </w:tcPr>
          <w:p w14:paraId="24CC5B3F" w14:textId="77777777" w:rsidR="00EE0DB2" w:rsidRPr="00EE0DB2" w:rsidRDefault="00EE0DB2" w:rsidP="00EE0DB2">
            <w:pPr>
              <w:rPr>
                <w:color w:val="000000"/>
                <w:sz w:val="14"/>
                <w:szCs w:val="14"/>
                <w:lang w:eastAsia="tr-TR"/>
              </w:rPr>
            </w:pPr>
            <w:r w:rsidRPr="00EE0DB2">
              <w:rPr>
                <w:color w:val="000000"/>
                <w:sz w:val="14"/>
                <w:szCs w:val="14"/>
                <w:lang w:eastAsia="tr-TR"/>
              </w:rPr>
              <w:t>Diğer Banka Kabulleri</w:t>
            </w:r>
          </w:p>
        </w:tc>
        <w:tc>
          <w:tcPr>
            <w:tcW w:w="576" w:type="dxa"/>
            <w:tcBorders>
              <w:top w:val="nil"/>
              <w:left w:val="single" w:sz="4" w:space="0" w:color="auto"/>
              <w:bottom w:val="nil"/>
              <w:right w:val="single" w:sz="4" w:space="0" w:color="auto"/>
            </w:tcBorders>
            <w:shd w:val="clear" w:color="auto" w:fill="auto"/>
            <w:vAlign w:val="center"/>
            <w:hideMark/>
          </w:tcPr>
          <w:p w14:paraId="4ED543FF"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69E6BBF"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6985D9E"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E4C716D"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55A86C8A"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958D368"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FB31E7D"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590F8FA5"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27A7213C" w14:textId="77777777" w:rsidR="00EE0DB2" w:rsidRPr="00EE0DB2" w:rsidRDefault="00EE0DB2" w:rsidP="00EE0DB2">
            <w:pPr>
              <w:rPr>
                <w:color w:val="000000"/>
                <w:sz w:val="14"/>
                <w:szCs w:val="14"/>
                <w:lang w:eastAsia="tr-TR"/>
              </w:rPr>
            </w:pPr>
            <w:r w:rsidRPr="00EE0DB2">
              <w:rPr>
                <w:color w:val="000000"/>
                <w:sz w:val="14"/>
                <w:szCs w:val="14"/>
                <w:lang w:eastAsia="tr-TR"/>
              </w:rPr>
              <w:t>1.3.</w:t>
            </w:r>
          </w:p>
        </w:tc>
        <w:tc>
          <w:tcPr>
            <w:tcW w:w="3236" w:type="dxa"/>
            <w:tcBorders>
              <w:top w:val="nil"/>
              <w:left w:val="single" w:sz="4" w:space="0" w:color="auto"/>
              <w:bottom w:val="nil"/>
              <w:right w:val="single" w:sz="4" w:space="0" w:color="auto"/>
            </w:tcBorders>
            <w:shd w:val="clear" w:color="auto" w:fill="auto"/>
            <w:noWrap/>
            <w:vAlign w:val="center"/>
            <w:hideMark/>
          </w:tcPr>
          <w:p w14:paraId="51B2C9FF" w14:textId="77777777" w:rsidR="00EE0DB2" w:rsidRPr="00EE0DB2" w:rsidRDefault="00EE0DB2" w:rsidP="00EE0DB2">
            <w:pPr>
              <w:rPr>
                <w:color w:val="000000"/>
                <w:sz w:val="14"/>
                <w:szCs w:val="14"/>
                <w:lang w:eastAsia="tr-TR"/>
              </w:rPr>
            </w:pPr>
            <w:r w:rsidRPr="00EE0DB2">
              <w:rPr>
                <w:color w:val="000000"/>
                <w:sz w:val="14"/>
                <w:szCs w:val="14"/>
                <w:lang w:eastAsia="tr-TR"/>
              </w:rPr>
              <w:t>Akreditifler</w:t>
            </w:r>
          </w:p>
        </w:tc>
        <w:tc>
          <w:tcPr>
            <w:tcW w:w="576" w:type="dxa"/>
            <w:tcBorders>
              <w:top w:val="nil"/>
              <w:left w:val="single" w:sz="4" w:space="0" w:color="auto"/>
              <w:bottom w:val="nil"/>
              <w:right w:val="single" w:sz="4" w:space="0" w:color="auto"/>
            </w:tcBorders>
            <w:shd w:val="clear" w:color="auto" w:fill="auto"/>
            <w:vAlign w:val="center"/>
            <w:hideMark/>
          </w:tcPr>
          <w:p w14:paraId="52FC1540"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BC81B62" w14:textId="77777777" w:rsidR="00EE0DB2" w:rsidRPr="00EE0DB2" w:rsidRDefault="00EE0DB2" w:rsidP="00EE0DB2">
            <w:pPr>
              <w:jc w:val="right"/>
              <w:rPr>
                <w:sz w:val="14"/>
                <w:szCs w:val="14"/>
                <w:lang w:eastAsia="tr-TR"/>
              </w:rPr>
            </w:pPr>
            <w:r w:rsidRPr="00EE0DB2">
              <w:rPr>
                <w:sz w:val="14"/>
                <w:szCs w:val="14"/>
                <w:lang w:eastAsia="tr-TR"/>
              </w:rPr>
              <w:t>16,229</w:t>
            </w:r>
          </w:p>
        </w:tc>
        <w:tc>
          <w:tcPr>
            <w:tcW w:w="885" w:type="dxa"/>
            <w:tcBorders>
              <w:top w:val="nil"/>
              <w:left w:val="single" w:sz="4" w:space="0" w:color="auto"/>
              <w:bottom w:val="nil"/>
              <w:right w:val="single" w:sz="4" w:space="0" w:color="auto"/>
            </w:tcBorders>
            <w:shd w:val="clear" w:color="auto" w:fill="auto"/>
            <w:vAlign w:val="center"/>
            <w:hideMark/>
          </w:tcPr>
          <w:p w14:paraId="36CF3DFE" w14:textId="77777777" w:rsidR="00EE0DB2" w:rsidRPr="00EE0DB2" w:rsidRDefault="00EE0DB2" w:rsidP="00EE0DB2">
            <w:pPr>
              <w:jc w:val="right"/>
              <w:rPr>
                <w:sz w:val="14"/>
                <w:szCs w:val="14"/>
                <w:lang w:eastAsia="tr-TR"/>
              </w:rPr>
            </w:pPr>
            <w:r w:rsidRPr="00EE0DB2">
              <w:rPr>
                <w:sz w:val="14"/>
                <w:szCs w:val="14"/>
                <w:lang w:eastAsia="tr-TR"/>
              </w:rPr>
              <w:t>1,632,682</w:t>
            </w:r>
          </w:p>
        </w:tc>
        <w:tc>
          <w:tcPr>
            <w:tcW w:w="885" w:type="dxa"/>
            <w:tcBorders>
              <w:top w:val="nil"/>
              <w:left w:val="single" w:sz="4" w:space="0" w:color="auto"/>
              <w:bottom w:val="nil"/>
              <w:right w:val="single" w:sz="4" w:space="0" w:color="auto"/>
            </w:tcBorders>
            <w:shd w:val="clear" w:color="auto" w:fill="auto"/>
            <w:vAlign w:val="center"/>
            <w:hideMark/>
          </w:tcPr>
          <w:p w14:paraId="478A0660" w14:textId="77777777" w:rsidR="00EE0DB2" w:rsidRPr="00EE0DB2" w:rsidRDefault="00EE0DB2" w:rsidP="00EE0DB2">
            <w:pPr>
              <w:jc w:val="right"/>
              <w:rPr>
                <w:sz w:val="14"/>
                <w:szCs w:val="14"/>
                <w:lang w:eastAsia="tr-TR"/>
              </w:rPr>
            </w:pPr>
            <w:r w:rsidRPr="00EE0DB2">
              <w:rPr>
                <w:sz w:val="14"/>
                <w:szCs w:val="14"/>
                <w:lang w:eastAsia="tr-TR"/>
              </w:rPr>
              <w:t>1,648,911</w:t>
            </w:r>
          </w:p>
        </w:tc>
        <w:tc>
          <w:tcPr>
            <w:tcW w:w="886" w:type="dxa"/>
            <w:tcBorders>
              <w:top w:val="nil"/>
              <w:left w:val="single" w:sz="4" w:space="0" w:color="auto"/>
              <w:bottom w:val="nil"/>
              <w:right w:val="single" w:sz="4" w:space="0" w:color="auto"/>
            </w:tcBorders>
            <w:shd w:val="clear" w:color="auto" w:fill="auto"/>
            <w:vAlign w:val="center"/>
            <w:hideMark/>
          </w:tcPr>
          <w:p w14:paraId="15236732" w14:textId="77777777" w:rsidR="00EE0DB2" w:rsidRPr="00EE0DB2" w:rsidRDefault="00EE0DB2" w:rsidP="00EE0DB2">
            <w:pPr>
              <w:jc w:val="right"/>
              <w:rPr>
                <w:sz w:val="14"/>
                <w:szCs w:val="14"/>
                <w:lang w:eastAsia="tr-TR"/>
              </w:rPr>
            </w:pPr>
            <w:r w:rsidRPr="00EE0DB2">
              <w:rPr>
                <w:sz w:val="14"/>
                <w:szCs w:val="14"/>
                <w:lang w:eastAsia="tr-TR"/>
              </w:rPr>
              <w:t>10,567</w:t>
            </w:r>
          </w:p>
        </w:tc>
        <w:tc>
          <w:tcPr>
            <w:tcW w:w="885" w:type="dxa"/>
            <w:tcBorders>
              <w:top w:val="nil"/>
              <w:left w:val="single" w:sz="4" w:space="0" w:color="auto"/>
              <w:bottom w:val="nil"/>
              <w:right w:val="single" w:sz="4" w:space="0" w:color="auto"/>
            </w:tcBorders>
            <w:shd w:val="clear" w:color="auto" w:fill="auto"/>
            <w:vAlign w:val="center"/>
            <w:hideMark/>
          </w:tcPr>
          <w:p w14:paraId="0A3AA63C" w14:textId="77777777" w:rsidR="00EE0DB2" w:rsidRPr="00EE0DB2" w:rsidRDefault="00EE0DB2" w:rsidP="00EE0DB2">
            <w:pPr>
              <w:jc w:val="right"/>
              <w:rPr>
                <w:sz w:val="14"/>
                <w:szCs w:val="14"/>
                <w:lang w:eastAsia="tr-TR"/>
              </w:rPr>
            </w:pPr>
            <w:r w:rsidRPr="00EE0DB2">
              <w:rPr>
                <w:sz w:val="14"/>
                <w:szCs w:val="14"/>
                <w:lang w:eastAsia="tr-TR"/>
              </w:rPr>
              <w:t>1,363,442</w:t>
            </w:r>
          </w:p>
        </w:tc>
        <w:tc>
          <w:tcPr>
            <w:tcW w:w="885" w:type="dxa"/>
            <w:tcBorders>
              <w:top w:val="nil"/>
              <w:left w:val="single" w:sz="4" w:space="0" w:color="auto"/>
              <w:bottom w:val="nil"/>
              <w:right w:val="single" w:sz="4" w:space="0" w:color="auto"/>
            </w:tcBorders>
            <w:shd w:val="clear" w:color="auto" w:fill="auto"/>
            <w:vAlign w:val="center"/>
            <w:hideMark/>
          </w:tcPr>
          <w:p w14:paraId="070800B3" w14:textId="77777777" w:rsidR="00EE0DB2" w:rsidRPr="00EE0DB2" w:rsidRDefault="00EE0DB2" w:rsidP="00EE0DB2">
            <w:pPr>
              <w:jc w:val="right"/>
              <w:rPr>
                <w:sz w:val="14"/>
                <w:szCs w:val="14"/>
                <w:lang w:eastAsia="tr-TR"/>
              </w:rPr>
            </w:pPr>
            <w:r w:rsidRPr="00EE0DB2">
              <w:rPr>
                <w:sz w:val="14"/>
                <w:szCs w:val="14"/>
                <w:lang w:eastAsia="tr-TR"/>
              </w:rPr>
              <w:t>1,374,009</w:t>
            </w:r>
          </w:p>
        </w:tc>
      </w:tr>
      <w:tr w:rsidR="00EE0DB2" w:rsidRPr="00EE0DB2" w14:paraId="62BE537F"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450684C2" w14:textId="77777777" w:rsidR="00EE0DB2" w:rsidRPr="00EE0DB2" w:rsidRDefault="00EE0DB2" w:rsidP="00EE0DB2">
            <w:pPr>
              <w:rPr>
                <w:color w:val="000000"/>
                <w:sz w:val="14"/>
                <w:szCs w:val="14"/>
                <w:lang w:eastAsia="tr-TR"/>
              </w:rPr>
            </w:pPr>
            <w:r w:rsidRPr="00EE0DB2">
              <w:rPr>
                <w:color w:val="000000"/>
                <w:sz w:val="14"/>
                <w:szCs w:val="14"/>
                <w:lang w:eastAsia="tr-TR"/>
              </w:rPr>
              <w:t>1.3.1.</w:t>
            </w:r>
          </w:p>
        </w:tc>
        <w:tc>
          <w:tcPr>
            <w:tcW w:w="3236" w:type="dxa"/>
            <w:tcBorders>
              <w:top w:val="nil"/>
              <w:left w:val="single" w:sz="4" w:space="0" w:color="auto"/>
              <w:bottom w:val="nil"/>
              <w:right w:val="single" w:sz="4" w:space="0" w:color="auto"/>
            </w:tcBorders>
            <w:shd w:val="clear" w:color="auto" w:fill="auto"/>
            <w:noWrap/>
            <w:vAlign w:val="center"/>
            <w:hideMark/>
          </w:tcPr>
          <w:p w14:paraId="261FDBD2" w14:textId="77777777" w:rsidR="00EE0DB2" w:rsidRPr="00EE0DB2" w:rsidRDefault="00EE0DB2" w:rsidP="00EE0DB2">
            <w:pPr>
              <w:rPr>
                <w:color w:val="000000"/>
                <w:sz w:val="14"/>
                <w:szCs w:val="14"/>
                <w:lang w:eastAsia="tr-TR"/>
              </w:rPr>
            </w:pPr>
            <w:r w:rsidRPr="00EE0DB2">
              <w:rPr>
                <w:color w:val="000000"/>
                <w:sz w:val="14"/>
                <w:szCs w:val="14"/>
                <w:lang w:eastAsia="tr-TR"/>
              </w:rPr>
              <w:t>Belgeli Akreditifler</w:t>
            </w:r>
          </w:p>
        </w:tc>
        <w:tc>
          <w:tcPr>
            <w:tcW w:w="576" w:type="dxa"/>
            <w:tcBorders>
              <w:top w:val="nil"/>
              <w:left w:val="single" w:sz="4" w:space="0" w:color="auto"/>
              <w:bottom w:val="nil"/>
              <w:right w:val="single" w:sz="4" w:space="0" w:color="auto"/>
            </w:tcBorders>
            <w:shd w:val="clear" w:color="auto" w:fill="auto"/>
            <w:vAlign w:val="center"/>
            <w:hideMark/>
          </w:tcPr>
          <w:p w14:paraId="2F40DCDC"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665A808"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4EC1904" w14:textId="77777777" w:rsidR="00EE0DB2" w:rsidRPr="00EE0DB2" w:rsidRDefault="00EE0DB2" w:rsidP="00EE0DB2">
            <w:pPr>
              <w:jc w:val="right"/>
              <w:rPr>
                <w:sz w:val="14"/>
                <w:szCs w:val="14"/>
                <w:lang w:eastAsia="tr-TR"/>
              </w:rPr>
            </w:pPr>
            <w:r w:rsidRPr="00EE0DB2">
              <w:rPr>
                <w:sz w:val="14"/>
                <w:szCs w:val="14"/>
                <w:lang w:eastAsia="tr-TR"/>
              </w:rPr>
              <w:t>631,870</w:t>
            </w:r>
          </w:p>
        </w:tc>
        <w:tc>
          <w:tcPr>
            <w:tcW w:w="885" w:type="dxa"/>
            <w:tcBorders>
              <w:top w:val="nil"/>
              <w:left w:val="single" w:sz="4" w:space="0" w:color="auto"/>
              <w:bottom w:val="nil"/>
              <w:right w:val="single" w:sz="4" w:space="0" w:color="auto"/>
            </w:tcBorders>
            <w:shd w:val="clear" w:color="auto" w:fill="auto"/>
            <w:vAlign w:val="center"/>
            <w:hideMark/>
          </w:tcPr>
          <w:p w14:paraId="50888DB0" w14:textId="77777777" w:rsidR="00EE0DB2" w:rsidRPr="00EE0DB2" w:rsidRDefault="00EE0DB2" w:rsidP="00EE0DB2">
            <w:pPr>
              <w:jc w:val="right"/>
              <w:rPr>
                <w:sz w:val="14"/>
                <w:szCs w:val="14"/>
                <w:lang w:eastAsia="tr-TR"/>
              </w:rPr>
            </w:pPr>
            <w:r w:rsidRPr="00EE0DB2">
              <w:rPr>
                <w:sz w:val="14"/>
                <w:szCs w:val="14"/>
                <w:lang w:eastAsia="tr-TR"/>
              </w:rPr>
              <w:t>631,870</w:t>
            </w:r>
          </w:p>
        </w:tc>
        <w:tc>
          <w:tcPr>
            <w:tcW w:w="886" w:type="dxa"/>
            <w:tcBorders>
              <w:top w:val="nil"/>
              <w:left w:val="single" w:sz="4" w:space="0" w:color="auto"/>
              <w:bottom w:val="nil"/>
              <w:right w:val="single" w:sz="4" w:space="0" w:color="auto"/>
            </w:tcBorders>
            <w:shd w:val="clear" w:color="auto" w:fill="auto"/>
            <w:vAlign w:val="center"/>
            <w:hideMark/>
          </w:tcPr>
          <w:p w14:paraId="21B06D9C" w14:textId="77777777" w:rsidR="00EE0DB2" w:rsidRPr="00EE0DB2" w:rsidRDefault="00EE0DB2" w:rsidP="00EE0DB2">
            <w:pPr>
              <w:jc w:val="right"/>
              <w:rPr>
                <w:sz w:val="14"/>
                <w:szCs w:val="14"/>
                <w:lang w:eastAsia="tr-TR"/>
              </w:rPr>
            </w:pPr>
            <w:r w:rsidRPr="00EE0DB2">
              <w:rPr>
                <w:sz w:val="14"/>
                <w:szCs w:val="14"/>
                <w:lang w:eastAsia="tr-TR"/>
              </w:rPr>
              <w:t>86</w:t>
            </w:r>
          </w:p>
        </w:tc>
        <w:tc>
          <w:tcPr>
            <w:tcW w:w="885" w:type="dxa"/>
            <w:tcBorders>
              <w:top w:val="nil"/>
              <w:left w:val="single" w:sz="4" w:space="0" w:color="auto"/>
              <w:bottom w:val="nil"/>
              <w:right w:val="single" w:sz="4" w:space="0" w:color="auto"/>
            </w:tcBorders>
            <w:shd w:val="clear" w:color="auto" w:fill="auto"/>
            <w:vAlign w:val="center"/>
            <w:hideMark/>
          </w:tcPr>
          <w:p w14:paraId="0869B6E4" w14:textId="77777777" w:rsidR="00EE0DB2" w:rsidRPr="00EE0DB2" w:rsidRDefault="00EE0DB2" w:rsidP="00EE0DB2">
            <w:pPr>
              <w:jc w:val="right"/>
              <w:rPr>
                <w:sz w:val="14"/>
                <w:szCs w:val="14"/>
                <w:lang w:eastAsia="tr-TR"/>
              </w:rPr>
            </w:pPr>
            <w:r w:rsidRPr="00EE0DB2">
              <w:rPr>
                <w:sz w:val="14"/>
                <w:szCs w:val="14"/>
                <w:lang w:eastAsia="tr-TR"/>
              </w:rPr>
              <w:t>371,829</w:t>
            </w:r>
          </w:p>
        </w:tc>
        <w:tc>
          <w:tcPr>
            <w:tcW w:w="885" w:type="dxa"/>
            <w:tcBorders>
              <w:top w:val="nil"/>
              <w:left w:val="single" w:sz="4" w:space="0" w:color="auto"/>
              <w:bottom w:val="nil"/>
              <w:right w:val="single" w:sz="4" w:space="0" w:color="auto"/>
            </w:tcBorders>
            <w:shd w:val="clear" w:color="auto" w:fill="auto"/>
            <w:vAlign w:val="center"/>
            <w:hideMark/>
          </w:tcPr>
          <w:p w14:paraId="5A9A0BAA" w14:textId="77777777" w:rsidR="00EE0DB2" w:rsidRPr="00EE0DB2" w:rsidRDefault="00EE0DB2" w:rsidP="00EE0DB2">
            <w:pPr>
              <w:jc w:val="right"/>
              <w:rPr>
                <w:sz w:val="14"/>
                <w:szCs w:val="14"/>
                <w:lang w:eastAsia="tr-TR"/>
              </w:rPr>
            </w:pPr>
            <w:r w:rsidRPr="00EE0DB2">
              <w:rPr>
                <w:sz w:val="14"/>
                <w:szCs w:val="14"/>
                <w:lang w:eastAsia="tr-TR"/>
              </w:rPr>
              <w:t>371,915</w:t>
            </w:r>
          </w:p>
        </w:tc>
      </w:tr>
      <w:tr w:rsidR="00EE0DB2" w:rsidRPr="00EE0DB2" w14:paraId="48A6EE7B"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3A9607B4" w14:textId="77777777" w:rsidR="00EE0DB2" w:rsidRPr="00EE0DB2" w:rsidRDefault="00EE0DB2" w:rsidP="00EE0DB2">
            <w:pPr>
              <w:rPr>
                <w:color w:val="000000"/>
                <w:sz w:val="14"/>
                <w:szCs w:val="14"/>
                <w:lang w:eastAsia="tr-TR"/>
              </w:rPr>
            </w:pPr>
            <w:r w:rsidRPr="00EE0DB2">
              <w:rPr>
                <w:color w:val="000000"/>
                <w:sz w:val="14"/>
                <w:szCs w:val="14"/>
                <w:lang w:eastAsia="tr-TR"/>
              </w:rPr>
              <w:t>1.3.2.</w:t>
            </w:r>
          </w:p>
        </w:tc>
        <w:tc>
          <w:tcPr>
            <w:tcW w:w="3236" w:type="dxa"/>
            <w:tcBorders>
              <w:top w:val="nil"/>
              <w:left w:val="single" w:sz="4" w:space="0" w:color="auto"/>
              <w:bottom w:val="nil"/>
              <w:right w:val="single" w:sz="4" w:space="0" w:color="auto"/>
            </w:tcBorders>
            <w:shd w:val="clear" w:color="auto" w:fill="auto"/>
            <w:noWrap/>
            <w:vAlign w:val="center"/>
            <w:hideMark/>
          </w:tcPr>
          <w:p w14:paraId="28B252B1" w14:textId="77777777" w:rsidR="00EE0DB2" w:rsidRPr="00EE0DB2" w:rsidRDefault="00EE0DB2" w:rsidP="00EE0DB2">
            <w:pPr>
              <w:rPr>
                <w:color w:val="000000"/>
                <w:sz w:val="14"/>
                <w:szCs w:val="14"/>
                <w:lang w:eastAsia="tr-TR"/>
              </w:rPr>
            </w:pPr>
            <w:r w:rsidRPr="00EE0DB2">
              <w:rPr>
                <w:color w:val="000000"/>
                <w:sz w:val="14"/>
                <w:szCs w:val="14"/>
                <w:lang w:eastAsia="tr-TR"/>
              </w:rPr>
              <w:t>Diğer Akreditifler</w:t>
            </w:r>
          </w:p>
        </w:tc>
        <w:tc>
          <w:tcPr>
            <w:tcW w:w="576" w:type="dxa"/>
            <w:tcBorders>
              <w:top w:val="nil"/>
              <w:left w:val="single" w:sz="4" w:space="0" w:color="auto"/>
              <w:bottom w:val="nil"/>
              <w:right w:val="single" w:sz="4" w:space="0" w:color="auto"/>
            </w:tcBorders>
            <w:shd w:val="clear" w:color="auto" w:fill="auto"/>
            <w:vAlign w:val="center"/>
            <w:hideMark/>
          </w:tcPr>
          <w:p w14:paraId="5C1B2305"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81B650A" w14:textId="77777777" w:rsidR="00EE0DB2" w:rsidRPr="00EE0DB2" w:rsidRDefault="00EE0DB2" w:rsidP="00EE0DB2">
            <w:pPr>
              <w:jc w:val="right"/>
              <w:rPr>
                <w:sz w:val="14"/>
                <w:szCs w:val="14"/>
                <w:lang w:eastAsia="tr-TR"/>
              </w:rPr>
            </w:pPr>
            <w:r w:rsidRPr="00EE0DB2">
              <w:rPr>
                <w:sz w:val="14"/>
                <w:szCs w:val="14"/>
                <w:lang w:eastAsia="tr-TR"/>
              </w:rPr>
              <w:t>16,229</w:t>
            </w:r>
          </w:p>
        </w:tc>
        <w:tc>
          <w:tcPr>
            <w:tcW w:w="885" w:type="dxa"/>
            <w:tcBorders>
              <w:top w:val="nil"/>
              <w:left w:val="single" w:sz="4" w:space="0" w:color="auto"/>
              <w:bottom w:val="nil"/>
              <w:right w:val="single" w:sz="4" w:space="0" w:color="auto"/>
            </w:tcBorders>
            <w:shd w:val="clear" w:color="auto" w:fill="auto"/>
            <w:vAlign w:val="center"/>
            <w:hideMark/>
          </w:tcPr>
          <w:p w14:paraId="6DFFEB86" w14:textId="77777777" w:rsidR="00EE0DB2" w:rsidRPr="00EE0DB2" w:rsidRDefault="00EE0DB2" w:rsidP="00EE0DB2">
            <w:pPr>
              <w:jc w:val="right"/>
              <w:rPr>
                <w:sz w:val="14"/>
                <w:szCs w:val="14"/>
                <w:lang w:eastAsia="tr-TR"/>
              </w:rPr>
            </w:pPr>
            <w:r w:rsidRPr="00EE0DB2">
              <w:rPr>
                <w:sz w:val="14"/>
                <w:szCs w:val="14"/>
                <w:lang w:eastAsia="tr-TR"/>
              </w:rPr>
              <w:t>1,000,812</w:t>
            </w:r>
          </w:p>
        </w:tc>
        <w:tc>
          <w:tcPr>
            <w:tcW w:w="885" w:type="dxa"/>
            <w:tcBorders>
              <w:top w:val="nil"/>
              <w:left w:val="single" w:sz="4" w:space="0" w:color="auto"/>
              <w:bottom w:val="nil"/>
              <w:right w:val="single" w:sz="4" w:space="0" w:color="auto"/>
            </w:tcBorders>
            <w:shd w:val="clear" w:color="auto" w:fill="auto"/>
            <w:vAlign w:val="center"/>
            <w:hideMark/>
          </w:tcPr>
          <w:p w14:paraId="0DFB6B0B" w14:textId="77777777" w:rsidR="00EE0DB2" w:rsidRPr="00EE0DB2" w:rsidRDefault="00EE0DB2" w:rsidP="00EE0DB2">
            <w:pPr>
              <w:jc w:val="right"/>
              <w:rPr>
                <w:sz w:val="14"/>
                <w:szCs w:val="14"/>
                <w:lang w:eastAsia="tr-TR"/>
              </w:rPr>
            </w:pPr>
            <w:r w:rsidRPr="00EE0DB2">
              <w:rPr>
                <w:sz w:val="14"/>
                <w:szCs w:val="14"/>
                <w:lang w:eastAsia="tr-TR"/>
              </w:rPr>
              <w:t>1,017,041</w:t>
            </w:r>
          </w:p>
        </w:tc>
        <w:tc>
          <w:tcPr>
            <w:tcW w:w="886" w:type="dxa"/>
            <w:tcBorders>
              <w:top w:val="nil"/>
              <w:left w:val="single" w:sz="4" w:space="0" w:color="auto"/>
              <w:bottom w:val="nil"/>
              <w:right w:val="single" w:sz="4" w:space="0" w:color="auto"/>
            </w:tcBorders>
            <w:shd w:val="clear" w:color="auto" w:fill="auto"/>
            <w:vAlign w:val="center"/>
            <w:hideMark/>
          </w:tcPr>
          <w:p w14:paraId="0146461D" w14:textId="77777777" w:rsidR="00EE0DB2" w:rsidRPr="00EE0DB2" w:rsidRDefault="00EE0DB2" w:rsidP="00EE0DB2">
            <w:pPr>
              <w:jc w:val="right"/>
              <w:rPr>
                <w:sz w:val="14"/>
                <w:szCs w:val="14"/>
                <w:lang w:eastAsia="tr-TR"/>
              </w:rPr>
            </w:pPr>
            <w:r w:rsidRPr="00EE0DB2">
              <w:rPr>
                <w:sz w:val="14"/>
                <w:szCs w:val="14"/>
                <w:lang w:eastAsia="tr-TR"/>
              </w:rPr>
              <w:t>10,481</w:t>
            </w:r>
          </w:p>
        </w:tc>
        <w:tc>
          <w:tcPr>
            <w:tcW w:w="885" w:type="dxa"/>
            <w:tcBorders>
              <w:top w:val="nil"/>
              <w:left w:val="single" w:sz="4" w:space="0" w:color="auto"/>
              <w:bottom w:val="nil"/>
              <w:right w:val="single" w:sz="4" w:space="0" w:color="auto"/>
            </w:tcBorders>
            <w:shd w:val="clear" w:color="auto" w:fill="auto"/>
            <w:vAlign w:val="center"/>
            <w:hideMark/>
          </w:tcPr>
          <w:p w14:paraId="7FFC7417" w14:textId="77777777" w:rsidR="00EE0DB2" w:rsidRPr="00EE0DB2" w:rsidRDefault="00EE0DB2" w:rsidP="00EE0DB2">
            <w:pPr>
              <w:jc w:val="right"/>
              <w:rPr>
                <w:sz w:val="14"/>
                <w:szCs w:val="14"/>
                <w:lang w:eastAsia="tr-TR"/>
              </w:rPr>
            </w:pPr>
            <w:r w:rsidRPr="00EE0DB2">
              <w:rPr>
                <w:sz w:val="14"/>
                <w:szCs w:val="14"/>
                <w:lang w:eastAsia="tr-TR"/>
              </w:rPr>
              <w:t>991,613</w:t>
            </w:r>
          </w:p>
        </w:tc>
        <w:tc>
          <w:tcPr>
            <w:tcW w:w="885" w:type="dxa"/>
            <w:tcBorders>
              <w:top w:val="nil"/>
              <w:left w:val="single" w:sz="4" w:space="0" w:color="auto"/>
              <w:bottom w:val="nil"/>
              <w:right w:val="single" w:sz="4" w:space="0" w:color="auto"/>
            </w:tcBorders>
            <w:shd w:val="clear" w:color="auto" w:fill="auto"/>
            <w:vAlign w:val="center"/>
            <w:hideMark/>
          </w:tcPr>
          <w:p w14:paraId="12FE80FC" w14:textId="77777777" w:rsidR="00EE0DB2" w:rsidRPr="00EE0DB2" w:rsidRDefault="00EE0DB2" w:rsidP="00EE0DB2">
            <w:pPr>
              <w:jc w:val="right"/>
              <w:rPr>
                <w:sz w:val="14"/>
                <w:szCs w:val="14"/>
                <w:lang w:eastAsia="tr-TR"/>
              </w:rPr>
            </w:pPr>
            <w:r w:rsidRPr="00EE0DB2">
              <w:rPr>
                <w:sz w:val="14"/>
                <w:szCs w:val="14"/>
                <w:lang w:eastAsia="tr-TR"/>
              </w:rPr>
              <w:t>1,002,094</w:t>
            </w:r>
          </w:p>
        </w:tc>
      </w:tr>
      <w:tr w:rsidR="00EE0DB2" w:rsidRPr="00EE0DB2" w14:paraId="1FC17C1C"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4717C198" w14:textId="77777777" w:rsidR="00EE0DB2" w:rsidRPr="00EE0DB2" w:rsidRDefault="00EE0DB2" w:rsidP="00EE0DB2">
            <w:pPr>
              <w:rPr>
                <w:color w:val="000000"/>
                <w:sz w:val="14"/>
                <w:szCs w:val="14"/>
                <w:lang w:eastAsia="tr-TR"/>
              </w:rPr>
            </w:pPr>
            <w:r w:rsidRPr="00EE0DB2">
              <w:rPr>
                <w:color w:val="000000"/>
                <w:sz w:val="14"/>
                <w:szCs w:val="14"/>
                <w:lang w:eastAsia="tr-TR"/>
              </w:rPr>
              <w:t>1.4.</w:t>
            </w:r>
          </w:p>
        </w:tc>
        <w:tc>
          <w:tcPr>
            <w:tcW w:w="3236" w:type="dxa"/>
            <w:tcBorders>
              <w:top w:val="nil"/>
              <w:left w:val="single" w:sz="4" w:space="0" w:color="auto"/>
              <w:bottom w:val="nil"/>
              <w:right w:val="single" w:sz="4" w:space="0" w:color="auto"/>
            </w:tcBorders>
            <w:shd w:val="clear" w:color="auto" w:fill="auto"/>
            <w:noWrap/>
            <w:vAlign w:val="center"/>
            <w:hideMark/>
          </w:tcPr>
          <w:p w14:paraId="756AC70C" w14:textId="77777777" w:rsidR="00EE0DB2" w:rsidRPr="00EE0DB2" w:rsidRDefault="00EE0DB2" w:rsidP="00EE0DB2">
            <w:pPr>
              <w:rPr>
                <w:color w:val="000000"/>
                <w:sz w:val="14"/>
                <w:szCs w:val="14"/>
                <w:lang w:eastAsia="tr-TR"/>
              </w:rPr>
            </w:pPr>
            <w:r w:rsidRPr="00EE0DB2">
              <w:rPr>
                <w:color w:val="000000"/>
                <w:sz w:val="14"/>
                <w:szCs w:val="14"/>
                <w:lang w:eastAsia="tr-TR"/>
              </w:rPr>
              <w:t>Garanti Verilen Prefinansmanlar</w:t>
            </w:r>
          </w:p>
        </w:tc>
        <w:tc>
          <w:tcPr>
            <w:tcW w:w="576" w:type="dxa"/>
            <w:tcBorders>
              <w:top w:val="nil"/>
              <w:left w:val="single" w:sz="4" w:space="0" w:color="auto"/>
              <w:bottom w:val="nil"/>
              <w:right w:val="single" w:sz="4" w:space="0" w:color="auto"/>
            </w:tcBorders>
            <w:shd w:val="clear" w:color="auto" w:fill="auto"/>
            <w:vAlign w:val="center"/>
            <w:hideMark/>
          </w:tcPr>
          <w:p w14:paraId="1C63079B"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E277CAF"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BE701F7"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8434A02"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687AEA24"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E7568DA"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944641E"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725C5068"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5CC31443" w14:textId="77777777" w:rsidR="00EE0DB2" w:rsidRPr="00EE0DB2" w:rsidRDefault="00EE0DB2" w:rsidP="00EE0DB2">
            <w:pPr>
              <w:rPr>
                <w:color w:val="000000"/>
                <w:sz w:val="14"/>
                <w:szCs w:val="14"/>
                <w:lang w:eastAsia="tr-TR"/>
              </w:rPr>
            </w:pPr>
            <w:r w:rsidRPr="00EE0DB2">
              <w:rPr>
                <w:color w:val="000000"/>
                <w:sz w:val="14"/>
                <w:szCs w:val="14"/>
                <w:lang w:eastAsia="tr-TR"/>
              </w:rPr>
              <w:t>1.5.</w:t>
            </w:r>
          </w:p>
        </w:tc>
        <w:tc>
          <w:tcPr>
            <w:tcW w:w="3236" w:type="dxa"/>
            <w:tcBorders>
              <w:top w:val="nil"/>
              <w:left w:val="single" w:sz="4" w:space="0" w:color="auto"/>
              <w:bottom w:val="nil"/>
              <w:right w:val="single" w:sz="4" w:space="0" w:color="auto"/>
            </w:tcBorders>
            <w:shd w:val="clear" w:color="auto" w:fill="auto"/>
            <w:noWrap/>
            <w:vAlign w:val="center"/>
            <w:hideMark/>
          </w:tcPr>
          <w:p w14:paraId="42ED433A" w14:textId="77777777" w:rsidR="00EE0DB2" w:rsidRPr="00EE0DB2" w:rsidRDefault="00EE0DB2" w:rsidP="00EE0DB2">
            <w:pPr>
              <w:rPr>
                <w:color w:val="000000"/>
                <w:sz w:val="14"/>
                <w:szCs w:val="14"/>
                <w:lang w:eastAsia="tr-TR"/>
              </w:rPr>
            </w:pPr>
            <w:r w:rsidRPr="00EE0DB2">
              <w:rPr>
                <w:color w:val="000000"/>
                <w:sz w:val="14"/>
                <w:szCs w:val="14"/>
                <w:lang w:eastAsia="tr-TR"/>
              </w:rPr>
              <w:t>Cirolar</w:t>
            </w:r>
          </w:p>
        </w:tc>
        <w:tc>
          <w:tcPr>
            <w:tcW w:w="576" w:type="dxa"/>
            <w:tcBorders>
              <w:top w:val="nil"/>
              <w:left w:val="single" w:sz="4" w:space="0" w:color="auto"/>
              <w:bottom w:val="nil"/>
              <w:right w:val="single" w:sz="4" w:space="0" w:color="auto"/>
            </w:tcBorders>
            <w:shd w:val="clear" w:color="auto" w:fill="auto"/>
            <w:vAlign w:val="center"/>
            <w:hideMark/>
          </w:tcPr>
          <w:p w14:paraId="2338EFB3"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A506185"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8BA0DB2"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4AC5275"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11E448D2"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DCA4C91"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4E8644A"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3142AAF0"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5A85AAB4" w14:textId="77777777" w:rsidR="00EE0DB2" w:rsidRPr="00EE0DB2" w:rsidRDefault="00EE0DB2" w:rsidP="00EE0DB2">
            <w:pPr>
              <w:rPr>
                <w:color w:val="000000"/>
                <w:sz w:val="14"/>
                <w:szCs w:val="14"/>
                <w:lang w:eastAsia="tr-TR"/>
              </w:rPr>
            </w:pPr>
            <w:r w:rsidRPr="00EE0DB2">
              <w:rPr>
                <w:color w:val="000000"/>
                <w:sz w:val="14"/>
                <w:szCs w:val="14"/>
                <w:lang w:eastAsia="tr-TR"/>
              </w:rPr>
              <w:t>1.5.1.</w:t>
            </w:r>
          </w:p>
        </w:tc>
        <w:tc>
          <w:tcPr>
            <w:tcW w:w="3236" w:type="dxa"/>
            <w:tcBorders>
              <w:top w:val="nil"/>
              <w:left w:val="single" w:sz="4" w:space="0" w:color="auto"/>
              <w:bottom w:val="nil"/>
              <w:right w:val="single" w:sz="4" w:space="0" w:color="auto"/>
            </w:tcBorders>
            <w:shd w:val="clear" w:color="auto" w:fill="auto"/>
            <w:noWrap/>
            <w:vAlign w:val="center"/>
            <w:hideMark/>
          </w:tcPr>
          <w:p w14:paraId="54F29E38" w14:textId="77777777" w:rsidR="00EE0DB2" w:rsidRPr="00EE0DB2" w:rsidRDefault="00EE0DB2" w:rsidP="00EE0DB2">
            <w:pPr>
              <w:rPr>
                <w:color w:val="000000"/>
                <w:sz w:val="14"/>
                <w:szCs w:val="14"/>
                <w:lang w:eastAsia="tr-TR"/>
              </w:rPr>
            </w:pPr>
            <w:r w:rsidRPr="00EE0DB2">
              <w:rPr>
                <w:color w:val="000000"/>
                <w:sz w:val="14"/>
                <w:szCs w:val="14"/>
                <w:lang w:eastAsia="tr-TR"/>
              </w:rPr>
              <w:t>T.C. Merkez Bankasına Cirolar</w:t>
            </w:r>
          </w:p>
        </w:tc>
        <w:tc>
          <w:tcPr>
            <w:tcW w:w="576" w:type="dxa"/>
            <w:tcBorders>
              <w:top w:val="nil"/>
              <w:left w:val="single" w:sz="4" w:space="0" w:color="auto"/>
              <w:bottom w:val="nil"/>
              <w:right w:val="single" w:sz="4" w:space="0" w:color="auto"/>
            </w:tcBorders>
            <w:shd w:val="clear" w:color="auto" w:fill="auto"/>
            <w:vAlign w:val="center"/>
            <w:hideMark/>
          </w:tcPr>
          <w:p w14:paraId="7AACBA95"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F7EEA14"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2E6D629"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CB2B503"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6ED73749"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170EDD2"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4606654"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2105B6EC"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65A48DEE" w14:textId="77777777" w:rsidR="00EE0DB2" w:rsidRPr="00EE0DB2" w:rsidRDefault="00EE0DB2" w:rsidP="00EE0DB2">
            <w:pPr>
              <w:rPr>
                <w:color w:val="000000"/>
                <w:sz w:val="14"/>
                <w:szCs w:val="14"/>
                <w:lang w:eastAsia="tr-TR"/>
              </w:rPr>
            </w:pPr>
            <w:r w:rsidRPr="00EE0DB2">
              <w:rPr>
                <w:color w:val="000000"/>
                <w:sz w:val="14"/>
                <w:szCs w:val="14"/>
                <w:lang w:eastAsia="tr-TR"/>
              </w:rPr>
              <w:t>1.5.2.</w:t>
            </w:r>
          </w:p>
        </w:tc>
        <w:tc>
          <w:tcPr>
            <w:tcW w:w="3236" w:type="dxa"/>
            <w:tcBorders>
              <w:top w:val="nil"/>
              <w:left w:val="single" w:sz="4" w:space="0" w:color="auto"/>
              <w:bottom w:val="nil"/>
              <w:right w:val="single" w:sz="4" w:space="0" w:color="auto"/>
            </w:tcBorders>
            <w:shd w:val="clear" w:color="auto" w:fill="auto"/>
            <w:noWrap/>
            <w:vAlign w:val="center"/>
            <w:hideMark/>
          </w:tcPr>
          <w:p w14:paraId="74E5CE02" w14:textId="77777777" w:rsidR="00EE0DB2" w:rsidRPr="00EE0DB2" w:rsidRDefault="00EE0DB2" w:rsidP="00EE0DB2">
            <w:pPr>
              <w:rPr>
                <w:color w:val="000000"/>
                <w:sz w:val="14"/>
                <w:szCs w:val="14"/>
                <w:lang w:eastAsia="tr-TR"/>
              </w:rPr>
            </w:pPr>
            <w:r w:rsidRPr="00EE0DB2">
              <w:rPr>
                <w:color w:val="000000"/>
                <w:sz w:val="14"/>
                <w:szCs w:val="14"/>
                <w:lang w:eastAsia="tr-TR"/>
              </w:rPr>
              <w:t>Diğer Cirolar</w:t>
            </w:r>
          </w:p>
        </w:tc>
        <w:tc>
          <w:tcPr>
            <w:tcW w:w="576" w:type="dxa"/>
            <w:tcBorders>
              <w:top w:val="nil"/>
              <w:left w:val="single" w:sz="4" w:space="0" w:color="auto"/>
              <w:bottom w:val="nil"/>
              <w:right w:val="single" w:sz="4" w:space="0" w:color="auto"/>
            </w:tcBorders>
            <w:shd w:val="clear" w:color="auto" w:fill="auto"/>
            <w:vAlign w:val="center"/>
            <w:hideMark/>
          </w:tcPr>
          <w:p w14:paraId="2F1D07CE"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7C14507"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C81D332"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B8FDABD"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18C759A2"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2C64E94"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CC15C7A"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6C518E0E"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73474649" w14:textId="77777777" w:rsidR="00EE0DB2" w:rsidRPr="00EE0DB2" w:rsidRDefault="00EE0DB2" w:rsidP="00EE0DB2">
            <w:pPr>
              <w:rPr>
                <w:color w:val="000000"/>
                <w:sz w:val="14"/>
                <w:szCs w:val="14"/>
                <w:lang w:eastAsia="tr-TR"/>
              </w:rPr>
            </w:pPr>
            <w:r w:rsidRPr="00EE0DB2">
              <w:rPr>
                <w:color w:val="000000"/>
                <w:sz w:val="14"/>
                <w:szCs w:val="14"/>
                <w:lang w:eastAsia="tr-TR"/>
              </w:rPr>
              <w:t>1.6.</w:t>
            </w:r>
          </w:p>
        </w:tc>
        <w:tc>
          <w:tcPr>
            <w:tcW w:w="3236" w:type="dxa"/>
            <w:tcBorders>
              <w:top w:val="nil"/>
              <w:left w:val="single" w:sz="4" w:space="0" w:color="auto"/>
              <w:bottom w:val="nil"/>
              <w:right w:val="single" w:sz="4" w:space="0" w:color="auto"/>
            </w:tcBorders>
            <w:shd w:val="clear" w:color="auto" w:fill="auto"/>
            <w:noWrap/>
            <w:vAlign w:val="center"/>
            <w:hideMark/>
          </w:tcPr>
          <w:p w14:paraId="10605476" w14:textId="77777777" w:rsidR="00EE0DB2" w:rsidRPr="00EE0DB2" w:rsidRDefault="00EE0DB2" w:rsidP="00EE0DB2">
            <w:pPr>
              <w:rPr>
                <w:color w:val="000000"/>
                <w:sz w:val="14"/>
                <w:szCs w:val="14"/>
                <w:lang w:eastAsia="tr-TR"/>
              </w:rPr>
            </w:pPr>
            <w:r w:rsidRPr="00EE0DB2">
              <w:rPr>
                <w:color w:val="000000"/>
                <w:sz w:val="14"/>
                <w:szCs w:val="14"/>
                <w:lang w:eastAsia="tr-TR"/>
              </w:rPr>
              <w:t>Diğer Garantilerimizden</w:t>
            </w:r>
          </w:p>
        </w:tc>
        <w:tc>
          <w:tcPr>
            <w:tcW w:w="576" w:type="dxa"/>
            <w:tcBorders>
              <w:top w:val="nil"/>
              <w:left w:val="single" w:sz="4" w:space="0" w:color="auto"/>
              <w:bottom w:val="nil"/>
              <w:right w:val="single" w:sz="4" w:space="0" w:color="auto"/>
            </w:tcBorders>
            <w:shd w:val="clear" w:color="auto" w:fill="auto"/>
            <w:vAlign w:val="center"/>
            <w:hideMark/>
          </w:tcPr>
          <w:p w14:paraId="5A94E2BF"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CCB95DA" w14:textId="77777777" w:rsidR="00EE0DB2" w:rsidRPr="00EE0DB2" w:rsidRDefault="00EE0DB2" w:rsidP="00EE0DB2">
            <w:pPr>
              <w:jc w:val="right"/>
              <w:rPr>
                <w:sz w:val="14"/>
                <w:szCs w:val="14"/>
                <w:lang w:eastAsia="tr-TR"/>
              </w:rPr>
            </w:pPr>
            <w:r w:rsidRPr="00EE0DB2">
              <w:rPr>
                <w:sz w:val="14"/>
                <w:szCs w:val="14"/>
                <w:lang w:eastAsia="tr-TR"/>
              </w:rPr>
              <w:t>446,585</w:t>
            </w:r>
          </w:p>
        </w:tc>
        <w:tc>
          <w:tcPr>
            <w:tcW w:w="885" w:type="dxa"/>
            <w:tcBorders>
              <w:top w:val="nil"/>
              <w:left w:val="single" w:sz="4" w:space="0" w:color="auto"/>
              <w:bottom w:val="nil"/>
              <w:right w:val="single" w:sz="4" w:space="0" w:color="auto"/>
            </w:tcBorders>
            <w:shd w:val="clear" w:color="auto" w:fill="auto"/>
            <w:vAlign w:val="center"/>
            <w:hideMark/>
          </w:tcPr>
          <w:p w14:paraId="49408537" w14:textId="77777777" w:rsidR="00EE0DB2" w:rsidRPr="00EE0DB2" w:rsidRDefault="00EE0DB2" w:rsidP="00EE0DB2">
            <w:pPr>
              <w:jc w:val="right"/>
              <w:rPr>
                <w:sz w:val="14"/>
                <w:szCs w:val="14"/>
                <w:lang w:eastAsia="tr-TR"/>
              </w:rPr>
            </w:pPr>
            <w:r w:rsidRPr="00EE0DB2">
              <w:rPr>
                <w:sz w:val="14"/>
                <w:szCs w:val="14"/>
                <w:lang w:eastAsia="tr-TR"/>
              </w:rPr>
              <w:t>97,823</w:t>
            </w:r>
          </w:p>
        </w:tc>
        <w:tc>
          <w:tcPr>
            <w:tcW w:w="885" w:type="dxa"/>
            <w:tcBorders>
              <w:top w:val="nil"/>
              <w:left w:val="single" w:sz="4" w:space="0" w:color="auto"/>
              <w:bottom w:val="nil"/>
              <w:right w:val="single" w:sz="4" w:space="0" w:color="auto"/>
            </w:tcBorders>
            <w:shd w:val="clear" w:color="auto" w:fill="auto"/>
            <w:vAlign w:val="center"/>
            <w:hideMark/>
          </w:tcPr>
          <w:p w14:paraId="4B437196" w14:textId="77777777" w:rsidR="00EE0DB2" w:rsidRPr="00EE0DB2" w:rsidRDefault="00EE0DB2" w:rsidP="00EE0DB2">
            <w:pPr>
              <w:jc w:val="right"/>
              <w:rPr>
                <w:sz w:val="14"/>
                <w:szCs w:val="14"/>
                <w:lang w:eastAsia="tr-TR"/>
              </w:rPr>
            </w:pPr>
            <w:r w:rsidRPr="00EE0DB2">
              <w:rPr>
                <w:sz w:val="14"/>
                <w:szCs w:val="14"/>
                <w:lang w:eastAsia="tr-TR"/>
              </w:rPr>
              <w:t>544,408</w:t>
            </w:r>
          </w:p>
        </w:tc>
        <w:tc>
          <w:tcPr>
            <w:tcW w:w="886" w:type="dxa"/>
            <w:tcBorders>
              <w:top w:val="nil"/>
              <w:left w:val="single" w:sz="4" w:space="0" w:color="auto"/>
              <w:bottom w:val="nil"/>
              <w:right w:val="single" w:sz="4" w:space="0" w:color="auto"/>
            </w:tcBorders>
            <w:shd w:val="clear" w:color="auto" w:fill="auto"/>
            <w:vAlign w:val="center"/>
            <w:hideMark/>
          </w:tcPr>
          <w:p w14:paraId="756962D4" w14:textId="77777777" w:rsidR="00EE0DB2" w:rsidRPr="00EE0DB2" w:rsidRDefault="00EE0DB2" w:rsidP="00EE0DB2">
            <w:pPr>
              <w:jc w:val="right"/>
              <w:rPr>
                <w:sz w:val="14"/>
                <w:szCs w:val="14"/>
                <w:lang w:eastAsia="tr-TR"/>
              </w:rPr>
            </w:pPr>
            <w:r w:rsidRPr="00EE0DB2">
              <w:rPr>
                <w:sz w:val="14"/>
                <w:szCs w:val="14"/>
                <w:lang w:eastAsia="tr-TR"/>
              </w:rPr>
              <w:t>327,284</w:t>
            </w:r>
          </w:p>
        </w:tc>
        <w:tc>
          <w:tcPr>
            <w:tcW w:w="885" w:type="dxa"/>
            <w:tcBorders>
              <w:top w:val="nil"/>
              <w:left w:val="single" w:sz="4" w:space="0" w:color="auto"/>
              <w:bottom w:val="nil"/>
              <w:right w:val="single" w:sz="4" w:space="0" w:color="auto"/>
            </w:tcBorders>
            <w:shd w:val="clear" w:color="auto" w:fill="auto"/>
            <w:vAlign w:val="center"/>
            <w:hideMark/>
          </w:tcPr>
          <w:p w14:paraId="670148F6" w14:textId="77777777" w:rsidR="00EE0DB2" w:rsidRPr="00EE0DB2" w:rsidRDefault="00EE0DB2" w:rsidP="00EE0DB2">
            <w:pPr>
              <w:jc w:val="right"/>
              <w:rPr>
                <w:sz w:val="14"/>
                <w:szCs w:val="14"/>
                <w:lang w:eastAsia="tr-TR"/>
              </w:rPr>
            </w:pPr>
            <w:r w:rsidRPr="00EE0DB2">
              <w:rPr>
                <w:sz w:val="14"/>
                <w:szCs w:val="14"/>
                <w:lang w:eastAsia="tr-TR"/>
              </w:rPr>
              <w:t>138,308</w:t>
            </w:r>
          </w:p>
        </w:tc>
        <w:tc>
          <w:tcPr>
            <w:tcW w:w="885" w:type="dxa"/>
            <w:tcBorders>
              <w:top w:val="nil"/>
              <w:left w:val="single" w:sz="4" w:space="0" w:color="auto"/>
              <w:bottom w:val="nil"/>
              <w:right w:val="single" w:sz="4" w:space="0" w:color="auto"/>
            </w:tcBorders>
            <w:shd w:val="clear" w:color="auto" w:fill="auto"/>
            <w:vAlign w:val="center"/>
            <w:hideMark/>
          </w:tcPr>
          <w:p w14:paraId="3758FF93" w14:textId="77777777" w:rsidR="00EE0DB2" w:rsidRPr="00EE0DB2" w:rsidRDefault="00EE0DB2" w:rsidP="00EE0DB2">
            <w:pPr>
              <w:jc w:val="right"/>
              <w:rPr>
                <w:sz w:val="14"/>
                <w:szCs w:val="14"/>
                <w:lang w:eastAsia="tr-TR"/>
              </w:rPr>
            </w:pPr>
            <w:r w:rsidRPr="00EE0DB2">
              <w:rPr>
                <w:sz w:val="14"/>
                <w:szCs w:val="14"/>
                <w:lang w:eastAsia="tr-TR"/>
              </w:rPr>
              <w:t>465,592</w:t>
            </w:r>
          </w:p>
        </w:tc>
      </w:tr>
      <w:tr w:rsidR="00EE0DB2" w:rsidRPr="00EE0DB2" w14:paraId="290CD3DF"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0FC39F42" w14:textId="77777777" w:rsidR="00EE0DB2" w:rsidRPr="00EE0DB2" w:rsidRDefault="00EE0DB2" w:rsidP="00EE0DB2">
            <w:pPr>
              <w:rPr>
                <w:color w:val="000000"/>
                <w:sz w:val="14"/>
                <w:szCs w:val="14"/>
                <w:lang w:eastAsia="tr-TR"/>
              </w:rPr>
            </w:pPr>
            <w:r w:rsidRPr="00EE0DB2">
              <w:rPr>
                <w:color w:val="000000"/>
                <w:sz w:val="14"/>
                <w:szCs w:val="14"/>
                <w:lang w:eastAsia="tr-TR"/>
              </w:rPr>
              <w:t>1.7.</w:t>
            </w:r>
          </w:p>
        </w:tc>
        <w:tc>
          <w:tcPr>
            <w:tcW w:w="3236" w:type="dxa"/>
            <w:tcBorders>
              <w:top w:val="nil"/>
              <w:left w:val="single" w:sz="4" w:space="0" w:color="auto"/>
              <w:bottom w:val="nil"/>
              <w:right w:val="single" w:sz="4" w:space="0" w:color="auto"/>
            </w:tcBorders>
            <w:shd w:val="clear" w:color="auto" w:fill="auto"/>
            <w:noWrap/>
            <w:vAlign w:val="center"/>
            <w:hideMark/>
          </w:tcPr>
          <w:p w14:paraId="5EC1574E" w14:textId="77777777" w:rsidR="00EE0DB2" w:rsidRPr="00EE0DB2" w:rsidRDefault="00EE0DB2" w:rsidP="00EE0DB2">
            <w:pPr>
              <w:rPr>
                <w:color w:val="000000"/>
                <w:sz w:val="14"/>
                <w:szCs w:val="14"/>
                <w:lang w:eastAsia="tr-TR"/>
              </w:rPr>
            </w:pPr>
            <w:r w:rsidRPr="00EE0DB2">
              <w:rPr>
                <w:color w:val="000000"/>
                <w:sz w:val="14"/>
                <w:szCs w:val="14"/>
                <w:lang w:eastAsia="tr-TR"/>
              </w:rPr>
              <w:t>Diğer Kefaletlerimizden</w:t>
            </w:r>
          </w:p>
        </w:tc>
        <w:tc>
          <w:tcPr>
            <w:tcW w:w="576" w:type="dxa"/>
            <w:tcBorders>
              <w:top w:val="nil"/>
              <w:left w:val="single" w:sz="4" w:space="0" w:color="auto"/>
              <w:bottom w:val="nil"/>
              <w:right w:val="single" w:sz="4" w:space="0" w:color="auto"/>
            </w:tcBorders>
            <w:shd w:val="clear" w:color="auto" w:fill="auto"/>
            <w:vAlign w:val="center"/>
            <w:hideMark/>
          </w:tcPr>
          <w:p w14:paraId="3A3F2B3F"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46AD68C"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1B5775A"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9B07DE8"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2DAE854"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30F9716"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8240627"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52632BBD"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6C28D359"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II.</w:t>
            </w:r>
          </w:p>
        </w:tc>
        <w:tc>
          <w:tcPr>
            <w:tcW w:w="3236" w:type="dxa"/>
            <w:tcBorders>
              <w:top w:val="nil"/>
              <w:left w:val="single" w:sz="4" w:space="0" w:color="auto"/>
              <w:bottom w:val="nil"/>
              <w:right w:val="single" w:sz="4" w:space="0" w:color="auto"/>
            </w:tcBorders>
            <w:shd w:val="clear" w:color="auto" w:fill="auto"/>
            <w:noWrap/>
            <w:vAlign w:val="center"/>
            <w:hideMark/>
          </w:tcPr>
          <w:p w14:paraId="7540E627"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TAAHHÜTLER</w:t>
            </w:r>
          </w:p>
        </w:tc>
        <w:tc>
          <w:tcPr>
            <w:tcW w:w="576" w:type="dxa"/>
            <w:tcBorders>
              <w:top w:val="nil"/>
              <w:left w:val="single" w:sz="4" w:space="0" w:color="auto"/>
              <w:bottom w:val="nil"/>
              <w:right w:val="single" w:sz="4" w:space="0" w:color="auto"/>
            </w:tcBorders>
            <w:shd w:val="clear" w:color="auto" w:fill="auto"/>
            <w:vAlign w:val="center"/>
            <w:hideMark/>
          </w:tcPr>
          <w:p w14:paraId="55CA6ADD" w14:textId="77777777" w:rsidR="00EE0DB2" w:rsidRPr="00EE0DB2" w:rsidRDefault="00EE0DB2" w:rsidP="00EE0DB2">
            <w:pPr>
              <w:jc w:val="right"/>
              <w:rPr>
                <w:b/>
                <w:bCs/>
                <w:sz w:val="14"/>
                <w:szCs w:val="14"/>
                <w:lang w:eastAsia="tr-TR"/>
              </w:rPr>
            </w:pPr>
            <w:r w:rsidRPr="00EE0DB2">
              <w:rPr>
                <w:b/>
                <w:bCs/>
                <w:sz w:val="14"/>
                <w:szCs w:val="14"/>
                <w:lang w:eastAsia="tr-TR"/>
              </w:rPr>
              <w:t>(5.3.1.)</w:t>
            </w:r>
          </w:p>
        </w:tc>
        <w:tc>
          <w:tcPr>
            <w:tcW w:w="886" w:type="dxa"/>
            <w:tcBorders>
              <w:top w:val="nil"/>
              <w:left w:val="single" w:sz="4" w:space="0" w:color="auto"/>
              <w:bottom w:val="nil"/>
              <w:right w:val="single" w:sz="4" w:space="0" w:color="auto"/>
            </w:tcBorders>
            <w:shd w:val="clear" w:color="auto" w:fill="auto"/>
            <w:vAlign w:val="center"/>
            <w:hideMark/>
          </w:tcPr>
          <w:p w14:paraId="51729480" w14:textId="77777777" w:rsidR="00EE0DB2" w:rsidRPr="00EE0DB2" w:rsidRDefault="00EE0DB2" w:rsidP="00EE0DB2">
            <w:pPr>
              <w:jc w:val="right"/>
              <w:rPr>
                <w:b/>
                <w:bCs/>
                <w:sz w:val="14"/>
                <w:szCs w:val="14"/>
                <w:lang w:eastAsia="tr-TR"/>
              </w:rPr>
            </w:pPr>
            <w:r w:rsidRPr="00EE0DB2">
              <w:rPr>
                <w:b/>
                <w:bCs/>
                <w:sz w:val="14"/>
                <w:szCs w:val="14"/>
                <w:lang w:eastAsia="tr-TR"/>
              </w:rPr>
              <w:t>53,773,545</w:t>
            </w:r>
          </w:p>
        </w:tc>
        <w:tc>
          <w:tcPr>
            <w:tcW w:w="885" w:type="dxa"/>
            <w:tcBorders>
              <w:top w:val="nil"/>
              <w:left w:val="single" w:sz="4" w:space="0" w:color="auto"/>
              <w:bottom w:val="nil"/>
              <w:right w:val="single" w:sz="4" w:space="0" w:color="auto"/>
            </w:tcBorders>
            <w:shd w:val="clear" w:color="auto" w:fill="auto"/>
            <w:vAlign w:val="center"/>
            <w:hideMark/>
          </w:tcPr>
          <w:p w14:paraId="33B7C1C6" w14:textId="77777777" w:rsidR="00EE0DB2" w:rsidRPr="00EE0DB2" w:rsidRDefault="00EE0DB2" w:rsidP="00EE0DB2">
            <w:pPr>
              <w:jc w:val="right"/>
              <w:rPr>
                <w:b/>
                <w:bCs/>
                <w:sz w:val="14"/>
                <w:szCs w:val="14"/>
                <w:lang w:eastAsia="tr-TR"/>
              </w:rPr>
            </w:pPr>
            <w:r w:rsidRPr="00EE0DB2">
              <w:rPr>
                <w:b/>
                <w:bCs/>
                <w:sz w:val="14"/>
                <w:szCs w:val="14"/>
                <w:lang w:eastAsia="tr-TR"/>
              </w:rPr>
              <w:t>2,810,552</w:t>
            </w:r>
          </w:p>
        </w:tc>
        <w:tc>
          <w:tcPr>
            <w:tcW w:w="885" w:type="dxa"/>
            <w:tcBorders>
              <w:top w:val="nil"/>
              <w:left w:val="single" w:sz="4" w:space="0" w:color="auto"/>
              <w:bottom w:val="nil"/>
              <w:right w:val="single" w:sz="4" w:space="0" w:color="auto"/>
            </w:tcBorders>
            <w:shd w:val="clear" w:color="auto" w:fill="auto"/>
            <w:vAlign w:val="center"/>
            <w:hideMark/>
          </w:tcPr>
          <w:p w14:paraId="2B91A984" w14:textId="77777777" w:rsidR="00EE0DB2" w:rsidRPr="00EE0DB2" w:rsidRDefault="00EE0DB2" w:rsidP="00EE0DB2">
            <w:pPr>
              <w:jc w:val="right"/>
              <w:rPr>
                <w:b/>
                <w:bCs/>
                <w:sz w:val="14"/>
                <w:szCs w:val="14"/>
                <w:lang w:eastAsia="tr-TR"/>
              </w:rPr>
            </w:pPr>
            <w:r w:rsidRPr="00EE0DB2">
              <w:rPr>
                <w:b/>
                <w:bCs/>
                <w:sz w:val="14"/>
                <w:szCs w:val="14"/>
                <w:lang w:eastAsia="tr-TR"/>
              </w:rPr>
              <w:t>56,584,097</w:t>
            </w:r>
          </w:p>
        </w:tc>
        <w:tc>
          <w:tcPr>
            <w:tcW w:w="886" w:type="dxa"/>
            <w:tcBorders>
              <w:top w:val="nil"/>
              <w:left w:val="single" w:sz="4" w:space="0" w:color="auto"/>
              <w:bottom w:val="nil"/>
              <w:right w:val="single" w:sz="4" w:space="0" w:color="auto"/>
            </w:tcBorders>
            <w:shd w:val="clear" w:color="auto" w:fill="auto"/>
            <w:vAlign w:val="center"/>
            <w:hideMark/>
          </w:tcPr>
          <w:p w14:paraId="0E20E59A" w14:textId="77777777" w:rsidR="00EE0DB2" w:rsidRPr="00EE0DB2" w:rsidRDefault="00EE0DB2" w:rsidP="00EE0DB2">
            <w:pPr>
              <w:jc w:val="right"/>
              <w:rPr>
                <w:b/>
                <w:bCs/>
                <w:sz w:val="14"/>
                <w:szCs w:val="14"/>
                <w:lang w:eastAsia="tr-TR"/>
              </w:rPr>
            </w:pPr>
            <w:r w:rsidRPr="00EE0DB2">
              <w:rPr>
                <w:b/>
                <w:bCs/>
                <w:sz w:val="14"/>
                <w:szCs w:val="14"/>
                <w:lang w:eastAsia="tr-TR"/>
              </w:rPr>
              <w:t>52,151,025</w:t>
            </w:r>
          </w:p>
        </w:tc>
        <w:tc>
          <w:tcPr>
            <w:tcW w:w="885" w:type="dxa"/>
            <w:tcBorders>
              <w:top w:val="nil"/>
              <w:left w:val="single" w:sz="4" w:space="0" w:color="auto"/>
              <w:bottom w:val="nil"/>
              <w:right w:val="single" w:sz="4" w:space="0" w:color="auto"/>
            </w:tcBorders>
            <w:shd w:val="clear" w:color="auto" w:fill="auto"/>
            <w:vAlign w:val="center"/>
            <w:hideMark/>
          </w:tcPr>
          <w:p w14:paraId="1F1504B6" w14:textId="77777777" w:rsidR="00EE0DB2" w:rsidRPr="00EE0DB2" w:rsidRDefault="00EE0DB2" w:rsidP="00EE0DB2">
            <w:pPr>
              <w:jc w:val="right"/>
              <w:rPr>
                <w:b/>
                <w:bCs/>
                <w:sz w:val="14"/>
                <w:szCs w:val="14"/>
                <w:lang w:eastAsia="tr-TR"/>
              </w:rPr>
            </w:pPr>
            <w:r w:rsidRPr="00EE0DB2">
              <w:rPr>
                <w:b/>
                <w:bCs/>
                <w:sz w:val="14"/>
                <w:szCs w:val="14"/>
                <w:lang w:eastAsia="tr-TR"/>
              </w:rPr>
              <w:t>1,894,212</w:t>
            </w:r>
          </w:p>
        </w:tc>
        <w:tc>
          <w:tcPr>
            <w:tcW w:w="885" w:type="dxa"/>
            <w:tcBorders>
              <w:top w:val="nil"/>
              <w:left w:val="single" w:sz="4" w:space="0" w:color="auto"/>
              <w:bottom w:val="nil"/>
              <w:right w:val="single" w:sz="4" w:space="0" w:color="auto"/>
            </w:tcBorders>
            <w:shd w:val="clear" w:color="auto" w:fill="auto"/>
            <w:vAlign w:val="center"/>
            <w:hideMark/>
          </w:tcPr>
          <w:p w14:paraId="046283B3" w14:textId="77777777" w:rsidR="00EE0DB2" w:rsidRPr="00EE0DB2" w:rsidRDefault="00EE0DB2" w:rsidP="00EE0DB2">
            <w:pPr>
              <w:jc w:val="right"/>
              <w:rPr>
                <w:b/>
                <w:bCs/>
                <w:sz w:val="14"/>
                <w:szCs w:val="14"/>
                <w:lang w:eastAsia="tr-TR"/>
              </w:rPr>
            </w:pPr>
            <w:r w:rsidRPr="00EE0DB2">
              <w:rPr>
                <w:b/>
                <w:bCs/>
                <w:sz w:val="14"/>
                <w:szCs w:val="14"/>
                <w:lang w:eastAsia="tr-TR"/>
              </w:rPr>
              <w:t>54,045,237</w:t>
            </w:r>
          </w:p>
        </w:tc>
      </w:tr>
      <w:tr w:rsidR="00EE0DB2" w:rsidRPr="00EE0DB2" w14:paraId="134C371F"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4191D6F7" w14:textId="77777777" w:rsidR="00EE0DB2" w:rsidRPr="00EE0DB2" w:rsidRDefault="00EE0DB2" w:rsidP="00EE0DB2">
            <w:pPr>
              <w:rPr>
                <w:color w:val="000000"/>
                <w:sz w:val="14"/>
                <w:szCs w:val="14"/>
                <w:lang w:eastAsia="tr-TR"/>
              </w:rPr>
            </w:pPr>
            <w:r w:rsidRPr="00EE0DB2">
              <w:rPr>
                <w:color w:val="000000"/>
                <w:sz w:val="14"/>
                <w:szCs w:val="14"/>
                <w:lang w:eastAsia="tr-TR"/>
              </w:rPr>
              <w:t>2.1.</w:t>
            </w:r>
          </w:p>
        </w:tc>
        <w:tc>
          <w:tcPr>
            <w:tcW w:w="3236" w:type="dxa"/>
            <w:tcBorders>
              <w:top w:val="nil"/>
              <w:left w:val="single" w:sz="4" w:space="0" w:color="auto"/>
              <w:bottom w:val="nil"/>
              <w:right w:val="single" w:sz="4" w:space="0" w:color="auto"/>
            </w:tcBorders>
            <w:shd w:val="clear" w:color="auto" w:fill="auto"/>
            <w:noWrap/>
            <w:vAlign w:val="center"/>
            <w:hideMark/>
          </w:tcPr>
          <w:p w14:paraId="12F08B63" w14:textId="77777777" w:rsidR="00EE0DB2" w:rsidRPr="00EE0DB2" w:rsidRDefault="00EE0DB2" w:rsidP="00EE0DB2">
            <w:pPr>
              <w:rPr>
                <w:color w:val="000000"/>
                <w:sz w:val="14"/>
                <w:szCs w:val="14"/>
                <w:lang w:eastAsia="tr-TR"/>
              </w:rPr>
            </w:pPr>
            <w:r w:rsidRPr="00EE0DB2">
              <w:rPr>
                <w:color w:val="000000"/>
                <w:sz w:val="14"/>
                <w:szCs w:val="14"/>
                <w:lang w:eastAsia="tr-TR"/>
              </w:rPr>
              <w:t>Cayılamaz Taahhütler</w:t>
            </w:r>
          </w:p>
        </w:tc>
        <w:tc>
          <w:tcPr>
            <w:tcW w:w="576" w:type="dxa"/>
            <w:tcBorders>
              <w:top w:val="nil"/>
              <w:left w:val="single" w:sz="4" w:space="0" w:color="auto"/>
              <w:bottom w:val="nil"/>
              <w:right w:val="single" w:sz="4" w:space="0" w:color="auto"/>
            </w:tcBorders>
            <w:shd w:val="clear" w:color="auto" w:fill="auto"/>
            <w:vAlign w:val="center"/>
            <w:hideMark/>
          </w:tcPr>
          <w:p w14:paraId="31201DA6"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81E2420" w14:textId="77777777" w:rsidR="00EE0DB2" w:rsidRPr="00EE0DB2" w:rsidRDefault="00EE0DB2" w:rsidP="00EE0DB2">
            <w:pPr>
              <w:jc w:val="right"/>
              <w:rPr>
                <w:sz w:val="14"/>
                <w:szCs w:val="14"/>
                <w:lang w:eastAsia="tr-TR"/>
              </w:rPr>
            </w:pPr>
            <w:r w:rsidRPr="00EE0DB2">
              <w:rPr>
                <w:sz w:val="14"/>
                <w:szCs w:val="14"/>
                <w:lang w:eastAsia="tr-TR"/>
              </w:rPr>
              <w:t>6,003,664</w:t>
            </w:r>
          </w:p>
        </w:tc>
        <w:tc>
          <w:tcPr>
            <w:tcW w:w="885" w:type="dxa"/>
            <w:tcBorders>
              <w:top w:val="nil"/>
              <w:left w:val="single" w:sz="4" w:space="0" w:color="auto"/>
              <w:bottom w:val="nil"/>
              <w:right w:val="single" w:sz="4" w:space="0" w:color="auto"/>
            </w:tcBorders>
            <w:shd w:val="clear" w:color="auto" w:fill="auto"/>
            <w:vAlign w:val="center"/>
            <w:hideMark/>
          </w:tcPr>
          <w:p w14:paraId="775CA9A7" w14:textId="77777777" w:rsidR="00EE0DB2" w:rsidRPr="00EE0DB2" w:rsidRDefault="00EE0DB2" w:rsidP="00EE0DB2">
            <w:pPr>
              <w:jc w:val="right"/>
              <w:rPr>
                <w:sz w:val="14"/>
                <w:szCs w:val="14"/>
                <w:lang w:eastAsia="tr-TR"/>
              </w:rPr>
            </w:pPr>
            <w:r w:rsidRPr="00EE0DB2">
              <w:rPr>
                <w:sz w:val="14"/>
                <w:szCs w:val="14"/>
                <w:lang w:eastAsia="tr-TR"/>
              </w:rPr>
              <w:t>2,810,552</w:t>
            </w:r>
          </w:p>
        </w:tc>
        <w:tc>
          <w:tcPr>
            <w:tcW w:w="885" w:type="dxa"/>
            <w:tcBorders>
              <w:top w:val="nil"/>
              <w:left w:val="single" w:sz="4" w:space="0" w:color="auto"/>
              <w:bottom w:val="nil"/>
              <w:right w:val="single" w:sz="4" w:space="0" w:color="auto"/>
            </w:tcBorders>
            <w:shd w:val="clear" w:color="auto" w:fill="auto"/>
            <w:vAlign w:val="center"/>
            <w:hideMark/>
          </w:tcPr>
          <w:p w14:paraId="38E55731" w14:textId="77777777" w:rsidR="00EE0DB2" w:rsidRPr="00EE0DB2" w:rsidRDefault="00EE0DB2" w:rsidP="00EE0DB2">
            <w:pPr>
              <w:jc w:val="right"/>
              <w:rPr>
                <w:sz w:val="14"/>
                <w:szCs w:val="14"/>
                <w:lang w:eastAsia="tr-TR"/>
              </w:rPr>
            </w:pPr>
            <w:r w:rsidRPr="00EE0DB2">
              <w:rPr>
                <w:sz w:val="14"/>
                <w:szCs w:val="14"/>
                <w:lang w:eastAsia="tr-TR"/>
              </w:rPr>
              <w:t>8,814,216</w:t>
            </w:r>
          </w:p>
        </w:tc>
        <w:tc>
          <w:tcPr>
            <w:tcW w:w="886" w:type="dxa"/>
            <w:tcBorders>
              <w:top w:val="nil"/>
              <w:left w:val="single" w:sz="4" w:space="0" w:color="auto"/>
              <w:bottom w:val="nil"/>
              <w:right w:val="single" w:sz="4" w:space="0" w:color="auto"/>
            </w:tcBorders>
            <w:shd w:val="clear" w:color="auto" w:fill="auto"/>
            <w:vAlign w:val="center"/>
            <w:hideMark/>
          </w:tcPr>
          <w:p w14:paraId="514EBF74" w14:textId="77777777" w:rsidR="00EE0DB2" w:rsidRPr="00EE0DB2" w:rsidRDefault="00EE0DB2" w:rsidP="00EE0DB2">
            <w:pPr>
              <w:jc w:val="right"/>
              <w:rPr>
                <w:sz w:val="14"/>
                <w:szCs w:val="14"/>
                <w:lang w:eastAsia="tr-TR"/>
              </w:rPr>
            </w:pPr>
            <w:r w:rsidRPr="00EE0DB2">
              <w:rPr>
                <w:sz w:val="14"/>
                <w:szCs w:val="14"/>
                <w:lang w:eastAsia="tr-TR"/>
              </w:rPr>
              <w:t>4,795,885</w:t>
            </w:r>
          </w:p>
        </w:tc>
        <w:tc>
          <w:tcPr>
            <w:tcW w:w="885" w:type="dxa"/>
            <w:tcBorders>
              <w:top w:val="nil"/>
              <w:left w:val="single" w:sz="4" w:space="0" w:color="auto"/>
              <w:bottom w:val="nil"/>
              <w:right w:val="single" w:sz="4" w:space="0" w:color="auto"/>
            </w:tcBorders>
            <w:shd w:val="clear" w:color="auto" w:fill="auto"/>
            <w:vAlign w:val="center"/>
            <w:hideMark/>
          </w:tcPr>
          <w:p w14:paraId="55139803" w14:textId="77777777" w:rsidR="00EE0DB2" w:rsidRPr="00EE0DB2" w:rsidRDefault="00EE0DB2" w:rsidP="00EE0DB2">
            <w:pPr>
              <w:jc w:val="right"/>
              <w:rPr>
                <w:sz w:val="14"/>
                <w:szCs w:val="14"/>
                <w:lang w:eastAsia="tr-TR"/>
              </w:rPr>
            </w:pPr>
            <w:r w:rsidRPr="00EE0DB2">
              <w:rPr>
                <w:sz w:val="14"/>
                <w:szCs w:val="14"/>
                <w:lang w:eastAsia="tr-TR"/>
              </w:rPr>
              <w:t>1,894,212</w:t>
            </w:r>
          </w:p>
        </w:tc>
        <w:tc>
          <w:tcPr>
            <w:tcW w:w="885" w:type="dxa"/>
            <w:tcBorders>
              <w:top w:val="nil"/>
              <w:left w:val="single" w:sz="4" w:space="0" w:color="auto"/>
              <w:bottom w:val="nil"/>
              <w:right w:val="single" w:sz="4" w:space="0" w:color="auto"/>
            </w:tcBorders>
            <w:shd w:val="clear" w:color="auto" w:fill="auto"/>
            <w:vAlign w:val="center"/>
            <w:hideMark/>
          </w:tcPr>
          <w:p w14:paraId="6BBB80E1" w14:textId="77777777" w:rsidR="00EE0DB2" w:rsidRPr="00EE0DB2" w:rsidRDefault="00EE0DB2" w:rsidP="00EE0DB2">
            <w:pPr>
              <w:jc w:val="right"/>
              <w:rPr>
                <w:sz w:val="14"/>
                <w:szCs w:val="14"/>
                <w:lang w:eastAsia="tr-TR"/>
              </w:rPr>
            </w:pPr>
            <w:r w:rsidRPr="00EE0DB2">
              <w:rPr>
                <w:sz w:val="14"/>
                <w:szCs w:val="14"/>
                <w:lang w:eastAsia="tr-TR"/>
              </w:rPr>
              <w:t>6,690,097</w:t>
            </w:r>
          </w:p>
        </w:tc>
      </w:tr>
      <w:tr w:rsidR="00EE0DB2" w:rsidRPr="00EE0DB2" w14:paraId="0017469F"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6DEB4BA5" w14:textId="77777777" w:rsidR="00EE0DB2" w:rsidRPr="00EE0DB2" w:rsidRDefault="00EE0DB2" w:rsidP="00EE0DB2">
            <w:pPr>
              <w:rPr>
                <w:color w:val="000000"/>
                <w:sz w:val="14"/>
                <w:szCs w:val="14"/>
                <w:lang w:eastAsia="tr-TR"/>
              </w:rPr>
            </w:pPr>
            <w:r w:rsidRPr="00EE0DB2">
              <w:rPr>
                <w:color w:val="000000"/>
                <w:sz w:val="14"/>
                <w:szCs w:val="14"/>
                <w:lang w:eastAsia="tr-TR"/>
              </w:rPr>
              <w:t>2.1.1.</w:t>
            </w:r>
          </w:p>
        </w:tc>
        <w:tc>
          <w:tcPr>
            <w:tcW w:w="3236" w:type="dxa"/>
            <w:tcBorders>
              <w:top w:val="nil"/>
              <w:left w:val="single" w:sz="4" w:space="0" w:color="auto"/>
              <w:bottom w:val="nil"/>
              <w:right w:val="single" w:sz="4" w:space="0" w:color="auto"/>
            </w:tcBorders>
            <w:shd w:val="clear" w:color="auto" w:fill="auto"/>
            <w:noWrap/>
            <w:vAlign w:val="center"/>
            <w:hideMark/>
          </w:tcPr>
          <w:p w14:paraId="76C1D94C" w14:textId="77777777" w:rsidR="00EE0DB2" w:rsidRPr="00EE0DB2" w:rsidRDefault="00EE0DB2" w:rsidP="00EE0DB2">
            <w:pPr>
              <w:rPr>
                <w:color w:val="000000"/>
                <w:sz w:val="14"/>
                <w:szCs w:val="14"/>
                <w:lang w:eastAsia="tr-TR"/>
              </w:rPr>
            </w:pPr>
            <w:r w:rsidRPr="00EE0DB2">
              <w:rPr>
                <w:color w:val="000000"/>
                <w:sz w:val="14"/>
                <w:szCs w:val="14"/>
                <w:lang w:eastAsia="tr-TR"/>
              </w:rPr>
              <w:t>Vadeli Aktif Değerler Alım-Satım Taahhütleri</w:t>
            </w:r>
          </w:p>
        </w:tc>
        <w:tc>
          <w:tcPr>
            <w:tcW w:w="576" w:type="dxa"/>
            <w:tcBorders>
              <w:top w:val="nil"/>
              <w:left w:val="single" w:sz="4" w:space="0" w:color="auto"/>
              <w:bottom w:val="nil"/>
              <w:right w:val="single" w:sz="4" w:space="0" w:color="auto"/>
            </w:tcBorders>
            <w:shd w:val="clear" w:color="auto" w:fill="auto"/>
            <w:vAlign w:val="center"/>
            <w:hideMark/>
          </w:tcPr>
          <w:p w14:paraId="05BA293B"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1CC7035" w14:textId="77777777" w:rsidR="00EE0DB2" w:rsidRPr="00EE0DB2" w:rsidRDefault="00EE0DB2" w:rsidP="00EE0DB2">
            <w:pPr>
              <w:jc w:val="right"/>
              <w:rPr>
                <w:sz w:val="14"/>
                <w:szCs w:val="14"/>
                <w:lang w:eastAsia="tr-TR"/>
              </w:rPr>
            </w:pPr>
            <w:r w:rsidRPr="00EE0DB2">
              <w:rPr>
                <w:sz w:val="14"/>
                <w:szCs w:val="14"/>
                <w:lang w:eastAsia="tr-TR"/>
              </w:rPr>
              <w:t>807,206</w:t>
            </w:r>
          </w:p>
        </w:tc>
        <w:tc>
          <w:tcPr>
            <w:tcW w:w="885" w:type="dxa"/>
            <w:tcBorders>
              <w:top w:val="nil"/>
              <w:left w:val="single" w:sz="4" w:space="0" w:color="auto"/>
              <w:bottom w:val="nil"/>
              <w:right w:val="single" w:sz="4" w:space="0" w:color="auto"/>
            </w:tcBorders>
            <w:shd w:val="clear" w:color="auto" w:fill="auto"/>
            <w:vAlign w:val="center"/>
            <w:hideMark/>
          </w:tcPr>
          <w:p w14:paraId="2AF98ECD" w14:textId="77777777" w:rsidR="00EE0DB2" w:rsidRPr="00EE0DB2" w:rsidRDefault="00EE0DB2" w:rsidP="00EE0DB2">
            <w:pPr>
              <w:jc w:val="right"/>
              <w:rPr>
                <w:sz w:val="14"/>
                <w:szCs w:val="14"/>
                <w:lang w:eastAsia="tr-TR"/>
              </w:rPr>
            </w:pPr>
            <w:r w:rsidRPr="00EE0DB2">
              <w:rPr>
                <w:sz w:val="14"/>
                <w:szCs w:val="14"/>
                <w:lang w:eastAsia="tr-TR"/>
              </w:rPr>
              <w:t>2,810,552</w:t>
            </w:r>
          </w:p>
        </w:tc>
        <w:tc>
          <w:tcPr>
            <w:tcW w:w="885" w:type="dxa"/>
            <w:tcBorders>
              <w:top w:val="nil"/>
              <w:left w:val="single" w:sz="4" w:space="0" w:color="auto"/>
              <w:bottom w:val="nil"/>
              <w:right w:val="single" w:sz="4" w:space="0" w:color="auto"/>
            </w:tcBorders>
            <w:shd w:val="clear" w:color="auto" w:fill="auto"/>
            <w:vAlign w:val="center"/>
            <w:hideMark/>
          </w:tcPr>
          <w:p w14:paraId="42E81761" w14:textId="77777777" w:rsidR="00EE0DB2" w:rsidRPr="00EE0DB2" w:rsidRDefault="00EE0DB2" w:rsidP="00EE0DB2">
            <w:pPr>
              <w:jc w:val="right"/>
              <w:rPr>
                <w:sz w:val="14"/>
                <w:szCs w:val="14"/>
                <w:lang w:eastAsia="tr-TR"/>
              </w:rPr>
            </w:pPr>
            <w:r w:rsidRPr="00EE0DB2">
              <w:rPr>
                <w:sz w:val="14"/>
                <w:szCs w:val="14"/>
                <w:lang w:eastAsia="tr-TR"/>
              </w:rPr>
              <w:t>3,617,758</w:t>
            </w:r>
          </w:p>
        </w:tc>
        <w:tc>
          <w:tcPr>
            <w:tcW w:w="886" w:type="dxa"/>
            <w:tcBorders>
              <w:top w:val="nil"/>
              <w:left w:val="single" w:sz="4" w:space="0" w:color="auto"/>
              <w:bottom w:val="nil"/>
              <w:right w:val="single" w:sz="4" w:space="0" w:color="auto"/>
            </w:tcBorders>
            <w:shd w:val="clear" w:color="auto" w:fill="auto"/>
            <w:vAlign w:val="center"/>
            <w:hideMark/>
          </w:tcPr>
          <w:p w14:paraId="5CD5B3F6" w14:textId="77777777" w:rsidR="00EE0DB2" w:rsidRPr="00EE0DB2" w:rsidRDefault="00EE0DB2" w:rsidP="00EE0DB2">
            <w:pPr>
              <w:jc w:val="right"/>
              <w:rPr>
                <w:sz w:val="14"/>
                <w:szCs w:val="14"/>
                <w:lang w:eastAsia="tr-TR"/>
              </w:rPr>
            </w:pPr>
            <w:r w:rsidRPr="00EE0DB2">
              <w:rPr>
                <w:sz w:val="14"/>
                <w:szCs w:val="14"/>
                <w:lang w:eastAsia="tr-TR"/>
              </w:rPr>
              <w:t>455,887</w:t>
            </w:r>
          </w:p>
        </w:tc>
        <w:tc>
          <w:tcPr>
            <w:tcW w:w="885" w:type="dxa"/>
            <w:tcBorders>
              <w:top w:val="nil"/>
              <w:left w:val="single" w:sz="4" w:space="0" w:color="auto"/>
              <w:bottom w:val="nil"/>
              <w:right w:val="single" w:sz="4" w:space="0" w:color="auto"/>
            </w:tcBorders>
            <w:shd w:val="clear" w:color="auto" w:fill="auto"/>
            <w:vAlign w:val="center"/>
            <w:hideMark/>
          </w:tcPr>
          <w:p w14:paraId="0D65C866" w14:textId="77777777" w:rsidR="00EE0DB2" w:rsidRPr="00EE0DB2" w:rsidRDefault="00EE0DB2" w:rsidP="00EE0DB2">
            <w:pPr>
              <w:jc w:val="right"/>
              <w:rPr>
                <w:sz w:val="14"/>
                <w:szCs w:val="14"/>
                <w:lang w:eastAsia="tr-TR"/>
              </w:rPr>
            </w:pPr>
            <w:r w:rsidRPr="00EE0DB2">
              <w:rPr>
                <w:sz w:val="14"/>
                <w:szCs w:val="14"/>
                <w:lang w:eastAsia="tr-TR"/>
              </w:rPr>
              <w:t>1,891,166</w:t>
            </w:r>
          </w:p>
        </w:tc>
        <w:tc>
          <w:tcPr>
            <w:tcW w:w="885" w:type="dxa"/>
            <w:tcBorders>
              <w:top w:val="nil"/>
              <w:left w:val="single" w:sz="4" w:space="0" w:color="auto"/>
              <w:bottom w:val="nil"/>
              <w:right w:val="single" w:sz="4" w:space="0" w:color="auto"/>
            </w:tcBorders>
            <w:shd w:val="clear" w:color="auto" w:fill="auto"/>
            <w:vAlign w:val="center"/>
            <w:hideMark/>
          </w:tcPr>
          <w:p w14:paraId="14C5B757" w14:textId="77777777" w:rsidR="00EE0DB2" w:rsidRPr="00EE0DB2" w:rsidRDefault="00EE0DB2" w:rsidP="00EE0DB2">
            <w:pPr>
              <w:jc w:val="right"/>
              <w:rPr>
                <w:sz w:val="14"/>
                <w:szCs w:val="14"/>
                <w:lang w:eastAsia="tr-TR"/>
              </w:rPr>
            </w:pPr>
            <w:r w:rsidRPr="00EE0DB2">
              <w:rPr>
                <w:sz w:val="14"/>
                <w:szCs w:val="14"/>
                <w:lang w:eastAsia="tr-TR"/>
              </w:rPr>
              <w:t>2,347,053</w:t>
            </w:r>
          </w:p>
        </w:tc>
      </w:tr>
      <w:tr w:rsidR="00EE0DB2" w:rsidRPr="00EE0DB2" w14:paraId="25EA58D7"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17FCF637" w14:textId="77777777" w:rsidR="00EE0DB2" w:rsidRPr="00EE0DB2" w:rsidRDefault="00EE0DB2" w:rsidP="00EE0DB2">
            <w:pPr>
              <w:rPr>
                <w:color w:val="000000"/>
                <w:sz w:val="14"/>
                <w:szCs w:val="14"/>
                <w:lang w:eastAsia="tr-TR"/>
              </w:rPr>
            </w:pPr>
            <w:r w:rsidRPr="00EE0DB2">
              <w:rPr>
                <w:color w:val="000000"/>
                <w:sz w:val="14"/>
                <w:szCs w:val="14"/>
                <w:lang w:eastAsia="tr-TR"/>
              </w:rPr>
              <w:t>2.1.2.</w:t>
            </w:r>
          </w:p>
        </w:tc>
        <w:tc>
          <w:tcPr>
            <w:tcW w:w="3236" w:type="dxa"/>
            <w:tcBorders>
              <w:top w:val="nil"/>
              <w:left w:val="single" w:sz="4" w:space="0" w:color="auto"/>
              <w:bottom w:val="nil"/>
              <w:right w:val="single" w:sz="4" w:space="0" w:color="auto"/>
            </w:tcBorders>
            <w:shd w:val="clear" w:color="auto" w:fill="auto"/>
            <w:noWrap/>
            <w:vAlign w:val="center"/>
            <w:hideMark/>
          </w:tcPr>
          <w:p w14:paraId="5E7E5527" w14:textId="77777777" w:rsidR="00EE0DB2" w:rsidRPr="00EE0DB2" w:rsidRDefault="00EE0DB2" w:rsidP="00EE0DB2">
            <w:pPr>
              <w:rPr>
                <w:color w:val="000000"/>
                <w:sz w:val="14"/>
                <w:szCs w:val="14"/>
                <w:lang w:eastAsia="tr-TR"/>
              </w:rPr>
            </w:pPr>
            <w:r w:rsidRPr="00EE0DB2">
              <w:rPr>
                <w:color w:val="000000"/>
                <w:sz w:val="14"/>
                <w:szCs w:val="14"/>
                <w:lang w:eastAsia="tr-TR"/>
              </w:rPr>
              <w:t xml:space="preserve">İştir. </w:t>
            </w:r>
            <w:proofErr w:type="gramStart"/>
            <w:r w:rsidRPr="00EE0DB2">
              <w:rPr>
                <w:color w:val="000000"/>
                <w:sz w:val="14"/>
                <w:szCs w:val="14"/>
                <w:lang w:eastAsia="tr-TR"/>
              </w:rPr>
              <w:t>ve</w:t>
            </w:r>
            <w:proofErr w:type="gramEnd"/>
            <w:r w:rsidRPr="00EE0DB2">
              <w:rPr>
                <w:color w:val="000000"/>
                <w:sz w:val="14"/>
                <w:szCs w:val="14"/>
                <w:lang w:eastAsia="tr-TR"/>
              </w:rPr>
              <w:t xml:space="preserve"> Bağ. Ort. Ser. </w:t>
            </w:r>
            <w:proofErr w:type="spellStart"/>
            <w:r w:rsidRPr="00EE0DB2">
              <w:rPr>
                <w:color w:val="000000"/>
                <w:sz w:val="14"/>
                <w:szCs w:val="14"/>
                <w:lang w:eastAsia="tr-TR"/>
              </w:rPr>
              <w:t>İşt</w:t>
            </w:r>
            <w:proofErr w:type="spellEnd"/>
            <w:r w:rsidRPr="00EE0DB2">
              <w:rPr>
                <w:color w:val="000000"/>
                <w:sz w:val="14"/>
                <w:szCs w:val="14"/>
                <w:lang w:eastAsia="tr-TR"/>
              </w:rPr>
              <w:t>. Taahhütleri</w:t>
            </w:r>
          </w:p>
        </w:tc>
        <w:tc>
          <w:tcPr>
            <w:tcW w:w="576" w:type="dxa"/>
            <w:tcBorders>
              <w:top w:val="nil"/>
              <w:left w:val="single" w:sz="4" w:space="0" w:color="auto"/>
              <w:bottom w:val="nil"/>
              <w:right w:val="single" w:sz="4" w:space="0" w:color="auto"/>
            </w:tcBorders>
            <w:shd w:val="clear" w:color="auto" w:fill="auto"/>
            <w:vAlign w:val="center"/>
            <w:hideMark/>
          </w:tcPr>
          <w:p w14:paraId="2F959101"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7E8A0D8"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26F2AE7"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DCDAEBF"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6B58C29"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DCED245"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2655E96"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75565D5B"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2A5EFA5C" w14:textId="77777777" w:rsidR="00EE0DB2" w:rsidRPr="00EE0DB2" w:rsidRDefault="00EE0DB2" w:rsidP="00EE0DB2">
            <w:pPr>
              <w:rPr>
                <w:color w:val="000000"/>
                <w:sz w:val="14"/>
                <w:szCs w:val="14"/>
                <w:lang w:eastAsia="tr-TR"/>
              </w:rPr>
            </w:pPr>
            <w:r w:rsidRPr="00EE0DB2">
              <w:rPr>
                <w:color w:val="000000"/>
                <w:sz w:val="14"/>
                <w:szCs w:val="14"/>
                <w:lang w:eastAsia="tr-TR"/>
              </w:rPr>
              <w:t>2.1.3.</w:t>
            </w:r>
          </w:p>
        </w:tc>
        <w:tc>
          <w:tcPr>
            <w:tcW w:w="3236" w:type="dxa"/>
            <w:tcBorders>
              <w:top w:val="nil"/>
              <w:left w:val="single" w:sz="4" w:space="0" w:color="auto"/>
              <w:bottom w:val="nil"/>
              <w:right w:val="single" w:sz="4" w:space="0" w:color="auto"/>
            </w:tcBorders>
            <w:shd w:val="clear" w:color="auto" w:fill="auto"/>
            <w:noWrap/>
            <w:vAlign w:val="center"/>
            <w:hideMark/>
          </w:tcPr>
          <w:p w14:paraId="18B7757D" w14:textId="77777777" w:rsidR="00EE0DB2" w:rsidRPr="00EE0DB2" w:rsidRDefault="00EE0DB2" w:rsidP="00EE0DB2">
            <w:pPr>
              <w:rPr>
                <w:color w:val="000000"/>
                <w:sz w:val="14"/>
                <w:szCs w:val="14"/>
                <w:lang w:eastAsia="tr-TR"/>
              </w:rPr>
            </w:pPr>
            <w:r w:rsidRPr="00EE0DB2">
              <w:rPr>
                <w:color w:val="000000"/>
                <w:sz w:val="14"/>
                <w:szCs w:val="14"/>
                <w:lang w:eastAsia="tr-TR"/>
              </w:rPr>
              <w:t>Kul. Gar. Kredi Tahsis Taahhütleri</w:t>
            </w:r>
          </w:p>
        </w:tc>
        <w:tc>
          <w:tcPr>
            <w:tcW w:w="576" w:type="dxa"/>
            <w:tcBorders>
              <w:top w:val="nil"/>
              <w:left w:val="single" w:sz="4" w:space="0" w:color="auto"/>
              <w:bottom w:val="nil"/>
              <w:right w:val="single" w:sz="4" w:space="0" w:color="auto"/>
            </w:tcBorders>
            <w:shd w:val="clear" w:color="auto" w:fill="auto"/>
            <w:vAlign w:val="center"/>
            <w:hideMark/>
          </w:tcPr>
          <w:p w14:paraId="5122FC9F"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6425327" w14:textId="77777777" w:rsidR="00EE0DB2" w:rsidRPr="00EE0DB2" w:rsidRDefault="00EE0DB2" w:rsidP="00EE0DB2">
            <w:pPr>
              <w:jc w:val="right"/>
              <w:rPr>
                <w:sz w:val="14"/>
                <w:szCs w:val="14"/>
                <w:lang w:eastAsia="tr-TR"/>
              </w:rPr>
            </w:pPr>
            <w:r w:rsidRPr="00EE0DB2">
              <w:rPr>
                <w:sz w:val="14"/>
                <w:szCs w:val="14"/>
                <w:lang w:eastAsia="tr-TR"/>
              </w:rPr>
              <w:t>473,571</w:t>
            </w:r>
          </w:p>
        </w:tc>
        <w:tc>
          <w:tcPr>
            <w:tcW w:w="885" w:type="dxa"/>
            <w:tcBorders>
              <w:top w:val="nil"/>
              <w:left w:val="single" w:sz="4" w:space="0" w:color="auto"/>
              <w:bottom w:val="nil"/>
              <w:right w:val="single" w:sz="4" w:space="0" w:color="auto"/>
            </w:tcBorders>
            <w:shd w:val="clear" w:color="auto" w:fill="auto"/>
            <w:vAlign w:val="center"/>
            <w:hideMark/>
          </w:tcPr>
          <w:p w14:paraId="797CCE84"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40B8581" w14:textId="77777777" w:rsidR="00EE0DB2" w:rsidRPr="00EE0DB2" w:rsidRDefault="00EE0DB2" w:rsidP="00EE0DB2">
            <w:pPr>
              <w:jc w:val="right"/>
              <w:rPr>
                <w:sz w:val="14"/>
                <w:szCs w:val="14"/>
                <w:lang w:eastAsia="tr-TR"/>
              </w:rPr>
            </w:pPr>
            <w:r w:rsidRPr="00EE0DB2">
              <w:rPr>
                <w:sz w:val="14"/>
                <w:szCs w:val="14"/>
                <w:lang w:eastAsia="tr-TR"/>
              </w:rPr>
              <w:t>473,571</w:t>
            </w:r>
          </w:p>
        </w:tc>
        <w:tc>
          <w:tcPr>
            <w:tcW w:w="886" w:type="dxa"/>
            <w:tcBorders>
              <w:top w:val="nil"/>
              <w:left w:val="single" w:sz="4" w:space="0" w:color="auto"/>
              <w:bottom w:val="nil"/>
              <w:right w:val="single" w:sz="4" w:space="0" w:color="auto"/>
            </w:tcBorders>
            <w:shd w:val="clear" w:color="auto" w:fill="auto"/>
            <w:vAlign w:val="center"/>
            <w:hideMark/>
          </w:tcPr>
          <w:p w14:paraId="090D80E8" w14:textId="77777777" w:rsidR="00EE0DB2" w:rsidRPr="00EE0DB2" w:rsidRDefault="00EE0DB2" w:rsidP="00EE0DB2">
            <w:pPr>
              <w:jc w:val="right"/>
              <w:rPr>
                <w:sz w:val="14"/>
                <w:szCs w:val="14"/>
                <w:lang w:eastAsia="tr-TR"/>
              </w:rPr>
            </w:pPr>
            <w:r w:rsidRPr="00EE0DB2">
              <w:rPr>
                <w:sz w:val="14"/>
                <w:szCs w:val="14"/>
                <w:lang w:eastAsia="tr-TR"/>
              </w:rPr>
              <w:t>358,094</w:t>
            </w:r>
          </w:p>
        </w:tc>
        <w:tc>
          <w:tcPr>
            <w:tcW w:w="885" w:type="dxa"/>
            <w:tcBorders>
              <w:top w:val="nil"/>
              <w:left w:val="single" w:sz="4" w:space="0" w:color="auto"/>
              <w:bottom w:val="nil"/>
              <w:right w:val="single" w:sz="4" w:space="0" w:color="auto"/>
            </w:tcBorders>
            <w:shd w:val="clear" w:color="auto" w:fill="auto"/>
            <w:vAlign w:val="center"/>
            <w:hideMark/>
          </w:tcPr>
          <w:p w14:paraId="6616EBFE"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8685375" w14:textId="77777777" w:rsidR="00EE0DB2" w:rsidRPr="00EE0DB2" w:rsidRDefault="00EE0DB2" w:rsidP="00EE0DB2">
            <w:pPr>
              <w:jc w:val="right"/>
              <w:rPr>
                <w:sz w:val="14"/>
                <w:szCs w:val="14"/>
                <w:lang w:eastAsia="tr-TR"/>
              </w:rPr>
            </w:pPr>
            <w:r w:rsidRPr="00EE0DB2">
              <w:rPr>
                <w:sz w:val="14"/>
                <w:szCs w:val="14"/>
                <w:lang w:eastAsia="tr-TR"/>
              </w:rPr>
              <w:t>358,094</w:t>
            </w:r>
          </w:p>
        </w:tc>
      </w:tr>
      <w:tr w:rsidR="00EE0DB2" w:rsidRPr="00EE0DB2" w14:paraId="13C63A08"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0D48728F" w14:textId="77777777" w:rsidR="00EE0DB2" w:rsidRPr="00EE0DB2" w:rsidRDefault="00EE0DB2" w:rsidP="00EE0DB2">
            <w:pPr>
              <w:rPr>
                <w:color w:val="000000"/>
                <w:sz w:val="14"/>
                <w:szCs w:val="14"/>
                <w:lang w:eastAsia="tr-TR"/>
              </w:rPr>
            </w:pPr>
            <w:r w:rsidRPr="00EE0DB2">
              <w:rPr>
                <w:color w:val="000000"/>
                <w:sz w:val="14"/>
                <w:szCs w:val="14"/>
                <w:lang w:eastAsia="tr-TR"/>
              </w:rPr>
              <w:t>2.1.4.</w:t>
            </w:r>
          </w:p>
        </w:tc>
        <w:tc>
          <w:tcPr>
            <w:tcW w:w="3236" w:type="dxa"/>
            <w:tcBorders>
              <w:top w:val="nil"/>
              <w:left w:val="single" w:sz="4" w:space="0" w:color="auto"/>
              <w:bottom w:val="nil"/>
              <w:right w:val="single" w:sz="4" w:space="0" w:color="auto"/>
            </w:tcBorders>
            <w:shd w:val="clear" w:color="auto" w:fill="auto"/>
            <w:noWrap/>
            <w:vAlign w:val="center"/>
            <w:hideMark/>
          </w:tcPr>
          <w:p w14:paraId="2F5F8D39" w14:textId="77777777" w:rsidR="00EE0DB2" w:rsidRPr="00EE0DB2" w:rsidRDefault="00EE0DB2" w:rsidP="00EE0DB2">
            <w:pPr>
              <w:rPr>
                <w:color w:val="000000"/>
                <w:sz w:val="14"/>
                <w:szCs w:val="14"/>
                <w:lang w:eastAsia="tr-TR"/>
              </w:rPr>
            </w:pPr>
            <w:r w:rsidRPr="00EE0DB2">
              <w:rPr>
                <w:color w:val="000000"/>
                <w:sz w:val="14"/>
                <w:szCs w:val="14"/>
                <w:lang w:eastAsia="tr-TR"/>
              </w:rPr>
              <w:t>Men. Kıy. İhr. Aracılık Taahhütleri</w:t>
            </w:r>
          </w:p>
        </w:tc>
        <w:tc>
          <w:tcPr>
            <w:tcW w:w="576" w:type="dxa"/>
            <w:tcBorders>
              <w:top w:val="nil"/>
              <w:left w:val="single" w:sz="4" w:space="0" w:color="auto"/>
              <w:bottom w:val="nil"/>
              <w:right w:val="single" w:sz="4" w:space="0" w:color="auto"/>
            </w:tcBorders>
            <w:shd w:val="clear" w:color="auto" w:fill="auto"/>
            <w:vAlign w:val="center"/>
            <w:hideMark/>
          </w:tcPr>
          <w:p w14:paraId="7FB9A32A"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FB56BD6"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DF6A1AC"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9A50E6A"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0C26C490"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64F89CD"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4664DDE"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67971815"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36AD0C77" w14:textId="77777777" w:rsidR="00EE0DB2" w:rsidRPr="00EE0DB2" w:rsidRDefault="00EE0DB2" w:rsidP="00EE0DB2">
            <w:pPr>
              <w:rPr>
                <w:color w:val="000000"/>
                <w:sz w:val="14"/>
                <w:szCs w:val="14"/>
                <w:lang w:eastAsia="tr-TR"/>
              </w:rPr>
            </w:pPr>
            <w:r w:rsidRPr="00EE0DB2">
              <w:rPr>
                <w:color w:val="000000"/>
                <w:sz w:val="14"/>
                <w:szCs w:val="14"/>
                <w:lang w:eastAsia="tr-TR"/>
              </w:rPr>
              <w:t>2.1.5.</w:t>
            </w:r>
          </w:p>
        </w:tc>
        <w:tc>
          <w:tcPr>
            <w:tcW w:w="3236" w:type="dxa"/>
            <w:tcBorders>
              <w:top w:val="nil"/>
              <w:left w:val="single" w:sz="4" w:space="0" w:color="auto"/>
              <w:bottom w:val="nil"/>
              <w:right w:val="single" w:sz="4" w:space="0" w:color="auto"/>
            </w:tcBorders>
            <w:shd w:val="clear" w:color="auto" w:fill="auto"/>
            <w:noWrap/>
            <w:vAlign w:val="center"/>
            <w:hideMark/>
          </w:tcPr>
          <w:p w14:paraId="27C3F69E" w14:textId="77777777" w:rsidR="00EE0DB2" w:rsidRPr="00EE0DB2" w:rsidRDefault="00EE0DB2" w:rsidP="00EE0DB2">
            <w:pPr>
              <w:rPr>
                <w:color w:val="000000"/>
                <w:sz w:val="14"/>
                <w:szCs w:val="14"/>
                <w:lang w:eastAsia="tr-TR"/>
              </w:rPr>
            </w:pPr>
            <w:r w:rsidRPr="00EE0DB2">
              <w:rPr>
                <w:color w:val="000000"/>
                <w:sz w:val="14"/>
                <w:szCs w:val="14"/>
                <w:lang w:eastAsia="tr-TR"/>
              </w:rPr>
              <w:t>Zorunlu Karşılık Ödeme Taahhüdü</w:t>
            </w:r>
          </w:p>
        </w:tc>
        <w:tc>
          <w:tcPr>
            <w:tcW w:w="576" w:type="dxa"/>
            <w:tcBorders>
              <w:top w:val="nil"/>
              <w:left w:val="single" w:sz="4" w:space="0" w:color="auto"/>
              <w:bottom w:val="nil"/>
              <w:right w:val="single" w:sz="4" w:space="0" w:color="auto"/>
            </w:tcBorders>
            <w:shd w:val="clear" w:color="auto" w:fill="auto"/>
            <w:vAlign w:val="center"/>
            <w:hideMark/>
          </w:tcPr>
          <w:p w14:paraId="23D8C685"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E449BDB"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91BFB99"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18FEAA9"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092A1337"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E2FD2D7"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BB84760"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62D187F9"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2A83DCEF" w14:textId="77777777" w:rsidR="00EE0DB2" w:rsidRPr="00EE0DB2" w:rsidRDefault="00EE0DB2" w:rsidP="00EE0DB2">
            <w:pPr>
              <w:rPr>
                <w:color w:val="000000"/>
                <w:sz w:val="14"/>
                <w:szCs w:val="14"/>
                <w:lang w:eastAsia="tr-TR"/>
              </w:rPr>
            </w:pPr>
            <w:r w:rsidRPr="00EE0DB2">
              <w:rPr>
                <w:color w:val="000000"/>
                <w:sz w:val="14"/>
                <w:szCs w:val="14"/>
                <w:lang w:eastAsia="tr-TR"/>
              </w:rPr>
              <w:t>2.1.6.</w:t>
            </w:r>
          </w:p>
        </w:tc>
        <w:tc>
          <w:tcPr>
            <w:tcW w:w="3236" w:type="dxa"/>
            <w:tcBorders>
              <w:top w:val="nil"/>
              <w:left w:val="single" w:sz="4" w:space="0" w:color="auto"/>
              <w:bottom w:val="nil"/>
              <w:right w:val="single" w:sz="4" w:space="0" w:color="auto"/>
            </w:tcBorders>
            <w:shd w:val="clear" w:color="auto" w:fill="auto"/>
            <w:noWrap/>
            <w:vAlign w:val="center"/>
            <w:hideMark/>
          </w:tcPr>
          <w:p w14:paraId="1FBF879B" w14:textId="77777777" w:rsidR="00EE0DB2" w:rsidRPr="00EE0DB2" w:rsidRDefault="00EE0DB2" w:rsidP="00EE0DB2">
            <w:pPr>
              <w:rPr>
                <w:color w:val="000000"/>
                <w:sz w:val="14"/>
                <w:szCs w:val="14"/>
                <w:lang w:eastAsia="tr-TR"/>
              </w:rPr>
            </w:pPr>
            <w:r w:rsidRPr="00EE0DB2">
              <w:rPr>
                <w:color w:val="000000"/>
                <w:sz w:val="14"/>
                <w:szCs w:val="14"/>
                <w:lang w:eastAsia="tr-TR"/>
              </w:rPr>
              <w:t>Çekler İçin Ödeme Taahhütleri</w:t>
            </w:r>
          </w:p>
        </w:tc>
        <w:tc>
          <w:tcPr>
            <w:tcW w:w="576" w:type="dxa"/>
            <w:tcBorders>
              <w:top w:val="nil"/>
              <w:left w:val="single" w:sz="4" w:space="0" w:color="auto"/>
              <w:bottom w:val="nil"/>
              <w:right w:val="single" w:sz="4" w:space="0" w:color="auto"/>
            </w:tcBorders>
            <w:shd w:val="clear" w:color="auto" w:fill="auto"/>
            <w:vAlign w:val="center"/>
            <w:hideMark/>
          </w:tcPr>
          <w:p w14:paraId="11C2036D"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B0A3653" w14:textId="77777777" w:rsidR="00EE0DB2" w:rsidRPr="00EE0DB2" w:rsidRDefault="00EE0DB2" w:rsidP="00EE0DB2">
            <w:pPr>
              <w:jc w:val="right"/>
              <w:rPr>
                <w:sz w:val="14"/>
                <w:szCs w:val="14"/>
                <w:lang w:eastAsia="tr-TR"/>
              </w:rPr>
            </w:pPr>
            <w:r w:rsidRPr="00EE0DB2">
              <w:rPr>
                <w:sz w:val="14"/>
                <w:szCs w:val="14"/>
                <w:lang w:eastAsia="tr-TR"/>
              </w:rPr>
              <w:t>1,378,013</w:t>
            </w:r>
          </w:p>
        </w:tc>
        <w:tc>
          <w:tcPr>
            <w:tcW w:w="885" w:type="dxa"/>
            <w:tcBorders>
              <w:top w:val="nil"/>
              <w:left w:val="single" w:sz="4" w:space="0" w:color="auto"/>
              <w:bottom w:val="nil"/>
              <w:right w:val="single" w:sz="4" w:space="0" w:color="auto"/>
            </w:tcBorders>
            <w:shd w:val="clear" w:color="auto" w:fill="auto"/>
            <w:vAlign w:val="center"/>
            <w:hideMark/>
          </w:tcPr>
          <w:p w14:paraId="31D3042A"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7539C53" w14:textId="77777777" w:rsidR="00EE0DB2" w:rsidRPr="00EE0DB2" w:rsidRDefault="00EE0DB2" w:rsidP="00EE0DB2">
            <w:pPr>
              <w:jc w:val="right"/>
              <w:rPr>
                <w:sz w:val="14"/>
                <w:szCs w:val="14"/>
                <w:lang w:eastAsia="tr-TR"/>
              </w:rPr>
            </w:pPr>
            <w:r w:rsidRPr="00EE0DB2">
              <w:rPr>
                <w:sz w:val="14"/>
                <w:szCs w:val="14"/>
                <w:lang w:eastAsia="tr-TR"/>
              </w:rPr>
              <w:t>1,378,013</w:t>
            </w:r>
          </w:p>
        </w:tc>
        <w:tc>
          <w:tcPr>
            <w:tcW w:w="886" w:type="dxa"/>
            <w:tcBorders>
              <w:top w:val="nil"/>
              <w:left w:val="single" w:sz="4" w:space="0" w:color="auto"/>
              <w:bottom w:val="nil"/>
              <w:right w:val="single" w:sz="4" w:space="0" w:color="auto"/>
            </w:tcBorders>
            <w:shd w:val="clear" w:color="auto" w:fill="auto"/>
            <w:vAlign w:val="center"/>
            <w:hideMark/>
          </w:tcPr>
          <w:p w14:paraId="2DA0C032" w14:textId="77777777" w:rsidR="00EE0DB2" w:rsidRPr="00EE0DB2" w:rsidRDefault="00EE0DB2" w:rsidP="00EE0DB2">
            <w:pPr>
              <w:jc w:val="right"/>
              <w:rPr>
                <w:sz w:val="14"/>
                <w:szCs w:val="14"/>
                <w:lang w:eastAsia="tr-TR"/>
              </w:rPr>
            </w:pPr>
            <w:r w:rsidRPr="00EE0DB2">
              <w:rPr>
                <w:sz w:val="14"/>
                <w:szCs w:val="14"/>
                <w:lang w:eastAsia="tr-TR"/>
              </w:rPr>
              <w:t>1,305,235</w:t>
            </w:r>
          </w:p>
        </w:tc>
        <w:tc>
          <w:tcPr>
            <w:tcW w:w="885" w:type="dxa"/>
            <w:tcBorders>
              <w:top w:val="nil"/>
              <w:left w:val="single" w:sz="4" w:space="0" w:color="auto"/>
              <w:bottom w:val="nil"/>
              <w:right w:val="single" w:sz="4" w:space="0" w:color="auto"/>
            </w:tcBorders>
            <w:shd w:val="clear" w:color="auto" w:fill="auto"/>
            <w:vAlign w:val="center"/>
            <w:hideMark/>
          </w:tcPr>
          <w:p w14:paraId="0AF9FFCE"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3D739CF" w14:textId="77777777" w:rsidR="00EE0DB2" w:rsidRPr="00EE0DB2" w:rsidRDefault="00EE0DB2" w:rsidP="00EE0DB2">
            <w:pPr>
              <w:jc w:val="right"/>
              <w:rPr>
                <w:sz w:val="14"/>
                <w:szCs w:val="14"/>
                <w:lang w:eastAsia="tr-TR"/>
              </w:rPr>
            </w:pPr>
            <w:r w:rsidRPr="00EE0DB2">
              <w:rPr>
                <w:sz w:val="14"/>
                <w:szCs w:val="14"/>
                <w:lang w:eastAsia="tr-TR"/>
              </w:rPr>
              <w:t>1,305,235</w:t>
            </w:r>
          </w:p>
        </w:tc>
      </w:tr>
      <w:tr w:rsidR="00EE0DB2" w:rsidRPr="00EE0DB2" w14:paraId="448C6E24"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1B5A4A21" w14:textId="77777777" w:rsidR="00EE0DB2" w:rsidRPr="00EE0DB2" w:rsidRDefault="00EE0DB2" w:rsidP="00EE0DB2">
            <w:pPr>
              <w:rPr>
                <w:color w:val="000000"/>
                <w:sz w:val="14"/>
                <w:szCs w:val="14"/>
                <w:lang w:eastAsia="tr-TR"/>
              </w:rPr>
            </w:pPr>
            <w:r w:rsidRPr="00EE0DB2">
              <w:rPr>
                <w:color w:val="000000"/>
                <w:sz w:val="14"/>
                <w:szCs w:val="14"/>
                <w:lang w:eastAsia="tr-TR"/>
              </w:rPr>
              <w:t>2.1.7.</w:t>
            </w:r>
          </w:p>
        </w:tc>
        <w:tc>
          <w:tcPr>
            <w:tcW w:w="3236" w:type="dxa"/>
            <w:tcBorders>
              <w:top w:val="nil"/>
              <w:left w:val="single" w:sz="4" w:space="0" w:color="auto"/>
              <w:bottom w:val="nil"/>
              <w:right w:val="single" w:sz="4" w:space="0" w:color="auto"/>
            </w:tcBorders>
            <w:shd w:val="clear" w:color="auto" w:fill="auto"/>
            <w:vAlign w:val="center"/>
            <w:hideMark/>
          </w:tcPr>
          <w:p w14:paraId="71DA9253" w14:textId="77777777" w:rsidR="00EE0DB2" w:rsidRPr="00EE0DB2" w:rsidRDefault="00EE0DB2" w:rsidP="00EE0DB2">
            <w:pPr>
              <w:rPr>
                <w:color w:val="000000"/>
                <w:sz w:val="14"/>
                <w:szCs w:val="14"/>
                <w:lang w:eastAsia="tr-TR"/>
              </w:rPr>
            </w:pPr>
            <w:r w:rsidRPr="00EE0DB2">
              <w:rPr>
                <w:color w:val="000000"/>
                <w:sz w:val="14"/>
                <w:szCs w:val="14"/>
                <w:lang w:eastAsia="tr-TR"/>
              </w:rPr>
              <w:t>İhracat Taahhütlerinden Kaynaklanan Vergi ve Fon Yükümlülükleri</w:t>
            </w:r>
          </w:p>
        </w:tc>
        <w:tc>
          <w:tcPr>
            <w:tcW w:w="576" w:type="dxa"/>
            <w:tcBorders>
              <w:top w:val="nil"/>
              <w:left w:val="single" w:sz="4" w:space="0" w:color="auto"/>
              <w:bottom w:val="nil"/>
              <w:right w:val="single" w:sz="4" w:space="0" w:color="auto"/>
            </w:tcBorders>
            <w:shd w:val="clear" w:color="auto" w:fill="auto"/>
            <w:vAlign w:val="center"/>
            <w:hideMark/>
          </w:tcPr>
          <w:p w14:paraId="692C7F26"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B16BE87"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2982632"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1FE2E66"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0F46B78E"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6FC746B"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E0AEF55"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1F4D89E9"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5A6A21E2" w14:textId="77777777" w:rsidR="00EE0DB2" w:rsidRPr="00EE0DB2" w:rsidRDefault="00EE0DB2" w:rsidP="00EE0DB2">
            <w:pPr>
              <w:rPr>
                <w:color w:val="000000"/>
                <w:sz w:val="14"/>
                <w:szCs w:val="14"/>
                <w:lang w:eastAsia="tr-TR"/>
              </w:rPr>
            </w:pPr>
            <w:r w:rsidRPr="00EE0DB2">
              <w:rPr>
                <w:color w:val="000000"/>
                <w:sz w:val="14"/>
                <w:szCs w:val="14"/>
                <w:lang w:eastAsia="tr-TR"/>
              </w:rPr>
              <w:t>2.1.8.</w:t>
            </w:r>
          </w:p>
        </w:tc>
        <w:tc>
          <w:tcPr>
            <w:tcW w:w="3236" w:type="dxa"/>
            <w:tcBorders>
              <w:top w:val="nil"/>
              <w:left w:val="single" w:sz="4" w:space="0" w:color="auto"/>
              <w:bottom w:val="nil"/>
              <w:right w:val="single" w:sz="4" w:space="0" w:color="auto"/>
            </w:tcBorders>
            <w:shd w:val="clear" w:color="auto" w:fill="auto"/>
            <w:noWrap/>
            <w:vAlign w:val="center"/>
            <w:hideMark/>
          </w:tcPr>
          <w:p w14:paraId="34A2CDE5" w14:textId="77777777" w:rsidR="00EE0DB2" w:rsidRPr="00EE0DB2" w:rsidRDefault="00EE0DB2" w:rsidP="00EE0DB2">
            <w:pPr>
              <w:rPr>
                <w:color w:val="000000"/>
                <w:sz w:val="14"/>
                <w:szCs w:val="14"/>
                <w:lang w:eastAsia="tr-TR"/>
              </w:rPr>
            </w:pPr>
            <w:r w:rsidRPr="00EE0DB2">
              <w:rPr>
                <w:color w:val="000000"/>
                <w:sz w:val="14"/>
                <w:szCs w:val="14"/>
                <w:lang w:eastAsia="tr-TR"/>
              </w:rPr>
              <w:t>Kredi Kartı Harcama Limit Taahhütleri</w:t>
            </w:r>
          </w:p>
        </w:tc>
        <w:tc>
          <w:tcPr>
            <w:tcW w:w="576" w:type="dxa"/>
            <w:tcBorders>
              <w:top w:val="nil"/>
              <w:left w:val="single" w:sz="4" w:space="0" w:color="auto"/>
              <w:bottom w:val="nil"/>
              <w:right w:val="single" w:sz="4" w:space="0" w:color="auto"/>
            </w:tcBorders>
            <w:shd w:val="clear" w:color="auto" w:fill="auto"/>
            <w:vAlign w:val="center"/>
            <w:hideMark/>
          </w:tcPr>
          <w:p w14:paraId="64C18828"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F9148AF" w14:textId="77777777" w:rsidR="00EE0DB2" w:rsidRPr="00EE0DB2" w:rsidRDefault="00EE0DB2" w:rsidP="00EE0DB2">
            <w:pPr>
              <w:jc w:val="right"/>
              <w:rPr>
                <w:sz w:val="14"/>
                <w:szCs w:val="14"/>
                <w:lang w:eastAsia="tr-TR"/>
              </w:rPr>
            </w:pPr>
            <w:r w:rsidRPr="00EE0DB2">
              <w:rPr>
                <w:sz w:val="14"/>
                <w:szCs w:val="14"/>
                <w:lang w:eastAsia="tr-TR"/>
              </w:rPr>
              <w:t>3,324,278</w:t>
            </w:r>
          </w:p>
        </w:tc>
        <w:tc>
          <w:tcPr>
            <w:tcW w:w="885" w:type="dxa"/>
            <w:tcBorders>
              <w:top w:val="nil"/>
              <w:left w:val="single" w:sz="4" w:space="0" w:color="auto"/>
              <w:bottom w:val="nil"/>
              <w:right w:val="single" w:sz="4" w:space="0" w:color="auto"/>
            </w:tcBorders>
            <w:shd w:val="clear" w:color="auto" w:fill="auto"/>
            <w:vAlign w:val="center"/>
            <w:hideMark/>
          </w:tcPr>
          <w:p w14:paraId="339E5FD4"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DCF2467" w14:textId="77777777" w:rsidR="00EE0DB2" w:rsidRPr="00EE0DB2" w:rsidRDefault="00EE0DB2" w:rsidP="00EE0DB2">
            <w:pPr>
              <w:jc w:val="right"/>
              <w:rPr>
                <w:sz w:val="14"/>
                <w:szCs w:val="14"/>
                <w:lang w:eastAsia="tr-TR"/>
              </w:rPr>
            </w:pPr>
            <w:r w:rsidRPr="00EE0DB2">
              <w:rPr>
                <w:sz w:val="14"/>
                <w:szCs w:val="14"/>
                <w:lang w:eastAsia="tr-TR"/>
              </w:rPr>
              <w:t>3,324,278</w:t>
            </w:r>
          </w:p>
        </w:tc>
        <w:tc>
          <w:tcPr>
            <w:tcW w:w="886" w:type="dxa"/>
            <w:tcBorders>
              <w:top w:val="nil"/>
              <w:left w:val="single" w:sz="4" w:space="0" w:color="auto"/>
              <w:bottom w:val="nil"/>
              <w:right w:val="single" w:sz="4" w:space="0" w:color="auto"/>
            </w:tcBorders>
            <w:shd w:val="clear" w:color="auto" w:fill="auto"/>
            <w:vAlign w:val="center"/>
            <w:hideMark/>
          </w:tcPr>
          <w:p w14:paraId="6EB45BD5" w14:textId="77777777" w:rsidR="00EE0DB2" w:rsidRPr="00EE0DB2" w:rsidRDefault="00EE0DB2" w:rsidP="00EE0DB2">
            <w:pPr>
              <w:jc w:val="right"/>
              <w:rPr>
                <w:sz w:val="14"/>
                <w:szCs w:val="14"/>
                <w:lang w:eastAsia="tr-TR"/>
              </w:rPr>
            </w:pPr>
            <w:r w:rsidRPr="00EE0DB2">
              <w:rPr>
                <w:sz w:val="14"/>
                <w:szCs w:val="14"/>
                <w:lang w:eastAsia="tr-TR"/>
              </w:rPr>
              <w:t>2,656,398</w:t>
            </w:r>
          </w:p>
        </w:tc>
        <w:tc>
          <w:tcPr>
            <w:tcW w:w="885" w:type="dxa"/>
            <w:tcBorders>
              <w:top w:val="nil"/>
              <w:left w:val="single" w:sz="4" w:space="0" w:color="auto"/>
              <w:bottom w:val="nil"/>
              <w:right w:val="single" w:sz="4" w:space="0" w:color="auto"/>
            </w:tcBorders>
            <w:shd w:val="clear" w:color="auto" w:fill="auto"/>
            <w:vAlign w:val="center"/>
            <w:hideMark/>
          </w:tcPr>
          <w:p w14:paraId="1833E11C"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94FA3D9" w14:textId="77777777" w:rsidR="00EE0DB2" w:rsidRPr="00EE0DB2" w:rsidRDefault="00EE0DB2" w:rsidP="00EE0DB2">
            <w:pPr>
              <w:jc w:val="right"/>
              <w:rPr>
                <w:sz w:val="14"/>
                <w:szCs w:val="14"/>
                <w:lang w:eastAsia="tr-TR"/>
              </w:rPr>
            </w:pPr>
            <w:r w:rsidRPr="00EE0DB2">
              <w:rPr>
                <w:sz w:val="14"/>
                <w:szCs w:val="14"/>
                <w:lang w:eastAsia="tr-TR"/>
              </w:rPr>
              <w:t>2,656,398</w:t>
            </w:r>
          </w:p>
        </w:tc>
      </w:tr>
      <w:tr w:rsidR="00EE0DB2" w:rsidRPr="00EE0DB2" w14:paraId="2992D142"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7CB06D75" w14:textId="77777777" w:rsidR="00EE0DB2" w:rsidRPr="00EE0DB2" w:rsidRDefault="00EE0DB2" w:rsidP="00EE0DB2">
            <w:pPr>
              <w:rPr>
                <w:color w:val="000000"/>
                <w:sz w:val="14"/>
                <w:szCs w:val="14"/>
                <w:lang w:eastAsia="tr-TR"/>
              </w:rPr>
            </w:pPr>
            <w:r w:rsidRPr="00EE0DB2">
              <w:rPr>
                <w:color w:val="000000"/>
                <w:sz w:val="14"/>
                <w:szCs w:val="14"/>
                <w:lang w:eastAsia="tr-TR"/>
              </w:rPr>
              <w:t>2.1.9.</w:t>
            </w:r>
          </w:p>
        </w:tc>
        <w:tc>
          <w:tcPr>
            <w:tcW w:w="3236" w:type="dxa"/>
            <w:tcBorders>
              <w:top w:val="nil"/>
              <w:left w:val="single" w:sz="4" w:space="0" w:color="auto"/>
              <w:bottom w:val="nil"/>
              <w:right w:val="single" w:sz="4" w:space="0" w:color="auto"/>
            </w:tcBorders>
            <w:shd w:val="clear" w:color="auto" w:fill="auto"/>
            <w:vAlign w:val="center"/>
            <w:hideMark/>
          </w:tcPr>
          <w:p w14:paraId="17641C17" w14:textId="77777777" w:rsidR="00EE0DB2" w:rsidRPr="00EE0DB2" w:rsidRDefault="00EE0DB2" w:rsidP="00EE0DB2">
            <w:pPr>
              <w:rPr>
                <w:color w:val="000000"/>
                <w:sz w:val="14"/>
                <w:szCs w:val="14"/>
                <w:lang w:eastAsia="tr-TR"/>
              </w:rPr>
            </w:pPr>
            <w:r w:rsidRPr="00EE0DB2">
              <w:rPr>
                <w:color w:val="000000"/>
                <w:sz w:val="14"/>
                <w:szCs w:val="14"/>
                <w:lang w:eastAsia="tr-TR"/>
              </w:rPr>
              <w:t xml:space="preserve">Kredi Kartları ve Bankacılık Hizmetlerine İlişkin Promosyon </w:t>
            </w:r>
            <w:proofErr w:type="spellStart"/>
            <w:r w:rsidRPr="00EE0DB2">
              <w:rPr>
                <w:color w:val="000000"/>
                <w:sz w:val="14"/>
                <w:szCs w:val="14"/>
                <w:lang w:eastAsia="tr-TR"/>
              </w:rPr>
              <w:t>Uyg</w:t>
            </w:r>
            <w:proofErr w:type="spellEnd"/>
            <w:r w:rsidRPr="00EE0DB2">
              <w:rPr>
                <w:color w:val="000000"/>
                <w:sz w:val="14"/>
                <w:szCs w:val="14"/>
                <w:lang w:eastAsia="tr-TR"/>
              </w:rPr>
              <w:t xml:space="preserve">. </w:t>
            </w:r>
            <w:proofErr w:type="spellStart"/>
            <w:r w:rsidRPr="00EE0DB2">
              <w:rPr>
                <w:color w:val="000000"/>
                <w:sz w:val="14"/>
                <w:szCs w:val="14"/>
                <w:lang w:eastAsia="tr-TR"/>
              </w:rPr>
              <w:t>Taah</w:t>
            </w:r>
            <w:proofErr w:type="spellEnd"/>
            <w:r w:rsidRPr="00EE0DB2">
              <w:rPr>
                <w:color w:val="000000"/>
                <w:sz w:val="14"/>
                <w:szCs w:val="14"/>
                <w:lang w:eastAsia="tr-TR"/>
              </w:rPr>
              <w:t>.</w:t>
            </w:r>
          </w:p>
        </w:tc>
        <w:tc>
          <w:tcPr>
            <w:tcW w:w="576" w:type="dxa"/>
            <w:tcBorders>
              <w:top w:val="nil"/>
              <w:left w:val="single" w:sz="4" w:space="0" w:color="auto"/>
              <w:bottom w:val="nil"/>
              <w:right w:val="single" w:sz="4" w:space="0" w:color="auto"/>
            </w:tcBorders>
            <w:shd w:val="clear" w:color="auto" w:fill="auto"/>
            <w:vAlign w:val="center"/>
            <w:hideMark/>
          </w:tcPr>
          <w:p w14:paraId="7696581F"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0BF9F31" w14:textId="77777777" w:rsidR="00EE0DB2" w:rsidRPr="00EE0DB2" w:rsidRDefault="00EE0DB2" w:rsidP="00EE0DB2">
            <w:pPr>
              <w:jc w:val="right"/>
              <w:rPr>
                <w:sz w:val="14"/>
                <w:szCs w:val="14"/>
                <w:lang w:eastAsia="tr-TR"/>
              </w:rPr>
            </w:pPr>
            <w:r w:rsidRPr="00EE0DB2">
              <w:rPr>
                <w:sz w:val="14"/>
                <w:szCs w:val="14"/>
                <w:lang w:eastAsia="tr-TR"/>
              </w:rPr>
              <w:t>2,839</w:t>
            </w:r>
          </w:p>
        </w:tc>
        <w:tc>
          <w:tcPr>
            <w:tcW w:w="885" w:type="dxa"/>
            <w:tcBorders>
              <w:top w:val="nil"/>
              <w:left w:val="single" w:sz="4" w:space="0" w:color="auto"/>
              <w:bottom w:val="nil"/>
              <w:right w:val="single" w:sz="4" w:space="0" w:color="auto"/>
            </w:tcBorders>
            <w:shd w:val="clear" w:color="auto" w:fill="auto"/>
            <w:vAlign w:val="center"/>
            <w:hideMark/>
          </w:tcPr>
          <w:p w14:paraId="524ACD14"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AAA4D8A" w14:textId="77777777" w:rsidR="00EE0DB2" w:rsidRPr="00EE0DB2" w:rsidRDefault="00EE0DB2" w:rsidP="00EE0DB2">
            <w:pPr>
              <w:jc w:val="right"/>
              <w:rPr>
                <w:sz w:val="14"/>
                <w:szCs w:val="14"/>
                <w:lang w:eastAsia="tr-TR"/>
              </w:rPr>
            </w:pPr>
            <w:r w:rsidRPr="00EE0DB2">
              <w:rPr>
                <w:sz w:val="14"/>
                <w:szCs w:val="14"/>
                <w:lang w:eastAsia="tr-TR"/>
              </w:rPr>
              <w:t>2,839</w:t>
            </w:r>
          </w:p>
        </w:tc>
        <w:tc>
          <w:tcPr>
            <w:tcW w:w="886" w:type="dxa"/>
            <w:tcBorders>
              <w:top w:val="nil"/>
              <w:left w:val="single" w:sz="4" w:space="0" w:color="auto"/>
              <w:bottom w:val="nil"/>
              <w:right w:val="single" w:sz="4" w:space="0" w:color="auto"/>
            </w:tcBorders>
            <w:shd w:val="clear" w:color="auto" w:fill="auto"/>
            <w:vAlign w:val="center"/>
            <w:hideMark/>
          </w:tcPr>
          <w:p w14:paraId="126D5AD6" w14:textId="77777777" w:rsidR="00EE0DB2" w:rsidRPr="00EE0DB2" w:rsidRDefault="00EE0DB2" w:rsidP="00EE0DB2">
            <w:pPr>
              <w:jc w:val="right"/>
              <w:rPr>
                <w:sz w:val="14"/>
                <w:szCs w:val="14"/>
                <w:lang w:eastAsia="tr-TR"/>
              </w:rPr>
            </w:pPr>
            <w:r w:rsidRPr="00EE0DB2">
              <w:rPr>
                <w:sz w:val="14"/>
                <w:szCs w:val="14"/>
                <w:lang w:eastAsia="tr-TR"/>
              </w:rPr>
              <w:t>2,514</w:t>
            </w:r>
          </w:p>
        </w:tc>
        <w:tc>
          <w:tcPr>
            <w:tcW w:w="885" w:type="dxa"/>
            <w:tcBorders>
              <w:top w:val="nil"/>
              <w:left w:val="single" w:sz="4" w:space="0" w:color="auto"/>
              <w:bottom w:val="nil"/>
              <w:right w:val="single" w:sz="4" w:space="0" w:color="auto"/>
            </w:tcBorders>
            <w:shd w:val="clear" w:color="auto" w:fill="auto"/>
            <w:vAlign w:val="center"/>
            <w:hideMark/>
          </w:tcPr>
          <w:p w14:paraId="084283F6"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ACD1B07" w14:textId="77777777" w:rsidR="00EE0DB2" w:rsidRPr="00EE0DB2" w:rsidRDefault="00EE0DB2" w:rsidP="00EE0DB2">
            <w:pPr>
              <w:jc w:val="right"/>
              <w:rPr>
                <w:sz w:val="14"/>
                <w:szCs w:val="14"/>
                <w:lang w:eastAsia="tr-TR"/>
              </w:rPr>
            </w:pPr>
            <w:r w:rsidRPr="00EE0DB2">
              <w:rPr>
                <w:sz w:val="14"/>
                <w:szCs w:val="14"/>
                <w:lang w:eastAsia="tr-TR"/>
              </w:rPr>
              <w:t>2,514</w:t>
            </w:r>
          </w:p>
        </w:tc>
      </w:tr>
      <w:tr w:rsidR="00EE0DB2" w:rsidRPr="00EE0DB2" w14:paraId="244F82E8"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0072923E" w14:textId="77777777" w:rsidR="00EE0DB2" w:rsidRPr="00EE0DB2" w:rsidRDefault="00EE0DB2" w:rsidP="00EE0DB2">
            <w:pPr>
              <w:rPr>
                <w:color w:val="000000"/>
                <w:sz w:val="14"/>
                <w:szCs w:val="14"/>
                <w:lang w:eastAsia="tr-TR"/>
              </w:rPr>
            </w:pPr>
            <w:r w:rsidRPr="00EE0DB2">
              <w:rPr>
                <w:color w:val="000000"/>
                <w:sz w:val="14"/>
                <w:szCs w:val="14"/>
                <w:lang w:eastAsia="tr-TR"/>
              </w:rPr>
              <w:t>2.1.10.</w:t>
            </w:r>
          </w:p>
        </w:tc>
        <w:tc>
          <w:tcPr>
            <w:tcW w:w="3812" w:type="dxa"/>
            <w:gridSpan w:val="2"/>
            <w:tcBorders>
              <w:top w:val="nil"/>
              <w:left w:val="single" w:sz="4" w:space="0" w:color="auto"/>
              <w:bottom w:val="nil"/>
              <w:right w:val="single" w:sz="4" w:space="0" w:color="auto"/>
            </w:tcBorders>
            <w:shd w:val="clear" w:color="auto" w:fill="auto"/>
            <w:noWrap/>
            <w:vAlign w:val="center"/>
            <w:hideMark/>
          </w:tcPr>
          <w:p w14:paraId="46611004" w14:textId="77777777" w:rsidR="00EE0DB2" w:rsidRPr="00EE0DB2" w:rsidRDefault="00EE0DB2" w:rsidP="00EE0DB2">
            <w:pPr>
              <w:rPr>
                <w:color w:val="000000"/>
                <w:sz w:val="14"/>
                <w:szCs w:val="14"/>
                <w:lang w:eastAsia="tr-TR"/>
              </w:rPr>
            </w:pPr>
            <w:r w:rsidRPr="00EE0DB2">
              <w:rPr>
                <w:color w:val="000000"/>
                <w:sz w:val="14"/>
                <w:szCs w:val="14"/>
                <w:lang w:eastAsia="tr-TR"/>
              </w:rPr>
              <w:t>Açığa Menkul Kıymet Satış Taahhütlerinden Alacaklar</w:t>
            </w:r>
          </w:p>
        </w:tc>
        <w:tc>
          <w:tcPr>
            <w:tcW w:w="886" w:type="dxa"/>
            <w:tcBorders>
              <w:top w:val="nil"/>
              <w:left w:val="single" w:sz="4" w:space="0" w:color="auto"/>
              <w:bottom w:val="nil"/>
              <w:right w:val="single" w:sz="4" w:space="0" w:color="auto"/>
            </w:tcBorders>
            <w:shd w:val="clear" w:color="auto" w:fill="auto"/>
            <w:vAlign w:val="center"/>
            <w:hideMark/>
          </w:tcPr>
          <w:p w14:paraId="14B04BD7"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A5A22A3"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EEFB581"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4D132474"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26A4317"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19CB819"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4D87DD95"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195DC072" w14:textId="77777777" w:rsidR="00EE0DB2" w:rsidRPr="00EE0DB2" w:rsidRDefault="00EE0DB2" w:rsidP="00EE0DB2">
            <w:pPr>
              <w:rPr>
                <w:color w:val="000000"/>
                <w:sz w:val="14"/>
                <w:szCs w:val="14"/>
                <w:lang w:eastAsia="tr-TR"/>
              </w:rPr>
            </w:pPr>
            <w:r w:rsidRPr="00EE0DB2">
              <w:rPr>
                <w:color w:val="000000"/>
                <w:sz w:val="14"/>
                <w:szCs w:val="14"/>
                <w:lang w:eastAsia="tr-TR"/>
              </w:rPr>
              <w:t>2.1.11.</w:t>
            </w:r>
          </w:p>
        </w:tc>
        <w:tc>
          <w:tcPr>
            <w:tcW w:w="3236" w:type="dxa"/>
            <w:tcBorders>
              <w:top w:val="nil"/>
              <w:left w:val="single" w:sz="4" w:space="0" w:color="auto"/>
              <w:bottom w:val="nil"/>
              <w:right w:val="single" w:sz="4" w:space="0" w:color="auto"/>
            </w:tcBorders>
            <w:shd w:val="clear" w:color="auto" w:fill="auto"/>
            <w:noWrap/>
            <w:vAlign w:val="center"/>
            <w:hideMark/>
          </w:tcPr>
          <w:p w14:paraId="3CAC97CD" w14:textId="77777777" w:rsidR="00EE0DB2" w:rsidRPr="00EE0DB2" w:rsidRDefault="00EE0DB2" w:rsidP="00EE0DB2">
            <w:pPr>
              <w:rPr>
                <w:color w:val="000000"/>
                <w:sz w:val="14"/>
                <w:szCs w:val="14"/>
                <w:lang w:eastAsia="tr-TR"/>
              </w:rPr>
            </w:pPr>
            <w:r w:rsidRPr="00EE0DB2">
              <w:rPr>
                <w:color w:val="000000"/>
                <w:sz w:val="14"/>
                <w:szCs w:val="14"/>
                <w:lang w:eastAsia="tr-TR"/>
              </w:rPr>
              <w:t>Açığa Menkul Kıymet Satış Taahhütlerinden Borçlar</w:t>
            </w:r>
          </w:p>
        </w:tc>
        <w:tc>
          <w:tcPr>
            <w:tcW w:w="576" w:type="dxa"/>
            <w:tcBorders>
              <w:top w:val="nil"/>
              <w:left w:val="single" w:sz="4" w:space="0" w:color="auto"/>
              <w:bottom w:val="nil"/>
              <w:right w:val="single" w:sz="4" w:space="0" w:color="auto"/>
            </w:tcBorders>
            <w:shd w:val="clear" w:color="auto" w:fill="auto"/>
            <w:vAlign w:val="center"/>
            <w:hideMark/>
          </w:tcPr>
          <w:p w14:paraId="44486AC4"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934AC22"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4BC6067"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9CB3745"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74142276"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37B0540"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1852FCE"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3873DBB8"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704C7E9C" w14:textId="77777777" w:rsidR="00EE0DB2" w:rsidRPr="00EE0DB2" w:rsidRDefault="00EE0DB2" w:rsidP="00EE0DB2">
            <w:pPr>
              <w:rPr>
                <w:color w:val="000000"/>
                <w:sz w:val="14"/>
                <w:szCs w:val="14"/>
                <w:lang w:eastAsia="tr-TR"/>
              </w:rPr>
            </w:pPr>
            <w:r w:rsidRPr="00EE0DB2">
              <w:rPr>
                <w:color w:val="000000"/>
                <w:sz w:val="14"/>
                <w:szCs w:val="14"/>
                <w:lang w:eastAsia="tr-TR"/>
              </w:rPr>
              <w:t>2.1.12.</w:t>
            </w:r>
          </w:p>
        </w:tc>
        <w:tc>
          <w:tcPr>
            <w:tcW w:w="3236" w:type="dxa"/>
            <w:tcBorders>
              <w:top w:val="nil"/>
              <w:left w:val="single" w:sz="4" w:space="0" w:color="auto"/>
              <w:bottom w:val="nil"/>
              <w:right w:val="single" w:sz="4" w:space="0" w:color="auto"/>
            </w:tcBorders>
            <w:shd w:val="clear" w:color="auto" w:fill="auto"/>
            <w:noWrap/>
            <w:vAlign w:val="center"/>
            <w:hideMark/>
          </w:tcPr>
          <w:p w14:paraId="41A20C93" w14:textId="77777777" w:rsidR="00EE0DB2" w:rsidRPr="00EE0DB2" w:rsidRDefault="00EE0DB2" w:rsidP="00EE0DB2">
            <w:pPr>
              <w:rPr>
                <w:color w:val="000000"/>
                <w:sz w:val="14"/>
                <w:szCs w:val="14"/>
                <w:lang w:eastAsia="tr-TR"/>
              </w:rPr>
            </w:pPr>
            <w:r w:rsidRPr="00EE0DB2">
              <w:rPr>
                <w:color w:val="000000"/>
                <w:sz w:val="14"/>
                <w:szCs w:val="14"/>
                <w:lang w:eastAsia="tr-TR"/>
              </w:rPr>
              <w:t>Diğer Cayılamaz Taahhütler</w:t>
            </w:r>
          </w:p>
        </w:tc>
        <w:tc>
          <w:tcPr>
            <w:tcW w:w="576" w:type="dxa"/>
            <w:tcBorders>
              <w:top w:val="nil"/>
              <w:left w:val="single" w:sz="4" w:space="0" w:color="auto"/>
              <w:bottom w:val="nil"/>
              <w:right w:val="single" w:sz="4" w:space="0" w:color="auto"/>
            </w:tcBorders>
            <w:shd w:val="clear" w:color="auto" w:fill="auto"/>
            <w:vAlign w:val="center"/>
            <w:hideMark/>
          </w:tcPr>
          <w:p w14:paraId="00C93E72"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36D4320" w14:textId="77777777" w:rsidR="00EE0DB2" w:rsidRPr="00EE0DB2" w:rsidRDefault="00EE0DB2" w:rsidP="00EE0DB2">
            <w:pPr>
              <w:jc w:val="right"/>
              <w:rPr>
                <w:sz w:val="14"/>
                <w:szCs w:val="14"/>
                <w:lang w:eastAsia="tr-TR"/>
              </w:rPr>
            </w:pPr>
            <w:r w:rsidRPr="00EE0DB2">
              <w:rPr>
                <w:sz w:val="14"/>
                <w:szCs w:val="14"/>
                <w:lang w:eastAsia="tr-TR"/>
              </w:rPr>
              <w:t>17,757</w:t>
            </w:r>
          </w:p>
        </w:tc>
        <w:tc>
          <w:tcPr>
            <w:tcW w:w="885" w:type="dxa"/>
            <w:tcBorders>
              <w:top w:val="nil"/>
              <w:left w:val="single" w:sz="4" w:space="0" w:color="auto"/>
              <w:bottom w:val="nil"/>
              <w:right w:val="single" w:sz="4" w:space="0" w:color="auto"/>
            </w:tcBorders>
            <w:shd w:val="clear" w:color="auto" w:fill="auto"/>
            <w:vAlign w:val="center"/>
            <w:hideMark/>
          </w:tcPr>
          <w:p w14:paraId="51B506CE"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8D2EC85" w14:textId="77777777" w:rsidR="00EE0DB2" w:rsidRPr="00EE0DB2" w:rsidRDefault="00EE0DB2" w:rsidP="00EE0DB2">
            <w:pPr>
              <w:jc w:val="right"/>
              <w:rPr>
                <w:sz w:val="14"/>
                <w:szCs w:val="14"/>
                <w:lang w:eastAsia="tr-TR"/>
              </w:rPr>
            </w:pPr>
            <w:r w:rsidRPr="00EE0DB2">
              <w:rPr>
                <w:sz w:val="14"/>
                <w:szCs w:val="14"/>
                <w:lang w:eastAsia="tr-TR"/>
              </w:rPr>
              <w:t>17,757</w:t>
            </w:r>
          </w:p>
        </w:tc>
        <w:tc>
          <w:tcPr>
            <w:tcW w:w="886" w:type="dxa"/>
            <w:tcBorders>
              <w:top w:val="nil"/>
              <w:left w:val="single" w:sz="4" w:space="0" w:color="auto"/>
              <w:bottom w:val="nil"/>
              <w:right w:val="single" w:sz="4" w:space="0" w:color="auto"/>
            </w:tcBorders>
            <w:shd w:val="clear" w:color="auto" w:fill="auto"/>
            <w:vAlign w:val="center"/>
            <w:hideMark/>
          </w:tcPr>
          <w:p w14:paraId="3EC8826F" w14:textId="77777777" w:rsidR="00EE0DB2" w:rsidRPr="00EE0DB2" w:rsidRDefault="00EE0DB2" w:rsidP="00EE0DB2">
            <w:pPr>
              <w:jc w:val="right"/>
              <w:rPr>
                <w:sz w:val="14"/>
                <w:szCs w:val="14"/>
                <w:lang w:eastAsia="tr-TR"/>
              </w:rPr>
            </w:pPr>
            <w:r w:rsidRPr="00EE0DB2">
              <w:rPr>
                <w:sz w:val="14"/>
                <w:szCs w:val="14"/>
                <w:lang w:eastAsia="tr-TR"/>
              </w:rPr>
              <w:t>17,757</w:t>
            </w:r>
          </w:p>
        </w:tc>
        <w:tc>
          <w:tcPr>
            <w:tcW w:w="885" w:type="dxa"/>
            <w:tcBorders>
              <w:top w:val="nil"/>
              <w:left w:val="single" w:sz="4" w:space="0" w:color="auto"/>
              <w:bottom w:val="nil"/>
              <w:right w:val="single" w:sz="4" w:space="0" w:color="auto"/>
            </w:tcBorders>
            <w:shd w:val="clear" w:color="auto" w:fill="auto"/>
            <w:vAlign w:val="center"/>
            <w:hideMark/>
          </w:tcPr>
          <w:p w14:paraId="2D40A72E" w14:textId="77777777" w:rsidR="00EE0DB2" w:rsidRPr="00EE0DB2" w:rsidRDefault="00EE0DB2" w:rsidP="00EE0DB2">
            <w:pPr>
              <w:jc w:val="right"/>
              <w:rPr>
                <w:sz w:val="14"/>
                <w:szCs w:val="14"/>
                <w:lang w:eastAsia="tr-TR"/>
              </w:rPr>
            </w:pPr>
            <w:r w:rsidRPr="00EE0DB2">
              <w:rPr>
                <w:sz w:val="14"/>
                <w:szCs w:val="14"/>
                <w:lang w:eastAsia="tr-TR"/>
              </w:rPr>
              <w:t>3,046</w:t>
            </w:r>
          </w:p>
        </w:tc>
        <w:tc>
          <w:tcPr>
            <w:tcW w:w="885" w:type="dxa"/>
            <w:tcBorders>
              <w:top w:val="nil"/>
              <w:left w:val="single" w:sz="4" w:space="0" w:color="auto"/>
              <w:bottom w:val="nil"/>
              <w:right w:val="single" w:sz="4" w:space="0" w:color="auto"/>
            </w:tcBorders>
            <w:shd w:val="clear" w:color="auto" w:fill="auto"/>
            <w:vAlign w:val="center"/>
            <w:hideMark/>
          </w:tcPr>
          <w:p w14:paraId="245A54CC" w14:textId="77777777" w:rsidR="00EE0DB2" w:rsidRPr="00EE0DB2" w:rsidRDefault="00EE0DB2" w:rsidP="00EE0DB2">
            <w:pPr>
              <w:jc w:val="right"/>
              <w:rPr>
                <w:sz w:val="14"/>
                <w:szCs w:val="14"/>
                <w:lang w:eastAsia="tr-TR"/>
              </w:rPr>
            </w:pPr>
            <w:r w:rsidRPr="00EE0DB2">
              <w:rPr>
                <w:sz w:val="14"/>
                <w:szCs w:val="14"/>
                <w:lang w:eastAsia="tr-TR"/>
              </w:rPr>
              <w:t>20,803</w:t>
            </w:r>
          </w:p>
        </w:tc>
      </w:tr>
      <w:tr w:rsidR="00EE0DB2" w:rsidRPr="00EE0DB2" w14:paraId="66175EB7"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4FC0F1DE" w14:textId="77777777" w:rsidR="00EE0DB2" w:rsidRPr="00EE0DB2" w:rsidRDefault="00EE0DB2" w:rsidP="00EE0DB2">
            <w:pPr>
              <w:rPr>
                <w:color w:val="000000"/>
                <w:sz w:val="14"/>
                <w:szCs w:val="14"/>
                <w:lang w:eastAsia="tr-TR"/>
              </w:rPr>
            </w:pPr>
            <w:r w:rsidRPr="00EE0DB2">
              <w:rPr>
                <w:color w:val="000000"/>
                <w:sz w:val="14"/>
                <w:szCs w:val="14"/>
                <w:lang w:eastAsia="tr-TR"/>
              </w:rPr>
              <w:t>2.2.</w:t>
            </w:r>
          </w:p>
        </w:tc>
        <w:tc>
          <w:tcPr>
            <w:tcW w:w="3236" w:type="dxa"/>
            <w:tcBorders>
              <w:top w:val="nil"/>
              <w:left w:val="single" w:sz="4" w:space="0" w:color="auto"/>
              <w:bottom w:val="nil"/>
              <w:right w:val="single" w:sz="4" w:space="0" w:color="auto"/>
            </w:tcBorders>
            <w:shd w:val="clear" w:color="auto" w:fill="auto"/>
            <w:noWrap/>
            <w:vAlign w:val="center"/>
            <w:hideMark/>
          </w:tcPr>
          <w:p w14:paraId="380BAB30" w14:textId="77777777" w:rsidR="00EE0DB2" w:rsidRPr="00EE0DB2" w:rsidRDefault="00EE0DB2" w:rsidP="00EE0DB2">
            <w:pPr>
              <w:rPr>
                <w:color w:val="000000"/>
                <w:sz w:val="14"/>
                <w:szCs w:val="14"/>
                <w:lang w:eastAsia="tr-TR"/>
              </w:rPr>
            </w:pPr>
            <w:r w:rsidRPr="00EE0DB2">
              <w:rPr>
                <w:color w:val="000000"/>
                <w:sz w:val="14"/>
                <w:szCs w:val="14"/>
                <w:lang w:eastAsia="tr-TR"/>
              </w:rPr>
              <w:t>Cayılabilir Taahhütler</w:t>
            </w:r>
          </w:p>
        </w:tc>
        <w:tc>
          <w:tcPr>
            <w:tcW w:w="576" w:type="dxa"/>
            <w:tcBorders>
              <w:top w:val="nil"/>
              <w:left w:val="single" w:sz="4" w:space="0" w:color="auto"/>
              <w:bottom w:val="nil"/>
              <w:right w:val="single" w:sz="4" w:space="0" w:color="auto"/>
            </w:tcBorders>
            <w:shd w:val="clear" w:color="auto" w:fill="auto"/>
            <w:vAlign w:val="center"/>
            <w:hideMark/>
          </w:tcPr>
          <w:p w14:paraId="32B32C9A"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EC2D375" w14:textId="77777777" w:rsidR="00EE0DB2" w:rsidRPr="00EE0DB2" w:rsidRDefault="00EE0DB2" w:rsidP="00EE0DB2">
            <w:pPr>
              <w:jc w:val="right"/>
              <w:rPr>
                <w:sz w:val="14"/>
                <w:szCs w:val="14"/>
                <w:lang w:eastAsia="tr-TR"/>
              </w:rPr>
            </w:pPr>
            <w:r w:rsidRPr="00EE0DB2">
              <w:rPr>
                <w:sz w:val="14"/>
                <w:szCs w:val="14"/>
                <w:lang w:eastAsia="tr-TR"/>
              </w:rPr>
              <w:t>47,769,881</w:t>
            </w:r>
          </w:p>
        </w:tc>
        <w:tc>
          <w:tcPr>
            <w:tcW w:w="885" w:type="dxa"/>
            <w:tcBorders>
              <w:top w:val="nil"/>
              <w:left w:val="single" w:sz="4" w:space="0" w:color="auto"/>
              <w:bottom w:val="nil"/>
              <w:right w:val="single" w:sz="4" w:space="0" w:color="auto"/>
            </w:tcBorders>
            <w:shd w:val="clear" w:color="auto" w:fill="auto"/>
            <w:vAlign w:val="center"/>
            <w:hideMark/>
          </w:tcPr>
          <w:p w14:paraId="3336FC3B"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F773D45" w14:textId="77777777" w:rsidR="00EE0DB2" w:rsidRPr="00EE0DB2" w:rsidRDefault="00EE0DB2" w:rsidP="00EE0DB2">
            <w:pPr>
              <w:jc w:val="right"/>
              <w:rPr>
                <w:sz w:val="14"/>
                <w:szCs w:val="14"/>
                <w:lang w:eastAsia="tr-TR"/>
              </w:rPr>
            </w:pPr>
            <w:r w:rsidRPr="00EE0DB2">
              <w:rPr>
                <w:sz w:val="14"/>
                <w:szCs w:val="14"/>
                <w:lang w:eastAsia="tr-TR"/>
              </w:rPr>
              <w:t>47,769,881</w:t>
            </w:r>
          </w:p>
        </w:tc>
        <w:tc>
          <w:tcPr>
            <w:tcW w:w="886" w:type="dxa"/>
            <w:tcBorders>
              <w:top w:val="nil"/>
              <w:left w:val="single" w:sz="4" w:space="0" w:color="auto"/>
              <w:bottom w:val="nil"/>
              <w:right w:val="single" w:sz="4" w:space="0" w:color="auto"/>
            </w:tcBorders>
            <w:shd w:val="clear" w:color="auto" w:fill="auto"/>
            <w:vAlign w:val="center"/>
            <w:hideMark/>
          </w:tcPr>
          <w:p w14:paraId="7C767819" w14:textId="77777777" w:rsidR="00EE0DB2" w:rsidRPr="00EE0DB2" w:rsidRDefault="00EE0DB2" w:rsidP="00EE0DB2">
            <w:pPr>
              <w:jc w:val="right"/>
              <w:rPr>
                <w:sz w:val="14"/>
                <w:szCs w:val="14"/>
                <w:lang w:eastAsia="tr-TR"/>
              </w:rPr>
            </w:pPr>
            <w:r w:rsidRPr="00EE0DB2">
              <w:rPr>
                <w:sz w:val="14"/>
                <w:szCs w:val="14"/>
                <w:lang w:eastAsia="tr-TR"/>
              </w:rPr>
              <w:t>47,355,140</w:t>
            </w:r>
          </w:p>
        </w:tc>
        <w:tc>
          <w:tcPr>
            <w:tcW w:w="885" w:type="dxa"/>
            <w:tcBorders>
              <w:top w:val="nil"/>
              <w:left w:val="single" w:sz="4" w:space="0" w:color="auto"/>
              <w:bottom w:val="nil"/>
              <w:right w:val="single" w:sz="4" w:space="0" w:color="auto"/>
            </w:tcBorders>
            <w:shd w:val="clear" w:color="auto" w:fill="auto"/>
            <w:vAlign w:val="center"/>
            <w:hideMark/>
          </w:tcPr>
          <w:p w14:paraId="67EA56D5"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4121E0B" w14:textId="77777777" w:rsidR="00EE0DB2" w:rsidRPr="00EE0DB2" w:rsidRDefault="00EE0DB2" w:rsidP="00EE0DB2">
            <w:pPr>
              <w:jc w:val="right"/>
              <w:rPr>
                <w:sz w:val="14"/>
                <w:szCs w:val="14"/>
                <w:lang w:eastAsia="tr-TR"/>
              </w:rPr>
            </w:pPr>
            <w:r w:rsidRPr="00EE0DB2">
              <w:rPr>
                <w:sz w:val="14"/>
                <w:szCs w:val="14"/>
                <w:lang w:eastAsia="tr-TR"/>
              </w:rPr>
              <w:t>47,355,140</w:t>
            </w:r>
          </w:p>
        </w:tc>
      </w:tr>
      <w:tr w:rsidR="00EE0DB2" w:rsidRPr="00EE0DB2" w14:paraId="7892FA7D"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299980B4" w14:textId="77777777" w:rsidR="00EE0DB2" w:rsidRPr="00EE0DB2" w:rsidRDefault="00EE0DB2" w:rsidP="00EE0DB2">
            <w:pPr>
              <w:rPr>
                <w:color w:val="000000"/>
                <w:sz w:val="14"/>
                <w:szCs w:val="14"/>
                <w:lang w:eastAsia="tr-TR"/>
              </w:rPr>
            </w:pPr>
            <w:r w:rsidRPr="00EE0DB2">
              <w:rPr>
                <w:color w:val="000000"/>
                <w:sz w:val="14"/>
                <w:szCs w:val="14"/>
                <w:lang w:eastAsia="tr-TR"/>
              </w:rPr>
              <w:t>2.2.1.</w:t>
            </w:r>
          </w:p>
        </w:tc>
        <w:tc>
          <w:tcPr>
            <w:tcW w:w="3236" w:type="dxa"/>
            <w:tcBorders>
              <w:top w:val="nil"/>
              <w:left w:val="single" w:sz="4" w:space="0" w:color="auto"/>
              <w:bottom w:val="nil"/>
              <w:right w:val="single" w:sz="4" w:space="0" w:color="auto"/>
            </w:tcBorders>
            <w:shd w:val="clear" w:color="auto" w:fill="auto"/>
            <w:noWrap/>
            <w:vAlign w:val="center"/>
            <w:hideMark/>
          </w:tcPr>
          <w:p w14:paraId="00EB344A" w14:textId="77777777" w:rsidR="00EE0DB2" w:rsidRPr="00EE0DB2" w:rsidRDefault="00EE0DB2" w:rsidP="00EE0DB2">
            <w:pPr>
              <w:rPr>
                <w:color w:val="000000"/>
                <w:sz w:val="14"/>
                <w:szCs w:val="14"/>
                <w:lang w:eastAsia="tr-TR"/>
              </w:rPr>
            </w:pPr>
            <w:r w:rsidRPr="00EE0DB2">
              <w:rPr>
                <w:color w:val="000000"/>
                <w:sz w:val="14"/>
                <w:szCs w:val="14"/>
                <w:lang w:eastAsia="tr-TR"/>
              </w:rPr>
              <w:t>Cayılabilir Kredi Tahsis Taahhütleri</w:t>
            </w:r>
          </w:p>
        </w:tc>
        <w:tc>
          <w:tcPr>
            <w:tcW w:w="576" w:type="dxa"/>
            <w:tcBorders>
              <w:top w:val="nil"/>
              <w:left w:val="single" w:sz="4" w:space="0" w:color="auto"/>
              <w:bottom w:val="nil"/>
              <w:right w:val="single" w:sz="4" w:space="0" w:color="auto"/>
            </w:tcBorders>
            <w:shd w:val="clear" w:color="auto" w:fill="auto"/>
            <w:vAlign w:val="center"/>
            <w:hideMark/>
          </w:tcPr>
          <w:p w14:paraId="5A41A584"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377A05B" w14:textId="77777777" w:rsidR="00EE0DB2" w:rsidRPr="00EE0DB2" w:rsidRDefault="00EE0DB2" w:rsidP="00EE0DB2">
            <w:pPr>
              <w:jc w:val="right"/>
              <w:rPr>
                <w:sz w:val="14"/>
                <w:szCs w:val="14"/>
                <w:lang w:eastAsia="tr-TR"/>
              </w:rPr>
            </w:pPr>
            <w:r w:rsidRPr="00EE0DB2">
              <w:rPr>
                <w:sz w:val="14"/>
                <w:szCs w:val="14"/>
                <w:lang w:eastAsia="tr-TR"/>
              </w:rPr>
              <w:t>47,769,881</w:t>
            </w:r>
          </w:p>
        </w:tc>
        <w:tc>
          <w:tcPr>
            <w:tcW w:w="885" w:type="dxa"/>
            <w:tcBorders>
              <w:top w:val="nil"/>
              <w:left w:val="single" w:sz="4" w:space="0" w:color="auto"/>
              <w:bottom w:val="nil"/>
              <w:right w:val="single" w:sz="4" w:space="0" w:color="auto"/>
            </w:tcBorders>
            <w:shd w:val="clear" w:color="auto" w:fill="auto"/>
            <w:vAlign w:val="center"/>
            <w:hideMark/>
          </w:tcPr>
          <w:p w14:paraId="3F4F9B79"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C0C57AE" w14:textId="77777777" w:rsidR="00EE0DB2" w:rsidRPr="00EE0DB2" w:rsidRDefault="00EE0DB2" w:rsidP="00EE0DB2">
            <w:pPr>
              <w:jc w:val="right"/>
              <w:rPr>
                <w:sz w:val="14"/>
                <w:szCs w:val="14"/>
                <w:lang w:eastAsia="tr-TR"/>
              </w:rPr>
            </w:pPr>
            <w:r w:rsidRPr="00EE0DB2">
              <w:rPr>
                <w:sz w:val="14"/>
                <w:szCs w:val="14"/>
                <w:lang w:eastAsia="tr-TR"/>
              </w:rPr>
              <w:t>47,769,881</w:t>
            </w:r>
          </w:p>
        </w:tc>
        <w:tc>
          <w:tcPr>
            <w:tcW w:w="886" w:type="dxa"/>
            <w:tcBorders>
              <w:top w:val="nil"/>
              <w:left w:val="single" w:sz="4" w:space="0" w:color="auto"/>
              <w:bottom w:val="nil"/>
              <w:right w:val="single" w:sz="4" w:space="0" w:color="auto"/>
            </w:tcBorders>
            <w:shd w:val="clear" w:color="auto" w:fill="auto"/>
            <w:vAlign w:val="center"/>
            <w:hideMark/>
          </w:tcPr>
          <w:p w14:paraId="308CAF8A" w14:textId="77777777" w:rsidR="00EE0DB2" w:rsidRPr="00EE0DB2" w:rsidRDefault="00EE0DB2" w:rsidP="00EE0DB2">
            <w:pPr>
              <w:jc w:val="right"/>
              <w:rPr>
                <w:sz w:val="14"/>
                <w:szCs w:val="14"/>
                <w:lang w:eastAsia="tr-TR"/>
              </w:rPr>
            </w:pPr>
            <w:r w:rsidRPr="00EE0DB2">
              <w:rPr>
                <w:sz w:val="14"/>
                <w:szCs w:val="14"/>
                <w:lang w:eastAsia="tr-TR"/>
              </w:rPr>
              <w:t>47,355,140</w:t>
            </w:r>
          </w:p>
        </w:tc>
        <w:tc>
          <w:tcPr>
            <w:tcW w:w="885" w:type="dxa"/>
            <w:tcBorders>
              <w:top w:val="nil"/>
              <w:left w:val="single" w:sz="4" w:space="0" w:color="auto"/>
              <w:bottom w:val="nil"/>
              <w:right w:val="single" w:sz="4" w:space="0" w:color="auto"/>
            </w:tcBorders>
            <w:shd w:val="clear" w:color="auto" w:fill="auto"/>
            <w:vAlign w:val="center"/>
            <w:hideMark/>
          </w:tcPr>
          <w:p w14:paraId="20370864"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A49B433" w14:textId="77777777" w:rsidR="00EE0DB2" w:rsidRPr="00EE0DB2" w:rsidRDefault="00EE0DB2" w:rsidP="00EE0DB2">
            <w:pPr>
              <w:jc w:val="right"/>
              <w:rPr>
                <w:sz w:val="14"/>
                <w:szCs w:val="14"/>
                <w:lang w:eastAsia="tr-TR"/>
              </w:rPr>
            </w:pPr>
            <w:r w:rsidRPr="00EE0DB2">
              <w:rPr>
                <w:sz w:val="14"/>
                <w:szCs w:val="14"/>
                <w:lang w:eastAsia="tr-TR"/>
              </w:rPr>
              <w:t>47,355,140</w:t>
            </w:r>
          </w:p>
        </w:tc>
      </w:tr>
      <w:tr w:rsidR="00EE0DB2" w:rsidRPr="00EE0DB2" w14:paraId="46CA04DC"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39A09841" w14:textId="77777777" w:rsidR="00EE0DB2" w:rsidRPr="00EE0DB2" w:rsidRDefault="00EE0DB2" w:rsidP="00EE0DB2">
            <w:pPr>
              <w:rPr>
                <w:color w:val="000000"/>
                <w:sz w:val="14"/>
                <w:szCs w:val="14"/>
                <w:lang w:eastAsia="tr-TR"/>
              </w:rPr>
            </w:pPr>
            <w:r w:rsidRPr="00EE0DB2">
              <w:rPr>
                <w:color w:val="000000"/>
                <w:sz w:val="14"/>
                <w:szCs w:val="14"/>
                <w:lang w:eastAsia="tr-TR"/>
              </w:rPr>
              <w:t>2.2.2.</w:t>
            </w:r>
          </w:p>
        </w:tc>
        <w:tc>
          <w:tcPr>
            <w:tcW w:w="3236" w:type="dxa"/>
            <w:tcBorders>
              <w:top w:val="nil"/>
              <w:left w:val="single" w:sz="4" w:space="0" w:color="auto"/>
              <w:bottom w:val="nil"/>
              <w:right w:val="single" w:sz="4" w:space="0" w:color="auto"/>
            </w:tcBorders>
            <w:shd w:val="clear" w:color="auto" w:fill="auto"/>
            <w:noWrap/>
            <w:vAlign w:val="center"/>
            <w:hideMark/>
          </w:tcPr>
          <w:p w14:paraId="60FDBF6A" w14:textId="77777777" w:rsidR="00EE0DB2" w:rsidRPr="00EE0DB2" w:rsidRDefault="00EE0DB2" w:rsidP="00EE0DB2">
            <w:pPr>
              <w:rPr>
                <w:color w:val="000000"/>
                <w:sz w:val="14"/>
                <w:szCs w:val="14"/>
                <w:lang w:eastAsia="tr-TR"/>
              </w:rPr>
            </w:pPr>
            <w:r w:rsidRPr="00EE0DB2">
              <w:rPr>
                <w:color w:val="000000"/>
                <w:sz w:val="14"/>
                <w:szCs w:val="14"/>
                <w:lang w:eastAsia="tr-TR"/>
              </w:rPr>
              <w:t>Diğer Cayılabilir Taahhütler</w:t>
            </w:r>
          </w:p>
        </w:tc>
        <w:tc>
          <w:tcPr>
            <w:tcW w:w="576" w:type="dxa"/>
            <w:tcBorders>
              <w:top w:val="nil"/>
              <w:left w:val="single" w:sz="4" w:space="0" w:color="auto"/>
              <w:bottom w:val="nil"/>
              <w:right w:val="single" w:sz="4" w:space="0" w:color="auto"/>
            </w:tcBorders>
            <w:shd w:val="clear" w:color="auto" w:fill="auto"/>
            <w:vAlign w:val="center"/>
            <w:hideMark/>
          </w:tcPr>
          <w:p w14:paraId="01A5427E"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BF48E5A"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005DD7A"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C0E5AE6"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7DC211A0"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92B32DE"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94B3F59"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100386C6"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4F29495B"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III.</w:t>
            </w:r>
          </w:p>
        </w:tc>
        <w:tc>
          <w:tcPr>
            <w:tcW w:w="3236" w:type="dxa"/>
            <w:tcBorders>
              <w:top w:val="nil"/>
              <w:left w:val="single" w:sz="4" w:space="0" w:color="auto"/>
              <w:bottom w:val="nil"/>
              <w:right w:val="single" w:sz="4" w:space="0" w:color="auto"/>
            </w:tcBorders>
            <w:shd w:val="clear" w:color="auto" w:fill="auto"/>
            <w:noWrap/>
            <w:vAlign w:val="center"/>
            <w:hideMark/>
          </w:tcPr>
          <w:p w14:paraId="7DF0154D"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TÜREV FİNANSAL ARAÇLAR</w:t>
            </w:r>
          </w:p>
        </w:tc>
        <w:tc>
          <w:tcPr>
            <w:tcW w:w="576" w:type="dxa"/>
            <w:tcBorders>
              <w:top w:val="nil"/>
              <w:left w:val="single" w:sz="4" w:space="0" w:color="auto"/>
              <w:bottom w:val="nil"/>
              <w:right w:val="single" w:sz="4" w:space="0" w:color="auto"/>
            </w:tcBorders>
            <w:shd w:val="clear" w:color="auto" w:fill="auto"/>
            <w:vAlign w:val="center"/>
            <w:hideMark/>
          </w:tcPr>
          <w:p w14:paraId="7E6E24BA" w14:textId="77777777" w:rsidR="00EE0DB2" w:rsidRPr="00EE0DB2" w:rsidRDefault="00EE0DB2" w:rsidP="00EE0DB2">
            <w:pPr>
              <w:rPr>
                <w:b/>
                <w:bCs/>
                <w:sz w:val="14"/>
                <w:szCs w:val="14"/>
                <w:lang w:eastAsia="tr-TR"/>
              </w:rPr>
            </w:pPr>
            <w:r w:rsidRPr="00EE0DB2">
              <w:rPr>
                <w:b/>
                <w:bCs/>
                <w:color w:val="000000"/>
                <w:sz w:val="14"/>
                <w:szCs w:val="14"/>
                <w:lang w:eastAsia="tr-TR"/>
              </w:rPr>
              <w:t>(</w:t>
            </w:r>
            <w:r w:rsidRPr="00EE0DB2">
              <w:rPr>
                <w:b/>
                <w:bCs/>
                <w:sz w:val="14"/>
                <w:szCs w:val="14"/>
                <w:lang w:eastAsia="tr-TR"/>
              </w:rPr>
              <w:t>5.3.2.)</w:t>
            </w:r>
          </w:p>
        </w:tc>
        <w:tc>
          <w:tcPr>
            <w:tcW w:w="886" w:type="dxa"/>
            <w:tcBorders>
              <w:top w:val="nil"/>
              <w:left w:val="single" w:sz="4" w:space="0" w:color="auto"/>
              <w:bottom w:val="nil"/>
              <w:right w:val="single" w:sz="4" w:space="0" w:color="auto"/>
            </w:tcBorders>
            <w:shd w:val="clear" w:color="auto" w:fill="auto"/>
            <w:vAlign w:val="center"/>
            <w:hideMark/>
          </w:tcPr>
          <w:p w14:paraId="6283FA37" w14:textId="77777777" w:rsidR="00EE0DB2" w:rsidRPr="00EE0DB2" w:rsidRDefault="00EE0DB2" w:rsidP="00EE0DB2">
            <w:pPr>
              <w:jc w:val="right"/>
              <w:rPr>
                <w:b/>
                <w:bCs/>
                <w:sz w:val="14"/>
                <w:szCs w:val="14"/>
                <w:lang w:eastAsia="tr-TR"/>
              </w:rPr>
            </w:pPr>
            <w:r w:rsidRPr="00EE0DB2">
              <w:rPr>
                <w:b/>
                <w:bCs/>
                <w:sz w:val="14"/>
                <w:szCs w:val="14"/>
                <w:lang w:eastAsia="tr-TR"/>
              </w:rPr>
              <w:t>20,450,637</w:t>
            </w:r>
          </w:p>
        </w:tc>
        <w:tc>
          <w:tcPr>
            <w:tcW w:w="885" w:type="dxa"/>
            <w:tcBorders>
              <w:top w:val="nil"/>
              <w:left w:val="single" w:sz="4" w:space="0" w:color="auto"/>
              <w:bottom w:val="nil"/>
              <w:right w:val="single" w:sz="4" w:space="0" w:color="auto"/>
            </w:tcBorders>
            <w:shd w:val="clear" w:color="auto" w:fill="auto"/>
            <w:vAlign w:val="center"/>
            <w:hideMark/>
          </w:tcPr>
          <w:p w14:paraId="7C22F98D" w14:textId="77777777" w:rsidR="00EE0DB2" w:rsidRPr="00EE0DB2" w:rsidRDefault="00EE0DB2" w:rsidP="00EE0DB2">
            <w:pPr>
              <w:jc w:val="right"/>
              <w:rPr>
                <w:b/>
                <w:bCs/>
                <w:sz w:val="14"/>
                <w:szCs w:val="14"/>
                <w:lang w:eastAsia="tr-TR"/>
              </w:rPr>
            </w:pPr>
            <w:r w:rsidRPr="00EE0DB2">
              <w:rPr>
                <w:b/>
                <w:bCs/>
                <w:sz w:val="14"/>
                <w:szCs w:val="14"/>
                <w:lang w:eastAsia="tr-TR"/>
              </w:rPr>
              <w:t>64,491,392</w:t>
            </w:r>
          </w:p>
        </w:tc>
        <w:tc>
          <w:tcPr>
            <w:tcW w:w="885" w:type="dxa"/>
            <w:tcBorders>
              <w:top w:val="nil"/>
              <w:left w:val="single" w:sz="4" w:space="0" w:color="auto"/>
              <w:bottom w:val="nil"/>
              <w:right w:val="single" w:sz="4" w:space="0" w:color="auto"/>
            </w:tcBorders>
            <w:shd w:val="clear" w:color="auto" w:fill="auto"/>
            <w:vAlign w:val="center"/>
            <w:hideMark/>
          </w:tcPr>
          <w:p w14:paraId="64CC93CD" w14:textId="77777777" w:rsidR="00EE0DB2" w:rsidRPr="00EE0DB2" w:rsidRDefault="00EE0DB2" w:rsidP="00EE0DB2">
            <w:pPr>
              <w:jc w:val="right"/>
              <w:rPr>
                <w:b/>
                <w:bCs/>
                <w:sz w:val="14"/>
                <w:szCs w:val="14"/>
                <w:lang w:eastAsia="tr-TR"/>
              </w:rPr>
            </w:pPr>
            <w:r w:rsidRPr="00EE0DB2">
              <w:rPr>
                <w:b/>
                <w:bCs/>
                <w:sz w:val="14"/>
                <w:szCs w:val="14"/>
                <w:lang w:eastAsia="tr-TR"/>
              </w:rPr>
              <w:t>84,942,029</w:t>
            </w:r>
          </w:p>
        </w:tc>
        <w:tc>
          <w:tcPr>
            <w:tcW w:w="886" w:type="dxa"/>
            <w:tcBorders>
              <w:top w:val="nil"/>
              <w:left w:val="single" w:sz="4" w:space="0" w:color="auto"/>
              <w:bottom w:val="nil"/>
              <w:right w:val="single" w:sz="4" w:space="0" w:color="auto"/>
            </w:tcBorders>
            <w:shd w:val="clear" w:color="auto" w:fill="auto"/>
            <w:vAlign w:val="center"/>
            <w:hideMark/>
          </w:tcPr>
          <w:p w14:paraId="174F09CC" w14:textId="77777777" w:rsidR="00EE0DB2" w:rsidRPr="00EE0DB2" w:rsidRDefault="00EE0DB2" w:rsidP="00EE0DB2">
            <w:pPr>
              <w:jc w:val="right"/>
              <w:rPr>
                <w:b/>
                <w:bCs/>
                <w:sz w:val="14"/>
                <w:szCs w:val="14"/>
                <w:lang w:eastAsia="tr-TR"/>
              </w:rPr>
            </w:pPr>
            <w:r w:rsidRPr="00EE0DB2">
              <w:rPr>
                <w:b/>
                <w:bCs/>
                <w:sz w:val="14"/>
                <w:szCs w:val="14"/>
                <w:lang w:eastAsia="tr-TR"/>
              </w:rPr>
              <w:t>8,276,509</w:t>
            </w:r>
          </w:p>
        </w:tc>
        <w:tc>
          <w:tcPr>
            <w:tcW w:w="885" w:type="dxa"/>
            <w:tcBorders>
              <w:top w:val="nil"/>
              <w:left w:val="single" w:sz="4" w:space="0" w:color="auto"/>
              <w:bottom w:val="nil"/>
              <w:right w:val="single" w:sz="4" w:space="0" w:color="auto"/>
            </w:tcBorders>
            <w:shd w:val="clear" w:color="auto" w:fill="auto"/>
            <w:vAlign w:val="center"/>
            <w:hideMark/>
          </w:tcPr>
          <w:p w14:paraId="4E37A748" w14:textId="77777777" w:rsidR="00EE0DB2" w:rsidRPr="00EE0DB2" w:rsidRDefault="00EE0DB2" w:rsidP="00EE0DB2">
            <w:pPr>
              <w:jc w:val="right"/>
              <w:rPr>
                <w:b/>
                <w:bCs/>
                <w:sz w:val="14"/>
                <w:szCs w:val="14"/>
                <w:lang w:eastAsia="tr-TR"/>
              </w:rPr>
            </w:pPr>
            <w:r w:rsidRPr="00EE0DB2">
              <w:rPr>
                <w:b/>
                <w:bCs/>
                <w:sz w:val="14"/>
                <w:szCs w:val="14"/>
                <w:lang w:eastAsia="tr-TR"/>
              </w:rPr>
              <w:t>49,432,697</w:t>
            </w:r>
          </w:p>
        </w:tc>
        <w:tc>
          <w:tcPr>
            <w:tcW w:w="885" w:type="dxa"/>
            <w:tcBorders>
              <w:top w:val="nil"/>
              <w:left w:val="single" w:sz="4" w:space="0" w:color="auto"/>
              <w:bottom w:val="nil"/>
              <w:right w:val="single" w:sz="4" w:space="0" w:color="auto"/>
            </w:tcBorders>
            <w:shd w:val="clear" w:color="auto" w:fill="auto"/>
            <w:vAlign w:val="center"/>
            <w:hideMark/>
          </w:tcPr>
          <w:p w14:paraId="48195CA2" w14:textId="77777777" w:rsidR="00EE0DB2" w:rsidRPr="00EE0DB2" w:rsidRDefault="00EE0DB2" w:rsidP="00EE0DB2">
            <w:pPr>
              <w:jc w:val="right"/>
              <w:rPr>
                <w:b/>
                <w:bCs/>
                <w:sz w:val="14"/>
                <w:szCs w:val="14"/>
                <w:lang w:eastAsia="tr-TR"/>
              </w:rPr>
            </w:pPr>
            <w:r w:rsidRPr="00EE0DB2">
              <w:rPr>
                <w:b/>
                <w:bCs/>
                <w:sz w:val="14"/>
                <w:szCs w:val="14"/>
                <w:lang w:eastAsia="tr-TR"/>
              </w:rPr>
              <w:t>57,709,206</w:t>
            </w:r>
          </w:p>
        </w:tc>
      </w:tr>
      <w:tr w:rsidR="00EE0DB2" w:rsidRPr="00EE0DB2" w14:paraId="5517A4F3"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72561E30" w14:textId="77777777" w:rsidR="00EE0DB2" w:rsidRPr="00EE0DB2" w:rsidRDefault="00EE0DB2" w:rsidP="00EE0DB2">
            <w:pPr>
              <w:rPr>
                <w:color w:val="000000"/>
                <w:sz w:val="14"/>
                <w:szCs w:val="14"/>
                <w:lang w:eastAsia="tr-TR"/>
              </w:rPr>
            </w:pPr>
            <w:r w:rsidRPr="00EE0DB2">
              <w:rPr>
                <w:color w:val="000000"/>
                <w:sz w:val="14"/>
                <w:szCs w:val="14"/>
                <w:lang w:eastAsia="tr-TR"/>
              </w:rPr>
              <w:t>3.1</w:t>
            </w:r>
          </w:p>
        </w:tc>
        <w:tc>
          <w:tcPr>
            <w:tcW w:w="3236" w:type="dxa"/>
            <w:tcBorders>
              <w:top w:val="nil"/>
              <w:left w:val="single" w:sz="4" w:space="0" w:color="auto"/>
              <w:bottom w:val="nil"/>
              <w:right w:val="single" w:sz="4" w:space="0" w:color="auto"/>
            </w:tcBorders>
            <w:shd w:val="clear" w:color="auto" w:fill="auto"/>
            <w:noWrap/>
            <w:vAlign w:val="center"/>
            <w:hideMark/>
          </w:tcPr>
          <w:p w14:paraId="6CD1037B" w14:textId="77777777" w:rsidR="00EE0DB2" w:rsidRPr="00EE0DB2" w:rsidRDefault="00EE0DB2" w:rsidP="00EE0DB2">
            <w:pPr>
              <w:rPr>
                <w:color w:val="000000"/>
                <w:sz w:val="14"/>
                <w:szCs w:val="14"/>
                <w:lang w:eastAsia="tr-TR"/>
              </w:rPr>
            </w:pPr>
            <w:r w:rsidRPr="00EE0DB2">
              <w:rPr>
                <w:color w:val="000000"/>
                <w:sz w:val="14"/>
                <w:szCs w:val="14"/>
                <w:lang w:eastAsia="tr-TR"/>
              </w:rPr>
              <w:t>Riskten Korunma Amaçlı Türev Finansal Araçlar</w:t>
            </w:r>
          </w:p>
        </w:tc>
        <w:tc>
          <w:tcPr>
            <w:tcW w:w="576" w:type="dxa"/>
            <w:tcBorders>
              <w:top w:val="nil"/>
              <w:left w:val="single" w:sz="4" w:space="0" w:color="auto"/>
              <w:bottom w:val="nil"/>
              <w:right w:val="single" w:sz="4" w:space="0" w:color="auto"/>
            </w:tcBorders>
            <w:shd w:val="clear" w:color="auto" w:fill="auto"/>
            <w:vAlign w:val="center"/>
            <w:hideMark/>
          </w:tcPr>
          <w:p w14:paraId="297F8331"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BD8ABDF"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2463EE9"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BE853A0"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5ADCF8F1"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A470AE4" w14:textId="77777777" w:rsidR="00EE0DB2" w:rsidRPr="00EE0DB2" w:rsidRDefault="00EE0DB2" w:rsidP="00EE0DB2">
            <w:pPr>
              <w:jc w:val="right"/>
              <w:rPr>
                <w:sz w:val="14"/>
                <w:szCs w:val="14"/>
                <w:lang w:eastAsia="tr-TR"/>
              </w:rPr>
            </w:pPr>
            <w:r w:rsidRPr="00EE0DB2">
              <w:rPr>
                <w:sz w:val="14"/>
                <w:szCs w:val="14"/>
                <w:lang w:eastAsia="tr-TR"/>
              </w:rPr>
              <w:t>2,451,906</w:t>
            </w:r>
          </w:p>
        </w:tc>
        <w:tc>
          <w:tcPr>
            <w:tcW w:w="885" w:type="dxa"/>
            <w:tcBorders>
              <w:top w:val="nil"/>
              <w:left w:val="single" w:sz="4" w:space="0" w:color="auto"/>
              <w:bottom w:val="nil"/>
              <w:right w:val="single" w:sz="4" w:space="0" w:color="auto"/>
            </w:tcBorders>
            <w:shd w:val="clear" w:color="auto" w:fill="auto"/>
            <w:vAlign w:val="center"/>
            <w:hideMark/>
          </w:tcPr>
          <w:p w14:paraId="4279C8C2" w14:textId="77777777" w:rsidR="00EE0DB2" w:rsidRPr="00EE0DB2" w:rsidRDefault="00EE0DB2" w:rsidP="00EE0DB2">
            <w:pPr>
              <w:jc w:val="right"/>
              <w:rPr>
                <w:sz w:val="14"/>
                <w:szCs w:val="14"/>
                <w:lang w:eastAsia="tr-TR"/>
              </w:rPr>
            </w:pPr>
            <w:r w:rsidRPr="00EE0DB2">
              <w:rPr>
                <w:sz w:val="14"/>
                <w:szCs w:val="14"/>
                <w:lang w:eastAsia="tr-TR"/>
              </w:rPr>
              <w:t>2,451,906</w:t>
            </w:r>
          </w:p>
        </w:tc>
      </w:tr>
      <w:tr w:rsidR="00EE0DB2" w:rsidRPr="00EE0DB2" w14:paraId="10E0B2BC"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071FDC64" w14:textId="77777777" w:rsidR="00EE0DB2" w:rsidRPr="00EE0DB2" w:rsidRDefault="00EE0DB2" w:rsidP="00EE0DB2">
            <w:pPr>
              <w:rPr>
                <w:color w:val="000000"/>
                <w:sz w:val="14"/>
                <w:szCs w:val="14"/>
                <w:lang w:eastAsia="tr-TR"/>
              </w:rPr>
            </w:pPr>
            <w:r w:rsidRPr="00EE0DB2">
              <w:rPr>
                <w:color w:val="000000"/>
                <w:sz w:val="14"/>
                <w:szCs w:val="14"/>
                <w:lang w:eastAsia="tr-TR"/>
              </w:rPr>
              <w:t>3.1.1</w:t>
            </w:r>
          </w:p>
        </w:tc>
        <w:tc>
          <w:tcPr>
            <w:tcW w:w="3236" w:type="dxa"/>
            <w:tcBorders>
              <w:top w:val="nil"/>
              <w:left w:val="single" w:sz="4" w:space="0" w:color="auto"/>
              <w:bottom w:val="nil"/>
              <w:right w:val="single" w:sz="4" w:space="0" w:color="auto"/>
            </w:tcBorders>
            <w:shd w:val="clear" w:color="auto" w:fill="auto"/>
            <w:vAlign w:val="center"/>
            <w:hideMark/>
          </w:tcPr>
          <w:p w14:paraId="6C56A132" w14:textId="77777777" w:rsidR="00EE0DB2" w:rsidRPr="00EE0DB2" w:rsidRDefault="00EE0DB2" w:rsidP="00EE0DB2">
            <w:pPr>
              <w:rPr>
                <w:color w:val="000000"/>
                <w:sz w:val="14"/>
                <w:szCs w:val="14"/>
                <w:lang w:eastAsia="tr-TR"/>
              </w:rPr>
            </w:pPr>
            <w:r w:rsidRPr="00EE0DB2">
              <w:rPr>
                <w:color w:val="000000"/>
                <w:sz w:val="14"/>
                <w:szCs w:val="14"/>
                <w:lang w:eastAsia="tr-TR"/>
              </w:rPr>
              <w:t>Gerçeğe Uygun Değer Riskinden Korunma Amaçlı İşlemler</w:t>
            </w:r>
          </w:p>
        </w:tc>
        <w:tc>
          <w:tcPr>
            <w:tcW w:w="576" w:type="dxa"/>
            <w:tcBorders>
              <w:top w:val="nil"/>
              <w:left w:val="single" w:sz="4" w:space="0" w:color="auto"/>
              <w:bottom w:val="nil"/>
              <w:right w:val="single" w:sz="4" w:space="0" w:color="auto"/>
            </w:tcBorders>
            <w:shd w:val="clear" w:color="auto" w:fill="auto"/>
            <w:vAlign w:val="center"/>
            <w:hideMark/>
          </w:tcPr>
          <w:p w14:paraId="5272F632"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F5BBFE5"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DDD84F7"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642CA3A"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5B54EC62"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3FD5938"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954AF96"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284A2D03"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17359457" w14:textId="77777777" w:rsidR="00EE0DB2" w:rsidRPr="00EE0DB2" w:rsidRDefault="00EE0DB2" w:rsidP="00EE0DB2">
            <w:pPr>
              <w:rPr>
                <w:color w:val="000000"/>
                <w:sz w:val="14"/>
                <w:szCs w:val="14"/>
                <w:lang w:eastAsia="tr-TR"/>
              </w:rPr>
            </w:pPr>
            <w:r w:rsidRPr="00EE0DB2">
              <w:rPr>
                <w:color w:val="000000"/>
                <w:sz w:val="14"/>
                <w:szCs w:val="14"/>
                <w:lang w:eastAsia="tr-TR"/>
              </w:rPr>
              <w:t>3.1.2</w:t>
            </w:r>
          </w:p>
        </w:tc>
        <w:tc>
          <w:tcPr>
            <w:tcW w:w="3236" w:type="dxa"/>
            <w:tcBorders>
              <w:top w:val="nil"/>
              <w:left w:val="single" w:sz="4" w:space="0" w:color="auto"/>
              <w:bottom w:val="nil"/>
              <w:right w:val="single" w:sz="4" w:space="0" w:color="auto"/>
            </w:tcBorders>
            <w:shd w:val="clear" w:color="auto" w:fill="auto"/>
            <w:noWrap/>
            <w:vAlign w:val="center"/>
            <w:hideMark/>
          </w:tcPr>
          <w:p w14:paraId="7D88905D" w14:textId="77777777" w:rsidR="00EE0DB2" w:rsidRPr="00EE0DB2" w:rsidRDefault="00EE0DB2" w:rsidP="00EE0DB2">
            <w:pPr>
              <w:rPr>
                <w:color w:val="000000"/>
                <w:sz w:val="14"/>
                <w:szCs w:val="14"/>
                <w:lang w:eastAsia="tr-TR"/>
              </w:rPr>
            </w:pPr>
            <w:r w:rsidRPr="00EE0DB2">
              <w:rPr>
                <w:color w:val="000000"/>
                <w:sz w:val="14"/>
                <w:szCs w:val="14"/>
                <w:lang w:eastAsia="tr-TR"/>
              </w:rPr>
              <w:t>Nakit Akış Riskinden Korunma Amaçlı İşlemler</w:t>
            </w:r>
          </w:p>
        </w:tc>
        <w:tc>
          <w:tcPr>
            <w:tcW w:w="576" w:type="dxa"/>
            <w:tcBorders>
              <w:top w:val="nil"/>
              <w:left w:val="single" w:sz="4" w:space="0" w:color="auto"/>
              <w:bottom w:val="nil"/>
              <w:right w:val="single" w:sz="4" w:space="0" w:color="auto"/>
            </w:tcBorders>
            <w:shd w:val="clear" w:color="auto" w:fill="auto"/>
            <w:vAlign w:val="center"/>
            <w:hideMark/>
          </w:tcPr>
          <w:p w14:paraId="7B1739EA"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515C935"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FD4D230"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29076C5"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0B293CCF"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80E917D" w14:textId="77777777" w:rsidR="00EE0DB2" w:rsidRPr="00EE0DB2" w:rsidRDefault="00EE0DB2" w:rsidP="00EE0DB2">
            <w:pPr>
              <w:jc w:val="right"/>
              <w:rPr>
                <w:sz w:val="14"/>
                <w:szCs w:val="14"/>
                <w:lang w:eastAsia="tr-TR"/>
              </w:rPr>
            </w:pPr>
            <w:r w:rsidRPr="00EE0DB2">
              <w:rPr>
                <w:sz w:val="14"/>
                <w:szCs w:val="14"/>
                <w:lang w:eastAsia="tr-TR"/>
              </w:rPr>
              <w:t>2,451,906</w:t>
            </w:r>
          </w:p>
        </w:tc>
        <w:tc>
          <w:tcPr>
            <w:tcW w:w="885" w:type="dxa"/>
            <w:tcBorders>
              <w:top w:val="nil"/>
              <w:left w:val="single" w:sz="4" w:space="0" w:color="auto"/>
              <w:bottom w:val="nil"/>
              <w:right w:val="single" w:sz="4" w:space="0" w:color="auto"/>
            </w:tcBorders>
            <w:shd w:val="clear" w:color="auto" w:fill="auto"/>
            <w:vAlign w:val="center"/>
            <w:hideMark/>
          </w:tcPr>
          <w:p w14:paraId="71F03C67" w14:textId="77777777" w:rsidR="00EE0DB2" w:rsidRPr="00EE0DB2" w:rsidRDefault="00EE0DB2" w:rsidP="00EE0DB2">
            <w:pPr>
              <w:jc w:val="right"/>
              <w:rPr>
                <w:sz w:val="14"/>
                <w:szCs w:val="14"/>
                <w:lang w:eastAsia="tr-TR"/>
              </w:rPr>
            </w:pPr>
            <w:r w:rsidRPr="00EE0DB2">
              <w:rPr>
                <w:sz w:val="14"/>
                <w:szCs w:val="14"/>
                <w:lang w:eastAsia="tr-TR"/>
              </w:rPr>
              <w:t>2,451,906</w:t>
            </w:r>
          </w:p>
        </w:tc>
      </w:tr>
      <w:tr w:rsidR="00EE0DB2" w:rsidRPr="00EE0DB2" w14:paraId="04C95E4F"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40AD8DA7" w14:textId="77777777" w:rsidR="00EE0DB2" w:rsidRPr="00EE0DB2" w:rsidRDefault="00EE0DB2" w:rsidP="00EE0DB2">
            <w:pPr>
              <w:rPr>
                <w:color w:val="000000"/>
                <w:sz w:val="14"/>
                <w:szCs w:val="14"/>
                <w:lang w:eastAsia="tr-TR"/>
              </w:rPr>
            </w:pPr>
            <w:r w:rsidRPr="00EE0DB2">
              <w:rPr>
                <w:color w:val="000000"/>
                <w:sz w:val="14"/>
                <w:szCs w:val="14"/>
                <w:lang w:eastAsia="tr-TR"/>
              </w:rPr>
              <w:t>3.1.3</w:t>
            </w:r>
          </w:p>
        </w:tc>
        <w:tc>
          <w:tcPr>
            <w:tcW w:w="3236" w:type="dxa"/>
            <w:tcBorders>
              <w:top w:val="nil"/>
              <w:left w:val="single" w:sz="4" w:space="0" w:color="auto"/>
              <w:bottom w:val="nil"/>
              <w:right w:val="single" w:sz="4" w:space="0" w:color="auto"/>
            </w:tcBorders>
            <w:shd w:val="clear" w:color="auto" w:fill="auto"/>
            <w:vAlign w:val="center"/>
            <w:hideMark/>
          </w:tcPr>
          <w:p w14:paraId="5D201708" w14:textId="77777777" w:rsidR="00EE0DB2" w:rsidRPr="00EE0DB2" w:rsidRDefault="00EE0DB2" w:rsidP="00EE0DB2">
            <w:pPr>
              <w:rPr>
                <w:color w:val="000000"/>
                <w:sz w:val="14"/>
                <w:szCs w:val="14"/>
                <w:lang w:eastAsia="tr-TR"/>
              </w:rPr>
            </w:pPr>
            <w:r w:rsidRPr="00EE0DB2">
              <w:rPr>
                <w:color w:val="000000"/>
                <w:sz w:val="14"/>
                <w:szCs w:val="14"/>
                <w:lang w:eastAsia="tr-TR"/>
              </w:rPr>
              <w:t>Yurtdışındaki Net Yatırım Riskinden Korunma Amaçlı İşlemler</w:t>
            </w:r>
          </w:p>
        </w:tc>
        <w:tc>
          <w:tcPr>
            <w:tcW w:w="576" w:type="dxa"/>
            <w:tcBorders>
              <w:top w:val="nil"/>
              <w:left w:val="single" w:sz="4" w:space="0" w:color="auto"/>
              <w:bottom w:val="nil"/>
              <w:right w:val="single" w:sz="4" w:space="0" w:color="auto"/>
            </w:tcBorders>
            <w:shd w:val="clear" w:color="auto" w:fill="auto"/>
            <w:vAlign w:val="center"/>
            <w:hideMark/>
          </w:tcPr>
          <w:p w14:paraId="3320862B"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1C7E78E"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D0AF472"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850ACA8"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9FC8186"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701B903"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8237EEE"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37B74916"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3C33BB44" w14:textId="77777777" w:rsidR="00EE0DB2" w:rsidRPr="00EE0DB2" w:rsidRDefault="00EE0DB2" w:rsidP="00EE0DB2">
            <w:pPr>
              <w:rPr>
                <w:color w:val="000000"/>
                <w:sz w:val="14"/>
                <w:szCs w:val="14"/>
                <w:lang w:eastAsia="tr-TR"/>
              </w:rPr>
            </w:pPr>
            <w:r w:rsidRPr="00EE0DB2">
              <w:rPr>
                <w:color w:val="000000"/>
                <w:sz w:val="14"/>
                <w:szCs w:val="14"/>
                <w:lang w:eastAsia="tr-TR"/>
              </w:rPr>
              <w:t>3.2</w:t>
            </w:r>
          </w:p>
        </w:tc>
        <w:tc>
          <w:tcPr>
            <w:tcW w:w="3236" w:type="dxa"/>
            <w:tcBorders>
              <w:top w:val="nil"/>
              <w:left w:val="single" w:sz="4" w:space="0" w:color="auto"/>
              <w:bottom w:val="nil"/>
              <w:right w:val="single" w:sz="4" w:space="0" w:color="auto"/>
            </w:tcBorders>
            <w:shd w:val="clear" w:color="auto" w:fill="auto"/>
            <w:noWrap/>
            <w:vAlign w:val="center"/>
            <w:hideMark/>
          </w:tcPr>
          <w:p w14:paraId="27A3ECE2" w14:textId="77777777" w:rsidR="00EE0DB2" w:rsidRPr="00EE0DB2" w:rsidRDefault="00EE0DB2" w:rsidP="00EE0DB2">
            <w:pPr>
              <w:rPr>
                <w:color w:val="000000"/>
                <w:sz w:val="14"/>
                <w:szCs w:val="14"/>
                <w:lang w:eastAsia="tr-TR"/>
              </w:rPr>
            </w:pPr>
            <w:r w:rsidRPr="00EE0DB2">
              <w:rPr>
                <w:color w:val="000000"/>
                <w:sz w:val="14"/>
                <w:szCs w:val="14"/>
                <w:lang w:eastAsia="tr-TR"/>
              </w:rPr>
              <w:t>Alım Satım Amaçlı Türev Finansal Araçlar</w:t>
            </w:r>
          </w:p>
        </w:tc>
        <w:tc>
          <w:tcPr>
            <w:tcW w:w="576" w:type="dxa"/>
            <w:tcBorders>
              <w:top w:val="nil"/>
              <w:left w:val="single" w:sz="4" w:space="0" w:color="auto"/>
              <w:bottom w:val="nil"/>
              <w:right w:val="single" w:sz="4" w:space="0" w:color="auto"/>
            </w:tcBorders>
            <w:shd w:val="clear" w:color="auto" w:fill="auto"/>
            <w:vAlign w:val="center"/>
            <w:hideMark/>
          </w:tcPr>
          <w:p w14:paraId="56C35106"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E08327E" w14:textId="77777777" w:rsidR="00EE0DB2" w:rsidRPr="00EE0DB2" w:rsidRDefault="00EE0DB2" w:rsidP="00EE0DB2">
            <w:pPr>
              <w:jc w:val="right"/>
              <w:rPr>
                <w:sz w:val="14"/>
                <w:szCs w:val="14"/>
                <w:lang w:eastAsia="tr-TR"/>
              </w:rPr>
            </w:pPr>
            <w:r w:rsidRPr="00EE0DB2">
              <w:rPr>
                <w:sz w:val="14"/>
                <w:szCs w:val="14"/>
                <w:lang w:eastAsia="tr-TR"/>
              </w:rPr>
              <w:t>20,450,637</w:t>
            </w:r>
          </w:p>
        </w:tc>
        <w:tc>
          <w:tcPr>
            <w:tcW w:w="885" w:type="dxa"/>
            <w:tcBorders>
              <w:top w:val="nil"/>
              <w:left w:val="single" w:sz="4" w:space="0" w:color="auto"/>
              <w:bottom w:val="nil"/>
              <w:right w:val="single" w:sz="4" w:space="0" w:color="auto"/>
            </w:tcBorders>
            <w:shd w:val="clear" w:color="auto" w:fill="auto"/>
            <w:vAlign w:val="center"/>
            <w:hideMark/>
          </w:tcPr>
          <w:p w14:paraId="3B85C10C" w14:textId="77777777" w:rsidR="00EE0DB2" w:rsidRPr="00EE0DB2" w:rsidRDefault="00EE0DB2" w:rsidP="00EE0DB2">
            <w:pPr>
              <w:jc w:val="right"/>
              <w:rPr>
                <w:sz w:val="14"/>
                <w:szCs w:val="14"/>
                <w:lang w:eastAsia="tr-TR"/>
              </w:rPr>
            </w:pPr>
            <w:r w:rsidRPr="00EE0DB2">
              <w:rPr>
                <w:sz w:val="14"/>
                <w:szCs w:val="14"/>
                <w:lang w:eastAsia="tr-TR"/>
              </w:rPr>
              <w:t>64,491,392</w:t>
            </w:r>
          </w:p>
        </w:tc>
        <w:tc>
          <w:tcPr>
            <w:tcW w:w="885" w:type="dxa"/>
            <w:tcBorders>
              <w:top w:val="nil"/>
              <w:left w:val="single" w:sz="4" w:space="0" w:color="auto"/>
              <w:bottom w:val="nil"/>
              <w:right w:val="single" w:sz="4" w:space="0" w:color="auto"/>
            </w:tcBorders>
            <w:shd w:val="clear" w:color="auto" w:fill="auto"/>
            <w:vAlign w:val="center"/>
            <w:hideMark/>
          </w:tcPr>
          <w:p w14:paraId="154BC8D2" w14:textId="77777777" w:rsidR="00EE0DB2" w:rsidRPr="00EE0DB2" w:rsidRDefault="00EE0DB2" w:rsidP="00EE0DB2">
            <w:pPr>
              <w:jc w:val="right"/>
              <w:rPr>
                <w:sz w:val="14"/>
                <w:szCs w:val="14"/>
                <w:lang w:eastAsia="tr-TR"/>
              </w:rPr>
            </w:pPr>
            <w:r w:rsidRPr="00EE0DB2">
              <w:rPr>
                <w:sz w:val="14"/>
                <w:szCs w:val="14"/>
                <w:lang w:eastAsia="tr-TR"/>
              </w:rPr>
              <w:t>84,942,029</w:t>
            </w:r>
          </w:p>
        </w:tc>
        <w:tc>
          <w:tcPr>
            <w:tcW w:w="886" w:type="dxa"/>
            <w:tcBorders>
              <w:top w:val="nil"/>
              <w:left w:val="single" w:sz="4" w:space="0" w:color="auto"/>
              <w:bottom w:val="nil"/>
              <w:right w:val="single" w:sz="4" w:space="0" w:color="auto"/>
            </w:tcBorders>
            <w:shd w:val="clear" w:color="auto" w:fill="auto"/>
            <w:vAlign w:val="center"/>
            <w:hideMark/>
          </w:tcPr>
          <w:p w14:paraId="1763E381" w14:textId="77777777" w:rsidR="00EE0DB2" w:rsidRPr="00EE0DB2" w:rsidRDefault="00EE0DB2" w:rsidP="00EE0DB2">
            <w:pPr>
              <w:jc w:val="right"/>
              <w:rPr>
                <w:sz w:val="14"/>
                <w:szCs w:val="14"/>
                <w:lang w:eastAsia="tr-TR"/>
              </w:rPr>
            </w:pPr>
            <w:r w:rsidRPr="00EE0DB2">
              <w:rPr>
                <w:sz w:val="14"/>
                <w:szCs w:val="14"/>
                <w:lang w:eastAsia="tr-TR"/>
              </w:rPr>
              <w:t>8,276,509</w:t>
            </w:r>
          </w:p>
        </w:tc>
        <w:tc>
          <w:tcPr>
            <w:tcW w:w="885" w:type="dxa"/>
            <w:tcBorders>
              <w:top w:val="nil"/>
              <w:left w:val="single" w:sz="4" w:space="0" w:color="auto"/>
              <w:bottom w:val="nil"/>
              <w:right w:val="single" w:sz="4" w:space="0" w:color="auto"/>
            </w:tcBorders>
            <w:shd w:val="clear" w:color="auto" w:fill="auto"/>
            <w:vAlign w:val="center"/>
            <w:hideMark/>
          </w:tcPr>
          <w:p w14:paraId="6E1B7CB7" w14:textId="77777777" w:rsidR="00EE0DB2" w:rsidRPr="00EE0DB2" w:rsidRDefault="00EE0DB2" w:rsidP="00EE0DB2">
            <w:pPr>
              <w:jc w:val="right"/>
              <w:rPr>
                <w:sz w:val="14"/>
                <w:szCs w:val="14"/>
                <w:lang w:eastAsia="tr-TR"/>
              </w:rPr>
            </w:pPr>
            <w:r w:rsidRPr="00EE0DB2">
              <w:rPr>
                <w:sz w:val="14"/>
                <w:szCs w:val="14"/>
                <w:lang w:eastAsia="tr-TR"/>
              </w:rPr>
              <w:t>46,980,791</w:t>
            </w:r>
          </w:p>
        </w:tc>
        <w:tc>
          <w:tcPr>
            <w:tcW w:w="885" w:type="dxa"/>
            <w:tcBorders>
              <w:top w:val="nil"/>
              <w:left w:val="single" w:sz="4" w:space="0" w:color="auto"/>
              <w:bottom w:val="nil"/>
              <w:right w:val="single" w:sz="4" w:space="0" w:color="auto"/>
            </w:tcBorders>
            <w:shd w:val="clear" w:color="auto" w:fill="auto"/>
            <w:vAlign w:val="center"/>
            <w:hideMark/>
          </w:tcPr>
          <w:p w14:paraId="2F8C62CE" w14:textId="77777777" w:rsidR="00EE0DB2" w:rsidRPr="00EE0DB2" w:rsidRDefault="00EE0DB2" w:rsidP="00EE0DB2">
            <w:pPr>
              <w:jc w:val="right"/>
              <w:rPr>
                <w:sz w:val="14"/>
                <w:szCs w:val="14"/>
                <w:lang w:eastAsia="tr-TR"/>
              </w:rPr>
            </w:pPr>
            <w:r w:rsidRPr="00EE0DB2">
              <w:rPr>
                <w:sz w:val="14"/>
                <w:szCs w:val="14"/>
                <w:lang w:eastAsia="tr-TR"/>
              </w:rPr>
              <w:t>55,257,300</w:t>
            </w:r>
          </w:p>
        </w:tc>
      </w:tr>
      <w:tr w:rsidR="00EE0DB2" w:rsidRPr="00EE0DB2" w14:paraId="72E7FFF0"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0D7B9914" w14:textId="77777777" w:rsidR="00EE0DB2" w:rsidRPr="00EE0DB2" w:rsidRDefault="00EE0DB2" w:rsidP="00EE0DB2">
            <w:pPr>
              <w:rPr>
                <w:color w:val="000000"/>
                <w:sz w:val="14"/>
                <w:szCs w:val="14"/>
                <w:lang w:eastAsia="tr-TR"/>
              </w:rPr>
            </w:pPr>
            <w:r w:rsidRPr="00EE0DB2">
              <w:rPr>
                <w:color w:val="000000"/>
                <w:sz w:val="14"/>
                <w:szCs w:val="14"/>
                <w:lang w:eastAsia="tr-TR"/>
              </w:rPr>
              <w:t>3.2.1</w:t>
            </w:r>
          </w:p>
        </w:tc>
        <w:tc>
          <w:tcPr>
            <w:tcW w:w="3236" w:type="dxa"/>
            <w:tcBorders>
              <w:top w:val="nil"/>
              <w:left w:val="single" w:sz="4" w:space="0" w:color="auto"/>
              <w:bottom w:val="nil"/>
              <w:right w:val="single" w:sz="4" w:space="0" w:color="auto"/>
            </w:tcBorders>
            <w:shd w:val="clear" w:color="auto" w:fill="auto"/>
            <w:noWrap/>
            <w:vAlign w:val="center"/>
            <w:hideMark/>
          </w:tcPr>
          <w:p w14:paraId="59AC3DB3" w14:textId="77777777" w:rsidR="00EE0DB2" w:rsidRPr="00EE0DB2" w:rsidRDefault="00EE0DB2" w:rsidP="00EE0DB2">
            <w:pPr>
              <w:rPr>
                <w:color w:val="000000"/>
                <w:sz w:val="14"/>
                <w:szCs w:val="14"/>
                <w:lang w:eastAsia="tr-TR"/>
              </w:rPr>
            </w:pPr>
            <w:r w:rsidRPr="00EE0DB2">
              <w:rPr>
                <w:color w:val="000000"/>
                <w:sz w:val="14"/>
                <w:szCs w:val="14"/>
                <w:lang w:eastAsia="tr-TR"/>
              </w:rPr>
              <w:t>Vadeli Alım-Satım İşlemleri</w:t>
            </w:r>
          </w:p>
        </w:tc>
        <w:tc>
          <w:tcPr>
            <w:tcW w:w="576" w:type="dxa"/>
            <w:tcBorders>
              <w:top w:val="nil"/>
              <w:left w:val="single" w:sz="4" w:space="0" w:color="auto"/>
              <w:bottom w:val="nil"/>
              <w:right w:val="single" w:sz="4" w:space="0" w:color="auto"/>
            </w:tcBorders>
            <w:shd w:val="clear" w:color="auto" w:fill="auto"/>
            <w:vAlign w:val="center"/>
            <w:hideMark/>
          </w:tcPr>
          <w:p w14:paraId="3FC7E706"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2F6B9B4" w14:textId="77777777" w:rsidR="00EE0DB2" w:rsidRPr="00EE0DB2" w:rsidRDefault="00EE0DB2" w:rsidP="00EE0DB2">
            <w:pPr>
              <w:jc w:val="right"/>
              <w:rPr>
                <w:sz w:val="14"/>
                <w:szCs w:val="14"/>
                <w:lang w:eastAsia="tr-TR"/>
              </w:rPr>
            </w:pPr>
            <w:r w:rsidRPr="00EE0DB2">
              <w:rPr>
                <w:sz w:val="14"/>
                <w:szCs w:val="14"/>
                <w:lang w:eastAsia="tr-TR"/>
              </w:rPr>
              <w:t>511,976</w:t>
            </w:r>
          </w:p>
        </w:tc>
        <w:tc>
          <w:tcPr>
            <w:tcW w:w="885" w:type="dxa"/>
            <w:tcBorders>
              <w:top w:val="nil"/>
              <w:left w:val="single" w:sz="4" w:space="0" w:color="auto"/>
              <w:bottom w:val="nil"/>
              <w:right w:val="single" w:sz="4" w:space="0" w:color="auto"/>
            </w:tcBorders>
            <w:shd w:val="clear" w:color="auto" w:fill="auto"/>
            <w:vAlign w:val="center"/>
            <w:hideMark/>
          </w:tcPr>
          <w:p w14:paraId="7E3F1723" w14:textId="77777777" w:rsidR="00EE0DB2" w:rsidRPr="00EE0DB2" w:rsidRDefault="00EE0DB2" w:rsidP="00EE0DB2">
            <w:pPr>
              <w:jc w:val="right"/>
              <w:rPr>
                <w:sz w:val="14"/>
                <w:szCs w:val="14"/>
                <w:lang w:eastAsia="tr-TR"/>
              </w:rPr>
            </w:pPr>
            <w:r w:rsidRPr="00EE0DB2">
              <w:rPr>
                <w:sz w:val="14"/>
                <w:szCs w:val="14"/>
                <w:lang w:eastAsia="tr-TR"/>
              </w:rPr>
              <w:t>1,659,727</w:t>
            </w:r>
          </w:p>
        </w:tc>
        <w:tc>
          <w:tcPr>
            <w:tcW w:w="885" w:type="dxa"/>
            <w:tcBorders>
              <w:top w:val="nil"/>
              <w:left w:val="single" w:sz="4" w:space="0" w:color="auto"/>
              <w:bottom w:val="nil"/>
              <w:right w:val="single" w:sz="4" w:space="0" w:color="auto"/>
            </w:tcBorders>
            <w:shd w:val="clear" w:color="auto" w:fill="auto"/>
            <w:vAlign w:val="center"/>
            <w:hideMark/>
          </w:tcPr>
          <w:p w14:paraId="55679785" w14:textId="77777777" w:rsidR="00EE0DB2" w:rsidRPr="00EE0DB2" w:rsidRDefault="00EE0DB2" w:rsidP="00EE0DB2">
            <w:pPr>
              <w:jc w:val="right"/>
              <w:rPr>
                <w:sz w:val="14"/>
                <w:szCs w:val="14"/>
                <w:lang w:eastAsia="tr-TR"/>
              </w:rPr>
            </w:pPr>
            <w:r w:rsidRPr="00EE0DB2">
              <w:rPr>
                <w:sz w:val="14"/>
                <w:szCs w:val="14"/>
                <w:lang w:eastAsia="tr-TR"/>
              </w:rPr>
              <w:t>2,171,703</w:t>
            </w:r>
          </w:p>
        </w:tc>
        <w:tc>
          <w:tcPr>
            <w:tcW w:w="886" w:type="dxa"/>
            <w:tcBorders>
              <w:top w:val="nil"/>
              <w:left w:val="single" w:sz="4" w:space="0" w:color="auto"/>
              <w:bottom w:val="nil"/>
              <w:right w:val="single" w:sz="4" w:space="0" w:color="auto"/>
            </w:tcBorders>
            <w:shd w:val="clear" w:color="auto" w:fill="auto"/>
            <w:vAlign w:val="center"/>
            <w:hideMark/>
          </w:tcPr>
          <w:p w14:paraId="022CA243" w14:textId="77777777" w:rsidR="00EE0DB2" w:rsidRPr="00EE0DB2" w:rsidRDefault="00EE0DB2" w:rsidP="00EE0DB2">
            <w:pPr>
              <w:jc w:val="right"/>
              <w:rPr>
                <w:sz w:val="14"/>
                <w:szCs w:val="14"/>
                <w:lang w:eastAsia="tr-TR"/>
              </w:rPr>
            </w:pPr>
            <w:r w:rsidRPr="00EE0DB2">
              <w:rPr>
                <w:sz w:val="14"/>
                <w:szCs w:val="14"/>
                <w:lang w:eastAsia="tr-TR"/>
              </w:rPr>
              <w:t>512,110</w:t>
            </w:r>
          </w:p>
        </w:tc>
        <w:tc>
          <w:tcPr>
            <w:tcW w:w="885" w:type="dxa"/>
            <w:tcBorders>
              <w:top w:val="nil"/>
              <w:left w:val="single" w:sz="4" w:space="0" w:color="auto"/>
              <w:bottom w:val="nil"/>
              <w:right w:val="single" w:sz="4" w:space="0" w:color="auto"/>
            </w:tcBorders>
            <w:shd w:val="clear" w:color="auto" w:fill="auto"/>
            <w:vAlign w:val="center"/>
            <w:hideMark/>
          </w:tcPr>
          <w:p w14:paraId="055988C2" w14:textId="77777777" w:rsidR="00EE0DB2" w:rsidRPr="00EE0DB2" w:rsidRDefault="00EE0DB2" w:rsidP="00EE0DB2">
            <w:pPr>
              <w:jc w:val="right"/>
              <w:rPr>
                <w:sz w:val="14"/>
                <w:szCs w:val="14"/>
                <w:lang w:eastAsia="tr-TR"/>
              </w:rPr>
            </w:pPr>
            <w:r w:rsidRPr="00EE0DB2">
              <w:rPr>
                <w:sz w:val="14"/>
                <w:szCs w:val="14"/>
                <w:lang w:eastAsia="tr-TR"/>
              </w:rPr>
              <w:t>1,242,703</w:t>
            </w:r>
          </w:p>
        </w:tc>
        <w:tc>
          <w:tcPr>
            <w:tcW w:w="885" w:type="dxa"/>
            <w:tcBorders>
              <w:top w:val="nil"/>
              <w:left w:val="single" w:sz="4" w:space="0" w:color="auto"/>
              <w:bottom w:val="nil"/>
              <w:right w:val="single" w:sz="4" w:space="0" w:color="auto"/>
            </w:tcBorders>
            <w:shd w:val="clear" w:color="auto" w:fill="auto"/>
            <w:vAlign w:val="center"/>
            <w:hideMark/>
          </w:tcPr>
          <w:p w14:paraId="56E03898" w14:textId="77777777" w:rsidR="00EE0DB2" w:rsidRPr="00EE0DB2" w:rsidRDefault="00EE0DB2" w:rsidP="00EE0DB2">
            <w:pPr>
              <w:jc w:val="right"/>
              <w:rPr>
                <w:sz w:val="14"/>
                <w:szCs w:val="14"/>
                <w:lang w:eastAsia="tr-TR"/>
              </w:rPr>
            </w:pPr>
            <w:r w:rsidRPr="00EE0DB2">
              <w:rPr>
                <w:sz w:val="14"/>
                <w:szCs w:val="14"/>
                <w:lang w:eastAsia="tr-TR"/>
              </w:rPr>
              <w:t>1,754,813</w:t>
            </w:r>
          </w:p>
        </w:tc>
      </w:tr>
      <w:tr w:rsidR="00EE0DB2" w:rsidRPr="00EE0DB2" w14:paraId="0A267B51"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49529E36" w14:textId="77777777" w:rsidR="00EE0DB2" w:rsidRPr="00EE0DB2" w:rsidRDefault="00EE0DB2" w:rsidP="00EE0DB2">
            <w:pPr>
              <w:rPr>
                <w:color w:val="000000"/>
                <w:sz w:val="14"/>
                <w:szCs w:val="14"/>
                <w:lang w:eastAsia="tr-TR"/>
              </w:rPr>
            </w:pPr>
            <w:r w:rsidRPr="00EE0DB2">
              <w:rPr>
                <w:color w:val="000000"/>
                <w:sz w:val="14"/>
                <w:szCs w:val="14"/>
                <w:lang w:eastAsia="tr-TR"/>
              </w:rPr>
              <w:t>3.2.1.1</w:t>
            </w:r>
          </w:p>
        </w:tc>
        <w:tc>
          <w:tcPr>
            <w:tcW w:w="3236" w:type="dxa"/>
            <w:tcBorders>
              <w:top w:val="nil"/>
              <w:left w:val="single" w:sz="4" w:space="0" w:color="auto"/>
              <w:bottom w:val="nil"/>
              <w:right w:val="single" w:sz="4" w:space="0" w:color="auto"/>
            </w:tcBorders>
            <w:shd w:val="clear" w:color="auto" w:fill="auto"/>
            <w:noWrap/>
            <w:vAlign w:val="center"/>
            <w:hideMark/>
          </w:tcPr>
          <w:p w14:paraId="018C598F" w14:textId="77777777" w:rsidR="00EE0DB2" w:rsidRPr="00EE0DB2" w:rsidRDefault="00EE0DB2" w:rsidP="00EE0DB2">
            <w:pPr>
              <w:rPr>
                <w:color w:val="000000"/>
                <w:sz w:val="14"/>
                <w:szCs w:val="14"/>
                <w:lang w:eastAsia="tr-TR"/>
              </w:rPr>
            </w:pPr>
            <w:r w:rsidRPr="00EE0DB2">
              <w:rPr>
                <w:color w:val="000000"/>
                <w:sz w:val="14"/>
                <w:szCs w:val="14"/>
                <w:lang w:eastAsia="tr-TR"/>
              </w:rPr>
              <w:t>Vadeli Döviz Alım İşlemleri</w:t>
            </w:r>
          </w:p>
        </w:tc>
        <w:tc>
          <w:tcPr>
            <w:tcW w:w="576" w:type="dxa"/>
            <w:tcBorders>
              <w:top w:val="nil"/>
              <w:left w:val="single" w:sz="4" w:space="0" w:color="auto"/>
              <w:bottom w:val="nil"/>
              <w:right w:val="single" w:sz="4" w:space="0" w:color="auto"/>
            </w:tcBorders>
            <w:shd w:val="clear" w:color="auto" w:fill="auto"/>
            <w:vAlign w:val="center"/>
            <w:hideMark/>
          </w:tcPr>
          <w:p w14:paraId="0054718F"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2952DAD" w14:textId="77777777" w:rsidR="00EE0DB2" w:rsidRPr="00EE0DB2" w:rsidRDefault="00EE0DB2" w:rsidP="00EE0DB2">
            <w:pPr>
              <w:jc w:val="right"/>
              <w:rPr>
                <w:sz w:val="14"/>
                <w:szCs w:val="14"/>
                <w:lang w:eastAsia="tr-TR"/>
              </w:rPr>
            </w:pPr>
            <w:r w:rsidRPr="00EE0DB2">
              <w:rPr>
                <w:sz w:val="14"/>
                <w:szCs w:val="14"/>
                <w:lang w:eastAsia="tr-TR"/>
              </w:rPr>
              <w:t>408,972</w:t>
            </w:r>
          </w:p>
        </w:tc>
        <w:tc>
          <w:tcPr>
            <w:tcW w:w="885" w:type="dxa"/>
            <w:tcBorders>
              <w:top w:val="nil"/>
              <w:left w:val="single" w:sz="4" w:space="0" w:color="auto"/>
              <w:bottom w:val="nil"/>
              <w:right w:val="single" w:sz="4" w:space="0" w:color="auto"/>
            </w:tcBorders>
            <w:shd w:val="clear" w:color="auto" w:fill="auto"/>
            <w:vAlign w:val="center"/>
            <w:hideMark/>
          </w:tcPr>
          <w:p w14:paraId="70062A0F" w14:textId="77777777" w:rsidR="00EE0DB2" w:rsidRPr="00EE0DB2" w:rsidRDefault="00EE0DB2" w:rsidP="00EE0DB2">
            <w:pPr>
              <w:jc w:val="right"/>
              <w:rPr>
                <w:sz w:val="14"/>
                <w:szCs w:val="14"/>
                <w:lang w:eastAsia="tr-TR"/>
              </w:rPr>
            </w:pPr>
            <w:r w:rsidRPr="00EE0DB2">
              <w:rPr>
                <w:sz w:val="14"/>
                <w:szCs w:val="14"/>
                <w:lang w:eastAsia="tr-TR"/>
              </w:rPr>
              <w:t>680,753</w:t>
            </w:r>
          </w:p>
        </w:tc>
        <w:tc>
          <w:tcPr>
            <w:tcW w:w="885" w:type="dxa"/>
            <w:tcBorders>
              <w:top w:val="nil"/>
              <w:left w:val="single" w:sz="4" w:space="0" w:color="auto"/>
              <w:bottom w:val="nil"/>
              <w:right w:val="single" w:sz="4" w:space="0" w:color="auto"/>
            </w:tcBorders>
            <w:shd w:val="clear" w:color="auto" w:fill="auto"/>
            <w:vAlign w:val="center"/>
            <w:hideMark/>
          </w:tcPr>
          <w:p w14:paraId="37887E95" w14:textId="77777777" w:rsidR="00EE0DB2" w:rsidRPr="00EE0DB2" w:rsidRDefault="00EE0DB2" w:rsidP="00EE0DB2">
            <w:pPr>
              <w:jc w:val="right"/>
              <w:rPr>
                <w:sz w:val="14"/>
                <w:szCs w:val="14"/>
                <w:lang w:eastAsia="tr-TR"/>
              </w:rPr>
            </w:pPr>
            <w:r w:rsidRPr="00EE0DB2">
              <w:rPr>
                <w:sz w:val="14"/>
                <w:szCs w:val="14"/>
                <w:lang w:eastAsia="tr-TR"/>
              </w:rPr>
              <w:t>1,089,725</w:t>
            </w:r>
          </w:p>
        </w:tc>
        <w:tc>
          <w:tcPr>
            <w:tcW w:w="886" w:type="dxa"/>
            <w:tcBorders>
              <w:top w:val="nil"/>
              <w:left w:val="single" w:sz="4" w:space="0" w:color="auto"/>
              <w:bottom w:val="nil"/>
              <w:right w:val="single" w:sz="4" w:space="0" w:color="auto"/>
            </w:tcBorders>
            <w:shd w:val="clear" w:color="auto" w:fill="auto"/>
            <w:vAlign w:val="center"/>
            <w:hideMark/>
          </w:tcPr>
          <w:p w14:paraId="0A6CDACC" w14:textId="77777777" w:rsidR="00EE0DB2" w:rsidRPr="00EE0DB2" w:rsidRDefault="00EE0DB2" w:rsidP="00EE0DB2">
            <w:pPr>
              <w:jc w:val="right"/>
              <w:rPr>
                <w:sz w:val="14"/>
                <w:szCs w:val="14"/>
                <w:lang w:eastAsia="tr-TR"/>
              </w:rPr>
            </w:pPr>
            <w:r w:rsidRPr="00EE0DB2">
              <w:rPr>
                <w:sz w:val="14"/>
                <w:szCs w:val="14"/>
                <w:lang w:eastAsia="tr-TR"/>
              </w:rPr>
              <w:t>276,131</w:t>
            </w:r>
          </w:p>
        </w:tc>
        <w:tc>
          <w:tcPr>
            <w:tcW w:w="885" w:type="dxa"/>
            <w:tcBorders>
              <w:top w:val="nil"/>
              <w:left w:val="single" w:sz="4" w:space="0" w:color="auto"/>
              <w:bottom w:val="nil"/>
              <w:right w:val="single" w:sz="4" w:space="0" w:color="auto"/>
            </w:tcBorders>
            <w:shd w:val="clear" w:color="auto" w:fill="auto"/>
            <w:vAlign w:val="center"/>
            <w:hideMark/>
          </w:tcPr>
          <w:p w14:paraId="0D126E39" w14:textId="77777777" w:rsidR="00EE0DB2" w:rsidRPr="00EE0DB2" w:rsidRDefault="00EE0DB2" w:rsidP="00EE0DB2">
            <w:pPr>
              <w:jc w:val="right"/>
              <w:rPr>
                <w:sz w:val="14"/>
                <w:szCs w:val="14"/>
                <w:lang w:eastAsia="tr-TR"/>
              </w:rPr>
            </w:pPr>
            <w:r w:rsidRPr="00EE0DB2">
              <w:rPr>
                <w:sz w:val="14"/>
                <w:szCs w:val="14"/>
                <w:lang w:eastAsia="tr-TR"/>
              </w:rPr>
              <w:t>603,627</w:t>
            </w:r>
          </w:p>
        </w:tc>
        <w:tc>
          <w:tcPr>
            <w:tcW w:w="885" w:type="dxa"/>
            <w:tcBorders>
              <w:top w:val="nil"/>
              <w:left w:val="single" w:sz="4" w:space="0" w:color="auto"/>
              <w:bottom w:val="nil"/>
              <w:right w:val="single" w:sz="4" w:space="0" w:color="auto"/>
            </w:tcBorders>
            <w:shd w:val="clear" w:color="auto" w:fill="auto"/>
            <w:vAlign w:val="center"/>
            <w:hideMark/>
          </w:tcPr>
          <w:p w14:paraId="171B3755" w14:textId="77777777" w:rsidR="00EE0DB2" w:rsidRPr="00EE0DB2" w:rsidRDefault="00EE0DB2" w:rsidP="00EE0DB2">
            <w:pPr>
              <w:jc w:val="right"/>
              <w:rPr>
                <w:sz w:val="14"/>
                <w:szCs w:val="14"/>
                <w:lang w:eastAsia="tr-TR"/>
              </w:rPr>
            </w:pPr>
            <w:r w:rsidRPr="00EE0DB2">
              <w:rPr>
                <w:sz w:val="14"/>
                <w:szCs w:val="14"/>
                <w:lang w:eastAsia="tr-TR"/>
              </w:rPr>
              <w:t>879,758</w:t>
            </w:r>
          </w:p>
        </w:tc>
      </w:tr>
      <w:tr w:rsidR="00EE0DB2" w:rsidRPr="00EE0DB2" w14:paraId="53016DE2"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01559830" w14:textId="77777777" w:rsidR="00EE0DB2" w:rsidRPr="00EE0DB2" w:rsidRDefault="00EE0DB2" w:rsidP="00EE0DB2">
            <w:pPr>
              <w:rPr>
                <w:color w:val="000000"/>
                <w:sz w:val="14"/>
                <w:szCs w:val="14"/>
                <w:lang w:eastAsia="tr-TR"/>
              </w:rPr>
            </w:pPr>
            <w:r w:rsidRPr="00EE0DB2">
              <w:rPr>
                <w:color w:val="000000"/>
                <w:sz w:val="14"/>
                <w:szCs w:val="14"/>
                <w:lang w:eastAsia="tr-TR"/>
              </w:rPr>
              <w:t>3.2.1.2</w:t>
            </w:r>
          </w:p>
        </w:tc>
        <w:tc>
          <w:tcPr>
            <w:tcW w:w="3236" w:type="dxa"/>
            <w:tcBorders>
              <w:top w:val="nil"/>
              <w:left w:val="single" w:sz="4" w:space="0" w:color="auto"/>
              <w:bottom w:val="nil"/>
              <w:right w:val="single" w:sz="4" w:space="0" w:color="auto"/>
            </w:tcBorders>
            <w:shd w:val="clear" w:color="auto" w:fill="auto"/>
            <w:noWrap/>
            <w:vAlign w:val="center"/>
            <w:hideMark/>
          </w:tcPr>
          <w:p w14:paraId="4BBC2109" w14:textId="77777777" w:rsidR="00EE0DB2" w:rsidRPr="00EE0DB2" w:rsidRDefault="00EE0DB2" w:rsidP="00EE0DB2">
            <w:pPr>
              <w:rPr>
                <w:color w:val="000000"/>
                <w:sz w:val="14"/>
                <w:szCs w:val="14"/>
                <w:lang w:eastAsia="tr-TR"/>
              </w:rPr>
            </w:pPr>
            <w:r w:rsidRPr="00EE0DB2">
              <w:rPr>
                <w:color w:val="000000"/>
                <w:sz w:val="14"/>
                <w:szCs w:val="14"/>
                <w:lang w:eastAsia="tr-TR"/>
              </w:rPr>
              <w:t>Vadeli Döviz Satım İşlemleri</w:t>
            </w:r>
          </w:p>
        </w:tc>
        <w:tc>
          <w:tcPr>
            <w:tcW w:w="576" w:type="dxa"/>
            <w:tcBorders>
              <w:top w:val="nil"/>
              <w:left w:val="single" w:sz="4" w:space="0" w:color="auto"/>
              <w:bottom w:val="nil"/>
              <w:right w:val="single" w:sz="4" w:space="0" w:color="auto"/>
            </w:tcBorders>
            <w:shd w:val="clear" w:color="auto" w:fill="auto"/>
            <w:vAlign w:val="center"/>
            <w:hideMark/>
          </w:tcPr>
          <w:p w14:paraId="0B4C2792"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396CE0E" w14:textId="77777777" w:rsidR="00EE0DB2" w:rsidRPr="00EE0DB2" w:rsidRDefault="00EE0DB2" w:rsidP="00EE0DB2">
            <w:pPr>
              <w:jc w:val="right"/>
              <w:rPr>
                <w:sz w:val="14"/>
                <w:szCs w:val="14"/>
                <w:lang w:eastAsia="tr-TR"/>
              </w:rPr>
            </w:pPr>
            <w:r w:rsidRPr="00EE0DB2">
              <w:rPr>
                <w:sz w:val="14"/>
                <w:szCs w:val="14"/>
                <w:lang w:eastAsia="tr-TR"/>
              </w:rPr>
              <w:t>103,004</w:t>
            </w:r>
          </w:p>
        </w:tc>
        <w:tc>
          <w:tcPr>
            <w:tcW w:w="885" w:type="dxa"/>
            <w:tcBorders>
              <w:top w:val="nil"/>
              <w:left w:val="single" w:sz="4" w:space="0" w:color="auto"/>
              <w:bottom w:val="nil"/>
              <w:right w:val="single" w:sz="4" w:space="0" w:color="auto"/>
            </w:tcBorders>
            <w:shd w:val="clear" w:color="auto" w:fill="auto"/>
            <w:vAlign w:val="center"/>
            <w:hideMark/>
          </w:tcPr>
          <w:p w14:paraId="4B6BA389" w14:textId="77777777" w:rsidR="00EE0DB2" w:rsidRPr="00EE0DB2" w:rsidRDefault="00EE0DB2" w:rsidP="00EE0DB2">
            <w:pPr>
              <w:jc w:val="right"/>
              <w:rPr>
                <w:sz w:val="14"/>
                <w:szCs w:val="14"/>
                <w:lang w:eastAsia="tr-TR"/>
              </w:rPr>
            </w:pPr>
            <w:r w:rsidRPr="00EE0DB2">
              <w:rPr>
                <w:sz w:val="14"/>
                <w:szCs w:val="14"/>
                <w:lang w:eastAsia="tr-TR"/>
              </w:rPr>
              <w:t>978,974</w:t>
            </w:r>
          </w:p>
        </w:tc>
        <w:tc>
          <w:tcPr>
            <w:tcW w:w="885" w:type="dxa"/>
            <w:tcBorders>
              <w:top w:val="nil"/>
              <w:left w:val="single" w:sz="4" w:space="0" w:color="auto"/>
              <w:bottom w:val="nil"/>
              <w:right w:val="single" w:sz="4" w:space="0" w:color="auto"/>
            </w:tcBorders>
            <w:shd w:val="clear" w:color="auto" w:fill="auto"/>
            <w:vAlign w:val="center"/>
            <w:hideMark/>
          </w:tcPr>
          <w:p w14:paraId="7B6D9E4D" w14:textId="77777777" w:rsidR="00EE0DB2" w:rsidRPr="00EE0DB2" w:rsidRDefault="00EE0DB2" w:rsidP="00EE0DB2">
            <w:pPr>
              <w:jc w:val="right"/>
              <w:rPr>
                <w:sz w:val="14"/>
                <w:szCs w:val="14"/>
                <w:lang w:eastAsia="tr-TR"/>
              </w:rPr>
            </w:pPr>
            <w:r w:rsidRPr="00EE0DB2">
              <w:rPr>
                <w:sz w:val="14"/>
                <w:szCs w:val="14"/>
                <w:lang w:eastAsia="tr-TR"/>
              </w:rPr>
              <w:t>1,081,978</w:t>
            </w:r>
          </w:p>
        </w:tc>
        <w:tc>
          <w:tcPr>
            <w:tcW w:w="886" w:type="dxa"/>
            <w:tcBorders>
              <w:top w:val="nil"/>
              <w:left w:val="single" w:sz="4" w:space="0" w:color="auto"/>
              <w:bottom w:val="nil"/>
              <w:right w:val="single" w:sz="4" w:space="0" w:color="auto"/>
            </w:tcBorders>
            <w:shd w:val="clear" w:color="auto" w:fill="auto"/>
            <w:vAlign w:val="center"/>
            <w:hideMark/>
          </w:tcPr>
          <w:p w14:paraId="375EE084" w14:textId="77777777" w:rsidR="00EE0DB2" w:rsidRPr="00EE0DB2" w:rsidRDefault="00EE0DB2" w:rsidP="00EE0DB2">
            <w:pPr>
              <w:jc w:val="right"/>
              <w:rPr>
                <w:sz w:val="14"/>
                <w:szCs w:val="14"/>
                <w:lang w:eastAsia="tr-TR"/>
              </w:rPr>
            </w:pPr>
            <w:r w:rsidRPr="00EE0DB2">
              <w:rPr>
                <w:sz w:val="14"/>
                <w:szCs w:val="14"/>
                <w:lang w:eastAsia="tr-TR"/>
              </w:rPr>
              <w:t>235,979</w:t>
            </w:r>
          </w:p>
        </w:tc>
        <w:tc>
          <w:tcPr>
            <w:tcW w:w="885" w:type="dxa"/>
            <w:tcBorders>
              <w:top w:val="nil"/>
              <w:left w:val="single" w:sz="4" w:space="0" w:color="auto"/>
              <w:bottom w:val="nil"/>
              <w:right w:val="single" w:sz="4" w:space="0" w:color="auto"/>
            </w:tcBorders>
            <w:shd w:val="clear" w:color="auto" w:fill="auto"/>
            <w:vAlign w:val="center"/>
            <w:hideMark/>
          </w:tcPr>
          <w:p w14:paraId="4DD7FB33" w14:textId="77777777" w:rsidR="00EE0DB2" w:rsidRPr="00EE0DB2" w:rsidRDefault="00EE0DB2" w:rsidP="00EE0DB2">
            <w:pPr>
              <w:jc w:val="right"/>
              <w:rPr>
                <w:sz w:val="14"/>
                <w:szCs w:val="14"/>
                <w:lang w:eastAsia="tr-TR"/>
              </w:rPr>
            </w:pPr>
            <w:r w:rsidRPr="00EE0DB2">
              <w:rPr>
                <w:sz w:val="14"/>
                <w:szCs w:val="14"/>
                <w:lang w:eastAsia="tr-TR"/>
              </w:rPr>
              <w:t>639,076</w:t>
            </w:r>
          </w:p>
        </w:tc>
        <w:tc>
          <w:tcPr>
            <w:tcW w:w="885" w:type="dxa"/>
            <w:tcBorders>
              <w:top w:val="nil"/>
              <w:left w:val="single" w:sz="4" w:space="0" w:color="auto"/>
              <w:bottom w:val="nil"/>
              <w:right w:val="single" w:sz="4" w:space="0" w:color="auto"/>
            </w:tcBorders>
            <w:shd w:val="clear" w:color="auto" w:fill="auto"/>
            <w:vAlign w:val="center"/>
            <w:hideMark/>
          </w:tcPr>
          <w:p w14:paraId="71CCA5CC" w14:textId="77777777" w:rsidR="00EE0DB2" w:rsidRPr="00EE0DB2" w:rsidRDefault="00EE0DB2" w:rsidP="00EE0DB2">
            <w:pPr>
              <w:jc w:val="right"/>
              <w:rPr>
                <w:sz w:val="14"/>
                <w:szCs w:val="14"/>
                <w:lang w:eastAsia="tr-TR"/>
              </w:rPr>
            </w:pPr>
            <w:r w:rsidRPr="00EE0DB2">
              <w:rPr>
                <w:sz w:val="14"/>
                <w:szCs w:val="14"/>
                <w:lang w:eastAsia="tr-TR"/>
              </w:rPr>
              <w:t>875,055</w:t>
            </w:r>
          </w:p>
        </w:tc>
      </w:tr>
      <w:tr w:rsidR="00EE0DB2" w:rsidRPr="00EE0DB2" w14:paraId="52FA3386"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78E14ACB" w14:textId="77777777" w:rsidR="00EE0DB2" w:rsidRPr="00EE0DB2" w:rsidRDefault="00EE0DB2" w:rsidP="00EE0DB2">
            <w:pPr>
              <w:rPr>
                <w:color w:val="000000"/>
                <w:sz w:val="14"/>
                <w:szCs w:val="14"/>
                <w:lang w:eastAsia="tr-TR"/>
              </w:rPr>
            </w:pPr>
            <w:r w:rsidRPr="00EE0DB2">
              <w:rPr>
                <w:color w:val="000000"/>
                <w:sz w:val="14"/>
                <w:szCs w:val="14"/>
                <w:lang w:eastAsia="tr-TR"/>
              </w:rPr>
              <w:t>3.2.2</w:t>
            </w:r>
          </w:p>
        </w:tc>
        <w:tc>
          <w:tcPr>
            <w:tcW w:w="3236" w:type="dxa"/>
            <w:tcBorders>
              <w:top w:val="nil"/>
              <w:left w:val="single" w:sz="4" w:space="0" w:color="auto"/>
              <w:bottom w:val="nil"/>
              <w:right w:val="single" w:sz="4" w:space="0" w:color="auto"/>
            </w:tcBorders>
            <w:shd w:val="clear" w:color="auto" w:fill="auto"/>
            <w:noWrap/>
            <w:vAlign w:val="center"/>
            <w:hideMark/>
          </w:tcPr>
          <w:p w14:paraId="75FF49D3" w14:textId="77777777" w:rsidR="00EE0DB2" w:rsidRPr="00EE0DB2" w:rsidRDefault="00EE0DB2" w:rsidP="00EE0DB2">
            <w:pPr>
              <w:rPr>
                <w:color w:val="000000"/>
                <w:sz w:val="14"/>
                <w:szCs w:val="14"/>
                <w:lang w:eastAsia="tr-TR"/>
              </w:rPr>
            </w:pPr>
            <w:r w:rsidRPr="00EE0DB2">
              <w:rPr>
                <w:color w:val="000000"/>
                <w:sz w:val="14"/>
                <w:szCs w:val="14"/>
                <w:lang w:eastAsia="tr-TR"/>
              </w:rPr>
              <w:t>Diğer Vadeli Alım-Satım İşlemleri</w:t>
            </w:r>
          </w:p>
        </w:tc>
        <w:tc>
          <w:tcPr>
            <w:tcW w:w="576" w:type="dxa"/>
            <w:tcBorders>
              <w:top w:val="nil"/>
              <w:left w:val="single" w:sz="4" w:space="0" w:color="auto"/>
              <w:bottom w:val="nil"/>
              <w:right w:val="single" w:sz="4" w:space="0" w:color="auto"/>
            </w:tcBorders>
            <w:shd w:val="clear" w:color="auto" w:fill="auto"/>
            <w:vAlign w:val="center"/>
            <w:hideMark/>
          </w:tcPr>
          <w:p w14:paraId="5DC01C10"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E0167C2" w14:textId="77777777" w:rsidR="00EE0DB2" w:rsidRPr="00EE0DB2" w:rsidRDefault="00EE0DB2" w:rsidP="00EE0DB2">
            <w:pPr>
              <w:jc w:val="right"/>
              <w:rPr>
                <w:sz w:val="14"/>
                <w:szCs w:val="14"/>
                <w:lang w:eastAsia="tr-TR"/>
              </w:rPr>
            </w:pPr>
            <w:r w:rsidRPr="00EE0DB2">
              <w:rPr>
                <w:sz w:val="14"/>
                <w:szCs w:val="14"/>
                <w:lang w:eastAsia="tr-TR"/>
              </w:rPr>
              <w:t>19,938,661</w:t>
            </w:r>
          </w:p>
        </w:tc>
        <w:tc>
          <w:tcPr>
            <w:tcW w:w="885" w:type="dxa"/>
            <w:tcBorders>
              <w:top w:val="nil"/>
              <w:left w:val="single" w:sz="4" w:space="0" w:color="auto"/>
              <w:bottom w:val="nil"/>
              <w:right w:val="single" w:sz="4" w:space="0" w:color="auto"/>
            </w:tcBorders>
            <w:shd w:val="clear" w:color="auto" w:fill="auto"/>
            <w:vAlign w:val="center"/>
            <w:hideMark/>
          </w:tcPr>
          <w:p w14:paraId="06F63E12" w14:textId="77777777" w:rsidR="00EE0DB2" w:rsidRPr="00EE0DB2" w:rsidRDefault="00EE0DB2" w:rsidP="00EE0DB2">
            <w:pPr>
              <w:jc w:val="right"/>
              <w:rPr>
                <w:sz w:val="14"/>
                <w:szCs w:val="14"/>
                <w:lang w:eastAsia="tr-TR"/>
              </w:rPr>
            </w:pPr>
            <w:r w:rsidRPr="00EE0DB2">
              <w:rPr>
                <w:sz w:val="14"/>
                <w:szCs w:val="14"/>
                <w:lang w:eastAsia="tr-TR"/>
              </w:rPr>
              <w:t>62,831,665</w:t>
            </w:r>
          </w:p>
        </w:tc>
        <w:tc>
          <w:tcPr>
            <w:tcW w:w="885" w:type="dxa"/>
            <w:tcBorders>
              <w:top w:val="nil"/>
              <w:left w:val="single" w:sz="4" w:space="0" w:color="auto"/>
              <w:bottom w:val="nil"/>
              <w:right w:val="single" w:sz="4" w:space="0" w:color="auto"/>
            </w:tcBorders>
            <w:shd w:val="clear" w:color="auto" w:fill="auto"/>
            <w:vAlign w:val="center"/>
            <w:hideMark/>
          </w:tcPr>
          <w:p w14:paraId="2FB7DBAF" w14:textId="77777777" w:rsidR="00EE0DB2" w:rsidRPr="00EE0DB2" w:rsidRDefault="00EE0DB2" w:rsidP="00EE0DB2">
            <w:pPr>
              <w:jc w:val="right"/>
              <w:rPr>
                <w:sz w:val="14"/>
                <w:szCs w:val="14"/>
                <w:lang w:eastAsia="tr-TR"/>
              </w:rPr>
            </w:pPr>
            <w:r w:rsidRPr="00EE0DB2">
              <w:rPr>
                <w:sz w:val="14"/>
                <w:szCs w:val="14"/>
                <w:lang w:eastAsia="tr-TR"/>
              </w:rPr>
              <w:t>82,770,326</w:t>
            </w:r>
          </w:p>
        </w:tc>
        <w:tc>
          <w:tcPr>
            <w:tcW w:w="886" w:type="dxa"/>
            <w:tcBorders>
              <w:top w:val="nil"/>
              <w:left w:val="single" w:sz="4" w:space="0" w:color="auto"/>
              <w:bottom w:val="nil"/>
              <w:right w:val="single" w:sz="4" w:space="0" w:color="auto"/>
            </w:tcBorders>
            <w:shd w:val="clear" w:color="auto" w:fill="auto"/>
            <w:vAlign w:val="center"/>
            <w:hideMark/>
          </w:tcPr>
          <w:p w14:paraId="3B738352" w14:textId="77777777" w:rsidR="00EE0DB2" w:rsidRPr="00EE0DB2" w:rsidRDefault="00EE0DB2" w:rsidP="00EE0DB2">
            <w:pPr>
              <w:jc w:val="right"/>
              <w:rPr>
                <w:sz w:val="14"/>
                <w:szCs w:val="14"/>
                <w:lang w:eastAsia="tr-TR"/>
              </w:rPr>
            </w:pPr>
            <w:r w:rsidRPr="00EE0DB2">
              <w:rPr>
                <w:sz w:val="14"/>
                <w:szCs w:val="14"/>
                <w:lang w:eastAsia="tr-TR"/>
              </w:rPr>
              <w:t>7,764,399</w:t>
            </w:r>
          </w:p>
        </w:tc>
        <w:tc>
          <w:tcPr>
            <w:tcW w:w="885" w:type="dxa"/>
            <w:tcBorders>
              <w:top w:val="nil"/>
              <w:left w:val="single" w:sz="4" w:space="0" w:color="auto"/>
              <w:bottom w:val="nil"/>
              <w:right w:val="single" w:sz="4" w:space="0" w:color="auto"/>
            </w:tcBorders>
            <w:shd w:val="clear" w:color="auto" w:fill="auto"/>
            <w:vAlign w:val="center"/>
            <w:hideMark/>
          </w:tcPr>
          <w:p w14:paraId="5981A3D9" w14:textId="77777777" w:rsidR="00EE0DB2" w:rsidRPr="00EE0DB2" w:rsidRDefault="00EE0DB2" w:rsidP="00EE0DB2">
            <w:pPr>
              <w:jc w:val="right"/>
              <w:rPr>
                <w:sz w:val="14"/>
                <w:szCs w:val="14"/>
                <w:lang w:eastAsia="tr-TR"/>
              </w:rPr>
            </w:pPr>
            <w:r w:rsidRPr="00EE0DB2">
              <w:rPr>
                <w:sz w:val="14"/>
                <w:szCs w:val="14"/>
                <w:lang w:eastAsia="tr-TR"/>
              </w:rPr>
              <w:t>45,738,088</w:t>
            </w:r>
          </w:p>
        </w:tc>
        <w:tc>
          <w:tcPr>
            <w:tcW w:w="885" w:type="dxa"/>
            <w:tcBorders>
              <w:top w:val="nil"/>
              <w:left w:val="single" w:sz="4" w:space="0" w:color="auto"/>
              <w:bottom w:val="nil"/>
              <w:right w:val="single" w:sz="4" w:space="0" w:color="auto"/>
            </w:tcBorders>
            <w:shd w:val="clear" w:color="auto" w:fill="auto"/>
            <w:vAlign w:val="center"/>
            <w:hideMark/>
          </w:tcPr>
          <w:p w14:paraId="5D77AB79" w14:textId="77777777" w:rsidR="00EE0DB2" w:rsidRPr="00EE0DB2" w:rsidRDefault="00EE0DB2" w:rsidP="00EE0DB2">
            <w:pPr>
              <w:jc w:val="right"/>
              <w:rPr>
                <w:sz w:val="14"/>
                <w:szCs w:val="14"/>
                <w:lang w:eastAsia="tr-TR"/>
              </w:rPr>
            </w:pPr>
            <w:r w:rsidRPr="00EE0DB2">
              <w:rPr>
                <w:sz w:val="14"/>
                <w:szCs w:val="14"/>
                <w:lang w:eastAsia="tr-TR"/>
              </w:rPr>
              <w:t>53,502,487</w:t>
            </w:r>
          </w:p>
        </w:tc>
      </w:tr>
      <w:tr w:rsidR="00EE0DB2" w:rsidRPr="00EE0DB2" w14:paraId="11F8A88A"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63976B1A" w14:textId="77777777" w:rsidR="00EE0DB2" w:rsidRPr="00EE0DB2" w:rsidRDefault="00EE0DB2" w:rsidP="00EE0DB2">
            <w:pPr>
              <w:rPr>
                <w:color w:val="000000"/>
                <w:sz w:val="14"/>
                <w:szCs w:val="14"/>
                <w:lang w:eastAsia="tr-TR"/>
              </w:rPr>
            </w:pPr>
            <w:r w:rsidRPr="00EE0DB2">
              <w:rPr>
                <w:color w:val="000000"/>
                <w:sz w:val="14"/>
                <w:szCs w:val="14"/>
                <w:lang w:eastAsia="tr-TR"/>
              </w:rPr>
              <w:t>3.3</w:t>
            </w:r>
          </w:p>
        </w:tc>
        <w:tc>
          <w:tcPr>
            <w:tcW w:w="3236" w:type="dxa"/>
            <w:tcBorders>
              <w:top w:val="nil"/>
              <w:left w:val="single" w:sz="4" w:space="0" w:color="auto"/>
              <w:bottom w:val="nil"/>
              <w:right w:val="single" w:sz="4" w:space="0" w:color="auto"/>
            </w:tcBorders>
            <w:shd w:val="clear" w:color="auto" w:fill="auto"/>
            <w:noWrap/>
            <w:vAlign w:val="center"/>
            <w:hideMark/>
          </w:tcPr>
          <w:p w14:paraId="42F4B2F7" w14:textId="77777777" w:rsidR="00EE0DB2" w:rsidRPr="00EE0DB2" w:rsidRDefault="00EE0DB2" w:rsidP="00EE0DB2">
            <w:pPr>
              <w:rPr>
                <w:color w:val="000000"/>
                <w:sz w:val="14"/>
                <w:szCs w:val="14"/>
                <w:lang w:eastAsia="tr-TR"/>
              </w:rPr>
            </w:pPr>
            <w:r w:rsidRPr="00EE0DB2">
              <w:rPr>
                <w:color w:val="000000"/>
                <w:sz w:val="14"/>
                <w:szCs w:val="14"/>
                <w:lang w:eastAsia="tr-TR"/>
              </w:rPr>
              <w:t>Diğer</w:t>
            </w:r>
          </w:p>
        </w:tc>
        <w:tc>
          <w:tcPr>
            <w:tcW w:w="576" w:type="dxa"/>
            <w:tcBorders>
              <w:top w:val="nil"/>
              <w:left w:val="single" w:sz="4" w:space="0" w:color="auto"/>
              <w:bottom w:val="nil"/>
              <w:right w:val="single" w:sz="4" w:space="0" w:color="auto"/>
            </w:tcBorders>
            <w:shd w:val="clear" w:color="auto" w:fill="auto"/>
            <w:vAlign w:val="center"/>
            <w:hideMark/>
          </w:tcPr>
          <w:p w14:paraId="4082847F"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A21E303"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10ED2FE"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0C11924"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AEE3CC4"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09DF802"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7401F2C"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64ACB95F"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0B66698A"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B.</w:t>
            </w:r>
          </w:p>
        </w:tc>
        <w:tc>
          <w:tcPr>
            <w:tcW w:w="3236" w:type="dxa"/>
            <w:tcBorders>
              <w:top w:val="nil"/>
              <w:left w:val="single" w:sz="4" w:space="0" w:color="auto"/>
              <w:bottom w:val="nil"/>
              <w:right w:val="single" w:sz="4" w:space="0" w:color="auto"/>
            </w:tcBorders>
            <w:shd w:val="clear" w:color="auto" w:fill="auto"/>
            <w:noWrap/>
            <w:vAlign w:val="center"/>
            <w:hideMark/>
          </w:tcPr>
          <w:p w14:paraId="72EB7778"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EMANET VE REHİNLİ KIYMETLER (IV+V+VI)</w:t>
            </w:r>
          </w:p>
        </w:tc>
        <w:tc>
          <w:tcPr>
            <w:tcW w:w="576" w:type="dxa"/>
            <w:tcBorders>
              <w:top w:val="nil"/>
              <w:left w:val="single" w:sz="4" w:space="0" w:color="auto"/>
              <w:bottom w:val="nil"/>
              <w:right w:val="single" w:sz="4" w:space="0" w:color="auto"/>
            </w:tcBorders>
            <w:shd w:val="clear" w:color="auto" w:fill="auto"/>
            <w:vAlign w:val="center"/>
            <w:hideMark/>
          </w:tcPr>
          <w:p w14:paraId="4E533A78" w14:textId="77777777" w:rsidR="00EE0DB2" w:rsidRPr="00EE0DB2" w:rsidRDefault="00EE0DB2" w:rsidP="00EE0DB2">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9F6DB71" w14:textId="77777777" w:rsidR="00EE0DB2" w:rsidRPr="00EE0DB2" w:rsidRDefault="00EE0DB2" w:rsidP="00EE0DB2">
            <w:pPr>
              <w:jc w:val="right"/>
              <w:rPr>
                <w:b/>
                <w:bCs/>
                <w:sz w:val="14"/>
                <w:szCs w:val="14"/>
                <w:lang w:eastAsia="tr-TR"/>
              </w:rPr>
            </w:pPr>
            <w:r w:rsidRPr="00EE0DB2">
              <w:rPr>
                <w:b/>
                <w:bCs/>
                <w:sz w:val="14"/>
                <w:szCs w:val="14"/>
                <w:lang w:eastAsia="tr-TR"/>
              </w:rPr>
              <w:t>465,541,665</w:t>
            </w:r>
          </w:p>
        </w:tc>
        <w:tc>
          <w:tcPr>
            <w:tcW w:w="885" w:type="dxa"/>
            <w:tcBorders>
              <w:top w:val="nil"/>
              <w:left w:val="single" w:sz="4" w:space="0" w:color="auto"/>
              <w:bottom w:val="nil"/>
              <w:right w:val="single" w:sz="4" w:space="0" w:color="auto"/>
            </w:tcBorders>
            <w:shd w:val="clear" w:color="auto" w:fill="auto"/>
            <w:vAlign w:val="center"/>
            <w:hideMark/>
          </w:tcPr>
          <w:p w14:paraId="3E4D73B0" w14:textId="77777777" w:rsidR="00EE0DB2" w:rsidRPr="00EE0DB2" w:rsidRDefault="00EE0DB2" w:rsidP="00EE0DB2">
            <w:pPr>
              <w:jc w:val="right"/>
              <w:rPr>
                <w:b/>
                <w:bCs/>
                <w:sz w:val="14"/>
                <w:szCs w:val="14"/>
                <w:lang w:eastAsia="tr-TR"/>
              </w:rPr>
            </w:pPr>
            <w:r w:rsidRPr="00EE0DB2">
              <w:rPr>
                <w:b/>
                <w:bCs/>
                <w:sz w:val="14"/>
                <w:szCs w:val="14"/>
                <w:lang w:eastAsia="tr-TR"/>
              </w:rPr>
              <w:t>216,908,352</w:t>
            </w:r>
          </w:p>
        </w:tc>
        <w:tc>
          <w:tcPr>
            <w:tcW w:w="885" w:type="dxa"/>
            <w:tcBorders>
              <w:top w:val="nil"/>
              <w:left w:val="single" w:sz="4" w:space="0" w:color="auto"/>
              <w:bottom w:val="nil"/>
              <w:right w:val="single" w:sz="4" w:space="0" w:color="auto"/>
            </w:tcBorders>
            <w:shd w:val="clear" w:color="auto" w:fill="auto"/>
            <w:vAlign w:val="center"/>
            <w:hideMark/>
          </w:tcPr>
          <w:p w14:paraId="3C5C0785" w14:textId="77777777" w:rsidR="00EE0DB2" w:rsidRPr="00EE0DB2" w:rsidRDefault="00EE0DB2" w:rsidP="00EE0DB2">
            <w:pPr>
              <w:jc w:val="right"/>
              <w:rPr>
                <w:b/>
                <w:bCs/>
                <w:sz w:val="14"/>
                <w:szCs w:val="14"/>
                <w:lang w:eastAsia="tr-TR"/>
              </w:rPr>
            </w:pPr>
            <w:r w:rsidRPr="00EE0DB2">
              <w:rPr>
                <w:b/>
                <w:bCs/>
                <w:sz w:val="14"/>
                <w:szCs w:val="14"/>
                <w:lang w:eastAsia="tr-TR"/>
              </w:rPr>
              <w:t>682,450,017</w:t>
            </w:r>
          </w:p>
        </w:tc>
        <w:tc>
          <w:tcPr>
            <w:tcW w:w="886" w:type="dxa"/>
            <w:tcBorders>
              <w:top w:val="nil"/>
              <w:left w:val="single" w:sz="4" w:space="0" w:color="auto"/>
              <w:bottom w:val="nil"/>
              <w:right w:val="single" w:sz="4" w:space="0" w:color="auto"/>
            </w:tcBorders>
            <w:shd w:val="clear" w:color="auto" w:fill="auto"/>
            <w:vAlign w:val="center"/>
            <w:hideMark/>
          </w:tcPr>
          <w:p w14:paraId="31995854" w14:textId="77777777" w:rsidR="00EE0DB2" w:rsidRPr="00EE0DB2" w:rsidRDefault="00EE0DB2" w:rsidP="00EE0DB2">
            <w:pPr>
              <w:jc w:val="right"/>
              <w:rPr>
                <w:b/>
                <w:bCs/>
                <w:sz w:val="14"/>
                <w:szCs w:val="14"/>
                <w:lang w:eastAsia="tr-TR"/>
              </w:rPr>
            </w:pPr>
            <w:r w:rsidRPr="00EE0DB2">
              <w:rPr>
                <w:b/>
                <w:bCs/>
                <w:sz w:val="14"/>
                <w:szCs w:val="14"/>
                <w:lang w:eastAsia="tr-TR"/>
              </w:rPr>
              <w:t>381,449,255</w:t>
            </w:r>
          </w:p>
        </w:tc>
        <w:tc>
          <w:tcPr>
            <w:tcW w:w="885" w:type="dxa"/>
            <w:tcBorders>
              <w:top w:val="nil"/>
              <w:left w:val="single" w:sz="4" w:space="0" w:color="auto"/>
              <w:bottom w:val="nil"/>
              <w:right w:val="single" w:sz="4" w:space="0" w:color="auto"/>
            </w:tcBorders>
            <w:shd w:val="clear" w:color="auto" w:fill="auto"/>
            <w:vAlign w:val="center"/>
            <w:hideMark/>
          </w:tcPr>
          <w:p w14:paraId="62DE4E47" w14:textId="77777777" w:rsidR="00EE0DB2" w:rsidRPr="00EE0DB2" w:rsidRDefault="00EE0DB2" w:rsidP="00EE0DB2">
            <w:pPr>
              <w:jc w:val="right"/>
              <w:rPr>
                <w:b/>
                <w:bCs/>
                <w:sz w:val="14"/>
                <w:szCs w:val="14"/>
                <w:lang w:eastAsia="tr-TR"/>
              </w:rPr>
            </w:pPr>
            <w:r w:rsidRPr="00EE0DB2">
              <w:rPr>
                <w:b/>
                <w:bCs/>
                <w:sz w:val="14"/>
                <w:szCs w:val="14"/>
                <w:lang w:eastAsia="tr-TR"/>
              </w:rPr>
              <w:t>165,631,022</w:t>
            </w:r>
          </w:p>
        </w:tc>
        <w:tc>
          <w:tcPr>
            <w:tcW w:w="885" w:type="dxa"/>
            <w:tcBorders>
              <w:top w:val="nil"/>
              <w:left w:val="single" w:sz="4" w:space="0" w:color="auto"/>
              <w:bottom w:val="nil"/>
              <w:right w:val="single" w:sz="4" w:space="0" w:color="auto"/>
            </w:tcBorders>
            <w:shd w:val="clear" w:color="auto" w:fill="auto"/>
            <w:vAlign w:val="center"/>
            <w:hideMark/>
          </w:tcPr>
          <w:p w14:paraId="056DE9BD" w14:textId="77777777" w:rsidR="00EE0DB2" w:rsidRPr="00EE0DB2" w:rsidRDefault="00EE0DB2" w:rsidP="00EE0DB2">
            <w:pPr>
              <w:jc w:val="right"/>
              <w:rPr>
                <w:b/>
                <w:bCs/>
                <w:sz w:val="14"/>
                <w:szCs w:val="14"/>
                <w:lang w:eastAsia="tr-TR"/>
              </w:rPr>
            </w:pPr>
            <w:r w:rsidRPr="00EE0DB2">
              <w:rPr>
                <w:b/>
                <w:bCs/>
                <w:sz w:val="14"/>
                <w:szCs w:val="14"/>
                <w:lang w:eastAsia="tr-TR"/>
              </w:rPr>
              <w:t>547,080,277</w:t>
            </w:r>
          </w:p>
        </w:tc>
      </w:tr>
      <w:tr w:rsidR="00EE0DB2" w:rsidRPr="00EE0DB2" w14:paraId="24589824"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515056D0"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IV.</w:t>
            </w:r>
          </w:p>
        </w:tc>
        <w:tc>
          <w:tcPr>
            <w:tcW w:w="3236" w:type="dxa"/>
            <w:tcBorders>
              <w:top w:val="nil"/>
              <w:left w:val="single" w:sz="4" w:space="0" w:color="auto"/>
              <w:bottom w:val="nil"/>
              <w:right w:val="single" w:sz="4" w:space="0" w:color="auto"/>
            </w:tcBorders>
            <w:shd w:val="clear" w:color="auto" w:fill="auto"/>
            <w:noWrap/>
            <w:vAlign w:val="center"/>
            <w:hideMark/>
          </w:tcPr>
          <w:p w14:paraId="121F5995"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EMANET KIYMETLER</w:t>
            </w:r>
          </w:p>
        </w:tc>
        <w:tc>
          <w:tcPr>
            <w:tcW w:w="576" w:type="dxa"/>
            <w:tcBorders>
              <w:top w:val="nil"/>
              <w:left w:val="single" w:sz="4" w:space="0" w:color="auto"/>
              <w:bottom w:val="nil"/>
              <w:right w:val="single" w:sz="4" w:space="0" w:color="auto"/>
            </w:tcBorders>
            <w:shd w:val="clear" w:color="auto" w:fill="auto"/>
            <w:vAlign w:val="center"/>
            <w:hideMark/>
          </w:tcPr>
          <w:p w14:paraId="57BC71CF" w14:textId="77777777" w:rsidR="00EE0DB2" w:rsidRPr="00EE0DB2" w:rsidRDefault="00EE0DB2" w:rsidP="00EE0DB2">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366F361" w14:textId="77777777" w:rsidR="00EE0DB2" w:rsidRPr="00EE0DB2" w:rsidRDefault="00EE0DB2" w:rsidP="00EE0DB2">
            <w:pPr>
              <w:jc w:val="right"/>
              <w:rPr>
                <w:b/>
                <w:bCs/>
                <w:sz w:val="14"/>
                <w:szCs w:val="14"/>
                <w:lang w:eastAsia="tr-TR"/>
              </w:rPr>
            </w:pPr>
            <w:r w:rsidRPr="00EE0DB2">
              <w:rPr>
                <w:b/>
                <w:bCs/>
                <w:sz w:val="14"/>
                <w:szCs w:val="14"/>
                <w:lang w:eastAsia="tr-TR"/>
              </w:rPr>
              <w:t>13,240,238</w:t>
            </w:r>
          </w:p>
        </w:tc>
        <w:tc>
          <w:tcPr>
            <w:tcW w:w="885" w:type="dxa"/>
            <w:tcBorders>
              <w:top w:val="nil"/>
              <w:left w:val="single" w:sz="4" w:space="0" w:color="auto"/>
              <w:bottom w:val="nil"/>
              <w:right w:val="single" w:sz="4" w:space="0" w:color="auto"/>
            </w:tcBorders>
            <w:shd w:val="clear" w:color="auto" w:fill="auto"/>
            <w:vAlign w:val="center"/>
            <w:hideMark/>
          </w:tcPr>
          <w:p w14:paraId="4F93C0A1" w14:textId="77777777" w:rsidR="00EE0DB2" w:rsidRPr="00EE0DB2" w:rsidRDefault="00EE0DB2" w:rsidP="00EE0DB2">
            <w:pPr>
              <w:jc w:val="right"/>
              <w:rPr>
                <w:b/>
                <w:bCs/>
                <w:sz w:val="14"/>
                <w:szCs w:val="14"/>
                <w:lang w:eastAsia="tr-TR"/>
              </w:rPr>
            </w:pPr>
            <w:r w:rsidRPr="00EE0DB2">
              <w:rPr>
                <w:b/>
                <w:bCs/>
                <w:sz w:val="14"/>
                <w:szCs w:val="14"/>
                <w:lang w:eastAsia="tr-TR"/>
              </w:rPr>
              <w:t>25,002,101</w:t>
            </w:r>
          </w:p>
        </w:tc>
        <w:tc>
          <w:tcPr>
            <w:tcW w:w="885" w:type="dxa"/>
            <w:tcBorders>
              <w:top w:val="nil"/>
              <w:left w:val="single" w:sz="4" w:space="0" w:color="auto"/>
              <w:bottom w:val="nil"/>
              <w:right w:val="single" w:sz="4" w:space="0" w:color="auto"/>
            </w:tcBorders>
            <w:shd w:val="clear" w:color="auto" w:fill="auto"/>
            <w:vAlign w:val="center"/>
            <w:hideMark/>
          </w:tcPr>
          <w:p w14:paraId="7251CC02" w14:textId="77777777" w:rsidR="00EE0DB2" w:rsidRPr="00EE0DB2" w:rsidRDefault="00EE0DB2" w:rsidP="00EE0DB2">
            <w:pPr>
              <w:jc w:val="right"/>
              <w:rPr>
                <w:b/>
                <w:bCs/>
                <w:sz w:val="14"/>
                <w:szCs w:val="14"/>
                <w:lang w:eastAsia="tr-TR"/>
              </w:rPr>
            </w:pPr>
            <w:r w:rsidRPr="00EE0DB2">
              <w:rPr>
                <w:b/>
                <w:bCs/>
                <w:sz w:val="14"/>
                <w:szCs w:val="14"/>
                <w:lang w:eastAsia="tr-TR"/>
              </w:rPr>
              <w:t>38,242,339</w:t>
            </w:r>
          </w:p>
        </w:tc>
        <w:tc>
          <w:tcPr>
            <w:tcW w:w="886" w:type="dxa"/>
            <w:tcBorders>
              <w:top w:val="nil"/>
              <w:left w:val="single" w:sz="4" w:space="0" w:color="auto"/>
              <w:bottom w:val="nil"/>
              <w:right w:val="single" w:sz="4" w:space="0" w:color="auto"/>
            </w:tcBorders>
            <w:shd w:val="clear" w:color="auto" w:fill="auto"/>
            <w:vAlign w:val="center"/>
            <w:hideMark/>
          </w:tcPr>
          <w:p w14:paraId="470C5BAB" w14:textId="77777777" w:rsidR="00EE0DB2" w:rsidRPr="00EE0DB2" w:rsidRDefault="00EE0DB2" w:rsidP="00EE0DB2">
            <w:pPr>
              <w:jc w:val="right"/>
              <w:rPr>
                <w:b/>
                <w:bCs/>
                <w:sz w:val="14"/>
                <w:szCs w:val="14"/>
                <w:lang w:eastAsia="tr-TR"/>
              </w:rPr>
            </w:pPr>
            <w:r w:rsidRPr="00EE0DB2">
              <w:rPr>
                <w:b/>
                <w:bCs/>
                <w:sz w:val="14"/>
                <w:szCs w:val="14"/>
                <w:lang w:eastAsia="tr-TR"/>
              </w:rPr>
              <w:t>11,299,056</w:t>
            </w:r>
          </w:p>
        </w:tc>
        <w:tc>
          <w:tcPr>
            <w:tcW w:w="885" w:type="dxa"/>
            <w:tcBorders>
              <w:top w:val="nil"/>
              <w:left w:val="single" w:sz="4" w:space="0" w:color="auto"/>
              <w:bottom w:val="nil"/>
              <w:right w:val="single" w:sz="4" w:space="0" w:color="auto"/>
            </w:tcBorders>
            <w:shd w:val="clear" w:color="auto" w:fill="auto"/>
            <w:vAlign w:val="center"/>
            <w:hideMark/>
          </w:tcPr>
          <w:p w14:paraId="40257B2C" w14:textId="77777777" w:rsidR="00EE0DB2" w:rsidRPr="00EE0DB2" w:rsidRDefault="00EE0DB2" w:rsidP="00EE0DB2">
            <w:pPr>
              <w:jc w:val="right"/>
              <w:rPr>
                <w:b/>
                <w:bCs/>
                <w:sz w:val="14"/>
                <w:szCs w:val="14"/>
                <w:lang w:eastAsia="tr-TR"/>
              </w:rPr>
            </w:pPr>
            <w:r w:rsidRPr="00EE0DB2">
              <w:rPr>
                <w:b/>
                <w:bCs/>
                <w:sz w:val="14"/>
                <w:szCs w:val="14"/>
                <w:lang w:eastAsia="tr-TR"/>
              </w:rPr>
              <w:t>14,947,964</w:t>
            </w:r>
          </w:p>
        </w:tc>
        <w:tc>
          <w:tcPr>
            <w:tcW w:w="885" w:type="dxa"/>
            <w:tcBorders>
              <w:top w:val="nil"/>
              <w:left w:val="single" w:sz="4" w:space="0" w:color="auto"/>
              <w:bottom w:val="nil"/>
              <w:right w:val="single" w:sz="4" w:space="0" w:color="auto"/>
            </w:tcBorders>
            <w:shd w:val="clear" w:color="auto" w:fill="auto"/>
            <w:vAlign w:val="center"/>
            <w:hideMark/>
          </w:tcPr>
          <w:p w14:paraId="78F32ED5" w14:textId="77777777" w:rsidR="00EE0DB2" w:rsidRPr="00EE0DB2" w:rsidRDefault="00EE0DB2" w:rsidP="00EE0DB2">
            <w:pPr>
              <w:jc w:val="right"/>
              <w:rPr>
                <w:b/>
                <w:bCs/>
                <w:sz w:val="14"/>
                <w:szCs w:val="14"/>
                <w:lang w:eastAsia="tr-TR"/>
              </w:rPr>
            </w:pPr>
            <w:r w:rsidRPr="00EE0DB2">
              <w:rPr>
                <w:b/>
                <w:bCs/>
                <w:sz w:val="14"/>
                <w:szCs w:val="14"/>
                <w:lang w:eastAsia="tr-TR"/>
              </w:rPr>
              <w:t>26,247,020</w:t>
            </w:r>
          </w:p>
        </w:tc>
      </w:tr>
      <w:tr w:rsidR="00EE0DB2" w:rsidRPr="00EE0DB2" w14:paraId="2D80BDCF"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75D1732B" w14:textId="77777777" w:rsidR="00EE0DB2" w:rsidRPr="00EE0DB2" w:rsidRDefault="00EE0DB2" w:rsidP="00EE0DB2">
            <w:pPr>
              <w:rPr>
                <w:color w:val="000000"/>
                <w:sz w:val="14"/>
                <w:szCs w:val="14"/>
                <w:lang w:eastAsia="tr-TR"/>
              </w:rPr>
            </w:pPr>
            <w:r w:rsidRPr="00EE0DB2">
              <w:rPr>
                <w:color w:val="000000"/>
                <w:sz w:val="14"/>
                <w:szCs w:val="14"/>
                <w:lang w:eastAsia="tr-TR"/>
              </w:rPr>
              <w:t>4.1.</w:t>
            </w:r>
          </w:p>
        </w:tc>
        <w:tc>
          <w:tcPr>
            <w:tcW w:w="3236" w:type="dxa"/>
            <w:tcBorders>
              <w:top w:val="nil"/>
              <w:left w:val="single" w:sz="4" w:space="0" w:color="auto"/>
              <w:bottom w:val="nil"/>
              <w:right w:val="single" w:sz="4" w:space="0" w:color="auto"/>
            </w:tcBorders>
            <w:shd w:val="clear" w:color="auto" w:fill="auto"/>
            <w:noWrap/>
            <w:vAlign w:val="center"/>
            <w:hideMark/>
          </w:tcPr>
          <w:p w14:paraId="7F3C2D81" w14:textId="77777777" w:rsidR="00EE0DB2" w:rsidRPr="00EE0DB2" w:rsidRDefault="00EE0DB2" w:rsidP="00EE0DB2">
            <w:pPr>
              <w:rPr>
                <w:color w:val="000000"/>
                <w:sz w:val="14"/>
                <w:szCs w:val="14"/>
                <w:lang w:eastAsia="tr-TR"/>
              </w:rPr>
            </w:pPr>
            <w:r w:rsidRPr="00EE0DB2">
              <w:rPr>
                <w:color w:val="000000"/>
                <w:sz w:val="14"/>
                <w:szCs w:val="14"/>
                <w:lang w:eastAsia="tr-TR"/>
              </w:rPr>
              <w:t>Müşteri Fon ve Portföy Mevcutları</w:t>
            </w:r>
          </w:p>
        </w:tc>
        <w:tc>
          <w:tcPr>
            <w:tcW w:w="576" w:type="dxa"/>
            <w:tcBorders>
              <w:top w:val="nil"/>
              <w:left w:val="single" w:sz="4" w:space="0" w:color="auto"/>
              <w:bottom w:val="nil"/>
              <w:right w:val="single" w:sz="4" w:space="0" w:color="auto"/>
            </w:tcBorders>
            <w:shd w:val="clear" w:color="auto" w:fill="auto"/>
            <w:vAlign w:val="center"/>
            <w:hideMark/>
          </w:tcPr>
          <w:p w14:paraId="42AABBDA"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AF57C21"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6A7C0FA"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CA2F923"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633C5DAC"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DE284E6"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611373C"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2EFC94C4"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3EFE6CD7" w14:textId="77777777" w:rsidR="00EE0DB2" w:rsidRPr="00EE0DB2" w:rsidRDefault="00EE0DB2" w:rsidP="00EE0DB2">
            <w:pPr>
              <w:rPr>
                <w:color w:val="000000"/>
                <w:sz w:val="14"/>
                <w:szCs w:val="14"/>
                <w:lang w:eastAsia="tr-TR"/>
              </w:rPr>
            </w:pPr>
            <w:r w:rsidRPr="00EE0DB2">
              <w:rPr>
                <w:color w:val="000000"/>
                <w:sz w:val="14"/>
                <w:szCs w:val="14"/>
                <w:lang w:eastAsia="tr-TR"/>
              </w:rPr>
              <w:t>4.2.</w:t>
            </w:r>
          </w:p>
        </w:tc>
        <w:tc>
          <w:tcPr>
            <w:tcW w:w="3236" w:type="dxa"/>
            <w:tcBorders>
              <w:top w:val="nil"/>
              <w:left w:val="single" w:sz="4" w:space="0" w:color="auto"/>
              <w:bottom w:val="nil"/>
              <w:right w:val="single" w:sz="4" w:space="0" w:color="auto"/>
            </w:tcBorders>
            <w:shd w:val="clear" w:color="auto" w:fill="auto"/>
            <w:noWrap/>
            <w:vAlign w:val="center"/>
            <w:hideMark/>
          </w:tcPr>
          <w:p w14:paraId="41A24840" w14:textId="77777777" w:rsidR="00EE0DB2" w:rsidRPr="00EE0DB2" w:rsidRDefault="00EE0DB2" w:rsidP="00EE0DB2">
            <w:pPr>
              <w:rPr>
                <w:color w:val="000000"/>
                <w:sz w:val="14"/>
                <w:szCs w:val="14"/>
                <w:lang w:eastAsia="tr-TR"/>
              </w:rPr>
            </w:pPr>
            <w:r w:rsidRPr="00EE0DB2">
              <w:rPr>
                <w:color w:val="000000"/>
                <w:sz w:val="14"/>
                <w:szCs w:val="14"/>
                <w:lang w:eastAsia="tr-TR"/>
              </w:rPr>
              <w:t>Emanete Alınan Menkul Değerler</w:t>
            </w:r>
          </w:p>
        </w:tc>
        <w:tc>
          <w:tcPr>
            <w:tcW w:w="576" w:type="dxa"/>
            <w:tcBorders>
              <w:top w:val="nil"/>
              <w:left w:val="single" w:sz="4" w:space="0" w:color="auto"/>
              <w:bottom w:val="nil"/>
              <w:right w:val="single" w:sz="4" w:space="0" w:color="auto"/>
            </w:tcBorders>
            <w:shd w:val="clear" w:color="auto" w:fill="auto"/>
            <w:vAlign w:val="center"/>
            <w:hideMark/>
          </w:tcPr>
          <w:p w14:paraId="09BA986B"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675FA31" w14:textId="77777777" w:rsidR="00EE0DB2" w:rsidRPr="00EE0DB2" w:rsidRDefault="00EE0DB2" w:rsidP="00EE0DB2">
            <w:pPr>
              <w:jc w:val="right"/>
              <w:rPr>
                <w:sz w:val="14"/>
                <w:szCs w:val="14"/>
                <w:lang w:eastAsia="tr-TR"/>
              </w:rPr>
            </w:pPr>
            <w:r w:rsidRPr="00EE0DB2">
              <w:rPr>
                <w:sz w:val="14"/>
                <w:szCs w:val="14"/>
                <w:lang w:eastAsia="tr-TR"/>
              </w:rPr>
              <w:t>3,946,036</w:t>
            </w:r>
          </w:p>
        </w:tc>
        <w:tc>
          <w:tcPr>
            <w:tcW w:w="885" w:type="dxa"/>
            <w:tcBorders>
              <w:top w:val="nil"/>
              <w:left w:val="single" w:sz="4" w:space="0" w:color="auto"/>
              <w:bottom w:val="nil"/>
              <w:right w:val="single" w:sz="4" w:space="0" w:color="auto"/>
            </w:tcBorders>
            <w:shd w:val="clear" w:color="auto" w:fill="auto"/>
            <w:vAlign w:val="center"/>
            <w:hideMark/>
          </w:tcPr>
          <w:p w14:paraId="070C01EC" w14:textId="77777777" w:rsidR="00EE0DB2" w:rsidRPr="00EE0DB2" w:rsidRDefault="00EE0DB2" w:rsidP="00EE0DB2">
            <w:pPr>
              <w:jc w:val="right"/>
              <w:rPr>
                <w:sz w:val="14"/>
                <w:szCs w:val="14"/>
                <w:lang w:eastAsia="tr-TR"/>
              </w:rPr>
            </w:pPr>
            <w:r w:rsidRPr="00EE0DB2">
              <w:rPr>
                <w:sz w:val="14"/>
                <w:szCs w:val="14"/>
                <w:lang w:eastAsia="tr-TR"/>
              </w:rPr>
              <w:t>8,508,057</w:t>
            </w:r>
          </w:p>
        </w:tc>
        <w:tc>
          <w:tcPr>
            <w:tcW w:w="885" w:type="dxa"/>
            <w:tcBorders>
              <w:top w:val="nil"/>
              <w:left w:val="single" w:sz="4" w:space="0" w:color="auto"/>
              <w:bottom w:val="nil"/>
              <w:right w:val="single" w:sz="4" w:space="0" w:color="auto"/>
            </w:tcBorders>
            <w:shd w:val="clear" w:color="auto" w:fill="auto"/>
            <w:vAlign w:val="center"/>
            <w:hideMark/>
          </w:tcPr>
          <w:p w14:paraId="72B25F39" w14:textId="77777777" w:rsidR="00EE0DB2" w:rsidRPr="00EE0DB2" w:rsidRDefault="00EE0DB2" w:rsidP="00EE0DB2">
            <w:pPr>
              <w:jc w:val="right"/>
              <w:rPr>
                <w:sz w:val="14"/>
                <w:szCs w:val="14"/>
                <w:lang w:eastAsia="tr-TR"/>
              </w:rPr>
            </w:pPr>
            <w:r w:rsidRPr="00EE0DB2">
              <w:rPr>
                <w:sz w:val="14"/>
                <w:szCs w:val="14"/>
                <w:lang w:eastAsia="tr-TR"/>
              </w:rPr>
              <w:t>12,454,093</w:t>
            </w:r>
          </w:p>
        </w:tc>
        <w:tc>
          <w:tcPr>
            <w:tcW w:w="886" w:type="dxa"/>
            <w:tcBorders>
              <w:top w:val="nil"/>
              <w:left w:val="single" w:sz="4" w:space="0" w:color="auto"/>
              <w:bottom w:val="nil"/>
              <w:right w:val="single" w:sz="4" w:space="0" w:color="auto"/>
            </w:tcBorders>
            <w:shd w:val="clear" w:color="auto" w:fill="auto"/>
            <w:vAlign w:val="center"/>
            <w:hideMark/>
          </w:tcPr>
          <w:p w14:paraId="3FFBF928" w14:textId="77777777" w:rsidR="00EE0DB2" w:rsidRPr="00EE0DB2" w:rsidRDefault="00EE0DB2" w:rsidP="00EE0DB2">
            <w:pPr>
              <w:jc w:val="right"/>
              <w:rPr>
                <w:sz w:val="14"/>
                <w:szCs w:val="14"/>
                <w:lang w:eastAsia="tr-TR"/>
              </w:rPr>
            </w:pPr>
            <w:r w:rsidRPr="00EE0DB2">
              <w:rPr>
                <w:sz w:val="14"/>
                <w:szCs w:val="14"/>
                <w:lang w:eastAsia="tr-TR"/>
              </w:rPr>
              <w:t>2,891,875</w:t>
            </w:r>
          </w:p>
        </w:tc>
        <w:tc>
          <w:tcPr>
            <w:tcW w:w="885" w:type="dxa"/>
            <w:tcBorders>
              <w:top w:val="nil"/>
              <w:left w:val="single" w:sz="4" w:space="0" w:color="auto"/>
              <w:bottom w:val="nil"/>
              <w:right w:val="single" w:sz="4" w:space="0" w:color="auto"/>
            </w:tcBorders>
            <w:shd w:val="clear" w:color="auto" w:fill="auto"/>
            <w:vAlign w:val="center"/>
            <w:hideMark/>
          </w:tcPr>
          <w:p w14:paraId="4092394A" w14:textId="77777777" w:rsidR="00EE0DB2" w:rsidRPr="00EE0DB2" w:rsidRDefault="00EE0DB2" w:rsidP="00EE0DB2">
            <w:pPr>
              <w:jc w:val="right"/>
              <w:rPr>
                <w:sz w:val="14"/>
                <w:szCs w:val="14"/>
                <w:lang w:eastAsia="tr-TR"/>
              </w:rPr>
            </w:pPr>
            <w:r w:rsidRPr="00EE0DB2">
              <w:rPr>
                <w:sz w:val="14"/>
                <w:szCs w:val="14"/>
                <w:lang w:eastAsia="tr-TR"/>
              </w:rPr>
              <w:t>424,980</w:t>
            </w:r>
          </w:p>
        </w:tc>
        <w:tc>
          <w:tcPr>
            <w:tcW w:w="885" w:type="dxa"/>
            <w:tcBorders>
              <w:top w:val="nil"/>
              <w:left w:val="single" w:sz="4" w:space="0" w:color="auto"/>
              <w:bottom w:val="nil"/>
              <w:right w:val="single" w:sz="4" w:space="0" w:color="auto"/>
            </w:tcBorders>
            <w:shd w:val="clear" w:color="auto" w:fill="auto"/>
            <w:vAlign w:val="center"/>
            <w:hideMark/>
          </w:tcPr>
          <w:p w14:paraId="44ACA9D8" w14:textId="77777777" w:rsidR="00EE0DB2" w:rsidRPr="00EE0DB2" w:rsidRDefault="00EE0DB2" w:rsidP="00EE0DB2">
            <w:pPr>
              <w:jc w:val="right"/>
              <w:rPr>
                <w:sz w:val="14"/>
                <w:szCs w:val="14"/>
                <w:lang w:eastAsia="tr-TR"/>
              </w:rPr>
            </w:pPr>
            <w:r w:rsidRPr="00EE0DB2">
              <w:rPr>
                <w:sz w:val="14"/>
                <w:szCs w:val="14"/>
                <w:lang w:eastAsia="tr-TR"/>
              </w:rPr>
              <w:t>3,316,855</w:t>
            </w:r>
          </w:p>
        </w:tc>
      </w:tr>
      <w:tr w:rsidR="00EE0DB2" w:rsidRPr="00EE0DB2" w14:paraId="4F3DB163"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2AE4001E" w14:textId="77777777" w:rsidR="00EE0DB2" w:rsidRPr="00EE0DB2" w:rsidRDefault="00EE0DB2" w:rsidP="00EE0DB2">
            <w:pPr>
              <w:rPr>
                <w:color w:val="000000"/>
                <w:sz w:val="14"/>
                <w:szCs w:val="14"/>
                <w:lang w:eastAsia="tr-TR"/>
              </w:rPr>
            </w:pPr>
            <w:r w:rsidRPr="00EE0DB2">
              <w:rPr>
                <w:color w:val="000000"/>
                <w:sz w:val="14"/>
                <w:szCs w:val="14"/>
                <w:lang w:eastAsia="tr-TR"/>
              </w:rPr>
              <w:t>4.3.</w:t>
            </w:r>
          </w:p>
        </w:tc>
        <w:tc>
          <w:tcPr>
            <w:tcW w:w="3236" w:type="dxa"/>
            <w:tcBorders>
              <w:top w:val="nil"/>
              <w:left w:val="single" w:sz="4" w:space="0" w:color="auto"/>
              <w:bottom w:val="nil"/>
              <w:right w:val="single" w:sz="4" w:space="0" w:color="auto"/>
            </w:tcBorders>
            <w:shd w:val="clear" w:color="auto" w:fill="auto"/>
            <w:noWrap/>
            <w:vAlign w:val="center"/>
            <w:hideMark/>
          </w:tcPr>
          <w:p w14:paraId="07E53B5F" w14:textId="77777777" w:rsidR="00EE0DB2" w:rsidRPr="00EE0DB2" w:rsidRDefault="00EE0DB2" w:rsidP="00EE0DB2">
            <w:pPr>
              <w:rPr>
                <w:color w:val="000000"/>
                <w:sz w:val="14"/>
                <w:szCs w:val="14"/>
                <w:lang w:eastAsia="tr-TR"/>
              </w:rPr>
            </w:pPr>
            <w:r w:rsidRPr="00EE0DB2">
              <w:rPr>
                <w:color w:val="000000"/>
                <w:sz w:val="14"/>
                <w:szCs w:val="14"/>
                <w:lang w:eastAsia="tr-TR"/>
              </w:rPr>
              <w:t>Tahsile Alınan Çekler</w:t>
            </w:r>
          </w:p>
        </w:tc>
        <w:tc>
          <w:tcPr>
            <w:tcW w:w="576" w:type="dxa"/>
            <w:tcBorders>
              <w:top w:val="nil"/>
              <w:left w:val="single" w:sz="4" w:space="0" w:color="auto"/>
              <w:bottom w:val="nil"/>
              <w:right w:val="single" w:sz="4" w:space="0" w:color="auto"/>
            </w:tcBorders>
            <w:shd w:val="clear" w:color="auto" w:fill="auto"/>
            <w:vAlign w:val="center"/>
            <w:hideMark/>
          </w:tcPr>
          <w:p w14:paraId="00234F08"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59B9D20" w14:textId="77777777" w:rsidR="00EE0DB2" w:rsidRPr="00EE0DB2" w:rsidRDefault="00EE0DB2" w:rsidP="00EE0DB2">
            <w:pPr>
              <w:jc w:val="right"/>
              <w:rPr>
                <w:sz w:val="14"/>
                <w:szCs w:val="14"/>
                <w:lang w:eastAsia="tr-TR"/>
              </w:rPr>
            </w:pPr>
            <w:r w:rsidRPr="00EE0DB2">
              <w:rPr>
                <w:sz w:val="14"/>
                <w:szCs w:val="14"/>
                <w:lang w:eastAsia="tr-TR"/>
              </w:rPr>
              <w:t>7,759,037</w:t>
            </w:r>
          </w:p>
        </w:tc>
        <w:tc>
          <w:tcPr>
            <w:tcW w:w="885" w:type="dxa"/>
            <w:tcBorders>
              <w:top w:val="nil"/>
              <w:left w:val="single" w:sz="4" w:space="0" w:color="auto"/>
              <w:bottom w:val="nil"/>
              <w:right w:val="single" w:sz="4" w:space="0" w:color="auto"/>
            </w:tcBorders>
            <w:shd w:val="clear" w:color="auto" w:fill="auto"/>
            <w:vAlign w:val="center"/>
            <w:hideMark/>
          </w:tcPr>
          <w:p w14:paraId="1DE7CFD0" w14:textId="77777777" w:rsidR="00EE0DB2" w:rsidRPr="00EE0DB2" w:rsidRDefault="00EE0DB2" w:rsidP="00EE0DB2">
            <w:pPr>
              <w:jc w:val="right"/>
              <w:rPr>
                <w:sz w:val="14"/>
                <w:szCs w:val="14"/>
                <w:lang w:eastAsia="tr-TR"/>
              </w:rPr>
            </w:pPr>
            <w:r w:rsidRPr="00EE0DB2">
              <w:rPr>
                <w:sz w:val="14"/>
                <w:szCs w:val="14"/>
                <w:lang w:eastAsia="tr-TR"/>
              </w:rPr>
              <w:t>1,115,662</w:t>
            </w:r>
          </w:p>
        </w:tc>
        <w:tc>
          <w:tcPr>
            <w:tcW w:w="885" w:type="dxa"/>
            <w:tcBorders>
              <w:top w:val="nil"/>
              <w:left w:val="single" w:sz="4" w:space="0" w:color="auto"/>
              <w:bottom w:val="nil"/>
              <w:right w:val="single" w:sz="4" w:space="0" w:color="auto"/>
            </w:tcBorders>
            <w:shd w:val="clear" w:color="auto" w:fill="auto"/>
            <w:vAlign w:val="center"/>
            <w:hideMark/>
          </w:tcPr>
          <w:p w14:paraId="611C11BD" w14:textId="77777777" w:rsidR="00EE0DB2" w:rsidRPr="00EE0DB2" w:rsidRDefault="00EE0DB2" w:rsidP="00EE0DB2">
            <w:pPr>
              <w:jc w:val="right"/>
              <w:rPr>
                <w:sz w:val="14"/>
                <w:szCs w:val="14"/>
                <w:lang w:eastAsia="tr-TR"/>
              </w:rPr>
            </w:pPr>
            <w:r w:rsidRPr="00EE0DB2">
              <w:rPr>
                <w:sz w:val="14"/>
                <w:szCs w:val="14"/>
                <w:lang w:eastAsia="tr-TR"/>
              </w:rPr>
              <w:t>8,874,699</w:t>
            </w:r>
          </w:p>
        </w:tc>
        <w:tc>
          <w:tcPr>
            <w:tcW w:w="886" w:type="dxa"/>
            <w:tcBorders>
              <w:top w:val="nil"/>
              <w:left w:val="single" w:sz="4" w:space="0" w:color="auto"/>
              <w:bottom w:val="nil"/>
              <w:right w:val="single" w:sz="4" w:space="0" w:color="auto"/>
            </w:tcBorders>
            <w:shd w:val="clear" w:color="auto" w:fill="auto"/>
            <w:vAlign w:val="center"/>
            <w:hideMark/>
          </w:tcPr>
          <w:p w14:paraId="0CE15BD3" w14:textId="77777777" w:rsidR="00EE0DB2" w:rsidRPr="00EE0DB2" w:rsidRDefault="00EE0DB2" w:rsidP="00EE0DB2">
            <w:pPr>
              <w:jc w:val="right"/>
              <w:rPr>
                <w:sz w:val="14"/>
                <w:szCs w:val="14"/>
                <w:lang w:eastAsia="tr-TR"/>
              </w:rPr>
            </w:pPr>
            <w:r w:rsidRPr="00EE0DB2">
              <w:rPr>
                <w:sz w:val="14"/>
                <w:szCs w:val="14"/>
                <w:lang w:eastAsia="tr-TR"/>
              </w:rPr>
              <w:t>6,828,688</w:t>
            </w:r>
          </w:p>
        </w:tc>
        <w:tc>
          <w:tcPr>
            <w:tcW w:w="885" w:type="dxa"/>
            <w:tcBorders>
              <w:top w:val="nil"/>
              <w:left w:val="single" w:sz="4" w:space="0" w:color="auto"/>
              <w:bottom w:val="nil"/>
              <w:right w:val="single" w:sz="4" w:space="0" w:color="auto"/>
            </w:tcBorders>
            <w:shd w:val="clear" w:color="auto" w:fill="auto"/>
            <w:vAlign w:val="center"/>
            <w:hideMark/>
          </w:tcPr>
          <w:p w14:paraId="3C8C712A" w14:textId="77777777" w:rsidR="00EE0DB2" w:rsidRPr="00EE0DB2" w:rsidRDefault="00EE0DB2" w:rsidP="00EE0DB2">
            <w:pPr>
              <w:jc w:val="right"/>
              <w:rPr>
                <w:sz w:val="14"/>
                <w:szCs w:val="14"/>
                <w:lang w:eastAsia="tr-TR"/>
              </w:rPr>
            </w:pPr>
            <w:r w:rsidRPr="00EE0DB2">
              <w:rPr>
                <w:sz w:val="14"/>
                <w:szCs w:val="14"/>
                <w:lang w:eastAsia="tr-TR"/>
              </w:rPr>
              <w:t>869,224</w:t>
            </w:r>
          </w:p>
        </w:tc>
        <w:tc>
          <w:tcPr>
            <w:tcW w:w="885" w:type="dxa"/>
            <w:tcBorders>
              <w:top w:val="nil"/>
              <w:left w:val="single" w:sz="4" w:space="0" w:color="auto"/>
              <w:bottom w:val="nil"/>
              <w:right w:val="single" w:sz="4" w:space="0" w:color="auto"/>
            </w:tcBorders>
            <w:shd w:val="clear" w:color="auto" w:fill="auto"/>
            <w:vAlign w:val="center"/>
            <w:hideMark/>
          </w:tcPr>
          <w:p w14:paraId="72DE24FB" w14:textId="77777777" w:rsidR="00EE0DB2" w:rsidRPr="00EE0DB2" w:rsidRDefault="00EE0DB2" w:rsidP="00EE0DB2">
            <w:pPr>
              <w:jc w:val="right"/>
              <w:rPr>
                <w:sz w:val="14"/>
                <w:szCs w:val="14"/>
                <w:lang w:eastAsia="tr-TR"/>
              </w:rPr>
            </w:pPr>
            <w:r w:rsidRPr="00EE0DB2">
              <w:rPr>
                <w:sz w:val="14"/>
                <w:szCs w:val="14"/>
                <w:lang w:eastAsia="tr-TR"/>
              </w:rPr>
              <w:t>7,697,912</w:t>
            </w:r>
          </w:p>
        </w:tc>
      </w:tr>
      <w:tr w:rsidR="00EE0DB2" w:rsidRPr="00EE0DB2" w14:paraId="27F5D1EB"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0CCAF4B7" w14:textId="77777777" w:rsidR="00EE0DB2" w:rsidRPr="00EE0DB2" w:rsidRDefault="00EE0DB2" w:rsidP="00EE0DB2">
            <w:pPr>
              <w:rPr>
                <w:color w:val="000000"/>
                <w:sz w:val="14"/>
                <w:szCs w:val="14"/>
                <w:lang w:eastAsia="tr-TR"/>
              </w:rPr>
            </w:pPr>
            <w:r w:rsidRPr="00EE0DB2">
              <w:rPr>
                <w:color w:val="000000"/>
                <w:sz w:val="14"/>
                <w:szCs w:val="14"/>
                <w:lang w:eastAsia="tr-TR"/>
              </w:rPr>
              <w:t>4.4.</w:t>
            </w:r>
          </w:p>
        </w:tc>
        <w:tc>
          <w:tcPr>
            <w:tcW w:w="3236" w:type="dxa"/>
            <w:tcBorders>
              <w:top w:val="nil"/>
              <w:left w:val="single" w:sz="4" w:space="0" w:color="auto"/>
              <w:bottom w:val="nil"/>
              <w:right w:val="single" w:sz="4" w:space="0" w:color="auto"/>
            </w:tcBorders>
            <w:shd w:val="clear" w:color="auto" w:fill="auto"/>
            <w:noWrap/>
            <w:vAlign w:val="center"/>
            <w:hideMark/>
          </w:tcPr>
          <w:p w14:paraId="611ACA79" w14:textId="77777777" w:rsidR="00EE0DB2" w:rsidRPr="00EE0DB2" w:rsidRDefault="00EE0DB2" w:rsidP="00EE0DB2">
            <w:pPr>
              <w:rPr>
                <w:color w:val="000000"/>
                <w:sz w:val="14"/>
                <w:szCs w:val="14"/>
                <w:lang w:eastAsia="tr-TR"/>
              </w:rPr>
            </w:pPr>
            <w:r w:rsidRPr="00EE0DB2">
              <w:rPr>
                <w:color w:val="000000"/>
                <w:sz w:val="14"/>
                <w:szCs w:val="14"/>
                <w:lang w:eastAsia="tr-TR"/>
              </w:rPr>
              <w:t>Tahsile Alınan Ticari Senetler</w:t>
            </w:r>
          </w:p>
        </w:tc>
        <w:tc>
          <w:tcPr>
            <w:tcW w:w="576" w:type="dxa"/>
            <w:tcBorders>
              <w:top w:val="nil"/>
              <w:left w:val="single" w:sz="4" w:space="0" w:color="auto"/>
              <w:bottom w:val="nil"/>
              <w:right w:val="single" w:sz="4" w:space="0" w:color="auto"/>
            </w:tcBorders>
            <w:shd w:val="clear" w:color="auto" w:fill="auto"/>
            <w:vAlign w:val="center"/>
            <w:hideMark/>
          </w:tcPr>
          <w:p w14:paraId="5BD6746C"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D3D45B9" w14:textId="77777777" w:rsidR="00EE0DB2" w:rsidRPr="00EE0DB2" w:rsidRDefault="00EE0DB2" w:rsidP="00EE0DB2">
            <w:pPr>
              <w:jc w:val="right"/>
              <w:rPr>
                <w:sz w:val="14"/>
                <w:szCs w:val="14"/>
                <w:lang w:eastAsia="tr-TR"/>
              </w:rPr>
            </w:pPr>
            <w:r w:rsidRPr="00EE0DB2">
              <w:rPr>
                <w:sz w:val="14"/>
                <w:szCs w:val="14"/>
                <w:lang w:eastAsia="tr-TR"/>
              </w:rPr>
              <w:t>1,535,165</w:t>
            </w:r>
          </w:p>
        </w:tc>
        <w:tc>
          <w:tcPr>
            <w:tcW w:w="885" w:type="dxa"/>
            <w:tcBorders>
              <w:top w:val="nil"/>
              <w:left w:val="single" w:sz="4" w:space="0" w:color="auto"/>
              <w:bottom w:val="nil"/>
              <w:right w:val="single" w:sz="4" w:space="0" w:color="auto"/>
            </w:tcBorders>
            <w:shd w:val="clear" w:color="auto" w:fill="auto"/>
            <w:vAlign w:val="center"/>
            <w:hideMark/>
          </w:tcPr>
          <w:p w14:paraId="42A8B907" w14:textId="77777777" w:rsidR="00EE0DB2" w:rsidRPr="00EE0DB2" w:rsidRDefault="00EE0DB2" w:rsidP="00EE0DB2">
            <w:pPr>
              <w:jc w:val="right"/>
              <w:rPr>
                <w:sz w:val="14"/>
                <w:szCs w:val="14"/>
                <w:lang w:eastAsia="tr-TR"/>
              </w:rPr>
            </w:pPr>
            <w:r w:rsidRPr="00EE0DB2">
              <w:rPr>
                <w:sz w:val="14"/>
                <w:szCs w:val="14"/>
                <w:lang w:eastAsia="tr-TR"/>
              </w:rPr>
              <w:t>351,370</w:t>
            </w:r>
          </w:p>
        </w:tc>
        <w:tc>
          <w:tcPr>
            <w:tcW w:w="885" w:type="dxa"/>
            <w:tcBorders>
              <w:top w:val="nil"/>
              <w:left w:val="single" w:sz="4" w:space="0" w:color="auto"/>
              <w:bottom w:val="nil"/>
              <w:right w:val="single" w:sz="4" w:space="0" w:color="auto"/>
            </w:tcBorders>
            <w:shd w:val="clear" w:color="auto" w:fill="auto"/>
            <w:vAlign w:val="center"/>
            <w:hideMark/>
          </w:tcPr>
          <w:p w14:paraId="5DCF0DD2" w14:textId="77777777" w:rsidR="00EE0DB2" w:rsidRPr="00EE0DB2" w:rsidRDefault="00EE0DB2" w:rsidP="00EE0DB2">
            <w:pPr>
              <w:jc w:val="right"/>
              <w:rPr>
                <w:sz w:val="14"/>
                <w:szCs w:val="14"/>
                <w:lang w:eastAsia="tr-TR"/>
              </w:rPr>
            </w:pPr>
            <w:r w:rsidRPr="00EE0DB2">
              <w:rPr>
                <w:sz w:val="14"/>
                <w:szCs w:val="14"/>
                <w:lang w:eastAsia="tr-TR"/>
              </w:rPr>
              <w:t>1,886,535</w:t>
            </w:r>
          </w:p>
        </w:tc>
        <w:tc>
          <w:tcPr>
            <w:tcW w:w="886" w:type="dxa"/>
            <w:tcBorders>
              <w:top w:val="nil"/>
              <w:left w:val="single" w:sz="4" w:space="0" w:color="auto"/>
              <w:bottom w:val="nil"/>
              <w:right w:val="single" w:sz="4" w:space="0" w:color="auto"/>
            </w:tcBorders>
            <w:shd w:val="clear" w:color="auto" w:fill="auto"/>
            <w:vAlign w:val="center"/>
            <w:hideMark/>
          </w:tcPr>
          <w:p w14:paraId="6B5207AE" w14:textId="77777777" w:rsidR="00EE0DB2" w:rsidRPr="00EE0DB2" w:rsidRDefault="00EE0DB2" w:rsidP="00EE0DB2">
            <w:pPr>
              <w:jc w:val="right"/>
              <w:rPr>
                <w:sz w:val="14"/>
                <w:szCs w:val="14"/>
                <w:lang w:eastAsia="tr-TR"/>
              </w:rPr>
            </w:pPr>
            <w:r w:rsidRPr="00EE0DB2">
              <w:rPr>
                <w:sz w:val="14"/>
                <w:szCs w:val="14"/>
                <w:lang w:eastAsia="tr-TR"/>
              </w:rPr>
              <w:t>1,578,493</w:t>
            </w:r>
          </w:p>
        </w:tc>
        <w:tc>
          <w:tcPr>
            <w:tcW w:w="885" w:type="dxa"/>
            <w:tcBorders>
              <w:top w:val="nil"/>
              <w:left w:val="single" w:sz="4" w:space="0" w:color="auto"/>
              <w:bottom w:val="nil"/>
              <w:right w:val="single" w:sz="4" w:space="0" w:color="auto"/>
            </w:tcBorders>
            <w:shd w:val="clear" w:color="auto" w:fill="auto"/>
            <w:vAlign w:val="center"/>
            <w:hideMark/>
          </w:tcPr>
          <w:p w14:paraId="44FD889C" w14:textId="77777777" w:rsidR="00EE0DB2" w:rsidRPr="00EE0DB2" w:rsidRDefault="00EE0DB2" w:rsidP="00EE0DB2">
            <w:pPr>
              <w:jc w:val="right"/>
              <w:rPr>
                <w:sz w:val="14"/>
                <w:szCs w:val="14"/>
                <w:lang w:eastAsia="tr-TR"/>
              </w:rPr>
            </w:pPr>
            <w:r w:rsidRPr="00EE0DB2">
              <w:rPr>
                <w:sz w:val="14"/>
                <w:szCs w:val="14"/>
                <w:lang w:eastAsia="tr-TR"/>
              </w:rPr>
              <w:t>280,131</w:t>
            </w:r>
          </w:p>
        </w:tc>
        <w:tc>
          <w:tcPr>
            <w:tcW w:w="885" w:type="dxa"/>
            <w:tcBorders>
              <w:top w:val="nil"/>
              <w:left w:val="single" w:sz="4" w:space="0" w:color="auto"/>
              <w:bottom w:val="nil"/>
              <w:right w:val="single" w:sz="4" w:space="0" w:color="auto"/>
            </w:tcBorders>
            <w:shd w:val="clear" w:color="auto" w:fill="auto"/>
            <w:vAlign w:val="center"/>
            <w:hideMark/>
          </w:tcPr>
          <w:p w14:paraId="4D6E9FD0" w14:textId="77777777" w:rsidR="00EE0DB2" w:rsidRPr="00EE0DB2" w:rsidRDefault="00EE0DB2" w:rsidP="00EE0DB2">
            <w:pPr>
              <w:jc w:val="right"/>
              <w:rPr>
                <w:sz w:val="14"/>
                <w:szCs w:val="14"/>
                <w:lang w:eastAsia="tr-TR"/>
              </w:rPr>
            </w:pPr>
            <w:r w:rsidRPr="00EE0DB2">
              <w:rPr>
                <w:sz w:val="14"/>
                <w:szCs w:val="14"/>
                <w:lang w:eastAsia="tr-TR"/>
              </w:rPr>
              <w:t>1,858,624</w:t>
            </w:r>
          </w:p>
        </w:tc>
      </w:tr>
      <w:tr w:rsidR="00EE0DB2" w:rsidRPr="00EE0DB2" w14:paraId="1E4D69DD"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1C82F8AB" w14:textId="77777777" w:rsidR="00EE0DB2" w:rsidRPr="00EE0DB2" w:rsidRDefault="00EE0DB2" w:rsidP="00EE0DB2">
            <w:pPr>
              <w:rPr>
                <w:color w:val="000000"/>
                <w:sz w:val="14"/>
                <w:szCs w:val="14"/>
                <w:lang w:eastAsia="tr-TR"/>
              </w:rPr>
            </w:pPr>
            <w:r w:rsidRPr="00EE0DB2">
              <w:rPr>
                <w:color w:val="000000"/>
                <w:sz w:val="14"/>
                <w:szCs w:val="14"/>
                <w:lang w:eastAsia="tr-TR"/>
              </w:rPr>
              <w:t>4.5.</w:t>
            </w:r>
          </w:p>
        </w:tc>
        <w:tc>
          <w:tcPr>
            <w:tcW w:w="3236" w:type="dxa"/>
            <w:tcBorders>
              <w:top w:val="nil"/>
              <w:left w:val="single" w:sz="4" w:space="0" w:color="auto"/>
              <w:bottom w:val="nil"/>
              <w:right w:val="single" w:sz="4" w:space="0" w:color="auto"/>
            </w:tcBorders>
            <w:shd w:val="clear" w:color="auto" w:fill="auto"/>
            <w:noWrap/>
            <w:vAlign w:val="center"/>
            <w:hideMark/>
          </w:tcPr>
          <w:p w14:paraId="678A78DB" w14:textId="77777777" w:rsidR="00EE0DB2" w:rsidRPr="00EE0DB2" w:rsidRDefault="00EE0DB2" w:rsidP="00EE0DB2">
            <w:pPr>
              <w:rPr>
                <w:color w:val="000000"/>
                <w:sz w:val="14"/>
                <w:szCs w:val="14"/>
                <w:lang w:eastAsia="tr-TR"/>
              </w:rPr>
            </w:pPr>
            <w:r w:rsidRPr="00EE0DB2">
              <w:rPr>
                <w:color w:val="000000"/>
                <w:sz w:val="14"/>
                <w:szCs w:val="14"/>
                <w:lang w:eastAsia="tr-TR"/>
              </w:rPr>
              <w:t>Tahsile Alınan Diğer Kıymetler</w:t>
            </w:r>
          </w:p>
        </w:tc>
        <w:tc>
          <w:tcPr>
            <w:tcW w:w="576" w:type="dxa"/>
            <w:tcBorders>
              <w:top w:val="nil"/>
              <w:left w:val="single" w:sz="4" w:space="0" w:color="auto"/>
              <w:bottom w:val="nil"/>
              <w:right w:val="single" w:sz="4" w:space="0" w:color="auto"/>
            </w:tcBorders>
            <w:shd w:val="clear" w:color="auto" w:fill="auto"/>
            <w:vAlign w:val="center"/>
            <w:hideMark/>
          </w:tcPr>
          <w:p w14:paraId="464B675D"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5C933A6"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2CF517B"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6759DED"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69383016"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B99B587"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2D5C759"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0D204378"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1AE31688" w14:textId="77777777" w:rsidR="00EE0DB2" w:rsidRPr="00EE0DB2" w:rsidRDefault="00EE0DB2" w:rsidP="00EE0DB2">
            <w:pPr>
              <w:rPr>
                <w:color w:val="000000"/>
                <w:sz w:val="14"/>
                <w:szCs w:val="14"/>
                <w:lang w:eastAsia="tr-TR"/>
              </w:rPr>
            </w:pPr>
            <w:r w:rsidRPr="00EE0DB2">
              <w:rPr>
                <w:color w:val="000000"/>
                <w:sz w:val="14"/>
                <w:szCs w:val="14"/>
                <w:lang w:eastAsia="tr-TR"/>
              </w:rPr>
              <w:t>4.6.</w:t>
            </w:r>
          </w:p>
        </w:tc>
        <w:tc>
          <w:tcPr>
            <w:tcW w:w="3236" w:type="dxa"/>
            <w:tcBorders>
              <w:top w:val="nil"/>
              <w:left w:val="single" w:sz="4" w:space="0" w:color="auto"/>
              <w:bottom w:val="nil"/>
              <w:right w:val="single" w:sz="4" w:space="0" w:color="auto"/>
            </w:tcBorders>
            <w:shd w:val="clear" w:color="auto" w:fill="auto"/>
            <w:noWrap/>
            <w:vAlign w:val="center"/>
            <w:hideMark/>
          </w:tcPr>
          <w:p w14:paraId="14E431AE" w14:textId="77777777" w:rsidR="00EE0DB2" w:rsidRPr="00EE0DB2" w:rsidRDefault="00EE0DB2" w:rsidP="00EE0DB2">
            <w:pPr>
              <w:rPr>
                <w:color w:val="000000"/>
                <w:sz w:val="14"/>
                <w:szCs w:val="14"/>
                <w:lang w:eastAsia="tr-TR"/>
              </w:rPr>
            </w:pPr>
            <w:r w:rsidRPr="00EE0DB2">
              <w:rPr>
                <w:color w:val="000000"/>
                <w:sz w:val="14"/>
                <w:szCs w:val="14"/>
                <w:lang w:eastAsia="tr-TR"/>
              </w:rPr>
              <w:t>İhracına Aracı Olunan Kıymetler</w:t>
            </w:r>
          </w:p>
        </w:tc>
        <w:tc>
          <w:tcPr>
            <w:tcW w:w="576" w:type="dxa"/>
            <w:tcBorders>
              <w:top w:val="nil"/>
              <w:left w:val="single" w:sz="4" w:space="0" w:color="auto"/>
              <w:bottom w:val="nil"/>
              <w:right w:val="single" w:sz="4" w:space="0" w:color="auto"/>
            </w:tcBorders>
            <w:shd w:val="clear" w:color="auto" w:fill="auto"/>
            <w:vAlign w:val="center"/>
            <w:hideMark/>
          </w:tcPr>
          <w:p w14:paraId="1152A4A0"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A823B62"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12CED59"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39A6BDE"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628D2C8"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72AFFCD"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7A41758"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3F0FEED2"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29C9046C" w14:textId="77777777" w:rsidR="00EE0DB2" w:rsidRPr="00EE0DB2" w:rsidRDefault="00EE0DB2" w:rsidP="00EE0DB2">
            <w:pPr>
              <w:rPr>
                <w:color w:val="000000"/>
                <w:sz w:val="14"/>
                <w:szCs w:val="14"/>
                <w:lang w:eastAsia="tr-TR"/>
              </w:rPr>
            </w:pPr>
            <w:r w:rsidRPr="00EE0DB2">
              <w:rPr>
                <w:color w:val="000000"/>
                <w:sz w:val="14"/>
                <w:szCs w:val="14"/>
                <w:lang w:eastAsia="tr-TR"/>
              </w:rPr>
              <w:t>4.7.</w:t>
            </w:r>
          </w:p>
        </w:tc>
        <w:tc>
          <w:tcPr>
            <w:tcW w:w="3236" w:type="dxa"/>
            <w:tcBorders>
              <w:top w:val="nil"/>
              <w:left w:val="single" w:sz="4" w:space="0" w:color="auto"/>
              <w:bottom w:val="nil"/>
              <w:right w:val="single" w:sz="4" w:space="0" w:color="auto"/>
            </w:tcBorders>
            <w:shd w:val="clear" w:color="auto" w:fill="auto"/>
            <w:noWrap/>
            <w:vAlign w:val="center"/>
            <w:hideMark/>
          </w:tcPr>
          <w:p w14:paraId="1FBB750F" w14:textId="77777777" w:rsidR="00EE0DB2" w:rsidRPr="00EE0DB2" w:rsidRDefault="00EE0DB2" w:rsidP="00EE0DB2">
            <w:pPr>
              <w:rPr>
                <w:color w:val="000000"/>
                <w:sz w:val="14"/>
                <w:szCs w:val="14"/>
                <w:lang w:eastAsia="tr-TR"/>
              </w:rPr>
            </w:pPr>
            <w:r w:rsidRPr="00EE0DB2">
              <w:rPr>
                <w:color w:val="000000"/>
                <w:sz w:val="14"/>
                <w:szCs w:val="14"/>
                <w:lang w:eastAsia="tr-TR"/>
              </w:rPr>
              <w:t>Diğer Emanet Kıymetler</w:t>
            </w:r>
          </w:p>
        </w:tc>
        <w:tc>
          <w:tcPr>
            <w:tcW w:w="576" w:type="dxa"/>
            <w:tcBorders>
              <w:top w:val="nil"/>
              <w:left w:val="single" w:sz="4" w:space="0" w:color="auto"/>
              <w:bottom w:val="nil"/>
              <w:right w:val="single" w:sz="4" w:space="0" w:color="auto"/>
            </w:tcBorders>
            <w:shd w:val="clear" w:color="auto" w:fill="auto"/>
            <w:vAlign w:val="center"/>
            <w:hideMark/>
          </w:tcPr>
          <w:p w14:paraId="75868169"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41F857E"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850FF6E"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663CB78"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5D819063"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E8CFEFB"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21EB4EF"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1EDBA8B2"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6149B864" w14:textId="77777777" w:rsidR="00EE0DB2" w:rsidRPr="00EE0DB2" w:rsidRDefault="00EE0DB2" w:rsidP="00EE0DB2">
            <w:pPr>
              <w:rPr>
                <w:color w:val="000000"/>
                <w:sz w:val="14"/>
                <w:szCs w:val="14"/>
                <w:lang w:eastAsia="tr-TR"/>
              </w:rPr>
            </w:pPr>
            <w:r w:rsidRPr="00EE0DB2">
              <w:rPr>
                <w:color w:val="000000"/>
                <w:sz w:val="14"/>
                <w:szCs w:val="14"/>
                <w:lang w:eastAsia="tr-TR"/>
              </w:rPr>
              <w:t>4.8.</w:t>
            </w:r>
          </w:p>
        </w:tc>
        <w:tc>
          <w:tcPr>
            <w:tcW w:w="3236" w:type="dxa"/>
            <w:tcBorders>
              <w:top w:val="nil"/>
              <w:left w:val="single" w:sz="4" w:space="0" w:color="auto"/>
              <w:bottom w:val="nil"/>
              <w:right w:val="single" w:sz="4" w:space="0" w:color="auto"/>
            </w:tcBorders>
            <w:shd w:val="clear" w:color="auto" w:fill="auto"/>
            <w:noWrap/>
            <w:vAlign w:val="center"/>
            <w:hideMark/>
          </w:tcPr>
          <w:p w14:paraId="6433C6D1" w14:textId="77777777" w:rsidR="00EE0DB2" w:rsidRPr="00EE0DB2" w:rsidRDefault="00EE0DB2" w:rsidP="00EE0DB2">
            <w:pPr>
              <w:rPr>
                <w:color w:val="000000"/>
                <w:sz w:val="14"/>
                <w:szCs w:val="14"/>
                <w:lang w:eastAsia="tr-TR"/>
              </w:rPr>
            </w:pPr>
            <w:r w:rsidRPr="00EE0DB2">
              <w:rPr>
                <w:color w:val="000000"/>
                <w:sz w:val="14"/>
                <w:szCs w:val="14"/>
                <w:lang w:eastAsia="tr-TR"/>
              </w:rPr>
              <w:t>Emanet Kıymet Alanlar</w:t>
            </w:r>
          </w:p>
        </w:tc>
        <w:tc>
          <w:tcPr>
            <w:tcW w:w="576" w:type="dxa"/>
            <w:tcBorders>
              <w:top w:val="nil"/>
              <w:left w:val="single" w:sz="4" w:space="0" w:color="auto"/>
              <w:bottom w:val="nil"/>
              <w:right w:val="single" w:sz="4" w:space="0" w:color="auto"/>
            </w:tcBorders>
            <w:shd w:val="clear" w:color="auto" w:fill="auto"/>
            <w:vAlign w:val="center"/>
            <w:hideMark/>
          </w:tcPr>
          <w:p w14:paraId="315F2EBF"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B9121AA"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9C54D26" w14:textId="77777777" w:rsidR="00EE0DB2" w:rsidRPr="00EE0DB2" w:rsidRDefault="00EE0DB2" w:rsidP="00EE0DB2">
            <w:pPr>
              <w:jc w:val="right"/>
              <w:rPr>
                <w:sz w:val="14"/>
                <w:szCs w:val="14"/>
                <w:lang w:eastAsia="tr-TR"/>
              </w:rPr>
            </w:pPr>
            <w:r w:rsidRPr="00EE0DB2">
              <w:rPr>
                <w:sz w:val="14"/>
                <w:szCs w:val="14"/>
                <w:lang w:eastAsia="tr-TR"/>
              </w:rPr>
              <w:t>15,027,012</w:t>
            </w:r>
          </w:p>
        </w:tc>
        <w:tc>
          <w:tcPr>
            <w:tcW w:w="885" w:type="dxa"/>
            <w:tcBorders>
              <w:top w:val="nil"/>
              <w:left w:val="single" w:sz="4" w:space="0" w:color="auto"/>
              <w:bottom w:val="nil"/>
              <w:right w:val="single" w:sz="4" w:space="0" w:color="auto"/>
            </w:tcBorders>
            <w:shd w:val="clear" w:color="auto" w:fill="auto"/>
            <w:vAlign w:val="center"/>
            <w:hideMark/>
          </w:tcPr>
          <w:p w14:paraId="212D9534" w14:textId="77777777" w:rsidR="00EE0DB2" w:rsidRPr="00EE0DB2" w:rsidRDefault="00EE0DB2" w:rsidP="00EE0DB2">
            <w:pPr>
              <w:jc w:val="right"/>
              <w:rPr>
                <w:sz w:val="14"/>
                <w:szCs w:val="14"/>
                <w:lang w:eastAsia="tr-TR"/>
              </w:rPr>
            </w:pPr>
            <w:r w:rsidRPr="00EE0DB2">
              <w:rPr>
                <w:sz w:val="14"/>
                <w:szCs w:val="14"/>
                <w:lang w:eastAsia="tr-TR"/>
              </w:rPr>
              <w:t>15,027,012</w:t>
            </w:r>
          </w:p>
        </w:tc>
        <w:tc>
          <w:tcPr>
            <w:tcW w:w="886" w:type="dxa"/>
            <w:tcBorders>
              <w:top w:val="nil"/>
              <w:left w:val="single" w:sz="4" w:space="0" w:color="auto"/>
              <w:bottom w:val="nil"/>
              <w:right w:val="single" w:sz="4" w:space="0" w:color="auto"/>
            </w:tcBorders>
            <w:shd w:val="clear" w:color="auto" w:fill="auto"/>
            <w:vAlign w:val="center"/>
            <w:hideMark/>
          </w:tcPr>
          <w:p w14:paraId="6CC1C308"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063ED42" w14:textId="77777777" w:rsidR="00EE0DB2" w:rsidRPr="00EE0DB2" w:rsidRDefault="00EE0DB2" w:rsidP="00EE0DB2">
            <w:pPr>
              <w:jc w:val="right"/>
              <w:rPr>
                <w:sz w:val="14"/>
                <w:szCs w:val="14"/>
                <w:lang w:eastAsia="tr-TR"/>
              </w:rPr>
            </w:pPr>
            <w:r w:rsidRPr="00EE0DB2">
              <w:rPr>
                <w:sz w:val="14"/>
                <w:szCs w:val="14"/>
                <w:lang w:eastAsia="tr-TR"/>
              </w:rPr>
              <w:t>13,373,629</w:t>
            </w:r>
          </w:p>
        </w:tc>
        <w:tc>
          <w:tcPr>
            <w:tcW w:w="885" w:type="dxa"/>
            <w:tcBorders>
              <w:top w:val="nil"/>
              <w:left w:val="single" w:sz="4" w:space="0" w:color="auto"/>
              <w:bottom w:val="nil"/>
              <w:right w:val="single" w:sz="4" w:space="0" w:color="auto"/>
            </w:tcBorders>
            <w:shd w:val="clear" w:color="auto" w:fill="auto"/>
            <w:vAlign w:val="center"/>
            <w:hideMark/>
          </w:tcPr>
          <w:p w14:paraId="7491F7C8" w14:textId="77777777" w:rsidR="00EE0DB2" w:rsidRPr="00EE0DB2" w:rsidRDefault="00EE0DB2" w:rsidP="00EE0DB2">
            <w:pPr>
              <w:jc w:val="right"/>
              <w:rPr>
                <w:sz w:val="14"/>
                <w:szCs w:val="14"/>
                <w:lang w:eastAsia="tr-TR"/>
              </w:rPr>
            </w:pPr>
            <w:r w:rsidRPr="00EE0DB2">
              <w:rPr>
                <w:sz w:val="14"/>
                <w:szCs w:val="14"/>
                <w:lang w:eastAsia="tr-TR"/>
              </w:rPr>
              <w:t>13,373,629</w:t>
            </w:r>
          </w:p>
        </w:tc>
      </w:tr>
      <w:tr w:rsidR="00EE0DB2" w:rsidRPr="00EE0DB2" w14:paraId="32AEE053"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6BE38403"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V.</w:t>
            </w:r>
          </w:p>
        </w:tc>
        <w:tc>
          <w:tcPr>
            <w:tcW w:w="3236" w:type="dxa"/>
            <w:tcBorders>
              <w:top w:val="nil"/>
              <w:left w:val="single" w:sz="4" w:space="0" w:color="auto"/>
              <w:bottom w:val="nil"/>
              <w:right w:val="single" w:sz="4" w:space="0" w:color="auto"/>
            </w:tcBorders>
            <w:shd w:val="clear" w:color="auto" w:fill="auto"/>
            <w:noWrap/>
            <w:vAlign w:val="center"/>
            <w:hideMark/>
          </w:tcPr>
          <w:p w14:paraId="124C4EA5"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REHİNLİ KIYMETLER</w:t>
            </w:r>
          </w:p>
        </w:tc>
        <w:tc>
          <w:tcPr>
            <w:tcW w:w="576" w:type="dxa"/>
            <w:tcBorders>
              <w:top w:val="nil"/>
              <w:left w:val="single" w:sz="4" w:space="0" w:color="auto"/>
              <w:bottom w:val="nil"/>
              <w:right w:val="single" w:sz="4" w:space="0" w:color="auto"/>
            </w:tcBorders>
            <w:shd w:val="clear" w:color="auto" w:fill="auto"/>
            <w:vAlign w:val="center"/>
            <w:hideMark/>
          </w:tcPr>
          <w:p w14:paraId="1471C49E" w14:textId="77777777" w:rsidR="00EE0DB2" w:rsidRPr="00EE0DB2" w:rsidRDefault="00EE0DB2" w:rsidP="00EE0DB2">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B90AF79" w14:textId="77777777" w:rsidR="00EE0DB2" w:rsidRPr="00EE0DB2" w:rsidRDefault="00EE0DB2" w:rsidP="00EE0DB2">
            <w:pPr>
              <w:jc w:val="right"/>
              <w:rPr>
                <w:b/>
                <w:bCs/>
                <w:sz w:val="14"/>
                <w:szCs w:val="14"/>
                <w:lang w:eastAsia="tr-TR"/>
              </w:rPr>
            </w:pPr>
            <w:r w:rsidRPr="00EE0DB2">
              <w:rPr>
                <w:b/>
                <w:bCs/>
                <w:sz w:val="14"/>
                <w:szCs w:val="14"/>
                <w:lang w:eastAsia="tr-TR"/>
              </w:rPr>
              <w:t>452,289,788</w:t>
            </w:r>
          </w:p>
        </w:tc>
        <w:tc>
          <w:tcPr>
            <w:tcW w:w="885" w:type="dxa"/>
            <w:tcBorders>
              <w:top w:val="nil"/>
              <w:left w:val="single" w:sz="4" w:space="0" w:color="auto"/>
              <w:bottom w:val="nil"/>
              <w:right w:val="single" w:sz="4" w:space="0" w:color="auto"/>
            </w:tcBorders>
            <w:shd w:val="clear" w:color="auto" w:fill="auto"/>
            <w:vAlign w:val="center"/>
            <w:hideMark/>
          </w:tcPr>
          <w:p w14:paraId="28A89923" w14:textId="77777777" w:rsidR="00EE0DB2" w:rsidRPr="00EE0DB2" w:rsidRDefault="00EE0DB2" w:rsidP="00EE0DB2">
            <w:pPr>
              <w:jc w:val="right"/>
              <w:rPr>
                <w:b/>
                <w:bCs/>
                <w:sz w:val="14"/>
                <w:szCs w:val="14"/>
                <w:lang w:eastAsia="tr-TR"/>
              </w:rPr>
            </w:pPr>
            <w:r w:rsidRPr="00EE0DB2">
              <w:rPr>
                <w:b/>
                <w:bCs/>
                <w:sz w:val="14"/>
                <w:szCs w:val="14"/>
                <w:lang w:eastAsia="tr-TR"/>
              </w:rPr>
              <w:t>191,814,837</w:t>
            </w:r>
          </w:p>
        </w:tc>
        <w:tc>
          <w:tcPr>
            <w:tcW w:w="885" w:type="dxa"/>
            <w:tcBorders>
              <w:top w:val="nil"/>
              <w:left w:val="single" w:sz="4" w:space="0" w:color="auto"/>
              <w:bottom w:val="nil"/>
              <w:right w:val="single" w:sz="4" w:space="0" w:color="auto"/>
            </w:tcBorders>
            <w:shd w:val="clear" w:color="auto" w:fill="auto"/>
            <w:vAlign w:val="center"/>
            <w:hideMark/>
          </w:tcPr>
          <w:p w14:paraId="6707A802" w14:textId="77777777" w:rsidR="00EE0DB2" w:rsidRPr="00EE0DB2" w:rsidRDefault="00EE0DB2" w:rsidP="00EE0DB2">
            <w:pPr>
              <w:jc w:val="right"/>
              <w:rPr>
                <w:b/>
                <w:bCs/>
                <w:sz w:val="14"/>
                <w:szCs w:val="14"/>
                <w:lang w:eastAsia="tr-TR"/>
              </w:rPr>
            </w:pPr>
            <w:r w:rsidRPr="00EE0DB2">
              <w:rPr>
                <w:b/>
                <w:bCs/>
                <w:sz w:val="14"/>
                <w:szCs w:val="14"/>
                <w:lang w:eastAsia="tr-TR"/>
              </w:rPr>
              <w:t>644,104,625</w:t>
            </w:r>
          </w:p>
        </w:tc>
        <w:tc>
          <w:tcPr>
            <w:tcW w:w="886" w:type="dxa"/>
            <w:tcBorders>
              <w:top w:val="nil"/>
              <w:left w:val="single" w:sz="4" w:space="0" w:color="auto"/>
              <w:bottom w:val="nil"/>
              <w:right w:val="single" w:sz="4" w:space="0" w:color="auto"/>
            </w:tcBorders>
            <w:shd w:val="clear" w:color="auto" w:fill="auto"/>
            <w:vAlign w:val="center"/>
            <w:hideMark/>
          </w:tcPr>
          <w:p w14:paraId="2BC53BD4" w14:textId="77777777" w:rsidR="00EE0DB2" w:rsidRPr="00EE0DB2" w:rsidRDefault="00EE0DB2" w:rsidP="00EE0DB2">
            <w:pPr>
              <w:jc w:val="right"/>
              <w:rPr>
                <w:b/>
                <w:bCs/>
                <w:sz w:val="14"/>
                <w:szCs w:val="14"/>
                <w:lang w:eastAsia="tr-TR"/>
              </w:rPr>
            </w:pPr>
            <w:r w:rsidRPr="00EE0DB2">
              <w:rPr>
                <w:b/>
                <w:bCs/>
                <w:sz w:val="14"/>
                <w:szCs w:val="14"/>
                <w:lang w:eastAsia="tr-TR"/>
              </w:rPr>
              <w:t>370,138,560</w:t>
            </w:r>
          </w:p>
        </w:tc>
        <w:tc>
          <w:tcPr>
            <w:tcW w:w="885" w:type="dxa"/>
            <w:tcBorders>
              <w:top w:val="nil"/>
              <w:left w:val="single" w:sz="4" w:space="0" w:color="auto"/>
              <w:bottom w:val="nil"/>
              <w:right w:val="single" w:sz="4" w:space="0" w:color="auto"/>
            </w:tcBorders>
            <w:shd w:val="clear" w:color="auto" w:fill="auto"/>
            <w:vAlign w:val="center"/>
            <w:hideMark/>
          </w:tcPr>
          <w:p w14:paraId="48950B75" w14:textId="77777777" w:rsidR="00EE0DB2" w:rsidRPr="00EE0DB2" w:rsidRDefault="00EE0DB2" w:rsidP="00EE0DB2">
            <w:pPr>
              <w:jc w:val="right"/>
              <w:rPr>
                <w:b/>
                <w:bCs/>
                <w:sz w:val="14"/>
                <w:szCs w:val="14"/>
                <w:lang w:eastAsia="tr-TR"/>
              </w:rPr>
            </w:pPr>
            <w:r w:rsidRPr="00EE0DB2">
              <w:rPr>
                <w:b/>
                <w:bCs/>
                <w:sz w:val="14"/>
                <w:szCs w:val="14"/>
                <w:lang w:eastAsia="tr-TR"/>
              </w:rPr>
              <w:t>150,613,354</w:t>
            </w:r>
          </w:p>
        </w:tc>
        <w:tc>
          <w:tcPr>
            <w:tcW w:w="885" w:type="dxa"/>
            <w:tcBorders>
              <w:top w:val="nil"/>
              <w:left w:val="single" w:sz="4" w:space="0" w:color="auto"/>
              <w:bottom w:val="nil"/>
              <w:right w:val="single" w:sz="4" w:space="0" w:color="auto"/>
            </w:tcBorders>
            <w:shd w:val="clear" w:color="auto" w:fill="auto"/>
            <w:vAlign w:val="center"/>
            <w:hideMark/>
          </w:tcPr>
          <w:p w14:paraId="18E5605F" w14:textId="77777777" w:rsidR="00EE0DB2" w:rsidRPr="00EE0DB2" w:rsidRDefault="00EE0DB2" w:rsidP="00EE0DB2">
            <w:pPr>
              <w:jc w:val="right"/>
              <w:rPr>
                <w:b/>
                <w:bCs/>
                <w:sz w:val="14"/>
                <w:szCs w:val="14"/>
                <w:lang w:eastAsia="tr-TR"/>
              </w:rPr>
            </w:pPr>
            <w:r w:rsidRPr="00EE0DB2">
              <w:rPr>
                <w:b/>
                <w:bCs/>
                <w:sz w:val="14"/>
                <w:szCs w:val="14"/>
                <w:lang w:eastAsia="tr-TR"/>
              </w:rPr>
              <w:t>520,751,914</w:t>
            </w:r>
          </w:p>
        </w:tc>
      </w:tr>
      <w:tr w:rsidR="00EE0DB2" w:rsidRPr="00EE0DB2" w14:paraId="2C91BEAF"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79E09263" w14:textId="77777777" w:rsidR="00EE0DB2" w:rsidRPr="00EE0DB2" w:rsidRDefault="00EE0DB2" w:rsidP="00EE0DB2">
            <w:pPr>
              <w:rPr>
                <w:color w:val="000000"/>
                <w:sz w:val="14"/>
                <w:szCs w:val="14"/>
                <w:lang w:eastAsia="tr-TR"/>
              </w:rPr>
            </w:pPr>
            <w:r w:rsidRPr="00EE0DB2">
              <w:rPr>
                <w:color w:val="000000"/>
                <w:sz w:val="14"/>
                <w:szCs w:val="14"/>
                <w:lang w:eastAsia="tr-TR"/>
              </w:rPr>
              <w:t>5.1.</w:t>
            </w:r>
          </w:p>
        </w:tc>
        <w:tc>
          <w:tcPr>
            <w:tcW w:w="3236" w:type="dxa"/>
            <w:tcBorders>
              <w:top w:val="nil"/>
              <w:left w:val="single" w:sz="4" w:space="0" w:color="auto"/>
              <w:bottom w:val="nil"/>
              <w:right w:val="single" w:sz="4" w:space="0" w:color="auto"/>
            </w:tcBorders>
            <w:shd w:val="clear" w:color="auto" w:fill="auto"/>
            <w:noWrap/>
            <w:vAlign w:val="center"/>
            <w:hideMark/>
          </w:tcPr>
          <w:p w14:paraId="375CCFAF" w14:textId="77777777" w:rsidR="00EE0DB2" w:rsidRPr="00EE0DB2" w:rsidRDefault="00EE0DB2" w:rsidP="00EE0DB2">
            <w:pPr>
              <w:rPr>
                <w:color w:val="000000"/>
                <w:sz w:val="14"/>
                <w:szCs w:val="14"/>
                <w:lang w:eastAsia="tr-TR"/>
              </w:rPr>
            </w:pPr>
            <w:r w:rsidRPr="00EE0DB2">
              <w:rPr>
                <w:color w:val="000000"/>
                <w:sz w:val="14"/>
                <w:szCs w:val="14"/>
                <w:lang w:eastAsia="tr-TR"/>
              </w:rPr>
              <w:t>Menkul Kıymetler</w:t>
            </w:r>
          </w:p>
        </w:tc>
        <w:tc>
          <w:tcPr>
            <w:tcW w:w="576" w:type="dxa"/>
            <w:tcBorders>
              <w:top w:val="nil"/>
              <w:left w:val="single" w:sz="4" w:space="0" w:color="auto"/>
              <w:bottom w:val="nil"/>
              <w:right w:val="single" w:sz="4" w:space="0" w:color="auto"/>
            </w:tcBorders>
            <w:shd w:val="clear" w:color="auto" w:fill="auto"/>
            <w:vAlign w:val="center"/>
            <w:hideMark/>
          </w:tcPr>
          <w:p w14:paraId="7E983FD1"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1D52D90" w14:textId="77777777" w:rsidR="00EE0DB2" w:rsidRPr="00EE0DB2" w:rsidRDefault="00EE0DB2" w:rsidP="00EE0DB2">
            <w:pPr>
              <w:jc w:val="right"/>
              <w:rPr>
                <w:sz w:val="14"/>
                <w:szCs w:val="14"/>
                <w:lang w:eastAsia="tr-TR"/>
              </w:rPr>
            </w:pPr>
            <w:r w:rsidRPr="00EE0DB2">
              <w:rPr>
                <w:sz w:val="14"/>
                <w:szCs w:val="14"/>
                <w:lang w:eastAsia="tr-TR"/>
              </w:rPr>
              <w:t>183,101</w:t>
            </w:r>
          </w:p>
        </w:tc>
        <w:tc>
          <w:tcPr>
            <w:tcW w:w="885" w:type="dxa"/>
            <w:tcBorders>
              <w:top w:val="nil"/>
              <w:left w:val="single" w:sz="4" w:space="0" w:color="auto"/>
              <w:bottom w:val="nil"/>
              <w:right w:val="single" w:sz="4" w:space="0" w:color="auto"/>
            </w:tcBorders>
            <w:shd w:val="clear" w:color="auto" w:fill="auto"/>
            <w:vAlign w:val="center"/>
            <w:hideMark/>
          </w:tcPr>
          <w:p w14:paraId="5A41B1DF"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5519992" w14:textId="77777777" w:rsidR="00EE0DB2" w:rsidRPr="00EE0DB2" w:rsidRDefault="00EE0DB2" w:rsidP="00EE0DB2">
            <w:pPr>
              <w:jc w:val="right"/>
              <w:rPr>
                <w:sz w:val="14"/>
                <w:szCs w:val="14"/>
                <w:lang w:eastAsia="tr-TR"/>
              </w:rPr>
            </w:pPr>
            <w:r w:rsidRPr="00EE0DB2">
              <w:rPr>
                <w:sz w:val="14"/>
                <w:szCs w:val="14"/>
                <w:lang w:eastAsia="tr-TR"/>
              </w:rPr>
              <w:t>183,101</w:t>
            </w:r>
          </w:p>
        </w:tc>
        <w:tc>
          <w:tcPr>
            <w:tcW w:w="886" w:type="dxa"/>
            <w:tcBorders>
              <w:top w:val="nil"/>
              <w:left w:val="single" w:sz="4" w:space="0" w:color="auto"/>
              <w:bottom w:val="nil"/>
              <w:right w:val="single" w:sz="4" w:space="0" w:color="auto"/>
            </w:tcBorders>
            <w:shd w:val="clear" w:color="auto" w:fill="auto"/>
            <w:vAlign w:val="center"/>
            <w:hideMark/>
          </w:tcPr>
          <w:p w14:paraId="467D3C8C" w14:textId="77777777" w:rsidR="00EE0DB2" w:rsidRPr="00EE0DB2" w:rsidRDefault="00EE0DB2" w:rsidP="00EE0DB2">
            <w:pPr>
              <w:jc w:val="right"/>
              <w:rPr>
                <w:sz w:val="14"/>
                <w:szCs w:val="14"/>
                <w:lang w:eastAsia="tr-TR"/>
              </w:rPr>
            </w:pPr>
            <w:r w:rsidRPr="00EE0DB2">
              <w:rPr>
                <w:sz w:val="14"/>
                <w:szCs w:val="14"/>
                <w:lang w:eastAsia="tr-TR"/>
              </w:rPr>
              <w:t>194,245</w:t>
            </w:r>
          </w:p>
        </w:tc>
        <w:tc>
          <w:tcPr>
            <w:tcW w:w="885" w:type="dxa"/>
            <w:tcBorders>
              <w:top w:val="nil"/>
              <w:left w:val="single" w:sz="4" w:space="0" w:color="auto"/>
              <w:bottom w:val="nil"/>
              <w:right w:val="single" w:sz="4" w:space="0" w:color="auto"/>
            </w:tcBorders>
            <w:shd w:val="clear" w:color="auto" w:fill="auto"/>
            <w:vAlign w:val="center"/>
            <w:hideMark/>
          </w:tcPr>
          <w:p w14:paraId="4D889DC7" w14:textId="77777777" w:rsidR="00EE0DB2" w:rsidRPr="00EE0DB2" w:rsidRDefault="00EE0DB2" w:rsidP="00EE0DB2">
            <w:pPr>
              <w:jc w:val="right"/>
              <w:rPr>
                <w:sz w:val="14"/>
                <w:szCs w:val="14"/>
                <w:lang w:eastAsia="tr-TR"/>
              </w:rPr>
            </w:pPr>
            <w:r w:rsidRPr="00EE0DB2">
              <w:rPr>
                <w:sz w:val="14"/>
                <w:szCs w:val="14"/>
                <w:lang w:eastAsia="tr-TR"/>
              </w:rPr>
              <w:t>111,336</w:t>
            </w:r>
          </w:p>
        </w:tc>
        <w:tc>
          <w:tcPr>
            <w:tcW w:w="885" w:type="dxa"/>
            <w:tcBorders>
              <w:top w:val="nil"/>
              <w:left w:val="single" w:sz="4" w:space="0" w:color="auto"/>
              <w:bottom w:val="nil"/>
              <w:right w:val="single" w:sz="4" w:space="0" w:color="auto"/>
            </w:tcBorders>
            <w:shd w:val="clear" w:color="auto" w:fill="auto"/>
            <w:vAlign w:val="center"/>
            <w:hideMark/>
          </w:tcPr>
          <w:p w14:paraId="0D19A9BF" w14:textId="77777777" w:rsidR="00EE0DB2" w:rsidRPr="00EE0DB2" w:rsidRDefault="00EE0DB2" w:rsidP="00EE0DB2">
            <w:pPr>
              <w:jc w:val="right"/>
              <w:rPr>
                <w:sz w:val="14"/>
                <w:szCs w:val="14"/>
                <w:lang w:eastAsia="tr-TR"/>
              </w:rPr>
            </w:pPr>
            <w:r w:rsidRPr="00EE0DB2">
              <w:rPr>
                <w:sz w:val="14"/>
                <w:szCs w:val="14"/>
                <w:lang w:eastAsia="tr-TR"/>
              </w:rPr>
              <w:t>305,581</w:t>
            </w:r>
          </w:p>
        </w:tc>
      </w:tr>
      <w:tr w:rsidR="00EE0DB2" w:rsidRPr="00EE0DB2" w14:paraId="0B6CDEC9"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6E4CFF30" w14:textId="77777777" w:rsidR="00EE0DB2" w:rsidRPr="00EE0DB2" w:rsidRDefault="00EE0DB2" w:rsidP="00EE0DB2">
            <w:pPr>
              <w:rPr>
                <w:color w:val="000000"/>
                <w:sz w:val="14"/>
                <w:szCs w:val="14"/>
                <w:lang w:eastAsia="tr-TR"/>
              </w:rPr>
            </w:pPr>
            <w:r w:rsidRPr="00EE0DB2">
              <w:rPr>
                <w:color w:val="000000"/>
                <w:sz w:val="14"/>
                <w:szCs w:val="14"/>
                <w:lang w:eastAsia="tr-TR"/>
              </w:rPr>
              <w:t>5.2.</w:t>
            </w:r>
          </w:p>
        </w:tc>
        <w:tc>
          <w:tcPr>
            <w:tcW w:w="3236" w:type="dxa"/>
            <w:tcBorders>
              <w:top w:val="nil"/>
              <w:left w:val="single" w:sz="4" w:space="0" w:color="auto"/>
              <w:bottom w:val="nil"/>
              <w:right w:val="single" w:sz="4" w:space="0" w:color="auto"/>
            </w:tcBorders>
            <w:shd w:val="clear" w:color="auto" w:fill="auto"/>
            <w:noWrap/>
            <w:vAlign w:val="center"/>
            <w:hideMark/>
          </w:tcPr>
          <w:p w14:paraId="1AE6B672" w14:textId="77777777" w:rsidR="00EE0DB2" w:rsidRPr="00EE0DB2" w:rsidRDefault="00EE0DB2" w:rsidP="00EE0DB2">
            <w:pPr>
              <w:rPr>
                <w:color w:val="000000"/>
                <w:sz w:val="14"/>
                <w:szCs w:val="14"/>
                <w:lang w:eastAsia="tr-TR"/>
              </w:rPr>
            </w:pPr>
            <w:r w:rsidRPr="00EE0DB2">
              <w:rPr>
                <w:color w:val="000000"/>
                <w:sz w:val="14"/>
                <w:szCs w:val="14"/>
                <w:lang w:eastAsia="tr-TR"/>
              </w:rPr>
              <w:t>Teminat Senetleri</w:t>
            </w:r>
          </w:p>
        </w:tc>
        <w:tc>
          <w:tcPr>
            <w:tcW w:w="576" w:type="dxa"/>
            <w:tcBorders>
              <w:top w:val="nil"/>
              <w:left w:val="single" w:sz="4" w:space="0" w:color="auto"/>
              <w:bottom w:val="nil"/>
              <w:right w:val="single" w:sz="4" w:space="0" w:color="auto"/>
            </w:tcBorders>
            <w:shd w:val="clear" w:color="auto" w:fill="auto"/>
            <w:vAlign w:val="center"/>
            <w:hideMark/>
          </w:tcPr>
          <w:p w14:paraId="1FF1FD5F"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191E3B4" w14:textId="77777777" w:rsidR="00EE0DB2" w:rsidRPr="00EE0DB2" w:rsidRDefault="00EE0DB2" w:rsidP="00EE0DB2">
            <w:pPr>
              <w:jc w:val="right"/>
              <w:rPr>
                <w:sz w:val="14"/>
                <w:szCs w:val="14"/>
                <w:lang w:eastAsia="tr-TR"/>
              </w:rPr>
            </w:pPr>
            <w:r w:rsidRPr="00EE0DB2">
              <w:rPr>
                <w:sz w:val="14"/>
                <w:szCs w:val="14"/>
                <w:lang w:eastAsia="tr-TR"/>
              </w:rPr>
              <w:t>101,727</w:t>
            </w:r>
          </w:p>
        </w:tc>
        <w:tc>
          <w:tcPr>
            <w:tcW w:w="885" w:type="dxa"/>
            <w:tcBorders>
              <w:top w:val="nil"/>
              <w:left w:val="single" w:sz="4" w:space="0" w:color="auto"/>
              <w:bottom w:val="nil"/>
              <w:right w:val="single" w:sz="4" w:space="0" w:color="auto"/>
            </w:tcBorders>
            <w:shd w:val="clear" w:color="auto" w:fill="auto"/>
            <w:vAlign w:val="center"/>
            <w:hideMark/>
          </w:tcPr>
          <w:p w14:paraId="74D94116" w14:textId="77777777" w:rsidR="00EE0DB2" w:rsidRPr="00EE0DB2" w:rsidRDefault="00EE0DB2" w:rsidP="00EE0DB2">
            <w:pPr>
              <w:jc w:val="right"/>
              <w:rPr>
                <w:sz w:val="14"/>
                <w:szCs w:val="14"/>
                <w:lang w:eastAsia="tr-TR"/>
              </w:rPr>
            </w:pPr>
            <w:r w:rsidRPr="00EE0DB2">
              <w:rPr>
                <w:sz w:val="14"/>
                <w:szCs w:val="14"/>
                <w:lang w:eastAsia="tr-TR"/>
              </w:rPr>
              <w:t>3,143,623</w:t>
            </w:r>
          </w:p>
        </w:tc>
        <w:tc>
          <w:tcPr>
            <w:tcW w:w="885" w:type="dxa"/>
            <w:tcBorders>
              <w:top w:val="nil"/>
              <w:left w:val="single" w:sz="4" w:space="0" w:color="auto"/>
              <w:bottom w:val="nil"/>
              <w:right w:val="single" w:sz="4" w:space="0" w:color="auto"/>
            </w:tcBorders>
            <w:shd w:val="clear" w:color="auto" w:fill="auto"/>
            <w:vAlign w:val="center"/>
            <w:hideMark/>
          </w:tcPr>
          <w:p w14:paraId="4DA2DAE2" w14:textId="77777777" w:rsidR="00EE0DB2" w:rsidRPr="00EE0DB2" w:rsidRDefault="00EE0DB2" w:rsidP="00EE0DB2">
            <w:pPr>
              <w:jc w:val="right"/>
              <w:rPr>
                <w:sz w:val="14"/>
                <w:szCs w:val="14"/>
                <w:lang w:eastAsia="tr-TR"/>
              </w:rPr>
            </w:pPr>
            <w:r w:rsidRPr="00EE0DB2">
              <w:rPr>
                <w:sz w:val="14"/>
                <w:szCs w:val="14"/>
                <w:lang w:eastAsia="tr-TR"/>
              </w:rPr>
              <w:t>3,245,350</w:t>
            </w:r>
          </w:p>
        </w:tc>
        <w:tc>
          <w:tcPr>
            <w:tcW w:w="886" w:type="dxa"/>
            <w:tcBorders>
              <w:top w:val="nil"/>
              <w:left w:val="single" w:sz="4" w:space="0" w:color="auto"/>
              <w:bottom w:val="nil"/>
              <w:right w:val="single" w:sz="4" w:space="0" w:color="auto"/>
            </w:tcBorders>
            <w:shd w:val="clear" w:color="auto" w:fill="auto"/>
            <w:vAlign w:val="center"/>
            <w:hideMark/>
          </w:tcPr>
          <w:p w14:paraId="7BB3ED89" w14:textId="77777777" w:rsidR="00EE0DB2" w:rsidRPr="00EE0DB2" w:rsidRDefault="00EE0DB2" w:rsidP="00EE0DB2">
            <w:pPr>
              <w:jc w:val="right"/>
              <w:rPr>
                <w:sz w:val="14"/>
                <w:szCs w:val="14"/>
                <w:lang w:eastAsia="tr-TR"/>
              </w:rPr>
            </w:pPr>
            <w:r w:rsidRPr="00EE0DB2">
              <w:rPr>
                <w:sz w:val="14"/>
                <w:szCs w:val="14"/>
                <w:lang w:eastAsia="tr-TR"/>
              </w:rPr>
              <w:t>101,727</w:t>
            </w:r>
          </w:p>
        </w:tc>
        <w:tc>
          <w:tcPr>
            <w:tcW w:w="885" w:type="dxa"/>
            <w:tcBorders>
              <w:top w:val="nil"/>
              <w:left w:val="single" w:sz="4" w:space="0" w:color="auto"/>
              <w:bottom w:val="nil"/>
              <w:right w:val="single" w:sz="4" w:space="0" w:color="auto"/>
            </w:tcBorders>
            <w:shd w:val="clear" w:color="auto" w:fill="auto"/>
            <w:vAlign w:val="center"/>
            <w:hideMark/>
          </w:tcPr>
          <w:p w14:paraId="40AC8E04" w14:textId="77777777" w:rsidR="00EE0DB2" w:rsidRPr="00EE0DB2" w:rsidRDefault="00EE0DB2" w:rsidP="00EE0DB2">
            <w:pPr>
              <w:jc w:val="right"/>
              <w:rPr>
                <w:sz w:val="14"/>
                <w:szCs w:val="14"/>
                <w:lang w:eastAsia="tr-TR"/>
              </w:rPr>
            </w:pPr>
            <w:r w:rsidRPr="00EE0DB2">
              <w:rPr>
                <w:sz w:val="14"/>
                <w:szCs w:val="14"/>
                <w:lang w:eastAsia="tr-TR"/>
              </w:rPr>
              <w:t>2,402,814</w:t>
            </w:r>
          </w:p>
        </w:tc>
        <w:tc>
          <w:tcPr>
            <w:tcW w:w="885" w:type="dxa"/>
            <w:tcBorders>
              <w:top w:val="nil"/>
              <w:left w:val="single" w:sz="4" w:space="0" w:color="auto"/>
              <w:bottom w:val="nil"/>
              <w:right w:val="single" w:sz="4" w:space="0" w:color="auto"/>
            </w:tcBorders>
            <w:shd w:val="clear" w:color="auto" w:fill="auto"/>
            <w:vAlign w:val="center"/>
            <w:hideMark/>
          </w:tcPr>
          <w:p w14:paraId="36D10300" w14:textId="77777777" w:rsidR="00EE0DB2" w:rsidRPr="00EE0DB2" w:rsidRDefault="00EE0DB2" w:rsidP="00EE0DB2">
            <w:pPr>
              <w:jc w:val="right"/>
              <w:rPr>
                <w:sz w:val="14"/>
                <w:szCs w:val="14"/>
                <w:lang w:eastAsia="tr-TR"/>
              </w:rPr>
            </w:pPr>
            <w:r w:rsidRPr="00EE0DB2">
              <w:rPr>
                <w:sz w:val="14"/>
                <w:szCs w:val="14"/>
                <w:lang w:eastAsia="tr-TR"/>
              </w:rPr>
              <w:t>2,504,541</w:t>
            </w:r>
          </w:p>
        </w:tc>
      </w:tr>
      <w:tr w:rsidR="00EE0DB2" w:rsidRPr="00EE0DB2" w14:paraId="3E3F5D8A"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6AAB78F1" w14:textId="77777777" w:rsidR="00EE0DB2" w:rsidRPr="00EE0DB2" w:rsidRDefault="00EE0DB2" w:rsidP="00EE0DB2">
            <w:pPr>
              <w:rPr>
                <w:color w:val="000000"/>
                <w:sz w:val="14"/>
                <w:szCs w:val="14"/>
                <w:lang w:eastAsia="tr-TR"/>
              </w:rPr>
            </w:pPr>
            <w:r w:rsidRPr="00EE0DB2">
              <w:rPr>
                <w:color w:val="000000"/>
                <w:sz w:val="14"/>
                <w:szCs w:val="14"/>
                <w:lang w:eastAsia="tr-TR"/>
              </w:rPr>
              <w:t>5.3.</w:t>
            </w:r>
          </w:p>
        </w:tc>
        <w:tc>
          <w:tcPr>
            <w:tcW w:w="3236" w:type="dxa"/>
            <w:tcBorders>
              <w:top w:val="nil"/>
              <w:left w:val="single" w:sz="4" w:space="0" w:color="auto"/>
              <w:bottom w:val="nil"/>
              <w:right w:val="single" w:sz="4" w:space="0" w:color="auto"/>
            </w:tcBorders>
            <w:shd w:val="clear" w:color="auto" w:fill="auto"/>
            <w:noWrap/>
            <w:vAlign w:val="center"/>
            <w:hideMark/>
          </w:tcPr>
          <w:p w14:paraId="4F4BB108" w14:textId="77777777" w:rsidR="00EE0DB2" w:rsidRPr="00EE0DB2" w:rsidRDefault="00EE0DB2" w:rsidP="00EE0DB2">
            <w:pPr>
              <w:rPr>
                <w:color w:val="000000"/>
                <w:sz w:val="14"/>
                <w:szCs w:val="14"/>
                <w:lang w:eastAsia="tr-TR"/>
              </w:rPr>
            </w:pPr>
            <w:r w:rsidRPr="00EE0DB2">
              <w:rPr>
                <w:color w:val="000000"/>
                <w:sz w:val="14"/>
                <w:szCs w:val="14"/>
                <w:lang w:eastAsia="tr-TR"/>
              </w:rPr>
              <w:t>Emtia</w:t>
            </w:r>
          </w:p>
        </w:tc>
        <w:tc>
          <w:tcPr>
            <w:tcW w:w="576" w:type="dxa"/>
            <w:tcBorders>
              <w:top w:val="nil"/>
              <w:left w:val="single" w:sz="4" w:space="0" w:color="auto"/>
              <w:bottom w:val="nil"/>
              <w:right w:val="single" w:sz="4" w:space="0" w:color="auto"/>
            </w:tcBorders>
            <w:shd w:val="clear" w:color="auto" w:fill="auto"/>
            <w:vAlign w:val="center"/>
            <w:hideMark/>
          </w:tcPr>
          <w:p w14:paraId="25D366EF"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A20AF4C" w14:textId="77777777" w:rsidR="00EE0DB2" w:rsidRPr="00EE0DB2" w:rsidRDefault="00EE0DB2" w:rsidP="00EE0DB2">
            <w:pPr>
              <w:jc w:val="right"/>
              <w:rPr>
                <w:sz w:val="14"/>
                <w:szCs w:val="14"/>
                <w:lang w:eastAsia="tr-TR"/>
              </w:rPr>
            </w:pPr>
            <w:r w:rsidRPr="00EE0DB2">
              <w:rPr>
                <w:sz w:val="14"/>
                <w:szCs w:val="14"/>
                <w:lang w:eastAsia="tr-TR"/>
              </w:rPr>
              <w:t>13,130,543</w:t>
            </w:r>
          </w:p>
        </w:tc>
        <w:tc>
          <w:tcPr>
            <w:tcW w:w="885" w:type="dxa"/>
            <w:tcBorders>
              <w:top w:val="nil"/>
              <w:left w:val="single" w:sz="4" w:space="0" w:color="auto"/>
              <w:bottom w:val="nil"/>
              <w:right w:val="single" w:sz="4" w:space="0" w:color="auto"/>
            </w:tcBorders>
            <w:shd w:val="clear" w:color="auto" w:fill="auto"/>
            <w:vAlign w:val="center"/>
            <w:hideMark/>
          </w:tcPr>
          <w:p w14:paraId="12F1D399" w14:textId="77777777" w:rsidR="00EE0DB2" w:rsidRPr="00EE0DB2" w:rsidRDefault="00EE0DB2" w:rsidP="00EE0DB2">
            <w:pPr>
              <w:jc w:val="right"/>
              <w:rPr>
                <w:sz w:val="14"/>
                <w:szCs w:val="14"/>
                <w:lang w:eastAsia="tr-TR"/>
              </w:rPr>
            </w:pPr>
            <w:r w:rsidRPr="00EE0DB2">
              <w:rPr>
                <w:sz w:val="14"/>
                <w:szCs w:val="14"/>
                <w:lang w:eastAsia="tr-TR"/>
              </w:rPr>
              <w:t>939,428</w:t>
            </w:r>
          </w:p>
        </w:tc>
        <w:tc>
          <w:tcPr>
            <w:tcW w:w="885" w:type="dxa"/>
            <w:tcBorders>
              <w:top w:val="nil"/>
              <w:left w:val="single" w:sz="4" w:space="0" w:color="auto"/>
              <w:bottom w:val="nil"/>
              <w:right w:val="single" w:sz="4" w:space="0" w:color="auto"/>
            </w:tcBorders>
            <w:shd w:val="clear" w:color="auto" w:fill="auto"/>
            <w:vAlign w:val="center"/>
            <w:hideMark/>
          </w:tcPr>
          <w:p w14:paraId="624F5804" w14:textId="77777777" w:rsidR="00EE0DB2" w:rsidRPr="00EE0DB2" w:rsidRDefault="00EE0DB2" w:rsidP="00EE0DB2">
            <w:pPr>
              <w:jc w:val="right"/>
              <w:rPr>
                <w:sz w:val="14"/>
                <w:szCs w:val="14"/>
                <w:lang w:eastAsia="tr-TR"/>
              </w:rPr>
            </w:pPr>
            <w:r w:rsidRPr="00EE0DB2">
              <w:rPr>
                <w:sz w:val="14"/>
                <w:szCs w:val="14"/>
                <w:lang w:eastAsia="tr-TR"/>
              </w:rPr>
              <w:t>14,069,971</w:t>
            </w:r>
          </w:p>
        </w:tc>
        <w:tc>
          <w:tcPr>
            <w:tcW w:w="886" w:type="dxa"/>
            <w:tcBorders>
              <w:top w:val="nil"/>
              <w:left w:val="single" w:sz="4" w:space="0" w:color="auto"/>
              <w:bottom w:val="nil"/>
              <w:right w:val="single" w:sz="4" w:space="0" w:color="auto"/>
            </w:tcBorders>
            <w:shd w:val="clear" w:color="auto" w:fill="auto"/>
            <w:vAlign w:val="center"/>
            <w:hideMark/>
          </w:tcPr>
          <w:p w14:paraId="18F07D94" w14:textId="77777777" w:rsidR="00EE0DB2" w:rsidRPr="00EE0DB2" w:rsidRDefault="00EE0DB2" w:rsidP="00EE0DB2">
            <w:pPr>
              <w:jc w:val="right"/>
              <w:rPr>
                <w:sz w:val="14"/>
                <w:szCs w:val="14"/>
                <w:lang w:eastAsia="tr-TR"/>
              </w:rPr>
            </w:pPr>
            <w:r w:rsidRPr="00EE0DB2">
              <w:rPr>
                <w:sz w:val="14"/>
                <w:szCs w:val="14"/>
                <w:lang w:eastAsia="tr-TR"/>
              </w:rPr>
              <w:t>8,938,138</w:t>
            </w:r>
          </w:p>
        </w:tc>
        <w:tc>
          <w:tcPr>
            <w:tcW w:w="885" w:type="dxa"/>
            <w:tcBorders>
              <w:top w:val="nil"/>
              <w:left w:val="single" w:sz="4" w:space="0" w:color="auto"/>
              <w:bottom w:val="nil"/>
              <w:right w:val="single" w:sz="4" w:space="0" w:color="auto"/>
            </w:tcBorders>
            <w:shd w:val="clear" w:color="auto" w:fill="auto"/>
            <w:vAlign w:val="center"/>
            <w:hideMark/>
          </w:tcPr>
          <w:p w14:paraId="5D0E4E5C" w14:textId="77777777" w:rsidR="00EE0DB2" w:rsidRPr="00EE0DB2" w:rsidRDefault="00EE0DB2" w:rsidP="00EE0DB2">
            <w:pPr>
              <w:jc w:val="right"/>
              <w:rPr>
                <w:sz w:val="14"/>
                <w:szCs w:val="14"/>
                <w:lang w:eastAsia="tr-TR"/>
              </w:rPr>
            </w:pPr>
            <w:r w:rsidRPr="00EE0DB2">
              <w:rPr>
                <w:sz w:val="14"/>
                <w:szCs w:val="14"/>
                <w:lang w:eastAsia="tr-TR"/>
              </w:rPr>
              <w:t>701,641</w:t>
            </w:r>
          </w:p>
        </w:tc>
        <w:tc>
          <w:tcPr>
            <w:tcW w:w="885" w:type="dxa"/>
            <w:tcBorders>
              <w:top w:val="nil"/>
              <w:left w:val="single" w:sz="4" w:space="0" w:color="auto"/>
              <w:bottom w:val="nil"/>
              <w:right w:val="single" w:sz="4" w:space="0" w:color="auto"/>
            </w:tcBorders>
            <w:shd w:val="clear" w:color="auto" w:fill="auto"/>
            <w:vAlign w:val="center"/>
            <w:hideMark/>
          </w:tcPr>
          <w:p w14:paraId="08E11716" w14:textId="77777777" w:rsidR="00EE0DB2" w:rsidRPr="00EE0DB2" w:rsidRDefault="00EE0DB2" w:rsidP="00EE0DB2">
            <w:pPr>
              <w:jc w:val="right"/>
              <w:rPr>
                <w:sz w:val="14"/>
                <w:szCs w:val="14"/>
                <w:lang w:eastAsia="tr-TR"/>
              </w:rPr>
            </w:pPr>
            <w:r w:rsidRPr="00EE0DB2">
              <w:rPr>
                <w:sz w:val="14"/>
                <w:szCs w:val="14"/>
                <w:lang w:eastAsia="tr-TR"/>
              </w:rPr>
              <w:t>9,639,779</w:t>
            </w:r>
          </w:p>
        </w:tc>
      </w:tr>
      <w:tr w:rsidR="00EE0DB2" w:rsidRPr="00EE0DB2" w14:paraId="259D0331"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1FF459F7" w14:textId="77777777" w:rsidR="00EE0DB2" w:rsidRPr="00EE0DB2" w:rsidRDefault="00EE0DB2" w:rsidP="00EE0DB2">
            <w:pPr>
              <w:rPr>
                <w:color w:val="000000"/>
                <w:sz w:val="14"/>
                <w:szCs w:val="14"/>
                <w:lang w:eastAsia="tr-TR"/>
              </w:rPr>
            </w:pPr>
            <w:r w:rsidRPr="00EE0DB2">
              <w:rPr>
                <w:color w:val="000000"/>
                <w:sz w:val="14"/>
                <w:szCs w:val="14"/>
                <w:lang w:eastAsia="tr-TR"/>
              </w:rPr>
              <w:t>5.4.</w:t>
            </w:r>
          </w:p>
        </w:tc>
        <w:tc>
          <w:tcPr>
            <w:tcW w:w="3236" w:type="dxa"/>
            <w:tcBorders>
              <w:top w:val="nil"/>
              <w:left w:val="single" w:sz="4" w:space="0" w:color="auto"/>
              <w:bottom w:val="nil"/>
              <w:right w:val="single" w:sz="4" w:space="0" w:color="auto"/>
            </w:tcBorders>
            <w:shd w:val="clear" w:color="auto" w:fill="auto"/>
            <w:noWrap/>
            <w:vAlign w:val="center"/>
            <w:hideMark/>
          </w:tcPr>
          <w:p w14:paraId="7C2C229B" w14:textId="77777777" w:rsidR="00EE0DB2" w:rsidRPr="00EE0DB2" w:rsidRDefault="00EE0DB2" w:rsidP="00EE0DB2">
            <w:pPr>
              <w:rPr>
                <w:color w:val="000000"/>
                <w:sz w:val="14"/>
                <w:szCs w:val="14"/>
                <w:lang w:eastAsia="tr-TR"/>
              </w:rPr>
            </w:pPr>
            <w:proofErr w:type="spellStart"/>
            <w:r w:rsidRPr="00EE0DB2">
              <w:rPr>
                <w:color w:val="000000"/>
                <w:sz w:val="14"/>
                <w:szCs w:val="14"/>
                <w:lang w:eastAsia="tr-TR"/>
              </w:rPr>
              <w:t>Varant</w:t>
            </w:r>
            <w:proofErr w:type="spellEnd"/>
          </w:p>
        </w:tc>
        <w:tc>
          <w:tcPr>
            <w:tcW w:w="576" w:type="dxa"/>
            <w:tcBorders>
              <w:top w:val="nil"/>
              <w:left w:val="single" w:sz="4" w:space="0" w:color="auto"/>
              <w:bottom w:val="nil"/>
              <w:right w:val="single" w:sz="4" w:space="0" w:color="auto"/>
            </w:tcBorders>
            <w:shd w:val="clear" w:color="auto" w:fill="auto"/>
            <w:vAlign w:val="center"/>
            <w:hideMark/>
          </w:tcPr>
          <w:p w14:paraId="44389842"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A35F0DF"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2666D23"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E758E2F"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7EDCA34C"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1718F1F"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C8C837C"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1A7CF9ED"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13902BCC" w14:textId="77777777" w:rsidR="00EE0DB2" w:rsidRPr="00EE0DB2" w:rsidRDefault="00EE0DB2" w:rsidP="00EE0DB2">
            <w:pPr>
              <w:rPr>
                <w:color w:val="000000"/>
                <w:sz w:val="14"/>
                <w:szCs w:val="14"/>
                <w:lang w:eastAsia="tr-TR"/>
              </w:rPr>
            </w:pPr>
            <w:r w:rsidRPr="00EE0DB2">
              <w:rPr>
                <w:color w:val="000000"/>
                <w:sz w:val="14"/>
                <w:szCs w:val="14"/>
                <w:lang w:eastAsia="tr-TR"/>
              </w:rPr>
              <w:t>5.5.</w:t>
            </w:r>
          </w:p>
        </w:tc>
        <w:tc>
          <w:tcPr>
            <w:tcW w:w="3236" w:type="dxa"/>
            <w:tcBorders>
              <w:top w:val="nil"/>
              <w:left w:val="single" w:sz="4" w:space="0" w:color="auto"/>
              <w:bottom w:val="nil"/>
              <w:right w:val="single" w:sz="4" w:space="0" w:color="auto"/>
            </w:tcBorders>
            <w:shd w:val="clear" w:color="auto" w:fill="auto"/>
            <w:noWrap/>
            <w:vAlign w:val="center"/>
            <w:hideMark/>
          </w:tcPr>
          <w:p w14:paraId="1CECDF0B" w14:textId="77777777" w:rsidR="00EE0DB2" w:rsidRPr="00EE0DB2" w:rsidRDefault="00EE0DB2" w:rsidP="00EE0DB2">
            <w:pPr>
              <w:rPr>
                <w:color w:val="000000"/>
                <w:sz w:val="14"/>
                <w:szCs w:val="14"/>
                <w:lang w:eastAsia="tr-TR"/>
              </w:rPr>
            </w:pPr>
            <w:r w:rsidRPr="00EE0DB2">
              <w:rPr>
                <w:color w:val="000000"/>
                <w:sz w:val="14"/>
                <w:szCs w:val="14"/>
                <w:lang w:eastAsia="tr-TR"/>
              </w:rPr>
              <w:t>Gayrimenkul</w:t>
            </w:r>
          </w:p>
        </w:tc>
        <w:tc>
          <w:tcPr>
            <w:tcW w:w="576" w:type="dxa"/>
            <w:tcBorders>
              <w:top w:val="nil"/>
              <w:left w:val="single" w:sz="4" w:space="0" w:color="auto"/>
              <w:bottom w:val="nil"/>
              <w:right w:val="single" w:sz="4" w:space="0" w:color="auto"/>
            </w:tcBorders>
            <w:shd w:val="clear" w:color="auto" w:fill="auto"/>
            <w:vAlign w:val="center"/>
            <w:hideMark/>
          </w:tcPr>
          <w:p w14:paraId="463569BC"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A2628BE" w14:textId="77777777" w:rsidR="00EE0DB2" w:rsidRPr="00EE0DB2" w:rsidRDefault="00EE0DB2" w:rsidP="00EE0DB2">
            <w:pPr>
              <w:jc w:val="right"/>
              <w:rPr>
                <w:sz w:val="14"/>
                <w:szCs w:val="14"/>
                <w:lang w:eastAsia="tr-TR"/>
              </w:rPr>
            </w:pPr>
            <w:r w:rsidRPr="00EE0DB2">
              <w:rPr>
                <w:sz w:val="14"/>
                <w:szCs w:val="14"/>
                <w:lang w:eastAsia="tr-TR"/>
              </w:rPr>
              <w:t>146,126,396</w:t>
            </w:r>
          </w:p>
        </w:tc>
        <w:tc>
          <w:tcPr>
            <w:tcW w:w="885" w:type="dxa"/>
            <w:tcBorders>
              <w:top w:val="nil"/>
              <w:left w:val="single" w:sz="4" w:space="0" w:color="auto"/>
              <w:bottom w:val="nil"/>
              <w:right w:val="single" w:sz="4" w:space="0" w:color="auto"/>
            </w:tcBorders>
            <w:shd w:val="clear" w:color="auto" w:fill="auto"/>
            <w:vAlign w:val="center"/>
            <w:hideMark/>
          </w:tcPr>
          <w:p w14:paraId="74F5B386" w14:textId="77777777" w:rsidR="00EE0DB2" w:rsidRPr="00EE0DB2" w:rsidRDefault="00EE0DB2" w:rsidP="00EE0DB2">
            <w:pPr>
              <w:jc w:val="right"/>
              <w:rPr>
                <w:sz w:val="14"/>
                <w:szCs w:val="14"/>
                <w:lang w:eastAsia="tr-TR"/>
              </w:rPr>
            </w:pPr>
            <w:r w:rsidRPr="00EE0DB2">
              <w:rPr>
                <w:sz w:val="14"/>
                <w:szCs w:val="14"/>
                <w:lang w:eastAsia="tr-TR"/>
              </w:rPr>
              <w:t>3,858,927</w:t>
            </w:r>
          </w:p>
        </w:tc>
        <w:tc>
          <w:tcPr>
            <w:tcW w:w="885" w:type="dxa"/>
            <w:tcBorders>
              <w:top w:val="nil"/>
              <w:left w:val="single" w:sz="4" w:space="0" w:color="auto"/>
              <w:bottom w:val="nil"/>
              <w:right w:val="single" w:sz="4" w:space="0" w:color="auto"/>
            </w:tcBorders>
            <w:shd w:val="clear" w:color="auto" w:fill="auto"/>
            <w:vAlign w:val="center"/>
            <w:hideMark/>
          </w:tcPr>
          <w:p w14:paraId="10F505DB" w14:textId="77777777" w:rsidR="00EE0DB2" w:rsidRPr="00EE0DB2" w:rsidRDefault="00EE0DB2" w:rsidP="00EE0DB2">
            <w:pPr>
              <w:jc w:val="right"/>
              <w:rPr>
                <w:sz w:val="14"/>
                <w:szCs w:val="14"/>
                <w:lang w:eastAsia="tr-TR"/>
              </w:rPr>
            </w:pPr>
            <w:r w:rsidRPr="00EE0DB2">
              <w:rPr>
                <w:sz w:val="14"/>
                <w:szCs w:val="14"/>
                <w:lang w:eastAsia="tr-TR"/>
              </w:rPr>
              <w:t>149,985,323</w:t>
            </w:r>
          </w:p>
        </w:tc>
        <w:tc>
          <w:tcPr>
            <w:tcW w:w="886" w:type="dxa"/>
            <w:tcBorders>
              <w:top w:val="nil"/>
              <w:left w:val="single" w:sz="4" w:space="0" w:color="auto"/>
              <w:bottom w:val="nil"/>
              <w:right w:val="single" w:sz="4" w:space="0" w:color="auto"/>
            </w:tcBorders>
            <w:shd w:val="clear" w:color="auto" w:fill="auto"/>
            <w:vAlign w:val="center"/>
            <w:hideMark/>
          </w:tcPr>
          <w:p w14:paraId="22EE64DF" w14:textId="77777777" w:rsidR="00EE0DB2" w:rsidRPr="00EE0DB2" w:rsidRDefault="00EE0DB2" w:rsidP="00EE0DB2">
            <w:pPr>
              <w:jc w:val="right"/>
              <w:rPr>
                <w:sz w:val="14"/>
                <w:szCs w:val="14"/>
                <w:lang w:eastAsia="tr-TR"/>
              </w:rPr>
            </w:pPr>
            <w:r w:rsidRPr="00EE0DB2">
              <w:rPr>
                <w:sz w:val="14"/>
                <w:szCs w:val="14"/>
                <w:lang w:eastAsia="tr-TR"/>
              </w:rPr>
              <w:t>124,206,037</w:t>
            </w:r>
          </w:p>
        </w:tc>
        <w:tc>
          <w:tcPr>
            <w:tcW w:w="885" w:type="dxa"/>
            <w:tcBorders>
              <w:top w:val="nil"/>
              <w:left w:val="single" w:sz="4" w:space="0" w:color="auto"/>
              <w:bottom w:val="nil"/>
              <w:right w:val="single" w:sz="4" w:space="0" w:color="auto"/>
            </w:tcBorders>
            <w:shd w:val="clear" w:color="auto" w:fill="auto"/>
            <w:vAlign w:val="center"/>
            <w:hideMark/>
          </w:tcPr>
          <w:p w14:paraId="2EA08F56" w14:textId="77777777" w:rsidR="00EE0DB2" w:rsidRPr="00EE0DB2" w:rsidRDefault="00EE0DB2" w:rsidP="00EE0DB2">
            <w:pPr>
              <w:jc w:val="right"/>
              <w:rPr>
                <w:sz w:val="14"/>
                <w:szCs w:val="14"/>
                <w:lang w:eastAsia="tr-TR"/>
              </w:rPr>
            </w:pPr>
            <w:r w:rsidRPr="00EE0DB2">
              <w:rPr>
                <w:sz w:val="14"/>
                <w:szCs w:val="14"/>
                <w:lang w:eastAsia="tr-TR"/>
              </w:rPr>
              <w:t>2,983,314</w:t>
            </w:r>
          </w:p>
        </w:tc>
        <w:tc>
          <w:tcPr>
            <w:tcW w:w="885" w:type="dxa"/>
            <w:tcBorders>
              <w:top w:val="nil"/>
              <w:left w:val="single" w:sz="4" w:space="0" w:color="auto"/>
              <w:bottom w:val="nil"/>
              <w:right w:val="single" w:sz="4" w:space="0" w:color="auto"/>
            </w:tcBorders>
            <w:shd w:val="clear" w:color="auto" w:fill="auto"/>
            <w:vAlign w:val="center"/>
            <w:hideMark/>
          </w:tcPr>
          <w:p w14:paraId="60A7A54A" w14:textId="77777777" w:rsidR="00EE0DB2" w:rsidRPr="00EE0DB2" w:rsidRDefault="00EE0DB2" w:rsidP="00EE0DB2">
            <w:pPr>
              <w:jc w:val="right"/>
              <w:rPr>
                <w:sz w:val="14"/>
                <w:szCs w:val="14"/>
                <w:lang w:eastAsia="tr-TR"/>
              </w:rPr>
            </w:pPr>
            <w:r w:rsidRPr="00EE0DB2">
              <w:rPr>
                <w:sz w:val="14"/>
                <w:szCs w:val="14"/>
                <w:lang w:eastAsia="tr-TR"/>
              </w:rPr>
              <w:t>127,189,351</w:t>
            </w:r>
          </w:p>
        </w:tc>
      </w:tr>
      <w:tr w:rsidR="00EE0DB2" w:rsidRPr="00EE0DB2" w14:paraId="79D487DA"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478CBE1B" w14:textId="77777777" w:rsidR="00EE0DB2" w:rsidRPr="00EE0DB2" w:rsidRDefault="00EE0DB2" w:rsidP="00EE0DB2">
            <w:pPr>
              <w:rPr>
                <w:color w:val="000000"/>
                <w:sz w:val="14"/>
                <w:szCs w:val="14"/>
                <w:lang w:eastAsia="tr-TR"/>
              </w:rPr>
            </w:pPr>
            <w:r w:rsidRPr="00EE0DB2">
              <w:rPr>
                <w:color w:val="000000"/>
                <w:sz w:val="14"/>
                <w:szCs w:val="14"/>
                <w:lang w:eastAsia="tr-TR"/>
              </w:rPr>
              <w:t>5.6.</w:t>
            </w:r>
          </w:p>
        </w:tc>
        <w:tc>
          <w:tcPr>
            <w:tcW w:w="3236" w:type="dxa"/>
            <w:tcBorders>
              <w:top w:val="nil"/>
              <w:left w:val="single" w:sz="4" w:space="0" w:color="auto"/>
              <w:bottom w:val="nil"/>
              <w:right w:val="single" w:sz="4" w:space="0" w:color="auto"/>
            </w:tcBorders>
            <w:shd w:val="clear" w:color="auto" w:fill="auto"/>
            <w:noWrap/>
            <w:vAlign w:val="center"/>
            <w:hideMark/>
          </w:tcPr>
          <w:p w14:paraId="7D65F6CF" w14:textId="77777777" w:rsidR="00EE0DB2" w:rsidRPr="00EE0DB2" w:rsidRDefault="00EE0DB2" w:rsidP="00EE0DB2">
            <w:pPr>
              <w:rPr>
                <w:color w:val="000000"/>
                <w:sz w:val="14"/>
                <w:szCs w:val="14"/>
                <w:lang w:eastAsia="tr-TR"/>
              </w:rPr>
            </w:pPr>
            <w:r w:rsidRPr="00EE0DB2">
              <w:rPr>
                <w:color w:val="000000"/>
                <w:sz w:val="14"/>
                <w:szCs w:val="14"/>
                <w:lang w:eastAsia="tr-TR"/>
              </w:rPr>
              <w:t>Diğer Rehinli Kıymetler</w:t>
            </w:r>
          </w:p>
        </w:tc>
        <w:tc>
          <w:tcPr>
            <w:tcW w:w="576" w:type="dxa"/>
            <w:tcBorders>
              <w:top w:val="nil"/>
              <w:left w:val="single" w:sz="4" w:space="0" w:color="auto"/>
              <w:bottom w:val="nil"/>
              <w:right w:val="single" w:sz="4" w:space="0" w:color="auto"/>
            </w:tcBorders>
            <w:shd w:val="clear" w:color="auto" w:fill="auto"/>
            <w:vAlign w:val="center"/>
            <w:hideMark/>
          </w:tcPr>
          <w:p w14:paraId="4BBA5DB5"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7A9C1FE" w14:textId="77777777" w:rsidR="00EE0DB2" w:rsidRPr="00EE0DB2" w:rsidRDefault="00EE0DB2" w:rsidP="00EE0DB2">
            <w:pPr>
              <w:jc w:val="right"/>
              <w:rPr>
                <w:sz w:val="14"/>
                <w:szCs w:val="14"/>
                <w:lang w:eastAsia="tr-TR"/>
              </w:rPr>
            </w:pPr>
            <w:r w:rsidRPr="00EE0DB2">
              <w:rPr>
                <w:sz w:val="14"/>
                <w:szCs w:val="14"/>
                <w:lang w:eastAsia="tr-TR"/>
              </w:rPr>
              <w:t>292,748,021</w:t>
            </w:r>
          </w:p>
        </w:tc>
        <w:tc>
          <w:tcPr>
            <w:tcW w:w="885" w:type="dxa"/>
            <w:tcBorders>
              <w:top w:val="nil"/>
              <w:left w:val="single" w:sz="4" w:space="0" w:color="auto"/>
              <w:bottom w:val="nil"/>
              <w:right w:val="single" w:sz="4" w:space="0" w:color="auto"/>
            </w:tcBorders>
            <w:shd w:val="clear" w:color="auto" w:fill="auto"/>
            <w:vAlign w:val="center"/>
            <w:hideMark/>
          </w:tcPr>
          <w:p w14:paraId="568413ED" w14:textId="77777777" w:rsidR="00EE0DB2" w:rsidRPr="00EE0DB2" w:rsidRDefault="00EE0DB2" w:rsidP="00EE0DB2">
            <w:pPr>
              <w:jc w:val="right"/>
              <w:rPr>
                <w:sz w:val="14"/>
                <w:szCs w:val="14"/>
                <w:lang w:eastAsia="tr-TR"/>
              </w:rPr>
            </w:pPr>
            <w:r w:rsidRPr="00EE0DB2">
              <w:rPr>
                <w:sz w:val="14"/>
                <w:szCs w:val="14"/>
                <w:lang w:eastAsia="tr-TR"/>
              </w:rPr>
              <w:t>183,872,859</w:t>
            </w:r>
          </w:p>
        </w:tc>
        <w:tc>
          <w:tcPr>
            <w:tcW w:w="885" w:type="dxa"/>
            <w:tcBorders>
              <w:top w:val="nil"/>
              <w:left w:val="single" w:sz="4" w:space="0" w:color="auto"/>
              <w:bottom w:val="nil"/>
              <w:right w:val="single" w:sz="4" w:space="0" w:color="auto"/>
            </w:tcBorders>
            <w:shd w:val="clear" w:color="auto" w:fill="auto"/>
            <w:vAlign w:val="center"/>
            <w:hideMark/>
          </w:tcPr>
          <w:p w14:paraId="23FD3F18" w14:textId="77777777" w:rsidR="00EE0DB2" w:rsidRPr="00EE0DB2" w:rsidRDefault="00EE0DB2" w:rsidP="00EE0DB2">
            <w:pPr>
              <w:jc w:val="right"/>
              <w:rPr>
                <w:sz w:val="14"/>
                <w:szCs w:val="14"/>
                <w:lang w:eastAsia="tr-TR"/>
              </w:rPr>
            </w:pPr>
            <w:r w:rsidRPr="00EE0DB2">
              <w:rPr>
                <w:sz w:val="14"/>
                <w:szCs w:val="14"/>
                <w:lang w:eastAsia="tr-TR"/>
              </w:rPr>
              <w:t>476,620,880</w:t>
            </w:r>
          </w:p>
        </w:tc>
        <w:tc>
          <w:tcPr>
            <w:tcW w:w="886" w:type="dxa"/>
            <w:tcBorders>
              <w:top w:val="nil"/>
              <w:left w:val="single" w:sz="4" w:space="0" w:color="auto"/>
              <w:bottom w:val="nil"/>
              <w:right w:val="single" w:sz="4" w:space="0" w:color="auto"/>
            </w:tcBorders>
            <w:shd w:val="clear" w:color="auto" w:fill="auto"/>
            <w:vAlign w:val="center"/>
            <w:hideMark/>
          </w:tcPr>
          <w:p w14:paraId="456A46F2" w14:textId="77777777" w:rsidR="00EE0DB2" w:rsidRPr="00EE0DB2" w:rsidRDefault="00EE0DB2" w:rsidP="00EE0DB2">
            <w:pPr>
              <w:jc w:val="right"/>
              <w:rPr>
                <w:sz w:val="14"/>
                <w:szCs w:val="14"/>
                <w:lang w:eastAsia="tr-TR"/>
              </w:rPr>
            </w:pPr>
            <w:r w:rsidRPr="00EE0DB2">
              <w:rPr>
                <w:sz w:val="14"/>
                <w:szCs w:val="14"/>
                <w:lang w:eastAsia="tr-TR"/>
              </w:rPr>
              <w:t>236,698,413</w:t>
            </w:r>
          </w:p>
        </w:tc>
        <w:tc>
          <w:tcPr>
            <w:tcW w:w="885" w:type="dxa"/>
            <w:tcBorders>
              <w:top w:val="nil"/>
              <w:left w:val="single" w:sz="4" w:space="0" w:color="auto"/>
              <w:bottom w:val="nil"/>
              <w:right w:val="single" w:sz="4" w:space="0" w:color="auto"/>
            </w:tcBorders>
            <w:shd w:val="clear" w:color="auto" w:fill="auto"/>
            <w:vAlign w:val="center"/>
            <w:hideMark/>
          </w:tcPr>
          <w:p w14:paraId="193099D8" w14:textId="77777777" w:rsidR="00EE0DB2" w:rsidRPr="00EE0DB2" w:rsidRDefault="00EE0DB2" w:rsidP="00EE0DB2">
            <w:pPr>
              <w:jc w:val="right"/>
              <w:rPr>
                <w:sz w:val="14"/>
                <w:szCs w:val="14"/>
                <w:lang w:eastAsia="tr-TR"/>
              </w:rPr>
            </w:pPr>
            <w:r w:rsidRPr="00EE0DB2">
              <w:rPr>
                <w:sz w:val="14"/>
                <w:szCs w:val="14"/>
                <w:lang w:eastAsia="tr-TR"/>
              </w:rPr>
              <w:t>144,414,249</w:t>
            </w:r>
          </w:p>
        </w:tc>
        <w:tc>
          <w:tcPr>
            <w:tcW w:w="885" w:type="dxa"/>
            <w:tcBorders>
              <w:top w:val="nil"/>
              <w:left w:val="single" w:sz="4" w:space="0" w:color="auto"/>
              <w:bottom w:val="nil"/>
              <w:right w:val="single" w:sz="4" w:space="0" w:color="auto"/>
            </w:tcBorders>
            <w:shd w:val="clear" w:color="auto" w:fill="auto"/>
            <w:vAlign w:val="center"/>
            <w:hideMark/>
          </w:tcPr>
          <w:p w14:paraId="788AA478" w14:textId="77777777" w:rsidR="00EE0DB2" w:rsidRPr="00EE0DB2" w:rsidRDefault="00EE0DB2" w:rsidP="00EE0DB2">
            <w:pPr>
              <w:jc w:val="right"/>
              <w:rPr>
                <w:sz w:val="14"/>
                <w:szCs w:val="14"/>
                <w:lang w:eastAsia="tr-TR"/>
              </w:rPr>
            </w:pPr>
            <w:r w:rsidRPr="00EE0DB2">
              <w:rPr>
                <w:sz w:val="14"/>
                <w:szCs w:val="14"/>
                <w:lang w:eastAsia="tr-TR"/>
              </w:rPr>
              <w:t>381,112,662</w:t>
            </w:r>
          </w:p>
        </w:tc>
      </w:tr>
      <w:tr w:rsidR="00EE0DB2" w:rsidRPr="00EE0DB2" w14:paraId="17CD040A"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696CA490" w14:textId="77777777" w:rsidR="00EE0DB2" w:rsidRPr="00EE0DB2" w:rsidRDefault="00EE0DB2" w:rsidP="00EE0DB2">
            <w:pPr>
              <w:rPr>
                <w:color w:val="000000"/>
                <w:sz w:val="14"/>
                <w:szCs w:val="14"/>
                <w:lang w:eastAsia="tr-TR"/>
              </w:rPr>
            </w:pPr>
            <w:r w:rsidRPr="00EE0DB2">
              <w:rPr>
                <w:color w:val="000000"/>
                <w:sz w:val="14"/>
                <w:szCs w:val="14"/>
                <w:lang w:eastAsia="tr-TR"/>
              </w:rPr>
              <w:t>5.7.</w:t>
            </w:r>
          </w:p>
        </w:tc>
        <w:tc>
          <w:tcPr>
            <w:tcW w:w="3236" w:type="dxa"/>
            <w:tcBorders>
              <w:top w:val="nil"/>
              <w:left w:val="single" w:sz="4" w:space="0" w:color="auto"/>
              <w:bottom w:val="nil"/>
              <w:right w:val="single" w:sz="4" w:space="0" w:color="auto"/>
            </w:tcBorders>
            <w:shd w:val="clear" w:color="auto" w:fill="auto"/>
            <w:noWrap/>
            <w:vAlign w:val="center"/>
            <w:hideMark/>
          </w:tcPr>
          <w:p w14:paraId="07F21796" w14:textId="77777777" w:rsidR="00EE0DB2" w:rsidRPr="00EE0DB2" w:rsidRDefault="00EE0DB2" w:rsidP="00EE0DB2">
            <w:pPr>
              <w:rPr>
                <w:color w:val="000000"/>
                <w:sz w:val="14"/>
                <w:szCs w:val="14"/>
                <w:lang w:eastAsia="tr-TR"/>
              </w:rPr>
            </w:pPr>
            <w:r w:rsidRPr="00EE0DB2">
              <w:rPr>
                <w:color w:val="000000"/>
                <w:sz w:val="14"/>
                <w:szCs w:val="14"/>
                <w:lang w:eastAsia="tr-TR"/>
              </w:rPr>
              <w:t>Rehinli Kıymet Alanlar</w:t>
            </w:r>
          </w:p>
        </w:tc>
        <w:tc>
          <w:tcPr>
            <w:tcW w:w="576" w:type="dxa"/>
            <w:tcBorders>
              <w:top w:val="nil"/>
              <w:left w:val="single" w:sz="4" w:space="0" w:color="auto"/>
              <w:bottom w:val="nil"/>
              <w:right w:val="single" w:sz="4" w:space="0" w:color="auto"/>
            </w:tcBorders>
            <w:shd w:val="clear" w:color="auto" w:fill="auto"/>
            <w:vAlign w:val="center"/>
            <w:hideMark/>
          </w:tcPr>
          <w:p w14:paraId="6D7F7EDA" w14:textId="77777777" w:rsidR="00EE0DB2" w:rsidRPr="00EE0DB2" w:rsidRDefault="00EE0DB2" w:rsidP="00EE0DB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F325539"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8FC586D"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3D93CF0" w14:textId="77777777" w:rsidR="00EE0DB2" w:rsidRPr="00EE0DB2" w:rsidRDefault="00EE0DB2" w:rsidP="00EE0DB2">
            <w:pPr>
              <w:jc w:val="right"/>
              <w:rPr>
                <w:sz w:val="14"/>
                <w:szCs w:val="14"/>
                <w:lang w:eastAsia="tr-TR"/>
              </w:rPr>
            </w:pPr>
            <w:r w:rsidRPr="00EE0DB2">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003C03F"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AF2EA6E" w14:textId="77777777" w:rsidR="00EE0DB2" w:rsidRPr="00EE0DB2" w:rsidRDefault="00EE0DB2" w:rsidP="00EE0DB2">
            <w:pPr>
              <w:jc w:val="right"/>
              <w:rPr>
                <w:sz w:val="14"/>
                <w:szCs w:val="14"/>
                <w:lang w:eastAsia="tr-TR"/>
              </w:rPr>
            </w:pPr>
            <w:r w:rsidRPr="00EE0DB2">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4186AFB" w14:textId="77777777" w:rsidR="00EE0DB2" w:rsidRPr="00EE0DB2" w:rsidRDefault="00EE0DB2" w:rsidP="00EE0DB2">
            <w:pPr>
              <w:jc w:val="right"/>
              <w:rPr>
                <w:sz w:val="14"/>
                <w:szCs w:val="14"/>
                <w:lang w:eastAsia="tr-TR"/>
              </w:rPr>
            </w:pPr>
            <w:r w:rsidRPr="00EE0DB2">
              <w:rPr>
                <w:sz w:val="14"/>
                <w:szCs w:val="14"/>
                <w:lang w:eastAsia="tr-TR"/>
              </w:rPr>
              <w:t>-</w:t>
            </w:r>
          </w:p>
        </w:tc>
      </w:tr>
      <w:tr w:rsidR="00EE0DB2" w:rsidRPr="00EE0DB2" w14:paraId="58223C33" w14:textId="77777777" w:rsidTr="00EE0DB2">
        <w:trPr>
          <w:divId w:val="713430740"/>
          <w:trHeight w:val="135"/>
        </w:trPr>
        <w:tc>
          <w:tcPr>
            <w:tcW w:w="536" w:type="dxa"/>
            <w:tcBorders>
              <w:top w:val="nil"/>
              <w:left w:val="single" w:sz="4" w:space="0" w:color="auto"/>
              <w:bottom w:val="nil"/>
              <w:right w:val="single" w:sz="4" w:space="0" w:color="auto"/>
            </w:tcBorders>
            <w:shd w:val="clear" w:color="auto" w:fill="auto"/>
            <w:noWrap/>
            <w:hideMark/>
          </w:tcPr>
          <w:p w14:paraId="2F20B9D8"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VI.</w:t>
            </w:r>
          </w:p>
        </w:tc>
        <w:tc>
          <w:tcPr>
            <w:tcW w:w="3236" w:type="dxa"/>
            <w:tcBorders>
              <w:top w:val="nil"/>
              <w:left w:val="single" w:sz="4" w:space="0" w:color="auto"/>
              <w:bottom w:val="nil"/>
              <w:right w:val="single" w:sz="4" w:space="0" w:color="auto"/>
            </w:tcBorders>
            <w:shd w:val="clear" w:color="auto" w:fill="auto"/>
            <w:noWrap/>
            <w:vAlign w:val="center"/>
            <w:hideMark/>
          </w:tcPr>
          <w:p w14:paraId="15864E84"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KABUL EDİLEN AVALLER VE KEFALETLER</w:t>
            </w:r>
          </w:p>
        </w:tc>
        <w:tc>
          <w:tcPr>
            <w:tcW w:w="576" w:type="dxa"/>
            <w:tcBorders>
              <w:top w:val="nil"/>
              <w:left w:val="single" w:sz="4" w:space="0" w:color="auto"/>
              <w:bottom w:val="nil"/>
              <w:right w:val="single" w:sz="4" w:space="0" w:color="auto"/>
            </w:tcBorders>
            <w:shd w:val="clear" w:color="auto" w:fill="auto"/>
            <w:vAlign w:val="center"/>
            <w:hideMark/>
          </w:tcPr>
          <w:p w14:paraId="5C7ED686" w14:textId="77777777" w:rsidR="00EE0DB2" w:rsidRPr="00EE0DB2" w:rsidRDefault="00EE0DB2" w:rsidP="00EE0DB2">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8F8B1D8" w14:textId="77777777" w:rsidR="00EE0DB2" w:rsidRPr="00EE0DB2" w:rsidRDefault="00EE0DB2" w:rsidP="00EE0DB2">
            <w:pPr>
              <w:jc w:val="right"/>
              <w:rPr>
                <w:b/>
                <w:bCs/>
                <w:sz w:val="14"/>
                <w:szCs w:val="14"/>
                <w:lang w:eastAsia="tr-TR"/>
              </w:rPr>
            </w:pPr>
            <w:r w:rsidRPr="00EE0DB2">
              <w:rPr>
                <w:b/>
                <w:bCs/>
                <w:sz w:val="14"/>
                <w:szCs w:val="14"/>
                <w:lang w:eastAsia="tr-TR"/>
              </w:rPr>
              <w:t>11,639</w:t>
            </w:r>
          </w:p>
        </w:tc>
        <w:tc>
          <w:tcPr>
            <w:tcW w:w="885" w:type="dxa"/>
            <w:tcBorders>
              <w:top w:val="nil"/>
              <w:left w:val="single" w:sz="4" w:space="0" w:color="auto"/>
              <w:bottom w:val="nil"/>
              <w:right w:val="single" w:sz="4" w:space="0" w:color="auto"/>
            </w:tcBorders>
            <w:shd w:val="clear" w:color="auto" w:fill="auto"/>
            <w:vAlign w:val="center"/>
            <w:hideMark/>
          </w:tcPr>
          <w:p w14:paraId="47CB52CE" w14:textId="77777777" w:rsidR="00EE0DB2" w:rsidRPr="00EE0DB2" w:rsidRDefault="00EE0DB2" w:rsidP="00EE0DB2">
            <w:pPr>
              <w:jc w:val="right"/>
              <w:rPr>
                <w:b/>
                <w:bCs/>
                <w:sz w:val="14"/>
                <w:szCs w:val="14"/>
                <w:lang w:eastAsia="tr-TR"/>
              </w:rPr>
            </w:pPr>
            <w:r w:rsidRPr="00EE0DB2">
              <w:rPr>
                <w:b/>
                <w:bCs/>
                <w:sz w:val="14"/>
                <w:szCs w:val="14"/>
                <w:lang w:eastAsia="tr-TR"/>
              </w:rPr>
              <w:t>91,414</w:t>
            </w:r>
          </w:p>
        </w:tc>
        <w:tc>
          <w:tcPr>
            <w:tcW w:w="885" w:type="dxa"/>
            <w:tcBorders>
              <w:top w:val="nil"/>
              <w:left w:val="single" w:sz="4" w:space="0" w:color="auto"/>
              <w:bottom w:val="nil"/>
              <w:right w:val="single" w:sz="4" w:space="0" w:color="auto"/>
            </w:tcBorders>
            <w:shd w:val="clear" w:color="auto" w:fill="auto"/>
            <w:vAlign w:val="center"/>
            <w:hideMark/>
          </w:tcPr>
          <w:p w14:paraId="5E349089" w14:textId="77777777" w:rsidR="00EE0DB2" w:rsidRPr="00EE0DB2" w:rsidRDefault="00EE0DB2" w:rsidP="00EE0DB2">
            <w:pPr>
              <w:jc w:val="right"/>
              <w:rPr>
                <w:b/>
                <w:bCs/>
                <w:sz w:val="14"/>
                <w:szCs w:val="14"/>
                <w:lang w:eastAsia="tr-TR"/>
              </w:rPr>
            </w:pPr>
            <w:r w:rsidRPr="00EE0DB2">
              <w:rPr>
                <w:b/>
                <w:bCs/>
                <w:sz w:val="14"/>
                <w:szCs w:val="14"/>
                <w:lang w:eastAsia="tr-TR"/>
              </w:rPr>
              <w:t>103,053</w:t>
            </w:r>
          </w:p>
        </w:tc>
        <w:tc>
          <w:tcPr>
            <w:tcW w:w="886" w:type="dxa"/>
            <w:tcBorders>
              <w:top w:val="nil"/>
              <w:left w:val="single" w:sz="4" w:space="0" w:color="auto"/>
              <w:bottom w:val="nil"/>
              <w:right w:val="single" w:sz="4" w:space="0" w:color="auto"/>
            </w:tcBorders>
            <w:shd w:val="clear" w:color="auto" w:fill="auto"/>
            <w:vAlign w:val="center"/>
            <w:hideMark/>
          </w:tcPr>
          <w:p w14:paraId="2199C099" w14:textId="77777777" w:rsidR="00EE0DB2" w:rsidRPr="00EE0DB2" w:rsidRDefault="00EE0DB2" w:rsidP="00EE0DB2">
            <w:pPr>
              <w:jc w:val="right"/>
              <w:rPr>
                <w:b/>
                <w:bCs/>
                <w:sz w:val="14"/>
                <w:szCs w:val="14"/>
                <w:lang w:eastAsia="tr-TR"/>
              </w:rPr>
            </w:pPr>
            <w:r w:rsidRPr="00EE0DB2">
              <w:rPr>
                <w:b/>
                <w:bCs/>
                <w:sz w:val="14"/>
                <w:szCs w:val="14"/>
                <w:lang w:eastAsia="tr-TR"/>
              </w:rPr>
              <w:t>11,639</w:t>
            </w:r>
          </w:p>
        </w:tc>
        <w:tc>
          <w:tcPr>
            <w:tcW w:w="885" w:type="dxa"/>
            <w:tcBorders>
              <w:top w:val="nil"/>
              <w:left w:val="single" w:sz="4" w:space="0" w:color="auto"/>
              <w:bottom w:val="nil"/>
              <w:right w:val="single" w:sz="4" w:space="0" w:color="auto"/>
            </w:tcBorders>
            <w:shd w:val="clear" w:color="auto" w:fill="auto"/>
            <w:vAlign w:val="center"/>
            <w:hideMark/>
          </w:tcPr>
          <w:p w14:paraId="227E657B" w14:textId="77777777" w:rsidR="00EE0DB2" w:rsidRPr="00EE0DB2" w:rsidRDefault="00EE0DB2" w:rsidP="00EE0DB2">
            <w:pPr>
              <w:jc w:val="right"/>
              <w:rPr>
                <w:b/>
                <w:bCs/>
                <w:sz w:val="14"/>
                <w:szCs w:val="14"/>
                <w:lang w:eastAsia="tr-TR"/>
              </w:rPr>
            </w:pPr>
            <w:r w:rsidRPr="00EE0DB2">
              <w:rPr>
                <w:b/>
                <w:bCs/>
                <w:sz w:val="14"/>
                <w:szCs w:val="14"/>
                <w:lang w:eastAsia="tr-TR"/>
              </w:rPr>
              <w:t>69,704</w:t>
            </w:r>
          </w:p>
        </w:tc>
        <w:tc>
          <w:tcPr>
            <w:tcW w:w="885" w:type="dxa"/>
            <w:tcBorders>
              <w:top w:val="nil"/>
              <w:left w:val="single" w:sz="4" w:space="0" w:color="auto"/>
              <w:bottom w:val="nil"/>
              <w:right w:val="single" w:sz="4" w:space="0" w:color="auto"/>
            </w:tcBorders>
            <w:shd w:val="clear" w:color="auto" w:fill="auto"/>
            <w:vAlign w:val="center"/>
            <w:hideMark/>
          </w:tcPr>
          <w:p w14:paraId="6607E67D" w14:textId="77777777" w:rsidR="00EE0DB2" w:rsidRPr="00EE0DB2" w:rsidRDefault="00EE0DB2" w:rsidP="00EE0DB2">
            <w:pPr>
              <w:jc w:val="right"/>
              <w:rPr>
                <w:b/>
                <w:bCs/>
                <w:sz w:val="14"/>
                <w:szCs w:val="14"/>
                <w:lang w:eastAsia="tr-TR"/>
              </w:rPr>
            </w:pPr>
            <w:r w:rsidRPr="00EE0DB2">
              <w:rPr>
                <w:b/>
                <w:bCs/>
                <w:sz w:val="14"/>
                <w:szCs w:val="14"/>
                <w:lang w:eastAsia="tr-TR"/>
              </w:rPr>
              <w:t>81,343</w:t>
            </w:r>
          </w:p>
        </w:tc>
      </w:tr>
      <w:tr w:rsidR="00EE0DB2" w:rsidRPr="00EE0DB2" w14:paraId="7911F247" w14:textId="77777777" w:rsidTr="00EE0DB2">
        <w:trPr>
          <w:divId w:val="713430740"/>
          <w:trHeight w:val="105"/>
        </w:trPr>
        <w:tc>
          <w:tcPr>
            <w:tcW w:w="536" w:type="dxa"/>
            <w:tcBorders>
              <w:top w:val="nil"/>
              <w:left w:val="single" w:sz="4" w:space="0" w:color="auto"/>
              <w:bottom w:val="nil"/>
              <w:right w:val="single" w:sz="4" w:space="0" w:color="auto"/>
            </w:tcBorders>
            <w:shd w:val="clear" w:color="auto" w:fill="auto"/>
            <w:noWrap/>
            <w:vAlign w:val="center"/>
            <w:hideMark/>
          </w:tcPr>
          <w:p w14:paraId="346C54DB" w14:textId="77777777" w:rsidR="00EE0DB2" w:rsidRPr="00EE0DB2" w:rsidRDefault="00EE0DB2" w:rsidP="00EE0DB2">
            <w:pPr>
              <w:jc w:val="right"/>
              <w:rPr>
                <w:b/>
                <w:bCs/>
                <w:sz w:val="14"/>
                <w:szCs w:val="14"/>
                <w:lang w:eastAsia="tr-TR"/>
              </w:rPr>
            </w:pPr>
          </w:p>
        </w:tc>
        <w:tc>
          <w:tcPr>
            <w:tcW w:w="3236" w:type="dxa"/>
            <w:tcBorders>
              <w:top w:val="nil"/>
              <w:left w:val="single" w:sz="4" w:space="0" w:color="auto"/>
              <w:bottom w:val="nil"/>
              <w:right w:val="single" w:sz="4" w:space="0" w:color="auto"/>
            </w:tcBorders>
            <w:shd w:val="clear" w:color="auto" w:fill="auto"/>
            <w:noWrap/>
            <w:vAlign w:val="center"/>
            <w:hideMark/>
          </w:tcPr>
          <w:p w14:paraId="3B0037B7" w14:textId="77777777" w:rsidR="00EE0DB2" w:rsidRPr="00EE0DB2" w:rsidRDefault="00EE0DB2" w:rsidP="00EE0DB2">
            <w:pPr>
              <w:rPr>
                <w:lang w:eastAsia="tr-TR"/>
              </w:rPr>
            </w:pPr>
          </w:p>
        </w:tc>
        <w:tc>
          <w:tcPr>
            <w:tcW w:w="576" w:type="dxa"/>
            <w:tcBorders>
              <w:top w:val="nil"/>
              <w:left w:val="single" w:sz="4" w:space="0" w:color="auto"/>
              <w:bottom w:val="nil"/>
              <w:right w:val="single" w:sz="4" w:space="0" w:color="auto"/>
            </w:tcBorders>
            <w:shd w:val="clear" w:color="auto" w:fill="auto"/>
            <w:vAlign w:val="center"/>
            <w:hideMark/>
          </w:tcPr>
          <w:p w14:paraId="12663F60" w14:textId="77777777" w:rsidR="00EE0DB2" w:rsidRPr="00EE0DB2" w:rsidRDefault="00EE0DB2" w:rsidP="00EE0DB2">
            <w:pPr>
              <w:rPr>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799FBD2" w14:textId="77777777" w:rsidR="00EE0DB2" w:rsidRPr="00EE0DB2" w:rsidRDefault="00EE0DB2" w:rsidP="00EE0DB2">
            <w:pPr>
              <w:jc w:val="right"/>
              <w:rPr>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695E9F19" w14:textId="77777777" w:rsidR="00EE0DB2" w:rsidRPr="00EE0DB2" w:rsidRDefault="00EE0DB2" w:rsidP="00EE0DB2">
            <w:pPr>
              <w:jc w:val="right"/>
              <w:rPr>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6E0A6D01" w14:textId="77777777" w:rsidR="00EE0DB2" w:rsidRPr="00EE0DB2" w:rsidRDefault="00EE0DB2" w:rsidP="00EE0DB2">
            <w:pPr>
              <w:jc w:val="right"/>
              <w:rPr>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104A0EC" w14:textId="77777777" w:rsidR="00EE0DB2" w:rsidRPr="00EE0DB2" w:rsidRDefault="00EE0DB2" w:rsidP="00EE0DB2">
            <w:pPr>
              <w:jc w:val="right"/>
              <w:rPr>
                <w:sz w:val="14"/>
                <w:szCs w:val="14"/>
                <w:lang w:eastAsia="tr-TR"/>
              </w:rPr>
            </w:pPr>
            <w:r w:rsidRPr="00EE0DB2">
              <w:rPr>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99E4464" w14:textId="77777777" w:rsidR="00EE0DB2" w:rsidRPr="00EE0DB2" w:rsidRDefault="00EE0DB2" w:rsidP="00EE0DB2">
            <w:pPr>
              <w:jc w:val="right"/>
              <w:rPr>
                <w:sz w:val="14"/>
                <w:szCs w:val="14"/>
                <w:lang w:eastAsia="tr-TR"/>
              </w:rPr>
            </w:pPr>
            <w:r w:rsidRPr="00EE0DB2">
              <w:rPr>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7B2952E" w14:textId="77777777" w:rsidR="00EE0DB2" w:rsidRPr="00EE0DB2" w:rsidRDefault="00EE0DB2" w:rsidP="00EE0DB2">
            <w:pPr>
              <w:jc w:val="right"/>
              <w:rPr>
                <w:sz w:val="14"/>
                <w:szCs w:val="14"/>
                <w:lang w:eastAsia="tr-TR"/>
              </w:rPr>
            </w:pPr>
            <w:r w:rsidRPr="00EE0DB2">
              <w:rPr>
                <w:lang w:eastAsia="tr-TR"/>
              </w:rPr>
              <w:t>-</w:t>
            </w:r>
          </w:p>
        </w:tc>
      </w:tr>
      <w:tr w:rsidR="00EE0DB2" w:rsidRPr="00EE0DB2" w14:paraId="4B0A9E13" w14:textId="77777777" w:rsidTr="00EE0DB2">
        <w:trPr>
          <w:divId w:val="713430740"/>
          <w:trHeight w:val="135"/>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89590"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 </w:t>
            </w:r>
          </w:p>
        </w:tc>
        <w:tc>
          <w:tcPr>
            <w:tcW w:w="32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E943F" w14:textId="77777777" w:rsidR="00EE0DB2" w:rsidRPr="00EE0DB2" w:rsidRDefault="00EE0DB2" w:rsidP="00EE0DB2">
            <w:pPr>
              <w:rPr>
                <w:b/>
                <w:bCs/>
                <w:color w:val="000000"/>
                <w:sz w:val="14"/>
                <w:szCs w:val="14"/>
                <w:lang w:eastAsia="tr-TR"/>
              </w:rPr>
            </w:pPr>
            <w:r w:rsidRPr="00EE0DB2">
              <w:rPr>
                <w:b/>
                <w:bCs/>
                <w:color w:val="000000"/>
                <w:sz w:val="14"/>
                <w:szCs w:val="14"/>
                <w:lang w:eastAsia="tr-TR"/>
              </w:rPr>
              <w:t>BİLANÇO DIŞI HESAPLAR TOPLAMI (A+B)</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EA140C" w14:textId="77777777" w:rsidR="00EE0DB2" w:rsidRPr="00EE0DB2" w:rsidRDefault="00EE0DB2" w:rsidP="00EE0DB2">
            <w:pPr>
              <w:jc w:val="right"/>
              <w:rPr>
                <w:b/>
                <w:bCs/>
                <w:sz w:val="14"/>
                <w:szCs w:val="14"/>
                <w:lang w:eastAsia="tr-TR"/>
              </w:rPr>
            </w:pPr>
            <w:r w:rsidRPr="00EE0DB2">
              <w:rPr>
                <w:b/>
                <w:bCs/>
                <w:sz w:val="14"/>
                <w:szCs w:val="14"/>
                <w:lang w:eastAsia="tr-TR"/>
              </w:rPr>
              <w:t> </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FDE10" w14:textId="77777777" w:rsidR="00EE0DB2" w:rsidRPr="00EE0DB2" w:rsidRDefault="00EE0DB2" w:rsidP="00EE0DB2">
            <w:pPr>
              <w:jc w:val="right"/>
              <w:rPr>
                <w:b/>
                <w:bCs/>
                <w:sz w:val="14"/>
                <w:szCs w:val="14"/>
                <w:lang w:eastAsia="tr-TR"/>
              </w:rPr>
            </w:pPr>
            <w:r w:rsidRPr="00EE0DB2">
              <w:rPr>
                <w:b/>
                <w:bCs/>
                <w:sz w:val="14"/>
                <w:szCs w:val="14"/>
                <w:lang w:eastAsia="tr-TR"/>
              </w:rPr>
              <w:t>546,933,059</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C6CD27" w14:textId="77777777" w:rsidR="00EE0DB2" w:rsidRPr="00EE0DB2" w:rsidRDefault="00EE0DB2" w:rsidP="00EE0DB2">
            <w:pPr>
              <w:jc w:val="right"/>
              <w:rPr>
                <w:b/>
                <w:bCs/>
                <w:sz w:val="14"/>
                <w:szCs w:val="14"/>
                <w:lang w:eastAsia="tr-TR"/>
              </w:rPr>
            </w:pPr>
            <w:r w:rsidRPr="00EE0DB2">
              <w:rPr>
                <w:b/>
                <w:bCs/>
                <w:sz w:val="14"/>
                <w:szCs w:val="14"/>
                <w:lang w:eastAsia="tr-TR"/>
              </w:rPr>
              <w:t>289,449,280</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913A1" w14:textId="77777777" w:rsidR="00EE0DB2" w:rsidRPr="00EE0DB2" w:rsidRDefault="00EE0DB2" w:rsidP="00EE0DB2">
            <w:pPr>
              <w:jc w:val="right"/>
              <w:rPr>
                <w:b/>
                <w:bCs/>
                <w:sz w:val="14"/>
                <w:szCs w:val="14"/>
                <w:lang w:eastAsia="tr-TR"/>
              </w:rPr>
            </w:pPr>
            <w:r w:rsidRPr="00EE0DB2">
              <w:rPr>
                <w:b/>
                <w:bCs/>
                <w:sz w:val="14"/>
                <w:szCs w:val="14"/>
                <w:lang w:eastAsia="tr-TR"/>
              </w:rPr>
              <w:t>836,382,339</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2E5BF" w14:textId="77777777" w:rsidR="00EE0DB2" w:rsidRPr="00EE0DB2" w:rsidRDefault="00EE0DB2" w:rsidP="00EE0DB2">
            <w:pPr>
              <w:jc w:val="right"/>
              <w:rPr>
                <w:b/>
                <w:bCs/>
                <w:sz w:val="14"/>
                <w:szCs w:val="14"/>
                <w:lang w:eastAsia="tr-TR"/>
              </w:rPr>
            </w:pPr>
            <w:r w:rsidRPr="00EE0DB2">
              <w:rPr>
                <w:b/>
                <w:bCs/>
                <w:sz w:val="14"/>
                <w:szCs w:val="14"/>
                <w:lang w:eastAsia="tr-TR"/>
              </w:rPr>
              <w:t>448,815,228</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4BD8F" w14:textId="77777777" w:rsidR="00EE0DB2" w:rsidRPr="00EE0DB2" w:rsidRDefault="00EE0DB2" w:rsidP="00EE0DB2">
            <w:pPr>
              <w:jc w:val="right"/>
              <w:rPr>
                <w:b/>
                <w:bCs/>
                <w:sz w:val="14"/>
                <w:szCs w:val="14"/>
                <w:lang w:eastAsia="tr-TR"/>
              </w:rPr>
            </w:pPr>
            <w:r w:rsidRPr="00EE0DB2">
              <w:rPr>
                <w:b/>
                <w:bCs/>
                <w:sz w:val="14"/>
                <w:szCs w:val="14"/>
                <w:lang w:eastAsia="tr-TR"/>
              </w:rPr>
              <w:t>221,920,794</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8E374" w14:textId="77777777" w:rsidR="00EE0DB2" w:rsidRPr="00EE0DB2" w:rsidRDefault="00EE0DB2" w:rsidP="00EE0DB2">
            <w:pPr>
              <w:jc w:val="right"/>
              <w:rPr>
                <w:b/>
                <w:bCs/>
                <w:sz w:val="14"/>
                <w:szCs w:val="14"/>
                <w:lang w:eastAsia="tr-TR"/>
              </w:rPr>
            </w:pPr>
            <w:r w:rsidRPr="00EE0DB2">
              <w:rPr>
                <w:b/>
                <w:bCs/>
                <w:sz w:val="14"/>
                <w:szCs w:val="14"/>
                <w:lang w:eastAsia="tr-TR"/>
              </w:rPr>
              <w:t>670,736,022</w:t>
            </w:r>
          </w:p>
        </w:tc>
      </w:tr>
    </w:tbl>
    <w:p w14:paraId="5E51CD9C" w14:textId="57CCFF16" w:rsidR="002F1C1D" w:rsidRPr="00B0539F" w:rsidRDefault="002F1C1D" w:rsidP="002B3F7E">
      <w:pPr>
        <w:autoSpaceDE w:val="0"/>
        <w:autoSpaceDN w:val="0"/>
        <w:adjustRightInd w:val="0"/>
        <w:ind w:hanging="567"/>
        <w:jc w:val="both"/>
        <w:rPr>
          <w:rFonts w:eastAsia="Arial Unicode MS"/>
          <w:b/>
          <w:sz w:val="22"/>
        </w:rPr>
      </w:pPr>
    </w:p>
    <w:p w14:paraId="55BFE2B7" w14:textId="787A0225" w:rsidR="0087772F" w:rsidRPr="00B0539F" w:rsidRDefault="0087772F" w:rsidP="002B3F7E">
      <w:pPr>
        <w:autoSpaceDE w:val="0"/>
        <w:autoSpaceDN w:val="0"/>
        <w:adjustRightInd w:val="0"/>
        <w:ind w:hanging="567"/>
        <w:jc w:val="both"/>
        <w:rPr>
          <w:rFonts w:eastAsia="Arial Unicode MS"/>
          <w:b/>
          <w:sz w:val="22"/>
        </w:rPr>
      </w:pPr>
    </w:p>
    <w:p w14:paraId="3D69797F" w14:textId="22F89B44" w:rsidR="00573A0C" w:rsidRPr="00B0539F" w:rsidRDefault="00573A0C" w:rsidP="00573A0C">
      <w:pPr>
        <w:tabs>
          <w:tab w:val="left" w:pos="5880"/>
        </w:tabs>
        <w:autoSpaceDE w:val="0"/>
        <w:autoSpaceDN w:val="0"/>
        <w:adjustRightInd w:val="0"/>
        <w:rPr>
          <w:bCs/>
          <w:i/>
          <w:iCs/>
          <w:sz w:val="15"/>
          <w:szCs w:val="15"/>
        </w:rPr>
      </w:pPr>
      <w:r w:rsidRPr="00B0539F">
        <w:rPr>
          <w:bCs/>
          <w:i/>
          <w:iCs/>
          <w:sz w:val="14"/>
          <w:szCs w:val="14"/>
        </w:rPr>
        <w:t xml:space="preserve">                                                                           </w:t>
      </w:r>
      <w:r w:rsidR="00084767" w:rsidRPr="00B0539F">
        <w:rPr>
          <w:bCs/>
          <w:i/>
          <w:iCs/>
          <w:sz w:val="14"/>
          <w:szCs w:val="14"/>
        </w:rPr>
        <w:t>İlişikteki notlar bu finansal tabloların tamamlayıcı parçalarıdır.</w:t>
      </w:r>
    </w:p>
    <w:p w14:paraId="69D113A5" w14:textId="7BD0131C" w:rsidR="002F1C1D" w:rsidRPr="00004514" w:rsidRDefault="006C3524" w:rsidP="0093159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en-GB" w:eastAsia="en-GB"/>
        </w:rPr>
      </w:pPr>
      <w:r w:rsidRPr="00004514">
        <w:rPr>
          <w:rFonts w:eastAsia="Arial Unicode MS"/>
          <w:b/>
          <w:sz w:val="22"/>
        </w:rPr>
        <w:lastRenderedPageBreak/>
        <w:t>3</w:t>
      </w:r>
      <w:r w:rsidR="00F8366B" w:rsidRPr="00004514">
        <w:rPr>
          <w:rFonts w:eastAsia="Arial Unicode MS"/>
          <w:b/>
          <w:sz w:val="22"/>
        </w:rPr>
        <w:t>.</w:t>
      </w:r>
      <w:r w:rsidR="00F8366B" w:rsidRPr="00004514">
        <w:rPr>
          <w:rFonts w:eastAsia="Arial Unicode MS"/>
          <w:b/>
          <w:sz w:val="22"/>
        </w:rPr>
        <w:tab/>
        <w:t xml:space="preserve">GELİR TABLOSU </w:t>
      </w:r>
      <w:r w:rsidR="00421A4B" w:rsidRPr="00004514">
        <w:rPr>
          <w:rFonts w:eastAsia="Arial Unicode MS"/>
          <w:b/>
          <w:sz w:val="22"/>
        </w:rPr>
        <w:t>(KAR VE ZARAR CETVELİ)</w:t>
      </w:r>
    </w:p>
    <w:p w14:paraId="363E014E" w14:textId="0FDF125C" w:rsidR="00CA4676" w:rsidRDefault="00CA4676" w:rsidP="00FA77D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en-GB" w:eastAsia="en-GB"/>
        </w:rPr>
      </w:pPr>
    </w:p>
    <w:tbl>
      <w:tblPr>
        <w:tblW w:w="9776" w:type="dxa"/>
        <w:tblCellMar>
          <w:left w:w="70" w:type="dxa"/>
          <w:right w:w="70" w:type="dxa"/>
        </w:tblCellMar>
        <w:tblLook w:val="04A0" w:firstRow="1" w:lastRow="0" w:firstColumn="1" w:lastColumn="0" w:noHBand="0" w:noVBand="1"/>
      </w:tblPr>
      <w:tblGrid>
        <w:gridCol w:w="567"/>
        <w:gridCol w:w="3606"/>
        <w:gridCol w:w="650"/>
        <w:gridCol w:w="1232"/>
        <w:gridCol w:w="1170"/>
        <w:gridCol w:w="1275"/>
        <w:gridCol w:w="1276"/>
      </w:tblGrid>
      <w:tr w:rsidR="00CA4676" w:rsidRPr="00CA4676" w14:paraId="7E40919D" w14:textId="77777777" w:rsidTr="00717AB5">
        <w:trPr>
          <w:divId w:val="739056798"/>
          <w:trHeight w:val="74"/>
        </w:trPr>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51B61C4" w14:textId="47B6433B" w:rsidR="00CA4676" w:rsidRPr="00CA4676" w:rsidRDefault="00CA4676" w:rsidP="00CA4676">
            <w:pPr>
              <w:jc w:val="center"/>
              <w:rPr>
                <w:color w:val="000000"/>
                <w:lang w:eastAsia="tr-TR"/>
              </w:rPr>
            </w:pPr>
            <w:r w:rsidRPr="00CA4676">
              <w:rPr>
                <w:color w:val="000000"/>
                <w:lang w:eastAsia="tr-TR"/>
              </w:rPr>
              <w:t> </w:t>
            </w:r>
          </w:p>
        </w:tc>
        <w:tc>
          <w:tcPr>
            <w:tcW w:w="3606"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6829C8E" w14:textId="77777777" w:rsidR="00CA4676" w:rsidRPr="00CA4676" w:rsidRDefault="00CA4676" w:rsidP="00CA4676">
            <w:pPr>
              <w:rPr>
                <w:color w:val="000000"/>
                <w:lang w:eastAsia="tr-TR"/>
              </w:rPr>
            </w:pPr>
            <w:r w:rsidRPr="00CA4676">
              <w:rPr>
                <w:color w:val="000000"/>
                <w:lang w:eastAsia="tr-TR"/>
              </w:rPr>
              <w:t> </w:t>
            </w:r>
          </w:p>
        </w:tc>
        <w:tc>
          <w:tcPr>
            <w:tcW w:w="65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4BBCD345" w14:textId="77777777" w:rsidR="00CA4676" w:rsidRPr="00CA4676" w:rsidRDefault="00CA4676" w:rsidP="00CA4676">
            <w:pPr>
              <w:rPr>
                <w:b/>
                <w:bCs/>
                <w:color w:val="000000"/>
                <w:sz w:val="10"/>
                <w:szCs w:val="10"/>
                <w:lang w:eastAsia="tr-TR"/>
              </w:rPr>
            </w:pPr>
            <w:r w:rsidRPr="00CA4676">
              <w:rPr>
                <w:b/>
                <w:bCs/>
                <w:color w:val="000000"/>
                <w:sz w:val="10"/>
                <w:szCs w:val="10"/>
                <w:lang w:val="en-US" w:eastAsia="tr-TR"/>
              </w:rPr>
              <w:t> </w:t>
            </w:r>
          </w:p>
        </w:tc>
        <w:tc>
          <w:tcPr>
            <w:tcW w:w="1232" w:type="dxa"/>
            <w:tcBorders>
              <w:top w:val="single" w:sz="4" w:space="0" w:color="auto"/>
              <w:left w:val="single" w:sz="4" w:space="0" w:color="auto"/>
              <w:bottom w:val="nil"/>
              <w:right w:val="single" w:sz="4" w:space="0" w:color="auto"/>
            </w:tcBorders>
            <w:shd w:val="clear" w:color="auto" w:fill="auto"/>
            <w:noWrap/>
            <w:vAlign w:val="bottom"/>
            <w:hideMark/>
          </w:tcPr>
          <w:p w14:paraId="2601D62F" w14:textId="77777777" w:rsidR="00CA4676" w:rsidRPr="00CA4676" w:rsidRDefault="00CA4676" w:rsidP="00717AB5">
            <w:pPr>
              <w:jc w:val="right"/>
              <w:rPr>
                <w:b/>
                <w:bCs/>
                <w:color w:val="000000"/>
                <w:sz w:val="10"/>
                <w:szCs w:val="10"/>
                <w:lang w:eastAsia="tr-TR"/>
              </w:rPr>
            </w:pPr>
            <w:r w:rsidRPr="00CA4676">
              <w:rPr>
                <w:b/>
                <w:bCs/>
                <w:color w:val="000000"/>
                <w:sz w:val="10"/>
                <w:szCs w:val="14"/>
                <w:lang w:eastAsia="tr-TR"/>
              </w:rPr>
              <w:t>Cari Dönem</w:t>
            </w:r>
          </w:p>
        </w:tc>
        <w:tc>
          <w:tcPr>
            <w:tcW w:w="1170" w:type="dxa"/>
            <w:tcBorders>
              <w:top w:val="single" w:sz="4" w:space="0" w:color="auto"/>
              <w:left w:val="nil"/>
              <w:bottom w:val="nil"/>
              <w:right w:val="single" w:sz="4" w:space="0" w:color="auto"/>
            </w:tcBorders>
            <w:shd w:val="clear" w:color="auto" w:fill="auto"/>
            <w:noWrap/>
            <w:vAlign w:val="bottom"/>
            <w:hideMark/>
          </w:tcPr>
          <w:p w14:paraId="2F8293EE" w14:textId="77777777" w:rsidR="00CA4676" w:rsidRPr="00CA4676" w:rsidRDefault="00CA4676" w:rsidP="00717AB5">
            <w:pPr>
              <w:jc w:val="right"/>
              <w:rPr>
                <w:b/>
                <w:bCs/>
                <w:color w:val="000000"/>
                <w:sz w:val="10"/>
                <w:szCs w:val="10"/>
                <w:lang w:eastAsia="tr-TR"/>
              </w:rPr>
            </w:pPr>
            <w:r w:rsidRPr="00CA4676">
              <w:rPr>
                <w:b/>
                <w:bCs/>
                <w:color w:val="000000"/>
                <w:sz w:val="10"/>
                <w:szCs w:val="10"/>
                <w:lang w:eastAsia="tr-TR"/>
              </w:rPr>
              <w:t>Cari Dönem</w:t>
            </w:r>
          </w:p>
        </w:tc>
        <w:tc>
          <w:tcPr>
            <w:tcW w:w="1275" w:type="dxa"/>
            <w:tcBorders>
              <w:top w:val="single" w:sz="4" w:space="0" w:color="auto"/>
              <w:left w:val="nil"/>
              <w:bottom w:val="nil"/>
              <w:right w:val="single" w:sz="4" w:space="0" w:color="auto"/>
            </w:tcBorders>
            <w:shd w:val="clear" w:color="auto" w:fill="auto"/>
            <w:noWrap/>
            <w:vAlign w:val="bottom"/>
            <w:hideMark/>
          </w:tcPr>
          <w:p w14:paraId="3F71D68C" w14:textId="77777777" w:rsidR="00CA4676" w:rsidRPr="00CA4676" w:rsidRDefault="00CA4676" w:rsidP="00717AB5">
            <w:pPr>
              <w:jc w:val="right"/>
              <w:rPr>
                <w:b/>
                <w:bCs/>
                <w:color w:val="000000"/>
                <w:sz w:val="10"/>
                <w:szCs w:val="10"/>
                <w:lang w:eastAsia="tr-TR"/>
              </w:rPr>
            </w:pPr>
            <w:r w:rsidRPr="00CA4676">
              <w:rPr>
                <w:b/>
                <w:bCs/>
                <w:color w:val="000000"/>
                <w:sz w:val="10"/>
                <w:szCs w:val="10"/>
                <w:lang w:eastAsia="tr-TR"/>
              </w:rPr>
              <w:t>Önceki Dönem</w:t>
            </w:r>
          </w:p>
        </w:tc>
        <w:tc>
          <w:tcPr>
            <w:tcW w:w="1276" w:type="dxa"/>
            <w:tcBorders>
              <w:top w:val="single" w:sz="4" w:space="0" w:color="auto"/>
              <w:left w:val="single" w:sz="4" w:space="0" w:color="auto"/>
              <w:bottom w:val="nil"/>
              <w:right w:val="single" w:sz="4" w:space="0" w:color="auto"/>
            </w:tcBorders>
            <w:shd w:val="clear" w:color="auto" w:fill="auto"/>
            <w:noWrap/>
            <w:vAlign w:val="bottom"/>
            <w:hideMark/>
          </w:tcPr>
          <w:p w14:paraId="0D407E79" w14:textId="77777777" w:rsidR="00CA4676" w:rsidRPr="00CA4676" w:rsidRDefault="00CA4676" w:rsidP="00717AB5">
            <w:pPr>
              <w:jc w:val="right"/>
              <w:rPr>
                <w:b/>
                <w:bCs/>
                <w:color w:val="000000"/>
                <w:sz w:val="10"/>
                <w:szCs w:val="10"/>
                <w:lang w:eastAsia="tr-TR"/>
              </w:rPr>
            </w:pPr>
            <w:r w:rsidRPr="00CA4676">
              <w:rPr>
                <w:b/>
                <w:bCs/>
                <w:color w:val="000000"/>
                <w:sz w:val="10"/>
                <w:szCs w:val="10"/>
                <w:lang w:eastAsia="tr-TR"/>
              </w:rPr>
              <w:t>Önceki Dönem</w:t>
            </w:r>
          </w:p>
        </w:tc>
      </w:tr>
      <w:tr w:rsidR="00CA4676" w:rsidRPr="00CA4676" w14:paraId="55F735BE" w14:textId="77777777" w:rsidTr="00717AB5">
        <w:trPr>
          <w:divId w:val="739056798"/>
          <w:trHeight w:val="74"/>
        </w:trPr>
        <w:tc>
          <w:tcPr>
            <w:tcW w:w="567" w:type="dxa"/>
            <w:vMerge/>
            <w:tcBorders>
              <w:top w:val="single" w:sz="8" w:space="0" w:color="auto"/>
              <w:left w:val="single" w:sz="4" w:space="0" w:color="auto"/>
              <w:bottom w:val="single" w:sz="8" w:space="0" w:color="000000"/>
              <w:right w:val="single" w:sz="4" w:space="0" w:color="auto"/>
            </w:tcBorders>
            <w:vAlign w:val="center"/>
            <w:hideMark/>
          </w:tcPr>
          <w:p w14:paraId="0E1F33F1" w14:textId="77777777" w:rsidR="00CA4676" w:rsidRPr="00CA4676" w:rsidRDefault="00CA4676" w:rsidP="00CA4676">
            <w:pPr>
              <w:rPr>
                <w:color w:val="000000"/>
                <w:lang w:eastAsia="tr-TR"/>
              </w:rPr>
            </w:pPr>
          </w:p>
        </w:tc>
        <w:tc>
          <w:tcPr>
            <w:tcW w:w="3606" w:type="dxa"/>
            <w:vMerge/>
            <w:tcBorders>
              <w:top w:val="single" w:sz="8" w:space="0" w:color="auto"/>
              <w:left w:val="single" w:sz="4" w:space="0" w:color="auto"/>
              <w:bottom w:val="single" w:sz="8" w:space="0" w:color="000000"/>
              <w:right w:val="single" w:sz="4" w:space="0" w:color="auto"/>
            </w:tcBorders>
            <w:vAlign w:val="center"/>
            <w:hideMark/>
          </w:tcPr>
          <w:p w14:paraId="5E185A6C" w14:textId="77777777" w:rsidR="00CA4676" w:rsidRPr="00CA4676" w:rsidRDefault="00CA4676" w:rsidP="00CA4676">
            <w:pPr>
              <w:rPr>
                <w:color w:val="000000"/>
                <w:lang w:eastAsia="tr-TR"/>
              </w:rPr>
            </w:pPr>
          </w:p>
        </w:tc>
        <w:tc>
          <w:tcPr>
            <w:tcW w:w="650" w:type="dxa"/>
            <w:vMerge/>
            <w:tcBorders>
              <w:top w:val="single" w:sz="8" w:space="0" w:color="auto"/>
              <w:left w:val="single" w:sz="4" w:space="0" w:color="auto"/>
              <w:bottom w:val="single" w:sz="8" w:space="0" w:color="000000"/>
              <w:right w:val="single" w:sz="4" w:space="0" w:color="auto"/>
            </w:tcBorders>
            <w:vAlign w:val="center"/>
            <w:hideMark/>
          </w:tcPr>
          <w:p w14:paraId="6751D213" w14:textId="77777777" w:rsidR="00CA4676" w:rsidRPr="00CA4676" w:rsidRDefault="00CA4676" w:rsidP="00CA4676">
            <w:pPr>
              <w:rPr>
                <w:b/>
                <w:bCs/>
                <w:color w:val="000000"/>
                <w:sz w:val="10"/>
                <w:szCs w:val="10"/>
                <w:lang w:eastAsia="tr-TR"/>
              </w:rPr>
            </w:pPr>
          </w:p>
        </w:tc>
        <w:tc>
          <w:tcPr>
            <w:tcW w:w="1232" w:type="dxa"/>
            <w:tcBorders>
              <w:top w:val="nil"/>
              <w:left w:val="single" w:sz="4" w:space="0" w:color="auto"/>
              <w:bottom w:val="nil"/>
              <w:right w:val="single" w:sz="4" w:space="0" w:color="auto"/>
            </w:tcBorders>
            <w:shd w:val="clear" w:color="auto" w:fill="auto"/>
            <w:noWrap/>
            <w:vAlign w:val="bottom"/>
            <w:hideMark/>
          </w:tcPr>
          <w:p w14:paraId="48F511DF" w14:textId="77777777" w:rsidR="00CA4676" w:rsidRPr="00CA4676" w:rsidRDefault="00CA4676" w:rsidP="00717AB5">
            <w:pPr>
              <w:jc w:val="right"/>
              <w:rPr>
                <w:b/>
                <w:bCs/>
                <w:color w:val="000000"/>
                <w:sz w:val="10"/>
                <w:szCs w:val="10"/>
                <w:lang w:eastAsia="tr-TR"/>
              </w:rPr>
            </w:pPr>
            <w:r w:rsidRPr="00CA4676">
              <w:rPr>
                <w:b/>
                <w:bCs/>
                <w:color w:val="000000"/>
                <w:sz w:val="10"/>
                <w:szCs w:val="14"/>
                <w:lang w:eastAsia="tr-TR"/>
              </w:rPr>
              <w:t xml:space="preserve">Bağımsız Sınırlı Denetimden </w:t>
            </w:r>
            <w:r w:rsidRPr="00CA4676">
              <w:rPr>
                <w:b/>
                <w:bCs/>
                <w:color w:val="000000"/>
                <w:sz w:val="10"/>
                <w:szCs w:val="10"/>
                <w:lang w:eastAsia="tr-TR"/>
              </w:rPr>
              <w:t>Geçmiş</w:t>
            </w:r>
          </w:p>
        </w:tc>
        <w:tc>
          <w:tcPr>
            <w:tcW w:w="1170" w:type="dxa"/>
            <w:tcBorders>
              <w:top w:val="nil"/>
              <w:left w:val="nil"/>
              <w:bottom w:val="nil"/>
              <w:right w:val="single" w:sz="4" w:space="0" w:color="auto"/>
            </w:tcBorders>
            <w:shd w:val="clear" w:color="auto" w:fill="auto"/>
            <w:noWrap/>
            <w:vAlign w:val="bottom"/>
            <w:hideMark/>
          </w:tcPr>
          <w:p w14:paraId="7CBB7239" w14:textId="77777777" w:rsidR="00CA4676" w:rsidRPr="00CA4676" w:rsidRDefault="00CA4676" w:rsidP="00717AB5">
            <w:pPr>
              <w:jc w:val="right"/>
              <w:rPr>
                <w:b/>
                <w:bCs/>
                <w:color w:val="000000"/>
                <w:sz w:val="10"/>
                <w:szCs w:val="10"/>
                <w:lang w:eastAsia="tr-TR"/>
              </w:rPr>
            </w:pPr>
            <w:r w:rsidRPr="00CA4676">
              <w:rPr>
                <w:b/>
                <w:bCs/>
                <w:color w:val="000000"/>
                <w:sz w:val="10"/>
                <w:szCs w:val="10"/>
                <w:lang w:eastAsia="tr-TR"/>
              </w:rPr>
              <w:t>Bağımsız Sınırlı Denetimden Geçmiş</w:t>
            </w:r>
          </w:p>
        </w:tc>
        <w:tc>
          <w:tcPr>
            <w:tcW w:w="1275" w:type="dxa"/>
            <w:tcBorders>
              <w:top w:val="nil"/>
              <w:left w:val="nil"/>
              <w:bottom w:val="nil"/>
              <w:right w:val="single" w:sz="4" w:space="0" w:color="auto"/>
            </w:tcBorders>
            <w:shd w:val="clear" w:color="auto" w:fill="auto"/>
            <w:noWrap/>
            <w:vAlign w:val="bottom"/>
            <w:hideMark/>
          </w:tcPr>
          <w:p w14:paraId="3E19E939" w14:textId="77777777" w:rsidR="00CA4676" w:rsidRPr="00CA4676" w:rsidRDefault="00CA4676" w:rsidP="00717AB5">
            <w:pPr>
              <w:jc w:val="right"/>
              <w:rPr>
                <w:b/>
                <w:bCs/>
                <w:color w:val="000000"/>
                <w:sz w:val="10"/>
                <w:szCs w:val="10"/>
                <w:lang w:eastAsia="tr-TR"/>
              </w:rPr>
            </w:pPr>
            <w:r w:rsidRPr="00CA4676">
              <w:rPr>
                <w:b/>
                <w:bCs/>
                <w:color w:val="000000"/>
                <w:sz w:val="10"/>
                <w:szCs w:val="10"/>
                <w:lang w:eastAsia="tr-TR"/>
              </w:rPr>
              <w:t>Bağımsız Sınırlı Denetimden Geçmiş</w:t>
            </w:r>
          </w:p>
        </w:tc>
        <w:tc>
          <w:tcPr>
            <w:tcW w:w="1276" w:type="dxa"/>
            <w:tcBorders>
              <w:top w:val="nil"/>
              <w:left w:val="single" w:sz="4" w:space="0" w:color="auto"/>
              <w:bottom w:val="nil"/>
              <w:right w:val="single" w:sz="4" w:space="0" w:color="auto"/>
            </w:tcBorders>
            <w:shd w:val="clear" w:color="auto" w:fill="auto"/>
            <w:noWrap/>
            <w:vAlign w:val="bottom"/>
            <w:hideMark/>
          </w:tcPr>
          <w:p w14:paraId="0314F492" w14:textId="77777777" w:rsidR="00CA4676" w:rsidRPr="00CA4676" w:rsidRDefault="00CA4676" w:rsidP="00717AB5">
            <w:pPr>
              <w:jc w:val="right"/>
              <w:rPr>
                <w:b/>
                <w:bCs/>
                <w:color w:val="000000"/>
                <w:sz w:val="10"/>
                <w:szCs w:val="10"/>
                <w:lang w:eastAsia="tr-TR"/>
              </w:rPr>
            </w:pPr>
            <w:r w:rsidRPr="00CA4676">
              <w:rPr>
                <w:b/>
                <w:bCs/>
                <w:color w:val="000000"/>
                <w:sz w:val="10"/>
                <w:szCs w:val="10"/>
                <w:lang w:eastAsia="tr-TR"/>
              </w:rPr>
              <w:t>Bağımsız Sınırlı Denetimden Geçmiş</w:t>
            </w:r>
          </w:p>
        </w:tc>
      </w:tr>
      <w:tr w:rsidR="00CA4676" w:rsidRPr="00CA4676" w14:paraId="4FDA388A" w14:textId="77777777" w:rsidTr="00717AB5">
        <w:trPr>
          <w:divId w:val="739056798"/>
          <w:trHeight w:val="74"/>
        </w:trPr>
        <w:tc>
          <w:tcPr>
            <w:tcW w:w="567" w:type="dxa"/>
            <w:vMerge/>
            <w:tcBorders>
              <w:top w:val="single" w:sz="8" w:space="0" w:color="auto"/>
              <w:left w:val="single" w:sz="4" w:space="0" w:color="auto"/>
              <w:bottom w:val="single" w:sz="4" w:space="0" w:color="auto"/>
              <w:right w:val="single" w:sz="4" w:space="0" w:color="auto"/>
            </w:tcBorders>
            <w:vAlign w:val="center"/>
            <w:hideMark/>
          </w:tcPr>
          <w:p w14:paraId="07D5966B" w14:textId="77777777" w:rsidR="00CA4676" w:rsidRPr="00CA4676" w:rsidRDefault="00CA4676" w:rsidP="00CA4676">
            <w:pPr>
              <w:rPr>
                <w:color w:val="000000"/>
                <w:lang w:eastAsia="tr-TR"/>
              </w:rPr>
            </w:pPr>
          </w:p>
        </w:tc>
        <w:tc>
          <w:tcPr>
            <w:tcW w:w="3606" w:type="dxa"/>
            <w:vMerge/>
            <w:tcBorders>
              <w:top w:val="single" w:sz="8" w:space="0" w:color="auto"/>
              <w:left w:val="single" w:sz="4" w:space="0" w:color="auto"/>
              <w:bottom w:val="single" w:sz="4" w:space="0" w:color="auto"/>
              <w:right w:val="single" w:sz="4" w:space="0" w:color="auto"/>
            </w:tcBorders>
            <w:vAlign w:val="center"/>
            <w:hideMark/>
          </w:tcPr>
          <w:p w14:paraId="27F82991" w14:textId="77777777" w:rsidR="00CA4676" w:rsidRPr="00CA4676" w:rsidRDefault="00CA4676" w:rsidP="00CA4676">
            <w:pPr>
              <w:rPr>
                <w:color w:val="000000"/>
                <w:lang w:eastAsia="tr-TR"/>
              </w:rPr>
            </w:pPr>
          </w:p>
        </w:tc>
        <w:tc>
          <w:tcPr>
            <w:tcW w:w="650" w:type="dxa"/>
            <w:vMerge/>
            <w:tcBorders>
              <w:top w:val="single" w:sz="8" w:space="0" w:color="auto"/>
              <w:left w:val="single" w:sz="4" w:space="0" w:color="auto"/>
              <w:bottom w:val="single" w:sz="4" w:space="0" w:color="auto"/>
              <w:right w:val="single" w:sz="4" w:space="0" w:color="auto"/>
            </w:tcBorders>
            <w:vAlign w:val="center"/>
            <w:hideMark/>
          </w:tcPr>
          <w:p w14:paraId="765F56F8" w14:textId="77777777" w:rsidR="00CA4676" w:rsidRPr="00CA4676" w:rsidRDefault="00CA4676" w:rsidP="00CA4676">
            <w:pPr>
              <w:rPr>
                <w:b/>
                <w:bCs/>
                <w:color w:val="000000"/>
                <w:sz w:val="10"/>
                <w:szCs w:val="10"/>
                <w:lang w:eastAsia="tr-TR"/>
              </w:rPr>
            </w:pP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14:paraId="42986A3F" w14:textId="77777777" w:rsidR="00CA4676" w:rsidRPr="00CA4676" w:rsidRDefault="00CA4676" w:rsidP="00717AB5">
            <w:pPr>
              <w:jc w:val="right"/>
              <w:rPr>
                <w:b/>
                <w:bCs/>
                <w:color w:val="000000"/>
                <w:sz w:val="10"/>
                <w:szCs w:val="10"/>
                <w:lang w:eastAsia="tr-TR"/>
              </w:rPr>
            </w:pPr>
            <w:r w:rsidRPr="00CA4676">
              <w:rPr>
                <w:b/>
                <w:bCs/>
                <w:color w:val="000000"/>
                <w:sz w:val="10"/>
                <w:szCs w:val="14"/>
                <w:lang w:eastAsia="tr-TR"/>
              </w:rPr>
              <w:t>01.01.2020-30.09.2020</w:t>
            </w:r>
          </w:p>
        </w:tc>
        <w:tc>
          <w:tcPr>
            <w:tcW w:w="1170" w:type="dxa"/>
            <w:tcBorders>
              <w:top w:val="nil"/>
              <w:left w:val="nil"/>
              <w:bottom w:val="single" w:sz="4" w:space="0" w:color="auto"/>
              <w:right w:val="single" w:sz="4" w:space="0" w:color="auto"/>
            </w:tcBorders>
            <w:shd w:val="clear" w:color="auto" w:fill="auto"/>
            <w:noWrap/>
            <w:vAlign w:val="bottom"/>
            <w:hideMark/>
          </w:tcPr>
          <w:p w14:paraId="6C30B9FE" w14:textId="77777777" w:rsidR="00CA4676" w:rsidRPr="00CA4676" w:rsidRDefault="00CA4676" w:rsidP="00717AB5">
            <w:pPr>
              <w:jc w:val="right"/>
              <w:rPr>
                <w:b/>
                <w:bCs/>
                <w:color w:val="000000"/>
                <w:sz w:val="10"/>
                <w:szCs w:val="10"/>
                <w:lang w:eastAsia="tr-TR"/>
              </w:rPr>
            </w:pPr>
            <w:r w:rsidRPr="00CA4676">
              <w:rPr>
                <w:b/>
                <w:bCs/>
                <w:color w:val="000000"/>
                <w:sz w:val="10"/>
                <w:szCs w:val="10"/>
                <w:lang w:eastAsia="tr-TR"/>
              </w:rPr>
              <w:t>01.07.2020-30.09.2020</w:t>
            </w:r>
          </w:p>
        </w:tc>
        <w:tc>
          <w:tcPr>
            <w:tcW w:w="1275" w:type="dxa"/>
            <w:tcBorders>
              <w:top w:val="nil"/>
              <w:left w:val="nil"/>
              <w:bottom w:val="single" w:sz="4" w:space="0" w:color="auto"/>
              <w:right w:val="single" w:sz="4" w:space="0" w:color="auto"/>
            </w:tcBorders>
            <w:shd w:val="clear" w:color="auto" w:fill="auto"/>
            <w:noWrap/>
            <w:vAlign w:val="bottom"/>
            <w:hideMark/>
          </w:tcPr>
          <w:p w14:paraId="245C2D93" w14:textId="77777777" w:rsidR="00CA4676" w:rsidRPr="00CA4676" w:rsidRDefault="00CA4676" w:rsidP="00717AB5">
            <w:pPr>
              <w:jc w:val="right"/>
              <w:rPr>
                <w:b/>
                <w:bCs/>
                <w:color w:val="000000"/>
                <w:sz w:val="10"/>
                <w:szCs w:val="10"/>
                <w:lang w:eastAsia="tr-TR"/>
              </w:rPr>
            </w:pPr>
            <w:r w:rsidRPr="00CA4676">
              <w:rPr>
                <w:b/>
                <w:bCs/>
                <w:color w:val="000000"/>
                <w:sz w:val="10"/>
                <w:szCs w:val="10"/>
                <w:lang w:eastAsia="tr-TR"/>
              </w:rPr>
              <w:t>01.01.2019-30.09.2019</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7F4D343E" w14:textId="77777777" w:rsidR="00CA4676" w:rsidRPr="00CA4676" w:rsidRDefault="00CA4676" w:rsidP="00717AB5">
            <w:pPr>
              <w:jc w:val="right"/>
              <w:rPr>
                <w:b/>
                <w:bCs/>
                <w:color w:val="000000"/>
                <w:sz w:val="10"/>
                <w:szCs w:val="10"/>
                <w:lang w:eastAsia="tr-TR"/>
              </w:rPr>
            </w:pPr>
            <w:r w:rsidRPr="00CA4676">
              <w:rPr>
                <w:b/>
                <w:bCs/>
                <w:color w:val="000000"/>
                <w:sz w:val="10"/>
                <w:szCs w:val="10"/>
                <w:lang w:eastAsia="tr-TR"/>
              </w:rPr>
              <w:t>01.07.2019-30.09.2019</w:t>
            </w:r>
          </w:p>
        </w:tc>
      </w:tr>
      <w:tr w:rsidR="00CA4676" w:rsidRPr="00CA4676" w14:paraId="7279BE42" w14:textId="77777777" w:rsidTr="00717AB5">
        <w:trPr>
          <w:divId w:val="739056798"/>
          <w:trHeight w:val="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7F674" w14:textId="77777777" w:rsidR="00CA4676" w:rsidRPr="00CA4676" w:rsidRDefault="00CA4676" w:rsidP="00CA4676">
            <w:pPr>
              <w:rPr>
                <w:color w:val="000000"/>
                <w:sz w:val="10"/>
                <w:szCs w:val="10"/>
                <w:lang w:eastAsia="tr-TR"/>
              </w:rPr>
            </w:pPr>
            <w:r w:rsidRPr="00CA4676">
              <w:rPr>
                <w:color w:val="000000"/>
                <w:sz w:val="10"/>
                <w:szCs w:val="12"/>
                <w:lang w:val="en-US" w:eastAsia="tr-TR"/>
              </w:rPr>
              <w:t> </w:t>
            </w:r>
          </w:p>
        </w:tc>
        <w:tc>
          <w:tcPr>
            <w:tcW w:w="3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67E56" w14:textId="77777777" w:rsidR="00CA4676" w:rsidRPr="00CA4676" w:rsidRDefault="00CA4676" w:rsidP="00CA4676">
            <w:pPr>
              <w:rPr>
                <w:color w:val="000000"/>
                <w:sz w:val="10"/>
                <w:szCs w:val="10"/>
                <w:lang w:eastAsia="tr-TR"/>
              </w:rPr>
            </w:pPr>
            <w:r w:rsidRPr="00CA4676">
              <w:rPr>
                <w:color w:val="000000"/>
                <w:sz w:val="10"/>
                <w:szCs w:val="12"/>
                <w:lang w:val="en-US" w:eastAsia="tr-TR"/>
              </w:rPr>
              <w:t>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95395" w14:textId="77777777" w:rsidR="00CA4676" w:rsidRPr="00CA4676" w:rsidRDefault="00CA4676" w:rsidP="00CA4676">
            <w:pPr>
              <w:rPr>
                <w:b/>
                <w:bCs/>
                <w:color w:val="000000"/>
                <w:sz w:val="10"/>
                <w:szCs w:val="10"/>
                <w:lang w:eastAsia="tr-TR"/>
              </w:rPr>
            </w:pPr>
            <w:proofErr w:type="spellStart"/>
            <w:r w:rsidRPr="00CA4676">
              <w:rPr>
                <w:b/>
                <w:bCs/>
                <w:color w:val="000000"/>
                <w:sz w:val="10"/>
                <w:szCs w:val="10"/>
                <w:lang w:val="en-US" w:eastAsia="tr-TR"/>
              </w:rPr>
              <w:t>Dipnot</w:t>
            </w:r>
            <w:proofErr w:type="spellEnd"/>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68374A" w14:textId="77777777" w:rsidR="00CA4676" w:rsidRPr="00CA4676" w:rsidRDefault="00CA4676" w:rsidP="00717AB5">
            <w:pPr>
              <w:jc w:val="right"/>
              <w:rPr>
                <w:b/>
                <w:bCs/>
                <w:color w:val="000000"/>
                <w:sz w:val="10"/>
                <w:szCs w:val="10"/>
                <w:lang w:eastAsia="tr-TR"/>
              </w:rPr>
            </w:pPr>
            <w:r w:rsidRPr="00CA4676">
              <w:rPr>
                <w:b/>
                <w:bCs/>
                <w:color w:val="000000"/>
                <w:sz w:val="10"/>
                <w:szCs w:val="10"/>
                <w:lang w:val="en-US" w:eastAsia="tr-TR"/>
              </w:rPr>
              <w:t> </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14:paraId="1E1DD702" w14:textId="77777777" w:rsidR="00CA4676" w:rsidRPr="00CA4676" w:rsidRDefault="00CA4676" w:rsidP="00717AB5">
            <w:pPr>
              <w:jc w:val="right"/>
              <w:rPr>
                <w:b/>
                <w:bCs/>
                <w:color w:val="000000"/>
                <w:sz w:val="10"/>
                <w:szCs w:val="10"/>
                <w:lang w:eastAsia="tr-TR"/>
              </w:rPr>
            </w:pPr>
            <w:r w:rsidRPr="00CA4676">
              <w:rPr>
                <w:b/>
                <w:bCs/>
                <w:color w:val="000000"/>
                <w:sz w:val="10"/>
                <w:szCs w:val="10"/>
                <w:lang w:eastAsia="tr-TR"/>
              </w:rPr>
              <w:t> </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79CE1DA2" w14:textId="77777777" w:rsidR="00CA4676" w:rsidRPr="00CA4676" w:rsidRDefault="00CA4676" w:rsidP="00717AB5">
            <w:pPr>
              <w:jc w:val="right"/>
              <w:rPr>
                <w:b/>
                <w:bCs/>
                <w:color w:val="000000"/>
                <w:sz w:val="10"/>
                <w:szCs w:val="10"/>
                <w:lang w:eastAsia="tr-TR"/>
              </w:rPr>
            </w:pPr>
            <w:r w:rsidRPr="00CA4676">
              <w:rPr>
                <w:b/>
                <w:bCs/>
                <w:color w:val="000000"/>
                <w:sz w:val="10"/>
                <w:szCs w:val="10"/>
                <w:lang w:eastAsia="tr-TR"/>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53D75B" w14:textId="77777777" w:rsidR="00CA4676" w:rsidRPr="00CA4676" w:rsidRDefault="00CA4676" w:rsidP="00717AB5">
            <w:pPr>
              <w:jc w:val="right"/>
              <w:rPr>
                <w:b/>
                <w:bCs/>
                <w:color w:val="000000"/>
                <w:sz w:val="10"/>
                <w:szCs w:val="10"/>
                <w:lang w:eastAsia="tr-TR"/>
              </w:rPr>
            </w:pPr>
            <w:r w:rsidRPr="00CA4676">
              <w:rPr>
                <w:b/>
                <w:bCs/>
                <w:color w:val="000000"/>
                <w:sz w:val="10"/>
                <w:szCs w:val="10"/>
                <w:lang w:eastAsia="tr-TR"/>
              </w:rPr>
              <w:t> </w:t>
            </w:r>
          </w:p>
        </w:tc>
      </w:tr>
      <w:tr w:rsidR="00CA4676" w:rsidRPr="00CA4676" w14:paraId="2D9361A4" w14:textId="77777777" w:rsidTr="00717AB5">
        <w:trPr>
          <w:divId w:val="739056798"/>
          <w:trHeight w:val="60"/>
        </w:trPr>
        <w:tc>
          <w:tcPr>
            <w:tcW w:w="567" w:type="dxa"/>
            <w:tcBorders>
              <w:top w:val="single" w:sz="4" w:space="0" w:color="auto"/>
              <w:left w:val="single" w:sz="4" w:space="0" w:color="auto"/>
              <w:bottom w:val="nil"/>
              <w:right w:val="single" w:sz="4" w:space="0" w:color="auto"/>
            </w:tcBorders>
            <w:shd w:val="clear" w:color="auto" w:fill="auto"/>
            <w:noWrap/>
            <w:vAlign w:val="center"/>
            <w:hideMark/>
          </w:tcPr>
          <w:p w14:paraId="4384E216"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I.</w:t>
            </w:r>
          </w:p>
        </w:tc>
        <w:tc>
          <w:tcPr>
            <w:tcW w:w="3606" w:type="dxa"/>
            <w:tcBorders>
              <w:top w:val="single" w:sz="4" w:space="0" w:color="auto"/>
              <w:left w:val="single" w:sz="4" w:space="0" w:color="auto"/>
              <w:bottom w:val="nil"/>
              <w:right w:val="single" w:sz="4" w:space="0" w:color="auto"/>
            </w:tcBorders>
            <w:shd w:val="clear" w:color="auto" w:fill="auto"/>
            <w:vAlign w:val="center"/>
            <w:hideMark/>
          </w:tcPr>
          <w:p w14:paraId="5BE2466C"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KÂR PAYI GELİRLERİ</w:t>
            </w:r>
          </w:p>
        </w:tc>
        <w:tc>
          <w:tcPr>
            <w:tcW w:w="650" w:type="dxa"/>
            <w:tcBorders>
              <w:top w:val="single" w:sz="4" w:space="0" w:color="auto"/>
              <w:left w:val="single" w:sz="4" w:space="0" w:color="auto"/>
              <w:bottom w:val="nil"/>
              <w:right w:val="single" w:sz="4" w:space="0" w:color="auto"/>
            </w:tcBorders>
            <w:shd w:val="clear" w:color="auto" w:fill="auto"/>
            <w:noWrap/>
            <w:vAlign w:val="center"/>
            <w:hideMark/>
          </w:tcPr>
          <w:p w14:paraId="12B494AC"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(5.4.1.)</w:t>
            </w:r>
          </w:p>
        </w:tc>
        <w:tc>
          <w:tcPr>
            <w:tcW w:w="1232" w:type="dxa"/>
            <w:tcBorders>
              <w:top w:val="single" w:sz="4" w:space="0" w:color="auto"/>
              <w:left w:val="single" w:sz="4" w:space="0" w:color="auto"/>
              <w:bottom w:val="nil"/>
              <w:right w:val="single" w:sz="4" w:space="0" w:color="auto"/>
            </w:tcBorders>
            <w:shd w:val="clear" w:color="auto" w:fill="auto"/>
            <w:vAlign w:val="bottom"/>
            <w:hideMark/>
          </w:tcPr>
          <w:p w14:paraId="34B8527E" w14:textId="77777777" w:rsidR="00CA4676" w:rsidRPr="00CA4676" w:rsidRDefault="00CA4676" w:rsidP="00717AB5">
            <w:pPr>
              <w:jc w:val="right"/>
              <w:rPr>
                <w:b/>
                <w:bCs/>
                <w:sz w:val="14"/>
                <w:szCs w:val="14"/>
                <w:lang w:eastAsia="tr-TR"/>
              </w:rPr>
            </w:pPr>
            <w:r w:rsidRPr="00CA4676">
              <w:rPr>
                <w:b/>
                <w:bCs/>
                <w:sz w:val="14"/>
                <w:szCs w:val="16"/>
                <w:lang w:eastAsia="tr-TR"/>
              </w:rPr>
              <w:t>6,666,024</w:t>
            </w:r>
          </w:p>
        </w:tc>
        <w:tc>
          <w:tcPr>
            <w:tcW w:w="1170" w:type="dxa"/>
            <w:tcBorders>
              <w:top w:val="single" w:sz="4" w:space="0" w:color="auto"/>
              <w:left w:val="nil"/>
              <w:bottom w:val="nil"/>
              <w:right w:val="single" w:sz="4" w:space="0" w:color="auto"/>
            </w:tcBorders>
            <w:shd w:val="clear" w:color="auto" w:fill="auto"/>
            <w:vAlign w:val="bottom"/>
            <w:hideMark/>
          </w:tcPr>
          <w:p w14:paraId="1E41749B" w14:textId="77777777" w:rsidR="00CA4676" w:rsidRPr="00CA4676" w:rsidRDefault="00CA4676" w:rsidP="00717AB5">
            <w:pPr>
              <w:jc w:val="right"/>
              <w:rPr>
                <w:b/>
                <w:bCs/>
                <w:sz w:val="14"/>
                <w:szCs w:val="14"/>
                <w:lang w:eastAsia="tr-TR"/>
              </w:rPr>
            </w:pPr>
            <w:r w:rsidRPr="00CA4676">
              <w:rPr>
                <w:b/>
                <w:bCs/>
                <w:sz w:val="14"/>
                <w:szCs w:val="14"/>
                <w:lang w:eastAsia="tr-TR"/>
              </w:rPr>
              <w:t>2,607,796</w:t>
            </w:r>
          </w:p>
        </w:tc>
        <w:tc>
          <w:tcPr>
            <w:tcW w:w="1275" w:type="dxa"/>
            <w:tcBorders>
              <w:top w:val="single" w:sz="4" w:space="0" w:color="auto"/>
              <w:left w:val="nil"/>
              <w:bottom w:val="nil"/>
              <w:right w:val="single" w:sz="4" w:space="0" w:color="auto"/>
            </w:tcBorders>
            <w:shd w:val="clear" w:color="auto" w:fill="auto"/>
            <w:vAlign w:val="bottom"/>
            <w:hideMark/>
          </w:tcPr>
          <w:p w14:paraId="50232710" w14:textId="77777777" w:rsidR="00CA4676" w:rsidRPr="00CA4676" w:rsidRDefault="00CA4676" w:rsidP="00717AB5">
            <w:pPr>
              <w:jc w:val="right"/>
              <w:rPr>
                <w:b/>
                <w:bCs/>
                <w:sz w:val="14"/>
                <w:szCs w:val="14"/>
                <w:lang w:eastAsia="tr-TR"/>
              </w:rPr>
            </w:pPr>
            <w:r w:rsidRPr="00CA4676">
              <w:rPr>
                <w:b/>
                <w:bCs/>
                <w:sz w:val="14"/>
                <w:szCs w:val="14"/>
                <w:lang w:eastAsia="tr-TR"/>
              </w:rPr>
              <w:t>5,625,937</w:t>
            </w:r>
          </w:p>
        </w:tc>
        <w:tc>
          <w:tcPr>
            <w:tcW w:w="1276" w:type="dxa"/>
            <w:tcBorders>
              <w:top w:val="single" w:sz="4" w:space="0" w:color="auto"/>
              <w:left w:val="single" w:sz="4" w:space="0" w:color="auto"/>
              <w:bottom w:val="nil"/>
              <w:right w:val="single" w:sz="4" w:space="0" w:color="auto"/>
            </w:tcBorders>
            <w:shd w:val="clear" w:color="auto" w:fill="auto"/>
            <w:vAlign w:val="bottom"/>
            <w:hideMark/>
          </w:tcPr>
          <w:p w14:paraId="6F9E78F6" w14:textId="77777777" w:rsidR="00CA4676" w:rsidRPr="00CA4676" w:rsidRDefault="00CA4676" w:rsidP="00717AB5">
            <w:pPr>
              <w:jc w:val="right"/>
              <w:rPr>
                <w:b/>
                <w:bCs/>
                <w:sz w:val="14"/>
                <w:szCs w:val="14"/>
                <w:lang w:eastAsia="tr-TR"/>
              </w:rPr>
            </w:pPr>
            <w:r w:rsidRPr="00CA4676">
              <w:rPr>
                <w:b/>
                <w:bCs/>
                <w:sz w:val="14"/>
                <w:szCs w:val="14"/>
                <w:lang w:eastAsia="tr-TR"/>
              </w:rPr>
              <w:t>1,956,885</w:t>
            </w:r>
          </w:p>
        </w:tc>
      </w:tr>
      <w:tr w:rsidR="00CA4676" w:rsidRPr="00CA4676" w14:paraId="6E737718"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0A159631" w14:textId="77777777" w:rsidR="00CA4676" w:rsidRPr="00CA4676" w:rsidRDefault="00CA4676" w:rsidP="00CA4676">
            <w:pPr>
              <w:rPr>
                <w:color w:val="000000"/>
                <w:sz w:val="14"/>
                <w:szCs w:val="14"/>
                <w:lang w:eastAsia="tr-TR"/>
              </w:rPr>
            </w:pPr>
            <w:r w:rsidRPr="00CA4676">
              <w:rPr>
                <w:color w:val="000000"/>
                <w:sz w:val="14"/>
                <w:szCs w:val="14"/>
                <w:lang w:val="en-US" w:eastAsia="tr-TR"/>
              </w:rPr>
              <w:t>1.1.</w:t>
            </w:r>
          </w:p>
        </w:tc>
        <w:tc>
          <w:tcPr>
            <w:tcW w:w="3606" w:type="dxa"/>
            <w:tcBorders>
              <w:top w:val="nil"/>
              <w:left w:val="single" w:sz="4" w:space="0" w:color="auto"/>
              <w:bottom w:val="nil"/>
              <w:right w:val="single" w:sz="4" w:space="0" w:color="auto"/>
            </w:tcBorders>
            <w:shd w:val="clear" w:color="auto" w:fill="auto"/>
            <w:vAlign w:val="center"/>
            <w:hideMark/>
          </w:tcPr>
          <w:p w14:paraId="792F7F75"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Kredilerden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Alınan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Kâr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Payları</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2E39AB68"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75719104" w14:textId="77777777" w:rsidR="00CA4676" w:rsidRPr="00CA4676" w:rsidRDefault="00CA4676" w:rsidP="00717AB5">
            <w:pPr>
              <w:jc w:val="right"/>
              <w:rPr>
                <w:sz w:val="14"/>
                <w:szCs w:val="14"/>
                <w:lang w:eastAsia="tr-TR"/>
              </w:rPr>
            </w:pPr>
            <w:r w:rsidRPr="00CA4676">
              <w:rPr>
                <w:sz w:val="14"/>
                <w:szCs w:val="16"/>
                <w:lang w:eastAsia="tr-TR"/>
              </w:rPr>
              <w:t>4,475,304</w:t>
            </w:r>
          </w:p>
        </w:tc>
        <w:tc>
          <w:tcPr>
            <w:tcW w:w="1170" w:type="dxa"/>
            <w:tcBorders>
              <w:top w:val="nil"/>
              <w:left w:val="nil"/>
              <w:bottom w:val="nil"/>
              <w:right w:val="single" w:sz="4" w:space="0" w:color="auto"/>
            </w:tcBorders>
            <w:shd w:val="clear" w:color="auto" w:fill="auto"/>
            <w:vAlign w:val="bottom"/>
            <w:hideMark/>
          </w:tcPr>
          <w:p w14:paraId="20D5374C" w14:textId="77777777" w:rsidR="00CA4676" w:rsidRPr="00CA4676" w:rsidRDefault="00CA4676" w:rsidP="00717AB5">
            <w:pPr>
              <w:jc w:val="right"/>
              <w:rPr>
                <w:sz w:val="14"/>
                <w:szCs w:val="14"/>
                <w:lang w:eastAsia="tr-TR"/>
              </w:rPr>
            </w:pPr>
            <w:r w:rsidRPr="00CA4676">
              <w:rPr>
                <w:sz w:val="14"/>
                <w:szCs w:val="14"/>
                <w:lang w:eastAsia="tr-TR"/>
              </w:rPr>
              <w:t>1,598,310</w:t>
            </w:r>
          </w:p>
        </w:tc>
        <w:tc>
          <w:tcPr>
            <w:tcW w:w="1275" w:type="dxa"/>
            <w:tcBorders>
              <w:top w:val="nil"/>
              <w:left w:val="nil"/>
              <w:bottom w:val="nil"/>
              <w:right w:val="single" w:sz="4" w:space="0" w:color="auto"/>
            </w:tcBorders>
            <w:shd w:val="clear" w:color="auto" w:fill="auto"/>
            <w:vAlign w:val="bottom"/>
            <w:hideMark/>
          </w:tcPr>
          <w:p w14:paraId="2EB7275E" w14:textId="77777777" w:rsidR="00CA4676" w:rsidRPr="00CA4676" w:rsidRDefault="00CA4676" w:rsidP="00717AB5">
            <w:pPr>
              <w:jc w:val="right"/>
              <w:rPr>
                <w:sz w:val="14"/>
                <w:szCs w:val="14"/>
                <w:lang w:eastAsia="tr-TR"/>
              </w:rPr>
            </w:pPr>
            <w:r w:rsidRPr="00CA4676">
              <w:rPr>
                <w:sz w:val="14"/>
                <w:szCs w:val="14"/>
                <w:lang w:eastAsia="tr-TR"/>
              </w:rPr>
              <w:t>4,567,860</w:t>
            </w:r>
          </w:p>
        </w:tc>
        <w:tc>
          <w:tcPr>
            <w:tcW w:w="1276" w:type="dxa"/>
            <w:tcBorders>
              <w:top w:val="nil"/>
              <w:left w:val="single" w:sz="4" w:space="0" w:color="auto"/>
              <w:bottom w:val="nil"/>
              <w:right w:val="single" w:sz="4" w:space="0" w:color="auto"/>
            </w:tcBorders>
            <w:shd w:val="clear" w:color="auto" w:fill="auto"/>
            <w:vAlign w:val="bottom"/>
            <w:hideMark/>
          </w:tcPr>
          <w:p w14:paraId="436E02F0" w14:textId="77777777" w:rsidR="00CA4676" w:rsidRPr="00CA4676" w:rsidRDefault="00CA4676" w:rsidP="00717AB5">
            <w:pPr>
              <w:jc w:val="right"/>
              <w:rPr>
                <w:sz w:val="14"/>
                <w:szCs w:val="14"/>
                <w:lang w:eastAsia="tr-TR"/>
              </w:rPr>
            </w:pPr>
            <w:r w:rsidRPr="00CA4676">
              <w:rPr>
                <w:sz w:val="14"/>
                <w:szCs w:val="14"/>
                <w:lang w:eastAsia="tr-TR"/>
              </w:rPr>
              <w:t>1,559,108</w:t>
            </w:r>
          </w:p>
        </w:tc>
      </w:tr>
      <w:tr w:rsidR="00CA4676" w:rsidRPr="00CA4676" w14:paraId="3FEB559B"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5EACBF9D" w14:textId="77777777" w:rsidR="00CA4676" w:rsidRPr="00CA4676" w:rsidRDefault="00CA4676" w:rsidP="00CA4676">
            <w:pPr>
              <w:rPr>
                <w:color w:val="000000"/>
                <w:sz w:val="14"/>
                <w:szCs w:val="14"/>
                <w:lang w:eastAsia="tr-TR"/>
              </w:rPr>
            </w:pPr>
            <w:r w:rsidRPr="00CA4676">
              <w:rPr>
                <w:color w:val="000000"/>
                <w:sz w:val="14"/>
                <w:szCs w:val="14"/>
                <w:lang w:val="en-US" w:eastAsia="tr-TR"/>
              </w:rPr>
              <w:t>1.2.</w:t>
            </w:r>
          </w:p>
        </w:tc>
        <w:tc>
          <w:tcPr>
            <w:tcW w:w="3606" w:type="dxa"/>
            <w:tcBorders>
              <w:top w:val="nil"/>
              <w:left w:val="single" w:sz="4" w:space="0" w:color="auto"/>
              <w:bottom w:val="nil"/>
              <w:right w:val="single" w:sz="4" w:space="0" w:color="auto"/>
            </w:tcBorders>
            <w:shd w:val="clear" w:color="auto" w:fill="auto"/>
            <w:vAlign w:val="center"/>
            <w:hideMark/>
          </w:tcPr>
          <w:p w14:paraId="243FD975"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Zorunlu</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Karşılıklardan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Alınan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Gelirler</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408614CD"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72D8D842" w14:textId="77777777" w:rsidR="00CA4676" w:rsidRPr="00CA4676" w:rsidRDefault="00CA4676" w:rsidP="00717AB5">
            <w:pPr>
              <w:jc w:val="right"/>
              <w:rPr>
                <w:sz w:val="14"/>
                <w:szCs w:val="14"/>
                <w:lang w:eastAsia="tr-TR"/>
              </w:rPr>
            </w:pPr>
            <w:r w:rsidRPr="00CA4676">
              <w:rPr>
                <w:sz w:val="14"/>
                <w:szCs w:val="16"/>
                <w:lang w:eastAsia="tr-TR"/>
              </w:rPr>
              <w:t>24,703</w:t>
            </w:r>
          </w:p>
        </w:tc>
        <w:tc>
          <w:tcPr>
            <w:tcW w:w="1170" w:type="dxa"/>
            <w:tcBorders>
              <w:top w:val="nil"/>
              <w:left w:val="nil"/>
              <w:bottom w:val="nil"/>
              <w:right w:val="single" w:sz="4" w:space="0" w:color="auto"/>
            </w:tcBorders>
            <w:shd w:val="clear" w:color="auto" w:fill="auto"/>
            <w:vAlign w:val="bottom"/>
            <w:hideMark/>
          </w:tcPr>
          <w:p w14:paraId="03ED4960" w14:textId="77777777" w:rsidR="00CA4676" w:rsidRPr="00CA4676" w:rsidRDefault="00CA4676" w:rsidP="00717AB5">
            <w:pPr>
              <w:jc w:val="right"/>
              <w:rPr>
                <w:sz w:val="14"/>
                <w:szCs w:val="14"/>
                <w:lang w:eastAsia="tr-TR"/>
              </w:rPr>
            </w:pPr>
            <w:r w:rsidRPr="00CA4676">
              <w:rPr>
                <w:sz w:val="14"/>
                <w:szCs w:val="14"/>
                <w:lang w:eastAsia="tr-TR"/>
              </w:rPr>
              <w:t>12,659</w:t>
            </w:r>
          </w:p>
        </w:tc>
        <w:tc>
          <w:tcPr>
            <w:tcW w:w="1275" w:type="dxa"/>
            <w:tcBorders>
              <w:top w:val="nil"/>
              <w:left w:val="nil"/>
              <w:bottom w:val="nil"/>
              <w:right w:val="single" w:sz="4" w:space="0" w:color="auto"/>
            </w:tcBorders>
            <w:shd w:val="clear" w:color="auto" w:fill="auto"/>
            <w:vAlign w:val="bottom"/>
            <w:hideMark/>
          </w:tcPr>
          <w:p w14:paraId="4124A2D8" w14:textId="77777777" w:rsidR="00CA4676" w:rsidRPr="00CA4676" w:rsidRDefault="00CA4676" w:rsidP="00717AB5">
            <w:pPr>
              <w:jc w:val="right"/>
              <w:rPr>
                <w:sz w:val="14"/>
                <w:szCs w:val="14"/>
                <w:lang w:eastAsia="tr-TR"/>
              </w:rPr>
            </w:pPr>
            <w:r w:rsidRPr="00CA4676">
              <w:rPr>
                <w:sz w:val="14"/>
                <w:szCs w:val="14"/>
                <w:lang w:eastAsia="tr-TR"/>
              </w:rPr>
              <w:t>86,478</w:t>
            </w:r>
          </w:p>
        </w:tc>
        <w:tc>
          <w:tcPr>
            <w:tcW w:w="1276" w:type="dxa"/>
            <w:tcBorders>
              <w:top w:val="nil"/>
              <w:left w:val="single" w:sz="4" w:space="0" w:color="auto"/>
              <w:bottom w:val="nil"/>
              <w:right w:val="single" w:sz="4" w:space="0" w:color="auto"/>
            </w:tcBorders>
            <w:shd w:val="clear" w:color="auto" w:fill="auto"/>
            <w:vAlign w:val="bottom"/>
            <w:hideMark/>
          </w:tcPr>
          <w:p w14:paraId="3588106F" w14:textId="77777777" w:rsidR="00CA4676" w:rsidRPr="00CA4676" w:rsidRDefault="00CA4676" w:rsidP="00717AB5">
            <w:pPr>
              <w:jc w:val="right"/>
              <w:rPr>
                <w:sz w:val="14"/>
                <w:szCs w:val="14"/>
                <w:lang w:eastAsia="tr-TR"/>
              </w:rPr>
            </w:pPr>
            <w:r w:rsidRPr="00CA4676">
              <w:rPr>
                <w:sz w:val="14"/>
                <w:szCs w:val="14"/>
                <w:lang w:eastAsia="tr-TR"/>
              </w:rPr>
              <w:t>26,915</w:t>
            </w:r>
          </w:p>
        </w:tc>
      </w:tr>
      <w:tr w:rsidR="00CA4676" w:rsidRPr="00CA4676" w14:paraId="379C355E"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23FE8A3" w14:textId="77777777" w:rsidR="00CA4676" w:rsidRPr="00CA4676" w:rsidRDefault="00CA4676" w:rsidP="00CA4676">
            <w:pPr>
              <w:rPr>
                <w:color w:val="000000"/>
                <w:sz w:val="14"/>
                <w:szCs w:val="14"/>
                <w:lang w:eastAsia="tr-TR"/>
              </w:rPr>
            </w:pPr>
            <w:r w:rsidRPr="00CA4676">
              <w:rPr>
                <w:color w:val="000000"/>
                <w:sz w:val="14"/>
                <w:szCs w:val="14"/>
                <w:lang w:val="en-US" w:eastAsia="tr-TR"/>
              </w:rPr>
              <w:t>1.3.</w:t>
            </w:r>
          </w:p>
        </w:tc>
        <w:tc>
          <w:tcPr>
            <w:tcW w:w="3606" w:type="dxa"/>
            <w:tcBorders>
              <w:top w:val="nil"/>
              <w:left w:val="single" w:sz="4" w:space="0" w:color="auto"/>
              <w:bottom w:val="nil"/>
              <w:right w:val="single" w:sz="4" w:space="0" w:color="auto"/>
            </w:tcBorders>
            <w:shd w:val="clear" w:color="auto" w:fill="auto"/>
            <w:vAlign w:val="center"/>
            <w:hideMark/>
          </w:tcPr>
          <w:p w14:paraId="28CC7A13"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Bankalardan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Alınan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Gelirler</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477401F8"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487C637B" w14:textId="77777777" w:rsidR="00CA4676" w:rsidRPr="00CA4676" w:rsidRDefault="00CA4676" w:rsidP="00717AB5">
            <w:pPr>
              <w:jc w:val="right"/>
              <w:rPr>
                <w:sz w:val="14"/>
                <w:szCs w:val="14"/>
                <w:lang w:eastAsia="tr-TR"/>
              </w:rPr>
            </w:pPr>
            <w:r w:rsidRPr="00CA4676">
              <w:rPr>
                <w:sz w:val="14"/>
                <w:szCs w:val="16"/>
                <w:lang w:eastAsia="tr-TR"/>
              </w:rPr>
              <w:t>92,509</w:t>
            </w:r>
          </w:p>
        </w:tc>
        <w:tc>
          <w:tcPr>
            <w:tcW w:w="1170" w:type="dxa"/>
            <w:tcBorders>
              <w:top w:val="nil"/>
              <w:left w:val="nil"/>
              <w:bottom w:val="nil"/>
              <w:right w:val="single" w:sz="4" w:space="0" w:color="auto"/>
            </w:tcBorders>
            <w:shd w:val="clear" w:color="auto" w:fill="auto"/>
            <w:vAlign w:val="bottom"/>
            <w:hideMark/>
          </w:tcPr>
          <w:p w14:paraId="67013E19" w14:textId="77777777" w:rsidR="00CA4676" w:rsidRPr="00CA4676" w:rsidRDefault="00CA4676" w:rsidP="00717AB5">
            <w:pPr>
              <w:jc w:val="right"/>
              <w:rPr>
                <w:sz w:val="14"/>
                <w:szCs w:val="14"/>
                <w:lang w:eastAsia="tr-TR"/>
              </w:rPr>
            </w:pPr>
            <w:r w:rsidRPr="00CA4676">
              <w:rPr>
                <w:sz w:val="14"/>
                <w:szCs w:val="14"/>
                <w:lang w:eastAsia="tr-TR"/>
              </w:rPr>
              <w:t>6,217</w:t>
            </w:r>
          </w:p>
        </w:tc>
        <w:tc>
          <w:tcPr>
            <w:tcW w:w="1275" w:type="dxa"/>
            <w:tcBorders>
              <w:top w:val="nil"/>
              <w:left w:val="nil"/>
              <w:bottom w:val="nil"/>
              <w:right w:val="single" w:sz="4" w:space="0" w:color="auto"/>
            </w:tcBorders>
            <w:shd w:val="clear" w:color="auto" w:fill="auto"/>
            <w:vAlign w:val="bottom"/>
            <w:hideMark/>
          </w:tcPr>
          <w:p w14:paraId="35B82BCF" w14:textId="77777777" w:rsidR="00CA4676" w:rsidRPr="00CA4676" w:rsidRDefault="00CA4676" w:rsidP="00717AB5">
            <w:pPr>
              <w:jc w:val="right"/>
              <w:rPr>
                <w:sz w:val="14"/>
                <w:szCs w:val="14"/>
                <w:lang w:eastAsia="tr-TR"/>
              </w:rPr>
            </w:pPr>
            <w:r w:rsidRPr="00CA4676">
              <w:rPr>
                <w:sz w:val="14"/>
                <w:szCs w:val="14"/>
                <w:lang w:eastAsia="tr-TR"/>
              </w:rPr>
              <w:t>183,121</w:t>
            </w:r>
          </w:p>
        </w:tc>
        <w:tc>
          <w:tcPr>
            <w:tcW w:w="1276" w:type="dxa"/>
            <w:tcBorders>
              <w:top w:val="nil"/>
              <w:left w:val="single" w:sz="4" w:space="0" w:color="auto"/>
              <w:bottom w:val="nil"/>
              <w:right w:val="single" w:sz="4" w:space="0" w:color="auto"/>
            </w:tcBorders>
            <w:shd w:val="clear" w:color="auto" w:fill="auto"/>
            <w:vAlign w:val="bottom"/>
            <w:hideMark/>
          </w:tcPr>
          <w:p w14:paraId="75757F29" w14:textId="77777777" w:rsidR="00CA4676" w:rsidRPr="00CA4676" w:rsidRDefault="00CA4676" w:rsidP="00717AB5">
            <w:pPr>
              <w:jc w:val="right"/>
              <w:rPr>
                <w:sz w:val="14"/>
                <w:szCs w:val="14"/>
                <w:lang w:eastAsia="tr-TR"/>
              </w:rPr>
            </w:pPr>
            <w:r w:rsidRPr="00CA4676">
              <w:rPr>
                <w:sz w:val="14"/>
                <w:szCs w:val="14"/>
                <w:lang w:eastAsia="tr-TR"/>
              </w:rPr>
              <w:t>67,824</w:t>
            </w:r>
          </w:p>
        </w:tc>
      </w:tr>
      <w:tr w:rsidR="00CA4676" w:rsidRPr="00CA4676" w14:paraId="62D24EFB"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EB81928" w14:textId="77777777" w:rsidR="00CA4676" w:rsidRPr="00CA4676" w:rsidRDefault="00CA4676" w:rsidP="00CA4676">
            <w:pPr>
              <w:rPr>
                <w:color w:val="000000"/>
                <w:sz w:val="14"/>
                <w:szCs w:val="14"/>
                <w:lang w:eastAsia="tr-TR"/>
              </w:rPr>
            </w:pPr>
            <w:r w:rsidRPr="00CA4676">
              <w:rPr>
                <w:color w:val="000000"/>
                <w:sz w:val="14"/>
                <w:szCs w:val="14"/>
                <w:lang w:val="en-US" w:eastAsia="tr-TR"/>
              </w:rPr>
              <w:t>1.4.</w:t>
            </w:r>
          </w:p>
        </w:tc>
        <w:tc>
          <w:tcPr>
            <w:tcW w:w="3606" w:type="dxa"/>
            <w:tcBorders>
              <w:top w:val="nil"/>
              <w:left w:val="single" w:sz="4" w:space="0" w:color="auto"/>
              <w:bottom w:val="nil"/>
              <w:right w:val="single" w:sz="4" w:space="0" w:color="auto"/>
            </w:tcBorders>
            <w:shd w:val="clear" w:color="auto" w:fill="auto"/>
            <w:vAlign w:val="center"/>
            <w:hideMark/>
          </w:tcPr>
          <w:p w14:paraId="77AA14B4" w14:textId="77777777" w:rsidR="00CA4676" w:rsidRPr="00CA4676" w:rsidRDefault="00CA4676" w:rsidP="00CA4676">
            <w:pPr>
              <w:rPr>
                <w:color w:val="000000"/>
                <w:sz w:val="14"/>
                <w:szCs w:val="14"/>
                <w:lang w:eastAsia="tr-TR"/>
              </w:rPr>
            </w:pPr>
            <w:r w:rsidRPr="00CA4676">
              <w:rPr>
                <w:color w:val="000000"/>
                <w:sz w:val="14"/>
                <w:szCs w:val="14"/>
                <w:lang w:val="en-US" w:eastAsia="tr-TR"/>
              </w:rPr>
              <w:t xml:space="preserve">Para </w:t>
            </w:r>
            <w:proofErr w:type="spellStart"/>
            <w:r w:rsidRPr="00CA4676">
              <w:rPr>
                <w:color w:val="000000"/>
                <w:sz w:val="14"/>
                <w:szCs w:val="14"/>
                <w:lang w:val="en-US" w:eastAsia="tr-TR"/>
              </w:rPr>
              <w:t>Piyasası</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İşlemlerinden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Alınan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Gelirler</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52E94349"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59C73823" w14:textId="77777777" w:rsidR="00CA4676" w:rsidRPr="00CA4676" w:rsidRDefault="00CA4676" w:rsidP="00717AB5">
            <w:pPr>
              <w:jc w:val="right"/>
              <w:rPr>
                <w:sz w:val="14"/>
                <w:szCs w:val="14"/>
                <w:lang w:eastAsia="tr-TR"/>
              </w:rPr>
            </w:pPr>
            <w:r w:rsidRPr="00CA4676">
              <w:rPr>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4AC170C7"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7A1068DE"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62940009"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7F1675D3"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392CDABC" w14:textId="77777777" w:rsidR="00CA4676" w:rsidRPr="00CA4676" w:rsidRDefault="00CA4676" w:rsidP="00CA4676">
            <w:pPr>
              <w:rPr>
                <w:color w:val="000000"/>
                <w:sz w:val="14"/>
                <w:szCs w:val="14"/>
                <w:lang w:eastAsia="tr-TR"/>
              </w:rPr>
            </w:pPr>
            <w:r w:rsidRPr="00CA4676">
              <w:rPr>
                <w:color w:val="000000"/>
                <w:sz w:val="14"/>
                <w:szCs w:val="14"/>
                <w:lang w:val="en-US" w:eastAsia="tr-TR"/>
              </w:rPr>
              <w:t>1.5.</w:t>
            </w:r>
          </w:p>
        </w:tc>
        <w:tc>
          <w:tcPr>
            <w:tcW w:w="3606" w:type="dxa"/>
            <w:tcBorders>
              <w:top w:val="nil"/>
              <w:left w:val="single" w:sz="4" w:space="0" w:color="auto"/>
              <w:bottom w:val="nil"/>
              <w:right w:val="single" w:sz="4" w:space="0" w:color="auto"/>
            </w:tcBorders>
            <w:shd w:val="clear" w:color="auto" w:fill="auto"/>
            <w:vAlign w:val="center"/>
            <w:hideMark/>
          </w:tcPr>
          <w:p w14:paraId="08D03930"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Menkul</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Değerlerden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Alınan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Gelirler</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372EA694"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13B941D4" w14:textId="77777777" w:rsidR="00CA4676" w:rsidRPr="00CA4676" w:rsidRDefault="00CA4676" w:rsidP="00717AB5">
            <w:pPr>
              <w:jc w:val="right"/>
              <w:rPr>
                <w:sz w:val="14"/>
                <w:szCs w:val="14"/>
                <w:lang w:eastAsia="tr-TR"/>
              </w:rPr>
            </w:pPr>
            <w:r w:rsidRPr="00CA4676">
              <w:rPr>
                <w:sz w:val="14"/>
                <w:szCs w:val="16"/>
                <w:lang w:eastAsia="tr-TR"/>
              </w:rPr>
              <w:t>1,792,316</w:t>
            </w:r>
          </w:p>
        </w:tc>
        <w:tc>
          <w:tcPr>
            <w:tcW w:w="1170" w:type="dxa"/>
            <w:tcBorders>
              <w:top w:val="nil"/>
              <w:left w:val="nil"/>
              <w:bottom w:val="nil"/>
              <w:right w:val="single" w:sz="4" w:space="0" w:color="auto"/>
            </w:tcBorders>
            <w:shd w:val="clear" w:color="auto" w:fill="auto"/>
            <w:vAlign w:val="bottom"/>
            <w:hideMark/>
          </w:tcPr>
          <w:p w14:paraId="451F0F1F" w14:textId="77777777" w:rsidR="00CA4676" w:rsidRPr="00CA4676" w:rsidRDefault="00CA4676" w:rsidP="00717AB5">
            <w:pPr>
              <w:jc w:val="right"/>
              <w:rPr>
                <w:sz w:val="14"/>
                <w:szCs w:val="14"/>
                <w:lang w:eastAsia="tr-TR"/>
              </w:rPr>
            </w:pPr>
            <w:r w:rsidRPr="00CA4676">
              <w:rPr>
                <w:sz w:val="14"/>
                <w:szCs w:val="14"/>
                <w:lang w:eastAsia="tr-TR"/>
              </w:rPr>
              <w:t>886,346</w:t>
            </w:r>
          </w:p>
        </w:tc>
        <w:tc>
          <w:tcPr>
            <w:tcW w:w="1275" w:type="dxa"/>
            <w:tcBorders>
              <w:top w:val="nil"/>
              <w:left w:val="nil"/>
              <w:bottom w:val="nil"/>
              <w:right w:val="single" w:sz="4" w:space="0" w:color="auto"/>
            </w:tcBorders>
            <w:shd w:val="clear" w:color="auto" w:fill="auto"/>
            <w:vAlign w:val="bottom"/>
            <w:hideMark/>
          </w:tcPr>
          <w:p w14:paraId="5393FF70" w14:textId="77777777" w:rsidR="00CA4676" w:rsidRPr="00CA4676" w:rsidRDefault="00CA4676" w:rsidP="00717AB5">
            <w:pPr>
              <w:jc w:val="right"/>
              <w:rPr>
                <w:sz w:val="14"/>
                <w:szCs w:val="14"/>
                <w:lang w:eastAsia="tr-TR"/>
              </w:rPr>
            </w:pPr>
            <w:r w:rsidRPr="00CA4676">
              <w:rPr>
                <w:sz w:val="14"/>
                <w:szCs w:val="14"/>
                <w:lang w:eastAsia="tr-TR"/>
              </w:rPr>
              <w:t>543,786</w:t>
            </w:r>
          </w:p>
        </w:tc>
        <w:tc>
          <w:tcPr>
            <w:tcW w:w="1276" w:type="dxa"/>
            <w:tcBorders>
              <w:top w:val="nil"/>
              <w:left w:val="single" w:sz="4" w:space="0" w:color="auto"/>
              <w:bottom w:val="nil"/>
              <w:right w:val="single" w:sz="4" w:space="0" w:color="auto"/>
            </w:tcBorders>
            <w:shd w:val="clear" w:color="auto" w:fill="auto"/>
            <w:vAlign w:val="bottom"/>
            <w:hideMark/>
          </w:tcPr>
          <w:p w14:paraId="6FBB4A18" w14:textId="77777777" w:rsidR="00CA4676" w:rsidRPr="00CA4676" w:rsidRDefault="00CA4676" w:rsidP="00717AB5">
            <w:pPr>
              <w:jc w:val="right"/>
              <w:rPr>
                <w:sz w:val="14"/>
                <w:szCs w:val="14"/>
                <w:lang w:eastAsia="tr-TR"/>
              </w:rPr>
            </w:pPr>
            <w:r w:rsidRPr="00CA4676">
              <w:rPr>
                <w:sz w:val="14"/>
                <w:szCs w:val="14"/>
                <w:lang w:eastAsia="tr-TR"/>
              </w:rPr>
              <w:t>220,913</w:t>
            </w:r>
          </w:p>
        </w:tc>
      </w:tr>
      <w:tr w:rsidR="00CA4676" w:rsidRPr="00CA4676" w14:paraId="706895AB"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1BB30A47" w14:textId="77777777" w:rsidR="00CA4676" w:rsidRPr="00CA4676" w:rsidRDefault="00CA4676" w:rsidP="00CA4676">
            <w:pPr>
              <w:rPr>
                <w:color w:val="000000"/>
                <w:sz w:val="14"/>
                <w:szCs w:val="14"/>
                <w:lang w:eastAsia="tr-TR"/>
              </w:rPr>
            </w:pPr>
            <w:r w:rsidRPr="00CA4676">
              <w:rPr>
                <w:color w:val="000000"/>
                <w:sz w:val="14"/>
                <w:szCs w:val="14"/>
                <w:lang w:val="en-US" w:eastAsia="tr-TR"/>
              </w:rPr>
              <w:t>1.5.1.</w:t>
            </w:r>
          </w:p>
        </w:tc>
        <w:tc>
          <w:tcPr>
            <w:tcW w:w="3606" w:type="dxa"/>
            <w:tcBorders>
              <w:top w:val="nil"/>
              <w:left w:val="single" w:sz="4" w:space="0" w:color="auto"/>
              <w:bottom w:val="nil"/>
              <w:right w:val="single" w:sz="4" w:space="0" w:color="auto"/>
            </w:tcBorders>
            <w:shd w:val="clear" w:color="auto" w:fill="auto"/>
            <w:vAlign w:val="center"/>
            <w:hideMark/>
          </w:tcPr>
          <w:p w14:paraId="3E9E0B8D" w14:textId="77777777" w:rsidR="00CA4676" w:rsidRPr="00CA4676" w:rsidRDefault="00CA4676" w:rsidP="00CA4676">
            <w:pPr>
              <w:rPr>
                <w:color w:val="000000"/>
                <w:sz w:val="14"/>
                <w:szCs w:val="14"/>
                <w:lang w:eastAsia="tr-TR"/>
              </w:rPr>
            </w:pPr>
            <w:r w:rsidRPr="00311DAB">
              <w:rPr>
                <w:color w:val="000000"/>
                <w:sz w:val="14"/>
                <w:szCs w:val="14"/>
                <w:lang w:eastAsia="tr-TR"/>
              </w:rPr>
              <w:t>Gerçeğe Uygun Değer Farkı Kar Zarara Yansıtılanlar</w:t>
            </w:r>
          </w:p>
        </w:tc>
        <w:tc>
          <w:tcPr>
            <w:tcW w:w="650" w:type="dxa"/>
            <w:tcBorders>
              <w:top w:val="nil"/>
              <w:left w:val="single" w:sz="4" w:space="0" w:color="auto"/>
              <w:bottom w:val="nil"/>
              <w:right w:val="single" w:sz="4" w:space="0" w:color="auto"/>
            </w:tcBorders>
            <w:shd w:val="clear" w:color="auto" w:fill="auto"/>
            <w:noWrap/>
            <w:vAlign w:val="center"/>
            <w:hideMark/>
          </w:tcPr>
          <w:p w14:paraId="502DFE2F"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0F7D2260" w14:textId="77777777" w:rsidR="00CA4676" w:rsidRPr="00CA4676" w:rsidRDefault="00CA4676" w:rsidP="00717AB5">
            <w:pPr>
              <w:jc w:val="right"/>
              <w:rPr>
                <w:sz w:val="14"/>
                <w:szCs w:val="14"/>
                <w:lang w:eastAsia="tr-TR"/>
              </w:rPr>
            </w:pPr>
            <w:r w:rsidRPr="00CA4676">
              <w:rPr>
                <w:sz w:val="14"/>
                <w:szCs w:val="16"/>
                <w:lang w:eastAsia="tr-TR"/>
              </w:rPr>
              <w:t>237,433</w:t>
            </w:r>
          </w:p>
        </w:tc>
        <w:tc>
          <w:tcPr>
            <w:tcW w:w="1170" w:type="dxa"/>
            <w:tcBorders>
              <w:top w:val="nil"/>
              <w:left w:val="nil"/>
              <w:bottom w:val="nil"/>
              <w:right w:val="single" w:sz="4" w:space="0" w:color="auto"/>
            </w:tcBorders>
            <w:shd w:val="clear" w:color="auto" w:fill="auto"/>
            <w:vAlign w:val="bottom"/>
            <w:hideMark/>
          </w:tcPr>
          <w:p w14:paraId="4E9C736C" w14:textId="77777777" w:rsidR="00CA4676" w:rsidRPr="00CA4676" w:rsidRDefault="00CA4676" w:rsidP="00717AB5">
            <w:pPr>
              <w:jc w:val="right"/>
              <w:rPr>
                <w:sz w:val="14"/>
                <w:szCs w:val="14"/>
                <w:lang w:eastAsia="tr-TR"/>
              </w:rPr>
            </w:pPr>
            <w:r w:rsidRPr="00CA4676">
              <w:rPr>
                <w:sz w:val="14"/>
                <w:szCs w:val="14"/>
                <w:lang w:eastAsia="tr-TR"/>
              </w:rPr>
              <w:t>101,258</w:t>
            </w:r>
          </w:p>
        </w:tc>
        <w:tc>
          <w:tcPr>
            <w:tcW w:w="1275" w:type="dxa"/>
            <w:tcBorders>
              <w:top w:val="nil"/>
              <w:left w:val="nil"/>
              <w:bottom w:val="nil"/>
              <w:right w:val="single" w:sz="4" w:space="0" w:color="auto"/>
            </w:tcBorders>
            <w:shd w:val="clear" w:color="auto" w:fill="auto"/>
            <w:vAlign w:val="bottom"/>
            <w:hideMark/>
          </w:tcPr>
          <w:p w14:paraId="6304D910" w14:textId="77777777" w:rsidR="00CA4676" w:rsidRPr="00CA4676" w:rsidRDefault="00CA4676" w:rsidP="00717AB5">
            <w:pPr>
              <w:jc w:val="right"/>
              <w:rPr>
                <w:sz w:val="14"/>
                <w:szCs w:val="14"/>
                <w:lang w:eastAsia="tr-TR"/>
              </w:rPr>
            </w:pPr>
            <w:r w:rsidRPr="00CA4676">
              <w:rPr>
                <w:sz w:val="14"/>
                <w:szCs w:val="14"/>
                <w:lang w:eastAsia="tr-TR"/>
              </w:rPr>
              <w:t>41,846</w:t>
            </w:r>
          </w:p>
        </w:tc>
        <w:tc>
          <w:tcPr>
            <w:tcW w:w="1276" w:type="dxa"/>
            <w:tcBorders>
              <w:top w:val="nil"/>
              <w:left w:val="single" w:sz="4" w:space="0" w:color="auto"/>
              <w:bottom w:val="nil"/>
              <w:right w:val="single" w:sz="4" w:space="0" w:color="auto"/>
            </w:tcBorders>
            <w:shd w:val="clear" w:color="auto" w:fill="auto"/>
            <w:vAlign w:val="bottom"/>
            <w:hideMark/>
          </w:tcPr>
          <w:p w14:paraId="4C082B0E" w14:textId="77777777" w:rsidR="00CA4676" w:rsidRPr="00CA4676" w:rsidRDefault="00CA4676" w:rsidP="00717AB5">
            <w:pPr>
              <w:jc w:val="right"/>
              <w:rPr>
                <w:sz w:val="14"/>
                <w:szCs w:val="14"/>
                <w:lang w:eastAsia="tr-TR"/>
              </w:rPr>
            </w:pPr>
            <w:r w:rsidRPr="00CA4676">
              <w:rPr>
                <w:sz w:val="14"/>
                <w:szCs w:val="14"/>
                <w:lang w:eastAsia="tr-TR"/>
              </w:rPr>
              <w:t>20,118</w:t>
            </w:r>
          </w:p>
        </w:tc>
      </w:tr>
      <w:tr w:rsidR="00CA4676" w:rsidRPr="00CA4676" w14:paraId="53DEA746"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742BC4D" w14:textId="77777777" w:rsidR="00CA4676" w:rsidRPr="00CA4676" w:rsidRDefault="00CA4676" w:rsidP="00CA4676">
            <w:pPr>
              <w:rPr>
                <w:color w:val="000000"/>
                <w:sz w:val="14"/>
                <w:szCs w:val="14"/>
                <w:lang w:eastAsia="tr-TR"/>
              </w:rPr>
            </w:pPr>
            <w:r w:rsidRPr="00CA4676">
              <w:rPr>
                <w:color w:val="000000"/>
                <w:sz w:val="14"/>
                <w:szCs w:val="14"/>
                <w:lang w:val="en-US" w:eastAsia="tr-TR"/>
              </w:rPr>
              <w:t>1.5.2.</w:t>
            </w:r>
          </w:p>
        </w:tc>
        <w:tc>
          <w:tcPr>
            <w:tcW w:w="3606" w:type="dxa"/>
            <w:tcBorders>
              <w:top w:val="nil"/>
              <w:left w:val="single" w:sz="4" w:space="0" w:color="auto"/>
              <w:bottom w:val="nil"/>
              <w:right w:val="single" w:sz="4" w:space="0" w:color="auto"/>
            </w:tcBorders>
            <w:shd w:val="clear" w:color="auto" w:fill="auto"/>
            <w:vAlign w:val="center"/>
            <w:hideMark/>
          </w:tcPr>
          <w:p w14:paraId="563EC77D" w14:textId="77777777" w:rsidR="00CA4676" w:rsidRPr="00CA4676" w:rsidRDefault="00CA4676" w:rsidP="00CA4676">
            <w:pPr>
              <w:rPr>
                <w:color w:val="000000"/>
                <w:sz w:val="14"/>
                <w:szCs w:val="14"/>
                <w:lang w:eastAsia="tr-TR"/>
              </w:rPr>
            </w:pPr>
            <w:r w:rsidRPr="00311DAB">
              <w:rPr>
                <w:color w:val="000000"/>
                <w:sz w:val="14"/>
                <w:szCs w:val="14"/>
                <w:lang w:eastAsia="tr-TR"/>
              </w:rPr>
              <w:t>Gerçeğe Uygun Değer Farkı Diğer Kapsamlı Gelire Yansıtılanlar</w:t>
            </w:r>
          </w:p>
        </w:tc>
        <w:tc>
          <w:tcPr>
            <w:tcW w:w="650" w:type="dxa"/>
            <w:tcBorders>
              <w:top w:val="nil"/>
              <w:left w:val="single" w:sz="4" w:space="0" w:color="auto"/>
              <w:bottom w:val="nil"/>
              <w:right w:val="single" w:sz="4" w:space="0" w:color="auto"/>
            </w:tcBorders>
            <w:shd w:val="clear" w:color="auto" w:fill="auto"/>
            <w:noWrap/>
            <w:vAlign w:val="center"/>
            <w:hideMark/>
          </w:tcPr>
          <w:p w14:paraId="4177E771"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2FF6BC82" w14:textId="77777777" w:rsidR="00CA4676" w:rsidRPr="00CA4676" w:rsidRDefault="00CA4676" w:rsidP="00717AB5">
            <w:pPr>
              <w:jc w:val="right"/>
              <w:rPr>
                <w:sz w:val="14"/>
                <w:szCs w:val="14"/>
                <w:lang w:eastAsia="tr-TR"/>
              </w:rPr>
            </w:pPr>
            <w:r w:rsidRPr="00CA4676">
              <w:rPr>
                <w:sz w:val="14"/>
                <w:szCs w:val="16"/>
                <w:lang w:eastAsia="tr-TR"/>
              </w:rPr>
              <w:t>1,430,713</w:t>
            </w:r>
          </w:p>
        </w:tc>
        <w:tc>
          <w:tcPr>
            <w:tcW w:w="1170" w:type="dxa"/>
            <w:tcBorders>
              <w:top w:val="nil"/>
              <w:left w:val="nil"/>
              <w:bottom w:val="nil"/>
              <w:right w:val="single" w:sz="4" w:space="0" w:color="auto"/>
            </w:tcBorders>
            <w:shd w:val="clear" w:color="auto" w:fill="auto"/>
            <w:vAlign w:val="bottom"/>
            <w:hideMark/>
          </w:tcPr>
          <w:p w14:paraId="27AA94A1" w14:textId="77777777" w:rsidR="00CA4676" w:rsidRPr="00CA4676" w:rsidRDefault="00CA4676" w:rsidP="00717AB5">
            <w:pPr>
              <w:jc w:val="right"/>
              <w:rPr>
                <w:sz w:val="14"/>
                <w:szCs w:val="14"/>
                <w:lang w:eastAsia="tr-TR"/>
              </w:rPr>
            </w:pPr>
            <w:r w:rsidRPr="00CA4676">
              <w:rPr>
                <w:sz w:val="14"/>
                <w:szCs w:val="14"/>
                <w:lang w:eastAsia="tr-TR"/>
              </w:rPr>
              <w:t>732,401</w:t>
            </w:r>
          </w:p>
        </w:tc>
        <w:tc>
          <w:tcPr>
            <w:tcW w:w="1275" w:type="dxa"/>
            <w:tcBorders>
              <w:top w:val="nil"/>
              <w:left w:val="nil"/>
              <w:bottom w:val="nil"/>
              <w:right w:val="single" w:sz="4" w:space="0" w:color="auto"/>
            </w:tcBorders>
            <w:shd w:val="clear" w:color="auto" w:fill="auto"/>
            <w:vAlign w:val="bottom"/>
            <w:hideMark/>
          </w:tcPr>
          <w:p w14:paraId="5614B051" w14:textId="77777777" w:rsidR="00CA4676" w:rsidRPr="00CA4676" w:rsidRDefault="00CA4676" w:rsidP="00717AB5">
            <w:pPr>
              <w:jc w:val="right"/>
              <w:rPr>
                <w:sz w:val="14"/>
                <w:szCs w:val="14"/>
                <w:lang w:eastAsia="tr-TR"/>
              </w:rPr>
            </w:pPr>
            <w:r w:rsidRPr="00CA4676">
              <w:rPr>
                <w:sz w:val="14"/>
                <w:szCs w:val="14"/>
                <w:lang w:eastAsia="tr-TR"/>
              </w:rPr>
              <w:t>447,314</w:t>
            </w:r>
          </w:p>
        </w:tc>
        <w:tc>
          <w:tcPr>
            <w:tcW w:w="1276" w:type="dxa"/>
            <w:tcBorders>
              <w:top w:val="nil"/>
              <w:left w:val="single" w:sz="4" w:space="0" w:color="auto"/>
              <w:bottom w:val="nil"/>
              <w:right w:val="single" w:sz="4" w:space="0" w:color="auto"/>
            </w:tcBorders>
            <w:shd w:val="clear" w:color="auto" w:fill="auto"/>
            <w:vAlign w:val="bottom"/>
            <w:hideMark/>
          </w:tcPr>
          <w:p w14:paraId="72BCE65E" w14:textId="77777777" w:rsidR="00CA4676" w:rsidRPr="00CA4676" w:rsidRDefault="00CA4676" w:rsidP="00717AB5">
            <w:pPr>
              <w:jc w:val="right"/>
              <w:rPr>
                <w:sz w:val="14"/>
                <w:szCs w:val="14"/>
                <w:lang w:eastAsia="tr-TR"/>
              </w:rPr>
            </w:pPr>
            <w:r w:rsidRPr="00CA4676">
              <w:rPr>
                <w:sz w:val="14"/>
                <w:szCs w:val="14"/>
                <w:lang w:eastAsia="tr-TR"/>
              </w:rPr>
              <w:t>180,542</w:t>
            </w:r>
          </w:p>
        </w:tc>
      </w:tr>
      <w:tr w:rsidR="00CA4676" w:rsidRPr="00CA4676" w14:paraId="5D4C6CFC"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1FC3FD7A" w14:textId="77777777" w:rsidR="00CA4676" w:rsidRPr="00CA4676" w:rsidRDefault="00CA4676" w:rsidP="00CA4676">
            <w:pPr>
              <w:rPr>
                <w:color w:val="000000"/>
                <w:sz w:val="14"/>
                <w:szCs w:val="14"/>
                <w:lang w:eastAsia="tr-TR"/>
              </w:rPr>
            </w:pPr>
            <w:r w:rsidRPr="00CA4676">
              <w:rPr>
                <w:color w:val="000000"/>
                <w:sz w:val="14"/>
                <w:szCs w:val="14"/>
                <w:lang w:val="en-US" w:eastAsia="tr-TR"/>
              </w:rPr>
              <w:t>1.5.3.</w:t>
            </w:r>
          </w:p>
        </w:tc>
        <w:tc>
          <w:tcPr>
            <w:tcW w:w="3606" w:type="dxa"/>
            <w:tcBorders>
              <w:top w:val="nil"/>
              <w:left w:val="single" w:sz="4" w:space="0" w:color="auto"/>
              <w:bottom w:val="nil"/>
              <w:right w:val="single" w:sz="4" w:space="0" w:color="auto"/>
            </w:tcBorders>
            <w:shd w:val="clear" w:color="auto" w:fill="auto"/>
            <w:vAlign w:val="center"/>
            <w:hideMark/>
          </w:tcPr>
          <w:p w14:paraId="3CDFEB04" w14:textId="77777777" w:rsidR="00CA4676" w:rsidRPr="00CA4676" w:rsidRDefault="00CA4676" w:rsidP="00CA4676">
            <w:pPr>
              <w:rPr>
                <w:color w:val="000000"/>
                <w:sz w:val="14"/>
                <w:szCs w:val="14"/>
                <w:lang w:eastAsia="tr-TR"/>
              </w:rPr>
            </w:pPr>
            <w:r w:rsidRPr="00311DAB">
              <w:rPr>
                <w:color w:val="000000"/>
                <w:sz w:val="14"/>
                <w:szCs w:val="14"/>
                <w:lang w:eastAsia="tr-TR"/>
              </w:rPr>
              <w:t>İtfa Edilmiş Maliyeti İle Ölçülenler</w:t>
            </w:r>
          </w:p>
        </w:tc>
        <w:tc>
          <w:tcPr>
            <w:tcW w:w="650" w:type="dxa"/>
            <w:tcBorders>
              <w:top w:val="nil"/>
              <w:left w:val="single" w:sz="4" w:space="0" w:color="auto"/>
              <w:bottom w:val="nil"/>
              <w:right w:val="single" w:sz="4" w:space="0" w:color="auto"/>
            </w:tcBorders>
            <w:shd w:val="clear" w:color="auto" w:fill="auto"/>
            <w:noWrap/>
            <w:vAlign w:val="center"/>
            <w:hideMark/>
          </w:tcPr>
          <w:p w14:paraId="7547CD0B"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5E9221F8" w14:textId="77777777" w:rsidR="00CA4676" w:rsidRPr="00CA4676" w:rsidRDefault="00CA4676" w:rsidP="00717AB5">
            <w:pPr>
              <w:jc w:val="right"/>
              <w:rPr>
                <w:sz w:val="14"/>
                <w:szCs w:val="14"/>
                <w:lang w:eastAsia="tr-TR"/>
              </w:rPr>
            </w:pPr>
            <w:r w:rsidRPr="00CA4676">
              <w:rPr>
                <w:sz w:val="14"/>
                <w:szCs w:val="16"/>
                <w:lang w:eastAsia="tr-TR"/>
              </w:rPr>
              <w:t>124,170</w:t>
            </w:r>
          </w:p>
        </w:tc>
        <w:tc>
          <w:tcPr>
            <w:tcW w:w="1170" w:type="dxa"/>
            <w:tcBorders>
              <w:top w:val="nil"/>
              <w:left w:val="nil"/>
              <w:bottom w:val="nil"/>
              <w:right w:val="single" w:sz="4" w:space="0" w:color="auto"/>
            </w:tcBorders>
            <w:shd w:val="clear" w:color="auto" w:fill="auto"/>
            <w:vAlign w:val="bottom"/>
            <w:hideMark/>
          </w:tcPr>
          <w:p w14:paraId="272E146A" w14:textId="77777777" w:rsidR="00CA4676" w:rsidRPr="00CA4676" w:rsidRDefault="00CA4676" w:rsidP="00717AB5">
            <w:pPr>
              <w:jc w:val="right"/>
              <w:rPr>
                <w:sz w:val="14"/>
                <w:szCs w:val="14"/>
                <w:lang w:eastAsia="tr-TR"/>
              </w:rPr>
            </w:pPr>
            <w:r w:rsidRPr="00CA4676">
              <w:rPr>
                <w:sz w:val="14"/>
                <w:szCs w:val="14"/>
                <w:lang w:eastAsia="tr-TR"/>
              </w:rPr>
              <w:t>52,687</w:t>
            </w:r>
          </w:p>
        </w:tc>
        <w:tc>
          <w:tcPr>
            <w:tcW w:w="1275" w:type="dxa"/>
            <w:tcBorders>
              <w:top w:val="nil"/>
              <w:left w:val="nil"/>
              <w:bottom w:val="nil"/>
              <w:right w:val="single" w:sz="4" w:space="0" w:color="auto"/>
            </w:tcBorders>
            <w:shd w:val="clear" w:color="auto" w:fill="auto"/>
            <w:vAlign w:val="bottom"/>
            <w:hideMark/>
          </w:tcPr>
          <w:p w14:paraId="2DD200DF" w14:textId="77777777" w:rsidR="00CA4676" w:rsidRPr="00CA4676" w:rsidRDefault="00CA4676" w:rsidP="00717AB5">
            <w:pPr>
              <w:jc w:val="right"/>
              <w:rPr>
                <w:sz w:val="14"/>
                <w:szCs w:val="14"/>
                <w:lang w:eastAsia="tr-TR"/>
              </w:rPr>
            </w:pPr>
            <w:r w:rsidRPr="00CA4676">
              <w:rPr>
                <w:sz w:val="14"/>
                <w:szCs w:val="14"/>
                <w:lang w:eastAsia="tr-TR"/>
              </w:rPr>
              <w:t>54,626</w:t>
            </w:r>
          </w:p>
        </w:tc>
        <w:tc>
          <w:tcPr>
            <w:tcW w:w="1276" w:type="dxa"/>
            <w:tcBorders>
              <w:top w:val="nil"/>
              <w:left w:val="single" w:sz="4" w:space="0" w:color="auto"/>
              <w:bottom w:val="nil"/>
              <w:right w:val="single" w:sz="4" w:space="0" w:color="auto"/>
            </w:tcBorders>
            <w:shd w:val="clear" w:color="auto" w:fill="auto"/>
            <w:vAlign w:val="bottom"/>
            <w:hideMark/>
          </w:tcPr>
          <w:p w14:paraId="6C784719" w14:textId="77777777" w:rsidR="00CA4676" w:rsidRPr="00CA4676" w:rsidRDefault="00CA4676" w:rsidP="00717AB5">
            <w:pPr>
              <w:jc w:val="right"/>
              <w:rPr>
                <w:sz w:val="14"/>
                <w:szCs w:val="14"/>
                <w:lang w:eastAsia="tr-TR"/>
              </w:rPr>
            </w:pPr>
            <w:r w:rsidRPr="00CA4676">
              <w:rPr>
                <w:sz w:val="14"/>
                <w:szCs w:val="14"/>
                <w:lang w:eastAsia="tr-TR"/>
              </w:rPr>
              <w:t>20,253</w:t>
            </w:r>
          </w:p>
        </w:tc>
      </w:tr>
      <w:tr w:rsidR="00CA4676" w:rsidRPr="00CA4676" w14:paraId="64595975"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57FDF6C2" w14:textId="77777777" w:rsidR="00CA4676" w:rsidRPr="00CA4676" w:rsidRDefault="00CA4676" w:rsidP="00CA4676">
            <w:pPr>
              <w:rPr>
                <w:color w:val="000000"/>
                <w:sz w:val="14"/>
                <w:szCs w:val="14"/>
                <w:lang w:eastAsia="tr-TR"/>
              </w:rPr>
            </w:pPr>
            <w:r w:rsidRPr="00CA4676">
              <w:rPr>
                <w:color w:val="000000"/>
                <w:sz w:val="14"/>
                <w:szCs w:val="14"/>
                <w:lang w:val="en-US" w:eastAsia="tr-TR"/>
              </w:rPr>
              <w:t>1.6.</w:t>
            </w:r>
          </w:p>
        </w:tc>
        <w:tc>
          <w:tcPr>
            <w:tcW w:w="3606" w:type="dxa"/>
            <w:tcBorders>
              <w:top w:val="nil"/>
              <w:left w:val="single" w:sz="4" w:space="0" w:color="auto"/>
              <w:bottom w:val="nil"/>
              <w:right w:val="single" w:sz="4" w:space="0" w:color="auto"/>
            </w:tcBorders>
            <w:shd w:val="clear" w:color="auto" w:fill="auto"/>
            <w:vAlign w:val="center"/>
            <w:hideMark/>
          </w:tcPr>
          <w:p w14:paraId="44F049F1" w14:textId="77777777" w:rsidR="00CA4676" w:rsidRPr="00CA4676" w:rsidRDefault="00CA4676" w:rsidP="00CA4676">
            <w:pPr>
              <w:rPr>
                <w:color w:val="000000"/>
                <w:sz w:val="14"/>
                <w:szCs w:val="14"/>
                <w:lang w:eastAsia="tr-TR"/>
              </w:rPr>
            </w:pPr>
            <w:r w:rsidRPr="00CA4676">
              <w:rPr>
                <w:color w:val="000000"/>
                <w:sz w:val="14"/>
                <w:szCs w:val="14"/>
                <w:lang w:val="en-US" w:eastAsia="tr-TR"/>
              </w:rPr>
              <w:t xml:space="preserve">Finansal </w:t>
            </w:r>
            <w:proofErr w:type="spellStart"/>
            <w:r w:rsidRPr="00CA4676">
              <w:rPr>
                <w:color w:val="000000"/>
                <w:sz w:val="14"/>
                <w:szCs w:val="14"/>
                <w:lang w:val="en-US" w:eastAsia="tr-TR"/>
              </w:rPr>
              <w:t>Kiralama</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Gelirleri</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515177BE"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3D6BA205" w14:textId="77777777" w:rsidR="00CA4676" w:rsidRPr="00CA4676" w:rsidRDefault="00CA4676" w:rsidP="00717AB5">
            <w:pPr>
              <w:jc w:val="right"/>
              <w:rPr>
                <w:sz w:val="14"/>
                <w:szCs w:val="14"/>
                <w:lang w:eastAsia="tr-TR"/>
              </w:rPr>
            </w:pPr>
            <w:r w:rsidRPr="00CA4676">
              <w:rPr>
                <w:sz w:val="14"/>
                <w:szCs w:val="16"/>
                <w:lang w:eastAsia="tr-TR"/>
              </w:rPr>
              <w:t>244,690</w:t>
            </w:r>
          </w:p>
        </w:tc>
        <w:tc>
          <w:tcPr>
            <w:tcW w:w="1170" w:type="dxa"/>
            <w:tcBorders>
              <w:top w:val="nil"/>
              <w:left w:val="nil"/>
              <w:bottom w:val="nil"/>
              <w:right w:val="single" w:sz="4" w:space="0" w:color="auto"/>
            </w:tcBorders>
            <w:shd w:val="clear" w:color="auto" w:fill="auto"/>
            <w:vAlign w:val="bottom"/>
            <w:hideMark/>
          </w:tcPr>
          <w:p w14:paraId="6533662B" w14:textId="77777777" w:rsidR="00CA4676" w:rsidRPr="00CA4676" w:rsidRDefault="00CA4676" w:rsidP="00717AB5">
            <w:pPr>
              <w:jc w:val="right"/>
              <w:rPr>
                <w:sz w:val="14"/>
                <w:szCs w:val="14"/>
                <w:lang w:eastAsia="tr-TR"/>
              </w:rPr>
            </w:pPr>
            <w:r w:rsidRPr="00CA4676">
              <w:rPr>
                <w:sz w:val="14"/>
                <w:szCs w:val="14"/>
                <w:lang w:eastAsia="tr-TR"/>
              </w:rPr>
              <w:t>93,015</w:t>
            </w:r>
          </w:p>
        </w:tc>
        <w:tc>
          <w:tcPr>
            <w:tcW w:w="1275" w:type="dxa"/>
            <w:tcBorders>
              <w:top w:val="nil"/>
              <w:left w:val="nil"/>
              <w:bottom w:val="nil"/>
              <w:right w:val="single" w:sz="4" w:space="0" w:color="auto"/>
            </w:tcBorders>
            <w:shd w:val="clear" w:color="auto" w:fill="auto"/>
            <w:vAlign w:val="bottom"/>
            <w:hideMark/>
          </w:tcPr>
          <w:p w14:paraId="7FE35CFA" w14:textId="77777777" w:rsidR="00CA4676" w:rsidRPr="00CA4676" w:rsidRDefault="00CA4676" w:rsidP="00717AB5">
            <w:pPr>
              <w:jc w:val="right"/>
              <w:rPr>
                <w:sz w:val="14"/>
                <w:szCs w:val="14"/>
                <w:lang w:eastAsia="tr-TR"/>
              </w:rPr>
            </w:pPr>
            <w:r w:rsidRPr="00CA4676">
              <w:rPr>
                <w:sz w:val="14"/>
                <w:szCs w:val="14"/>
                <w:lang w:eastAsia="tr-TR"/>
              </w:rPr>
              <w:t>190,980</w:t>
            </w:r>
          </w:p>
        </w:tc>
        <w:tc>
          <w:tcPr>
            <w:tcW w:w="1276" w:type="dxa"/>
            <w:tcBorders>
              <w:top w:val="nil"/>
              <w:left w:val="single" w:sz="4" w:space="0" w:color="auto"/>
              <w:bottom w:val="nil"/>
              <w:right w:val="single" w:sz="4" w:space="0" w:color="auto"/>
            </w:tcBorders>
            <w:shd w:val="clear" w:color="auto" w:fill="auto"/>
            <w:vAlign w:val="bottom"/>
            <w:hideMark/>
          </w:tcPr>
          <w:p w14:paraId="5072EF76" w14:textId="77777777" w:rsidR="00CA4676" w:rsidRPr="00CA4676" w:rsidRDefault="00CA4676" w:rsidP="00717AB5">
            <w:pPr>
              <w:jc w:val="right"/>
              <w:rPr>
                <w:sz w:val="14"/>
                <w:szCs w:val="14"/>
                <w:lang w:eastAsia="tr-TR"/>
              </w:rPr>
            </w:pPr>
            <w:r w:rsidRPr="00CA4676">
              <w:rPr>
                <w:sz w:val="14"/>
                <w:szCs w:val="14"/>
                <w:lang w:eastAsia="tr-TR"/>
              </w:rPr>
              <w:t>63,182</w:t>
            </w:r>
          </w:p>
        </w:tc>
      </w:tr>
      <w:tr w:rsidR="00CA4676" w:rsidRPr="00CA4676" w14:paraId="61A83B52"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52C9C44E" w14:textId="77777777" w:rsidR="00CA4676" w:rsidRPr="00CA4676" w:rsidRDefault="00CA4676" w:rsidP="00CA4676">
            <w:pPr>
              <w:rPr>
                <w:color w:val="000000"/>
                <w:sz w:val="14"/>
                <w:szCs w:val="14"/>
                <w:lang w:eastAsia="tr-TR"/>
              </w:rPr>
            </w:pPr>
            <w:r w:rsidRPr="00CA4676">
              <w:rPr>
                <w:color w:val="000000"/>
                <w:sz w:val="14"/>
                <w:szCs w:val="14"/>
                <w:lang w:val="en-US" w:eastAsia="tr-TR"/>
              </w:rPr>
              <w:t>1.7.</w:t>
            </w:r>
          </w:p>
        </w:tc>
        <w:tc>
          <w:tcPr>
            <w:tcW w:w="3606" w:type="dxa"/>
            <w:tcBorders>
              <w:top w:val="nil"/>
              <w:left w:val="single" w:sz="4" w:space="0" w:color="auto"/>
              <w:bottom w:val="nil"/>
              <w:right w:val="single" w:sz="4" w:space="0" w:color="auto"/>
            </w:tcBorders>
            <w:shd w:val="clear" w:color="auto" w:fill="auto"/>
            <w:vAlign w:val="center"/>
            <w:hideMark/>
          </w:tcPr>
          <w:p w14:paraId="217CC645"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Diğer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Kâr</w:t>
            </w:r>
            <w:proofErr w:type="spellEnd"/>
            <w:r w:rsidRPr="00CA4676">
              <w:rPr>
                <w:color w:val="000000"/>
                <w:sz w:val="14"/>
                <w:szCs w:val="14"/>
                <w:lang w:val="en-US" w:eastAsia="tr-TR"/>
              </w:rPr>
              <w:t xml:space="preserve"> Payı </w:t>
            </w:r>
            <w:proofErr w:type="spellStart"/>
            <w:r w:rsidRPr="00CA4676">
              <w:rPr>
                <w:color w:val="000000"/>
                <w:sz w:val="14"/>
                <w:szCs w:val="14"/>
                <w:lang w:val="en-US" w:eastAsia="tr-TR"/>
              </w:rPr>
              <w:t>Gelirleri</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4ACF080D"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0374C367" w14:textId="77777777" w:rsidR="00CA4676" w:rsidRPr="00CA4676" w:rsidRDefault="00CA4676" w:rsidP="00717AB5">
            <w:pPr>
              <w:jc w:val="right"/>
              <w:rPr>
                <w:sz w:val="14"/>
                <w:szCs w:val="14"/>
                <w:lang w:eastAsia="tr-TR"/>
              </w:rPr>
            </w:pPr>
            <w:r w:rsidRPr="00CA4676">
              <w:rPr>
                <w:sz w:val="14"/>
                <w:szCs w:val="16"/>
                <w:lang w:eastAsia="tr-TR"/>
              </w:rPr>
              <w:t>36,502</w:t>
            </w:r>
          </w:p>
        </w:tc>
        <w:tc>
          <w:tcPr>
            <w:tcW w:w="1170" w:type="dxa"/>
            <w:tcBorders>
              <w:top w:val="nil"/>
              <w:left w:val="nil"/>
              <w:bottom w:val="nil"/>
              <w:right w:val="single" w:sz="4" w:space="0" w:color="auto"/>
            </w:tcBorders>
            <w:shd w:val="clear" w:color="auto" w:fill="auto"/>
            <w:vAlign w:val="bottom"/>
            <w:hideMark/>
          </w:tcPr>
          <w:p w14:paraId="3178F061" w14:textId="77777777" w:rsidR="00CA4676" w:rsidRPr="00CA4676" w:rsidRDefault="00CA4676" w:rsidP="00717AB5">
            <w:pPr>
              <w:jc w:val="right"/>
              <w:rPr>
                <w:sz w:val="14"/>
                <w:szCs w:val="14"/>
                <w:lang w:eastAsia="tr-TR"/>
              </w:rPr>
            </w:pPr>
            <w:r w:rsidRPr="00CA4676">
              <w:rPr>
                <w:sz w:val="14"/>
                <w:szCs w:val="14"/>
                <w:lang w:eastAsia="tr-TR"/>
              </w:rPr>
              <w:t>11,249</w:t>
            </w:r>
          </w:p>
        </w:tc>
        <w:tc>
          <w:tcPr>
            <w:tcW w:w="1275" w:type="dxa"/>
            <w:tcBorders>
              <w:top w:val="nil"/>
              <w:left w:val="nil"/>
              <w:bottom w:val="nil"/>
              <w:right w:val="single" w:sz="4" w:space="0" w:color="auto"/>
            </w:tcBorders>
            <w:shd w:val="clear" w:color="auto" w:fill="auto"/>
            <w:vAlign w:val="bottom"/>
            <w:hideMark/>
          </w:tcPr>
          <w:p w14:paraId="07AA884B" w14:textId="77777777" w:rsidR="00CA4676" w:rsidRPr="00CA4676" w:rsidRDefault="00CA4676" w:rsidP="00717AB5">
            <w:pPr>
              <w:jc w:val="right"/>
              <w:rPr>
                <w:sz w:val="14"/>
                <w:szCs w:val="14"/>
                <w:lang w:eastAsia="tr-TR"/>
              </w:rPr>
            </w:pPr>
            <w:r w:rsidRPr="00CA4676">
              <w:rPr>
                <w:sz w:val="14"/>
                <w:szCs w:val="14"/>
                <w:lang w:eastAsia="tr-TR"/>
              </w:rPr>
              <w:t>53,712</w:t>
            </w:r>
          </w:p>
        </w:tc>
        <w:tc>
          <w:tcPr>
            <w:tcW w:w="1276" w:type="dxa"/>
            <w:tcBorders>
              <w:top w:val="nil"/>
              <w:left w:val="single" w:sz="4" w:space="0" w:color="auto"/>
              <w:bottom w:val="nil"/>
              <w:right w:val="single" w:sz="4" w:space="0" w:color="auto"/>
            </w:tcBorders>
            <w:shd w:val="clear" w:color="auto" w:fill="auto"/>
            <w:vAlign w:val="bottom"/>
            <w:hideMark/>
          </w:tcPr>
          <w:p w14:paraId="343B4A90" w14:textId="77777777" w:rsidR="00CA4676" w:rsidRPr="00CA4676" w:rsidRDefault="00CA4676" w:rsidP="00717AB5">
            <w:pPr>
              <w:jc w:val="right"/>
              <w:rPr>
                <w:sz w:val="14"/>
                <w:szCs w:val="14"/>
                <w:lang w:eastAsia="tr-TR"/>
              </w:rPr>
            </w:pPr>
            <w:r w:rsidRPr="00CA4676">
              <w:rPr>
                <w:sz w:val="14"/>
                <w:szCs w:val="14"/>
                <w:lang w:eastAsia="tr-TR"/>
              </w:rPr>
              <w:t>18,943</w:t>
            </w:r>
          </w:p>
        </w:tc>
      </w:tr>
      <w:tr w:rsidR="00CA4676" w:rsidRPr="00CA4676" w14:paraId="7E338927"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0DF89DCC"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II.</w:t>
            </w:r>
          </w:p>
        </w:tc>
        <w:tc>
          <w:tcPr>
            <w:tcW w:w="3606" w:type="dxa"/>
            <w:tcBorders>
              <w:top w:val="nil"/>
              <w:left w:val="single" w:sz="4" w:space="0" w:color="auto"/>
              <w:bottom w:val="nil"/>
              <w:right w:val="single" w:sz="4" w:space="0" w:color="auto"/>
            </w:tcBorders>
            <w:shd w:val="clear" w:color="auto" w:fill="auto"/>
            <w:vAlign w:val="center"/>
            <w:hideMark/>
          </w:tcPr>
          <w:p w14:paraId="15CA48E5"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KÂR PAYI GİDERLERİ (-)</w:t>
            </w:r>
          </w:p>
        </w:tc>
        <w:tc>
          <w:tcPr>
            <w:tcW w:w="650" w:type="dxa"/>
            <w:tcBorders>
              <w:top w:val="nil"/>
              <w:left w:val="single" w:sz="4" w:space="0" w:color="auto"/>
              <w:bottom w:val="nil"/>
              <w:right w:val="single" w:sz="4" w:space="0" w:color="auto"/>
            </w:tcBorders>
            <w:shd w:val="clear" w:color="auto" w:fill="auto"/>
            <w:noWrap/>
            <w:vAlign w:val="center"/>
            <w:hideMark/>
          </w:tcPr>
          <w:p w14:paraId="0C5B2BFF"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20B38EF6" w14:textId="77777777" w:rsidR="00CA4676" w:rsidRPr="00CA4676" w:rsidRDefault="00CA4676" w:rsidP="00717AB5">
            <w:pPr>
              <w:jc w:val="right"/>
              <w:rPr>
                <w:b/>
                <w:bCs/>
                <w:sz w:val="14"/>
                <w:szCs w:val="14"/>
                <w:lang w:eastAsia="tr-TR"/>
              </w:rPr>
            </w:pPr>
            <w:r w:rsidRPr="00CA4676">
              <w:rPr>
                <w:b/>
                <w:bCs/>
                <w:sz w:val="14"/>
                <w:szCs w:val="16"/>
                <w:lang w:eastAsia="tr-TR"/>
              </w:rPr>
              <w:t>2,250,396</w:t>
            </w:r>
          </w:p>
        </w:tc>
        <w:tc>
          <w:tcPr>
            <w:tcW w:w="1170" w:type="dxa"/>
            <w:tcBorders>
              <w:top w:val="nil"/>
              <w:left w:val="nil"/>
              <w:bottom w:val="nil"/>
              <w:right w:val="single" w:sz="4" w:space="0" w:color="auto"/>
            </w:tcBorders>
            <w:shd w:val="clear" w:color="auto" w:fill="auto"/>
            <w:vAlign w:val="bottom"/>
            <w:hideMark/>
          </w:tcPr>
          <w:p w14:paraId="2380251F" w14:textId="77777777" w:rsidR="00CA4676" w:rsidRPr="00CA4676" w:rsidRDefault="00CA4676" w:rsidP="00717AB5">
            <w:pPr>
              <w:jc w:val="right"/>
              <w:rPr>
                <w:b/>
                <w:bCs/>
                <w:sz w:val="14"/>
                <w:szCs w:val="14"/>
                <w:lang w:eastAsia="tr-TR"/>
              </w:rPr>
            </w:pPr>
            <w:r w:rsidRPr="00CA4676">
              <w:rPr>
                <w:b/>
                <w:bCs/>
                <w:sz w:val="14"/>
                <w:szCs w:val="14"/>
                <w:lang w:eastAsia="tr-TR"/>
              </w:rPr>
              <w:t>810,414</w:t>
            </w:r>
          </w:p>
        </w:tc>
        <w:tc>
          <w:tcPr>
            <w:tcW w:w="1275" w:type="dxa"/>
            <w:tcBorders>
              <w:top w:val="nil"/>
              <w:left w:val="nil"/>
              <w:bottom w:val="nil"/>
              <w:right w:val="single" w:sz="4" w:space="0" w:color="auto"/>
            </w:tcBorders>
            <w:shd w:val="clear" w:color="auto" w:fill="auto"/>
            <w:vAlign w:val="bottom"/>
            <w:hideMark/>
          </w:tcPr>
          <w:p w14:paraId="061CE11E" w14:textId="77777777" w:rsidR="00CA4676" w:rsidRPr="00CA4676" w:rsidRDefault="00CA4676" w:rsidP="00717AB5">
            <w:pPr>
              <w:jc w:val="right"/>
              <w:rPr>
                <w:b/>
                <w:bCs/>
                <w:sz w:val="14"/>
                <w:szCs w:val="14"/>
                <w:lang w:eastAsia="tr-TR"/>
              </w:rPr>
            </w:pPr>
            <w:r w:rsidRPr="00CA4676">
              <w:rPr>
                <w:b/>
                <w:bCs/>
                <w:sz w:val="14"/>
                <w:szCs w:val="14"/>
                <w:lang w:eastAsia="tr-TR"/>
              </w:rPr>
              <w:t>3,087,599</w:t>
            </w:r>
          </w:p>
        </w:tc>
        <w:tc>
          <w:tcPr>
            <w:tcW w:w="1276" w:type="dxa"/>
            <w:tcBorders>
              <w:top w:val="nil"/>
              <w:left w:val="single" w:sz="4" w:space="0" w:color="auto"/>
              <w:bottom w:val="nil"/>
              <w:right w:val="single" w:sz="4" w:space="0" w:color="auto"/>
            </w:tcBorders>
            <w:shd w:val="clear" w:color="auto" w:fill="auto"/>
            <w:vAlign w:val="bottom"/>
            <w:hideMark/>
          </w:tcPr>
          <w:p w14:paraId="1CF500FC" w14:textId="77777777" w:rsidR="00CA4676" w:rsidRPr="00CA4676" w:rsidRDefault="00CA4676" w:rsidP="00717AB5">
            <w:pPr>
              <w:jc w:val="right"/>
              <w:rPr>
                <w:b/>
                <w:bCs/>
                <w:sz w:val="14"/>
                <w:szCs w:val="14"/>
                <w:lang w:eastAsia="tr-TR"/>
              </w:rPr>
            </w:pPr>
            <w:r w:rsidRPr="00CA4676">
              <w:rPr>
                <w:b/>
                <w:bCs/>
                <w:sz w:val="14"/>
                <w:szCs w:val="14"/>
                <w:lang w:eastAsia="tr-TR"/>
              </w:rPr>
              <w:t>1,055,347</w:t>
            </w:r>
          </w:p>
        </w:tc>
      </w:tr>
      <w:tr w:rsidR="00CA4676" w:rsidRPr="00CA4676" w14:paraId="1A2DE6B5"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1A21938F" w14:textId="77777777" w:rsidR="00CA4676" w:rsidRPr="00CA4676" w:rsidRDefault="00CA4676" w:rsidP="00CA4676">
            <w:pPr>
              <w:rPr>
                <w:color w:val="000000"/>
                <w:sz w:val="14"/>
                <w:szCs w:val="14"/>
                <w:lang w:eastAsia="tr-TR"/>
              </w:rPr>
            </w:pPr>
            <w:r w:rsidRPr="00CA4676">
              <w:rPr>
                <w:color w:val="000000"/>
                <w:sz w:val="14"/>
                <w:szCs w:val="14"/>
                <w:lang w:val="en-US" w:eastAsia="tr-TR"/>
              </w:rPr>
              <w:t>2.1.</w:t>
            </w:r>
          </w:p>
        </w:tc>
        <w:tc>
          <w:tcPr>
            <w:tcW w:w="3606" w:type="dxa"/>
            <w:tcBorders>
              <w:top w:val="nil"/>
              <w:left w:val="single" w:sz="4" w:space="0" w:color="auto"/>
              <w:bottom w:val="nil"/>
              <w:right w:val="single" w:sz="4" w:space="0" w:color="auto"/>
            </w:tcBorders>
            <w:shd w:val="clear" w:color="auto" w:fill="auto"/>
            <w:vAlign w:val="center"/>
            <w:hideMark/>
          </w:tcPr>
          <w:p w14:paraId="15268821"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Katılma</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Hesaplarına</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Verilen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Kâr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Payları</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02410FCA" w14:textId="77777777" w:rsidR="00CA4676" w:rsidRPr="00CA4676" w:rsidRDefault="00CA4676" w:rsidP="00CA4676">
            <w:pPr>
              <w:rPr>
                <w:color w:val="000000"/>
                <w:sz w:val="14"/>
                <w:szCs w:val="14"/>
                <w:lang w:eastAsia="tr-TR"/>
              </w:rPr>
            </w:pPr>
            <w:r w:rsidRPr="00CA4676">
              <w:rPr>
                <w:color w:val="000000"/>
                <w:sz w:val="14"/>
                <w:szCs w:val="14"/>
                <w:lang w:val="en-US" w:eastAsia="tr-TR"/>
              </w:rPr>
              <w:t>(5.4.4.)</w:t>
            </w:r>
          </w:p>
        </w:tc>
        <w:tc>
          <w:tcPr>
            <w:tcW w:w="1232" w:type="dxa"/>
            <w:tcBorders>
              <w:top w:val="nil"/>
              <w:left w:val="single" w:sz="4" w:space="0" w:color="auto"/>
              <w:bottom w:val="nil"/>
              <w:right w:val="single" w:sz="4" w:space="0" w:color="auto"/>
            </w:tcBorders>
            <w:shd w:val="clear" w:color="auto" w:fill="auto"/>
            <w:vAlign w:val="bottom"/>
            <w:hideMark/>
          </w:tcPr>
          <w:p w14:paraId="15077BE5" w14:textId="77777777" w:rsidR="00CA4676" w:rsidRPr="00CA4676" w:rsidRDefault="00CA4676" w:rsidP="00717AB5">
            <w:pPr>
              <w:jc w:val="right"/>
              <w:rPr>
                <w:sz w:val="14"/>
                <w:szCs w:val="14"/>
                <w:lang w:eastAsia="tr-TR"/>
              </w:rPr>
            </w:pPr>
            <w:r w:rsidRPr="00CA4676">
              <w:rPr>
                <w:sz w:val="14"/>
                <w:szCs w:val="16"/>
                <w:lang w:eastAsia="tr-TR"/>
              </w:rPr>
              <w:t>1,399,602</w:t>
            </w:r>
          </w:p>
        </w:tc>
        <w:tc>
          <w:tcPr>
            <w:tcW w:w="1170" w:type="dxa"/>
            <w:tcBorders>
              <w:top w:val="nil"/>
              <w:left w:val="nil"/>
              <w:bottom w:val="nil"/>
              <w:right w:val="single" w:sz="4" w:space="0" w:color="auto"/>
            </w:tcBorders>
            <w:shd w:val="clear" w:color="auto" w:fill="auto"/>
            <w:vAlign w:val="bottom"/>
            <w:hideMark/>
          </w:tcPr>
          <w:p w14:paraId="5B28CCEB" w14:textId="77777777" w:rsidR="00CA4676" w:rsidRPr="00CA4676" w:rsidRDefault="00CA4676" w:rsidP="00717AB5">
            <w:pPr>
              <w:jc w:val="right"/>
              <w:rPr>
                <w:sz w:val="14"/>
                <w:szCs w:val="14"/>
                <w:lang w:eastAsia="tr-TR"/>
              </w:rPr>
            </w:pPr>
            <w:r w:rsidRPr="00CA4676">
              <w:rPr>
                <w:sz w:val="14"/>
                <w:szCs w:val="14"/>
                <w:lang w:eastAsia="tr-TR"/>
              </w:rPr>
              <w:t>420,475</w:t>
            </w:r>
          </w:p>
        </w:tc>
        <w:tc>
          <w:tcPr>
            <w:tcW w:w="1275" w:type="dxa"/>
            <w:tcBorders>
              <w:top w:val="nil"/>
              <w:left w:val="nil"/>
              <w:bottom w:val="nil"/>
              <w:right w:val="single" w:sz="4" w:space="0" w:color="auto"/>
            </w:tcBorders>
            <w:shd w:val="clear" w:color="auto" w:fill="auto"/>
            <w:vAlign w:val="bottom"/>
            <w:hideMark/>
          </w:tcPr>
          <w:p w14:paraId="474A4437" w14:textId="77777777" w:rsidR="00CA4676" w:rsidRPr="00CA4676" w:rsidRDefault="00CA4676" w:rsidP="00717AB5">
            <w:pPr>
              <w:jc w:val="right"/>
              <w:rPr>
                <w:sz w:val="14"/>
                <w:szCs w:val="14"/>
                <w:lang w:eastAsia="tr-TR"/>
              </w:rPr>
            </w:pPr>
            <w:r w:rsidRPr="00CA4676">
              <w:rPr>
                <w:sz w:val="14"/>
                <w:szCs w:val="14"/>
                <w:lang w:eastAsia="tr-TR"/>
              </w:rPr>
              <w:t>2,344,683</w:t>
            </w:r>
          </w:p>
        </w:tc>
        <w:tc>
          <w:tcPr>
            <w:tcW w:w="1276" w:type="dxa"/>
            <w:tcBorders>
              <w:top w:val="nil"/>
              <w:left w:val="single" w:sz="4" w:space="0" w:color="auto"/>
              <w:bottom w:val="nil"/>
              <w:right w:val="single" w:sz="4" w:space="0" w:color="auto"/>
            </w:tcBorders>
            <w:shd w:val="clear" w:color="auto" w:fill="auto"/>
            <w:vAlign w:val="bottom"/>
            <w:hideMark/>
          </w:tcPr>
          <w:p w14:paraId="0727BA97" w14:textId="77777777" w:rsidR="00CA4676" w:rsidRPr="00CA4676" w:rsidRDefault="00CA4676" w:rsidP="00717AB5">
            <w:pPr>
              <w:jc w:val="right"/>
              <w:rPr>
                <w:sz w:val="14"/>
                <w:szCs w:val="14"/>
                <w:lang w:eastAsia="tr-TR"/>
              </w:rPr>
            </w:pPr>
            <w:r w:rsidRPr="00CA4676">
              <w:rPr>
                <w:sz w:val="14"/>
                <w:szCs w:val="14"/>
                <w:lang w:eastAsia="tr-TR"/>
              </w:rPr>
              <w:t>827,454</w:t>
            </w:r>
          </w:p>
        </w:tc>
      </w:tr>
      <w:tr w:rsidR="00CA4676" w:rsidRPr="00CA4676" w14:paraId="0F0B320E"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6DF87BE7" w14:textId="77777777" w:rsidR="00CA4676" w:rsidRPr="00CA4676" w:rsidRDefault="00CA4676" w:rsidP="00CA4676">
            <w:pPr>
              <w:rPr>
                <w:color w:val="000000"/>
                <w:sz w:val="14"/>
                <w:szCs w:val="14"/>
                <w:lang w:eastAsia="tr-TR"/>
              </w:rPr>
            </w:pPr>
            <w:r w:rsidRPr="00CA4676">
              <w:rPr>
                <w:color w:val="000000"/>
                <w:sz w:val="14"/>
                <w:szCs w:val="14"/>
                <w:lang w:val="en-US" w:eastAsia="tr-TR"/>
              </w:rPr>
              <w:t>2.2.</w:t>
            </w:r>
          </w:p>
        </w:tc>
        <w:tc>
          <w:tcPr>
            <w:tcW w:w="3606" w:type="dxa"/>
            <w:tcBorders>
              <w:top w:val="nil"/>
              <w:left w:val="single" w:sz="4" w:space="0" w:color="auto"/>
              <w:bottom w:val="nil"/>
              <w:right w:val="single" w:sz="4" w:space="0" w:color="auto"/>
            </w:tcBorders>
            <w:shd w:val="clear" w:color="auto" w:fill="auto"/>
            <w:vAlign w:val="center"/>
            <w:hideMark/>
          </w:tcPr>
          <w:p w14:paraId="70B63810"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Kullanılan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Kredilere</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Verilen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Kâr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Payları</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1991B46D" w14:textId="77777777" w:rsidR="00CA4676" w:rsidRPr="00CA4676" w:rsidRDefault="00CA4676" w:rsidP="00CA4676">
            <w:pPr>
              <w:rPr>
                <w:color w:val="000000"/>
                <w:sz w:val="14"/>
                <w:szCs w:val="14"/>
                <w:lang w:eastAsia="tr-TR"/>
              </w:rPr>
            </w:pPr>
            <w:r w:rsidRPr="00CA4676">
              <w:rPr>
                <w:color w:val="000000"/>
                <w:sz w:val="14"/>
                <w:szCs w:val="14"/>
                <w:lang w:val="en-US" w:eastAsia="tr-TR"/>
              </w:rPr>
              <w:t>(5.4.2.)</w:t>
            </w:r>
          </w:p>
        </w:tc>
        <w:tc>
          <w:tcPr>
            <w:tcW w:w="1232" w:type="dxa"/>
            <w:tcBorders>
              <w:top w:val="nil"/>
              <w:left w:val="single" w:sz="4" w:space="0" w:color="auto"/>
              <w:bottom w:val="nil"/>
              <w:right w:val="single" w:sz="4" w:space="0" w:color="auto"/>
            </w:tcBorders>
            <w:shd w:val="clear" w:color="auto" w:fill="auto"/>
            <w:vAlign w:val="bottom"/>
            <w:hideMark/>
          </w:tcPr>
          <w:p w14:paraId="05C381C2" w14:textId="77777777" w:rsidR="00CA4676" w:rsidRPr="00CA4676" w:rsidRDefault="00CA4676" w:rsidP="00717AB5">
            <w:pPr>
              <w:jc w:val="right"/>
              <w:rPr>
                <w:sz w:val="14"/>
                <w:szCs w:val="14"/>
                <w:lang w:eastAsia="tr-TR"/>
              </w:rPr>
            </w:pPr>
            <w:r w:rsidRPr="00CA4676">
              <w:rPr>
                <w:sz w:val="14"/>
                <w:szCs w:val="16"/>
                <w:lang w:eastAsia="tr-TR"/>
              </w:rPr>
              <w:t>549,213</w:t>
            </w:r>
          </w:p>
        </w:tc>
        <w:tc>
          <w:tcPr>
            <w:tcW w:w="1170" w:type="dxa"/>
            <w:tcBorders>
              <w:top w:val="nil"/>
              <w:left w:val="nil"/>
              <w:bottom w:val="nil"/>
              <w:right w:val="single" w:sz="4" w:space="0" w:color="auto"/>
            </w:tcBorders>
            <w:shd w:val="clear" w:color="auto" w:fill="auto"/>
            <w:vAlign w:val="bottom"/>
            <w:hideMark/>
          </w:tcPr>
          <w:p w14:paraId="38559FE2" w14:textId="77777777" w:rsidR="00CA4676" w:rsidRPr="00CA4676" w:rsidRDefault="00CA4676" w:rsidP="00717AB5">
            <w:pPr>
              <w:jc w:val="right"/>
              <w:rPr>
                <w:sz w:val="14"/>
                <w:szCs w:val="14"/>
                <w:lang w:eastAsia="tr-TR"/>
              </w:rPr>
            </w:pPr>
            <w:r w:rsidRPr="00CA4676">
              <w:rPr>
                <w:sz w:val="14"/>
                <w:szCs w:val="14"/>
                <w:lang w:eastAsia="tr-TR"/>
              </w:rPr>
              <w:t>202,007</w:t>
            </w:r>
          </w:p>
        </w:tc>
        <w:tc>
          <w:tcPr>
            <w:tcW w:w="1275" w:type="dxa"/>
            <w:tcBorders>
              <w:top w:val="nil"/>
              <w:left w:val="nil"/>
              <w:bottom w:val="nil"/>
              <w:right w:val="single" w:sz="4" w:space="0" w:color="auto"/>
            </w:tcBorders>
            <w:shd w:val="clear" w:color="auto" w:fill="auto"/>
            <w:vAlign w:val="bottom"/>
            <w:hideMark/>
          </w:tcPr>
          <w:p w14:paraId="47E3619D" w14:textId="77777777" w:rsidR="00CA4676" w:rsidRPr="00CA4676" w:rsidRDefault="00CA4676" w:rsidP="00717AB5">
            <w:pPr>
              <w:jc w:val="right"/>
              <w:rPr>
                <w:sz w:val="14"/>
                <w:szCs w:val="14"/>
                <w:lang w:eastAsia="tr-TR"/>
              </w:rPr>
            </w:pPr>
            <w:r w:rsidRPr="00CA4676">
              <w:rPr>
                <w:sz w:val="14"/>
                <w:szCs w:val="14"/>
                <w:lang w:eastAsia="tr-TR"/>
              </w:rPr>
              <w:t>695,399</w:t>
            </w:r>
          </w:p>
        </w:tc>
        <w:tc>
          <w:tcPr>
            <w:tcW w:w="1276" w:type="dxa"/>
            <w:tcBorders>
              <w:top w:val="nil"/>
              <w:left w:val="single" w:sz="4" w:space="0" w:color="auto"/>
              <w:bottom w:val="nil"/>
              <w:right w:val="single" w:sz="4" w:space="0" w:color="auto"/>
            </w:tcBorders>
            <w:shd w:val="clear" w:color="auto" w:fill="auto"/>
            <w:vAlign w:val="bottom"/>
            <w:hideMark/>
          </w:tcPr>
          <w:p w14:paraId="7924ACEE" w14:textId="77777777" w:rsidR="00CA4676" w:rsidRPr="00CA4676" w:rsidRDefault="00CA4676" w:rsidP="00717AB5">
            <w:pPr>
              <w:jc w:val="right"/>
              <w:rPr>
                <w:sz w:val="14"/>
                <w:szCs w:val="14"/>
                <w:lang w:eastAsia="tr-TR"/>
              </w:rPr>
            </w:pPr>
            <w:r w:rsidRPr="00CA4676">
              <w:rPr>
                <w:sz w:val="14"/>
                <w:szCs w:val="14"/>
                <w:lang w:eastAsia="tr-TR"/>
              </w:rPr>
              <w:t>211,783</w:t>
            </w:r>
          </w:p>
        </w:tc>
      </w:tr>
      <w:tr w:rsidR="00CA4676" w:rsidRPr="00CA4676" w14:paraId="0448ED4C"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3B8C05D9" w14:textId="77777777" w:rsidR="00CA4676" w:rsidRPr="00CA4676" w:rsidRDefault="00CA4676" w:rsidP="00CA4676">
            <w:pPr>
              <w:rPr>
                <w:color w:val="000000"/>
                <w:sz w:val="14"/>
                <w:szCs w:val="14"/>
                <w:lang w:eastAsia="tr-TR"/>
              </w:rPr>
            </w:pPr>
            <w:r w:rsidRPr="00CA4676">
              <w:rPr>
                <w:color w:val="000000"/>
                <w:sz w:val="14"/>
                <w:szCs w:val="14"/>
                <w:lang w:val="en-US" w:eastAsia="tr-TR"/>
              </w:rPr>
              <w:t>2.3.</w:t>
            </w:r>
          </w:p>
        </w:tc>
        <w:tc>
          <w:tcPr>
            <w:tcW w:w="3606" w:type="dxa"/>
            <w:tcBorders>
              <w:top w:val="nil"/>
              <w:left w:val="single" w:sz="4" w:space="0" w:color="auto"/>
              <w:bottom w:val="nil"/>
              <w:right w:val="single" w:sz="4" w:space="0" w:color="auto"/>
            </w:tcBorders>
            <w:shd w:val="clear" w:color="auto" w:fill="auto"/>
            <w:vAlign w:val="center"/>
            <w:hideMark/>
          </w:tcPr>
          <w:p w14:paraId="05C9299B" w14:textId="77777777" w:rsidR="00CA4676" w:rsidRPr="00CA4676" w:rsidRDefault="00CA4676" w:rsidP="00CA4676">
            <w:pPr>
              <w:rPr>
                <w:color w:val="000000"/>
                <w:sz w:val="14"/>
                <w:szCs w:val="14"/>
                <w:lang w:eastAsia="tr-TR"/>
              </w:rPr>
            </w:pPr>
            <w:r w:rsidRPr="00CA4676">
              <w:rPr>
                <w:color w:val="000000"/>
                <w:sz w:val="14"/>
                <w:szCs w:val="14"/>
                <w:lang w:val="en-US" w:eastAsia="tr-TR"/>
              </w:rPr>
              <w:t xml:space="preserve">Para </w:t>
            </w:r>
            <w:proofErr w:type="spellStart"/>
            <w:r w:rsidRPr="00CA4676">
              <w:rPr>
                <w:color w:val="000000"/>
                <w:sz w:val="14"/>
                <w:szCs w:val="14"/>
                <w:lang w:val="en-US" w:eastAsia="tr-TR"/>
              </w:rPr>
              <w:t>Piyasası</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İşlemlerine</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Verilen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Kâr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Payları</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114DD5A3"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720975C6" w14:textId="77777777" w:rsidR="00CA4676" w:rsidRPr="00CA4676" w:rsidRDefault="00CA4676" w:rsidP="00717AB5">
            <w:pPr>
              <w:jc w:val="right"/>
              <w:rPr>
                <w:sz w:val="14"/>
                <w:szCs w:val="14"/>
                <w:lang w:eastAsia="tr-TR"/>
              </w:rPr>
            </w:pPr>
            <w:r w:rsidRPr="00CA4676">
              <w:rPr>
                <w:sz w:val="14"/>
                <w:szCs w:val="16"/>
                <w:lang w:eastAsia="tr-TR"/>
              </w:rPr>
              <w:t>254,205</w:t>
            </w:r>
          </w:p>
        </w:tc>
        <w:tc>
          <w:tcPr>
            <w:tcW w:w="1170" w:type="dxa"/>
            <w:tcBorders>
              <w:top w:val="nil"/>
              <w:left w:val="nil"/>
              <w:bottom w:val="nil"/>
              <w:right w:val="single" w:sz="4" w:space="0" w:color="auto"/>
            </w:tcBorders>
            <w:shd w:val="clear" w:color="auto" w:fill="auto"/>
            <w:vAlign w:val="bottom"/>
            <w:hideMark/>
          </w:tcPr>
          <w:p w14:paraId="6FF82988" w14:textId="77777777" w:rsidR="00CA4676" w:rsidRPr="00CA4676" w:rsidRDefault="00CA4676" w:rsidP="00717AB5">
            <w:pPr>
              <w:jc w:val="right"/>
              <w:rPr>
                <w:sz w:val="14"/>
                <w:szCs w:val="14"/>
                <w:lang w:eastAsia="tr-TR"/>
              </w:rPr>
            </w:pPr>
            <w:r w:rsidRPr="00CA4676">
              <w:rPr>
                <w:sz w:val="14"/>
                <w:szCs w:val="14"/>
                <w:lang w:eastAsia="tr-TR"/>
              </w:rPr>
              <w:t>173,786</w:t>
            </w:r>
          </w:p>
        </w:tc>
        <w:tc>
          <w:tcPr>
            <w:tcW w:w="1275" w:type="dxa"/>
            <w:tcBorders>
              <w:top w:val="nil"/>
              <w:left w:val="nil"/>
              <w:bottom w:val="nil"/>
              <w:right w:val="single" w:sz="4" w:space="0" w:color="auto"/>
            </w:tcBorders>
            <w:shd w:val="clear" w:color="auto" w:fill="auto"/>
            <w:vAlign w:val="bottom"/>
            <w:hideMark/>
          </w:tcPr>
          <w:p w14:paraId="1E5E494F" w14:textId="77777777" w:rsidR="00CA4676" w:rsidRPr="00CA4676" w:rsidRDefault="00CA4676" w:rsidP="00717AB5">
            <w:pPr>
              <w:jc w:val="right"/>
              <w:rPr>
                <w:sz w:val="14"/>
                <w:szCs w:val="14"/>
                <w:lang w:eastAsia="tr-TR"/>
              </w:rPr>
            </w:pPr>
            <w:r w:rsidRPr="00CA4676">
              <w:rPr>
                <w:sz w:val="14"/>
                <w:szCs w:val="14"/>
                <w:lang w:eastAsia="tr-TR"/>
              </w:rPr>
              <w:t>2,514</w:t>
            </w:r>
          </w:p>
        </w:tc>
        <w:tc>
          <w:tcPr>
            <w:tcW w:w="1276" w:type="dxa"/>
            <w:tcBorders>
              <w:top w:val="nil"/>
              <w:left w:val="single" w:sz="4" w:space="0" w:color="auto"/>
              <w:bottom w:val="nil"/>
              <w:right w:val="single" w:sz="4" w:space="0" w:color="auto"/>
            </w:tcBorders>
            <w:shd w:val="clear" w:color="auto" w:fill="auto"/>
            <w:vAlign w:val="bottom"/>
            <w:hideMark/>
          </w:tcPr>
          <w:p w14:paraId="222F1BC4"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6608A584"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CC42DD5" w14:textId="77777777" w:rsidR="00CA4676" w:rsidRPr="00CA4676" w:rsidRDefault="00CA4676" w:rsidP="00CA4676">
            <w:pPr>
              <w:rPr>
                <w:color w:val="000000"/>
                <w:sz w:val="14"/>
                <w:szCs w:val="14"/>
                <w:lang w:eastAsia="tr-TR"/>
              </w:rPr>
            </w:pPr>
            <w:r w:rsidRPr="00CA4676">
              <w:rPr>
                <w:color w:val="000000"/>
                <w:sz w:val="14"/>
                <w:szCs w:val="14"/>
                <w:lang w:val="en-US" w:eastAsia="tr-TR"/>
              </w:rPr>
              <w:t>2.4.</w:t>
            </w:r>
          </w:p>
        </w:tc>
        <w:tc>
          <w:tcPr>
            <w:tcW w:w="3606" w:type="dxa"/>
            <w:tcBorders>
              <w:top w:val="nil"/>
              <w:left w:val="single" w:sz="4" w:space="0" w:color="auto"/>
              <w:bottom w:val="nil"/>
              <w:right w:val="single" w:sz="4" w:space="0" w:color="auto"/>
            </w:tcBorders>
            <w:shd w:val="clear" w:color="auto" w:fill="auto"/>
            <w:vAlign w:val="center"/>
            <w:hideMark/>
          </w:tcPr>
          <w:p w14:paraId="0D1F518C"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İhraç</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Edilen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Menkul</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Kıymetlere</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Verilen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Kâr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Payları</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0588236E"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52C3F5F2" w14:textId="77777777" w:rsidR="00CA4676" w:rsidRPr="00CA4676" w:rsidRDefault="00CA4676" w:rsidP="00717AB5">
            <w:pPr>
              <w:jc w:val="right"/>
              <w:rPr>
                <w:sz w:val="14"/>
                <w:szCs w:val="14"/>
                <w:lang w:eastAsia="tr-TR"/>
              </w:rPr>
            </w:pPr>
            <w:r w:rsidRPr="00CA4676">
              <w:rPr>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42BF2D97"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3B44CA2E"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590D15C2"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049F8D79"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4C2A453" w14:textId="77777777" w:rsidR="00CA4676" w:rsidRPr="00CA4676" w:rsidRDefault="00CA4676" w:rsidP="00CA4676">
            <w:pPr>
              <w:rPr>
                <w:color w:val="000000"/>
                <w:sz w:val="14"/>
                <w:szCs w:val="14"/>
                <w:lang w:eastAsia="tr-TR"/>
              </w:rPr>
            </w:pPr>
            <w:r w:rsidRPr="00CA4676">
              <w:rPr>
                <w:color w:val="000000"/>
                <w:sz w:val="14"/>
                <w:szCs w:val="14"/>
                <w:lang w:val="en-US" w:eastAsia="tr-TR"/>
              </w:rPr>
              <w:t>2.5.</w:t>
            </w:r>
          </w:p>
        </w:tc>
        <w:tc>
          <w:tcPr>
            <w:tcW w:w="3606" w:type="dxa"/>
            <w:tcBorders>
              <w:top w:val="nil"/>
              <w:left w:val="single" w:sz="4" w:space="0" w:color="auto"/>
              <w:bottom w:val="nil"/>
              <w:right w:val="single" w:sz="4" w:space="0" w:color="auto"/>
            </w:tcBorders>
            <w:shd w:val="clear" w:color="auto" w:fill="auto"/>
            <w:vAlign w:val="center"/>
            <w:hideMark/>
          </w:tcPr>
          <w:p w14:paraId="6A26E927"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Kiralama</w:t>
            </w:r>
            <w:proofErr w:type="spellEnd"/>
            <w:r w:rsidRPr="00CA4676">
              <w:rPr>
                <w:color w:val="000000"/>
                <w:sz w:val="14"/>
                <w:szCs w:val="14"/>
                <w:lang w:val="en-US" w:eastAsia="tr-TR"/>
              </w:rPr>
              <w:t xml:space="preserve"> Kar Payı </w:t>
            </w:r>
            <w:proofErr w:type="spellStart"/>
            <w:r w:rsidRPr="00CA4676">
              <w:rPr>
                <w:color w:val="000000"/>
                <w:sz w:val="14"/>
                <w:szCs w:val="14"/>
                <w:lang w:val="en-US" w:eastAsia="tr-TR"/>
              </w:rPr>
              <w:t>Giderleri</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71CB77AC"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25BB0104" w14:textId="77777777" w:rsidR="00CA4676" w:rsidRPr="00CA4676" w:rsidRDefault="00CA4676" w:rsidP="00717AB5">
            <w:pPr>
              <w:jc w:val="right"/>
              <w:rPr>
                <w:sz w:val="14"/>
                <w:szCs w:val="14"/>
                <w:lang w:eastAsia="tr-TR"/>
              </w:rPr>
            </w:pPr>
            <w:r w:rsidRPr="00CA4676">
              <w:rPr>
                <w:sz w:val="14"/>
                <w:szCs w:val="16"/>
                <w:lang w:eastAsia="tr-TR"/>
              </w:rPr>
              <w:t>47,376</w:t>
            </w:r>
          </w:p>
        </w:tc>
        <w:tc>
          <w:tcPr>
            <w:tcW w:w="1170" w:type="dxa"/>
            <w:tcBorders>
              <w:top w:val="nil"/>
              <w:left w:val="nil"/>
              <w:bottom w:val="nil"/>
              <w:right w:val="single" w:sz="4" w:space="0" w:color="auto"/>
            </w:tcBorders>
            <w:shd w:val="clear" w:color="auto" w:fill="auto"/>
            <w:vAlign w:val="bottom"/>
            <w:hideMark/>
          </w:tcPr>
          <w:p w14:paraId="1222AFED" w14:textId="77777777" w:rsidR="00CA4676" w:rsidRPr="00CA4676" w:rsidRDefault="00CA4676" w:rsidP="00717AB5">
            <w:pPr>
              <w:jc w:val="right"/>
              <w:rPr>
                <w:sz w:val="14"/>
                <w:szCs w:val="14"/>
                <w:lang w:eastAsia="tr-TR"/>
              </w:rPr>
            </w:pPr>
            <w:r w:rsidRPr="00CA4676">
              <w:rPr>
                <w:sz w:val="14"/>
                <w:szCs w:val="14"/>
                <w:lang w:eastAsia="tr-TR"/>
              </w:rPr>
              <w:t>14,146</w:t>
            </w:r>
          </w:p>
        </w:tc>
        <w:tc>
          <w:tcPr>
            <w:tcW w:w="1275" w:type="dxa"/>
            <w:tcBorders>
              <w:top w:val="nil"/>
              <w:left w:val="nil"/>
              <w:bottom w:val="nil"/>
              <w:right w:val="single" w:sz="4" w:space="0" w:color="auto"/>
            </w:tcBorders>
            <w:shd w:val="clear" w:color="auto" w:fill="auto"/>
            <w:vAlign w:val="bottom"/>
            <w:hideMark/>
          </w:tcPr>
          <w:p w14:paraId="57C3D6C9" w14:textId="77777777" w:rsidR="00CA4676" w:rsidRPr="00CA4676" w:rsidRDefault="00CA4676" w:rsidP="00717AB5">
            <w:pPr>
              <w:jc w:val="right"/>
              <w:rPr>
                <w:sz w:val="14"/>
                <w:szCs w:val="14"/>
                <w:lang w:eastAsia="tr-TR"/>
              </w:rPr>
            </w:pPr>
            <w:r w:rsidRPr="00CA4676">
              <w:rPr>
                <w:sz w:val="14"/>
                <w:szCs w:val="14"/>
                <w:lang w:eastAsia="tr-TR"/>
              </w:rPr>
              <w:t>45,003</w:t>
            </w:r>
          </w:p>
        </w:tc>
        <w:tc>
          <w:tcPr>
            <w:tcW w:w="1276" w:type="dxa"/>
            <w:tcBorders>
              <w:top w:val="nil"/>
              <w:left w:val="single" w:sz="4" w:space="0" w:color="auto"/>
              <w:bottom w:val="nil"/>
              <w:right w:val="single" w:sz="4" w:space="0" w:color="auto"/>
            </w:tcBorders>
            <w:shd w:val="clear" w:color="auto" w:fill="auto"/>
            <w:vAlign w:val="bottom"/>
            <w:hideMark/>
          </w:tcPr>
          <w:p w14:paraId="0F13C5FF" w14:textId="77777777" w:rsidR="00CA4676" w:rsidRPr="00CA4676" w:rsidRDefault="00CA4676" w:rsidP="00717AB5">
            <w:pPr>
              <w:jc w:val="right"/>
              <w:rPr>
                <w:sz w:val="14"/>
                <w:szCs w:val="14"/>
                <w:lang w:eastAsia="tr-TR"/>
              </w:rPr>
            </w:pPr>
            <w:r w:rsidRPr="00CA4676">
              <w:rPr>
                <w:sz w:val="14"/>
                <w:szCs w:val="14"/>
                <w:lang w:eastAsia="tr-TR"/>
              </w:rPr>
              <w:t>16,110</w:t>
            </w:r>
          </w:p>
        </w:tc>
      </w:tr>
      <w:tr w:rsidR="00CA4676" w:rsidRPr="00CA4676" w14:paraId="5674F83F"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8031985" w14:textId="77777777" w:rsidR="00CA4676" w:rsidRPr="00CA4676" w:rsidRDefault="00CA4676" w:rsidP="00CA4676">
            <w:pPr>
              <w:rPr>
                <w:color w:val="000000"/>
                <w:sz w:val="14"/>
                <w:szCs w:val="14"/>
                <w:lang w:eastAsia="tr-TR"/>
              </w:rPr>
            </w:pPr>
            <w:r w:rsidRPr="00CA4676">
              <w:rPr>
                <w:color w:val="000000"/>
                <w:sz w:val="14"/>
                <w:szCs w:val="14"/>
                <w:lang w:val="en-US" w:eastAsia="tr-TR"/>
              </w:rPr>
              <w:t>2.6.</w:t>
            </w:r>
          </w:p>
        </w:tc>
        <w:tc>
          <w:tcPr>
            <w:tcW w:w="3606" w:type="dxa"/>
            <w:tcBorders>
              <w:top w:val="nil"/>
              <w:left w:val="single" w:sz="4" w:space="0" w:color="auto"/>
              <w:bottom w:val="nil"/>
              <w:right w:val="single" w:sz="4" w:space="0" w:color="auto"/>
            </w:tcBorders>
            <w:shd w:val="clear" w:color="auto" w:fill="auto"/>
            <w:vAlign w:val="center"/>
            <w:hideMark/>
          </w:tcPr>
          <w:p w14:paraId="29F6F6DC"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Diğer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Kâr</w:t>
            </w:r>
            <w:proofErr w:type="spellEnd"/>
            <w:r w:rsidRPr="00CA4676">
              <w:rPr>
                <w:color w:val="000000"/>
                <w:sz w:val="14"/>
                <w:szCs w:val="14"/>
                <w:lang w:val="en-US" w:eastAsia="tr-TR"/>
              </w:rPr>
              <w:t xml:space="preserve"> Payı </w:t>
            </w:r>
            <w:proofErr w:type="spellStart"/>
            <w:r w:rsidRPr="00CA4676">
              <w:rPr>
                <w:color w:val="000000"/>
                <w:sz w:val="14"/>
                <w:szCs w:val="14"/>
                <w:lang w:val="en-US" w:eastAsia="tr-TR"/>
              </w:rPr>
              <w:t>Giderleri</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02690D00"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13245986" w14:textId="77777777" w:rsidR="00CA4676" w:rsidRPr="00CA4676" w:rsidRDefault="00CA4676" w:rsidP="00717AB5">
            <w:pPr>
              <w:jc w:val="right"/>
              <w:rPr>
                <w:sz w:val="14"/>
                <w:szCs w:val="14"/>
                <w:lang w:eastAsia="tr-TR"/>
              </w:rPr>
            </w:pPr>
            <w:r w:rsidRPr="00CA4676">
              <w:rPr>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748B16B6"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16F33B55"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0C37DF0F"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1104A41A"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606472C2"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III.</w:t>
            </w:r>
          </w:p>
        </w:tc>
        <w:tc>
          <w:tcPr>
            <w:tcW w:w="3606" w:type="dxa"/>
            <w:tcBorders>
              <w:top w:val="nil"/>
              <w:left w:val="single" w:sz="4" w:space="0" w:color="auto"/>
              <w:bottom w:val="nil"/>
              <w:right w:val="single" w:sz="4" w:space="0" w:color="auto"/>
            </w:tcBorders>
            <w:shd w:val="clear" w:color="auto" w:fill="auto"/>
            <w:vAlign w:val="center"/>
            <w:hideMark/>
          </w:tcPr>
          <w:p w14:paraId="08936F92"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NET KÂR PAYI GELİRİ/GİDERİ (I - II)</w:t>
            </w:r>
          </w:p>
        </w:tc>
        <w:tc>
          <w:tcPr>
            <w:tcW w:w="650" w:type="dxa"/>
            <w:tcBorders>
              <w:top w:val="nil"/>
              <w:left w:val="single" w:sz="4" w:space="0" w:color="auto"/>
              <w:bottom w:val="nil"/>
              <w:right w:val="single" w:sz="4" w:space="0" w:color="auto"/>
            </w:tcBorders>
            <w:shd w:val="clear" w:color="auto" w:fill="auto"/>
            <w:noWrap/>
            <w:vAlign w:val="center"/>
            <w:hideMark/>
          </w:tcPr>
          <w:p w14:paraId="1B2BE784"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7E5D849F" w14:textId="77777777" w:rsidR="00CA4676" w:rsidRPr="00CA4676" w:rsidRDefault="00CA4676" w:rsidP="00717AB5">
            <w:pPr>
              <w:jc w:val="right"/>
              <w:rPr>
                <w:b/>
                <w:bCs/>
                <w:sz w:val="14"/>
                <w:szCs w:val="14"/>
                <w:lang w:eastAsia="tr-TR"/>
              </w:rPr>
            </w:pPr>
            <w:r w:rsidRPr="00CA4676">
              <w:rPr>
                <w:b/>
                <w:bCs/>
                <w:sz w:val="14"/>
                <w:szCs w:val="16"/>
                <w:lang w:eastAsia="tr-TR"/>
              </w:rPr>
              <w:t>4,415,628</w:t>
            </w:r>
          </w:p>
        </w:tc>
        <w:tc>
          <w:tcPr>
            <w:tcW w:w="1170" w:type="dxa"/>
            <w:tcBorders>
              <w:top w:val="nil"/>
              <w:left w:val="nil"/>
              <w:bottom w:val="nil"/>
              <w:right w:val="single" w:sz="4" w:space="0" w:color="auto"/>
            </w:tcBorders>
            <w:shd w:val="clear" w:color="auto" w:fill="auto"/>
            <w:vAlign w:val="bottom"/>
            <w:hideMark/>
          </w:tcPr>
          <w:p w14:paraId="64B5C783" w14:textId="77777777" w:rsidR="00CA4676" w:rsidRPr="00CA4676" w:rsidRDefault="00CA4676" w:rsidP="00717AB5">
            <w:pPr>
              <w:jc w:val="right"/>
              <w:rPr>
                <w:b/>
                <w:bCs/>
                <w:sz w:val="14"/>
                <w:szCs w:val="14"/>
                <w:lang w:eastAsia="tr-TR"/>
              </w:rPr>
            </w:pPr>
            <w:r w:rsidRPr="00CA4676">
              <w:rPr>
                <w:b/>
                <w:bCs/>
                <w:sz w:val="14"/>
                <w:szCs w:val="14"/>
                <w:lang w:eastAsia="tr-TR"/>
              </w:rPr>
              <w:t>1,797,382</w:t>
            </w:r>
          </w:p>
        </w:tc>
        <w:tc>
          <w:tcPr>
            <w:tcW w:w="1275" w:type="dxa"/>
            <w:tcBorders>
              <w:top w:val="nil"/>
              <w:left w:val="nil"/>
              <w:bottom w:val="nil"/>
              <w:right w:val="single" w:sz="4" w:space="0" w:color="auto"/>
            </w:tcBorders>
            <w:shd w:val="clear" w:color="auto" w:fill="auto"/>
            <w:vAlign w:val="bottom"/>
            <w:hideMark/>
          </w:tcPr>
          <w:p w14:paraId="2CB3E141" w14:textId="77777777" w:rsidR="00CA4676" w:rsidRPr="00CA4676" w:rsidRDefault="00CA4676" w:rsidP="00717AB5">
            <w:pPr>
              <w:jc w:val="right"/>
              <w:rPr>
                <w:b/>
                <w:bCs/>
                <w:sz w:val="14"/>
                <w:szCs w:val="14"/>
                <w:lang w:eastAsia="tr-TR"/>
              </w:rPr>
            </w:pPr>
            <w:r w:rsidRPr="00CA4676">
              <w:rPr>
                <w:b/>
                <w:bCs/>
                <w:sz w:val="14"/>
                <w:szCs w:val="14"/>
                <w:lang w:eastAsia="tr-TR"/>
              </w:rPr>
              <w:t>2,538,338</w:t>
            </w:r>
          </w:p>
        </w:tc>
        <w:tc>
          <w:tcPr>
            <w:tcW w:w="1276" w:type="dxa"/>
            <w:tcBorders>
              <w:top w:val="nil"/>
              <w:left w:val="single" w:sz="4" w:space="0" w:color="auto"/>
              <w:bottom w:val="nil"/>
              <w:right w:val="single" w:sz="4" w:space="0" w:color="auto"/>
            </w:tcBorders>
            <w:shd w:val="clear" w:color="auto" w:fill="auto"/>
            <w:vAlign w:val="bottom"/>
            <w:hideMark/>
          </w:tcPr>
          <w:p w14:paraId="0BD54D56" w14:textId="77777777" w:rsidR="00CA4676" w:rsidRPr="00CA4676" w:rsidRDefault="00CA4676" w:rsidP="00717AB5">
            <w:pPr>
              <w:jc w:val="right"/>
              <w:rPr>
                <w:b/>
                <w:bCs/>
                <w:sz w:val="14"/>
                <w:szCs w:val="14"/>
                <w:lang w:eastAsia="tr-TR"/>
              </w:rPr>
            </w:pPr>
            <w:r w:rsidRPr="00CA4676">
              <w:rPr>
                <w:b/>
                <w:bCs/>
                <w:sz w:val="14"/>
                <w:szCs w:val="14"/>
                <w:lang w:eastAsia="tr-TR"/>
              </w:rPr>
              <w:t>901,538</w:t>
            </w:r>
          </w:p>
        </w:tc>
      </w:tr>
      <w:tr w:rsidR="00CA4676" w:rsidRPr="00CA4676" w14:paraId="53853CF3"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7A183456"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IV.</w:t>
            </w:r>
          </w:p>
        </w:tc>
        <w:tc>
          <w:tcPr>
            <w:tcW w:w="3606" w:type="dxa"/>
            <w:tcBorders>
              <w:top w:val="nil"/>
              <w:left w:val="single" w:sz="4" w:space="0" w:color="auto"/>
              <w:bottom w:val="nil"/>
              <w:right w:val="single" w:sz="4" w:space="0" w:color="auto"/>
            </w:tcBorders>
            <w:shd w:val="clear" w:color="auto" w:fill="auto"/>
            <w:vAlign w:val="center"/>
            <w:hideMark/>
          </w:tcPr>
          <w:p w14:paraId="0D9CBE9B" w14:textId="77777777" w:rsidR="00CA4676" w:rsidRPr="00CA4676" w:rsidRDefault="00CA4676" w:rsidP="00CA4676">
            <w:pPr>
              <w:rPr>
                <w:b/>
                <w:bCs/>
                <w:color w:val="000000"/>
                <w:sz w:val="14"/>
                <w:szCs w:val="14"/>
                <w:lang w:eastAsia="tr-TR"/>
              </w:rPr>
            </w:pPr>
            <w:r w:rsidRPr="00311DAB">
              <w:rPr>
                <w:b/>
                <w:bCs/>
                <w:color w:val="000000"/>
                <w:sz w:val="14"/>
                <w:szCs w:val="14"/>
                <w:lang w:eastAsia="tr-TR"/>
              </w:rPr>
              <w:t>NET ÜCRET VE KOMİSYON GELİRLERİ/GİDERLERİ</w:t>
            </w:r>
          </w:p>
        </w:tc>
        <w:tc>
          <w:tcPr>
            <w:tcW w:w="650" w:type="dxa"/>
            <w:tcBorders>
              <w:top w:val="nil"/>
              <w:left w:val="single" w:sz="4" w:space="0" w:color="auto"/>
              <w:bottom w:val="nil"/>
              <w:right w:val="single" w:sz="4" w:space="0" w:color="auto"/>
            </w:tcBorders>
            <w:shd w:val="clear" w:color="auto" w:fill="auto"/>
            <w:noWrap/>
            <w:vAlign w:val="center"/>
            <w:hideMark/>
          </w:tcPr>
          <w:p w14:paraId="5149016C"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78C86027" w14:textId="77777777" w:rsidR="00CA4676" w:rsidRPr="00CA4676" w:rsidRDefault="00CA4676" w:rsidP="00717AB5">
            <w:pPr>
              <w:jc w:val="right"/>
              <w:rPr>
                <w:b/>
                <w:bCs/>
                <w:sz w:val="14"/>
                <w:szCs w:val="14"/>
                <w:lang w:eastAsia="tr-TR"/>
              </w:rPr>
            </w:pPr>
            <w:r w:rsidRPr="00CA4676">
              <w:rPr>
                <w:b/>
                <w:bCs/>
                <w:sz w:val="14"/>
                <w:szCs w:val="16"/>
                <w:lang w:eastAsia="tr-TR"/>
              </w:rPr>
              <w:t>255,629</w:t>
            </w:r>
          </w:p>
        </w:tc>
        <w:tc>
          <w:tcPr>
            <w:tcW w:w="1170" w:type="dxa"/>
            <w:tcBorders>
              <w:top w:val="nil"/>
              <w:left w:val="nil"/>
              <w:bottom w:val="nil"/>
              <w:right w:val="single" w:sz="4" w:space="0" w:color="auto"/>
            </w:tcBorders>
            <w:shd w:val="clear" w:color="auto" w:fill="auto"/>
            <w:vAlign w:val="bottom"/>
            <w:hideMark/>
          </w:tcPr>
          <w:p w14:paraId="3A1DA2CB" w14:textId="77777777" w:rsidR="00CA4676" w:rsidRPr="00CA4676" w:rsidRDefault="00CA4676" w:rsidP="00717AB5">
            <w:pPr>
              <w:jc w:val="right"/>
              <w:rPr>
                <w:b/>
                <w:bCs/>
                <w:sz w:val="14"/>
                <w:szCs w:val="14"/>
                <w:lang w:eastAsia="tr-TR"/>
              </w:rPr>
            </w:pPr>
            <w:r w:rsidRPr="00CA4676">
              <w:rPr>
                <w:b/>
                <w:bCs/>
                <w:sz w:val="14"/>
                <w:szCs w:val="14"/>
                <w:lang w:eastAsia="tr-TR"/>
              </w:rPr>
              <w:t>81,787</w:t>
            </w:r>
          </w:p>
        </w:tc>
        <w:tc>
          <w:tcPr>
            <w:tcW w:w="1275" w:type="dxa"/>
            <w:tcBorders>
              <w:top w:val="nil"/>
              <w:left w:val="nil"/>
              <w:bottom w:val="nil"/>
              <w:right w:val="single" w:sz="4" w:space="0" w:color="auto"/>
            </w:tcBorders>
            <w:shd w:val="clear" w:color="auto" w:fill="auto"/>
            <w:vAlign w:val="bottom"/>
            <w:hideMark/>
          </w:tcPr>
          <w:p w14:paraId="1DFB0B82" w14:textId="77777777" w:rsidR="00CA4676" w:rsidRPr="00CA4676" w:rsidRDefault="00CA4676" w:rsidP="00717AB5">
            <w:pPr>
              <w:jc w:val="right"/>
              <w:rPr>
                <w:b/>
                <w:bCs/>
                <w:sz w:val="14"/>
                <w:szCs w:val="14"/>
                <w:lang w:eastAsia="tr-TR"/>
              </w:rPr>
            </w:pPr>
            <w:r w:rsidRPr="00CA4676">
              <w:rPr>
                <w:b/>
                <w:bCs/>
                <w:sz w:val="14"/>
                <w:szCs w:val="14"/>
                <w:lang w:eastAsia="tr-TR"/>
              </w:rPr>
              <w:t>339,638</w:t>
            </w:r>
          </w:p>
        </w:tc>
        <w:tc>
          <w:tcPr>
            <w:tcW w:w="1276" w:type="dxa"/>
            <w:tcBorders>
              <w:top w:val="nil"/>
              <w:left w:val="single" w:sz="4" w:space="0" w:color="auto"/>
              <w:bottom w:val="nil"/>
              <w:right w:val="single" w:sz="4" w:space="0" w:color="auto"/>
            </w:tcBorders>
            <w:shd w:val="clear" w:color="auto" w:fill="auto"/>
            <w:vAlign w:val="bottom"/>
            <w:hideMark/>
          </w:tcPr>
          <w:p w14:paraId="42F531D3" w14:textId="77777777" w:rsidR="00CA4676" w:rsidRPr="00CA4676" w:rsidRDefault="00CA4676" w:rsidP="00717AB5">
            <w:pPr>
              <w:jc w:val="right"/>
              <w:rPr>
                <w:b/>
                <w:bCs/>
                <w:sz w:val="14"/>
                <w:szCs w:val="14"/>
                <w:lang w:eastAsia="tr-TR"/>
              </w:rPr>
            </w:pPr>
            <w:r w:rsidRPr="00CA4676">
              <w:rPr>
                <w:b/>
                <w:bCs/>
                <w:sz w:val="14"/>
                <w:szCs w:val="14"/>
                <w:lang w:eastAsia="tr-TR"/>
              </w:rPr>
              <w:t>109,726</w:t>
            </w:r>
          </w:p>
        </w:tc>
      </w:tr>
      <w:tr w:rsidR="00CA4676" w:rsidRPr="00CA4676" w14:paraId="718962BC"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39801330" w14:textId="77777777" w:rsidR="00CA4676" w:rsidRPr="00CA4676" w:rsidRDefault="00CA4676" w:rsidP="00CA4676">
            <w:pPr>
              <w:rPr>
                <w:color w:val="000000"/>
                <w:sz w:val="14"/>
                <w:szCs w:val="14"/>
                <w:lang w:eastAsia="tr-TR"/>
              </w:rPr>
            </w:pPr>
            <w:r w:rsidRPr="00CA4676">
              <w:rPr>
                <w:color w:val="000000"/>
                <w:sz w:val="14"/>
                <w:szCs w:val="14"/>
                <w:lang w:val="en-US" w:eastAsia="tr-TR"/>
              </w:rPr>
              <w:t>4.1.</w:t>
            </w:r>
          </w:p>
        </w:tc>
        <w:tc>
          <w:tcPr>
            <w:tcW w:w="3606" w:type="dxa"/>
            <w:tcBorders>
              <w:top w:val="nil"/>
              <w:left w:val="single" w:sz="4" w:space="0" w:color="auto"/>
              <w:bottom w:val="nil"/>
              <w:right w:val="single" w:sz="4" w:space="0" w:color="auto"/>
            </w:tcBorders>
            <w:shd w:val="clear" w:color="auto" w:fill="auto"/>
            <w:vAlign w:val="center"/>
            <w:hideMark/>
          </w:tcPr>
          <w:p w14:paraId="016CFB46"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Alınan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Ücret</w:t>
            </w:r>
            <w:proofErr w:type="spellEnd"/>
            <w:r w:rsidRPr="00CA4676">
              <w:rPr>
                <w:color w:val="000000"/>
                <w:sz w:val="14"/>
                <w:szCs w:val="14"/>
                <w:lang w:val="en-US" w:eastAsia="tr-TR"/>
              </w:rPr>
              <w:t xml:space="preserve"> ve </w:t>
            </w:r>
            <w:proofErr w:type="spellStart"/>
            <w:r w:rsidRPr="00CA4676">
              <w:rPr>
                <w:color w:val="000000"/>
                <w:sz w:val="14"/>
                <w:szCs w:val="14"/>
                <w:lang w:val="en-US" w:eastAsia="tr-TR"/>
              </w:rPr>
              <w:t>Komisyonlar</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4CF04FF2"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3A37D480" w14:textId="77777777" w:rsidR="00CA4676" w:rsidRPr="00CA4676" w:rsidRDefault="00CA4676" w:rsidP="00717AB5">
            <w:pPr>
              <w:jc w:val="right"/>
              <w:rPr>
                <w:sz w:val="14"/>
                <w:szCs w:val="14"/>
                <w:lang w:eastAsia="tr-TR"/>
              </w:rPr>
            </w:pPr>
            <w:r w:rsidRPr="00CA4676">
              <w:rPr>
                <w:sz w:val="14"/>
                <w:szCs w:val="16"/>
                <w:lang w:eastAsia="tr-TR"/>
              </w:rPr>
              <w:t>584,547</w:t>
            </w:r>
          </w:p>
        </w:tc>
        <w:tc>
          <w:tcPr>
            <w:tcW w:w="1170" w:type="dxa"/>
            <w:tcBorders>
              <w:top w:val="nil"/>
              <w:left w:val="nil"/>
              <w:bottom w:val="nil"/>
              <w:right w:val="single" w:sz="4" w:space="0" w:color="auto"/>
            </w:tcBorders>
            <w:shd w:val="clear" w:color="auto" w:fill="auto"/>
            <w:vAlign w:val="bottom"/>
            <w:hideMark/>
          </w:tcPr>
          <w:p w14:paraId="0AE012C9" w14:textId="77777777" w:rsidR="00CA4676" w:rsidRPr="00CA4676" w:rsidRDefault="00CA4676" w:rsidP="00717AB5">
            <w:pPr>
              <w:jc w:val="right"/>
              <w:rPr>
                <w:sz w:val="14"/>
                <w:szCs w:val="14"/>
                <w:lang w:eastAsia="tr-TR"/>
              </w:rPr>
            </w:pPr>
            <w:r w:rsidRPr="00CA4676">
              <w:rPr>
                <w:sz w:val="14"/>
                <w:szCs w:val="14"/>
                <w:lang w:eastAsia="tr-TR"/>
              </w:rPr>
              <w:t>204,152</w:t>
            </w:r>
          </w:p>
        </w:tc>
        <w:tc>
          <w:tcPr>
            <w:tcW w:w="1275" w:type="dxa"/>
            <w:tcBorders>
              <w:top w:val="nil"/>
              <w:left w:val="nil"/>
              <w:bottom w:val="nil"/>
              <w:right w:val="single" w:sz="4" w:space="0" w:color="auto"/>
            </w:tcBorders>
            <w:shd w:val="clear" w:color="auto" w:fill="auto"/>
            <w:vAlign w:val="bottom"/>
            <w:hideMark/>
          </w:tcPr>
          <w:p w14:paraId="513D6C28" w14:textId="77777777" w:rsidR="00CA4676" w:rsidRPr="00CA4676" w:rsidRDefault="00CA4676" w:rsidP="00717AB5">
            <w:pPr>
              <w:jc w:val="right"/>
              <w:rPr>
                <w:sz w:val="14"/>
                <w:szCs w:val="14"/>
                <w:lang w:eastAsia="tr-TR"/>
              </w:rPr>
            </w:pPr>
            <w:r w:rsidRPr="00CA4676">
              <w:rPr>
                <w:sz w:val="14"/>
                <w:szCs w:val="14"/>
                <w:lang w:eastAsia="tr-TR"/>
              </w:rPr>
              <w:t>565,732</w:t>
            </w:r>
          </w:p>
        </w:tc>
        <w:tc>
          <w:tcPr>
            <w:tcW w:w="1276" w:type="dxa"/>
            <w:tcBorders>
              <w:top w:val="nil"/>
              <w:left w:val="single" w:sz="4" w:space="0" w:color="auto"/>
              <w:bottom w:val="nil"/>
              <w:right w:val="single" w:sz="4" w:space="0" w:color="auto"/>
            </w:tcBorders>
            <w:shd w:val="clear" w:color="auto" w:fill="auto"/>
            <w:vAlign w:val="bottom"/>
            <w:hideMark/>
          </w:tcPr>
          <w:p w14:paraId="3C6B0AC8" w14:textId="77777777" w:rsidR="00CA4676" w:rsidRPr="00CA4676" w:rsidRDefault="00CA4676" w:rsidP="00717AB5">
            <w:pPr>
              <w:jc w:val="right"/>
              <w:rPr>
                <w:sz w:val="14"/>
                <w:szCs w:val="14"/>
                <w:lang w:eastAsia="tr-TR"/>
              </w:rPr>
            </w:pPr>
            <w:r w:rsidRPr="00CA4676">
              <w:rPr>
                <w:sz w:val="14"/>
                <w:szCs w:val="14"/>
                <w:lang w:eastAsia="tr-TR"/>
              </w:rPr>
              <w:t>189,518</w:t>
            </w:r>
          </w:p>
        </w:tc>
      </w:tr>
      <w:tr w:rsidR="00CA4676" w:rsidRPr="00CA4676" w14:paraId="1E03325E"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3E9DBC76" w14:textId="77777777" w:rsidR="00CA4676" w:rsidRPr="00CA4676" w:rsidRDefault="00CA4676" w:rsidP="00CA4676">
            <w:pPr>
              <w:rPr>
                <w:color w:val="000000"/>
                <w:sz w:val="14"/>
                <w:szCs w:val="14"/>
                <w:lang w:eastAsia="tr-TR"/>
              </w:rPr>
            </w:pPr>
            <w:r w:rsidRPr="00CA4676">
              <w:rPr>
                <w:color w:val="000000"/>
                <w:sz w:val="14"/>
                <w:szCs w:val="14"/>
                <w:lang w:val="en-US" w:eastAsia="tr-TR"/>
              </w:rPr>
              <w:t>4.1.1.</w:t>
            </w:r>
          </w:p>
        </w:tc>
        <w:tc>
          <w:tcPr>
            <w:tcW w:w="3606" w:type="dxa"/>
            <w:tcBorders>
              <w:top w:val="nil"/>
              <w:left w:val="single" w:sz="4" w:space="0" w:color="auto"/>
              <w:bottom w:val="nil"/>
              <w:right w:val="single" w:sz="4" w:space="0" w:color="auto"/>
            </w:tcBorders>
            <w:shd w:val="clear" w:color="auto" w:fill="auto"/>
            <w:vAlign w:val="center"/>
            <w:hideMark/>
          </w:tcPr>
          <w:p w14:paraId="4453BF94"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Gayri</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Nakdi</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Kredilerden</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5BE959E5"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222A8AD2" w14:textId="77777777" w:rsidR="00CA4676" w:rsidRPr="00CA4676" w:rsidRDefault="00CA4676" w:rsidP="00717AB5">
            <w:pPr>
              <w:jc w:val="right"/>
              <w:rPr>
                <w:sz w:val="14"/>
                <w:szCs w:val="14"/>
                <w:lang w:eastAsia="tr-TR"/>
              </w:rPr>
            </w:pPr>
            <w:r w:rsidRPr="00CA4676">
              <w:rPr>
                <w:sz w:val="14"/>
                <w:szCs w:val="16"/>
                <w:lang w:eastAsia="tr-TR"/>
              </w:rPr>
              <w:t>102,828</w:t>
            </w:r>
          </w:p>
        </w:tc>
        <w:tc>
          <w:tcPr>
            <w:tcW w:w="1170" w:type="dxa"/>
            <w:tcBorders>
              <w:top w:val="nil"/>
              <w:left w:val="nil"/>
              <w:bottom w:val="nil"/>
              <w:right w:val="single" w:sz="4" w:space="0" w:color="auto"/>
            </w:tcBorders>
            <w:shd w:val="clear" w:color="auto" w:fill="auto"/>
            <w:vAlign w:val="bottom"/>
            <w:hideMark/>
          </w:tcPr>
          <w:p w14:paraId="551C71F4" w14:textId="77777777" w:rsidR="00CA4676" w:rsidRPr="00CA4676" w:rsidRDefault="00CA4676" w:rsidP="00717AB5">
            <w:pPr>
              <w:jc w:val="right"/>
              <w:rPr>
                <w:sz w:val="14"/>
                <w:szCs w:val="14"/>
                <w:lang w:eastAsia="tr-TR"/>
              </w:rPr>
            </w:pPr>
            <w:r w:rsidRPr="00CA4676">
              <w:rPr>
                <w:sz w:val="14"/>
                <w:szCs w:val="14"/>
                <w:lang w:eastAsia="tr-TR"/>
              </w:rPr>
              <w:t>33,358</w:t>
            </w:r>
          </w:p>
        </w:tc>
        <w:tc>
          <w:tcPr>
            <w:tcW w:w="1275" w:type="dxa"/>
            <w:tcBorders>
              <w:top w:val="nil"/>
              <w:left w:val="nil"/>
              <w:bottom w:val="nil"/>
              <w:right w:val="single" w:sz="4" w:space="0" w:color="auto"/>
            </w:tcBorders>
            <w:shd w:val="clear" w:color="auto" w:fill="auto"/>
            <w:vAlign w:val="bottom"/>
            <w:hideMark/>
          </w:tcPr>
          <w:p w14:paraId="3F4C8B69" w14:textId="77777777" w:rsidR="00CA4676" w:rsidRPr="00CA4676" w:rsidRDefault="00CA4676" w:rsidP="00717AB5">
            <w:pPr>
              <w:jc w:val="right"/>
              <w:rPr>
                <w:sz w:val="14"/>
                <w:szCs w:val="14"/>
                <w:lang w:eastAsia="tr-TR"/>
              </w:rPr>
            </w:pPr>
            <w:r w:rsidRPr="00CA4676">
              <w:rPr>
                <w:sz w:val="14"/>
                <w:szCs w:val="14"/>
                <w:lang w:eastAsia="tr-TR"/>
              </w:rPr>
              <w:t>107,360</w:t>
            </w:r>
          </w:p>
        </w:tc>
        <w:tc>
          <w:tcPr>
            <w:tcW w:w="1276" w:type="dxa"/>
            <w:tcBorders>
              <w:top w:val="nil"/>
              <w:left w:val="single" w:sz="4" w:space="0" w:color="auto"/>
              <w:bottom w:val="nil"/>
              <w:right w:val="single" w:sz="4" w:space="0" w:color="auto"/>
            </w:tcBorders>
            <w:shd w:val="clear" w:color="auto" w:fill="auto"/>
            <w:vAlign w:val="bottom"/>
            <w:hideMark/>
          </w:tcPr>
          <w:p w14:paraId="768D18F4" w14:textId="77777777" w:rsidR="00CA4676" w:rsidRPr="00CA4676" w:rsidRDefault="00CA4676" w:rsidP="00717AB5">
            <w:pPr>
              <w:jc w:val="right"/>
              <w:rPr>
                <w:sz w:val="14"/>
                <w:szCs w:val="14"/>
                <w:lang w:eastAsia="tr-TR"/>
              </w:rPr>
            </w:pPr>
            <w:r w:rsidRPr="00CA4676">
              <w:rPr>
                <w:sz w:val="14"/>
                <w:szCs w:val="14"/>
                <w:lang w:eastAsia="tr-TR"/>
              </w:rPr>
              <w:t>35,338</w:t>
            </w:r>
          </w:p>
        </w:tc>
      </w:tr>
      <w:tr w:rsidR="00CA4676" w:rsidRPr="00CA4676" w14:paraId="4BF2056B"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BAFFF03" w14:textId="77777777" w:rsidR="00CA4676" w:rsidRPr="00CA4676" w:rsidRDefault="00CA4676" w:rsidP="00CA4676">
            <w:pPr>
              <w:rPr>
                <w:color w:val="000000"/>
                <w:sz w:val="14"/>
                <w:szCs w:val="14"/>
                <w:lang w:eastAsia="tr-TR"/>
              </w:rPr>
            </w:pPr>
            <w:r w:rsidRPr="00CA4676">
              <w:rPr>
                <w:color w:val="000000"/>
                <w:sz w:val="14"/>
                <w:szCs w:val="14"/>
                <w:lang w:val="en-US" w:eastAsia="tr-TR"/>
              </w:rPr>
              <w:t>4.1.2.</w:t>
            </w:r>
          </w:p>
        </w:tc>
        <w:tc>
          <w:tcPr>
            <w:tcW w:w="3606" w:type="dxa"/>
            <w:tcBorders>
              <w:top w:val="nil"/>
              <w:left w:val="single" w:sz="4" w:space="0" w:color="auto"/>
              <w:bottom w:val="nil"/>
              <w:right w:val="single" w:sz="4" w:space="0" w:color="auto"/>
            </w:tcBorders>
            <w:shd w:val="clear" w:color="auto" w:fill="auto"/>
            <w:vAlign w:val="center"/>
            <w:hideMark/>
          </w:tcPr>
          <w:p w14:paraId="29D6FF24"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Diğer</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3806D508"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79275C49" w14:textId="77777777" w:rsidR="00CA4676" w:rsidRPr="00CA4676" w:rsidRDefault="00CA4676" w:rsidP="00717AB5">
            <w:pPr>
              <w:jc w:val="right"/>
              <w:rPr>
                <w:sz w:val="14"/>
                <w:szCs w:val="14"/>
                <w:lang w:eastAsia="tr-TR"/>
              </w:rPr>
            </w:pPr>
            <w:r w:rsidRPr="00CA4676">
              <w:rPr>
                <w:sz w:val="14"/>
                <w:szCs w:val="16"/>
                <w:lang w:eastAsia="tr-TR"/>
              </w:rPr>
              <w:t>481,719</w:t>
            </w:r>
          </w:p>
        </w:tc>
        <w:tc>
          <w:tcPr>
            <w:tcW w:w="1170" w:type="dxa"/>
            <w:tcBorders>
              <w:top w:val="nil"/>
              <w:left w:val="nil"/>
              <w:bottom w:val="nil"/>
              <w:right w:val="single" w:sz="4" w:space="0" w:color="auto"/>
            </w:tcBorders>
            <w:shd w:val="clear" w:color="auto" w:fill="auto"/>
            <w:vAlign w:val="bottom"/>
            <w:hideMark/>
          </w:tcPr>
          <w:p w14:paraId="760C4830" w14:textId="77777777" w:rsidR="00CA4676" w:rsidRPr="00CA4676" w:rsidRDefault="00CA4676" w:rsidP="00717AB5">
            <w:pPr>
              <w:jc w:val="right"/>
              <w:rPr>
                <w:sz w:val="14"/>
                <w:szCs w:val="14"/>
                <w:lang w:eastAsia="tr-TR"/>
              </w:rPr>
            </w:pPr>
            <w:r w:rsidRPr="00CA4676">
              <w:rPr>
                <w:sz w:val="14"/>
                <w:szCs w:val="14"/>
                <w:lang w:eastAsia="tr-TR"/>
              </w:rPr>
              <w:t>170,794</w:t>
            </w:r>
          </w:p>
        </w:tc>
        <w:tc>
          <w:tcPr>
            <w:tcW w:w="1275" w:type="dxa"/>
            <w:tcBorders>
              <w:top w:val="nil"/>
              <w:left w:val="nil"/>
              <w:bottom w:val="nil"/>
              <w:right w:val="single" w:sz="4" w:space="0" w:color="auto"/>
            </w:tcBorders>
            <w:shd w:val="clear" w:color="auto" w:fill="auto"/>
            <w:vAlign w:val="bottom"/>
            <w:hideMark/>
          </w:tcPr>
          <w:p w14:paraId="503A5A63" w14:textId="77777777" w:rsidR="00CA4676" w:rsidRPr="00CA4676" w:rsidRDefault="00CA4676" w:rsidP="00717AB5">
            <w:pPr>
              <w:jc w:val="right"/>
              <w:rPr>
                <w:sz w:val="14"/>
                <w:szCs w:val="14"/>
                <w:lang w:eastAsia="tr-TR"/>
              </w:rPr>
            </w:pPr>
            <w:r w:rsidRPr="00CA4676">
              <w:rPr>
                <w:sz w:val="14"/>
                <w:szCs w:val="14"/>
                <w:lang w:eastAsia="tr-TR"/>
              </w:rPr>
              <w:t>458,372</w:t>
            </w:r>
          </w:p>
        </w:tc>
        <w:tc>
          <w:tcPr>
            <w:tcW w:w="1276" w:type="dxa"/>
            <w:tcBorders>
              <w:top w:val="nil"/>
              <w:left w:val="single" w:sz="4" w:space="0" w:color="auto"/>
              <w:bottom w:val="nil"/>
              <w:right w:val="single" w:sz="4" w:space="0" w:color="auto"/>
            </w:tcBorders>
            <w:shd w:val="clear" w:color="auto" w:fill="auto"/>
            <w:vAlign w:val="bottom"/>
            <w:hideMark/>
          </w:tcPr>
          <w:p w14:paraId="69AA7908" w14:textId="77777777" w:rsidR="00CA4676" w:rsidRPr="00CA4676" w:rsidRDefault="00CA4676" w:rsidP="00717AB5">
            <w:pPr>
              <w:jc w:val="right"/>
              <w:rPr>
                <w:sz w:val="14"/>
                <w:szCs w:val="14"/>
                <w:lang w:eastAsia="tr-TR"/>
              </w:rPr>
            </w:pPr>
            <w:r w:rsidRPr="00CA4676">
              <w:rPr>
                <w:sz w:val="14"/>
                <w:szCs w:val="14"/>
                <w:lang w:eastAsia="tr-TR"/>
              </w:rPr>
              <w:t>154,180</w:t>
            </w:r>
          </w:p>
        </w:tc>
      </w:tr>
      <w:tr w:rsidR="00CA4676" w:rsidRPr="00CA4676" w14:paraId="48EBC161"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1EC6A7B9" w14:textId="77777777" w:rsidR="00CA4676" w:rsidRPr="00CA4676" w:rsidRDefault="00CA4676" w:rsidP="00CA4676">
            <w:pPr>
              <w:rPr>
                <w:color w:val="000000"/>
                <w:sz w:val="14"/>
                <w:szCs w:val="14"/>
                <w:lang w:eastAsia="tr-TR"/>
              </w:rPr>
            </w:pPr>
            <w:r w:rsidRPr="00CA4676">
              <w:rPr>
                <w:color w:val="000000"/>
                <w:sz w:val="14"/>
                <w:szCs w:val="14"/>
                <w:lang w:val="en-US" w:eastAsia="tr-TR"/>
              </w:rPr>
              <w:t>4.2.</w:t>
            </w:r>
          </w:p>
        </w:tc>
        <w:tc>
          <w:tcPr>
            <w:tcW w:w="3606" w:type="dxa"/>
            <w:tcBorders>
              <w:top w:val="nil"/>
              <w:left w:val="single" w:sz="4" w:space="0" w:color="auto"/>
              <w:bottom w:val="nil"/>
              <w:right w:val="single" w:sz="4" w:space="0" w:color="auto"/>
            </w:tcBorders>
            <w:shd w:val="clear" w:color="auto" w:fill="auto"/>
            <w:vAlign w:val="center"/>
            <w:hideMark/>
          </w:tcPr>
          <w:p w14:paraId="461D337B"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Verilen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Ücret</w:t>
            </w:r>
            <w:proofErr w:type="spellEnd"/>
            <w:r w:rsidRPr="00CA4676">
              <w:rPr>
                <w:color w:val="000000"/>
                <w:sz w:val="14"/>
                <w:szCs w:val="14"/>
                <w:lang w:val="en-US" w:eastAsia="tr-TR"/>
              </w:rPr>
              <w:t xml:space="preserve"> ve </w:t>
            </w:r>
            <w:proofErr w:type="spellStart"/>
            <w:r w:rsidRPr="00CA4676">
              <w:rPr>
                <w:color w:val="000000"/>
                <w:sz w:val="14"/>
                <w:szCs w:val="14"/>
                <w:lang w:val="en-US" w:eastAsia="tr-TR"/>
              </w:rPr>
              <w:t>Komisyonlar</w:t>
            </w:r>
            <w:proofErr w:type="spellEnd"/>
            <w:r w:rsidRPr="00CA4676">
              <w:rPr>
                <w:color w:val="000000"/>
                <w:sz w:val="14"/>
                <w:szCs w:val="14"/>
                <w:lang w:val="en-US" w:eastAsia="tr-TR"/>
              </w:rPr>
              <w:t xml:space="preserve"> (-)</w:t>
            </w:r>
          </w:p>
        </w:tc>
        <w:tc>
          <w:tcPr>
            <w:tcW w:w="650" w:type="dxa"/>
            <w:tcBorders>
              <w:top w:val="nil"/>
              <w:left w:val="single" w:sz="4" w:space="0" w:color="auto"/>
              <w:bottom w:val="nil"/>
              <w:right w:val="single" w:sz="4" w:space="0" w:color="auto"/>
            </w:tcBorders>
            <w:shd w:val="clear" w:color="auto" w:fill="auto"/>
            <w:noWrap/>
            <w:vAlign w:val="center"/>
            <w:hideMark/>
          </w:tcPr>
          <w:p w14:paraId="694CD644"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43C4CDB6" w14:textId="77777777" w:rsidR="00CA4676" w:rsidRPr="00CA4676" w:rsidRDefault="00CA4676" w:rsidP="00717AB5">
            <w:pPr>
              <w:jc w:val="right"/>
              <w:rPr>
                <w:sz w:val="14"/>
                <w:szCs w:val="14"/>
                <w:lang w:eastAsia="tr-TR"/>
              </w:rPr>
            </w:pPr>
            <w:r w:rsidRPr="00CA4676">
              <w:rPr>
                <w:sz w:val="14"/>
                <w:szCs w:val="16"/>
                <w:lang w:eastAsia="tr-TR"/>
              </w:rPr>
              <w:t>328,918</w:t>
            </w:r>
          </w:p>
        </w:tc>
        <w:tc>
          <w:tcPr>
            <w:tcW w:w="1170" w:type="dxa"/>
            <w:tcBorders>
              <w:top w:val="nil"/>
              <w:left w:val="nil"/>
              <w:bottom w:val="nil"/>
              <w:right w:val="single" w:sz="4" w:space="0" w:color="auto"/>
            </w:tcBorders>
            <w:shd w:val="clear" w:color="auto" w:fill="auto"/>
            <w:vAlign w:val="bottom"/>
            <w:hideMark/>
          </w:tcPr>
          <w:p w14:paraId="7014A53E" w14:textId="77777777" w:rsidR="00CA4676" w:rsidRPr="00CA4676" w:rsidRDefault="00CA4676" w:rsidP="00717AB5">
            <w:pPr>
              <w:jc w:val="right"/>
              <w:rPr>
                <w:sz w:val="14"/>
                <w:szCs w:val="14"/>
                <w:lang w:eastAsia="tr-TR"/>
              </w:rPr>
            </w:pPr>
            <w:r w:rsidRPr="00CA4676">
              <w:rPr>
                <w:sz w:val="14"/>
                <w:szCs w:val="14"/>
                <w:lang w:eastAsia="tr-TR"/>
              </w:rPr>
              <w:t>122,365</w:t>
            </w:r>
          </w:p>
        </w:tc>
        <w:tc>
          <w:tcPr>
            <w:tcW w:w="1275" w:type="dxa"/>
            <w:tcBorders>
              <w:top w:val="nil"/>
              <w:left w:val="nil"/>
              <w:bottom w:val="nil"/>
              <w:right w:val="single" w:sz="4" w:space="0" w:color="auto"/>
            </w:tcBorders>
            <w:shd w:val="clear" w:color="auto" w:fill="auto"/>
            <w:vAlign w:val="bottom"/>
            <w:hideMark/>
          </w:tcPr>
          <w:p w14:paraId="63142B77" w14:textId="77777777" w:rsidR="00CA4676" w:rsidRPr="00CA4676" w:rsidRDefault="00CA4676" w:rsidP="00717AB5">
            <w:pPr>
              <w:jc w:val="right"/>
              <w:rPr>
                <w:sz w:val="14"/>
                <w:szCs w:val="14"/>
                <w:lang w:eastAsia="tr-TR"/>
              </w:rPr>
            </w:pPr>
            <w:r w:rsidRPr="00CA4676">
              <w:rPr>
                <w:sz w:val="14"/>
                <w:szCs w:val="14"/>
                <w:lang w:eastAsia="tr-TR"/>
              </w:rPr>
              <w:t>226,094</w:t>
            </w:r>
          </w:p>
        </w:tc>
        <w:tc>
          <w:tcPr>
            <w:tcW w:w="1276" w:type="dxa"/>
            <w:tcBorders>
              <w:top w:val="nil"/>
              <w:left w:val="single" w:sz="4" w:space="0" w:color="auto"/>
              <w:bottom w:val="nil"/>
              <w:right w:val="single" w:sz="4" w:space="0" w:color="auto"/>
            </w:tcBorders>
            <w:shd w:val="clear" w:color="auto" w:fill="auto"/>
            <w:vAlign w:val="bottom"/>
            <w:hideMark/>
          </w:tcPr>
          <w:p w14:paraId="17D45C75" w14:textId="77777777" w:rsidR="00CA4676" w:rsidRPr="00CA4676" w:rsidRDefault="00CA4676" w:rsidP="00717AB5">
            <w:pPr>
              <w:jc w:val="right"/>
              <w:rPr>
                <w:sz w:val="14"/>
                <w:szCs w:val="14"/>
                <w:lang w:eastAsia="tr-TR"/>
              </w:rPr>
            </w:pPr>
            <w:r w:rsidRPr="00CA4676">
              <w:rPr>
                <w:sz w:val="14"/>
                <w:szCs w:val="14"/>
                <w:lang w:eastAsia="tr-TR"/>
              </w:rPr>
              <w:t>79,792</w:t>
            </w:r>
          </w:p>
        </w:tc>
      </w:tr>
      <w:tr w:rsidR="00CA4676" w:rsidRPr="00CA4676" w14:paraId="34DB1F26"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17668E04" w14:textId="77777777" w:rsidR="00CA4676" w:rsidRPr="00CA4676" w:rsidRDefault="00CA4676" w:rsidP="00CA4676">
            <w:pPr>
              <w:rPr>
                <w:color w:val="000000"/>
                <w:sz w:val="14"/>
                <w:szCs w:val="14"/>
                <w:lang w:eastAsia="tr-TR"/>
              </w:rPr>
            </w:pPr>
            <w:r w:rsidRPr="00CA4676">
              <w:rPr>
                <w:color w:val="000000"/>
                <w:sz w:val="14"/>
                <w:szCs w:val="14"/>
                <w:lang w:val="en-US" w:eastAsia="tr-TR"/>
              </w:rPr>
              <w:t>4.2.1.</w:t>
            </w:r>
          </w:p>
        </w:tc>
        <w:tc>
          <w:tcPr>
            <w:tcW w:w="3606" w:type="dxa"/>
            <w:tcBorders>
              <w:top w:val="nil"/>
              <w:left w:val="single" w:sz="4" w:space="0" w:color="auto"/>
              <w:bottom w:val="nil"/>
              <w:right w:val="single" w:sz="4" w:space="0" w:color="auto"/>
            </w:tcBorders>
            <w:shd w:val="clear" w:color="auto" w:fill="auto"/>
            <w:vAlign w:val="center"/>
            <w:hideMark/>
          </w:tcPr>
          <w:p w14:paraId="5462F8E2"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Gayri</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Nakdi</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Kredilere</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73F2D03D"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452BA1B5" w14:textId="77777777" w:rsidR="00CA4676" w:rsidRPr="00CA4676" w:rsidRDefault="00CA4676" w:rsidP="00717AB5">
            <w:pPr>
              <w:jc w:val="right"/>
              <w:rPr>
                <w:sz w:val="14"/>
                <w:szCs w:val="14"/>
                <w:lang w:eastAsia="tr-TR"/>
              </w:rPr>
            </w:pPr>
            <w:r w:rsidRPr="00CA4676">
              <w:rPr>
                <w:sz w:val="14"/>
                <w:szCs w:val="16"/>
                <w:lang w:eastAsia="tr-TR"/>
              </w:rPr>
              <w:t>22</w:t>
            </w:r>
          </w:p>
        </w:tc>
        <w:tc>
          <w:tcPr>
            <w:tcW w:w="1170" w:type="dxa"/>
            <w:tcBorders>
              <w:top w:val="nil"/>
              <w:left w:val="nil"/>
              <w:bottom w:val="nil"/>
              <w:right w:val="single" w:sz="4" w:space="0" w:color="auto"/>
            </w:tcBorders>
            <w:shd w:val="clear" w:color="auto" w:fill="auto"/>
            <w:vAlign w:val="bottom"/>
            <w:hideMark/>
          </w:tcPr>
          <w:p w14:paraId="35E765CF" w14:textId="77777777" w:rsidR="00CA4676" w:rsidRPr="00CA4676" w:rsidRDefault="00CA4676" w:rsidP="00717AB5">
            <w:pPr>
              <w:jc w:val="right"/>
              <w:rPr>
                <w:sz w:val="14"/>
                <w:szCs w:val="14"/>
                <w:lang w:eastAsia="tr-TR"/>
              </w:rPr>
            </w:pPr>
            <w:r w:rsidRPr="00CA4676">
              <w:rPr>
                <w:sz w:val="14"/>
                <w:szCs w:val="14"/>
                <w:lang w:eastAsia="tr-TR"/>
              </w:rPr>
              <w:t>6</w:t>
            </w:r>
          </w:p>
        </w:tc>
        <w:tc>
          <w:tcPr>
            <w:tcW w:w="1275" w:type="dxa"/>
            <w:tcBorders>
              <w:top w:val="nil"/>
              <w:left w:val="nil"/>
              <w:bottom w:val="nil"/>
              <w:right w:val="single" w:sz="4" w:space="0" w:color="auto"/>
            </w:tcBorders>
            <w:shd w:val="clear" w:color="auto" w:fill="auto"/>
            <w:vAlign w:val="bottom"/>
            <w:hideMark/>
          </w:tcPr>
          <w:p w14:paraId="093993DD" w14:textId="77777777" w:rsidR="00CA4676" w:rsidRPr="00CA4676" w:rsidRDefault="00CA4676" w:rsidP="00717AB5">
            <w:pPr>
              <w:jc w:val="right"/>
              <w:rPr>
                <w:sz w:val="14"/>
                <w:szCs w:val="14"/>
                <w:lang w:eastAsia="tr-TR"/>
              </w:rPr>
            </w:pPr>
            <w:r w:rsidRPr="00CA4676">
              <w:rPr>
                <w:sz w:val="14"/>
                <w:szCs w:val="14"/>
                <w:lang w:eastAsia="tr-TR"/>
              </w:rPr>
              <w:t>16</w:t>
            </w:r>
          </w:p>
        </w:tc>
        <w:tc>
          <w:tcPr>
            <w:tcW w:w="1276" w:type="dxa"/>
            <w:tcBorders>
              <w:top w:val="nil"/>
              <w:left w:val="single" w:sz="4" w:space="0" w:color="auto"/>
              <w:bottom w:val="nil"/>
              <w:right w:val="single" w:sz="4" w:space="0" w:color="auto"/>
            </w:tcBorders>
            <w:shd w:val="clear" w:color="auto" w:fill="auto"/>
            <w:vAlign w:val="bottom"/>
            <w:hideMark/>
          </w:tcPr>
          <w:p w14:paraId="00EA3AB7" w14:textId="77777777" w:rsidR="00CA4676" w:rsidRPr="00CA4676" w:rsidRDefault="00CA4676" w:rsidP="00717AB5">
            <w:pPr>
              <w:jc w:val="right"/>
              <w:rPr>
                <w:sz w:val="14"/>
                <w:szCs w:val="14"/>
                <w:lang w:eastAsia="tr-TR"/>
              </w:rPr>
            </w:pPr>
            <w:r w:rsidRPr="00CA4676">
              <w:rPr>
                <w:sz w:val="14"/>
                <w:szCs w:val="14"/>
                <w:lang w:eastAsia="tr-TR"/>
              </w:rPr>
              <w:t>5</w:t>
            </w:r>
          </w:p>
        </w:tc>
      </w:tr>
      <w:tr w:rsidR="00CA4676" w:rsidRPr="00CA4676" w14:paraId="6CE48E60"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5546D623" w14:textId="77777777" w:rsidR="00CA4676" w:rsidRPr="00CA4676" w:rsidRDefault="00CA4676" w:rsidP="00CA4676">
            <w:pPr>
              <w:rPr>
                <w:color w:val="000000"/>
                <w:sz w:val="14"/>
                <w:szCs w:val="14"/>
                <w:lang w:eastAsia="tr-TR"/>
              </w:rPr>
            </w:pPr>
            <w:r w:rsidRPr="00CA4676">
              <w:rPr>
                <w:color w:val="000000"/>
                <w:sz w:val="14"/>
                <w:szCs w:val="14"/>
                <w:lang w:val="en-US" w:eastAsia="tr-TR"/>
              </w:rPr>
              <w:t>4.2.2.</w:t>
            </w:r>
          </w:p>
        </w:tc>
        <w:tc>
          <w:tcPr>
            <w:tcW w:w="3606" w:type="dxa"/>
            <w:tcBorders>
              <w:top w:val="nil"/>
              <w:left w:val="single" w:sz="4" w:space="0" w:color="auto"/>
              <w:bottom w:val="nil"/>
              <w:right w:val="single" w:sz="4" w:space="0" w:color="auto"/>
            </w:tcBorders>
            <w:shd w:val="clear" w:color="auto" w:fill="auto"/>
            <w:vAlign w:val="center"/>
            <w:hideMark/>
          </w:tcPr>
          <w:p w14:paraId="1991E02F"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Diğer</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0C52369B" w14:textId="77777777" w:rsidR="00CA4676" w:rsidRPr="00CA4676" w:rsidRDefault="00CA4676" w:rsidP="00CA4676">
            <w:pPr>
              <w:rPr>
                <w:color w:val="000000"/>
                <w:sz w:val="14"/>
                <w:szCs w:val="14"/>
                <w:lang w:eastAsia="tr-TR"/>
              </w:rPr>
            </w:pPr>
            <w:r w:rsidRPr="00CA4676">
              <w:rPr>
                <w:color w:val="000000"/>
                <w:sz w:val="14"/>
                <w:szCs w:val="14"/>
                <w:lang w:val="en-US" w:eastAsia="tr-TR"/>
              </w:rPr>
              <w:t>(5.4.13.)</w:t>
            </w:r>
          </w:p>
        </w:tc>
        <w:tc>
          <w:tcPr>
            <w:tcW w:w="1232" w:type="dxa"/>
            <w:tcBorders>
              <w:top w:val="nil"/>
              <w:left w:val="single" w:sz="4" w:space="0" w:color="auto"/>
              <w:bottom w:val="nil"/>
              <w:right w:val="single" w:sz="4" w:space="0" w:color="auto"/>
            </w:tcBorders>
            <w:shd w:val="clear" w:color="auto" w:fill="auto"/>
            <w:vAlign w:val="bottom"/>
            <w:hideMark/>
          </w:tcPr>
          <w:p w14:paraId="49058F61" w14:textId="77777777" w:rsidR="00CA4676" w:rsidRPr="00CA4676" w:rsidRDefault="00CA4676" w:rsidP="00717AB5">
            <w:pPr>
              <w:jc w:val="right"/>
              <w:rPr>
                <w:sz w:val="14"/>
                <w:szCs w:val="14"/>
                <w:lang w:eastAsia="tr-TR"/>
              </w:rPr>
            </w:pPr>
            <w:r w:rsidRPr="00CA4676">
              <w:rPr>
                <w:sz w:val="14"/>
                <w:szCs w:val="16"/>
                <w:lang w:eastAsia="tr-TR"/>
              </w:rPr>
              <w:t>328,896</w:t>
            </w:r>
          </w:p>
        </w:tc>
        <w:tc>
          <w:tcPr>
            <w:tcW w:w="1170" w:type="dxa"/>
            <w:tcBorders>
              <w:top w:val="nil"/>
              <w:left w:val="nil"/>
              <w:bottom w:val="nil"/>
              <w:right w:val="single" w:sz="4" w:space="0" w:color="auto"/>
            </w:tcBorders>
            <w:shd w:val="clear" w:color="auto" w:fill="auto"/>
            <w:vAlign w:val="bottom"/>
            <w:hideMark/>
          </w:tcPr>
          <w:p w14:paraId="755A697B" w14:textId="77777777" w:rsidR="00CA4676" w:rsidRPr="00CA4676" w:rsidRDefault="00CA4676" w:rsidP="00717AB5">
            <w:pPr>
              <w:jc w:val="right"/>
              <w:rPr>
                <w:sz w:val="14"/>
                <w:szCs w:val="14"/>
                <w:lang w:eastAsia="tr-TR"/>
              </w:rPr>
            </w:pPr>
            <w:r w:rsidRPr="00CA4676">
              <w:rPr>
                <w:sz w:val="14"/>
                <w:szCs w:val="14"/>
                <w:lang w:eastAsia="tr-TR"/>
              </w:rPr>
              <w:t>122,359</w:t>
            </w:r>
          </w:p>
        </w:tc>
        <w:tc>
          <w:tcPr>
            <w:tcW w:w="1275" w:type="dxa"/>
            <w:tcBorders>
              <w:top w:val="nil"/>
              <w:left w:val="nil"/>
              <w:bottom w:val="nil"/>
              <w:right w:val="single" w:sz="4" w:space="0" w:color="auto"/>
            </w:tcBorders>
            <w:shd w:val="clear" w:color="auto" w:fill="auto"/>
            <w:vAlign w:val="bottom"/>
            <w:hideMark/>
          </w:tcPr>
          <w:p w14:paraId="288D8D72" w14:textId="77777777" w:rsidR="00CA4676" w:rsidRPr="00CA4676" w:rsidRDefault="00CA4676" w:rsidP="00717AB5">
            <w:pPr>
              <w:jc w:val="right"/>
              <w:rPr>
                <w:sz w:val="14"/>
                <w:szCs w:val="14"/>
                <w:lang w:eastAsia="tr-TR"/>
              </w:rPr>
            </w:pPr>
            <w:r w:rsidRPr="00CA4676">
              <w:rPr>
                <w:sz w:val="14"/>
                <w:szCs w:val="14"/>
                <w:lang w:eastAsia="tr-TR"/>
              </w:rPr>
              <w:t>226,078</w:t>
            </w:r>
          </w:p>
        </w:tc>
        <w:tc>
          <w:tcPr>
            <w:tcW w:w="1276" w:type="dxa"/>
            <w:tcBorders>
              <w:top w:val="nil"/>
              <w:left w:val="single" w:sz="4" w:space="0" w:color="auto"/>
              <w:bottom w:val="nil"/>
              <w:right w:val="single" w:sz="4" w:space="0" w:color="auto"/>
            </w:tcBorders>
            <w:shd w:val="clear" w:color="auto" w:fill="auto"/>
            <w:vAlign w:val="bottom"/>
            <w:hideMark/>
          </w:tcPr>
          <w:p w14:paraId="59780855" w14:textId="77777777" w:rsidR="00CA4676" w:rsidRPr="00CA4676" w:rsidRDefault="00CA4676" w:rsidP="00717AB5">
            <w:pPr>
              <w:jc w:val="right"/>
              <w:rPr>
                <w:sz w:val="14"/>
                <w:szCs w:val="14"/>
                <w:lang w:eastAsia="tr-TR"/>
              </w:rPr>
            </w:pPr>
            <w:r w:rsidRPr="00CA4676">
              <w:rPr>
                <w:sz w:val="14"/>
                <w:szCs w:val="14"/>
                <w:lang w:eastAsia="tr-TR"/>
              </w:rPr>
              <w:t>79,787</w:t>
            </w:r>
          </w:p>
        </w:tc>
      </w:tr>
      <w:tr w:rsidR="00CA4676" w:rsidRPr="00CA4676" w14:paraId="6990F1FD"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1736EF7D"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V.</w:t>
            </w:r>
          </w:p>
        </w:tc>
        <w:tc>
          <w:tcPr>
            <w:tcW w:w="3606" w:type="dxa"/>
            <w:tcBorders>
              <w:top w:val="nil"/>
              <w:left w:val="single" w:sz="4" w:space="0" w:color="auto"/>
              <w:bottom w:val="nil"/>
              <w:right w:val="single" w:sz="4" w:space="0" w:color="auto"/>
            </w:tcBorders>
            <w:shd w:val="clear" w:color="auto" w:fill="auto"/>
            <w:vAlign w:val="center"/>
            <w:hideMark/>
          </w:tcPr>
          <w:p w14:paraId="318E5691"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TEMETTÜ GELİRLERİ</w:t>
            </w:r>
          </w:p>
        </w:tc>
        <w:tc>
          <w:tcPr>
            <w:tcW w:w="650" w:type="dxa"/>
            <w:tcBorders>
              <w:top w:val="nil"/>
              <w:left w:val="single" w:sz="4" w:space="0" w:color="auto"/>
              <w:bottom w:val="nil"/>
              <w:right w:val="single" w:sz="4" w:space="0" w:color="auto"/>
            </w:tcBorders>
            <w:shd w:val="clear" w:color="auto" w:fill="auto"/>
            <w:noWrap/>
            <w:vAlign w:val="center"/>
            <w:hideMark/>
          </w:tcPr>
          <w:p w14:paraId="3C9BCF71"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(5.4.3.)</w:t>
            </w:r>
          </w:p>
        </w:tc>
        <w:tc>
          <w:tcPr>
            <w:tcW w:w="1232" w:type="dxa"/>
            <w:tcBorders>
              <w:top w:val="nil"/>
              <w:left w:val="single" w:sz="4" w:space="0" w:color="auto"/>
              <w:bottom w:val="nil"/>
              <w:right w:val="single" w:sz="4" w:space="0" w:color="auto"/>
            </w:tcBorders>
            <w:shd w:val="clear" w:color="auto" w:fill="auto"/>
            <w:vAlign w:val="bottom"/>
            <w:hideMark/>
          </w:tcPr>
          <w:p w14:paraId="407208ED" w14:textId="77777777" w:rsidR="00CA4676" w:rsidRPr="00CA4676" w:rsidRDefault="00CA4676" w:rsidP="00717AB5">
            <w:pPr>
              <w:jc w:val="right"/>
              <w:rPr>
                <w:b/>
                <w:bCs/>
                <w:sz w:val="14"/>
                <w:szCs w:val="14"/>
                <w:lang w:eastAsia="tr-TR"/>
              </w:rPr>
            </w:pPr>
            <w:r w:rsidRPr="00CA4676">
              <w:rPr>
                <w:b/>
                <w:bCs/>
                <w:sz w:val="14"/>
                <w:szCs w:val="16"/>
                <w:lang w:eastAsia="tr-TR"/>
              </w:rPr>
              <w:t>68</w:t>
            </w:r>
          </w:p>
        </w:tc>
        <w:tc>
          <w:tcPr>
            <w:tcW w:w="1170" w:type="dxa"/>
            <w:tcBorders>
              <w:top w:val="nil"/>
              <w:left w:val="nil"/>
              <w:bottom w:val="nil"/>
              <w:right w:val="single" w:sz="4" w:space="0" w:color="auto"/>
            </w:tcBorders>
            <w:shd w:val="clear" w:color="auto" w:fill="auto"/>
            <w:vAlign w:val="bottom"/>
            <w:hideMark/>
          </w:tcPr>
          <w:p w14:paraId="71CD54FF" w14:textId="77777777" w:rsidR="00CA4676" w:rsidRPr="00CA4676" w:rsidRDefault="00CA4676" w:rsidP="00717AB5">
            <w:pPr>
              <w:jc w:val="right"/>
              <w:rPr>
                <w:b/>
                <w:bCs/>
                <w:sz w:val="14"/>
                <w:szCs w:val="14"/>
                <w:lang w:eastAsia="tr-TR"/>
              </w:rPr>
            </w:pPr>
            <w:r w:rsidRPr="00CA4676">
              <w:rPr>
                <w:b/>
                <w:bCs/>
                <w:sz w:val="14"/>
                <w:szCs w:val="14"/>
                <w:lang w:eastAsia="tr-TR"/>
              </w:rPr>
              <w:t>60</w:t>
            </w:r>
          </w:p>
        </w:tc>
        <w:tc>
          <w:tcPr>
            <w:tcW w:w="1275" w:type="dxa"/>
            <w:tcBorders>
              <w:top w:val="nil"/>
              <w:left w:val="nil"/>
              <w:bottom w:val="nil"/>
              <w:right w:val="single" w:sz="4" w:space="0" w:color="auto"/>
            </w:tcBorders>
            <w:shd w:val="clear" w:color="auto" w:fill="auto"/>
            <w:vAlign w:val="bottom"/>
            <w:hideMark/>
          </w:tcPr>
          <w:p w14:paraId="6D429FDD" w14:textId="77777777" w:rsidR="00CA4676" w:rsidRPr="00CA4676" w:rsidRDefault="00CA4676" w:rsidP="00717AB5">
            <w:pPr>
              <w:jc w:val="right"/>
              <w:rPr>
                <w:b/>
                <w:bCs/>
                <w:sz w:val="14"/>
                <w:szCs w:val="14"/>
                <w:lang w:eastAsia="tr-TR"/>
              </w:rPr>
            </w:pPr>
            <w:r w:rsidRPr="00CA4676">
              <w:rPr>
                <w:b/>
                <w:bCs/>
                <w:sz w:val="14"/>
                <w:szCs w:val="14"/>
                <w:lang w:eastAsia="tr-TR"/>
              </w:rPr>
              <w:t>2,922</w:t>
            </w:r>
          </w:p>
        </w:tc>
        <w:tc>
          <w:tcPr>
            <w:tcW w:w="1276" w:type="dxa"/>
            <w:tcBorders>
              <w:top w:val="nil"/>
              <w:left w:val="single" w:sz="4" w:space="0" w:color="auto"/>
              <w:bottom w:val="nil"/>
              <w:right w:val="single" w:sz="4" w:space="0" w:color="auto"/>
            </w:tcBorders>
            <w:shd w:val="clear" w:color="auto" w:fill="auto"/>
            <w:vAlign w:val="bottom"/>
            <w:hideMark/>
          </w:tcPr>
          <w:p w14:paraId="2FFBCA69" w14:textId="77777777" w:rsidR="00CA4676" w:rsidRPr="00CA4676" w:rsidRDefault="00CA4676" w:rsidP="00717AB5">
            <w:pPr>
              <w:jc w:val="right"/>
              <w:rPr>
                <w:b/>
                <w:bCs/>
                <w:sz w:val="14"/>
                <w:szCs w:val="14"/>
                <w:lang w:eastAsia="tr-TR"/>
              </w:rPr>
            </w:pPr>
            <w:r w:rsidRPr="00CA4676">
              <w:rPr>
                <w:b/>
                <w:bCs/>
                <w:sz w:val="14"/>
                <w:szCs w:val="14"/>
                <w:lang w:eastAsia="tr-TR"/>
              </w:rPr>
              <w:t>-</w:t>
            </w:r>
          </w:p>
        </w:tc>
      </w:tr>
      <w:tr w:rsidR="00CA4676" w:rsidRPr="00CA4676" w14:paraId="096DCD11"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78A05A90"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VI.</w:t>
            </w:r>
          </w:p>
        </w:tc>
        <w:tc>
          <w:tcPr>
            <w:tcW w:w="3606" w:type="dxa"/>
            <w:tcBorders>
              <w:top w:val="nil"/>
              <w:left w:val="single" w:sz="4" w:space="0" w:color="auto"/>
              <w:bottom w:val="nil"/>
              <w:right w:val="single" w:sz="4" w:space="0" w:color="auto"/>
            </w:tcBorders>
            <w:shd w:val="clear" w:color="auto" w:fill="auto"/>
            <w:vAlign w:val="center"/>
            <w:hideMark/>
          </w:tcPr>
          <w:p w14:paraId="3ABF367B"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TİCARİ KAR/ZARAR (Net)</w:t>
            </w:r>
          </w:p>
        </w:tc>
        <w:tc>
          <w:tcPr>
            <w:tcW w:w="650" w:type="dxa"/>
            <w:tcBorders>
              <w:top w:val="nil"/>
              <w:left w:val="single" w:sz="4" w:space="0" w:color="auto"/>
              <w:bottom w:val="nil"/>
              <w:right w:val="single" w:sz="4" w:space="0" w:color="auto"/>
            </w:tcBorders>
            <w:shd w:val="clear" w:color="auto" w:fill="auto"/>
            <w:noWrap/>
            <w:vAlign w:val="center"/>
            <w:hideMark/>
          </w:tcPr>
          <w:p w14:paraId="5499E360"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(5.4.5.)</w:t>
            </w:r>
          </w:p>
        </w:tc>
        <w:tc>
          <w:tcPr>
            <w:tcW w:w="1232" w:type="dxa"/>
            <w:tcBorders>
              <w:top w:val="nil"/>
              <w:left w:val="single" w:sz="4" w:space="0" w:color="auto"/>
              <w:bottom w:val="nil"/>
              <w:right w:val="single" w:sz="4" w:space="0" w:color="auto"/>
            </w:tcBorders>
            <w:shd w:val="clear" w:color="auto" w:fill="auto"/>
            <w:vAlign w:val="bottom"/>
            <w:hideMark/>
          </w:tcPr>
          <w:p w14:paraId="2EB4B9C9" w14:textId="77777777" w:rsidR="00CA4676" w:rsidRPr="00CA4676" w:rsidRDefault="00CA4676" w:rsidP="00717AB5">
            <w:pPr>
              <w:jc w:val="right"/>
              <w:rPr>
                <w:b/>
                <w:bCs/>
                <w:sz w:val="14"/>
                <w:szCs w:val="14"/>
                <w:lang w:eastAsia="tr-TR"/>
              </w:rPr>
            </w:pPr>
            <w:r w:rsidRPr="00CA4676">
              <w:rPr>
                <w:b/>
                <w:bCs/>
                <w:sz w:val="14"/>
                <w:szCs w:val="16"/>
                <w:lang w:eastAsia="tr-TR"/>
              </w:rPr>
              <w:t>844,334</w:t>
            </w:r>
          </w:p>
        </w:tc>
        <w:tc>
          <w:tcPr>
            <w:tcW w:w="1170" w:type="dxa"/>
            <w:tcBorders>
              <w:top w:val="nil"/>
              <w:left w:val="nil"/>
              <w:bottom w:val="nil"/>
              <w:right w:val="single" w:sz="4" w:space="0" w:color="auto"/>
            </w:tcBorders>
            <w:shd w:val="clear" w:color="auto" w:fill="auto"/>
            <w:vAlign w:val="bottom"/>
            <w:hideMark/>
          </w:tcPr>
          <w:p w14:paraId="66481AAD" w14:textId="77777777" w:rsidR="00CA4676" w:rsidRPr="00CA4676" w:rsidRDefault="00CA4676" w:rsidP="00717AB5">
            <w:pPr>
              <w:jc w:val="right"/>
              <w:rPr>
                <w:b/>
                <w:bCs/>
                <w:sz w:val="14"/>
                <w:szCs w:val="14"/>
                <w:lang w:eastAsia="tr-TR"/>
              </w:rPr>
            </w:pPr>
            <w:r w:rsidRPr="00CA4676">
              <w:rPr>
                <w:b/>
                <w:bCs/>
                <w:sz w:val="14"/>
                <w:szCs w:val="14"/>
                <w:lang w:eastAsia="tr-TR"/>
              </w:rPr>
              <w:t>72,892</w:t>
            </w:r>
          </w:p>
        </w:tc>
        <w:tc>
          <w:tcPr>
            <w:tcW w:w="1275" w:type="dxa"/>
            <w:tcBorders>
              <w:top w:val="nil"/>
              <w:left w:val="nil"/>
              <w:bottom w:val="nil"/>
              <w:right w:val="single" w:sz="4" w:space="0" w:color="auto"/>
            </w:tcBorders>
            <w:shd w:val="clear" w:color="auto" w:fill="auto"/>
            <w:vAlign w:val="bottom"/>
            <w:hideMark/>
          </w:tcPr>
          <w:p w14:paraId="773443B3" w14:textId="77777777" w:rsidR="00CA4676" w:rsidRPr="00CA4676" w:rsidRDefault="00CA4676" w:rsidP="00717AB5">
            <w:pPr>
              <w:jc w:val="right"/>
              <w:rPr>
                <w:b/>
                <w:bCs/>
                <w:sz w:val="14"/>
                <w:szCs w:val="14"/>
                <w:lang w:eastAsia="tr-TR"/>
              </w:rPr>
            </w:pPr>
            <w:r w:rsidRPr="00CA4676">
              <w:rPr>
                <w:b/>
                <w:bCs/>
                <w:sz w:val="14"/>
                <w:szCs w:val="14"/>
                <w:lang w:eastAsia="tr-TR"/>
              </w:rPr>
              <w:t>886,401</w:t>
            </w:r>
          </w:p>
        </w:tc>
        <w:tc>
          <w:tcPr>
            <w:tcW w:w="1276" w:type="dxa"/>
            <w:tcBorders>
              <w:top w:val="nil"/>
              <w:left w:val="single" w:sz="4" w:space="0" w:color="auto"/>
              <w:bottom w:val="nil"/>
              <w:right w:val="single" w:sz="4" w:space="0" w:color="auto"/>
            </w:tcBorders>
            <w:shd w:val="clear" w:color="auto" w:fill="auto"/>
            <w:vAlign w:val="bottom"/>
            <w:hideMark/>
          </w:tcPr>
          <w:p w14:paraId="2B16169A" w14:textId="77777777" w:rsidR="00CA4676" w:rsidRPr="00CA4676" w:rsidRDefault="00CA4676" w:rsidP="00717AB5">
            <w:pPr>
              <w:jc w:val="right"/>
              <w:rPr>
                <w:b/>
                <w:bCs/>
                <w:sz w:val="14"/>
                <w:szCs w:val="14"/>
                <w:lang w:eastAsia="tr-TR"/>
              </w:rPr>
            </w:pPr>
            <w:r w:rsidRPr="00CA4676">
              <w:rPr>
                <w:b/>
                <w:bCs/>
                <w:sz w:val="14"/>
                <w:szCs w:val="14"/>
                <w:lang w:eastAsia="tr-TR"/>
              </w:rPr>
              <w:t>321,374</w:t>
            </w:r>
          </w:p>
        </w:tc>
      </w:tr>
      <w:tr w:rsidR="00CA4676" w:rsidRPr="00CA4676" w14:paraId="66369CDF"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5460C4B7" w14:textId="77777777" w:rsidR="00CA4676" w:rsidRPr="00CA4676" w:rsidRDefault="00CA4676" w:rsidP="00CA4676">
            <w:pPr>
              <w:rPr>
                <w:color w:val="000000"/>
                <w:sz w:val="14"/>
                <w:szCs w:val="14"/>
                <w:lang w:eastAsia="tr-TR"/>
              </w:rPr>
            </w:pPr>
            <w:r w:rsidRPr="00CA4676">
              <w:rPr>
                <w:color w:val="000000"/>
                <w:sz w:val="14"/>
                <w:szCs w:val="14"/>
                <w:lang w:val="en-US" w:eastAsia="tr-TR"/>
              </w:rPr>
              <w:t>6.1.</w:t>
            </w:r>
          </w:p>
        </w:tc>
        <w:tc>
          <w:tcPr>
            <w:tcW w:w="3606" w:type="dxa"/>
            <w:tcBorders>
              <w:top w:val="nil"/>
              <w:left w:val="single" w:sz="4" w:space="0" w:color="auto"/>
              <w:bottom w:val="nil"/>
              <w:right w:val="single" w:sz="4" w:space="0" w:color="auto"/>
            </w:tcBorders>
            <w:shd w:val="clear" w:color="auto" w:fill="auto"/>
            <w:vAlign w:val="center"/>
            <w:hideMark/>
          </w:tcPr>
          <w:p w14:paraId="1F677B85" w14:textId="77777777" w:rsidR="00CA4676" w:rsidRPr="00CA4676" w:rsidRDefault="00CA4676" w:rsidP="00CA4676">
            <w:pPr>
              <w:rPr>
                <w:color w:val="000000"/>
                <w:sz w:val="14"/>
                <w:szCs w:val="14"/>
                <w:lang w:eastAsia="tr-TR"/>
              </w:rPr>
            </w:pPr>
            <w:r w:rsidRPr="00311DAB">
              <w:rPr>
                <w:color w:val="000000"/>
                <w:sz w:val="14"/>
                <w:szCs w:val="14"/>
                <w:lang w:eastAsia="tr-TR"/>
              </w:rPr>
              <w:t>Sermaye Piyasası İşlemleri Kârı/Zararı</w:t>
            </w:r>
          </w:p>
        </w:tc>
        <w:tc>
          <w:tcPr>
            <w:tcW w:w="650" w:type="dxa"/>
            <w:tcBorders>
              <w:top w:val="nil"/>
              <w:left w:val="single" w:sz="4" w:space="0" w:color="auto"/>
              <w:bottom w:val="nil"/>
              <w:right w:val="single" w:sz="4" w:space="0" w:color="auto"/>
            </w:tcBorders>
            <w:shd w:val="clear" w:color="auto" w:fill="auto"/>
            <w:noWrap/>
            <w:vAlign w:val="center"/>
            <w:hideMark/>
          </w:tcPr>
          <w:p w14:paraId="5FFA6B64"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24F6BF82" w14:textId="77777777" w:rsidR="00CA4676" w:rsidRPr="00CA4676" w:rsidRDefault="00CA4676" w:rsidP="00717AB5">
            <w:pPr>
              <w:jc w:val="right"/>
              <w:rPr>
                <w:sz w:val="14"/>
                <w:szCs w:val="14"/>
                <w:lang w:eastAsia="tr-TR"/>
              </w:rPr>
            </w:pPr>
            <w:r w:rsidRPr="00CA4676">
              <w:rPr>
                <w:sz w:val="14"/>
                <w:szCs w:val="16"/>
                <w:lang w:eastAsia="tr-TR"/>
              </w:rPr>
              <w:t>50,070</w:t>
            </w:r>
          </w:p>
        </w:tc>
        <w:tc>
          <w:tcPr>
            <w:tcW w:w="1170" w:type="dxa"/>
            <w:tcBorders>
              <w:top w:val="nil"/>
              <w:left w:val="nil"/>
              <w:bottom w:val="nil"/>
              <w:right w:val="single" w:sz="4" w:space="0" w:color="auto"/>
            </w:tcBorders>
            <w:shd w:val="clear" w:color="auto" w:fill="auto"/>
            <w:vAlign w:val="bottom"/>
            <w:hideMark/>
          </w:tcPr>
          <w:p w14:paraId="291DB273" w14:textId="77777777" w:rsidR="00CA4676" w:rsidRPr="00CA4676" w:rsidRDefault="00CA4676" w:rsidP="00717AB5">
            <w:pPr>
              <w:jc w:val="right"/>
              <w:rPr>
                <w:b/>
                <w:bCs/>
                <w:sz w:val="14"/>
                <w:szCs w:val="14"/>
                <w:lang w:eastAsia="tr-TR"/>
              </w:rPr>
            </w:pPr>
            <w:r w:rsidRPr="00CA4676">
              <w:rPr>
                <w:sz w:val="14"/>
                <w:szCs w:val="14"/>
                <w:lang w:eastAsia="tr-TR"/>
              </w:rPr>
              <w:t>(1,913</w:t>
            </w:r>
            <w:r w:rsidRPr="00CA4676">
              <w:rPr>
                <w:b/>
                <w:bCs/>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73539F8B" w14:textId="77777777" w:rsidR="00CA4676" w:rsidRPr="00CA4676" w:rsidRDefault="00CA4676" w:rsidP="00717AB5">
            <w:pPr>
              <w:jc w:val="right"/>
              <w:rPr>
                <w:sz w:val="14"/>
                <w:szCs w:val="14"/>
                <w:lang w:eastAsia="tr-TR"/>
              </w:rPr>
            </w:pPr>
            <w:r w:rsidRPr="00CA4676">
              <w:rPr>
                <w:sz w:val="14"/>
                <w:szCs w:val="14"/>
                <w:lang w:eastAsia="tr-TR"/>
              </w:rPr>
              <w:t>26,935</w:t>
            </w:r>
          </w:p>
        </w:tc>
        <w:tc>
          <w:tcPr>
            <w:tcW w:w="1276" w:type="dxa"/>
            <w:tcBorders>
              <w:top w:val="nil"/>
              <w:left w:val="single" w:sz="4" w:space="0" w:color="auto"/>
              <w:bottom w:val="nil"/>
              <w:right w:val="single" w:sz="4" w:space="0" w:color="auto"/>
            </w:tcBorders>
            <w:shd w:val="clear" w:color="auto" w:fill="auto"/>
            <w:vAlign w:val="bottom"/>
            <w:hideMark/>
          </w:tcPr>
          <w:p w14:paraId="6A1C996B" w14:textId="77777777" w:rsidR="00CA4676" w:rsidRPr="00CA4676" w:rsidRDefault="00CA4676" w:rsidP="00717AB5">
            <w:pPr>
              <w:jc w:val="right"/>
              <w:rPr>
                <w:sz w:val="14"/>
                <w:szCs w:val="14"/>
                <w:lang w:eastAsia="tr-TR"/>
              </w:rPr>
            </w:pPr>
            <w:r w:rsidRPr="00CA4676">
              <w:rPr>
                <w:sz w:val="14"/>
                <w:szCs w:val="14"/>
                <w:lang w:eastAsia="tr-TR"/>
              </w:rPr>
              <w:t>7,620</w:t>
            </w:r>
          </w:p>
        </w:tc>
      </w:tr>
      <w:tr w:rsidR="00CA4676" w:rsidRPr="00CA4676" w14:paraId="0ADD29D1"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582D12A4" w14:textId="77777777" w:rsidR="00CA4676" w:rsidRPr="00CA4676" w:rsidRDefault="00CA4676" w:rsidP="00CA4676">
            <w:pPr>
              <w:rPr>
                <w:color w:val="000000"/>
                <w:sz w:val="14"/>
                <w:szCs w:val="14"/>
                <w:lang w:eastAsia="tr-TR"/>
              </w:rPr>
            </w:pPr>
            <w:r w:rsidRPr="00CA4676">
              <w:rPr>
                <w:color w:val="000000"/>
                <w:sz w:val="14"/>
                <w:szCs w:val="14"/>
                <w:lang w:val="en-US" w:eastAsia="tr-TR"/>
              </w:rPr>
              <w:t>6.2.</w:t>
            </w:r>
          </w:p>
        </w:tc>
        <w:tc>
          <w:tcPr>
            <w:tcW w:w="3606" w:type="dxa"/>
            <w:tcBorders>
              <w:top w:val="nil"/>
              <w:left w:val="single" w:sz="4" w:space="0" w:color="auto"/>
              <w:bottom w:val="nil"/>
              <w:right w:val="single" w:sz="4" w:space="0" w:color="auto"/>
            </w:tcBorders>
            <w:shd w:val="clear" w:color="auto" w:fill="auto"/>
            <w:vAlign w:val="center"/>
            <w:hideMark/>
          </w:tcPr>
          <w:p w14:paraId="5431128A" w14:textId="77777777" w:rsidR="00CA4676" w:rsidRPr="00CA4676" w:rsidRDefault="00CA4676" w:rsidP="00CA4676">
            <w:pPr>
              <w:rPr>
                <w:color w:val="000000"/>
                <w:sz w:val="14"/>
                <w:szCs w:val="14"/>
                <w:lang w:eastAsia="tr-TR"/>
              </w:rPr>
            </w:pPr>
            <w:r w:rsidRPr="00CA4676">
              <w:rPr>
                <w:color w:val="000000"/>
                <w:sz w:val="14"/>
                <w:szCs w:val="14"/>
                <w:lang w:val="en-US" w:eastAsia="tr-TR"/>
              </w:rPr>
              <w:t xml:space="preserve">Türev Finansal </w:t>
            </w:r>
            <w:proofErr w:type="spellStart"/>
            <w:r w:rsidRPr="00CA4676">
              <w:rPr>
                <w:color w:val="000000"/>
                <w:sz w:val="14"/>
                <w:szCs w:val="14"/>
                <w:lang w:val="en-US" w:eastAsia="tr-TR"/>
              </w:rPr>
              <w:t>İşlemlerden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Kâr</w:t>
            </w:r>
            <w:proofErr w:type="spellEnd"/>
            <w:r w:rsidRPr="00CA4676">
              <w:rPr>
                <w:color w:val="000000"/>
                <w:sz w:val="14"/>
                <w:szCs w:val="14"/>
                <w:lang w:val="en-US" w:eastAsia="tr-TR"/>
              </w:rPr>
              <w:t>/</w:t>
            </w:r>
            <w:proofErr w:type="spellStart"/>
            <w:r w:rsidRPr="00CA4676">
              <w:rPr>
                <w:color w:val="000000"/>
                <w:sz w:val="14"/>
                <w:szCs w:val="14"/>
                <w:lang w:val="en-US" w:eastAsia="tr-TR"/>
              </w:rPr>
              <w:t>Zarar</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79A126B9"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36578B4E" w14:textId="77777777" w:rsidR="00CA4676" w:rsidRPr="00CA4676" w:rsidRDefault="00CA4676" w:rsidP="00717AB5">
            <w:pPr>
              <w:jc w:val="right"/>
              <w:rPr>
                <w:sz w:val="14"/>
                <w:szCs w:val="14"/>
                <w:lang w:eastAsia="tr-TR"/>
              </w:rPr>
            </w:pPr>
            <w:r w:rsidRPr="00CA4676">
              <w:rPr>
                <w:sz w:val="14"/>
                <w:szCs w:val="16"/>
                <w:lang w:eastAsia="tr-TR"/>
              </w:rPr>
              <w:t>307,362</w:t>
            </w:r>
          </w:p>
        </w:tc>
        <w:tc>
          <w:tcPr>
            <w:tcW w:w="1170" w:type="dxa"/>
            <w:tcBorders>
              <w:top w:val="nil"/>
              <w:left w:val="nil"/>
              <w:bottom w:val="nil"/>
              <w:right w:val="single" w:sz="4" w:space="0" w:color="auto"/>
            </w:tcBorders>
            <w:shd w:val="clear" w:color="auto" w:fill="auto"/>
            <w:vAlign w:val="bottom"/>
            <w:hideMark/>
          </w:tcPr>
          <w:p w14:paraId="5788122A" w14:textId="77777777" w:rsidR="00CA4676" w:rsidRPr="00CA4676" w:rsidRDefault="00CA4676" w:rsidP="00717AB5">
            <w:pPr>
              <w:jc w:val="right"/>
              <w:rPr>
                <w:sz w:val="14"/>
                <w:szCs w:val="14"/>
                <w:lang w:eastAsia="tr-TR"/>
              </w:rPr>
            </w:pPr>
            <w:r w:rsidRPr="00CA4676">
              <w:rPr>
                <w:sz w:val="14"/>
                <w:szCs w:val="14"/>
                <w:lang w:eastAsia="tr-TR"/>
              </w:rPr>
              <w:t>771,607</w:t>
            </w:r>
          </w:p>
        </w:tc>
        <w:tc>
          <w:tcPr>
            <w:tcW w:w="1275" w:type="dxa"/>
            <w:tcBorders>
              <w:top w:val="nil"/>
              <w:left w:val="nil"/>
              <w:bottom w:val="nil"/>
              <w:right w:val="single" w:sz="4" w:space="0" w:color="auto"/>
            </w:tcBorders>
            <w:shd w:val="clear" w:color="auto" w:fill="auto"/>
            <w:vAlign w:val="bottom"/>
            <w:hideMark/>
          </w:tcPr>
          <w:p w14:paraId="1A2DC581" w14:textId="77777777" w:rsidR="00CA4676" w:rsidRPr="00CA4676" w:rsidRDefault="00CA4676" w:rsidP="00717AB5">
            <w:pPr>
              <w:jc w:val="right"/>
              <w:rPr>
                <w:sz w:val="14"/>
                <w:szCs w:val="14"/>
                <w:lang w:eastAsia="tr-TR"/>
              </w:rPr>
            </w:pPr>
            <w:r w:rsidRPr="00CA4676">
              <w:rPr>
                <w:sz w:val="14"/>
                <w:szCs w:val="14"/>
                <w:lang w:eastAsia="tr-TR"/>
              </w:rPr>
              <w:t>955,199</w:t>
            </w:r>
          </w:p>
        </w:tc>
        <w:tc>
          <w:tcPr>
            <w:tcW w:w="1276" w:type="dxa"/>
            <w:tcBorders>
              <w:top w:val="nil"/>
              <w:left w:val="single" w:sz="4" w:space="0" w:color="auto"/>
              <w:bottom w:val="nil"/>
              <w:right w:val="single" w:sz="4" w:space="0" w:color="auto"/>
            </w:tcBorders>
            <w:shd w:val="clear" w:color="auto" w:fill="auto"/>
            <w:vAlign w:val="bottom"/>
            <w:hideMark/>
          </w:tcPr>
          <w:p w14:paraId="68FE9D15" w14:textId="77777777" w:rsidR="00CA4676" w:rsidRPr="00CA4676" w:rsidRDefault="00CA4676" w:rsidP="00717AB5">
            <w:pPr>
              <w:jc w:val="right"/>
              <w:rPr>
                <w:sz w:val="14"/>
                <w:szCs w:val="14"/>
                <w:lang w:eastAsia="tr-TR"/>
              </w:rPr>
            </w:pPr>
            <w:r w:rsidRPr="00CA4676">
              <w:rPr>
                <w:sz w:val="14"/>
                <w:szCs w:val="14"/>
                <w:lang w:eastAsia="tr-TR"/>
              </w:rPr>
              <w:t>796,066</w:t>
            </w:r>
          </w:p>
        </w:tc>
      </w:tr>
      <w:tr w:rsidR="00CA4676" w:rsidRPr="00CA4676" w14:paraId="03AC35D2"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6199DBB7" w14:textId="77777777" w:rsidR="00CA4676" w:rsidRPr="00CA4676" w:rsidRDefault="00CA4676" w:rsidP="00CA4676">
            <w:pPr>
              <w:rPr>
                <w:color w:val="000000"/>
                <w:sz w:val="14"/>
                <w:szCs w:val="14"/>
                <w:lang w:eastAsia="tr-TR"/>
              </w:rPr>
            </w:pPr>
            <w:r w:rsidRPr="00CA4676">
              <w:rPr>
                <w:color w:val="000000"/>
                <w:sz w:val="14"/>
                <w:szCs w:val="14"/>
                <w:lang w:val="en-US" w:eastAsia="tr-TR"/>
              </w:rPr>
              <w:t>6.3.</w:t>
            </w:r>
          </w:p>
        </w:tc>
        <w:tc>
          <w:tcPr>
            <w:tcW w:w="3606" w:type="dxa"/>
            <w:tcBorders>
              <w:top w:val="nil"/>
              <w:left w:val="single" w:sz="4" w:space="0" w:color="auto"/>
              <w:bottom w:val="nil"/>
              <w:right w:val="single" w:sz="4" w:space="0" w:color="auto"/>
            </w:tcBorders>
            <w:shd w:val="clear" w:color="auto" w:fill="auto"/>
            <w:vAlign w:val="center"/>
            <w:hideMark/>
          </w:tcPr>
          <w:p w14:paraId="668EDC70"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Kambiyo</w:t>
            </w:r>
            <w:proofErr w:type="spellEnd"/>
            <w:r w:rsidRPr="00CA4676">
              <w:rPr>
                <w:color w:val="000000"/>
                <w:sz w:val="14"/>
                <w:szCs w:val="14"/>
                <w:lang w:val="en-US" w:eastAsia="tr-TR"/>
              </w:rPr>
              <w:t xml:space="preserve"> İşlemleri </w:t>
            </w:r>
            <w:proofErr w:type="spellStart"/>
            <w:r w:rsidRPr="00CA4676">
              <w:rPr>
                <w:color w:val="000000"/>
                <w:sz w:val="14"/>
                <w:szCs w:val="14"/>
                <w:lang w:val="en-US" w:eastAsia="tr-TR"/>
              </w:rPr>
              <w:t>Kârı</w:t>
            </w:r>
            <w:proofErr w:type="spellEnd"/>
            <w:r w:rsidRPr="00CA4676">
              <w:rPr>
                <w:color w:val="000000"/>
                <w:sz w:val="14"/>
                <w:szCs w:val="14"/>
                <w:lang w:val="en-US" w:eastAsia="tr-TR"/>
              </w:rPr>
              <w:t>/</w:t>
            </w:r>
            <w:proofErr w:type="spellStart"/>
            <w:r w:rsidRPr="00CA4676">
              <w:rPr>
                <w:color w:val="000000"/>
                <w:sz w:val="14"/>
                <w:szCs w:val="14"/>
                <w:lang w:val="en-US" w:eastAsia="tr-TR"/>
              </w:rPr>
              <w:t>Zararı</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11AB902E"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7DC6DFDE" w14:textId="77777777" w:rsidR="00CA4676" w:rsidRPr="00CA4676" w:rsidRDefault="00CA4676" w:rsidP="00717AB5">
            <w:pPr>
              <w:jc w:val="right"/>
              <w:rPr>
                <w:sz w:val="14"/>
                <w:szCs w:val="16"/>
                <w:lang w:eastAsia="tr-TR"/>
              </w:rPr>
            </w:pPr>
            <w:r w:rsidRPr="00CA4676">
              <w:rPr>
                <w:sz w:val="14"/>
                <w:szCs w:val="16"/>
                <w:lang w:eastAsia="tr-TR"/>
              </w:rPr>
              <w:t>486,902</w:t>
            </w:r>
          </w:p>
        </w:tc>
        <w:tc>
          <w:tcPr>
            <w:tcW w:w="1170" w:type="dxa"/>
            <w:tcBorders>
              <w:top w:val="nil"/>
              <w:left w:val="nil"/>
              <w:bottom w:val="nil"/>
              <w:right w:val="single" w:sz="4" w:space="0" w:color="auto"/>
            </w:tcBorders>
            <w:shd w:val="clear" w:color="auto" w:fill="auto"/>
            <w:vAlign w:val="bottom"/>
            <w:hideMark/>
          </w:tcPr>
          <w:p w14:paraId="51873977" w14:textId="77777777" w:rsidR="00CA4676" w:rsidRPr="00CA4676" w:rsidRDefault="00CA4676" w:rsidP="00717AB5">
            <w:pPr>
              <w:jc w:val="right"/>
              <w:rPr>
                <w:b/>
                <w:bCs/>
                <w:sz w:val="14"/>
                <w:szCs w:val="14"/>
                <w:lang w:eastAsia="tr-TR"/>
              </w:rPr>
            </w:pPr>
            <w:r w:rsidRPr="00CA4676">
              <w:rPr>
                <w:sz w:val="14"/>
                <w:szCs w:val="14"/>
                <w:lang w:eastAsia="tr-TR"/>
              </w:rPr>
              <w:t>(696,802</w:t>
            </w:r>
            <w:r w:rsidRPr="00CA4676">
              <w:rPr>
                <w:b/>
                <w:bCs/>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4BB460C6" w14:textId="77777777" w:rsidR="00CA4676" w:rsidRPr="00CA4676" w:rsidRDefault="00CA4676" w:rsidP="00717AB5">
            <w:pPr>
              <w:jc w:val="right"/>
              <w:rPr>
                <w:sz w:val="14"/>
                <w:szCs w:val="14"/>
                <w:lang w:eastAsia="tr-TR"/>
              </w:rPr>
            </w:pPr>
            <w:r w:rsidRPr="00CA4676">
              <w:rPr>
                <w:sz w:val="14"/>
                <w:szCs w:val="14"/>
                <w:lang w:eastAsia="tr-TR"/>
              </w:rPr>
              <w:t>(95,733)</w:t>
            </w:r>
          </w:p>
        </w:tc>
        <w:tc>
          <w:tcPr>
            <w:tcW w:w="1276" w:type="dxa"/>
            <w:tcBorders>
              <w:top w:val="nil"/>
              <w:left w:val="single" w:sz="4" w:space="0" w:color="auto"/>
              <w:bottom w:val="nil"/>
              <w:right w:val="single" w:sz="4" w:space="0" w:color="auto"/>
            </w:tcBorders>
            <w:shd w:val="clear" w:color="auto" w:fill="auto"/>
            <w:vAlign w:val="bottom"/>
            <w:hideMark/>
          </w:tcPr>
          <w:p w14:paraId="61F15DE6" w14:textId="77777777" w:rsidR="00CA4676" w:rsidRPr="00CA4676" w:rsidRDefault="00CA4676" w:rsidP="00717AB5">
            <w:pPr>
              <w:jc w:val="right"/>
              <w:rPr>
                <w:sz w:val="14"/>
                <w:szCs w:val="14"/>
                <w:lang w:eastAsia="tr-TR"/>
              </w:rPr>
            </w:pPr>
            <w:r w:rsidRPr="00CA4676">
              <w:rPr>
                <w:sz w:val="14"/>
                <w:szCs w:val="14"/>
                <w:lang w:eastAsia="tr-TR"/>
              </w:rPr>
              <w:t>(482,312)</w:t>
            </w:r>
          </w:p>
        </w:tc>
      </w:tr>
      <w:tr w:rsidR="00CA4676" w:rsidRPr="00CA4676" w14:paraId="72C80E24"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00997709"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VII.</w:t>
            </w:r>
          </w:p>
        </w:tc>
        <w:tc>
          <w:tcPr>
            <w:tcW w:w="3606" w:type="dxa"/>
            <w:tcBorders>
              <w:top w:val="nil"/>
              <w:left w:val="single" w:sz="4" w:space="0" w:color="auto"/>
              <w:bottom w:val="nil"/>
              <w:right w:val="single" w:sz="4" w:space="0" w:color="auto"/>
            </w:tcBorders>
            <w:shd w:val="clear" w:color="auto" w:fill="auto"/>
            <w:vAlign w:val="center"/>
            <w:hideMark/>
          </w:tcPr>
          <w:p w14:paraId="1A783B29"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DİĞER FAALİYET GELİRLERİ</w:t>
            </w:r>
          </w:p>
        </w:tc>
        <w:tc>
          <w:tcPr>
            <w:tcW w:w="650" w:type="dxa"/>
            <w:tcBorders>
              <w:top w:val="nil"/>
              <w:left w:val="single" w:sz="4" w:space="0" w:color="auto"/>
              <w:bottom w:val="nil"/>
              <w:right w:val="single" w:sz="4" w:space="0" w:color="auto"/>
            </w:tcBorders>
            <w:shd w:val="clear" w:color="auto" w:fill="auto"/>
            <w:noWrap/>
            <w:vAlign w:val="center"/>
            <w:hideMark/>
          </w:tcPr>
          <w:p w14:paraId="118251CA"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(5.4.6.)</w:t>
            </w:r>
          </w:p>
        </w:tc>
        <w:tc>
          <w:tcPr>
            <w:tcW w:w="1232" w:type="dxa"/>
            <w:tcBorders>
              <w:top w:val="nil"/>
              <w:left w:val="single" w:sz="4" w:space="0" w:color="auto"/>
              <w:bottom w:val="nil"/>
              <w:right w:val="single" w:sz="4" w:space="0" w:color="auto"/>
            </w:tcBorders>
            <w:shd w:val="clear" w:color="auto" w:fill="auto"/>
            <w:vAlign w:val="bottom"/>
            <w:hideMark/>
          </w:tcPr>
          <w:p w14:paraId="4F8872B5" w14:textId="77777777" w:rsidR="00CA4676" w:rsidRPr="00CA4676" w:rsidRDefault="00CA4676" w:rsidP="00717AB5">
            <w:pPr>
              <w:jc w:val="right"/>
              <w:rPr>
                <w:b/>
                <w:bCs/>
                <w:sz w:val="14"/>
                <w:szCs w:val="14"/>
                <w:lang w:eastAsia="tr-TR"/>
              </w:rPr>
            </w:pPr>
            <w:r w:rsidRPr="00CA4676">
              <w:rPr>
                <w:b/>
                <w:bCs/>
                <w:sz w:val="14"/>
                <w:szCs w:val="16"/>
                <w:lang w:eastAsia="tr-TR"/>
              </w:rPr>
              <w:t>400,258</w:t>
            </w:r>
          </w:p>
        </w:tc>
        <w:tc>
          <w:tcPr>
            <w:tcW w:w="1170" w:type="dxa"/>
            <w:tcBorders>
              <w:top w:val="nil"/>
              <w:left w:val="nil"/>
              <w:bottom w:val="nil"/>
              <w:right w:val="single" w:sz="4" w:space="0" w:color="auto"/>
            </w:tcBorders>
            <w:shd w:val="clear" w:color="auto" w:fill="auto"/>
            <w:vAlign w:val="bottom"/>
            <w:hideMark/>
          </w:tcPr>
          <w:p w14:paraId="40A5746A" w14:textId="77777777" w:rsidR="00CA4676" w:rsidRPr="00CA4676" w:rsidRDefault="00CA4676" w:rsidP="00717AB5">
            <w:pPr>
              <w:jc w:val="right"/>
              <w:rPr>
                <w:b/>
                <w:bCs/>
                <w:sz w:val="14"/>
                <w:szCs w:val="14"/>
                <w:lang w:eastAsia="tr-TR"/>
              </w:rPr>
            </w:pPr>
            <w:r w:rsidRPr="00CA4676">
              <w:rPr>
                <w:b/>
                <w:bCs/>
                <w:sz w:val="14"/>
                <w:szCs w:val="14"/>
                <w:lang w:eastAsia="tr-TR"/>
              </w:rPr>
              <w:t>138,769</w:t>
            </w:r>
          </w:p>
        </w:tc>
        <w:tc>
          <w:tcPr>
            <w:tcW w:w="1275" w:type="dxa"/>
            <w:tcBorders>
              <w:top w:val="nil"/>
              <w:left w:val="nil"/>
              <w:bottom w:val="nil"/>
              <w:right w:val="single" w:sz="4" w:space="0" w:color="auto"/>
            </w:tcBorders>
            <w:shd w:val="clear" w:color="auto" w:fill="auto"/>
            <w:vAlign w:val="bottom"/>
            <w:hideMark/>
          </w:tcPr>
          <w:p w14:paraId="266FE2D2" w14:textId="77777777" w:rsidR="00CA4676" w:rsidRPr="00CA4676" w:rsidRDefault="00CA4676" w:rsidP="00717AB5">
            <w:pPr>
              <w:jc w:val="right"/>
              <w:rPr>
                <w:b/>
                <w:bCs/>
                <w:sz w:val="14"/>
                <w:szCs w:val="14"/>
                <w:lang w:eastAsia="tr-TR"/>
              </w:rPr>
            </w:pPr>
            <w:r w:rsidRPr="00CA4676">
              <w:rPr>
                <w:b/>
                <w:bCs/>
                <w:sz w:val="14"/>
                <w:szCs w:val="14"/>
                <w:lang w:eastAsia="tr-TR"/>
              </w:rPr>
              <w:t>802,190</w:t>
            </w:r>
          </w:p>
        </w:tc>
        <w:tc>
          <w:tcPr>
            <w:tcW w:w="1276" w:type="dxa"/>
            <w:tcBorders>
              <w:top w:val="nil"/>
              <w:left w:val="single" w:sz="4" w:space="0" w:color="auto"/>
              <w:bottom w:val="nil"/>
              <w:right w:val="single" w:sz="4" w:space="0" w:color="auto"/>
            </w:tcBorders>
            <w:shd w:val="clear" w:color="auto" w:fill="auto"/>
            <w:vAlign w:val="bottom"/>
            <w:hideMark/>
          </w:tcPr>
          <w:p w14:paraId="2D5D63BD" w14:textId="77777777" w:rsidR="00CA4676" w:rsidRPr="00CA4676" w:rsidRDefault="00CA4676" w:rsidP="00717AB5">
            <w:pPr>
              <w:jc w:val="right"/>
              <w:rPr>
                <w:b/>
                <w:bCs/>
                <w:sz w:val="14"/>
                <w:szCs w:val="14"/>
                <w:lang w:eastAsia="tr-TR"/>
              </w:rPr>
            </w:pPr>
            <w:r w:rsidRPr="00CA4676">
              <w:rPr>
                <w:b/>
                <w:bCs/>
                <w:sz w:val="14"/>
                <w:szCs w:val="14"/>
                <w:lang w:eastAsia="tr-TR"/>
              </w:rPr>
              <w:t>175,566</w:t>
            </w:r>
          </w:p>
        </w:tc>
      </w:tr>
      <w:tr w:rsidR="00CA4676" w:rsidRPr="00CA4676" w14:paraId="7E0D1DF8"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7FD37C07"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VIII.</w:t>
            </w:r>
          </w:p>
        </w:tc>
        <w:tc>
          <w:tcPr>
            <w:tcW w:w="3606" w:type="dxa"/>
            <w:tcBorders>
              <w:top w:val="nil"/>
              <w:left w:val="single" w:sz="4" w:space="0" w:color="auto"/>
              <w:bottom w:val="nil"/>
              <w:right w:val="single" w:sz="4" w:space="0" w:color="auto"/>
            </w:tcBorders>
            <w:shd w:val="clear" w:color="auto" w:fill="auto"/>
            <w:vAlign w:val="center"/>
            <w:hideMark/>
          </w:tcPr>
          <w:p w14:paraId="6F4A099B"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FAALİYET BRÜT KÂRI (III+IV+V+VI+VII)</w:t>
            </w:r>
          </w:p>
        </w:tc>
        <w:tc>
          <w:tcPr>
            <w:tcW w:w="650" w:type="dxa"/>
            <w:tcBorders>
              <w:top w:val="nil"/>
              <w:left w:val="single" w:sz="4" w:space="0" w:color="auto"/>
              <w:bottom w:val="nil"/>
              <w:right w:val="single" w:sz="4" w:space="0" w:color="auto"/>
            </w:tcBorders>
            <w:shd w:val="clear" w:color="auto" w:fill="auto"/>
            <w:noWrap/>
            <w:vAlign w:val="center"/>
            <w:hideMark/>
          </w:tcPr>
          <w:p w14:paraId="065F8343"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193B4FDF" w14:textId="77777777" w:rsidR="00CA4676" w:rsidRPr="00CA4676" w:rsidRDefault="00CA4676" w:rsidP="00717AB5">
            <w:pPr>
              <w:jc w:val="right"/>
              <w:rPr>
                <w:b/>
                <w:bCs/>
                <w:sz w:val="14"/>
                <w:szCs w:val="14"/>
                <w:lang w:eastAsia="tr-TR"/>
              </w:rPr>
            </w:pPr>
            <w:r w:rsidRPr="00CA4676">
              <w:rPr>
                <w:b/>
                <w:bCs/>
                <w:sz w:val="14"/>
                <w:szCs w:val="16"/>
                <w:lang w:eastAsia="tr-TR"/>
              </w:rPr>
              <w:t>5,915,917</w:t>
            </w:r>
          </w:p>
        </w:tc>
        <w:tc>
          <w:tcPr>
            <w:tcW w:w="1170" w:type="dxa"/>
            <w:tcBorders>
              <w:top w:val="nil"/>
              <w:left w:val="nil"/>
              <w:bottom w:val="nil"/>
              <w:right w:val="single" w:sz="4" w:space="0" w:color="auto"/>
            </w:tcBorders>
            <w:shd w:val="clear" w:color="auto" w:fill="auto"/>
            <w:vAlign w:val="bottom"/>
            <w:hideMark/>
          </w:tcPr>
          <w:p w14:paraId="1373F023" w14:textId="77777777" w:rsidR="00CA4676" w:rsidRPr="00CA4676" w:rsidRDefault="00CA4676" w:rsidP="00717AB5">
            <w:pPr>
              <w:jc w:val="right"/>
              <w:rPr>
                <w:b/>
                <w:bCs/>
                <w:sz w:val="14"/>
                <w:szCs w:val="14"/>
                <w:lang w:eastAsia="tr-TR"/>
              </w:rPr>
            </w:pPr>
            <w:r w:rsidRPr="00CA4676">
              <w:rPr>
                <w:b/>
                <w:bCs/>
                <w:sz w:val="14"/>
                <w:szCs w:val="14"/>
                <w:lang w:eastAsia="tr-TR"/>
              </w:rPr>
              <w:t>2,090,890</w:t>
            </w:r>
          </w:p>
        </w:tc>
        <w:tc>
          <w:tcPr>
            <w:tcW w:w="1275" w:type="dxa"/>
            <w:tcBorders>
              <w:top w:val="nil"/>
              <w:left w:val="nil"/>
              <w:bottom w:val="nil"/>
              <w:right w:val="single" w:sz="4" w:space="0" w:color="auto"/>
            </w:tcBorders>
            <w:shd w:val="clear" w:color="auto" w:fill="auto"/>
            <w:vAlign w:val="bottom"/>
            <w:hideMark/>
          </w:tcPr>
          <w:p w14:paraId="61D02530" w14:textId="77777777" w:rsidR="00CA4676" w:rsidRPr="00CA4676" w:rsidRDefault="00CA4676" w:rsidP="00717AB5">
            <w:pPr>
              <w:jc w:val="right"/>
              <w:rPr>
                <w:b/>
                <w:bCs/>
                <w:sz w:val="14"/>
                <w:szCs w:val="14"/>
                <w:lang w:eastAsia="tr-TR"/>
              </w:rPr>
            </w:pPr>
            <w:r w:rsidRPr="00CA4676">
              <w:rPr>
                <w:b/>
                <w:bCs/>
                <w:sz w:val="14"/>
                <w:szCs w:val="14"/>
                <w:lang w:eastAsia="tr-TR"/>
              </w:rPr>
              <w:t>4,569,489</w:t>
            </w:r>
          </w:p>
        </w:tc>
        <w:tc>
          <w:tcPr>
            <w:tcW w:w="1276" w:type="dxa"/>
            <w:tcBorders>
              <w:top w:val="nil"/>
              <w:left w:val="single" w:sz="4" w:space="0" w:color="auto"/>
              <w:bottom w:val="nil"/>
              <w:right w:val="single" w:sz="4" w:space="0" w:color="auto"/>
            </w:tcBorders>
            <w:shd w:val="clear" w:color="auto" w:fill="auto"/>
            <w:vAlign w:val="bottom"/>
            <w:hideMark/>
          </w:tcPr>
          <w:p w14:paraId="092F7E4E" w14:textId="77777777" w:rsidR="00CA4676" w:rsidRPr="00CA4676" w:rsidRDefault="00CA4676" w:rsidP="00717AB5">
            <w:pPr>
              <w:jc w:val="right"/>
              <w:rPr>
                <w:b/>
                <w:bCs/>
                <w:sz w:val="14"/>
                <w:szCs w:val="14"/>
                <w:lang w:eastAsia="tr-TR"/>
              </w:rPr>
            </w:pPr>
            <w:r w:rsidRPr="00CA4676">
              <w:rPr>
                <w:b/>
                <w:bCs/>
                <w:sz w:val="14"/>
                <w:szCs w:val="14"/>
                <w:lang w:eastAsia="tr-TR"/>
              </w:rPr>
              <w:t>1,508,204</w:t>
            </w:r>
          </w:p>
        </w:tc>
      </w:tr>
      <w:tr w:rsidR="00CA4676" w:rsidRPr="00CA4676" w14:paraId="7F93BC2D"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5843B6AB"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IX.</w:t>
            </w:r>
          </w:p>
        </w:tc>
        <w:tc>
          <w:tcPr>
            <w:tcW w:w="3606" w:type="dxa"/>
            <w:tcBorders>
              <w:top w:val="nil"/>
              <w:left w:val="single" w:sz="4" w:space="0" w:color="auto"/>
              <w:bottom w:val="nil"/>
              <w:right w:val="single" w:sz="4" w:space="0" w:color="auto"/>
            </w:tcBorders>
            <w:shd w:val="clear" w:color="auto" w:fill="auto"/>
            <w:vAlign w:val="center"/>
            <w:hideMark/>
          </w:tcPr>
          <w:p w14:paraId="38C39676"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BEKLENEN ZARAR KARŞILIKLARI GİDERLERİ (-)</w:t>
            </w:r>
          </w:p>
        </w:tc>
        <w:tc>
          <w:tcPr>
            <w:tcW w:w="650" w:type="dxa"/>
            <w:tcBorders>
              <w:top w:val="nil"/>
              <w:left w:val="single" w:sz="4" w:space="0" w:color="auto"/>
              <w:bottom w:val="nil"/>
              <w:right w:val="single" w:sz="4" w:space="0" w:color="auto"/>
            </w:tcBorders>
            <w:shd w:val="clear" w:color="auto" w:fill="auto"/>
            <w:noWrap/>
            <w:vAlign w:val="center"/>
            <w:hideMark/>
          </w:tcPr>
          <w:p w14:paraId="42700CA0"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(5.4.7.)</w:t>
            </w:r>
          </w:p>
        </w:tc>
        <w:tc>
          <w:tcPr>
            <w:tcW w:w="1232" w:type="dxa"/>
            <w:tcBorders>
              <w:top w:val="nil"/>
              <w:left w:val="single" w:sz="4" w:space="0" w:color="auto"/>
              <w:bottom w:val="nil"/>
              <w:right w:val="single" w:sz="4" w:space="0" w:color="auto"/>
            </w:tcBorders>
            <w:shd w:val="clear" w:color="auto" w:fill="auto"/>
            <w:vAlign w:val="bottom"/>
            <w:hideMark/>
          </w:tcPr>
          <w:p w14:paraId="5FA13535" w14:textId="77777777" w:rsidR="00CA4676" w:rsidRPr="00CA4676" w:rsidRDefault="00CA4676" w:rsidP="00717AB5">
            <w:pPr>
              <w:jc w:val="right"/>
              <w:rPr>
                <w:b/>
                <w:bCs/>
                <w:sz w:val="14"/>
                <w:szCs w:val="14"/>
                <w:lang w:eastAsia="tr-TR"/>
              </w:rPr>
            </w:pPr>
            <w:r w:rsidRPr="00CA4676">
              <w:rPr>
                <w:b/>
                <w:bCs/>
                <w:sz w:val="14"/>
                <w:szCs w:val="16"/>
                <w:lang w:eastAsia="tr-TR"/>
              </w:rPr>
              <w:t>2,649,124</w:t>
            </w:r>
          </w:p>
        </w:tc>
        <w:tc>
          <w:tcPr>
            <w:tcW w:w="1170" w:type="dxa"/>
            <w:tcBorders>
              <w:top w:val="nil"/>
              <w:left w:val="nil"/>
              <w:bottom w:val="nil"/>
              <w:right w:val="single" w:sz="4" w:space="0" w:color="auto"/>
            </w:tcBorders>
            <w:shd w:val="clear" w:color="auto" w:fill="auto"/>
            <w:vAlign w:val="bottom"/>
            <w:hideMark/>
          </w:tcPr>
          <w:p w14:paraId="46831F59" w14:textId="77777777" w:rsidR="00CA4676" w:rsidRPr="00CA4676" w:rsidRDefault="00CA4676" w:rsidP="00717AB5">
            <w:pPr>
              <w:jc w:val="right"/>
              <w:rPr>
                <w:b/>
                <w:bCs/>
                <w:sz w:val="14"/>
                <w:szCs w:val="14"/>
                <w:lang w:eastAsia="tr-TR"/>
              </w:rPr>
            </w:pPr>
            <w:r w:rsidRPr="00CA4676">
              <w:rPr>
                <w:b/>
                <w:bCs/>
                <w:sz w:val="14"/>
                <w:szCs w:val="14"/>
                <w:lang w:eastAsia="tr-TR"/>
              </w:rPr>
              <w:t>1,072,255</w:t>
            </w:r>
          </w:p>
        </w:tc>
        <w:tc>
          <w:tcPr>
            <w:tcW w:w="1275" w:type="dxa"/>
            <w:tcBorders>
              <w:top w:val="nil"/>
              <w:left w:val="nil"/>
              <w:bottom w:val="nil"/>
              <w:right w:val="single" w:sz="4" w:space="0" w:color="auto"/>
            </w:tcBorders>
            <w:shd w:val="clear" w:color="auto" w:fill="auto"/>
            <w:vAlign w:val="bottom"/>
            <w:hideMark/>
          </w:tcPr>
          <w:p w14:paraId="2F568528" w14:textId="77777777" w:rsidR="00CA4676" w:rsidRPr="00CA4676" w:rsidRDefault="00CA4676" w:rsidP="00717AB5">
            <w:pPr>
              <w:jc w:val="right"/>
              <w:rPr>
                <w:b/>
                <w:bCs/>
                <w:sz w:val="14"/>
                <w:szCs w:val="14"/>
                <w:lang w:eastAsia="tr-TR"/>
              </w:rPr>
            </w:pPr>
            <w:r w:rsidRPr="00CA4676">
              <w:rPr>
                <w:b/>
                <w:bCs/>
                <w:sz w:val="14"/>
                <w:szCs w:val="14"/>
                <w:lang w:eastAsia="tr-TR"/>
              </w:rPr>
              <w:t>2,152,806</w:t>
            </w:r>
          </w:p>
        </w:tc>
        <w:tc>
          <w:tcPr>
            <w:tcW w:w="1276" w:type="dxa"/>
            <w:tcBorders>
              <w:top w:val="nil"/>
              <w:left w:val="single" w:sz="4" w:space="0" w:color="auto"/>
              <w:bottom w:val="nil"/>
              <w:right w:val="single" w:sz="4" w:space="0" w:color="auto"/>
            </w:tcBorders>
            <w:shd w:val="clear" w:color="auto" w:fill="auto"/>
            <w:vAlign w:val="bottom"/>
            <w:hideMark/>
          </w:tcPr>
          <w:p w14:paraId="253F119F" w14:textId="77777777" w:rsidR="00CA4676" w:rsidRPr="00CA4676" w:rsidRDefault="00CA4676" w:rsidP="00717AB5">
            <w:pPr>
              <w:jc w:val="right"/>
              <w:rPr>
                <w:b/>
                <w:bCs/>
                <w:sz w:val="14"/>
                <w:szCs w:val="14"/>
                <w:lang w:eastAsia="tr-TR"/>
              </w:rPr>
            </w:pPr>
            <w:r w:rsidRPr="00CA4676">
              <w:rPr>
                <w:b/>
                <w:bCs/>
                <w:sz w:val="14"/>
                <w:szCs w:val="14"/>
                <w:lang w:eastAsia="tr-TR"/>
              </w:rPr>
              <w:t>780,625</w:t>
            </w:r>
          </w:p>
        </w:tc>
      </w:tr>
      <w:tr w:rsidR="00CA4676" w:rsidRPr="00CA4676" w14:paraId="54C406A1"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61A70C1F"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w:t>
            </w:r>
          </w:p>
        </w:tc>
        <w:tc>
          <w:tcPr>
            <w:tcW w:w="3606" w:type="dxa"/>
            <w:tcBorders>
              <w:top w:val="nil"/>
              <w:left w:val="single" w:sz="4" w:space="0" w:color="auto"/>
              <w:bottom w:val="nil"/>
              <w:right w:val="single" w:sz="4" w:space="0" w:color="auto"/>
            </w:tcBorders>
            <w:shd w:val="clear" w:color="auto" w:fill="auto"/>
            <w:vAlign w:val="center"/>
            <w:hideMark/>
          </w:tcPr>
          <w:p w14:paraId="6088F22D"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DİĞER KARŞILIK GİDERLERİ (-)</w:t>
            </w:r>
          </w:p>
        </w:tc>
        <w:tc>
          <w:tcPr>
            <w:tcW w:w="650" w:type="dxa"/>
            <w:tcBorders>
              <w:top w:val="nil"/>
              <w:left w:val="single" w:sz="4" w:space="0" w:color="auto"/>
              <w:bottom w:val="nil"/>
              <w:right w:val="single" w:sz="4" w:space="0" w:color="auto"/>
            </w:tcBorders>
            <w:shd w:val="clear" w:color="auto" w:fill="auto"/>
            <w:noWrap/>
            <w:vAlign w:val="bottom"/>
            <w:hideMark/>
          </w:tcPr>
          <w:p w14:paraId="00BF9E4A" w14:textId="77777777" w:rsidR="00CA4676" w:rsidRPr="00CA4676" w:rsidRDefault="00CA4676" w:rsidP="00CA4676">
            <w:pPr>
              <w:rPr>
                <w:b/>
                <w:bCs/>
                <w:color w:val="000000"/>
                <w:sz w:val="14"/>
                <w:szCs w:val="14"/>
                <w:lang w:val="en-US"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52282C9D" w14:textId="77777777" w:rsidR="00CA4676" w:rsidRPr="00CA4676" w:rsidRDefault="00CA4676" w:rsidP="00717AB5">
            <w:pPr>
              <w:jc w:val="right"/>
              <w:rPr>
                <w:b/>
                <w:bCs/>
                <w:sz w:val="14"/>
                <w:szCs w:val="14"/>
                <w:lang w:eastAsia="tr-TR"/>
              </w:rPr>
            </w:pPr>
            <w:r w:rsidRPr="00CA4676">
              <w:rPr>
                <w:b/>
                <w:bCs/>
                <w:sz w:val="14"/>
                <w:szCs w:val="16"/>
                <w:lang w:eastAsia="tr-TR"/>
              </w:rPr>
              <w:t>227,390</w:t>
            </w:r>
          </w:p>
        </w:tc>
        <w:tc>
          <w:tcPr>
            <w:tcW w:w="1170" w:type="dxa"/>
            <w:tcBorders>
              <w:top w:val="nil"/>
              <w:left w:val="nil"/>
              <w:bottom w:val="nil"/>
              <w:right w:val="single" w:sz="4" w:space="0" w:color="auto"/>
            </w:tcBorders>
            <w:shd w:val="clear" w:color="auto" w:fill="auto"/>
            <w:vAlign w:val="bottom"/>
            <w:hideMark/>
          </w:tcPr>
          <w:p w14:paraId="6A44518F" w14:textId="77777777" w:rsidR="00CA4676" w:rsidRPr="00CA4676" w:rsidRDefault="00CA4676" w:rsidP="00717AB5">
            <w:pPr>
              <w:jc w:val="right"/>
              <w:rPr>
                <w:b/>
                <w:bCs/>
                <w:sz w:val="14"/>
                <w:szCs w:val="14"/>
                <w:lang w:eastAsia="tr-TR"/>
              </w:rPr>
            </w:pPr>
            <w:r w:rsidRPr="00CA4676">
              <w:rPr>
                <w:b/>
                <w:bCs/>
                <w:sz w:val="14"/>
                <w:szCs w:val="14"/>
                <w:lang w:eastAsia="tr-TR"/>
              </w:rPr>
              <w:t>94,612</w:t>
            </w:r>
          </w:p>
        </w:tc>
        <w:tc>
          <w:tcPr>
            <w:tcW w:w="1275" w:type="dxa"/>
            <w:tcBorders>
              <w:top w:val="nil"/>
              <w:left w:val="nil"/>
              <w:bottom w:val="nil"/>
              <w:right w:val="single" w:sz="4" w:space="0" w:color="auto"/>
            </w:tcBorders>
            <w:shd w:val="clear" w:color="auto" w:fill="auto"/>
            <w:vAlign w:val="bottom"/>
            <w:hideMark/>
          </w:tcPr>
          <w:p w14:paraId="59F9CE0A" w14:textId="77777777" w:rsidR="00CA4676" w:rsidRPr="00CA4676" w:rsidRDefault="00CA4676" w:rsidP="00717AB5">
            <w:pPr>
              <w:jc w:val="right"/>
              <w:rPr>
                <w:b/>
                <w:bCs/>
                <w:sz w:val="14"/>
                <w:szCs w:val="14"/>
                <w:lang w:eastAsia="tr-TR"/>
              </w:rPr>
            </w:pPr>
            <w:r w:rsidRPr="00CA4676">
              <w:rPr>
                <w:b/>
                <w:bCs/>
                <w:sz w:val="14"/>
                <w:szCs w:val="14"/>
                <w:lang w:eastAsia="tr-TR"/>
              </w:rPr>
              <w:t>36,281</w:t>
            </w:r>
          </w:p>
        </w:tc>
        <w:tc>
          <w:tcPr>
            <w:tcW w:w="1276" w:type="dxa"/>
            <w:tcBorders>
              <w:top w:val="nil"/>
              <w:left w:val="single" w:sz="4" w:space="0" w:color="auto"/>
              <w:bottom w:val="nil"/>
              <w:right w:val="single" w:sz="4" w:space="0" w:color="auto"/>
            </w:tcBorders>
            <w:shd w:val="clear" w:color="auto" w:fill="auto"/>
            <w:vAlign w:val="bottom"/>
            <w:hideMark/>
          </w:tcPr>
          <w:p w14:paraId="5F622F78" w14:textId="77777777" w:rsidR="00CA4676" w:rsidRPr="00CA4676" w:rsidRDefault="00CA4676" w:rsidP="00717AB5">
            <w:pPr>
              <w:jc w:val="right"/>
              <w:rPr>
                <w:b/>
                <w:bCs/>
                <w:sz w:val="14"/>
                <w:szCs w:val="14"/>
                <w:lang w:eastAsia="tr-TR"/>
              </w:rPr>
            </w:pPr>
            <w:r w:rsidRPr="00CA4676">
              <w:rPr>
                <w:b/>
                <w:bCs/>
                <w:sz w:val="14"/>
                <w:szCs w:val="14"/>
                <w:lang w:eastAsia="tr-TR"/>
              </w:rPr>
              <w:t>904</w:t>
            </w:r>
          </w:p>
        </w:tc>
      </w:tr>
      <w:tr w:rsidR="00CA4676" w:rsidRPr="00CA4676" w14:paraId="23325AC3"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7F3F27E0"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XI.</w:t>
            </w:r>
          </w:p>
        </w:tc>
        <w:tc>
          <w:tcPr>
            <w:tcW w:w="3606" w:type="dxa"/>
            <w:tcBorders>
              <w:top w:val="nil"/>
              <w:left w:val="single" w:sz="4" w:space="0" w:color="auto"/>
              <w:bottom w:val="nil"/>
              <w:right w:val="single" w:sz="4" w:space="0" w:color="auto"/>
            </w:tcBorders>
            <w:shd w:val="clear" w:color="auto" w:fill="auto"/>
            <w:vAlign w:val="center"/>
            <w:hideMark/>
          </w:tcPr>
          <w:p w14:paraId="34E9B0F7"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PERSONEL GİDERLERİ (-)</w:t>
            </w:r>
          </w:p>
        </w:tc>
        <w:tc>
          <w:tcPr>
            <w:tcW w:w="650" w:type="dxa"/>
            <w:tcBorders>
              <w:top w:val="nil"/>
              <w:left w:val="single" w:sz="4" w:space="0" w:color="auto"/>
              <w:bottom w:val="nil"/>
              <w:right w:val="single" w:sz="4" w:space="0" w:color="auto"/>
            </w:tcBorders>
            <w:shd w:val="clear" w:color="auto" w:fill="auto"/>
            <w:noWrap/>
            <w:vAlign w:val="center"/>
            <w:hideMark/>
          </w:tcPr>
          <w:p w14:paraId="0436BF7D" w14:textId="77777777" w:rsidR="00CA4676" w:rsidRPr="00CA4676" w:rsidRDefault="00CA4676" w:rsidP="00CA4676">
            <w:pPr>
              <w:rPr>
                <w:b/>
                <w:bCs/>
                <w:color w:val="000000"/>
                <w:sz w:val="14"/>
                <w:szCs w:val="14"/>
                <w:lang w:eastAsia="tr-TR"/>
              </w:rPr>
            </w:pPr>
            <w:r w:rsidRPr="00CA4676">
              <w:rPr>
                <w:b/>
                <w:bCs/>
                <w:color w:val="000000"/>
                <w:sz w:val="14"/>
                <w:szCs w:val="14"/>
                <w:lang w:eastAsia="tr-TR"/>
              </w:rPr>
              <w:t>(5.4.8.)</w:t>
            </w:r>
          </w:p>
        </w:tc>
        <w:tc>
          <w:tcPr>
            <w:tcW w:w="1232" w:type="dxa"/>
            <w:tcBorders>
              <w:top w:val="nil"/>
              <w:left w:val="single" w:sz="4" w:space="0" w:color="auto"/>
              <w:bottom w:val="nil"/>
              <w:right w:val="single" w:sz="4" w:space="0" w:color="auto"/>
            </w:tcBorders>
            <w:shd w:val="clear" w:color="auto" w:fill="auto"/>
            <w:vAlign w:val="bottom"/>
            <w:hideMark/>
          </w:tcPr>
          <w:p w14:paraId="435CC406" w14:textId="77777777" w:rsidR="00CA4676" w:rsidRPr="00CA4676" w:rsidRDefault="00CA4676" w:rsidP="00717AB5">
            <w:pPr>
              <w:jc w:val="right"/>
              <w:rPr>
                <w:b/>
                <w:bCs/>
                <w:sz w:val="14"/>
                <w:szCs w:val="14"/>
                <w:lang w:eastAsia="tr-TR"/>
              </w:rPr>
            </w:pPr>
            <w:r w:rsidRPr="00CA4676">
              <w:rPr>
                <w:b/>
                <w:bCs/>
                <w:sz w:val="14"/>
                <w:szCs w:val="16"/>
                <w:lang w:eastAsia="tr-TR"/>
              </w:rPr>
              <w:t>886,644</w:t>
            </w:r>
          </w:p>
        </w:tc>
        <w:tc>
          <w:tcPr>
            <w:tcW w:w="1170" w:type="dxa"/>
            <w:tcBorders>
              <w:top w:val="nil"/>
              <w:left w:val="nil"/>
              <w:bottom w:val="nil"/>
              <w:right w:val="single" w:sz="4" w:space="0" w:color="auto"/>
            </w:tcBorders>
            <w:shd w:val="clear" w:color="auto" w:fill="auto"/>
            <w:vAlign w:val="bottom"/>
            <w:hideMark/>
          </w:tcPr>
          <w:p w14:paraId="58D8FB10" w14:textId="77777777" w:rsidR="00CA4676" w:rsidRPr="00CA4676" w:rsidRDefault="00CA4676" w:rsidP="00717AB5">
            <w:pPr>
              <w:jc w:val="right"/>
              <w:rPr>
                <w:b/>
                <w:bCs/>
                <w:sz w:val="14"/>
                <w:szCs w:val="14"/>
                <w:lang w:eastAsia="tr-TR"/>
              </w:rPr>
            </w:pPr>
            <w:r w:rsidRPr="00CA4676">
              <w:rPr>
                <w:b/>
                <w:bCs/>
                <w:sz w:val="14"/>
                <w:szCs w:val="14"/>
                <w:lang w:eastAsia="tr-TR"/>
              </w:rPr>
              <w:t>276,304</w:t>
            </w:r>
          </w:p>
        </w:tc>
        <w:tc>
          <w:tcPr>
            <w:tcW w:w="1275" w:type="dxa"/>
            <w:tcBorders>
              <w:top w:val="nil"/>
              <w:left w:val="nil"/>
              <w:bottom w:val="nil"/>
              <w:right w:val="single" w:sz="4" w:space="0" w:color="auto"/>
            </w:tcBorders>
            <w:shd w:val="clear" w:color="auto" w:fill="auto"/>
            <w:vAlign w:val="bottom"/>
            <w:hideMark/>
          </w:tcPr>
          <w:p w14:paraId="17246956" w14:textId="77777777" w:rsidR="00CA4676" w:rsidRPr="00CA4676" w:rsidRDefault="00CA4676" w:rsidP="00717AB5">
            <w:pPr>
              <w:jc w:val="right"/>
              <w:rPr>
                <w:b/>
                <w:bCs/>
                <w:sz w:val="14"/>
                <w:szCs w:val="14"/>
                <w:lang w:eastAsia="tr-TR"/>
              </w:rPr>
            </w:pPr>
            <w:r w:rsidRPr="00CA4676">
              <w:rPr>
                <w:b/>
                <w:bCs/>
                <w:sz w:val="14"/>
                <w:szCs w:val="14"/>
                <w:lang w:eastAsia="tr-TR"/>
              </w:rPr>
              <w:t>762,689</w:t>
            </w:r>
          </w:p>
        </w:tc>
        <w:tc>
          <w:tcPr>
            <w:tcW w:w="1276" w:type="dxa"/>
            <w:tcBorders>
              <w:top w:val="nil"/>
              <w:left w:val="single" w:sz="4" w:space="0" w:color="auto"/>
              <w:bottom w:val="nil"/>
              <w:right w:val="single" w:sz="4" w:space="0" w:color="auto"/>
            </w:tcBorders>
            <w:shd w:val="clear" w:color="auto" w:fill="auto"/>
            <w:vAlign w:val="bottom"/>
            <w:hideMark/>
          </w:tcPr>
          <w:p w14:paraId="6AE9B785" w14:textId="77777777" w:rsidR="00CA4676" w:rsidRPr="00CA4676" w:rsidRDefault="00CA4676" w:rsidP="00717AB5">
            <w:pPr>
              <w:jc w:val="right"/>
              <w:rPr>
                <w:b/>
                <w:bCs/>
                <w:sz w:val="14"/>
                <w:szCs w:val="14"/>
                <w:lang w:eastAsia="tr-TR"/>
              </w:rPr>
            </w:pPr>
            <w:r w:rsidRPr="00CA4676">
              <w:rPr>
                <w:b/>
                <w:bCs/>
                <w:sz w:val="14"/>
                <w:szCs w:val="14"/>
                <w:lang w:eastAsia="tr-TR"/>
              </w:rPr>
              <w:t>238,601</w:t>
            </w:r>
          </w:p>
        </w:tc>
      </w:tr>
      <w:tr w:rsidR="00CA4676" w:rsidRPr="00CA4676" w14:paraId="28ED46A3"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5DD09E9D"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XII.</w:t>
            </w:r>
          </w:p>
        </w:tc>
        <w:tc>
          <w:tcPr>
            <w:tcW w:w="3606" w:type="dxa"/>
            <w:tcBorders>
              <w:top w:val="nil"/>
              <w:left w:val="single" w:sz="4" w:space="0" w:color="auto"/>
              <w:bottom w:val="nil"/>
              <w:right w:val="single" w:sz="4" w:space="0" w:color="auto"/>
            </w:tcBorders>
            <w:shd w:val="clear" w:color="auto" w:fill="auto"/>
            <w:vAlign w:val="center"/>
            <w:hideMark/>
          </w:tcPr>
          <w:p w14:paraId="2761DA95"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DİĞER FAALİYET GİDERLERİ (-)</w:t>
            </w:r>
          </w:p>
        </w:tc>
        <w:tc>
          <w:tcPr>
            <w:tcW w:w="650" w:type="dxa"/>
            <w:tcBorders>
              <w:top w:val="nil"/>
              <w:left w:val="single" w:sz="4" w:space="0" w:color="auto"/>
              <w:bottom w:val="nil"/>
              <w:right w:val="single" w:sz="4" w:space="0" w:color="auto"/>
            </w:tcBorders>
            <w:shd w:val="clear" w:color="auto" w:fill="auto"/>
            <w:noWrap/>
            <w:vAlign w:val="center"/>
            <w:hideMark/>
          </w:tcPr>
          <w:p w14:paraId="700B4F08" w14:textId="77777777" w:rsidR="00CA4676" w:rsidRPr="00CA4676" w:rsidRDefault="00CA4676" w:rsidP="00CA4676">
            <w:pPr>
              <w:rPr>
                <w:b/>
                <w:bCs/>
                <w:color w:val="000000"/>
                <w:sz w:val="14"/>
                <w:szCs w:val="14"/>
                <w:lang w:eastAsia="tr-TR"/>
              </w:rPr>
            </w:pPr>
            <w:r w:rsidRPr="00CA4676">
              <w:rPr>
                <w:b/>
                <w:bCs/>
                <w:color w:val="000000"/>
                <w:sz w:val="14"/>
                <w:szCs w:val="14"/>
                <w:lang w:eastAsia="tr-TR"/>
              </w:rPr>
              <w:t>(5.4.8.)</w:t>
            </w:r>
          </w:p>
        </w:tc>
        <w:tc>
          <w:tcPr>
            <w:tcW w:w="1232" w:type="dxa"/>
            <w:tcBorders>
              <w:top w:val="nil"/>
              <w:left w:val="single" w:sz="4" w:space="0" w:color="auto"/>
              <w:bottom w:val="nil"/>
              <w:right w:val="single" w:sz="4" w:space="0" w:color="auto"/>
            </w:tcBorders>
            <w:shd w:val="clear" w:color="auto" w:fill="auto"/>
            <w:vAlign w:val="bottom"/>
            <w:hideMark/>
          </w:tcPr>
          <w:p w14:paraId="7CE3DBFD" w14:textId="77777777" w:rsidR="00CA4676" w:rsidRPr="00CA4676" w:rsidRDefault="00CA4676" w:rsidP="00717AB5">
            <w:pPr>
              <w:jc w:val="right"/>
              <w:rPr>
                <w:b/>
                <w:bCs/>
                <w:sz w:val="14"/>
                <w:szCs w:val="14"/>
                <w:lang w:eastAsia="tr-TR"/>
              </w:rPr>
            </w:pPr>
            <w:r w:rsidRPr="00CA4676">
              <w:rPr>
                <w:b/>
                <w:bCs/>
                <w:sz w:val="14"/>
                <w:szCs w:val="16"/>
                <w:lang w:eastAsia="tr-TR"/>
              </w:rPr>
              <w:t>833,215</w:t>
            </w:r>
          </w:p>
        </w:tc>
        <w:tc>
          <w:tcPr>
            <w:tcW w:w="1170" w:type="dxa"/>
            <w:tcBorders>
              <w:top w:val="nil"/>
              <w:left w:val="nil"/>
              <w:bottom w:val="nil"/>
              <w:right w:val="single" w:sz="4" w:space="0" w:color="auto"/>
            </w:tcBorders>
            <w:shd w:val="clear" w:color="auto" w:fill="auto"/>
            <w:vAlign w:val="bottom"/>
            <w:hideMark/>
          </w:tcPr>
          <w:p w14:paraId="4C7B834D" w14:textId="77777777" w:rsidR="00CA4676" w:rsidRPr="00CA4676" w:rsidRDefault="00CA4676" w:rsidP="00717AB5">
            <w:pPr>
              <w:jc w:val="right"/>
              <w:rPr>
                <w:b/>
                <w:bCs/>
                <w:sz w:val="14"/>
                <w:szCs w:val="14"/>
                <w:lang w:eastAsia="tr-TR"/>
              </w:rPr>
            </w:pPr>
            <w:r w:rsidRPr="00CA4676">
              <w:rPr>
                <w:b/>
                <w:bCs/>
                <w:sz w:val="14"/>
                <w:szCs w:val="14"/>
                <w:lang w:eastAsia="tr-TR"/>
              </w:rPr>
              <w:t>283,720</w:t>
            </w:r>
          </w:p>
        </w:tc>
        <w:tc>
          <w:tcPr>
            <w:tcW w:w="1275" w:type="dxa"/>
            <w:tcBorders>
              <w:top w:val="nil"/>
              <w:left w:val="nil"/>
              <w:bottom w:val="nil"/>
              <w:right w:val="single" w:sz="4" w:space="0" w:color="auto"/>
            </w:tcBorders>
            <w:shd w:val="clear" w:color="auto" w:fill="auto"/>
            <w:vAlign w:val="bottom"/>
            <w:hideMark/>
          </w:tcPr>
          <w:p w14:paraId="39690DB2" w14:textId="77777777" w:rsidR="00CA4676" w:rsidRPr="00CA4676" w:rsidRDefault="00CA4676" w:rsidP="00717AB5">
            <w:pPr>
              <w:jc w:val="right"/>
              <w:rPr>
                <w:b/>
                <w:bCs/>
                <w:sz w:val="14"/>
                <w:szCs w:val="14"/>
                <w:lang w:eastAsia="tr-TR"/>
              </w:rPr>
            </w:pPr>
            <w:r w:rsidRPr="00CA4676">
              <w:rPr>
                <w:b/>
                <w:bCs/>
                <w:sz w:val="14"/>
                <w:szCs w:val="14"/>
                <w:lang w:eastAsia="tr-TR"/>
              </w:rPr>
              <w:t>645,647</w:t>
            </w:r>
          </w:p>
        </w:tc>
        <w:tc>
          <w:tcPr>
            <w:tcW w:w="1276" w:type="dxa"/>
            <w:tcBorders>
              <w:top w:val="nil"/>
              <w:left w:val="single" w:sz="4" w:space="0" w:color="auto"/>
              <w:bottom w:val="nil"/>
              <w:right w:val="single" w:sz="4" w:space="0" w:color="auto"/>
            </w:tcBorders>
            <w:shd w:val="clear" w:color="auto" w:fill="auto"/>
            <w:vAlign w:val="bottom"/>
            <w:hideMark/>
          </w:tcPr>
          <w:p w14:paraId="0E3F2EA6" w14:textId="77777777" w:rsidR="00CA4676" w:rsidRPr="00CA4676" w:rsidRDefault="00CA4676" w:rsidP="00717AB5">
            <w:pPr>
              <w:jc w:val="right"/>
              <w:rPr>
                <w:b/>
                <w:bCs/>
                <w:sz w:val="14"/>
                <w:szCs w:val="14"/>
                <w:lang w:eastAsia="tr-TR"/>
              </w:rPr>
            </w:pPr>
            <w:r w:rsidRPr="00CA4676">
              <w:rPr>
                <w:b/>
                <w:bCs/>
                <w:sz w:val="14"/>
                <w:szCs w:val="14"/>
                <w:lang w:eastAsia="tr-TR"/>
              </w:rPr>
              <w:t>260,261</w:t>
            </w:r>
          </w:p>
        </w:tc>
      </w:tr>
      <w:tr w:rsidR="00CA4676" w:rsidRPr="00CA4676" w14:paraId="40D137D9"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31BB94C3"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XIII.</w:t>
            </w:r>
          </w:p>
        </w:tc>
        <w:tc>
          <w:tcPr>
            <w:tcW w:w="3606" w:type="dxa"/>
            <w:tcBorders>
              <w:top w:val="nil"/>
              <w:left w:val="single" w:sz="4" w:space="0" w:color="auto"/>
              <w:bottom w:val="nil"/>
              <w:right w:val="single" w:sz="4" w:space="0" w:color="auto"/>
            </w:tcBorders>
            <w:shd w:val="clear" w:color="auto" w:fill="auto"/>
            <w:vAlign w:val="center"/>
            <w:hideMark/>
          </w:tcPr>
          <w:p w14:paraId="0446C380"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NET FAALİYET KÂRI/ZARARI (VIII-IX-X-XI-XII)</w:t>
            </w:r>
          </w:p>
        </w:tc>
        <w:tc>
          <w:tcPr>
            <w:tcW w:w="650" w:type="dxa"/>
            <w:tcBorders>
              <w:top w:val="nil"/>
              <w:left w:val="single" w:sz="4" w:space="0" w:color="auto"/>
              <w:bottom w:val="nil"/>
              <w:right w:val="single" w:sz="4" w:space="0" w:color="auto"/>
            </w:tcBorders>
            <w:shd w:val="clear" w:color="auto" w:fill="auto"/>
            <w:noWrap/>
            <w:vAlign w:val="center"/>
            <w:hideMark/>
          </w:tcPr>
          <w:p w14:paraId="29C6C3FE"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4959AD7B" w14:textId="77777777" w:rsidR="00CA4676" w:rsidRPr="00CA4676" w:rsidRDefault="00CA4676" w:rsidP="00717AB5">
            <w:pPr>
              <w:jc w:val="right"/>
              <w:rPr>
                <w:b/>
                <w:bCs/>
                <w:sz w:val="14"/>
                <w:szCs w:val="14"/>
                <w:lang w:eastAsia="tr-TR"/>
              </w:rPr>
            </w:pPr>
            <w:r w:rsidRPr="00CA4676">
              <w:rPr>
                <w:b/>
                <w:bCs/>
                <w:sz w:val="14"/>
                <w:szCs w:val="16"/>
                <w:lang w:eastAsia="tr-TR"/>
              </w:rPr>
              <w:t>1,319,544</w:t>
            </w:r>
          </w:p>
        </w:tc>
        <w:tc>
          <w:tcPr>
            <w:tcW w:w="1170" w:type="dxa"/>
            <w:tcBorders>
              <w:top w:val="nil"/>
              <w:left w:val="nil"/>
              <w:bottom w:val="nil"/>
              <w:right w:val="single" w:sz="4" w:space="0" w:color="auto"/>
            </w:tcBorders>
            <w:shd w:val="clear" w:color="auto" w:fill="auto"/>
            <w:vAlign w:val="bottom"/>
            <w:hideMark/>
          </w:tcPr>
          <w:p w14:paraId="10612918" w14:textId="77777777" w:rsidR="00CA4676" w:rsidRPr="00CA4676" w:rsidRDefault="00CA4676" w:rsidP="00717AB5">
            <w:pPr>
              <w:jc w:val="right"/>
              <w:rPr>
                <w:b/>
                <w:bCs/>
                <w:sz w:val="14"/>
                <w:szCs w:val="14"/>
                <w:lang w:eastAsia="tr-TR"/>
              </w:rPr>
            </w:pPr>
            <w:r w:rsidRPr="00CA4676">
              <w:rPr>
                <w:b/>
                <w:bCs/>
                <w:sz w:val="14"/>
                <w:szCs w:val="14"/>
                <w:lang w:eastAsia="tr-TR"/>
              </w:rPr>
              <w:t>363,999</w:t>
            </w:r>
          </w:p>
        </w:tc>
        <w:tc>
          <w:tcPr>
            <w:tcW w:w="1275" w:type="dxa"/>
            <w:tcBorders>
              <w:top w:val="nil"/>
              <w:left w:val="nil"/>
              <w:bottom w:val="nil"/>
              <w:right w:val="single" w:sz="4" w:space="0" w:color="auto"/>
            </w:tcBorders>
            <w:shd w:val="clear" w:color="auto" w:fill="auto"/>
            <w:vAlign w:val="bottom"/>
            <w:hideMark/>
          </w:tcPr>
          <w:p w14:paraId="7A723649" w14:textId="77777777" w:rsidR="00CA4676" w:rsidRPr="00CA4676" w:rsidRDefault="00CA4676" w:rsidP="00717AB5">
            <w:pPr>
              <w:jc w:val="right"/>
              <w:rPr>
                <w:b/>
                <w:bCs/>
                <w:sz w:val="14"/>
                <w:szCs w:val="14"/>
                <w:lang w:eastAsia="tr-TR"/>
              </w:rPr>
            </w:pPr>
            <w:r w:rsidRPr="00CA4676">
              <w:rPr>
                <w:b/>
                <w:bCs/>
                <w:sz w:val="14"/>
                <w:szCs w:val="14"/>
                <w:lang w:eastAsia="tr-TR"/>
              </w:rPr>
              <w:t>972,066</w:t>
            </w:r>
          </w:p>
        </w:tc>
        <w:tc>
          <w:tcPr>
            <w:tcW w:w="1276" w:type="dxa"/>
            <w:tcBorders>
              <w:top w:val="nil"/>
              <w:left w:val="single" w:sz="4" w:space="0" w:color="auto"/>
              <w:bottom w:val="nil"/>
              <w:right w:val="single" w:sz="4" w:space="0" w:color="auto"/>
            </w:tcBorders>
            <w:shd w:val="clear" w:color="auto" w:fill="auto"/>
            <w:vAlign w:val="bottom"/>
            <w:hideMark/>
          </w:tcPr>
          <w:p w14:paraId="0A99940C" w14:textId="77777777" w:rsidR="00CA4676" w:rsidRPr="00CA4676" w:rsidRDefault="00CA4676" w:rsidP="00717AB5">
            <w:pPr>
              <w:jc w:val="right"/>
              <w:rPr>
                <w:b/>
                <w:bCs/>
                <w:sz w:val="14"/>
                <w:szCs w:val="14"/>
                <w:lang w:eastAsia="tr-TR"/>
              </w:rPr>
            </w:pPr>
            <w:r w:rsidRPr="00CA4676">
              <w:rPr>
                <w:b/>
                <w:bCs/>
                <w:sz w:val="14"/>
                <w:szCs w:val="14"/>
                <w:lang w:eastAsia="tr-TR"/>
              </w:rPr>
              <w:t>227,813</w:t>
            </w:r>
          </w:p>
        </w:tc>
      </w:tr>
      <w:tr w:rsidR="00CA4676" w:rsidRPr="00CA4676" w14:paraId="0B85AE90"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35584F1B"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XIV.</w:t>
            </w:r>
          </w:p>
        </w:tc>
        <w:tc>
          <w:tcPr>
            <w:tcW w:w="3606" w:type="dxa"/>
            <w:tcBorders>
              <w:top w:val="nil"/>
              <w:left w:val="single" w:sz="4" w:space="0" w:color="auto"/>
              <w:bottom w:val="nil"/>
              <w:right w:val="single" w:sz="4" w:space="0" w:color="auto"/>
            </w:tcBorders>
            <w:shd w:val="clear" w:color="auto" w:fill="auto"/>
            <w:vAlign w:val="center"/>
            <w:hideMark/>
          </w:tcPr>
          <w:p w14:paraId="17DF9F65" w14:textId="77777777" w:rsidR="00CA4676" w:rsidRPr="00CA4676" w:rsidRDefault="00CA4676" w:rsidP="00CA4676">
            <w:pPr>
              <w:rPr>
                <w:b/>
                <w:bCs/>
                <w:color w:val="000000"/>
                <w:sz w:val="14"/>
                <w:szCs w:val="14"/>
                <w:lang w:eastAsia="tr-TR"/>
              </w:rPr>
            </w:pPr>
            <w:r w:rsidRPr="00311DAB">
              <w:rPr>
                <w:b/>
                <w:bCs/>
                <w:color w:val="000000"/>
                <w:sz w:val="14"/>
                <w:szCs w:val="14"/>
                <w:lang w:eastAsia="tr-TR"/>
              </w:rPr>
              <w:t>BİRLEŞME İŞLEMİ SONRASINDA GELİR OLARAK KAYDEDİLEN FAZLALIK TUTARI</w:t>
            </w:r>
          </w:p>
        </w:tc>
        <w:tc>
          <w:tcPr>
            <w:tcW w:w="650" w:type="dxa"/>
            <w:tcBorders>
              <w:top w:val="nil"/>
              <w:left w:val="single" w:sz="4" w:space="0" w:color="auto"/>
              <w:bottom w:val="nil"/>
              <w:right w:val="single" w:sz="4" w:space="0" w:color="auto"/>
            </w:tcBorders>
            <w:shd w:val="clear" w:color="auto" w:fill="auto"/>
            <w:noWrap/>
            <w:vAlign w:val="center"/>
            <w:hideMark/>
          </w:tcPr>
          <w:p w14:paraId="78F29E56"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0EB12F5F" w14:textId="77777777" w:rsidR="00CA4676" w:rsidRPr="00CA4676" w:rsidRDefault="00CA4676" w:rsidP="00717AB5">
            <w:pPr>
              <w:jc w:val="right"/>
              <w:rPr>
                <w:b/>
                <w:bCs/>
                <w:sz w:val="14"/>
                <w:szCs w:val="14"/>
                <w:lang w:eastAsia="tr-TR"/>
              </w:rPr>
            </w:pPr>
            <w:r w:rsidRPr="00CA4676">
              <w:rPr>
                <w:b/>
                <w:bCs/>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3E73192B"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60994F4D"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74841E27" w14:textId="77777777" w:rsidR="00CA4676" w:rsidRPr="00CA4676" w:rsidRDefault="00CA4676" w:rsidP="00717AB5">
            <w:pPr>
              <w:jc w:val="right"/>
              <w:rPr>
                <w:b/>
                <w:bCs/>
                <w:sz w:val="14"/>
                <w:szCs w:val="14"/>
                <w:lang w:eastAsia="tr-TR"/>
              </w:rPr>
            </w:pPr>
            <w:r w:rsidRPr="00CA4676">
              <w:rPr>
                <w:b/>
                <w:bCs/>
                <w:sz w:val="14"/>
                <w:szCs w:val="14"/>
                <w:lang w:eastAsia="tr-TR"/>
              </w:rPr>
              <w:t>-</w:t>
            </w:r>
          </w:p>
        </w:tc>
      </w:tr>
      <w:tr w:rsidR="00CA4676" w:rsidRPr="00CA4676" w14:paraId="213D3ED5"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22868F79"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XV.</w:t>
            </w:r>
          </w:p>
        </w:tc>
        <w:tc>
          <w:tcPr>
            <w:tcW w:w="3606" w:type="dxa"/>
            <w:tcBorders>
              <w:top w:val="nil"/>
              <w:left w:val="single" w:sz="4" w:space="0" w:color="auto"/>
              <w:bottom w:val="nil"/>
              <w:right w:val="single" w:sz="4" w:space="0" w:color="auto"/>
            </w:tcBorders>
            <w:shd w:val="clear" w:color="auto" w:fill="auto"/>
            <w:vAlign w:val="center"/>
            <w:hideMark/>
          </w:tcPr>
          <w:p w14:paraId="1F3AE189"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ÖZKAYNAK YÖNTEMİ UYGULANAN ORTAKLIKLARDAN KÂR/ZARAR</w:t>
            </w:r>
          </w:p>
        </w:tc>
        <w:tc>
          <w:tcPr>
            <w:tcW w:w="650" w:type="dxa"/>
            <w:tcBorders>
              <w:top w:val="nil"/>
              <w:left w:val="single" w:sz="4" w:space="0" w:color="auto"/>
              <w:bottom w:val="nil"/>
              <w:right w:val="single" w:sz="4" w:space="0" w:color="auto"/>
            </w:tcBorders>
            <w:shd w:val="clear" w:color="auto" w:fill="auto"/>
            <w:noWrap/>
            <w:vAlign w:val="center"/>
            <w:hideMark/>
          </w:tcPr>
          <w:p w14:paraId="30EB10AC"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44EB7066" w14:textId="77777777" w:rsidR="00CA4676" w:rsidRPr="00CA4676" w:rsidRDefault="00CA4676" w:rsidP="00717AB5">
            <w:pPr>
              <w:jc w:val="right"/>
              <w:rPr>
                <w:b/>
                <w:bCs/>
                <w:sz w:val="14"/>
                <w:szCs w:val="14"/>
                <w:lang w:eastAsia="tr-TR"/>
              </w:rPr>
            </w:pPr>
            <w:r w:rsidRPr="00CA4676">
              <w:rPr>
                <w:b/>
                <w:bCs/>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1743D1B3"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1FD06EEF"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1A3C956D" w14:textId="77777777" w:rsidR="00CA4676" w:rsidRPr="00CA4676" w:rsidRDefault="00CA4676" w:rsidP="00717AB5">
            <w:pPr>
              <w:jc w:val="right"/>
              <w:rPr>
                <w:b/>
                <w:bCs/>
                <w:sz w:val="14"/>
                <w:szCs w:val="14"/>
                <w:lang w:eastAsia="tr-TR"/>
              </w:rPr>
            </w:pPr>
            <w:r w:rsidRPr="00CA4676">
              <w:rPr>
                <w:b/>
                <w:bCs/>
                <w:sz w:val="14"/>
                <w:szCs w:val="14"/>
                <w:lang w:eastAsia="tr-TR"/>
              </w:rPr>
              <w:t>-</w:t>
            </w:r>
          </w:p>
        </w:tc>
      </w:tr>
      <w:tr w:rsidR="00CA4676" w:rsidRPr="00CA4676" w14:paraId="3B21E85F"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45A028C0"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XVI.</w:t>
            </w:r>
          </w:p>
        </w:tc>
        <w:tc>
          <w:tcPr>
            <w:tcW w:w="3606" w:type="dxa"/>
            <w:tcBorders>
              <w:top w:val="nil"/>
              <w:left w:val="single" w:sz="4" w:space="0" w:color="auto"/>
              <w:bottom w:val="nil"/>
              <w:right w:val="single" w:sz="4" w:space="0" w:color="auto"/>
            </w:tcBorders>
            <w:shd w:val="clear" w:color="auto" w:fill="auto"/>
            <w:vAlign w:val="center"/>
            <w:hideMark/>
          </w:tcPr>
          <w:p w14:paraId="2C483082"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NET PARASAL POZİSYON KÂRI/ZARARI</w:t>
            </w:r>
          </w:p>
        </w:tc>
        <w:tc>
          <w:tcPr>
            <w:tcW w:w="650" w:type="dxa"/>
            <w:tcBorders>
              <w:top w:val="nil"/>
              <w:left w:val="single" w:sz="4" w:space="0" w:color="auto"/>
              <w:bottom w:val="nil"/>
              <w:right w:val="single" w:sz="4" w:space="0" w:color="auto"/>
            </w:tcBorders>
            <w:shd w:val="clear" w:color="auto" w:fill="auto"/>
            <w:noWrap/>
            <w:vAlign w:val="center"/>
            <w:hideMark/>
          </w:tcPr>
          <w:p w14:paraId="6879AE23"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1F1A566C" w14:textId="77777777" w:rsidR="00CA4676" w:rsidRPr="00CA4676" w:rsidRDefault="00CA4676" w:rsidP="00717AB5">
            <w:pPr>
              <w:jc w:val="right"/>
              <w:rPr>
                <w:b/>
                <w:bCs/>
                <w:sz w:val="14"/>
                <w:szCs w:val="14"/>
                <w:lang w:eastAsia="tr-TR"/>
              </w:rPr>
            </w:pPr>
            <w:r w:rsidRPr="00CA4676">
              <w:rPr>
                <w:b/>
                <w:bCs/>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507241AE"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4A4E7EE3"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406699AA" w14:textId="77777777" w:rsidR="00CA4676" w:rsidRPr="00CA4676" w:rsidRDefault="00CA4676" w:rsidP="00717AB5">
            <w:pPr>
              <w:jc w:val="right"/>
              <w:rPr>
                <w:b/>
                <w:bCs/>
                <w:sz w:val="14"/>
                <w:szCs w:val="14"/>
                <w:lang w:eastAsia="tr-TR"/>
              </w:rPr>
            </w:pPr>
            <w:r w:rsidRPr="00CA4676">
              <w:rPr>
                <w:b/>
                <w:bCs/>
                <w:sz w:val="14"/>
                <w:szCs w:val="14"/>
                <w:lang w:eastAsia="tr-TR"/>
              </w:rPr>
              <w:t>-</w:t>
            </w:r>
          </w:p>
        </w:tc>
      </w:tr>
      <w:tr w:rsidR="00CA4676" w:rsidRPr="00CA4676" w14:paraId="55B97341"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1EDC67A5"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XVII.</w:t>
            </w:r>
          </w:p>
        </w:tc>
        <w:tc>
          <w:tcPr>
            <w:tcW w:w="3606" w:type="dxa"/>
            <w:tcBorders>
              <w:top w:val="nil"/>
              <w:left w:val="single" w:sz="4" w:space="0" w:color="auto"/>
              <w:bottom w:val="nil"/>
              <w:right w:val="single" w:sz="4" w:space="0" w:color="auto"/>
            </w:tcBorders>
            <w:shd w:val="clear" w:color="auto" w:fill="auto"/>
            <w:vAlign w:val="center"/>
            <w:hideMark/>
          </w:tcPr>
          <w:p w14:paraId="0880E456" w14:textId="77777777" w:rsidR="00CA4676" w:rsidRPr="00CA4676" w:rsidRDefault="00CA4676" w:rsidP="00CA4676">
            <w:pPr>
              <w:rPr>
                <w:b/>
                <w:bCs/>
                <w:color w:val="000000"/>
                <w:sz w:val="14"/>
                <w:szCs w:val="14"/>
                <w:lang w:eastAsia="tr-TR"/>
              </w:rPr>
            </w:pPr>
            <w:r w:rsidRPr="00311DAB">
              <w:rPr>
                <w:b/>
                <w:bCs/>
                <w:color w:val="000000"/>
                <w:sz w:val="14"/>
                <w:szCs w:val="14"/>
                <w:lang w:eastAsia="tr-TR"/>
              </w:rPr>
              <w:t>SÜRDÜRÜLEN FAALİYETLER VERGİ ÖNCESİ K/Z (XIII+...+XVI)</w:t>
            </w:r>
          </w:p>
        </w:tc>
        <w:tc>
          <w:tcPr>
            <w:tcW w:w="650" w:type="dxa"/>
            <w:tcBorders>
              <w:top w:val="nil"/>
              <w:left w:val="single" w:sz="4" w:space="0" w:color="auto"/>
              <w:bottom w:val="nil"/>
              <w:right w:val="single" w:sz="4" w:space="0" w:color="auto"/>
            </w:tcBorders>
            <w:shd w:val="clear" w:color="auto" w:fill="auto"/>
            <w:noWrap/>
            <w:vAlign w:val="center"/>
            <w:hideMark/>
          </w:tcPr>
          <w:p w14:paraId="53C45DFB"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(5.4.9.)</w:t>
            </w:r>
          </w:p>
        </w:tc>
        <w:tc>
          <w:tcPr>
            <w:tcW w:w="1232" w:type="dxa"/>
            <w:tcBorders>
              <w:top w:val="nil"/>
              <w:left w:val="single" w:sz="4" w:space="0" w:color="auto"/>
              <w:bottom w:val="nil"/>
              <w:right w:val="single" w:sz="4" w:space="0" w:color="auto"/>
            </w:tcBorders>
            <w:shd w:val="clear" w:color="auto" w:fill="auto"/>
            <w:vAlign w:val="bottom"/>
            <w:hideMark/>
          </w:tcPr>
          <w:p w14:paraId="2F563C81" w14:textId="77777777" w:rsidR="00CA4676" w:rsidRPr="00CA4676" w:rsidRDefault="00CA4676" w:rsidP="00717AB5">
            <w:pPr>
              <w:jc w:val="right"/>
              <w:rPr>
                <w:b/>
                <w:bCs/>
                <w:sz w:val="14"/>
                <w:szCs w:val="14"/>
                <w:lang w:eastAsia="tr-TR"/>
              </w:rPr>
            </w:pPr>
            <w:r w:rsidRPr="00CA4676">
              <w:rPr>
                <w:b/>
                <w:bCs/>
                <w:sz w:val="14"/>
                <w:szCs w:val="16"/>
                <w:lang w:eastAsia="tr-TR"/>
              </w:rPr>
              <w:t>1,319,544</w:t>
            </w:r>
          </w:p>
        </w:tc>
        <w:tc>
          <w:tcPr>
            <w:tcW w:w="1170" w:type="dxa"/>
            <w:tcBorders>
              <w:top w:val="nil"/>
              <w:left w:val="nil"/>
              <w:bottom w:val="nil"/>
              <w:right w:val="single" w:sz="4" w:space="0" w:color="auto"/>
            </w:tcBorders>
            <w:shd w:val="clear" w:color="auto" w:fill="auto"/>
            <w:vAlign w:val="bottom"/>
            <w:hideMark/>
          </w:tcPr>
          <w:p w14:paraId="1A5BDDEF" w14:textId="77777777" w:rsidR="00CA4676" w:rsidRPr="00CA4676" w:rsidRDefault="00CA4676" w:rsidP="00717AB5">
            <w:pPr>
              <w:jc w:val="right"/>
              <w:rPr>
                <w:b/>
                <w:bCs/>
                <w:sz w:val="14"/>
                <w:szCs w:val="14"/>
                <w:lang w:eastAsia="tr-TR"/>
              </w:rPr>
            </w:pPr>
            <w:r w:rsidRPr="00CA4676">
              <w:rPr>
                <w:b/>
                <w:bCs/>
                <w:sz w:val="14"/>
                <w:szCs w:val="14"/>
                <w:lang w:eastAsia="tr-TR"/>
              </w:rPr>
              <w:t>363,999</w:t>
            </w:r>
          </w:p>
        </w:tc>
        <w:tc>
          <w:tcPr>
            <w:tcW w:w="1275" w:type="dxa"/>
            <w:tcBorders>
              <w:top w:val="nil"/>
              <w:left w:val="nil"/>
              <w:bottom w:val="nil"/>
              <w:right w:val="single" w:sz="4" w:space="0" w:color="auto"/>
            </w:tcBorders>
            <w:shd w:val="clear" w:color="auto" w:fill="auto"/>
            <w:vAlign w:val="bottom"/>
            <w:hideMark/>
          </w:tcPr>
          <w:p w14:paraId="515DCEB9" w14:textId="77777777" w:rsidR="00CA4676" w:rsidRPr="00CA4676" w:rsidRDefault="00CA4676" w:rsidP="00717AB5">
            <w:pPr>
              <w:jc w:val="right"/>
              <w:rPr>
                <w:b/>
                <w:bCs/>
                <w:sz w:val="14"/>
                <w:szCs w:val="14"/>
                <w:lang w:eastAsia="tr-TR"/>
              </w:rPr>
            </w:pPr>
            <w:r w:rsidRPr="00CA4676">
              <w:rPr>
                <w:b/>
                <w:bCs/>
                <w:sz w:val="14"/>
                <w:szCs w:val="14"/>
                <w:lang w:eastAsia="tr-TR"/>
              </w:rPr>
              <w:t>972,066</w:t>
            </w:r>
          </w:p>
        </w:tc>
        <w:tc>
          <w:tcPr>
            <w:tcW w:w="1276" w:type="dxa"/>
            <w:tcBorders>
              <w:top w:val="nil"/>
              <w:left w:val="single" w:sz="4" w:space="0" w:color="auto"/>
              <w:bottom w:val="nil"/>
              <w:right w:val="single" w:sz="4" w:space="0" w:color="auto"/>
            </w:tcBorders>
            <w:shd w:val="clear" w:color="auto" w:fill="auto"/>
            <w:vAlign w:val="bottom"/>
            <w:hideMark/>
          </w:tcPr>
          <w:p w14:paraId="16D07231" w14:textId="77777777" w:rsidR="00CA4676" w:rsidRPr="00CA4676" w:rsidRDefault="00CA4676" w:rsidP="00717AB5">
            <w:pPr>
              <w:jc w:val="right"/>
              <w:rPr>
                <w:b/>
                <w:bCs/>
                <w:sz w:val="14"/>
                <w:szCs w:val="14"/>
                <w:lang w:eastAsia="tr-TR"/>
              </w:rPr>
            </w:pPr>
            <w:r w:rsidRPr="00CA4676">
              <w:rPr>
                <w:b/>
                <w:bCs/>
                <w:sz w:val="14"/>
                <w:szCs w:val="14"/>
                <w:lang w:eastAsia="tr-TR"/>
              </w:rPr>
              <w:t>227,813</w:t>
            </w:r>
          </w:p>
        </w:tc>
      </w:tr>
      <w:tr w:rsidR="00CA4676" w:rsidRPr="00CA4676" w14:paraId="0DCA9B6E"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468759F5"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XVIII.</w:t>
            </w:r>
          </w:p>
        </w:tc>
        <w:tc>
          <w:tcPr>
            <w:tcW w:w="3606" w:type="dxa"/>
            <w:tcBorders>
              <w:top w:val="nil"/>
              <w:left w:val="single" w:sz="4" w:space="0" w:color="auto"/>
              <w:bottom w:val="nil"/>
              <w:right w:val="single" w:sz="4" w:space="0" w:color="auto"/>
            </w:tcBorders>
            <w:shd w:val="clear" w:color="auto" w:fill="auto"/>
            <w:vAlign w:val="center"/>
            <w:hideMark/>
          </w:tcPr>
          <w:p w14:paraId="5192E192"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SÜRDÜRÜLEN FAALİYETLER VERGİ KARŞILIĞI (±)</w:t>
            </w:r>
          </w:p>
        </w:tc>
        <w:tc>
          <w:tcPr>
            <w:tcW w:w="650" w:type="dxa"/>
            <w:tcBorders>
              <w:top w:val="nil"/>
              <w:left w:val="single" w:sz="4" w:space="0" w:color="auto"/>
              <w:bottom w:val="nil"/>
              <w:right w:val="single" w:sz="4" w:space="0" w:color="auto"/>
            </w:tcBorders>
            <w:shd w:val="clear" w:color="auto" w:fill="auto"/>
            <w:noWrap/>
            <w:vAlign w:val="center"/>
            <w:hideMark/>
          </w:tcPr>
          <w:p w14:paraId="0AE48884"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(5.4.10)</w:t>
            </w:r>
          </w:p>
        </w:tc>
        <w:tc>
          <w:tcPr>
            <w:tcW w:w="1232" w:type="dxa"/>
            <w:tcBorders>
              <w:top w:val="nil"/>
              <w:left w:val="single" w:sz="4" w:space="0" w:color="auto"/>
              <w:bottom w:val="nil"/>
              <w:right w:val="single" w:sz="4" w:space="0" w:color="auto"/>
            </w:tcBorders>
            <w:shd w:val="clear" w:color="auto" w:fill="auto"/>
            <w:vAlign w:val="bottom"/>
            <w:hideMark/>
          </w:tcPr>
          <w:p w14:paraId="7C55E7B2" w14:textId="77777777" w:rsidR="00CA4676" w:rsidRPr="00CA4676" w:rsidRDefault="00CA4676" w:rsidP="00717AB5">
            <w:pPr>
              <w:jc w:val="right"/>
              <w:rPr>
                <w:b/>
                <w:bCs/>
                <w:sz w:val="14"/>
                <w:szCs w:val="14"/>
                <w:lang w:eastAsia="tr-TR"/>
              </w:rPr>
            </w:pPr>
            <w:r w:rsidRPr="00CA4676">
              <w:rPr>
                <w:b/>
                <w:bCs/>
                <w:sz w:val="14"/>
                <w:szCs w:val="16"/>
                <w:lang w:eastAsia="tr-TR"/>
              </w:rPr>
              <w:t>(283,488)</w:t>
            </w:r>
          </w:p>
        </w:tc>
        <w:tc>
          <w:tcPr>
            <w:tcW w:w="1170" w:type="dxa"/>
            <w:tcBorders>
              <w:top w:val="nil"/>
              <w:left w:val="nil"/>
              <w:bottom w:val="nil"/>
              <w:right w:val="single" w:sz="4" w:space="0" w:color="auto"/>
            </w:tcBorders>
            <w:shd w:val="clear" w:color="auto" w:fill="auto"/>
            <w:vAlign w:val="bottom"/>
            <w:hideMark/>
          </w:tcPr>
          <w:p w14:paraId="06A69D44" w14:textId="77777777" w:rsidR="00CA4676" w:rsidRPr="00CA4676" w:rsidRDefault="00CA4676" w:rsidP="00717AB5">
            <w:pPr>
              <w:jc w:val="right"/>
              <w:rPr>
                <w:b/>
                <w:bCs/>
                <w:sz w:val="14"/>
                <w:szCs w:val="14"/>
                <w:lang w:eastAsia="tr-TR"/>
              </w:rPr>
            </w:pPr>
            <w:r w:rsidRPr="00CA4676">
              <w:rPr>
                <w:b/>
                <w:bCs/>
                <w:sz w:val="14"/>
                <w:szCs w:val="14"/>
                <w:lang w:eastAsia="tr-TR"/>
              </w:rPr>
              <w:t>(82,002)</w:t>
            </w:r>
          </w:p>
        </w:tc>
        <w:tc>
          <w:tcPr>
            <w:tcW w:w="1275" w:type="dxa"/>
            <w:tcBorders>
              <w:top w:val="nil"/>
              <w:left w:val="nil"/>
              <w:bottom w:val="nil"/>
              <w:right w:val="single" w:sz="4" w:space="0" w:color="auto"/>
            </w:tcBorders>
            <w:shd w:val="clear" w:color="auto" w:fill="auto"/>
            <w:vAlign w:val="bottom"/>
            <w:hideMark/>
          </w:tcPr>
          <w:p w14:paraId="40EBE816" w14:textId="77777777" w:rsidR="00CA4676" w:rsidRPr="00CA4676" w:rsidRDefault="00CA4676" w:rsidP="00717AB5">
            <w:pPr>
              <w:jc w:val="right"/>
              <w:rPr>
                <w:b/>
                <w:bCs/>
                <w:sz w:val="14"/>
                <w:szCs w:val="14"/>
                <w:lang w:eastAsia="tr-TR"/>
              </w:rPr>
            </w:pPr>
            <w:r w:rsidRPr="00CA4676">
              <w:rPr>
                <w:b/>
                <w:bCs/>
                <w:sz w:val="14"/>
                <w:szCs w:val="14"/>
                <w:lang w:eastAsia="tr-TR"/>
              </w:rPr>
              <w:t>(194,570)</w:t>
            </w:r>
          </w:p>
        </w:tc>
        <w:tc>
          <w:tcPr>
            <w:tcW w:w="1276" w:type="dxa"/>
            <w:tcBorders>
              <w:top w:val="nil"/>
              <w:left w:val="single" w:sz="4" w:space="0" w:color="auto"/>
              <w:bottom w:val="nil"/>
              <w:right w:val="single" w:sz="4" w:space="0" w:color="auto"/>
            </w:tcBorders>
            <w:shd w:val="clear" w:color="auto" w:fill="auto"/>
            <w:vAlign w:val="bottom"/>
            <w:hideMark/>
          </w:tcPr>
          <w:p w14:paraId="3533582E" w14:textId="77777777" w:rsidR="00CA4676" w:rsidRPr="00CA4676" w:rsidRDefault="00CA4676" w:rsidP="00717AB5">
            <w:pPr>
              <w:jc w:val="right"/>
              <w:rPr>
                <w:b/>
                <w:bCs/>
                <w:sz w:val="14"/>
                <w:szCs w:val="14"/>
                <w:lang w:eastAsia="tr-TR"/>
              </w:rPr>
            </w:pPr>
            <w:r w:rsidRPr="00CA4676">
              <w:rPr>
                <w:b/>
                <w:bCs/>
                <w:sz w:val="14"/>
                <w:szCs w:val="14"/>
                <w:lang w:eastAsia="tr-TR"/>
              </w:rPr>
              <w:t>(51,784)</w:t>
            </w:r>
          </w:p>
        </w:tc>
      </w:tr>
      <w:tr w:rsidR="00CA4676" w:rsidRPr="00CA4676" w14:paraId="3B36A6AC"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30B97FB6" w14:textId="77777777" w:rsidR="00CA4676" w:rsidRPr="00CA4676" w:rsidRDefault="00CA4676" w:rsidP="00CA4676">
            <w:pPr>
              <w:rPr>
                <w:color w:val="000000"/>
                <w:sz w:val="14"/>
                <w:szCs w:val="14"/>
                <w:lang w:eastAsia="tr-TR"/>
              </w:rPr>
            </w:pPr>
            <w:r w:rsidRPr="00CA4676">
              <w:rPr>
                <w:color w:val="000000"/>
                <w:sz w:val="14"/>
                <w:szCs w:val="14"/>
                <w:lang w:val="en-US" w:eastAsia="tr-TR"/>
              </w:rPr>
              <w:t>18.1.</w:t>
            </w:r>
          </w:p>
        </w:tc>
        <w:tc>
          <w:tcPr>
            <w:tcW w:w="3606" w:type="dxa"/>
            <w:tcBorders>
              <w:top w:val="nil"/>
              <w:left w:val="single" w:sz="4" w:space="0" w:color="auto"/>
              <w:bottom w:val="nil"/>
              <w:right w:val="single" w:sz="4" w:space="0" w:color="auto"/>
            </w:tcBorders>
            <w:shd w:val="clear" w:color="auto" w:fill="auto"/>
            <w:vAlign w:val="center"/>
            <w:hideMark/>
          </w:tcPr>
          <w:p w14:paraId="57653E29" w14:textId="77777777" w:rsidR="00CA4676" w:rsidRPr="00CA4676" w:rsidRDefault="00CA4676" w:rsidP="00CA4676">
            <w:pPr>
              <w:rPr>
                <w:color w:val="000000"/>
                <w:sz w:val="14"/>
                <w:szCs w:val="14"/>
                <w:lang w:eastAsia="tr-TR"/>
              </w:rPr>
            </w:pPr>
            <w:r w:rsidRPr="00CA4676">
              <w:rPr>
                <w:color w:val="000000"/>
                <w:sz w:val="14"/>
                <w:szCs w:val="14"/>
                <w:lang w:val="en-US" w:eastAsia="tr-TR"/>
              </w:rPr>
              <w:t xml:space="preserve">Cari Vergi </w:t>
            </w:r>
            <w:proofErr w:type="spellStart"/>
            <w:r w:rsidRPr="00CA4676">
              <w:rPr>
                <w:color w:val="000000"/>
                <w:sz w:val="14"/>
                <w:szCs w:val="14"/>
                <w:lang w:val="en-US" w:eastAsia="tr-TR"/>
              </w:rPr>
              <w:t>Karşılığı</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620E8AF3"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62F5873C" w14:textId="77777777" w:rsidR="00CA4676" w:rsidRPr="00CA4676" w:rsidRDefault="00CA4676" w:rsidP="00717AB5">
            <w:pPr>
              <w:jc w:val="right"/>
              <w:rPr>
                <w:sz w:val="14"/>
                <w:szCs w:val="14"/>
                <w:lang w:eastAsia="tr-TR"/>
              </w:rPr>
            </w:pPr>
            <w:r w:rsidRPr="00CA4676">
              <w:rPr>
                <w:sz w:val="14"/>
                <w:szCs w:val="16"/>
                <w:lang w:eastAsia="tr-TR"/>
              </w:rPr>
              <w:t>(432,927)</w:t>
            </w:r>
          </w:p>
        </w:tc>
        <w:tc>
          <w:tcPr>
            <w:tcW w:w="1170" w:type="dxa"/>
            <w:tcBorders>
              <w:top w:val="nil"/>
              <w:left w:val="nil"/>
              <w:bottom w:val="nil"/>
              <w:right w:val="single" w:sz="4" w:space="0" w:color="auto"/>
            </w:tcBorders>
            <w:shd w:val="clear" w:color="auto" w:fill="auto"/>
            <w:vAlign w:val="bottom"/>
            <w:hideMark/>
          </w:tcPr>
          <w:p w14:paraId="0051E56A" w14:textId="77777777" w:rsidR="00CA4676" w:rsidRPr="00CA4676" w:rsidRDefault="00CA4676" w:rsidP="00717AB5">
            <w:pPr>
              <w:jc w:val="right"/>
              <w:rPr>
                <w:sz w:val="14"/>
                <w:szCs w:val="14"/>
                <w:lang w:eastAsia="tr-TR"/>
              </w:rPr>
            </w:pPr>
            <w:r w:rsidRPr="00CA4676">
              <w:rPr>
                <w:sz w:val="14"/>
                <w:szCs w:val="14"/>
                <w:lang w:eastAsia="tr-TR"/>
              </w:rPr>
              <w:t>(130,626)</w:t>
            </w:r>
          </w:p>
        </w:tc>
        <w:tc>
          <w:tcPr>
            <w:tcW w:w="1275" w:type="dxa"/>
            <w:tcBorders>
              <w:top w:val="nil"/>
              <w:left w:val="nil"/>
              <w:bottom w:val="nil"/>
              <w:right w:val="single" w:sz="4" w:space="0" w:color="auto"/>
            </w:tcBorders>
            <w:shd w:val="clear" w:color="auto" w:fill="auto"/>
            <w:vAlign w:val="bottom"/>
            <w:hideMark/>
          </w:tcPr>
          <w:p w14:paraId="60DAB41A" w14:textId="77777777" w:rsidR="00CA4676" w:rsidRPr="00CA4676" w:rsidRDefault="00CA4676" w:rsidP="00717AB5">
            <w:pPr>
              <w:jc w:val="right"/>
              <w:rPr>
                <w:sz w:val="14"/>
                <w:szCs w:val="14"/>
                <w:lang w:eastAsia="tr-TR"/>
              </w:rPr>
            </w:pPr>
            <w:r w:rsidRPr="00CA4676">
              <w:rPr>
                <w:sz w:val="14"/>
                <w:szCs w:val="14"/>
                <w:lang w:eastAsia="tr-TR"/>
              </w:rPr>
              <w:t>(172,329)</w:t>
            </w:r>
          </w:p>
        </w:tc>
        <w:tc>
          <w:tcPr>
            <w:tcW w:w="1276" w:type="dxa"/>
            <w:tcBorders>
              <w:top w:val="nil"/>
              <w:left w:val="single" w:sz="4" w:space="0" w:color="auto"/>
              <w:bottom w:val="nil"/>
              <w:right w:val="single" w:sz="4" w:space="0" w:color="auto"/>
            </w:tcBorders>
            <w:shd w:val="clear" w:color="auto" w:fill="auto"/>
            <w:vAlign w:val="bottom"/>
            <w:hideMark/>
          </w:tcPr>
          <w:p w14:paraId="413C23D0" w14:textId="77777777" w:rsidR="00CA4676" w:rsidRPr="00CA4676" w:rsidRDefault="00CA4676" w:rsidP="00717AB5">
            <w:pPr>
              <w:jc w:val="right"/>
              <w:rPr>
                <w:sz w:val="14"/>
                <w:szCs w:val="14"/>
                <w:lang w:eastAsia="tr-TR"/>
              </w:rPr>
            </w:pPr>
            <w:r w:rsidRPr="00CA4676">
              <w:rPr>
                <w:sz w:val="14"/>
                <w:szCs w:val="14"/>
                <w:lang w:eastAsia="tr-TR"/>
              </w:rPr>
              <w:t>4,427</w:t>
            </w:r>
          </w:p>
        </w:tc>
      </w:tr>
      <w:tr w:rsidR="00CA4676" w:rsidRPr="00CA4676" w14:paraId="3A00D7FB"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3AA4F298" w14:textId="77777777" w:rsidR="00CA4676" w:rsidRPr="00CA4676" w:rsidRDefault="00CA4676" w:rsidP="00CA4676">
            <w:pPr>
              <w:rPr>
                <w:color w:val="000000"/>
                <w:sz w:val="14"/>
                <w:szCs w:val="14"/>
                <w:lang w:eastAsia="tr-TR"/>
              </w:rPr>
            </w:pPr>
            <w:r w:rsidRPr="00CA4676">
              <w:rPr>
                <w:color w:val="000000"/>
                <w:sz w:val="14"/>
                <w:szCs w:val="14"/>
                <w:lang w:val="en-US" w:eastAsia="tr-TR"/>
              </w:rPr>
              <w:t>18.2.</w:t>
            </w:r>
          </w:p>
        </w:tc>
        <w:tc>
          <w:tcPr>
            <w:tcW w:w="3606" w:type="dxa"/>
            <w:tcBorders>
              <w:top w:val="nil"/>
              <w:left w:val="single" w:sz="4" w:space="0" w:color="auto"/>
              <w:bottom w:val="nil"/>
              <w:right w:val="single" w:sz="4" w:space="0" w:color="auto"/>
            </w:tcBorders>
            <w:shd w:val="clear" w:color="auto" w:fill="auto"/>
            <w:vAlign w:val="center"/>
            <w:hideMark/>
          </w:tcPr>
          <w:p w14:paraId="64FB9073"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Ertelenmiş</w:t>
            </w:r>
            <w:proofErr w:type="spellEnd"/>
            <w:r w:rsidRPr="00CA4676">
              <w:rPr>
                <w:color w:val="000000"/>
                <w:sz w:val="14"/>
                <w:szCs w:val="14"/>
                <w:lang w:val="en-US" w:eastAsia="tr-TR"/>
              </w:rPr>
              <w:t xml:space="preserve"> Vergi </w:t>
            </w:r>
            <w:proofErr w:type="spellStart"/>
            <w:r w:rsidRPr="00CA4676">
              <w:rPr>
                <w:color w:val="000000"/>
                <w:sz w:val="14"/>
                <w:szCs w:val="14"/>
                <w:lang w:val="en-US" w:eastAsia="tr-TR"/>
              </w:rPr>
              <w:t>Gider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Etkisi</w:t>
            </w:r>
            <w:proofErr w:type="spellEnd"/>
            <w:r w:rsidRPr="00CA4676">
              <w:rPr>
                <w:color w:val="000000"/>
                <w:sz w:val="14"/>
                <w:szCs w:val="14"/>
                <w:lang w:val="en-US" w:eastAsia="tr-TR"/>
              </w:rPr>
              <w:t xml:space="preserve"> (+)</w:t>
            </w:r>
          </w:p>
        </w:tc>
        <w:tc>
          <w:tcPr>
            <w:tcW w:w="650" w:type="dxa"/>
            <w:tcBorders>
              <w:top w:val="nil"/>
              <w:left w:val="single" w:sz="4" w:space="0" w:color="auto"/>
              <w:bottom w:val="nil"/>
              <w:right w:val="single" w:sz="4" w:space="0" w:color="auto"/>
            </w:tcBorders>
            <w:shd w:val="clear" w:color="auto" w:fill="auto"/>
            <w:noWrap/>
            <w:vAlign w:val="center"/>
            <w:hideMark/>
          </w:tcPr>
          <w:p w14:paraId="21E186D0"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63FD96C7" w14:textId="77777777" w:rsidR="00CA4676" w:rsidRPr="00CA4676" w:rsidRDefault="00CA4676" w:rsidP="00717AB5">
            <w:pPr>
              <w:jc w:val="right"/>
              <w:rPr>
                <w:sz w:val="14"/>
                <w:szCs w:val="14"/>
                <w:lang w:eastAsia="tr-TR"/>
              </w:rPr>
            </w:pPr>
            <w:r w:rsidRPr="00CA4676">
              <w:rPr>
                <w:sz w:val="14"/>
                <w:szCs w:val="16"/>
                <w:lang w:eastAsia="tr-TR"/>
              </w:rPr>
              <w:t>134,484</w:t>
            </w:r>
          </w:p>
        </w:tc>
        <w:tc>
          <w:tcPr>
            <w:tcW w:w="1170" w:type="dxa"/>
            <w:tcBorders>
              <w:top w:val="nil"/>
              <w:left w:val="nil"/>
              <w:bottom w:val="nil"/>
              <w:right w:val="single" w:sz="4" w:space="0" w:color="auto"/>
            </w:tcBorders>
            <w:shd w:val="clear" w:color="auto" w:fill="auto"/>
            <w:vAlign w:val="bottom"/>
            <w:hideMark/>
          </w:tcPr>
          <w:p w14:paraId="128E397F"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75407182" w14:textId="77777777" w:rsidR="00CA4676" w:rsidRPr="00CA4676" w:rsidRDefault="00CA4676" w:rsidP="00717AB5">
            <w:pPr>
              <w:jc w:val="right"/>
              <w:rPr>
                <w:sz w:val="14"/>
                <w:szCs w:val="14"/>
                <w:lang w:eastAsia="tr-TR"/>
              </w:rPr>
            </w:pPr>
            <w:r w:rsidRPr="00CA4676">
              <w:rPr>
                <w:sz w:val="14"/>
                <w:szCs w:val="14"/>
                <w:lang w:eastAsia="tr-TR"/>
              </w:rPr>
              <w:t>194,309</w:t>
            </w:r>
          </w:p>
        </w:tc>
        <w:tc>
          <w:tcPr>
            <w:tcW w:w="1276" w:type="dxa"/>
            <w:tcBorders>
              <w:top w:val="nil"/>
              <w:left w:val="single" w:sz="4" w:space="0" w:color="auto"/>
              <w:bottom w:val="nil"/>
              <w:right w:val="single" w:sz="4" w:space="0" w:color="auto"/>
            </w:tcBorders>
            <w:shd w:val="clear" w:color="auto" w:fill="auto"/>
            <w:vAlign w:val="bottom"/>
            <w:hideMark/>
          </w:tcPr>
          <w:p w14:paraId="444F8728"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3E5079E7"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D6A98D7" w14:textId="77777777" w:rsidR="00CA4676" w:rsidRPr="00CA4676" w:rsidRDefault="00CA4676" w:rsidP="00CA4676">
            <w:pPr>
              <w:rPr>
                <w:color w:val="000000"/>
                <w:sz w:val="14"/>
                <w:szCs w:val="14"/>
                <w:lang w:eastAsia="tr-TR"/>
              </w:rPr>
            </w:pPr>
            <w:r w:rsidRPr="00CA4676">
              <w:rPr>
                <w:color w:val="000000"/>
                <w:sz w:val="14"/>
                <w:szCs w:val="14"/>
                <w:lang w:val="en-US" w:eastAsia="tr-TR"/>
              </w:rPr>
              <w:t>18.3.</w:t>
            </w:r>
          </w:p>
        </w:tc>
        <w:tc>
          <w:tcPr>
            <w:tcW w:w="3606" w:type="dxa"/>
            <w:tcBorders>
              <w:top w:val="nil"/>
              <w:left w:val="single" w:sz="4" w:space="0" w:color="auto"/>
              <w:bottom w:val="nil"/>
              <w:right w:val="single" w:sz="4" w:space="0" w:color="auto"/>
            </w:tcBorders>
            <w:shd w:val="clear" w:color="auto" w:fill="auto"/>
            <w:vAlign w:val="center"/>
            <w:hideMark/>
          </w:tcPr>
          <w:p w14:paraId="0D765616"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Ertelenmiş</w:t>
            </w:r>
            <w:proofErr w:type="spellEnd"/>
            <w:r w:rsidRPr="00CA4676">
              <w:rPr>
                <w:color w:val="000000"/>
                <w:sz w:val="14"/>
                <w:szCs w:val="14"/>
                <w:lang w:val="en-US" w:eastAsia="tr-TR"/>
              </w:rPr>
              <w:t xml:space="preserve"> Vergi </w:t>
            </w:r>
            <w:proofErr w:type="spellStart"/>
            <w:r w:rsidRPr="00CA4676">
              <w:rPr>
                <w:color w:val="000000"/>
                <w:sz w:val="14"/>
                <w:szCs w:val="14"/>
                <w:lang w:val="en-US" w:eastAsia="tr-TR"/>
              </w:rPr>
              <w:t>Gelir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Etkisi</w:t>
            </w:r>
            <w:proofErr w:type="spellEnd"/>
            <w:r w:rsidRPr="00CA4676">
              <w:rPr>
                <w:color w:val="000000"/>
                <w:sz w:val="14"/>
                <w:szCs w:val="14"/>
                <w:lang w:val="en-US" w:eastAsia="tr-TR"/>
              </w:rPr>
              <w:t xml:space="preserve"> (-)</w:t>
            </w:r>
          </w:p>
        </w:tc>
        <w:tc>
          <w:tcPr>
            <w:tcW w:w="650" w:type="dxa"/>
            <w:tcBorders>
              <w:top w:val="nil"/>
              <w:left w:val="single" w:sz="4" w:space="0" w:color="auto"/>
              <w:bottom w:val="nil"/>
              <w:right w:val="single" w:sz="4" w:space="0" w:color="auto"/>
            </w:tcBorders>
            <w:shd w:val="clear" w:color="auto" w:fill="auto"/>
            <w:noWrap/>
            <w:vAlign w:val="center"/>
            <w:hideMark/>
          </w:tcPr>
          <w:p w14:paraId="0FD145A3"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6A69482B" w14:textId="77777777" w:rsidR="00CA4676" w:rsidRPr="00CA4676" w:rsidRDefault="00CA4676" w:rsidP="00717AB5">
            <w:pPr>
              <w:jc w:val="right"/>
              <w:rPr>
                <w:sz w:val="14"/>
                <w:szCs w:val="14"/>
                <w:lang w:eastAsia="tr-TR"/>
              </w:rPr>
            </w:pPr>
            <w:r w:rsidRPr="00CA4676">
              <w:rPr>
                <w:sz w:val="14"/>
                <w:szCs w:val="16"/>
                <w:lang w:eastAsia="tr-TR"/>
              </w:rPr>
              <w:t>283,923</w:t>
            </w:r>
          </w:p>
        </w:tc>
        <w:tc>
          <w:tcPr>
            <w:tcW w:w="1170" w:type="dxa"/>
            <w:tcBorders>
              <w:top w:val="nil"/>
              <w:left w:val="nil"/>
              <w:bottom w:val="nil"/>
              <w:right w:val="single" w:sz="4" w:space="0" w:color="auto"/>
            </w:tcBorders>
            <w:shd w:val="clear" w:color="auto" w:fill="auto"/>
            <w:vAlign w:val="bottom"/>
            <w:hideMark/>
          </w:tcPr>
          <w:p w14:paraId="64027E2C" w14:textId="77777777" w:rsidR="00CA4676" w:rsidRPr="00CA4676" w:rsidRDefault="00CA4676" w:rsidP="00717AB5">
            <w:pPr>
              <w:jc w:val="right"/>
              <w:rPr>
                <w:sz w:val="14"/>
                <w:szCs w:val="14"/>
                <w:lang w:eastAsia="tr-TR"/>
              </w:rPr>
            </w:pPr>
            <w:r w:rsidRPr="00CA4676">
              <w:rPr>
                <w:sz w:val="14"/>
                <w:szCs w:val="14"/>
                <w:lang w:eastAsia="tr-TR"/>
              </w:rPr>
              <w:t>48,624</w:t>
            </w:r>
          </w:p>
        </w:tc>
        <w:tc>
          <w:tcPr>
            <w:tcW w:w="1275" w:type="dxa"/>
            <w:tcBorders>
              <w:top w:val="nil"/>
              <w:left w:val="nil"/>
              <w:bottom w:val="nil"/>
              <w:right w:val="single" w:sz="4" w:space="0" w:color="auto"/>
            </w:tcBorders>
            <w:shd w:val="clear" w:color="auto" w:fill="auto"/>
            <w:vAlign w:val="bottom"/>
            <w:hideMark/>
          </w:tcPr>
          <w:p w14:paraId="4EAF550B" w14:textId="77777777" w:rsidR="00CA4676" w:rsidRPr="00CA4676" w:rsidRDefault="00CA4676" w:rsidP="00717AB5">
            <w:pPr>
              <w:jc w:val="right"/>
              <w:rPr>
                <w:sz w:val="14"/>
                <w:szCs w:val="14"/>
                <w:lang w:eastAsia="tr-TR"/>
              </w:rPr>
            </w:pPr>
            <w:r w:rsidRPr="00CA4676">
              <w:rPr>
                <w:sz w:val="14"/>
                <w:szCs w:val="14"/>
                <w:lang w:eastAsia="tr-TR"/>
              </w:rPr>
              <w:t>172,068</w:t>
            </w:r>
          </w:p>
        </w:tc>
        <w:tc>
          <w:tcPr>
            <w:tcW w:w="1276" w:type="dxa"/>
            <w:tcBorders>
              <w:top w:val="nil"/>
              <w:left w:val="single" w:sz="4" w:space="0" w:color="auto"/>
              <w:bottom w:val="nil"/>
              <w:right w:val="single" w:sz="4" w:space="0" w:color="auto"/>
            </w:tcBorders>
            <w:shd w:val="clear" w:color="auto" w:fill="auto"/>
            <w:vAlign w:val="bottom"/>
            <w:hideMark/>
          </w:tcPr>
          <w:p w14:paraId="375E78E3" w14:textId="77777777" w:rsidR="00CA4676" w:rsidRPr="00CA4676" w:rsidRDefault="00CA4676" w:rsidP="00717AB5">
            <w:pPr>
              <w:jc w:val="right"/>
              <w:rPr>
                <w:sz w:val="14"/>
                <w:szCs w:val="14"/>
                <w:lang w:eastAsia="tr-TR"/>
              </w:rPr>
            </w:pPr>
            <w:r w:rsidRPr="00CA4676">
              <w:rPr>
                <w:sz w:val="14"/>
                <w:szCs w:val="14"/>
                <w:lang w:eastAsia="tr-TR"/>
              </w:rPr>
              <w:t>(56,211)</w:t>
            </w:r>
          </w:p>
        </w:tc>
      </w:tr>
      <w:tr w:rsidR="00CA4676" w:rsidRPr="00CA4676" w14:paraId="2702F1A6"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306159CD"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XIX.</w:t>
            </w:r>
          </w:p>
        </w:tc>
        <w:tc>
          <w:tcPr>
            <w:tcW w:w="3606" w:type="dxa"/>
            <w:tcBorders>
              <w:top w:val="nil"/>
              <w:left w:val="single" w:sz="4" w:space="0" w:color="auto"/>
              <w:bottom w:val="nil"/>
              <w:right w:val="single" w:sz="4" w:space="0" w:color="auto"/>
            </w:tcBorders>
            <w:shd w:val="clear" w:color="auto" w:fill="auto"/>
            <w:vAlign w:val="center"/>
            <w:hideMark/>
          </w:tcPr>
          <w:p w14:paraId="21BEE0DF"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SÜRDÜRÜLEN FAALİYETLER DÖNEM NET K/Z (XVII±XVIII)</w:t>
            </w:r>
          </w:p>
        </w:tc>
        <w:tc>
          <w:tcPr>
            <w:tcW w:w="650" w:type="dxa"/>
            <w:tcBorders>
              <w:top w:val="nil"/>
              <w:left w:val="single" w:sz="4" w:space="0" w:color="auto"/>
              <w:bottom w:val="nil"/>
              <w:right w:val="single" w:sz="4" w:space="0" w:color="auto"/>
            </w:tcBorders>
            <w:shd w:val="clear" w:color="auto" w:fill="auto"/>
            <w:noWrap/>
            <w:vAlign w:val="center"/>
            <w:hideMark/>
          </w:tcPr>
          <w:p w14:paraId="32C584DC"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(5.4.11.)</w:t>
            </w:r>
          </w:p>
        </w:tc>
        <w:tc>
          <w:tcPr>
            <w:tcW w:w="1232" w:type="dxa"/>
            <w:tcBorders>
              <w:top w:val="nil"/>
              <w:left w:val="single" w:sz="4" w:space="0" w:color="auto"/>
              <w:bottom w:val="nil"/>
              <w:right w:val="single" w:sz="4" w:space="0" w:color="auto"/>
            </w:tcBorders>
            <w:shd w:val="clear" w:color="auto" w:fill="auto"/>
            <w:vAlign w:val="bottom"/>
            <w:hideMark/>
          </w:tcPr>
          <w:p w14:paraId="5E86A816" w14:textId="77777777" w:rsidR="00CA4676" w:rsidRPr="00CA4676" w:rsidRDefault="00CA4676" w:rsidP="00717AB5">
            <w:pPr>
              <w:jc w:val="right"/>
              <w:rPr>
                <w:b/>
                <w:bCs/>
                <w:sz w:val="14"/>
                <w:szCs w:val="14"/>
                <w:lang w:eastAsia="tr-TR"/>
              </w:rPr>
            </w:pPr>
            <w:r w:rsidRPr="00CA4676">
              <w:rPr>
                <w:b/>
                <w:bCs/>
                <w:sz w:val="14"/>
                <w:szCs w:val="16"/>
                <w:lang w:eastAsia="tr-TR"/>
              </w:rPr>
              <w:t>1,036,056</w:t>
            </w:r>
          </w:p>
        </w:tc>
        <w:tc>
          <w:tcPr>
            <w:tcW w:w="1170" w:type="dxa"/>
            <w:tcBorders>
              <w:top w:val="nil"/>
              <w:left w:val="nil"/>
              <w:bottom w:val="nil"/>
              <w:right w:val="single" w:sz="4" w:space="0" w:color="auto"/>
            </w:tcBorders>
            <w:shd w:val="clear" w:color="auto" w:fill="auto"/>
            <w:vAlign w:val="bottom"/>
            <w:hideMark/>
          </w:tcPr>
          <w:p w14:paraId="6EEB4EB9" w14:textId="77777777" w:rsidR="00CA4676" w:rsidRPr="00CA4676" w:rsidRDefault="00CA4676" w:rsidP="00717AB5">
            <w:pPr>
              <w:jc w:val="right"/>
              <w:rPr>
                <w:b/>
                <w:bCs/>
                <w:sz w:val="14"/>
                <w:szCs w:val="14"/>
                <w:lang w:eastAsia="tr-TR"/>
              </w:rPr>
            </w:pPr>
            <w:r w:rsidRPr="00CA4676">
              <w:rPr>
                <w:b/>
                <w:bCs/>
                <w:sz w:val="14"/>
                <w:szCs w:val="14"/>
                <w:lang w:eastAsia="tr-TR"/>
              </w:rPr>
              <w:t>281,997</w:t>
            </w:r>
          </w:p>
        </w:tc>
        <w:tc>
          <w:tcPr>
            <w:tcW w:w="1275" w:type="dxa"/>
            <w:tcBorders>
              <w:top w:val="nil"/>
              <w:left w:val="nil"/>
              <w:bottom w:val="nil"/>
              <w:right w:val="single" w:sz="4" w:space="0" w:color="auto"/>
            </w:tcBorders>
            <w:shd w:val="clear" w:color="auto" w:fill="auto"/>
            <w:vAlign w:val="bottom"/>
            <w:hideMark/>
          </w:tcPr>
          <w:p w14:paraId="5437FD47" w14:textId="77777777" w:rsidR="00CA4676" w:rsidRPr="00CA4676" w:rsidRDefault="00CA4676" w:rsidP="00717AB5">
            <w:pPr>
              <w:jc w:val="right"/>
              <w:rPr>
                <w:b/>
                <w:bCs/>
                <w:sz w:val="14"/>
                <w:szCs w:val="14"/>
                <w:lang w:eastAsia="tr-TR"/>
              </w:rPr>
            </w:pPr>
            <w:r w:rsidRPr="00CA4676">
              <w:rPr>
                <w:b/>
                <w:bCs/>
                <w:sz w:val="14"/>
                <w:szCs w:val="14"/>
                <w:lang w:eastAsia="tr-TR"/>
              </w:rPr>
              <w:t>777,496</w:t>
            </w:r>
          </w:p>
        </w:tc>
        <w:tc>
          <w:tcPr>
            <w:tcW w:w="1276" w:type="dxa"/>
            <w:tcBorders>
              <w:top w:val="nil"/>
              <w:left w:val="single" w:sz="4" w:space="0" w:color="auto"/>
              <w:bottom w:val="nil"/>
              <w:right w:val="single" w:sz="4" w:space="0" w:color="auto"/>
            </w:tcBorders>
            <w:shd w:val="clear" w:color="auto" w:fill="auto"/>
            <w:vAlign w:val="bottom"/>
            <w:hideMark/>
          </w:tcPr>
          <w:p w14:paraId="02FC6031" w14:textId="77777777" w:rsidR="00CA4676" w:rsidRPr="00CA4676" w:rsidRDefault="00CA4676" w:rsidP="00717AB5">
            <w:pPr>
              <w:jc w:val="right"/>
              <w:rPr>
                <w:b/>
                <w:bCs/>
                <w:sz w:val="14"/>
                <w:szCs w:val="14"/>
                <w:lang w:eastAsia="tr-TR"/>
              </w:rPr>
            </w:pPr>
            <w:r w:rsidRPr="00CA4676">
              <w:rPr>
                <w:b/>
                <w:bCs/>
                <w:sz w:val="14"/>
                <w:szCs w:val="14"/>
                <w:lang w:eastAsia="tr-TR"/>
              </w:rPr>
              <w:t>176,029</w:t>
            </w:r>
          </w:p>
        </w:tc>
      </w:tr>
      <w:tr w:rsidR="00CA4676" w:rsidRPr="00CA4676" w14:paraId="02CE6051"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36FD297A"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XX.</w:t>
            </w:r>
          </w:p>
        </w:tc>
        <w:tc>
          <w:tcPr>
            <w:tcW w:w="3606" w:type="dxa"/>
            <w:tcBorders>
              <w:top w:val="nil"/>
              <w:left w:val="single" w:sz="4" w:space="0" w:color="auto"/>
              <w:bottom w:val="nil"/>
              <w:right w:val="single" w:sz="4" w:space="0" w:color="auto"/>
            </w:tcBorders>
            <w:shd w:val="clear" w:color="auto" w:fill="auto"/>
            <w:vAlign w:val="center"/>
            <w:hideMark/>
          </w:tcPr>
          <w:p w14:paraId="292CF255"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DURDURULAN FAALİYETLERDEN GELİRLER</w:t>
            </w:r>
          </w:p>
        </w:tc>
        <w:tc>
          <w:tcPr>
            <w:tcW w:w="650" w:type="dxa"/>
            <w:tcBorders>
              <w:top w:val="nil"/>
              <w:left w:val="single" w:sz="4" w:space="0" w:color="auto"/>
              <w:bottom w:val="nil"/>
              <w:right w:val="single" w:sz="4" w:space="0" w:color="auto"/>
            </w:tcBorders>
            <w:shd w:val="clear" w:color="auto" w:fill="auto"/>
            <w:noWrap/>
            <w:vAlign w:val="center"/>
            <w:hideMark/>
          </w:tcPr>
          <w:p w14:paraId="3C596585"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4C987376" w14:textId="77777777" w:rsidR="00CA4676" w:rsidRPr="00CA4676" w:rsidRDefault="00CA4676" w:rsidP="00717AB5">
            <w:pPr>
              <w:jc w:val="right"/>
              <w:rPr>
                <w:b/>
                <w:bCs/>
                <w:sz w:val="14"/>
                <w:szCs w:val="14"/>
                <w:lang w:eastAsia="tr-TR"/>
              </w:rPr>
            </w:pPr>
            <w:r w:rsidRPr="00CA4676">
              <w:rPr>
                <w:b/>
                <w:bCs/>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0F924F09"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7AEEC596"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351F09F9" w14:textId="77777777" w:rsidR="00CA4676" w:rsidRPr="00CA4676" w:rsidRDefault="00CA4676" w:rsidP="00717AB5">
            <w:pPr>
              <w:jc w:val="right"/>
              <w:rPr>
                <w:b/>
                <w:bCs/>
                <w:sz w:val="14"/>
                <w:szCs w:val="14"/>
                <w:lang w:eastAsia="tr-TR"/>
              </w:rPr>
            </w:pPr>
            <w:r w:rsidRPr="00CA4676">
              <w:rPr>
                <w:b/>
                <w:bCs/>
                <w:sz w:val="14"/>
                <w:szCs w:val="14"/>
                <w:lang w:eastAsia="tr-TR"/>
              </w:rPr>
              <w:t>-</w:t>
            </w:r>
          </w:p>
        </w:tc>
      </w:tr>
      <w:tr w:rsidR="00CA4676" w:rsidRPr="00CA4676" w14:paraId="7D8801D2"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251A226" w14:textId="77777777" w:rsidR="00CA4676" w:rsidRPr="00CA4676" w:rsidRDefault="00CA4676" w:rsidP="00CA4676">
            <w:pPr>
              <w:rPr>
                <w:color w:val="000000"/>
                <w:sz w:val="14"/>
                <w:szCs w:val="14"/>
                <w:lang w:eastAsia="tr-TR"/>
              </w:rPr>
            </w:pPr>
            <w:r w:rsidRPr="00CA4676">
              <w:rPr>
                <w:color w:val="000000"/>
                <w:sz w:val="14"/>
                <w:szCs w:val="14"/>
                <w:lang w:val="en-US" w:eastAsia="tr-TR"/>
              </w:rPr>
              <w:t>20.1.</w:t>
            </w:r>
          </w:p>
        </w:tc>
        <w:tc>
          <w:tcPr>
            <w:tcW w:w="3606" w:type="dxa"/>
            <w:tcBorders>
              <w:top w:val="nil"/>
              <w:left w:val="single" w:sz="4" w:space="0" w:color="auto"/>
              <w:bottom w:val="nil"/>
              <w:right w:val="single" w:sz="4" w:space="0" w:color="auto"/>
            </w:tcBorders>
            <w:shd w:val="clear" w:color="auto" w:fill="auto"/>
            <w:vAlign w:val="center"/>
            <w:hideMark/>
          </w:tcPr>
          <w:p w14:paraId="50C6516A"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Satış</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Amaçlı</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Elde</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Tutulan</w:t>
            </w:r>
            <w:proofErr w:type="spellEnd"/>
            <w:r w:rsidRPr="00CA4676">
              <w:rPr>
                <w:color w:val="000000"/>
                <w:sz w:val="14"/>
                <w:szCs w:val="14"/>
                <w:lang w:val="en-US" w:eastAsia="tr-TR"/>
              </w:rPr>
              <w:t xml:space="preserve"> Duran </w:t>
            </w:r>
            <w:proofErr w:type="spellStart"/>
            <w:r w:rsidRPr="00CA4676">
              <w:rPr>
                <w:color w:val="000000"/>
                <w:sz w:val="14"/>
                <w:szCs w:val="14"/>
                <w:lang w:val="en-US" w:eastAsia="tr-TR"/>
              </w:rPr>
              <w:t>Varlık</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Gelirleri</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632E3688"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7EEEF63D" w14:textId="77777777" w:rsidR="00CA4676" w:rsidRPr="00CA4676" w:rsidRDefault="00CA4676" w:rsidP="00717AB5">
            <w:pPr>
              <w:jc w:val="right"/>
              <w:rPr>
                <w:sz w:val="14"/>
                <w:szCs w:val="14"/>
                <w:lang w:eastAsia="tr-TR"/>
              </w:rPr>
            </w:pPr>
            <w:r w:rsidRPr="00CA4676">
              <w:rPr>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30698583"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5B33B619"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69DDD02B"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4AEEC2A3"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65BACD52" w14:textId="77777777" w:rsidR="00CA4676" w:rsidRPr="00CA4676" w:rsidRDefault="00CA4676" w:rsidP="00CA4676">
            <w:pPr>
              <w:rPr>
                <w:color w:val="000000"/>
                <w:sz w:val="14"/>
                <w:szCs w:val="14"/>
                <w:lang w:eastAsia="tr-TR"/>
              </w:rPr>
            </w:pPr>
            <w:r w:rsidRPr="00CA4676">
              <w:rPr>
                <w:color w:val="000000"/>
                <w:sz w:val="14"/>
                <w:szCs w:val="14"/>
                <w:lang w:val="en-US" w:eastAsia="tr-TR"/>
              </w:rPr>
              <w:t>20.2.</w:t>
            </w:r>
          </w:p>
        </w:tc>
        <w:tc>
          <w:tcPr>
            <w:tcW w:w="3606" w:type="dxa"/>
            <w:tcBorders>
              <w:top w:val="nil"/>
              <w:left w:val="single" w:sz="4" w:space="0" w:color="auto"/>
              <w:bottom w:val="nil"/>
              <w:right w:val="single" w:sz="4" w:space="0" w:color="auto"/>
            </w:tcBorders>
            <w:shd w:val="clear" w:color="auto" w:fill="auto"/>
            <w:vAlign w:val="center"/>
            <w:hideMark/>
          </w:tcPr>
          <w:p w14:paraId="4A63C2B1"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İştirak</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Bağlı</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Ortaklık</w:t>
            </w:r>
            <w:proofErr w:type="spellEnd"/>
            <w:r w:rsidRPr="00CA4676">
              <w:rPr>
                <w:color w:val="000000"/>
                <w:sz w:val="14"/>
                <w:szCs w:val="14"/>
                <w:lang w:val="en-US" w:eastAsia="tr-TR"/>
              </w:rPr>
              <w:t xml:space="preserve"> ve </w:t>
            </w:r>
            <w:proofErr w:type="spellStart"/>
            <w:r w:rsidRPr="00CA4676">
              <w:rPr>
                <w:color w:val="000000"/>
                <w:sz w:val="14"/>
                <w:szCs w:val="14"/>
                <w:lang w:val="en-US" w:eastAsia="tr-TR"/>
              </w:rPr>
              <w:t>Birlikte</w:t>
            </w:r>
            <w:proofErr w:type="spellEnd"/>
            <w:r w:rsidRPr="00CA4676">
              <w:rPr>
                <w:color w:val="000000"/>
                <w:sz w:val="14"/>
                <w:szCs w:val="14"/>
                <w:lang w:val="en-US" w:eastAsia="tr-TR"/>
              </w:rPr>
              <w:t xml:space="preserve"> Kontrol </w:t>
            </w:r>
            <w:proofErr w:type="spellStart"/>
            <w:r w:rsidRPr="00CA4676">
              <w:rPr>
                <w:color w:val="000000"/>
                <w:sz w:val="14"/>
                <w:szCs w:val="14"/>
                <w:lang w:val="en-US" w:eastAsia="tr-TR"/>
              </w:rPr>
              <w:t>Edilen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Ortaklıklar</w:t>
            </w:r>
            <w:proofErr w:type="spellEnd"/>
            <w:r w:rsidRPr="00CA4676">
              <w:rPr>
                <w:color w:val="000000"/>
                <w:sz w:val="14"/>
                <w:szCs w:val="14"/>
                <w:lang w:val="en-US" w:eastAsia="tr-TR"/>
              </w:rPr>
              <w:t xml:space="preserve"> (İş Ort.) </w:t>
            </w:r>
            <w:proofErr w:type="spellStart"/>
            <w:r w:rsidRPr="00CA4676">
              <w:rPr>
                <w:color w:val="000000"/>
                <w:sz w:val="14"/>
                <w:szCs w:val="14"/>
                <w:lang w:val="en-US" w:eastAsia="tr-TR"/>
              </w:rPr>
              <w:t>Satış</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Karları</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7030DC76"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1D8684BE" w14:textId="77777777" w:rsidR="00CA4676" w:rsidRPr="00CA4676" w:rsidRDefault="00CA4676" w:rsidP="00717AB5">
            <w:pPr>
              <w:jc w:val="right"/>
              <w:rPr>
                <w:sz w:val="14"/>
                <w:szCs w:val="14"/>
                <w:lang w:eastAsia="tr-TR"/>
              </w:rPr>
            </w:pPr>
            <w:r w:rsidRPr="00CA4676">
              <w:rPr>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4C9F39D3"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137A3476"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523B606B"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2565E317"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4ADB1EB" w14:textId="77777777" w:rsidR="00CA4676" w:rsidRPr="00CA4676" w:rsidRDefault="00CA4676" w:rsidP="00CA4676">
            <w:pPr>
              <w:rPr>
                <w:color w:val="000000"/>
                <w:sz w:val="14"/>
                <w:szCs w:val="14"/>
                <w:lang w:eastAsia="tr-TR"/>
              </w:rPr>
            </w:pPr>
            <w:r w:rsidRPr="00CA4676">
              <w:rPr>
                <w:color w:val="000000"/>
                <w:sz w:val="14"/>
                <w:szCs w:val="14"/>
                <w:lang w:val="en-US" w:eastAsia="tr-TR"/>
              </w:rPr>
              <w:t>20.3.</w:t>
            </w:r>
          </w:p>
        </w:tc>
        <w:tc>
          <w:tcPr>
            <w:tcW w:w="3606" w:type="dxa"/>
            <w:tcBorders>
              <w:top w:val="nil"/>
              <w:left w:val="single" w:sz="4" w:space="0" w:color="auto"/>
              <w:bottom w:val="nil"/>
              <w:right w:val="single" w:sz="4" w:space="0" w:color="auto"/>
            </w:tcBorders>
            <w:shd w:val="clear" w:color="auto" w:fill="auto"/>
            <w:vAlign w:val="center"/>
            <w:hideMark/>
          </w:tcPr>
          <w:p w14:paraId="568F61E1"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Diğer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Durdurulan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Faaliyet</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Gelirleri</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55AAE8F3"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18B7A7EB" w14:textId="77777777" w:rsidR="00CA4676" w:rsidRPr="00CA4676" w:rsidRDefault="00CA4676" w:rsidP="00717AB5">
            <w:pPr>
              <w:jc w:val="right"/>
              <w:rPr>
                <w:sz w:val="14"/>
                <w:szCs w:val="14"/>
                <w:lang w:eastAsia="tr-TR"/>
              </w:rPr>
            </w:pPr>
            <w:r w:rsidRPr="00CA4676">
              <w:rPr>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58B19C97"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30D12BDE"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638CA369"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20F76708"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50C5AB11"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XXI.</w:t>
            </w:r>
          </w:p>
        </w:tc>
        <w:tc>
          <w:tcPr>
            <w:tcW w:w="3606" w:type="dxa"/>
            <w:tcBorders>
              <w:top w:val="nil"/>
              <w:left w:val="single" w:sz="4" w:space="0" w:color="auto"/>
              <w:bottom w:val="nil"/>
              <w:right w:val="single" w:sz="4" w:space="0" w:color="auto"/>
            </w:tcBorders>
            <w:shd w:val="clear" w:color="auto" w:fill="auto"/>
            <w:vAlign w:val="center"/>
            <w:hideMark/>
          </w:tcPr>
          <w:p w14:paraId="4A40907B"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DURDURULAN FAALİYETLERDEN GİDERLER (-)</w:t>
            </w:r>
          </w:p>
        </w:tc>
        <w:tc>
          <w:tcPr>
            <w:tcW w:w="650" w:type="dxa"/>
            <w:tcBorders>
              <w:top w:val="nil"/>
              <w:left w:val="single" w:sz="4" w:space="0" w:color="auto"/>
              <w:bottom w:val="nil"/>
              <w:right w:val="single" w:sz="4" w:space="0" w:color="auto"/>
            </w:tcBorders>
            <w:shd w:val="clear" w:color="auto" w:fill="auto"/>
            <w:noWrap/>
            <w:vAlign w:val="center"/>
            <w:hideMark/>
          </w:tcPr>
          <w:p w14:paraId="29F38857"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7EC23A48" w14:textId="77777777" w:rsidR="00CA4676" w:rsidRPr="00CA4676" w:rsidRDefault="00CA4676" w:rsidP="00717AB5">
            <w:pPr>
              <w:jc w:val="right"/>
              <w:rPr>
                <w:b/>
                <w:bCs/>
                <w:sz w:val="14"/>
                <w:szCs w:val="14"/>
                <w:lang w:eastAsia="tr-TR"/>
              </w:rPr>
            </w:pPr>
            <w:r w:rsidRPr="00CA4676">
              <w:rPr>
                <w:b/>
                <w:bCs/>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7C42E3B3"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2D263A7F"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2E9EE657" w14:textId="77777777" w:rsidR="00CA4676" w:rsidRPr="00CA4676" w:rsidRDefault="00CA4676" w:rsidP="00717AB5">
            <w:pPr>
              <w:jc w:val="right"/>
              <w:rPr>
                <w:b/>
                <w:bCs/>
                <w:sz w:val="14"/>
                <w:szCs w:val="14"/>
                <w:lang w:eastAsia="tr-TR"/>
              </w:rPr>
            </w:pPr>
            <w:r w:rsidRPr="00CA4676">
              <w:rPr>
                <w:b/>
                <w:bCs/>
                <w:sz w:val="14"/>
                <w:szCs w:val="14"/>
                <w:lang w:eastAsia="tr-TR"/>
              </w:rPr>
              <w:t>-</w:t>
            </w:r>
          </w:p>
        </w:tc>
      </w:tr>
      <w:tr w:rsidR="00CA4676" w:rsidRPr="00CA4676" w14:paraId="75928738"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E386610" w14:textId="77777777" w:rsidR="00CA4676" w:rsidRPr="00CA4676" w:rsidRDefault="00CA4676" w:rsidP="00CA4676">
            <w:pPr>
              <w:rPr>
                <w:color w:val="000000"/>
                <w:sz w:val="14"/>
                <w:szCs w:val="14"/>
                <w:lang w:eastAsia="tr-TR"/>
              </w:rPr>
            </w:pPr>
            <w:r w:rsidRPr="00CA4676">
              <w:rPr>
                <w:color w:val="000000"/>
                <w:sz w:val="14"/>
                <w:szCs w:val="14"/>
                <w:lang w:val="en-US" w:eastAsia="tr-TR"/>
              </w:rPr>
              <w:t>21.1.</w:t>
            </w:r>
          </w:p>
        </w:tc>
        <w:tc>
          <w:tcPr>
            <w:tcW w:w="3606" w:type="dxa"/>
            <w:tcBorders>
              <w:top w:val="nil"/>
              <w:left w:val="single" w:sz="4" w:space="0" w:color="auto"/>
              <w:bottom w:val="nil"/>
              <w:right w:val="single" w:sz="4" w:space="0" w:color="auto"/>
            </w:tcBorders>
            <w:shd w:val="clear" w:color="auto" w:fill="auto"/>
            <w:vAlign w:val="center"/>
            <w:hideMark/>
          </w:tcPr>
          <w:p w14:paraId="64B04A94"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Satış</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Amaçlı</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Elde</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Tutulan</w:t>
            </w:r>
            <w:proofErr w:type="spellEnd"/>
            <w:r w:rsidRPr="00CA4676">
              <w:rPr>
                <w:color w:val="000000"/>
                <w:sz w:val="14"/>
                <w:szCs w:val="14"/>
                <w:lang w:val="en-US" w:eastAsia="tr-TR"/>
              </w:rPr>
              <w:t xml:space="preserve"> Duran </w:t>
            </w:r>
            <w:proofErr w:type="spellStart"/>
            <w:r w:rsidRPr="00CA4676">
              <w:rPr>
                <w:color w:val="000000"/>
                <w:sz w:val="14"/>
                <w:szCs w:val="14"/>
                <w:lang w:val="en-US" w:eastAsia="tr-TR"/>
              </w:rPr>
              <w:t>Varlık</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Giderleri</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5A29F6A4"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16E7DA7B" w14:textId="77777777" w:rsidR="00CA4676" w:rsidRPr="00CA4676" w:rsidRDefault="00CA4676" w:rsidP="00717AB5">
            <w:pPr>
              <w:jc w:val="right"/>
              <w:rPr>
                <w:sz w:val="14"/>
                <w:szCs w:val="14"/>
                <w:lang w:eastAsia="tr-TR"/>
              </w:rPr>
            </w:pPr>
            <w:r w:rsidRPr="00CA4676">
              <w:rPr>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57B55F8C"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641F66E8"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23BBC573"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45D180A8"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115A6343" w14:textId="77777777" w:rsidR="00CA4676" w:rsidRPr="00CA4676" w:rsidRDefault="00CA4676" w:rsidP="00CA4676">
            <w:pPr>
              <w:rPr>
                <w:color w:val="000000"/>
                <w:sz w:val="14"/>
                <w:szCs w:val="14"/>
                <w:lang w:eastAsia="tr-TR"/>
              </w:rPr>
            </w:pPr>
            <w:r w:rsidRPr="00CA4676">
              <w:rPr>
                <w:color w:val="000000"/>
                <w:sz w:val="14"/>
                <w:szCs w:val="14"/>
                <w:lang w:val="en-US" w:eastAsia="tr-TR"/>
              </w:rPr>
              <w:t>21.2.</w:t>
            </w:r>
          </w:p>
        </w:tc>
        <w:tc>
          <w:tcPr>
            <w:tcW w:w="3606" w:type="dxa"/>
            <w:tcBorders>
              <w:top w:val="nil"/>
              <w:left w:val="single" w:sz="4" w:space="0" w:color="auto"/>
              <w:bottom w:val="nil"/>
              <w:right w:val="single" w:sz="4" w:space="0" w:color="auto"/>
            </w:tcBorders>
            <w:shd w:val="clear" w:color="auto" w:fill="auto"/>
            <w:vAlign w:val="center"/>
            <w:hideMark/>
          </w:tcPr>
          <w:p w14:paraId="539EB4D1"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İştirak</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Bağlı</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Ortaklık</w:t>
            </w:r>
            <w:proofErr w:type="spellEnd"/>
            <w:r w:rsidRPr="00CA4676">
              <w:rPr>
                <w:color w:val="000000"/>
                <w:sz w:val="14"/>
                <w:szCs w:val="14"/>
                <w:lang w:val="en-US" w:eastAsia="tr-TR"/>
              </w:rPr>
              <w:t xml:space="preserve"> ve </w:t>
            </w:r>
            <w:proofErr w:type="spellStart"/>
            <w:r w:rsidRPr="00CA4676">
              <w:rPr>
                <w:color w:val="000000"/>
                <w:sz w:val="14"/>
                <w:szCs w:val="14"/>
                <w:lang w:val="en-US" w:eastAsia="tr-TR"/>
              </w:rPr>
              <w:t>Birlikte</w:t>
            </w:r>
            <w:proofErr w:type="spellEnd"/>
            <w:r w:rsidRPr="00CA4676">
              <w:rPr>
                <w:color w:val="000000"/>
                <w:sz w:val="14"/>
                <w:szCs w:val="14"/>
                <w:lang w:val="en-US" w:eastAsia="tr-TR"/>
              </w:rPr>
              <w:t xml:space="preserve"> Kontrol </w:t>
            </w:r>
            <w:proofErr w:type="spellStart"/>
            <w:r w:rsidRPr="00CA4676">
              <w:rPr>
                <w:color w:val="000000"/>
                <w:sz w:val="14"/>
                <w:szCs w:val="14"/>
                <w:lang w:val="en-US" w:eastAsia="tr-TR"/>
              </w:rPr>
              <w:t>Edilen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Ortaklıklar</w:t>
            </w:r>
            <w:proofErr w:type="spellEnd"/>
            <w:r w:rsidRPr="00CA4676">
              <w:rPr>
                <w:color w:val="000000"/>
                <w:sz w:val="14"/>
                <w:szCs w:val="14"/>
                <w:lang w:val="en-US" w:eastAsia="tr-TR"/>
              </w:rPr>
              <w:t xml:space="preserve"> (İş Ort.) </w:t>
            </w:r>
            <w:proofErr w:type="spellStart"/>
            <w:r w:rsidRPr="00CA4676">
              <w:rPr>
                <w:color w:val="000000"/>
                <w:sz w:val="14"/>
                <w:szCs w:val="14"/>
                <w:lang w:val="en-US" w:eastAsia="tr-TR"/>
              </w:rPr>
              <w:t>Satış</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Zararları</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0A8B879A"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25DDD1F9" w14:textId="77777777" w:rsidR="00CA4676" w:rsidRPr="00CA4676" w:rsidRDefault="00CA4676" w:rsidP="00717AB5">
            <w:pPr>
              <w:jc w:val="right"/>
              <w:rPr>
                <w:sz w:val="14"/>
                <w:szCs w:val="14"/>
                <w:lang w:eastAsia="tr-TR"/>
              </w:rPr>
            </w:pPr>
            <w:r w:rsidRPr="00CA4676">
              <w:rPr>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49CD0BAF"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5A460453"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4B20D67E"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5218F907"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1141818E" w14:textId="77777777" w:rsidR="00CA4676" w:rsidRPr="00CA4676" w:rsidRDefault="00CA4676" w:rsidP="00CA4676">
            <w:pPr>
              <w:rPr>
                <w:color w:val="000000"/>
                <w:sz w:val="14"/>
                <w:szCs w:val="14"/>
                <w:lang w:eastAsia="tr-TR"/>
              </w:rPr>
            </w:pPr>
            <w:r w:rsidRPr="00CA4676">
              <w:rPr>
                <w:color w:val="000000"/>
                <w:sz w:val="14"/>
                <w:szCs w:val="14"/>
                <w:lang w:val="en-US" w:eastAsia="tr-TR"/>
              </w:rPr>
              <w:t>21.3.</w:t>
            </w:r>
          </w:p>
        </w:tc>
        <w:tc>
          <w:tcPr>
            <w:tcW w:w="3606" w:type="dxa"/>
            <w:tcBorders>
              <w:top w:val="nil"/>
              <w:left w:val="single" w:sz="4" w:space="0" w:color="auto"/>
              <w:bottom w:val="nil"/>
              <w:right w:val="single" w:sz="4" w:space="0" w:color="auto"/>
            </w:tcBorders>
            <w:shd w:val="clear" w:color="auto" w:fill="auto"/>
            <w:vAlign w:val="center"/>
            <w:hideMark/>
          </w:tcPr>
          <w:p w14:paraId="1913D3DE"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Diğer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Durdurulan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Faaliyet</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Giderleri</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28B3B6BA"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1175D790" w14:textId="77777777" w:rsidR="00CA4676" w:rsidRPr="00CA4676" w:rsidRDefault="00CA4676" w:rsidP="00717AB5">
            <w:pPr>
              <w:jc w:val="right"/>
              <w:rPr>
                <w:sz w:val="14"/>
                <w:szCs w:val="14"/>
                <w:lang w:eastAsia="tr-TR"/>
              </w:rPr>
            </w:pPr>
            <w:r w:rsidRPr="00CA4676">
              <w:rPr>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70DB688E"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2C470719"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3BE81922"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204CFA87"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23166CEB"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XXII.</w:t>
            </w:r>
          </w:p>
        </w:tc>
        <w:tc>
          <w:tcPr>
            <w:tcW w:w="3606" w:type="dxa"/>
            <w:tcBorders>
              <w:top w:val="nil"/>
              <w:left w:val="single" w:sz="4" w:space="0" w:color="auto"/>
              <w:bottom w:val="nil"/>
              <w:right w:val="single" w:sz="4" w:space="0" w:color="auto"/>
            </w:tcBorders>
            <w:shd w:val="clear" w:color="auto" w:fill="auto"/>
            <w:noWrap/>
            <w:vAlign w:val="center"/>
            <w:hideMark/>
          </w:tcPr>
          <w:p w14:paraId="2E5D3203"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DURDURULAN FAALİYETLER VERGİ ÖNCESİ K/Z (XX-XXI)</w:t>
            </w:r>
          </w:p>
        </w:tc>
        <w:tc>
          <w:tcPr>
            <w:tcW w:w="650" w:type="dxa"/>
            <w:tcBorders>
              <w:top w:val="nil"/>
              <w:left w:val="single" w:sz="4" w:space="0" w:color="auto"/>
              <w:bottom w:val="nil"/>
              <w:right w:val="single" w:sz="4" w:space="0" w:color="auto"/>
            </w:tcBorders>
            <w:shd w:val="clear" w:color="auto" w:fill="auto"/>
            <w:noWrap/>
            <w:vAlign w:val="center"/>
            <w:hideMark/>
          </w:tcPr>
          <w:p w14:paraId="4854713C"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6A88E3F6" w14:textId="77777777" w:rsidR="00CA4676" w:rsidRPr="00CA4676" w:rsidRDefault="00CA4676" w:rsidP="00717AB5">
            <w:pPr>
              <w:jc w:val="right"/>
              <w:rPr>
                <w:b/>
                <w:bCs/>
                <w:sz w:val="14"/>
                <w:szCs w:val="14"/>
                <w:lang w:eastAsia="tr-TR"/>
              </w:rPr>
            </w:pPr>
            <w:r w:rsidRPr="00CA4676">
              <w:rPr>
                <w:b/>
                <w:bCs/>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209E340E"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703FAED6"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562338F5" w14:textId="77777777" w:rsidR="00CA4676" w:rsidRPr="00CA4676" w:rsidRDefault="00CA4676" w:rsidP="00717AB5">
            <w:pPr>
              <w:jc w:val="right"/>
              <w:rPr>
                <w:b/>
                <w:bCs/>
                <w:sz w:val="14"/>
                <w:szCs w:val="14"/>
                <w:lang w:eastAsia="tr-TR"/>
              </w:rPr>
            </w:pPr>
            <w:r w:rsidRPr="00CA4676">
              <w:rPr>
                <w:b/>
                <w:bCs/>
                <w:sz w:val="14"/>
                <w:szCs w:val="14"/>
                <w:lang w:eastAsia="tr-TR"/>
              </w:rPr>
              <w:t>-</w:t>
            </w:r>
          </w:p>
        </w:tc>
      </w:tr>
      <w:tr w:rsidR="00CA4676" w:rsidRPr="00CA4676" w14:paraId="339B4C8F"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4433D99F"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XXIII.</w:t>
            </w:r>
          </w:p>
        </w:tc>
        <w:tc>
          <w:tcPr>
            <w:tcW w:w="3606" w:type="dxa"/>
            <w:tcBorders>
              <w:top w:val="nil"/>
              <w:left w:val="single" w:sz="4" w:space="0" w:color="auto"/>
              <w:bottom w:val="nil"/>
              <w:right w:val="single" w:sz="4" w:space="0" w:color="auto"/>
            </w:tcBorders>
            <w:shd w:val="clear" w:color="auto" w:fill="auto"/>
            <w:vAlign w:val="center"/>
            <w:hideMark/>
          </w:tcPr>
          <w:p w14:paraId="143074AB"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DURDURULAN FAALİYETLER VERGİ KARŞILIĞI (±)</w:t>
            </w:r>
          </w:p>
        </w:tc>
        <w:tc>
          <w:tcPr>
            <w:tcW w:w="650" w:type="dxa"/>
            <w:tcBorders>
              <w:top w:val="nil"/>
              <w:left w:val="single" w:sz="4" w:space="0" w:color="auto"/>
              <w:bottom w:val="nil"/>
              <w:right w:val="single" w:sz="4" w:space="0" w:color="auto"/>
            </w:tcBorders>
            <w:shd w:val="clear" w:color="auto" w:fill="auto"/>
            <w:noWrap/>
            <w:vAlign w:val="center"/>
            <w:hideMark/>
          </w:tcPr>
          <w:p w14:paraId="21F877AD"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5413DA20" w14:textId="77777777" w:rsidR="00CA4676" w:rsidRPr="00CA4676" w:rsidRDefault="00CA4676" w:rsidP="00717AB5">
            <w:pPr>
              <w:jc w:val="right"/>
              <w:rPr>
                <w:b/>
                <w:bCs/>
                <w:sz w:val="14"/>
                <w:szCs w:val="14"/>
                <w:lang w:eastAsia="tr-TR"/>
              </w:rPr>
            </w:pPr>
            <w:r w:rsidRPr="00CA4676">
              <w:rPr>
                <w:b/>
                <w:bCs/>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18A3D2E5"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5FDE69CA"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728D58F9" w14:textId="77777777" w:rsidR="00CA4676" w:rsidRPr="00CA4676" w:rsidRDefault="00CA4676" w:rsidP="00717AB5">
            <w:pPr>
              <w:jc w:val="right"/>
              <w:rPr>
                <w:b/>
                <w:bCs/>
                <w:sz w:val="14"/>
                <w:szCs w:val="14"/>
                <w:lang w:eastAsia="tr-TR"/>
              </w:rPr>
            </w:pPr>
            <w:r w:rsidRPr="00CA4676">
              <w:rPr>
                <w:b/>
                <w:bCs/>
                <w:sz w:val="14"/>
                <w:szCs w:val="14"/>
                <w:lang w:eastAsia="tr-TR"/>
              </w:rPr>
              <w:t>-</w:t>
            </w:r>
          </w:p>
        </w:tc>
      </w:tr>
      <w:tr w:rsidR="00CA4676" w:rsidRPr="00CA4676" w14:paraId="5FB1691E"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67D4C66A" w14:textId="77777777" w:rsidR="00CA4676" w:rsidRPr="00CA4676" w:rsidRDefault="00CA4676" w:rsidP="00CA4676">
            <w:pPr>
              <w:rPr>
                <w:color w:val="000000"/>
                <w:sz w:val="14"/>
                <w:szCs w:val="14"/>
                <w:lang w:eastAsia="tr-TR"/>
              </w:rPr>
            </w:pPr>
            <w:r w:rsidRPr="00CA4676">
              <w:rPr>
                <w:color w:val="000000"/>
                <w:sz w:val="14"/>
                <w:szCs w:val="14"/>
                <w:lang w:val="en-US" w:eastAsia="tr-TR"/>
              </w:rPr>
              <w:t>23.1.</w:t>
            </w:r>
          </w:p>
        </w:tc>
        <w:tc>
          <w:tcPr>
            <w:tcW w:w="3606" w:type="dxa"/>
            <w:tcBorders>
              <w:top w:val="nil"/>
              <w:left w:val="single" w:sz="4" w:space="0" w:color="auto"/>
              <w:bottom w:val="nil"/>
              <w:right w:val="single" w:sz="4" w:space="0" w:color="auto"/>
            </w:tcBorders>
            <w:shd w:val="clear" w:color="auto" w:fill="auto"/>
            <w:vAlign w:val="center"/>
            <w:hideMark/>
          </w:tcPr>
          <w:p w14:paraId="68CCC0C0" w14:textId="77777777" w:rsidR="00CA4676" w:rsidRPr="00CA4676" w:rsidRDefault="00CA4676" w:rsidP="00CA4676">
            <w:pPr>
              <w:rPr>
                <w:color w:val="000000"/>
                <w:sz w:val="14"/>
                <w:szCs w:val="14"/>
                <w:lang w:eastAsia="tr-TR"/>
              </w:rPr>
            </w:pPr>
            <w:r w:rsidRPr="00CA4676">
              <w:rPr>
                <w:color w:val="000000"/>
                <w:sz w:val="14"/>
                <w:szCs w:val="14"/>
                <w:lang w:val="en-US" w:eastAsia="tr-TR"/>
              </w:rPr>
              <w:t xml:space="preserve">Cari Vergi </w:t>
            </w:r>
            <w:proofErr w:type="spellStart"/>
            <w:r w:rsidRPr="00CA4676">
              <w:rPr>
                <w:color w:val="000000"/>
                <w:sz w:val="14"/>
                <w:szCs w:val="14"/>
                <w:lang w:val="en-US" w:eastAsia="tr-TR"/>
              </w:rPr>
              <w:t>Karşılığı</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120B6357"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59EEAF0F" w14:textId="77777777" w:rsidR="00CA4676" w:rsidRPr="00CA4676" w:rsidRDefault="00CA4676" w:rsidP="00717AB5">
            <w:pPr>
              <w:jc w:val="right"/>
              <w:rPr>
                <w:sz w:val="14"/>
                <w:szCs w:val="14"/>
                <w:lang w:eastAsia="tr-TR"/>
              </w:rPr>
            </w:pPr>
            <w:r w:rsidRPr="00CA4676">
              <w:rPr>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34BEC3F7"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1570BBB1"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20DD2A6D"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4AA2CFD2"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341A95B7" w14:textId="77777777" w:rsidR="00CA4676" w:rsidRPr="00CA4676" w:rsidRDefault="00CA4676" w:rsidP="00CA4676">
            <w:pPr>
              <w:rPr>
                <w:color w:val="000000"/>
                <w:sz w:val="14"/>
                <w:szCs w:val="14"/>
                <w:lang w:eastAsia="tr-TR"/>
              </w:rPr>
            </w:pPr>
            <w:r w:rsidRPr="00CA4676">
              <w:rPr>
                <w:color w:val="000000"/>
                <w:sz w:val="14"/>
                <w:szCs w:val="14"/>
                <w:lang w:val="en-US" w:eastAsia="tr-TR"/>
              </w:rPr>
              <w:t>23.2.</w:t>
            </w:r>
          </w:p>
        </w:tc>
        <w:tc>
          <w:tcPr>
            <w:tcW w:w="3606" w:type="dxa"/>
            <w:tcBorders>
              <w:top w:val="nil"/>
              <w:left w:val="single" w:sz="4" w:space="0" w:color="auto"/>
              <w:bottom w:val="nil"/>
              <w:right w:val="single" w:sz="4" w:space="0" w:color="auto"/>
            </w:tcBorders>
            <w:shd w:val="clear" w:color="auto" w:fill="auto"/>
            <w:vAlign w:val="center"/>
            <w:hideMark/>
          </w:tcPr>
          <w:p w14:paraId="7AEE63F2"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Ertelenmiş</w:t>
            </w:r>
            <w:proofErr w:type="spellEnd"/>
            <w:r w:rsidRPr="00CA4676">
              <w:rPr>
                <w:color w:val="000000"/>
                <w:sz w:val="14"/>
                <w:szCs w:val="14"/>
                <w:lang w:val="en-US" w:eastAsia="tr-TR"/>
              </w:rPr>
              <w:t xml:space="preserve"> Vergi </w:t>
            </w:r>
            <w:proofErr w:type="spellStart"/>
            <w:r w:rsidRPr="00CA4676">
              <w:rPr>
                <w:color w:val="000000"/>
                <w:sz w:val="14"/>
                <w:szCs w:val="14"/>
                <w:lang w:val="en-US" w:eastAsia="tr-TR"/>
              </w:rPr>
              <w:t>Gider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Etkisi</w:t>
            </w:r>
            <w:proofErr w:type="spellEnd"/>
            <w:r w:rsidRPr="00CA4676">
              <w:rPr>
                <w:color w:val="000000"/>
                <w:sz w:val="14"/>
                <w:szCs w:val="14"/>
                <w:lang w:val="en-US" w:eastAsia="tr-TR"/>
              </w:rPr>
              <w:t xml:space="preserve"> (+)</w:t>
            </w:r>
          </w:p>
        </w:tc>
        <w:tc>
          <w:tcPr>
            <w:tcW w:w="650" w:type="dxa"/>
            <w:tcBorders>
              <w:top w:val="nil"/>
              <w:left w:val="single" w:sz="4" w:space="0" w:color="auto"/>
              <w:bottom w:val="nil"/>
              <w:right w:val="single" w:sz="4" w:space="0" w:color="auto"/>
            </w:tcBorders>
            <w:shd w:val="clear" w:color="auto" w:fill="auto"/>
            <w:noWrap/>
            <w:vAlign w:val="center"/>
            <w:hideMark/>
          </w:tcPr>
          <w:p w14:paraId="267D2C48"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2B189941" w14:textId="77777777" w:rsidR="00CA4676" w:rsidRPr="00CA4676" w:rsidRDefault="00CA4676" w:rsidP="00717AB5">
            <w:pPr>
              <w:jc w:val="right"/>
              <w:rPr>
                <w:sz w:val="14"/>
                <w:szCs w:val="14"/>
                <w:lang w:eastAsia="tr-TR"/>
              </w:rPr>
            </w:pPr>
            <w:r w:rsidRPr="00CA4676">
              <w:rPr>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69BC16F2"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6FC934ED"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15006156"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34808D9A"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630B923D" w14:textId="77777777" w:rsidR="00CA4676" w:rsidRPr="00CA4676" w:rsidRDefault="00CA4676" w:rsidP="00CA4676">
            <w:pPr>
              <w:rPr>
                <w:color w:val="000000"/>
                <w:sz w:val="14"/>
                <w:szCs w:val="14"/>
                <w:lang w:eastAsia="tr-TR"/>
              </w:rPr>
            </w:pPr>
            <w:r w:rsidRPr="00CA4676">
              <w:rPr>
                <w:color w:val="000000"/>
                <w:sz w:val="14"/>
                <w:szCs w:val="14"/>
                <w:lang w:val="en-US" w:eastAsia="tr-TR"/>
              </w:rPr>
              <w:t>23.3.</w:t>
            </w:r>
          </w:p>
        </w:tc>
        <w:tc>
          <w:tcPr>
            <w:tcW w:w="3606" w:type="dxa"/>
            <w:tcBorders>
              <w:top w:val="nil"/>
              <w:left w:val="single" w:sz="4" w:space="0" w:color="auto"/>
              <w:bottom w:val="nil"/>
              <w:right w:val="single" w:sz="4" w:space="0" w:color="auto"/>
            </w:tcBorders>
            <w:shd w:val="clear" w:color="auto" w:fill="auto"/>
            <w:vAlign w:val="center"/>
            <w:hideMark/>
          </w:tcPr>
          <w:p w14:paraId="4DF61E07"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Ertelenmiş</w:t>
            </w:r>
            <w:proofErr w:type="spellEnd"/>
            <w:r w:rsidRPr="00CA4676">
              <w:rPr>
                <w:color w:val="000000"/>
                <w:sz w:val="14"/>
                <w:szCs w:val="14"/>
                <w:lang w:val="en-US" w:eastAsia="tr-TR"/>
              </w:rPr>
              <w:t xml:space="preserve"> Vergi </w:t>
            </w:r>
            <w:proofErr w:type="spellStart"/>
            <w:r w:rsidRPr="00CA4676">
              <w:rPr>
                <w:color w:val="000000"/>
                <w:sz w:val="14"/>
                <w:szCs w:val="14"/>
                <w:lang w:val="en-US" w:eastAsia="tr-TR"/>
              </w:rPr>
              <w:t>Gelir</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Etkisi</w:t>
            </w:r>
            <w:proofErr w:type="spellEnd"/>
            <w:r w:rsidRPr="00CA4676">
              <w:rPr>
                <w:color w:val="000000"/>
                <w:sz w:val="14"/>
                <w:szCs w:val="14"/>
                <w:lang w:val="en-US" w:eastAsia="tr-TR"/>
              </w:rPr>
              <w:t xml:space="preserve"> (-)</w:t>
            </w:r>
          </w:p>
        </w:tc>
        <w:tc>
          <w:tcPr>
            <w:tcW w:w="650" w:type="dxa"/>
            <w:tcBorders>
              <w:top w:val="nil"/>
              <w:left w:val="single" w:sz="4" w:space="0" w:color="auto"/>
              <w:bottom w:val="nil"/>
              <w:right w:val="single" w:sz="4" w:space="0" w:color="auto"/>
            </w:tcBorders>
            <w:shd w:val="clear" w:color="auto" w:fill="auto"/>
            <w:noWrap/>
            <w:vAlign w:val="center"/>
            <w:hideMark/>
          </w:tcPr>
          <w:p w14:paraId="75EAD3A6"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4CC670BA" w14:textId="77777777" w:rsidR="00CA4676" w:rsidRPr="00CA4676" w:rsidRDefault="00CA4676" w:rsidP="00717AB5">
            <w:pPr>
              <w:jc w:val="right"/>
              <w:rPr>
                <w:sz w:val="14"/>
                <w:szCs w:val="14"/>
                <w:lang w:eastAsia="tr-TR"/>
              </w:rPr>
            </w:pPr>
            <w:r w:rsidRPr="00CA4676">
              <w:rPr>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73DF7F49"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60230D0D"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3BB89D8A"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342F5034"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42C517F3"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XXIV.</w:t>
            </w:r>
          </w:p>
        </w:tc>
        <w:tc>
          <w:tcPr>
            <w:tcW w:w="3606" w:type="dxa"/>
            <w:tcBorders>
              <w:top w:val="nil"/>
              <w:left w:val="single" w:sz="4" w:space="0" w:color="auto"/>
              <w:bottom w:val="nil"/>
              <w:right w:val="single" w:sz="4" w:space="0" w:color="auto"/>
            </w:tcBorders>
            <w:shd w:val="clear" w:color="auto" w:fill="auto"/>
            <w:noWrap/>
            <w:vAlign w:val="center"/>
            <w:hideMark/>
          </w:tcPr>
          <w:p w14:paraId="1E34984D"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DURDURULAN FAALİYETLER DÖNEM NET K/Z (XXII±XXIII)</w:t>
            </w:r>
          </w:p>
        </w:tc>
        <w:tc>
          <w:tcPr>
            <w:tcW w:w="650" w:type="dxa"/>
            <w:tcBorders>
              <w:top w:val="nil"/>
              <w:left w:val="single" w:sz="4" w:space="0" w:color="auto"/>
              <w:bottom w:val="nil"/>
              <w:right w:val="single" w:sz="4" w:space="0" w:color="auto"/>
            </w:tcBorders>
            <w:shd w:val="clear" w:color="auto" w:fill="auto"/>
            <w:noWrap/>
            <w:vAlign w:val="center"/>
            <w:hideMark/>
          </w:tcPr>
          <w:p w14:paraId="62C37F56" w14:textId="77777777" w:rsidR="00CA4676" w:rsidRPr="00CA4676" w:rsidRDefault="00CA4676" w:rsidP="00CA4676">
            <w:pPr>
              <w:rPr>
                <w:b/>
                <w:bCs/>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00F8FD62" w14:textId="77777777" w:rsidR="00CA4676" w:rsidRPr="00CA4676" w:rsidRDefault="00CA4676" w:rsidP="00717AB5">
            <w:pPr>
              <w:jc w:val="right"/>
              <w:rPr>
                <w:b/>
                <w:bCs/>
                <w:sz w:val="14"/>
                <w:szCs w:val="14"/>
                <w:lang w:eastAsia="tr-TR"/>
              </w:rPr>
            </w:pPr>
            <w:r w:rsidRPr="00CA4676">
              <w:rPr>
                <w:b/>
                <w:bCs/>
                <w:sz w:val="14"/>
                <w:szCs w:val="16"/>
                <w:lang w:eastAsia="tr-TR"/>
              </w:rPr>
              <w:t>-</w:t>
            </w:r>
          </w:p>
        </w:tc>
        <w:tc>
          <w:tcPr>
            <w:tcW w:w="1170" w:type="dxa"/>
            <w:tcBorders>
              <w:top w:val="nil"/>
              <w:left w:val="nil"/>
              <w:bottom w:val="nil"/>
              <w:right w:val="single" w:sz="4" w:space="0" w:color="auto"/>
            </w:tcBorders>
            <w:shd w:val="clear" w:color="auto" w:fill="auto"/>
            <w:vAlign w:val="bottom"/>
            <w:hideMark/>
          </w:tcPr>
          <w:p w14:paraId="6B1D44BB"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5CE2B99C" w14:textId="77777777" w:rsidR="00CA4676" w:rsidRPr="00CA4676" w:rsidRDefault="00CA4676" w:rsidP="00717AB5">
            <w:pPr>
              <w:jc w:val="right"/>
              <w:rPr>
                <w:b/>
                <w:bCs/>
                <w:sz w:val="14"/>
                <w:szCs w:val="14"/>
                <w:lang w:eastAsia="tr-TR"/>
              </w:rPr>
            </w:pPr>
            <w:r w:rsidRPr="00CA4676">
              <w:rPr>
                <w:b/>
                <w:bCs/>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00F78ED6" w14:textId="77777777" w:rsidR="00CA4676" w:rsidRPr="00CA4676" w:rsidRDefault="00CA4676" w:rsidP="00717AB5">
            <w:pPr>
              <w:jc w:val="right"/>
              <w:rPr>
                <w:b/>
                <w:bCs/>
                <w:sz w:val="14"/>
                <w:szCs w:val="14"/>
                <w:lang w:eastAsia="tr-TR"/>
              </w:rPr>
            </w:pPr>
            <w:r w:rsidRPr="00CA4676">
              <w:rPr>
                <w:b/>
                <w:bCs/>
                <w:sz w:val="14"/>
                <w:szCs w:val="14"/>
                <w:lang w:eastAsia="tr-TR"/>
              </w:rPr>
              <w:t>-</w:t>
            </w:r>
          </w:p>
        </w:tc>
      </w:tr>
      <w:tr w:rsidR="00CA4676" w:rsidRPr="00CA4676" w14:paraId="41357DF8" w14:textId="77777777" w:rsidTr="00717AB5">
        <w:trPr>
          <w:divId w:val="739056798"/>
          <w:trHeight w:val="60"/>
        </w:trPr>
        <w:tc>
          <w:tcPr>
            <w:tcW w:w="567" w:type="dxa"/>
            <w:tcBorders>
              <w:top w:val="nil"/>
              <w:left w:val="single" w:sz="4" w:space="0" w:color="auto"/>
              <w:bottom w:val="nil"/>
              <w:right w:val="single" w:sz="4" w:space="0" w:color="auto"/>
            </w:tcBorders>
            <w:shd w:val="clear" w:color="auto" w:fill="auto"/>
            <w:noWrap/>
            <w:vAlign w:val="center"/>
            <w:hideMark/>
          </w:tcPr>
          <w:p w14:paraId="1624B808"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XXV.</w:t>
            </w:r>
          </w:p>
        </w:tc>
        <w:tc>
          <w:tcPr>
            <w:tcW w:w="3606" w:type="dxa"/>
            <w:tcBorders>
              <w:top w:val="nil"/>
              <w:left w:val="single" w:sz="4" w:space="0" w:color="auto"/>
              <w:bottom w:val="nil"/>
              <w:right w:val="single" w:sz="4" w:space="0" w:color="auto"/>
            </w:tcBorders>
            <w:shd w:val="clear" w:color="auto" w:fill="auto"/>
            <w:vAlign w:val="center"/>
            <w:hideMark/>
          </w:tcPr>
          <w:p w14:paraId="19B4C16B"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DÖNEM NET KARI/ZARARI (XIX+XXIV)</w:t>
            </w:r>
          </w:p>
        </w:tc>
        <w:tc>
          <w:tcPr>
            <w:tcW w:w="650" w:type="dxa"/>
            <w:tcBorders>
              <w:top w:val="nil"/>
              <w:left w:val="single" w:sz="4" w:space="0" w:color="auto"/>
              <w:bottom w:val="nil"/>
              <w:right w:val="single" w:sz="4" w:space="0" w:color="auto"/>
            </w:tcBorders>
            <w:shd w:val="clear" w:color="auto" w:fill="auto"/>
            <w:noWrap/>
            <w:vAlign w:val="center"/>
            <w:hideMark/>
          </w:tcPr>
          <w:p w14:paraId="466CF209" w14:textId="77777777" w:rsidR="00CA4676" w:rsidRPr="00CA4676" w:rsidRDefault="00CA4676" w:rsidP="00CA4676">
            <w:pPr>
              <w:rPr>
                <w:b/>
                <w:bCs/>
                <w:color w:val="000000"/>
                <w:sz w:val="14"/>
                <w:szCs w:val="14"/>
                <w:lang w:eastAsia="tr-TR"/>
              </w:rPr>
            </w:pPr>
            <w:r w:rsidRPr="00CA4676">
              <w:rPr>
                <w:b/>
                <w:bCs/>
                <w:color w:val="000000"/>
                <w:sz w:val="14"/>
                <w:szCs w:val="14"/>
                <w:lang w:val="en-US" w:eastAsia="tr-TR"/>
              </w:rPr>
              <w:t>(5.4.12.)</w:t>
            </w:r>
          </w:p>
        </w:tc>
        <w:tc>
          <w:tcPr>
            <w:tcW w:w="1232" w:type="dxa"/>
            <w:tcBorders>
              <w:top w:val="nil"/>
              <w:left w:val="single" w:sz="4" w:space="0" w:color="auto"/>
              <w:bottom w:val="nil"/>
              <w:right w:val="single" w:sz="4" w:space="0" w:color="auto"/>
            </w:tcBorders>
            <w:shd w:val="clear" w:color="auto" w:fill="auto"/>
            <w:vAlign w:val="bottom"/>
            <w:hideMark/>
          </w:tcPr>
          <w:p w14:paraId="5C8E2264" w14:textId="77777777" w:rsidR="00CA4676" w:rsidRPr="00CA4676" w:rsidRDefault="00CA4676" w:rsidP="00717AB5">
            <w:pPr>
              <w:jc w:val="right"/>
              <w:rPr>
                <w:b/>
                <w:bCs/>
                <w:sz w:val="14"/>
                <w:szCs w:val="14"/>
                <w:lang w:eastAsia="tr-TR"/>
              </w:rPr>
            </w:pPr>
            <w:r w:rsidRPr="00CA4676">
              <w:rPr>
                <w:b/>
                <w:bCs/>
                <w:sz w:val="14"/>
                <w:szCs w:val="16"/>
                <w:lang w:eastAsia="tr-TR"/>
              </w:rPr>
              <w:t>1,036,056</w:t>
            </w:r>
          </w:p>
        </w:tc>
        <w:tc>
          <w:tcPr>
            <w:tcW w:w="1170" w:type="dxa"/>
            <w:tcBorders>
              <w:top w:val="nil"/>
              <w:left w:val="nil"/>
              <w:bottom w:val="nil"/>
              <w:right w:val="single" w:sz="4" w:space="0" w:color="auto"/>
            </w:tcBorders>
            <w:shd w:val="clear" w:color="auto" w:fill="auto"/>
            <w:vAlign w:val="bottom"/>
            <w:hideMark/>
          </w:tcPr>
          <w:p w14:paraId="53CA33B0" w14:textId="77777777" w:rsidR="00CA4676" w:rsidRPr="00CA4676" w:rsidRDefault="00CA4676" w:rsidP="00717AB5">
            <w:pPr>
              <w:jc w:val="right"/>
              <w:rPr>
                <w:b/>
                <w:bCs/>
                <w:sz w:val="14"/>
                <w:szCs w:val="14"/>
                <w:lang w:eastAsia="tr-TR"/>
              </w:rPr>
            </w:pPr>
            <w:r w:rsidRPr="00CA4676">
              <w:rPr>
                <w:b/>
                <w:bCs/>
                <w:sz w:val="14"/>
                <w:szCs w:val="14"/>
                <w:lang w:eastAsia="tr-TR"/>
              </w:rPr>
              <w:t>281,997</w:t>
            </w:r>
          </w:p>
        </w:tc>
        <w:tc>
          <w:tcPr>
            <w:tcW w:w="1275" w:type="dxa"/>
            <w:tcBorders>
              <w:top w:val="nil"/>
              <w:left w:val="nil"/>
              <w:bottom w:val="nil"/>
              <w:right w:val="single" w:sz="4" w:space="0" w:color="auto"/>
            </w:tcBorders>
            <w:shd w:val="clear" w:color="auto" w:fill="auto"/>
            <w:vAlign w:val="bottom"/>
            <w:hideMark/>
          </w:tcPr>
          <w:p w14:paraId="0F2DCD38" w14:textId="77777777" w:rsidR="00CA4676" w:rsidRPr="00CA4676" w:rsidRDefault="00CA4676" w:rsidP="00717AB5">
            <w:pPr>
              <w:jc w:val="right"/>
              <w:rPr>
                <w:b/>
                <w:bCs/>
                <w:sz w:val="14"/>
                <w:szCs w:val="14"/>
                <w:lang w:eastAsia="tr-TR"/>
              </w:rPr>
            </w:pPr>
            <w:r w:rsidRPr="00CA4676">
              <w:rPr>
                <w:b/>
                <w:bCs/>
                <w:sz w:val="14"/>
                <w:szCs w:val="14"/>
                <w:lang w:eastAsia="tr-TR"/>
              </w:rPr>
              <w:t>777,496</w:t>
            </w:r>
          </w:p>
        </w:tc>
        <w:tc>
          <w:tcPr>
            <w:tcW w:w="1276" w:type="dxa"/>
            <w:tcBorders>
              <w:top w:val="nil"/>
              <w:left w:val="single" w:sz="4" w:space="0" w:color="auto"/>
              <w:bottom w:val="nil"/>
              <w:right w:val="single" w:sz="4" w:space="0" w:color="auto"/>
            </w:tcBorders>
            <w:shd w:val="clear" w:color="auto" w:fill="auto"/>
            <w:vAlign w:val="bottom"/>
            <w:hideMark/>
          </w:tcPr>
          <w:p w14:paraId="6B268E7F" w14:textId="77777777" w:rsidR="00CA4676" w:rsidRPr="00CA4676" w:rsidRDefault="00CA4676" w:rsidP="00717AB5">
            <w:pPr>
              <w:jc w:val="right"/>
              <w:rPr>
                <w:b/>
                <w:bCs/>
                <w:sz w:val="14"/>
                <w:szCs w:val="14"/>
                <w:lang w:eastAsia="tr-TR"/>
              </w:rPr>
            </w:pPr>
            <w:r w:rsidRPr="00CA4676">
              <w:rPr>
                <w:b/>
                <w:bCs/>
                <w:sz w:val="14"/>
                <w:szCs w:val="14"/>
                <w:lang w:eastAsia="tr-TR"/>
              </w:rPr>
              <w:t>176,029</w:t>
            </w:r>
          </w:p>
        </w:tc>
      </w:tr>
      <w:tr w:rsidR="00CA4676" w:rsidRPr="00CA4676" w14:paraId="71E7A566"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3C2E7939" w14:textId="77777777" w:rsidR="00CA4676" w:rsidRPr="00CA4676" w:rsidRDefault="00CA4676" w:rsidP="00CA4676">
            <w:pPr>
              <w:rPr>
                <w:color w:val="000000"/>
                <w:sz w:val="14"/>
                <w:szCs w:val="14"/>
                <w:lang w:eastAsia="tr-TR"/>
              </w:rPr>
            </w:pPr>
            <w:r w:rsidRPr="00CA4676">
              <w:rPr>
                <w:color w:val="000000"/>
                <w:sz w:val="14"/>
                <w:szCs w:val="14"/>
                <w:lang w:val="en-US" w:eastAsia="tr-TR"/>
              </w:rPr>
              <w:t>25.1.</w:t>
            </w:r>
          </w:p>
        </w:tc>
        <w:tc>
          <w:tcPr>
            <w:tcW w:w="3606" w:type="dxa"/>
            <w:tcBorders>
              <w:top w:val="nil"/>
              <w:left w:val="single" w:sz="4" w:space="0" w:color="auto"/>
              <w:bottom w:val="nil"/>
              <w:right w:val="single" w:sz="4" w:space="0" w:color="auto"/>
            </w:tcBorders>
            <w:shd w:val="clear" w:color="auto" w:fill="auto"/>
            <w:vAlign w:val="center"/>
            <w:hideMark/>
          </w:tcPr>
          <w:p w14:paraId="5DED4949"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Grubun</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Kârı</w:t>
            </w:r>
            <w:proofErr w:type="spellEnd"/>
            <w:r w:rsidRPr="00CA4676">
              <w:rPr>
                <w:color w:val="000000"/>
                <w:sz w:val="14"/>
                <w:szCs w:val="14"/>
                <w:lang w:val="en-US" w:eastAsia="tr-TR"/>
              </w:rPr>
              <w:t xml:space="preserve"> / </w:t>
            </w:r>
            <w:proofErr w:type="spellStart"/>
            <w:r w:rsidRPr="00CA4676">
              <w:rPr>
                <w:color w:val="000000"/>
                <w:sz w:val="14"/>
                <w:szCs w:val="14"/>
                <w:lang w:val="en-US" w:eastAsia="tr-TR"/>
              </w:rPr>
              <w:t>Zararı</w:t>
            </w:r>
            <w:proofErr w:type="spellEnd"/>
          </w:p>
        </w:tc>
        <w:tc>
          <w:tcPr>
            <w:tcW w:w="650" w:type="dxa"/>
            <w:tcBorders>
              <w:top w:val="nil"/>
              <w:left w:val="single" w:sz="4" w:space="0" w:color="auto"/>
              <w:bottom w:val="nil"/>
              <w:right w:val="single" w:sz="4" w:space="0" w:color="auto"/>
            </w:tcBorders>
            <w:shd w:val="clear" w:color="auto" w:fill="auto"/>
            <w:noWrap/>
            <w:vAlign w:val="center"/>
            <w:hideMark/>
          </w:tcPr>
          <w:p w14:paraId="73215D98"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62107585" w14:textId="77777777" w:rsidR="00CA4676" w:rsidRPr="00CA4676" w:rsidRDefault="00CA4676" w:rsidP="00717AB5">
            <w:pPr>
              <w:jc w:val="right"/>
              <w:rPr>
                <w:sz w:val="14"/>
                <w:szCs w:val="14"/>
                <w:lang w:eastAsia="tr-TR"/>
              </w:rPr>
            </w:pPr>
            <w:r w:rsidRPr="00CA4676">
              <w:rPr>
                <w:sz w:val="14"/>
                <w:szCs w:val="16"/>
                <w:lang w:eastAsia="tr-TR"/>
              </w:rPr>
              <w:t>1,036,056</w:t>
            </w:r>
          </w:p>
        </w:tc>
        <w:tc>
          <w:tcPr>
            <w:tcW w:w="1170" w:type="dxa"/>
            <w:tcBorders>
              <w:top w:val="nil"/>
              <w:left w:val="nil"/>
              <w:bottom w:val="nil"/>
              <w:right w:val="single" w:sz="4" w:space="0" w:color="auto"/>
            </w:tcBorders>
            <w:shd w:val="clear" w:color="auto" w:fill="auto"/>
            <w:vAlign w:val="bottom"/>
            <w:hideMark/>
          </w:tcPr>
          <w:p w14:paraId="2C795F56" w14:textId="77777777" w:rsidR="00CA4676" w:rsidRPr="00CA4676" w:rsidRDefault="00CA4676" w:rsidP="00717AB5">
            <w:pPr>
              <w:jc w:val="right"/>
              <w:rPr>
                <w:sz w:val="14"/>
                <w:szCs w:val="14"/>
                <w:lang w:eastAsia="tr-TR"/>
              </w:rPr>
            </w:pPr>
            <w:r w:rsidRPr="00CA4676">
              <w:rPr>
                <w:sz w:val="14"/>
                <w:szCs w:val="14"/>
                <w:lang w:eastAsia="tr-TR"/>
              </w:rPr>
              <w:t>281,997</w:t>
            </w:r>
          </w:p>
        </w:tc>
        <w:tc>
          <w:tcPr>
            <w:tcW w:w="1275" w:type="dxa"/>
            <w:tcBorders>
              <w:top w:val="nil"/>
              <w:left w:val="nil"/>
              <w:bottom w:val="nil"/>
              <w:right w:val="single" w:sz="4" w:space="0" w:color="auto"/>
            </w:tcBorders>
            <w:shd w:val="clear" w:color="auto" w:fill="auto"/>
            <w:vAlign w:val="bottom"/>
            <w:hideMark/>
          </w:tcPr>
          <w:p w14:paraId="474B2EEC" w14:textId="77777777" w:rsidR="00CA4676" w:rsidRPr="00CA4676" w:rsidRDefault="00CA4676" w:rsidP="00717AB5">
            <w:pPr>
              <w:jc w:val="right"/>
              <w:rPr>
                <w:sz w:val="14"/>
                <w:szCs w:val="14"/>
                <w:lang w:eastAsia="tr-TR"/>
              </w:rPr>
            </w:pPr>
            <w:r w:rsidRPr="00CA4676">
              <w:rPr>
                <w:sz w:val="14"/>
                <w:szCs w:val="14"/>
                <w:lang w:eastAsia="tr-TR"/>
              </w:rPr>
              <w:t>777,496</w:t>
            </w:r>
          </w:p>
        </w:tc>
        <w:tc>
          <w:tcPr>
            <w:tcW w:w="1276" w:type="dxa"/>
            <w:tcBorders>
              <w:top w:val="nil"/>
              <w:left w:val="single" w:sz="4" w:space="0" w:color="auto"/>
              <w:bottom w:val="nil"/>
              <w:right w:val="single" w:sz="4" w:space="0" w:color="auto"/>
            </w:tcBorders>
            <w:shd w:val="clear" w:color="auto" w:fill="auto"/>
            <w:vAlign w:val="bottom"/>
            <w:hideMark/>
          </w:tcPr>
          <w:p w14:paraId="2A53F4EB" w14:textId="77777777" w:rsidR="00CA4676" w:rsidRPr="00CA4676" w:rsidRDefault="00CA4676" w:rsidP="00717AB5">
            <w:pPr>
              <w:jc w:val="right"/>
              <w:rPr>
                <w:sz w:val="14"/>
                <w:szCs w:val="14"/>
                <w:lang w:eastAsia="tr-TR"/>
              </w:rPr>
            </w:pPr>
            <w:r w:rsidRPr="00CA4676">
              <w:rPr>
                <w:sz w:val="14"/>
                <w:szCs w:val="14"/>
                <w:lang w:eastAsia="tr-TR"/>
              </w:rPr>
              <w:t>176,029</w:t>
            </w:r>
          </w:p>
        </w:tc>
      </w:tr>
      <w:tr w:rsidR="00CA4676" w:rsidRPr="00CA4676" w14:paraId="01F2A434" w14:textId="77777777" w:rsidTr="00717AB5">
        <w:trPr>
          <w:divId w:val="739056798"/>
          <w:trHeight w:val="74"/>
        </w:trPr>
        <w:tc>
          <w:tcPr>
            <w:tcW w:w="567" w:type="dxa"/>
            <w:tcBorders>
              <w:top w:val="nil"/>
              <w:left w:val="single" w:sz="4" w:space="0" w:color="auto"/>
              <w:bottom w:val="nil"/>
              <w:right w:val="single" w:sz="4" w:space="0" w:color="auto"/>
            </w:tcBorders>
            <w:shd w:val="clear" w:color="auto" w:fill="auto"/>
            <w:noWrap/>
            <w:vAlign w:val="center"/>
            <w:hideMark/>
          </w:tcPr>
          <w:p w14:paraId="5EC12593" w14:textId="77777777" w:rsidR="00CA4676" w:rsidRPr="00CA4676" w:rsidRDefault="00CA4676" w:rsidP="00CA4676">
            <w:pPr>
              <w:rPr>
                <w:color w:val="000000"/>
                <w:sz w:val="14"/>
                <w:szCs w:val="14"/>
                <w:lang w:eastAsia="tr-TR"/>
              </w:rPr>
            </w:pPr>
            <w:r w:rsidRPr="00CA4676">
              <w:rPr>
                <w:color w:val="000000"/>
                <w:sz w:val="14"/>
                <w:szCs w:val="14"/>
                <w:lang w:val="en-US" w:eastAsia="tr-TR"/>
              </w:rPr>
              <w:t>25.2.</w:t>
            </w:r>
          </w:p>
        </w:tc>
        <w:tc>
          <w:tcPr>
            <w:tcW w:w="3606" w:type="dxa"/>
            <w:tcBorders>
              <w:top w:val="nil"/>
              <w:left w:val="single" w:sz="4" w:space="0" w:color="auto"/>
              <w:bottom w:val="nil"/>
              <w:right w:val="single" w:sz="4" w:space="0" w:color="auto"/>
            </w:tcBorders>
            <w:shd w:val="clear" w:color="auto" w:fill="auto"/>
            <w:vAlign w:val="center"/>
            <w:hideMark/>
          </w:tcPr>
          <w:p w14:paraId="32CB6B6B"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Azınlık</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Payları</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Kârı</w:t>
            </w:r>
            <w:proofErr w:type="spellEnd"/>
            <w:r w:rsidRPr="00CA4676">
              <w:rPr>
                <w:color w:val="000000"/>
                <w:sz w:val="14"/>
                <w:szCs w:val="14"/>
                <w:lang w:val="en-US" w:eastAsia="tr-TR"/>
              </w:rPr>
              <w:t xml:space="preserve"> / </w:t>
            </w:r>
            <w:proofErr w:type="spellStart"/>
            <w:r w:rsidRPr="00CA4676">
              <w:rPr>
                <w:color w:val="000000"/>
                <w:sz w:val="14"/>
                <w:szCs w:val="14"/>
                <w:lang w:val="en-US" w:eastAsia="tr-TR"/>
              </w:rPr>
              <w:t>Zararı</w:t>
            </w:r>
            <w:proofErr w:type="spellEnd"/>
            <w:r w:rsidRPr="00CA4676">
              <w:rPr>
                <w:color w:val="000000"/>
                <w:sz w:val="14"/>
                <w:szCs w:val="14"/>
                <w:lang w:val="en-US" w:eastAsia="tr-TR"/>
              </w:rPr>
              <w:t xml:space="preserve"> (-)</w:t>
            </w:r>
          </w:p>
        </w:tc>
        <w:tc>
          <w:tcPr>
            <w:tcW w:w="650" w:type="dxa"/>
            <w:tcBorders>
              <w:top w:val="nil"/>
              <w:left w:val="single" w:sz="4" w:space="0" w:color="auto"/>
              <w:bottom w:val="nil"/>
              <w:right w:val="single" w:sz="4" w:space="0" w:color="auto"/>
            </w:tcBorders>
            <w:shd w:val="clear" w:color="auto" w:fill="auto"/>
            <w:noWrap/>
            <w:vAlign w:val="center"/>
            <w:hideMark/>
          </w:tcPr>
          <w:p w14:paraId="40E4BABE"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nil"/>
              <w:right w:val="single" w:sz="4" w:space="0" w:color="auto"/>
            </w:tcBorders>
            <w:shd w:val="clear" w:color="auto" w:fill="auto"/>
            <w:vAlign w:val="bottom"/>
            <w:hideMark/>
          </w:tcPr>
          <w:p w14:paraId="21DCE0D2" w14:textId="77777777" w:rsidR="00CA4676" w:rsidRPr="00CA4676" w:rsidRDefault="00CA4676" w:rsidP="00717AB5">
            <w:pPr>
              <w:jc w:val="right"/>
              <w:rPr>
                <w:sz w:val="14"/>
                <w:szCs w:val="14"/>
                <w:lang w:eastAsia="tr-TR"/>
              </w:rPr>
            </w:pPr>
            <w:r w:rsidRPr="00CA4676">
              <w:rPr>
                <w:sz w:val="14"/>
                <w:szCs w:val="18"/>
                <w:lang w:eastAsia="tr-TR"/>
              </w:rPr>
              <w:t>-</w:t>
            </w:r>
          </w:p>
        </w:tc>
        <w:tc>
          <w:tcPr>
            <w:tcW w:w="1170" w:type="dxa"/>
            <w:tcBorders>
              <w:top w:val="nil"/>
              <w:left w:val="nil"/>
              <w:bottom w:val="nil"/>
              <w:right w:val="single" w:sz="4" w:space="0" w:color="auto"/>
            </w:tcBorders>
            <w:shd w:val="clear" w:color="auto" w:fill="auto"/>
            <w:vAlign w:val="bottom"/>
            <w:hideMark/>
          </w:tcPr>
          <w:p w14:paraId="31A98AF1"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nil"/>
              <w:right w:val="single" w:sz="4" w:space="0" w:color="auto"/>
            </w:tcBorders>
            <w:shd w:val="clear" w:color="auto" w:fill="auto"/>
            <w:vAlign w:val="bottom"/>
            <w:hideMark/>
          </w:tcPr>
          <w:p w14:paraId="5044114C"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nil"/>
              <w:right w:val="single" w:sz="4" w:space="0" w:color="auto"/>
            </w:tcBorders>
            <w:shd w:val="clear" w:color="auto" w:fill="auto"/>
            <w:vAlign w:val="bottom"/>
            <w:hideMark/>
          </w:tcPr>
          <w:p w14:paraId="5E5870F7" w14:textId="77777777" w:rsidR="00CA4676" w:rsidRPr="00CA4676" w:rsidRDefault="00CA4676" w:rsidP="00717AB5">
            <w:pPr>
              <w:jc w:val="right"/>
              <w:rPr>
                <w:sz w:val="14"/>
                <w:szCs w:val="14"/>
                <w:lang w:eastAsia="tr-TR"/>
              </w:rPr>
            </w:pPr>
            <w:r w:rsidRPr="00CA4676">
              <w:rPr>
                <w:sz w:val="14"/>
                <w:szCs w:val="14"/>
                <w:lang w:eastAsia="tr-TR"/>
              </w:rPr>
              <w:t>-</w:t>
            </w:r>
          </w:p>
        </w:tc>
      </w:tr>
      <w:tr w:rsidR="00CA4676" w:rsidRPr="00CA4676" w14:paraId="3DA03FA4" w14:textId="77777777" w:rsidTr="00717AB5">
        <w:trPr>
          <w:divId w:val="739056798"/>
          <w:trHeight w:val="7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49204A7" w14:textId="77777777" w:rsidR="00CA4676" w:rsidRPr="00CA4676" w:rsidRDefault="00CA4676" w:rsidP="00CA4676">
            <w:pPr>
              <w:jc w:val="right"/>
              <w:rPr>
                <w:sz w:val="14"/>
                <w:szCs w:val="14"/>
                <w:lang w:eastAsia="tr-TR"/>
              </w:rPr>
            </w:pPr>
          </w:p>
        </w:tc>
        <w:tc>
          <w:tcPr>
            <w:tcW w:w="3606" w:type="dxa"/>
            <w:tcBorders>
              <w:top w:val="nil"/>
              <w:left w:val="single" w:sz="4" w:space="0" w:color="auto"/>
              <w:bottom w:val="single" w:sz="4" w:space="0" w:color="auto"/>
              <w:right w:val="single" w:sz="4" w:space="0" w:color="auto"/>
            </w:tcBorders>
            <w:shd w:val="clear" w:color="auto" w:fill="auto"/>
            <w:vAlign w:val="center"/>
            <w:hideMark/>
          </w:tcPr>
          <w:p w14:paraId="00C9697E" w14:textId="77777777" w:rsidR="00CA4676" w:rsidRPr="00CA4676" w:rsidRDefault="00CA4676" w:rsidP="00CA4676">
            <w:pPr>
              <w:rPr>
                <w:color w:val="000000"/>
                <w:sz w:val="14"/>
                <w:szCs w:val="14"/>
                <w:lang w:eastAsia="tr-TR"/>
              </w:rPr>
            </w:pPr>
            <w:proofErr w:type="spellStart"/>
            <w:r w:rsidRPr="00CA4676">
              <w:rPr>
                <w:color w:val="000000"/>
                <w:sz w:val="14"/>
                <w:szCs w:val="14"/>
                <w:lang w:val="en-US" w:eastAsia="tr-TR"/>
              </w:rPr>
              <w:t>Hisse</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Başına</w:t>
            </w:r>
            <w:proofErr w:type="spellEnd"/>
            <w:r w:rsidRPr="00CA4676">
              <w:rPr>
                <w:color w:val="000000"/>
                <w:sz w:val="14"/>
                <w:szCs w:val="14"/>
                <w:lang w:val="en-US" w:eastAsia="tr-TR"/>
              </w:rPr>
              <w:t xml:space="preserve"> </w:t>
            </w:r>
            <w:proofErr w:type="spellStart"/>
            <w:r w:rsidRPr="00CA4676">
              <w:rPr>
                <w:color w:val="000000"/>
                <w:sz w:val="14"/>
                <w:szCs w:val="14"/>
                <w:lang w:val="en-US" w:eastAsia="tr-TR"/>
              </w:rPr>
              <w:t>Kâr</w:t>
            </w:r>
            <w:proofErr w:type="spellEnd"/>
            <w:r w:rsidRPr="00CA4676">
              <w:rPr>
                <w:color w:val="000000"/>
                <w:sz w:val="14"/>
                <w:szCs w:val="14"/>
                <w:lang w:val="en-US" w:eastAsia="tr-TR"/>
              </w:rPr>
              <w:t xml:space="preserve"> / </w:t>
            </w:r>
            <w:proofErr w:type="spellStart"/>
            <w:r w:rsidRPr="00CA4676">
              <w:rPr>
                <w:color w:val="000000"/>
                <w:sz w:val="14"/>
                <w:szCs w:val="14"/>
                <w:lang w:val="en-US" w:eastAsia="tr-TR"/>
              </w:rPr>
              <w:t>Zarar</w:t>
            </w:r>
            <w:proofErr w:type="spellEnd"/>
          </w:p>
        </w:tc>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49E0C3B1" w14:textId="77777777" w:rsidR="00CA4676" w:rsidRPr="00CA4676" w:rsidRDefault="00CA4676" w:rsidP="00CA4676">
            <w:pPr>
              <w:rPr>
                <w:color w:val="000000"/>
                <w:sz w:val="14"/>
                <w:szCs w:val="14"/>
                <w:lang w:eastAsia="tr-TR"/>
              </w:rPr>
            </w:pPr>
          </w:p>
        </w:tc>
        <w:tc>
          <w:tcPr>
            <w:tcW w:w="1232" w:type="dxa"/>
            <w:tcBorders>
              <w:top w:val="nil"/>
              <w:left w:val="single" w:sz="4" w:space="0" w:color="auto"/>
              <w:bottom w:val="single" w:sz="4" w:space="0" w:color="auto"/>
              <w:right w:val="single" w:sz="4" w:space="0" w:color="auto"/>
            </w:tcBorders>
            <w:shd w:val="clear" w:color="auto" w:fill="auto"/>
            <w:vAlign w:val="bottom"/>
            <w:hideMark/>
          </w:tcPr>
          <w:p w14:paraId="4EC02AA1" w14:textId="77777777" w:rsidR="00CA4676" w:rsidRPr="00CA4676" w:rsidRDefault="00CA4676" w:rsidP="00717AB5">
            <w:pPr>
              <w:jc w:val="right"/>
              <w:rPr>
                <w:sz w:val="14"/>
                <w:szCs w:val="14"/>
                <w:lang w:eastAsia="tr-TR"/>
              </w:rPr>
            </w:pPr>
            <w:r w:rsidRPr="00CA4676">
              <w:rPr>
                <w:sz w:val="14"/>
                <w:szCs w:val="18"/>
                <w:lang w:eastAsia="tr-TR"/>
              </w:rPr>
              <w:t>-</w:t>
            </w:r>
          </w:p>
        </w:tc>
        <w:tc>
          <w:tcPr>
            <w:tcW w:w="1170" w:type="dxa"/>
            <w:tcBorders>
              <w:top w:val="nil"/>
              <w:left w:val="nil"/>
              <w:bottom w:val="single" w:sz="4" w:space="0" w:color="auto"/>
              <w:right w:val="single" w:sz="4" w:space="0" w:color="auto"/>
            </w:tcBorders>
            <w:shd w:val="clear" w:color="auto" w:fill="auto"/>
            <w:vAlign w:val="bottom"/>
            <w:hideMark/>
          </w:tcPr>
          <w:p w14:paraId="3D3032D0" w14:textId="77777777" w:rsidR="00CA4676" w:rsidRPr="00CA4676" w:rsidRDefault="00CA4676" w:rsidP="00717AB5">
            <w:pPr>
              <w:jc w:val="right"/>
              <w:rPr>
                <w:sz w:val="14"/>
                <w:szCs w:val="14"/>
                <w:lang w:eastAsia="tr-TR"/>
              </w:rPr>
            </w:pPr>
            <w:r w:rsidRPr="00CA4676">
              <w:rPr>
                <w:sz w:val="14"/>
                <w:szCs w:val="14"/>
                <w:lang w:eastAsia="tr-TR"/>
              </w:rPr>
              <w:t>-</w:t>
            </w:r>
          </w:p>
        </w:tc>
        <w:tc>
          <w:tcPr>
            <w:tcW w:w="1275" w:type="dxa"/>
            <w:tcBorders>
              <w:top w:val="nil"/>
              <w:left w:val="nil"/>
              <w:bottom w:val="single" w:sz="4" w:space="0" w:color="auto"/>
              <w:right w:val="single" w:sz="4" w:space="0" w:color="auto"/>
            </w:tcBorders>
            <w:shd w:val="clear" w:color="auto" w:fill="auto"/>
            <w:vAlign w:val="bottom"/>
            <w:hideMark/>
          </w:tcPr>
          <w:p w14:paraId="7D1A249C" w14:textId="77777777" w:rsidR="00CA4676" w:rsidRPr="00CA4676" w:rsidRDefault="00CA4676" w:rsidP="00717AB5">
            <w:pPr>
              <w:jc w:val="right"/>
              <w:rPr>
                <w:sz w:val="14"/>
                <w:szCs w:val="14"/>
                <w:lang w:eastAsia="tr-TR"/>
              </w:rPr>
            </w:pPr>
            <w:r w:rsidRPr="00CA4676">
              <w:rPr>
                <w:sz w:val="14"/>
                <w:szCs w:val="14"/>
                <w:lang w:eastAsia="tr-TR"/>
              </w:rPr>
              <w:t>-</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14:paraId="6EFB66B6" w14:textId="77777777" w:rsidR="00CA4676" w:rsidRPr="00CA4676" w:rsidRDefault="00CA4676" w:rsidP="00717AB5">
            <w:pPr>
              <w:jc w:val="right"/>
              <w:rPr>
                <w:sz w:val="14"/>
                <w:szCs w:val="14"/>
                <w:lang w:eastAsia="tr-TR"/>
              </w:rPr>
            </w:pPr>
            <w:r w:rsidRPr="00CA4676">
              <w:rPr>
                <w:sz w:val="14"/>
                <w:szCs w:val="14"/>
                <w:lang w:eastAsia="tr-TR"/>
              </w:rPr>
              <w:t>-</w:t>
            </w:r>
          </w:p>
        </w:tc>
      </w:tr>
    </w:tbl>
    <w:p w14:paraId="6BA596BE" w14:textId="77777777" w:rsidR="00717AB5" w:rsidRPr="00717AB5" w:rsidRDefault="00717AB5" w:rsidP="00FA77D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0"/>
          <w:szCs w:val="10"/>
        </w:rPr>
      </w:pPr>
    </w:p>
    <w:p w14:paraId="51E29CFB" w14:textId="16057D53" w:rsidR="0038384F" w:rsidRPr="00004514" w:rsidRDefault="002317B9" w:rsidP="00FA77D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bCs/>
          <w:i/>
          <w:iCs/>
          <w:sz w:val="14"/>
          <w:szCs w:val="14"/>
        </w:rPr>
      </w:pPr>
      <w:r w:rsidRPr="00004514">
        <w:rPr>
          <w:rFonts w:eastAsia="Arial Unicode MS"/>
          <w:b/>
          <w:sz w:val="16"/>
          <w:szCs w:val="16"/>
        </w:rPr>
        <w:t xml:space="preserve">                                                                        </w:t>
      </w:r>
      <w:r w:rsidR="00084767" w:rsidRPr="00004514">
        <w:rPr>
          <w:bCs/>
          <w:i/>
          <w:iCs/>
          <w:sz w:val="14"/>
          <w:szCs w:val="14"/>
        </w:rPr>
        <w:t xml:space="preserve">           </w:t>
      </w:r>
      <w:r w:rsidR="00E547AB" w:rsidRPr="00004514">
        <w:rPr>
          <w:bCs/>
          <w:i/>
          <w:iCs/>
          <w:sz w:val="14"/>
          <w:szCs w:val="14"/>
        </w:rPr>
        <w:t xml:space="preserve">   </w:t>
      </w:r>
      <w:r w:rsidR="002B67B0" w:rsidRPr="00004514">
        <w:rPr>
          <w:bCs/>
          <w:i/>
          <w:iCs/>
          <w:sz w:val="14"/>
          <w:szCs w:val="14"/>
        </w:rPr>
        <w:t>İlişikteki notlar bu finansal tabloların tamamlayıcı parçalarıdır.</w:t>
      </w:r>
    </w:p>
    <w:p w14:paraId="57B4FE06" w14:textId="77777777" w:rsidR="00D52791" w:rsidRPr="00270CE6"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sectPr w:rsidR="00D52791" w:rsidRPr="00270CE6" w:rsidSect="00A07E0F">
          <w:headerReference w:type="default" r:id="rId23"/>
          <w:pgSz w:w="11907" w:h="16840" w:code="9"/>
          <w:pgMar w:top="1418" w:right="1418" w:bottom="1418" w:left="1418" w:header="360" w:footer="708" w:gutter="0"/>
          <w:cols w:space="708"/>
          <w:noEndnote/>
        </w:sectPr>
      </w:pPr>
    </w:p>
    <w:p w14:paraId="1485FCBE" w14:textId="5BEE1553" w:rsidR="00D52791" w:rsidRPr="00502A4E"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7DAD30BB" w14:textId="77777777" w:rsidR="0064604F" w:rsidRPr="00004514"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004514">
        <w:rPr>
          <w:rFonts w:eastAsia="Arial Unicode MS"/>
          <w:b/>
          <w:sz w:val="22"/>
        </w:rPr>
        <w:t>4</w:t>
      </w:r>
      <w:r w:rsidR="00E2379C" w:rsidRPr="00004514">
        <w:rPr>
          <w:rFonts w:eastAsia="Arial Unicode MS"/>
          <w:b/>
          <w:sz w:val="22"/>
        </w:rPr>
        <w:t>.</w:t>
      </w:r>
      <w:r w:rsidR="00E2379C" w:rsidRPr="00004514">
        <w:rPr>
          <w:rFonts w:eastAsia="Arial Unicode MS"/>
          <w:b/>
          <w:sz w:val="22"/>
        </w:rPr>
        <w:tab/>
      </w:r>
      <w:r w:rsidR="00B95E31" w:rsidRPr="00004514">
        <w:rPr>
          <w:rFonts w:eastAsia="Arial Unicode MS"/>
          <w:b/>
        </w:rPr>
        <w:t>KAR VEYA ZARAR VE DİĞER KAPSAMLI GELİR TABLOSU</w:t>
      </w:r>
    </w:p>
    <w:p w14:paraId="22AF59B0" w14:textId="4FF14581" w:rsidR="00004514" w:rsidRPr="00004514" w:rsidRDefault="00004514" w:rsidP="00376680">
      <w:pPr>
        <w:autoSpaceDE w:val="0"/>
        <w:autoSpaceDN w:val="0"/>
        <w:adjustRightInd w:val="0"/>
        <w:spacing w:after="60"/>
        <w:ind w:hanging="567"/>
        <w:jc w:val="both"/>
        <w:rPr>
          <w:lang w:val="en-GB" w:eastAsia="en-GB"/>
        </w:rPr>
      </w:pPr>
    </w:p>
    <w:tbl>
      <w:tblPr>
        <w:tblW w:w="9114" w:type="dxa"/>
        <w:tblCellMar>
          <w:left w:w="70" w:type="dxa"/>
          <w:right w:w="70" w:type="dxa"/>
        </w:tblCellMar>
        <w:tblLook w:val="04A0" w:firstRow="1" w:lastRow="0" w:firstColumn="1" w:lastColumn="0" w:noHBand="0" w:noVBand="1"/>
      </w:tblPr>
      <w:tblGrid>
        <w:gridCol w:w="420"/>
        <w:gridCol w:w="5320"/>
        <w:gridCol w:w="1687"/>
        <w:gridCol w:w="1687"/>
      </w:tblGrid>
      <w:tr w:rsidR="00004514" w:rsidRPr="00004514" w14:paraId="4DB20D7E" w14:textId="77777777" w:rsidTr="00717AB5">
        <w:trPr>
          <w:divId w:val="556432333"/>
          <w:trHeight w:val="272"/>
        </w:trPr>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7F6C85C" w14:textId="6D42471F" w:rsidR="00004514" w:rsidRPr="00004514" w:rsidRDefault="00004514" w:rsidP="00004514">
            <w:pPr>
              <w:rPr>
                <w:b/>
                <w:bCs/>
                <w:color w:val="000000"/>
                <w:sz w:val="14"/>
                <w:szCs w:val="14"/>
                <w:lang w:eastAsia="tr-TR"/>
              </w:rPr>
            </w:pPr>
            <w:r w:rsidRPr="00004514">
              <w:rPr>
                <w:b/>
                <w:bCs/>
                <w:color w:val="000000"/>
                <w:sz w:val="14"/>
                <w:szCs w:val="14"/>
                <w:lang w:eastAsia="tr-TR"/>
              </w:rPr>
              <w:t> </w:t>
            </w:r>
          </w:p>
        </w:tc>
        <w:tc>
          <w:tcPr>
            <w:tcW w:w="53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1714005" w14:textId="77777777" w:rsidR="00004514" w:rsidRPr="00004514" w:rsidRDefault="00004514" w:rsidP="00004514">
            <w:pPr>
              <w:rPr>
                <w:b/>
                <w:bCs/>
                <w:color w:val="000000"/>
                <w:sz w:val="14"/>
                <w:szCs w:val="14"/>
                <w:lang w:eastAsia="tr-TR"/>
              </w:rPr>
            </w:pPr>
            <w:r w:rsidRPr="00004514">
              <w:rPr>
                <w:b/>
                <w:bCs/>
                <w:color w:val="000000"/>
                <w:sz w:val="14"/>
                <w:szCs w:val="14"/>
                <w:lang w:eastAsia="tr-TR"/>
              </w:rPr>
              <w:t> </w:t>
            </w:r>
          </w:p>
        </w:tc>
        <w:tc>
          <w:tcPr>
            <w:tcW w:w="1687" w:type="dxa"/>
            <w:tcBorders>
              <w:top w:val="single" w:sz="4" w:space="0" w:color="auto"/>
              <w:left w:val="single" w:sz="4" w:space="0" w:color="auto"/>
              <w:bottom w:val="nil"/>
              <w:right w:val="single" w:sz="4" w:space="0" w:color="auto"/>
            </w:tcBorders>
            <w:shd w:val="clear" w:color="auto" w:fill="auto"/>
            <w:noWrap/>
            <w:vAlign w:val="bottom"/>
            <w:hideMark/>
          </w:tcPr>
          <w:p w14:paraId="20B1EE6A" w14:textId="77777777" w:rsidR="00004514" w:rsidRPr="00004514" w:rsidRDefault="00004514" w:rsidP="00717AB5">
            <w:pPr>
              <w:jc w:val="right"/>
              <w:rPr>
                <w:b/>
                <w:bCs/>
                <w:color w:val="000000"/>
                <w:sz w:val="14"/>
                <w:szCs w:val="14"/>
                <w:lang w:eastAsia="tr-TR"/>
              </w:rPr>
            </w:pPr>
            <w:r w:rsidRPr="00004514">
              <w:rPr>
                <w:b/>
                <w:bCs/>
                <w:color w:val="000000"/>
                <w:sz w:val="14"/>
                <w:szCs w:val="14"/>
                <w:lang w:eastAsia="tr-TR"/>
              </w:rPr>
              <w:t>Bağımsız Sınırlı Denetimden Geçmiş</w:t>
            </w:r>
          </w:p>
        </w:tc>
        <w:tc>
          <w:tcPr>
            <w:tcW w:w="1687" w:type="dxa"/>
            <w:tcBorders>
              <w:top w:val="single" w:sz="4" w:space="0" w:color="auto"/>
              <w:left w:val="single" w:sz="4" w:space="0" w:color="auto"/>
              <w:bottom w:val="nil"/>
              <w:right w:val="single" w:sz="4" w:space="0" w:color="auto"/>
            </w:tcBorders>
            <w:shd w:val="clear" w:color="auto" w:fill="auto"/>
            <w:noWrap/>
            <w:vAlign w:val="bottom"/>
            <w:hideMark/>
          </w:tcPr>
          <w:p w14:paraId="65140FE1" w14:textId="77777777" w:rsidR="00004514" w:rsidRPr="00004514" w:rsidRDefault="00004514" w:rsidP="00717AB5">
            <w:pPr>
              <w:jc w:val="right"/>
              <w:rPr>
                <w:b/>
                <w:bCs/>
                <w:color w:val="000000"/>
                <w:sz w:val="14"/>
                <w:szCs w:val="14"/>
                <w:lang w:eastAsia="tr-TR"/>
              </w:rPr>
            </w:pPr>
            <w:r w:rsidRPr="00004514">
              <w:rPr>
                <w:b/>
                <w:bCs/>
                <w:color w:val="000000"/>
                <w:sz w:val="14"/>
                <w:szCs w:val="14"/>
                <w:lang w:eastAsia="tr-TR"/>
              </w:rPr>
              <w:t>Bağımsız Sınırlı Denetimden Geçmiş</w:t>
            </w:r>
          </w:p>
        </w:tc>
      </w:tr>
      <w:tr w:rsidR="00004514" w:rsidRPr="00004514" w14:paraId="5EA7FBE3" w14:textId="77777777" w:rsidTr="00717AB5">
        <w:trPr>
          <w:divId w:val="556432333"/>
          <w:trHeight w:val="272"/>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42BC840C" w14:textId="77777777" w:rsidR="00004514" w:rsidRPr="00004514" w:rsidRDefault="00004514" w:rsidP="00004514">
            <w:pPr>
              <w:rPr>
                <w:b/>
                <w:bCs/>
                <w:color w:val="000000"/>
                <w:sz w:val="14"/>
                <w:szCs w:val="14"/>
                <w:lang w:eastAsia="tr-TR"/>
              </w:rPr>
            </w:pPr>
          </w:p>
        </w:tc>
        <w:tc>
          <w:tcPr>
            <w:tcW w:w="5320" w:type="dxa"/>
            <w:vMerge/>
            <w:tcBorders>
              <w:top w:val="single" w:sz="8" w:space="0" w:color="auto"/>
              <w:left w:val="single" w:sz="4" w:space="0" w:color="auto"/>
              <w:bottom w:val="single" w:sz="8" w:space="0" w:color="000000"/>
              <w:right w:val="single" w:sz="4" w:space="0" w:color="auto"/>
            </w:tcBorders>
            <w:vAlign w:val="center"/>
            <w:hideMark/>
          </w:tcPr>
          <w:p w14:paraId="5522A211" w14:textId="77777777" w:rsidR="00004514" w:rsidRPr="00004514" w:rsidRDefault="00004514" w:rsidP="00004514">
            <w:pPr>
              <w:rPr>
                <w:b/>
                <w:bCs/>
                <w:color w:val="000000"/>
                <w:sz w:val="14"/>
                <w:szCs w:val="14"/>
                <w:lang w:eastAsia="tr-TR"/>
              </w:rPr>
            </w:pPr>
          </w:p>
        </w:tc>
        <w:tc>
          <w:tcPr>
            <w:tcW w:w="1687" w:type="dxa"/>
            <w:tcBorders>
              <w:top w:val="nil"/>
              <w:left w:val="single" w:sz="4" w:space="0" w:color="auto"/>
              <w:bottom w:val="nil"/>
              <w:right w:val="single" w:sz="4" w:space="0" w:color="auto"/>
            </w:tcBorders>
            <w:shd w:val="clear" w:color="auto" w:fill="auto"/>
            <w:noWrap/>
            <w:vAlign w:val="bottom"/>
            <w:hideMark/>
          </w:tcPr>
          <w:p w14:paraId="2CB03A9F" w14:textId="77777777" w:rsidR="00004514" w:rsidRPr="00004514" w:rsidRDefault="00004514" w:rsidP="00717AB5">
            <w:pPr>
              <w:jc w:val="right"/>
              <w:rPr>
                <w:b/>
                <w:bCs/>
                <w:color w:val="000000"/>
                <w:sz w:val="14"/>
                <w:szCs w:val="14"/>
                <w:lang w:eastAsia="tr-TR"/>
              </w:rPr>
            </w:pPr>
            <w:r w:rsidRPr="00004514">
              <w:rPr>
                <w:b/>
                <w:bCs/>
                <w:color w:val="000000"/>
                <w:sz w:val="14"/>
                <w:szCs w:val="14"/>
                <w:lang w:eastAsia="tr-TR"/>
              </w:rPr>
              <w:t>Cari Dönem</w:t>
            </w:r>
          </w:p>
        </w:tc>
        <w:tc>
          <w:tcPr>
            <w:tcW w:w="1687" w:type="dxa"/>
            <w:tcBorders>
              <w:top w:val="nil"/>
              <w:left w:val="single" w:sz="4" w:space="0" w:color="auto"/>
              <w:bottom w:val="nil"/>
              <w:right w:val="single" w:sz="4" w:space="0" w:color="auto"/>
            </w:tcBorders>
            <w:shd w:val="clear" w:color="auto" w:fill="auto"/>
            <w:noWrap/>
            <w:vAlign w:val="bottom"/>
            <w:hideMark/>
          </w:tcPr>
          <w:p w14:paraId="7FC5B46F" w14:textId="77777777" w:rsidR="00004514" w:rsidRPr="00004514" w:rsidRDefault="00004514" w:rsidP="00717AB5">
            <w:pPr>
              <w:jc w:val="right"/>
              <w:rPr>
                <w:b/>
                <w:bCs/>
                <w:color w:val="000000"/>
                <w:sz w:val="14"/>
                <w:szCs w:val="14"/>
                <w:lang w:eastAsia="tr-TR"/>
              </w:rPr>
            </w:pPr>
            <w:r w:rsidRPr="00004514">
              <w:rPr>
                <w:b/>
                <w:bCs/>
                <w:color w:val="000000"/>
                <w:sz w:val="14"/>
                <w:szCs w:val="14"/>
                <w:lang w:eastAsia="tr-TR"/>
              </w:rPr>
              <w:t>Önceki Dönem</w:t>
            </w:r>
          </w:p>
        </w:tc>
      </w:tr>
      <w:tr w:rsidR="00004514" w:rsidRPr="00004514" w14:paraId="785EDEA3" w14:textId="77777777" w:rsidTr="00717AB5">
        <w:trPr>
          <w:divId w:val="556432333"/>
          <w:trHeight w:val="59"/>
        </w:trPr>
        <w:tc>
          <w:tcPr>
            <w:tcW w:w="420" w:type="dxa"/>
            <w:vMerge/>
            <w:tcBorders>
              <w:top w:val="single" w:sz="8" w:space="0" w:color="auto"/>
              <w:left w:val="single" w:sz="4" w:space="0" w:color="auto"/>
              <w:bottom w:val="single" w:sz="4" w:space="0" w:color="auto"/>
              <w:right w:val="single" w:sz="4" w:space="0" w:color="auto"/>
            </w:tcBorders>
            <w:vAlign w:val="center"/>
            <w:hideMark/>
          </w:tcPr>
          <w:p w14:paraId="6D770D27" w14:textId="77777777" w:rsidR="00004514" w:rsidRPr="00004514" w:rsidRDefault="00004514" w:rsidP="00004514">
            <w:pPr>
              <w:rPr>
                <w:b/>
                <w:bCs/>
                <w:color w:val="000000"/>
                <w:sz w:val="14"/>
                <w:szCs w:val="14"/>
                <w:lang w:eastAsia="tr-TR"/>
              </w:rPr>
            </w:pPr>
          </w:p>
        </w:tc>
        <w:tc>
          <w:tcPr>
            <w:tcW w:w="5320" w:type="dxa"/>
            <w:vMerge/>
            <w:tcBorders>
              <w:top w:val="single" w:sz="8" w:space="0" w:color="auto"/>
              <w:left w:val="single" w:sz="4" w:space="0" w:color="auto"/>
              <w:bottom w:val="single" w:sz="4" w:space="0" w:color="auto"/>
              <w:right w:val="single" w:sz="4" w:space="0" w:color="auto"/>
            </w:tcBorders>
            <w:vAlign w:val="center"/>
            <w:hideMark/>
          </w:tcPr>
          <w:p w14:paraId="0B407B45" w14:textId="77777777" w:rsidR="00004514" w:rsidRPr="00004514" w:rsidRDefault="00004514" w:rsidP="00004514">
            <w:pPr>
              <w:rPr>
                <w:b/>
                <w:bCs/>
                <w:color w:val="000000"/>
                <w:sz w:val="14"/>
                <w:szCs w:val="14"/>
                <w:lang w:eastAsia="tr-TR"/>
              </w:rPr>
            </w:pPr>
          </w:p>
        </w:tc>
        <w:tc>
          <w:tcPr>
            <w:tcW w:w="1687" w:type="dxa"/>
            <w:tcBorders>
              <w:top w:val="nil"/>
              <w:left w:val="single" w:sz="4" w:space="0" w:color="auto"/>
              <w:bottom w:val="single" w:sz="4" w:space="0" w:color="auto"/>
              <w:right w:val="single" w:sz="4" w:space="0" w:color="auto"/>
            </w:tcBorders>
            <w:shd w:val="clear" w:color="auto" w:fill="auto"/>
            <w:noWrap/>
            <w:vAlign w:val="bottom"/>
            <w:hideMark/>
          </w:tcPr>
          <w:p w14:paraId="43C5C156" w14:textId="77777777" w:rsidR="00004514" w:rsidRPr="00004514" w:rsidRDefault="00004514" w:rsidP="00717AB5">
            <w:pPr>
              <w:jc w:val="right"/>
              <w:rPr>
                <w:b/>
                <w:bCs/>
                <w:color w:val="000000"/>
                <w:sz w:val="14"/>
                <w:szCs w:val="14"/>
                <w:lang w:eastAsia="tr-TR"/>
              </w:rPr>
            </w:pPr>
            <w:r w:rsidRPr="00004514">
              <w:rPr>
                <w:b/>
                <w:bCs/>
                <w:color w:val="000000"/>
                <w:sz w:val="14"/>
                <w:szCs w:val="14"/>
                <w:lang w:eastAsia="tr-TR"/>
              </w:rPr>
              <w:t>30.09.2020</w:t>
            </w:r>
          </w:p>
        </w:tc>
        <w:tc>
          <w:tcPr>
            <w:tcW w:w="1687" w:type="dxa"/>
            <w:tcBorders>
              <w:top w:val="nil"/>
              <w:left w:val="single" w:sz="4" w:space="0" w:color="auto"/>
              <w:bottom w:val="single" w:sz="4" w:space="0" w:color="auto"/>
              <w:right w:val="single" w:sz="4" w:space="0" w:color="auto"/>
            </w:tcBorders>
            <w:shd w:val="clear" w:color="auto" w:fill="auto"/>
            <w:noWrap/>
            <w:vAlign w:val="bottom"/>
            <w:hideMark/>
          </w:tcPr>
          <w:p w14:paraId="1496CDB9" w14:textId="77777777" w:rsidR="00004514" w:rsidRPr="00004514" w:rsidRDefault="00004514" w:rsidP="00717AB5">
            <w:pPr>
              <w:jc w:val="right"/>
              <w:rPr>
                <w:b/>
                <w:bCs/>
                <w:color w:val="000000"/>
                <w:sz w:val="14"/>
                <w:szCs w:val="14"/>
                <w:lang w:eastAsia="tr-TR"/>
              </w:rPr>
            </w:pPr>
            <w:r w:rsidRPr="00004514">
              <w:rPr>
                <w:b/>
                <w:bCs/>
                <w:color w:val="000000"/>
                <w:sz w:val="14"/>
                <w:szCs w:val="14"/>
                <w:lang w:eastAsia="tr-TR"/>
              </w:rPr>
              <w:t>30.09.2019</w:t>
            </w:r>
          </w:p>
        </w:tc>
      </w:tr>
      <w:tr w:rsidR="002E368F" w:rsidRPr="00004514" w14:paraId="74488ACF" w14:textId="77777777" w:rsidTr="00717AB5">
        <w:trPr>
          <w:divId w:val="556432333"/>
          <w:trHeight w:val="44"/>
        </w:trPr>
        <w:tc>
          <w:tcPr>
            <w:tcW w:w="911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C77E9" w14:textId="77777777" w:rsidR="002E368F" w:rsidRPr="00311DAB" w:rsidRDefault="002E368F" w:rsidP="00717AB5">
            <w:pPr>
              <w:jc w:val="right"/>
              <w:rPr>
                <w:b/>
                <w:bCs/>
                <w:color w:val="000000"/>
                <w:sz w:val="2"/>
                <w:szCs w:val="2"/>
                <w:lang w:eastAsia="tr-TR"/>
              </w:rPr>
            </w:pPr>
            <w:r w:rsidRPr="00311DAB">
              <w:rPr>
                <w:b/>
                <w:bCs/>
                <w:color w:val="000000"/>
                <w:sz w:val="2"/>
                <w:szCs w:val="2"/>
                <w:lang w:val="en-US" w:eastAsia="tr-TR"/>
              </w:rPr>
              <w:t> </w:t>
            </w:r>
          </w:p>
          <w:p w14:paraId="58704615" w14:textId="663D75C8" w:rsidR="002E368F" w:rsidRPr="00311DAB" w:rsidRDefault="002E368F" w:rsidP="00717AB5">
            <w:pPr>
              <w:jc w:val="right"/>
              <w:rPr>
                <w:b/>
                <w:bCs/>
                <w:color w:val="000000"/>
                <w:sz w:val="2"/>
                <w:szCs w:val="2"/>
                <w:lang w:eastAsia="tr-TR"/>
              </w:rPr>
            </w:pPr>
            <w:r w:rsidRPr="00311DAB">
              <w:rPr>
                <w:b/>
                <w:bCs/>
                <w:color w:val="000000"/>
                <w:sz w:val="2"/>
                <w:szCs w:val="2"/>
                <w:lang w:val="en-US" w:eastAsia="tr-TR"/>
              </w:rPr>
              <w:t> </w:t>
            </w:r>
          </w:p>
          <w:p w14:paraId="242A62E8" w14:textId="09212AB6" w:rsidR="002E368F" w:rsidRPr="00311DAB" w:rsidRDefault="002E368F" w:rsidP="00717AB5">
            <w:pPr>
              <w:jc w:val="right"/>
              <w:rPr>
                <w:b/>
                <w:bCs/>
                <w:color w:val="000000"/>
                <w:sz w:val="2"/>
                <w:szCs w:val="2"/>
                <w:lang w:eastAsia="tr-TR"/>
              </w:rPr>
            </w:pPr>
            <w:r w:rsidRPr="00311DAB">
              <w:rPr>
                <w:b/>
                <w:bCs/>
                <w:color w:val="000000"/>
                <w:sz w:val="2"/>
                <w:szCs w:val="2"/>
                <w:lang w:val="en-US" w:eastAsia="tr-TR"/>
              </w:rPr>
              <w:t> </w:t>
            </w:r>
          </w:p>
          <w:p w14:paraId="1A8826E3" w14:textId="1610F8ED" w:rsidR="002E368F" w:rsidRPr="00311DAB" w:rsidRDefault="002E368F" w:rsidP="00717AB5">
            <w:pPr>
              <w:jc w:val="right"/>
              <w:rPr>
                <w:b/>
                <w:bCs/>
                <w:color w:val="000000"/>
                <w:sz w:val="2"/>
                <w:szCs w:val="2"/>
                <w:lang w:eastAsia="tr-TR"/>
              </w:rPr>
            </w:pPr>
            <w:r w:rsidRPr="00311DAB">
              <w:rPr>
                <w:b/>
                <w:bCs/>
                <w:color w:val="000000"/>
                <w:sz w:val="2"/>
                <w:szCs w:val="2"/>
                <w:lang w:eastAsia="tr-TR"/>
              </w:rPr>
              <w:t> </w:t>
            </w:r>
          </w:p>
        </w:tc>
      </w:tr>
      <w:tr w:rsidR="00004514" w:rsidRPr="00004514" w14:paraId="66EE3E3D" w14:textId="77777777" w:rsidTr="00717AB5">
        <w:trPr>
          <w:divId w:val="556432333"/>
          <w:trHeight w:val="272"/>
        </w:trPr>
        <w:tc>
          <w:tcPr>
            <w:tcW w:w="420" w:type="dxa"/>
            <w:tcBorders>
              <w:top w:val="single" w:sz="4" w:space="0" w:color="auto"/>
              <w:left w:val="single" w:sz="4" w:space="0" w:color="auto"/>
              <w:bottom w:val="nil"/>
              <w:right w:val="single" w:sz="4" w:space="0" w:color="auto"/>
            </w:tcBorders>
            <w:shd w:val="clear" w:color="auto" w:fill="auto"/>
            <w:noWrap/>
            <w:vAlign w:val="center"/>
            <w:hideMark/>
          </w:tcPr>
          <w:p w14:paraId="1E0217D2" w14:textId="77777777" w:rsidR="00004514" w:rsidRPr="00004514" w:rsidRDefault="00004514" w:rsidP="00004514">
            <w:pPr>
              <w:rPr>
                <w:b/>
                <w:bCs/>
                <w:color w:val="000000"/>
                <w:sz w:val="14"/>
                <w:szCs w:val="14"/>
                <w:lang w:eastAsia="tr-TR"/>
              </w:rPr>
            </w:pPr>
            <w:r w:rsidRPr="00004514">
              <w:rPr>
                <w:b/>
                <w:bCs/>
                <w:color w:val="000000"/>
                <w:sz w:val="14"/>
                <w:szCs w:val="14"/>
                <w:lang w:val="en-US" w:eastAsia="tr-TR"/>
              </w:rPr>
              <w:t>I.</w:t>
            </w:r>
          </w:p>
        </w:tc>
        <w:tc>
          <w:tcPr>
            <w:tcW w:w="5320" w:type="dxa"/>
            <w:tcBorders>
              <w:top w:val="single" w:sz="4" w:space="0" w:color="auto"/>
              <w:left w:val="single" w:sz="4" w:space="0" w:color="auto"/>
              <w:bottom w:val="nil"/>
              <w:right w:val="single" w:sz="4" w:space="0" w:color="auto"/>
            </w:tcBorders>
            <w:shd w:val="clear" w:color="auto" w:fill="auto"/>
            <w:noWrap/>
            <w:vAlign w:val="center"/>
            <w:hideMark/>
          </w:tcPr>
          <w:p w14:paraId="51588710" w14:textId="77777777" w:rsidR="00004514" w:rsidRPr="00004514" w:rsidRDefault="00004514" w:rsidP="00004514">
            <w:pPr>
              <w:rPr>
                <w:b/>
                <w:bCs/>
                <w:color w:val="000000"/>
                <w:sz w:val="14"/>
                <w:szCs w:val="14"/>
                <w:lang w:eastAsia="tr-TR"/>
              </w:rPr>
            </w:pPr>
            <w:r w:rsidRPr="00004514">
              <w:rPr>
                <w:b/>
                <w:bCs/>
                <w:color w:val="000000"/>
                <w:sz w:val="14"/>
                <w:szCs w:val="14"/>
                <w:lang w:val="en-US" w:eastAsia="tr-TR"/>
              </w:rPr>
              <w:t>DÖNEM KARI/ZARARI</w:t>
            </w:r>
          </w:p>
        </w:tc>
        <w:tc>
          <w:tcPr>
            <w:tcW w:w="1687" w:type="dxa"/>
            <w:tcBorders>
              <w:top w:val="single" w:sz="4" w:space="0" w:color="auto"/>
              <w:left w:val="single" w:sz="4" w:space="0" w:color="auto"/>
              <w:bottom w:val="nil"/>
              <w:right w:val="single" w:sz="4" w:space="0" w:color="auto"/>
            </w:tcBorders>
            <w:shd w:val="clear" w:color="auto" w:fill="auto"/>
            <w:vAlign w:val="bottom"/>
            <w:hideMark/>
          </w:tcPr>
          <w:p w14:paraId="4C425E5B" w14:textId="77777777" w:rsidR="00004514" w:rsidRPr="00004514" w:rsidRDefault="00004514" w:rsidP="00717AB5">
            <w:pPr>
              <w:jc w:val="right"/>
              <w:rPr>
                <w:b/>
                <w:bCs/>
                <w:sz w:val="14"/>
                <w:szCs w:val="14"/>
                <w:lang w:eastAsia="tr-TR"/>
              </w:rPr>
            </w:pPr>
            <w:r w:rsidRPr="00004514">
              <w:rPr>
                <w:b/>
                <w:bCs/>
                <w:sz w:val="14"/>
                <w:szCs w:val="14"/>
                <w:lang w:eastAsia="tr-TR"/>
              </w:rPr>
              <w:t>1,036,056</w:t>
            </w:r>
          </w:p>
        </w:tc>
        <w:tc>
          <w:tcPr>
            <w:tcW w:w="1687" w:type="dxa"/>
            <w:tcBorders>
              <w:top w:val="single" w:sz="4" w:space="0" w:color="auto"/>
              <w:left w:val="single" w:sz="4" w:space="0" w:color="auto"/>
              <w:bottom w:val="nil"/>
              <w:right w:val="single" w:sz="4" w:space="0" w:color="auto"/>
            </w:tcBorders>
            <w:shd w:val="clear" w:color="auto" w:fill="auto"/>
            <w:vAlign w:val="bottom"/>
            <w:hideMark/>
          </w:tcPr>
          <w:p w14:paraId="292AB854" w14:textId="77777777" w:rsidR="00004514" w:rsidRPr="00004514" w:rsidRDefault="00004514" w:rsidP="00717AB5">
            <w:pPr>
              <w:jc w:val="right"/>
              <w:rPr>
                <w:b/>
                <w:bCs/>
                <w:sz w:val="14"/>
                <w:szCs w:val="14"/>
                <w:lang w:eastAsia="tr-TR"/>
              </w:rPr>
            </w:pPr>
            <w:r w:rsidRPr="00004514">
              <w:rPr>
                <w:b/>
                <w:bCs/>
                <w:sz w:val="14"/>
                <w:szCs w:val="14"/>
                <w:lang w:eastAsia="tr-TR"/>
              </w:rPr>
              <w:t>777,496</w:t>
            </w:r>
          </w:p>
        </w:tc>
      </w:tr>
      <w:tr w:rsidR="00004514" w:rsidRPr="00004514" w14:paraId="40047CE2"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5CD68E30" w14:textId="77777777" w:rsidR="00004514" w:rsidRPr="00004514" w:rsidRDefault="00004514" w:rsidP="00004514">
            <w:pPr>
              <w:rPr>
                <w:b/>
                <w:bCs/>
                <w:color w:val="000000"/>
                <w:sz w:val="14"/>
                <w:szCs w:val="14"/>
                <w:lang w:eastAsia="tr-TR"/>
              </w:rPr>
            </w:pPr>
            <w:r w:rsidRPr="00004514">
              <w:rPr>
                <w:b/>
                <w:bCs/>
                <w:color w:val="000000"/>
                <w:sz w:val="14"/>
                <w:szCs w:val="14"/>
                <w:lang w:val="en-US" w:eastAsia="tr-TR"/>
              </w:rPr>
              <w:t>II.</w:t>
            </w:r>
          </w:p>
        </w:tc>
        <w:tc>
          <w:tcPr>
            <w:tcW w:w="5320" w:type="dxa"/>
            <w:tcBorders>
              <w:top w:val="nil"/>
              <w:left w:val="single" w:sz="4" w:space="0" w:color="auto"/>
              <w:bottom w:val="nil"/>
              <w:right w:val="single" w:sz="4" w:space="0" w:color="auto"/>
            </w:tcBorders>
            <w:shd w:val="clear" w:color="auto" w:fill="auto"/>
            <w:noWrap/>
            <w:vAlign w:val="center"/>
            <w:hideMark/>
          </w:tcPr>
          <w:p w14:paraId="2E19B416" w14:textId="77777777" w:rsidR="00004514" w:rsidRPr="00004514" w:rsidRDefault="00004514" w:rsidP="00004514">
            <w:pPr>
              <w:rPr>
                <w:b/>
                <w:bCs/>
                <w:color w:val="000000"/>
                <w:sz w:val="14"/>
                <w:szCs w:val="14"/>
                <w:lang w:eastAsia="tr-TR"/>
              </w:rPr>
            </w:pPr>
            <w:r w:rsidRPr="00004514">
              <w:rPr>
                <w:b/>
                <w:bCs/>
                <w:color w:val="000000"/>
                <w:sz w:val="14"/>
                <w:szCs w:val="14"/>
                <w:lang w:val="en-US" w:eastAsia="tr-TR"/>
              </w:rPr>
              <w:t>DİĞER KAPSAMLI GELİRLER</w:t>
            </w:r>
          </w:p>
        </w:tc>
        <w:tc>
          <w:tcPr>
            <w:tcW w:w="1687" w:type="dxa"/>
            <w:tcBorders>
              <w:top w:val="nil"/>
              <w:left w:val="single" w:sz="4" w:space="0" w:color="auto"/>
              <w:bottom w:val="nil"/>
              <w:right w:val="single" w:sz="4" w:space="0" w:color="auto"/>
            </w:tcBorders>
            <w:shd w:val="clear" w:color="auto" w:fill="auto"/>
            <w:vAlign w:val="bottom"/>
            <w:hideMark/>
          </w:tcPr>
          <w:p w14:paraId="2B1E7201" w14:textId="25CEA37C" w:rsidR="00004514" w:rsidRPr="00004514" w:rsidRDefault="00004514" w:rsidP="00717AB5">
            <w:pPr>
              <w:jc w:val="right"/>
              <w:rPr>
                <w:b/>
                <w:bCs/>
                <w:sz w:val="14"/>
                <w:szCs w:val="14"/>
                <w:lang w:eastAsia="tr-TR"/>
              </w:rPr>
            </w:pPr>
            <w:r w:rsidRPr="00004514">
              <w:rPr>
                <w:b/>
                <w:bCs/>
                <w:sz w:val="14"/>
                <w:szCs w:val="14"/>
                <w:lang w:eastAsia="tr-TR"/>
              </w:rPr>
              <w:t>(316,94</w:t>
            </w:r>
            <w:r w:rsidR="009016C5">
              <w:rPr>
                <w:b/>
                <w:bCs/>
                <w:sz w:val="14"/>
                <w:szCs w:val="14"/>
                <w:lang w:eastAsia="tr-TR"/>
              </w:rPr>
              <w:t>5</w:t>
            </w:r>
            <w:r w:rsidRPr="00004514">
              <w:rPr>
                <w:b/>
                <w:bCs/>
                <w:sz w:val="14"/>
                <w:szCs w:val="14"/>
                <w:lang w:eastAsia="tr-TR"/>
              </w:rPr>
              <w:t>)</w:t>
            </w:r>
          </w:p>
        </w:tc>
        <w:tc>
          <w:tcPr>
            <w:tcW w:w="1687" w:type="dxa"/>
            <w:tcBorders>
              <w:top w:val="nil"/>
              <w:left w:val="single" w:sz="4" w:space="0" w:color="auto"/>
              <w:bottom w:val="nil"/>
              <w:right w:val="single" w:sz="4" w:space="0" w:color="auto"/>
            </w:tcBorders>
            <w:shd w:val="clear" w:color="auto" w:fill="auto"/>
            <w:vAlign w:val="bottom"/>
            <w:hideMark/>
          </w:tcPr>
          <w:p w14:paraId="4A086B2D" w14:textId="77777777" w:rsidR="00004514" w:rsidRPr="00004514" w:rsidRDefault="00004514" w:rsidP="00717AB5">
            <w:pPr>
              <w:jc w:val="right"/>
              <w:rPr>
                <w:b/>
                <w:bCs/>
                <w:sz w:val="14"/>
                <w:szCs w:val="14"/>
                <w:lang w:eastAsia="tr-TR"/>
              </w:rPr>
            </w:pPr>
            <w:r w:rsidRPr="00004514">
              <w:rPr>
                <w:b/>
                <w:bCs/>
                <w:sz w:val="14"/>
                <w:szCs w:val="14"/>
                <w:lang w:eastAsia="tr-TR"/>
              </w:rPr>
              <w:t>163,480</w:t>
            </w:r>
          </w:p>
        </w:tc>
      </w:tr>
      <w:tr w:rsidR="00004514" w:rsidRPr="00004514" w14:paraId="1A016956"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0737B449" w14:textId="77777777" w:rsidR="00004514" w:rsidRPr="00004514" w:rsidRDefault="00004514" w:rsidP="00004514">
            <w:pPr>
              <w:rPr>
                <w:color w:val="000000"/>
                <w:sz w:val="14"/>
                <w:szCs w:val="14"/>
                <w:lang w:eastAsia="tr-TR"/>
              </w:rPr>
            </w:pPr>
            <w:r w:rsidRPr="00004514">
              <w:rPr>
                <w:color w:val="000000"/>
                <w:sz w:val="14"/>
                <w:szCs w:val="14"/>
                <w:lang w:val="en-US" w:eastAsia="tr-TR"/>
              </w:rPr>
              <w:t>2.1</w:t>
            </w:r>
          </w:p>
        </w:tc>
        <w:tc>
          <w:tcPr>
            <w:tcW w:w="5320" w:type="dxa"/>
            <w:tcBorders>
              <w:top w:val="nil"/>
              <w:left w:val="single" w:sz="4" w:space="0" w:color="auto"/>
              <w:bottom w:val="nil"/>
              <w:right w:val="single" w:sz="4" w:space="0" w:color="auto"/>
            </w:tcBorders>
            <w:shd w:val="clear" w:color="auto" w:fill="auto"/>
            <w:noWrap/>
            <w:vAlign w:val="center"/>
            <w:hideMark/>
          </w:tcPr>
          <w:p w14:paraId="7F0C0140" w14:textId="77777777" w:rsidR="00004514" w:rsidRPr="00004514" w:rsidRDefault="00004514" w:rsidP="00004514">
            <w:pPr>
              <w:rPr>
                <w:b/>
                <w:bCs/>
                <w:color w:val="000000"/>
                <w:sz w:val="14"/>
                <w:szCs w:val="14"/>
                <w:lang w:eastAsia="tr-TR"/>
              </w:rPr>
            </w:pPr>
            <w:r w:rsidRPr="00004514">
              <w:rPr>
                <w:b/>
                <w:bCs/>
                <w:color w:val="000000"/>
                <w:sz w:val="14"/>
                <w:szCs w:val="14"/>
                <w:lang w:val="en-US" w:eastAsia="tr-TR"/>
              </w:rPr>
              <w:t xml:space="preserve">Kar </w:t>
            </w:r>
            <w:proofErr w:type="spellStart"/>
            <w:r w:rsidRPr="00004514">
              <w:rPr>
                <w:b/>
                <w:bCs/>
                <w:color w:val="000000"/>
                <w:sz w:val="14"/>
                <w:szCs w:val="14"/>
                <w:lang w:val="en-US" w:eastAsia="tr-TR"/>
              </w:rPr>
              <w:t>veya</w:t>
            </w:r>
            <w:proofErr w:type="spellEnd"/>
            <w:r w:rsidRPr="00004514">
              <w:rPr>
                <w:b/>
                <w:bCs/>
                <w:color w:val="000000"/>
                <w:sz w:val="14"/>
                <w:szCs w:val="14"/>
                <w:lang w:val="en-US" w:eastAsia="tr-TR"/>
              </w:rPr>
              <w:t xml:space="preserve"> </w:t>
            </w:r>
            <w:proofErr w:type="spellStart"/>
            <w:r w:rsidRPr="00004514">
              <w:rPr>
                <w:b/>
                <w:bCs/>
                <w:color w:val="000000"/>
                <w:sz w:val="14"/>
                <w:szCs w:val="14"/>
                <w:lang w:val="en-US" w:eastAsia="tr-TR"/>
              </w:rPr>
              <w:t>Zararda</w:t>
            </w:r>
            <w:proofErr w:type="spellEnd"/>
            <w:r w:rsidRPr="00004514">
              <w:rPr>
                <w:b/>
                <w:bCs/>
                <w:color w:val="000000"/>
                <w:sz w:val="14"/>
                <w:szCs w:val="14"/>
                <w:lang w:val="en-US" w:eastAsia="tr-TR"/>
              </w:rPr>
              <w:t xml:space="preserve"> </w:t>
            </w:r>
            <w:proofErr w:type="spellStart"/>
            <w:r w:rsidRPr="00004514">
              <w:rPr>
                <w:b/>
                <w:bCs/>
                <w:color w:val="000000"/>
                <w:sz w:val="14"/>
                <w:szCs w:val="14"/>
                <w:lang w:val="en-US" w:eastAsia="tr-TR"/>
              </w:rPr>
              <w:t>Yeniden</w:t>
            </w:r>
            <w:proofErr w:type="spellEnd"/>
            <w:r w:rsidRPr="00004514">
              <w:rPr>
                <w:b/>
                <w:bCs/>
                <w:color w:val="000000"/>
                <w:sz w:val="14"/>
                <w:szCs w:val="14"/>
                <w:lang w:val="en-US" w:eastAsia="tr-TR"/>
              </w:rPr>
              <w:t xml:space="preserve"> </w:t>
            </w:r>
            <w:proofErr w:type="spellStart"/>
            <w:r w:rsidRPr="00004514">
              <w:rPr>
                <w:b/>
                <w:bCs/>
                <w:color w:val="000000"/>
                <w:sz w:val="14"/>
                <w:szCs w:val="14"/>
                <w:lang w:val="en-US" w:eastAsia="tr-TR"/>
              </w:rPr>
              <w:t>Sınıflandırılmayacaklar</w:t>
            </w:r>
            <w:proofErr w:type="spellEnd"/>
          </w:p>
        </w:tc>
        <w:tc>
          <w:tcPr>
            <w:tcW w:w="1687" w:type="dxa"/>
            <w:tcBorders>
              <w:top w:val="nil"/>
              <w:left w:val="single" w:sz="4" w:space="0" w:color="auto"/>
              <w:bottom w:val="nil"/>
              <w:right w:val="single" w:sz="4" w:space="0" w:color="auto"/>
            </w:tcBorders>
            <w:shd w:val="clear" w:color="auto" w:fill="auto"/>
            <w:vAlign w:val="bottom"/>
            <w:hideMark/>
          </w:tcPr>
          <w:p w14:paraId="0A98DEF4" w14:textId="77777777" w:rsidR="00004514" w:rsidRPr="00004514" w:rsidRDefault="00004514" w:rsidP="00717AB5">
            <w:pPr>
              <w:jc w:val="right"/>
              <w:rPr>
                <w:b/>
                <w:bCs/>
                <w:sz w:val="14"/>
                <w:szCs w:val="14"/>
                <w:lang w:eastAsia="tr-TR"/>
              </w:rPr>
            </w:pPr>
            <w:r w:rsidRPr="00004514">
              <w:rPr>
                <w:b/>
                <w:bCs/>
                <w:sz w:val="14"/>
                <w:szCs w:val="14"/>
                <w:lang w:eastAsia="tr-TR"/>
              </w:rPr>
              <w:t>-</w:t>
            </w:r>
          </w:p>
        </w:tc>
        <w:tc>
          <w:tcPr>
            <w:tcW w:w="1687" w:type="dxa"/>
            <w:tcBorders>
              <w:top w:val="nil"/>
              <w:left w:val="single" w:sz="4" w:space="0" w:color="auto"/>
              <w:bottom w:val="nil"/>
              <w:right w:val="single" w:sz="4" w:space="0" w:color="auto"/>
            </w:tcBorders>
            <w:shd w:val="clear" w:color="auto" w:fill="auto"/>
            <w:vAlign w:val="bottom"/>
            <w:hideMark/>
          </w:tcPr>
          <w:p w14:paraId="25ADDCEE" w14:textId="77777777" w:rsidR="00004514" w:rsidRPr="00004514" w:rsidRDefault="00004514" w:rsidP="00717AB5">
            <w:pPr>
              <w:jc w:val="right"/>
              <w:rPr>
                <w:b/>
                <w:bCs/>
                <w:sz w:val="14"/>
                <w:szCs w:val="14"/>
                <w:lang w:eastAsia="tr-TR"/>
              </w:rPr>
            </w:pPr>
            <w:r w:rsidRPr="00004514">
              <w:rPr>
                <w:b/>
                <w:bCs/>
                <w:sz w:val="14"/>
                <w:szCs w:val="14"/>
                <w:lang w:eastAsia="tr-TR"/>
              </w:rPr>
              <w:t>-</w:t>
            </w:r>
          </w:p>
        </w:tc>
      </w:tr>
      <w:tr w:rsidR="00004514" w:rsidRPr="00004514" w14:paraId="13592A25"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4332B7AC" w14:textId="77777777" w:rsidR="00004514" w:rsidRPr="00004514" w:rsidRDefault="00004514" w:rsidP="00004514">
            <w:pPr>
              <w:rPr>
                <w:color w:val="000000"/>
                <w:sz w:val="14"/>
                <w:szCs w:val="14"/>
                <w:lang w:eastAsia="tr-TR"/>
              </w:rPr>
            </w:pPr>
            <w:r w:rsidRPr="00004514">
              <w:rPr>
                <w:color w:val="000000"/>
                <w:sz w:val="14"/>
                <w:szCs w:val="14"/>
                <w:lang w:val="en-US" w:eastAsia="tr-TR"/>
              </w:rPr>
              <w:t>2.1.1</w:t>
            </w:r>
          </w:p>
        </w:tc>
        <w:tc>
          <w:tcPr>
            <w:tcW w:w="5320" w:type="dxa"/>
            <w:tcBorders>
              <w:top w:val="nil"/>
              <w:left w:val="single" w:sz="4" w:space="0" w:color="auto"/>
              <w:bottom w:val="nil"/>
              <w:right w:val="single" w:sz="4" w:space="0" w:color="auto"/>
            </w:tcBorders>
            <w:shd w:val="clear" w:color="auto" w:fill="auto"/>
            <w:noWrap/>
            <w:vAlign w:val="center"/>
            <w:hideMark/>
          </w:tcPr>
          <w:p w14:paraId="0BBD1A81" w14:textId="77777777" w:rsidR="00004514" w:rsidRPr="00004514" w:rsidRDefault="00004514" w:rsidP="00004514">
            <w:pPr>
              <w:rPr>
                <w:color w:val="000000"/>
                <w:sz w:val="14"/>
                <w:szCs w:val="14"/>
                <w:lang w:eastAsia="tr-TR"/>
              </w:rPr>
            </w:pPr>
            <w:r w:rsidRPr="00004514">
              <w:rPr>
                <w:color w:val="000000"/>
                <w:sz w:val="14"/>
                <w:szCs w:val="14"/>
                <w:lang w:val="en-US" w:eastAsia="tr-TR"/>
              </w:rPr>
              <w:t xml:space="preserve">Maddi Duran </w:t>
            </w:r>
            <w:proofErr w:type="spellStart"/>
            <w:r w:rsidRPr="00004514">
              <w:rPr>
                <w:color w:val="000000"/>
                <w:sz w:val="14"/>
                <w:szCs w:val="14"/>
                <w:lang w:val="en-US" w:eastAsia="tr-TR"/>
              </w:rPr>
              <w:t>Varlıklar</w:t>
            </w:r>
            <w:proofErr w:type="spellEnd"/>
            <w:r w:rsidRPr="00004514">
              <w:rPr>
                <w:color w:val="000000"/>
                <w:sz w:val="14"/>
                <w:szCs w:val="14"/>
                <w:lang w:val="en-US" w:eastAsia="tr-TR"/>
              </w:rPr>
              <w:t xml:space="preserve"> </w:t>
            </w:r>
            <w:proofErr w:type="spellStart"/>
            <w:r w:rsidRPr="00004514">
              <w:rPr>
                <w:color w:val="000000"/>
                <w:sz w:val="14"/>
                <w:szCs w:val="14"/>
                <w:lang w:val="en-US" w:eastAsia="tr-TR"/>
              </w:rPr>
              <w:t>Yeniden</w:t>
            </w:r>
            <w:proofErr w:type="spellEnd"/>
            <w:r w:rsidRPr="00004514">
              <w:rPr>
                <w:color w:val="000000"/>
                <w:sz w:val="14"/>
                <w:szCs w:val="14"/>
                <w:lang w:val="en-US" w:eastAsia="tr-TR"/>
              </w:rPr>
              <w:t xml:space="preserve"> </w:t>
            </w:r>
            <w:proofErr w:type="spellStart"/>
            <w:r w:rsidRPr="00004514">
              <w:rPr>
                <w:color w:val="000000"/>
                <w:sz w:val="14"/>
                <w:szCs w:val="14"/>
                <w:lang w:val="en-US" w:eastAsia="tr-TR"/>
              </w:rPr>
              <w:t>Değerleme</w:t>
            </w:r>
            <w:proofErr w:type="spellEnd"/>
            <w:r w:rsidRPr="00004514">
              <w:rPr>
                <w:color w:val="000000"/>
                <w:sz w:val="14"/>
                <w:szCs w:val="14"/>
                <w:lang w:val="en-US" w:eastAsia="tr-TR"/>
              </w:rPr>
              <w:t xml:space="preserve"> </w:t>
            </w:r>
            <w:proofErr w:type="spellStart"/>
            <w:r w:rsidRPr="00004514">
              <w:rPr>
                <w:color w:val="000000"/>
                <w:sz w:val="14"/>
                <w:szCs w:val="14"/>
                <w:lang w:val="en-US" w:eastAsia="tr-TR"/>
              </w:rPr>
              <w:t>Artışları</w:t>
            </w:r>
            <w:proofErr w:type="spellEnd"/>
            <w:r w:rsidRPr="00004514">
              <w:rPr>
                <w:color w:val="000000"/>
                <w:sz w:val="14"/>
                <w:szCs w:val="14"/>
                <w:lang w:val="en-US" w:eastAsia="tr-TR"/>
              </w:rPr>
              <w:t>/</w:t>
            </w:r>
            <w:proofErr w:type="spellStart"/>
            <w:r w:rsidRPr="00004514">
              <w:rPr>
                <w:color w:val="000000"/>
                <w:sz w:val="14"/>
                <w:szCs w:val="14"/>
                <w:lang w:val="en-US" w:eastAsia="tr-TR"/>
              </w:rPr>
              <w:t>Azalışları</w:t>
            </w:r>
            <w:proofErr w:type="spellEnd"/>
          </w:p>
        </w:tc>
        <w:tc>
          <w:tcPr>
            <w:tcW w:w="1687" w:type="dxa"/>
            <w:tcBorders>
              <w:top w:val="nil"/>
              <w:left w:val="single" w:sz="4" w:space="0" w:color="auto"/>
              <w:bottom w:val="nil"/>
              <w:right w:val="single" w:sz="4" w:space="0" w:color="auto"/>
            </w:tcBorders>
            <w:shd w:val="clear" w:color="auto" w:fill="auto"/>
            <w:vAlign w:val="bottom"/>
            <w:hideMark/>
          </w:tcPr>
          <w:p w14:paraId="70AE723E" w14:textId="77777777" w:rsidR="00004514" w:rsidRPr="00004514" w:rsidRDefault="00004514" w:rsidP="00717AB5">
            <w:pPr>
              <w:jc w:val="right"/>
              <w:rPr>
                <w:sz w:val="14"/>
                <w:szCs w:val="14"/>
                <w:lang w:eastAsia="tr-TR"/>
              </w:rPr>
            </w:pPr>
            <w:r w:rsidRPr="00004514">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bottom"/>
            <w:hideMark/>
          </w:tcPr>
          <w:p w14:paraId="6F61BB3E" w14:textId="77777777" w:rsidR="00004514" w:rsidRPr="00004514" w:rsidRDefault="00004514" w:rsidP="00717AB5">
            <w:pPr>
              <w:jc w:val="right"/>
              <w:rPr>
                <w:sz w:val="14"/>
                <w:szCs w:val="14"/>
                <w:lang w:eastAsia="tr-TR"/>
              </w:rPr>
            </w:pPr>
            <w:r w:rsidRPr="00004514">
              <w:rPr>
                <w:sz w:val="14"/>
                <w:szCs w:val="14"/>
                <w:lang w:eastAsia="tr-TR"/>
              </w:rPr>
              <w:t>-</w:t>
            </w:r>
          </w:p>
        </w:tc>
      </w:tr>
      <w:tr w:rsidR="00004514" w:rsidRPr="00004514" w14:paraId="77518491"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5EB28137" w14:textId="77777777" w:rsidR="00004514" w:rsidRPr="00004514" w:rsidRDefault="00004514" w:rsidP="00004514">
            <w:pPr>
              <w:rPr>
                <w:color w:val="000000"/>
                <w:sz w:val="14"/>
                <w:szCs w:val="14"/>
                <w:lang w:eastAsia="tr-TR"/>
              </w:rPr>
            </w:pPr>
            <w:r w:rsidRPr="00004514">
              <w:rPr>
                <w:color w:val="000000"/>
                <w:sz w:val="14"/>
                <w:szCs w:val="14"/>
                <w:lang w:val="en-US" w:eastAsia="tr-TR"/>
              </w:rPr>
              <w:t>2.1.2</w:t>
            </w:r>
          </w:p>
        </w:tc>
        <w:tc>
          <w:tcPr>
            <w:tcW w:w="5320" w:type="dxa"/>
            <w:tcBorders>
              <w:top w:val="nil"/>
              <w:left w:val="single" w:sz="4" w:space="0" w:color="auto"/>
              <w:bottom w:val="nil"/>
              <w:right w:val="single" w:sz="4" w:space="0" w:color="auto"/>
            </w:tcBorders>
            <w:shd w:val="clear" w:color="auto" w:fill="auto"/>
            <w:noWrap/>
            <w:vAlign w:val="center"/>
            <w:hideMark/>
          </w:tcPr>
          <w:p w14:paraId="01140888" w14:textId="77777777" w:rsidR="00004514" w:rsidRPr="00004514" w:rsidRDefault="00004514" w:rsidP="00004514">
            <w:pPr>
              <w:rPr>
                <w:color w:val="000000"/>
                <w:sz w:val="14"/>
                <w:szCs w:val="14"/>
                <w:lang w:eastAsia="tr-TR"/>
              </w:rPr>
            </w:pPr>
            <w:r w:rsidRPr="00004514">
              <w:rPr>
                <w:color w:val="000000"/>
                <w:sz w:val="14"/>
                <w:szCs w:val="14"/>
                <w:lang w:val="en-US" w:eastAsia="tr-TR"/>
              </w:rPr>
              <w:t xml:space="preserve">Maddi </w:t>
            </w:r>
            <w:proofErr w:type="spellStart"/>
            <w:r w:rsidRPr="00004514">
              <w:rPr>
                <w:color w:val="000000"/>
                <w:sz w:val="14"/>
                <w:szCs w:val="14"/>
                <w:lang w:val="en-US" w:eastAsia="tr-TR"/>
              </w:rPr>
              <w:t>Olmayan</w:t>
            </w:r>
            <w:proofErr w:type="spellEnd"/>
            <w:r w:rsidRPr="00004514">
              <w:rPr>
                <w:color w:val="000000"/>
                <w:sz w:val="14"/>
                <w:szCs w:val="14"/>
                <w:lang w:val="en-US" w:eastAsia="tr-TR"/>
              </w:rPr>
              <w:t xml:space="preserve"> Duran </w:t>
            </w:r>
            <w:proofErr w:type="spellStart"/>
            <w:r w:rsidRPr="00004514">
              <w:rPr>
                <w:color w:val="000000"/>
                <w:sz w:val="14"/>
                <w:szCs w:val="14"/>
                <w:lang w:val="en-US" w:eastAsia="tr-TR"/>
              </w:rPr>
              <w:t>Varlıklar</w:t>
            </w:r>
            <w:proofErr w:type="spellEnd"/>
            <w:r w:rsidRPr="00004514">
              <w:rPr>
                <w:color w:val="000000"/>
                <w:sz w:val="14"/>
                <w:szCs w:val="14"/>
                <w:lang w:val="en-US" w:eastAsia="tr-TR"/>
              </w:rPr>
              <w:t xml:space="preserve"> </w:t>
            </w:r>
            <w:proofErr w:type="spellStart"/>
            <w:r w:rsidRPr="00004514">
              <w:rPr>
                <w:color w:val="000000"/>
                <w:sz w:val="14"/>
                <w:szCs w:val="14"/>
                <w:lang w:val="en-US" w:eastAsia="tr-TR"/>
              </w:rPr>
              <w:t>Yeniden</w:t>
            </w:r>
            <w:proofErr w:type="spellEnd"/>
            <w:r w:rsidRPr="00004514">
              <w:rPr>
                <w:color w:val="000000"/>
                <w:sz w:val="14"/>
                <w:szCs w:val="14"/>
                <w:lang w:val="en-US" w:eastAsia="tr-TR"/>
              </w:rPr>
              <w:t xml:space="preserve"> </w:t>
            </w:r>
            <w:proofErr w:type="spellStart"/>
            <w:r w:rsidRPr="00004514">
              <w:rPr>
                <w:color w:val="000000"/>
                <w:sz w:val="14"/>
                <w:szCs w:val="14"/>
                <w:lang w:val="en-US" w:eastAsia="tr-TR"/>
              </w:rPr>
              <w:t>Değerleme</w:t>
            </w:r>
            <w:proofErr w:type="spellEnd"/>
            <w:r w:rsidRPr="00004514">
              <w:rPr>
                <w:color w:val="000000"/>
                <w:sz w:val="14"/>
                <w:szCs w:val="14"/>
                <w:lang w:val="en-US" w:eastAsia="tr-TR"/>
              </w:rPr>
              <w:t xml:space="preserve"> </w:t>
            </w:r>
            <w:proofErr w:type="spellStart"/>
            <w:r w:rsidRPr="00004514">
              <w:rPr>
                <w:color w:val="000000"/>
                <w:sz w:val="14"/>
                <w:szCs w:val="14"/>
                <w:lang w:val="en-US" w:eastAsia="tr-TR"/>
              </w:rPr>
              <w:t>Artışları</w:t>
            </w:r>
            <w:proofErr w:type="spellEnd"/>
            <w:r w:rsidRPr="00004514">
              <w:rPr>
                <w:color w:val="000000"/>
                <w:sz w:val="14"/>
                <w:szCs w:val="14"/>
                <w:lang w:val="en-US" w:eastAsia="tr-TR"/>
              </w:rPr>
              <w:t>/</w:t>
            </w:r>
            <w:proofErr w:type="spellStart"/>
            <w:r w:rsidRPr="00004514">
              <w:rPr>
                <w:color w:val="000000"/>
                <w:sz w:val="14"/>
                <w:szCs w:val="14"/>
                <w:lang w:val="en-US" w:eastAsia="tr-TR"/>
              </w:rPr>
              <w:t>Azalışları</w:t>
            </w:r>
            <w:proofErr w:type="spellEnd"/>
          </w:p>
        </w:tc>
        <w:tc>
          <w:tcPr>
            <w:tcW w:w="1687" w:type="dxa"/>
            <w:tcBorders>
              <w:top w:val="nil"/>
              <w:left w:val="single" w:sz="4" w:space="0" w:color="auto"/>
              <w:bottom w:val="nil"/>
              <w:right w:val="single" w:sz="4" w:space="0" w:color="auto"/>
            </w:tcBorders>
            <w:shd w:val="clear" w:color="auto" w:fill="auto"/>
            <w:vAlign w:val="bottom"/>
            <w:hideMark/>
          </w:tcPr>
          <w:p w14:paraId="7897EBF2" w14:textId="77777777" w:rsidR="00004514" w:rsidRPr="00004514" w:rsidRDefault="00004514" w:rsidP="00717AB5">
            <w:pPr>
              <w:jc w:val="right"/>
              <w:rPr>
                <w:sz w:val="14"/>
                <w:szCs w:val="14"/>
                <w:lang w:eastAsia="tr-TR"/>
              </w:rPr>
            </w:pPr>
            <w:r w:rsidRPr="00004514">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bottom"/>
            <w:hideMark/>
          </w:tcPr>
          <w:p w14:paraId="77439900" w14:textId="77777777" w:rsidR="00004514" w:rsidRPr="00004514" w:rsidRDefault="00004514" w:rsidP="00717AB5">
            <w:pPr>
              <w:jc w:val="right"/>
              <w:rPr>
                <w:sz w:val="14"/>
                <w:szCs w:val="14"/>
                <w:lang w:eastAsia="tr-TR"/>
              </w:rPr>
            </w:pPr>
            <w:r w:rsidRPr="00004514">
              <w:rPr>
                <w:sz w:val="14"/>
                <w:szCs w:val="14"/>
                <w:lang w:eastAsia="tr-TR"/>
              </w:rPr>
              <w:t>-</w:t>
            </w:r>
          </w:p>
        </w:tc>
      </w:tr>
      <w:tr w:rsidR="00004514" w:rsidRPr="00004514" w14:paraId="1C0C687D"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0D579A5A" w14:textId="77777777" w:rsidR="00004514" w:rsidRPr="00004514" w:rsidRDefault="00004514" w:rsidP="00004514">
            <w:pPr>
              <w:rPr>
                <w:color w:val="000000"/>
                <w:sz w:val="14"/>
                <w:szCs w:val="14"/>
                <w:lang w:eastAsia="tr-TR"/>
              </w:rPr>
            </w:pPr>
            <w:r w:rsidRPr="00004514">
              <w:rPr>
                <w:color w:val="000000"/>
                <w:sz w:val="14"/>
                <w:szCs w:val="14"/>
                <w:lang w:val="en-US" w:eastAsia="tr-TR"/>
              </w:rPr>
              <w:t>2.1.3</w:t>
            </w:r>
          </w:p>
        </w:tc>
        <w:tc>
          <w:tcPr>
            <w:tcW w:w="5320" w:type="dxa"/>
            <w:tcBorders>
              <w:top w:val="nil"/>
              <w:left w:val="single" w:sz="4" w:space="0" w:color="auto"/>
              <w:bottom w:val="nil"/>
              <w:right w:val="single" w:sz="4" w:space="0" w:color="auto"/>
            </w:tcBorders>
            <w:shd w:val="clear" w:color="auto" w:fill="auto"/>
            <w:noWrap/>
            <w:vAlign w:val="center"/>
            <w:hideMark/>
          </w:tcPr>
          <w:p w14:paraId="74C922EB" w14:textId="77777777" w:rsidR="00004514" w:rsidRPr="00004514" w:rsidRDefault="00004514" w:rsidP="00004514">
            <w:pPr>
              <w:rPr>
                <w:color w:val="000000"/>
                <w:sz w:val="14"/>
                <w:szCs w:val="14"/>
                <w:lang w:eastAsia="tr-TR"/>
              </w:rPr>
            </w:pPr>
            <w:r w:rsidRPr="00311DAB">
              <w:rPr>
                <w:color w:val="000000"/>
                <w:sz w:val="14"/>
                <w:szCs w:val="14"/>
                <w:lang w:eastAsia="tr-TR"/>
              </w:rPr>
              <w:t>Tanımlanmış Fayda Planları Yeniden Ölçüm Kazançları/Kayıpları</w:t>
            </w:r>
          </w:p>
        </w:tc>
        <w:tc>
          <w:tcPr>
            <w:tcW w:w="1687" w:type="dxa"/>
            <w:tcBorders>
              <w:top w:val="nil"/>
              <w:left w:val="single" w:sz="4" w:space="0" w:color="auto"/>
              <w:bottom w:val="nil"/>
              <w:right w:val="single" w:sz="4" w:space="0" w:color="auto"/>
            </w:tcBorders>
            <w:shd w:val="clear" w:color="auto" w:fill="auto"/>
            <w:vAlign w:val="bottom"/>
            <w:hideMark/>
          </w:tcPr>
          <w:p w14:paraId="634D825C" w14:textId="77777777" w:rsidR="00004514" w:rsidRPr="00004514" w:rsidRDefault="00004514" w:rsidP="00717AB5">
            <w:pPr>
              <w:jc w:val="right"/>
              <w:rPr>
                <w:sz w:val="14"/>
                <w:szCs w:val="14"/>
                <w:lang w:eastAsia="tr-TR"/>
              </w:rPr>
            </w:pPr>
            <w:r w:rsidRPr="00004514">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bottom"/>
            <w:hideMark/>
          </w:tcPr>
          <w:p w14:paraId="2F8F0054" w14:textId="77777777" w:rsidR="00004514" w:rsidRPr="00004514" w:rsidRDefault="00004514" w:rsidP="00717AB5">
            <w:pPr>
              <w:jc w:val="right"/>
              <w:rPr>
                <w:sz w:val="14"/>
                <w:szCs w:val="14"/>
                <w:lang w:eastAsia="tr-TR"/>
              </w:rPr>
            </w:pPr>
            <w:r w:rsidRPr="00004514">
              <w:rPr>
                <w:sz w:val="14"/>
                <w:szCs w:val="14"/>
                <w:lang w:eastAsia="tr-TR"/>
              </w:rPr>
              <w:t>-</w:t>
            </w:r>
          </w:p>
        </w:tc>
      </w:tr>
      <w:tr w:rsidR="00004514" w:rsidRPr="00004514" w14:paraId="3E4B5C13"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23115250" w14:textId="77777777" w:rsidR="00004514" w:rsidRPr="00004514" w:rsidRDefault="00004514" w:rsidP="00004514">
            <w:pPr>
              <w:rPr>
                <w:color w:val="000000"/>
                <w:sz w:val="14"/>
                <w:szCs w:val="14"/>
                <w:lang w:eastAsia="tr-TR"/>
              </w:rPr>
            </w:pPr>
            <w:r w:rsidRPr="00004514">
              <w:rPr>
                <w:color w:val="000000"/>
                <w:sz w:val="14"/>
                <w:szCs w:val="14"/>
                <w:lang w:val="en-US" w:eastAsia="tr-TR"/>
              </w:rPr>
              <w:t>2.1.4</w:t>
            </w:r>
          </w:p>
        </w:tc>
        <w:tc>
          <w:tcPr>
            <w:tcW w:w="5320" w:type="dxa"/>
            <w:tcBorders>
              <w:top w:val="nil"/>
              <w:left w:val="single" w:sz="4" w:space="0" w:color="auto"/>
              <w:bottom w:val="nil"/>
              <w:right w:val="single" w:sz="4" w:space="0" w:color="auto"/>
            </w:tcBorders>
            <w:shd w:val="clear" w:color="auto" w:fill="auto"/>
            <w:noWrap/>
            <w:vAlign w:val="center"/>
            <w:hideMark/>
          </w:tcPr>
          <w:p w14:paraId="6A8F84CD" w14:textId="77777777" w:rsidR="00004514" w:rsidRPr="00004514" w:rsidRDefault="00004514" w:rsidP="00004514">
            <w:pPr>
              <w:rPr>
                <w:color w:val="000000"/>
                <w:sz w:val="14"/>
                <w:szCs w:val="14"/>
                <w:lang w:eastAsia="tr-TR"/>
              </w:rPr>
            </w:pPr>
            <w:r w:rsidRPr="00311DAB">
              <w:rPr>
                <w:color w:val="000000"/>
                <w:sz w:val="14"/>
                <w:szCs w:val="14"/>
                <w:lang w:eastAsia="tr-TR"/>
              </w:rPr>
              <w:t>Diğer Kâr veya Zarar Olarak Yeniden Sınıflandırılmayacak Diğer Kapsamlı Gelir Unsurları</w:t>
            </w:r>
          </w:p>
        </w:tc>
        <w:tc>
          <w:tcPr>
            <w:tcW w:w="1687" w:type="dxa"/>
            <w:tcBorders>
              <w:top w:val="nil"/>
              <w:left w:val="single" w:sz="4" w:space="0" w:color="auto"/>
              <w:bottom w:val="nil"/>
              <w:right w:val="single" w:sz="4" w:space="0" w:color="auto"/>
            </w:tcBorders>
            <w:shd w:val="clear" w:color="auto" w:fill="auto"/>
            <w:vAlign w:val="bottom"/>
            <w:hideMark/>
          </w:tcPr>
          <w:p w14:paraId="1EE6A017" w14:textId="77777777" w:rsidR="00004514" w:rsidRPr="00004514" w:rsidRDefault="00004514" w:rsidP="00717AB5">
            <w:pPr>
              <w:jc w:val="right"/>
              <w:rPr>
                <w:sz w:val="14"/>
                <w:szCs w:val="14"/>
                <w:lang w:eastAsia="tr-TR"/>
              </w:rPr>
            </w:pPr>
            <w:r w:rsidRPr="00004514">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bottom"/>
            <w:hideMark/>
          </w:tcPr>
          <w:p w14:paraId="10985040" w14:textId="77777777" w:rsidR="00004514" w:rsidRPr="00004514" w:rsidRDefault="00004514" w:rsidP="00717AB5">
            <w:pPr>
              <w:jc w:val="right"/>
              <w:rPr>
                <w:sz w:val="14"/>
                <w:szCs w:val="14"/>
                <w:lang w:eastAsia="tr-TR"/>
              </w:rPr>
            </w:pPr>
            <w:r w:rsidRPr="00004514">
              <w:rPr>
                <w:sz w:val="14"/>
                <w:szCs w:val="14"/>
                <w:lang w:eastAsia="tr-TR"/>
              </w:rPr>
              <w:t>-</w:t>
            </w:r>
          </w:p>
        </w:tc>
      </w:tr>
      <w:tr w:rsidR="00004514" w:rsidRPr="00004514" w14:paraId="49A58947"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6C1820E9" w14:textId="77777777" w:rsidR="00004514" w:rsidRPr="00004514" w:rsidRDefault="00004514" w:rsidP="00004514">
            <w:pPr>
              <w:rPr>
                <w:color w:val="000000"/>
                <w:sz w:val="14"/>
                <w:szCs w:val="14"/>
                <w:lang w:eastAsia="tr-TR"/>
              </w:rPr>
            </w:pPr>
            <w:r w:rsidRPr="00004514">
              <w:rPr>
                <w:color w:val="000000"/>
                <w:sz w:val="14"/>
                <w:szCs w:val="14"/>
                <w:lang w:val="en-US" w:eastAsia="tr-TR"/>
              </w:rPr>
              <w:t>2.1.5</w:t>
            </w:r>
          </w:p>
        </w:tc>
        <w:tc>
          <w:tcPr>
            <w:tcW w:w="5320" w:type="dxa"/>
            <w:tcBorders>
              <w:top w:val="nil"/>
              <w:left w:val="single" w:sz="4" w:space="0" w:color="auto"/>
              <w:bottom w:val="nil"/>
              <w:right w:val="single" w:sz="4" w:space="0" w:color="auto"/>
            </w:tcBorders>
            <w:shd w:val="clear" w:color="auto" w:fill="auto"/>
            <w:noWrap/>
            <w:vAlign w:val="center"/>
            <w:hideMark/>
          </w:tcPr>
          <w:p w14:paraId="74B38CF1" w14:textId="77777777" w:rsidR="00004514" w:rsidRPr="00004514" w:rsidRDefault="00004514" w:rsidP="00004514">
            <w:pPr>
              <w:rPr>
                <w:color w:val="000000"/>
                <w:sz w:val="14"/>
                <w:szCs w:val="14"/>
                <w:lang w:eastAsia="tr-TR"/>
              </w:rPr>
            </w:pPr>
            <w:r w:rsidRPr="00311DAB">
              <w:rPr>
                <w:color w:val="000000"/>
                <w:sz w:val="14"/>
                <w:szCs w:val="14"/>
                <w:lang w:eastAsia="tr-TR"/>
              </w:rPr>
              <w:t>Kâr veya Zararda Yeniden Sınıflandırılmayacak Diğer Kapsamlı Gelire İlişkin Vergiler</w:t>
            </w:r>
          </w:p>
        </w:tc>
        <w:tc>
          <w:tcPr>
            <w:tcW w:w="1687" w:type="dxa"/>
            <w:tcBorders>
              <w:top w:val="nil"/>
              <w:left w:val="single" w:sz="4" w:space="0" w:color="auto"/>
              <w:bottom w:val="nil"/>
              <w:right w:val="single" w:sz="4" w:space="0" w:color="auto"/>
            </w:tcBorders>
            <w:shd w:val="clear" w:color="auto" w:fill="auto"/>
            <w:vAlign w:val="bottom"/>
            <w:hideMark/>
          </w:tcPr>
          <w:p w14:paraId="2732F4F6" w14:textId="77777777" w:rsidR="00004514" w:rsidRPr="00004514" w:rsidRDefault="00004514" w:rsidP="00717AB5">
            <w:pPr>
              <w:jc w:val="right"/>
              <w:rPr>
                <w:sz w:val="14"/>
                <w:szCs w:val="14"/>
                <w:lang w:eastAsia="tr-TR"/>
              </w:rPr>
            </w:pPr>
            <w:r w:rsidRPr="00004514">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bottom"/>
            <w:hideMark/>
          </w:tcPr>
          <w:p w14:paraId="68EC3B22" w14:textId="77777777" w:rsidR="00004514" w:rsidRPr="00004514" w:rsidRDefault="00004514" w:rsidP="00717AB5">
            <w:pPr>
              <w:jc w:val="right"/>
              <w:rPr>
                <w:sz w:val="14"/>
                <w:szCs w:val="14"/>
                <w:lang w:eastAsia="tr-TR"/>
              </w:rPr>
            </w:pPr>
            <w:r w:rsidRPr="00004514">
              <w:rPr>
                <w:sz w:val="14"/>
                <w:szCs w:val="14"/>
                <w:lang w:eastAsia="tr-TR"/>
              </w:rPr>
              <w:t>-</w:t>
            </w:r>
          </w:p>
        </w:tc>
      </w:tr>
      <w:tr w:rsidR="00004514" w:rsidRPr="00004514" w14:paraId="4CDABE50"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6E904148" w14:textId="77777777" w:rsidR="00004514" w:rsidRPr="00004514" w:rsidRDefault="00004514" w:rsidP="00004514">
            <w:pPr>
              <w:rPr>
                <w:color w:val="000000"/>
                <w:sz w:val="14"/>
                <w:szCs w:val="14"/>
                <w:lang w:eastAsia="tr-TR"/>
              </w:rPr>
            </w:pPr>
            <w:r w:rsidRPr="00004514">
              <w:rPr>
                <w:color w:val="000000"/>
                <w:sz w:val="14"/>
                <w:szCs w:val="14"/>
                <w:lang w:val="en-US" w:eastAsia="tr-TR"/>
              </w:rPr>
              <w:t>2.2</w:t>
            </w:r>
          </w:p>
        </w:tc>
        <w:tc>
          <w:tcPr>
            <w:tcW w:w="5320" w:type="dxa"/>
            <w:tcBorders>
              <w:top w:val="nil"/>
              <w:left w:val="single" w:sz="4" w:space="0" w:color="auto"/>
              <w:bottom w:val="nil"/>
              <w:right w:val="single" w:sz="4" w:space="0" w:color="auto"/>
            </w:tcBorders>
            <w:shd w:val="clear" w:color="auto" w:fill="auto"/>
            <w:noWrap/>
            <w:vAlign w:val="center"/>
            <w:hideMark/>
          </w:tcPr>
          <w:p w14:paraId="2F2554DA" w14:textId="77777777" w:rsidR="00004514" w:rsidRPr="00004514" w:rsidRDefault="00004514" w:rsidP="00004514">
            <w:pPr>
              <w:rPr>
                <w:b/>
                <w:bCs/>
                <w:color w:val="000000"/>
                <w:sz w:val="14"/>
                <w:szCs w:val="14"/>
                <w:lang w:eastAsia="tr-TR"/>
              </w:rPr>
            </w:pPr>
            <w:r w:rsidRPr="00311DAB">
              <w:rPr>
                <w:b/>
                <w:bCs/>
                <w:color w:val="000000"/>
                <w:sz w:val="14"/>
                <w:szCs w:val="14"/>
                <w:lang w:eastAsia="tr-TR"/>
              </w:rPr>
              <w:t>Kâr veya Zararda Yeniden Sınıflandırılacaklar</w:t>
            </w:r>
          </w:p>
        </w:tc>
        <w:tc>
          <w:tcPr>
            <w:tcW w:w="1687" w:type="dxa"/>
            <w:tcBorders>
              <w:top w:val="nil"/>
              <w:left w:val="single" w:sz="4" w:space="0" w:color="auto"/>
              <w:bottom w:val="nil"/>
              <w:right w:val="single" w:sz="4" w:space="0" w:color="auto"/>
            </w:tcBorders>
            <w:shd w:val="clear" w:color="auto" w:fill="auto"/>
            <w:vAlign w:val="bottom"/>
            <w:hideMark/>
          </w:tcPr>
          <w:p w14:paraId="4635060A" w14:textId="62AC0826" w:rsidR="00004514" w:rsidRPr="00004514" w:rsidRDefault="00004514" w:rsidP="00717AB5">
            <w:pPr>
              <w:jc w:val="right"/>
              <w:rPr>
                <w:b/>
                <w:bCs/>
                <w:sz w:val="14"/>
                <w:szCs w:val="14"/>
                <w:lang w:eastAsia="tr-TR"/>
              </w:rPr>
            </w:pPr>
            <w:r w:rsidRPr="00004514">
              <w:rPr>
                <w:b/>
                <w:bCs/>
                <w:sz w:val="14"/>
                <w:szCs w:val="14"/>
                <w:lang w:eastAsia="tr-TR"/>
              </w:rPr>
              <w:t>(316,94</w:t>
            </w:r>
            <w:r w:rsidR="009016C5">
              <w:rPr>
                <w:b/>
                <w:bCs/>
                <w:sz w:val="14"/>
                <w:szCs w:val="14"/>
                <w:lang w:eastAsia="tr-TR"/>
              </w:rPr>
              <w:t>5</w:t>
            </w:r>
            <w:r w:rsidRPr="00004514">
              <w:rPr>
                <w:b/>
                <w:bCs/>
                <w:sz w:val="14"/>
                <w:szCs w:val="14"/>
                <w:lang w:eastAsia="tr-TR"/>
              </w:rPr>
              <w:t>)</w:t>
            </w:r>
          </w:p>
        </w:tc>
        <w:tc>
          <w:tcPr>
            <w:tcW w:w="1687" w:type="dxa"/>
            <w:tcBorders>
              <w:top w:val="nil"/>
              <w:left w:val="single" w:sz="4" w:space="0" w:color="auto"/>
              <w:bottom w:val="nil"/>
              <w:right w:val="single" w:sz="4" w:space="0" w:color="auto"/>
            </w:tcBorders>
            <w:shd w:val="clear" w:color="auto" w:fill="auto"/>
            <w:vAlign w:val="bottom"/>
            <w:hideMark/>
          </w:tcPr>
          <w:p w14:paraId="7B35751C" w14:textId="77777777" w:rsidR="00004514" w:rsidRPr="00004514" w:rsidRDefault="00004514" w:rsidP="00717AB5">
            <w:pPr>
              <w:jc w:val="right"/>
              <w:rPr>
                <w:b/>
                <w:bCs/>
                <w:sz w:val="14"/>
                <w:szCs w:val="14"/>
                <w:lang w:eastAsia="tr-TR"/>
              </w:rPr>
            </w:pPr>
            <w:r w:rsidRPr="00004514">
              <w:rPr>
                <w:b/>
                <w:bCs/>
                <w:sz w:val="14"/>
                <w:szCs w:val="14"/>
                <w:lang w:eastAsia="tr-TR"/>
              </w:rPr>
              <w:t>163,480</w:t>
            </w:r>
          </w:p>
        </w:tc>
      </w:tr>
      <w:tr w:rsidR="00004514" w:rsidRPr="00004514" w14:paraId="3BC18497"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7EC3E8BD" w14:textId="77777777" w:rsidR="00004514" w:rsidRPr="00004514" w:rsidRDefault="00004514" w:rsidP="00004514">
            <w:pPr>
              <w:rPr>
                <w:color w:val="000000"/>
                <w:sz w:val="14"/>
                <w:szCs w:val="14"/>
                <w:lang w:eastAsia="tr-TR"/>
              </w:rPr>
            </w:pPr>
            <w:r w:rsidRPr="00004514">
              <w:rPr>
                <w:color w:val="000000"/>
                <w:sz w:val="14"/>
                <w:szCs w:val="14"/>
                <w:lang w:val="en-US" w:eastAsia="tr-TR"/>
              </w:rPr>
              <w:t>2.2.1</w:t>
            </w:r>
          </w:p>
        </w:tc>
        <w:tc>
          <w:tcPr>
            <w:tcW w:w="5320" w:type="dxa"/>
            <w:tcBorders>
              <w:top w:val="nil"/>
              <w:left w:val="single" w:sz="4" w:space="0" w:color="auto"/>
              <w:bottom w:val="nil"/>
              <w:right w:val="single" w:sz="4" w:space="0" w:color="auto"/>
            </w:tcBorders>
            <w:shd w:val="clear" w:color="auto" w:fill="auto"/>
            <w:noWrap/>
            <w:vAlign w:val="center"/>
            <w:hideMark/>
          </w:tcPr>
          <w:p w14:paraId="3CC48728" w14:textId="77777777" w:rsidR="00004514" w:rsidRPr="00004514" w:rsidRDefault="00004514" w:rsidP="00004514">
            <w:pPr>
              <w:rPr>
                <w:color w:val="000000"/>
                <w:sz w:val="14"/>
                <w:szCs w:val="14"/>
                <w:lang w:eastAsia="tr-TR"/>
              </w:rPr>
            </w:pPr>
            <w:proofErr w:type="spellStart"/>
            <w:r w:rsidRPr="00004514">
              <w:rPr>
                <w:color w:val="000000"/>
                <w:sz w:val="14"/>
                <w:szCs w:val="14"/>
                <w:lang w:val="en-US" w:eastAsia="tr-TR"/>
              </w:rPr>
              <w:t>Yabancı</w:t>
            </w:r>
            <w:proofErr w:type="spellEnd"/>
            <w:r w:rsidRPr="00004514">
              <w:rPr>
                <w:color w:val="000000"/>
                <w:sz w:val="14"/>
                <w:szCs w:val="14"/>
                <w:lang w:val="en-US" w:eastAsia="tr-TR"/>
              </w:rPr>
              <w:t xml:space="preserve"> Para </w:t>
            </w:r>
            <w:proofErr w:type="spellStart"/>
            <w:r w:rsidRPr="00004514">
              <w:rPr>
                <w:color w:val="000000"/>
                <w:sz w:val="14"/>
                <w:szCs w:val="14"/>
                <w:lang w:val="en-US" w:eastAsia="tr-TR"/>
              </w:rPr>
              <w:t>Çevirim</w:t>
            </w:r>
            <w:proofErr w:type="spellEnd"/>
            <w:r w:rsidRPr="00004514">
              <w:rPr>
                <w:color w:val="000000"/>
                <w:sz w:val="14"/>
                <w:szCs w:val="14"/>
                <w:lang w:val="en-US" w:eastAsia="tr-TR"/>
              </w:rPr>
              <w:t xml:space="preserve"> </w:t>
            </w:r>
            <w:proofErr w:type="spellStart"/>
            <w:r w:rsidRPr="00004514">
              <w:rPr>
                <w:color w:val="000000"/>
                <w:sz w:val="14"/>
                <w:szCs w:val="14"/>
                <w:lang w:val="en-US" w:eastAsia="tr-TR"/>
              </w:rPr>
              <w:t>Farkları</w:t>
            </w:r>
            <w:proofErr w:type="spellEnd"/>
          </w:p>
        </w:tc>
        <w:tc>
          <w:tcPr>
            <w:tcW w:w="1687" w:type="dxa"/>
            <w:tcBorders>
              <w:top w:val="nil"/>
              <w:left w:val="single" w:sz="4" w:space="0" w:color="auto"/>
              <w:bottom w:val="nil"/>
              <w:right w:val="single" w:sz="4" w:space="0" w:color="auto"/>
            </w:tcBorders>
            <w:shd w:val="clear" w:color="auto" w:fill="auto"/>
            <w:vAlign w:val="bottom"/>
            <w:hideMark/>
          </w:tcPr>
          <w:p w14:paraId="5A81E3F8" w14:textId="77777777" w:rsidR="00004514" w:rsidRPr="00004514" w:rsidRDefault="00004514" w:rsidP="00717AB5">
            <w:pPr>
              <w:jc w:val="right"/>
              <w:rPr>
                <w:sz w:val="14"/>
                <w:szCs w:val="14"/>
                <w:lang w:eastAsia="tr-TR"/>
              </w:rPr>
            </w:pPr>
            <w:r w:rsidRPr="00004514">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bottom"/>
            <w:hideMark/>
          </w:tcPr>
          <w:p w14:paraId="44138426" w14:textId="77777777" w:rsidR="00004514" w:rsidRPr="00004514" w:rsidRDefault="00004514" w:rsidP="00717AB5">
            <w:pPr>
              <w:jc w:val="right"/>
              <w:rPr>
                <w:sz w:val="14"/>
                <w:szCs w:val="14"/>
                <w:lang w:eastAsia="tr-TR"/>
              </w:rPr>
            </w:pPr>
            <w:r w:rsidRPr="00004514">
              <w:rPr>
                <w:sz w:val="14"/>
                <w:szCs w:val="14"/>
                <w:lang w:eastAsia="tr-TR"/>
              </w:rPr>
              <w:t>-</w:t>
            </w:r>
          </w:p>
        </w:tc>
      </w:tr>
      <w:tr w:rsidR="00004514" w:rsidRPr="00004514" w14:paraId="1AC54C67"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0A086615" w14:textId="77777777" w:rsidR="00004514" w:rsidRPr="00004514" w:rsidRDefault="00004514" w:rsidP="00004514">
            <w:pPr>
              <w:rPr>
                <w:color w:val="000000"/>
                <w:sz w:val="14"/>
                <w:szCs w:val="14"/>
                <w:lang w:eastAsia="tr-TR"/>
              </w:rPr>
            </w:pPr>
            <w:r w:rsidRPr="00004514">
              <w:rPr>
                <w:color w:val="000000"/>
                <w:sz w:val="14"/>
                <w:szCs w:val="14"/>
                <w:lang w:val="en-US" w:eastAsia="tr-TR"/>
              </w:rPr>
              <w:t>2.2.2</w:t>
            </w:r>
          </w:p>
        </w:tc>
        <w:tc>
          <w:tcPr>
            <w:tcW w:w="5320" w:type="dxa"/>
            <w:tcBorders>
              <w:top w:val="nil"/>
              <w:left w:val="single" w:sz="4" w:space="0" w:color="auto"/>
              <w:bottom w:val="nil"/>
              <w:right w:val="single" w:sz="4" w:space="0" w:color="auto"/>
            </w:tcBorders>
            <w:shd w:val="clear" w:color="auto" w:fill="auto"/>
            <w:vAlign w:val="center"/>
            <w:hideMark/>
          </w:tcPr>
          <w:p w14:paraId="7F40E334" w14:textId="77777777" w:rsidR="00004514" w:rsidRPr="00004514" w:rsidRDefault="00004514" w:rsidP="00004514">
            <w:pPr>
              <w:rPr>
                <w:color w:val="000000"/>
                <w:sz w:val="14"/>
                <w:szCs w:val="14"/>
                <w:lang w:eastAsia="tr-TR"/>
              </w:rPr>
            </w:pPr>
            <w:r w:rsidRPr="00311DAB">
              <w:rPr>
                <w:color w:val="000000"/>
                <w:sz w:val="14"/>
                <w:szCs w:val="14"/>
                <w:lang w:eastAsia="tr-TR"/>
              </w:rPr>
              <w:t>Gerçeğe Uygun Değer Farkı Diğer Kapsamlı Gelire Yansıtılan Finansal Varlıkların Değerleme ve/veya Sınıflandırma Gelirleri/Giderleri</w:t>
            </w:r>
          </w:p>
        </w:tc>
        <w:tc>
          <w:tcPr>
            <w:tcW w:w="1687" w:type="dxa"/>
            <w:tcBorders>
              <w:top w:val="nil"/>
              <w:left w:val="single" w:sz="4" w:space="0" w:color="auto"/>
              <w:bottom w:val="nil"/>
              <w:right w:val="single" w:sz="4" w:space="0" w:color="auto"/>
            </w:tcBorders>
            <w:shd w:val="clear" w:color="auto" w:fill="auto"/>
            <w:vAlign w:val="bottom"/>
            <w:hideMark/>
          </w:tcPr>
          <w:p w14:paraId="77594F34" w14:textId="7350AB3F" w:rsidR="00004514" w:rsidRPr="00004514" w:rsidRDefault="00004514" w:rsidP="00717AB5">
            <w:pPr>
              <w:jc w:val="right"/>
              <w:rPr>
                <w:sz w:val="14"/>
                <w:szCs w:val="14"/>
                <w:lang w:eastAsia="tr-TR"/>
              </w:rPr>
            </w:pPr>
            <w:r w:rsidRPr="00004514">
              <w:rPr>
                <w:sz w:val="14"/>
                <w:szCs w:val="14"/>
                <w:lang w:eastAsia="tr-TR"/>
              </w:rPr>
              <w:t>(415,</w:t>
            </w:r>
            <w:r w:rsidR="00307B57" w:rsidRPr="00004514">
              <w:rPr>
                <w:sz w:val="14"/>
                <w:szCs w:val="14"/>
                <w:lang w:eastAsia="tr-TR"/>
              </w:rPr>
              <w:t>68</w:t>
            </w:r>
            <w:r w:rsidR="009016C5">
              <w:rPr>
                <w:sz w:val="14"/>
                <w:szCs w:val="14"/>
                <w:lang w:eastAsia="tr-TR"/>
              </w:rPr>
              <w:t>0</w:t>
            </w:r>
            <w:r w:rsidRPr="00004514">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bottom"/>
            <w:hideMark/>
          </w:tcPr>
          <w:p w14:paraId="38406DE9" w14:textId="77777777" w:rsidR="00004514" w:rsidRPr="00004514" w:rsidRDefault="00004514" w:rsidP="00717AB5">
            <w:pPr>
              <w:jc w:val="right"/>
              <w:rPr>
                <w:sz w:val="14"/>
                <w:szCs w:val="14"/>
                <w:lang w:eastAsia="tr-TR"/>
              </w:rPr>
            </w:pPr>
            <w:r w:rsidRPr="00004514">
              <w:rPr>
                <w:sz w:val="14"/>
                <w:szCs w:val="14"/>
                <w:lang w:eastAsia="tr-TR"/>
              </w:rPr>
              <w:t>229,373</w:t>
            </w:r>
          </w:p>
        </w:tc>
      </w:tr>
      <w:tr w:rsidR="00004514" w:rsidRPr="00004514" w14:paraId="21EEFA36"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1E10CD35" w14:textId="77777777" w:rsidR="00004514" w:rsidRPr="00004514" w:rsidRDefault="00004514" w:rsidP="00004514">
            <w:pPr>
              <w:rPr>
                <w:color w:val="000000"/>
                <w:sz w:val="14"/>
                <w:szCs w:val="14"/>
                <w:lang w:eastAsia="tr-TR"/>
              </w:rPr>
            </w:pPr>
            <w:r w:rsidRPr="00004514">
              <w:rPr>
                <w:color w:val="000000"/>
                <w:sz w:val="14"/>
                <w:szCs w:val="14"/>
                <w:lang w:val="en-US" w:eastAsia="tr-TR"/>
              </w:rPr>
              <w:t>2.2.3</w:t>
            </w:r>
          </w:p>
        </w:tc>
        <w:tc>
          <w:tcPr>
            <w:tcW w:w="5320" w:type="dxa"/>
            <w:tcBorders>
              <w:top w:val="nil"/>
              <w:left w:val="single" w:sz="4" w:space="0" w:color="auto"/>
              <w:bottom w:val="nil"/>
              <w:right w:val="single" w:sz="4" w:space="0" w:color="auto"/>
            </w:tcBorders>
            <w:shd w:val="clear" w:color="auto" w:fill="auto"/>
            <w:noWrap/>
            <w:vAlign w:val="center"/>
            <w:hideMark/>
          </w:tcPr>
          <w:p w14:paraId="059D302A" w14:textId="77777777" w:rsidR="00004514" w:rsidRPr="00004514" w:rsidRDefault="00004514" w:rsidP="00004514">
            <w:pPr>
              <w:rPr>
                <w:color w:val="000000"/>
                <w:sz w:val="14"/>
                <w:szCs w:val="14"/>
                <w:lang w:eastAsia="tr-TR"/>
              </w:rPr>
            </w:pPr>
            <w:proofErr w:type="spellStart"/>
            <w:r w:rsidRPr="00004514">
              <w:rPr>
                <w:color w:val="000000"/>
                <w:sz w:val="14"/>
                <w:szCs w:val="14"/>
                <w:lang w:val="en-US" w:eastAsia="tr-TR"/>
              </w:rPr>
              <w:t>Nakit</w:t>
            </w:r>
            <w:proofErr w:type="spellEnd"/>
            <w:r w:rsidRPr="00004514">
              <w:rPr>
                <w:color w:val="000000"/>
                <w:sz w:val="14"/>
                <w:szCs w:val="14"/>
                <w:lang w:val="en-US" w:eastAsia="tr-TR"/>
              </w:rPr>
              <w:t xml:space="preserve"> </w:t>
            </w:r>
            <w:proofErr w:type="spellStart"/>
            <w:r w:rsidRPr="00004514">
              <w:rPr>
                <w:color w:val="000000"/>
                <w:sz w:val="14"/>
                <w:szCs w:val="14"/>
                <w:lang w:val="en-US" w:eastAsia="tr-TR"/>
              </w:rPr>
              <w:t>Akış</w:t>
            </w:r>
            <w:proofErr w:type="spellEnd"/>
            <w:r w:rsidRPr="00004514">
              <w:rPr>
                <w:color w:val="000000"/>
                <w:sz w:val="14"/>
                <w:szCs w:val="14"/>
                <w:lang w:val="en-US" w:eastAsia="tr-TR"/>
              </w:rPr>
              <w:t xml:space="preserve"> </w:t>
            </w:r>
            <w:proofErr w:type="spellStart"/>
            <w:r w:rsidRPr="00004514">
              <w:rPr>
                <w:color w:val="000000"/>
                <w:sz w:val="14"/>
                <w:szCs w:val="14"/>
                <w:lang w:val="en-US" w:eastAsia="tr-TR"/>
              </w:rPr>
              <w:t>Riskinden</w:t>
            </w:r>
            <w:proofErr w:type="spellEnd"/>
            <w:r w:rsidRPr="00004514">
              <w:rPr>
                <w:color w:val="000000"/>
                <w:sz w:val="14"/>
                <w:szCs w:val="14"/>
                <w:lang w:val="en-US" w:eastAsia="tr-TR"/>
              </w:rPr>
              <w:t xml:space="preserve"> </w:t>
            </w:r>
            <w:proofErr w:type="spellStart"/>
            <w:r w:rsidRPr="00004514">
              <w:rPr>
                <w:color w:val="000000"/>
                <w:sz w:val="14"/>
                <w:szCs w:val="14"/>
                <w:lang w:val="en-US" w:eastAsia="tr-TR"/>
              </w:rPr>
              <w:t>Korunma</w:t>
            </w:r>
            <w:proofErr w:type="spellEnd"/>
            <w:r w:rsidRPr="00004514">
              <w:rPr>
                <w:color w:val="000000"/>
                <w:sz w:val="14"/>
                <w:szCs w:val="14"/>
                <w:lang w:val="en-US" w:eastAsia="tr-TR"/>
              </w:rPr>
              <w:t xml:space="preserve"> </w:t>
            </w:r>
            <w:proofErr w:type="spellStart"/>
            <w:r w:rsidRPr="00004514">
              <w:rPr>
                <w:color w:val="000000"/>
                <w:sz w:val="14"/>
                <w:szCs w:val="14"/>
                <w:lang w:val="en-US" w:eastAsia="tr-TR"/>
              </w:rPr>
              <w:t>Gelirleri</w:t>
            </w:r>
            <w:proofErr w:type="spellEnd"/>
            <w:r w:rsidRPr="00004514">
              <w:rPr>
                <w:color w:val="000000"/>
                <w:sz w:val="14"/>
                <w:szCs w:val="14"/>
                <w:lang w:val="en-US" w:eastAsia="tr-TR"/>
              </w:rPr>
              <w:t>/</w:t>
            </w:r>
            <w:proofErr w:type="spellStart"/>
            <w:r w:rsidRPr="00004514">
              <w:rPr>
                <w:color w:val="000000"/>
                <w:sz w:val="14"/>
                <w:szCs w:val="14"/>
                <w:lang w:val="en-US" w:eastAsia="tr-TR"/>
              </w:rPr>
              <w:t>Giderleri</w:t>
            </w:r>
            <w:proofErr w:type="spellEnd"/>
          </w:p>
        </w:tc>
        <w:tc>
          <w:tcPr>
            <w:tcW w:w="1687" w:type="dxa"/>
            <w:tcBorders>
              <w:top w:val="nil"/>
              <w:left w:val="single" w:sz="4" w:space="0" w:color="auto"/>
              <w:bottom w:val="nil"/>
              <w:right w:val="single" w:sz="4" w:space="0" w:color="auto"/>
            </w:tcBorders>
            <w:shd w:val="clear" w:color="auto" w:fill="auto"/>
            <w:vAlign w:val="bottom"/>
            <w:hideMark/>
          </w:tcPr>
          <w:p w14:paraId="7A4D80CA" w14:textId="106019B7" w:rsidR="00004514" w:rsidRPr="00004514" w:rsidRDefault="00004514" w:rsidP="00717AB5">
            <w:pPr>
              <w:jc w:val="right"/>
              <w:rPr>
                <w:sz w:val="14"/>
                <w:szCs w:val="14"/>
                <w:lang w:eastAsia="tr-TR"/>
              </w:rPr>
            </w:pPr>
            <w:r w:rsidRPr="00004514">
              <w:rPr>
                <w:sz w:val="14"/>
                <w:szCs w:val="14"/>
                <w:lang w:eastAsia="tr-TR"/>
              </w:rPr>
              <w:t>11,51</w:t>
            </w:r>
            <w:r w:rsidR="009016C5">
              <w:rPr>
                <w:sz w:val="14"/>
                <w:szCs w:val="14"/>
                <w:lang w:eastAsia="tr-TR"/>
              </w:rPr>
              <w:t>2</w:t>
            </w:r>
          </w:p>
        </w:tc>
        <w:tc>
          <w:tcPr>
            <w:tcW w:w="1687" w:type="dxa"/>
            <w:tcBorders>
              <w:top w:val="nil"/>
              <w:left w:val="single" w:sz="4" w:space="0" w:color="auto"/>
              <w:bottom w:val="nil"/>
              <w:right w:val="single" w:sz="4" w:space="0" w:color="auto"/>
            </w:tcBorders>
            <w:shd w:val="clear" w:color="auto" w:fill="auto"/>
            <w:vAlign w:val="bottom"/>
            <w:hideMark/>
          </w:tcPr>
          <w:p w14:paraId="0A52B4CE" w14:textId="77777777" w:rsidR="00004514" w:rsidRPr="00004514" w:rsidRDefault="00004514" w:rsidP="00717AB5">
            <w:pPr>
              <w:jc w:val="right"/>
              <w:rPr>
                <w:sz w:val="14"/>
                <w:szCs w:val="14"/>
                <w:lang w:eastAsia="tr-TR"/>
              </w:rPr>
            </w:pPr>
            <w:r w:rsidRPr="00004514">
              <w:rPr>
                <w:sz w:val="14"/>
                <w:szCs w:val="14"/>
                <w:lang w:eastAsia="tr-TR"/>
              </w:rPr>
              <w:t>(16,994)</w:t>
            </w:r>
          </w:p>
        </w:tc>
      </w:tr>
      <w:tr w:rsidR="00004514" w:rsidRPr="00004514" w14:paraId="339E5434"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6801A602" w14:textId="77777777" w:rsidR="00004514" w:rsidRPr="00004514" w:rsidRDefault="00004514" w:rsidP="00004514">
            <w:pPr>
              <w:rPr>
                <w:color w:val="000000"/>
                <w:sz w:val="14"/>
                <w:szCs w:val="14"/>
                <w:lang w:eastAsia="tr-TR"/>
              </w:rPr>
            </w:pPr>
            <w:r w:rsidRPr="00004514">
              <w:rPr>
                <w:color w:val="000000"/>
                <w:sz w:val="14"/>
                <w:szCs w:val="14"/>
                <w:lang w:val="en-US" w:eastAsia="tr-TR"/>
              </w:rPr>
              <w:t>2.2.4</w:t>
            </w:r>
          </w:p>
        </w:tc>
        <w:tc>
          <w:tcPr>
            <w:tcW w:w="5320" w:type="dxa"/>
            <w:tcBorders>
              <w:top w:val="nil"/>
              <w:left w:val="single" w:sz="4" w:space="0" w:color="auto"/>
              <w:bottom w:val="nil"/>
              <w:right w:val="single" w:sz="4" w:space="0" w:color="auto"/>
            </w:tcBorders>
            <w:shd w:val="clear" w:color="auto" w:fill="auto"/>
            <w:noWrap/>
            <w:vAlign w:val="center"/>
            <w:hideMark/>
          </w:tcPr>
          <w:p w14:paraId="224A8401" w14:textId="77777777" w:rsidR="00004514" w:rsidRPr="00004514" w:rsidRDefault="00004514" w:rsidP="00004514">
            <w:pPr>
              <w:rPr>
                <w:color w:val="000000"/>
                <w:sz w:val="14"/>
                <w:szCs w:val="14"/>
                <w:lang w:eastAsia="tr-TR"/>
              </w:rPr>
            </w:pPr>
            <w:r w:rsidRPr="00311DAB">
              <w:rPr>
                <w:color w:val="000000"/>
                <w:sz w:val="14"/>
                <w:szCs w:val="14"/>
                <w:lang w:eastAsia="tr-TR"/>
              </w:rPr>
              <w:t>Yurtdışındaki İşletmeye İlişkin Yatırım Riskinden Korunma Gelirleri/Giderleri</w:t>
            </w:r>
          </w:p>
        </w:tc>
        <w:tc>
          <w:tcPr>
            <w:tcW w:w="1687" w:type="dxa"/>
            <w:tcBorders>
              <w:top w:val="nil"/>
              <w:left w:val="single" w:sz="4" w:space="0" w:color="auto"/>
              <w:bottom w:val="nil"/>
              <w:right w:val="single" w:sz="4" w:space="0" w:color="auto"/>
            </w:tcBorders>
            <w:shd w:val="clear" w:color="auto" w:fill="auto"/>
            <w:vAlign w:val="bottom"/>
            <w:hideMark/>
          </w:tcPr>
          <w:p w14:paraId="1FB6D5B5" w14:textId="77777777" w:rsidR="00004514" w:rsidRPr="00004514" w:rsidRDefault="00004514" w:rsidP="00717AB5">
            <w:pPr>
              <w:jc w:val="right"/>
              <w:rPr>
                <w:sz w:val="14"/>
                <w:szCs w:val="14"/>
                <w:lang w:eastAsia="tr-TR"/>
              </w:rPr>
            </w:pPr>
            <w:r w:rsidRPr="00004514">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bottom"/>
            <w:hideMark/>
          </w:tcPr>
          <w:p w14:paraId="44315533" w14:textId="77777777" w:rsidR="00004514" w:rsidRPr="00004514" w:rsidRDefault="00004514" w:rsidP="00717AB5">
            <w:pPr>
              <w:jc w:val="right"/>
              <w:rPr>
                <w:sz w:val="14"/>
                <w:szCs w:val="14"/>
                <w:lang w:eastAsia="tr-TR"/>
              </w:rPr>
            </w:pPr>
            <w:r w:rsidRPr="00004514">
              <w:rPr>
                <w:sz w:val="14"/>
                <w:szCs w:val="14"/>
                <w:lang w:eastAsia="tr-TR"/>
              </w:rPr>
              <w:t>-</w:t>
            </w:r>
          </w:p>
        </w:tc>
      </w:tr>
      <w:tr w:rsidR="00004514" w:rsidRPr="00004514" w14:paraId="016255F9" w14:textId="77777777" w:rsidTr="00717AB5">
        <w:trPr>
          <w:divId w:val="556432333"/>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5C111E17" w14:textId="77777777" w:rsidR="00004514" w:rsidRPr="00004514" w:rsidRDefault="00004514" w:rsidP="00004514">
            <w:pPr>
              <w:rPr>
                <w:color w:val="000000"/>
                <w:sz w:val="14"/>
                <w:szCs w:val="14"/>
                <w:lang w:eastAsia="tr-TR"/>
              </w:rPr>
            </w:pPr>
            <w:r w:rsidRPr="00004514">
              <w:rPr>
                <w:color w:val="000000"/>
                <w:sz w:val="14"/>
                <w:szCs w:val="14"/>
                <w:lang w:val="en-US" w:eastAsia="tr-TR"/>
              </w:rPr>
              <w:t>2.2.5</w:t>
            </w:r>
          </w:p>
        </w:tc>
        <w:tc>
          <w:tcPr>
            <w:tcW w:w="5320" w:type="dxa"/>
            <w:tcBorders>
              <w:top w:val="nil"/>
              <w:left w:val="single" w:sz="4" w:space="0" w:color="auto"/>
              <w:bottom w:val="nil"/>
              <w:right w:val="single" w:sz="4" w:space="0" w:color="auto"/>
            </w:tcBorders>
            <w:shd w:val="clear" w:color="auto" w:fill="auto"/>
            <w:noWrap/>
            <w:vAlign w:val="center"/>
            <w:hideMark/>
          </w:tcPr>
          <w:p w14:paraId="17BC31F9" w14:textId="77777777" w:rsidR="00004514" w:rsidRPr="00004514" w:rsidRDefault="00004514" w:rsidP="00004514">
            <w:pPr>
              <w:rPr>
                <w:color w:val="000000"/>
                <w:sz w:val="14"/>
                <w:szCs w:val="14"/>
                <w:lang w:eastAsia="tr-TR"/>
              </w:rPr>
            </w:pPr>
            <w:r w:rsidRPr="00311DAB">
              <w:rPr>
                <w:color w:val="000000"/>
                <w:sz w:val="14"/>
                <w:szCs w:val="14"/>
                <w:lang w:eastAsia="tr-TR"/>
              </w:rPr>
              <w:t>Diğer Kâr veya Zarar Olarak Yeniden Sınıflandırılacak Diğer Kapsamlı Gelir Unsurları</w:t>
            </w:r>
          </w:p>
        </w:tc>
        <w:tc>
          <w:tcPr>
            <w:tcW w:w="1687" w:type="dxa"/>
            <w:tcBorders>
              <w:top w:val="nil"/>
              <w:left w:val="single" w:sz="4" w:space="0" w:color="auto"/>
              <w:bottom w:val="nil"/>
              <w:right w:val="single" w:sz="4" w:space="0" w:color="auto"/>
            </w:tcBorders>
            <w:shd w:val="clear" w:color="auto" w:fill="auto"/>
            <w:vAlign w:val="bottom"/>
            <w:hideMark/>
          </w:tcPr>
          <w:p w14:paraId="29D5DA3A" w14:textId="77777777" w:rsidR="00004514" w:rsidRPr="00004514" w:rsidRDefault="00004514" w:rsidP="00717AB5">
            <w:pPr>
              <w:jc w:val="right"/>
              <w:rPr>
                <w:sz w:val="14"/>
                <w:szCs w:val="14"/>
                <w:lang w:eastAsia="tr-TR"/>
              </w:rPr>
            </w:pPr>
            <w:r w:rsidRPr="00004514">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bottom"/>
            <w:hideMark/>
          </w:tcPr>
          <w:p w14:paraId="0C21A277" w14:textId="77777777" w:rsidR="00004514" w:rsidRPr="00004514" w:rsidRDefault="00004514" w:rsidP="00717AB5">
            <w:pPr>
              <w:jc w:val="right"/>
              <w:rPr>
                <w:sz w:val="14"/>
                <w:szCs w:val="14"/>
                <w:lang w:eastAsia="tr-TR"/>
              </w:rPr>
            </w:pPr>
            <w:r w:rsidRPr="00004514">
              <w:rPr>
                <w:sz w:val="14"/>
                <w:szCs w:val="14"/>
                <w:lang w:eastAsia="tr-TR"/>
              </w:rPr>
              <w:t>-</w:t>
            </w:r>
          </w:p>
        </w:tc>
      </w:tr>
      <w:tr w:rsidR="00004514" w:rsidRPr="00004514" w14:paraId="7D4469A8" w14:textId="77777777" w:rsidTr="00717AB5">
        <w:trPr>
          <w:divId w:val="556432333"/>
          <w:trHeight w:val="284"/>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3488E16A" w14:textId="77777777" w:rsidR="00004514" w:rsidRPr="00004514" w:rsidRDefault="00004514" w:rsidP="00004514">
            <w:pPr>
              <w:rPr>
                <w:color w:val="000000"/>
                <w:sz w:val="14"/>
                <w:szCs w:val="14"/>
                <w:lang w:eastAsia="tr-TR"/>
              </w:rPr>
            </w:pPr>
            <w:r w:rsidRPr="00004514">
              <w:rPr>
                <w:color w:val="000000"/>
                <w:sz w:val="14"/>
                <w:szCs w:val="14"/>
                <w:lang w:val="en-US" w:eastAsia="tr-TR"/>
              </w:rPr>
              <w:t>2.2.6</w:t>
            </w:r>
          </w:p>
        </w:tc>
        <w:tc>
          <w:tcPr>
            <w:tcW w:w="5320" w:type="dxa"/>
            <w:tcBorders>
              <w:top w:val="nil"/>
              <w:left w:val="single" w:sz="4" w:space="0" w:color="auto"/>
              <w:bottom w:val="single" w:sz="8" w:space="0" w:color="auto"/>
              <w:right w:val="single" w:sz="4" w:space="0" w:color="auto"/>
            </w:tcBorders>
            <w:shd w:val="clear" w:color="auto" w:fill="auto"/>
            <w:noWrap/>
            <w:vAlign w:val="center"/>
            <w:hideMark/>
          </w:tcPr>
          <w:p w14:paraId="023C5C94" w14:textId="77777777" w:rsidR="00004514" w:rsidRPr="00004514" w:rsidRDefault="00004514" w:rsidP="00004514">
            <w:pPr>
              <w:rPr>
                <w:color w:val="000000"/>
                <w:sz w:val="14"/>
                <w:szCs w:val="14"/>
                <w:lang w:eastAsia="tr-TR"/>
              </w:rPr>
            </w:pPr>
            <w:r w:rsidRPr="00311DAB">
              <w:rPr>
                <w:color w:val="000000"/>
                <w:sz w:val="14"/>
                <w:szCs w:val="14"/>
                <w:lang w:eastAsia="tr-TR"/>
              </w:rPr>
              <w:t>Kâr veya Zararda Yeniden Sınıflandırılacak Diğer Kapsamlı Gelire İlişkin Vergiler</w:t>
            </w:r>
          </w:p>
        </w:tc>
        <w:tc>
          <w:tcPr>
            <w:tcW w:w="1687" w:type="dxa"/>
            <w:tcBorders>
              <w:top w:val="nil"/>
              <w:left w:val="single" w:sz="4" w:space="0" w:color="auto"/>
              <w:bottom w:val="single" w:sz="8" w:space="0" w:color="auto"/>
              <w:right w:val="single" w:sz="4" w:space="0" w:color="auto"/>
            </w:tcBorders>
            <w:shd w:val="clear" w:color="auto" w:fill="auto"/>
            <w:vAlign w:val="bottom"/>
            <w:hideMark/>
          </w:tcPr>
          <w:p w14:paraId="60B85A2A" w14:textId="77777777" w:rsidR="00004514" w:rsidRPr="00004514" w:rsidRDefault="00004514" w:rsidP="00717AB5">
            <w:pPr>
              <w:jc w:val="right"/>
              <w:rPr>
                <w:sz w:val="14"/>
                <w:szCs w:val="14"/>
                <w:lang w:eastAsia="tr-TR"/>
              </w:rPr>
            </w:pPr>
            <w:r w:rsidRPr="00004514">
              <w:rPr>
                <w:sz w:val="14"/>
                <w:szCs w:val="14"/>
                <w:lang w:eastAsia="tr-TR"/>
              </w:rPr>
              <w:t>87,223</w:t>
            </w:r>
          </w:p>
        </w:tc>
        <w:tc>
          <w:tcPr>
            <w:tcW w:w="1687" w:type="dxa"/>
            <w:tcBorders>
              <w:top w:val="nil"/>
              <w:left w:val="single" w:sz="4" w:space="0" w:color="auto"/>
              <w:bottom w:val="single" w:sz="8" w:space="0" w:color="auto"/>
              <w:right w:val="single" w:sz="4" w:space="0" w:color="auto"/>
            </w:tcBorders>
            <w:shd w:val="clear" w:color="auto" w:fill="auto"/>
            <w:vAlign w:val="bottom"/>
            <w:hideMark/>
          </w:tcPr>
          <w:p w14:paraId="1B67EEE4" w14:textId="77777777" w:rsidR="00004514" w:rsidRPr="00004514" w:rsidRDefault="00004514" w:rsidP="00717AB5">
            <w:pPr>
              <w:jc w:val="right"/>
              <w:rPr>
                <w:sz w:val="14"/>
                <w:szCs w:val="14"/>
                <w:lang w:eastAsia="tr-TR"/>
              </w:rPr>
            </w:pPr>
            <w:r w:rsidRPr="00004514">
              <w:rPr>
                <w:sz w:val="14"/>
                <w:szCs w:val="14"/>
                <w:lang w:eastAsia="tr-TR"/>
              </w:rPr>
              <w:t>(48,899)</w:t>
            </w:r>
          </w:p>
        </w:tc>
      </w:tr>
      <w:tr w:rsidR="00004514" w:rsidRPr="00004514" w14:paraId="3BB015D4" w14:textId="77777777" w:rsidTr="00717AB5">
        <w:trPr>
          <w:divId w:val="556432333"/>
          <w:trHeight w:val="284"/>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44964126" w14:textId="77777777" w:rsidR="00004514" w:rsidRPr="00004514" w:rsidRDefault="00004514" w:rsidP="00004514">
            <w:pPr>
              <w:rPr>
                <w:b/>
                <w:bCs/>
                <w:color w:val="000000"/>
                <w:sz w:val="14"/>
                <w:szCs w:val="14"/>
                <w:lang w:eastAsia="tr-TR"/>
              </w:rPr>
            </w:pPr>
            <w:r w:rsidRPr="00004514">
              <w:rPr>
                <w:b/>
                <w:bCs/>
                <w:color w:val="000000"/>
                <w:sz w:val="14"/>
                <w:szCs w:val="14"/>
                <w:lang w:val="en-US" w:eastAsia="tr-TR"/>
              </w:rPr>
              <w:t>III.</w:t>
            </w:r>
          </w:p>
        </w:tc>
        <w:tc>
          <w:tcPr>
            <w:tcW w:w="5320" w:type="dxa"/>
            <w:tcBorders>
              <w:top w:val="nil"/>
              <w:left w:val="single" w:sz="4" w:space="0" w:color="auto"/>
              <w:bottom w:val="single" w:sz="4" w:space="0" w:color="auto"/>
              <w:right w:val="single" w:sz="4" w:space="0" w:color="auto"/>
            </w:tcBorders>
            <w:shd w:val="clear" w:color="auto" w:fill="auto"/>
            <w:noWrap/>
            <w:vAlign w:val="center"/>
            <w:hideMark/>
          </w:tcPr>
          <w:p w14:paraId="534E3707" w14:textId="77777777" w:rsidR="00004514" w:rsidRPr="00004514" w:rsidRDefault="00004514" w:rsidP="00004514">
            <w:pPr>
              <w:rPr>
                <w:b/>
                <w:bCs/>
                <w:color w:val="000000"/>
                <w:sz w:val="14"/>
                <w:szCs w:val="14"/>
                <w:lang w:eastAsia="tr-TR"/>
              </w:rPr>
            </w:pPr>
            <w:r w:rsidRPr="00004514">
              <w:rPr>
                <w:b/>
                <w:bCs/>
                <w:color w:val="000000"/>
                <w:sz w:val="14"/>
                <w:szCs w:val="14"/>
                <w:lang w:val="en-US" w:eastAsia="tr-TR"/>
              </w:rPr>
              <w:t>TOPLAM KAPSAMLI GELİR (I+II)</w:t>
            </w:r>
          </w:p>
        </w:tc>
        <w:tc>
          <w:tcPr>
            <w:tcW w:w="1687" w:type="dxa"/>
            <w:tcBorders>
              <w:top w:val="nil"/>
              <w:left w:val="single" w:sz="4" w:space="0" w:color="auto"/>
              <w:bottom w:val="single" w:sz="4" w:space="0" w:color="auto"/>
              <w:right w:val="single" w:sz="4" w:space="0" w:color="auto"/>
            </w:tcBorders>
            <w:shd w:val="clear" w:color="auto" w:fill="auto"/>
            <w:vAlign w:val="bottom"/>
            <w:hideMark/>
          </w:tcPr>
          <w:p w14:paraId="7AA1FAC8" w14:textId="77777777" w:rsidR="00004514" w:rsidRPr="00004514" w:rsidRDefault="00004514" w:rsidP="00717AB5">
            <w:pPr>
              <w:jc w:val="right"/>
              <w:rPr>
                <w:b/>
                <w:bCs/>
                <w:sz w:val="14"/>
                <w:szCs w:val="14"/>
                <w:lang w:eastAsia="tr-TR"/>
              </w:rPr>
            </w:pPr>
            <w:r w:rsidRPr="00004514">
              <w:rPr>
                <w:b/>
                <w:bCs/>
                <w:sz w:val="14"/>
                <w:szCs w:val="14"/>
                <w:lang w:eastAsia="tr-TR"/>
              </w:rPr>
              <w:t>719,111</w:t>
            </w:r>
          </w:p>
        </w:tc>
        <w:tc>
          <w:tcPr>
            <w:tcW w:w="1687" w:type="dxa"/>
            <w:tcBorders>
              <w:top w:val="nil"/>
              <w:left w:val="single" w:sz="4" w:space="0" w:color="auto"/>
              <w:bottom w:val="single" w:sz="4" w:space="0" w:color="auto"/>
              <w:right w:val="single" w:sz="4" w:space="0" w:color="auto"/>
            </w:tcBorders>
            <w:shd w:val="clear" w:color="auto" w:fill="auto"/>
            <w:vAlign w:val="bottom"/>
            <w:hideMark/>
          </w:tcPr>
          <w:p w14:paraId="331EB26F" w14:textId="77777777" w:rsidR="00004514" w:rsidRPr="00004514" w:rsidRDefault="00004514" w:rsidP="00717AB5">
            <w:pPr>
              <w:jc w:val="right"/>
              <w:rPr>
                <w:b/>
                <w:bCs/>
                <w:sz w:val="14"/>
                <w:szCs w:val="14"/>
                <w:lang w:eastAsia="tr-TR"/>
              </w:rPr>
            </w:pPr>
            <w:r w:rsidRPr="00004514">
              <w:rPr>
                <w:b/>
                <w:bCs/>
                <w:sz w:val="14"/>
                <w:szCs w:val="14"/>
                <w:lang w:eastAsia="tr-TR"/>
              </w:rPr>
              <w:t>940,976</w:t>
            </w:r>
          </w:p>
        </w:tc>
      </w:tr>
    </w:tbl>
    <w:p w14:paraId="36452BBE" w14:textId="3531BB75" w:rsidR="00303901" w:rsidRPr="00270CE6" w:rsidRDefault="00303901" w:rsidP="00376680">
      <w:pPr>
        <w:autoSpaceDE w:val="0"/>
        <w:autoSpaceDN w:val="0"/>
        <w:adjustRightInd w:val="0"/>
        <w:spacing w:after="60"/>
        <w:ind w:hanging="567"/>
        <w:jc w:val="both"/>
        <w:rPr>
          <w:rFonts w:eastAsia="Arial Unicode MS"/>
          <w:b/>
          <w:sz w:val="22"/>
          <w:highlight w:val="yellow"/>
        </w:rPr>
      </w:pPr>
    </w:p>
    <w:p w14:paraId="16ABE32E" w14:textId="77777777" w:rsidR="00303901" w:rsidRPr="00270CE6" w:rsidRDefault="00303901" w:rsidP="00376680">
      <w:pPr>
        <w:autoSpaceDE w:val="0"/>
        <w:autoSpaceDN w:val="0"/>
        <w:adjustRightInd w:val="0"/>
        <w:spacing w:after="60"/>
        <w:ind w:hanging="567"/>
        <w:jc w:val="both"/>
        <w:rPr>
          <w:rFonts w:eastAsia="Arial Unicode MS"/>
          <w:b/>
          <w:sz w:val="22"/>
          <w:highlight w:val="yellow"/>
        </w:rPr>
      </w:pPr>
    </w:p>
    <w:p w14:paraId="101FC457" w14:textId="26E83479" w:rsidR="00B42B9C" w:rsidRPr="00270CE6" w:rsidRDefault="00B42B9C" w:rsidP="00376680">
      <w:pPr>
        <w:autoSpaceDE w:val="0"/>
        <w:autoSpaceDN w:val="0"/>
        <w:adjustRightInd w:val="0"/>
        <w:spacing w:after="60"/>
        <w:ind w:hanging="567"/>
        <w:jc w:val="both"/>
        <w:rPr>
          <w:highlight w:val="yellow"/>
          <w:lang w:val="en-GB" w:eastAsia="en-GB"/>
        </w:rPr>
      </w:pPr>
    </w:p>
    <w:p w14:paraId="59570650" w14:textId="3EF3B80A" w:rsidR="00B42B9C" w:rsidRPr="00270CE6" w:rsidRDefault="00B42B9C" w:rsidP="00B42B9C">
      <w:pPr>
        <w:pStyle w:val="Heading2"/>
        <w:rPr>
          <w:b w:val="0"/>
          <w:bCs w:val="0"/>
          <w:sz w:val="20"/>
          <w:szCs w:val="20"/>
          <w:highlight w:val="yellow"/>
          <w:lang w:val="en-GB" w:eastAsia="en-GB"/>
        </w:rPr>
      </w:pPr>
    </w:p>
    <w:p w14:paraId="22578DD2" w14:textId="079EDFEB" w:rsidR="00B42B9C" w:rsidRPr="00270CE6" w:rsidRDefault="00B42B9C" w:rsidP="00B42B9C">
      <w:pPr>
        <w:pStyle w:val="Heading2"/>
        <w:rPr>
          <w:highlight w:val="yellow"/>
          <w:lang w:val="en-GB" w:eastAsia="en-GB"/>
        </w:rPr>
      </w:pPr>
    </w:p>
    <w:p w14:paraId="56D8D8ED" w14:textId="3CCEA5D5" w:rsidR="0038384F" w:rsidRPr="00270CE6" w:rsidRDefault="0038384F" w:rsidP="007026F4">
      <w:pPr>
        <w:autoSpaceDE w:val="0"/>
        <w:autoSpaceDN w:val="0"/>
        <w:adjustRightInd w:val="0"/>
        <w:spacing w:after="60"/>
        <w:ind w:hanging="567"/>
        <w:jc w:val="both"/>
        <w:rPr>
          <w:rFonts w:eastAsia="Arial Unicode MS"/>
          <w:b/>
          <w:sz w:val="22"/>
          <w:highlight w:val="yellow"/>
        </w:rPr>
      </w:pPr>
    </w:p>
    <w:p w14:paraId="2DEA57BB" w14:textId="39869B60"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C037C33" w14:textId="662A2CA5"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AFFA941" w14:textId="7BE3E07A"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027A4EC" w14:textId="25956420"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F2EF185" w14:textId="34699AB0"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52602C9A" w14:textId="45829BE2"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3EA3146E" w14:textId="24FF7414"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714E187" w14:textId="61297E53"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E01743" w14:textId="6A3164C8"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3F4358F" w14:textId="69CCB3EB"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D1F3E45" w14:textId="028D779F"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832B14F" w14:textId="71ACDD09"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A8870D" w14:textId="6D8AFAEC"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102F36F2" w14:textId="2C008F82" w:rsidR="00AE7B9A" w:rsidRPr="00270CE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80D3B1A" w14:textId="77777777" w:rsidR="00CC70EB" w:rsidRPr="00270CE6"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EA13819" w14:textId="77777777" w:rsidR="00CC70EB" w:rsidRPr="00270CE6"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F2073F" w14:textId="77777777" w:rsidR="00CC70EB" w:rsidRPr="00270CE6"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0CF8DF" w14:textId="2C871877" w:rsidR="00CC70EB" w:rsidRPr="00270CE6"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C25F6D" w14:textId="1CD3BC68" w:rsidR="000522D3" w:rsidRPr="00270CE6"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1EF932A" w14:textId="5EED5A45" w:rsidR="000522D3" w:rsidRPr="00270CE6"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2ACE2C2" w14:textId="4A94DCB3" w:rsidR="000522D3"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BE3AB99" w14:textId="783AEDFC" w:rsidR="00717AB5" w:rsidRDefault="00717AB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7C8E1D9" w14:textId="408CFAB4" w:rsidR="00717AB5" w:rsidRDefault="00717AB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B7AA00E" w14:textId="2A5B4308" w:rsidR="00717AB5" w:rsidRDefault="00717AB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274CD2" w14:textId="77777777" w:rsidR="00717AB5" w:rsidRPr="00270CE6" w:rsidRDefault="00717AB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B43596" w14:textId="77777777" w:rsidR="001F24CC" w:rsidRPr="00270CE6"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270CE6">
        <w:rPr>
          <w:b/>
          <w:sz w:val="14"/>
          <w:szCs w:val="14"/>
          <w:highlight w:val="yellow"/>
        </w:rPr>
        <w:t xml:space="preserve">    </w:t>
      </w:r>
    </w:p>
    <w:p w14:paraId="2908C995" w14:textId="77777777" w:rsidR="00084767" w:rsidRPr="00270CE6"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28A19589" w14:textId="77777777" w:rsidR="00084767" w:rsidRPr="00270CE6"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05D48E5C" w14:textId="77777777" w:rsidR="00084767" w:rsidRPr="00B0539F"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183A754" w14:textId="20BACFA2" w:rsidR="0038384F" w:rsidRPr="00B0539F" w:rsidRDefault="00084767" w:rsidP="00717AB5">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r w:rsidRPr="00B0539F">
        <w:rPr>
          <w:bCs/>
          <w:i/>
          <w:iCs/>
          <w:sz w:val="14"/>
          <w:szCs w:val="14"/>
        </w:rPr>
        <w:t xml:space="preserve">                                                                                 </w:t>
      </w:r>
      <w:r w:rsidR="001F24CC" w:rsidRPr="00B0539F">
        <w:rPr>
          <w:bCs/>
          <w:i/>
          <w:iCs/>
          <w:sz w:val="14"/>
          <w:szCs w:val="14"/>
        </w:rPr>
        <w:t xml:space="preserve">  İlişikteki notlar bu finansal tabloların tamamlayıcı parçalarıdır.</w:t>
      </w:r>
    </w:p>
    <w:p w14:paraId="12B7319D" w14:textId="77777777" w:rsidR="008D745E" w:rsidRPr="00B0539F" w:rsidRDefault="008D745E" w:rsidP="00134A72">
      <w:pPr>
        <w:sectPr w:rsidR="008D745E" w:rsidRPr="00B0539F" w:rsidSect="00A07E0F">
          <w:headerReference w:type="default" r:id="rId24"/>
          <w:pgSz w:w="11907" w:h="16840" w:code="9"/>
          <w:pgMar w:top="1418" w:right="1418" w:bottom="1418" w:left="1418" w:header="360" w:footer="708" w:gutter="0"/>
          <w:cols w:space="708"/>
          <w:noEndnote/>
        </w:sectPr>
      </w:pPr>
    </w:p>
    <w:p w14:paraId="18F6FD53" w14:textId="77777777" w:rsidR="00741BC7" w:rsidRPr="00004514" w:rsidRDefault="006C3524" w:rsidP="00741BC7">
      <w:pPr>
        <w:autoSpaceDE w:val="0"/>
        <w:autoSpaceDN w:val="0"/>
        <w:adjustRightInd w:val="0"/>
        <w:jc w:val="both"/>
        <w:rPr>
          <w:rFonts w:eastAsia="Arial Unicode MS"/>
          <w:b/>
          <w:sz w:val="22"/>
        </w:rPr>
      </w:pPr>
      <w:r w:rsidRPr="00004514">
        <w:rPr>
          <w:rFonts w:eastAsia="Arial Unicode MS"/>
          <w:b/>
          <w:sz w:val="22"/>
        </w:rPr>
        <w:lastRenderedPageBreak/>
        <w:t xml:space="preserve">5.          </w:t>
      </w:r>
      <w:r w:rsidR="007638D5" w:rsidRPr="00004514">
        <w:rPr>
          <w:rFonts w:eastAsia="Arial Unicode MS"/>
          <w:b/>
          <w:sz w:val="22"/>
        </w:rPr>
        <w:t>ÖZKAYNAK DEĞİŞİM TABLOSU</w:t>
      </w:r>
    </w:p>
    <w:p w14:paraId="72495D0D" w14:textId="726F8F05" w:rsidR="00F25246" w:rsidRDefault="00F25246" w:rsidP="00A81DF8">
      <w:pPr>
        <w:rPr>
          <w:lang w:val="en-GB" w:eastAsia="en-GB"/>
        </w:rPr>
      </w:pPr>
    </w:p>
    <w:tbl>
      <w:tblPr>
        <w:tblW w:w="13986" w:type="dxa"/>
        <w:tblCellMar>
          <w:left w:w="70" w:type="dxa"/>
          <w:right w:w="70" w:type="dxa"/>
        </w:tblCellMar>
        <w:tblLook w:val="04A0" w:firstRow="1" w:lastRow="0" w:firstColumn="1" w:lastColumn="0" w:noHBand="0" w:noVBand="1"/>
      </w:tblPr>
      <w:tblGrid>
        <w:gridCol w:w="419"/>
        <w:gridCol w:w="2019"/>
        <w:gridCol w:w="614"/>
        <w:gridCol w:w="727"/>
        <w:gridCol w:w="872"/>
        <w:gridCol w:w="727"/>
        <w:gridCol w:w="873"/>
        <w:gridCol w:w="581"/>
        <w:gridCol w:w="581"/>
        <w:gridCol w:w="583"/>
        <w:gridCol w:w="435"/>
        <w:gridCol w:w="727"/>
        <w:gridCol w:w="549"/>
        <w:gridCol w:w="571"/>
        <w:gridCol w:w="788"/>
        <w:gridCol w:w="727"/>
        <w:gridCol w:w="873"/>
        <w:gridCol w:w="726"/>
        <w:gridCol w:w="594"/>
      </w:tblGrid>
      <w:tr w:rsidR="00F25246" w:rsidRPr="00F25246" w14:paraId="05AB6EEC" w14:textId="77777777" w:rsidTr="00F25246">
        <w:trPr>
          <w:divId w:val="36128962"/>
          <w:trHeight w:val="3"/>
        </w:trPr>
        <w:tc>
          <w:tcPr>
            <w:tcW w:w="419"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65A47EF3" w14:textId="63E20E3E" w:rsidR="00F25246" w:rsidRPr="00F25246" w:rsidRDefault="00F25246" w:rsidP="00F25246">
            <w:pPr>
              <w:jc w:val="center"/>
              <w:rPr>
                <w:color w:val="000000"/>
                <w:lang w:eastAsia="tr-TR"/>
              </w:rPr>
            </w:pPr>
            <w:r w:rsidRPr="00F25246">
              <w:rPr>
                <w:color w:val="000000"/>
                <w:lang w:val="en-US" w:eastAsia="tr-TR"/>
              </w:rPr>
              <w:t> </w:t>
            </w:r>
          </w:p>
        </w:tc>
        <w:tc>
          <w:tcPr>
            <w:tcW w:w="2019" w:type="dxa"/>
            <w:tcBorders>
              <w:top w:val="single" w:sz="4" w:space="0" w:color="auto"/>
              <w:left w:val="nil"/>
              <w:bottom w:val="single" w:sz="4" w:space="0" w:color="auto"/>
              <w:right w:val="nil"/>
            </w:tcBorders>
            <w:shd w:val="clear" w:color="auto" w:fill="D0CECE" w:themeFill="background2" w:themeFillShade="E6"/>
            <w:noWrap/>
            <w:vAlign w:val="center"/>
            <w:hideMark/>
          </w:tcPr>
          <w:p w14:paraId="72A71DBF" w14:textId="77777777" w:rsidR="00F25246" w:rsidRPr="00F25246" w:rsidRDefault="00F25246" w:rsidP="00F25246">
            <w:pPr>
              <w:jc w:val="center"/>
              <w:rPr>
                <w:color w:val="7B7B7B" w:themeColor="accent3" w:themeShade="BF"/>
                <w:lang w:eastAsia="tr-TR"/>
              </w:rPr>
            </w:pPr>
            <w:r w:rsidRPr="00F25246">
              <w:rPr>
                <w:color w:val="7B7B7B" w:themeColor="accent3" w:themeShade="BF"/>
                <w:lang w:val="en-US" w:eastAsia="tr-TR"/>
              </w:rPr>
              <w:t> </w:t>
            </w:r>
          </w:p>
        </w:tc>
        <w:tc>
          <w:tcPr>
            <w:tcW w:w="614" w:type="dxa"/>
            <w:tcBorders>
              <w:top w:val="single" w:sz="4" w:space="0" w:color="auto"/>
              <w:left w:val="nil"/>
              <w:bottom w:val="single" w:sz="4" w:space="0" w:color="auto"/>
              <w:right w:val="nil"/>
            </w:tcBorders>
            <w:shd w:val="clear" w:color="auto" w:fill="D0CECE" w:themeFill="background2" w:themeFillShade="E6"/>
            <w:vAlign w:val="center"/>
            <w:hideMark/>
          </w:tcPr>
          <w:p w14:paraId="102D10B1" w14:textId="77777777" w:rsidR="00F25246" w:rsidRPr="00F25246" w:rsidRDefault="00F25246" w:rsidP="00F25246">
            <w:pPr>
              <w:jc w:val="right"/>
              <w:rPr>
                <w:color w:val="7B7B7B" w:themeColor="accent3" w:themeShade="BF"/>
                <w:sz w:val="10"/>
                <w:szCs w:val="10"/>
                <w:lang w:eastAsia="tr-TR"/>
              </w:rPr>
            </w:pPr>
            <w:r w:rsidRPr="00F25246">
              <w:rPr>
                <w:color w:val="7B7B7B" w:themeColor="accent3" w:themeShade="BF"/>
                <w:sz w:val="10"/>
                <w:szCs w:val="10"/>
                <w:lang w:val="en-US" w:eastAsia="tr-TR"/>
              </w:rPr>
              <w:t> </w:t>
            </w:r>
          </w:p>
        </w:tc>
        <w:tc>
          <w:tcPr>
            <w:tcW w:w="727" w:type="dxa"/>
            <w:tcBorders>
              <w:top w:val="single" w:sz="4" w:space="0" w:color="auto"/>
              <w:left w:val="nil"/>
              <w:bottom w:val="single" w:sz="4" w:space="0" w:color="auto"/>
              <w:right w:val="nil"/>
            </w:tcBorders>
            <w:shd w:val="clear" w:color="auto" w:fill="D0CECE" w:themeFill="background2" w:themeFillShade="E6"/>
            <w:noWrap/>
            <w:vAlign w:val="center"/>
            <w:hideMark/>
          </w:tcPr>
          <w:p w14:paraId="2BE603C9" w14:textId="77777777" w:rsidR="00F25246" w:rsidRPr="00F25246" w:rsidRDefault="00F25246" w:rsidP="00F25246">
            <w:pPr>
              <w:jc w:val="right"/>
              <w:rPr>
                <w:color w:val="7B7B7B" w:themeColor="accent3" w:themeShade="BF"/>
                <w:sz w:val="10"/>
                <w:szCs w:val="10"/>
                <w:lang w:eastAsia="tr-TR"/>
              </w:rPr>
            </w:pPr>
            <w:r w:rsidRPr="00F25246">
              <w:rPr>
                <w:color w:val="7B7B7B" w:themeColor="accent3" w:themeShade="BF"/>
                <w:sz w:val="10"/>
                <w:szCs w:val="10"/>
                <w:lang w:val="en-US" w:eastAsia="tr-TR"/>
              </w:rPr>
              <w:t> </w:t>
            </w:r>
          </w:p>
        </w:tc>
        <w:tc>
          <w:tcPr>
            <w:tcW w:w="872" w:type="dxa"/>
            <w:tcBorders>
              <w:top w:val="single" w:sz="4" w:space="0" w:color="auto"/>
              <w:left w:val="nil"/>
              <w:bottom w:val="single" w:sz="4" w:space="0" w:color="auto"/>
              <w:right w:val="nil"/>
            </w:tcBorders>
            <w:shd w:val="clear" w:color="auto" w:fill="D0CECE" w:themeFill="background2" w:themeFillShade="E6"/>
            <w:noWrap/>
            <w:vAlign w:val="center"/>
            <w:hideMark/>
          </w:tcPr>
          <w:p w14:paraId="322BF350" w14:textId="77777777" w:rsidR="00F25246" w:rsidRPr="00F25246" w:rsidRDefault="00F25246" w:rsidP="00F25246">
            <w:pPr>
              <w:jc w:val="right"/>
              <w:rPr>
                <w:color w:val="7B7B7B" w:themeColor="accent3" w:themeShade="BF"/>
                <w:sz w:val="10"/>
                <w:szCs w:val="10"/>
                <w:lang w:eastAsia="tr-TR"/>
              </w:rPr>
            </w:pPr>
            <w:r w:rsidRPr="00F25246">
              <w:rPr>
                <w:color w:val="7B7B7B" w:themeColor="accent3" w:themeShade="BF"/>
                <w:sz w:val="10"/>
                <w:szCs w:val="10"/>
                <w:lang w:val="en-US" w:eastAsia="tr-TR"/>
              </w:rPr>
              <w:t> </w:t>
            </w:r>
          </w:p>
        </w:tc>
        <w:tc>
          <w:tcPr>
            <w:tcW w:w="727" w:type="dxa"/>
            <w:tcBorders>
              <w:top w:val="single" w:sz="4" w:space="0" w:color="auto"/>
              <w:left w:val="nil"/>
              <w:bottom w:val="single" w:sz="4" w:space="0" w:color="auto"/>
              <w:right w:val="nil"/>
            </w:tcBorders>
            <w:shd w:val="clear" w:color="auto" w:fill="D0CECE" w:themeFill="background2" w:themeFillShade="E6"/>
            <w:noWrap/>
            <w:vAlign w:val="center"/>
            <w:hideMark/>
          </w:tcPr>
          <w:p w14:paraId="5B220DDE" w14:textId="77777777" w:rsidR="00F25246" w:rsidRPr="00F25246" w:rsidRDefault="00F25246" w:rsidP="00F25246">
            <w:pPr>
              <w:jc w:val="right"/>
              <w:rPr>
                <w:color w:val="7B7B7B" w:themeColor="accent3" w:themeShade="BF"/>
                <w:sz w:val="10"/>
                <w:szCs w:val="10"/>
                <w:lang w:eastAsia="tr-TR"/>
              </w:rPr>
            </w:pPr>
            <w:r w:rsidRPr="00F25246">
              <w:rPr>
                <w:color w:val="7B7B7B" w:themeColor="accent3" w:themeShade="BF"/>
                <w:sz w:val="10"/>
                <w:szCs w:val="10"/>
                <w:lang w:val="en-US" w:eastAsia="tr-TR"/>
              </w:rPr>
              <w:t> </w:t>
            </w:r>
          </w:p>
        </w:tc>
        <w:tc>
          <w:tcPr>
            <w:tcW w:w="873"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447AD444" w14:textId="77777777" w:rsidR="00F25246" w:rsidRPr="00F25246" w:rsidRDefault="00F25246" w:rsidP="00F25246">
            <w:pPr>
              <w:jc w:val="right"/>
              <w:rPr>
                <w:color w:val="7B7B7B" w:themeColor="accent3" w:themeShade="BF"/>
                <w:sz w:val="10"/>
                <w:szCs w:val="10"/>
                <w:lang w:eastAsia="tr-TR"/>
              </w:rPr>
            </w:pPr>
            <w:r w:rsidRPr="00F25246">
              <w:rPr>
                <w:color w:val="7B7B7B" w:themeColor="accent3" w:themeShade="BF"/>
                <w:sz w:val="10"/>
                <w:szCs w:val="10"/>
                <w:lang w:val="en-US" w:eastAsia="tr-TR"/>
              </w:rPr>
              <w:t> </w:t>
            </w: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72E0DA5" w14:textId="77777777" w:rsidR="00F25246" w:rsidRPr="00F25246" w:rsidRDefault="00F25246" w:rsidP="00F25246">
            <w:pPr>
              <w:jc w:val="right"/>
              <w:rPr>
                <w:b/>
                <w:bCs/>
                <w:color w:val="000000"/>
                <w:sz w:val="10"/>
                <w:szCs w:val="10"/>
                <w:lang w:eastAsia="tr-TR"/>
              </w:rPr>
            </w:pPr>
            <w:r w:rsidRPr="00311DAB">
              <w:rPr>
                <w:b/>
                <w:bCs/>
                <w:color w:val="000000"/>
                <w:sz w:val="10"/>
                <w:szCs w:val="10"/>
                <w:lang w:eastAsia="tr-TR"/>
              </w:rPr>
              <w:t>Kâr veya Zararda Yeniden Sınıflandırılmayacak Birikmiş Diğer Kapsamlı Gelirler ve Giderler</w:t>
            </w:r>
          </w:p>
        </w:tc>
        <w:tc>
          <w:tcPr>
            <w:tcW w:w="17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CCE3DB7" w14:textId="77777777" w:rsidR="00F25246" w:rsidRPr="00F25246" w:rsidRDefault="00F25246" w:rsidP="00F25246">
            <w:pPr>
              <w:jc w:val="right"/>
              <w:rPr>
                <w:b/>
                <w:bCs/>
                <w:color w:val="000000"/>
                <w:sz w:val="10"/>
                <w:szCs w:val="10"/>
                <w:lang w:eastAsia="tr-TR"/>
              </w:rPr>
            </w:pPr>
            <w:r w:rsidRPr="00311DAB">
              <w:rPr>
                <w:b/>
                <w:bCs/>
                <w:color w:val="000000"/>
                <w:sz w:val="10"/>
                <w:szCs w:val="10"/>
                <w:lang w:eastAsia="tr-TR"/>
              </w:rPr>
              <w:t>Kâr veya Zararda Yeniden Sınıflandırılacak Birikmiş Diğer Kapsamlı Gelirler ve Giderler</w:t>
            </w:r>
          </w:p>
        </w:tc>
        <w:tc>
          <w:tcPr>
            <w:tcW w:w="571"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0F22A053" w14:textId="77777777" w:rsidR="00F25246" w:rsidRPr="00F25246" w:rsidRDefault="00F25246" w:rsidP="00F25246">
            <w:pPr>
              <w:jc w:val="right"/>
              <w:rPr>
                <w:color w:val="000000"/>
                <w:sz w:val="10"/>
                <w:szCs w:val="10"/>
                <w:lang w:eastAsia="tr-TR"/>
              </w:rPr>
            </w:pPr>
            <w:r w:rsidRPr="00311DAB">
              <w:rPr>
                <w:color w:val="000000"/>
                <w:sz w:val="10"/>
                <w:szCs w:val="10"/>
                <w:lang w:eastAsia="tr-TR"/>
              </w:rPr>
              <w:t> </w:t>
            </w:r>
          </w:p>
        </w:tc>
        <w:tc>
          <w:tcPr>
            <w:tcW w:w="788" w:type="dxa"/>
            <w:tcBorders>
              <w:top w:val="single" w:sz="4" w:space="0" w:color="auto"/>
              <w:left w:val="nil"/>
              <w:bottom w:val="single" w:sz="4" w:space="0" w:color="auto"/>
              <w:right w:val="nil"/>
            </w:tcBorders>
            <w:shd w:val="clear" w:color="auto" w:fill="D0CECE" w:themeFill="background2" w:themeFillShade="E6"/>
            <w:noWrap/>
            <w:vAlign w:val="center"/>
            <w:hideMark/>
          </w:tcPr>
          <w:p w14:paraId="3E6D59F5" w14:textId="77777777" w:rsidR="00F25246" w:rsidRPr="00F25246" w:rsidRDefault="00F25246" w:rsidP="00F25246">
            <w:pPr>
              <w:jc w:val="right"/>
              <w:rPr>
                <w:color w:val="000000"/>
                <w:sz w:val="10"/>
                <w:szCs w:val="10"/>
                <w:lang w:eastAsia="tr-TR"/>
              </w:rPr>
            </w:pPr>
            <w:r w:rsidRPr="00311DAB">
              <w:rPr>
                <w:color w:val="000000"/>
                <w:sz w:val="10"/>
                <w:szCs w:val="10"/>
                <w:lang w:eastAsia="tr-TR"/>
              </w:rPr>
              <w:t> </w:t>
            </w:r>
          </w:p>
        </w:tc>
        <w:tc>
          <w:tcPr>
            <w:tcW w:w="727" w:type="dxa"/>
            <w:tcBorders>
              <w:top w:val="single" w:sz="4" w:space="0" w:color="auto"/>
              <w:left w:val="nil"/>
              <w:bottom w:val="single" w:sz="4" w:space="0" w:color="auto"/>
              <w:right w:val="nil"/>
            </w:tcBorders>
            <w:shd w:val="clear" w:color="auto" w:fill="D0CECE" w:themeFill="background2" w:themeFillShade="E6"/>
            <w:noWrap/>
            <w:vAlign w:val="center"/>
            <w:hideMark/>
          </w:tcPr>
          <w:p w14:paraId="0420E2A0" w14:textId="77777777" w:rsidR="00F25246" w:rsidRPr="00F25246" w:rsidRDefault="00F25246" w:rsidP="00F25246">
            <w:pPr>
              <w:jc w:val="right"/>
              <w:rPr>
                <w:color w:val="000000"/>
                <w:sz w:val="10"/>
                <w:szCs w:val="10"/>
                <w:lang w:eastAsia="tr-TR"/>
              </w:rPr>
            </w:pPr>
            <w:r w:rsidRPr="00311DAB">
              <w:rPr>
                <w:color w:val="000000"/>
                <w:sz w:val="10"/>
                <w:szCs w:val="10"/>
                <w:lang w:eastAsia="tr-TR"/>
              </w:rPr>
              <w:t> </w:t>
            </w:r>
          </w:p>
        </w:tc>
        <w:tc>
          <w:tcPr>
            <w:tcW w:w="873" w:type="dxa"/>
            <w:tcBorders>
              <w:top w:val="single" w:sz="4" w:space="0" w:color="auto"/>
              <w:left w:val="nil"/>
              <w:bottom w:val="single" w:sz="4" w:space="0" w:color="auto"/>
              <w:right w:val="nil"/>
            </w:tcBorders>
            <w:shd w:val="clear" w:color="auto" w:fill="D0CECE" w:themeFill="background2" w:themeFillShade="E6"/>
            <w:noWrap/>
            <w:vAlign w:val="center"/>
            <w:hideMark/>
          </w:tcPr>
          <w:p w14:paraId="7CA2C6B3" w14:textId="77777777" w:rsidR="00F25246" w:rsidRPr="00F25246" w:rsidRDefault="00F25246" w:rsidP="00F25246">
            <w:pPr>
              <w:jc w:val="right"/>
              <w:rPr>
                <w:color w:val="000000"/>
                <w:sz w:val="10"/>
                <w:szCs w:val="10"/>
                <w:lang w:eastAsia="tr-TR"/>
              </w:rPr>
            </w:pPr>
            <w:r w:rsidRPr="00311DAB">
              <w:rPr>
                <w:color w:val="000000"/>
                <w:sz w:val="10"/>
                <w:szCs w:val="10"/>
                <w:lang w:eastAsia="tr-TR"/>
              </w:rPr>
              <w:t> </w:t>
            </w:r>
          </w:p>
        </w:tc>
        <w:tc>
          <w:tcPr>
            <w:tcW w:w="726" w:type="dxa"/>
            <w:tcBorders>
              <w:top w:val="single" w:sz="4" w:space="0" w:color="auto"/>
              <w:left w:val="nil"/>
              <w:bottom w:val="single" w:sz="4" w:space="0" w:color="auto"/>
              <w:right w:val="nil"/>
            </w:tcBorders>
            <w:shd w:val="clear" w:color="auto" w:fill="D0CECE" w:themeFill="background2" w:themeFillShade="E6"/>
            <w:noWrap/>
            <w:vAlign w:val="center"/>
            <w:hideMark/>
          </w:tcPr>
          <w:p w14:paraId="0BADB22C" w14:textId="77777777" w:rsidR="00F25246" w:rsidRPr="00F25246" w:rsidRDefault="00F25246" w:rsidP="00F25246">
            <w:pPr>
              <w:jc w:val="right"/>
              <w:rPr>
                <w:color w:val="000000"/>
                <w:sz w:val="10"/>
                <w:szCs w:val="10"/>
                <w:lang w:eastAsia="tr-TR"/>
              </w:rPr>
            </w:pPr>
            <w:r w:rsidRPr="00311DAB">
              <w:rPr>
                <w:color w:val="000000"/>
                <w:sz w:val="10"/>
                <w:szCs w:val="10"/>
                <w:lang w:eastAsia="tr-TR"/>
              </w:rPr>
              <w:t> </w:t>
            </w:r>
          </w:p>
        </w:tc>
        <w:tc>
          <w:tcPr>
            <w:tcW w:w="594"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21990041" w14:textId="77777777" w:rsidR="00F25246" w:rsidRPr="00F25246" w:rsidRDefault="00F25246" w:rsidP="00F25246">
            <w:pPr>
              <w:jc w:val="right"/>
              <w:rPr>
                <w:color w:val="000000"/>
                <w:sz w:val="10"/>
                <w:szCs w:val="10"/>
                <w:lang w:eastAsia="tr-TR"/>
              </w:rPr>
            </w:pPr>
            <w:r w:rsidRPr="00311DAB">
              <w:rPr>
                <w:color w:val="000000"/>
                <w:sz w:val="10"/>
                <w:szCs w:val="10"/>
                <w:lang w:eastAsia="tr-TR"/>
              </w:rPr>
              <w:t> </w:t>
            </w:r>
          </w:p>
        </w:tc>
      </w:tr>
      <w:tr w:rsidR="00D42791" w:rsidRPr="00F25246" w14:paraId="28EB681B" w14:textId="77777777" w:rsidTr="009E2EF8">
        <w:trPr>
          <w:divId w:val="36128962"/>
          <w:trHeight w:val="293"/>
        </w:trPr>
        <w:tc>
          <w:tcPr>
            <w:tcW w:w="419" w:type="dxa"/>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CCAF4C8" w14:textId="77777777" w:rsidR="009E2EF8" w:rsidRPr="00F25246" w:rsidRDefault="009E2EF8" w:rsidP="00F25246">
            <w:pPr>
              <w:jc w:val="right"/>
              <w:rPr>
                <w:color w:val="000000"/>
                <w:sz w:val="10"/>
                <w:szCs w:val="10"/>
                <w:lang w:eastAsia="tr-TR"/>
              </w:rPr>
            </w:pPr>
          </w:p>
        </w:tc>
        <w:tc>
          <w:tcPr>
            <w:tcW w:w="2019" w:type="dxa"/>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11D541B" w14:textId="77777777" w:rsidR="009E2EF8" w:rsidRPr="00F25246" w:rsidRDefault="009E2EF8" w:rsidP="00F25246">
            <w:pPr>
              <w:rPr>
                <w:lang w:eastAsia="tr-TR"/>
              </w:rPr>
            </w:pPr>
          </w:p>
        </w:tc>
        <w:tc>
          <w:tcPr>
            <w:tcW w:w="614" w:type="dxa"/>
            <w:tcBorders>
              <w:top w:val="single" w:sz="4" w:space="0" w:color="auto"/>
              <w:left w:val="single" w:sz="4" w:space="0" w:color="auto"/>
              <w:right w:val="single" w:sz="4" w:space="0" w:color="auto"/>
            </w:tcBorders>
            <w:shd w:val="clear" w:color="auto" w:fill="auto"/>
            <w:vAlign w:val="center"/>
            <w:hideMark/>
          </w:tcPr>
          <w:p w14:paraId="51F37DC6" w14:textId="37E37DAD" w:rsidR="009E2EF8" w:rsidRPr="00F25246" w:rsidRDefault="009E2EF8">
            <w:pPr>
              <w:jc w:val="right"/>
              <w:rPr>
                <w:lang w:eastAsia="tr-TR"/>
              </w:rPr>
            </w:pPr>
            <w:proofErr w:type="spellStart"/>
            <w:r w:rsidRPr="00F25246">
              <w:rPr>
                <w:b/>
                <w:bCs/>
                <w:color w:val="000000"/>
                <w:sz w:val="10"/>
                <w:szCs w:val="10"/>
                <w:lang w:val="en-US" w:eastAsia="tr-TR"/>
              </w:rPr>
              <w:t>Dipnot</w:t>
            </w:r>
            <w:proofErr w:type="spellEnd"/>
          </w:p>
        </w:tc>
        <w:tc>
          <w:tcPr>
            <w:tcW w:w="727"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52CF704" w14:textId="77777777" w:rsidR="009E2EF8" w:rsidRPr="00F25246" w:rsidRDefault="009E2EF8" w:rsidP="00F25246">
            <w:pPr>
              <w:jc w:val="right"/>
              <w:rPr>
                <w:b/>
                <w:bCs/>
                <w:color w:val="000000"/>
                <w:sz w:val="10"/>
                <w:szCs w:val="10"/>
                <w:lang w:eastAsia="tr-TR"/>
              </w:rPr>
            </w:pPr>
            <w:proofErr w:type="spellStart"/>
            <w:r w:rsidRPr="00F25246">
              <w:rPr>
                <w:b/>
                <w:bCs/>
                <w:color w:val="000000"/>
                <w:sz w:val="10"/>
                <w:szCs w:val="10"/>
                <w:lang w:val="en-US" w:eastAsia="tr-TR"/>
              </w:rPr>
              <w:t>Ödenmiş</w:t>
            </w:r>
            <w:proofErr w:type="spellEnd"/>
            <w:r w:rsidRPr="00F25246">
              <w:rPr>
                <w:b/>
                <w:bCs/>
                <w:color w:val="000000"/>
                <w:sz w:val="10"/>
                <w:szCs w:val="10"/>
                <w:lang w:val="en-US" w:eastAsia="tr-TR"/>
              </w:rPr>
              <w:t xml:space="preserve"> Sermaye</w:t>
            </w:r>
          </w:p>
        </w:tc>
        <w:tc>
          <w:tcPr>
            <w:tcW w:w="872"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90CFF04" w14:textId="77777777" w:rsidR="009E2EF8" w:rsidRPr="00F25246" w:rsidRDefault="009E2EF8" w:rsidP="00F25246">
            <w:pPr>
              <w:jc w:val="right"/>
              <w:rPr>
                <w:b/>
                <w:bCs/>
                <w:color w:val="000000"/>
                <w:sz w:val="10"/>
                <w:szCs w:val="10"/>
                <w:lang w:eastAsia="tr-TR"/>
              </w:rPr>
            </w:pPr>
            <w:proofErr w:type="spellStart"/>
            <w:r w:rsidRPr="00F25246">
              <w:rPr>
                <w:b/>
                <w:bCs/>
                <w:color w:val="000000"/>
                <w:sz w:val="10"/>
                <w:szCs w:val="10"/>
                <w:lang w:val="en-US" w:eastAsia="tr-TR"/>
              </w:rPr>
              <w:t>Hisse</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Senedi</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İhraç</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Primleri</w:t>
            </w:r>
            <w:proofErr w:type="spellEnd"/>
          </w:p>
        </w:tc>
        <w:tc>
          <w:tcPr>
            <w:tcW w:w="727"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29FF685" w14:textId="77777777" w:rsidR="009E2EF8" w:rsidRPr="00F25246" w:rsidRDefault="009E2EF8" w:rsidP="00F25246">
            <w:pPr>
              <w:jc w:val="right"/>
              <w:rPr>
                <w:b/>
                <w:bCs/>
                <w:color w:val="000000"/>
                <w:sz w:val="10"/>
                <w:szCs w:val="10"/>
                <w:lang w:eastAsia="tr-TR"/>
              </w:rPr>
            </w:pPr>
            <w:proofErr w:type="spellStart"/>
            <w:r w:rsidRPr="00F25246">
              <w:rPr>
                <w:b/>
                <w:bCs/>
                <w:color w:val="000000"/>
                <w:sz w:val="10"/>
                <w:szCs w:val="10"/>
                <w:lang w:val="en-US" w:eastAsia="tr-TR"/>
              </w:rPr>
              <w:t>Hisse</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Senedi</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İptal</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Karları</w:t>
            </w:r>
            <w:proofErr w:type="spellEnd"/>
          </w:p>
        </w:tc>
        <w:tc>
          <w:tcPr>
            <w:tcW w:w="873"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DC143C0" w14:textId="77777777" w:rsidR="009E2EF8" w:rsidRPr="00F25246" w:rsidRDefault="009E2EF8" w:rsidP="00F25246">
            <w:pPr>
              <w:jc w:val="right"/>
              <w:rPr>
                <w:b/>
                <w:bCs/>
                <w:color w:val="000000"/>
                <w:sz w:val="10"/>
                <w:szCs w:val="10"/>
                <w:lang w:eastAsia="tr-TR"/>
              </w:rPr>
            </w:pPr>
            <w:proofErr w:type="spellStart"/>
            <w:r w:rsidRPr="00F25246">
              <w:rPr>
                <w:b/>
                <w:bCs/>
                <w:color w:val="000000"/>
                <w:sz w:val="10"/>
                <w:szCs w:val="10"/>
                <w:lang w:val="en-US" w:eastAsia="tr-TR"/>
              </w:rPr>
              <w:t>Diğer</w:t>
            </w:r>
            <w:proofErr w:type="spellEnd"/>
            <w:r w:rsidRPr="00F25246">
              <w:rPr>
                <w:b/>
                <w:bCs/>
                <w:color w:val="000000"/>
                <w:sz w:val="10"/>
                <w:szCs w:val="10"/>
                <w:lang w:val="en-US" w:eastAsia="tr-TR"/>
              </w:rPr>
              <w:t xml:space="preserve"> Sermaye </w:t>
            </w:r>
            <w:proofErr w:type="spellStart"/>
            <w:r w:rsidRPr="00F25246">
              <w:rPr>
                <w:b/>
                <w:bCs/>
                <w:color w:val="000000"/>
                <w:sz w:val="10"/>
                <w:szCs w:val="10"/>
                <w:lang w:val="en-US" w:eastAsia="tr-TR"/>
              </w:rPr>
              <w:t>Yedekleri</w:t>
            </w:r>
            <w:proofErr w:type="spellEnd"/>
          </w:p>
        </w:tc>
        <w:tc>
          <w:tcPr>
            <w:tcW w:w="581"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A510B44" w14:textId="77777777" w:rsidR="009E2EF8" w:rsidRPr="00F25246" w:rsidRDefault="009E2EF8" w:rsidP="00F25246">
            <w:pPr>
              <w:jc w:val="right"/>
              <w:rPr>
                <w:b/>
                <w:bCs/>
                <w:color w:val="000000"/>
                <w:sz w:val="10"/>
                <w:szCs w:val="10"/>
                <w:lang w:eastAsia="tr-TR"/>
              </w:rPr>
            </w:pPr>
            <w:r w:rsidRPr="00F25246">
              <w:rPr>
                <w:b/>
                <w:bCs/>
                <w:color w:val="000000"/>
                <w:sz w:val="10"/>
                <w:szCs w:val="10"/>
                <w:lang w:val="en-US" w:eastAsia="tr-TR"/>
              </w:rPr>
              <w:t>1</w:t>
            </w:r>
          </w:p>
        </w:tc>
        <w:tc>
          <w:tcPr>
            <w:tcW w:w="581"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22A2CE9" w14:textId="77777777" w:rsidR="009E2EF8" w:rsidRPr="00F25246" w:rsidRDefault="009E2EF8" w:rsidP="00F25246">
            <w:pPr>
              <w:jc w:val="right"/>
              <w:rPr>
                <w:b/>
                <w:bCs/>
                <w:color w:val="000000"/>
                <w:sz w:val="10"/>
                <w:szCs w:val="10"/>
                <w:lang w:eastAsia="tr-TR"/>
              </w:rPr>
            </w:pPr>
            <w:r w:rsidRPr="00F25246">
              <w:rPr>
                <w:b/>
                <w:bCs/>
                <w:color w:val="000000"/>
                <w:sz w:val="10"/>
                <w:szCs w:val="10"/>
                <w:lang w:val="en-US" w:eastAsia="tr-TR"/>
              </w:rPr>
              <w:t>2</w:t>
            </w:r>
          </w:p>
        </w:tc>
        <w:tc>
          <w:tcPr>
            <w:tcW w:w="583"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709AE33" w14:textId="77777777" w:rsidR="009E2EF8" w:rsidRPr="00F25246" w:rsidRDefault="009E2EF8" w:rsidP="00F25246">
            <w:pPr>
              <w:jc w:val="right"/>
              <w:rPr>
                <w:b/>
                <w:bCs/>
                <w:color w:val="000000"/>
                <w:sz w:val="10"/>
                <w:szCs w:val="10"/>
                <w:lang w:eastAsia="tr-TR"/>
              </w:rPr>
            </w:pPr>
            <w:r w:rsidRPr="00F25246">
              <w:rPr>
                <w:b/>
                <w:bCs/>
                <w:color w:val="000000"/>
                <w:sz w:val="10"/>
                <w:szCs w:val="10"/>
                <w:lang w:val="en-US" w:eastAsia="tr-TR"/>
              </w:rPr>
              <w:t>3</w:t>
            </w:r>
          </w:p>
        </w:tc>
        <w:tc>
          <w:tcPr>
            <w:tcW w:w="435"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96CC646" w14:textId="77777777" w:rsidR="009E2EF8" w:rsidRPr="00F25246" w:rsidRDefault="009E2EF8" w:rsidP="00F25246">
            <w:pPr>
              <w:jc w:val="right"/>
              <w:rPr>
                <w:b/>
                <w:bCs/>
                <w:color w:val="000000"/>
                <w:sz w:val="10"/>
                <w:szCs w:val="10"/>
                <w:lang w:eastAsia="tr-TR"/>
              </w:rPr>
            </w:pPr>
            <w:r w:rsidRPr="00F25246">
              <w:rPr>
                <w:b/>
                <w:bCs/>
                <w:color w:val="000000"/>
                <w:sz w:val="10"/>
                <w:szCs w:val="10"/>
                <w:lang w:val="en-US" w:eastAsia="tr-TR"/>
              </w:rPr>
              <w:t>4</w:t>
            </w:r>
          </w:p>
        </w:tc>
        <w:tc>
          <w:tcPr>
            <w:tcW w:w="727"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CFF4D0F" w14:textId="77777777" w:rsidR="009E2EF8" w:rsidRPr="00F25246" w:rsidRDefault="009E2EF8" w:rsidP="00F25246">
            <w:pPr>
              <w:jc w:val="right"/>
              <w:rPr>
                <w:b/>
                <w:bCs/>
                <w:color w:val="000000"/>
                <w:sz w:val="10"/>
                <w:szCs w:val="10"/>
                <w:lang w:eastAsia="tr-TR"/>
              </w:rPr>
            </w:pPr>
            <w:r w:rsidRPr="00F25246">
              <w:rPr>
                <w:b/>
                <w:bCs/>
                <w:color w:val="000000"/>
                <w:sz w:val="10"/>
                <w:szCs w:val="10"/>
                <w:lang w:val="en-US" w:eastAsia="tr-TR"/>
              </w:rPr>
              <w:t>5</w:t>
            </w:r>
          </w:p>
        </w:tc>
        <w:tc>
          <w:tcPr>
            <w:tcW w:w="549"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93C2C4B" w14:textId="77777777" w:rsidR="009E2EF8" w:rsidRPr="00F25246" w:rsidRDefault="009E2EF8" w:rsidP="00F25246">
            <w:pPr>
              <w:jc w:val="right"/>
              <w:rPr>
                <w:b/>
                <w:bCs/>
                <w:color w:val="000000"/>
                <w:sz w:val="10"/>
                <w:szCs w:val="10"/>
                <w:lang w:eastAsia="tr-TR"/>
              </w:rPr>
            </w:pPr>
            <w:r w:rsidRPr="00F25246">
              <w:rPr>
                <w:b/>
                <w:bCs/>
                <w:color w:val="000000"/>
                <w:sz w:val="10"/>
                <w:szCs w:val="10"/>
                <w:lang w:val="en-US" w:eastAsia="tr-TR"/>
              </w:rPr>
              <w:t>6</w:t>
            </w:r>
          </w:p>
        </w:tc>
        <w:tc>
          <w:tcPr>
            <w:tcW w:w="571"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47BE5D4" w14:textId="77777777" w:rsidR="009E2EF8" w:rsidRPr="00F25246" w:rsidRDefault="009E2EF8" w:rsidP="00F25246">
            <w:pPr>
              <w:jc w:val="right"/>
              <w:rPr>
                <w:b/>
                <w:bCs/>
                <w:color w:val="000000"/>
                <w:sz w:val="10"/>
                <w:szCs w:val="10"/>
                <w:lang w:eastAsia="tr-TR"/>
              </w:rPr>
            </w:pPr>
            <w:r w:rsidRPr="00F25246">
              <w:rPr>
                <w:b/>
                <w:bCs/>
                <w:color w:val="000000"/>
                <w:sz w:val="10"/>
                <w:szCs w:val="10"/>
                <w:lang w:val="en-US" w:eastAsia="tr-TR"/>
              </w:rPr>
              <w:t xml:space="preserve">Kar </w:t>
            </w:r>
            <w:proofErr w:type="spellStart"/>
            <w:r w:rsidRPr="00F25246">
              <w:rPr>
                <w:b/>
                <w:bCs/>
                <w:color w:val="000000"/>
                <w:sz w:val="10"/>
                <w:szCs w:val="10"/>
                <w:lang w:val="en-US" w:eastAsia="tr-TR"/>
              </w:rPr>
              <w:t>Yedekleri</w:t>
            </w:r>
            <w:proofErr w:type="spellEnd"/>
          </w:p>
        </w:tc>
        <w:tc>
          <w:tcPr>
            <w:tcW w:w="788"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02CD2C8" w14:textId="77777777" w:rsidR="009E2EF8" w:rsidRPr="00F25246" w:rsidRDefault="009E2EF8" w:rsidP="00F25246">
            <w:pPr>
              <w:jc w:val="right"/>
              <w:rPr>
                <w:b/>
                <w:bCs/>
                <w:color w:val="000000"/>
                <w:sz w:val="10"/>
                <w:szCs w:val="10"/>
                <w:lang w:eastAsia="tr-TR"/>
              </w:rPr>
            </w:pPr>
            <w:proofErr w:type="spellStart"/>
            <w:r w:rsidRPr="00F25246">
              <w:rPr>
                <w:b/>
                <w:bCs/>
                <w:color w:val="000000"/>
                <w:sz w:val="10"/>
                <w:szCs w:val="10"/>
                <w:lang w:val="en-US" w:eastAsia="tr-TR"/>
              </w:rPr>
              <w:t>Geçmiş</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Dönem</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Kârı</w:t>
            </w:r>
            <w:proofErr w:type="spellEnd"/>
            <w:r w:rsidRPr="00F25246">
              <w:rPr>
                <w:b/>
                <w:bCs/>
                <w:color w:val="000000"/>
                <w:sz w:val="10"/>
                <w:szCs w:val="10"/>
                <w:lang w:val="en-US" w:eastAsia="tr-TR"/>
              </w:rPr>
              <w:t xml:space="preserve"> / (</w:t>
            </w:r>
            <w:proofErr w:type="spellStart"/>
            <w:r w:rsidRPr="00F25246">
              <w:rPr>
                <w:b/>
                <w:bCs/>
                <w:color w:val="000000"/>
                <w:sz w:val="10"/>
                <w:szCs w:val="10"/>
                <w:lang w:val="en-US" w:eastAsia="tr-TR"/>
              </w:rPr>
              <w:t>Zararı</w:t>
            </w:r>
            <w:proofErr w:type="spellEnd"/>
            <w:r w:rsidRPr="00F25246">
              <w:rPr>
                <w:b/>
                <w:bCs/>
                <w:color w:val="000000"/>
                <w:sz w:val="10"/>
                <w:szCs w:val="10"/>
                <w:lang w:val="en-US" w:eastAsia="tr-TR"/>
              </w:rPr>
              <w:t>)</w:t>
            </w:r>
          </w:p>
        </w:tc>
        <w:tc>
          <w:tcPr>
            <w:tcW w:w="727"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29EF130" w14:textId="77777777" w:rsidR="009E2EF8" w:rsidRPr="00F25246" w:rsidRDefault="009E2EF8" w:rsidP="00F25246">
            <w:pPr>
              <w:jc w:val="right"/>
              <w:rPr>
                <w:b/>
                <w:bCs/>
                <w:color w:val="000000"/>
                <w:sz w:val="10"/>
                <w:szCs w:val="10"/>
                <w:lang w:eastAsia="tr-TR"/>
              </w:rPr>
            </w:pPr>
            <w:proofErr w:type="spellStart"/>
            <w:r w:rsidRPr="00F25246">
              <w:rPr>
                <w:b/>
                <w:bCs/>
                <w:color w:val="000000"/>
                <w:sz w:val="10"/>
                <w:szCs w:val="10"/>
                <w:lang w:val="en-US" w:eastAsia="tr-TR"/>
              </w:rPr>
              <w:t>Dönem</w:t>
            </w:r>
            <w:proofErr w:type="spellEnd"/>
            <w:r w:rsidRPr="00F25246">
              <w:rPr>
                <w:b/>
                <w:bCs/>
                <w:color w:val="000000"/>
                <w:sz w:val="10"/>
                <w:szCs w:val="10"/>
                <w:lang w:val="en-US" w:eastAsia="tr-TR"/>
              </w:rPr>
              <w:t xml:space="preserve"> Net Kar </w:t>
            </w:r>
            <w:proofErr w:type="spellStart"/>
            <w:r w:rsidRPr="00F25246">
              <w:rPr>
                <w:b/>
                <w:bCs/>
                <w:color w:val="000000"/>
                <w:sz w:val="10"/>
                <w:szCs w:val="10"/>
                <w:lang w:val="en-US" w:eastAsia="tr-TR"/>
              </w:rPr>
              <w:t>veya</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Zararı</w:t>
            </w:r>
            <w:proofErr w:type="spellEnd"/>
          </w:p>
        </w:tc>
        <w:tc>
          <w:tcPr>
            <w:tcW w:w="873"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697908F" w14:textId="77777777" w:rsidR="009E2EF8" w:rsidRPr="00F25246" w:rsidRDefault="009E2EF8" w:rsidP="00F25246">
            <w:pPr>
              <w:jc w:val="right"/>
              <w:rPr>
                <w:b/>
                <w:bCs/>
                <w:color w:val="000000"/>
                <w:sz w:val="10"/>
                <w:szCs w:val="10"/>
                <w:lang w:eastAsia="tr-TR"/>
              </w:rPr>
            </w:pPr>
            <w:r w:rsidRPr="00311DAB">
              <w:rPr>
                <w:b/>
                <w:bCs/>
                <w:color w:val="000000"/>
                <w:sz w:val="10"/>
                <w:szCs w:val="10"/>
                <w:lang w:eastAsia="tr-TR"/>
              </w:rPr>
              <w:t xml:space="preserve">Azınlık Payları Hariç Toplam </w:t>
            </w:r>
            <w:proofErr w:type="spellStart"/>
            <w:r w:rsidRPr="00311DAB">
              <w:rPr>
                <w:b/>
                <w:bCs/>
                <w:color w:val="000000"/>
                <w:sz w:val="10"/>
                <w:szCs w:val="10"/>
                <w:lang w:eastAsia="tr-TR"/>
              </w:rPr>
              <w:t>Özkaynak</w:t>
            </w:r>
            <w:proofErr w:type="spellEnd"/>
          </w:p>
        </w:tc>
        <w:tc>
          <w:tcPr>
            <w:tcW w:w="726"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F919AC9" w14:textId="77777777" w:rsidR="009E2EF8" w:rsidRPr="00F25246" w:rsidRDefault="009E2EF8" w:rsidP="00F25246">
            <w:pPr>
              <w:jc w:val="right"/>
              <w:rPr>
                <w:b/>
                <w:bCs/>
                <w:color w:val="000000"/>
                <w:sz w:val="10"/>
                <w:szCs w:val="10"/>
                <w:lang w:eastAsia="tr-TR"/>
              </w:rPr>
            </w:pPr>
            <w:proofErr w:type="spellStart"/>
            <w:r w:rsidRPr="00F25246">
              <w:rPr>
                <w:b/>
                <w:bCs/>
                <w:color w:val="000000"/>
                <w:sz w:val="10"/>
                <w:szCs w:val="10"/>
                <w:lang w:val="en-US" w:eastAsia="tr-TR"/>
              </w:rPr>
              <w:t>Azınlık</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Payları</w:t>
            </w:r>
            <w:proofErr w:type="spellEnd"/>
          </w:p>
        </w:tc>
        <w:tc>
          <w:tcPr>
            <w:tcW w:w="594"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FEBECE2" w14:textId="77777777" w:rsidR="009E2EF8" w:rsidRPr="00F25246" w:rsidRDefault="009E2EF8" w:rsidP="00F25246">
            <w:pPr>
              <w:jc w:val="right"/>
              <w:rPr>
                <w:b/>
                <w:bCs/>
                <w:color w:val="000000"/>
                <w:sz w:val="10"/>
                <w:szCs w:val="10"/>
                <w:lang w:eastAsia="tr-TR"/>
              </w:rPr>
            </w:pPr>
            <w:proofErr w:type="spellStart"/>
            <w:r w:rsidRPr="00F25246">
              <w:rPr>
                <w:b/>
                <w:bCs/>
                <w:color w:val="000000"/>
                <w:sz w:val="10"/>
                <w:szCs w:val="10"/>
                <w:lang w:val="en-US" w:eastAsia="tr-TR"/>
              </w:rPr>
              <w:t>Toplam</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Özkaynak</w:t>
            </w:r>
            <w:proofErr w:type="spellEnd"/>
          </w:p>
        </w:tc>
      </w:tr>
      <w:tr w:rsidR="00D42791" w:rsidRPr="00F25246" w14:paraId="0011D12D" w14:textId="77777777" w:rsidTr="002E368F">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546BD5D7" w14:textId="77777777" w:rsidR="00F25246" w:rsidRPr="00311DAB" w:rsidRDefault="00F25246" w:rsidP="00F25246">
            <w:pPr>
              <w:jc w:val="right"/>
              <w:rPr>
                <w:color w:val="000000"/>
                <w:sz w:val="6"/>
                <w:szCs w:val="6"/>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47F77ABD" w14:textId="77777777" w:rsidR="00F25246" w:rsidRPr="00311DAB" w:rsidRDefault="00F25246" w:rsidP="00F25246">
            <w:pPr>
              <w:jc w:val="center"/>
              <w:rPr>
                <w:sz w:val="6"/>
                <w:szCs w:val="6"/>
                <w:lang w:eastAsia="tr-TR"/>
              </w:rPr>
            </w:pPr>
          </w:p>
        </w:tc>
        <w:tc>
          <w:tcPr>
            <w:tcW w:w="614" w:type="dxa"/>
            <w:tcBorders>
              <w:top w:val="single" w:sz="8" w:space="0" w:color="auto"/>
              <w:left w:val="single" w:sz="4" w:space="0" w:color="auto"/>
              <w:bottom w:val="nil"/>
              <w:right w:val="single" w:sz="4" w:space="0" w:color="auto"/>
            </w:tcBorders>
            <w:shd w:val="clear" w:color="auto" w:fill="auto"/>
            <w:vAlign w:val="center"/>
            <w:hideMark/>
          </w:tcPr>
          <w:p w14:paraId="7C2C7222" w14:textId="77777777" w:rsidR="00F25246" w:rsidRPr="00311DAB" w:rsidRDefault="00F25246" w:rsidP="00F25246">
            <w:pPr>
              <w:jc w:val="right"/>
              <w:rPr>
                <w:b/>
                <w:bCs/>
                <w:color w:val="000000"/>
                <w:sz w:val="6"/>
                <w:szCs w:val="6"/>
                <w:lang w:eastAsia="tr-TR"/>
              </w:rPr>
            </w:pPr>
            <w:r w:rsidRPr="00311DAB">
              <w:rPr>
                <w:b/>
                <w:bCs/>
                <w:color w:val="000000"/>
                <w:sz w:val="6"/>
                <w:szCs w:val="6"/>
                <w:lang w:val="en-US" w:eastAsia="tr-TR"/>
              </w:rPr>
              <w:t> </w:t>
            </w:r>
          </w:p>
        </w:tc>
        <w:tc>
          <w:tcPr>
            <w:tcW w:w="727" w:type="dxa"/>
            <w:tcBorders>
              <w:top w:val="nil"/>
              <w:left w:val="single" w:sz="4" w:space="0" w:color="auto"/>
              <w:bottom w:val="nil"/>
              <w:right w:val="single" w:sz="4" w:space="0" w:color="auto"/>
            </w:tcBorders>
            <w:shd w:val="clear" w:color="auto" w:fill="auto"/>
            <w:noWrap/>
            <w:vAlign w:val="center"/>
            <w:hideMark/>
          </w:tcPr>
          <w:p w14:paraId="50237B83" w14:textId="77777777" w:rsidR="00F25246" w:rsidRPr="00311DAB" w:rsidRDefault="00F25246" w:rsidP="00F25246">
            <w:pPr>
              <w:jc w:val="right"/>
              <w:rPr>
                <w:b/>
                <w:bCs/>
                <w:color w:val="000000"/>
                <w:sz w:val="6"/>
                <w:szCs w:val="6"/>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7C461F7C" w14:textId="77777777" w:rsidR="00F25246" w:rsidRPr="00311DAB" w:rsidRDefault="00F25246" w:rsidP="00F25246">
            <w:pPr>
              <w:jc w:val="right"/>
              <w:rPr>
                <w:sz w:val="6"/>
                <w:szCs w:val="6"/>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2932E284" w14:textId="77777777" w:rsidR="00F25246" w:rsidRPr="00311DAB" w:rsidRDefault="00F25246" w:rsidP="00F25246">
            <w:pPr>
              <w:jc w:val="right"/>
              <w:rPr>
                <w:sz w:val="6"/>
                <w:szCs w:val="6"/>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2028AF35" w14:textId="77777777" w:rsidR="00F25246" w:rsidRPr="00311DAB" w:rsidRDefault="00F25246" w:rsidP="00F25246">
            <w:pPr>
              <w:jc w:val="right"/>
              <w:rPr>
                <w:sz w:val="6"/>
                <w:szCs w:val="6"/>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53D64225" w14:textId="77777777" w:rsidR="00F25246" w:rsidRPr="00311DAB" w:rsidRDefault="00F25246" w:rsidP="00F25246">
            <w:pPr>
              <w:jc w:val="right"/>
              <w:rPr>
                <w:sz w:val="6"/>
                <w:szCs w:val="6"/>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5DB460A1" w14:textId="77777777" w:rsidR="00F25246" w:rsidRPr="00311DAB" w:rsidRDefault="00F25246" w:rsidP="00F25246">
            <w:pPr>
              <w:jc w:val="right"/>
              <w:rPr>
                <w:sz w:val="6"/>
                <w:szCs w:val="6"/>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6BEBDC7F" w14:textId="77777777" w:rsidR="00F25246" w:rsidRPr="00311DAB" w:rsidRDefault="00F25246" w:rsidP="00F25246">
            <w:pPr>
              <w:jc w:val="right"/>
              <w:rPr>
                <w:sz w:val="6"/>
                <w:szCs w:val="6"/>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5276F670" w14:textId="77777777" w:rsidR="00F25246" w:rsidRPr="00311DAB" w:rsidRDefault="00F25246" w:rsidP="00F25246">
            <w:pPr>
              <w:jc w:val="right"/>
              <w:rPr>
                <w:sz w:val="6"/>
                <w:szCs w:val="6"/>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38D8FBBB" w14:textId="77777777" w:rsidR="00F25246" w:rsidRPr="00311DAB" w:rsidRDefault="00F25246" w:rsidP="00F25246">
            <w:pPr>
              <w:jc w:val="right"/>
              <w:rPr>
                <w:sz w:val="6"/>
                <w:szCs w:val="6"/>
                <w:lang w:eastAsia="tr-TR"/>
              </w:rPr>
            </w:pPr>
          </w:p>
        </w:tc>
        <w:tc>
          <w:tcPr>
            <w:tcW w:w="549" w:type="dxa"/>
            <w:tcBorders>
              <w:top w:val="nil"/>
              <w:left w:val="single" w:sz="4" w:space="0" w:color="auto"/>
              <w:bottom w:val="nil"/>
              <w:right w:val="single" w:sz="4" w:space="0" w:color="auto"/>
            </w:tcBorders>
            <w:shd w:val="clear" w:color="auto" w:fill="auto"/>
            <w:noWrap/>
            <w:vAlign w:val="center"/>
            <w:hideMark/>
          </w:tcPr>
          <w:p w14:paraId="773E14FD" w14:textId="77777777" w:rsidR="00F25246" w:rsidRPr="00311DAB" w:rsidRDefault="00F25246" w:rsidP="00F25246">
            <w:pPr>
              <w:jc w:val="right"/>
              <w:rPr>
                <w:sz w:val="6"/>
                <w:szCs w:val="6"/>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23B828DF" w14:textId="77777777" w:rsidR="00F25246" w:rsidRPr="00311DAB" w:rsidRDefault="00F25246" w:rsidP="00F25246">
            <w:pPr>
              <w:jc w:val="right"/>
              <w:rPr>
                <w:sz w:val="6"/>
                <w:szCs w:val="6"/>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6B04A955" w14:textId="77777777" w:rsidR="00F25246" w:rsidRPr="00311DAB" w:rsidRDefault="00F25246" w:rsidP="00F25246">
            <w:pPr>
              <w:jc w:val="right"/>
              <w:rPr>
                <w:sz w:val="6"/>
                <w:szCs w:val="6"/>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2CE1162B" w14:textId="77777777" w:rsidR="00F25246" w:rsidRPr="00311DAB" w:rsidRDefault="00F25246" w:rsidP="00F25246">
            <w:pPr>
              <w:jc w:val="right"/>
              <w:rPr>
                <w:sz w:val="6"/>
                <w:szCs w:val="6"/>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521C45DD" w14:textId="77777777" w:rsidR="00F25246" w:rsidRPr="00311DAB" w:rsidRDefault="00F25246" w:rsidP="00F25246">
            <w:pPr>
              <w:jc w:val="right"/>
              <w:rPr>
                <w:sz w:val="6"/>
                <w:szCs w:val="6"/>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21B10BC0" w14:textId="77777777" w:rsidR="00F25246" w:rsidRPr="00311DAB" w:rsidRDefault="00F25246" w:rsidP="00F25246">
            <w:pPr>
              <w:jc w:val="right"/>
              <w:rPr>
                <w:sz w:val="6"/>
                <w:szCs w:val="6"/>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201C7DC6" w14:textId="77777777" w:rsidR="00F25246" w:rsidRPr="00311DAB" w:rsidRDefault="00F25246" w:rsidP="00F25246">
            <w:pPr>
              <w:jc w:val="right"/>
              <w:rPr>
                <w:sz w:val="6"/>
                <w:szCs w:val="6"/>
                <w:lang w:eastAsia="tr-TR"/>
              </w:rPr>
            </w:pPr>
          </w:p>
        </w:tc>
      </w:tr>
      <w:tr w:rsidR="00D42791" w:rsidRPr="00F25246" w14:paraId="55D3A7AB" w14:textId="77777777" w:rsidTr="002E368F">
        <w:trPr>
          <w:divId w:val="36128962"/>
          <w:trHeight w:val="4"/>
        </w:trPr>
        <w:tc>
          <w:tcPr>
            <w:tcW w:w="419" w:type="dxa"/>
            <w:tcBorders>
              <w:top w:val="nil"/>
              <w:left w:val="single" w:sz="4" w:space="0" w:color="auto"/>
              <w:bottom w:val="nil"/>
              <w:right w:val="single" w:sz="4" w:space="0" w:color="auto"/>
            </w:tcBorders>
            <w:shd w:val="clear" w:color="auto" w:fill="auto"/>
            <w:noWrap/>
            <w:vAlign w:val="center"/>
            <w:hideMark/>
          </w:tcPr>
          <w:p w14:paraId="46926052" w14:textId="77777777" w:rsidR="00F25246" w:rsidRPr="00F25246" w:rsidRDefault="00F25246" w:rsidP="00F25246">
            <w:pPr>
              <w:jc w:val="right"/>
              <w:rPr>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788613BC" w14:textId="77777777" w:rsidR="00F25246" w:rsidRPr="00F25246" w:rsidRDefault="00F25246" w:rsidP="00F25246">
            <w:pPr>
              <w:rPr>
                <w:b/>
                <w:bCs/>
                <w:color w:val="000000"/>
                <w:sz w:val="10"/>
                <w:szCs w:val="10"/>
                <w:lang w:eastAsia="tr-TR"/>
              </w:rPr>
            </w:pPr>
            <w:proofErr w:type="spellStart"/>
            <w:r w:rsidRPr="00F25246">
              <w:rPr>
                <w:b/>
                <w:bCs/>
                <w:color w:val="000000"/>
                <w:sz w:val="10"/>
                <w:szCs w:val="10"/>
                <w:lang w:val="en-US" w:eastAsia="tr-TR"/>
              </w:rPr>
              <w:t>Önceki</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Dönem</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4AB01AFE" w14:textId="77777777" w:rsidR="00F25246" w:rsidRPr="00F25246" w:rsidRDefault="00F25246" w:rsidP="00F25246">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61085A50" w14:textId="77777777" w:rsidR="00F25246" w:rsidRPr="00F25246" w:rsidRDefault="00F25246" w:rsidP="00F25246">
            <w:pPr>
              <w:jc w:val="right"/>
              <w:rPr>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187D9950" w14:textId="77777777" w:rsidR="00F25246" w:rsidRPr="00F25246" w:rsidRDefault="00F25246" w:rsidP="00F25246">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256F5B45" w14:textId="77777777" w:rsidR="00F25246" w:rsidRPr="00F25246" w:rsidRDefault="00F25246" w:rsidP="00F25246">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3C0D2B4D" w14:textId="77777777" w:rsidR="00F25246" w:rsidRPr="00F25246" w:rsidRDefault="00F25246" w:rsidP="00F25246">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6042FC84" w14:textId="77777777" w:rsidR="00F25246" w:rsidRPr="00F25246" w:rsidRDefault="00F25246" w:rsidP="00F25246">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04DE421A" w14:textId="77777777" w:rsidR="00F25246" w:rsidRPr="00F25246" w:rsidRDefault="00F25246" w:rsidP="00F25246">
            <w:pPr>
              <w:jc w:val="right"/>
              <w:rPr>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5D9A935F" w14:textId="77777777" w:rsidR="00F25246" w:rsidRPr="00F25246" w:rsidRDefault="00F25246" w:rsidP="00F25246">
            <w:pPr>
              <w:jc w:val="right"/>
              <w:rPr>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0E1478A2" w14:textId="77777777" w:rsidR="00F25246" w:rsidRPr="00F25246" w:rsidRDefault="00F25246" w:rsidP="00F25246">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42649F84" w14:textId="77777777" w:rsidR="00F25246" w:rsidRPr="00F25246" w:rsidRDefault="00F25246" w:rsidP="00F25246">
            <w:pPr>
              <w:jc w:val="right"/>
              <w:rPr>
                <w:lang w:eastAsia="tr-TR"/>
              </w:rPr>
            </w:pPr>
          </w:p>
        </w:tc>
        <w:tc>
          <w:tcPr>
            <w:tcW w:w="549" w:type="dxa"/>
            <w:tcBorders>
              <w:top w:val="nil"/>
              <w:left w:val="single" w:sz="4" w:space="0" w:color="auto"/>
              <w:bottom w:val="nil"/>
              <w:right w:val="single" w:sz="4" w:space="0" w:color="auto"/>
            </w:tcBorders>
            <w:shd w:val="clear" w:color="auto" w:fill="auto"/>
            <w:noWrap/>
            <w:vAlign w:val="center"/>
            <w:hideMark/>
          </w:tcPr>
          <w:p w14:paraId="29485B6E" w14:textId="77777777" w:rsidR="00F25246" w:rsidRPr="00F25246" w:rsidRDefault="00F25246" w:rsidP="00F25246">
            <w:pPr>
              <w:jc w:val="right"/>
              <w:rPr>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57E84195" w14:textId="77777777" w:rsidR="00F25246" w:rsidRPr="00F25246" w:rsidRDefault="00F25246" w:rsidP="00F25246">
            <w:pPr>
              <w:jc w:val="right"/>
              <w:rPr>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0428DAEE" w14:textId="77777777" w:rsidR="00F25246" w:rsidRPr="00F25246" w:rsidRDefault="00F25246" w:rsidP="00F25246">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2E63A238" w14:textId="77777777" w:rsidR="00F25246" w:rsidRPr="00F25246" w:rsidRDefault="00F25246" w:rsidP="00F25246">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3F531C4E" w14:textId="77777777" w:rsidR="00F25246" w:rsidRPr="00F25246" w:rsidRDefault="00F25246" w:rsidP="00F25246">
            <w:pPr>
              <w:jc w:val="right"/>
              <w:rPr>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7271ADA1" w14:textId="77777777" w:rsidR="00F25246" w:rsidRPr="00F25246" w:rsidRDefault="00F25246" w:rsidP="00F25246">
            <w:pPr>
              <w:jc w:val="right"/>
              <w:rPr>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0E1EFCC4" w14:textId="77777777" w:rsidR="00F25246" w:rsidRPr="00F25246" w:rsidRDefault="00F25246" w:rsidP="00F25246">
            <w:pPr>
              <w:jc w:val="right"/>
              <w:rPr>
                <w:lang w:eastAsia="tr-TR"/>
              </w:rPr>
            </w:pPr>
          </w:p>
        </w:tc>
      </w:tr>
      <w:tr w:rsidR="00D42791" w:rsidRPr="00F25246" w14:paraId="15723B13" w14:textId="77777777" w:rsidTr="002E368F">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33D43B5D" w14:textId="77777777" w:rsidR="00F25246" w:rsidRPr="00311DAB" w:rsidRDefault="00F25246" w:rsidP="00F25246">
            <w:pPr>
              <w:jc w:val="right"/>
              <w:rPr>
                <w:sz w:val="10"/>
                <w:szCs w:val="10"/>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6FF63C5E" w14:textId="77777777" w:rsidR="00F25246" w:rsidRPr="002E368F" w:rsidRDefault="00F25246" w:rsidP="00F25246">
            <w:pPr>
              <w:rPr>
                <w:b/>
                <w:bCs/>
                <w:color w:val="000000"/>
                <w:sz w:val="10"/>
                <w:szCs w:val="10"/>
                <w:lang w:eastAsia="tr-TR"/>
              </w:rPr>
            </w:pPr>
            <w:r w:rsidRPr="002E368F">
              <w:rPr>
                <w:b/>
                <w:bCs/>
                <w:color w:val="000000"/>
                <w:sz w:val="10"/>
                <w:szCs w:val="10"/>
                <w:lang w:val="en-US" w:eastAsia="tr-TR"/>
              </w:rPr>
              <w:t>(01/01/2019 – 30/09/2019)</w:t>
            </w:r>
          </w:p>
        </w:tc>
        <w:tc>
          <w:tcPr>
            <w:tcW w:w="614" w:type="dxa"/>
            <w:tcBorders>
              <w:top w:val="nil"/>
              <w:left w:val="single" w:sz="4" w:space="0" w:color="auto"/>
              <w:bottom w:val="nil"/>
              <w:right w:val="single" w:sz="4" w:space="0" w:color="auto"/>
            </w:tcBorders>
            <w:shd w:val="clear" w:color="auto" w:fill="auto"/>
            <w:vAlign w:val="center"/>
            <w:hideMark/>
          </w:tcPr>
          <w:p w14:paraId="5476DD54" w14:textId="77777777" w:rsidR="00F25246" w:rsidRPr="002E368F" w:rsidRDefault="00F25246" w:rsidP="00F25246">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6F15D108" w14:textId="77777777" w:rsidR="00F25246" w:rsidRPr="00311DAB" w:rsidRDefault="00F25246" w:rsidP="00F25246">
            <w:pPr>
              <w:jc w:val="right"/>
              <w:rPr>
                <w:sz w:val="10"/>
                <w:szCs w:val="10"/>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330100DD" w14:textId="77777777" w:rsidR="00F25246" w:rsidRPr="00311DAB" w:rsidRDefault="00F25246" w:rsidP="00F25246">
            <w:pPr>
              <w:jc w:val="right"/>
              <w:rPr>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488AF9EC" w14:textId="77777777" w:rsidR="00F25246" w:rsidRPr="00311DAB" w:rsidRDefault="00F25246" w:rsidP="00F25246">
            <w:pPr>
              <w:jc w:val="right"/>
              <w:rPr>
                <w:sz w:val="10"/>
                <w:szCs w:val="10"/>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16A2B232" w14:textId="77777777" w:rsidR="00F25246" w:rsidRPr="00311DAB" w:rsidRDefault="00F25246" w:rsidP="00F25246">
            <w:pPr>
              <w:jc w:val="right"/>
              <w:rPr>
                <w:sz w:val="10"/>
                <w:szCs w:val="10"/>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7A9AEB5F" w14:textId="77777777" w:rsidR="00F25246" w:rsidRPr="00311DAB" w:rsidRDefault="00F25246" w:rsidP="00F25246">
            <w:pPr>
              <w:jc w:val="right"/>
              <w:rPr>
                <w:sz w:val="10"/>
                <w:szCs w:val="10"/>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24449918" w14:textId="77777777" w:rsidR="00F25246" w:rsidRPr="00311DAB" w:rsidRDefault="00F25246" w:rsidP="00F25246">
            <w:pPr>
              <w:jc w:val="right"/>
              <w:rPr>
                <w:sz w:val="10"/>
                <w:szCs w:val="10"/>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76B1F1AD" w14:textId="77777777" w:rsidR="00F25246" w:rsidRPr="00311DAB" w:rsidRDefault="00F25246" w:rsidP="00F25246">
            <w:pPr>
              <w:jc w:val="right"/>
              <w:rPr>
                <w:sz w:val="10"/>
                <w:szCs w:val="10"/>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23917063" w14:textId="77777777" w:rsidR="00F25246" w:rsidRPr="00311DAB" w:rsidRDefault="00F25246" w:rsidP="00F25246">
            <w:pPr>
              <w:jc w:val="right"/>
              <w:rPr>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1D91473B" w14:textId="77777777" w:rsidR="00F25246" w:rsidRPr="00311DAB" w:rsidRDefault="00F25246" w:rsidP="00F25246">
            <w:pPr>
              <w:jc w:val="right"/>
              <w:rPr>
                <w:sz w:val="10"/>
                <w:szCs w:val="10"/>
                <w:lang w:eastAsia="tr-TR"/>
              </w:rPr>
            </w:pPr>
          </w:p>
        </w:tc>
        <w:tc>
          <w:tcPr>
            <w:tcW w:w="549" w:type="dxa"/>
            <w:tcBorders>
              <w:top w:val="nil"/>
              <w:left w:val="single" w:sz="4" w:space="0" w:color="auto"/>
              <w:bottom w:val="nil"/>
              <w:right w:val="single" w:sz="4" w:space="0" w:color="auto"/>
            </w:tcBorders>
            <w:shd w:val="clear" w:color="auto" w:fill="auto"/>
            <w:noWrap/>
            <w:vAlign w:val="center"/>
            <w:hideMark/>
          </w:tcPr>
          <w:p w14:paraId="69665DED" w14:textId="77777777" w:rsidR="00F25246" w:rsidRPr="00311DAB" w:rsidRDefault="00F25246" w:rsidP="00F25246">
            <w:pPr>
              <w:jc w:val="right"/>
              <w:rPr>
                <w:sz w:val="10"/>
                <w:szCs w:val="10"/>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172E2F7B" w14:textId="77777777" w:rsidR="00F25246" w:rsidRPr="00311DAB" w:rsidRDefault="00F25246" w:rsidP="00F25246">
            <w:pPr>
              <w:jc w:val="right"/>
              <w:rPr>
                <w:sz w:val="10"/>
                <w:szCs w:val="10"/>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61E0481D" w14:textId="77777777" w:rsidR="00F25246" w:rsidRPr="00311DAB" w:rsidRDefault="00F25246" w:rsidP="00F25246">
            <w:pPr>
              <w:jc w:val="right"/>
              <w:rPr>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743B76D8" w14:textId="77777777" w:rsidR="00F25246" w:rsidRPr="00311DAB" w:rsidRDefault="00F25246" w:rsidP="00F25246">
            <w:pPr>
              <w:jc w:val="right"/>
              <w:rPr>
                <w:sz w:val="10"/>
                <w:szCs w:val="10"/>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284B3568" w14:textId="77777777" w:rsidR="00F25246" w:rsidRPr="00311DAB" w:rsidRDefault="00F25246" w:rsidP="00F25246">
            <w:pPr>
              <w:jc w:val="right"/>
              <w:rPr>
                <w:sz w:val="10"/>
                <w:szCs w:val="10"/>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684C90D9" w14:textId="77777777" w:rsidR="00F25246" w:rsidRPr="00311DAB" w:rsidRDefault="00F25246" w:rsidP="00F25246">
            <w:pPr>
              <w:jc w:val="right"/>
              <w:rPr>
                <w:sz w:val="10"/>
                <w:szCs w:val="10"/>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5C5DCC44" w14:textId="77777777" w:rsidR="00F25246" w:rsidRPr="00311DAB" w:rsidRDefault="00F25246" w:rsidP="00F25246">
            <w:pPr>
              <w:jc w:val="right"/>
              <w:rPr>
                <w:sz w:val="10"/>
                <w:szCs w:val="10"/>
                <w:lang w:eastAsia="tr-TR"/>
              </w:rPr>
            </w:pPr>
          </w:p>
        </w:tc>
      </w:tr>
      <w:tr w:rsidR="00D42791" w:rsidRPr="00F25246" w14:paraId="5B601633" w14:textId="77777777" w:rsidTr="002E368F">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5A5110BB" w14:textId="77777777" w:rsidR="00F25246" w:rsidRPr="00311DAB" w:rsidRDefault="00F25246" w:rsidP="00F25246">
            <w:pPr>
              <w:jc w:val="right"/>
              <w:rPr>
                <w:sz w:val="10"/>
                <w:szCs w:val="10"/>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72FBC50D" w14:textId="77777777" w:rsidR="00F25246" w:rsidRPr="00311DAB" w:rsidRDefault="00F25246" w:rsidP="00F25246">
            <w:pPr>
              <w:jc w:val="center"/>
              <w:rPr>
                <w:sz w:val="10"/>
                <w:szCs w:val="10"/>
                <w:lang w:eastAsia="tr-TR"/>
              </w:rPr>
            </w:pPr>
          </w:p>
        </w:tc>
        <w:tc>
          <w:tcPr>
            <w:tcW w:w="614" w:type="dxa"/>
            <w:tcBorders>
              <w:top w:val="nil"/>
              <w:left w:val="single" w:sz="4" w:space="0" w:color="auto"/>
              <w:bottom w:val="nil"/>
              <w:right w:val="single" w:sz="4" w:space="0" w:color="auto"/>
            </w:tcBorders>
            <w:shd w:val="clear" w:color="auto" w:fill="auto"/>
            <w:vAlign w:val="center"/>
            <w:hideMark/>
          </w:tcPr>
          <w:p w14:paraId="3FC36BE0" w14:textId="77777777" w:rsidR="00F25246" w:rsidRPr="00311DAB" w:rsidRDefault="00F25246" w:rsidP="00F25246">
            <w:pPr>
              <w:rPr>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470E366F" w14:textId="77777777" w:rsidR="00F25246" w:rsidRPr="00311DAB" w:rsidRDefault="00F25246" w:rsidP="00F25246">
            <w:pPr>
              <w:jc w:val="right"/>
              <w:rPr>
                <w:sz w:val="10"/>
                <w:szCs w:val="10"/>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074B13CC" w14:textId="77777777" w:rsidR="00F25246" w:rsidRPr="00311DAB" w:rsidRDefault="00F25246" w:rsidP="00F25246">
            <w:pPr>
              <w:jc w:val="right"/>
              <w:rPr>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664339EC" w14:textId="77777777" w:rsidR="00F25246" w:rsidRPr="00311DAB" w:rsidRDefault="00F25246" w:rsidP="00F25246">
            <w:pPr>
              <w:jc w:val="right"/>
              <w:rPr>
                <w:sz w:val="10"/>
                <w:szCs w:val="10"/>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3C11F125" w14:textId="77777777" w:rsidR="00F25246" w:rsidRPr="00311DAB" w:rsidRDefault="00F25246" w:rsidP="00F25246">
            <w:pPr>
              <w:jc w:val="right"/>
              <w:rPr>
                <w:sz w:val="10"/>
                <w:szCs w:val="10"/>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175CED30" w14:textId="77777777" w:rsidR="00F25246" w:rsidRPr="00311DAB" w:rsidRDefault="00F25246" w:rsidP="00F25246">
            <w:pPr>
              <w:jc w:val="right"/>
              <w:rPr>
                <w:sz w:val="10"/>
                <w:szCs w:val="10"/>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63040E9F" w14:textId="77777777" w:rsidR="00F25246" w:rsidRPr="00311DAB" w:rsidRDefault="00F25246" w:rsidP="00F25246">
            <w:pPr>
              <w:jc w:val="right"/>
              <w:rPr>
                <w:sz w:val="10"/>
                <w:szCs w:val="10"/>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2DB1CED7" w14:textId="77777777" w:rsidR="00F25246" w:rsidRPr="00311DAB" w:rsidRDefault="00F25246" w:rsidP="00F25246">
            <w:pPr>
              <w:jc w:val="right"/>
              <w:rPr>
                <w:sz w:val="10"/>
                <w:szCs w:val="10"/>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1958E939" w14:textId="77777777" w:rsidR="00F25246" w:rsidRPr="00311DAB" w:rsidRDefault="00F25246" w:rsidP="00F25246">
            <w:pPr>
              <w:jc w:val="right"/>
              <w:rPr>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02F7DE64" w14:textId="77777777" w:rsidR="00F25246" w:rsidRPr="00311DAB" w:rsidRDefault="00F25246" w:rsidP="00F25246">
            <w:pPr>
              <w:jc w:val="right"/>
              <w:rPr>
                <w:sz w:val="10"/>
                <w:szCs w:val="10"/>
                <w:lang w:eastAsia="tr-TR"/>
              </w:rPr>
            </w:pPr>
          </w:p>
        </w:tc>
        <w:tc>
          <w:tcPr>
            <w:tcW w:w="549" w:type="dxa"/>
            <w:tcBorders>
              <w:top w:val="nil"/>
              <w:left w:val="single" w:sz="4" w:space="0" w:color="auto"/>
              <w:bottom w:val="nil"/>
              <w:right w:val="single" w:sz="4" w:space="0" w:color="auto"/>
            </w:tcBorders>
            <w:shd w:val="clear" w:color="auto" w:fill="auto"/>
            <w:noWrap/>
            <w:vAlign w:val="center"/>
            <w:hideMark/>
          </w:tcPr>
          <w:p w14:paraId="7A1B5C05" w14:textId="77777777" w:rsidR="00F25246" w:rsidRPr="00311DAB" w:rsidRDefault="00F25246" w:rsidP="00F25246">
            <w:pPr>
              <w:jc w:val="right"/>
              <w:rPr>
                <w:sz w:val="10"/>
                <w:szCs w:val="10"/>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06A626C8" w14:textId="77777777" w:rsidR="00F25246" w:rsidRPr="00311DAB" w:rsidRDefault="00F25246" w:rsidP="00F25246">
            <w:pPr>
              <w:jc w:val="right"/>
              <w:rPr>
                <w:sz w:val="10"/>
                <w:szCs w:val="10"/>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2F2A6D8C" w14:textId="77777777" w:rsidR="00F25246" w:rsidRPr="00311DAB" w:rsidRDefault="00F25246" w:rsidP="00F25246">
            <w:pPr>
              <w:jc w:val="right"/>
              <w:rPr>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09B951C1" w14:textId="77777777" w:rsidR="00F25246" w:rsidRPr="00311DAB" w:rsidRDefault="00F25246" w:rsidP="00F25246">
            <w:pPr>
              <w:jc w:val="right"/>
              <w:rPr>
                <w:sz w:val="10"/>
                <w:szCs w:val="10"/>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25820DF1" w14:textId="77777777" w:rsidR="00F25246" w:rsidRPr="00311DAB" w:rsidRDefault="00F25246" w:rsidP="00F25246">
            <w:pPr>
              <w:jc w:val="right"/>
              <w:rPr>
                <w:sz w:val="10"/>
                <w:szCs w:val="10"/>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095D8C34" w14:textId="77777777" w:rsidR="00F25246" w:rsidRPr="00311DAB" w:rsidRDefault="00F25246" w:rsidP="00F25246">
            <w:pPr>
              <w:jc w:val="right"/>
              <w:rPr>
                <w:sz w:val="10"/>
                <w:szCs w:val="10"/>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64D85C76" w14:textId="77777777" w:rsidR="00F25246" w:rsidRPr="00311DAB" w:rsidRDefault="00F25246" w:rsidP="00F25246">
            <w:pPr>
              <w:jc w:val="right"/>
              <w:rPr>
                <w:sz w:val="10"/>
                <w:szCs w:val="10"/>
                <w:lang w:eastAsia="tr-TR"/>
              </w:rPr>
            </w:pPr>
          </w:p>
        </w:tc>
      </w:tr>
      <w:tr w:rsidR="00D42791" w:rsidRPr="00F25246" w14:paraId="1EDB2462" w14:textId="77777777" w:rsidTr="002E368F">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10407B9F"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I.</w:t>
            </w:r>
          </w:p>
        </w:tc>
        <w:tc>
          <w:tcPr>
            <w:tcW w:w="2019" w:type="dxa"/>
            <w:tcBorders>
              <w:top w:val="nil"/>
              <w:left w:val="single" w:sz="4" w:space="0" w:color="auto"/>
              <w:bottom w:val="nil"/>
              <w:right w:val="single" w:sz="4" w:space="0" w:color="auto"/>
            </w:tcBorders>
            <w:shd w:val="clear" w:color="auto" w:fill="auto"/>
            <w:noWrap/>
            <w:vAlign w:val="center"/>
            <w:hideMark/>
          </w:tcPr>
          <w:p w14:paraId="14D3351E" w14:textId="77777777" w:rsidR="00F25246" w:rsidRPr="00F25246" w:rsidRDefault="00F25246" w:rsidP="00F25246">
            <w:pPr>
              <w:rPr>
                <w:b/>
                <w:bCs/>
                <w:color w:val="000000"/>
                <w:sz w:val="10"/>
                <w:szCs w:val="10"/>
                <w:lang w:eastAsia="tr-TR"/>
              </w:rPr>
            </w:pPr>
            <w:proofErr w:type="spellStart"/>
            <w:r w:rsidRPr="00F25246">
              <w:rPr>
                <w:b/>
                <w:bCs/>
                <w:color w:val="000000"/>
                <w:sz w:val="10"/>
                <w:szCs w:val="10"/>
                <w:lang w:val="en-US" w:eastAsia="tr-TR"/>
              </w:rPr>
              <w:t>Önceki</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Dönem</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Sonu</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Bakiyesi</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05A975C7" w14:textId="77777777" w:rsidR="00F25246" w:rsidRPr="00F25246" w:rsidRDefault="00F25246" w:rsidP="00F25246">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5117F768" w14:textId="77777777" w:rsidR="00F25246" w:rsidRPr="00F25246" w:rsidRDefault="00F25246" w:rsidP="00F25246">
            <w:pPr>
              <w:jc w:val="right"/>
              <w:rPr>
                <w:b/>
                <w:sz w:val="10"/>
                <w:szCs w:val="10"/>
                <w:lang w:eastAsia="tr-TR"/>
              </w:rPr>
            </w:pPr>
            <w:r w:rsidRPr="00F25246">
              <w:rPr>
                <w:b/>
                <w:sz w:val="10"/>
                <w:szCs w:val="10"/>
                <w:lang w:eastAsia="tr-TR"/>
              </w:rPr>
              <w:t>3,497,322</w:t>
            </w:r>
          </w:p>
        </w:tc>
        <w:tc>
          <w:tcPr>
            <w:tcW w:w="872" w:type="dxa"/>
            <w:tcBorders>
              <w:top w:val="nil"/>
              <w:left w:val="single" w:sz="4" w:space="0" w:color="auto"/>
              <w:bottom w:val="nil"/>
              <w:right w:val="single" w:sz="4" w:space="0" w:color="auto"/>
            </w:tcBorders>
            <w:shd w:val="clear" w:color="auto" w:fill="auto"/>
            <w:vAlign w:val="center"/>
            <w:hideMark/>
          </w:tcPr>
          <w:p w14:paraId="1F7B3FC1" w14:textId="77777777" w:rsidR="00F25246" w:rsidRPr="00F25246" w:rsidRDefault="00F25246" w:rsidP="00F25246">
            <w:pPr>
              <w:jc w:val="right"/>
              <w:rPr>
                <w:b/>
                <w:sz w:val="10"/>
                <w:szCs w:val="10"/>
                <w:lang w:eastAsia="tr-TR"/>
              </w:rPr>
            </w:pPr>
            <w:r w:rsidRPr="00F25246">
              <w:rPr>
                <w:b/>
                <w:sz w:val="10"/>
                <w:szCs w:val="10"/>
                <w:lang w:eastAsia="tr-TR"/>
              </w:rPr>
              <w:t>22,933</w:t>
            </w:r>
          </w:p>
        </w:tc>
        <w:tc>
          <w:tcPr>
            <w:tcW w:w="727" w:type="dxa"/>
            <w:tcBorders>
              <w:top w:val="nil"/>
              <w:left w:val="single" w:sz="4" w:space="0" w:color="auto"/>
              <w:bottom w:val="nil"/>
              <w:right w:val="single" w:sz="4" w:space="0" w:color="auto"/>
            </w:tcBorders>
            <w:shd w:val="clear" w:color="auto" w:fill="auto"/>
            <w:vAlign w:val="center"/>
            <w:hideMark/>
          </w:tcPr>
          <w:p w14:paraId="564982F6" w14:textId="77777777" w:rsidR="00F25246" w:rsidRPr="00F25246" w:rsidRDefault="00F25246" w:rsidP="00F25246">
            <w:pPr>
              <w:jc w:val="right"/>
              <w:rPr>
                <w:b/>
                <w:sz w:val="10"/>
                <w:szCs w:val="10"/>
                <w:lang w:eastAsia="tr-TR"/>
              </w:rPr>
            </w:pPr>
            <w:r w:rsidRPr="00F25246">
              <w:rPr>
                <w:b/>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D320BE1" w14:textId="77777777" w:rsidR="00F25246" w:rsidRPr="00F25246" w:rsidRDefault="00F25246" w:rsidP="00F25246">
            <w:pPr>
              <w:jc w:val="right"/>
              <w:rPr>
                <w:b/>
                <w:sz w:val="10"/>
                <w:szCs w:val="10"/>
                <w:lang w:eastAsia="tr-TR"/>
              </w:rPr>
            </w:pPr>
            <w:r w:rsidRPr="00F25246">
              <w:rPr>
                <w:b/>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3FEA1E2" w14:textId="77777777" w:rsidR="00F25246" w:rsidRPr="00F25246" w:rsidRDefault="00F25246" w:rsidP="00F25246">
            <w:pPr>
              <w:jc w:val="right"/>
              <w:rPr>
                <w:b/>
                <w:sz w:val="10"/>
                <w:szCs w:val="10"/>
                <w:lang w:eastAsia="tr-TR"/>
              </w:rPr>
            </w:pPr>
            <w:r w:rsidRPr="00F25246">
              <w:rPr>
                <w:b/>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3A955190" w14:textId="77777777" w:rsidR="00F25246" w:rsidRPr="00F25246" w:rsidRDefault="00F25246" w:rsidP="00F25246">
            <w:pPr>
              <w:jc w:val="right"/>
              <w:rPr>
                <w:b/>
                <w:sz w:val="10"/>
                <w:szCs w:val="10"/>
                <w:lang w:eastAsia="tr-TR"/>
              </w:rPr>
            </w:pPr>
            <w:r w:rsidRPr="00F25246">
              <w:rPr>
                <w:b/>
                <w:sz w:val="10"/>
                <w:szCs w:val="10"/>
                <w:lang w:eastAsia="tr-TR"/>
              </w:rPr>
              <w:t>(13,296)</w:t>
            </w:r>
          </w:p>
        </w:tc>
        <w:tc>
          <w:tcPr>
            <w:tcW w:w="583" w:type="dxa"/>
            <w:tcBorders>
              <w:top w:val="nil"/>
              <w:left w:val="single" w:sz="4" w:space="0" w:color="auto"/>
              <w:bottom w:val="nil"/>
              <w:right w:val="single" w:sz="4" w:space="0" w:color="auto"/>
            </w:tcBorders>
            <w:shd w:val="clear" w:color="auto" w:fill="auto"/>
            <w:vAlign w:val="center"/>
            <w:hideMark/>
          </w:tcPr>
          <w:p w14:paraId="0D66E1D3" w14:textId="77777777" w:rsidR="00F25246" w:rsidRPr="00F25246" w:rsidRDefault="00F25246" w:rsidP="00F25246">
            <w:pPr>
              <w:jc w:val="right"/>
              <w:rPr>
                <w:b/>
                <w:sz w:val="10"/>
                <w:szCs w:val="10"/>
                <w:lang w:eastAsia="tr-TR"/>
              </w:rPr>
            </w:pPr>
            <w:r w:rsidRPr="00F25246">
              <w:rPr>
                <w:b/>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3EF20D55" w14:textId="77777777" w:rsidR="00F25246" w:rsidRPr="00F25246" w:rsidRDefault="00F25246" w:rsidP="00F25246">
            <w:pPr>
              <w:jc w:val="right"/>
              <w:rPr>
                <w:b/>
                <w:sz w:val="10"/>
                <w:szCs w:val="10"/>
                <w:lang w:eastAsia="tr-TR"/>
              </w:rPr>
            </w:pPr>
            <w:r w:rsidRPr="00F25246">
              <w:rPr>
                <w:b/>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6F639C3" w14:textId="77777777" w:rsidR="00F25246" w:rsidRPr="00F25246" w:rsidRDefault="00F25246" w:rsidP="00F25246">
            <w:pPr>
              <w:jc w:val="right"/>
              <w:rPr>
                <w:b/>
                <w:sz w:val="10"/>
                <w:szCs w:val="10"/>
                <w:lang w:eastAsia="tr-TR"/>
              </w:rPr>
            </w:pPr>
            <w:r w:rsidRPr="00F25246">
              <w:rPr>
                <w:b/>
                <w:sz w:val="10"/>
                <w:szCs w:val="10"/>
                <w:lang w:eastAsia="tr-TR"/>
              </w:rPr>
              <w:t>(117,150)</w:t>
            </w:r>
          </w:p>
        </w:tc>
        <w:tc>
          <w:tcPr>
            <w:tcW w:w="549" w:type="dxa"/>
            <w:tcBorders>
              <w:top w:val="nil"/>
              <w:left w:val="single" w:sz="4" w:space="0" w:color="auto"/>
              <w:bottom w:val="nil"/>
              <w:right w:val="single" w:sz="4" w:space="0" w:color="auto"/>
            </w:tcBorders>
            <w:shd w:val="clear" w:color="auto" w:fill="auto"/>
            <w:vAlign w:val="center"/>
            <w:hideMark/>
          </w:tcPr>
          <w:p w14:paraId="0F12DD69" w14:textId="77777777" w:rsidR="00F25246" w:rsidRPr="00F25246" w:rsidRDefault="00F25246" w:rsidP="00F25246">
            <w:pPr>
              <w:jc w:val="right"/>
              <w:rPr>
                <w:b/>
                <w:sz w:val="10"/>
                <w:szCs w:val="10"/>
                <w:lang w:eastAsia="tr-TR"/>
              </w:rPr>
            </w:pPr>
            <w:r w:rsidRPr="00F25246">
              <w:rPr>
                <w:b/>
                <w:sz w:val="10"/>
                <w:szCs w:val="10"/>
                <w:lang w:eastAsia="tr-TR"/>
              </w:rPr>
              <w:t>36,196</w:t>
            </w:r>
          </w:p>
        </w:tc>
        <w:tc>
          <w:tcPr>
            <w:tcW w:w="571" w:type="dxa"/>
            <w:tcBorders>
              <w:top w:val="nil"/>
              <w:left w:val="single" w:sz="4" w:space="0" w:color="auto"/>
              <w:bottom w:val="nil"/>
              <w:right w:val="single" w:sz="4" w:space="0" w:color="auto"/>
            </w:tcBorders>
            <w:shd w:val="clear" w:color="auto" w:fill="auto"/>
            <w:vAlign w:val="center"/>
            <w:hideMark/>
          </w:tcPr>
          <w:p w14:paraId="61C4CA60" w14:textId="77777777" w:rsidR="00F25246" w:rsidRPr="00F25246" w:rsidRDefault="00F25246" w:rsidP="00F25246">
            <w:pPr>
              <w:jc w:val="right"/>
              <w:rPr>
                <w:b/>
                <w:sz w:val="10"/>
                <w:szCs w:val="10"/>
                <w:lang w:eastAsia="tr-TR"/>
              </w:rPr>
            </w:pPr>
            <w:r w:rsidRPr="00F25246">
              <w:rPr>
                <w:b/>
                <w:sz w:val="10"/>
                <w:szCs w:val="10"/>
                <w:lang w:eastAsia="tr-TR"/>
              </w:rPr>
              <w:t>1,107,196</w:t>
            </w:r>
          </w:p>
        </w:tc>
        <w:tc>
          <w:tcPr>
            <w:tcW w:w="788" w:type="dxa"/>
            <w:tcBorders>
              <w:top w:val="nil"/>
              <w:left w:val="single" w:sz="4" w:space="0" w:color="auto"/>
              <w:bottom w:val="nil"/>
              <w:right w:val="single" w:sz="4" w:space="0" w:color="auto"/>
            </w:tcBorders>
            <w:shd w:val="clear" w:color="auto" w:fill="auto"/>
            <w:vAlign w:val="center"/>
            <w:hideMark/>
          </w:tcPr>
          <w:p w14:paraId="5594BEC8" w14:textId="77777777" w:rsidR="00F25246" w:rsidRPr="00F25246" w:rsidRDefault="00F25246" w:rsidP="00F25246">
            <w:pPr>
              <w:jc w:val="right"/>
              <w:rPr>
                <w:b/>
                <w:sz w:val="10"/>
                <w:szCs w:val="10"/>
                <w:lang w:eastAsia="tr-TR"/>
              </w:rPr>
            </w:pPr>
            <w:r w:rsidRPr="00F25246">
              <w:rPr>
                <w:b/>
                <w:sz w:val="10"/>
                <w:szCs w:val="10"/>
                <w:lang w:eastAsia="tr-TR"/>
              </w:rPr>
              <w:t>905,352</w:t>
            </w:r>
          </w:p>
        </w:tc>
        <w:tc>
          <w:tcPr>
            <w:tcW w:w="727" w:type="dxa"/>
            <w:tcBorders>
              <w:top w:val="nil"/>
              <w:left w:val="single" w:sz="4" w:space="0" w:color="auto"/>
              <w:bottom w:val="nil"/>
              <w:right w:val="single" w:sz="4" w:space="0" w:color="auto"/>
            </w:tcBorders>
            <w:shd w:val="clear" w:color="auto" w:fill="auto"/>
            <w:vAlign w:val="center"/>
            <w:hideMark/>
          </w:tcPr>
          <w:p w14:paraId="4667ECCD" w14:textId="77777777" w:rsidR="00F25246" w:rsidRPr="00F25246" w:rsidRDefault="00F25246" w:rsidP="00F25246">
            <w:pPr>
              <w:jc w:val="right"/>
              <w:rPr>
                <w:b/>
                <w:sz w:val="10"/>
                <w:szCs w:val="10"/>
                <w:lang w:eastAsia="tr-TR"/>
              </w:rPr>
            </w:pPr>
            <w:r w:rsidRPr="00F25246">
              <w:rPr>
                <w:b/>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1BF44EC4" w14:textId="77777777" w:rsidR="00F25246" w:rsidRPr="00F25246" w:rsidRDefault="00F25246" w:rsidP="00F25246">
            <w:pPr>
              <w:jc w:val="right"/>
              <w:rPr>
                <w:b/>
                <w:sz w:val="10"/>
                <w:szCs w:val="10"/>
                <w:lang w:eastAsia="tr-TR"/>
              </w:rPr>
            </w:pPr>
            <w:r w:rsidRPr="00F25246">
              <w:rPr>
                <w:b/>
                <w:sz w:val="10"/>
                <w:szCs w:val="10"/>
                <w:lang w:eastAsia="tr-TR"/>
              </w:rPr>
              <w:t>5,438,553</w:t>
            </w:r>
          </w:p>
        </w:tc>
        <w:tc>
          <w:tcPr>
            <w:tcW w:w="726" w:type="dxa"/>
            <w:tcBorders>
              <w:top w:val="nil"/>
              <w:left w:val="single" w:sz="4" w:space="0" w:color="auto"/>
              <w:bottom w:val="nil"/>
              <w:right w:val="single" w:sz="4" w:space="0" w:color="auto"/>
            </w:tcBorders>
            <w:shd w:val="clear" w:color="auto" w:fill="auto"/>
            <w:vAlign w:val="center"/>
            <w:hideMark/>
          </w:tcPr>
          <w:p w14:paraId="067E63F6" w14:textId="77777777" w:rsidR="00F25246" w:rsidRPr="00F25246" w:rsidRDefault="00F25246" w:rsidP="00F25246">
            <w:pPr>
              <w:jc w:val="right"/>
              <w:rPr>
                <w:b/>
                <w:sz w:val="10"/>
                <w:szCs w:val="10"/>
                <w:lang w:eastAsia="tr-TR"/>
              </w:rPr>
            </w:pPr>
            <w:r w:rsidRPr="00F25246">
              <w:rPr>
                <w:b/>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39CD9508" w14:textId="77777777" w:rsidR="00F25246" w:rsidRPr="00F25246" w:rsidRDefault="00F25246" w:rsidP="00F25246">
            <w:pPr>
              <w:jc w:val="right"/>
              <w:rPr>
                <w:b/>
                <w:sz w:val="10"/>
                <w:szCs w:val="10"/>
                <w:lang w:eastAsia="tr-TR"/>
              </w:rPr>
            </w:pPr>
            <w:r w:rsidRPr="00F25246">
              <w:rPr>
                <w:b/>
                <w:sz w:val="10"/>
                <w:szCs w:val="10"/>
                <w:lang w:eastAsia="tr-TR"/>
              </w:rPr>
              <w:t>5,438,553</w:t>
            </w:r>
          </w:p>
        </w:tc>
      </w:tr>
      <w:tr w:rsidR="00D42791" w:rsidRPr="00F25246" w14:paraId="5FC3908A" w14:textId="77777777" w:rsidTr="002E368F">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580F7A39"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II.</w:t>
            </w:r>
          </w:p>
        </w:tc>
        <w:tc>
          <w:tcPr>
            <w:tcW w:w="2019" w:type="dxa"/>
            <w:tcBorders>
              <w:top w:val="nil"/>
              <w:left w:val="single" w:sz="4" w:space="0" w:color="auto"/>
              <w:bottom w:val="nil"/>
              <w:right w:val="single" w:sz="4" w:space="0" w:color="auto"/>
            </w:tcBorders>
            <w:shd w:val="clear" w:color="auto" w:fill="auto"/>
            <w:noWrap/>
            <w:vAlign w:val="center"/>
            <w:hideMark/>
          </w:tcPr>
          <w:p w14:paraId="64D0C681" w14:textId="77777777" w:rsidR="00F25246" w:rsidRPr="00F25246" w:rsidRDefault="00F25246" w:rsidP="00F25246">
            <w:pPr>
              <w:rPr>
                <w:b/>
                <w:bCs/>
                <w:color w:val="000000"/>
                <w:sz w:val="10"/>
                <w:szCs w:val="10"/>
                <w:lang w:eastAsia="tr-TR"/>
              </w:rPr>
            </w:pPr>
            <w:r w:rsidRPr="00F25246">
              <w:rPr>
                <w:b/>
                <w:bCs/>
                <w:color w:val="000000"/>
                <w:sz w:val="10"/>
                <w:szCs w:val="10"/>
                <w:lang w:val="en-US" w:eastAsia="tr-TR"/>
              </w:rPr>
              <w:t xml:space="preserve">TMS 8 </w:t>
            </w:r>
            <w:proofErr w:type="spellStart"/>
            <w:r w:rsidRPr="00F25246">
              <w:rPr>
                <w:b/>
                <w:bCs/>
                <w:color w:val="000000"/>
                <w:sz w:val="10"/>
                <w:szCs w:val="10"/>
                <w:lang w:val="en-US" w:eastAsia="tr-TR"/>
              </w:rPr>
              <w:t>Uyarınca</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Yapılan</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Düzeltmeler</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385C2EFC" w14:textId="77777777" w:rsidR="00F25246" w:rsidRPr="00F25246" w:rsidRDefault="00F25246" w:rsidP="00F25246">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43835782" w14:textId="77777777" w:rsidR="00F25246" w:rsidRPr="00F25246" w:rsidRDefault="00F25246" w:rsidP="00F25246">
            <w:pPr>
              <w:jc w:val="right"/>
              <w:rPr>
                <w:sz w:val="10"/>
                <w:szCs w:val="10"/>
                <w:lang w:eastAsia="tr-TR"/>
              </w:rPr>
            </w:pPr>
            <w:r w:rsidRPr="00F25246">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20C0E787" w14:textId="77777777" w:rsidR="00F25246" w:rsidRPr="00F25246" w:rsidRDefault="00F25246" w:rsidP="00F25246">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37EDC98" w14:textId="77777777" w:rsidR="00F25246" w:rsidRPr="00F25246" w:rsidRDefault="00F25246" w:rsidP="00F25246">
            <w:pPr>
              <w:jc w:val="right"/>
              <w:rPr>
                <w:sz w:val="10"/>
                <w:szCs w:val="10"/>
                <w:lang w:eastAsia="tr-TR"/>
              </w:rPr>
            </w:pPr>
            <w:r w:rsidRPr="00F25246">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4E16FAF" w14:textId="77777777" w:rsidR="00F25246" w:rsidRPr="00F25246" w:rsidRDefault="00F25246" w:rsidP="00F25246">
            <w:pPr>
              <w:jc w:val="right"/>
              <w:rPr>
                <w:sz w:val="10"/>
                <w:szCs w:val="10"/>
                <w:lang w:eastAsia="tr-TR"/>
              </w:rPr>
            </w:pPr>
            <w:r w:rsidRPr="00F25246">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7867CD1" w14:textId="77777777" w:rsidR="00F25246" w:rsidRPr="00F25246" w:rsidRDefault="00F25246" w:rsidP="00F25246">
            <w:pPr>
              <w:jc w:val="right"/>
              <w:rPr>
                <w:sz w:val="10"/>
                <w:szCs w:val="10"/>
                <w:lang w:eastAsia="tr-TR"/>
              </w:rPr>
            </w:pPr>
            <w:r w:rsidRPr="00F25246">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2D6F3B83" w14:textId="77777777" w:rsidR="00F25246" w:rsidRPr="00F25246" w:rsidRDefault="00F25246" w:rsidP="00F25246">
            <w:pPr>
              <w:jc w:val="right"/>
              <w:rPr>
                <w:sz w:val="10"/>
                <w:szCs w:val="10"/>
                <w:lang w:eastAsia="tr-TR"/>
              </w:rPr>
            </w:pPr>
            <w:r w:rsidRPr="00F25246">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1F4AE569" w14:textId="77777777" w:rsidR="00F25246" w:rsidRPr="00F25246" w:rsidRDefault="00F25246" w:rsidP="00F25246">
            <w:pPr>
              <w:jc w:val="right"/>
              <w:rPr>
                <w:sz w:val="10"/>
                <w:szCs w:val="10"/>
                <w:lang w:eastAsia="tr-TR"/>
              </w:rPr>
            </w:pPr>
            <w:r w:rsidRPr="00F25246">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174FB84D" w14:textId="77777777" w:rsidR="00F25246" w:rsidRPr="00F25246" w:rsidRDefault="00F25246" w:rsidP="00F25246">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85E1C90" w14:textId="77777777" w:rsidR="00F25246" w:rsidRPr="00F25246" w:rsidRDefault="00F25246" w:rsidP="00F25246">
            <w:pPr>
              <w:jc w:val="right"/>
              <w:rPr>
                <w:sz w:val="10"/>
                <w:szCs w:val="10"/>
                <w:lang w:eastAsia="tr-TR"/>
              </w:rPr>
            </w:pPr>
            <w:r w:rsidRPr="00F25246">
              <w:rPr>
                <w:sz w:val="10"/>
                <w:szCs w:val="10"/>
                <w:lang w:eastAsia="tr-TR"/>
              </w:rPr>
              <w:t>28,613</w:t>
            </w:r>
          </w:p>
        </w:tc>
        <w:tc>
          <w:tcPr>
            <w:tcW w:w="549" w:type="dxa"/>
            <w:tcBorders>
              <w:top w:val="nil"/>
              <w:left w:val="single" w:sz="4" w:space="0" w:color="auto"/>
              <w:bottom w:val="nil"/>
              <w:right w:val="single" w:sz="4" w:space="0" w:color="auto"/>
            </w:tcBorders>
            <w:shd w:val="clear" w:color="auto" w:fill="auto"/>
            <w:vAlign w:val="center"/>
            <w:hideMark/>
          </w:tcPr>
          <w:p w14:paraId="7D7AC229" w14:textId="77777777" w:rsidR="00F25246" w:rsidRPr="00F25246" w:rsidRDefault="00F25246" w:rsidP="00F25246">
            <w:pPr>
              <w:jc w:val="right"/>
              <w:rPr>
                <w:b/>
                <w:bCs/>
                <w:sz w:val="10"/>
                <w:szCs w:val="10"/>
                <w:lang w:eastAsia="tr-TR"/>
              </w:rPr>
            </w:pPr>
            <w:r w:rsidRPr="00F25246">
              <w:rPr>
                <w:sz w:val="10"/>
                <w:szCs w:val="10"/>
                <w:lang w:eastAsia="tr-TR"/>
              </w:rPr>
              <w:t>(28,613</w:t>
            </w:r>
            <w:r w:rsidRPr="00F25246">
              <w:rPr>
                <w:b/>
                <w:bCs/>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697796C7" w14:textId="77777777" w:rsidR="00F25246" w:rsidRPr="00F25246" w:rsidRDefault="00F25246" w:rsidP="00F25246">
            <w:pPr>
              <w:jc w:val="right"/>
              <w:rPr>
                <w:sz w:val="10"/>
                <w:szCs w:val="10"/>
                <w:lang w:eastAsia="tr-TR"/>
              </w:rPr>
            </w:pPr>
            <w:r w:rsidRPr="00F25246">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2BE0421C" w14:textId="77777777" w:rsidR="00F25246" w:rsidRPr="00F25246" w:rsidRDefault="00F25246" w:rsidP="00F25246">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555502A3" w14:textId="77777777" w:rsidR="00F25246" w:rsidRPr="00F25246" w:rsidRDefault="00F25246" w:rsidP="00F25246">
            <w:pPr>
              <w:jc w:val="right"/>
              <w:rPr>
                <w:sz w:val="10"/>
                <w:szCs w:val="10"/>
                <w:lang w:eastAsia="tr-TR"/>
              </w:rPr>
            </w:pPr>
            <w:r w:rsidRPr="00F25246">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39531895" w14:textId="77777777" w:rsidR="00F25246" w:rsidRPr="00F25246" w:rsidRDefault="00F25246" w:rsidP="00F25246">
            <w:pPr>
              <w:jc w:val="right"/>
              <w:rPr>
                <w:sz w:val="10"/>
                <w:szCs w:val="10"/>
                <w:lang w:eastAsia="tr-TR"/>
              </w:rPr>
            </w:pPr>
            <w:r w:rsidRPr="00F25246">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43E2DF26" w14:textId="77777777" w:rsidR="00F25246" w:rsidRPr="00F25246" w:rsidRDefault="00F25246" w:rsidP="00F25246">
            <w:pPr>
              <w:jc w:val="right"/>
              <w:rPr>
                <w:sz w:val="10"/>
                <w:szCs w:val="10"/>
                <w:lang w:eastAsia="tr-TR"/>
              </w:rPr>
            </w:pPr>
            <w:r w:rsidRPr="00F25246">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71979888" w14:textId="77777777" w:rsidR="00F25246" w:rsidRPr="00F25246" w:rsidRDefault="00F25246" w:rsidP="00F25246">
            <w:pPr>
              <w:jc w:val="right"/>
              <w:rPr>
                <w:sz w:val="10"/>
                <w:szCs w:val="10"/>
                <w:lang w:eastAsia="tr-TR"/>
              </w:rPr>
            </w:pPr>
            <w:r w:rsidRPr="00F25246">
              <w:rPr>
                <w:sz w:val="10"/>
                <w:szCs w:val="10"/>
                <w:lang w:eastAsia="tr-TR"/>
              </w:rPr>
              <w:t>-</w:t>
            </w:r>
          </w:p>
        </w:tc>
      </w:tr>
      <w:tr w:rsidR="00D42791" w:rsidRPr="00F25246" w14:paraId="18394998" w14:textId="77777777" w:rsidTr="002E368F">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6C8CF724" w14:textId="77777777" w:rsidR="00F25246" w:rsidRPr="00F25246" w:rsidRDefault="00F25246" w:rsidP="00F25246">
            <w:pPr>
              <w:jc w:val="center"/>
              <w:rPr>
                <w:color w:val="000000"/>
                <w:sz w:val="10"/>
                <w:szCs w:val="10"/>
                <w:lang w:eastAsia="tr-TR"/>
              </w:rPr>
            </w:pPr>
            <w:r w:rsidRPr="00F25246">
              <w:rPr>
                <w:color w:val="000000"/>
                <w:sz w:val="10"/>
                <w:szCs w:val="10"/>
                <w:lang w:val="en-US" w:eastAsia="tr-TR"/>
              </w:rPr>
              <w:t>2.1</w:t>
            </w:r>
          </w:p>
        </w:tc>
        <w:tc>
          <w:tcPr>
            <w:tcW w:w="2019" w:type="dxa"/>
            <w:tcBorders>
              <w:top w:val="nil"/>
              <w:left w:val="single" w:sz="4" w:space="0" w:color="auto"/>
              <w:bottom w:val="nil"/>
              <w:right w:val="single" w:sz="4" w:space="0" w:color="auto"/>
            </w:tcBorders>
            <w:shd w:val="clear" w:color="auto" w:fill="auto"/>
            <w:noWrap/>
            <w:vAlign w:val="center"/>
            <w:hideMark/>
          </w:tcPr>
          <w:p w14:paraId="76F20754"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Hataların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Düzeltilmesinin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Etkisi</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3E10070B"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07EB0FA2" w14:textId="77777777" w:rsidR="00F25246" w:rsidRPr="00F25246" w:rsidRDefault="00F25246" w:rsidP="00F25246">
            <w:pPr>
              <w:jc w:val="right"/>
              <w:rPr>
                <w:sz w:val="10"/>
                <w:szCs w:val="10"/>
                <w:lang w:eastAsia="tr-TR"/>
              </w:rPr>
            </w:pPr>
            <w:r w:rsidRPr="00F25246">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5FC37D23" w14:textId="77777777" w:rsidR="00F25246" w:rsidRPr="00F25246" w:rsidRDefault="00F25246" w:rsidP="00F25246">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9A485E6" w14:textId="77777777" w:rsidR="00F25246" w:rsidRPr="00F25246" w:rsidRDefault="00F25246" w:rsidP="00F25246">
            <w:pPr>
              <w:jc w:val="right"/>
              <w:rPr>
                <w:sz w:val="10"/>
                <w:szCs w:val="10"/>
                <w:lang w:eastAsia="tr-TR"/>
              </w:rPr>
            </w:pPr>
            <w:r w:rsidRPr="00F25246">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67B1AEC1" w14:textId="77777777" w:rsidR="00F25246" w:rsidRPr="00F25246" w:rsidRDefault="00F25246" w:rsidP="00F25246">
            <w:pPr>
              <w:jc w:val="right"/>
              <w:rPr>
                <w:sz w:val="10"/>
                <w:szCs w:val="10"/>
                <w:lang w:eastAsia="tr-TR"/>
              </w:rPr>
            </w:pPr>
            <w:r w:rsidRPr="00F25246">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268A1907" w14:textId="77777777" w:rsidR="00F25246" w:rsidRPr="00F25246" w:rsidRDefault="00F25246" w:rsidP="00F25246">
            <w:pPr>
              <w:jc w:val="right"/>
              <w:rPr>
                <w:sz w:val="10"/>
                <w:szCs w:val="10"/>
                <w:lang w:eastAsia="tr-TR"/>
              </w:rPr>
            </w:pPr>
            <w:r w:rsidRPr="00F25246">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AEEDF23" w14:textId="77777777" w:rsidR="00F25246" w:rsidRPr="00F25246" w:rsidRDefault="00F25246" w:rsidP="00F25246">
            <w:pPr>
              <w:jc w:val="right"/>
              <w:rPr>
                <w:sz w:val="10"/>
                <w:szCs w:val="10"/>
                <w:lang w:eastAsia="tr-TR"/>
              </w:rPr>
            </w:pPr>
            <w:r w:rsidRPr="00F25246">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58F30107" w14:textId="77777777" w:rsidR="00F25246" w:rsidRPr="00F25246" w:rsidRDefault="00F25246" w:rsidP="00F25246">
            <w:pPr>
              <w:jc w:val="right"/>
              <w:rPr>
                <w:sz w:val="10"/>
                <w:szCs w:val="10"/>
                <w:lang w:eastAsia="tr-TR"/>
              </w:rPr>
            </w:pPr>
            <w:r w:rsidRPr="00F25246">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7D7B5609" w14:textId="77777777" w:rsidR="00F25246" w:rsidRPr="00F25246" w:rsidRDefault="00F25246" w:rsidP="00F25246">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7FA09811" w14:textId="77777777" w:rsidR="00F25246" w:rsidRPr="00F25246" w:rsidRDefault="00F25246" w:rsidP="00F25246">
            <w:pPr>
              <w:jc w:val="right"/>
              <w:rPr>
                <w:sz w:val="10"/>
                <w:szCs w:val="10"/>
                <w:lang w:eastAsia="tr-TR"/>
              </w:rPr>
            </w:pPr>
            <w:r w:rsidRPr="00F25246">
              <w:rPr>
                <w:sz w:val="10"/>
                <w:szCs w:val="10"/>
                <w:lang w:eastAsia="tr-TR"/>
              </w:rPr>
              <w:t>28,613</w:t>
            </w:r>
          </w:p>
        </w:tc>
        <w:tc>
          <w:tcPr>
            <w:tcW w:w="549" w:type="dxa"/>
            <w:tcBorders>
              <w:top w:val="nil"/>
              <w:left w:val="single" w:sz="4" w:space="0" w:color="auto"/>
              <w:bottom w:val="nil"/>
              <w:right w:val="single" w:sz="4" w:space="0" w:color="auto"/>
            </w:tcBorders>
            <w:shd w:val="clear" w:color="auto" w:fill="auto"/>
            <w:vAlign w:val="center"/>
            <w:hideMark/>
          </w:tcPr>
          <w:p w14:paraId="4EF6CDAB" w14:textId="77777777" w:rsidR="00F25246" w:rsidRPr="00F25246" w:rsidRDefault="00F25246" w:rsidP="00F25246">
            <w:pPr>
              <w:jc w:val="right"/>
              <w:rPr>
                <w:sz w:val="10"/>
                <w:szCs w:val="10"/>
                <w:lang w:eastAsia="tr-TR"/>
              </w:rPr>
            </w:pPr>
            <w:r w:rsidRPr="00F25246">
              <w:rPr>
                <w:sz w:val="10"/>
                <w:szCs w:val="10"/>
                <w:lang w:eastAsia="tr-TR"/>
              </w:rPr>
              <w:t>(28,613)</w:t>
            </w:r>
          </w:p>
        </w:tc>
        <w:tc>
          <w:tcPr>
            <w:tcW w:w="571" w:type="dxa"/>
            <w:tcBorders>
              <w:top w:val="nil"/>
              <w:left w:val="single" w:sz="4" w:space="0" w:color="auto"/>
              <w:bottom w:val="nil"/>
              <w:right w:val="single" w:sz="4" w:space="0" w:color="auto"/>
            </w:tcBorders>
            <w:shd w:val="clear" w:color="auto" w:fill="auto"/>
            <w:vAlign w:val="center"/>
            <w:hideMark/>
          </w:tcPr>
          <w:p w14:paraId="6D3CFEF2" w14:textId="77777777" w:rsidR="00F25246" w:rsidRPr="00F25246" w:rsidRDefault="00F25246" w:rsidP="00F25246">
            <w:pPr>
              <w:jc w:val="right"/>
              <w:rPr>
                <w:sz w:val="10"/>
                <w:szCs w:val="10"/>
                <w:lang w:eastAsia="tr-TR"/>
              </w:rPr>
            </w:pPr>
            <w:r w:rsidRPr="00F25246">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580D8459" w14:textId="77777777" w:rsidR="00F25246" w:rsidRPr="00F25246" w:rsidRDefault="00F25246" w:rsidP="00F25246">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99B1CAE" w14:textId="77777777" w:rsidR="00F25246" w:rsidRPr="00F25246" w:rsidRDefault="00F25246" w:rsidP="00F25246">
            <w:pPr>
              <w:jc w:val="right"/>
              <w:rPr>
                <w:sz w:val="10"/>
                <w:szCs w:val="10"/>
                <w:lang w:eastAsia="tr-TR"/>
              </w:rPr>
            </w:pPr>
            <w:r w:rsidRPr="00F25246">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6EA80A96" w14:textId="77777777" w:rsidR="00F25246" w:rsidRPr="00F25246" w:rsidRDefault="00F25246" w:rsidP="00F25246">
            <w:pPr>
              <w:jc w:val="right"/>
              <w:rPr>
                <w:sz w:val="10"/>
                <w:szCs w:val="10"/>
                <w:lang w:eastAsia="tr-TR"/>
              </w:rPr>
            </w:pPr>
            <w:r w:rsidRPr="00F25246">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3FAB125B" w14:textId="77777777" w:rsidR="00F25246" w:rsidRPr="00F25246" w:rsidRDefault="00F25246" w:rsidP="00F25246">
            <w:pPr>
              <w:jc w:val="right"/>
              <w:rPr>
                <w:sz w:val="10"/>
                <w:szCs w:val="10"/>
                <w:lang w:eastAsia="tr-TR"/>
              </w:rPr>
            </w:pPr>
            <w:r w:rsidRPr="00F25246">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20EBFC43" w14:textId="77777777" w:rsidR="00F25246" w:rsidRPr="00F25246" w:rsidRDefault="00F25246" w:rsidP="00F25246">
            <w:pPr>
              <w:jc w:val="right"/>
              <w:rPr>
                <w:sz w:val="10"/>
                <w:szCs w:val="10"/>
                <w:lang w:eastAsia="tr-TR"/>
              </w:rPr>
            </w:pPr>
            <w:r w:rsidRPr="00F25246">
              <w:rPr>
                <w:sz w:val="10"/>
                <w:szCs w:val="10"/>
                <w:lang w:eastAsia="tr-TR"/>
              </w:rPr>
              <w:t>-</w:t>
            </w:r>
          </w:p>
        </w:tc>
      </w:tr>
      <w:tr w:rsidR="00D42791" w:rsidRPr="00F25246" w14:paraId="1B0CE848"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68C908FC" w14:textId="77777777" w:rsidR="00F25246" w:rsidRPr="00F25246" w:rsidRDefault="00F25246" w:rsidP="00F25246">
            <w:pPr>
              <w:jc w:val="center"/>
              <w:rPr>
                <w:color w:val="000000"/>
                <w:sz w:val="10"/>
                <w:szCs w:val="10"/>
                <w:lang w:eastAsia="tr-TR"/>
              </w:rPr>
            </w:pPr>
            <w:r w:rsidRPr="00F25246">
              <w:rPr>
                <w:color w:val="000000"/>
                <w:sz w:val="10"/>
                <w:szCs w:val="10"/>
                <w:lang w:val="en-US" w:eastAsia="tr-TR"/>
              </w:rPr>
              <w:t>2.2</w:t>
            </w:r>
          </w:p>
        </w:tc>
        <w:tc>
          <w:tcPr>
            <w:tcW w:w="2019" w:type="dxa"/>
            <w:tcBorders>
              <w:top w:val="nil"/>
              <w:left w:val="single" w:sz="4" w:space="0" w:color="auto"/>
              <w:bottom w:val="nil"/>
              <w:right w:val="single" w:sz="4" w:space="0" w:color="auto"/>
            </w:tcBorders>
            <w:shd w:val="clear" w:color="auto" w:fill="auto"/>
            <w:noWrap/>
            <w:vAlign w:val="center"/>
            <w:hideMark/>
          </w:tcPr>
          <w:p w14:paraId="036A914E" w14:textId="77777777" w:rsidR="00F25246" w:rsidRPr="00F25246" w:rsidRDefault="00F25246" w:rsidP="00F25246">
            <w:pPr>
              <w:rPr>
                <w:color w:val="000000"/>
                <w:sz w:val="10"/>
                <w:szCs w:val="10"/>
                <w:lang w:eastAsia="tr-TR"/>
              </w:rPr>
            </w:pPr>
            <w:r w:rsidRPr="00F25246">
              <w:rPr>
                <w:color w:val="000000"/>
                <w:sz w:val="10"/>
                <w:szCs w:val="10"/>
                <w:lang w:val="en-US" w:eastAsia="tr-TR"/>
              </w:rPr>
              <w:t xml:space="preserve">Muhasebe </w:t>
            </w:r>
            <w:proofErr w:type="spellStart"/>
            <w:r w:rsidRPr="00F25246">
              <w:rPr>
                <w:color w:val="000000"/>
                <w:sz w:val="10"/>
                <w:szCs w:val="10"/>
                <w:lang w:val="en-US" w:eastAsia="tr-TR"/>
              </w:rPr>
              <w:t>Politikasında</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Yapılan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Değişikliklerin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Etkisi</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2A550413"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1A8A2339" w14:textId="77777777" w:rsidR="00F25246" w:rsidRPr="00F25246" w:rsidRDefault="00F25246" w:rsidP="00717AB5">
            <w:pPr>
              <w:jc w:val="right"/>
              <w:rPr>
                <w:sz w:val="10"/>
                <w:szCs w:val="10"/>
                <w:lang w:eastAsia="tr-TR"/>
              </w:rPr>
            </w:pPr>
            <w:r w:rsidRPr="00F25246">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4075FEC6" w14:textId="77777777" w:rsidR="00F25246" w:rsidRPr="00F25246" w:rsidRDefault="00F25246" w:rsidP="00717AB5">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09BBCD32" w14:textId="77777777" w:rsidR="00F25246" w:rsidRPr="00F25246" w:rsidRDefault="00F25246" w:rsidP="00717AB5">
            <w:pPr>
              <w:jc w:val="right"/>
              <w:rPr>
                <w:sz w:val="10"/>
                <w:szCs w:val="10"/>
                <w:lang w:eastAsia="tr-TR"/>
              </w:rPr>
            </w:pPr>
            <w:r w:rsidRPr="00F25246">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04BBB3C9" w14:textId="77777777" w:rsidR="00F25246" w:rsidRPr="00F25246" w:rsidRDefault="00F25246" w:rsidP="00717AB5">
            <w:pPr>
              <w:jc w:val="right"/>
              <w:rPr>
                <w:sz w:val="10"/>
                <w:szCs w:val="10"/>
                <w:lang w:eastAsia="tr-TR"/>
              </w:rPr>
            </w:pPr>
            <w:r w:rsidRPr="00F25246">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2FECD779" w14:textId="77777777" w:rsidR="00F25246" w:rsidRPr="00F25246" w:rsidRDefault="00F25246" w:rsidP="00717AB5">
            <w:pPr>
              <w:jc w:val="right"/>
              <w:rPr>
                <w:sz w:val="10"/>
                <w:szCs w:val="10"/>
                <w:lang w:eastAsia="tr-TR"/>
              </w:rPr>
            </w:pPr>
            <w:r w:rsidRPr="00F25246">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2C13124D" w14:textId="77777777" w:rsidR="00F25246" w:rsidRPr="00F25246" w:rsidRDefault="00F25246" w:rsidP="00717AB5">
            <w:pPr>
              <w:jc w:val="right"/>
              <w:rPr>
                <w:sz w:val="10"/>
                <w:szCs w:val="10"/>
                <w:lang w:eastAsia="tr-TR"/>
              </w:rPr>
            </w:pPr>
            <w:r w:rsidRPr="00F25246">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72B1E98A" w14:textId="77777777" w:rsidR="00F25246" w:rsidRPr="00F25246" w:rsidRDefault="00F25246" w:rsidP="00717AB5">
            <w:pPr>
              <w:jc w:val="right"/>
              <w:rPr>
                <w:sz w:val="10"/>
                <w:szCs w:val="10"/>
                <w:lang w:eastAsia="tr-TR"/>
              </w:rPr>
            </w:pPr>
            <w:r w:rsidRPr="00F25246">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2E593D9B" w14:textId="77777777" w:rsidR="00F25246" w:rsidRPr="00F25246" w:rsidRDefault="00F25246" w:rsidP="00717AB5">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09D417F" w14:textId="77777777" w:rsidR="00F25246" w:rsidRPr="00F25246" w:rsidRDefault="00F25246" w:rsidP="00717AB5">
            <w:pPr>
              <w:jc w:val="right"/>
              <w:rPr>
                <w:sz w:val="10"/>
                <w:szCs w:val="10"/>
                <w:lang w:eastAsia="tr-TR"/>
              </w:rPr>
            </w:pPr>
            <w:r w:rsidRPr="00F25246">
              <w:rPr>
                <w:sz w:val="10"/>
                <w:szCs w:val="10"/>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1BE664FA" w14:textId="77777777" w:rsidR="00F25246" w:rsidRPr="00F25246" w:rsidRDefault="00F25246" w:rsidP="00717AB5">
            <w:pPr>
              <w:jc w:val="right"/>
              <w:rPr>
                <w:sz w:val="10"/>
                <w:szCs w:val="10"/>
                <w:lang w:eastAsia="tr-TR"/>
              </w:rPr>
            </w:pPr>
            <w:r w:rsidRPr="00F25246">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70BC9B5E" w14:textId="77777777" w:rsidR="00F25246" w:rsidRPr="00F25246" w:rsidRDefault="00F25246" w:rsidP="00717AB5">
            <w:pPr>
              <w:jc w:val="right"/>
              <w:rPr>
                <w:sz w:val="10"/>
                <w:szCs w:val="10"/>
                <w:lang w:eastAsia="tr-TR"/>
              </w:rPr>
            </w:pPr>
            <w:r w:rsidRPr="00F25246">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0EA1491B" w14:textId="77777777" w:rsidR="00F25246" w:rsidRPr="00F25246" w:rsidRDefault="00F25246" w:rsidP="00717AB5">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5C7E5045" w14:textId="77777777" w:rsidR="00F25246" w:rsidRPr="00F25246" w:rsidRDefault="00F25246" w:rsidP="00717AB5">
            <w:pPr>
              <w:jc w:val="right"/>
              <w:rPr>
                <w:sz w:val="10"/>
                <w:szCs w:val="10"/>
                <w:lang w:eastAsia="tr-TR"/>
              </w:rPr>
            </w:pPr>
            <w:r w:rsidRPr="00F25246">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74DA617F" w14:textId="77777777" w:rsidR="00F25246" w:rsidRPr="00F25246" w:rsidRDefault="00F25246" w:rsidP="00717AB5">
            <w:pPr>
              <w:jc w:val="right"/>
              <w:rPr>
                <w:sz w:val="10"/>
                <w:szCs w:val="10"/>
                <w:lang w:eastAsia="tr-TR"/>
              </w:rPr>
            </w:pPr>
            <w:r w:rsidRPr="00F25246">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78DB3DB1" w14:textId="77777777" w:rsidR="00F25246" w:rsidRPr="00F25246" w:rsidRDefault="00F25246" w:rsidP="00717AB5">
            <w:pPr>
              <w:jc w:val="right"/>
              <w:rPr>
                <w:sz w:val="10"/>
                <w:szCs w:val="10"/>
                <w:lang w:eastAsia="tr-TR"/>
              </w:rPr>
            </w:pPr>
            <w:r w:rsidRPr="00F25246">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0DDAB98C" w14:textId="77777777" w:rsidR="00F25246" w:rsidRPr="00F25246" w:rsidRDefault="00F25246" w:rsidP="00717AB5">
            <w:pPr>
              <w:jc w:val="right"/>
              <w:rPr>
                <w:sz w:val="10"/>
                <w:szCs w:val="10"/>
                <w:lang w:eastAsia="tr-TR"/>
              </w:rPr>
            </w:pPr>
            <w:r w:rsidRPr="00F25246">
              <w:rPr>
                <w:sz w:val="10"/>
                <w:szCs w:val="10"/>
                <w:lang w:eastAsia="tr-TR"/>
              </w:rPr>
              <w:t>-</w:t>
            </w:r>
          </w:p>
        </w:tc>
      </w:tr>
      <w:tr w:rsidR="00D42791" w:rsidRPr="00F25246" w14:paraId="581A0274"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5937E361"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III.</w:t>
            </w:r>
          </w:p>
        </w:tc>
        <w:tc>
          <w:tcPr>
            <w:tcW w:w="2019" w:type="dxa"/>
            <w:tcBorders>
              <w:top w:val="nil"/>
              <w:left w:val="single" w:sz="4" w:space="0" w:color="auto"/>
              <w:bottom w:val="nil"/>
              <w:right w:val="single" w:sz="4" w:space="0" w:color="auto"/>
            </w:tcBorders>
            <w:shd w:val="clear" w:color="auto" w:fill="auto"/>
            <w:noWrap/>
            <w:vAlign w:val="center"/>
            <w:hideMark/>
          </w:tcPr>
          <w:p w14:paraId="501AD62E" w14:textId="77777777" w:rsidR="00F25246" w:rsidRPr="00F25246" w:rsidRDefault="00F25246" w:rsidP="00F25246">
            <w:pPr>
              <w:rPr>
                <w:b/>
                <w:bCs/>
                <w:color w:val="000000"/>
                <w:sz w:val="10"/>
                <w:szCs w:val="10"/>
                <w:lang w:eastAsia="tr-TR"/>
              </w:rPr>
            </w:pPr>
            <w:proofErr w:type="spellStart"/>
            <w:r w:rsidRPr="00F25246">
              <w:rPr>
                <w:b/>
                <w:bCs/>
                <w:color w:val="000000"/>
                <w:sz w:val="10"/>
                <w:szCs w:val="10"/>
                <w:lang w:val="en-US" w:eastAsia="tr-TR"/>
              </w:rPr>
              <w:t>Yeni</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Bakiye</w:t>
            </w:r>
            <w:proofErr w:type="spellEnd"/>
            <w:r w:rsidRPr="00F25246">
              <w:rPr>
                <w:b/>
                <w:bCs/>
                <w:color w:val="000000"/>
                <w:sz w:val="10"/>
                <w:szCs w:val="10"/>
                <w:lang w:val="en-US" w:eastAsia="tr-TR"/>
              </w:rPr>
              <w:t xml:space="preserve"> (I+II)</w:t>
            </w:r>
          </w:p>
        </w:tc>
        <w:tc>
          <w:tcPr>
            <w:tcW w:w="614" w:type="dxa"/>
            <w:tcBorders>
              <w:top w:val="nil"/>
              <w:left w:val="single" w:sz="4" w:space="0" w:color="auto"/>
              <w:bottom w:val="nil"/>
              <w:right w:val="single" w:sz="4" w:space="0" w:color="auto"/>
            </w:tcBorders>
            <w:shd w:val="clear" w:color="auto" w:fill="auto"/>
            <w:vAlign w:val="center"/>
            <w:hideMark/>
          </w:tcPr>
          <w:p w14:paraId="309789AA" w14:textId="77777777" w:rsidR="00F25246" w:rsidRPr="00F25246" w:rsidRDefault="00F25246" w:rsidP="00F25246">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40890843" w14:textId="77777777" w:rsidR="00F25246" w:rsidRPr="00F25246" w:rsidRDefault="00F25246" w:rsidP="00717AB5">
            <w:pPr>
              <w:jc w:val="right"/>
              <w:rPr>
                <w:b/>
                <w:sz w:val="10"/>
                <w:szCs w:val="10"/>
                <w:lang w:eastAsia="tr-TR"/>
              </w:rPr>
            </w:pPr>
            <w:r w:rsidRPr="00F25246">
              <w:rPr>
                <w:b/>
                <w:sz w:val="10"/>
                <w:szCs w:val="10"/>
                <w:lang w:eastAsia="tr-TR"/>
              </w:rPr>
              <w:t>3,497,322</w:t>
            </w:r>
          </w:p>
        </w:tc>
        <w:tc>
          <w:tcPr>
            <w:tcW w:w="872" w:type="dxa"/>
            <w:tcBorders>
              <w:top w:val="nil"/>
              <w:left w:val="single" w:sz="4" w:space="0" w:color="auto"/>
              <w:bottom w:val="nil"/>
              <w:right w:val="single" w:sz="4" w:space="0" w:color="auto"/>
            </w:tcBorders>
            <w:shd w:val="clear" w:color="auto" w:fill="auto"/>
            <w:vAlign w:val="bottom"/>
            <w:hideMark/>
          </w:tcPr>
          <w:p w14:paraId="640ED372" w14:textId="77777777" w:rsidR="00F25246" w:rsidRPr="00F25246" w:rsidRDefault="00F25246" w:rsidP="00717AB5">
            <w:pPr>
              <w:jc w:val="right"/>
              <w:rPr>
                <w:b/>
                <w:sz w:val="10"/>
                <w:szCs w:val="10"/>
                <w:lang w:eastAsia="tr-TR"/>
              </w:rPr>
            </w:pPr>
            <w:r w:rsidRPr="00F25246">
              <w:rPr>
                <w:b/>
                <w:sz w:val="10"/>
                <w:szCs w:val="10"/>
                <w:lang w:eastAsia="tr-TR"/>
              </w:rPr>
              <w:t>22,933</w:t>
            </w:r>
          </w:p>
        </w:tc>
        <w:tc>
          <w:tcPr>
            <w:tcW w:w="727" w:type="dxa"/>
            <w:tcBorders>
              <w:top w:val="nil"/>
              <w:left w:val="single" w:sz="4" w:space="0" w:color="auto"/>
              <w:bottom w:val="nil"/>
              <w:right w:val="single" w:sz="4" w:space="0" w:color="auto"/>
            </w:tcBorders>
            <w:shd w:val="clear" w:color="auto" w:fill="auto"/>
            <w:vAlign w:val="bottom"/>
            <w:hideMark/>
          </w:tcPr>
          <w:p w14:paraId="27D2A5D7" w14:textId="77777777" w:rsidR="00F25246" w:rsidRPr="00F25246" w:rsidRDefault="00F25246" w:rsidP="00717AB5">
            <w:pPr>
              <w:jc w:val="right"/>
              <w:rPr>
                <w:b/>
                <w:sz w:val="10"/>
                <w:szCs w:val="10"/>
                <w:lang w:eastAsia="tr-TR"/>
              </w:rPr>
            </w:pPr>
            <w:r w:rsidRPr="00F25246">
              <w:rPr>
                <w:b/>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5730F262" w14:textId="77777777" w:rsidR="00F25246" w:rsidRPr="00F25246" w:rsidRDefault="00F25246" w:rsidP="00717AB5">
            <w:pPr>
              <w:jc w:val="right"/>
              <w:rPr>
                <w:b/>
                <w:sz w:val="10"/>
                <w:szCs w:val="10"/>
                <w:lang w:eastAsia="tr-TR"/>
              </w:rPr>
            </w:pPr>
            <w:r w:rsidRPr="00F25246">
              <w:rPr>
                <w:b/>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0BCF8C2C" w14:textId="77777777" w:rsidR="00F25246" w:rsidRPr="00F25246" w:rsidRDefault="00F25246" w:rsidP="00717AB5">
            <w:pPr>
              <w:jc w:val="right"/>
              <w:rPr>
                <w:b/>
                <w:sz w:val="10"/>
                <w:szCs w:val="10"/>
                <w:lang w:eastAsia="tr-TR"/>
              </w:rPr>
            </w:pPr>
            <w:r w:rsidRPr="00F25246">
              <w:rPr>
                <w:b/>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34411D0C" w14:textId="77777777" w:rsidR="00F25246" w:rsidRPr="00F25246" w:rsidRDefault="00F25246" w:rsidP="00717AB5">
            <w:pPr>
              <w:jc w:val="right"/>
              <w:rPr>
                <w:b/>
                <w:sz w:val="10"/>
                <w:szCs w:val="10"/>
                <w:lang w:eastAsia="tr-TR"/>
              </w:rPr>
            </w:pPr>
            <w:r w:rsidRPr="00F25246">
              <w:rPr>
                <w:b/>
                <w:sz w:val="10"/>
                <w:szCs w:val="10"/>
                <w:lang w:eastAsia="tr-TR"/>
              </w:rPr>
              <w:t>(13,296)</w:t>
            </w:r>
          </w:p>
        </w:tc>
        <w:tc>
          <w:tcPr>
            <w:tcW w:w="583" w:type="dxa"/>
            <w:tcBorders>
              <w:top w:val="nil"/>
              <w:left w:val="single" w:sz="4" w:space="0" w:color="auto"/>
              <w:bottom w:val="nil"/>
              <w:right w:val="single" w:sz="4" w:space="0" w:color="auto"/>
            </w:tcBorders>
            <w:shd w:val="clear" w:color="auto" w:fill="auto"/>
            <w:vAlign w:val="bottom"/>
            <w:hideMark/>
          </w:tcPr>
          <w:p w14:paraId="41041D84" w14:textId="77777777" w:rsidR="00F25246" w:rsidRPr="00F25246" w:rsidRDefault="00F25246" w:rsidP="00717AB5">
            <w:pPr>
              <w:jc w:val="right"/>
              <w:rPr>
                <w:b/>
                <w:sz w:val="10"/>
                <w:szCs w:val="10"/>
                <w:lang w:eastAsia="tr-TR"/>
              </w:rPr>
            </w:pPr>
            <w:r w:rsidRPr="00F25246">
              <w:rPr>
                <w:b/>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55ED27B8" w14:textId="77777777" w:rsidR="00F25246" w:rsidRPr="00F25246" w:rsidRDefault="00F25246" w:rsidP="00717AB5">
            <w:pPr>
              <w:jc w:val="right"/>
              <w:rPr>
                <w:b/>
                <w:sz w:val="10"/>
                <w:szCs w:val="10"/>
                <w:lang w:eastAsia="tr-TR"/>
              </w:rPr>
            </w:pPr>
            <w:r w:rsidRPr="00F25246">
              <w:rPr>
                <w:b/>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0619A4B9" w14:textId="77777777" w:rsidR="00F25246" w:rsidRPr="00F25246" w:rsidRDefault="00F25246" w:rsidP="00717AB5">
            <w:pPr>
              <w:jc w:val="right"/>
              <w:rPr>
                <w:b/>
                <w:sz w:val="10"/>
                <w:szCs w:val="10"/>
                <w:lang w:eastAsia="tr-TR"/>
              </w:rPr>
            </w:pPr>
            <w:r w:rsidRPr="00F25246">
              <w:rPr>
                <w:b/>
                <w:sz w:val="10"/>
                <w:szCs w:val="10"/>
                <w:lang w:eastAsia="tr-TR"/>
              </w:rPr>
              <w:t>(88,537)</w:t>
            </w:r>
          </w:p>
        </w:tc>
        <w:tc>
          <w:tcPr>
            <w:tcW w:w="549" w:type="dxa"/>
            <w:tcBorders>
              <w:top w:val="nil"/>
              <w:left w:val="single" w:sz="4" w:space="0" w:color="auto"/>
              <w:bottom w:val="nil"/>
              <w:right w:val="single" w:sz="4" w:space="0" w:color="auto"/>
            </w:tcBorders>
            <w:shd w:val="clear" w:color="auto" w:fill="auto"/>
            <w:vAlign w:val="bottom"/>
            <w:hideMark/>
          </w:tcPr>
          <w:p w14:paraId="20D10FBF" w14:textId="77777777" w:rsidR="00F25246" w:rsidRPr="00F25246" w:rsidRDefault="00F25246" w:rsidP="00717AB5">
            <w:pPr>
              <w:jc w:val="right"/>
              <w:rPr>
                <w:b/>
                <w:sz w:val="10"/>
                <w:szCs w:val="10"/>
                <w:lang w:eastAsia="tr-TR"/>
              </w:rPr>
            </w:pPr>
            <w:r w:rsidRPr="00F25246">
              <w:rPr>
                <w:b/>
                <w:sz w:val="10"/>
                <w:szCs w:val="10"/>
                <w:lang w:eastAsia="tr-TR"/>
              </w:rPr>
              <w:t>7,583</w:t>
            </w:r>
          </w:p>
        </w:tc>
        <w:tc>
          <w:tcPr>
            <w:tcW w:w="571" w:type="dxa"/>
            <w:tcBorders>
              <w:top w:val="nil"/>
              <w:left w:val="single" w:sz="4" w:space="0" w:color="auto"/>
              <w:bottom w:val="nil"/>
              <w:right w:val="single" w:sz="4" w:space="0" w:color="auto"/>
            </w:tcBorders>
            <w:shd w:val="clear" w:color="auto" w:fill="auto"/>
            <w:vAlign w:val="bottom"/>
            <w:hideMark/>
          </w:tcPr>
          <w:p w14:paraId="0F55D141" w14:textId="77777777" w:rsidR="00F25246" w:rsidRPr="00F25246" w:rsidRDefault="00F25246" w:rsidP="00717AB5">
            <w:pPr>
              <w:jc w:val="right"/>
              <w:rPr>
                <w:b/>
                <w:sz w:val="10"/>
                <w:szCs w:val="10"/>
                <w:lang w:eastAsia="tr-TR"/>
              </w:rPr>
            </w:pPr>
            <w:r w:rsidRPr="00F25246">
              <w:rPr>
                <w:b/>
                <w:sz w:val="10"/>
                <w:szCs w:val="10"/>
                <w:lang w:eastAsia="tr-TR"/>
              </w:rPr>
              <w:t>1,107,196</w:t>
            </w:r>
          </w:p>
        </w:tc>
        <w:tc>
          <w:tcPr>
            <w:tcW w:w="788" w:type="dxa"/>
            <w:tcBorders>
              <w:top w:val="nil"/>
              <w:left w:val="single" w:sz="4" w:space="0" w:color="auto"/>
              <w:bottom w:val="nil"/>
              <w:right w:val="single" w:sz="4" w:space="0" w:color="auto"/>
            </w:tcBorders>
            <w:shd w:val="clear" w:color="auto" w:fill="auto"/>
            <w:vAlign w:val="bottom"/>
            <w:hideMark/>
          </w:tcPr>
          <w:p w14:paraId="6A496D4C" w14:textId="77777777" w:rsidR="00F25246" w:rsidRPr="00F25246" w:rsidRDefault="00F25246" w:rsidP="00717AB5">
            <w:pPr>
              <w:jc w:val="right"/>
              <w:rPr>
                <w:b/>
                <w:sz w:val="10"/>
                <w:szCs w:val="10"/>
                <w:lang w:eastAsia="tr-TR"/>
              </w:rPr>
            </w:pPr>
            <w:r w:rsidRPr="00F25246">
              <w:rPr>
                <w:b/>
                <w:sz w:val="10"/>
                <w:szCs w:val="10"/>
                <w:lang w:eastAsia="tr-TR"/>
              </w:rPr>
              <w:t>905,352</w:t>
            </w:r>
          </w:p>
        </w:tc>
        <w:tc>
          <w:tcPr>
            <w:tcW w:w="727" w:type="dxa"/>
            <w:tcBorders>
              <w:top w:val="nil"/>
              <w:left w:val="single" w:sz="4" w:space="0" w:color="auto"/>
              <w:bottom w:val="nil"/>
              <w:right w:val="single" w:sz="4" w:space="0" w:color="auto"/>
            </w:tcBorders>
            <w:shd w:val="clear" w:color="auto" w:fill="auto"/>
            <w:vAlign w:val="bottom"/>
            <w:hideMark/>
          </w:tcPr>
          <w:p w14:paraId="1DF2EFC7" w14:textId="77777777" w:rsidR="00F25246" w:rsidRPr="00F25246" w:rsidRDefault="00F25246" w:rsidP="00717AB5">
            <w:pPr>
              <w:jc w:val="right"/>
              <w:rPr>
                <w:b/>
                <w:sz w:val="10"/>
                <w:szCs w:val="10"/>
                <w:lang w:eastAsia="tr-TR"/>
              </w:rPr>
            </w:pPr>
            <w:r w:rsidRPr="00F25246">
              <w:rPr>
                <w:b/>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0BE55FBE" w14:textId="77777777" w:rsidR="00F25246" w:rsidRPr="00F25246" w:rsidRDefault="00F25246" w:rsidP="00717AB5">
            <w:pPr>
              <w:jc w:val="right"/>
              <w:rPr>
                <w:b/>
                <w:sz w:val="10"/>
                <w:szCs w:val="10"/>
                <w:lang w:eastAsia="tr-TR"/>
              </w:rPr>
            </w:pPr>
            <w:r w:rsidRPr="00F25246">
              <w:rPr>
                <w:b/>
                <w:sz w:val="10"/>
                <w:szCs w:val="10"/>
                <w:lang w:eastAsia="tr-TR"/>
              </w:rPr>
              <w:t>5,438,553</w:t>
            </w:r>
          </w:p>
        </w:tc>
        <w:tc>
          <w:tcPr>
            <w:tcW w:w="726" w:type="dxa"/>
            <w:tcBorders>
              <w:top w:val="nil"/>
              <w:left w:val="single" w:sz="4" w:space="0" w:color="auto"/>
              <w:bottom w:val="nil"/>
              <w:right w:val="single" w:sz="4" w:space="0" w:color="auto"/>
            </w:tcBorders>
            <w:shd w:val="clear" w:color="auto" w:fill="auto"/>
            <w:vAlign w:val="bottom"/>
            <w:hideMark/>
          </w:tcPr>
          <w:p w14:paraId="7996A335" w14:textId="77777777" w:rsidR="00F25246" w:rsidRPr="00F25246" w:rsidRDefault="00F25246" w:rsidP="00717AB5">
            <w:pPr>
              <w:jc w:val="right"/>
              <w:rPr>
                <w:b/>
                <w:sz w:val="10"/>
                <w:szCs w:val="10"/>
                <w:lang w:eastAsia="tr-TR"/>
              </w:rPr>
            </w:pPr>
            <w:r w:rsidRPr="00F25246">
              <w:rPr>
                <w:b/>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23002862" w14:textId="77777777" w:rsidR="00F25246" w:rsidRPr="00F25246" w:rsidRDefault="00F25246" w:rsidP="00717AB5">
            <w:pPr>
              <w:jc w:val="right"/>
              <w:rPr>
                <w:b/>
                <w:sz w:val="10"/>
                <w:szCs w:val="10"/>
                <w:lang w:eastAsia="tr-TR"/>
              </w:rPr>
            </w:pPr>
            <w:r w:rsidRPr="00F25246">
              <w:rPr>
                <w:b/>
                <w:sz w:val="10"/>
                <w:szCs w:val="10"/>
                <w:lang w:eastAsia="tr-TR"/>
              </w:rPr>
              <w:t>5,438,553</w:t>
            </w:r>
          </w:p>
        </w:tc>
      </w:tr>
      <w:tr w:rsidR="00D42791" w:rsidRPr="00F25246" w14:paraId="4EB8A4DE"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78DD0796"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IV.</w:t>
            </w:r>
          </w:p>
        </w:tc>
        <w:tc>
          <w:tcPr>
            <w:tcW w:w="2019" w:type="dxa"/>
            <w:tcBorders>
              <w:top w:val="nil"/>
              <w:left w:val="single" w:sz="4" w:space="0" w:color="auto"/>
              <w:bottom w:val="nil"/>
              <w:right w:val="single" w:sz="4" w:space="0" w:color="auto"/>
            </w:tcBorders>
            <w:shd w:val="clear" w:color="auto" w:fill="auto"/>
            <w:noWrap/>
            <w:vAlign w:val="center"/>
            <w:hideMark/>
          </w:tcPr>
          <w:p w14:paraId="5278F177" w14:textId="77777777" w:rsidR="00F25246" w:rsidRPr="00BB144B" w:rsidRDefault="00F25246" w:rsidP="00F25246">
            <w:pPr>
              <w:rPr>
                <w:color w:val="000000"/>
                <w:sz w:val="10"/>
                <w:szCs w:val="10"/>
                <w:lang w:eastAsia="tr-TR"/>
              </w:rPr>
            </w:pPr>
            <w:proofErr w:type="spellStart"/>
            <w:r w:rsidRPr="00BB144B">
              <w:rPr>
                <w:color w:val="000000"/>
                <w:sz w:val="10"/>
                <w:szCs w:val="10"/>
                <w:lang w:val="en-US" w:eastAsia="tr-TR"/>
              </w:rPr>
              <w:t>Toplam</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Kapsamlı</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Gelir</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04D43255" w14:textId="77777777" w:rsidR="00F25246" w:rsidRPr="00BB144B"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5B9BA106" w14:textId="77777777" w:rsidR="00F25246" w:rsidRPr="00BB144B" w:rsidRDefault="00F25246" w:rsidP="00717AB5">
            <w:pPr>
              <w:jc w:val="right"/>
              <w:rPr>
                <w:sz w:val="10"/>
                <w:szCs w:val="10"/>
                <w:lang w:eastAsia="tr-TR"/>
              </w:rPr>
            </w:pPr>
            <w:r w:rsidRPr="00BB14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7C7D3B38"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B55BD97"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53573993"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54488FA6"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7EBBA593" w14:textId="77777777" w:rsidR="00F25246" w:rsidRPr="00BB144B" w:rsidRDefault="00F25246" w:rsidP="00717AB5">
            <w:pPr>
              <w:jc w:val="right"/>
              <w:rPr>
                <w:sz w:val="10"/>
                <w:szCs w:val="10"/>
                <w:lang w:eastAsia="tr-TR"/>
              </w:rPr>
            </w:pPr>
            <w:r w:rsidRPr="00BB144B">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7FCBE32C" w14:textId="77777777" w:rsidR="00F25246" w:rsidRPr="00BB144B" w:rsidRDefault="00F25246" w:rsidP="00717AB5">
            <w:pPr>
              <w:jc w:val="right"/>
              <w:rPr>
                <w:sz w:val="10"/>
                <w:szCs w:val="10"/>
                <w:lang w:eastAsia="tr-TR"/>
              </w:rPr>
            </w:pPr>
            <w:r w:rsidRPr="00BB14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4BD7090B"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1382C0CB" w14:textId="77777777" w:rsidR="00F25246" w:rsidRPr="00BB144B" w:rsidRDefault="00F25246" w:rsidP="00717AB5">
            <w:pPr>
              <w:jc w:val="right"/>
              <w:rPr>
                <w:sz w:val="10"/>
                <w:szCs w:val="10"/>
                <w:lang w:eastAsia="tr-TR"/>
              </w:rPr>
            </w:pPr>
            <w:r w:rsidRPr="00BB144B">
              <w:rPr>
                <w:sz w:val="10"/>
                <w:szCs w:val="10"/>
                <w:lang w:eastAsia="tr-TR"/>
              </w:rPr>
              <w:t>176,735</w:t>
            </w:r>
          </w:p>
        </w:tc>
        <w:tc>
          <w:tcPr>
            <w:tcW w:w="549" w:type="dxa"/>
            <w:tcBorders>
              <w:top w:val="nil"/>
              <w:left w:val="single" w:sz="4" w:space="0" w:color="auto"/>
              <w:bottom w:val="nil"/>
              <w:right w:val="single" w:sz="4" w:space="0" w:color="auto"/>
            </w:tcBorders>
            <w:shd w:val="clear" w:color="auto" w:fill="auto"/>
            <w:vAlign w:val="bottom"/>
            <w:hideMark/>
          </w:tcPr>
          <w:p w14:paraId="1A2ADE66" w14:textId="77777777" w:rsidR="00F25246" w:rsidRPr="00BB144B" w:rsidRDefault="00F25246" w:rsidP="00717AB5">
            <w:pPr>
              <w:jc w:val="right"/>
              <w:rPr>
                <w:sz w:val="10"/>
                <w:szCs w:val="10"/>
                <w:lang w:eastAsia="tr-TR"/>
              </w:rPr>
            </w:pPr>
            <w:r w:rsidRPr="00BB144B">
              <w:rPr>
                <w:sz w:val="10"/>
                <w:szCs w:val="10"/>
                <w:lang w:eastAsia="tr-TR"/>
              </w:rPr>
              <w:t>(13,255)</w:t>
            </w:r>
          </w:p>
        </w:tc>
        <w:tc>
          <w:tcPr>
            <w:tcW w:w="571" w:type="dxa"/>
            <w:tcBorders>
              <w:top w:val="nil"/>
              <w:left w:val="single" w:sz="4" w:space="0" w:color="auto"/>
              <w:bottom w:val="nil"/>
              <w:right w:val="single" w:sz="4" w:space="0" w:color="auto"/>
            </w:tcBorders>
            <w:shd w:val="clear" w:color="auto" w:fill="auto"/>
            <w:vAlign w:val="bottom"/>
            <w:hideMark/>
          </w:tcPr>
          <w:p w14:paraId="79A2C0CC" w14:textId="77777777" w:rsidR="00F25246" w:rsidRPr="00BB144B" w:rsidRDefault="00F25246" w:rsidP="00717AB5">
            <w:pPr>
              <w:jc w:val="right"/>
              <w:rPr>
                <w:sz w:val="10"/>
                <w:szCs w:val="10"/>
                <w:lang w:eastAsia="tr-TR"/>
              </w:rPr>
            </w:pPr>
            <w:r w:rsidRPr="00BB14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73CB58D4"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5B1BADA2" w14:textId="77777777" w:rsidR="00F25246" w:rsidRPr="00BB144B" w:rsidRDefault="00F25246" w:rsidP="00717AB5">
            <w:pPr>
              <w:jc w:val="right"/>
              <w:rPr>
                <w:sz w:val="10"/>
                <w:szCs w:val="10"/>
                <w:lang w:eastAsia="tr-TR"/>
              </w:rPr>
            </w:pPr>
            <w:r w:rsidRPr="00BB144B">
              <w:rPr>
                <w:sz w:val="10"/>
                <w:szCs w:val="10"/>
                <w:lang w:eastAsia="tr-TR"/>
              </w:rPr>
              <w:t>777,496</w:t>
            </w:r>
          </w:p>
        </w:tc>
        <w:tc>
          <w:tcPr>
            <w:tcW w:w="873" w:type="dxa"/>
            <w:tcBorders>
              <w:top w:val="nil"/>
              <w:left w:val="single" w:sz="4" w:space="0" w:color="auto"/>
              <w:bottom w:val="nil"/>
              <w:right w:val="single" w:sz="4" w:space="0" w:color="auto"/>
            </w:tcBorders>
            <w:shd w:val="clear" w:color="auto" w:fill="auto"/>
            <w:vAlign w:val="bottom"/>
            <w:hideMark/>
          </w:tcPr>
          <w:p w14:paraId="4FE0F9FD" w14:textId="77777777" w:rsidR="00F25246" w:rsidRPr="00BB144B" w:rsidRDefault="00F25246" w:rsidP="00717AB5">
            <w:pPr>
              <w:jc w:val="right"/>
              <w:rPr>
                <w:sz w:val="10"/>
                <w:szCs w:val="10"/>
                <w:lang w:eastAsia="tr-TR"/>
              </w:rPr>
            </w:pPr>
            <w:r w:rsidRPr="00BB144B">
              <w:rPr>
                <w:sz w:val="10"/>
                <w:szCs w:val="10"/>
                <w:lang w:eastAsia="tr-TR"/>
              </w:rPr>
              <w:t>940,976</w:t>
            </w:r>
          </w:p>
        </w:tc>
        <w:tc>
          <w:tcPr>
            <w:tcW w:w="726" w:type="dxa"/>
            <w:tcBorders>
              <w:top w:val="nil"/>
              <w:left w:val="single" w:sz="4" w:space="0" w:color="auto"/>
              <w:bottom w:val="nil"/>
              <w:right w:val="single" w:sz="4" w:space="0" w:color="auto"/>
            </w:tcBorders>
            <w:shd w:val="clear" w:color="auto" w:fill="auto"/>
            <w:vAlign w:val="bottom"/>
            <w:hideMark/>
          </w:tcPr>
          <w:p w14:paraId="04E34C76" w14:textId="77777777" w:rsidR="00F25246" w:rsidRPr="00BB144B" w:rsidRDefault="00F25246" w:rsidP="00717AB5">
            <w:pPr>
              <w:jc w:val="right"/>
              <w:rPr>
                <w:sz w:val="10"/>
                <w:szCs w:val="10"/>
                <w:lang w:eastAsia="tr-TR"/>
              </w:rPr>
            </w:pPr>
            <w:r w:rsidRPr="00BB14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1EF8ED69" w14:textId="77777777" w:rsidR="00F25246" w:rsidRPr="00BB144B" w:rsidRDefault="00F25246" w:rsidP="00717AB5">
            <w:pPr>
              <w:jc w:val="right"/>
              <w:rPr>
                <w:sz w:val="10"/>
                <w:szCs w:val="10"/>
                <w:lang w:eastAsia="tr-TR"/>
              </w:rPr>
            </w:pPr>
            <w:r w:rsidRPr="00BB144B">
              <w:rPr>
                <w:sz w:val="10"/>
                <w:szCs w:val="10"/>
                <w:lang w:eastAsia="tr-TR"/>
              </w:rPr>
              <w:t>940,976</w:t>
            </w:r>
          </w:p>
        </w:tc>
      </w:tr>
      <w:tr w:rsidR="00D42791" w:rsidRPr="00F25246" w14:paraId="682C0D89"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1C99BCAE"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V.</w:t>
            </w:r>
          </w:p>
        </w:tc>
        <w:tc>
          <w:tcPr>
            <w:tcW w:w="2019" w:type="dxa"/>
            <w:tcBorders>
              <w:top w:val="nil"/>
              <w:left w:val="single" w:sz="4" w:space="0" w:color="auto"/>
              <w:bottom w:val="nil"/>
              <w:right w:val="single" w:sz="4" w:space="0" w:color="auto"/>
            </w:tcBorders>
            <w:shd w:val="clear" w:color="auto" w:fill="auto"/>
            <w:noWrap/>
            <w:vAlign w:val="center"/>
            <w:hideMark/>
          </w:tcPr>
          <w:p w14:paraId="50E8257E" w14:textId="77777777" w:rsidR="00F25246" w:rsidRPr="00BB144B" w:rsidRDefault="00F25246" w:rsidP="00F25246">
            <w:pPr>
              <w:rPr>
                <w:color w:val="000000"/>
                <w:sz w:val="10"/>
                <w:szCs w:val="10"/>
                <w:lang w:eastAsia="tr-TR"/>
              </w:rPr>
            </w:pPr>
            <w:proofErr w:type="spellStart"/>
            <w:r w:rsidRPr="00BB144B">
              <w:rPr>
                <w:color w:val="000000"/>
                <w:sz w:val="10"/>
                <w:szCs w:val="10"/>
                <w:lang w:val="en-US" w:eastAsia="tr-TR"/>
              </w:rPr>
              <w:t>Nakden</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Gerçekleştirilen</w:t>
            </w:r>
            <w:proofErr w:type="spellEnd"/>
            <w:r w:rsidRPr="00BB144B">
              <w:rPr>
                <w:color w:val="000000"/>
                <w:sz w:val="10"/>
                <w:szCs w:val="10"/>
                <w:lang w:val="en-US" w:eastAsia="tr-TR"/>
              </w:rPr>
              <w:t xml:space="preserve"> Sermaye </w:t>
            </w:r>
            <w:proofErr w:type="spellStart"/>
            <w:r w:rsidRPr="00BB144B">
              <w:rPr>
                <w:color w:val="000000"/>
                <w:sz w:val="10"/>
                <w:szCs w:val="10"/>
                <w:lang w:val="en-US" w:eastAsia="tr-TR"/>
              </w:rPr>
              <w:t>Artırımı</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74F33B25" w14:textId="77777777" w:rsidR="00F25246" w:rsidRPr="00BB144B"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3230FB9E" w14:textId="77777777" w:rsidR="00F25246" w:rsidRPr="00BB144B" w:rsidRDefault="00F25246" w:rsidP="00717AB5">
            <w:pPr>
              <w:jc w:val="right"/>
              <w:rPr>
                <w:sz w:val="10"/>
                <w:szCs w:val="10"/>
                <w:lang w:eastAsia="tr-TR"/>
              </w:rPr>
            </w:pPr>
            <w:r w:rsidRPr="00BB14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1C31BBEF"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B038A01"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11D21B76"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44744234"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3B1C918B" w14:textId="77777777" w:rsidR="00F25246" w:rsidRPr="00BB144B" w:rsidRDefault="00F25246" w:rsidP="00717AB5">
            <w:pPr>
              <w:jc w:val="right"/>
              <w:rPr>
                <w:sz w:val="10"/>
                <w:szCs w:val="10"/>
                <w:lang w:eastAsia="tr-TR"/>
              </w:rPr>
            </w:pPr>
            <w:r w:rsidRPr="00BB144B">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5208545E" w14:textId="77777777" w:rsidR="00F25246" w:rsidRPr="00BB144B" w:rsidRDefault="00F25246" w:rsidP="00717AB5">
            <w:pPr>
              <w:jc w:val="right"/>
              <w:rPr>
                <w:sz w:val="10"/>
                <w:szCs w:val="10"/>
                <w:lang w:eastAsia="tr-TR"/>
              </w:rPr>
            </w:pPr>
            <w:r w:rsidRPr="00BB14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24996FF1"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2D684991" w14:textId="77777777" w:rsidR="00F25246" w:rsidRPr="00BB144B" w:rsidRDefault="00F25246" w:rsidP="00717AB5">
            <w:pPr>
              <w:jc w:val="right"/>
              <w:rPr>
                <w:sz w:val="10"/>
                <w:szCs w:val="10"/>
                <w:lang w:eastAsia="tr-TR"/>
              </w:rPr>
            </w:pPr>
            <w:r w:rsidRPr="00BB144B">
              <w:rPr>
                <w:sz w:val="10"/>
                <w:szCs w:val="10"/>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14DB116D" w14:textId="77777777" w:rsidR="00F25246" w:rsidRPr="00BB144B" w:rsidRDefault="00F25246" w:rsidP="00717AB5">
            <w:pPr>
              <w:jc w:val="right"/>
              <w:rPr>
                <w:sz w:val="10"/>
                <w:szCs w:val="10"/>
                <w:lang w:eastAsia="tr-TR"/>
              </w:rPr>
            </w:pPr>
            <w:r w:rsidRPr="00BB14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33383C98" w14:textId="77777777" w:rsidR="00F25246" w:rsidRPr="00BB144B" w:rsidRDefault="00F25246" w:rsidP="00717AB5">
            <w:pPr>
              <w:jc w:val="right"/>
              <w:rPr>
                <w:sz w:val="10"/>
                <w:szCs w:val="10"/>
                <w:lang w:eastAsia="tr-TR"/>
              </w:rPr>
            </w:pPr>
            <w:r w:rsidRPr="00BB14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0F795D53"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DFE0548"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551D639C" w14:textId="77777777" w:rsidR="00F25246" w:rsidRPr="00BB144B" w:rsidRDefault="00F25246" w:rsidP="00717AB5">
            <w:pPr>
              <w:jc w:val="right"/>
              <w:rPr>
                <w:sz w:val="10"/>
                <w:szCs w:val="10"/>
                <w:lang w:eastAsia="tr-TR"/>
              </w:rPr>
            </w:pPr>
            <w:r w:rsidRPr="00BB14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63834A4F" w14:textId="77777777" w:rsidR="00F25246" w:rsidRPr="00BB144B" w:rsidRDefault="00F25246" w:rsidP="00717AB5">
            <w:pPr>
              <w:jc w:val="right"/>
              <w:rPr>
                <w:sz w:val="10"/>
                <w:szCs w:val="10"/>
                <w:lang w:eastAsia="tr-TR"/>
              </w:rPr>
            </w:pPr>
            <w:r w:rsidRPr="00BB14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3EC6B575" w14:textId="77777777" w:rsidR="00F25246" w:rsidRPr="00BB144B" w:rsidRDefault="00F25246" w:rsidP="00717AB5">
            <w:pPr>
              <w:jc w:val="right"/>
              <w:rPr>
                <w:sz w:val="10"/>
                <w:szCs w:val="10"/>
                <w:lang w:eastAsia="tr-TR"/>
              </w:rPr>
            </w:pPr>
            <w:r w:rsidRPr="00BB144B">
              <w:rPr>
                <w:sz w:val="10"/>
                <w:szCs w:val="10"/>
                <w:lang w:eastAsia="tr-TR"/>
              </w:rPr>
              <w:t>-</w:t>
            </w:r>
          </w:p>
        </w:tc>
      </w:tr>
      <w:tr w:rsidR="00D42791" w:rsidRPr="00F25246" w14:paraId="4432B97A"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7D103E45"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VI.</w:t>
            </w:r>
          </w:p>
        </w:tc>
        <w:tc>
          <w:tcPr>
            <w:tcW w:w="2019" w:type="dxa"/>
            <w:tcBorders>
              <w:top w:val="nil"/>
              <w:left w:val="single" w:sz="4" w:space="0" w:color="auto"/>
              <w:bottom w:val="nil"/>
              <w:right w:val="single" w:sz="4" w:space="0" w:color="auto"/>
            </w:tcBorders>
            <w:shd w:val="clear" w:color="auto" w:fill="auto"/>
            <w:noWrap/>
            <w:vAlign w:val="center"/>
            <w:hideMark/>
          </w:tcPr>
          <w:p w14:paraId="7331E6C8" w14:textId="77777777" w:rsidR="00F25246" w:rsidRPr="00BB144B" w:rsidRDefault="00F25246" w:rsidP="00F25246">
            <w:pPr>
              <w:rPr>
                <w:color w:val="000000"/>
                <w:sz w:val="10"/>
                <w:szCs w:val="10"/>
                <w:lang w:eastAsia="tr-TR"/>
              </w:rPr>
            </w:pPr>
            <w:r w:rsidRPr="00BB144B">
              <w:rPr>
                <w:color w:val="000000"/>
                <w:sz w:val="10"/>
                <w:szCs w:val="10"/>
                <w:lang w:val="en-US" w:eastAsia="tr-TR"/>
              </w:rPr>
              <w:t xml:space="preserve">İç </w:t>
            </w:r>
            <w:proofErr w:type="spellStart"/>
            <w:r w:rsidRPr="00BB144B">
              <w:rPr>
                <w:color w:val="000000"/>
                <w:sz w:val="10"/>
                <w:szCs w:val="10"/>
                <w:lang w:val="en-US" w:eastAsia="tr-TR"/>
              </w:rPr>
              <w:t>Kaynaklardan</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Gerçekleştirilen</w:t>
            </w:r>
            <w:proofErr w:type="spellEnd"/>
            <w:r w:rsidRPr="00BB144B">
              <w:rPr>
                <w:color w:val="000000"/>
                <w:sz w:val="10"/>
                <w:szCs w:val="10"/>
                <w:lang w:val="en-US" w:eastAsia="tr-TR"/>
              </w:rPr>
              <w:t xml:space="preserve"> Sermaye </w:t>
            </w:r>
            <w:proofErr w:type="spellStart"/>
            <w:r w:rsidRPr="00BB144B">
              <w:rPr>
                <w:color w:val="000000"/>
                <w:sz w:val="10"/>
                <w:szCs w:val="10"/>
                <w:lang w:val="en-US" w:eastAsia="tr-TR"/>
              </w:rPr>
              <w:t>Artırımı</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5C6F8176" w14:textId="77777777" w:rsidR="00F25246" w:rsidRPr="00BB144B"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3CC680FB" w14:textId="77777777" w:rsidR="00F25246" w:rsidRPr="00BB144B" w:rsidRDefault="00F25246" w:rsidP="00717AB5">
            <w:pPr>
              <w:jc w:val="right"/>
              <w:rPr>
                <w:sz w:val="10"/>
                <w:szCs w:val="10"/>
                <w:lang w:eastAsia="tr-TR"/>
              </w:rPr>
            </w:pPr>
            <w:r w:rsidRPr="00BB144B">
              <w:rPr>
                <w:sz w:val="10"/>
                <w:szCs w:val="10"/>
                <w:lang w:eastAsia="tr-TR"/>
              </w:rPr>
              <w:t>500,000</w:t>
            </w:r>
          </w:p>
        </w:tc>
        <w:tc>
          <w:tcPr>
            <w:tcW w:w="872" w:type="dxa"/>
            <w:tcBorders>
              <w:top w:val="nil"/>
              <w:left w:val="single" w:sz="4" w:space="0" w:color="auto"/>
              <w:bottom w:val="nil"/>
              <w:right w:val="single" w:sz="4" w:space="0" w:color="auto"/>
            </w:tcBorders>
            <w:shd w:val="clear" w:color="auto" w:fill="auto"/>
            <w:vAlign w:val="bottom"/>
            <w:hideMark/>
          </w:tcPr>
          <w:p w14:paraId="264EF35A"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DDA9930"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0633A9F2"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070B64C9"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5B262B84" w14:textId="77777777" w:rsidR="00F25246" w:rsidRPr="00BB144B" w:rsidRDefault="00F25246" w:rsidP="00717AB5">
            <w:pPr>
              <w:jc w:val="right"/>
              <w:rPr>
                <w:sz w:val="10"/>
                <w:szCs w:val="10"/>
                <w:lang w:eastAsia="tr-TR"/>
              </w:rPr>
            </w:pPr>
            <w:r w:rsidRPr="00BB144B">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2603F24" w14:textId="77777777" w:rsidR="00F25246" w:rsidRPr="00BB144B" w:rsidRDefault="00F25246" w:rsidP="00717AB5">
            <w:pPr>
              <w:jc w:val="right"/>
              <w:rPr>
                <w:sz w:val="10"/>
                <w:szCs w:val="10"/>
                <w:lang w:eastAsia="tr-TR"/>
              </w:rPr>
            </w:pPr>
            <w:r w:rsidRPr="00BB14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21634044"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77A531AA" w14:textId="77777777" w:rsidR="00F25246" w:rsidRPr="00BB144B" w:rsidRDefault="00F25246" w:rsidP="00717AB5">
            <w:pPr>
              <w:jc w:val="right"/>
              <w:rPr>
                <w:sz w:val="10"/>
                <w:szCs w:val="10"/>
                <w:lang w:eastAsia="tr-TR"/>
              </w:rPr>
            </w:pPr>
            <w:r w:rsidRPr="00BB144B">
              <w:rPr>
                <w:sz w:val="10"/>
                <w:szCs w:val="10"/>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176F331B" w14:textId="77777777" w:rsidR="00F25246" w:rsidRPr="00BB144B" w:rsidRDefault="00F25246" w:rsidP="00717AB5">
            <w:pPr>
              <w:jc w:val="right"/>
              <w:rPr>
                <w:sz w:val="10"/>
                <w:szCs w:val="10"/>
                <w:lang w:eastAsia="tr-TR"/>
              </w:rPr>
            </w:pPr>
            <w:r w:rsidRPr="00BB14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20085F76" w14:textId="77777777" w:rsidR="00F25246" w:rsidRPr="00BB144B" w:rsidRDefault="00F25246" w:rsidP="00717AB5">
            <w:pPr>
              <w:jc w:val="right"/>
              <w:rPr>
                <w:sz w:val="10"/>
                <w:szCs w:val="10"/>
                <w:lang w:eastAsia="tr-TR"/>
              </w:rPr>
            </w:pPr>
            <w:r w:rsidRPr="00BB144B">
              <w:rPr>
                <w:sz w:val="10"/>
                <w:szCs w:val="10"/>
                <w:lang w:eastAsia="tr-TR"/>
              </w:rPr>
              <w:t>(500,000)</w:t>
            </w:r>
          </w:p>
        </w:tc>
        <w:tc>
          <w:tcPr>
            <w:tcW w:w="788" w:type="dxa"/>
            <w:tcBorders>
              <w:top w:val="nil"/>
              <w:left w:val="single" w:sz="4" w:space="0" w:color="auto"/>
              <w:bottom w:val="nil"/>
              <w:right w:val="single" w:sz="4" w:space="0" w:color="auto"/>
            </w:tcBorders>
            <w:shd w:val="clear" w:color="auto" w:fill="auto"/>
            <w:vAlign w:val="bottom"/>
            <w:hideMark/>
          </w:tcPr>
          <w:p w14:paraId="7C4304BC"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2199C74"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1B93E73C" w14:textId="77777777" w:rsidR="00F25246" w:rsidRPr="00BB144B" w:rsidRDefault="00F25246" w:rsidP="00717AB5">
            <w:pPr>
              <w:jc w:val="right"/>
              <w:rPr>
                <w:sz w:val="10"/>
                <w:szCs w:val="10"/>
                <w:lang w:eastAsia="tr-TR"/>
              </w:rPr>
            </w:pPr>
            <w:r w:rsidRPr="00BB14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141A9B27" w14:textId="77777777" w:rsidR="00F25246" w:rsidRPr="00BB144B" w:rsidRDefault="00F25246" w:rsidP="00717AB5">
            <w:pPr>
              <w:jc w:val="right"/>
              <w:rPr>
                <w:sz w:val="10"/>
                <w:szCs w:val="10"/>
                <w:lang w:eastAsia="tr-TR"/>
              </w:rPr>
            </w:pPr>
            <w:r w:rsidRPr="00BB14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5BBEDD0A" w14:textId="77777777" w:rsidR="00F25246" w:rsidRPr="00BB144B" w:rsidRDefault="00F25246" w:rsidP="00717AB5">
            <w:pPr>
              <w:jc w:val="right"/>
              <w:rPr>
                <w:sz w:val="10"/>
                <w:szCs w:val="10"/>
                <w:lang w:eastAsia="tr-TR"/>
              </w:rPr>
            </w:pPr>
            <w:r w:rsidRPr="00BB144B">
              <w:rPr>
                <w:sz w:val="10"/>
                <w:szCs w:val="10"/>
                <w:lang w:eastAsia="tr-TR"/>
              </w:rPr>
              <w:t>-</w:t>
            </w:r>
          </w:p>
        </w:tc>
      </w:tr>
      <w:tr w:rsidR="00D42791" w:rsidRPr="00F25246" w14:paraId="74F4FCD9"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690245EC"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VII.</w:t>
            </w:r>
          </w:p>
        </w:tc>
        <w:tc>
          <w:tcPr>
            <w:tcW w:w="2019" w:type="dxa"/>
            <w:tcBorders>
              <w:top w:val="nil"/>
              <w:left w:val="single" w:sz="4" w:space="0" w:color="auto"/>
              <w:bottom w:val="nil"/>
              <w:right w:val="single" w:sz="4" w:space="0" w:color="auto"/>
            </w:tcBorders>
            <w:shd w:val="clear" w:color="auto" w:fill="auto"/>
            <w:vAlign w:val="center"/>
            <w:hideMark/>
          </w:tcPr>
          <w:p w14:paraId="17416F50" w14:textId="77777777" w:rsidR="00F25246" w:rsidRPr="00BB144B" w:rsidRDefault="00F25246" w:rsidP="00F25246">
            <w:pPr>
              <w:rPr>
                <w:color w:val="000000"/>
                <w:sz w:val="10"/>
                <w:szCs w:val="10"/>
                <w:lang w:eastAsia="tr-TR"/>
              </w:rPr>
            </w:pPr>
            <w:proofErr w:type="spellStart"/>
            <w:r w:rsidRPr="00BB144B">
              <w:rPr>
                <w:color w:val="000000"/>
                <w:sz w:val="10"/>
                <w:szCs w:val="10"/>
                <w:lang w:val="en-US" w:eastAsia="tr-TR"/>
              </w:rPr>
              <w:t>Ödenmiş</w:t>
            </w:r>
            <w:proofErr w:type="spellEnd"/>
            <w:r w:rsidRPr="00BB144B">
              <w:rPr>
                <w:color w:val="000000"/>
                <w:sz w:val="10"/>
                <w:szCs w:val="10"/>
                <w:lang w:val="en-US" w:eastAsia="tr-TR"/>
              </w:rPr>
              <w:t xml:space="preserve"> Sermaye </w:t>
            </w:r>
            <w:proofErr w:type="spellStart"/>
            <w:r w:rsidRPr="00BB144B">
              <w:rPr>
                <w:color w:val="000000"/>
                <w:sz w:val="10"/>
                <w:szCs w:val="10"/>
                <w:lang w:val="en-US" w:eastAsia="tr-TR"/>
              </w:rPr>
              <w:t>Enflasyon</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Düzeltme</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Farkı</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44581E36" w14:textId="77777777" w:rsidR="00F25246" w:rsidRPr="00BB144B"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038BE8C5" w14:textId="77777777" w:rsidR="00F25246" w:rsidRPr="00BB144B" w:rsidRDefault="00F25246" w:rsidP="00717AB5">
            <w:pPr>
              <w:jc w:val="right"/>
              <w:rPr>
                <w:sz w:val="10"/>
                <w:szCs w:val="10"/>
                <w:lang w:eastAsia="tr-TR"/>
              </w:rPr>
            </w:pPr>
            <w:r w:rsidRPr="00BB14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296D774E"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786A57A"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338737BA"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65719E74"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52D8B7B5" w14:textId="77777777" w:rsidR="00F25246" w:rsidRPr="00BB144B" w:rsidRDefault="00F25246" w:rsidP="00717AB5">
            <w:pPr>
              <w:jc w:val="right"/>
              <w:rPr>
                <w:sz w:val="10"/>
                <w:szCs w:val="10"/>
                <w:lang w:eastAsia="tr-TR"/>
              </w:rPr>
            </w:pPr>
            <w:r w:rsidRPr="00BB144B">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5F0C8659" w14:textId="77777777" w:rsidR="00F25246" w:rsidRPr="00BB144B" w:rsidRDefault="00F25246" w:rsidP="00717AB5">
            <w:pPr>
              <w:jc w:val="right"/>
              <w:rPr>
                <w:sz w:val="10"/>
                <w:szCs w:val="10"/>
                <w:lang w:eastAsia="tr-TR"/>
              </w:rPr>
            </w:pPr>
            <w:r w:rsidRPr="00BB14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7E8AFE3D"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548584E" w14:textId="77777777" w:rsidR="00F25246" w:rsidRPr="00BB144B" w:rsidRDefault="00F25246" w:rsidP="00717AB5">
            <w:pPr>
              <w:jc w:val="right"/>
              <w:rPr>
                <w:sz w:val="10"/>
                <w:szCs w:val="10"/>
                <w:lang w:eastAsia="tr-TR"/>
              </w:rPr>
            </w:pPr>
            <w:r w:rsidRPr="00BB144B">
              <w:rPr>
                <w:sz w:val="10"/>
                <w:szCs w:val="10"/>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337082C7" w14:textId="77777777" w:rsidR="00F25246" w:rsidRPr="00BB144B" w:rsidRDefault="00F25246" w:rsidP="00717AB5">
            <w:pPr>
              <w:jc w:val="right"/>
              <w:rPr>
                <w:sz w:val="10"/>
                <w:szCs w:val="10"/>
                <w:lang w:eastAsia="tr-TR"/>
              </w:rPr>
            </w:pPr>
            <w:r w:rsidRPr="00BB14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7E55C8FB" w14:textId="77777777" w:rsidR="00F25246" w:rsidRPr="00BB144B" w:rsidRDefault="00F25246" w:rsidP="00717AB5">
            <w:pPr>
              <w:jc w:val="right"/>
              <w:rPr>
                <w:sz w:val="10"/>
                <w:szCs w:val="10"/>
                <w:lang w:eastAsia="tr-TR"/>
              </w:rPr>
            </w:pPr>
            <w:r w:rsidRPr="00BB14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3C0C4A55"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E8C702D"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2CB84B43" w14:textId="77777777" w:rsidR="00F25246" w:rsidRPr="00BB144B" w:rsidRDefault="00F25246" w:rsidP="00717AB5">
            <w:pPr>
              <w:jc w:val="right"/>
              <w:rPr>
                <w:sz w:val="10"/>
                <w:szCs w:val="10"/>
                <w:lang w:eastAsia="tr-TR"/>
              </w:rPr>
            </w:pPr>
            <w:r w:rsidRPr="00BB14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352C05CF" w14:textId="77777777" w:rsidR="00F25246" w:rsidRPr="00BB144B" w:rsidRDefault="00F25246" w:rsidP="00717AB5">
            <w:pPr>
              <w:jc w:val="right"/>
              <w:rPr>
                <w:sz w:val="10"/>
                <w:szCs w:val="10"/>
                <w:lang w:eastAsia="tr-TR"/>
              </w:rPr>
            </w:pPr>
            <w:r w:rsidRPr="00BB14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74E7A013" w14:textId="77777777" w:rsidR="00F25246" w:rsidRPr="00BB144B" w:rsidRDefault="00F25246" w:rsidP="00717AB5">
            <w:pPr>
              <w:jc w:val="right"/>
              <w:rPr>
                <w:sz w:val="10"/>
                <w:szCs w:val="10"/>
                <w:lang w:eastAsia="tr-TR"/>
              </w:rPr>
            </w:pPr>
            <w:r w:rsidRPr="00BB144B">
              <w:rPr>
                <w:sz w:val="10"/>
                <w:szCs w:val="10"/>
                <w:lang w:eastAsia="tr-TR"/>
              </w:rPr>
              <w:t>-</w:t>
            </w:r>
          </w:p>
        </w:tc>
      </w:tr>
      <w:tr w:rsidR="00D42791" w:rsidRPr="00F25246" w14:paraId="0D3834F4"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75950C16"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VIII.</w:t>
            </w:r>
          </w:p>
        </w:tc>
        <w:tc>
          <w:tcPr>
            <w:tcW w:w="2019" w:type="dxa"/>
            <w:tcBorders>
              <w:top w:val="nil"/>
              <w:left w:val="single" w:sz="4" w:space="0" w:color="auto"/>
              <w:bottom w:val="nil"/>
              <w:right w:val="single" w:sz="4" w:space="0" w:color="auto"/>
            </w:tcBorders>
            <w:shd w:val="clear" w:color="auto" w:fill="auto"/>
            <w:noWrap/>
            <w:vAlign w:val="center"/>
            <w:hideMark/>
          </w:tcPr>
          <w:p w14:paraId="71FDA08D" w14:textId="77777777" w:rsidR="00F25246" w:rsidRPr="00BB144B" w:rsidRDefault="00F25246" w:rsidP="00F25246">
            <w:pPr>
              <w:rPr>
                <w:color w:val="000000"/>
                <w:sz w:val="10"/>
                <w:szCs w:val="10"/>
                <w:lang w:eastAsia="tr-TR"/>
              </w:rPr>
            </w:pPr>
            <w:proofErr w:type="spellStart"/>
            <w:r w:rsidRPr="00BB144B">
              <w:rPr>
                <w:color w:val="000000"/>
                <w:sz w:val="10"/>
                <w:szCs w:val="10"/>
                <w:lang w:val="en-US" w:eastAsia="tr-TR"/>
              </w:rPr>
              <w:t>Hisse</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Senedine</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Dönüştürülebilir</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Tahviller</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2A05251B" w14:textId="77777777" w:rsidR="00F25246" w:rsidRPr="00BB144B"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226D353B" w14:textId="77777777" w:rsidR="00F25246" w:rsidRPr="00BB144B" w:rsidRDefault="00F25246" w:rsidP="00717AB5">
            <w:pPr>
              <w:jc w:val="right"/>
              <w:rPr>
                <w:sz w:val="10"/>
                <w:szCs w:val="10"/>
                <w:lang w:eastAsia="tr-TR"/>
              </w:rPr>
            </w:pPr>
            <w:r w:rsidRPr="00BB14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529FE9A8"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5BD3A7F9"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61DFE268"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64FD9FA6"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70E28469" w14:textId="77777777" w:rsidR="00F25246" w:rsidRPr="00BB144B" w:rsidRDefault="00F25246" w:rsidP="00717AB5">
            <w:pPr>
              <w:jc w:val="right"/>
              <w:rPr>
                <w:sz w:val="10"/>
                <w:szCs w:val="10"/>
                <w:lang w:eastAsia="tr-TR"/>
              </w:rPr>
            </w:pPr>
            <w:r w:rsidRPr="00BB144B">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3CFE9992" w14:textId="77777777" w:rsidR="00F25246" w:rsidRPr="00BB144B" w:rsidRDefault="00F25246" w:rsidP="00717AB5">
            <w:pPr>
              <w:jc w:val="right"/>
              <w:rPr>
                <w:sz w:val="10"/>
                <w:szCs w:val="10"/>
                <w:lang w:eastAsia="tr-TR"/>
              </w:rPr>
            </w:pPr>
            <w:r w:rsidRPr="00BB14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0E563F66"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1DCAD8DD" w14:textId="77777777" w:rsidR="00F25246" w:rsidRPr="00BB144B" w:rsidRDefault="00F25246" w:rsidP="00717AB5">
            <w:pPr>
              <w:jc w:val="right"/>
              <w:rPr>
                <w:sz w:val="10"/>
                <w:szCs w:val="10"/>
                <w:lang w:eastAsia="tr-TR"/>
              </w:rPr>
            </w:pPr>
            <w:r w:rsidRPr="00BB144B">
              <w:rPr>
                <w:sz w:val="10"/>
                <w:szCs w:val="10"/>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09EE6197" w14:textId="77777777" w:rsidR="00F25246" w:rsidRPr="00BB144B" w:rsidRDefault="00F25246" w:rsidP="00717AB5">
            <w:pPr>
              <w:jc w:val="right"/>
              <w:rPr>
                <w:sz w:val="10"/>
                <w:szCs w:val="10"/>
                <w:lang w:eastAsia="tr-TR"/>
              </w:rPr>
            </w:pPr>
            <w:r w:rsidRPr="00BB14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1922A664" w14:textId="77777777" w:rsidR="00F25246" w:rsidRPr="00BB144B" w:rsidRDefault="00F25246" w:rsidP="00717AB5">
            <w:pPr>
              <w:jc w:val="right"/>
              <w:rPr>
                <w:sz w:val="10"/>
                <w:szCs w:val="10"/>
                <w:lang w:eastAsia="tr-TR"/>
              </w:rPr>
            </w:pPr>
            <w:r w:rsidRPr="00BB14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6155F735"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9F9A4E4"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3937833D" w14:textId="77777777" w:rsidR="00F25246" w:rsidRPr="00BB144B" w:rsidRDefault="00F25246" w:rsidP="00717AB5">
            <w:pPr>
              <w:jc w:val="right"/>
              <w:rPr>
                <w:sz w:val="10"/>
                <w:szCs w:val="10"/>
                <w:lang w:eastAsia="tr-TR"/>
              </w:rPr>
            </w:pPr>
            <w:r w:rsidRPr="00BB14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21B28EC8" w14:textId="77777777" w:rsidR="00F25246" w:rsidRPr="00BB144B" w:rsidRDefault="00F25246" w:rsidP="00717AB5">
            <w:pPr>
              <w:jc w:val="right"/>
              <w:rPr>
                <w:sz w:val="10"/>
                <w:szCs w:val="10"/>
                <w:lang w:eastAsia="tr-TR"/>
              </w:rPr>
            </w:pPr>
            <w:r w:rsidRPr="00BB14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5A1C5D68" w14:textId="77777777" w:rsidR="00F25246" w:rsidRPr="00BB144B" w:rsidRDefault="00F25246" w:rsidP="00717AB5">
            <w:pPr>
              <w:jc w:val="right"/>
              <w:rPr>
                <w:sz w:val="10"/>
                <w:szCs w:val="10"/>
                <w:lang w:eastAsia="tr-TR"/>
              </w:rPr>
            </w:pPr>
            <w:r w:rsidRPr="00BB144B">
              <w:rPr>
                <w:sz w:val="10"/>
                <w:szCs w:val="10"/>
                <w:lang w:eastAsia="tr-TR"/>
              </w:rPr>
              <w:t>-</w:t>
            </w:r>
          </w:p>
        </w:tc>
      </w:tr>
      <w:tr w:rsidR="00D42791" w:rsidRPr="00F25246" w14:paraId="6D631164"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405423C5"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IX.</w:t>
            </w:r>
          </w:p>
        </w:tc>
        <w:tc>
          <w:tcPr>
            <w:tcW w:w="2019" w:type="dxa"/>
            <w:tcBorders>
              <w:top w:val="nil"/>
              <w:left w:val="single" w:sz="4" w:space="0" w:color="auto"/>
              <w:bottom w:val="nil"/>
              <w:right w:val="single" w:sz="4" w:space="0" w:color="auto"/>
            </w:tcBorders>
            <w:shd w:val="clear" w:color="auto" w:fill="auto"/>
            <w:noWrap/>
            <w:vAlign w:val="center"/>
            <w:hideMark/>
          </w:tcPr>
          <w:p w14:paraId="76ED2011" w14:textId="77777777" w:rsidR="00F25246" w:rsidRPr="00BB144B" w:rsidRDefault="00F25246" w:rsidP="00F25246">
            <w:pPr>
              <w:rPr>
                <w:color w:val="000000"/>
                <w:sz w:val="10"/>
                <w:szCs w:val="10"/>
                <w:lang w:eastAsia="tr-TR"/>
              </w:rPr>
            </w:pPr>
            <w:r w:rsidRPr="00BB144B">
              <w:rPr>
                <w:color w:val="000000"/>
                <w:sz w:val="10"/>
                <w:szCs w:val="10"/>
                <w:lang w:val="en-US" w:eastAsia="tr-TR"/>
              </w:rPr>
              <w:t xml:space="preserve">Sermaye </w:t>
            </w:r>
            <w:proofErr w:type="spellStart"/>
            <w:r w:rsidRPr="00BB144B">
              <w:rPr>
                <w:color w:val="000000"/>
                <w:sz w:val="10"/>
                <w:szCs w:val="10"/>
                <w:lang w:val="en-US" w:eastAsia="tr-TR"/>
              </w:rPr>
              <w:t>Benzeri</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Borçlanma</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Araçları</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01F434C6" w14:textId="77777777" w:rsidR="00F25246" w:rsidRPr="00BB144B"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10994881" w14:textId="77777777" w:rsidR="00F25246" w:rsidRPr="00BB144B" w:rsidRDefault="00F25246" w:rsidP="00717AB5">
            <w:pPr>
              <w:jc w:val="right"/>
              <w:rPr>
                <w:sz w:val="10"/>
                <w:szCs w:val="10"/>
                <w:lang w:eastAsia="tr-TR"/>
              </w:rPr>
            </w:pPr>
            <w:r w:rsidRPr="00BB14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637F35A9"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223A791A"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384492B8"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39BD6021"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311DB02D" w14:textId="77777777" w:rsidR="00F25246" w:rsidRPr="00BB144B" w:rsidRDefault="00F25246" w:rsidP="00717AB5">
            <w:pPr>
              <w:jc w:val="right"/>
              <w:rPr>
                <w:sz w:val="10"/>
                <w:szCs w:val="10"/>
                <w:lang w:eastAsia="tr-TR"/>
              </w:rPr>
            </w:pPr>
            <w:r w:rsidRPr="00BB144B">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5AFC6E2F" w14:textId="77777777" w:rsidR="00F25246" w:rsidRPr="00BB144B" w:rsidRDefault="00F25246" w:rsidP="00717AB5">
            <w:pPr>
              <w:jc w:val="right"/>
              <w:rPr>
                <w:sz w:val="10"/>
                <w:szCs w:val="10"/>
                <w:lang w:eastAsia="tr-TR"/>
              </w:rPr>
            </w:pPr>
            <w:r w:rsidRPr="00BB14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211BF7FD"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49056280" w14:textId="77777777" w:rsidR="00F25246" w:rsidRPr="00BB144B" w:rsidRDefault="00F25246" w:rsidP="00717AB5">
            <w:pPr>
              <w:jc w:val="right"/>
              <w:rPr>
                <w:sz w:val="10"/>
                <w:szCs w:val="10"/>
                <w:lang w:eastAsia="tr-TR"/>
              </w:rPr>
            </w:pPr>
            <w:r w:rsidRPr="00BB144B">
              <w:rPr>
                <w:sz w:val="10"/>
                <w:szCs w:val="10"/>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6EA0AE2D" w14:textId="77777777" w:rsidR="00F25246" w:rsidRPr="00BB144B" w:rsidRDefault="00F25246" w:rsidP="00717AB5">
            <w:pPr>
              <w:jc w:val="right"/>
              <w:rPr>
                <w:sz w:val="10"/>
                <w:szCs w:val="10"/>
                <w:lang w:eastAsia="tr-TR"/>
              </w:rPr>
            </w:pPr>
            <w:r w:rsidRPr="00BB14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2546E0D9" w14:textId="77777777" w:rsidR="00F25246" w:rsidRPr="00BB144B" w:rsidRDefault="00F25246" w:rsidP="00717AB5">
            <w:pPr>
              <w:jc w:val="right"/>
              <w:rPr>
                <w:sz w:val="10"/>
                <w:szCs w:val="10"/>
                <w:lang w:eastAsia="tr-TR"/>
              </w:rPr>
            </w:pPr>
            <w:r w:rsidRPr="00BB14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2B2C98E9"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8F2DF56"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486EC507" w14:textId="77777777" w:rsidR="00F25246" w:rsidRPr="00BB144B" w:rsidRDefault="00F25246" w:rsidP="00717AB5">
            <w:pPr>
              <w:jc w:val="right"/>
              <w:rPr>
                <w:sz w:val="10"/>
                <w:szCs w:val="10"/>
                <w:lang w:eastAsia="tr-TR"/>
              </w:rPr>
            </w:pPr>
            <w:r w:rsidRPr="00BB14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5C896EC4" w14:textId="77777777" w:rsidR="00F25246" w:rsidRPr="00BB144B" w:rsidRDefault="00F25246" w:rsidP="00717AB5">
            <w:pPr>
              <w:jc w:val="right"/>
              <w:rPr>
                <w:sz w:val="10"/>
                <w:szCs w:val="10"/>
                <w:lang w:eastAsia="tr-TR"/>
              </w:rPr>
            </w:pPr>
            <w:r w:rsidRPr="00BB14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1F6B2B26" w14:textId="77777777" w:rsidR="00F25246" w:rsidRPr="00BB144B" w:rsidRDefault="00F25246" w:rsidP="00717AB5">
            <w:pPr>
              <w:jc w:val="right"/>
              <w:rPr>
                <w:sz w:val="10"/>
                <w:szCs w:val="10"/>
                <w:lang w:eastAsia="tr-TR"/>
              </w:rPr>
            </w:pPr>
            <w:r w:rsidRPr="00BB144B">
              <w:rPr>
                <w:sz w:val="10"/>
                <w:szCs w:val="10"/>
                <w:lang w:eastAsia="tr-TR"/>
              </w:rPr>
              <w:t>-</w:t>
            </w:r>
          </w:p>
        </w:tc>
      </w:tr>
      <w:tr w:rsidR="00D42791" w:rsidRPr="00F25246" w14:paraId="0EA9B339"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0C9F1933"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X.</w:t>
            </w:r>
          </w:p>
        </w:tc>
        <w:tc>
          <w:tcPr>
            <w:tcW w:w="2019" w:type="dxa"/>
            <w:tcBorders>
              <w:top w:val="nil"/>
              <w:left w:val="single" w:sz="4" w:space="0" w:color="auto"/>
              <w:bottom w:val="nil"/>
              <w:right w:val="single" w:sz="4" w:space="0" w:color="auto"/>
            </w:tcBorders>
            <w:shd w:val="clear" w:color="auto" w:fill="auto"/>
            <w:noWrap/>
            <w:vAlign w:val="center"/>
            <w:hideMark/>
          </w:tcPr>
          <w:p w14:paraId="4E967458" w14:textId="77777777" w:rsidR="00F25246" w:rsidRPr="00BB144B" w:rsidRDefault="00F25246" w:rsidP="00F25246">
            <w:pPr>
              <w:rPr>
                <w:color w:val="000000"/>
                <w:sz w:val="10"/>
                <w:szCs w:val="10"/>
                <w:lang w:eastAsia="tr-TR"/>
              </w:rPr>
            </w:pPr>
            <w:proofErr w:type="spellStart"/>
            <w:r w:rsidRPr="00BB144B">
              <w:rPr>
                <w:color w:val="000000"/>
                <w:sz w:val="10"/>
                <w:szCs w:val="10"/>
                <w:lang w:val="en-US" w:eastAsia="tr-TR"/>
              </w:rPr>
              <w:t>Diğer</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Değişiklikler</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Nedemiyle</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Artış</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Azalış</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7CFA445C" w14:textId="77777777" w:rsidR="00F25246" w:rsidRPr="00BB144B"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281D68F2" w14:textId="77777777" w:rsidR="00F25246" w:rsidRPr="00BB144B" w:rsidRDefault="00F25246" w:rsidP="00717AB5">
            <w:pPr>
              <w:jc w:val="right"/>
              <w:rPr>
                <w:sz w:val="10"/>
                <w:szCs w:val="10"/>
                <w:lang w:eastAsia="tr-TR"/>
              </w:rPr>
            </w:pPr>
            <w:r w:rsidRPr="00BB144B">
              <w:rPr>
                <w:sz w:val="10"/>
                <w:szCs w:val="10"/>
                <w:lang w:eastAsia="tr-TR"/>
              </w:rPr>
              <w:t>(1,556)</w:t>
            </w:r>
          </w:p>
        </w:tc>
        <w:tc>
          <w:tcPr>
            <w:tcW w:w="872" w:type="dxa"/>
            <w:tcBorders>
              <w:top w:val="nil"/>
              <w:left w:val="single" w:sz="4" w:space="0" w:color="auto"/>
              <w:bottom w:val="nil"/>
              <w:right w:val="single" w:sz="4" w:space="0" w:color="auto"/>
            </w:tcBorders>
            <w:shd w:val="clear" w:color="auto" w:fill="auto"/>
            <w:vAlign w:val="bottom"/>
            <w:hideMark/>
          </w:tcPr>
          <w:p w14:paraId="0B4FD892" w14:textId="77777777" w:rsidR="00F25246" w:rsidRPr="00BB144B" w:rsidRDefault="00F25246" w:rsidP="00717AB5">
            <w:pPr>
              <w:jc w:val="right"/>
              <w:rPr>
                <w:sz w:val="10"/>
                <w:szCs w:val="10"/>
                <w:lang w:eastAsia="tr-TR"/>
              </w:rPr>
            </w:pPr>
            <w:r w:rsidRPr="00BB144B">
              <w:rPr>
                <w:sz w:val="10"/>
                <w:szCs w:val="10"/>
                <w:lang w:eastAsia="tr-TR"/>
              </w:rPr>
              <w:t>317</w:t>
            </w:r>
          </w:p>
        </w:tc>
        <w:tc>
          <w:tcPr>
            <w:tcW w:w="727" w:type="dxa"/>
            <w:tcBorders>
              <w:top w:val="nil"/>
              <w:left w:val="single" w:sz="4" w:space="0" w:color="auto"/>
              <w:bottom w:val="nil"/>
              <w:right w:val="single" w:sz="4" w:space="0" w:color="auto"/>
            </w:tcBorders>
            <w:shd w:val="clear" w:color="auto" w:fill="auto"/>
            <w:vAlign w:val="bottom"/>
            <w:hideMark/>
          </w:tcPr>
          <w:p w14:paraId="1134058D" w14:textId="77777777" w:rsidR="00F25246" w:rsidRPr="00BB144B" w:rsidRDefault="00F25246" w:rsidP="00717AB5">
            <w:pPr>
              <w:jc w:val="right"/>
              <w:rPr>
                <w:sz w:val="10"/>
                <w:szCs w:val="10"/>
                <w:lang w:eastAsia="tr-TR"/>
              </w:rPr>
            </w:pPr>
            <w:r w:rsidRPr="00BB144B">
              <w:rPr>
                <w:sz w:val="10"/>
                <w:szCs w:val="10"/>
                <w:lang w:eastAsia="tr-TR"/>
              </w:rPr>
              <w:t>1,239</w:t>
            </w:r>
          </w:p>
        </w:tc>
        <w:tc>
          <w:tcPr>
            <w:tcW w:w="873" w:type="dxa"/>
            <w:tcBorders>
              <w:top w:val="nil"/>
              <w:left w:val="single" w:sz="4" w:space="0" w:color="auto"/>
              <w:bottom w:val="nil"/>
              <w:right w:val="single" w:sz="4" w:space="0" w:color="auto"/>
            </w:tcBorders>
            <w:shd w:val="clear" w:color="auto" w:fill="auto"/>
            <w:vAlign w:val="bottom"/>
            <w:hideMark/>
          </w:tcPr>
          <w:p w14:paraId="13C5A1A8"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1FD75CAF"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240B7753" w14:textId="77777777" w:rsidR="00F25246" w:rsidRPr="00BB144B" w:rsidRDefault="00F25246" w:rsidP="00717AB5">
            <w:pPr>
              <w:jc w:val="right"/>
              <w:rPr>
                <w:sz w:val="10"/>
                <w:szCs w:val="10"/>
                <w:lang w:eastAsia="tr-TR"/>
              </w:rPr>
            </w:pPr>
            <w:r w:rsidRPr="00BB144B">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6ED6525" w14:textId="77777777" w:rsidR="00F25246" w:rsidRPr="00BB144B" w:rsidRDefault="00F25246" w:rsidP="00717AB5">
            <w:pPr>
              <w:jc w:val="right"/>
              <w:rPr>
                <w:sz w:val="10"/>
                <w:szCs w:val="10"/>
                <w:lang w:eastAsia="tr-TR"/>
              </w:rPr>
            </w:pPr>
            <w:r w:rsidRPr="00BB14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3C4E2CE9"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1E1DB2C6" w14:textId="77777777" w:rsidR="00F25246" w:rsidRPr="00BB144B" w:rsidRDefault="00F25246" w:rsidP="00717AB5">
            <w:pPr>
              <w:jc w:val="right"/>
              <w:rPr>
                <w:sz w:val="10"/>
                <w:szCs w:val="10"/>
                <w:lang w:eastAsia="tr-TR"/>
              </w:rPr>
            </w:pPr>
            <w:r w:rsidRPr="00BB144B">
              <w:rPr>
                <w:sz w:val="10"/>
                <w:szCs w:val="10"/>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74601E62" w14:textId="77777777" w:rsidR="00F25246" w:rsidRPr="00BB144B" w:rsidRDefault="00F25246" w:rsidP="00717AB5">
            <w:pPr>
              <w:jc w:val="right"/>
              <w:rPr>
                <w:sz w:val="10"/>
                <w:szCs w:val="10"/>
                <w:lang w:eastAsia="tr-TR"/>
              </w:rPr>
            </w:pPr>
            <w:r w:rsidRPr="00BB14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267A883E" w14:textId="77777777" w:rsidR="00F25246" w:rsidRPr="00BB144B" w:rsidRDefault="00F25246" w:rsidP="00717AB5">
            <w:pPr>
              <w:jc w:val="right"/>
              <w:rPr>
                <w:sz w:val="10"/>
                <w:szCs w:val="10"/>
                <w:lang w:eastAsia="tr-TR"/>
              </w:rPr>
            </w:pPr>
            <w:r w:rsidRPr="00BB144B">
              <w:rPr>
                <w:sz w:val="10"/>
                <w:szCs w:val="10"/>
                <w:lang w:eastAsia="tr-TR"/>
              </w:rPr>
              <w:t>(1,077)</w:t>
            </w:r>
          </w:p>
        </w:tc>
        <w:tc>
          <w:tcPr>
            <w:tcW w:w="788" w:type="dxa"/>
            <w:tcBorders>
              <w:top w:val="nil"/>
              <w:left w:val="single" w:sz="4" w:space="0" w:color="auto"/>
              <w:bottom w:val="nil"/>
              <w:right w:val="single" w:sz="4" w:space="0" w:color="auto"/>
            </w:tcBorders>
            <w:shd w:val="clear" w:color="auto" w:fill="auto"/>
            <w:vAlign w:val="bottom"/>
            <w:hideMark/>
          </w:tcPr>
          <w:p w14:paraId="45C98911"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5F9C2325"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03FD37B5" w14:textId="77777777" w:rsidR="00F25246" w:rsidRPr="00BB144B" w:rsidRDefault="00F25246" w:rsidP="00717AB5">
            <w:pPr>
              <w:jc w:val="right"/>
              <w:rPr>
                <w:sz w:val="10"/>
                <w:szCs w:val="10"/>
                <w:lang w:eastAsia="tr-TR"/>
              </w:rPr>
            </w:pPr>
            <w:r w:rsidRPr="00BB144B">
              <w:rPr>
                <w:sz w:val="10"/>
                <w:szCs w:val="10"/>
                <w:lang w:eastAsia="tr-TR"/>
              </w:rPr>
              <w:t>(1,077)</w:t>
            </w:r>
          </w:p>
        </w:tc>
        <w:tc>
          <w:tcPr>
            <w:tcW w:w="726" w:type="dxa"/>
            <w:tcBorders>
              <w:top w:val="nil"/>
              <w:left w:val="single" w:sz="4" w:space="0" w:color="auto"/>
              <w:bottom w:val="nil"/>
              <w:right w:val="single" w:sz="4" w:space="0" w:color="auto"/>
            </w:tcBorders>
            <w:shd w:val="clear" w:color="auto" w:fill="auto"/>
            <w:vAlign w:val="bottom"/>
            <w:hideMark/>
          </w:tcPr>
          <w:p w14:paraId="244ED87F" w14:textId="77777777" w:rsidR="00F25246" w:rsidRPr="00BB144B" w:rsidRDefault="00F25246" w:rsidP="00717AB5">
            <w:pPr>
              <w:jc w:val="right"/>
              <w:rPr>
                <w:sz w:val="10"/>
                <w:szCs w:val="10"/>
                <w:lang w:eastAsia="tr-TR"/>
              </w:rPr>
            </w:pPr>
            <w:r w:rsidRPr="00BB14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7FD44D62" w14:textId="77777777" w:rsidR="00F25246" w:rsidRPr="00BB144B" w:rsidRDefault="00F25246" w:rsidP="00717AB5">
            <w:pPr>
              <w:jc w:val="right"/>
              <w:rPr>
                <w:sz w:val="10"/>
                <w:szCs w:val="10"/>
                <w:lang w:eastAsia="tr-TR"/>
              </w:rPr>
            </w:pPr>
            <w:r w:rsidRPr="00BB144B">
              <w:rPr>
                <w:sz w:val="10"/>
                <w:szCs w:val="10"/>
                <w:lang w:eastAsia="tr-TR"/>
              </w:rPr>
              <w:t>(1,077)</w:t>
            </w:r>
          </w:p>
        </w:tc>
      </w:tr>
      <w:tr w:rsidR="00D42791" w:rsidRPr="00F25246" w14:paraId="78A4F618"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1F4D46AF"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XI.</w:t>
            </w:r>
          </w:p>
        </w:tc>
        <w:tc>
          <w:tcPr>
            <w:tcW w:w="2019" w:type="dxa"/>
            <w:tcBorders>
              <w:top w:val="nil"/>
              <w:left w:val="single" w:sz="4" w:space="0" w:color="auto"/>
              <w:bottom w:val="nil"/>
              <w:right w:val="single" w:sz="4" w:space="0" w:color="auto"/>
            </w:tcBorders>
            <w:shd w:val="clear" w:color="auto" w:fill="auto"/>
            <w:noWrap/>
            <w:vAlign w:val="center"/>
            <w:hideMark/>
          </w:tcPr>
          <w:p w14:paraId="729D6B28" w14:textId="77777777" w:rsidR="00F25246" w:rsidRPr="00BB144B" w:rsidRDefault="00F25246" w:rsidP="00F25246">
            <w:pPr>
              <w:rPr>
                <w:color w:val="000000"/>
                <w:sz w:val="10"/>
                <w:szCs w:val="10"/>
                <w:lang w:eastAsia="tr-TR"/>
              </w:rPr>
            </w:pPr>
            <w:proofErr w:type="spellStart"/>
            <w:r w:rsidRPr="00BB144B">
              <w:rPr>
                <w:color w:val="000000"/>
                <w:sz w:val="10"/>
                <w:szCs w:val="10"/>
                <w:lang w:val="en-US" w:eastAsia="tr-TR"/>
              </w:rPr>
              <w:t>Kâr</w:t>
            </w:r>
            <w:proofErr w:type="spellEnd"/>
            <w:r w:rsidRPr="00BB144B">
              <w:rPr>
                <w:color w:val="000000"/>
                <w:sz w:val="10"/>
                <w:szCs w:val="10"/>
                <w:lang w:val="en-US" w:eastAsia="tr-TR"/>
              </w:rPr>
              <w:t xml:space="preserve"> </w:t>
            </w:r>
            <w:proofErr w:type="spellStart"/>
            <w:r w:rsidRPr="00BB144B">
              <w:rPr>
                <w:color w:val="000000"/>
                <w:sz w:val="10"/>
                <w:szCs w:val="10"/>
                <w:lang w:val="en-US" w:eastAsia="tr-TR"/>
              </w:rPr>
              <w:t>Dağıtımı</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1C24D798" w14:textId="77777777" w:rsidR="00F25246" w:rsidRPr="00BB144B"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4C6F91A6" w14:textId="77777777" w:rsidR="00F25246" w:rsidRPr="00BB144B" w:rsidRDefault="00F25246" w:rsidP="00717AB5">
            <w:pPr>
              <w:jc w:val="right"/>
              <w:rPr>
                <w:sz w:val="10"/>
                <w:szCs w:val="10"/>
                <w:lang w:eastAsia="tr-TR"/>
              </w:rPr>
            </w:pPr>
            <w:r w:rsidRPr="00BB14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6F336651"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21E9298A"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08EB4D35"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45FD94F7" w14:textId="77777777" w:rsidR="00F25246" w:rsidRPr="00BB144B" w:rsidRDefault="00F25246" w:rsidP="00717AB5">
            <w:pPr>
              <w:jc w:val="right"/>
              <w:rPr>
                <w:sz w:val="10"/>
                <w:szCs w:val="10"/>
                <w:lang w:eastAsia="tr-TR"/>
              </w:rPr>
            </w:pPr>
            <w:r w:rsidRPr="00BB14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2C488FBD" w14:textId="77777777" w:rsidR="00F25246" w:rsidRPr="00BB144B" w:rsidRDefault="00F25246" w:rsidP="00717AB5">
            <w:pPr>
              <w:jc w:val="right"/>
              <w:rPr>
                <w:sz w:val="10"/>
                <w:szCs w:val="10"/>
                <w:lang w:eastAsia="tr-TR"/>
              </w:rPr>
            </w:pPr>
            <w:r w:rsidRPr="00BB144B">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76BF0E7D" w14:textId="77777777" w:rsidR="00F25246" w:rsidRPr="00BB144B" w:rsidRDefault="00F25246" w:rsidP="00717AB5">
            <w:pPr>
              <w:jc w:val="right"/>
              <w:rPr>
                <w:sz w:val="10"/>
                <w:szCs w:val="10"/>
                <w:lang w:eastAsia="tr-TR"/>
              </w:rPr>
            </w:pPr>
            <w:r w:rsidRPr="00BB14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1A9BC088" w14:textId="77777777" w:rsidR="00F25246" w:rsidRPr="00BB144B" w:rsidRDefault="00F25246" w:rsidP="00717AB5">
            <w:pPr>
              <w:jc w:val="right"/>
              <w:rPr>
                <w:sz w:val="10"/>
                <w:szCs w:val="10"/>
                <w:lang w:eastAsia="tr-TR"/>
              </w:rPr>
            </w:pPr>
            <w:r w:rsidRPr="00BB14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435E344" w14:textId="77777777" w:rsidR="00F25246" w:rsidRPr="00BB144B" w:rsidRDefault="00F25246" w:rsidP="00717AB5">
            <w:pPr>
              <w:jc w:val="right"/>
              <w:rPr>
                <w:sz w:val="10"/>
                <w:szCs w:val="10"/>
                <w:lang w:eastAsia="tr-TR"/>
              </w:rPr>
            </w:pPr>
            <w:r w:rsidRPr="00BB144B">
              <w:rPr>
                <w:sz w:val="10"/>
                <w:szCs w:val="10"/>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025C9AF2" w14:textId="77777777" w:rsidR="00F25246" w:rsidRPr="00BB144B" w:rsidRDefault="00F25246" w:rsidP="00717AB5">
            <w:pPr>
              <w:jc w:val="right"/>
              <w:rPr>
                <w:sz w:val="10"/>
                <w:szCs w:val="10"/>
                <w:lang w:eastAsia="tr-TR"/>
              </w:rPr>
            </w:pPr>
            <w:r w:rsidRPr="00BB14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35B0F754" w14:textId="77777777" w:rsidR="00F25246" w:rsidRPr="00BB144B" w:rsidRDefault="00F25246" w:rsidP="00717AB5">
            <w:pPr>
              <w:jc w:val="right"/>
              <w:rPr>
                <w:sz w:val="10"/>
                <w:szCs w:val="10"/>
                <w:lang w:eastAsia="tr-TR"/>
              </w:rPr>
            </w:pPr>
            <w:r w:rsidRPr="00BB144B">
              <w:rPr>
                <w:sz w:val="10"/>
                <w:szCs w:val="10"/>
                <w:lang w:eastAsia="tr-TR"/>
              </w:rPr>
              <w:t>863,266</w:t>
            </w:r>
          </w:p>
        </w:tc>
        <w:tc>
          <w:tcPr>
            <w:tcW w:w="788" w:type="dxa"/>
            <w:tcBorders>
              <w:top w:val="nil"/>
              <w:left w:val="single" w:sz="4" w:space="0" w:color="auto"/>
              <w:bottom w:val="nil"/>
              <w:right w:val="single" w:sz="4" w:space="0" w:color="auto"/>
            </w:tcBorders>
            <w:shd w:val="clear" w:color="auto" w:fill="auto"/>
            <w:vAlign w:val="bottom"/>
            <w:hideMark/>
          </w:tcPr>
          <w:p w14:paraId="610D1AF2" w14:textId="77777777" w:rsidR="00F25246" w:rsidRPr="00BB144B" w:rsidRDefault="00F25246" w:rsidP="00717AB5">
            <w:pPr>
              <w:jc w:val="right"/>
              <w:rPr>
                <w:sz w:val="10"/>
                <w:szCs w:val="10"/>
                <w:lang w:eastAsia="tr-TR"/>
              </w:rPr>
            </w:pPr>
            <w:r w:rsidRPr="00BB144B">
              <w:rPr>
                <w:sz w:val="10"/>
                <w:szCs w:val="10"/>
                <w:lang w:eastAsia="tr-TR"/>
              </w:rPr>
              <w:t>(869,812)</w:t>
            </w:r>
          </w:p>
        </w:tc>
        <w:tc>
          <w:tcPr>
            <w:tcW w:w="727" w:type="dxa"/>
            <w:tcBorders>
              <w:top w:val="nil"/>
              <w:left w:val="single" w:sz="4" w:space="0" w:color="auto"/>
              <w:bottom w:val="nil"/>
              <w:right w:val="single" w:sz="4" w:space="0" w:color="auto"/>
            </w:tcBorders>
            <w:shd w:val="clear" w:color="auto" w:fill="auto"/>
            <w:vAlign w:val="bottom"/>
            <w:hideMark/>
          </w:tcPr>
          <w:p w14:paraId="4ECFA70E" w14:textId="77777777" w:rsidR="00F25246" w:rsidRPr="00BB144B" w:rsidRDefault="00F25246" w:rsidP="00717AB5">
            <w:pPr>
              <w:jc w:val="right"/>
              <w:rPr>
                <w:sz w:val="10"/>
                <w:szCs w:val="10"/>
                <w:lang w:eastAsia="tr-TR"/>
              </w:rPr>
            </w:pPr>
            <w:r w:rsidRPr="00BB14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0F48A891" w14:textId="77777777" w:rsidR="00F25246" w:rsidRPr="00BB144B" w:rsidRDefault="00F25246" w:rsidP="00717AB5">
            <w:pPr>
              <w:jc w:val="right"/>
              <w:rPr>
                <w:sz w:val="10"/>
                <w:szCs w:val="10"/>
                <w:lang w:eastAsia="tr-TR"/>
              </w:rPr>
            </w:pPr>
            <w:r w:rsidRPr="00BB144B">
              <w:rPr>
                <w:sz w:val="10"/>
                <w:szCs w:val="10"/>
                <w:lang w:eastAsia="tr-TR"/>
              </w:rPr>
              <w:t>(6,546)</w:t>
            </w:r>
          </w:p>
        </w:tc>
        <w:tc>
          <w:tcPr>
            <w:tcW w:w="726" w:type="dxa"/>
            <w:tcBorders>
              <w:top w:val="nil"/>
              <w:left w:val="single" w:sz="4" w:space="0" w:color="auto"/>
              <w:bottom w:val="nil"/>
              <w:right w:val="single" w:sz="4" w:space="0" w:color="auto"/>
            </w:tcBorders>
            <w:shd w:val="clear" w:color="auto" w:fill="auto"/>
            <w:vAlign w:val="bottom"/>
            <w:hideMark/>
          </w:tcPr>
          <w:p w14:paraId="71778C67" w14:textId="77777777" w:rsidR="00F25246" w:rsidRPr="00BB144B" w:rsidRDefault="00F25246" w:rsidP="00717AB5">
            <w:pPr>
              <w:jc w:val="right"/>
              <w:rPr>
                <w:sz w:val="10"/>
                <w:szCs w:val="10"/>
                <w:lang w:eastAsia="tr-TR"/>
              </w:rPr>
            </w:pPr>
            <w:r w:rsidRPr="00BB14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1252416F" w14:textId="77777777" w:rsidR="00F25246" w:rsidRPr="00BB144B" w:rsidRDefault="00F25246" w:rsidP="00717AB5">
            <w:pPr>
              <w:jc w:val="right"/>
              <w:rPr>
                <w:sz w:val="10"/>
                <w:szCs w:val="10"/>
                <w:lang w:eastAsia="tr-TR"/>
              </w:rPr>
            </w:pPr>
            <w:r w:rsidRPr="00BB144B">
              <w:rPr>
                <w:sz w:val="10"/>
                <w:szCs w:val="10"/>
                <w:lang w:eastAsia="tr-TR"/>
              </w:rPr>
              <w:t>(6,546)</w:t>
            </w:r>
          </w:p>
        </w:tc>
      </w:tr>
      <w:tr w:rsidR="00D42791" w:rsidRPr="00F25246" w14:paraId="46547044"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6B81EE74" w14:textId="77777777" w:rsidR="00F25246" w:rsidRPr="00F25246" w:rsidRDefault="00F25246" w:rsidP="00F25246">
            <w:pPr>
              <w:jc w:val="center"/>
              <w:rPr>
                <w:color w:val="000000"/>
                <w:sz w:val="10"/>
                <w:szCs w:val="10"/>
                <w:lang w:eastAsia="tr-TR"/>
              </w:rPr>
            </w:pPr>
            <w:r w:rsidRPr="00F25246">
              <w:rPr>
                <w:color w:val="000000"/>
                <w:sz w:val="10"/>
                <w:szCs w:val="10"/>
                <w:lang w:val="en-US" w:eastAsia="tr-TR"/>
              </w:rPr>
              <w:t>11.1</w:t>
            </w:r>
          </w:p>
        </w:tc>
        <w:tc>
          <w:tcPr>
            <w:tcW w:w="2019" w:type="dxa"/>
            <w:tcBorders>
              <w:top w:val="nil"/>
              <w:left w:val="single" w:sz="4" w:space="0" w:color="auto"/>
              <w:bottom w:val="nil"/>
              <w:right w:val="single" w:sz="4" w:space="0" w:color="auto"/>
            </w:tcBorders>
            <w:shd w:val="clear" w:color="auto" w:fill="auto"/>
            <w:noWrap/>
            <w:vAlign w:val="center"/>
            <w:hideMark/>
          </w:tcPr>
          <w:p w14:paraId="72A5BC2B"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Dağıtılan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Temettü</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5B30AA57"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7503BB05" w14:textId="77777777" w:rsidR="00F25246" w:rsidRPr="00F25246" w:rsidRDefault="00F25246" w:rsidP="00717AB5">
            <w:pPr>
              <w:jc w:val="right"/>
              <w:rPr>
                <w:sz w:val="10"/>
                <w:szCs w:val="10"/>
                <w:lang w:eastAsia="tr-TR"/>
              </w:rPr>
            </w:pPr>
            <w:r w:rsidRPr="00F25246">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2B2AB2D7" w14:textId="77777777" w:rsidR="00F25246" w:rsidRPr="00F25246" w:rsidRDefault="00F25246" w:rsidP="00717AB5">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201BBE0B" w14:textId="77777777" w:rsidR="00F25246" w:rsidRPr="00F25246" w:rsidRDefault="00F25246" w:rsidP="00717AB5">
            <w:pPr>
              <w:jc w:val="right"/>
              <w:rPr>
                <w:sz w:val="10"/>
                <w:szCs w:val="10"/>
                <w:lang w:eastAsia="tr-TR"/>
              </w:rPr>
            </w:pPr>
            <w:r w:rsidRPr="00F25246">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635680F7" w14:textId="77777777" w:rsidR="00F25246" w:rsidRPr="00F25246" w:rsidRDefault="00F25246" w:rsidP="00717AB5">
            <w:pPr>
              <w:jc w:val="right"/>
              <w:rPr>
                <w:sz w:val="10"/>
                <w:szCs w:val="10"/>
                <w:lang w:eastAsia="tr-TR"/>
              </w:rPr>
            </w:pPr>
            <w:r w:rsidRPr="00F25246">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089E5CD3" w14:textId="77777777" w:rsidR="00F25246" w:rsidRPr="00F25246" w:rsidRDefault="00F25246" w:rsidP="00717AB5">
            <w:pPr>
              <w:jc w:val="right"/>
              <w:rPr>
                <w:sz w:val="10"/>
                <w:szCs w:val="10"/>
                <w:lang w:eastAsia="tr-TR"/>
              </w:rPr>
            </w:pPr>
            <w:r w:rsidRPr="00F25246">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3E5BBD01" w14:textId="77777777" w:rsidR="00F25246" w:rsidRPr="00F25246" w:rsidRDefault="00F25246" w:rsidP="00717AB5">
            <w:pPr>
              <w:jc w:val="right"/>
              <w:rPr>
                <w:sz w:val="10"/>
                <w:szCs w:val="10"/>
                <w:lang w:eastAsia="tr-TR"/>
              </w:rPr>
            </w:pPr>
            <w:r w:rsidRPr="00F25246">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06EAB99" w14:textId="77777777" w:rsidR="00F25246" w:rsidRPr="00F25246" w:rsidRDefault="00F25246" w:rsidP="00717AB5">
            <w:pPr>
              <w:jc w:val="right"/>
              <w:rPr>
                <w:sz w:val="10"/>
                <w:szCs w:val="10"/>
                <w:lang w:eastAsia="tr-TR"/>
              </w:rPr>
            </w:pPr>
            <w:r w:rsidRPr="00F25246">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10B9FD6D" w14:textId="77777777" w:rsidR="00F25246" w:rsidRPr="00F25246" w:rsidRDefault="00F25246" w:rsidP="00717AB5">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4A3C0734" w14:textId="77777777" w:rsidR="00F25246" w:rsidRPr="00F25246" w:rsidRDefault="00F25246" w:rsidP="00717AB5">
            <w:pPr>
              <w:jc w:val="right"/>
              <w:rPr>
                <w:sz w:val="10"/>
                <w:szCs w:val="10"/>
                <w:lang w:eastAsia="tr-TR"/>
              </w:rPr>
            </w:pPr>
            <w:r w:rsidRPr="00F25246">
              <w:rPr>
                <w:sz w:val="10"/>
                <w:szCs w:val="10"/>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7BED301A" w14:textId="77777777" w:rsidR="00F25246" w:rsidRPr="00F25246" w:rsidRDefault="00F25246" w:rsidP="00717AB5">
            <w:pPr>
              <w:jc w:val="right"/>
              <w:rPr>
                <w:sz w:val="10"/>
                <w:szCs w:val="10"/>
                <w:lang w:eastAsia="tr-TR"/>
              </w:rPr>
            </w:pPr>
            <w:r w:rsidRPr="00F25246">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555B49F5" w14:textId="77777777" w:rsidR="00F25246" w:rsidRPr="00F25246" w:rsidRDefault="00F25246" w:rsidP="00717AB5">
            <w:pPr>
              <w:jc w:val="right"/>
              <w:rPr>
                <w:sz w:val="10"/>
                <w:szCs w:val="10"/>
                <w:lang w:eastAsia="tr-TR"/>
              </w:rPr>
            </w:pPr>
            <w:r w:rsidRPr="00F25246">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2A31273A" w14:textId="77777777" w:rsidR="00F25246" w:rsidRPr="00F25246" w:rsidRDefault="00F25246" w:rsidP="00717AB5">
            <w:pPr>
              <w:jc w:val="right"/>
              <w:rPr>
                <w:sz w:val="10"/>
                <w:szCs w:val="10"/>
                <w:lang w:eastAsia="tr-TR"/>
              </w:rPr>
            </w:pPr>
            <w:r w:rsidRPr="00F25246">
              <w:rPr>
                <w:sz w:val="10"/>
                <w:szCs w:val="10"/>
                <w:lang w:eastAsia="tr-TR"/>
              </w:rPr>
              <w:t>(6,546)</w:t>
            </w:r>
          </w:p>
        </w:tc>
        <w:tc>
          <w:tcPr>
            <w:tcW w:w="727" w:type="dxa"/>
            <w:tcBorders>
              <w:top w:val="nil"/>
              <w:left w:val="single" w:sz="4" w:space="0" w:color="auto"/>
              <w:bottom w:val="nil"/>
              <w:right w:val="single" w:sz="4" w:space="0" w:color="auto"/>
            </w:tcBorders>
            <w:shd w:val="clear" w:color="auto" w:fill="auto"/>
            <w:vAlign w:val="bottom"/>
            <w:hideMark/>
          </w:tcPr>
          <w:p w14:paraId="3ABAB323" w14:textId="77777777" w:rsidR="00F25246" w:rsidRPr="00F25246" w:rsidRDefault="00F25246" w:rsidP="00717AB5">
            <w:pPr>
              <w:jc w:val="right"/>
              <w:rPr>
                <w:sz w:val="10"/>
                <w:szCs w:val="10"/>
                <w:lang w:eastAsia="tr-TR"/>
              </w:rPr>
            </w:pPr>
            <w:r w:rsidRPr="00F25246">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2777221A" w14:textId="77777777" w:rsidR="00F25246" w:rsidRPr="00F25246" w:rsidRDefault="00F25246" w:rsidP="00717AB5">
            <w:pPr>
              <w:jc w:val="right"/>
              <w:rPr>
                <w:sz w:val="10"/>
                <w:szCs w:val="10"/>
                <w:lang w:eastAsia="tr-TR"/>
              </w:rPr>
            </w:pPr>
            <w:r w:rsidRPr="00F25246">
              <w:rPr>
                <w:sz w:val="10"/>
                <w:szCs w:val="10"/>
                <w:lang w:eastAsia="tr-TR"/>
              </w:rPr>
              <w:t>(6,546)</w:t>
            </w:r>
          </w:p>
        </w:tc>
        <w:tc>
          <w:tcPr>
            <w:tcW w:w="726" w:type="dxa"/>
            <w:tcBorders>
              <w:top w:val="nil"/>
              <w:left w:val="single" w:sz="4" w:space="0" w:color="auto"/>
              <w:bottom w:val="nil"/>
              <w:right w:val="single" w:sz="4" w:space="0" w:color="auto"/>
            </w:tcBorders>
            <w:shd w:val="clear" w:color="auto" w:fill="auto"/>
            <w:vAlign w:val="bottom"/>
            <w:hideMark/>
          </w:tcPr>
          <w:p w14:paraId="206417DD" w14:textId="77777777" w:rsidR="00F25246" w:rsidRPr="00F25246" w:rsidRDefault="00F25246" w:rsidP="00717AB5">
            <w:pPr>
              <w:jc w:val="right"/>
              <w:rPr>
                <w:sz w:val="10"/>
                <w:szCs w:val="10"/>
                <w:lang w:eastAsia="tr-TR"/>
              </w:rPr>
            </w:pPr>
            <w:r w:rsidRPr="00F25246">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3AF439A6" w14:textId="77777777" w:rsidR="00F25246" w:rsidRPr="00F25246" w:rsidRDefault="00F25246" w:rsidP="00717AB5">
            <w:pPr>
              <w:jc w:val="right"/>
              <w:rPr>
                <w:sz w:val="10"/>
                <w:szCs w:val="10"/>
                <w:lang w:eastAsia="tr-TR"/>
              </w:rPr>
            </w:pPr>
            <w:r w:rsidRPr="00F25246">
              <w:rPr>
                <w:sz w:val="10"/>
                <w:szCs w:val="10"/>
                <w:lang w:eastAsia="tr-TR"/>
              </w:rPr>
              <w:t>(6,546)</w:t>
            </w:r>
          </w:p>
        </w:tc>
      </w:tr>
      <w:tr w:rsidR="00D42791" w:rsidRPr="00F25246" w14:paraId="2C927B1A"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3063CE2D" w14:textId="77777777" w:rsidR="00F25246" w:rsidRPr="00F25246" w:rsidRDefault="00F25246" w:rsidP="00F25246">
            <w:pPr>
              <w:jc w:val="center"/>
              <w:rPr>
                <w:color w:val="000000"/>
                <w:sz w:val="10"/>
                <w:szCs w:val="10"/>
                <w:lang w:eastAsia="tr-TR"/>
              </w:rPr>
            </w:pPr>
            <w:r w:rsidRPr="00F25246">
              <w:rPr>
                <w:color w:val="000000"/>
                <w:sz w:val="10"/>
                <w:szCs w:val="10"/>
                <w:lang w:val="en-US" w:eastAsia="tr-TR"/>
              </w:rPr>
              <w:t>11.2</w:t>
            </w:r>
          </w:p>
        </w:tc>
        <w:tc>
          <w:tcPr>
            <w:tcW w:w="2019" w:type="dxa"/>
            <w:tcBorders>
              <w:top w:val="nil"/>
              <w:left w:val="single" w:sz="4" w:space="0" w:color="auto"/>
              <w:bottom w:val="nil"/>
              <w:right w:val="single" w:sz="4" w:space="0" w:color="auto"/>
            </w:tcBorders>
            <w:shd w:val="clear" w:color="auto" w:fill="auto"/>
            <w:noWrap/>
            <w:vAlign w:val="center"/>
            <w:hideMark/>
          </w:tcPr>
          <w:p w14:paraId="7FE95648"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Yedeklere</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Aktarılan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Tutarlar</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35A0025E"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56878D83" w14:textId="77777777" w:rsidR="00F25246" w:rsidRPr="00F25246" w:rsidRDefault="00F25246" w:rsidP="00717AB5">
            <w:pPr>
              <w:jc w:val="right"/>
              <w:rPr>
                <w:sz w:val="10"/>
                <w:szCs w:val="10"/>
                <w:lang w:eastAsia="tr-TR"/>
              </w:rPr>
            </w:pPr>
            <w:r w:rsidRPr="00F25246">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294CD1BA" w14:textId="77777777" w:rsidR="00F25246" w:rsidRPr="00F25246" w:rsidRDefault="00F25246" w:rsidP="00717AB5">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03169F12" w14:textId="77777777" w:rsidR="00F25246" w:rsidRPr="00F25246" w:rsidRDefault="00F25246" w:rsidP="00717AB5">
            <w:pPr>
              <w:jc w:val="right"/>
              <w:rPr>
                <w:sz w:val="10"/>
                <w:szCs w:val="10"/>
                <w:lang w:eastAsia="tr-TR"/>
              </w:rPr>
            </w:pPr>
            <w:r w:rsidRPr="00F25246">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15E1287E" w14:textId="77777777" w:rsidR="00F25246" w:rsidRPr="00F25246" w:rsidRDefault="00F25246" w:rsidP="00717AB5">
            <w:pPr>
              <w:jc w:val="right"/>
              <w:rPr>
                <w:sz w:val="10"/>
                <w:szCs w:val="10"/>
                <w:lang w:eastAsia="tr-TR"/>
              </w:rPr>
            </w:pPr>
            <w:r w:rsidRPr="00F25246">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79DB3108" w14:textId="77777777" w:rsidR="00F25246" w:rsidRPr="00F25246" w:rsidRDefault="00F25246" w:rsidP="00717AB5">
            <w:pPr>
              <w:jc w:val="right"/>
              <w:rPr>
                <w:sz w:val="10"/>
                <w:szCs w:val="10"/>
                <w:lang w:eastAsia="tr-TR"/>
              </w:rPr>
            </w:pPr>
            <w:r w:rsidRPr="00F25246">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68F4E6C8" w14:textId="77777777" w:rsidR="00F25246" w:rsidRPr="00F25246" w:rsidRDefault="00F25246" w:rsidP="00717AB5">
            <w:pPr>
              <w:jc w:val="right"/>
              <w:rPr>
                <w:sz w:val="10"/>
                <w:szCs w:val="10"/>
                <w:lang w:eastAsia="tr-TR"/>
              </w:rPr>
            </w:pPr>
            <w:r w:rsidRPr="00F25246">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16466FA2" w14:textId="77777777" w:rsidR="00F25246" w:rsidRPr="00F25246" w:rsidRDefault="00F25246" w:rsidP="00717AB5">
            <w:pPr>
              <w:jc w:val="right"/>
              <w:rPr>
                <w:sz w:val="10"/>
                <w:szCs w:val="10"/>
                <w:lang w:eastAsia="tr-TR"/>
              </w:rPr>
            </w:pPr>
            <w:r w:rsidRPr="00F25246">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27355FB0" w14:textId="77777777" w:rsidR="00F25246" w:rsidRPr="00F25246" w:rsidRDefault="00F25246" w:rsidP="00717AB5">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45A4A181" w14:textId="77777777" w:rsidR="00F25246" w:rsidRPr="00F25246" w:rsidRDefault="00F25246" w:rsidP="00717AB5">
            <w:pPr>
              <w:jc w:val="right"/>
              <w:rPr>
                <w:sz w:val="10"/>
                <w:szCs w:val="10"/>
                <w:lang w:eastAsia="tr-TR"/>
              </w:rPr>
            </w:pPr>
            <w:r w:rsidRPr="00F25246">
              <w:rPr>
                <w:sz w:val="10"/>
                <w:szCs w:val="10"/>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57D49F0A" w14:textId="77777777" w:rsidR="00F25246" w:rsidRPr="00F25246" w:rsidRDefault="00F25246" w:rsidP="00717AB5">
            <w:pPr>
              <w:jc w:val="right"/>
              <w:rPr>
                <w:sz w:val="10"/>
                <w:szCs w:val="10"/>
                <w:lang w:eastAsia="tr-TR"/>
              </w:rPr>
            </w:pPr>
            <w:r w:rsidRPr="00F25246">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12E61FEC" w14:textId="77777777" w:rsidR="00F25246" w:rsidRPr="00F25246" w:rsidRDefault="00F25246" w:rsidP="00717AB5">
            <w:pPr>
              <w:jc w:val="right"/>
              <w:rPr>
                <w:sz w:val="10"/>
                <w:szCs w:val="10"/>
                <w:lang w:eastAsia="tr-TR"/>
              </w:rPr>
            </w:pPr>
            <w:r w:rsidRPr="00F25246">
              <w:rPr>
                <w:sz w:val="10"/>
                <w:szCs w:val="10"/>
                <w:lang w:eastAsia="tr-TR"/>
              </w:rPr>
              <w:t>863,266</w:t>
            </w:r>
          </w:p>
        </w:tc>
        <w:tc>
          <w:tcPr>
            <w:tcW w:w="788" w:type="dxa"/>
            <w:tcBorders>
              <w:top w:val="nil"/>
              <w:left w:val="single" w:sz="4" w:space="0" w:color="auto"/>
              <w:bottom w:val="nil"/>
              <w:right w:val="single" w:sz="4" w:space="0" w:color="auto"/>
            </w:tcBorders>
            <w:shd w:val="clear" w:color="auto" w:fill="auto"/>
            <w:vAlign w:val="bottom"/>
            <w:hideMark/>
          </w:tcPr>
          <w:p w14:paraId="216359AF" w14:textId="77777777" w:rsidR="00F25246" w:rsidRPr="00F25246" w:rsidRDefault="00F25246" w:rsidP="00717AB5">
            <w:pPr>
              <w:jc w:val="right"/>
              <w:rPr>
                <w:sz w:val="10"/>
                <w:szCs w:val="10"/>
                <w:lang w:eastAsia="tr-TR"/>
              </w:rPr>
            </w:pPr>
            <w:r w:rsidRPr="00F25246">
              <w:rPr>
                <w:sz w:val="10"/>
                <w:szCs w:val="10"/>
                <w:lang w:eastAsia="tr-TR"/>
              </w:rPr>
              <w:t>(863,266)</w:t>
            </w:r>
          </w:p>
        </w:tc>
        <w:tc>
          <w:tcPr>
            <w:tcW w:w="727" w:type="dxa"/>
            <w:tcBorders>
              <w:top w:val="nil"/>
              <w:left w:val="single" w:sz="4" w:space="0" w:color="auto"/>
              <w:bottom w:val="nil"/>
              <w:right w:val="single" w:sz="4" w:space="0" w:color="auto"/>
            </w:tcBorders>
            <w:shd w:val="clear" w:color="auto" w:fill="auto"/>
            <w:vAlign w:val="bottom"/>
            <w:hideMark/>
          </w:tcPr>
          <w:p w14:paraId="7B7443D8" w14:textId="77777777" w:rsidR="00F25246" w:rsidRPr="00F25246" w:rsidRDefault="00F25246" w:rsidP="00717AB5">
            <w:pPr>
              <w:jc w:val="right"/>
              <w:rPr>
                <w:sz w:val="10"/>
                <w:szCs w:val="10"/>
                <w:lang w:eastAsia="tr-TR"/>
              </w:rPr>
            </w:pPr>
            <w:r w:rsidRPr="00F25246">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365BBB4B" w14:textId="77777777" w:rsidR="00F25246" w:rsidRPr="00F25246" w:rsidRDefault="00F25246" w:rsidP="00717AB5">
            <w:pPr>
              <w:jc w:val="right"/>
              <w:rPr>
                <w:sz w:val="10"/>
                <w:szCs w:val="10"/>
                <w:lang w:eastAsia="tr-TR"/>
              </w:rPr>
            </w:pPr>
            <w:r w:rsidRPr="00F25246">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782CEF9B" w14:textId="77777777" w:rsidR="00F25246" w:rsidRPr="00F25246" w:rsidRDefault="00F25246" w:rsidP="00717AB5">
            <w:pPr>
              <w:jc w:val="right"/>
              <w:rPr>
                <w:sz w:val="10"/>
                <w:szCs w:val="10"/>
                <w:lang w:eastAsia="tr-TR"/>
              </w:rPr>
            </w:pPr>
            <w:r w:rsidRPr="00F25246">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6EF0F276" w14:textId="77777777" w:rsidR="00F25246" w:rsidRPr="00F25246" w:rsidRDefault="00F25246" w:rsidP="00717AB5">
            <w:pPr>
              <w:jc w:val="right"/>
              <w:rPr>
                <w:sz w:val="10"/>
                <w:szCs w:val="10"/>
                <w:lang w:eastAsia="tr-TR"/>
              </w:rPr>
            </w:pPr>
            <w:r w:rsidRPr="00F25246">
              <w:rPr>
                <w:sz w:val="10"/>
                <w:szCs w:val="10"/>
                <w:lang w:eastAsia="tr-TR"/>
              </w:rPr>
              <w:t>-</w:t>
            </w:r>
          </w:p>
        </w:tc>
      </w:tr>
      <w:tr w:rsidR="00D42791" w:rsidRPr="00F25246" w14:paraId="084599BA"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0A894D05" w14:textId="77777777" w:rsidR="00F25246" w:rsidRPr="00F25246" w:rsidRDefault="00F25246" w:rsidP="00F25246">
            <w:pPr>
              <w:jc w:val="center"/>
              <w:rPr>
                <w:color w:val="000000"/>
                <w:sz w:val="10"/>
                <w:szCs w:val="10"/>
                <w:lang w:eastAsia="tr-TR"/>
              </w:rPr>
            </w:pPr>
            <w:r w:rsidRPr="00F25246">
              <w:rPr>
                <w:color w:val="000000"/>
                <w:sz w:val="10"/>
                <w:szCs w:val="10"/>
                <w:lang w:val="en-US" w:eastAsia="tr-TR"/>
              </w:rPr>
              <w:t>11.3</w:t>
            </w:r>
          </w:p>
        </w:tc>
        <w:tc>
          <w:tcPr>
            <w:tcW w:w="2019" w:type="dxa"/>
            <w:tcBorders>
              <w:top w:val="nil"/>
              <w:left w:val="single" w:sz="4" w:space="0" w:color="auto"/>
              <w:bottom w:val="nil"/>
              <w:right w:val="single" w:sz="4" w:space="0" w:color="auto"/>
            </w:tcBorders>
            <w:shd w:val="clear" w:color="auto" w:fill="auto"/>
            <w:noWrap/>
            <w:vAlign w:val="center"/>
            <w:hideMark/>
          </w:tcPr>
          <w:p w14:paraId="505C719D"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Diğer</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057F61BD"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02D55100" w14:textId="77777777" w:rsidR="00F25246" w:rsidRPr="00F25246" w:rsidRDefault="00F25246" w:rsidP="00717AB5">
            <w:pPr>
              <w:jc w:val="right"/>
              <w:rPr>
                <w:sz w:val="10"/>
                <w:szCs w:val="10"/>
                <w:lang w:eastAsia="tr-TR"/>
              </w:rPr>
            </w:pPr>
            <w:r w:rsidRPr="00F25246">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4C912F76" w14:textId="77777777" w:rsidR="00F25246" w:rsidRPr="00F25246" w:rsidRDefault="00F25246" w:rsidP="00717AB5">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78D6A020" w14:textId="77777777" w:rsidR="00F25246" w:rsidRPr="00F25246" w:rsidRDefault="00F25246" w:rsidP="00717AB5">
            <w:pPr>
              <w:jc w:val="right"/>
              <w:rPr>
                <w:sz w:val="10"/>
                <w:szCs w:val="10"/>
                <w:lang w:eastAsia="tr-TR"/>
              </w:rPr>
            </w:pPr>
            <w:r w:rsidRPr="00F25246">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5CC9EFCC" w14:textId="77777777" w:rsidR="00F25246" w:rsidRPr="00F25246" w:rsidRDefault="00F25246" w:rsidP="00717AB5">
            <w:pPr>
              <w:jc w:val="right"/>
              <w:rPr>
                <w:sz w:val="10"/>
                <w:szCs w:val="10"/>
                <w:lang w:eastAsia="tr-TR"/>
              </w:rPr>
            </w:pPr>
            <w:r w:rsidRPr="00F25246">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4A014ED5" w14:textId="77777777" w:rsidR="00F25246" w:rsidRPr="00F25246" w:rsidRDefault="00F25246" w:rsidP="00717AB5">
            <w:pPr>
              <w:jc w:val="right"/>
              <w:rPr>
                <w:sz w:val="10"/>
                <w:szCs w:val="10"/>
                <w:lang w:eastAsia="tr-TR"/>
              </w:rPr>
            </w:pPr>
            <w:r w:rsidRPr="00F25246">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2F3A2689" w14:textId="77777777" w:rsidR="00F25246" w:rsidRPr="00F25246" w:rsidRDefault="00F25246" w:rsidP="00717AB5">
            <w:pPr>
              <w:jc w:val="right"/>
              <w:rPr>
                <w:sz w:val="10"/>
                <w:szCs w:val="10"/>
                <w:lang w:eastAsia="tr-TR"/>
              </w:rPr>
            </w:pPr>
            <w:r w:rsidRPr="00F25246">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4E5117C" w14:textId="77777777" w:rsidR="00F25246" w:rsidRPr="00F25246" w:rsidRDefault="00F25246" w:rsidP="00717AB5">
            <w:pPr>
              <w:jc w:val="right"/>
              <w:rPr>
                <w:sz w:val="10"/>
                <w:szCs w:val="10"/>
                <w:lang w:eastAsia="tr-TR"/>
              </w:rPr>
            </w:pPr>
            <w:r w:rsidRPr="00F25246">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42DCB955" w14:textId="77777777" w:rsidR="00F25246" w:rsidRPr="00F25246" w:rsidRDefault="00F25246" w:rsidP="00717AB5">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28BED250" w14:textId="77777777" w:rsidR="00F25246" w:rsidRPr="00F25246" w:rsidRDefault="00F25246" w:rsidP="00717AB5">
            <w:pPr>
              <w:jc w:val="right"/>
              <w:rPr>
                <w:sz w:val="10"/>
                <w:szCs w:val="10"/>
                <w:lang w:eastAsia="tr-TR"/>
              </w:rPr>
            </w:pPr>
            <w:r w:rsidRPr="00F25246">
              <w:rPr>
                <w:sz w:val="10"/>
                <w:szCs w:val="10"/>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3B971823" w14:textId="77777777" w:rsidR="00F25246" w:rsidRPr="00F25246" w:rsidRDefault="00F25246" w:rsidP="00717AB5">
            <w:pPr>
              <w:jc w:val="right"/>
              <w:rPr>
                <w:sz w:val="10"/>
                <w:szCs w:val="10"/>
                <w:lang w:eastAsia="tr-TR"/>
              </w:rPr>
            </w:pPr>
            <w:r w:rsidRPr="00F25246">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2E85BEB9" w14:textId="77777777" w:rsidR="00F25246" w:rsidRPr="00F25246" w:rsidRDefault="00F25246" w:rsidP="00717AB5">
            <w:pPr>
              <w:jc w:val="right"/>
              <w:rPr>
                <w:sz w:val="10"/>
                <w:szCs w:val="10"/>
                <w:lang w:eastAsia="tr-TR"/>
              </w:rPr>
            </w:pPr>
            <w:r w:rsidRPr="00F25246">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5BF28809" w14:textId="77777777" w:rsidR="00F25246" w:rsidRPr="00F25246" w:rsidRDefault="00F25246" w:rsidP="00717AB5">
            <w:pPr>
              <w:jc w:val="right"/>
              <w:rPr>
                <w:sz w:val="10"/>
                <w:szCs w:val="10"/>
                <w:lang w:eastAsia="tr-TR"/>
              </w:rPr>
            </w:pPr>
            <w:r w:rsidRPr="00F25246">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0259B064" w14:textId="77777777" w:rsidR="00F25246" w:rsidRPr="00F25246" w:rsidRDefault="00F25246" w:rsidP="00717AB5">
            <w:pPr>
              <w:jc w:val="right"/>
              <w:rPr>
                <w:sz w:val="10"/>
                <w:szCs w:val="10"/>
                <w:lang w:eastAsia="tr-TR"/>
              </w:rPr>
            </w:pPr>
            <w:r w:rsidRPr="00F25246">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45D0AE1D" w14:textId="77777777" w:rsidR="00F25246" w:rsidRPr="00F25246" w:rsidRDefault="00F25246" w:rsidP="00717AB5">
            <w:pPr>
              <w:jc w:val="right"/>
              <w:rPr>
                <w:sz w:val="10"/>
                <w:szCs w:val="10"/>
                <w:lang w:eastAsia="tr-TR"/>
              </w:rPr>
            </w:pPr>
            <w:r w:rsidRPr="00F25246">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71B47ACE" w14:textId="77777777" w:rsidR="00F25246" w:rsidRPr="00F25246" w:rsidRDefault="00F25246" w:rsidP="00717AB5">
            <w:pPr>
              <w:jc w:val="right"/>
              <w:rPr>
                <w:sz w:val="10"/>
                <w:szCs w:val="10"/>
                <w:lang w:eastAsia="tr-TR"/>
              </w:rPr>
            </w:pPr>
            <w:r w:rsidRPr="00F25246">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33D833BD" w14:textId="77777777" w:rsidR="00F25246" w:rsidRPr="00F25246" w:rsidRDefault="00F25246" w:rsidP="00717AB5">
            <w:pPr>
              <w:jc w:val="right"/>
              <w:rPr>
                <w:sz w:val="10"/>
                <w:szCs w:val="10"/>
                <w:lang w:eastAsia="tr-TR"/>
              </w:rPr>
            </w:pPr>
            <w:r w:rsidRPr="00F25246">
              <w:rPr>
                <w:sz w:val="10"/>
                <w:szCs w:val="10"/>
                <w:lang w:eastAsia="tr-TR"/>
              </w:rPr>
              <w:t>-</w:t>
            </w:r>
          </w:p>
        </w:tc>
      </w:tr>
      <w:tr w:rsidR="00D42791" w:rsidRPr="00F25246" w14:paraId="4A8B0F91" w14:textId="77777777" w:rsidTr="002E368F">
        <w:trPr>
          <w:divId w:val="36128962"/>
          <w:trHeight w:val="3"/>
        </w:trPr>
        <w:tc>
          <w:tcPr>
            <w:tcW w:w="419" w:type="dxa"/>
            <w:tcBorders>
              <w:top w:val="nil"/>
              <w:left w:val="single" w:sz="4" w:space="0" w:color="auto"/>
              <w:bottom w:val="single" w:sz="8" w:space="0" w:color="auto"/>
              <w:right w:val="single" w:sz="4" w:space="0" w:color="auto"/>
            </w:tcBorders>
            <w:shd w:val="clear" w:color="auto" w:fill="auto"/>
            <w:noWrap/>
            <w:vAlign w:val="bottom"/>
            <w:hideMark/>
          </w:tcPr>
          <w:p w14:paraId="712733A8" w14:textId="77777777" w:rsidR="00F25246" w:rsidRPr="00311DAB" w:rsidRDefault="00F25246" w:rsidP="00F25246">
            <w:pPr>
              <w:rPr>
                <w:color w:val="000000"/>
                <w:sz w:val="6"/>
                <w:szCs w:val="6"/>
                <w:lang w:eastAsia="tr-TR"/>
              </w:rPr>
            </w:pPr>
            <w:r w:rsidRPr="00311DAB">
              <w:rPr>
                <w:color w:val="000000"/>
                <w:sz w:val="6"/>
                <w:szCs w:val="6"/>
                <w:lang w:eastAsia="tr-TR"/>
              </w:rPr>
              <w:t> </w:t>
            </w:r>
          </w:p>
        </w:tc>
        <w:tc>
          <w:tcPr>
            <w:tcW w:w="2019" w:type="dxa"/>
            <w:tcBorders>
              <w:top w:val="nil"/>
              <w:left w:val="single" w:sz="4" w:space="0" w:color="auto"/>
              <w:bottom w:val="single" w:sz="8" w:space="0" w:color="auto"/>
              <w:right w:val="single" w:sz="4" w:space="0" w:color="auto"/>
            </w:tcBorders>
            <w:shd w:val="clear" w:color="auto" w:fill="auto"/>
            <w:noWrap/>
            <w:vAlign w:val="bottom"/>
            <w:hideMark/>
          </w:tcPr>
          <w:p w14:paraId="07F5B1FD" w14:textId="77777777" w:rsidR="00F25246" w:rsidRPr="00311DAB" w:rsidRDefault="00F25246" w:rsidP="00F25246">
            <w:pPr>
              <w:rPr>
                <w:color w:val="000000"/>
                <w:sz w:val="6"/>
                <w:szCs w:val="6"/>
                <w:lang w:eastAsia="tr-TR"/>
              </w:rPr>
            </w:pPr>
            <w:r w:rsidRPr="00311DAB">
              <w:rPr>
                <w:color w:val="000000"/>
                <w:sz w:val="6"/>
                <w:szCs w:val="6"/>
                <w:lang w:eastAsia="tr-TR"/>
              </w:rPr>
              <w:t> </w:t>
            </w:r>
          </w:p>
        </w:tc>
        <w:tc>
          <w:tcPr>
            <w:tcW w:w="614" w:type="dxa"/>
            <w:tcBorders>
              <w:top w:val="nil"/>
              <w:left w:val="single" w:sz="4" w:space="0" w:color="auto"/>
              <w:bottom w:val="single" w:sz="8" w:space="0" w:color="auto"/>
              <w:right w:val="single" w:sz="4" w:space="0" w:color="auto"/>
            </w:tcBorders>
            <w:shd w:val="clear" w:color="auto" w:fill="auto"/>
            <w:vAlign w:val="center"/>
            <w:hideMark/>
          </w:tcPr>
          <w:p w14:paraId="77B9F76C" w14:textId="77777777" w:rsidR="00F25246" w:rsidRPr="00311DAB" w:rsidRDefault="00F25246" w:rsidP="00F25246">
            <w:pPr>
              <w:jc w:val="right"/>
              <w:rPr>
                <w:color w:val="000000"/>
                <w:sz w:val="6"/>
                <w:szCs w:val="6"/>
                <w:lang w:eastAsia="tr-TR"/>
              </w:rPr>
            </w:pPr>
            <w:r w:rsidRPr="00311DAB">
              <w:rPr>
                <w:color w:val="000000"/>
                <w:sz w:val="6"/>
                <w:szCs w:val="6"/>
                <w:lang w:val="en-US"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hideMark/>
          </w:tcPr>
          <w:p w14:paraId="3455D323" w14:textId="77777777" w:rsidR="00F25246" w:rsidRPr="00311DAB" w:rsidRDefault="00F25246" w:rsidP="00F25246">
            <w:pPr>
              <w:jc w:val="right"/>
              <w:rPr>
                <w:sz w:val="6"/>
                <w:szCs w:val="6"/>
                <w:lang w:eastAsia="tr-TR"/>
              </w:rPr>
            </w:pPr>
            <w:r w:rsidRPr="00311DAB">
              <w:rPr>
                <w:sz w:val="6"/>
                <w:szCs w:val="6"/>
                <w:lang w:eastAsia="tr-TR"/>
              </w:rPr>
              <w:t> </w:t>
            </w:r>
          </w:p>
        </w:tc>
        <w:tc>
          <w:tcPr>
            <w:tcW w:w="872" w:type="dxa"/>
            <w:tcBorders>
              <w:top w:val="nil"/>
              <w:left w:val="single" w:sz="4" w:space="0" w:color="auto"/>
              <w:bottom w:val="single" w:sz="8" w:space="0" w:color="auto"/>
              <w:right w:val="single" w:sz="4" w:space="0" w:color="auto"/>
            </w:tcBorders>
            <w:shd w:val="clear" w:color="auto" w:fill="auto"/>
            <w:vAlign w:val="center"/>
            <w:hideMark/>
          </w:tcPr>
          <w:p w14:paraId="5B91A494" w14:textId="77777777" w:rsidR="00F25246" w:rsidRPr="00311DAB" w:rsidRDefault="00F25246" w:rsidP="00F25246">
            <w:pPr>
              <w:jc w:val="right"/>
              <w:rPr>
                <w:sz w:val="6"/>
                <w:szCs w:val="6"/>
                <w:lang w:eastAsia="tr-TR"/>
              </w:rPr>
            </w:pPr>
            <w:r w:rsidRPr="00311DAB">
              <w:rPr>
                <w:sz w:val="6"/>
                <w:szCs w:val="6"/>
                <w:lang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hideMark/>
          </w:tcPr>
          <w:p w14:paraId="7D63AAD0" w14:textId="77777777" w:rsidR="00F25246" w:rsidRPr="00311DAB" w:rsidRDefault="00F25246" w:rsidP="00F25246">
            <w:pPr>
              <w:jc w:val="right"/>
              <w:rPr>
                <w:sz w:val="6"/>
                <w:szCs w:val="6"/>
                <w:lang w:eastAsia="tr-TR"/>
              </w:rPr>
            </w:pPr>
            <w:r w:rsidRPr="00311DAB">
              <w:rPr>
                <w:sz w:val="6"/>
                <w:szCs w:val="6"/>
                <w:lang w:eastAsia="tr-TR"/>
              </w:rPr>
              <w:t> </w:t>
            </w:r>
          </w:p>
        </w:tc>
        <w:tc>
          <w:tcPr>
            <w:tcW w:w="873" w:type="dxa"/>
            <w:tcBorders>
              <w:top w:val="nil"/>
              <w:left w:val="single" w:sz="4" w:space="0" w:color="auto"/>
              <w:bottom w:val="single" w:sz="8" w:space="0" w:color="auto"/>
              <w:right w:val="single" w:sz="4" w:space="0" w:color="auto"/>
            </w:tcBorders>
            <w:shd w:val="clear" w:color="auto" w:fill="auto"/>
            <w:vAlign w:val="center"/>
            <w:hideMark/>
          </w:tcPr>
          <w:p w14:paraId="739CE0B9" w14:textId="77777777" w:rsidR="00F25246" w:rsidRPr="00311DAB" w:rsidRDefault="00F25246" w:rsidP="00F25246">
            <w:pPr>
              <w:jc w:val="right"/>
              <w:rPr>
                <w:sz w:val="6"/>
                <w:szCs w:val="6"/>
                <w:lang w:eastAsia="tr-TR"/>
              </w:rPr>
            </w:pPr>
            <w:r w:rsidRPr="00311DAB">
              <w:rPr>
                <w:sz w:val="6"/>
                <w:szCs w:val="6"/>
                <w:lang w:eastAsia="tr-TR"/>
              </w:rPr>
              <w:t> </w:t>
            </w:r>
          </w:p>
        </w:tc>
        <w:tc>
          <w:tcPr>
            <w:tcW w:w="581" w:type="dxa"/>
            <w:tcBorders>
              <w:top w:val="nil"/>
              <w:left w:val="single" w:sz="4" w:space="0" w:color="auto"/>
              <w:bottom w:val="single" w:sz="8" w:space="0" w:color="auto"/>
              <w:right w:val="single" w:sz="4" w:space="0" w:color="auto"/>
            </w:tcBorders>
            <w:shd w:val="clear" w:color="auto" w:fill="auto"/>
            <w:vAlign w:val="center"/>
            <w:hideMark/>
          </w:tcPr>
          <w:p w14:paraId="64662073" w14:textId="77777777" w:rsidR="00F25246" w:rsidRPr="00311DAB" w:rsidRDefault="00F25246" w:rsidP="00F25246">
            <w:pPr>
              <w:jc w:val="right"/>
              <w:rPr>
                <w:sz w:val="6"/>
                <w:szCs w:val="6"/>
                <w:lang w:eastAsia="tr-TR"/>
              </w:rPr>
            </w:pPr>
            <w:r w:rsidRPr="00311DAB">
              <w:rPr>
                <w:sz w:val="6"/>
                <w:szCs w:val="6"/>
                <w:lang w:eastAsia="tr-TR"/>
              </w:rPr>
              <w:t> </w:t>
            </w:r>
          </w:p>
        </w:tc>
        <w:tc>
          <w:tcPr>
            <w:tcW w:w="581" w:type="dxa"/>
            <w:tcBorders>
              <w:top w:val="nil"/>
              <w:left w:val="single" w:sz="4" w:space="0" w:color="auto"/>
              <w:bottom w:val="single" w:sz="8" w:space="0" w:color="auto"/>
              <w:right w:val="single" w:sz="4" w:space="0" w:color="auto"/>
            </w:tcBorders>
            <w:shd w:val="clear" w:color="auto" w:fill="auto"/>
            <w:vAlign w:val="center"/>
            <w:hideMark/>
          </w:tcPr>
          <w:p w14:paraId="3CF7D6BC" w14:textId="77777777" w:rsidR="00F25246" w:rsidRPr="00311DAB" w:rsidRDefault="00F25246" w:rsidP="00F25246">
            <w:pPr>
              <w:jc w:val="right"/>
              <w:rPr>
                <w:sz w:val="6"/>
                <w:szCs w:val="6"/>
                <w:lang w:eastAsia="tr-TR"/>
              </w:rPr>
            </w:pPr>
            <w:r w:rsidRPr="00311DAB">
              <w:rPr>
                <w:sz w:val="6"/>
                <w:szCs w:val="6"/>
                <w:lang w:eastAsia="tr-TR"/>
              </w:rPr>
              <w:t> </w:t>
            </w:r>
          </w:p>
        </w:tc>
        <w:tc>
          <w:tcPr>
            <w:tcW w:w="583" w:type="dxa"/>
            <w:tcBorders>
              <w:top w:val="nil"/>
              <w:left w:val="single" w:sz="4" w:space="0" w:color="auto"/>
              <w:bottom w:val="single" w:sz="8" w:space="0" w:color="auto"/>
              <w:right w:val="single" w:sz="4" w:space="0" w:color="auto"/>
            </w:tcBorders>
            <w:shd w:val="clear" w:color="auto" w:fill="auto"/>
            <w:vAlign w:val="center"/>
            <w:hideMark/>
          </w:tcPr>
          <w:p w14:paraId="0AF5C6E9" w14:textId="77777777" w:rsidR="00F25246" w:rsidRPr="00311DAB" w:rsidRDefault="00F25246" w:rsidP="00F25246">
            <w:pPr>
              <w:jc w:val="right"/>
              <w:rPr>
                <w:sz w:val="6"/>
                <w:szCs w:val="6"/>
                <w:lang w:eastAsia="tr-TR"/>
              </w:rPr>
            </w:pPr>
            <w:r w:rsidRPr="00311DAB">
              <w:rPr>
                <w:sz w:val="6"/>
                <w:szCs w:val="6"/>
                <w:lang w:eastAsia="tr-TR"/>
              </w:rPr>
              <w:t> </w:t>
            </w:r>
          </w:p>
        </w:tc>
        <w:tc>
          <w:tcPr>
            <w:tcW w:w="435" w:type="dxa"/>
            <w:tcBorders>
              <w:top w:val="nil"/>
              <w:left w:val="single" w:sz="4" w:space="0" w:color="auto"/>
              <w:bottom w:val="single" w:sz="8" w:space="0" w:color="auto"/>
              <w:right w:val="single" w:sz="4" w:space="0" w:color="auto"/>
            </w:tcBorders>
            <w:shd w:val="clear" w:color="auto" w:fill="auto"/>
            <w:vAlign w:val="center"/>
            <w:hideMark/>
          </w:tcPr>
          <w:p w14:paraId="11DC9F9B" w14:textId="77777777" w:rsidR="00F25246" w:rsidRPr="00311DAB" w:rsidRDefault="00F25246" w:rsidP="00F25246">
            <w:pPr>
              <w:jc w:val="right"/>
              <w:rPr>
                <w:sz w:val="6"/>
                <w:szCs w:val="6"/>
                <w:lang w:eastAsia="tr-TR"/>
              </w:rPr>
            </w:pPr>
            <w:r w:rsidRPr="00311DAB">
              <w:rPr>
                <w:sz w:val="6"/>
                <w:szCs w:val="6"/>
                <w:lang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hideMark/>
          </w:tcPr>
          <w:p w14:paraId="57E3B14F" w14:textId="77777777" w:rsidR="00F25246" w:rsidRPr="00311DAB" w:rsidRDefault="00F25246" w:rsidP="00F25246">
            <w:pPr>
              <w:jc w:val="right"/>
              <w:rPr>
                <w:sz w:val="6"/>
                <w:szCs w:val="6"/>
                <w:lang w:eastAsia="tr-TR"/>
              </w:rPr>
            </w:pPr>
            <w:r w:rsidRPr="00311DAB">
              <w:rPr>
                <w:sz w:val="6"/>
                <w:szCs w:val="6"/>
                <w:lang w:eastAsia="tr-TR"/>
              </w:rPr>
              <w:t> </w:t>
            </w:r>
          </w:p>
        </w:tc>
        <w:tc>
          <w:tcPr>
            <w:tcW w:w="549" w:type="dxa"/>
            <w:tcBorders>
              <w:top w:val="nil"/>
              <w:left w:val="single" w:sz="4" w:space="0" w:color="auto"/>
              <w:bottom w:val="single" w:sz="8" w:space="0" w:color="auto"/>
              <w:right w:val="single" w:sz="4" w:space="0" w:color="auto"/>
            </w:tcBorders>
            <w:shd w:val="clear" w:color="auto" w:fill="auto"/>
            <w:vAlign w:val="center"/>
            <w:hideMark/>
          </w:tcPr>
          <w:p w14:paraId="5515FFC9" w14:textId="77777777" w:rsidR="00F25246" w:rsidRPr="00311DAB" w:rsidRDefault="00F25246" w:rsidP="00F25246">
            <w:pPr>
              <w:jc w:val="right"/>
              <w:rPr>
                <w:sz w:val="6"/>
                <w:szCs w:val="6"/>
                <w:lang w:eastAsia="tr-TR"/>
              </w:rPr>
            </w:pPr>
            <w:r w:rsidRPr="00311DAB">
              <w:rPr>
                <w:sz w:val="6"/>
                <w:szCs w:val="6"/>
                <w:lang w:eastAsia="tr-TR"/>
              </w:rPr>
              <w:t> </w:t>
            </w:r>
          </w:p>
        </w:tc>
        <w:tc>
          <w:tcPr>
            <w:tcW w:w="571" w:type="dxa"/>
            <w:tcBorders>
              <w:top w:val="nil"/>
              <w:left w:val="single" w:sz="4" w:space="0" w:color="auto"/>
              <w:bottom w:val="single" w:sz="8" w:space="0" w:color="auto"/>
              <w:right w:val="single" w:sz="4" w:space="0" w:color="auto"/>
            </w:tcBorders>
            <w:shd w:val="clear" w:color="auto" w:fill="auto"/>
            <w:vAlign w:val="center"/>
            <w:hideMark/>
          </w:tcPr>
          <w:p w14:paraId="4802A4ED" w14:textId="77777777" w:rsidR="00F25246" w:rsidRPr="00311DAB" w:rsidRDefault="00F25246" w:rsidP="00F25246">
            <w:pPr>
              <w:jc w:val="right"/>
              <w:rPr>
                <w:sz w:val="6"/>
                <w:szCs w:val="6"/>
                <w:lang w:eastAsia="tr-TR"/>
              </w:rPr>
            </w:pPr>
            <w:r w:rsidRPr="00311DAB">
              <w:rPr>
                <w:sz w:val="6"/>
                <w:szCs w:val="6"/>
                <w:lang w:eastAsia="tr-TR"/>
              </w:rPr>
              <w:t> </w:t>
            </w:r>
          </w:p>
        </w:tc>
        <w:tc>
          <w:tcPr>
            <w:tcW w:w="788" w:type="dxa"/>
            <w:tcBorders>
              <w:top w:val="nil"/>
              <w:left w:val="single" w:sz="4" w:space="0" w:color="auto"/>
              <w:bottom w:val="single" w:sz="8" w:space="0" w:color="auto"/>
              <w:right w:val="single" w:sz="4" w:space="0" w:color="auto"/>
            </w:tcBorders>
            <w:shd w:val="clear" w:color="auto" w:fill="auto"/>
            <w:vAlign w:val="center"/>
            <w:hideMark/>
          </w:tcPr>
          <w:p w14:paraId="287DE8F2" w14:textId="77777777" w:rsidR="00F25246" w:rsidRPr="00311DAB" w:rsidRDefault="00F25246" w:rsidP="00F25246">
            <w:pPr>
              <w:jc w:val="right"/>
              <w:rPr>
                <w:sz w:val="6"/>
                <w:szCs w:val="6"/>
                <w:lang w:eastAsia="tr-TR"/>
              </w:rPr>
            </w:pPr>
            <w:r w:rsidRPr="00311DAB">
              <w:rPr>
                <w:sz w:val="6"/>
                <w:szCs w:val="6"/>
                <w:lang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hideMark/>
          </w:tcPr>
          <w:p w14:paraId="015E6562" w14:textId="77777777" w:rsidR="00F25246" w:rsidRPr="00311DAB" w:rsidRDefault="00F25246" w:rsidP="00F25246">
            <w:pPr>
              <w:jc w:val="right"/>
              <w:rPr>
                <w:sz w:val="6"/>
                <w:szCs w:val="6"/>
                <w:lang w:eastAsia="tr-TR"/>
              </w:rPr>
            </w:pPr>
            <w:r w:rsidRPr="00311DAB">
              <w:rPr>
                <w:sz w:val="6"/>
                <w:szCs w:val="6"/>
                <w:lang w:eastAsia="tr-TR"/>
              </w:rPr>
              <w:t> </w:t>
            </w:r>
          </w:p>
        </w:tc>
        <w:tc>
          <w:tcPr>
            <w:tcW w:w="873" w:type="dxa"/>
            <w:tcBorders>
              <w:top w:val="nil"/>
              <w:left w:val="single" w:sz="4" w:space="0" w:color="auto"/>
              <w:bottom w:val="single" w:sz="8" w:space="0" w:color="auto"/>
              <w:right w:val="single" w:sz="4" w:space="0" w:color="auto"/>
            </w:tcBorders>
            <w:shd w:val="clear" w:color="auto" w:fill="auto"/>
            <w:vAlign w:val="center"/>
            <w:hideMark/>
          </w:tcPr>
          <w:p w14:paraId="1D640F6F" w14:textId="77777777" w:rsidR="00F25246" w:rsidRPr="00311DAB" w:rsidRDefault="00F25246" w:rsidP="00F25246">
            <w:pPr>
              <w:jc w:val="right"/>
              <w:rPr>
                <w:sz w:val="6"/>
                <w:szCs w:val="6"/>
                <w:lang w:eastAsia="tr-TR"/>
              </w:rPr>
            </w:pPr>
            <w:r w:rsidRPr="00311DAB">
              <w:rPr>
                <w:sz w:val="6"/>
                <w:szCs w:val="6"/>
                <w:lang w:eastAsia="tr-TR"/>
              </w:rPr>
              <w:t> </w:t>
            </w:r>
          </w:p>
        </w:tc>
        <w:tc>
          <w:tcPr>
            <w:tcW w:w="726" w:type="dxa"/>
            <w:tcBorders>
              <w:top w:val="nil"/>
              <w:left w:val="single" w:sz="4" w:space="0" w:color="auto"/>
              <w:bottom w:val="single" w:sz="8" w:space="0" w:color="auto"/>
              <w:right w:val="single" w:sz="4" w:space="0" w:color="auto"/>
            </w:tcBorders>
            <w:shd w:val="clear" w:color="auto" w:fill="auto"/>
            <w:vAlign w:val="center"/>
            <w:hideMark/>
          </w:tcPr>
          <w:p w14:paraId="22B0DCF5" w14:textId="77777777" w:rsidR="00F25246" w:rsidRPr="00311DAB" w:rsidRDefault="00F25246" w:rsidP="00F25246">
            <w:pPr>
              <w:jc w:val="right"/>
              <w:rPr>
                <w:sz w:val="6"/>
                <w:szCs w:val="6"/>
                <w:lang w:eastAsia="tr-TR"/>
              </w:rPr>
            </w:pPr>
            <w:r w:rsidRPr="00311DAB">
              <w:rPr>
                <w:sz w:val="6"/>
                <w:szCs w:val="6"/>
                <w:lang w:eastAsia="tr-TR"/>
              </w:rPr>
              <w:t> </w:t>
            </w:r>
          </w:p>
        </w:tc>
        <w:tc>
          <w:tcPr>
            <w:tcW w:w="594" w:type="dxa"/>
            <w:tcBorders>
              <w:top w:val="nil"/>
              <w:left w:val="single" w:sz="4" w:space="0" w:color="auto"/>
              <w:bottom w:val="single" w:sz="8" w:space="0" w:color="auto"/>
              <w:right w:val="single" w:sz="4" w:space="0" w:color="auto"/>
            </w:tcBorders>
            <w:shd w:val="clear" w:color="auto" w:fill="auto"/>
            <w:vAlign w:val="center"/>
            <w:hideMark/>
          </w:tcPr>
          <w:p w14:paraId="76197ADB" w14:textId="77777777" w:rsidR="00F25246" w:rsidRPr="00311DAB" w:rsidRDefault="00F25246" w:rsidP="00F25246">
            <w:pPr>
              <w:jc w:val="right"/>
              <w:rPr>
                <w:sz w:val="6"/>
                <w:szCs w:val="6"/>
                <w:lang w:eastAsia="tr-TR"/>
              </w:rPr>
            </w:pPr>
            <w:r w:rsidRPr="00311DAB">
              <w:rPr>
                <w:sz w:val="6"/>
                <w:szCs w:val="6"/>
                <w:lang w:eastAsia="tr-TR"/>
              </w:rPr>
              <w:t> </w:t>
            </w:r>
          </w:p>
        </w:tc>
      </w:tr>
      <w:tr w:rsidR="00D42791" w:rsidRPr="00F25246" w14:paraId="05AAE572" w14:textId="77777777" w:rsidTr="002E368F">
        <w:trPr>
          <w:divId w:val="36128962"/>
          <w:trHeight w:val="3"/>
        </w:trPr>
        <w:tc>
          <w:tcPr>
            <w:tcW w:w="419" w:type="dxa"/>
            <w:tcBorders>
              <w:top w:val="nil"/>
              <w:left w:val="single" w:sz="4" w:space="0" w:color="auto"/>
              <w:bottom w:val="double" w:sz="6" w:space="0" w:color="auto"/>
              <w:right w:val="single" w:sz="4" w:space="0" w:color="auto"/>
            </w:tcBorders>
            <w:shd w:val="clear" w:color="auto" w:fill="auto"/>
            <w:noWrap/>
            <w:vAlign w:val="bottom"/>
            <w:hideMark/>
          </w:tcPr>
          <w:p w14:paraId="53E11467" w14:textId="77777777" w:rsidR="00F25246" w:rsidRPr="00F25246" w:rsidRDefault="00F25246" w:rsidP="00F25246">
            <w:pPr>
              <w:rPr>
                <w:color w:val="000000"/>
                <w:lang w:eastAsia="tr-TR"/>
              </w:rPr>
            </w:pPr>
            <w:r w:rsidRPr="00F25246">
              <w:rPr>
                <w:color w:val="000000"/>
                <w:lang w:eastAsia="tr-TR"/>
              </w:rPr>
              <w:t> </w:t>
            </w:r>
          </w:p>
        </w:tc>
        <w:tc>
          <w:tcPr>
            <w:tcW w:w="2019" w:type="dxa"/>
            <w:tcBorders>
              <w:top w:val="nil"/>
              <w:left w:val="single" w:sz="4" w:space="0" w:color="auto"/>
              <w:bottom w:val="double" w:sz="6" w:space="0" w:color="auto"/>
              <w:right w:val="single" w:sz="4" w:space="0" w:color="auto"/>
            </w:tcBorders>
            <w:shd w:val="clear" w:color="auto" w:fill="auto"/>
            <w:noWrap/>
            <w:vAlign w:val="center"/>
            <w:hideMark/>
          </w:tcPr>
          <w:p w14:paraId="7CD88E61" w14:textId="77777777" w:rsidR="00F25246" w:rsidRPr="00F25246" w:rsidRDefault="00F25246" w:rsidP="00F25246">
            <w:pPr>
              <w:rPr>
                <w:b/>
                <w:bCs/>
                <w:color w:val="000000"/>
                <w:sz w:val="10"/>
                <w:szCs w:val="10"/>
                <w:lang w:eastAsia="tr-TR"/>
              </w:rPr>
            </w:pPr>
            <w:proofErr w:type="spellStart"/>
            <w:r w:rsidRPr="00F25246">
              <w:rPr>
                <w:b/>
                <w:bCs/>
                <w:color w:val="000000"/>
                <w:sz w:val="10"/>
                <w:szCs w:val="10"/>
                <w:lang w:val="en-US" w:eastAsia="tr-TR"/>
              </w:rPr>
              <w:t>Dönem</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Sonu</w:t>
            </w:r>
            <w:proofErr w:type="spellEnd"/>
            <w:r w:rsidRPr="00F25246">
              <w:rPr>
                <w:b/>
                <w:bCs/>
                <w:color w:val="000000"/>
                <w:sz w:val="10"/>
                <w:szCs w:val="10"/>
                <w:lang w:val="en-US" w:eastAsia="tr-TR"/>
              </w:rPr>
              <w:t xml:space="preserve"> </w:t>
            </w:r>
            <w:proofErr w:type="spellStart"/>
            <w:proofErr w:type="gramStart"/>
            <w:r w:rsidRPr="00F25246">
              <w:rPr>
                <w:b/>
                <w:bCs/>
                <w:color w:val="000000"/>
                <w:sz w:val="10"/>
                <w:szCs w:val="10"/>
                <w:lang w:val="en-US" w:eastAsia="tr-TR"/>
              </w:rPr>
              <w:t>Bakiyesi</w:t>
            </w:r>
            <w:proofErr w:type="spellEnd"/>
            <w:r w:rsidRPr="00F25246">
              <w:rPr>
                <w:b/>
                <w:bCs/>
                <w:color w:val="000000"/>
                <w:sz w:val="10"/>
                <w:szCs w:val="10"/>
                <w:lang w:val="en-US" w:eastAsia="tr-TR"/>
              </w:rPr>
              <w:t xml:space="preserve">  (</w:t>
            </w:r>
            <w:proofErr w:type="gramEnd"/>
            <w:r w:rsidRPr="00F25246">
              <w:rPr>
                <w:b/>
                <w:bCs/>
                <w:color w:val="000000"/>
                <w:sz w:val="10"/>
                <w:szCs w:val="10"/>
                <w:lang w:val="en-US" w:eastAsia="tr-TR"/>
              </w:rPr>
              <w:t>III+IV+…...+X+XI)</w:t>
            </w:r>
          </w:p>
        </w:tc>
        <w:tc>
          <w:tcPr>
            <w:tcW w:w="614"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1ADB0CB6" w14:textId="77777777" w:rsidR="00F25246" w:rsidRPr="00F25246" w:rsidRDefault="00F25246" w:rsidP="00311DAB">
            <w:pPr>
              <w:ind w:left="-80"/>
              <w:jc w:val="right"/>
              <w:rPr>
                <w:b/>
                <w:bCs/>
                <w:color w:val="000000"/>
                <w:sz w:val="10"/>
                <w:szCs w:val="10"/>
                <w:lang w:eastAsia="tr-TR"/>
              </w:rPr>
            </w:pPr>
            <w:r w:rsidRPr="00F25246">
              <w:rPr>
                <w:b/>
                <w:bCs/>
                <w:color w:val="000000"/>
                <w:sz w:val="10"/>
                <w:szCs w:val="10"/>
                <w:lang w:eastAsia="tr-TR"/>
              </w:rPr>
              <w:t>(5.2.11.)</w:t>
            </w:r>
          </w:p>
        </w:tc>
        <w:tc>
          <w:tcPr>
            <w:tcW w:w="727" w:type="dxa"/>
            <w:tcBorders>
              <w:top w:val="nil"/>
              <w:left w:val="single" w:sz="4" w:space="0" w:color="auto"/>
              <w:bottom w:val="double" w:sz="6" w:space="0" w:color="auto"/>
              <w:right w:val="single" w:sz="4" w:space="0" w:color="auto"/>
            </w:tcBorders>
            <w:shd w:val="clear" w:color="auto" w:fill="auto"/>
            <w:vAlign w:val="center"/>
            <w:hideMark/>
          </w:tcPr>
          <w:p w14:paraId="60836421" w14:textId="77777777" w:rsidR="00F25246" w:rsidRPr="00F25246" w:rsidRDefault="00F25246" w:rsidP="00F25246">
            <w:pPr>
              <w:jc w:val="right"/>
              <w:rPr>
                <w:b/>
                <w:sz w:val="10"/>
                <w:szCs w:val="10"/>
                <w:lang w:eastAsia="tr-TR"/>
              </w:rPr>
            </w:pPr>
            <w:r w:rsidRPr="00F25246">
              <w:rPr>
                <w:b/>
                <w:sz w:val="10"/>
                <w:szCs w:val="10"/>
                <w:lang w:eastAsia="tr-TR"/>
              </w:rPr>
              <w:t>3,995,766</w:t>
            </w:r>
          </w:p>
        </w:tc>
        <w:tc>
          <w:tcPr>
            <w:tcW w:w="872" w:type="dxa"/>
            <w:tcBorders>
              <w:top w:val="nil"/>
              <w:left w:val="single" w:sz="4" w:space="0" w:color="auto"/>
              <w:bottom w:val="double" w:sz="6" w:space="0" w:color="auto"/>
              <w:right w:val="single" w:sz="4" w:space="0" w:color="auto"/>
            </w:tcBorders>
            <w:shd w:val="clear" w:color="auto" w:fill="auto"/>
            <w:vAlign w:val="center"/>
            <w:hideMark/>
          </w:tcPr>
          <w:p w14:paraId="2BA520CE" w14:textId="77777777" w:rsidR="00F25246" w:rsidRPr="00F25246" w:rsidRDefault="00F25246" w:rsidP="00F25246">
            <w:pPr>
              <w:jc w:val="right"/>
              <w:rPr>
                <w:b/>
                <w:sz w:val="10"/>
                <w:szCs w:val="10"/>
                <w:lang w:eastAsia="tr-TR"/>
              </w:rPr>
            </w:pPr>
            <w:r w:rsidRPr="00F25246">
              <w:rPr>
                <w:b/>
                <w:sz w:val="10"/>
                <w:szCs w:val="10"/>
                <w:lang w:eastAsia="tr-TR"/>
              </w:rPr>
              <w:t>23,250</w:t>
            </w:r>
          </w:p>
        </w:tc>
        <w:tc>
          <w:tcPr>
            <w:tcW w:w="727" w:type="dxa"/>
            <w:tcBorders>
              <w:top w:val="nil"/>
              <w:left w:val="single" w:sz="4" w:space="0" w:color="auto"/>
              <w:bottom w:val="double" w:sz="6" w:space="0" w:color="auto"/>
              <w:right w:val="single" w:sz="4" w:space="0" w:color="auto"/>
            </w:tcBorders>
            <w:shd w:val="clear" w:color="auto" w:fill="auto"/>
            <w:vAlign w:val="center"/>
            <w:hideMark/>
          </w:tcPr>
          <w:p w14:paraId="78E83801" w14:textId="77777777" w:rsidR="00F25246" w:rsidRPr="00F25246" w:rsidRDefault="00F25246" w:rsidP="00F25246">
            <w:pPr>
              <w:jc w:val="right"/>
              <w:rPr>
                <w:b/>
                <w:sz w:val="10"/>
                <w:szCs w:val="10"/>
                <w:lang w:eastAsia="tr-TR"/>
              </w:rPr>
            </w:pPr>
            <w:r w:rsidRPr="00F25246">
              <w:rPr>
                <w:b/>
                <w:sz w:val="10"/>
                <w:szCs w:val="10"/>
                <w:lang w:eastAsia="tr-TR"/>
              </w:rPr>
              <w:t>1,239</w:t>
            </w:r>
          </w:p>
        </w:tc>
        <w:tc>
          <w:tcPr>
            <w:tcW w:w="873" w:type="dxa"/>
            <w:tcBorders>
              <w:top w:val="nil"/>
              <w:left w:val="single" w:sz="4" w:space="0" w:color="auto"/>
              <w:bottom w:val="double" w:sz="6" w:space="0" w:color="auto"/>
              <w:right w:val="single" w:sz="4" w:space="0" w:color="auto"/>
            </w:tcBorders>
            <w:shd w:val="clear" w:color="auto" w:fill="auto"/>
            <w:vAlign w:val="center"/>
            <w:hideMark/>
          </w:tcPr>
          <w:p w14:paraId="7FB96EE7" w14:textId="77777777" w:rsidR="00F25246" w:rsidRPr="00F25246" w:rsidRDefault="00F25246" w:rsidP="00F25246">
            <w:pPr>
              <w:jc w:val="right"/>
              <w:rPr>
                <w:b/>
                <w:sz w:val="10"/>
                <w:szCs w:val="10"/>
                <w:lang w:eastAsia="tr-TR"/>
              </w:rPr>
            </w:pPr>
            <w:r w:rsidRPr="00F25246">
              <w:rPr>
                <w:b/>
                <w:sz w:val="10"/>
                <w:szCs w:val="10"/>
                <w:lang w:eastAsia="tr-TR"/>
              </w:rPr>
              <w:t>-</w:t>
            </w:r>
          </w:p>
        </w:tc>
        <w:tc>
          <w:tcPr>
            <w:tcW w:w="581" w:type="dxa"/>
            <w:tcBorders>
              <w:top w:val="nil"/>
              <w:left w:val="single" w:sz="4" w:space="0" w:color="auto"/>
              <w:bottom w:val="double" w:sz="6" w:space="0" w:color="auto"/>
              <w:right w:val="single" w:sz="4" w:space="0" w:color="auto"/>
            </w:tcBorders>
            <w:shd w:val="clear" w:color="auto" w:fill="auto"/>
            <w:vAlign w:val="center"/>
            <w:hideMark/>
          </w:tcPr>
          <w:p w14:paraId="07E08D88" w14:textId="77777777" w:rsidR="00F25246" w:rsidRPr="00F25246" w:rsidRDefault="00F25246" w:rsidP="00F25246">
            <w:pPr>
              <w:jc w:val="right"/>
              <w:rPr>
                <w:b/>
                <w:sz w:val="10"/>
                <w:szCs w:val="10"/>
                <w:lang w:eastAsia="tr-TR"/>
              </w:rPr>
            </w:pPr>
            <w:r w:rsidRPr="00F25246">
              <w:rPr>
                <w:b/>
                <w:sz w:val="10"/>
                <w:szCs w:val="10"/>
                <w:lang w:eastAsia="tr-TR"/>
              </w:rPr>
              <w:t>-</w:t>
            </w:r>
          </w:p>
        </w:tc>
        <w:tc>
          <w:tcPr>
            <w:tcW w:w="581" w:type="dxa"/>
            <w:tcBorders>
              <w:top w:val="nil"/>
              <w:left w:val="single" w:sz="4" w:space="0" w:color="auto"/>
              <w:bottom w:val="double" w:sz="6" w:space="0" w:color="auto"/>
              <w:right w:val="single" w:sz="4" w:space="0" w:color="auto"/>
            </w:tcBorders>
            <w:shd w:val="clear" w:color="auto" w:fill="auto"/>
            <w:vAlign w:val="center"/>
            <w:hideMark/>
          </w:tcPr>
          <w:p w14:paraId="4CA24664" w14:textId="77777777" w:rsidR="00F25246" w:rsidRPr="00F25246" w:rsidRDefault="00F25246" w:rsidP="00F25246">
            <w:pPr>
              <w:jc w:val="right"/>
              <w:rPr>
                <w:b/>
                <w:sz w:val="10"/>
                <w:szCs w:val="10"/>
                <w:lang w:eastAsia="tr-TR"/>
              </w:rPr>
            </w:pPr>
            <w:r w:rsidRPr="00F25246">
              <w:rPr>
                <w:b/>
                <w:sz w:val="10"/>
                <w:szCs w:val="10"/>
                <w:lang w:eastAsia="tr-TR"/>
              </w:rPr>
              <w:t>(13,296)</w:t>
            </w:r>
          </w:p>
        </w:tc>
        <w:tc>
          <w:tcPr>
            <w:tcW w:w="583" w:type="dxa"/>
            <w:tcBorders>
              <w:top w:val="nil"/>
              <w:left w:val="single" w:sz="4" w:space="0" w:color="auto"/>
              <w:bottom w:val="double" w:sz="6" w:space="0" w:color="auto"/>
              <w:right w:val="single" w:sz="4" w:space="0" w:color="auto"/>
            </w:tcBorders>
            <w:shd w:val="clear" w:color="auto" w:fill="auto"/>
            <w:vAlign w:val="center"/>
            <w:hideMark/>
          </w:tcPr>
          <w:p w14:paraId="087335B6" w14:textId="77777777" w:rsidR="00F25246" w:rsidRPr="00F25246" w:rsidRDefault="00F25246" w:rsidP="00F25246">
            <w:pPr>
              <w:jc w:val="right"/>
              <w:rPr>
                <w:b/>
                <w:sz w:val="10"/>
                <w:szCs w:val="10"/>
                <w:lang w:eastAsia="tr-TR"/>
              </w:rPr>
            </w:pPr>
            <w:r w:rsidRPr="00F25246">
              <w:rPr>
                <w:b/>
                <w:sz w:val="10"/>
                <w:szCs w:val="10"/>
                <w:lang w:eastAsia="tr-TR"/>
              </w:rPr>
              <w:t>-</w:t>
            </w:r>
          </w:p>
        </w:tc>
        <w:tc>
          <w:tcPr>
            <w:tcW w:w="435" w:type="dxa"/>
            <w:tcBorders>
              <w:top w:val="nil"/>
              <w:left w:val="single" w:sz="4" w:space="0" w:color="auto"/>
              <w:bottom w:val="double" w:sz="6" w:space="0" w:color="auto"/>
              <w:right w:val="single" w:sz="4" w:space="0" w:color="auto"/>
            </w:tcBorders>
            <w:shd w:val="clear" w:color="auto" w:fill="auto"/>
            <w:vAlign w:val="center"/>
            <w:hideMark/>
          </w:tcPr>
          <w:p w14:paraId="46E03041" w14:textId="77777777" w:rsidR="00F25246" w:rsidRPr="00F25246" w:rsidRDefault="00F25246" w:rsidP="00F25246">
            <w:pPr>
              <w:jc w:val="right"/>
              <w:rPr>
                <w:b/>
                <w:sz w:val="10"/>
                <w:szCs w:val="10"/>
                <w:lang w:eastAsia="tr-TR"/>
              </w:rPr>
            </w:pPr>
            <w:r w:rsidRPr="00F25246">
              <w:rPr>
                <w:b/>
                <w:sz w:val="10"/>
                <w:szCs w:val="10"/>
                <w:lang w:eastAsia="tr-TR"/>
              </w:rPr>
              <w:t>-</w:t>
            </w:r>
          </w:p>
        </w:tc>
        <w:tc>
          <w:tcPr>
            <w:tcW w:w="727" w:type="dxa"/>
            <w:tcBorders>
              <w:top w:val="nil"/>
              <w:left w:val="single" w:sz="4" w:space="0" w:color="auto"/>
              <w:bottom w:val="double" w:sz="6" w:space="0" w:color="auto"/>
              <w:right w:val="single" w:sz="4" w:space="0" w:color="auto"/>
            </w:tcBorders>
            <w:shd w:val="clear" w:color="auto" w:fill="auto"/>
            <w:vAlign w:val="center"/>
            <w:hideMark/>
          </w:tcPr>
          <w:p w14:paraId="21A7FCBD" w14:textId="77777777" w:rsidR="00F25246" w:rsidRPr="00F25246" w:rsidRDefault="00F25246" w:rsidP="00F25246">
            <w:pPr>
              <w:jc w:val="right"/>
              <w:rPr>
                <w:b/>
                <w:sz w:val="10"/>
                <w:szCs w:val="10"/>
                <w:lang w:eastAsia="tr-TR"/>
              </w:rPr>
            </w:pPr>
            <w:r w:rsidRPr="00F25246">
              <w:rPr>
                <w:b/>
                <w:sz w:val="10"/>
                <w:szCs w:val="10"/>
                <w:lang w:eastAsia="tr-TR"/>
              </w:rPr>
              <w:t>88,198</w:t>
            </w:r>
          </w:p>
        </w:tc>
        <w:tc>
          <w:tcPr>
            <w:tcW w:w="549" w:type="dxa"/>
            <w:tcBorders>
              <w:top w:val="nil"/>
              <w:left w:val="single" w:sz="4" w:space="0" w:color="auto"/>
              <w:bottom w:val="double" w:sz="6" w:space="0" w:color="auto"/>
              <w:right w:val="single" w:sz="4" w:space="0" w:color="auto"/>
            </w:tcBorders>
            <w:shd w:val="clear" w:color="auto" w:fill="auto"/>
            <w:vAlign w:val="center"/>
            <w:hideMark/>
          </w:tcPr>
          <w:p w14:paraId="4497B14E" w14:textId="77777777" w:rsidR="00F25246" w:rsidRPr="00F25246" w:rsidRDefault="00F25246" w:rsidP="00F25246">
            <w:pPr>
              <w:jc w:val="right"/>
              <w:rPr>
                <w:sz w:val="10"/>
                <w:szCs w:val="10"/>
                <w:lang w:eastAsia="tr-TR"/>
              </w:rPr>
            </w:pPr>
            <w:r w:rsidRPr="00F25246">
              <w:rPr>
                <w:b/>
                <w:sz w:val="10"/>
                <w:szCs w:val="10"/>
                <w:lang w:eastAsia="tr-TR"/>
              </w:rPr>
              <w:t>(5,672</w:t>
            </w:r>
            <w:r w:rsidRPr="00F25246">
              <w:rPr>
                <w:sz w:val="10"/>
                <w:szCs w:val="10"/>
                <w:lang w:eastAsia="tr-TR"/>
              </w:rPr>
              <w:t>)</w:t>
            </w:r>
          </w:p>
        </w:tc>
        <w:tc>
          <w:tcPr>
            <w:tcW w:w="571" w:type="dxa"/>
            <w:tcBorders>
              <w:top w:val="nil"/>
              <w:left w:val="single" w:sz="4" w:space="0" w:color="auto"/>
              <w:bottom w:val="double" w:sz="6" w:space="0" w:color="auto"/>
              <w:right w:val="single" w:sz="4" w:space="0" w:color="auto"/>
            </w:tcBorders>
            <w:shd w:val="clear" w:color="auto" w:fill="auto"/>
            <w:vAlign w:val="center"/>
            <w:hideMark/>
          </w:tcPr>
          <w:p w14:paraId="0A79E497" w14:textId="77777777" w:rsidR="00F25246" w:rsidRPr="00F25246" w:rsidRDefault="00F25246" w:rsidP="00F25246">
            <w:pPr>
              <w:jc w:val="right"/>
              <w:rPr>
                <w:b/>
                <w:sz w:val="10"/>
                <w:szCs w:val="10"/>
                <w:lang w:eastAsia="tr-TR"/>
              </w:rPr>
            </w:pPr>
            <w:r w:rsidRPr="00F25246">
              <w:rPr>
                <w:b/>
                <w:sz w:val="10"/>
                <w:szCs w:val="10"/>
                <w:lang w:eastAsia="tr-TR"/>
              </w:rPr>
              <w:t>1,469,385</w:t>
            </w:r>
          </w:p>
        </w:tc>
        <w:tc>
          <w:tcPr>
            <w:tcW w:w="788" w:type="dxa"/>
            <w:tcBorders>
              <w:top w:val="nil"/>
              <w:left w:val="single" w:sz="4" w:space="0" w:color="auto"/>
              <w:bottom w:val="double" w:sz="6" w:space="0" w:color="auto"/>
              <w:right w:val="single" w:sz="4" w:space="0" w:color="auto"/>
            </w:tcBorders>
            <w:shd w:val="clear" w:color="auto" w:fill="auto"/>
            <w:vAlign w:val="center"/>
            <w:hideMark/>
          </w:tcPr>
          <w:p w14:paraId="014333E0" w14:textId="77777777" w:rsidR="00F25246" w:rsidRPr="00F25246" w:rsidRDefault="00F25246" w:rsidP="00F25246">
            <w:pPr>
              <w:jc w:val="right"/>
              <w:rPr>
                <w:b/>
                <w:sz w:val="10"/>
                <w:szCs w:val="10"/>
                <w:lang w:eastAsia="tr-TR"/>
              </w:rPr>
            </w:pPr>
            <w:r w:rsidRPr="00F25246">
              <w:rPr>
                <w:b/>
                <w:sz w:val="10"/>
                <w:szCs w:val="10"/>
                <w:lang w:eastAsia="tr-TR"/>
              </w:rPr>
              <w:t>35,540</w:t>
            </w:r>
          </w:p>
        </w:tc>
        <w:tc>
          <w:tcPr>
            <w:tcW w:w="727" w:type="dxa"/>
            <w:tcBorders>
              <w:top w:val="nil"/>
              <w:left w:val="single" w:sz="4" w:space="0" w:color="auto"/>
              <w:bottom w:val="double" w:sz="6" w:space="0" w:color="auto"/>
              <w:right w:val="single" w:sz="4" w:space="0" w:color="auto"/>
            </w:tcBorders>
            <w:shd w:val="clear" w:color="auto" w:fill="auto"/>
            <w:vAlign w:val="center"/>
            <w:hideMark/>
          </w:tcPr>
          <w:p w14:paraId="0A29C2A3" w14:textId="77777777" w:rsidR="00F25246" w:rsidRPr="00F25246" w:rsidRDefault="00F25246" w:rsidP="00F25246">
            <w:pPr>
              <w:jc w:val="right"/>
              <w:rPr>
                <w:b/>
                <w:sz w:val="10"/>
                <w:szCs w:val="10"/>
                <w:lang w:eastAsia="tr-TR"/>
              </w:rPr>
            </w:pPr>
            <w:r w:rsidRPr="00F25246">
              <w:rPr>
                <w:b/>
                <w:sz w:val="10"/>
                <w:szCs w:val="10"/>
                <w:lang w:eastAsia="tr-TR"/>
              </w:rPr>
              <w:t>777,496</w:t>
            </w:r>
          </w:p>
        </w:tc>
        <w:tc>
          <w:tcPr>
            <w:tcW w:w="873" w:type="dxa"/>
            <w:tcBorders>
              <w:top w:val="nil"/>
              <w:left w:val="single" w:sz="4" w:space="0" w:color="auto"/>
              <w:bottom w:val="double" w:sz="6" w:space="0" w:color="auto"/>
              <w:right w:val="single" w:sz="4" w:space="0" w:color="auto"/>
            </w:tcBorders>
            <w:shd w:val="clear" w:color="auto" w:fill="auto"/>
            <w:vAlign w:val="center"/>
            <w:hideMark/>
          </w:tcPr>
          <w:p w14:paraId="7F1CABC6" w14:textId="77777777" w:rsidR="00F25246" w:rsidRPr="00F25246" w:rsidRDefault="00F25246" w:rsidP="00F25246">
            <w:pPr>
              <w:jc w:val="right"/>
              <w:rPr>
                <w:b/>
                <w:sz w:val="10"/>
                <w:szCs w:val="10"/>
                <w:lang w:eastAsia="tr-TR"/>
              </w:rPr>
            </w:pPr>
            <w:r w:rsidRPr="00F25246">
              <w:rPr>
                <w:b/>
                <w:sz w:val="10"/>
                <w:szCs w:val="10"/>
                <w:lang w:eastAsia="tr-TR"/>
              </w:rPr>
              <w:t>6,371,906</w:t>
            </w:r>
          </w:p>
        </w:tc>
        <w:tc>
          <w:tcPr>
            <w:tcW w:w="726" w:type="dxa"/>
            <w:tcBorders>
              <w:top w:val="nil"/>
              <w:left w:val="single" w:sz="4" w:space="0" w:color="auto"/>
              <w:bottom w:val="double" w:sz="6" w:space="0" w:color="auto"/>
              <w:right w:val="single" w:sz="4" w:space="0" w:color="auto"/>
            </w:tcBorders>
            <w:shd w:val="clear" w:color="auto" w:fill="auto"/>
            <w:vAlign w:val="center"/>
            <w:hideMark/>
          </w:tcPr>
          <w:p w14:paraId="09F6B7FE" w14:textId="77777777" w:rsidR="00F25246" w:rsidRPr="00F25246" w:rsidRDefault="00F25246" w:rsidP="00F25246">
            <w:pPr>
              <w:jc w:val="right"/>
              <w:rPr>
                <w:b/>
                <w:sz w:val="10"/>
                <w:szCs w:val="10"/>
                <w:lang w:eastAsia="tr-TR"/>
              </w:rPr>
            </w:pPr>
            <w:r w:rsidRPr="00F25246">
              <w:rPr>
                <w:b/>
                <w:sz w:val="10"/>
                <w:szCs w:val="10"/>
                <w:lang w:eastAsia="tr-TR"/>
              </w:rPr>
              <w:t>-</w:t>
            </w:r>
          </w:p>
        </w:tc>
        <w:tc>
          <w:tcPr>
            <w:tcW w:w="594" w:type="dxa"/>
            <w:tcBorders>
              <w:top w:val="nil"/>
              <w:left w:val="single" w:sz="4" w:space="0" w:color="auto"/>
              <w:bottom w:val="double" w:sz="6" w:space="0" w:color="auto"/>
              <w:right w:val="single" w:sz="4" w:space="0" w:color="auto"/>
            </w:tcBorders>
            <w:shd w:val="clear" w:color="auto" w:fill="auto"/>
            <w:vAlign w:val="center"/>
            <w:hideMark/>
          </w:tcPr>
          <w:p w14:paraId="58FD3A1A" w14:textId="77777777" w:rsidR="00F25246" w:rsidRPr="00F25246" w:rsidRDefault="00F25246" w:rsidP="00F25246">
            <w:pPr>
              <w:jc w:val="right"/>
              <w:rPr>
                <w:b/>
                <w:sz w:val="10"/>
                <w:szCs w:val="10"/>
                <w:lang w:eastAsia="tr-TR"/>
              </w:rPr>
            </w:pPr>
            <w:r w:rsidRPr="00F25246">
              <w:rPr>
                <w:b/>
                <w:sz w:val="10"/>
                <w:szCs w:val="10"/>
                <w:lang w:eastAsia="tr-TR"/>
              </w:rPr>
              <w:t>6,371,906</w:t>
            </w:r>
          </w:p>
        </w:tc>
      </w:tr>
      <w:tr w:rsidR="00D42791" w:rsidRPr="00F25246" w14:paraId="7E2A51E5" w14:textId="77777777" w:rsidTr="002E368F">
        <w:trPr>
          <w:divId w:val="36128962"/>
          <w:trHeight w:val="3"/>
        </w:trPr>
        <w:tc>
          <w:tcPr>
            <w:tcW w:w="419" w:type="dxa"/>
            <w:tcBorders>
              <w:top w:val="nil"/>
              <w:left w:val="single" w:sz="4" w:space="0" w:color="auto"/>
              <w:bottom w:val="nil"/>
              <w:right w:val="single" w:sz="4" w:space="0" w:color="auto"/>
            </w:tcBorders>
            <w:shd w:val="clear" w:color="auto" w:fill="auto"/>
            <w:noWrap/>
            <w:vAlign w:val="bottom"/>
            <w:hideMark/>
          </w:tcPr>
          <w:p w14:paraId="0830EC68" w14:textId="77777777" w:rsidR="00F25246" w:rsidRPr="00311DAB" w:rsidRDefault="00F25246" w:rsidP="00F25246">
            <w:pPr>
              <w:jc w:val="right"/>
              <w:rPr>
                <w:sz w:val="2"/>
                <w:szCs w:val="2"/>
                <w:lang w:eastAsia="tr-TR"/>
              </w:rPr>
            </w:pPr>
          </w:p>
        </w:tc>
        <w:tc>
          <w:tcPr>
            <w:tcW w:w="2019" w:type="dxa"/>
            <w:tcBorders>
              <w:top w:val="nil"/>
              <w:left w:val="single" w:sz="4" w:space="0" w:color="auto"/>
              <w:bottom w:val="nil"/>
              <w:right w:val="single" w:sz="4" w:space="0" w:color="auto"/>
            </w:tcBorders>
            <w:shd w:val="clear" w:color="auto" w:fill="auto"/>
            <w:noWrap/>
            <w:vAlign w:val="bottom"/>
            <w:hideMark/>
          </w:tcPr>
          <w:p w14:paraId="57EA08C7" w14:textId="77777777" w:rsidR="00F25246" w:rsidRPr="00311DAB" w:rsidRDefault="00F25246" w:rsidP="00F25246">
            <w:pPr>
              <w:rPr>
                <w:sz w:val="2"/>
                <w:szCs w:val="2"/>
                <w:lang w:eastAsia="tr-TR"/>
              </w:rPr>
            </w:pPr>
          </w:p>
        </w:tc>
        <w:tc>
          <w:tcPr>
            <w:tcW w:w="614" w:type="dxa"/>
            <w:tcBorders>
              <w:top w:val="double" w:sz="6" w:space="0" w:color="auto"/>
              <w:left w:val="single" w:sz="4" w:space="0" w:color="auto"/>
              <w:bottom w:val="nil"/>
              <w:right w:val="single" w:sz="4" w:space="0" w:color="auto"/>
            </w:tcBorders>
            <w:shd w:val="clear" w:color="auto" w:fill="auto"/>
            <w:vAlign w:val="center"/>
            <w:hideMark/>
          </w:tcPr>
          <w:p w14:paraId="485FA092" w14:textId="77777777" w:rsidR="00F25246" w:rsidRPr="00311DAB" w:rsidRDefault="00F25246" w:rsidP="00F25246">
            <w:pPr>
              <w:jc w:val="right"/>
              <w:rPr>
                <w:color w:val="000000"/>
                <w:sz w:val="2"/>
                <w:szCs w:val="2"/>
                <w:lang w:eastAsia="tr-TR"/>
              </w:rPr>
            </w:pPr>
            <w:r w:rsidRPr="00311DAB">
              <w:rPr>
                <w:color w:val="000000"/>
                <w:sz w:val="2"/>
                <w:szCs w:val="2"/>
                <w:lang w:val="en-US" w:eastAsia="tr-TR"/>
              </w:rPr>
              <w:t> </w:t>
            </w:r>
          </w:p>
        </w:tc>
        <w:tc>
          <w:tcPr>
            <w:tcW w:w="727" w:type="dxa"/>
            <w:tcBorders>
              <w:top w:val="nil"/>
              <w:left w:val="single" w:sz="4" w:space="0" w:color="auto"/>
              <w:bottom w:val="nil"/>
              <w:right w:val="single" w:sz="4" w:space="0" w:color="auto"/>
            </w:tcBorders>
            <w:shd w:val="clear" w:color="auto" w:fill="auto"/>
            <w:noWrap/>
            <w:vAlign w:val="bottom"/>
            <w:hideMark/>
          </w:tcPr>
          <w:p w14:paraId="179FD88F" w14:textId="77777777" w:rsidR="00F25246" w:rsidRPr="00311DAB" w:rsidRDefault="00F25246" w:rsidP="00F25246">
            <w:pPr>
              <w:jc w:val="right"/>
              <w:rPr>
                <w:color w:val="000000"/>
                <w:sz w:val="2"/>
                <w:szCs w:val="2"/>
                <w:lang w:eastAsia="tr-TR"/>
              </w:rPr>
            </w:pPr>
          </w:p>
        </w:tc>
        <w:tc>
          <w:tcPr>
            <w:tcW w:w="872" w:type="dxa"/>
            <w:tcBorders>
              <w:top w:val="nil"/>
              <w:left w:val="single" w:sz="4" w:space="0" w:color="auto"/>
              <w:bottom w:val="nil"/>
              <w:right w:val="single" w:sz="4" w:space="0" w:color="auto"/>
            </w:tcBorders>
            <w:shd w:val="clear" w:color="auto" w:fill="auto"/>
            <w:noWrap/>
            <w:vAlign w:val="bottom"/>
            <w:hideMark/>
          </w:tcPr>
          <w:p w14:paraId="6A439F6B" w14:textId="77777777" w:rsidR="00F25246" w:rsidRPr="00311DAB" w:rsidRDefault="00F25246" w:rsidP="00F25246">
            <w:pPr>
              <w:rPr>
                <w:sz w:val="2"/>
                <w:szCs w:val="2"/>
                <w:lang w:eastAsia="tr-TR"/>
              </w:rPr>
            </w:pPr>
          </w:p>
        </w:tc>
        <w:tc>
          <w:tcPr>
            <w:tcW w:w="727" w:type="dxa"/>
            <w:tcBorders>
              <w:top w:val="nil"/>
              <w:left w:val="single" w:sz="4" w:space="0" w:color="auto"/>
              <w:bottom w:val="nil"/>
              <w:right w:val="single" w:sz="4" w:space="0" w:color="auto"/>
            </w:tcBorders>
            <w:shd w:val="clear" w:color="auto" w:fill="auto"/>
            <w:noWrap/>
            <w:vAlign w:val="bottom"/>
            <w:hideMark/>
          </w:tcPr>
          <w:p w14:paraId="3F47B1EC" w14:textId="77777777" w:rsidR="00F25246" w:rsidRPr="00311DAB" w:rsidRDefault="00F25246" w:rsidP="00F25246">
            <w:pPr>
              <w:rPr>
                <w:sz w:val="2"/>
                <w:szCs w:val="2"/>
                <w:lang w:eastAsia="tr-TR"/>
              </w:rPr>
            </w:pPr>
          </w:p>
        </w:tc>
        <w:tc>
          <w:tcPr>
            <w:tcW w:w="873" w:type="dxa"/>
            <w:tcBorders>
              <w:top w:val="nil"/>
              <w:left w:val="single" w:sz="4" w:space="0" w:color="auto"/>
              <w:bottom w:val="nil"/>
              <w:right w:val="single" w:sz="4" w:space="0" w:color="auto"/>
            </w:tcBorders>
            <w:shd w:val="clear" w:color="auto" w:fill="auto"/>
            <w:noWrap/>
            <w:vAlign w:val="bottom"/>
            <w:hideMark/>
          </w:tcPr>
          <w:p w14:paraId="3C8193B6" w14:textId="77777777" w:rsidR="00F25246" w:rsidRPr="00311DAB" w:rsidRDefault="00F25246" w:rsidP="00F25246">
            <w:pPr>
              <w:rPr>
                <w:sz w:val="2"/>
                <w:szCs w:val="2"/>
                <w:lang w:eastAsia="tr-TR"/>
              </w:rPr>
            </w:pPr>
          </w:p>
        </w:tc>
        <w:tc>
          <w:tcPr>
            <w:tcW w:w="581" w:type="dxa"/>
            <w:tcBorders>
              <w:top w:val="nil"/>
              <w:left w:val="single" w:sz="4" w:space="0" w:color="auto"/>
              <w:bottom w:val="nil"/>
              <w:right w:val="single" w:sz="4" w:space="0" w:color="auto"/>
            </w:tcBorders>
            <w:shd w:val="clear" w:color="auto" w:fill="auto"/>
            <w:noWrap/>
            <w:vAlign w:val="bottom"/>
            <w:hideMark/>
          </w:tcPr>
          <w:p w14:paraId="520C72F3" w14:textId="77777777" w:rsidR="00F25246" w:rsidRPr="00311DAB" w:rsidRDefault="00F25246" w:rsidP="00F25246">
            <w:pPr>
              <w:rPr>
                <w:sz w:val="2"/>
                <w:szCs w:val="2"/>
                <w:lang w:eastAsia="tr-TR"/>
              </w:rPr>
            </w:pPr>
          </w:p>
        </w:tc>
        <w:tc>
          <w:tcPr>
            <w:tcW w:w="581" w:type="dxa"/>
            <w:tcBorders>
              <w:top w:val="nil"/>
              <w:left w:val="single" w:sz="4" w:space="0" w:color="auto"/>
              <w:bottom w:val="nil"/>
              <w:right w:val="single" w:sz="4" w:space="0" w:color="auto"/>
            </w:tcBorders>
            <w:shd w:val="clear" w:color="auto" w:fill="auto"/>
            <w:noWrap/>
            <w:vAlign w:val="bottom"/>
            <w:hideMark/>
          </w:tcPr>
          <w:p w14:paraId="42A2B935" w14:textId="77777777" w:rsidR="00F25246" w:rsidRPr="00311DAB" w:rsidRDefault="00F25246" w:rsidP="00F25246">
            <w:pPr>
              <w:rPr>
                <w:sz w:val="2"/>
                <w:szCs w:val="2"/>
                <w:lang w:eastAsia="tr-TR"/>
              </w:rPr>
            </w:pPr>
          </w:p>
        </w:tc>
        <w:tc>
          <w:tcPr>
            <w:tcW w:w="583" w:type="dxa"/>
            <w:tcBorders>
              <w:top w:val="nil"/>
              <w:left w:val="single" w:sz="4" w:space="0" w:color="auto"/>
              <w:bottom w:val="nil"/>
              <w:right w:val="single" w:sz="4" w:space="0" w:color="auto"/>
            </w:tcBorders>
            <w:shd w:val="clear" w:color="auto" w:fill="auto"/>
            <w:noWrap/>
            <w:vAlign w:val="bottom"/>
            <w:hideMark/>
          </w:tcPr>
          <w:p w14:paraId="77A7F36D" w14:textId="77777777" w:rsidR="00F25246" w:rsidRPr="00311DAB" w:rsidRDefault="00F25246" w:rsidP="00F25246">
            <w:pPr>
              <w:rPr>
                <w:sz w:val="2"/>
                <w:szCs w:val="2"/>
                <w:lang w:eastAsia="tr-TR"/>
              </w:rPr>
            </w:pPr>
          </w:p>
        </w:tc>
        <w:tc>
          <w:tcPr>
            <w:tcW w:w="435" w:type="dxa"/>
            <w:tcBorders>
              <w:top w:val="nil"/>
              <w:left w:val="single" w:sz="4" w:space="0" w:color="auto"/>
              <w:bottom w:val="nil"/>
              <w:right w:val="single" w:sz="4" w:space="0" w:color="auto"/>
            </w:tcBorders>
            <w:shd w:val="clear" w:color="auto" w:fill="auto"/>
            <w:noWrap/>
            <w:vAlign w:val="bottom"/>
            <w:hideMark/>
          </w:tcPr>
          <w:p w14:paraId="0132A040" w14:textId="77777777" w:rsidR="00F25246" w:rsidRPr="00311DAB" w:rsidRDefault="00F25246" w:rsidP="00F25246">
            <w:pPr>
              <w:rPr>
                <w:sz w:val="2"/>
                <w:szCs w:val="2"/>
                <w:lang w:eastAsia="tr-TR"/>
              </w:rPr>
            </w:pPr>
          </w:p>
        </w:tc>
        <w:tc>
          <w:tcPr>
            <w:tcW w:w="727" w:type="dxa"/>
            <w:tcBorders>
              <w:top w:val="nil"/>
              <w:left w:val="single" w:sz="4" w:space="0" w:color="auto"/>
              <w:bottom w:val="nil"/>
              <w:right w:val="single" w:sz="4" w:space="0" w:color="auto"/>
            </w:tcBorders>
            <w:shd w:val="clear" w:color="auto" w:fill="auto"/>
            <w:noWrap/>
            <w:vAlign w:val="bottom"/>
            <w:hideMark/>
          </w:tcPr>
          <w:p w14:paraId="0E3A7046" w14:textId="77777777" w:rsidR="00F25246" w:rsidRPr="00311DAB" w:rsidRDefault="00F25246" w:rsidP="00F25246">
            <w:pPr>
              <w:rPr>
                <w:sz w:val="2"/>
                <w:szCs w:val="2"/>
                <w:lang w:eastAsia="tr-TR"/>
              </w:rPr>
            </w:pPr>
          </w:p>
        </w:tc>
        <w:tc>
          <w:tcPr>
            <w:tcW w:w="549" w:type="dxa"/>
            <w:tcBorders>
              <w:top w:val="nil"/>
              <w:left w:val="single" w:sz="4" w:space="0" w:color="auto"/>
              <w:bottom w:val="nil"/>
              <w:right w:val="single" w:sz="4" w:space="0" w:color="auto"/>
            </w:tcBorders>
            <w:shd w:val="clear" w:color="auto" w:fill="auto"/>
            <w:noWrap/>
            <w:vAlign w:val="bottom"/>
            <w:hideMark/>
          </w:tcPr>
          <w:p w14:paraId="72F1E9AC" w14:textId="77777777" w:rsidR="00F25246" w:rsidRPr="00311DAB" w:rsidRDefault="00F25246" w:rsidP="00F25246">
            <w:pPr>
              <w:rPr>
                <w:sz w:val="2"/>
                <w:szCs w:val="2"/>
                <w:lang w:eastAsia="tr-TR"/>
              </w:rPr>
            </w:pPr>
          </w:p>
        </w:tc>
        <w:tc>
          <w:tcPr>
            <w:tcW w:w="571" w:type="dxa"/>
            <w:tcBorders>
              <w:top w:val="nil"/>
              <w:left w:val="single" w:sz="4" w:space="0" w:color="auto"/>
              <w:bottom w:val="nil"/>
              <w:right w:val="single" w:sz="4" w:space="0" w:color="auto"/>
            </w:tcBorders>
            <w:shd w:val="clear" w:color="auto" w:fill="auto"/>
            <w:noWrap/>
            <w:vAlign w:val="bottom"/>
            <w:hideMark/>
          </w:tcPr>
          <w:p w14:paraId="459E5253" w14:textId="77777777" w:rsidR="00F25246" w:rsidRPr="00311DAB" w:rsidRDefault="00F25246" w:rsidP="00F25246">
            <w:pPr>
              <w:rPr>
                <w:sz w:val="2"/>
                <w:szCs w:val="2"/>
                <w:lang w:eastAsia="tr-TR"/>
              </w:rPr>
            </w:pPr>
          </w:p>
        </w:tc>
        <w:tc>
          <w:tcPr>
            <w:tcW w:w="788" w:type="dxa"/>
            <w:tcBorders>
              <w:top w:val="nil"/>
              <w:left w:val="single" w:sz="4" w:space="0" w:color="auto"/>
              <w:bottom w:val="nil"/>
              <w:right w:val="single" w:sz="4" w:space="0" w:color="auto"/>
            </w:tcBorders>
            <w:shd w:val="clear" w:color="auto" w:fill="auto"/>
            <w:noWrap/>
            <w:vAlign w:val="bottom"/>
            <w:hideMark/>
          </w:tcPr>
          <w:p w14:paraId="65C90C7F" w14:textId="77777777" w:rsidR="00F25246" w:rsidRPr="00311DAB" w:rsidRDefault="00F25246" w:rsidP="00F25246">
            <w:pPr>
              <w:rPr>
                <w:sz w:val="2"/>
                <w:szCs w:val="2"/>
                <w:lang w:eastAsia="tr-TR"/>
              </w:rPr>
            </w:pPr>
          </w:p>
        </w:tc>
        <w:tc>
          <w:tcPr>
            <w:tcW w:w="727" w:type="dxa"/>
            <w:tcBorders>
              <w:top w:val="nil"/>
              <w:left w:val="single" w:sz="4" w:space="0" w:color="auto"/>
              <w:bottom w:val="nil"/>
              <w:right w:val="single" w:sz="4" w:space="0" w:color="auto"/>
            </w:tcBorders>
            <w:shd w:val="clear" w:color="auto" w:fill="auto"/>
            <w:noWrap/>
            <w:vAlign w:val="bottom"/>
            <w:hideMark/>
          </w:tcPr>
          <w:p w14:paraId="6CF155E0" w14:textId="77777777" w:rsidR="00F25246" w:rsidRPr="00311DAB" w:rsidRDefault="00F25246" w:rsidP="00F25246">
            <w:pPr>
              <w:rPr>
                <w:sz w:val="2"/>
                <w:szCs w:val="2"/>
                <w:lang w:eastAsia="tr-TR"/>
              </w:rPr>
            </w:pPr>
          </w:p>
        </w:tc>
        <w:tc>
          <w:tcPr>
            <w:tcW w:w="873" w:type="dxa"/>
            <w:tcBorders>
              <w:top w:val="nil"/>
              <w:left w:val="single" w:sz="4" w:space="0" w:color="auto"/>
              <w:bottom w:val="nil"/>
              <w:right w:val="single" w:sz="4" w:space="0" w:color="auto"/>
            </w:tcBorders>
            <w:shd w:val="clear" w:color="auto" w:fill="auto"/>
            <w:noWrap/>
            <w:vAlign w:val="bottom"/>
            <w:hideMark/>
          </w:tcPr>
          <w:p w14:paraId="0178683E" w14:textId="77777777" w:rsidR="00F25246" w:rsidRPr="00311DAB" w:rsidRDefault="00F25246" w:rsidP="00F25246">
            <w:pPr>
              <w:rPr>
                <w:sz w:val="2"/>
                <w:szCs w:val="2"/>
                <w:lang w:eastAsia="tr-TR"/>
              </w:rPr>
            </w:pPr>
          </w:p>
        </w:tc>
        <w:tc>
          <w:tcPr>
            <w:tcW w:w="726" w:type="dxa"/>
            <w:tcBorders>
              <w:top w:val="nil"/>
              <w:left w:val="single" w:sz="4" w:space="0" w:color="auto"/>
              <w:bottom w:val="nil"/>
              <w:right w:val="single" w:sz="4" w:space="0" w:color="auto"/>
            </w:tcBorders>
            <w:shd w:val="clear" w:color="auto" w:fill="auto"/>
            <w:noWrap/>
            <w:vAlign w:val="bottom"/>
            <w:hideMark/>
          </w:tcPr>
          <w:p w14:paraId="0343BB5D" w14:textId="77777777" w:rsidR="00F25246" w:rsidRPr="00311DAB" w:rsidRDefault="00F25246" w:rsidP="00F25246">
            <w:pPr>
              <w:rPr>
                <w:sz w:val="2"/>
                <w:szCs w:val="2"/>
                <w:lang w:eastAsia="tr-TR"/>
              </w:rPr>
            </w:pPr>
          </w:p>
        </w:tc>
        <w:tc>
          <w:tcPr>
            <w:tcW w:w="594" w:type="dxa"/>
            <w:tcBorders>
              <w:top w:val="nil"/>
              <w:left w:val="single" w:sz="4" w:space="0" w:color="auto"/>
              <w:bottom w:val="nil"/>
              <w:right w:val="single" w:sz="4" w:space="0" w:color="auto"/>
            </w:tcBorders>
            <w:shd w:val="clear" w:color="auto" w:fill="auto"/>
            <w:noWrap/>
            <w:vAlign w:val="bottom"/>
            <w:hideMark/>
          </w:tcPr>
          <w:p w14:paraId="58779209" w14:textId="77777777" w:rsidR="00F25246" w:rsidRPr="00311DAB" w:rsidRDefault="00F25246" w:rsidP="00F25246">
            <w:pPr>
              <w:rPr>
                <w:sz w:val="2"/>
                <w:szCs w:val="2"/>
                <w:lang w:eastAsia="tr-TR"/>
              </w:rPr>
            </w:pPr>
          </w:p>
        </w:tc>
      </w:tr>
      <w:tr w:rsidR="00D42791" w:rsidRPr="00F25246" w14:paraId="0F57942C" w14:textId="77777777" w:rsidTr="002E368F">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5DC03A9D" w14:textId="77777777" w:rsidR="00F25246" w:rsidRPr="00F25246" w:rsidRDefault="00F25246" w:rsidP="00F25246">
            <w:pPr>
              <w:jc w:val="right"/>
              <w:rPr>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32958C5A" w14:textId="77777777" w:rsidR="00F25246" w:rsidRPr="00F25246" w:rsidRDefault="00F25246" w:rsidP="00F25246">
            <w:pPr>
              <w:rPr>
                <w:b/>
                <w:bCs/>
                <w:color w:val="000000"/>
                <w:sz w:val="10"/>
                <w:szCs w:val="10"/>
                <w:lang w:eastAsia="tr-TR"/>
              </w:rPr>
            </w:pPr>
            <w:r w:rsidRPr="00F25246">
              <w:rPr>
                <w:b/>
                <w:bCs/>
                <w:color w:val="000000"/>
                <w:sz w:val="10"/>
                <w:szCs w:val="10"/>
                <w:lang w:val="en-US" w:eastAsia="tr-TR"/>
              </w:rPr>
              <w:t xml:space="preserve">Cari </w:t>
            </w:r>
            <w:proofErr w:type="spellStart"/>
            <w:r w:rsidRPr="00F25246">
              <w:rPr>
                <w:b/>
                <w:bCs/>
                <w:color w:val="000000"/>
                <w:sz w:val="10"/>
                <w:szCs w:val="10"/>
                <w:lang w:val="en-US" w:eastAsia="tr-TR"/>
              </w:rPr>
              <w:t>Dönem</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2E362114" w14:textId="77777777" w:rsidR="00F25246" w:rsidRPr="00F25246" w:rsidRDefault="00F25246" w:rsidP="00F25246">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6D9FC192" w14:textId="77777777" w:rsidR="00F25246" w:rsidRPr="00F25246" w:rsidRDefault="00F25246" w:rsidP="00F25246">
            <w:pPr>
              <w:jc w:val="right"/>
              <w:rPr>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24D1FEEB" w14:textId="77777777" w:rsidR="00F25246" w:rsidRPr="00F25246" w:rsidRDefault="00F25246" w:rsidP="00F25246">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272D4108" w14:textId="77777777" w:rsidR="00F25246" w:rsidRPr="00F25246" w:rsidRDefault="00F25246" w:rsidP="00F25246">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0E24AA93" w14:textId="77777777" w:rsidR="00F25246" w:rsidRPr="00F25246" w:rsidRDefault="00F25246" w:rsidP="00F25246">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2FB074A3" w14:textId="77777777" w:rsidR="00F25246" w:rsidRPr="00F25246" w:rsidRDefault="00F25246" w:rsidP="00F25246">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1F7763A3" w14:textId="77777777" w:rsidR="00F25246" w:rsidRPr="00F25246" w:rsidRDefault="00F25246" w:rsidP="00F25246">
            <w:pPr>
              <w:jc w:val="right"/>
              <w:rPr>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42363690" w14:textId="77777777" w:rsidR="00F25246" w:rsidRPr="00F25246" w:rsidRDefault="00F25246" w:rsidP="00F25246">
            <w:pPr>
              <w:jc w:val="right"/>
              <w:rPr>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34D7FDB1" w14:textId="77777777" w:rsidR="00F25246" w:rsidRPr="00F25246" w:rsidRDefault="00F25246" w:rsidP="00F25246">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5D2C3ECC" w14:textId="77777777" w:rsidR="00F25246" w:rsidRPr="00F25246" w:rsidRDefault="00F25246" w:rsidP="00F25246">
            <w:pPr>
              <w:jc w:val="right"/>
              <w:rPr>
                <w:lang w:eastAsia="tr-TR"/>
              </w:rPr>
            </w:pPr>
          </w:p>
        </w:tc>
        <w:tc>
          <w:tcPr>
            <w:tcW w:w="549" w:type="dxa"/>
            <w:tcBorders>
              <w:top w:val="nil"/>
              <w:left w:val="single" w:sz="4" w:space="0" w:color="auto"/>
              <w:bottom w:val="nil"/>
              <w:right w:val="single" w:sz="4" w:space="0" w:color="auto"/>
            </w:tcBorders>
            <w:shd w:val="clear" w:color="auto" w:fill="auto"/>
            <w:noWrap/>
            <w:vAlign w:val="center"/>
            <w:hideMark/>
          </w:tcPr>
          <w:p w14:paraId="05720D9A" w14:textId="77777777" w:rsidR="00F25246" w:rsidRPr="00F25246" w:rsidRDefault="00F25246" w:rsidP="00F25246">
            <w:pPr>
              <w:jc w:val="right"/>
              <w:rPr>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0380793B" w14:textId="77777777" w:rsidR="00F25246" w:rsidRPr="00F25246" w:rsidRDefault="00F25246" w:rsidP="00F25246">
            <w:pPr>
              <w:jc w:val="right"/>
              <w:rPr>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72B78D52" w14:textId="77777777" w:rsidR="00F25246" w:rsidRPr="00F25246" w:rsidRDefault="00F25246" w:rsidP="00F25246">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06B5682C" w14:textId="77777777" w:rsidR="00F25246" w:rsidRPr="00F25246" w:rsidRDefault="00F25246" w:rsidP="00F25246">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786A0A51" w14:textId="77777777" w:rsidR="00F25246" w:rsidRPr="00F25246" w:rsidRDefault="00F25246" w:rsidP="00F25246">
            <w:pPr>
              <w:jc w:val="right"/>
              <w:rPr>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171AB752" w14:textId="77777777" w:rsidR="00F25246" w:rsidRPr="00F25246" w:rsidRDefault="00F25246" w:rsidP="00F25246">
            <w:pPr>
              <w:jc w:val="right"/>
              <w:rPr>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76F77BDC" w14:textId="77777777" w:rsidR="00F25246" w:rsidRPr="00F25246" w:rsidRDefault="00F25246" w:rsidP="00F25246">
            <w:pPr>
              <w:jc w:val="right"/>
              <w:rPr>
                <w:lang w:eastAsia="tr-TR"/>
              </w:rPr>
            </w:pPr>
          </w:p>
        </w:tc>
      </w:tr>
      <w:tr w:rsidR="00D42791" w:rsidRPr="00F25246" w14:paraId="3A74AE23" w14:textId="77777777" w:rsidTr="002E368F">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2DDC092B" w14:textId="77777777" w:rsidR="00F25246" w:rsidRPr="00311DAB" w:rsidRDefault="00F25246" w:rsidP="00F25246">
            <w:pPr>
              <w:jc w:val="right"/>
              <w:rPr>
                <w:sz w:val="10"/>
                <w:szCs w:val="10"/>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6D587E66" w14:textId="77777777" w:rsidR="00F25246" w:rsidRPr="002E368F" w:rsidRDefault="00F25246" w:rsidP="00F25246">
            <w:pPr>
              <w:rPr>
                <w:b/>
                <w:bCs/>
                <w:color w:val="000000"/>
                <w:sz w:val="10"/>
                <w:szCs w:val="10"/>
                <w:lang w:eastAsia="tr-TR"/>
              </w:rPr>
            </w:pPr>
            <w:r w:rsidRPr="002E368F">
              <w:rPr>
                <w:b/>
                <w:bCs/>
                <w:color w:val="000000"/>
                <w:sz w:val="10"/>
                <w:szCs w:val="10"/>
                <w:lang w:val="en-US" w:eastAsia="tr-TR"/>
              </w:rPr>
              <w:t>(01/01/2020 – 30/09/2020)</w:t>
            </w:r>
          </w:p>
        </w:tc>
        <w:tc>
          <w:tcPr>
            <w:tcW w:w="614" w:type="dxa"/>
            <w:tcBorders>
              <w:top w:val="nil"/>
              <w:left w:val="single" w:sz="4" w:space="0" w:color="auto"/>
              <w:bottom w:val="nil"/>
              <w:right w:val="single" w:sz="4" w:space="0" w:color="auto"/>
            </w:tcBorders>
            <w:shd w:val="clear" w:color="auto" w:fill="auto"/>
            <w:vAlign w:val="center"/>
            <w:hideMark/>
          </w:tcPr>
          <w:p w14:paraId="76F60FB4" w14:textId="77777777" w:rsidR="00F25246" w:rsidRPr="002E368F" w:rsidRDefault="00F25246" w:rsidP="00F25246">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58C567F2" w14:textId="77777777" w:rsidR="00F25246" w:rsidRPr="00311DAB" w:rsidRDefault="00F25246" w:rsidP="00F25246">
            <w:pPr>
              <w:jc w:val="right"/>
              <w:rPr>
                <w:sz w:val="10"/>
                <w:szCs w:val="10"/>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28319CFC" w14:textId="77777777" w:rsidR="00F25246" w:rsidRPr="00311DAB" w:rsidRDefault="00F25246" w:rsidP="00F25246">
            <w:pPr>
              <w:jc w:val="right"/>
              <w:rPr>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126042DF" w14:textId="77777777" w:rsidR="00F25246" w:rsidRPr="00311DAB" w:rsidRDefault="00F25246" w:rsidP="00F25246">
            <w:pPr>
              <w:jc w:val="right"/>
              <w:rPr>
                <w:sz w:val="10"/>
                <w:szCs w:val="10"/>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11F217E4" w14:textId="77777777" w:rsidR="00F25246" w:rsidRPr="00311DAB" w:rsidRDefault="00F25246" w:rsidP="00F25246">
            <w:pPr>
              <w:jc w:val="right"/>
              <w:rPr>
                <w:sz w:val="10"/>
                <w:szCs w:val="10"/>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0F8B461F" w14:textId="77777777" w:rsidR="00F25246" w:rsidRPr="00311DAB" w:rsidRDefault="00F25246" w:rsidP="00F25246">
            <w:pPr>
              <w:jc w:val="right"/>
              <w:rPr>
                <w:sz w:val="10"/>
                <w:szCs w:val="10"/>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6D0DC0E4" w14:textId="77777777" w:rsidR="00F25246" w:rsidRPr="00311DAB" w:rsidRDefault="00F25246" w:rsidP="00F25246">
            <w:pPr>
              <w:jc w:val="right"/>
              <w:rPr>
                <w:sz w:val="10"/>
                <w:szCs w:val="10"/>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43ADDC6B" w14:textId="77777777" w:rsidR="00F25246" w:rsidRPr="00311DAB" w:rsidRDefault="00F25246" w:rsidP="00F25246">
            <w:pPr>
              <w:jc w:val="right"/>
              <w:rPr>
                <w:sz w:val="10"/>
                <w:szCs w:val="10"/>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7FEDDCCB" w14:textId="77777777" w:rsidR="00F25246" w:rsidRPr="00311DAB" w:rsidRDefault="00F25246" w:rsidP="00F25246">
            <w:pPr>
              <w:jc w:val="right"/>
              <w:rPr>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633C5579" w14:textId="77777777" w:rsidR="00F25246" w:rsidRPr="00311DAB" w:rsidRDefault="00F25246" w:rsidP="00F25246">
            <w:pPr>
              <w:jc w:val="right"/>
              <w:rPr>
                <w:sz w:val="10"/>
                <w:szCs w:val="10"/>
                <w:lang w:eastAsia="tr-TR"/>
              </w:rPr>
            </w:pPr>
          </w:p>
        </w:tc>
        <w:tc>
          <w:tcPr>
            <w:tcW w:w="549" w:type="dxa"/>
            <w:tcBorders>
              <w:top w:val="nil"/>
              <w:left w:val="single" w:sz="4" w:space="0" w:color="auto"/>
              <w:bottom w:val="nil"/>
              <w:right w:val="single" w:sz="4" w:space="0" w:color="auto"/>
            </w:tcBorders>
            <w:shd w:val="clear" w:color="auto" w:fill="auto"/>
            <w:noWrap/>
            <w:vAlign w:val="center"/>
            <w:hideMark/>
          </w:tcPr>
          <w:p w14:paraId="1CA7FB5F" w14:textId="77777777" w:rsidR="00F25246" w:rsidRPr="00311DAB" w:rsidRDefault="00F25246" w:rsidP="00F25246">
            <w:pPr>
              <w:jc w:val="right"/>
              <w:rPr>
                <w:sz w:val="10"/>
                <w:szCs w:val="10"/>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73631B03" w14:textId="77777777" w:rsidR="00F25246" w:rsidRPr="00311DAB" w:rsidRDefault="00F25246" w:rsidP="00F25246">
            <w:pPr>
              <w:jc w:val="right"/>
              <w:rPr>
                <w:sz w:val="10"/>
                <w:szCs w:val="10"/>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3C104870" w14:textId="77777777" w:rsidR="00F25246" w:rsidRPr="00311DAB" w:rsidRDefault="00F25246" w:rsidP="00F25246">
            <w:pPr>
              <w:jc w:val="right"/>
              <w:rPr>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57B7BE63" w14:textId="77777777" w:rsidR="00F25246" w:rsidRPr="00311DAB" w:rsidRDefault="00F25246" w:rsidP="00F25246">
            <w:pPr>
              <w:jc w:val="right"/>
              <w:rPr>
                <w:sz w:val="10"/>
                <w:szCs w:val="10"/>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3F0FC3AA" w14:textId="77777777" w:rsidR="00F25246" w:rsidRPr="00311DAB" w:rsidRDefault="00F25246" w:rsidP="00F25246">
            <w:pPr>
              <w:jc w:val="right"/>
              <w:rPr>
                <w:sz w:val="10"/>
                <w:szCs w:val="10"/>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5AD23995" w14:textId="77777777" w:rsidR="00F25246" w:rsidRPr="00311DAB" w:rsidRDefault="00F25246" w:rsidP="00F25246">
            <w:pPr>
              <w:jc w:val="right"/>
              <w:rPr>
                <w:sz w:val="10"/>
                <w:szCs w:val="10"/>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4DF7E763" w14:textId="77777777" w:rsidR="00F25246" w:rsidRPr="00311DAB" w:rsidRDefault="00F25246" w:rsidP="00F25246">
            <w:pPr>
              <w:jc w:val="right"/>
              <w:rPr>
                <w:sz w:val="10"/>
                <w:szCs w:val="10"/>
                <w:lang w:eastAsia="tr-TR"/>
              </w:rPr>
            </w:pPr>
          </w:p>
        </w:tc>
      </w:tr>
      <w:tr w:rsidR="00D42791" w:rsidRPr="00F25246" w14:paraId="560D6320" w14:textId="77777777" w:rsidTr="002E368F">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29494125" w14:textId="77777777" w:rsidR="00F25246" w:rsidRPr="00311DAB" w:rsidRDefault="00F25246" w:rsidP="00F25246">
            <w:pPr>
              <w:jc w:val="right"/>
              <w:rPr>
                <w:sz w:val="6"/>
                <w:szCs w:val="6"/>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7A54E667" w14:textId="77777777" w:rsidR="00F25246" w:rsidRPr="00311DAB" w:rsidRDefault="00F25246" w:rsidP="00F25246">
            <w:pPr>
              <w:jc w:val="center"/>
              <w:rPr>
                <w:sz w:val="6"/>
                <w:szCs w:val="6"/>
                <w:lang w:eastAsia="tr-TR"/>
              </w:rPr>
            </w:pPr>
          </w:p>
        </w:tc>
        <w:tc>
          <w:tcPr>
            <w:tcW w:w="614" w:type="dxa"/>
            <w:tcBorders>
              <w:top w:val="nil"/>
              <w:left w:val="single" w:sz="4" w:space="0" w:color="auto"/>
              <w:bottom w:val="nil"/>
              <w:right w:val="single" w:sz="4" w:space="0" w:color="auto"/>
            </w:tcBorders>
            <w:shd w:val="clear" w:color="auto" w:fill="auto"/>
            <w:vAlign w:val="center"/>
            <w:hideMark/>
          </w:tcPr>
          <w:p w14:paraId="261805F0" w14:textId="77777777" w:rsidR="00F25246" w:rsidRPr="00311DAB" w:rsidRDefault="00F25246" w:rsidP="00F25246">
            <w:pPr>
              <w:rPr>
                <w:sz w:val="6"/>
                <w:szCs w:val="6"/>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02A8A03B" w14:textId="77777777" w:rsidR="00F25246" w:rsidRPr="00311DAB" w:rsidRDefault="00F25246" w:rsidP="00F25246">
            <w:pPr>
              <w:jc w:val="right"/>
              <w:rPr>
                <w:sz w:val="6"/>
                <w:szCs w:val="6"/>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1A17BB52" w14:textId="77777777" w:rsidR="00F25246" w:rsidRPr="00311DAB" w:rsidRDefault="00F25246" w:rsidP="00F25246">
            <w:pPr>
              <w:jc w:val="right"/>
              <w:rPr>
                <w:sz w:val="6"/>
                <w:szCs w:val="6"/>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1B7A0200" w14:textId="77777777" w:rsidR="00F25246" w:rsidRPr="00311DAB" w:rsidRDefault="00F25246" w:rsidP="00F25246">
            <w:pPr>
              <w:jc w:val="right"/>
              <w:rPr>
                <w:sz w:val="6"/>
                <w:szCs w:val="6"/>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32AB6FE0" w14:textId="77777777" w:rsidR="00F25246" w:rsidRPr="00311DAB" w:rsidRDefault="00F25246" w:rsidP="00F25246">
            <w:pPr>
              <w:jc w:val="right"/>
              <w:rPr>
                <w:sz w:val="6"/>
                <w:szCs w:val="6"/>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75EFAEDA" w14:textId="77777777" w:rsidR="00F25246" w:rsidRPr="00311DAB" w:rsidRDefault="00F25246" w:rsidP="00F25246">
            <w:pPr>
              <w:jc w:val="right"/>
              <w:rPr>
                <w:sz w:val="6"/>
                <w:szCs w:val="6"/>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0713D02B" w14:textId="77777777" w:rsidR="00F25246" w:rsidRPr="00311DAB" w:rsidRDefault="00F25246" w:rsidP="00F25246">
            <w:pPr>
              <w:jc w:val="right"/>
              <w:rPr>
                <w:sz w:val="6"/>
                <w:szCs w:val="6"/>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1E25B58C" w14:textId="77777777" w:rsidR="00F25246" w:rsidRPr="00311DAB" w:rsidRDefault="00F25246" w:rsidP="00F25246">
            <w:pPr>
              <w:jc w:val="right"/>
              <w:rPr>
                <w:sz w:val="6"/>
                <w:szCs w:val="6"/>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27B290FB" w14:textId="77777777" w:rsidR="00F25246" w:rsidRPr="00311DAB" w:rsidRDefault="00F25246" w:rsidP="00F25246">
            <w:pPr>
              <w:jc w:val="right"/>
              <w:rPr>
                <w:sz w:val="6"/>
                <w:szCs w:val="6"/>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0870ADDA" w14:textId="77777777" w:rsidR="00F25246" w:rsidRPr="00311DAB" w:rsidRDefault="00F25246" w:rsidP="00F25246">
            <w:pPr>
              <w:jc w:val="right"/>
              <w:rPr>
                <w:sz w:val="6"/>
                <w:szCs w:val="6"/>
                <w:lang w:eastAsia="tr-TR"/>
              </w:rPr>
            </w:pPr>
          </w:p>
        </w:tc>
        <w:tc>
          <w:tcPr>
            <w:tcW w:w="549" w:type="dxa"/>
            <w:tcBorders>
              <w:top w:val="nil"/>
              <w:left w:val="single" w:sz="4" w:space="0" w:color="auto"/>
              <w:bottom w:val="nil"/>
              <w:right w:val="single" w:sz="4" w:space="0" w:color="auto"/>
            </w:tcBorders>
            <w:shd w:val="clear" w:color="auto" w:fill="auto"/>
            <w:noWrap/>
            <w:vAlign w:val="center"/>
            <w:hideMark/>
          </w:tcPr>
          <w:p w14:paraId="65CA2E4E" w14:textId="77777777" w:rsidR="00F25246" w:rsidRPr="00311DAB" w:rsidRDefault="00F25246" w:rsidP="00F25246">
            <w:pPr>
              <w:jc w:val="right"/>
              <w:rPr>
                <w:sz w:val="6"/>
                <w:szCs w:val="6"/>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185F4353" w14:textId="77777777" w:rsidR="00F25246" w:rsidRPr="00311DAB" w:rsidRDefault="00F25246" w:rsidP="00F25246">
            <w:pPr>
              <w:jc w:val="right"/>
              <w:rPr>
                <w:sz w:val="6"/>
                <w:szCs w:val="6"/>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19A68A97" w14:textId="77777777" w:rsidR="00F25246" w:rsidRPr="00311DAB" w:rsidRDefault="00F25246" w:rsidP="00F25246">
            <w:pPr>
              <w:jc w:val="right"/>
              <w:rPr>
                <w:sz w:val="6"/>
                <w:szCs w:val="6"/>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251F889E" w14:textId="77777777" w:rsidR="00F25246" w:rsidRPr="00311DAB" w:rsidRDefault="00F25246" w:rsidP="00F25246">
            <w:pPr>
              <w:jc w:val="right"/>
              <w:rPr>
                <w:sz w:val="6"/>
                <w:szCs w:val="6"/>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45C8CCFF" w14:textId="77777777" w:rsidR="00F25246" w:rsidRPr="00311DAB" w:rsidRDefault="00F25246" w:rsidP="00F25246">
            <w:pPr>
              <w:jc w:val="right"/>
              <w:rPr>
                <w:sz w:val="6"/>
                <w:szCs w:val="6"/>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436D23EF" w14:textId="77777777" w:rsidR="00F25246" w:rsidRPr="00311DAB" w:rsidRDefault="00F25246" w:rsidP="00F25246">
            <w:pPr>
              <w:jc w:val="right"/>
              <w:rPr>
                <w:sz w:val="6"/>
                <w:szCs w:val="6"/>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4D0864BC" w14:textId="77777777" w:rsidR="00F25246" w:rsidRPr="00311DAB" w:rsidRDefault="00F25246" w:rsidP="00F25246">
            <w:pPr>
              <w:jc w:val="right"/>
              <w:rPr>
                <w:sz w:val="6"/>
                <w:szCs w:val="6"/>
                <w:lang w:eastAsia="tr-TR"/>
              </w:rPr>
            </w:pPr>
          </w:p>
        </w:tc>
      </w:tr>
      <w:tr w:rsidR="00D42791" w:rsidRPr="00F25246" w14:paraId="79027F56"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5AA0B2DE"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I.</w:t>
            </w:r>
          </w:p>
        </w:tc>
        <w:tc>
          <w:tcPr>
            <w:tcW w:w="2019" w:type="dxa"/>
            <w:tcBorders>
              <w:top w:val="nil"/>
              <w:left w:val="single" w:sz="4" w:space="0" w:color="auto"/>
              <w:bottom w:val="nil"/>
              <w:right w:val="single" w:sz="4" w:space="0" w:color="auto"/>
            </w:tcBorders>
            <w:shd w:val="clear" w:color="auto" w:fill="auto"/>
            <w:noWrap/>
            <w:vAlign w:val="center"/>
            <w:hideMark/>
          </w:tcPr>
          <w:p w14:paraId="61FACC3B" w14:textId="77777777" w:rsidR="00F25246" w:rsidRPr="00F25246" w:rsidRDefault="00F25246" w:rsidP="00F25246">
            <w:pPr>
              <w:rPr>
                <w:b/>
                <w:bCs/>
                <w:color w:val="000000"/>
                <w:sz w:val="10"/>
                <w:szCs w:val="10"/>
                <w:lang w:eastAsia="tr-TR"/>
              </w:rPr>
            </w:pPr>
            <w:proofErr w:type="spellStart"/>
            <w:r w:rsidRPr="00F25246">
              <w:rPr>
                <w:b/>
                <w:bCs/>
                <w:color w:val="000000"/>
                <w:sz w:val="10"/>
                <w:szCs w:val="10"/>
                <w:lang w:val="en-US" w:eastAsia="tr-TR"/>
              </w:rPr>
              <w:t>Önceki</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Dönem</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Sonu</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Bakiyesi</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6D79EE9D" w14:textId="77777777" w:rsidR="00F25246" w:rsidRPr="00F25246" w:rsidRDefault="00F25246" w:rsidP="00F25246">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79C3EE8C" w14:textId="77777777" w:rsidR="00F25246" w:rsidRPr="00F25246" w:rsidRDefault="00F25246" w:rsidP="00717AB5">
            <w:pPr>
              <w:jc w:val="right"/>
              <w:rPr>
                <w:b/>
                <w:sz w:val="10"/>
                <w:szCs w:val="10"/>
                <w:lang w:eastAsia="tr-TR"/>
              </w:rPr>
            </w:pPr>
            <w:r w:rsidRPr="00F25246">
              <w:rPr>
                <w:b/>
                <w:sz w:val="10"/>
                <w:szCs w:val="18"/>
                <w:lang w:eastAsia="tr-TR"/>
              </w:rPr>
              <w:t>3,995,766</w:t>
            </w:r>
          </w:p>
        </w:tc>
        <w:tc>
          <w:tcPr>
            <w:tcW w:w="872" w:type="dxa"/>
            <w:tcBorders>
              <w:top w:val="nil"/>
              <w:left w:val="single" w:sz="4" w:space="0" w:color="auto"/>
              <w:bottom w:val="nil"/>
              <w:right w:val="single" w:sz="4" w:space="0" w:color="auto"/>
            </w:tcBorders>
            <w:shd w:val="clear" w:color="auto" w:fill="auto"/>
            <w:vAlign w:val="bottom"/>
            <w:hideMark/>
          </w:tcPr>
          <w:p w14:paraId="6CA37841" w14:textId="77777777" w:rsidR="00F25246" w:rsidRPr="00F25246" w:rsidRDefault="00F25246" w:rsidP="00717AB5">
            <w:pPr>
              <w:jc w:val="right"/>
              <w:rPr>
                <w:b/>
                <w:sz w:val="10"/>
                <w:szCs w:val="10"/>
                <w:lang w:eastAsia="tr-TR"/>
              </w:rPr>
            </w:pPr>
            <w:r w:rsidRPr="00F25246">
              <w:rPr>
                <w:b/>
                <w:sz w:val="10"/>
                <w:szCs w:val="18"/>
                <w:lang w:eastAsia="tr-TR"/>
              </w:rPr>
              <w:t>23,250</w:t>
            </w:r>
          </w:p>
        </w:tc>
        <w:tc>
          <w:tcPr>
            <w:tcW w:w="727" w:type="dxa"/>
            <w:tcBorders>
              <w:top w:val="nil"/>
              <w:left w:val="single" w:sz="4" w:space="0" w:color="auto"/>
              <w:bottom w:val="nil"/>
              <w:right w:val="single" w:sz="4" w:space="0" w:color="auto"/>
            </w:tcBorders>
            <w:shd w:val="clear" w:color="auto" w:fill="auto"/>
            <w:vAlign w:val="bottom"/>
            <w:hideMark/>
          </w:tcPr>
          <w:p w14:paraId="56493825" w14:textId="77777777" w:rsidR="00F25246" w:rsidRPr="00F25246" w:rsidRDefault="00F25246" w:rsidP="00717AB5">
            <w:pPr>
              <w:jc w:val="right"/>
              <w:rPr>
                <w:b/>
                <w:sz w:val="10"/>
                <w:szCs w:val="10"/>
                <w:lang w:eastAsia="tr-TR"/>
              </w:rPr>
            </w:pPr>
            <w:r w:rsidRPr="00F25246">
              <w:rPr>
                <w:b/>
                <w:sz w:val="10"/>
                <w:szCs w:val="18"/>
                <w:lang w:eastAsia="tr-TR"/>
              </w:rPr>
              <w:t>1,239</w:t>
            </w:r>
          </w:p>
        </w:tc>
        <w:tc>
          <w:tcPr>
            <w:tcW w:w="873" w:type="dxa"/>
            <w:tcBorders>
              <w:top w:val="nil"/>
              <w:left w:val="single" w:sz="4" w:space="0" w:color="auto"/>
              <w:bottom w:val="nil"/>
              <w:right w:val="single" w:sz="4" w:space="0" w:color="auto"/>
            </w:tcBorders>
            <w:shd w:val="clear" w:color="auto" w:fill="auto"/>
            <w:vAlign w:val="bottom"/>
            <w:hideMark/>
          </w:tcPr>
          <w:p w14:paraId="51FBB7E3" w14:textId="77777777" w:rsidR="00F25246" w:rsidRPr="00F25246" w:rsidRDefault="00F25246" w:rsidP="00717AB5">
            <w:pPr>
              <w:jc w:val="right"/>
              <w:rPr>
                <w:b/>
                <w:sz w:val="10"/>
                <w:szCs w:val="10"/>
                <w:lang w:eastAsia="tr-TR"/>
              </w:rPr>
            </w:pPr>
            <w:r w:rsidRPr="00F25246">
              <w:rPr>
                <w:b/>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40CA4E24" w14:textId="77777777" w:rsidR="00F25246" w:rsidRPr="00F25246" w:rsidRDefault="00F25246" w:rsidP="00717AB5">
            <w:pPr>
              <w:jc w:val="right"/>
              <w:rPr>
                <w:b/>
                <w:sz w:val="10"/>
                <w:szCs w:val="10"/>
                <w:lang w:eastAsia="tr-TR"/>
              </w:rPr>
            </w:pPr>
            <w:r w:rsidRPr="00F25246">
              <w:rPr>
                <w:b/>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2C248A47" w14:textId="77777777" w:rsidR="00F25246" w:rsidRPr="00F25246" w:rsidRDefault="00F25246" w:rsidP="00717AB5">
            <w:pPr>
              <w:jc w:val="right"/>
              <w:rPr>
                <w:b/>
                <w:sz w:val="10"/>
                <w:szCs w:val="10"/>
                <w:lang w:eastAsia="tr-TR"/>
              </w:rPr>
            </w:pPr>
            <w:r w:rsidRPr="00F25246">
              <w:rPr>
                <w:b/>
                <w:sz w:val="10"/>
                <w:szCs w:val="18"/>
                <w:lang w:eastAsia="tr-TR"/>
              </w:rPr>
              <w:t>(19,082)</w:t>
            </w:r>
          </w:p>
        </w:tc>
        <w:tc>
          <w:tcPr>
            <w:tcW w:w="583" w:type="dxa"/>
            <w:tcBorders>
              <w:top w:val="nil"/>
              <w:left w:val="single" w:sz="4" w:space="0" w:color="auto"/>
              <w:bottom w:val="nil"/>
              <w:right w:val="single" w:sz="4" w:space="0" w:color="auto"/>
            </w:tcBorders>
            <w:shd w:val="clear" w:color="auto" w:fill="auto"/>
            <w:vAlign w:val="bottom"/>
            <w:hideMark/>
          </w:tcPr>
          <w:p w14:paraId="10D99F69" w14:textId="77777777" w:rsidR="00F25246" w:rsidRPr="00F25246" w:rsidRDefault="00F25246" w:rsidP="00717AB5">
            <w:pPr>
              <w:jc w:val="right"/>
              <w:rPr>
                <w:b/>
                <w:sz w:val="10"/>
                <w:szCs w:val="10"/>
                <w:lang w:eastAsia="tr-TR"/>
              </w:rPr>
            </w:pPr>
            <w:r w:rsidRPr="00F25246">
              <w:rPr>
                <w:b/>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07C53BEA" w14:textId="77777777" w:rsidR="00F25246" w:rsidRPr="00F25246" w:rsidRDefault="00F25246" w:rsidP="00717AB5">
            <w:pPr>
              <w:jc w:val="right"/>
              <w:rPr>
                <w:b/>
                <w:sz w:val="10"/>
                <w:szCs w:val="10"/>
                <w:lang w:eastAsia="tr-TR"/>
              </w:rPr>
            </w:pPr>
            <w:r w:rsidRPr="00F25246">
              <w:rPr>
                <w:b/>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4983F66" w14:textId="77777777" w:rsidR="00F25246" w:rsidRPr="00F25246" w:rsidRDefault="00F25246" w:rsidP="00717AB5">
            <w:pPr>
              <w:jc w:val="right"/>
              <w:rPr>
                <w:b/>
                <w:sz w:val="10"/>
                <w:szCs w:val="18"/>
                <w:lang w:eastAsia="tr-TR"/>
              </w:rPr>
            </w:pPr>
            <w:r w:rsidRPr="00F25246">
              <w:rPr>
                <w:b/>
                <w:sz w:val="10"/>
                <w:szCs w:val="18"/>
                <w:lang w:eastAsia="tr-TR"/>
              </w:rPr>
              <w:t>214,695</w:t>
            </w:r>
          </w:p>
        </w:tc>
        <w:tc>
          <w:tcPr>
            <w:tcW w:w="549" w:type="dxa"/>
            <w:tcBorders>
              <w:top w:val="nil"/>
              <w:left w:val="single" w:sz="4" w:space="0" w:color="auto"/>
              <w:bottom w:val="nil"/>
              <w:right w:val="single" w:sz="4" w:space="0" w:color="auto"/>
            </w:tcBorders>
            <w:shd w:val="clear" w:color="auto" w:fill="auto"/>
            <w:vAlign w:val="bottom"/>
            <w:hideMark/>
          </w:tcPr>
          <w:p w14:paraId="4FC4F928" w14:textId="77777777" w:rsidR="00F25246" w:rsidRPr="00F25246" w:rsidRDefault="00F25246" w:rsidP="00717AB5">
            <w:pPr>
              <w:jc w:val="right"/>
              <w:rPr>
                <w:b/>
                <w:bCs/>
                <w:sz w:val="10"/>
                <w:szCs w:val="10"/>
                <w:lang w:eastAsia="tr-TR"/>
              </w:rPr>
            </w:pPr>
            <w:r w:rsidRPr="00F25246">
              <w:rPr>
                <w:b/>
                <w:sz w:val="10"/>
                <w:szCs w:val="18"/>
                <w:lang w:eastAsia="tr-TR"/>
              </w:rPr>
              <w:t>(</w:t>
            </w:r>
            <w:r w:rsidRPr="00F25246">
              <w:rPr>
                <w:b/>
                <w:sz w:val="10"/>
                <w:szCs w:val="10"/>
                <w:lang w:eastAsia="tr-TR"/>
              </w:rPr>
              <w:t>8,981</w:t>
            </w:r>
            <w:r w:rsidRPr="00F25246">
              <w:rPr>
                <w:b/>
                <w:bCs/>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529749D9" w14:textId="77777777" w:rsidR="00F25246" w:rsidRPr="00F25246" w:rsidRDefault="00F25246" w:rsidP="00717AB5">
            <w:pPr>
              <w:jc w:val="right"/>
              <w:rPr>
                <w:b/>
                <w:sz w:val="10"/>
                <w:szCs w:val="10"/>
                <w:lang w:eastAsia="tr-TR"/>
              </w:rPr>
            </w:pPr>
            <w:r w:rsidRPr="00F25246">
              <w:rPr>
                <w:b/>
                <w:sz w:val="10"/>
                <w:szCs w:val="18"/>
                <w:lang w:eastAsia="tr-TR"/>
              </w:rPr>
              <w:t>1,469,025</w:t>
            </w:r>
          </w:p>
        </w:tc>
        <w:tc>
          <w:tcPr>
            <w:tcW w:w="788" w:type="dxa"/>
            <w:tcBorders>
              <w:top w:val="nil"/>
              <w:left w:val="single" w:sz="4" w:space="0" w:color="auto"/>
              <w:bottom w:val="nil"/>
              <w:right w:val="single" w:sz="4" w:space="0" w:color="auto"/>
            </w:tcBorders>
            <w:shd w:val="clear" w:color="auto" w:fill="auto"/>
            <w:vAlign w:val="bottom"/>
            <w:hideMark/>
          </w:tcPr>
          <w:p w14:paraId="10F8ED44" w14:textId="77777777" w:rsidR="00F25246" w:rsidRPr="00F25246" w:rsidRDefault="00F25246" w:rsidP="00717AB5">
            <w:pPr>
              <w:jc w:val="right"/>
              <w:rPr>
                <w:b/>
                <w:sz w:val="10"/>
                <w:szCs w:val="10"/>
                <w:lang w:eastAsia="tr-TR"/>
              </w:rPr>
            </w:pPr>
            <w:r w:rsidRPr="00F25246">
              <w:rPr>
                <w:b/>
                <w:sz w:val="10"/>
                <w:szCs w:val="18"/>
                <w:lang w:eastAsia="tr-TR"/>
              </w:rPr>
              <w:t>35,540</w:t>
            </w:r>
          </w:p>
        </w:tc>
        <w:tc>
          <w:tcPr>
            <w:tcW w:w="727" w:type="dxa"/>
            <w:tcBorders>
              <w:top w:val="nil"/>
              <w:left w:val="single" w:sz="4" w:space="0" w:color="auto"/>
              <w:bottom w:val="nil"/>
              <w:right w:val="single" w:sz="4" w:space="0" w:color="auto"/>
            </w:tcBorders>
            <w:shd w:val="clear" w:color="auto" w:fill="auto"/>
            <w:vAlign w:val="bottom"/>
            <w:hideMark/>
          </w:tcPr>
          <w:p w14:paraId="38B2FE9A" w14:textId="77777777" w:rsidR="00F25246" w:rsidRPr="00F25246" w:rsidRDefault="00F25246" w:rsidP="00717AB5">
            <w:pPr>
              <w:jc w:val="right"/>
              <w:rPr>
                <w:b/>
                <w:sz w:val="10"/>
                <w:szCs w:val="10"/>
                <w:lang w:eastAsia="tr-TR"/>
              </w:rPr>
            </w:pPr>
            <w:r w:rsidRPr="00F25246">
              <w:rPr>
                <w:b/>
                <w:sz w:val="10"/>
                <w:szCs w:val="16"/>
                <w:lang w:eastAsia="tr-TR"/>
              </w:rPr>
              <w:t>1,109,838</w:t>
            </w:r>
          </w:p>
        </w:tc>
        <w:tc>
          <w:tcPr>
            <w:tcW w:w="873" w:type="dxa"/>
            <w:tcBorders>
              <w:top w:val="nil"/>
              <w:left w:val="single" w:sz="4" w:space="0" w:color="auto"/>
              <w:bottom w:val="nil"/>
              <w:right w:val="single" w:sz="4" w:space="0" w:color="auto"/>
            </w:tcBorders>
            <w:shd w:val="clear" w:color="auto" w:fill="auto"/>
            <w:vAlign w:val="bottom"/>
            <w:hideMark/>
          </w:tcPr>
          <w:p w14:paraId="45DE3CED" w14:textId="77777777" w:rsidR="00F25246" w:rsidRPr="00F25246" w:rsidRDefault="00F25246" w:rsidP="00717AB5">
            <w:pPr>
              <w:jc w:val="right"/>
              <w:rPr>
                <w:b/>
                <w:sz w:val="10"/>
                <w:szCs w:val="10"/>
                <w:lang w:eastAsia="tr-TR"/>
              </w:rPr>
            </w:pPr>
            <w:r w:rsidRPr="00F25246">
              <w:rPr>
                <w:b/>
                <w:sz w:val="10"/>
                <w:szCs w:val="16"/>
                <w:lang w:eastAsia="tr-TR"/>
              </w:rPr>
              <w:t>6,821,290</w:t>
            </w:r>
          </w:p>
        </w:tc>
        <w:tc>
          <w:tcPr>
            <w:tcW w:w="726" w:type="dxa"/>
            <w:tcBorders>
              <w:top w:val="nil"/>
              <w:left w:val="single" w:sz="4" w:space="0" w:color="auto"/>
              <w:bottom w:val="nil"/>
              <w:right w:val="single" w:sz="4" w:space="0" w:color="auto"/>
            </w:tcBorders>
            <w:shd w:val="clear" w:color="auto" w:fill="auto"/>
            <w:vAlign w:val="bottom"/>
            <w:hideMark/>
          </w:tcPr>
          <w:p w14:paraId="79D427E9" w14:textId="77777777" w:rsidR="00F25246" w:rsidRPr="00F25246" w:rsidRDefault="00F25246" w:rsidP="00717AB5">
            <w:pPr>
              <w:jc w:val="right"/>
              <w:rPr>
                <w:b/>
                <w:sz w:val="10"/>
                <w:szCs w:val="10"/>
                <w:lang w:eastAsia="tr-TR"/>
              </w:rPr>
            </w:pPr>
            <w:r w:rsidRPr="00F25246">
              <w:rPr>
                <w:b/>
                <w:sz w:val="10"/>
                <w:szCs w:val="16"/>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5B0C115A" w14:textId="77777777" w:rsidR="00F25246" w:rsidRPr="00F25246" w:rsidRDefault="00F25246" w:rsidP="00717AB5">
            <w:pPr>
              <w:jc w:val="right"/>
              <w:rPr>
                <w:b/>
                <w:sz w:val="10"/>
                <w:szCs w:val="10"/>
                <w:lang w:eastAsia="tr-TR"/>
              </w:rPr>
            </w:pPr>
            <w:r w:rsidRPr="00F25246">
              <w:rPr>
                <w:b/>
                <w:sz w:val="10"/>
                <w:szCs w:val="16"/>
                <w:lang w:eastAsia="tr-TR"/>
              </w:rPr>
              <w:t>6,821,290</w:t>
            </w:r>
          </w:p>
        </w:tc>
      </w:tr>
      <w:tr w:rsidR="00D42791" w:rsidRPr="00F25246" w14:paraId="6697D88A"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6FDBF7AE"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II.</w:t>
            </w:r>
          </w:p>
        </w:tc>
        <w:tc>
          <w:tcPr>
            <w:tcW w:w="2019" w:type="dxa"/>
            <w:tcBorders>
              <w:top w:val="nil"/>
              <w:left w:val="single" w:sz="4" w:space="0" w:color="auto"/>
              <w:bottom w:val="nil"/>
              <w:right w:val="single" w:sz="4" w:space="0" w:color="auto"/>
            </w:tcBorders>
            <w:shd w:val="clear" w:color="auto" w:fill="auto"/>
            <w:noWrap/>
            <w:vAlign w:val="center"/>
            <w:hideMark/>
          </w:tcPr>
          <w:p w14:paraId="64B9CEB6" w14:textId="77777777" w:rsidR="00F25246" w:rsidRPr="00F25246" w:rsidRDefault="00F25246" w:rsidP="00F25246">
            <w:pPr>
              <w:rPr>
                <w:b/>
                <w:bCs/>
                <w:color w:val="000000"/>
                <w:sz w:val="10"/>
                <w:szCs w:val="10"/>
                <w:lang w:val="en-US" w:eastAsia="tr-TR"/>
              </w:rPr>
            </w:pPr>
            <w:r w:rsidRPr="00F25246">
              <w:rPr>
                <w:b/>
                <w:bCs/>
                <w:color w:val="000000"/>
                <w:sz w:val="10"/>
                <w:szCs w:val="10"/>
                <w:lang w:val="en-US" w:eastAsia="tr-TR"/>
              </w:rPr>
              <w:t xml:space="preserve">TMS 8 </w:t>
            </w:r>
            <w:proofErr w:type="spellStart"/>
            <w:r w:rsidRPr="00F25246">
              <w:rPr>
                <w:b/>
                <w:bCs/>
                <w:color w:val="000000"/>
                <w:sz w:val="10"/>
                <w:szCs w:val="10"/>
                <w:lang w:val="en-US" w:eastAsia="tr-TR"/>
              </w:rPr>
              <w:t>Uyarınca</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Yapılan</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Düzeltmeler</w:t>
            </w:r>
            <w:proofErr w:type="spellEnd"/>
            <w:r w:rsidRPr="00F25246">
              <w:rPr>
                <w:b/>
                <w:bCs/>
                <w:color w:val="000000"/>
                <w:sz w:val="10"/>
                <w:szCs w:val="10"/>
                <w:lang w:val="en-US" w:eastAsia="tr-TR"/>
              </w:rPr>
              <w:t xml:space="preserve"> </w:t>
            </w:r>
          </w:p>
        </w:tc>
        <w:tc>
          <w:tcPr>
            <w:tcW w:w="614" w:type="dxa"/>
            <w:tcBorders>
              <w:top w:val="nil"/>
              <w:left w:val="single" w:sz="4" w:space="0" w:color="auto"/>
              <w:bottom w:val="nil"/>
              <w:right w:val="single" w:sz="4" w:space="0" w:color="auto"/>
            </w:tcBorders>
            <w:shd w:val="clear" w:color="auto" w:fill="auto"/>
            <w:vAlign w:val="center"/>
            <w:hideMark/>
          </w:tcPr>
          <w:p w14:paraId="473C09BD" w14:textId="77777777" w:rsidR="00F25246" w:rsidRPr="00F25246" w:rsidRDefault="00F25246" w:rsidP="00F25246">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654E6788" w14:textId="77777777" w:rsidR="00F25246" w:rsidRPr="00F25246" w:rsidRDefault="00F25246" w:rsidP="00717AB5">
            <w:pPr>
              <w:jc w:val="right"/>
              <w:rPr>
                <w:sz w:val="10"/>
                <w:szCs w:val="10"/>
                <w:lang w:eastAsia="tr-TR"/>
              </w:rPr>
            </w:pPr>
            <w:r w:rsidRPr="00F25246">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0BE6BE60"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2E2226EB"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6F3BC821"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6379941F"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4A344619"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527208F1"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7BCDF9E9"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27F96338" w14:textId="77777777" w:rsidR="00F25246" w:rsidRPr="00F25246" w:rsidRDefault="00F25246" w:rsidP="00717AB5">
            <w:pPr>
              <w:jc w:val="right"/>
              <w:rPr>
                <w:b/>
                <w:bCs/>
                <w:sz w:val="10"/>
                <w:szCs w:val="10"/>
                <w:lang w:eastAsia="tr-TR"/>
              </w:rPr>
            </w:pPr>
            <w:r w:rsidRPr="00F25246">
              <w:rPr>
                <w:sz w:val="10"/>
                <w:szCs w:val="18"/>
                <w:lang w:eastAsia="tr-TR"/>
              </w:rPr>
              <w:t>(</w:t>
            </w:r>
            <w:r w:rsidRPr="00F25246">
              <w:rPr>
                <w:sz w:val="10"/>
                <w:szCs w:val="10"/>
                <w:lang w:eastAsia="tr-TR"/>
              </w:rPr>
              <w:t>16,092</w:t>
            </w:r>
            <w:r w:rsidRPr="00F25246">
              <w:rPr>
                <w:b/>
                <w:bCs/>
                <w:sz w:val="10"/>
                <w:szCs w:val="10"/>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256033B0" w14:textId="77777777" w:rsidR="00F25246" w:rsidRPr="00F25246" w:rsidRDefault="00F25246" w:rsidP="00717AB5">
            <w:pPr>
              <w:jc w:val="right"/>
              <w:rPr>
                <w:sz w:val="10"/>
                <w:szCs w:val="18"/>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76ABA054" w14:textId="77777777" w:rsidR="00F25246" w:rsidRPr="00F25246" w:rsidRDefault="00F25246" w:rsidP="00717AB5">
            <w:pPr>
              <w:jc w:val="right"/>
              <w:rPr>
                <w:sz w:val="10"/>
                <w:szCs w:val="10"/>
                <w:lang w:eastAsia="tr-TR"/>
              </w:rPr>
            </w:pPr>
            <w:r w:rsidRPr="00F25246">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3132BBF7" w14:textId="77777777" w:rsidR="00F25246" w:rsidRPr="00F25246" w:rsidRDefault="00F25246" w:rsidP="00717AB5">
            <w:pPr>
              <w:jc w:val="right"/>
              <w:rPr>
                <w:sz w:val="10"/>
                <w:szCs w:val="10"/>
                <w:lang w:eastAsia="tr-TR"/>
              </w:rPr>
            </w:pPr>
            <w:r w:rsidRPr="00F25246">
              <w:rPr>
                <w:sz w:val="10"/>
                <w:szCs w:val="18"/>
                <w:lang w:eastAsia="tr-TR"/>
              </w:rPr>
              <w:t>16,092</w:t>
            </w:r>
          </w:p>
        </w:tc>
        <w:tc>
          <w:tcPr>
            <w:tcW w:w="727" w:type="dxa"/>
            <w:tcBorders>
              <w:top w:val="nil"/>
              <w:left w:val="single" w:sz="4" w:space="0" w:color="auto"/>
              <w:bottom w:val="nil"/>
              <w:right w:val="single" w:sz="4" w:space="0" w:color="auto"/>
            </w:tcBorders>
            <w:shd w:val="clear" w:color="auto" w:fill="auto"/>
            <w:vAlign w:val="bottom"/>
            <w:hideMark/>
          </w:tcPr>
          <w:p w14:paraId="0261B98B" w14:textId="77777777" w:rsidR="00F25246" w:rsidRPr="00F25246" w:rsidRDefault="00F25246" w:rsidP="00717AB5">
            <w:pPr>
              <w:jc w:val="right"/>
              <w:rPr>
                <w:sz w:val="10"/>
                <w:szCs w:val="10"/>
                <w:lang w:eastAsia="tr-TR"/>
              </w:rPr>
            </w:pPr>
            <w:r w:rsidRPr="00F25246">
              <w:rPr>
                <w:sz w:val="10"/>
                <w:szCs w:val="16"/>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7A17AF8E" w14:textId="77777777" w:rsidR="00F25246" w:rsidRPr="00F25246" w:rsidRDefault="00F25246" w:rsidP="00717AB5">
            <w:pPr>
              <w:jc w:val="right"/>
              <w:rPr>
                <w:sz w:val="10"/>
                <w:szCs w:val="10"/>
                <w:lang w:eastAsia="tr-TR"/>
              </w:rPr>
            </w:pPr>
            <w:r w:rsidRPr="00F25246">
              <w:rPr>
                <w:sz w:val="10"/>
                <w:szCs w:val="16"/>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79B6E547" w14:textId="77777777" w:rsidR="00F25246" w:rsidRPr="00F25246" w:rsidRDefault="00F25246" w:rsidP="00717AB5">
            <w:pPr>
              <w:jc w:val="right"/>
              <w:rPr>
                <w:sz w:val="10"/>
                <w:szCs w:val="10"/>
                <w:lang w:eastAsia="tr-TR"/>
              </w:rPr>
            </w:pPr>
            <w:r w:rsidRPr="00F25246">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7886CDF3" w14:textId="77777777" w:rsidR="00F25246" w:rsidRPr="00F25246" w:rsidRDefault="00F25246" w:rsidP="00717AB5">
            <w:pPr>
              <w:jc w:val="right"/>
              <w:rPr>
                <w:sz w:val="10"/>
                <w:szCs w:val="10"/>
                <w:lang w:eastAsia="tr-TR"/>
              </w:rPr>
            </w:pPr>
            <w:r w:rsidRPr="00F25246">
              <w:rPr>
                <w:sz w:val="10"/>
                <w:szCs w:val="16"/>
                <w:lang w:eastAsia="tr-TR"/>
              </w:rPr>
              <w:t>-</w:t>
            </w:r>
          </w:p>
        </w:tc>
      </w:tr>
      <w:tr w:rsidR="00D42791" w:rsidRPr="00F25246" w14:paraId="659DC19F"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6A5B0A4F" w14:textId="77777777" w:rsidR="00F25246" w:rsidRPr="00F25246" w:rsidRDefault="00F25246" w:rsidP="00F25246">
            <w:pPr>
              <w:jc w:val="center"/>
              <w:rPr>
                <w:color w:val="000000"/>
                <w:sz w:val="10"/>
                <w:szCs w:val="10"/>
                <w:lang w:eastAsia="tr-TR"/>
              </w:rPr>
            </w:pPr>
            <w:r w:rsidRPr="00F25246">
              <w:rPr>
                <w:color w:val="000000"/>
                <w:sz w:val="10"/>
                <w:szCs w:val="10"/>
                <w:lang w:val="en-US" w:eastAsia="tr-TR"/>
              </w:rPr>
              <w:t>2.1</w:t>
            </w:r>
          </w:p>
        </w:tc>
        <w:tc>
          <w:tcPr>
            <w:tcW w:w="2019" w:type="dxa"/>
            <w:tcBorders>
              <w:top w:val="nil"/>
              <w:left w:val="single" w:sz="4" w:space="0" w:color="auto"/>
              <w:bottom w:val="nil"/>
              <w:right w:val="single" w:sz="4" w:space="0" w:color="auto"/>
            </w:tcBorders>
            <w:shd w:val="clear" w:color="auto" w:fill="auto"/>
            <w:noWrap/>
            <w:vAlign w:val="center"/>
            <w:hideMark/>
          </w:tcPr>
          <w:p w14:paraId="41A77348"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Hataların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Düzeltilmesinin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Etkisi</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4FFE714A"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6F4CFF71" w14:textId="77777777" w:rsidR="00F25246" w:rsidRPr="00F25246" w:rsidRDefault="00F25246" w:rsidP="00717AB5">
            <w:pPr>
              <w:jc w:val="right"/>
              <w:rPr>
                <w:sz w:val="10"/>
                <w:szCs w:val="10"/>
                <w:lang w:eastAsia="tr-TR"/>
              </w:rPr>
            </w:pPr>
            <w:r w:rsidRPr="00F25246">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77F090E7"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2F3DBB0"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403FCCD3"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6AA184FB"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51777237"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E658A6F"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487CB817"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73AF1641" w14:textId="77777777" w:rsidR="00F25246" w:rsidRPr="00F25246" w:rsidRDefault="00F25246" w:rsidP="00717AB5">
            <w:pPr>
              <w:jc w:val="right"/>
              <w:rPr>
                <w:sz w:val="10"/>
                <w:szCs w:val="10"/>
                <w:lang w:eastAsia="tr-TR"/>
              </w:rPr>
            </w:pPr>
            <w:r w:rsidRPr="00F25246">
              <w:rPr>
                <w:sz w:val="10"/>
                <w:szCs w:val="18"/>
                <w:lang w:eastAsia="tr-TR"/>
              </w:rPr>
              <w:t>(</w:t>
            </w:r>
            <w:r w:rsidRPr="00F25246">
              <w:rPr>
                <w:sz w:val="10"/>
                <w:szCs w:val="10"/>
                <w:lang w:eastAsia="tr-TR"/>
              </w:rPr>
              <w:t>16,092)</w:t>
            </w:r>
          </w:p>
        </w:tc>
        <w:tc>
          <w:tcPr>
            <w:tcW w:w="549" w:type="dxa"/>
            <w:tcBorders>
              <w:top w:val="nil"/>
              <w:left w:val="single" w:sz="4" w:space="0" w:color="auto"/>
              <w:bottom w:val="nil"/>
              <w:right w:val="single" w:sz="4" w:space="0" w:color="auto"/>
            </w:tcBorders>
            <w:shd w:val="clear" w:color="auto" w:fill="auto"/>
            <w:vAlign w:val="bottom"/>
            <w:hideMark/>
          </w:tcPr>
          <w:p w14:paraId="1EF5BBE5" w14:textId="77777777" w:rsidR="00F25246" w:rsidRPr="00F25246" w:rsidRDefault="00F25246" w:rsidP="00717AB5">
            <w:pPr>
              <w:jc w:val="right"/>
              <w:rPr>
                <w:sz w:val="10"/>
                <w:szCs w:val="18"/>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5435F278" w14:textId="77777777" w:rsidR="00F25246" w:rsidRPr="00F25246" w:rsidRDefault="00F25246" w:rsidP="00717AB5">
            <w:pPr>
              <w:jc w:val="right"/>
              <w:rPr>
                <w:sz w:val="10"/>
                <w:szCs w:val="10"/>
                <w:lang w:eastAsia="tr-TR"/>
              </w:rPr>
            </w:pPr>
            <w:r w:rsidRPr="00F25246">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34A3BADD" w14:textId="77777777" w:rsidR="00F25246" w:rsidRPr="00F25246" w:rsidRDefault="00F25246" w:rsidP="00717AB5">
            <w:pPr>
              <w:jc w:val="right"/>
              <w:rPr>
                <w:sz w:val="10"/>
                <w:szCs w:val="10"/>
                <w:lang w:eastAsia="tr-TR"/>
              </w:rPr>
            </w:pPr>
            <w:r w:rsidRPr="00F25246">
              <w:rPr>
                <w:sz w:val="10"/>
                <w:szCs w:val="18"/>
                <w:lang w:eastAsia="tr-TR"/>
              </w:rPr>
              <w:t>16,092</w:t>
            </w:r>
          </w:p>
        </w:tc>
        <w:tc>
          <w:tcPr>
            <w:tcW w:w="727" w:type="dxa"/>
            <w:tcBorders>
              <w:top w:val="nil"/>
              <w:left w:val="single" w:sz="4" w:space="0" w:color="auto"/>
              <w:bottom w:val="nil"/>
              <w:right w:val="single" w:sz="4" w:space="0" w:color="auto"/>
            </w:tcBorders>
            <w:shd w:val="clear" w:color="auto" w:fill="auto"/>
            <w:vAlign w:val="bottom"/>
            <w:hideMark/>
          </w:tcPr>
          <w:p w14:paraId="08447EE3" w14:textId="77777777" w:rsidR="00F25246" w:rsidRPr="00F25246" w:rsidRDefault="00F25246" w:rsidP="00717AB5">
            <w:pPr>
              <w:jc w:val="right"/>
              <w:rPr>
                <w:sz w:val="10"/>
                <w:szCs w:val="10"/>
                <w:lang w:eastAsia="tr-TR"/>
              </w:rPr>
            </w:pPr>
            <w:r w:rsidRPr="00F25246">
              <w:rPr>
                <w:sz w:val="10"/>
                <w:szCs w:val="16"/>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46C492B2" w14:textId="77777777" w:rsidR="00F25246" w:rsidRPr="00F25246" w:rsidRDefault="00F25246" w:rsidP="00717AB5">
            <w:pPr>
              <w:jc w:val="right"/>
              <w:rPr>
                <w:sz w:val="10"/>
                <w:szCs w:val="10"/>
                <w:lang w:eastAsia="tr-TR"/>
              </w:rPr>
            </w:pPr>
            <w:r w:rsidRPr="00F25246">
              <w:rPr>
                <w:sz w:val="10"/>
                <w:szCs w:val="16"/>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7E3C9465" w14:textId="77777777" w:rsidR="00F25246" w:rsidRPr="00F25246" w:rsidRDefault="00F25246" w:rsidP="00717AB5">
            <w:pPr>
              <w:jc w:val="right"/>
              <w:rPr>
                <w:sz w:val="10"/>
                <w:szCs w:val="10"/>
                <w:lang w:eastAsia="tr-TR"/>
              </w:rPr>
            </w:pPr>
            <w:r w:rsidRPr="00F25246">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7515EFCF" w14:textId="77777777" w:rsidR="00F25246" w:rsidRPr="00F25246" w:rsidRDefault="00F25246" w:rsidP="00717AB5">
            <w:pPr>
              <w:jc w:val="right"/>
              <w:rPr>
                <w:sz w:val="10"/>
                <w:szCs w:val="10"/>
                <w:lang w:eastAsia="tr-TR"/>
              </w:rPr>
            </w:pPr>
            <w:r w:rsidRPr="00F25246">
              <w:rPr>
                <w:sz w:val="10"/>
                <w:szCs w:val="16"/>
                <w:lang w:eastAsia="tr-TR"/>
              </w:rPr>
              <w:t>-</w:t>
            </w:r>
          </w:p>
        </w:tc>
      </w:tr>
      <w:tr w:rsidR="00D42791" w:rsidRPr="00F25246" w14:paraId="665F3692"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7019E07A" w14:textId="77777777" w:rsidR="00F25246" w:rsidRPr="00F25246" w:rsidRDefault="00F25246" w:rsidP="00F25246">
            <w:pPr>
              <w:jc w:val="center"/>
              <w:rPr>
                <w:color w:val="000000"/>
                <w:sz w:val="10"/>
                <w:szCs w:val="10"/>
                <w:lang w:eastAsia="tr-TR"/>
              </w:rPr>
            </w:pPr>
            <w:r w:rsidRPr="00F25246">
              <w:rPr>
                <w:color w:val="000000"/>
                <w:sz w:val="10"/>
                <w:szCs w:val="10"/>
                <w:lang w:val="en-US" w:eastAsia="tr-TR"/>
              </w:rPr>
              <w:t>2.2</w:t>
            </w:r>
          </w:p>
        </w:tc>
        <w:tc>
          <w:tcPr>
            <w:tcW w:w="2019" w:type="dxa"/>
            <w:tcBorders>
              <w:top w:val="nil"/>
              <w:left w:val="single" w:sz="4" w:space="0" w:color="auto"/>
              <w:bottom w:val="nil"/>
              <w:right w:val="single" w:sz="4" w:space="0" w:color="auto"/>
            </w:tcBorders>
            <w:shd w:val="clear" w:color="auto" w:fill="auto"/>
            <w:noWrap/>
            <w:vAlign w:val="center"/>
            <w:hideMark/>
          </w:tcPr>
          <w:p w14:paraId="2BC5A1DB" w14:textId="77777777" w:rsidR="00F25246" w:rsidRPr="00F25246" w:rsidRDefault="00F25246" w:rsidP="00F25246">
            <w:pPr>
              <w:rPr>
                <w:color w:val="000000"/>
                <w:sz w:val="10"/>
                <w:szCs w:val="10"/>
                <w:lang w:eastAsia="tr-TR"/>
              </w:rPr>
            </w:pPr>
            <w:r w:rsidRPr="00F25246">
              <w:rPr>
                <w:color w:val="000000"/>
                <w:sz w:val="10"/>
                <w:szCs w:val="10"/>
                <w:lang w:val="en-US" w:eastAsia="tr-TR"/>
              </w:rPr>
              <w:t xml:space="preserve">Muhasebe </w:t>
            </w:r>
            <w:proofErr w:type="spellStart"/>
            <w:r w:rsidRPr="00F25246">
              <w:rPr>
                <w:color w:val="000000"/>
                <w:sz w:val="10"/>
                <w:szCs w:val="10"/>
                <w:lang w:val="en-US" w:eastAsia="tr-TR"/>
              </w:rPr>
              <w:t>Politikasında</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Yapılan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Değişikliklerin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Etkisi</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57DF1A03"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24F5BB8F" w14:textId="77777777" w:rsidR="00F25246" w:rsidRPr="00F25246" w:rsidRDefault="00F25246" w:rsidP="00717AB5">
            <w:pPr>
              <w:jc w:val="right"/>
              <w:rPr>
                <w:sz w:val="10"/>
                <w:szCs w:val="10"/>
                <w:lang w:eastAsia="tr-TR"/>
              </w:rPr>
            </w:pPr>
            <w:r w:rsidRPr="00F25246">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022927F5"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7FEE8EA8"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7DE3CD1F"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27412C67"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0A5134ED"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86822D7"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7E0D7B87"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648D9AF" w14:textId="77777777" w:rsidR="00F25246" w:rsidRPr="00F25246" w:rsidRDefault="00F25246" w:rsidP="00717AB5">
            <w:pPr>
              <w:jc w:val="right"/>
              <w:rPr>
                <w:sz w:val="10"/>
                <w:szCs w:val="10"/>
                <w:lang w:eastAsia="tr-TR"/>
              </w:rPr>
            </w:pPr>
            <w:r w:rsidRPr="00F25246">
              <w:rPr>
                <w:sz w:val="10"/>
                <w:szCs w:val="18"/>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13D4014B" w14:textId="77777777" w:rsidR="00F25246" w:rsidRPr="00F25246" w:rsidRDefault="00F25246" w:rsidP="00717AB5">
            <w:pPr>
              <w:jc w:val="right"/>
              <w:rPr>
                <w:sz w:val="10"/>
                <w:szCs w:val="10"/>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4742513E" w14:textId="77777777" w:rsidR="00F25246" w:rsidRPr="00F25246" w:rsidRDefault="00F25246" w:rsidP="00717AB5">
            <w:pPr>
              <w:jc w:val="right"/>
              <w:rPr>
                <w:sz w:val="10"/>
                <w:szCs w:val="10"/>
                <w:lang w:eastAsia="tr-TR"/>
              </w:rPr>
            </w:pPr>
            <w:r w:rsidRPr="00F25246">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56339DCD"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153998FE" w14:textId="77777777" w:rsidR="00F25246" w:rsidRPr="00F25246" w:rsidRDefault="00F25246" w:rsidP="00717AB5">
            <w:pPr>
              <w:jc w:val="right"/>
              <w:rPr>
                <w:sz w:val="10"/>
                <w:szCs w:val="10"/>
                <w:lang w:eastAsia="tr-TR"/>
              </w:rPr>
            </w:pPr>
            <w:r w:rsidRPr="00F25246">
              <w:rPr>
                <w:sz w:val="10"/>
                <w:szCs w:val="16"/>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5DAF01BE" w14:textId="77777777" w:rsidR="00F25246" w:rsidRPr="00F25246" w:rsidRDefault="00F25246" w:rsidP="00717AB5">
            <w:pPr>
              <w:jc w:val="right"/>
              <w:rPr>
                <w:sz w:val="10"/>
                <w:szCs w:val="10"/>
                <w:lang w:eastAsia="tr-TR"/>
              </w:rPr>
            </w:pPr>
            <w:r w:rsidRPr="00F25246">
              <w:rPr>
                <w:sz w:val="10"/>
                <w:szCs w:val="16"/>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1DE2BC14" w14:textId="77777777" w:rsidR="00F25246" w:rsidRPr="00F25246" w:rsidRDefault="00F25246" w:rsidP="00717AB5">
            <w:pPr>
              <w:jc w:val="right"/>
              <w:rPr>
                <w:sz w:val="10"/>
                <w:szCs w:val="10"/>
                <w:lang w:eastAsia="tr-TR"/>
              </w:rPr>
            </w:pPr>
            <w:r w:rsidRPr="00F25246">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1E560DE1" w14:textId="77777777" w:rsidR="00F25246" w:rsidRPr="00F25246" w:rsidRDefault="00F25246" w:rsidP="00717AB5">
            <w:pPr>
              <w:jc w:val="right"/>
              <w:rPr>
                <w:sz w:val="10"/>
                <w:szCs w:val="10"/>
                <w:lang w:eastAsia="tr-TR"/>
              </w:rPr>
            </w:pPr>
            <w:r w:rsidRPr="00F25246">
              <w:rPr>
                <w:sz w:val="10"/>
                <w:szCs w:val="16"/>
                <w:lang w:eastAsia="tr-TR"/>
              </w:rPr>
              <w:t>-</w:t>
            </w:r>
          </w:p>
        </w:tc>
      </w:tr>
      <w:tr w:rsidR="00D42791" w:rsidRPr="00F25246" w14:paraId="5C4B7C7A"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6DBD63F7"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III.</w:t>
            </w:r>
          </w:p>
        </w:tc>
        <w:tc>
          <w:tcPr>
            <w:tcW w:w="2019" w:type="dxa"/>
            <w:tcBorders>
              <w:top w:val="nil"/>
              <w:left w:val="single" w:sz="4" w:space="0" w:color="auto"/>
              <w:bottom w:val="nil"/>
              <w:right w:val="single" w:sz="4" w:space="0" w:color="auto"/>
            </w:tcBorders>
            <w:shd w:val="clear" w:color="auto" w:fill="auto"/>
            <w:noWrap/>
            <w:vAlign w:val="center"/>
            <w:hideMark/>
          </w:tcPr>
          <w:p w14:paraId="15B0EE46" w14:textId="77777777" w:rsidR="00F25246" w:rsidRPr="00F25246" w:rsidRDefault="00F25246" w:rsidP="00F25246">
            <w:pPr>
              <w:rPr>
                <w:b/>
                <w:bCs/>
                <w:color w:val="000000"/>
                <w:sz w:val="10"/>
                <w:szCs w:val="10"/>
                <w:lang w:eastAsia="tr-TR"/>
              </w:rPr>
            </w:pPr>
            <w:proofErr w:type="spellStart"/>
            <w:r w:rsidRPr="00F25246">
              <w:rPr>
                <w:b/>
                <w:bCs/>
                <w:color w:val="000000"/>
                <w:sz w:val="10"/>
                <w:szCs w:val="10"/>
                <w:lang w:val="en-US" w:eastAsia="tr-TR"/>
              </w:rPr>
              <w:t>Yeni</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Bakiye</w:t>
            </w:r>
            <w:proofErr w:type="spellEnd"/>
            <w:r w:rsidRPr="00F25246">
              <w:rPr>
                <w:b/>
                <w:bCs/>
                <w:color w:val="000000"/>
                <w:sz w:val="10"/>
                <w:szCs w:val="10"/>
                <w:lang w:val="en-US" w:eastAsia="tr-TR"/>
              </w:rPr>
              <w:t xml:space="preserve"> (I+II)</w:t>
            </w:r>
          </w:p>
        </w:tc>
        <w:tc>
          <w:tcPr>
            <w:tcW w:w="614" w:type="dxa"/>
            <w:tcBorders>
              <w:top w:val="nil"/>
              <w:left w:val="single" w:sz="4" w:space="0" w:color="auto"/>
              <w:bottom w:val="nil"/>
              <w:right w:val="single" w:sz="4" w:space="0" w:color="auto"/>
            </w:tcBorders>
            <w:shd w:val="clear" w:color="auto" w:fill="auto"/>
            <w:vAlign w:val="center"/>
            <w:hideMark/>
          </w:tcPr>
          <w:p w14:paraId="3FB1AA81" w14:textId="77777777" w:rsidR="00F25246" w:rsidRPr="00F25246" w:rsidRDefault="00F25246" w:rsidP="00F25246">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1DE6DDBF" w14:textId="77777777" w:rsidR="00F25246" w:rsidRPr="00F25246" w:rsidRDefault="00F25246" w:rsidP="00717AB5">
            <w:pPr>
              <w:jc w:val="right"/>
              <w:rPr>
                <w:b/>
                <w:sz w:val="10"/>
                <w:szCs w:val="10"/>
                <w:lang w:eastAsia="tr-TR"/>
              </w:rPr>
            </w:pPr>
            <w:r w:rsidRPr="00F25246">
              <w:rPr>
                <w:b/>
                <w:sz w:val="10"/>
                <w:szCs w:val="18"/>
                <w:lang w:eastAsia="tr-TR"/>
              </w:rPr>
              <w:t>3,995,766</w:t>
            </w:r>
          </w:p>
        </w:tc>
        <w:tc>
          <w:tcPr>
            <w:tcW w:w="872" w:type="dxa"/>
            <w:tcBorders>
              <w:top w:val="nil"/>
              <w:left w:val="single" w:sz="4" w:space="0" w:color="auto"/>
              <w:bottom w:val="nil"/>
              <w:right w:val="single" w:sz="4" w:space="0" w:color="auto"/>
            </w:tcBorders>
            <w:shd w:val="clear" w:color="auto" w:fill="auto"/>
            <w:vAlign w:val="bottom"/>
            <w:hideMark/>
          </w:tcPr>
          <w:p w14:paraId="3CD5BBC8" w14:textId="77777777" w:rsidR="00F25246" w:rsidRPr="00F25246" w:rsidRDefault="00F25246" w:rsidP="00717AB5">
            <w:pPr>
              <w:jc w:val="right"/>
              <w:rPr>
                <w:b/>
                <w:sz w:val="10"/>
                <w:szCs w:val="10"/>
                <w:lang w:eastAsia="tr-TR"/>
              </w:rPr>
            </w:pPr>
            <w:r w:rsidRPr="00F25246">
              <w:rPr>
                <w:b/>
                <w:sz w:val="10"/>
                <w:szCs w:val="18"/>
                <w:lang w:eastAsia="tr-TR"/>
              </w:rPr>
              <w:t>23,250</w:t>
            </w:r>
          </w:p>
        </w:tc>
        <w:tc>
          <w:tcPr>
            <w:tcW w:w="727" w:type="dxa"/>
            <w:tcBorders>
              <w:top w:val="nil"/>
              <w:left w:val="single" w:sz="4" w:space="0" w:color="auto"/>
              <w:bottom w:val="nil"/>
              <w:right w:val="single" w:sz="4" w:space="0" w:color="auto"/>
            </w:tcBorders>
            <w:shd w:val="clear" w:color="auto" w:fill="auto"/>
            <w:vAlign w:val="bottom"/>
            <w:hideMark/>
          </w:tcPr>
          <w:p w14:paraId="6E91C7DD" w14:textId="77777777" w:rsidR="00F25246" w:rsidRPr="00F25246" w:rsidRDefault="00F25246" w:rsidP="00717AB5">
            <w:pPr>
              <w:jc w:val="right"/>
              <w:rPr>
                <w:b/>
                <w:sz w:val="10"/>
                <w:szCs w:val="10"/>
                <w:lang w:eastAsia="tr-TR"/>
              </w:rPr>
            </w:pPr>
            <w:r w:rsidRPr="00F25246">
              <w:rPr>
                <w:b/>
                <w:sz w:val="10"/>
                <w:szCs w:val="18"/>
                <w:lang w:eastAsia="tr-TR"/>
              </w:rPr>
              <w:t>1,239</w:t>
            </w:r>
          </w:p>
        </w:tc>
        <w:tc>
          <w:tcPr>
            <w:tcW w:w="873" w:type="dxa"/>
            <w:tcBorders>
              <w:top w:val="nil"/>
              <w:left w:val="single" w:sz="4" w:space="0" w:color="auto"/>
              <w:bottom w:val="nil"/>
              <w:right w:val="single" w:sz="4" w:space="0" w:color="auto"/>
            </w:tcBorders>
            <w:shd w:val="clear" w:color="auto" w:fill="auto"/>
            <w:vAlign w:val="bottom"/>
            <w:hideMark/>
          </w:tcPr>
          <w:p w14:paraId="69AD4BD0" w14:textId="77777777" w:rsidR="00F25246" w:rsidRPr="00F25246" w:rsidRDefault="00F25246" w:rsidP="00717AB5">
            <w:pPr>
              <w:jc w:val="right"/>
              <w:rPr>
                <w:b/>
                <w:sz w:val="10"/>
                <w:szCs w:val="10"/>
                <w:lang w:eastAsia="tr-TR"/>
              </w:rPr>
            </w:pPr>
            <w:r w:rsidRPr="00F25246">
              <w:rPr>
                <w:b/>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3842655F" w14:textId="77777777" w:rsidR="00F25246" w:rsidRPr="00F25246" w:rsidRDefault="00F25246" w:rsidP="00717AB5">
            <w:pPr>
              <w:jc w:val="right"/>
              <w:rPr>
                <w:b/>
                <w:sz w:val="10"/>
                <w:szCs w:val="10"/>
                <w:lang w:eastAsia="tr-TR"/>
              </w:rPr>
            </w:pPr>
            <w:r w:rsidRPr="00F25246">
              <w:rPr>
                <w:b/>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6637BC2F" w14:textId="77777777" w:rsidR="00F25246" w:rsidRPr="00F25246" w:rsidRDefault="00F25246" w:rsidP="00717AB5">
            <w:pPr>
              <w:jc w:val="right"/>
              <w:rPr>
                <w:b/>
                <w:sz w:val="10"/>
                <w:szCs w:val="10"/>
                <w:lang w:eastAsia="tr-TR"/>
              </w:rPr>
            </w:pPr>
            <w:r w:rsidRPr="00F25246">
              <w:rPr>
                <w:b/>
                <w:sz w:val="10"/>
                <w:szCs w:val="18"/>
                <w:lang w:eastAsia="tr-TR"/>
              </w:rPr>
              <w:t>(19,082)</w:t>
            </w:r>
          </w:p>
        </w:tc>
        <w:tc>
          <w:tcPr>
            <w:tcW w:w="583" w:type="dxa"/>
            <w:tcBorders>
              <w:top w:val="nil"/>
              <w:left w:val="single" w:sz="4" w:space="0" w:color="auto"/>
              <w:bottom w:val="nil"/>
              <w:right w:val="single" w:sz="4" w:space="0" w:color="auto"/>
            </w:tcBorders>
            <w:shd w:val="clear" w:color="auto" w:fill="auto"/>
            <w:vAlign w:val="bottom"/>
            <w:hideMark/>
          </w:tcPr>
          <w:p w14:paraId="033B4CA4" w14:textId="77777777" w:rsidR="00F25246" w:rsidRPr="00F25246" w:rsidRDefault="00F25246" w:rsidP="00717AB5">
            <w:pPr>
              <w:jc w:val="right"/>
              <w:rPr>
                <w:b/>
                <w:sz w:val="10"/>
                <w:szCs w:val="10"/>
                <w:lang w:eastAsia="tr-TR"/>
              </w:rPr>
            </w:pPr>
            <w:r w:rsidRPr="00F25246">
              <w:rPr>
                <w:b/>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14F7E2D5" w14:textId="77777777" w:rsidR="00F25246" w:rsidRPr="00F25246" w:rsidRDefault="00F25246" w:rsidP="00717AB5">
            <w:pPr>
              <w:jc w:val="right"/>
              <w:rPr>
                <w:b/>
                <w:sz w:val="10"/>
                <w:szCs w:val="10"/>
                <w:lang w:eastAsia="tr-TR"/>
              </w:rPr>
            </w:pPr>
            <w:r w:rsidRPr="00F25246">
              <w:rPr>
                <w:b/>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04C5C227" w14:textId="77777777" w:rsidR="00F25246" w:rsidRPr="00F25246" w:rsidRDefault="00F25246" w:rsidP="00717AB5">
            <w:pPr>
              <w:jc w:val="right"/>
              <w:rPr>
                <w:b/>
                <w:sz w:val="10"/>
                <w:szCs w:val="18"/>
                <w:lang w:eastAsia="tr-TR"/>
              </w:rPr>
            </w:pPr>
            <w:r w:rsidRPr="00F25246">
              <w:rPr>
                <w:b/>
                <w:sz w:val="10"/>
                <w:szCs w:val="18"/>
                <w:lang w:eastAsia="tr-TR"/>
              </w:rPr>
              <w:t>198,603</w:t>
            </w:r>
          </w:p>
        </w:tc>
        <w:tc>
          <w:tcPr>
            <w:tcW w:w="549" w:type="dxa"/>
            <w:tcBorders>
              <w:top w:val="nil"/>
              <w:left w:val="single" w:sz="4" w:space="0" w:color="auto"/>
              <w:bottom w:val="nil"/>
              <w:right w:val="single" w:sz="4" w:space="0" w:color="auto"/>
            </w:tcBorders>
            <w:shd w:val="clear" w:color="auto" w:fill="auto"/>
            <w:vAlign w:val="bottom"/>
            <w:hideMark/>
          </w:tcPr>
          <w:p w14:paraId="31B60233" w14:textId="77777777" w:rsidR="00F25246" w:rsidRPr="00F25246" w:rsidRDefault="00F25246" w:rsidP="00717AB5">
            <w:pPr>
              <w:jc w:val="right"/>
              <w:rPr>
                <w:b/>
                <w:bCs/>
                <w:sz w:val="10"/>
                <w:szCs w:val="10"/>
                <w:lang w:eastAsia="tr-TR"/>
              </w:rPr>
            </w:pPr>
            <w:r w:rsidRPr="00F25246">
              <w:rPr>
                <w:b/>
                <w:sz w:val="10"/>
                <w:szCs w:val="18"/>
                <w:lang w:eastAsia="tr-TR"/>
              </w:rPr>
              <w:t>(</w:t>
            </w:r>
            <w:r w:rsidRPr="00F25246">
              <w:rPr>
                <w:b/>
                <w:sz w:val="10"/>
                <w:szCs w:val="10"/>
                <w:lang w:eastAsia="tr-TR"/>
              </w:rPr>
              <w:t>8,981</w:t>
            </w:r>
            <w:r w:rsidRPr="00F25246">
              <w:rPr>
                <w:b/>
                <w:bCs/>
                <w:sz w:val="10"/>
                <w:szCs w:val="10"/>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2E7F2290" w14:textId="77777777" w:rsidR="00F25246" w:rsidRPr="00F25246" w:rsidRDefault="00F25246" w:rsidP="00717AB5">
            <w:pPr>
              <w:jc w:val="right"/>
              <w:rPr>
                <w:b/>
                <w:sz w:val="10"/>
                <w:szCs w:val="10"/>
                <w:lang w:eastAsia="tr-TR"/>
              </w:rPr>
            </w:pPr>
            <w:r w:rsidRPr="00F25246">
              <w:rPr>
                <w:b/>
                <w:sz w:val="10"/>
                <w:szCs w:val="18"/>
                <w:lang w:eastAsia="tr-TR"/>
              </w:rPr>
              <w:t>1,469,025</w:t>
            </w:r>
          </w:p>
        </w:tc>
        <w:tc>
          <w:tcPr>
            <w:tcW w:w="788" w:type="dxa"/>
            <w:tcBorders>
              <w:top w:val="nil"/>
              <w:left w:val="single" w:sz="4" w:space="0" w:color="auto"/>
              <w:bottom w:val="nil"/>
              <w:right w:val="single" w:sz="4" w:space="0" w:color="auto"/>
            </w:tcBorders>
            <w:shd w:val="clear" w:color="auto" w:fill="auto"/>
            <w:vAlign w:val="bottom"/>
            <w:hideMark/>
          </w:tcPr>
          <w:p w14:paraId="5E5DC574" w14:textId="77777777" w:rsidR="00F25246" w:rsidRPr="00F25246" w:rsidRDefault="00F25246" w:rsidP="00717AB5">
            <w:pPr>
              <w:jc w:val="right"/>
              <w:rPr>
                <w:b/>
                <w:sz w:val="10"/>
                <w:szCs w:val="10"/>
                <w:lang w:eastAsia="tr-TR"/>
              </w:rPr>
            </w:pPr>
            <w:r w:rsidRPr="00F25246">
              <w:rPr>
                <w:b/>
                <w:sz w:val="10"/>
                <w:szCs w:val="18"/>
                <w:lang w:eastAsia="tr-TR"/>
              </w:rPr>
              <w:t>51,632</w:t>
            </w:r>
          </w:p>
        </w:tc>
        <w:tc>
          <w:tcPr>
            <w:tcW w:w="727" w:type="dxa"/>
            <w:tcBorders>
              <w:top w:val="nil"/>
              <w:left w:val="single" w:sz="4" w:space="0" w:color="auto"/>
              <w:bottom w:val="nil"/>
              <w:right w:val="single" w:sz="4" w:space="0" w:color="auto"/>
            </w:tcBorders>
            <w:shd w:val="clear" w:color="auto" w:fill="auto"/>
            <w:vAlign w:val="bottom"/>
            <w:hideMark/>
          </w:tcPr>
          <w:p w14:paraId="4E6CD67F" w14:textId="77777777" w:rsidR="00F25246" w:rsidRPr="00F25246" w:rsidRDefault="00F25246" w:rsidP="00717AB5">
            <w:pPr>
              <w:jc w:val="right"/>
              <w:rPr>
                <w:b/>
                <w:sz w:val="10"/>
                <w:szCs w:val="10"/>
                <w:lang w:eastAsia="tr-TR"/>
              </w:rPr>
            </w:pPr>
            <w:r w:rsidRPr="00F25246">
              <w:rPr>
                <w:b/>
                <w:sz w:val="10"/>
                <w:szCs w:val="16"/>
                <w:lang w:eastAsia="tr-TR"/>
              </w:rPr>
              <w:t>1,109,838</w:t>
            </w:r>
          </w:p>
        </w:tc>
        <w:tc>
          <w:tcPr>
            <w:tcW w:w="873" w:type="dxa"/>
            <w:tcBorders>
              <w:top w:val="nil"/>
              <w:left w:val="single" w:sz="4" w:space="0" w:color="auto"/>
              <w:bottom w:val="nil"/>
              <w:right w:val="single" w:sz="4" w:space="0" w:color="auto"/>
            </w:tcBorders>
            <w:shd w:val="clear" w:color="auto" w:fill="auto"/>
            <w:vAlign w:val="bottom"/>
            <w:hideMark/>
          </w:tcPr>
          <w:p w14:paraId="406D9A6E" w14:textId="77777777" w:rsidR="00F25246" w:rsidRPr="00F25246" w:rsidRDefault="00F25246" w:rsidP="00717AB5">
            <w:pPr>
              <w:jc w:val="right"/>
              <w:rPr>
                <w:b/>
                <w:sz w:val="10"/>
                <w:szCs w:val="10"/>
                <w:lang w:eastAsia="tr-TR"/>
              </w:rPr>
            </w:pPr>
            <w:r w:rsidRPr="00F25246">
              <w:rPr>
                <w:b/>
                <w:sz w:val="10"/>
                <w:szCs w:val="16"/>
                <w:lang w:eastAsia="tr-TR"/>
              </w:rPr>
              <w:t>6,821,290</w:t>
            </w:r>
          </w:p>
        </w:tc>
        <w:tc>
          <w:tcPr>
            <w:tcW w:w="726" w:type="dxa"/>
            <w:tcBorders>
              <w:top w:val="nil"/>
              <w:left w:val="single" w:sz="4" w:space="0" w:color="auto"/>
              <w:bottom w:val="nil"/>
              <w:right w:val="single" w:sz="4" w:space="0" w:color="auto"/>
            </w:tcBorders>
            <w:shd w:val="clear" w:color="auto" w:fill="auto"/>
            <w:vAlign w:val="bottom"/>
            <w:hideMark/>
          </w:tcPr>
          <w:p w14:paraId="47CA5510" w14:textId="77777777" w:rsidR="00F25246" w:rsidRPr="00F25246" w:rsidRDefault="00F25246" w:rsidP="00717AB5">
            <w:pPr>
              <w:jc w:val="right"/>
              <w:rPr>
                <w:b/>
                <w:sz w:val="10"/>
                <w:szCs w:val="10"/>
                <w:lang w:eastAsia="tr-TR"/>
              </w:rPr>
            </w:pPr>
            <w:r w:rsidRPr="00F25246">
              <w:rPr>
                <w:b/>
                <w:sz w:val="10"/>
                <w:szCs w:val="16"/>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382E1E41" w14:textId="77777777" w:rsidR="00F25246" w:rsidRPr="00F25246" w:rsidRDefault="00F25246" w:rsidP="00717AB5">
            <w:pPr>
              <w:jc w:val="right"/>
              <w:rPr>
                <w:b/>
                <w:sz w:val="10"/>
                <w:szCs w:val="10"/>
                <w:lang w:eastAsia="tr-TR"/>
              </w:rPr>
            </w:pPr>
            <w:r w:rsidRPr="00F25246">
              <w:rPr>
                <w:b/>
                <w:sz w:val="10"/>
                <w:szCs w:val="16"/>
                <w:lang w:eastAsia="tr-TR"/>
              </w:rPr>
              <w:t>6,821,290</w:t>
            </w:r>
          </w:p>
        </w:tc>
      </w:tr>
      <w:tr w:rsidR="00D42791" w:rsidRPr="00F25246" w14:paraId="6D2D49B8"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56F33E7E"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IV.</w:t>
            </w:r>
          </w:p>
        </w:tc>
        <w:tc>
          <w:tcPr>
            <w:tcW w:w="2019" w:type="dxa"/>
            <w:tcBorders>
              <w:top w:val="nil"/>
              <w:left w:val="single" w:sz="4" w:space="0" w:color="auto"/>
              <w:bottom w:val="nil"/>
              <w:right w:val="single" w:sz="4" w:space="0" w:color="auto"/>
            </w:tcBorders>
            <w:shd w:val="clear" w:color="auto" w:fill="auto"/>
            <w:noWrap/>
            <w:vAlign w:val="center"/>
            <w:hideMark/>
          </w:tcPr>
          <w:p w14:paraId="4CB1505F"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Toplam</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Kapsamlı</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Gelir</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49653C3B"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4BC4769B" w14:textId="77777777" w:rsidR="00F25246" w:rsidRPr="00F25246" w:rsidRDefault="00F25246" w:rsidP="00717AB5">
            <w:pPr>
              <w:jc w:val="right"/>
              <w:rPr>
                <w:sz w:val="10"/>
                <w:szCs w:val="10"/>
                <w:lang w:eastAsia="tr-TR"/>
              </w:rPr>
            </w:pPr>
            <w:r w:rsidRPr="00F25246">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4B06E39C"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256C690"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360C7BEC"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17FADF02"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0E4A1424"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4AF35656"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7443EFFD"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D5AB970" w14:textId="77777777" w:rsidR="00F25246" w:rsidRPr="00F25246" w:rsidRDefault="00F25246" w:rsidP="00717AB5">
            <w:pPr>
              <w:jc w:val="right"/>
              <w:rPr>
                <w:sz w:val="10"/>
                <w:szCs w:val="10"/>
                <w:lang w:eastAsia="tr-TR"/>
              </w:rPr>
            </w:pPr>
            <w:r w:rsidRPr="00F25246">
              <w:rPr>
                <w:sz w:val="10"/>
                <w:szCs w:val="18"/>
                <w:lang w:eastAsia="tr-TR"/>
              </w:rPr>
              <w:t>(</w:t>
            </w:r>
            <w:r w:rsidRPr="00F25246">
              <w:rPr>
                <w:sz w:val="10"/>
                <w:szCs w:val="10"/>
                <w:lang w:eastAsia="tr-TR"/>
              </w:rPr>
              <w:t>325,926)</w:t>
            </w:r>
          </w:p>
        </w:tc>
        <w:tc>
          <w:tcPr>
            <w:tcW w:w="549" w:type="dxa"/>
            <w:tcBorders>
              <w:top w:val="nil"/>
              <w:left w:val="single" w:sz="4" w:space="0" w:color="auto"/>
              <w:bottom w:val="nil"/>
              <w:right w:val="single" w:sz="4" w:space="0" w:color="auto"/>
            </w:tcBorders>
            <w:shd w:val="clear" w:color="auto" w:fill="auto"/>
            <w:vAlign w:val="bottom"/>
            <w:hideMark/>
          </w:tcPr>
          <w:p w14:paraId="4C88F9B2" w14:textId="77777777" w:rsidR="00F25246" w:rsidRPr="00F25246" w:rsidRDefault="00F25246" w:rsidP="00717AB5">
            <w:pPr>
              <w:jc w:val="right"/>
              <w:rPr>
                <w:sz w:val="10"/>
                <w:szCs w:val="18"/>
                <w:lang w:eastAsia="tr-TR"/>
              </w:rPr>
            </w:pPr>
            <w:r w:rsidRPr="00F25246">
              <w:rPr>
                <w:sz w:val="10"/>
                <w:szCs w:val="18"/>
                <w:lang w:eastAsia="tr-TR"/>
              </w:rPr>
              <w:t>8,981</w:t>
            </w:r>
          </w:p>
        </w:tc>
        <w:tc>
          <w:tcPr>
            <w:tcW w:w="571" w:type="dxa"/>
            <w:tcBorders>
              <w:top w:val="nil"/>
              <w:left w:val="single" w:sz="4" w:space="0" w:color="auto"/>
              <w:bottom w:val="nil"/>
              <w:right w:val="single" w:sz="4" w:space="0" w:color="auto"/>
            </w:tcBorders>
            <w:shd w:val="clear" w:color="auto" w:fill="auto"/>
            <w:vAlign w:val="bottom"/>
            <w:hideMark/>
          </w:tcPr>
          <w:p w14:paraId="3DDFECD1" w14:textId="77777777" w:rsidR="00F25246" w:rsidRPr="00F25246" w:rsidRDefault="00F25246" w:rsidP="00717AB5">
            <w:pPr>
              <w:jc w:val="right"/>
              <w:rPr>
                <w:sz w:val="10"/>
                <w:szCs w:val="10"/>
                <w:lang w:eastAsia="tr-TR"/>
              </w:rPr>
            </w:pPr>
            <w:r w:rsidRPr="00F25246">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528CEEE2"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03B52F98" w14:textId="77777777" w:rsidR="00F25246" w:rsidRPr="00F25246" w:rsidRDefault="00F25246" w:rsidP="00717AB5">
            <w:pPr>
              <w:jc w:val="right"/>
              <w:rPr>
                <w:sz w:val="10"/>
                <w:szCs w:val="10"/>
                <w:lang w:eastAsia="tr-TR"/>
              </w:rPr>
            </w:pPr>
            <w:r w:rsidRPr="00F25246">
              <w:rPr>
                <w:sz w:val="10"/>
                <w:szCs w:val="16"/>
                <w:lang w:eastAsia="tr-TR"/>
              </w:rPr>
              <w:t>1,036,056</w:t>
            </w:r>
          </w:p>
        </w:tc>
        <w:tc>
          <w:tcPr>
            <w:tcW w:w="873" w:type="dxa"/>
            <w:tcBorders>
              <w:top w:val="nil"/>
              <w:left w:val="single" w:sz="4" w:space="0" w:color="auto"/>
              <w:bottom w:val="nil"/>
              <w:right w:val="single" w:sz="4" w:space="0" w:color="auto"/>
            </w:tcBorders>
            <w:shd w:val="clear" w:color="auto" w:fill="auto"/>
            <w:vAlign w:val="bottom"/>
            <w:hideMark/>
          </w:tcPr>
          <w:p w14:paraId="58EF8560" w14:textId="77777777" w:rsidR="00F25246" w:rsidRPr="00F25246" w:rsidRDefault="00F25246" w:rsidP="00717AB5">
            <w:pPr>
              <w:jc w:val="right"/>
              <w:rPr>
                <w:sz w:val="10"/>
                <w:szCs w:val="10"/>
                <w:lang w:eastAsia="tr-TR"/>
              </w:rPr>
            </w:pPr>
            <w:r w:rsidRPr="00F25246">
              <w:rPr>
                <w:sz w:val="10"/>
                <w:szCs w:val="16"/>
                <w:lang w:eastAsia="tr-TR"/>
              </w:rPr>
              <w:t>719,111</w:t>
            </w:r>
          </w:p>
        </w:tc>
        <w:tc>
          <w:tcPr>
            <w:tcW w:w="726" w:type="dxa"/>
            <w:tcBorders>
              <w:top w:val="nil"/>
              <w:left w:val="single" w:sz="4" w:space="0" w:color="auto"/>
              <w:bottom w:val="nil"/>
              <w:right w:val="single" w:sz="4" w:space="0" w:color="auto"/>
            </w:tcBorders>
            <w:shd w:val="clear" w:color="auto" w:fill="auto"/>
            <w:vAlign w:val="bottom"/>
            <w:hideMark/>
          </w:tcPr>
          <w:p w14:paraId="77DCA5B0" w14:textId="77777777" w:rsidR="00F25246" w:rsidRPr="00F25246" w:rsidRDefault="00F25246" w:rsidP="00717AB5">
            <w:pPr>
              <w:jc w:val="right"/>
              <w:rPr>
                <w:sz w:val="10"/>
                <w:szCs w:val="10"/>
                <w:lang w:eastAsia="tr-TR"/>
              </w:rPr>
            </w:pPr>
            <w:r w:rsidRPr="00F25246">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66CD4DC4" w14:textId="77777777" w:rsidR="00F25246" w:rsidRPr="00F25246" w:rsidRDefault="00F25246" w:rsidP="00717AB5">
            <w:pPr>
              <w:jc w:val="right"/>
              <w:rPr>
                <w:sz w:val="10"/>
                <w:szCs w:val="10"/>
                <w:lang w:eastAsia="tr-TR"/>
              </w:rPr>
            </w:pPr>
            <w:r w:rsidRPr="00F25246">
              <w:rPr>
                <w:sz w:val="10"/>
                <w:szCs w:val="16"/>
                <w:lang w:eastAsia="tr-TR"/>
              </w:rPr>
              <w:t>719,111</w:t>
            </w:r>
          </w:p>
        </w:tc>
      </w:tr>
      <w:tr w:rsidR="00D42791" w:rsidRPr="00F25246" w14:paraId="357ED3F0"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7D71F8CC"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V.</w:t>
            </w:r>
          </w:p>
        </w:tc>
        <w:tc>
          <w:tcPr>
            <w:tcW w:w="2019" w:type="dxa"/>
            <w:tcBorders>
              <w:top w:val="nil"/>
              <w:left w:val="single" w:sz="4" w:space="0" w:color="auto"/>
              <w:bottom w:val="nil"/>
              <w:right w:val="single" w:sz="4" w:space="0" w:color="auto"/>
            </w:tcBorders>
            <w:shd w:val="clear" w:color="auto" w:fill="auto"/>
            <w:noWrap/>
            <w:vAlign w:val="center"/>
            <w:hideMark/>
          </w:tcPr>
          <w:p w14:paraId="1862AC1D"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Nakden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Gerçekleştirilen</w:t>
            </w:r>
            <w:proofErr w:type="spellEnd"/>
            <w:r w:rsidRPr="00F25246">
              <w:rPr>
                <w:color w:val="000000"/>
                <w:sz w:val="10"/>
                <w:szCs w:val="10"/>
                <w:lang w:val="en-US" w:eastAsia="tr-TR"/>
              </w:rPr>
              <w:t xml:space="preserve"> Sermaye </w:t>
            </w:r>
            <w:proofErr w:type="spellStart"/>
            <w:r w:rsidRPr="00F25246">
              <w:rPr>
                <w:color w:val="000000"/>
                <w:sz w:val="10"/>
                <w:szCs w:val="10"/>
                <w:lang w:val="en-US" w:eastAsia="tr-TR"/>
              </w:rPr>
              <w:t>Artırımı</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1C718DB5"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4B5622EF" w14:textId="77777777" w:rsidR="00F25246" w:rsidRPr="00F25246" w:rsidRDefault="00F25246" w:rsidP="00717AB5">
            <w:pPr>
              <w:jc w:val="right"/>
              <w:rPr>
                <w:sz w:val="10"/>
                <w:szCs w:val="10"/>
                <w:lang w:eastAsia="tr-TR"/>
              </w:rPr>
            </w:pPr>
            <w:r w:rsidRPr="00F25246">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4286FDEB"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4FC80B11"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485D7E31"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45BEF0AC"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4923CC47"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7D6098CE"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7DD30EF1"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24F13A59" w14:textId="77777777" w:rsidR="00F25246" w:rsidRPr="00F25246" w:rsidRDefault="00F25246" w:rsidP="00717AB5">
            <w:pPr>
              <w:jc w:val="right"/>
              <w:rPr>
                <w:sz w:val="10"/>
                <w:szCs w:val="10"/>
                <w:lang w:eastAsia="tr-TR"/>
              </w:rPr>
            </w:pPr>
            <w:r w:rsidRPr="00F25246">
              <w:rPr>
                <w:sz w:val="10"/>
                <w:szCs w:val="18"/>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5558397A" w14:textId="77777777" w:rsidR="00F25246" w:rsidRPr="00F25246" w:rsidRDefault="00F25246" w:rsidP="00717AB5">
            <w:pPr>
              <w:jc w:val="right"/>
              <w:rPr>
                <w:sz w:val="10"/>
                <w:szCs w:val="10"/>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34A1F2A9" w14:textId="77777777" w:rsidR="00F25246" w:rsidRPr="00F25246" w:rsidRDefault="00F25246" w:rsidP="00717AB5">
            <w:pPr>
              <w:jc w:val="right"/>
              <w:rPr>
                <w:sz w:val="10"/>
                <w:szCs w:val="10"/>
                <w:lang w:eastAsia="tr-TR"/>
              </w:rPr>
            </w:pPr>
            <w:r w:rsidRPr="00F25246">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43E7021B"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10488EF1" w14:textId="77777777" w:rsidR="00F25246" w:rsidRPr="00F25246" w:rsidRDefault="00F25246" w:rsidP="00717AB5">
            <w:pPr>
              <w:jc w:val="right"/>
              <w:rPr>
                <w:sz w:val="10"/>
                <w:szCs w:val="10"/>
                <w:lang w:eastAsia="tr-TR"/>
              </w:rPr>
            </w:pPr>
            <w:r w:rsidRPr="00F25246">
              <w:rPr>
                <w:sz w:val="10"/>
                <w:szCs w:val="16"/>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4AA071D1" w14:textId="77777777" w:rsidR="00F25246" w:rsidRPr="00F25246" w:rsidRDefault="00F25246" w:rsidP="00717AB5">
            <w:pPr>
              <w:jc w:val="right"/>
              <w:rPr>
                <w:sz w:val="10"/>
                <w:szCs w:val="10"/>
                <w:lang w:eastAsia="tr-TR"/>
              </w:rPr>
            </w:pPr>
            <w:r w:rsidRPr="00F25246">
              <w:rPr>
                <w:sz w:val="10"/>
                <w:szCs w:val="16"/>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083B3698" w14:textId="77777777" w:rsidR="00F25246" w:rsidRPr="00F25246" w:rsidRDefault="00F25246" w:rsidP="00717AB5">
            <w:pPr>
              <w:jc w:val="right"/>
              <w:rPr>
                <w:sz w:val="10"/>
                <w:szCs w:val="10"/>
                <w:lang w:eastAsia="tr-TR"/>
              </w:rPr>
            </w:pPr>
            <w:r w:rsidRPr="00F25246">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62AA2CA0" w14:textId="77777777" w:rsidR="00F25246" w:rsidRPr="00F25246" w:rsidRDefault="00F25246" w:rsidP="00717AB5">
            <w:pPr>
              <w:jc w:val="right"/>
              <w:rPr>
                <w:sz w:val="10"/>
                <w:szCs w:val="10"/>
                <w:lang w:eastAsia="tr-TR"/>
              </w:rPr>
            </w:pPr>
            <w:r w:rsidRPr="00F25246">
              <w:rPr>
                <w:sz w:val="10"/>
                <w:szCs w:val="16"/>
                <w:lang w:eastAsia="tr-TR"/>
              </w:rPr>
              <w:t>-</w:t>
            </w:r>
          </w:p>
        </w:tc>
      </w:tr>
      <w:tr w:rsidR="00D42791" w:rsidRPr="00F25246" w14:paraId="4DB4849F"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5D95618C"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VI.</w:t>
            </w:r>
          </w:p>
        </w:tc>
        <w:tc>
          <w:tcPr>
            <w:tcW w:w="2019" w:type="dxa"/>
            <w:tcBorders>
              <w:top w:val="nil"/>
              <w:left w:val="single" w:sz="4" w:space="0" w:color="auto"/>
              <w:bottom w:val="nil"/>
              <w:right w:val="single" w:sz="4" w:space="0" w:color="auto"/>
            </w:tcBorders>
            <w:shd w:val="clear" w:color="auto" w:fill="auto"/>
            <w:noWrap/>
            <w:vAlign w:val="center"/>
            <w:hideMark/>
          </w:tcPr>
          <w:p w14:paraId="46CC1D03" w14:textId="77777777" w:rsidR="00F25246" w:rsidRPr="00F25246" w:rsidRDefault="00F25246" w:rsidP="00F25246">
            <w:pPr>
              <w:rPr>
                <w:color w:val="000000"/>
                <w:sz w:val="10"/>
                <w:szCs w:val="10"/>
                <w:lang w:eastAsia="tr-TR"/>
              </w:rPr>
            </w:pPr>
            <w:r w:rsidRPr="00F25246">
              <w:rPr>
                <w:color w:val="000000"/>
                <w:sz w:val="10"/>
                <w:szCs w:val="10"/>
                <w:lang w:val="en-US" w:eastAsia="tr-TR"/>
              </w:rPr>
              <w:t xml:space="preserve">İç </w:t>
            </w:r>
            <w:proofErr w:type="spellStart"/>
            <w:r w:rsidRPr="00F25246">
              <w:rPr>
                <w:color w:val="000000"/>
                <w:sz w:val="10"/>
                <w:szCs w:val="10"/>
                <w:lang w:val="en-US" w:eastAsia="tr-TR"/>
              </w:rPr>
              <w:t>Kaynaklardan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Gerçekleştirilen</w:t>
            </w:r>
            <w:proofErr w:type="spellEnd"/>
            <w:r w:rsidRPr="00F25246">
              <w:rPr>
                <w:color w:val="000000"/>
                <w:sz w:val="10"/>
                <w:szCs w:val="10"/>
                <w:lang w:val="en-US" w:eastAsia="tr-TR"/>
              </w:rPr>
              <w:t xml:space="preserve"> Sermaye </w:t>
            </w:r>
            <w:proofErr w:type="spellStart"/>
            <w:r w:rsidRPr="00F25246">
              <w:rPr>
                <w:color w:val="000000"/>
                <w:sz w:val="10"/>
                <w:szCs w:val="10"/>
                <w:lang w:val="en-US" w:eastAsia="tr-TR"/>
              </w:rPr>
              <w:t>Artırımı</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1F81DE2C"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54350EE8" w14:textId="77777777" w:rsidR="00F25246" w:rsidRPr="00F25246" w:rsidRDefault="00F25246" w:rsidP="00717AB5">
            <w:pPr>
              <w:jc w:val="right"/>
              <w:rPr>
                <w:sz w:val="10"/>
                <w:szCs w:val="10"/>
                <w:lang w:eastAsia="tr-TR"/>
              </w:rPr>
            </w:pPr>
            <w:r w:rsidRPr="00F25246">
              <w:rPr>
                <w:sz w:val="10"/>
                <w:szCs w:val="18"/>
                <w:lang w:eastAsia="tr-TR"/>
              </w:rPr>
              <w:t>600,000</w:t>
            </w:r>
          </w:p>
        </w:tc>
        <w:tc>
          <w:tcPr>
            <w:tcW w:w="872" w:type="dxa"/>
            <w:tcBorders>
              <w:top w:val="nil"/>
              <w:left w:val="single" w:sz="4" w:space="0" w:color="auto"/>
              <w:bottom w:val="nil"/>
              <w:right w:val="single" w:sz="4" w:space="0" w:color="auto"/>
            </w:tcBorders>
            <w:shd w:val="clear" w:color="auto" w:fill="auto"/>
            <w:vAlign w:val="bottom"/>
            <w:hideMark/>
          </w:tcPr>
          <w:p w14:paraId="1289BAB8"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48CCCF8D"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74434297"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535E8A0C"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6CE2DD7A"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56577978"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74DBDD03"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1BAB5ED" w14:textId="77777777" w:rsidR="00F25246" w:rsidRPr="00F25246" w:rsidRDefault="00F25246" w:rsidP="00717AB5">
            <w:pPr>
              <w:jc w:val="right"/>
              <w:rPr>
                <w:sz w:val="10"/>
                <w:szCs w:val="10"/>
                <w:lang w:eastAsia="tr-TR"/>
              </w:rPr>
            </w:pPr>
            <w:r w:rsidRPr="00F25246">
              <w:rPr>
                <w:sz w:val="10"/>
                <w:szCs w:val="18"/>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62E2060F" w14:textId="77777777" w:rsidR="00F25246" w:rsidRPr="00F25246" w:rsidRDefault="00F25246" w:rsidP="00717AB5">
            <w:pPr>
              <w:jc w:val="right"/>
              <w:rPr>
                <w:sz w:val="10"/>
                <w:szCs w:val="10"/>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140F59CC" w14:textId="77777777" w:rsidR="00F25246" w:rsidRPr="00F25246" w:rsidRDefault="00F25246" w:rsidP="00717AB5">
            <w:pPr>
              <w:jc w:val="right"/>
              <w:rPr>
                <w:sz w:val="10"/>
                <w:szCs w:val="10"/>
                <w:lang w:eastAsia="tr-TR"/>
              </w:rPr>
            </w:pPr>
            <w:r w:rsidRPr="00F25246">
              <w:rPr>
                <w:sz w:val="10"/>
                <w:szCs w:val="18"/>
                <w:lang w:eastAsia="tr-TR"/>
              </w:rPr>
              <w:t>(600,000)</w:t>
            </w:r>
          </w:p>
        </w:tc>
        <w:tc>
          <w:tcPr>
            <w:tcW w:w="788" w:type="dxa"/>
            <w:tcBorders>
              <w:top w:val="nil"/>
              <w:left w:val="single" w:sz="4" w:space="0" w:color="auto"/>
              <w:bottom w:val="nil"/>
              <w:right w:val="single" w:sz="4" w:space="0" w:color="auto"/>
            </w:tcBorders>
            <w:shd w:val="clear" w:color="auto" w:fill="auto"/>
            <w:vAlign w:val="bottom"/>
            <w:hideMark/>
          </w:tcPr>
          <w:p w14:paraId="2BF4B39D"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59B52F8"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12CAD222" w14:textId="77777777" w:rsidR="00F25246" w:rsidRPr="00F25246" w:rsidRDefault="00F25246" w:rsidP="00717AB5">
            <w:pPr>
              <w:jc w:val="right"/>
              <w:rPr>
                <w:sz w:val="10"/>
                <w:szCs w:val="10"/>
                <w:lang w:eastAsia="tr-TR"/>
              </w:rPr>
            </w:pPr>
            <w:r w:rsidRPr="00F25246">
              <w:rPr>
                <w:sz w:val="10"/>
                <w:szCs w:val="18"/>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09EC1442" w14:textId="77777777" w:rsidR="00F25246" w:rsidRPr="00F25246" w:rsidRDefault="00F25246" w:rsidP="00717AB5">
            <w:pPr>
              <w:jc w:val="right"/>
              <w:rPr>
                <w:sz w:val="10"/>
                <w:szCs w:val="10"/>
                <w:lang w:eastAsia="tr-TR"/>
              </w:rPr>
            </w:pPr>
            <w:r w:rsidRPr="00F25246">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40D1DA67" w14:textId="77777777" w:rsidR="00F25246" w:rsidRPr="00F25246" w:rsidRDefault="00F25246" w:rsidP="00717AB5">
            <w:pPr>
              <w:jc w:val="right"/>
              <w:rPr>
                <w:sz w:val="10"/>
                <w:szCs w:val="10"/>
                <w:lang w:eastAsia="tr-TR"/>
              </w:rPr>
            </w:pPr>
            <w:r w:rsidRPr="00F25246">
              <w:rPr>
                <w:sz w:val="10"/>
                <w:szCs w:val="18"/>
                <w:lang w:eastAsia="tr-TR"/>
              </w:rPr>
              <w:t>-</w:t>
            </w:r>
          </w:p>
        </w:tc>
      </w:tr>
      <w:tr w:rsidR="00D42791" w:rsidRPr="00F25246" w14:paraId="10E1879A"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2150B47C"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VII.</w:t>
            </w:r>
          </w:p>
        </w:tc>
        <w:tc>
          <w:tcPr>
            <w:tcW w:w="2019" w:type="dxa"/>
            <w:tcBorders>
              <w:top w:val="nil"/>
              <w:left w:val="single" w:sz="4" w:space="0" w:color="auto"/>
              <w:bottom w:val="nil"/>
              <w:right w:val="single" w:sz="4" w:space="0" w:color="auto"/>
            </w:tcBorders>
            <w:shd w:val="clear" w:color="auto" w:fill="auto"/>
            <w:vAlign w:val="center"/>
            <w:hideMark/>
          </w:tcPr>
          <w:p w14:paraId="3028C207"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Ödenmiş</w:t>
            </w:r>
            <w:proofErr w:type="spellEnd"/>
            <w:r w:rsidRPr="00F25246">
              <w:rPr>
                <w:color w:val="000000"/>
                <w:sz w:val="10"/>
                <w:szCs w:val="10"/>
                <w:lang w:val="en-US" w:eastAsia="tr-TR"/>
              </w:rPr>
              <w:t xml:space="preserve"> Sermaye </w:t>
            </w:r>
            <w:proofErr w:type="spellStart"/>
            <w:r w:rsidRPr="00F25246">
              <w:rPr>
                <w:color w:val="000000"/>
                <w:sz w:val="10"/>
                <w:szCs w:val="10"/>
                <w:lang w:val="en-US" w:eastAsia="tr-TR"/>
              </w:rPr>
              <w:t>Enflasyon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Düzeltme</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Farkı</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26A85D3D"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240DA6B5" w14:textId="77777777" w:rsidR="00F25246" w:rsidRPr="00F25246" w:rsidRDefault="00F25246" w:rsidP="00717AB5">
            <w:pPr>
              <w:jc w:val="right"/>
              <w:rPr>
                <w:sz w:val="10"/>
                <w:szCs w:val="10"/>
                <w:lang w:eastAsia="tr-TR"/>
              </w:rPr>
            </w:pPr>
            <w:r w:rsidRPr="00F25246">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3AC13469"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21048500"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456F1735"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51DA2DA9"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3A168B54"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0DEBF4AE"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30165E8D"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536088F" w14:textId="77777777" w:rsidR="00F25246" w:rsidRPr="00F25246" w:rsidRDefault="00F25246" w:rsidP="00717AB5">
            <w:pPr>
              <w:jc w:val="right"/>
              <w:rPr>
                <w:sz w:val="10"/>
                <w:szCs w:val="10"/>
                <w:lang w:eastAsia="tr-TR"/>
              </w:rPr>
            </w:pPr>
            <w:r w:rsidRPr="00F25246">
              <w:rPr>
                <w:sz w:val="10"/>
                <w:szCs w:val="18"/>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64F33EC6" w14:textId="77777777" w:rsidR="00F25246" w:rsidRPr="00F25246" w:rsidRDefault="00F25246" w:rsidP="00717AB5">
            <w:pPr>
              <w:jc w:val="right"/>
              <w:rPr>
                <w:sz w:val="10"/>
                <w:szCs w:val="10"/>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62BC1030" w14:textId="77777777" w:rsidR="00F25246" w:rsidRPr="00F25246" w:rsidRDefault="00F25246" w:rsidP="00717AB5">
            <w:pPr>
              <w:jc w:val="right"/>
              <w:rPr>
                <w:sz w:val="10"/>
                <w:szCs w:val="10"/>
                <w:lang w:eastAsia="tr-TR"/>
              </w:rPr>
            </w:pPr>
            <w:r w:rsidRPr="00F25246">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63C5EE9B"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B5FA319"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5F00DA69" w14:textId="77777777" w:rsidR="00F25246" w:rsidRPr="00F25246" w:rsidRDefault="00F25246" w:rsidP="00717AB5">
            <w:pPr>
              <w:jc w:val="right"/>
              <w:rPr>
                <w:sz w:val="10"/>
                <w:szCs w:val="10"/>
                <w:lang w:eastAsia="tr-TR"/>
              </w:rPr>
            </w:pPr>
            <w:r w:rsidRPr="00F25246">
              <w:rPr>
                <w:sz w:val="10"/>
                <w:szCs w:val="18"/>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3EC7D04D" w14:textId="77777777" w:rsidR="00F25246" w:rsidRPr="00F25246" w:rsidRDefault="00F25246" w:rsidP="00717AB5">
            <w:pPr>
              <w:jc w:val="right"/>
              <w:rPr>
                <w:sz w:val="10"/>
                <w:szCs w:val="10"/>
                <w:lang w:eastAsia="tr-TR"/>
              </w:rPr>
            </w:pPr>
            <w:r w:rsidRPr="00F25246">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128EF1DE" w14:textId="77777777" w:rsidR="00F25246" w:rsidRPr="00F25246" w:rsidRDefault="00F25246" w:rsidP="00717AB5">
            <w:pPr>
              <w:jc w:val="right"/>
              <w:rPr>
                <w:sz w:val="10"/>
                <w:szCs w:val="10"/>
                <w:lang w:eastAsia="tr-TR"/>
              </w:rPr>
            </w:pPr>
            <w:r w:rsidRPr="00F25246">
              <w:rPr>
                <w:sz w:val="10"/>
                <w:szCs w:val="18"/>
                <w:lang w:eastAsia="tr-TR"/>
              </w:rPr>
              <w:t>-</w:t>
            </w:r>
          </w:p>
        </w:tc>
      </w:tr>
      <w:tr w:rsidR="00D42791" w:rsidRPr="00F25246" w14:paraId="5D2CF230"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371BCA08"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VIII.</w:t>
            </w:r>
          </w:p>
        </w:tc>
        <w:tc>
          <w:tcPr>
            <w:tcW w:w="2019" w:type="dxa"/>
            <w:tcBorders>
              <w:top w:val="nil"/>
              <w:left w:val="single" w:sz="4" w:space="0" w:color="auto"/>
              <w:bottom w:val="nil"/>
              <w:right w:val="single" w:sz="4" w:space="0" w:color="auto"/>
            </w:tcBorders>
            <w:shd w:val="clear" w:color="auto" w:fill="auto"/>
            <w:noWrap/>
            <w:vAlign w:val="center"/>
            <w:hideMark/>
          </w:tcPr>
          <w:p w14:paraId="40225964"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Hisse</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Senedine</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Dönüştürülebilir</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Tahviller</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00CC2BEC"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33BDA100" w14:textId="77777777" w:rsidR="00F25246" w:rsidRPr="00F25246" w:rsidRDefault="00F25246" w:rsidP="00717AB5">
            <w:pPr>
              <w:jc w:val="right"/>
              <w:rPr>
                <w:sz w:val="10"/>
                <w:szCs w:val="10"/>
                <w:lang w:eastAsia="tr-TR"/>
              </w:rPr>
            </w:pPr>
            <w:r w:rsidRPr="00F25246">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0CD6538C"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154FD8F9"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33437FA5"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3F849B18"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5D3EC81D"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4C8FE158"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46C4BA85"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04345A16" w14:textId="77777777" w:rsidR="00F25246" w:rsidRPr="00F25246" w:rsidRDefault="00F25246" w:rsidP="00717AB5">
            <w:pPr>
              <w:jc w:val="right"/>
              <w:rPr>
                <w:sz w:val="10"/>
                <w:szCs w:val="10"/>
                <w:lang w:eastAsia="tr-TR"/>
              </w:rPr>
            </w:pPr>
            <w:r w:rsidRPr="00F25246">
              <w:rPr>
                <w:sz w:val="10"/>
                <w:szCs w:val="18"/>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6770A255" w14:textId="77777777" w:rsidR="00F25246" w:rsidRPr="00F25246" w:rsidRDefault="00F25246" w:rsidP="00717AB5">
            <w:pPr>
              <w:jc w:val="right"/>
              <w:rPr>
                <w:sz w:val="10"/>
                <w:szCs w:val="10"/>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67107463" w14:textId="77777777" w:rsidR="00F25246" w:rsidRPr="00F25246" w:rsidRDefault="00F25246" w:rsidP="00717AB5">
            <w:pPr>
              <w:jc w:val="right"/>
              <w:rPr>
                <w:sz w:val="10"/>
                <w:szCs w:val="10"/>
                <w:lang w:eastAsia="tr-TR"/>
              </w:rPr>
            </w:pPr>
            <w:r w:rsidRPr="00F25246">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7D4DEE2D"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1B729FC"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5AD28947" w14:textId="77777777" w:rsidR="00F25246" w:rsidRPr="00F25246" w:rsidRDefault="00F25246" w:rsidP="00717AB5">
            <w:pPr>
              <w:jc w:val="right"/>
              <w:rPr>
                <w:sz w:val="10"/>
                <w:szCs w:val="10"/>
                <w:lang w:eastAsia="tr-TR"/>
              </w:rPr>
            </w:pPr>
            <w:r w:rsidRPr="00F25246">
              <w:rPr>
                <w:sz w:val="10"/>
                <w:szCs w:val="18"/>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59E955BD" w14:textId="77777777" w:rsidR="00F25246" w:rsidRPr="00F25246" w:rsidRDefault="00F25246" w:rsidP="00717AB5">
            <w:pPr>
              <w:jc w:val="right"/>
              <w:rPr>
                <w:sz w:val="10"/>
                <w:szCs w:val="10"/>
                <w:lang w:eastAsia="tr-TR"/>
              </w:rPr>
            </w:pPr>
            <w:r w:rsidRPr="00F25246">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678B118B" w14:textId="77777777" w:rsidR="00F25246" w:rsidRPr="00F25246" w:rsidRDefault="00F25246" w:rsidP="00717AB5">
            <w:pPr>
              <w:jc w:val="right"/>
              <w:rPr>
                <w:sz w:val="10"/>
                <w:szCs w:val="10"/>
                <w:lang w:eastAsia="tr-TR"/>
              </w:rPr>
            </w:pPr>
            <w:r w:rsidRPr="00F25246">
              <w:rPr>
                <w:sz w:val="10"/>
                <w:szCs w:val="18"/>
                <w:lang w:eastAsia="tr-TR"/>
              </w:rPr>
              <w:t>-</w:t>
            </w:r>
          </w:p>
        </w:tc>
      </w:tr>
      <w:tr w:rsidR="00D42791" w:rsidRPr="00F25246" w14:paraId="58933E2E"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2053FC79"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IX.</w:t>
            </w:r>
          </w:p>
        </w:tc>
        <w:tc>
          <w:tcPr>
            <w:tcW w:w="2019" w:type="dxa"/>
            <w:tcBorders>
              <w:top w:val="nil"/>
              <w:left w:val="single" w:sz="4" w:space="0" w:color="auto"/>
              <w:bottom w:val="nil"/>
              <w:right w:val="single" w:sz="4" w:space="0" w:color="auto"/>
            </w:tcBorders>
            <w:shd w:val="clear" w:color="auto" w:fill="auto"/>
            <w:noWrap/>
            <w:vAlign w:val="center"/>
            <w:hideMark/>
          </w:tcPr>
          <w:p w14:paraId="51096A0C" w14:textId="77777777" w:rsidR="00F25246" w:rsidRPr="00F25246" w:rsidRDefault="00F25246" w:rsidP="00F25246">
            <w:pPr>
              <w:rPr>
                <w:color w:val="000000"/>
                <w:sz w:val="10"/>
                <w:szCs w:val="10"/>
                <w:lang w:eastAsia="tr-TR"/>
              </w:rPr>
            </w:pPr>
            <w:r w:rsidRPr="00F25246">
              <w:rPr>
                <w:color w:val="000000"/>
                <w:sz w:val="10"/>
                <w:szCs w:val="10"/>
                <w:lang w:val="en-US" w:eastAsia="tr-TR"/>
              </w:rPr>
              <w:t xml:space="preserve">Sermaye </w:t>
            </w:r>
            <w:proofErr w:type="spellStart"/>
            <w:r w:rsidRPr="00F25246">
              <w:rPr>
                <w:color w:val="000000"/>
                <w:sz w:val="10"/>
                <w:szCs w:val="10"/>
                <w:lang w:val="en-US" w:eastAsia="tr-TR"/>
              </w:rPr>
              <w:t>Benzeri</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Borçlanma</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Araçları</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7136421F"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49939174" w14:textId="77777777" w:rsidR="00F25246" w:rsidRPr="00F25246" w:rsidRDefault="00F25246" w:rsidP="00717AB5">
            <w:pPr>
              <w:jc w:val="right"/>
              <w:rPr>
                <w:sz w:val="10"/>
                <w:szCs w:val="10"/>
                <w:lang w:eastAsia="tr-TR"/>
              </w:rPr>
            </w:pPr>
            <w:r w:rsidRPr="00F25246">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3D3FE216"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56D142C1"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34FABB02"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11E50DDA"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1B511AAC"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1178EDFD"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674EAA8C"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4FF19A12" w14:textId="77777777" w:rsidR="00F25246" w:rsidRPr="00F25246" w:rsidRDefault="00F25246" w:rsidP="00717AB5">
            <w:pPr>
              <w:jc w:val="right"/>
              <w:rPr>
                <w:sz w:val="10"/>
                <w:szCs w:val="10"/>
                <w:lang w:eastAsia="tr-TR"/>
              </w:rPr>
            </w:pPr>
            <w:r w:rsidRPr="00F25246">
              <w:rPr>
                <w:sz w:val="10"/>
                <w:szCs w:val="18"/>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02B07CE2" w14:textId="77777777" w:rsidR="00F25246" w:rsidRPr="00F25246" w:rsidRDefault="00F25246" w:rsidP="00717AB5">
            <w:pPr>
              <w:jc w:val="right"/>
              <w:rPr>
                <w:sz w:val="10"/>
                <w:szCs w:val="10"/>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47B3A37F" w14:textId="77777777" w:rsidR="00F25246" w:rsidRPr="00F25246" w:rsidRDefault="00F25246" w:rsidP="00717AB5">
            <w:pPr>
              <w:jc w:val="right"/>
              <w:rPr>
                <w:sz w:val="10"/>
                <w:szCs w:val="10"/>
                <w:lang w:eastAsia="tr-TR"/>
              </w:rPr>
            </w:pPr>
            <w:r w:rsidRPr="00F25246">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51941E39"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A584E71"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68C627CE" w14:textId="77777777" w:rsidR="00F25246" w:rsidRPr="00F25246" w:rsidRDefault="00F25246" w:rsidP="00717AB5">
            <w:pPr>
              <w:jc w:val="right"/>
              <w:rPr>
                <w:sz w:val="10"/>
                <w:szCs w:val="10"/>
                <w:lang w:eastAsia="tr-TR"/>
              </w:rPr>
            </w:pPr>
            <w:r w:rsidRPr="00F25246">
              <w:rPr>
                <w:sz w:val="10"/>
                <w:szCs w:val="18"/>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14F1F31D" w14:textId="77777777" w:rsidR="00F25246" w:rsidRPr="00F25246" w:rsidRDefault="00F25246" w:rsidP="00717AB5">
            <w:pPr>
              <w:jc w:val="right"/>
              <w:rPr>
                <w:sz w:val="10"/>
                <w:szCs w:val="10"/>
                <w:lang w:eastAsia="tr-TR"/>
              </w:rPr>
            </w:pPr>
            <w:r w:rsidRPr="00F25246">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21085AE1" w14:textId="77777777" w:rsidR="00F25246" w:rsidRPr="00F25246" w:rsidRDefault="00F25246" w:rsidP="00717AB5">
            <w:pPr>
              <w:jc w:val="right"/>
              <w:rPr>
                <w:sz w:val="10"/>
                <w:szCs w:val="10"/>
                <w:lang w:eastAsia="tr-TR"/>
              </w:rPr>
            </w:pPr>
            <w:r w:rsidRPr="00F25246">
              <w:rPr>
                <w:sz w:val="10"/>
                <w:szCs w:val="18"/>
                <w:lang w:eastAsia="tr-TR"/>
              </w:rPr>
              <w:t>-</w:t>
            </w:r>
          </w:p>
        </w:tc>
      </w:tr>
      <w:tr w:rsidR="00D42791" w:rsidRPr="00F25246" w14:paraId="7E2AE7DB"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23C55FC0"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X.</w:t>
            </w:r>
          </w:p>
        </w:tc>
        <w:tc>
          <w:tcPr>
            <w:tcW w:w="2019" w:type="dxa"/>
            <w:tcBorders>
              <w:top w:val="nil"/>
              <w:left w:val="single" w:sz="4" w:space="0" w:color="auto"/>
              <w:bottom w:val="nil"/>
              <w:right w:val="single" w:sz="4" w:space="0" w:color="auto"/>
            </w:tcBorders>
            <w:shd w:val="clear" w:color="auto" w:fill="auto"/>
            <w:noWrap/>
            <w:vAlign w:val="center"/>
            <w:hideMark/>
          </w:tcPr>
          <w:p w14:paraId="65F717F2"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Diğer</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Değişiklikler</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Nedemiyle</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Artış</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Azalış</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535E9EE4"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700273F5" w14:textId="77777777" w:rsidR="00F25246" w:rsidRPr="00F25246" w:rsidRDefault="00F25246" w:rsidP="00717AB5">
            <w:pPr>
              <w:jc w:val="right"/>
              <w:rPr>
                <w:sz w:val="10"/>
                <w:szCs w:val="10"/>
                <w:lang w:eastAsia="tr-TR"/>
              </w:rPr>
            </w:pPr>
            <w:r w:rsidRPr="00F25246">
              <w:rPr>
                <w:sz w:val="10"/>
                <w:szCs w:val="18"/>
                <w:lang w:eastAsia="tr-TR"/>
              </w:rPr>
              <w:t>(635)</w:t>
            </w:r>
          </w:p>
        </w:tc>
        <w:tc>
          <w:tcPr>
            <w:tcW w:w="872" w:type="dxa"/>
            <w:tcBorders>
              <w:top w:val="nil"/>
              <w:left w:val="single" w:sz="4" w:space="0" w:color="auto"/>
              <w:bottom w:val="nil"/>
              <w:right w:val="single" w:sz="4" w:space="0" w:color="auto"/>
            </w:tcBorders>
            <w:shd w:val="clear" w:color="auto" w:fill="auto"/>
            <w:vAlign w:val="bottom"/>
            <w:hideMark/>
          </w:tcPr>
          <w:p w14:paraId="292763C2"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72AD6BA" w14:textId="77777777" w:rsidR="00F25246" w:rsidRPr="00F25246" w:rsidRDefault="00F25246" w:rsidP="00717AB5">
            <w:pPr>
              <w:jc w:val="right"/>
              <w:rPr>
                <w:sz w:val="10"/>
                <w:szCs w:val="10"/>
                <w:lang w:eastAsia="tr-TR"/>
              </w:rPr>
            </w:pPr>
            <w:r w:rsidRPr="00F25246">
              <w:rPr>
                <w:sz w:val="10"/>
                <w:szCs w:val="18"/>
                <w:lang w:eastAsia="tr-TR"/>
              </w:rPr>
              <w:t>635</w:t>
            </w:r>
          </w:p>
        </w:tc>
        <w:tc>
          <w:tcPr>
            <w:tcW w:w="873" w:type="dxa"/>
            <w:tcBorders>
              <w:top w:val="nil"/>
              <w:left w:val="single" w:sz="4" w:space="0" w:color="auto"/>
              <w:bottom w:val="nil"/>
              <w:right w:val="single" w:sz="4" w:space="0" w:color="auto"/>
            </w:tcBorders>
            <w:shd w:val="clear" w:color="auto" w:fill="auto"/>
            <w:vAlign w:val="bottom"/>
            <w:hideMark/>
          </w:tcPr>
          <w:p w14:paraId="717C81D2"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508D56D7"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59495231"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CE304B4"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5C38649A"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7A78417B" w14:textId="77777777" w:rsidR="00F25246" w:rsidRPr="00F25246" w:rsidRDefault="00F25246" w:rsidP="00717AB5">
            <w:pPr>
              <w:jc w:val="right"/>
              <w:rPr>
                <w:sz w:val="10"/>
                <w:szCs w:val="10"/>
                <w:lang w:eastAsia="tr-TR"/>
              </w:rPr>
            </w:pPr>
            <w:r w:rsidRPr="00F25246">
              <w:rPr>
                <w:sz w:val="10"/>
                <w:szCs w:val="18"/>
                <w:lang w:eastAsia="tr-TR"/>
              </w:rPr>
              <w:t>(</w:t>
            </w:r>
            <w:r w:rsidRPr="00F25246">
              <w:rPr>
                <w:sz w:val="10"/>
                <w:szCs w:val="10"/>
                <w:lang w:eastAsia="tr-TR"/>
              </w:rPr>
              <w:t>6,566)</w:t>
            </w:r>
          </w:p>
        </w:tc>
        <w:tc>
          <w:tcPr>
            <w:tcW w:w="549" w:type="dxa"/>
            <w:tcBorders>
              <w:top w:val="nil"/>
              <w:left w:val="single" w:sz="4" w:space="0" w:color="auto"/>
              <w:bottom w:val="nil"/>
              <w:right w:val="single" w:sz="4" w:space="0" w:color="auto"/>
            </w:tcBorders>
            <w:shd w:val="clear" w:color="auto" w:fill="auto"/>
            <w:vAlign w:val="bottom"/>
            <w:hideMark/>
          </w:tcPr>
          <w:p w14:paraId="72750E35" w14:textId="77777777" w:rsidR="00F25246" w:rsidRPr="00F25246" w:rsidRDefault="00F25246" w:rsidP="00717AB5">
            <w:pPr>
              <w:jc w:val="right"/>
              <w:rPr>
                <w:sz w:val="10"/>
                <w:szCs w:val="10"/>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0FAEF148" w14:textId="77777777" w:rsidR="00F25246" w:rsidRPr="00F25246" w:rsidRDefault="00F25246" w:rsidP="00717AB5">
            <w:pPr>
              <w:jc w:val="right"/>
              <w:rPr>
                <w:sz w:val="10"/>
                <w:szCs w:val="10"/>
                <w:lang w:eastAsia="tr-TR"/>
              </w:rPr>
            </w:pPr>
            <w:r w:rsidRPr="00F25246">
              <w:rPr>
                <w:sz w:val="10"/>
                <w:szCs w:val="18"/>
                <w:lang w:eastAsia="tr-TR"/>
              </w:rPr>
              <w:t>(1,078)</w:t>
            </w:r>
          </w:p>
        </w:tc>
        <w:tc>
          <w:tcPr>
            <w:tcW w:w="788" w:type="dxa"/>
            <w:tcBorders>
              <w:top w:val="nil"/>
              <w:left w:val="single" w:sz="4" w:space="0" w:color="auto"/>
              <w:bottom w:val="nil"/>
              <w:right w:val="single" w:sz="4" w:space="0" w:color="auto"/>
            </w:tcBorders>
            <w:shd w:val="clear" w:color="auto" w:fill="auto"/>
            <w:vAlign w:val="bottom"/>
            <w:hideMark/>
          </w:tcPr>
          <w:p w14:paraId="456B0B88" w14:textId="77777777" w:rsidR="00F25246" w:rsidRPr="00F25246" w:rsidRDefault="00F25246" w:rsidP="00717AB5">
            <w:pPr>
              <w:jc w:val="right"/>
              <w:rPr>
                <w:sz w:val="10"/>
                <w:szCs w:val="10"/>
                <w:lang w:eastAsia="tr-TR"/>
              </w:rPr>
            </w:pPr>
            <w:r w:rsidRPr="00F25246">
              <w:rPr>
                <w:sz w:val="10"/>
                <w:szCs w:val="18"/>
                <w:lang w:eastAsia="tr-TR"/>
              </w:rPr>
              <w:t>6,566</w:t>
            </w:r>
          </w:p>
        </w:tc>
        <w:tc>
          <w:tcPr>
            <w:tcW w:w="727" w:type="dxa"/>
            <w:tcBorders>
              <w:top w:val="nil"/>
              <w:left w:val="single" w:sz="4" w:space="0" w:color="auto"/>
              <w:bottom w:val="nil"/>
              <w:right w:val="single" w:sz="4" w:space="0" w:color="auto"/>
            </w:tcBorders>
            <w:shd w:val="clear" w:color="auto" w:fill="auto"/>
            <w:vAlign w:val="bottom"/>
            <w:hideMark/>
          </w:tcPr>
          <w:p w14:paraId="36A638F9"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21E476C2" w14:textId="77777777" w:rsidR="00F25246" w:rsidRPr="00F25246" w:rsidRDefault="00F25246" w:rsidP="00717AB5">
            <w:pPr>
              <w:jc w:val="right"/>
              <w:rPr>
                <w:sz w:val="10"/>
                <w:szCs w:val="10"/>
                <w:lang w:eastAsia="tr-TR"/>
              </w:rPr>
            </w:pPr>
            <w:r w:rsidRPr="00F25246">
              <w:rPr>
                <w:sz w:val="10"/>
                <w:szCs w:val="18"/>
                <w:lang w:eastAsia="tr-TR"/>
              </w:rPr>
              <w:t>(1,078)</w:t>
            </w:r>
          </w:p>
        </w:tc>
        <w:tc>
          <w:tcPr>
            <w:tcW w:w="726" w:type="dxa"/>
            <w:tcBorders>
              <w:top w:val="nil"/>
              <w:left w:val="single" w:sz="4" w:space="0" w:color="auto"/>
              <w:bottom w:val="nil"/>
              <w:right w:val="single" w:sz="4" w:space="0" w:color="auto"/>
            </w:tcBorders>
            <w:shd w:val="clear" w:color="auto" w:fill="auto"/>
            <w:vAlign w:val="bottom"/>
            <w:hideMark/>
          </w:tcPr>
          <w:p w14:paraId="54ACC332" w14:textId="77777777" w:rsidR="00F25246" w:rsidRPr="00F25246" w:rsidRDefault="00F25246" w:rsidP="00717AB5">
            <w:pPr>
              <w:jc w:val="right"/>
              <w:rPr>
                <w:sz w:val="10"/>
                <w:szCs w:val="10"/>
                <w:lang w:eastAsia="tr-TR"/>
              </w:rPr>
            </w:pPr>
            <w:r w:rsidRPr="00F25246">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02C94363" w14:textId="77777777" w:rsidR="00F25246" w:rsidRPr="00F25246" w:rsidRDefault="00F25246" w:rsidP="00717AB5">
            <w:pPr>
              <w:jc w:val="right"/>
              <w:rPr>
                <w:sz w:val="10"/>
                <w:szCs w:val="10"/>
                <w:lang w:eastAsia="tr-TR"/>
              </w:rPr>
            </w:pPr>
            <w:r w:rsidRPr="00F25246">
              <w:rPr>
                <w:sz w:val="10"/>
                <w:szCs w:val="18"/>
                <w:lang w:eastAsia="tr-TR"/>
              </w:rPr>
              <w:t>(1,078)</w:t>
            </w:r>
          </w:p>
        </w:tc>
      </w:tr>
      <w:tr w:rsidR="00D42791" w:rsidRPr="00F25246" w14:paraId="3BE09F42"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4F0DB3EC" w14:textId="77777777" w:rsidR="00F25246" w:rsidRPr="00F25246" w:rsidRDefault="00F25246" w:rsidP="00F25246">
            <w:pPr>
              <w:jc w:val="center"/>
              <w:rPr>
                <w:b/>
                <w:bCs/>
                <w:color w:val="000000"/>
                <w:sz w:val="10"/>
                <w:szCs w:val="10"/>
                <w:lang w:eastAsia="tr-TR"/>
              </w:rPr>
            </w:pPr>
            <w:r w:rsidRPr="00F25246">
              <w:rPr>
                <w:b/>
                <w:bCs/>
                <w:color w:val="000000"/>
                <w:sz w:val="10"/>
                <w:szCs w:val="10"/>
                <w:lang w:val="en-US" w:eastAsia="tr-TR"/>
              </w:rPr>
              <w:t>XI.</w:t>
            </w:r>
          </w:p>
        </w:tc>
        <w:tc>
          <w:tcPr>
            <w:tcW w:w="2019" w:type="dxa"/>
            <w:tcBorders>
              <w:top w:val="nil"/>
              <w:left w:val="single" w:sz="4" w:space="0" w:color="auto"/>
              <w:bottom w:val="nil"/>
              <w:right w:val="single" w:sz="4" w:space="0" w:color="auto"/>
            </w:tcBorders>
            <w:shd w:val="clear" w:color="auto" w:fill="auto"/>
            <w:noWrap/>
            <w:vAlign w:val="center"/>
            <w:hideMark/>
          </w:tcPr>
          <w:p w14:paraId="5BBC3CC6"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Kâr</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Dağıtımı</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5F74622D"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0EE747EB" w14:textId="77777777" w:rsidR="00F25246" w:rsidRPr="00F25246" w:rsidRDefault="00F25246" w:rsidP="00717AB5">
            <w:pPr>
              <w:jc w:val="right"/>
              <w:rPr>
                <w:sz w:val="10"/>
                <w:szCs w:val="10"/>
                <w:lang w:eastAsia="tr-TR"/>
              </w:rPr>
            </w:pPr>
            <w:r w:rsidRPr="00F25246">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59BEC79B"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06FC58DC"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19E99158"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307990E5"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42B8764F"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399F9BBA"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3B25FF0B"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BB625FC" w14:textId="77777777" w:rsidR="00F25246" w:rsidRPr="00F25246" w:rsidRDefault="00F25246" w:rsidP="00717AB5">
            <w:pPr>
              <w:jc w:val="right"/>
              <w:rPr>
                <w:sz w:val="10"/>
                <w:szCs w:val="10"/>
                <w:lang w:eastAsia="tr-TR"/>
              </w:rPr>
            </w:pPr>
            <w:r w:rsidRPr="00F25246">
              <w:rPr>
                <w:sz w:val="10"/>
                <w:szCs w:val="18"/>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55DBF7FB" w14:textId="77777777" w:rsidR="00F25246" w:rsidRPr="00F25246" w:rsidRDefault="00F25246" w:rsidP="00717AB5">
            <w:pPr>
              <w:jc w:val="right"/>
              <w:rPr>
                <w:sz w:val="10"/>
                <w:szCs w:val="10"/>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72C5444D" w14:textId="77777777" w:rsidR="00F25246" w:rsidRPr="00F25246" w:rsidRDefault="00F25246" w:rsidP="00717AB5">
            <w:pPr>
              <w:jc w:val="right"/>
              <w:rPr>
                <w:sz w:val="10"/>
                <w:szCs w:val="10"/>
                <w:lang w:eastAsia="tr-TR"/>
              </w:rPr>
            </w:pPr>
            <w:r w:rsidRPr="00F25246">
              <w:rPr>
                <w:sz w:val="10"/>
                <w:szCs w:val="18"/>
                <w:lang w:eastAsia="tr-TR"/>
              </w:rPr>
              <w:t>1,102,558</w:t>
            </w:r>
          </w:p>
        </w:tc>
        <w:tc>
          <w:tcPr>
            <w:tcW w:w="788" w:type="dxa"/>
            <w:tcBorders>
              <w:top w:val="nil"/>
              <w:left w:val="single" w:sz="4" w:space="0" w:color="auto"/>
              <w:bottom w:val="nil"/>
              <w:right w:val="single" w:sz="4" w:space="0" w:color="auto"/>
            </w:tcBorders>
            <w:shd w:val="clear" w:color="auto" w:fill="auto"/>
            <w:vAlign w:val="bottom"/>
            <w:hideMark/>
          </w:tcPr>
          <w:p w14:paraId="14DA424D" w14:textId="77777777" w:rsidR="00F25246" w:rsidRPr="00F25246" w:rsidRDefault="00F25246" w:rsidP="00717AB5">
            <w:pPr>
              <w:jc w:val="right"/>
              <w:rPr>
                <w:sz w:val="10"/>
                <w:szCs w:val="18"/>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142E2F0F" w14:textId="77777777" w:rsidR="00F25246" w:rsidRPr="00F25246" w:rsidRDefault="00F25246" w:rsidP="00717AB5">
            <w:pPr>
              <w:jc w:val="right"/>
              <w:rPr>
                <w:sz w:val="10"/>
                <w:szCs w:val="10"/>
                <w:lang w:eastAsia="tr-TR"/>
              </w:rPr>
            </w:pPr>
            <w:r w:rsidRPr="00F25246">
              <w:rPr>
                <w:sz w:val="10"/>
                <w:szCs w:val="16"/>
                <w:lang w:eastAsia="tr-TR"/>
              </w:rPr>
              <w:t>(</w:t>
            </w:r>
            <w:r w:rsidRPr="00F25246">
              <w:rPr>
                <w:sz w:val="10"/>
                <w:szCs w:val="10"/>
                <w:lang w:eastAsia="tr-TR"/>
              </w:rPr>
              <w:t>1,109,838)</w:t>
            </w:r>
          </w:p>
        </w:tc>
        <w:tc>
          <w:tcPr>
            <w:tcW w:w="873" w:type="dxa"/>
            <w:tcBorders>
              <w:top w:val="nil"/>
              <w:left w:val="single" w:sz="4" w:space="0" w:color="auto"/>
              <w:bottom w:val="nil"/>
              <w:right w:val="single" w:sz="4" w:space="0" w:color="auto"/>
            </w:tcBorders>
            <w:shd w:val="clear" w:color="auto" w:fill="auto"/>
            <w:vAlign w:val="bottom"/>
            <w:hideMark/>
          </w:tcPr>
          <w:p w14:paraId="4AD016EF" w14:textId="77777777" w:rsidR="00F25246" w:rsidRPr="00F25246" w:rsidRDefault="00F25246" w:rsidP="00717AB5">
            <w:pPr>
              <w:jc w:val="right"/>
              <w:rPr>
                <w:sz w:val="10"/>
                <w:szCs w:val="10"/>
                <w:lang w:eastAsia="tr-TR"/>
              </w:rPr>
            </w:pPr>
            <w:r w:rsidRPr="00F25246">
              <w:rPr>
                <w:sz w:val="10"/>
                <w:szCs w:val="16"/>
                <w:lang w:eastAsia="tr-TR"/>
              </w:rPr>
              <w:t>(7,280)</w:t>
            </w:r>
          </w:p>
        </w:tc>
        <w:tc>
          <w:tcPr>
            <w:tcW w:w="726" w:type="dxa"/>
            <w:tcBorders>
              <w:top w:val="nil"/>
              <w:left w:val="single" w:sz="4" w:space="0" w:color="auto"/>
              <w:bottom w:val="nil"/>
              <w:right w:val="single" w:sz="4" w:space="0" w:color="auto"/>
            </w:tcBorders>
            <w:shd w:val="clear" w:color="auto" w:fill="auto"/>
            <w:vAlign w:val="bottom"/>
            <w:hideMark/>
          </w:tcPr>
          <w:p w14:paraId="2C0CA96A" w14:textId="77777777" w:rsidR="00F25246" w:rsidRPr="00F25246" w:rsidRDefault="00F25246" w:rsidP="00717AB5">
            <w:pPr>
              <w:jc w:val="right"/>
              <w:rPr>
                <w:sz w:val="10"/>
                <w:szCs w:val="10"/>
                <w:lang w:eastAsia="tr-TR"/>
              </w:rPr>
            </w:pPr>
            <w:r w:rsidRPr="00F25246">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7CCC1222" w14:textId="77777777" w:rsidR="00F25246" w:rsidRPr="00F25246" w:rsidRDefault="00F25246" w:rsidP="00717AB5">
            <w:pPr>
              <w:jc w:val="right"/>
              <w:rPr>
                <w:sz w:val="10"/>
                <w:szCs w:val="10"/>
                <w:lang w:eastAsia="tr-TR"/>
              </w:rPr>
            </w:pPr>
            <w:r w:rsidRPr="00F25246">
              <w:rPr>
                <w:sz w:val="10"/>
                <w:szCs w:val="16"/>
                <w:lang w:eastAsia="tr-TR"/>
              </w:rPr>
              <w:t>(7,280)</w:t>
            </w:r>
          </w:p>
        </w:tc>
      </w:tr>
      <w:tr w:rsidR="00D42791" w:rsidRPr="00F25246" w14:paraId="4B55B3F3"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334A7906" w14:textId="77777777" w:rsidR="00F25246" w:rsidRPr="00F25246" w:rsidRDefault="00F25246" w:rsidP="00F25246">
            <w:pPr>
              <w:jc w:val="center"/>
              <w:rPr>
                <w:color w:val="000000"/>
                <w:sz w:val="10"/>
                <w:szCs w:val="10"/>
                <w:lang w:eastAsia="tr-TR"/>
              </w:rPr>
            </w:pPr>
            <w:r w:rsidRPr="00F25246">
              <w:rPr>
                <w:color w:val="000000"/>
                <w:sz w:val="10"/>
                <w:szCs w:val="10"/>
                <w:lang w:val="en-US" w:eastAsia="tr-TR"/>
              </w:rPr>
              <w:t>11.1</w:t>
            </w:r>
          </w:p>
        </w:tc>
        <w:tc>
          <w:tcPr>
            <w:tcW w:w="2019" w:type="dxa"/>
            <w:tcBorders>
              <w:top w:val="nil"/>
              <w:left w:val="single" w:sz="4" w:space="0" w:color="auto"/>
              <w:bottom w:val="nil"/>
              <w:right w:val="single" w:sz="4" w:space="0" w:color="auto"/>
            </w:tcBorders>
            <w:shd w:val="clear" w:color="auto" w:fill="auto"/>
            <w:noWrap/>
            <w:vAlign w:val="center"/>
            <w:hideMark/>
          </w:tcPr>
          <w:p w14:paraId="4B11B10C"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Dağıtılan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Temettü</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00C1F959"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2C877299" w14:textId="77777777" w:rsidR="00F25246" w:rsidRPr="00F25246" w:rsidRDefault="00F25246" w:rsidP="00717AB5">
            <w:pPr>
              <w:jc w:val="right"/>
              <w:rPr>
                <w:sz w:val="10"/>
                <w:szCs w:val="10"/>
                <w:lang w:eastAsia="tr-TR"/>
              </w:rPr>
            </w:pPr>
            <w:r w:rsidRPr="00F25246">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634411F3"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45718FB9"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30A398B4"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0F260BD5"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41A0A712"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4B363C53"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7AB50D5F"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0ECEF1D2" w14:textId="77777777" w:rsidR="00F25246" w:rsidRPr="00F25246" w:rsidRDefault="00F25246" w:rsidP="00717AB5">
            <w:pPr>
              <w:jc w:val="right"/>
              <w:rPr>
                <w:sz w:val="10"/>
                <w:szCs w:val="10"/>
                <w:lang w:eastAsia="tr-TR"/>
              </w:rPr>
            </w:pPr>
            <w:r w:rsidRPr="00F25246">
              <w:rPr>
                <w:sz w:val="10"/>
                <w:szCs w:val="18"/>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341FC5F4" w14:textId="77777777" w:rsidR="00F25246" w:rsidRPr="00F25246" w:rsidRDefault="00F25246" w:rsidP="00717AB5">
            <w:pPr>
              <w:jc w:val="right"/>
              <w:rPr>
                <w:sz w:val="10"/>
                <w:szCs w:val="10"/>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41F9F21D" w14:textId="77777777" w:rsidR="00F25246" w:rsidRPr="00F25246" w:rsidRDefault="00F25246" w:rsidP="00717AB5">
            <w:pPr>
              <w:jc w:val="right"/>
              <w:rPr>
                <w:sz w:val="10"/>
                <w:szCs w:val="10"/>
                <w:lang w:eastAsia="tr-TR"/>
              </w:rPr>
            </w:pPr>
            <w:r w:rsidRPr="00F25246">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2CCA1F86" w14:textId="77777777" w:rsidR="00F25246" w:rsidRPr="00F25246" w:rsidRDefault="00F25246" w:rsidP="00717AB5">
            <w:pPr>
              <w:jc w:val="right"/>
              <w:rPr>
                <w:sz w:val="10"/>
                <w:szCs w:val="18"/>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1281B1D" w14:textId="77777777" w:rsidR="00F25246" w:rsidRPr="00F25246" w:rsidRDefault="00F25246" w:rsidP="00717AB5">
            <w:pPr>
              <w:jc w:val="right"/>
              <w:rPr>
                <w:sz w:val="10"/>
                <w:szCs w:val="10"/>
                <w:lang w:eastAsia="tr-TR"/>
              </w:rPr>
            </w:pPr>
            <w:r w:rsidRPr="00F25246">
              <w:rPr>
                <w:sz w:val="10"/>
                <w:szCs w:val="16"/>
                <w:lang w:eastAsia="tr-TR"/>
              </w:rPr>
              <w:t>(</w:t>
            </w:r>
            <w:r w:rsidRPr="00F25246">
              <w:rPr>
                <w:sz w:val="10"/>
                <w:szCs w:val="10"/>
                <w:lang w:eastAsia="tr-TR"/>
              </w:rPr>
              <w:t>7,280)</w:t>
            </w:r>
          </w:p>
        </w:tc>
        <w:tc>
          <w:tcPr>
            <w:tcW w:w="873" w:type="dxa"/>
            <w:tcBorders>
              <w:top w:val="nil"/>
              <w:left w:val="single" w:sz="4" w:space="0" w:color="auto"/>
              <w:bottom w:val="nil"/>
              <w:right w:val="single" w:sz="4" w:space="0" w:color="auto"/>
            </w:tcBorders>
            <w:shd w:val="clear" w:color="auto" w:fill="auto"/>
            <w:vAlign w:val="bottom"/>
            <w:hideMark/>
          </w:tcPr>
          <w:p w14:paraId="5AA513A8" w14:textId="77777777" w:rsidR="00F25246" w:rsidRPr="00F25246" w:rsidRDefault="00F25246" w:rsidP="00717AB5">
            <w:pPr>
              <w:jc w:val="right"/>
              <w:rPr>
                <w:sz w:val="10"/>
                <w:szCs w:val="10"/>
                <w:lang w:eastAsia="tr-TR"/>
              </w:rPr>
            </w:pPr>
            <w:r w:rsidRPr="00F25246">
              <w:rPr>
                <w:sz w:val="10"/>
                <w:szCs w:val="16"/>
                <w:lang w:eastAsia="tr-TR"/>
              </w:rPr>
              <w:t>(7,280)</w:t>
            </w:r>
          </w:p>
        </w:tc>
        <w:tc>
          <w:tcPr>
            <w:tcW w:w="726" w:type="dxa"/>
            <w:tcBorders>
              <w:top w:val="nil"/>
              <w:left w:val="single" w:sz="4" w:space="0" w:color="auto"/>
              <w:bottom w:val="nil"/>
              <w:right w:val="single" w:sz="4" w:space="0" w:color="auto"/>
            </w:tcBorders>
            <w:shd w:val="clear" w:color="auto" w:fill="auto"/>
            <w:vAlign w:val="bottom"/>
            <w:hideMark/>
          </w:tcPr>
          <w:p w14:paraId="09EFF1FF" w14:textId="77777777" w:rsidR="00F25246" w:rsidRPr="00F25246" w:rsidRDefault="00F25246" w:rsidP="00717AB5">
            <w:pPr>
              <w:jc w:val="right"/>
              <w:rPr>
                <w:sz w:val="10"/>
                <w:szCs w:val="10"/>
                <w:lang w:eastAsia="tr-TR"/>
              </w:rPr>
            </w:pPr>
            <w:r w:rsidRPr="00F25246">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55236E92" w14:textId="77777777" w:rsidR="00F25246" w:rsidRPr="00F25246" w:rsidRDefault="00F25246" w:rsidP="00717AB5">
            <w:pPr>
              <w:jc w:val="right"/>
              <w:rPr>
                <w:sz w:val="10"/>
                <w:szCs w:val="10"/>
                <w:lang w:eastAsia="tr-TR"/>
              </w:rPr>
            </w:pPr>
            <w:r w:rsidRPr="00F25246">
              <w:rPr>
                <w:sz w:val="10"/>
                <w:szCs w:val="16"/>
                <w:lang w:eastAsia="tr-TR"/>
              </w:rPr>
              <w:t>(7,280)</w:t>
            </w:r>
          </w:p>
        </w:tc>
      </w:tr>
      <w:tr w:rsidR="00D42791" w:rsidRPr="00F25246" w14:paraId="68E52F93"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31E5541C" w14:textId="77777777" w:rsidR="00F25246" w:rsidRPr="00F25246" w:rsidRDefault="00F25246" w:rsidP="00F25246">
            <w:pPr>
              <w:jc w:val="center"/>
              <w:rPr>
                <w:color w:val="000000"/>
                <w:sz w:val="10"/>
                <w:szCs w:val="10"/>
                <w:lang w:eastAsia="tr-TR"/>
              </w:rPr>
            </w:pPr>
            <w:r w:rsidRPr="00F25246">
              <w:rPr>
                <w:color w:val="000000"/>
                <w:sz w:val="10"/>
                <w:szCs w:val="10"/>
                <w:lang w:val="en-US" w:eastAsia="tr-TR"/>
              </w:rPr>
              <w:t>11.2</w:t>
            </w:r>
          </w:p>
        </w:tc>
        <w:tc>
          <w:tcPr>
            <w:tcW w:w="2019" w:type="dxa"/>
            <w:tcBorders>
              <w:top w:val="nil"/>
              <w:left w:val="single" w:sz="4" w:space="0" w:color="auto"/>
              <w:bottom w:val="nil"/>
              <w:right w:val="single" w:sz="4" w:space="0" w:color="auto"/>
            </w:tcBorders>
            <w:shd w:val="clear" w:color="auto" w:fill="auto"/>
            <w:noWrap/>
            <w:vAlign w:val="center"/>
            <w:hideMark/>
          </w:tcPr>
          <w:p w14:paraId="45D8800D"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Yedeklere</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Aktarılan</w:t>
            </w:r>
            <w:proofErr w:type="spellEnd"/>
            <w:r w:rsidRPr="00F25246">
              <w:rPr>
                <w:color w:val="000000"/>
                <w:sz w:val="10"/>
                <w:szCs w:val="10"/>
                <w:lang w:val="en-US" w:eastAsia="tr-TR"/>
              </w:rPr>
              <w:t xml:space="preserve"> </w:t>
            </w:r>
            <w:proofErr w:type="spellStart"/>
            <w:r w:rsidRPr="00F25246">
              <w:rPr>
                <w:color w:val="000000"/>
                <w:sz w:val="10"/>
                <w:szCs w:val="10"/>
                <w:lang w:val="en-US" w:eastAsia="tr-TR"/>
              </w:rPr>
              <w:t>Tutarlar</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1DB5504F"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4FD6BB84" w14:textId="77777777" w:rsidR="00F25246" w:rsidRPr="00F25246" w:rsidRDefault="00F25246" w:rsidP="00717AB5">
            <w:pPr>
              <w:jc w:val="right"/>
              <w:rPr>
                <w:sz w:val="10"/>
                <w:szCs w:val="10"/>
                <w:lang w:eastAsia="tr-TR"/>
              </w:rPr>
            </w:pPr>
            <w:r w:rsidRPr="00F25246">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7BE4A877"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0E1FE48E"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788FD0DB"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404C6761"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4E26DDF6"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441E0B85"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4FACCF66"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339D4CFA" w14:textId="77777777" w:rsidR="00F25246" w:rsidRPr="00F25246" w:rsidRDefault="00F25246" w:rsidP="00717AB5">
            <w:pPr>
              <w:jc w:val="right"/>
              <w:rPr>
                <w:sz w:val="10"/>
                <w:szCs w:val="10"/>
                <w:lang w:eastAsia="tr-TR"/>
              </w:rPr>
            </w:pPr>
            <w:r w:rsidRPr="00F25246">
              <w:rPr>
                <w:sz w:val="10"/>
                <w:szCs w:val="18"/>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349EF341" w14:textId="77777777" w:rsidR="00F25246" w:rsidRPr="00F25246" w:rsidRDefault="00F25246" w:rsidP="00717AB5">
            <w:pPr>
              <w:jc w:val="right"/>
              <w:rPr>
                <w:sz w:val="10"/>
                <w:szCs w:val="10"/>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50E6D5AF" w14:textId="77777777" w:rsidR="00F25246" w:rsidRPr="00F25246" w:rsidRDefault="00F25246" w:rsidP="00717AB5">
            <w:pPr>
              <w:jc w:val="right"/>
              <w:rPr>
                <w:sz w:val="10"/>
                <w:szCs w:val="10"/>
                <w:lang w:eastAsia="tr-TR"/>
              </w:rPr>
            </w:pPr>
            <w:r w:rsidRPr="00F25246">
              <w:rPr>
                <w:sz w:val="10"/>
                <w:szCs w:val="18"/>
                <w:lang w:eastAsia="tr-TR"/>
              </w:rPr>
              <w:t>1,102,558</w:t>
            </w:r>
          </w:p>
        </w:tc>
        <w:tc>
          <w:tcPr>
            <w:tcW w:w="788" w:type="dxa"/>
            <w:tcBorders>
              <w:top w:val="nil"/>
              <w:left w:val="single" w:sz="4" w:space="0" w:color="auto"/>
              <w:bottom w:val="nil"/>
              <w:right w:val="single" w:sz="4" w:space="0" w:color="auto"/>
            </w:tcBorders>
            <w:shd w:val="clear" w:color="auto" w:fill="auto"/>
            <w:vAlign w:val="bottom"/>
            <w:hideMark/>
          </w:tcPr>
          <w:p w14:paraId="42A088F2" w14:textId="77777777" w:rsidR="00F25246" w:rsidRPr="00F25246" w:rsidRDefault="00F25246" w:rsidP="00717AB5">
            <w:pPr>
              <w:jc w:val="right"/>
              <w:rPr>
                <w:sz w:val="10"/>
                <w:szCs w:val="18"/>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23B274BF" w14:textId="77777777" w:rsidR="00F25246" w:rsidRPr="00F25246" w:rsidRDefault="00F25246" w:rsidP="00717AB5">
            <w:pPr>
              <w:jc w:val="right"/>
              <w:rPr>
                <w:sz w:val="10"/>
                <w:szCs w:val="10"/>
                <w:lang w:eastAsia="tr-TR"/>
              </w:rPr>
            </w:pPr>
            <w:r w:rsidRPr="00F25246">
              <w:rPr>
                <w:sz w:val="10"/>
                <w:szCs w:val="18"/>
                <w:lang w:eastAsia="tr-TR"/>
              </w:rPr>
              <w:t>(</w:t>
            </w:r>
            <w:r w:rsidRPr="00F25246">
              <w:rPr>
                <w:sz w:val="10"/>
                <w:szCs w:val="10"/>
                <w:lang w:eastAsia="tr-TR"/>
              </w:rPr>
              <w:t>1,102,558)</w:t>
            </w:r>
          </w:p>
        </w:tc>
        <w:tc>
          <w:tcPr>
            <w:tcW w:w="873" w:type="dxa"/>
            <w:tcBorders>
              <w:top w:val="nil"/>
              <w:left w:val="single" w:sz="4" w:space="0" w:color="auto"/>
              <w:bottom w:val="nil"/>
              <w:right w:val="single" w:sz="4" w:space="0" w:color="auto"/>
            </w:tcBorders>
            <w:shd w:val="clear" w:color="auto" w:fill="auto"/>
            <w:vAlign w:val="bottom"/>
            <w:hideMark/>
          </w:tcPr>
          <w:p w14:paraId="10358C25" w14:textId="77777777" w:rsidR="00F25246" w:rsidRPr="00F25246" w:rsidRDefault="00F25246" w:rsidP="00717AB5">
            <w:pPr>
              <w:jc w:val="right"/>
              <w:rPr>
                <w:sz w:val="10"/>
                <w:szCs w:val="10"/>
                <w:lang w:eastAsia="tr-TR"/>
              </w:rPr>
            </w:pPr>
            <w:r w:rsidRPr="00F25246">
              <w:rPr>
                <w:sz w:val="10"/>
                <w:szCs w:val="18"/>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714E293A" w14:textId="77777777" w:rsidR="00F25246" w:rsidRPr="00F25246" w:rsidRDefault="00F25246" w:rsidP="00717AB5">
            <w:pPr>
              <w:jc w:val="right"/>
              <w:rPr>
                <w:sz w:val="10"/>
                <w:szCs w:val="10"/>
                <w:lang w:eastAsia="tr-TR"/>
              </w:rPr>
            </w:pPr>
            <w:r w:rsidRPr="00F25246">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5E908257" w14:textId="77777777" w:rsidR="00F25246" w:rsidRPr="00F25246" w:rsidRDefault="00F25246" w:rsidP="00717AB5">
            <w:pPr>
              <w:jc w:val="right"/>
              <w:rPr>
                <w:sz w:val="10"/>
                <w:szCs w:val="10"/>
                <w:lang w:eastAsia="tr-TR"/>
              </w:rPr>
            </w:pPr>
            <w:r w:rsidRPr="00F25246">
              <w:rPr>
                <w:sz w:val="10"/>
                <w:szCs w:val="18"/>
                <w:lang w:eastAsia="tr-TR"/>
              </w:rPr>
              <w:t>-</w:t>
            </w:r>
          </w:p>
        </w:tc>
      </w:tr>
      <w:tr w:rsidR="00D42791" w:rsidRPr="00F25246" w14:paraId="4D94B50E" w14:textId="77777777" w:rsidTr="00717AB5">
        <w:trPr>
          <w:divId w:val="36128962"/>
          <w:trHeight w:val="3"/>
        </w:trPr>
        <w:tc>
          <w:tcPr>
            <w:tcW w:w="419" w:type="dxa"/>
            <w:tcBorders>
              <w:top w:val="nil"/>
              <w:left w:val="single" w:sz="4" w:space="0" w:color="auto"/>
              <w:bottom w:val="nil"/>
              <w:right w:val="single" w:sz="4" w:space="0" w:color="auto"/>
            </w:tcBorders>
            <w:shd w:val="clear" w:color="auto" w:fill="auto"/>
            <w:noWrap/>
            <w:vAlign w:val="center"/>
            <w:hideMark/>
          </w:tcPr>
          <w:p w14:paraId="3B5F10CA" w14:textId="77777777" w:rsidR="00F25246" w:rsidRPr="00F25246" w:rsidRDefault="00F25246" w:rsidP="00F25246">
            <w:pPr>
              <w:jc w:val="center"/>
              <w:rPr>
                <w:color w:val="000000"/>
                <w:sz w:val="10"/>
                <w:szCs w:val="10"/>
                <w:lang w:eastAsia="tr-TR"/>
              </w:rPr>
            </w:pPr>
            <w:r w:rsidRPr="00F25246">
              <w:rPr>
                <w:color w:val="000000"/>
                <w:sz w:val="10"/>
                <w:szCs w:val="10"/>
                <w:lang w:val="en-US" w:eastAsia="tr-TR"/>
              </w:rPr>
              <w:t>11.3</w:t>
            </w:r>
          </w:p>
        </w:tc>
        <w:tc>
          <w:tcPr>
            <w:tcW w:w="2019" w:type="dxa"/>
            <w:tcBorders>
              <w:top w:val="nil"/>
              <w:left w:val="single" w:sz="4" w:space="0" w:color="auto"/>
              <w:bottom w:val="nil"/>
              <w:right w:val="single" w:sz="4" w:space="0" w:color="auto"/>
            </w:tcBorders>
            <w:shd w:val="clear" w:color="auto" w:fill="auto"/>
            <w:noWrap/>
            <w:vAlign w:val="center"/>
            <w:hideMark/>
          </w:tcPr>
          <w:p w14:paraId="4913EEEC" w14:textId="77777777" w:rsidR="00F25246" w:rsidRPr="00F25246" w:rsidRDefault="00F25246" w:rsidP="00F25246">
            <w:pPr>
              <w:rPr>
                <w:color w:val="000000"/>
                <w:sz w:val="10"/>
                <w:szCs w:val="10"/>
                <w:lang w:eastAsia="tr-TR"/>
              </w:rPr>
            </w:pPr>
            <w:proofErr w:type="spellStart"/>
            <w:r w:rsidRPr="00F25246">
              <w:rPr>
                <w:color w:val="000000"/>
                <w:sz w:val="10"/>
                <w:szCs w:val="10"/>
                <w:lang w:val="en-US" w:eastAsia="tr-TR"/>
              </w:rPr>
              <w:t>Diğer</w:t>
            </w:r>
            <w:proofErr w:type="spellEnd"/>
          </w:p>
        </w:tc>
        <w:tc>
          <w:tcPr>
            <w:tcW w:w="614" w:type="dxa"/>
            <w:tcBorders>
              <w:top w:val="nil"/>
              <w:left w:val="single" w:sz="4" w:space="0" w:color="auto"/>
              <w:bottom w:val="nil"/>
              <w:right w:val="single" w:sz="4" w:space="0" w:color="auto"/>
            </w:tcBorders>
            <w:shd w:val="clear" w:color="auto" w:fill="auto"/>
            <w:vAlign w:val="center"/>
            <w:hideMark/>
          </w:tcPr>
          <w:p w14:paraId="1CC1AFE6" w14:textId="77777777" w:rsidR="00F25246" w:rsidRPr="00F25246" w:rsidRDefault="00F25246" w:rsidP="00F25246">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bottom"/>
            <w:hideMark/>
          </w:tcPr>
          <w:p w14:paraId="4D85CE11" w14:textId="77777777" w:rsidR="00F25246" w:rsidRPr="00F25246" w:rsidRDefault="00F25246" w:rsidP="00717AB5">
            <w:pPr>
              <w:jc w:val="right"/>
              <w:rPr>
                <w:sz w:val="10"/>
                <w:szCs w:val="10"/>
                <w:lang w:eastAsia="tr-TR"/>
              </w:rPr>
            </w:pPr>
            <w:r w:rsidRPr="00F25246">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bottom"/>
            <w:hideMark/>
          </w:tcPr>
          <w:p w14:paraId="213F2EE8"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0FF72DC3"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18A33D27"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496DB432" w14:textId="77777777" w:rsidR="00F25246" w:rsidRPr="00F25246" w:rsidRDefault="00F25246" w:rsidP="00717AB5">
            <w:pPr>
              <w:jc w:val="right"/>
              <w:rPr>
                <w:sz w:val="10"/>
                <w:szCs w:val="10"/>
                <w:lang w:eastAsia="tr-TR"/>
              </w:rPr>
            </w:pPr>
            <w:r w:rsidRPr="00F25246">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bottom"/>
            <w:hideMark/>
          </w:tcPr>
          <w:p w14:paraId="10A6B064" w14:textId="77777777" w:rsidR="00F25246" w:rsidRPr="00F25246" w:rsidRDefault="00F25246" w:rsidP="00717AB5">
            <w:pPr>
              <w:jc w:val="right"/>
              <w:rPr>
                <w:sz w:val="10"/>
                <w:szCs w:val="10"/>
                <w:lang w:eastAsia="tr-TR"/>
              </w:rPr>
            </w:pPr>
            <w:r w:rsidRPr="00F25246">
              <w:rPr>
                <w:sz w:val="10"/>
                <w:szCs w:val="18"/>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5C9B814" w14:textId="77777777" w:rsidR="00F25246" w:rsidRPr="00F25246" w:rsidRDefault="00F25246" w:rsidP="00717AB5">
            <w:pPr>
              <w:jc w:val="right"/>
              <w:rPr>
                <w:sz w:val="10"/>
                <w:szCs w:val="10"/>
                <w:lang w:eastAsia="tr-TR"/>
              </w:rPr>
            </w:pPr>
            <w:r w:rsidRPr="00F25246">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bottom"/>
            <w:hideMark/>
          </w:tcPr>
          <w:p w14:paraId="06A7C99C"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DEE2030" w14:textId="77777777" w:rsidR="00F25246" w:rsidRPr="00F25246" w:rsidRDefault="00F25246" w:rsidP="00717AB5">
            <w:pPr>
              <w:jc w:val="right"/>
              <w:rPr>
                <w:sz w:val="10"/>
                <w:szCs w:val="10"/>
                <w:lang w:eastAsia="tr-TR"/>
              </w:rPr>
            </w:pPr>
            <w:r w:rsidRPr="00F25246">
              <w:rPr>
                <w:sz w:val="10"/>
                <w:szCs w:val="18"/>
                <w:lang w:eastAsia="tr-TR"/>
              </w:rPr>
              <w:t>-</w:t>
            </w:r>
          </w:p>
        </w:tc>
        <w:tc>
          <w:tcPr>
            <w:tcW w:w="549" w:type="dxa"/>
            <w:tcBorders>
              <w:top w:val="nil"/>
              <w:left w:val="single" w:sz="4" w:space="0" w:color="auto"/>
              <w:bottom w:val="nil"/>
              <w:right w:val="single" w:sz="4" w:space="0" w:color="auto"/>
            </w:tcBorders>
            <w:shd w:val="clear" w:color="auto" w:fill="auto"/>
            <w:vAlign w:val="bottom"/>
            <w:hideMark/>
          </w:tcPr>
          <w:p w14:paraId="6355CC51" w14:textId="77777777" w:rsidR="00F25246" w:rsidRPr="00F25246" w:rsidRDefault="00F25246" w:rsidP="00717AB5">
            <w:pPr>
              <w:jc w:val="right"/>
              <w:rPr>
                <w:sz w:val="10"/>
                <w:szCs w:val="10"/>
                <w:lang w:eastAsia="tr-TR"/>
              </w:rPr>
            </w:pPr>
            <w:r w:rsidRPr="00F25246">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bottom"/>
            <w:hideMark/>
          </w:tcPr>
          <w:p w14:paraId="6D8C3B6E" w14:textId="77777777" w:rsidR="00F25246" w:rsidRPr="00F25246" w:rsidRDefault="00F25246" w:rsidP="00717AB5">
            <w:pPr>
              <w:jc w:val="right"/>
              <w:rPr>
                <w:sz w:val="10"/>
                <w:szCs w:val="10"/>
                <w:lang w:eastAsia="tr-TR"/>
              </w:rPr>
            </w:pPr>
            <w:r w:rsidRPr="00F25246">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bottom"/>
            <w:hideMark/>
          </w:tcPr>
          <w:p w14:paraId="37D0DC67" w14:textId="77777777" w:rsidR="00F25246" w:rsidRPr="00F25246" w:rsidRDefault="00F25246" w:rsidP="00717AB5">
            <w:pPr>
              <w:jc w:val="right"/>
              <w:rPr>
                <w:sz w:val="10"/>
                <w:szCs w:val="10"/>
                <w:lang w:eastAsia="tr-TR"/>
              </w:rPr>
            </w:pPr>
            <w:r w:rsidRPr="00F25246">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bottom"/>
            <w:hideMark/>
          </w:tcPr>
          <w:p w14:paraId="62A4358E" w14:textId="77777777" w:rsidR="00F25246" w:rsidRPr="00F25246" w:rsidRDefault="00F25246" w:rsidP="00717AB5">
            <w:pPr>
              <w:jc w:val="right"/>
              <w:rPr>
                <w:sz w:val="10"/>
                <w:szCs w:val="10"/>
                <w:lang w:eastAsia="tr-TR"/>
              </w:rPr>
            </w:pPr>
            <w:r w:rsidRPr="00F25246">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bottom"/>
            <w:hideMark/>
          </w:tcPr>
          <w:p w14:paraId="50A77621" w14:textId="77777777" w:rsidR="00F25246" w:rsidRPr="00F25246" w:rsidRDefault="00F25246" w:rsidP="00717AB5">
            <w:pPr>
              <w:jc w:val="right"/>
              <w:rPr>
                <w:sz w:val="10"/>
                <w:szCs w:val="10"/>
                <w:lang w:eastAsia="tr-TR"/>
              </w:rPr>
            </w:pPr>
            <w:r w:rsidRPr="00F25246">
              <w:rPr>
                <w:sz w:val="10"/>
                <w:szCs w:val="18"/>
                <w:lang w:eastAsia="tr-TR"/>
              </w:rPr>
              <w:t>-</w:t>
            </w:r>
          </w:p>
        </w:tc>
        <w:tc>
          <w:tcPr>
            <w:tcW w:w="726" w:type="dxa"/>
            <w:tcBorders>
              <w:top w:val="nil"/>
              <w:left w:val="single" w:sz="4" w:space="0" w:color="auto"/>
              <w:bottom w:val="nil"/>
              <w:right w:val="single" w:sz="4" w:space="0" w:color="auto"/>
            </w:tcBorders>
            <w:shd w:val="clear" w:color="auto" w:fill="auto"/>
            <w:vAlign w:val="bottom"/>
            <w:hideMark/>
          </w:tcPr>
          <w:p w14:paraId="436BBF42" w14:textId="77777777" w:rsidR="00F25246" w:rsidRPr="00F25246" w:rsidRDefault="00F25246" w:rsidP="00717AB5">
            <w:pPr>
              <w:jc w:val="right"/>
              <w:rPr>
                <w:sz w:val="10"/>
                <w:szCs w:val="10"/>
                <w:lang w:eastAsia="tr-TR"/>
              </w:rPr>
            </w:pPr>
            <w:r w:rsidRPr="00F25246">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bottom"/>
            <w:hideMark/>
          </w:tcPr>
          <w:p w14:paraId="179516B4" w14:textId="77777777" w:rsidR="00F25246" w:rsidRPr="00F25246" w:rsidRDefault="00F25246" w:rsidP="00717AB5">
            <w:pPr>
              <w:jc w:val="right"/>
              <w:rPr>
                <w:sz w:val="10"/>
                <w:szCs w:val="10"/>
                <w:lang w:eastAsia="tr-TR"/>
              </w:rPr>
            </w:pPr>
            <w:r w:rsidRPr="00F25246">
              <w:rPr>
                <w:sz w:val="10"/>
                <w:szCs w:val="18"/>
                <w:lang w:eastAsia="tr-TR"/>
              </w:rPr>
              <w:t>-</w:t>
            </w:r>
          </w:p>
        </w:tc>
      </w:tr>
      <w:tr w:rsidR="00D42791" w:rsidRPr="00F25246" w14:paraId="56F4A8A6" w14:textId="77777777" w:rsidTr="002E368F">
        <w:trPr>
          <w:divId w:val="36128962"/>
          <w:trHeight w:val="3"/>
        </w:trPr>
        <w:tc>
          <w:tcPr>
            <w:tcW w:w="419" w:type="dxa"/>
            <w:tcBorders>
              <w:top w:val="nil"/>
              <w:left w:val="single" w:sz="4" w:space="0" w:color="auto"/>
              <w:bottom w:val="single" w:sz="8" w:space="0" w:color="auto"/>
              <w:right w:val="single" w:sz="4" w:space="0" w:color="auto"/>
            </w:tcBorders>
            <w:shd w:val="clear" w:color="auto" w:fill="auto"/>
            <w:noWrap/>
            <w:vAlign w:val="bottom"/>
            <w:hideMark/>
          </w:tcPr>
          <w:p w14:paraId="5CF2C6BB" w14:textId="77777777" w:rsidR="00F25246" w:rsidRPr="00311DAB" w:rsidRDefault="00F25246" w:rsidP="00F25246">
            <w:pPr>
              <w:rPr>
                <w:color w:val="000000"/>
                <w:sz w:val="6"/>
                <w:szCs w:val="6"/>
                <w:lang w:eastAsia="tr-TR"/>
              </w:rPr>
            </w:pPr>
            <w:r w:rsidRPr="00311DAB">
              <w:rPr>
                <w:color w:val="000000"/>
                <w:sz w:val="6"/>
                <w:szCs w:val="6"/>
                <w:lang w:eastAsia="tr-TR"/>
              </w:rPr>
              <w:t> </w:t>
            </w:r>
          </w:p>
        </w:tc>
        <w:tc>
          <w:tcPr>
            <w:tcW w:w="2019" w:type="dxa"/>
            <w:tcBorders>
              <w:top w:val="nil"/>
              <w:left w:val="single" w:sz="4" w:space="0" w:color="auto"/>
              <w:bottom w:val="single" w:sz="8" w:space="0" w:color="auto"/>
              <w:right w:val="single" w:sz="4" w:space="0" w:color="auto"/>
            </w:tcBorders>
            <w:shd w:val="clear" w:color="auto" w:fill="auto"/>
            <w:noWrap/>
            <w:vAlign w:val="bottom"/>
            <w:hideMark/>
          </w:tcPr>
          <w:p w14:paraId="68BEDC4E" w14:textId="77777777" w:rsidR="00F25246" w:rsidRPr="00311DAB" w:rsidRDefault="00F25246" w:rsidP="00F25246">
            <w:pPr>
              <w:rPr>
                <w:color w:val="000000"/>
                <w:sz w:val="6"/>
                <w:szCs w:val="6"/>
                <w:lang w:eastAsia="tr-TR"/>
              </w:rPr>
            </w:pPr>
            <w:r w:rsidRPr="00311DAB">
              <w:rPr>
                <w:color w:val="000000"/>
                <w:sz w:val="6"/>
                <w:szCs w:val="6"/>
                <w:lang w:eastAsia="tr-TR"/>
              </w:rPr>
              <w:t> </w:t>
            </w:r>
          </w:p>
        </w:tc>
        <w:tc>
          <w:tcPr>
            <w:tcW w:w="614" w:type="dxa"/>
            <w:tcBorders>
              <w:top w:val="nil"/>
              <w:left w:val="single" w:sz="4" w:space="0" w:color="auto"/>
              <w:bottom w:val="single" w:sz="8" w:space="0" w:color="auto"/>
              <w:right w:val="single" w:sz="4" w:space="0" w:color="auto"/>
            </w:tcBorders>
            <w:shd w:val="clear" w:color="auto" w:fill="auto"/>
            <w:vAlign w:val="center"/>
            <w:hideMark/>
          </w:tcPr>
          <w:p w14:paraId="7D169D82" w14:textId="77777777" w:rsidR="00F25246" w:rsidRPr="00311DAB" w:rsidRDefault="00F25246" w:rsidP="00F25246">
            <w:pPr>
              <w:jc w:val="right"/>
              <w:rPr>
                <w:color w:val="000000"/>
                <w:sz w:val="6"/>
                <w:szCs w:val="6"/>
                <w:lang w:eastAsia="tr-TR"/>
              </w:rPr>
            </w:pPr>
            <w:r w:rsidRPr="00311DAB">
              <w:rPr>
                <w:color w:val="000000"/>
                <w:sz w:val="6"/>
                <w:szCs w:val="6"/>
                <w:lang w:val="en-US"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hideMark/>
          </w:tcPr>
          <w:p w14:paraId="67A58A1F" w14:textId="77777777" w:rsidR="00F25246" w:rsidRPr="00311DAB" w:rsidRDefault="00F25246" w:rsidP="00F25246">
            <w:pPr>
              <w:jc w:val="right"/>
              <w:rPr>
                <w:sz w:val="6"/>
                <w:szCs w:val="6"/>
                <w:lang w:eastAsia="tr-TR"/>
              </w:rPr>
            </w:pPr>
            <w:r w:rsidRPr="00311DAB">
              <w:rPr>
                <w:sz w:val="6"/>
                <w:szCs w:val="6"/>
                <w:lang w:eastAsia="tr-TR"/>
              </w:rPr>
              <w:t> </w:t>
            </w:r>
          </w:p>
        </w:tc>
        <w:tc>
          <w:tcPr>
            <w:tcW w:w="872" w:type="dxa"/>
            <w:tcBorders>
              <w:top w:val="nil"/>
              <w:left w:val="single" w:sz="4" w:space="0" w:color="auto"/>
              <w:bottom w:val="single" w:sz="8" w:space="0" w:color="auto"/>
              <w:right w:val="single" w:sz="4" w:space="0" w:color="auto"/>
            </w:tcBorders>
            <w:shd w:val="clear" w:color="auto" w:fill="auto"/>
            <w:vAlign w:val="center"/>
            <w:hideMark/>
          </w:tcPr>
          <w:p w14:paraId="54B0B7E1" w14:textId="77777777" w:rsidR="00F25246" w:rsidRPr="00311DAB" w:rsidRDefault="00F25246" w:rsidP="00F25246">
            <w:pPr>
              <w:jc w:val="right"/>
              <w:rPr>
                <w:sz w:val="6"/>
                <w:szCs w:val="6"/>
                <w:lang w:eastAsia="tr-TR"/>
              </w:rPr>
            </w:pPr>
            <w:r w:rsidRPr="00311DAB">
              <w:rPr>
                <w:sz w:val="6"/>
                <w:szCs w:val="6"/>
                <w:lang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hideMark/>
          </w:tcPr>
          <w:p w14:paraId="1A8B0CCE" w14:textId="77777777" w:rsidR="00F25246" w:rsidRPr="00311DAB" w:rsidRDefault="00F25246" w:rsidP="00F25246">
            <w:pPr>
              <w:jc w:val="right"/>
              <w:rPr>
                <w:sz w:val="6"/>
                <w:szCs w:val="6"/>
                <w:lang w:eastAsia="tr-TR"/>
              </w:rPr>
            </w:pPr>
            <w:r w:rsidRPr="00311DAB">
              <w:rPr>
                <w:sz w:val="6"/>
                <w:szCs w:val="6"/>
                <w:lang w:eastAsia="tr-TR"/>
              </w:rPr>
              <w:t> </w:t>
            </w:r>
          </w:p>
        </w:tc>
        <w:tc>
          <w:tcPr>
            <w:tcW w:w="873" w:type="dxa"/>
            <w:tcBorders>
              <w:top w:val="nil"/>
              <w:left w:val="single" w:sz="4" w:space="0" w:color="auto"/>
              <w:bottom w:val="single" w:sz="8" w:space="0" w:color="auto"/>
              <w:right w:val="single" w:sz="4" w:space="0" w:color="auto"/>
            </w:tcBorders>
            <w:shd w:val="clear" w:color="auto" w:fill="auto"/>
            <w:vAlign w:val="center"/>
            <w:hideMark/>
          </w:tcPr>
          <w:p w14:paraId="6376FB0C" w14:textId="77777777" w:rsidR="00F25246" w:rsidRPr="00311DAB" w:rsidRDefault="00F25246" w:rsidP="00F25246">
            <w:pPr>
              <w:jc w:val="right"/>
              <w:rPr>
                <w:sz w:val="6"/>
                <w:szCs w:val="6"/>
                <w:lang w:eastAsia="tr-TR"/>
              </w:rPr>
            </w:pPr>
            <w:r w:rsidRPr="00311DAB">
              <w:rPr>
                <w:sz w:val="6"/>
                <w:szCs w:val="6"/>
                <w:lang w:eastAsia="tr-TR"/>
              </w:rPr>
              <w:t> </w:t>
            </w:r>
          </w:p>
        </w:tc>
        <w:tc>
          <w:tcPr>
            <w:tcW w:w="581" w:type="dxa"/>
            <w:tcBorders>
              <w:top w:val="nil"/>
              <w:left w:val="single" w:sz="4" w:space="0" w:color="auto"/>
              <w:bottom w:val="single" w:sz="8" w:space="0" w:color="auto"/>
              <w:right w:val="single" w:sz="4" w:space="0" w:color="auto"/>
            </w:tcBorders>
            <w:shd w:val="clear" w:color="auto" w:fill="auto"/>
            <w:vAlign w:val="center"/>
            <w:hideMark/>
          </w:tcPr>
          <w:p w14:paraId="6689EEBF" w14:textId="77777777" w:rsidR="00F25246" w:rsidRPr="00311DAB" w:rsidRDefault="00F25246" w:rsidP="00F25246">
            <w:pPr>
              <w:jc w:val="right"/>
              <w:rPr>
                <w:sz w:val="6"/>
                <w:szCs w:val="6"/>
                <w:lang w:eastAsia="tr-TR"/>
              </w:rPr>
            </w:pPr>
            <w:r w:rsidRPr="00311DAB">
              <w:rPr>
                <w:sz w:val="6"/>
                <w:szCs w:val="6"/>
                <w:lang w:eastAsia="tr-TR"/>
              </w:rPr>
              <w:t> </w:t>
            </w:r>
          </w:p>
        </w:tc>
        <w:tc>
          <w:tcPr>
            <w:tcW w:w="581" w:type="dxa"/>
            <w:tcBorders>
              <w:top w:val="nil"/>
              <w:left w:val="single" w:sz="4" w:space="0" w:color="auto"/>
              <w:bottom w:val="single" w:sz="8" w:space="0" w:color="auto"/>
              <w:right w:val="single" w:sz="4" w:space="0" w:color="auto"/>
            </w:tcBorders>
            <w:shd w:val="clear" w:color="auto" w:fill="auto"/>
            <w:vAlign w:val="center"/>
            <w:hideMark/>
          </w:tcPr>
          <w:p w14:paraId="54990B19" w14:textId="77777777" w:rsidR="00F25246" w:rsidRPr="00311DAB" w:rsidRDefault="00F25246" w:rsidP="00F25246">
            <w:pPr>
              <w:jc w:val="right"/>
              <w:rPr>
                <w:sz w:val="6"/>
                <w:szCs w:val="6"/>
                <w:lang w:eastAsia="tr-TR"/>
              </w:rPr>
            </w:pPr>
            <w:r w:rsidRPr="00311DAB">
              <w:rPr>
                <w:sz w:val="6"/>
                <w:szCs w:val="6"/>
                <w:lang w:eastAsia="tr-TR"/>
              </w:rPr>
              <w:t> </w:t>
            </w:r>
          </w:p>
        </w:tc>
        <w:tc>
          <w:tcPr>
            <w:tcW w:w="583" w:type="dxa"/>
            <w:tcBorders>
              <w:top w:val="nil"/>
              <w:left w:val="single" w:sz="4" w:space="0" w:color="auto"/>
              <w:bottom w:val="single" w:sz="8" w:space="0" w:color="auto"/>
              <w:right w:val="single" w:sz="4" w:space="0" w:color="auto"/>
            </w:tcBorders>
            <w:shd w:val="clear" w:color="auto" w:fill="auto"/>
            <w:vAlign w:val="center"/>
            <w:hideMark/>
          </w:tcPr>
          <w:p w14:paraId="0E4BA5A3" w14:textId="77777777" w:rsidR="00F25246" w:rsidRPr="00311DAB" w:rsidRDefault="00F25246" w:rsidP="00F25246">
            <w:pPr>
              <w:jc w:val="right"/>
              <w:rPr>
                <w:sz w:val="6"/>
                <w:szCs w:val="6"/>
                <w:lang w:eastAsia="tr-TR"/>
              </w:rPr>
            </w:pPr>
            <w:r w:rsidRPr="00311DAB">
              <w:rPr>
                <w:sz w:val="6"/>
                <w:szCs w:val="6"/>
                <w:lang w:eastAsia="tr-TR"/>
              </w:rPr>
              <w:t> </w:t>
            </w:r>
          </w:p>
        </w:tc>
        <w:tc>
          <w:tcPr>
            <w:tcW w:w="435" w:type="dxa"/>
            <w:tcBorders>
              <w:top w:val="nil"/>
              <w:left w:val="single" w:sz="4" w:space="0" w:color="auto"/>
              <w:bottom w:val="single" w:sz="8" w:space="0" w:color="auto"/>
              <w:right w:val="single" w:sz="4" w:space="0" w:color="auto"/>
            </w:tcBorders>
            <w:shd w:val="clear" w:color="auto" w:fill="auto"/>
            <w:vAlign w:val="center"/>
            <w:hideMark/>
          </w:tcPr>
          <w:p w14:paraId="071E12BE" w14:textId="77777777" w:rsidR="00F25246" w:rsidRPr="00311DAB" w:rsidRDefault="00F25246" w:rsidP="00F25246">
            <w:pPr>
              <w:jc w:val="right"/>
              <w:rPr>
                <w:sz w:val="6"/>
                <w:szCs w:val="6"/>
                <w:lang w:eastAsia="tr-TR"/>
              </w:rPr>
            </w:pPr>
            <w:r w:rsidRPr="00311DAB">
              <w:rPr>
                <w:sz w:val="6"/>
                <w:szCs w:val="6"/>
                <w:lang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hideMark/>
          </w:tcPr>
          <w:p w14:paraId="27C1C32A" w14:textId="77777777" w:rsidR="00F25246" w:rsidRPr="00311DAB" w:rsidRDefault="00F25246" w:rsidP="00F25246">
            <w:pPr>
              <w:jc w:val="right"/>
              <w:rPr>
                <w:sz w:val="6"/>
                <w:szCs w:val="6"/>
                <w:lang w:eastAsia="tr-TR"/>
              </w:rPr>
            </w:pPr>
            <w:r w:rsidRPr="00311DAB">
              <w:rPr>
                <w:sz w:val="6"/>
                <w:szCs w:val="6"/>
                <w:lang w:eastAsia="tr-TR"/>
              </w:rPr>
              <w:t> </w:t>
            </w:r>
          </w:p>
        </w:tc>
        <w:tc>
          <w:tcPr>
            <w:tcW w:w="549" w:type="dxa"/>
            <w:tcBorders>
              <w:top w:val="nil"/>
              <w:left w:val="single" w:sz="4" w:space="0" w:color="auto"/>
              <w:bottom w:val="single" w:sz="8" w:space="0" w:color="auto"/>
              <w:right w:val="single" w:sz="4" w:space="0" w:color="auto"/>
            </w:tcBorders>
            <w:shd w:val="clear" w:color="auto" w:fill="auto"/>
            <w:vAlign w:val="center"/>
            <w:hideMark/>
          </w:tcPr>
          <w:p w14:paraId="4F68E851" w14:textId="77777777" w:rsidR="00F25246" w:rsidRPr="00311DAB" w:rsidRDefault="00F25246" w:rsidP="00F25246">
            <w:pPr>
              <w:jc w:val="right"/>
              <w:rPr>
                <w:sz w:val="6"/>
                <w:szCs w:val="6"/>
                <w:lang w:eastAsia="tr-TR"/>
              </w:rPr>
            </w:pPr>
            <w:r w:rsidRPr="00311DAB">
              <w:rPr>
                <w:sz w:val="6"/>
                <w:szCs w:val="6"/>
                <w:lang w:eastAsia="tr-TR"/>
              </w:rPr>
              <w:t> </w:t>
            </w:r>
          </w:p>
        </w:tc>
        <w:tc>
          <w:tcPr>
            <w:tcW w:w="571" w:type="dxa"/>
            <w:tcBorders>
              <w:top w:val="nil"/>
              <w:left w:val="single" w:sz="4" w:space="0" w:color="auto"/>
              <w:bottom w:val="single" w:sz="8" w:space="0" w:color="auto"/>
              <w:right w:val="single" w:sz="4" w:space="0" w:color="auto"/>
            </w:tcBorders>
            <w:shd w:val="clear" w:color="auto" w:fill="auto"/>
            <w:vAlign w:val="center"/>
            <w:hideMark/>
          </w:tcPr>
          <w:p w14:paraId="06A53EE6" w14:textId="77777777" w:rsidR="00F25246" w:rsidRPr="00311DAB" w:rsidRDefault="00F25246" w:rsidP="00F25246">
            <w:pPr>
              <w:jc w:val="right"/>
              <w:rPr>
                <w:sz w:val="6"/>
                <w:szCs w:val="6"/>
                <w:lang w:eastAsia="tr-TR"/>
              </w:rPr>
            </w:pPr>
            <w:r w:rsidRPr="00311DAB">
              <w:rPr>
                <w:sz w:val="6"/>
                <w:szCs w:val="6"/>
                <w:lang w:eastAsia="tr-TR"/>
              </w:rPr>
              <w:t> </w:t>
            </w:r>
          </w:p>
        </w:tc>
        <w:tc>
          <w:tcPr>
            <w:tcW w:w="788" w:type="dxa"/>
            <w:tcBorders>
              <w:top w:val="nil"/>
              <w:left w:val="single" w:sz="4" w:space="0" w:color="auto"/>
              <w:bottom w:val="single" w:sz="8" w:space="0" w:color="auto"/>
              <w:right w:val="single" w:sz="4" w:space="0" w:color="auto"/>
            </w:tcBorders>
            <w:shd w:val="clear" w:color="auto" w:fill="auto"/>
            <w:vAlign w:val="center"/>
            <w:hideMark/>
          </w:tcPr>
          <w:p w14:paraId="0C6ABE5F" w14:textId="77777777" w:rsidR="00F25246" w:rsidRPr="00311DAB" w:rsidRDefault="00F25246" w:rsidP="00F25246">
            <w:pPr>
              <w:jc w:val="right"/>
              <w:rPr>
                <w:sz w:val="6"/>
                <w:szCs w:val="6"/>
                <w:lang w:eastAsia="tr-TR"/>
              </w:rPr>
            </w:pPr>
            <w:r w:rsidRPr="00311DAB">
              <w:rPr>
                <w:sz w:val="6"/>
                <w:szCs w:val="6"/>
                <w:lang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hideMark/>
          </w:tcPr>
          <w:p w14:paraId="7615FA8E" w14:textId="77777777" w:rsidR="00F25246" w:rsidRPr="00311DAB" w:rsidRDefault="00F25246" w:rsidP="00F25246">
            <w:pPr>
              <w:jc w:val="right"/>
              <w:rPr>
                <w:sz w:val="6"/>
                <w:szCs w:val="6"/>
                <w:lang w:eastAsia="tr-TR"/>
              </w:rPr>
            </w:pPr>
            <w:r w:rsidRPr="00311DAB">
              <w:rPr>
                <w:sz w:val="6"/>
                <w:szCs w:val="6"/>
                <w:lang w:eastAsia="tr-TR"/>
              </w:rPr>
              <w:t> </w:t>
            </w:r>
          </w:p>
        </w:tc>
        <w:tc>
          <w:tcPr>
            <w:tcW w:w="873" w:type="dxa"/>
            <w:tcBorders>
              <w:top w:val="nil"/>
              <w:left w:val="single" w:sz="4" w:space="0" w:color="auto"/>
              <w:bottom w:val="single" w:sz="8" w:space="0" w:color="auto"/>
              <w:right w:val="single" w:sz="4" w:space="0" w:color="auto"/>
            </w:tcBorders>
            <w:shd w:val="clear" w:color="auto" w:fill="auto"/>
            <w:vAlign w:val="center"/>
            <w:hideMark/>
          </w:tcPr>
          <w:p w14:paraId="443A14B1" w14:textId="77777777" w:rsidR="00F25246" w:rsidRPr="00311DAB" w:rsidRDefault="00F25246" w:rsidP="00F25246">
            <w:pPr>
              <w:jc w:val="right"/>
              <w:rPr>
                <w:sz w:val="6"/>
                <w:szCs w:val="6"/>
                <w:lang w:eastAsia="tr-TR"/>
              </w:rPr>
            </w:pPr>
            <w:r w:rsidRPr="00311DAB">
              <w:rPr>
                <w:sz w:val="6"/>
                <w:szCs w:val="6"/>
                <w:lang w:eastAsia="tr-TR"/>
              </w:rPr>
              <w:t> </w:t>
            </w:r>
          </w:p>
        </w:tc>
        <w:tc>
          <w:tcPr>
            <w:tcW w:w="726" w:type="dxa"/>
            <w:tcBorders>
              <w:top w:val="nil"/>
              <w:left w:val="single" w:sz="4" w:space="0" w:color="auto"/>
              <w:bottom w:val="single" w:sz="8" w:space="0" w:color="auto"/>
              <w:right w:val="single" w:sz="4" w:space="0" w:color="auto"/>
            </w:tcBorders>
            <w:shd w:val="clear" w:color="auto" w:fill="auto"/>
            <w:vAlign w:val="center"/>
            <w:hideMark/>
          </w:tcPr>
          <w:p w14:paraId="0338B4EE" w14:textId="77777777" w:rsidR="00F25246" w:rsidRPr="00311DAB" w:rsidRDefault="00F25246" w:rsidP="00F25246">
            <w:pPr>
              <w:jc w:val="right"/>
              <w:rPr>
                <w:sz w:val="6"/>
                <w:szCs w:val="6"/>
                <w:lang w:eastAsia="tr-TR"/>
              </w:rPr>
            </w:pPr>
            <w:r w:rsidRPr="00311DAB">
              <w:rPr>
                <w:sz w:val="6"/>
                <w:szCs w:val="6"/>
                <w:lang w:eastAsia="tr-TR"/>
              </w:rPr>
              <w:t> </w:t>
            </w:r>
          </w:p>
        </w:tc>
        <w:tc>
          <w:tcPr>
            <w:tcW w:w="594" w:type="dxa"/>
            <w:tcBorders>
              <w:top w:val="nil"/>
              <w:left w:val="single" w:sz="4" w:space="0" w:color="auto"/>
              <w:bottom w:val="single" w:sz="8" w:space="0" w:color="auto"/>
              <w:right w:val="single" w:sz="4" w:space="0" w:color="auto"/>
            </w:tcBorders>
            <w:shd w:val="clear" w:color="auto" w:fill="auto"/>
            <w:vAlign w:val="center"/>
            <w:hideMark/>
          </w:tcPr>
          <w:p w14:paraId="3181ADC8" w14:textId="77777777" w:rsidR="00F25246" w:rsidRPr="00311DAB" w:rsidRDefault="00F25246" w:rsidP="00F25246">
            <w:pPr>
              <w:jc w:val="right"/>
              <w:rPr>
                <w:sz w:val="6"/>
                <w:szCs w:val="6"/>
                <w:lang w:eastAsia="tr-TR"/>
              </w:rPr>
            </w:pPr>
            <w:r w:rsidRPr="00311DAB">
              <w:rPr>
                <w:sz w:val="6"/>
                <w:szCs w:val="6"/>
                <w:lang w:eastAsia="tr-TR"/>
              </w:rPr>
              <w:t> </w:t>
            </w:r>
          </w:p>
        </w:tc>
      </w:tr>
      <w:tr w:rsidR="00D42791" w:rsidRPr="00F25246" w14:paraId="564BD7E2" w14:textId="77777777" w:rsidTr="002E368F">
        <w:trPr>
          <w:divId w:val="36128962"/>
          <w:trHeight w:val="3"/>
        </w:trPr>
        <w:tc>
          <w:tcPr>
            <w:tcW w:w="419" w:type="dxa"/>
            <w:tcBorders>
              <w:top w:val="nil"/>
              <w:left w:val="single" w:sz="4" w:space="0" w:color="auto"/>
              <w:bottom w:val="single" w:sz="4" w:space="0" w:color="auto"/>
              <w:right w:val="single" w:sz="4" w:space="0" w:color="auto"/>
            </w:tcBorders>
            <w:shd w:val="clear" w:color="auto" w:fill="auto"/>
            <w:noWrap/>
            <w:vAlign w:val="bottom"/>
            <w:hideMark/>
          </w:tcPr>
          <w:p w14:paraId="02F6D4BB" w14:textId="77777777" w:rsidR="00F25246" w:rsidRPr="00F25246" w:rsidRDefault="00F25246" w:rsidP="00F25246">
            <w:pPr>
              <w:rPr>
                <w:color w:val="000000"/>
                <w:lang w:eastAsia="tr-TR"/>
              </w:rPr>
            </w:pPr>
            <w:r w:rsidRPr="00F25246">
              <w:rPr>
                <w:color w:val="000000"/>
                <w:lang w:eastAsia="tr-TR"/>
              </w:rPr>
              <w:t> </w:t>
            </w:r>
          </w:p>
        </w:tc>
        <w:tc>
          <w:tcPr>
            <w:tcW w:w="2019" w:type="dxa"/>
            <w:tcBorders>
              <w:top w:val="nil"/>
              <w:left w:val="single" w:sz="4" w:space="0" w:color="auto"/>
              <w:bottom w:val="single" w:sz="4" w:space="0" w:color="auto"/>
              <w:right w:val="single" w:sz="4" w:space="0" w:color="auto"/>
            </w:tcBorders>
            <w:shd w:val="clear" w:color="auto" w:fill="auto"/>
            <w:noWrap/>
            <w:vAlign w:val="center"/>
            <w:hideMark/>
          </w:tcPr>
          <w:p w14:paraId="524BB70A" w14:textId="77777777" w:rsidR="00F25246" w:rsidRPr="00F25246" w:rsidRDefault="00F25246" w:rsidP="00F25246">
            <w:pPr>
              <w:rPr>
                <w:b/>
                <w:bCs/>
                <w:color w:val="000000"/>
                <w:sz w:val="10"/>
                <w:szCs w:val="10"/>
                <w:lang w:eastAsia="tr-TR"/>
              </w:rPr>
            </w:pPr>
            <w:proofErr w:type="spellStart"/>
            <w:r w:rsidRPr="00F25246">
              <w:rPr>
                <w:b/>
                <w:bCs/>
                <w:color w:val="000000"/>
                <w:sz w:val="10"/>
                <w:szCs w:val="10"/>
                <w:lang w:val="en-US" w:eastAsia="tr-TR"/>
              </w:rPr>
              <w:t>Dönem</w:t>
            </w:r>
            <w:proofErr w:type="spellEnd"/>
            <w:r w:rsidRPr="00F25246">
              <w:rPr>
                <w:b/>
                <w:bCs/>
                <w:color w:val="000000"/>
                <w:sz w:val="10"/>
                <w:szCs w:val="10"/>
                <w:lang w:val="en-US" w:eastAsia="tr-TR"/>
              </w:rPr>
              <w:t xml:space="preserve"> </w:t>
            </w:r>
            <w:proofErr w:type="spellStart"/>
            <w:r w:rsidRPr="00F25246">
              <w:rPr>
                <w:b/>
                <w:bCs/>
                <w:color w:val="000000"/>
                <w:sz w:val="10"/>
                <w:szCs w:val="10"/>
                <w:lang w:val="en-US" w:eastAsia="tr-TR"/>
              </w:rPr>
              <w:t>Sonu</w:t>
            </w:r>
            <w:proofErr w:type="spellEnd"/>
            <w:r w:rsidRPr="00F25246">
              <w:rPr>
                <w:b/>
                <w:bCs/>
                <w:color w:val="000000"/>
                <w:sz w:val="10"/>
                <w:szCs w:val="10"/>
                <w:lang w:val="en-US" w:eastAsia="tr-TR"/>
              </w:rPr>
              <w:t xml:space="preserve"> </w:t>
            </w:r>
            <w:proofErr w:type="spellStart"/>
            <w:proofErr w:type="gramStart"/>
            <w:r w:rsidRPr="00F25246">
              <w:rPr>
                <w:b/>
                <w:bCs/>
                <w:color w:val="000000"/>
                <w:sz w:val="10"/>
                <w:szCs w:val="10"/>
                <w:lang w:val="en-US" w:eastAsia="tr-TR"/>
              </w:rPr>
              <w:t>Bakiyesi</w:t>
            </w:r>
            <w:proofErr w:type="spellEnd"/>
            <w:r w:rsidRPr="00F25246">
              <w:rPr>
                <w:b/>
                <w:bCs/>
                <w:color w:val="000000"/>
                <w:sz w:val="10"/>
                <w:szCs w:val="10"/>
                <w:lang w:val="en-US" w:eastAsia="tr-TR"/>
              </w:rPr>
              <w:t xml:space="preserve">  (</w:t>
            </w:r>
            <w:proofErr w:type="gramEnd"/>
            <w:r w:rsidRPr="00F25246">
              <w:rPr>
                <w:b/>
                <w:bCs/>
                <w:color w:val="000000"/>
                <w:sz w:val="10"/>
                <w:szCs w:val="10"/>
                <w:lang w:val="en-US" w:eastAsia="tr-TR"/>
              </w:rPr>
              <w:t>III+IV+…...+X+XI)</w:t>
            </w:r>
          </w:p>
        </w:tc>
        <w:tc>
          <w:tcPr>
            <w:tcW w:w="614"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DB9E1D0" w14:textId="77777777" w:rsidR="00F25246" w:rsidRPr="00F25246" w:rsidRDefault="00F25246" w:rsidP="00311DAB">
            <w:pPr>
              <w:ind w:left="-80"/>
              <w:jc w:val="right"/>
              <w:rPr>
                <w:b/>
                <w:bCs/>
                <w:color w:val="000000"/>
                <w:sz w:val="10"/>
                <w:szCs w:val="10"/>
                <w:lang w:eastAsia="tr-TR"/>
              </w:rPr>
            </w:pPr>
            <w:r w:rsidRPr="00F25246">
              <w:rPr>
                <w:b/>
                <w:bCs/>
                <w:color w:val="000000"/>
                <w:sz w:val="10"/>
                <w:szCs w:val="10"/>
                <w:lang w:val="en-US" w:eastAsia="tr-TR"/>
              </w:rPr>
              <w:t>(5.2.11.)</w:t>
            </w:r>
          </w:p>
        </w:tc>
        <w:tc>
          <w:tcPr>
            <w:tcW w:w="727" w:type="dxa"/>
            <w:tcBorders>
              <w:top w:val="nil"/>
              <w:left w:val="single" w:sz="4" w:space="0" w:color="auto"/>
              <w:bottom w:val="single" w:sz="4" w:space="0" w:color="auto"/>
              <w:right w:val="single" w:sz="4" w:space="0" w:color="auto"/>
            </w:tcBorders>
            <w:shd w:val="clear" w:color="auto" w:fill="auto"/>
            <w:vAlign w:val="center"/>
            <w:hideMark/>
          </w:tcPr>
          <w:p w14:paraId="1F18B79D" w14:textId="77777777" w:rsidR="00F25246" w:rsidRPr="00F25246" w:rsidRDefault="00F25246" w:rsidP="00F25246">
            <w:pPr>
              <w:jc w:val="right"/>
              <w:rPr>
                <w:b/>
                <w:sz w:val="10"/>
                <w:szCs w:val="10"/>
                <w:lang w:eastAsia="tr-TR"/>
              </w:rPr>
            </w:pPr>
            <w:r w:rsidRPr="00F25246">
              <w:rPr>
                <w:b/>
                <w:sz w:val="10"/>
                <w:szCs w:val="18"/>
                <w:lang w:eastAsia="tr-TR"/>
              </w:rPr>
              <w:t>4,595,131</w:t>
            </w:r>
          </w:p>
        </w:tc>
        <w:tc>
          <w:tcPr>
            <w:tcW w:w="872" w:type="dxa"/>
            <w:tcBorders>
              <w:top w:val="nil"/>
              <w:left w:val="single" w:sz="4" w:space="0" w:color="auto"/>
              <w:bottom w:val="single" w:sz="4" w:space="0" w:color="auto"/>
              <w:right w:val="single" w:sz="4" w:space="0" w:color="auto"/>
            </w:tcBorders>
            <w:shd w:val="clear" w:color="auto" w:fill="auto"/>
            <w:vAlign w:val="center"/>
            <w:hideMark/>
          </w:tcPr>
          <w:p w14:paraId="1248CDB7" w14:textId="77777777" w:rsidR="00F25246" w:rsidRPr="00F25246" w:rsidRDefault="00F25246" w:rsidP="00F25246">
            <w:pPr>
              <w:jc w:val="right"/>
              <w:rPr>
                <w:b/>
                <w:sz w:val="10"/>
                <w:szCs w:val="10"/>
                <w:lang w:eastAsia="tr-TR"/>
              </w:rPr>
            </w:pPr>
            <w:r w:rsidRPr="00F25246">
              <w:rPr>
                <w:b/>
                <w:sz w:val="10"/>
                <w:szCs w:val="18"/>
                <w:lang w:eastAsia="tr-TR"/>
              </w:rPr>
              <w:t>23,250</w:t>
            </w:r>
          </w:p>
        </w:tc>
        <w:tc>
          <w:tcPr>
            <w:tcW w:w="727" w:type="dxa"/>
            <w:tcBorders>
              <w:top w:val="nil"/>
              <w:left w:val="single" w:sz="4" w:space="0" w:color="auto"/>
              <w:bottom w:val="single" w:sz="4" w:space="0" w:color="auto"/>
              <w:right w:val="single" w:sz="4" w:space="0" w:color="auto"/>
            </w:tcBorders>
            <w:shd w:val="clear" w:color="auto" w:fill="auto"/>
            <w:vAlign w:val="center"/>
            <w:hideMark/>
          </w:tcPr>
          <w:p w14:paraId="0E08AA7E" w14:textId="77777777" w:rsidR="00F25246" w:rsidRPr="00F25246" w:rsidRDefault="00F25246" w:rsidP="00F25246">
            <w:pPr>
              <w:jc w:val="right"/>
              <w:rPr>
                <w:b/>
                <w:sz w:val="10"/>
                <w:szCs w:val="10"/>
                <w:lang w:eastAsia="tr-TR"/>
              </w:rPr>
            </w:pPr>
            <w:r w:rsidRPr="00F25246">
              <w:rPr>
                <w:b/>
                <w:sz w:val="10"/>
                <w:szCs w:val="18"/>
                <w:lang w:eastAsia="tr-TR"/>
              </w:rPr>
              <w:t>1,874</w:t>
            </w:r>
          </w:p>
        </w:tc>
        <w:tc>
          <w:tcPr>
            <w:tcW w:w="873" w:type="dxa"/>
            <w:tcBorders>
              <w:top w:val="nil"/>
              <w:left w:val="single" w:sz="4" w:space="0" w:color="auto"/>
              <w:bottom w:val="single" w:sz="4" w:space="0" w:color="auto"/>
              <w:right w:val="single" w:sz="4" w:space="0" w:color="auto"/>
            </w:tcBorders>
            <w:shd w:val="clear" w:color="auto" w:fill="auto"/>
            <w:vAlign w:val="center"/>
            <w:hideMark/>
          </w:tcPr>
          <w:p w14:paraId="7D816269" w14:textId="77777777" w:rsidR="00F25246" w:rsidRPr="00F25246" w:rsidRDefault="00F25246" w:rsidP="00F25246">
            <w:pPr>
              <w:jc w:val="right"/>
              <w:rPr>
                <w:b/>
                <w:sz w:val="10"/>
                <w:szCs w:val="10"/>
                <w:lang w:eastAsia="tr-TR"/>
              </w:rPr>
            </w:pPr>
            <w:r w:rsidRPr="00F25246">
              <w:rPr>
                <w:b/>
                <w:sz w:val="10"/>
                <w:szCs w:val="18"/>
                <w:lang w:eastAsia="tr-TR"/>
              </w:rPr>
              <w:t>-</w:t>
            </w:r>
          </w:p>
        </w:tc>
        <w:tc>
          <w:tcPr>
            <w:tcW w:w="581" w:type="dxa"/>
            <w:tcBorders>
              <w:top w:val="nil"/>
              <w:left w:val="single" w:sz="4" w:space="0" w:color="auto"/>
              <w:bottom w:val="single" w:sz="4" w:space="0" w:color="auto"/>
              <w:right w:val="single" w:sz="4" w:space="0" w:color="auto"/>
            </w:tcBorders>
            <w:shd w:val="clear" w:color="auto" w:fill="auto"/>
            <w:vAlign w:val="center"/>
            <w:hideMark/>
          </w:tcPr>
          <w:p w14:paraId="67A950A6" w14:textId="77777777" w:rsidR="00F25246" w:rsidRPr="00F25246" w:rsidRDefault="00F25246" w:rsidP="00F25246">
            <w:pPr>
              <w:jc w:val="right"/>
              <w:rPr>
                <w:b/>
                <w:sz w:val="10"/>
                <w:szCs w:val="10"/>
                <w:lang w:eastAsia="tr-TR"/>
              </w:rPr>
            </w:pPr>
            <w:r w:rsidRPr="00F25246">
              <w:rPr>
                <w:b/>
                <w:sz w:val="10"/>
                <w:szCs w:val="18"/>
                <w:lang w:eastAsia="tr-TR"/>
              </w:rPr>
              <w:t>-</w:t>
            </w:r>
          </w:p>
        </w:tc>
        <w:tc>
          <w:tcPr>
            <w:tcW w:w="581" w:type="dxa"/>
            <w:tcBorders>
              <w:top w:val="nil"/>
              <w:left w:val="single" w:sz="4" w:space="0" w:color="auto"/>
              <w:bottom w:val="single" w:sz="4" w:space="0" w:color="auto"/>
              <w:right w:val="single" w:sz="4" w:space="0" w:color="auto"/>
            </w:tcBorders>
            <w:shd w:val="clear" w:color="auto" w:fill="auto"/>
            <w:vAlign w:val="center"/>
            <w:hideMark/>
          </w:tcPr>
          <w:p w14:paraId="6587EFE8" w14:textId="77777777" w:rsidR="00F25246" w:rsidRPr="00F25246" w:rsidRDefault="00F25246" w:rsidP="00F25246">
            <w:pPr>
              <w:jc w:val="right"/>
              <w:rPr>
                <w:b/>
                <w:sz w:val="10"/>
                <w:szCs w:val="10"/>
                <w:lang w:eastAsia="tr-TR"/>
              </w:rPr>
            </w:pPr>
            <w:r w:rsidRPr="00F25246">
              <w:rPr>
                <w:b/>
                <w:sz w:val="10"/>
                <w:szCs w:val="18"/>
                <w:lang w:eastAsia="tr-TR"/>
              </w:rPr>
              <w:t>(19,082)</w:t>
            </w:r>
          </w:p>
        </w:tc>
        <w:tc>
          <w:tcPr>
            <w:tcW w:w="583" w:type="dxa"/>
            <w:tcBorders>
              <w:top w:val="nil"/>
              <w:left w:val="single" w:sz="4" w:space="0" w:color="auto"/>
              <w:bottom w:val="single" w:sz="4" w:space="0" w:color="auto"/>
              <w:right w:val="single" w:sz="4" w:space="0" w:color="auto"/>
            </w:tcBorders>
            <w:shd w:val="clear" w:color="auto" w:fill="auto"/>
            <w:vAlign w:val="center"/>
            <w:hideMark/>
          </w:tcPr>
          <w:p w14:paraId="2B0B7DEF" w14:textId="77777777" w:rsidR="00F25246" w:rsidRPr="00F25246" w:rsidRDefault="00F25246" w:rsidP="00F25246">
            <w:pPr>
              <w:jc w:val="right"/>
              <w:rPr>
                <w:b/>
                <w:sz w:val="10"/>
                <w:szCs w:val="10"/>
                <w:lang w:eastAsia="tr-TR"/>
              </w:rPr>
            </w:pPr>
            <w:r w:rsidRPr="00F25246">
              <w:rPr>
                <w:b/>
                <w:sz w:val="10"/>
                <w:szCs w:val="18"/>
                <w:lang w:eastAsia="tr-TR"/>
              </w:rPr>
              <w:t>-</w:t>
            </w:r>
          </w:p>
        </w:tc>
        <w:tc>
          <w:tcPr>
            <w:tcW w:w="435" w:type="dxa"/>
            <w:tcBorders>
              <w:top w:val="nil"/>
              <w:left w:val="single" w:sz="4" w:space="0" w:color="auto"/>
              <w:bottom w:val="single" w:sz="4" w:space="0" w:color="auto"/>
              <w:right w:val="single" w:sz="4" w:space="0" w:color="auto"/>
            </w:tcBorders>
            <w:shd w:val="clear" w:color="auto" w:fill="auto"/>
            <w:vAlign w:val="center"/>
            <w:hideMark/>
          </w:tcPr>
          <w:p w14:paraId="72EB0DD1" w14:textId="77777777" w:rsidR="00F25246" w:rsidRPr="00F25246" w:rsidRDefault="00F25246" w:rsidP="00F25246">
            <w:pPr>
              <w:jc w:val="right"/>
              <w:rPr>
                <w:b/>
                <w:sz w:val="10"/>
                <w:szCs w:val="10"/>
                <w:lang w:eastAsia="tr-TR"/>
              </w:rPr>
            </w:pPr>
            <w:r w:rsidRPr="00F25246">
              <w:rPr>
                <w:b/>
                <w:sz w:val="10"/>
                <w:szCs w:val="18"/>
                <w:lang w:eastAsia="tr-TR"/>
              </w:rPr>
              <w:t>-</w:t>
            </w:r>
          </w:p>
        </w:tc>
        <w:tc>
          <w:tcPr>
            <w:tcW w:w="727" w:type="dxa"/>
            <w:tcBorders>
              <w:top w:val="nil"/>
              <w:left w:val="single" w:sz="4" w:space="0" w:color="auto"/>
              <w:bottom w:val="single" w:sz="4" w:space="0" w:color="auto"/>
              <w:right w:val="single" w:sz="4" w:space="0" w:color="auto"/>
            </w:tcBorders>
            <w:shd w:val="clear" w:color="auto" w:fill="auto"/>
            <w:vAlign w:val="center"/>
            <w:hideMark/>
          </w:tcPr>
          <w:p w14:paraId="3E7DFC84" w14:textId="77777777" w:rsidR="00F25246" w:rsidRPr="00F25246" w:rsidRDefault="00F25246" w:rsidP="00F25246">
            <w:pPr>
              <w:jc w:val="right"/>
              <w:rPr>
                <w:b/>
                <w:bCs/>
                <w:sz w:val="10"/>
                <w:szCs w:val="10"/>
                <w:lang w:eastAsia="tr-TR"/>
              </w:rPr>
            </w:pPr>
            <w:r w:rsidRPr="00F25246">
              <w:rPr>
                <w:b/>
                <w:sz w:val="10"/>
                <w:szCs w:val="18"/>
                <w:lang w:eastAsia="tr-TR"/>
              </w:rPr>
              <w:t>(</w:t>
            </w:r>
            <w:r w:rsidRPr="00F25246">
              <w:rPr>
                <w:b/>
                <w:sz w:val="10"/>
                <w:szCs w:val="10"/>
                <w:lang w:eastAsia="tr-TR"/>
              </w:rPr>
              <w:t>133,889</w:t>
            </w:r>
            <w:r w:rsidRPr="00F25246">
              <w:rPr>
                <w:b/>
                <w:bCs/>
                <w:sz w:val="10"/>
                <w:szCs w:val="10"/>
                <w:lang w:eastAsia="tr-TR"/>
              </w:rPr>
              <w:t>)</w:t>
            </w:r>
          </w:p>
        </w:tc>
        <w:tc>
          <w:tcPr>
            <w:tcW w:w="549" w:type="dxa"/>
            <w:tcBorders>
              <w:top w:val="nil"/>
              <w:left w:val="single" w:sz="4" w:space="0" w:color="auto"/>
              <w:bottom w:val="single" w:sz="4" w:space="0" w:color="auto"/>
              <w:right w:val="single" w:sz="4" w:space="0" w:color="auto"/>
            </w:tcBorders>
            <w:shd w:val="clear" w:color="auto" w:fill="auto"/>
            <w:vAlign w:val="center"/>
            <w:hideMark/>
          </w:tcPr>
          <w:p w14:paraId="024D3BE2" w14:textId="77777777" w:rsidR="00F25246" w:rsidRPr="00F25246" w:rsidRDefault="00F25246" w:rsidP="00F25246">
            <w:pPr>
              <w:jc w:val="right"/>
              <w:rPr>
                <w:b/>
                <w:sz w:val="10"/>
                <w:szCs w:val="18"/>
                <w:lang w:eastAsia="tr-TR"/>
              </w:rPr>
            </w:pPr>
            <w:r w:rsidRPr="00F25246">
              <w:rPr>
                <w:b/>
                <w:sz w:val="10"/>
                <w:szCs w:val="18"/>
                <w:lang w:eastAsia="tr-TR"/>
              </w:rPr>
              <w:t>-</w:t>
            </w:r>
          </w:p>
        </w:tc>
        <w:tc>
          <w:tcPr>
            <w:tcW w:w="571" w:type="dxa"/>
            <w:tcBorders>
              <w:top w:val="nil"/>
              <w:left w:val="single" w:sz="4" w:space="0" w:color="auto"/>
              <w:bottom w:val="single" w:sz="4" w:space="0" w:color="auto"/>
              <w:right w:val="single" w:sz="4" w:space="0" w:color="auto"/>
            </w:tcBorders>
            <w:shd w:val="clear" w:color="auto" w:fill="auto"/>
            <w:vAlign w:val="center"/>
            <w:hideMark/>
          </w:tcPr>
          <w:p w14:paraId="67FEFE1A" w14:textId="77777777" w:rsidR="00F25246" w:rsidRPr="00F25246" w:rsidRDefault="00F25246" w:rsidP="00F25246">
            <w:pPr>
              <w:jc w:val="right"/>
              <w:rPr>
                <w:b/>
                <w:sz w:val="10"/>
                <w:szCs w:val="10"/>
                <w:lang w:eastAsia="tr-TR"/>
              </w:rPr>
            </w:pPr>
            <w:r w:rsidRPr="00F25246">
              <w:rPr>
                <w:b/>
                <w:sz w:val="10"/>
                <w:szCs w:val="18"/>
                <w:lang w:eastAsia="tr-TR"/>
              </w:rPr>
              <w:t>1,970,505</w:t>
            </w:r>
          </w:p>
        </w:tc>
        <w:tc>
          <w:tcPr>
            <w:tcW w:w="788" w:type="dxa"/>
            <w:tcBorders>
              <w:top w:val="nil"/>
              <w:left w:val="single" w:sz="4" w:space="0" w:color="auto"/>
              <w:bottom w:val="single" w:sz="4" w:space="0" w:color="auto"/>
              <w:right w:val="single" w:sz="4" w:space="0" w:color="auto"/>
            </w:tcBorders>
            <w:shd w:val="clear" w:color="auto" w:fill="auto"/>
            <w:vAlign w:val="center"/>
            <w:hideMark/>
          </w:tcPr>
          <w:p w14:paraId="3C6723B5" w14:textId="77777777" w:rsidR="00F25246" w:rsidRPr="00F25246" w:rsidRDefault="00F25246" w:rsidP="00F25246">
            <w:pPr>
              <w:jc w:val="right"/>
              <w:rPr>
                <w:b/>
                <w:sz w:val="10"/>
                <w:szCs w:val="10"/>
                <w:lang w:eastAsia="tr-TR"/>
              </w:rPr>
            </w:pPr>
            <w:r w:rsidRPr="00F25246">
              <w:rPr>
                <w:b/>
                <w:sz w:val="10"/>
                <w:szCs w:val="18"/>
                <w:lang w:eastAsia="tr-TR"/>
              </w:rPr>
              <w:t>58,198</w:t>
            </w:r>
          </w:p>
        </w:tc>
        <w:tc>
          <w:tcPr>
            <w:tcW w:w="727" w:type="dxa"/>
            <w:tcBorders>
              <w:top w:val="nil"/>
              <w:left w:val="single" w:sz="4" w:space="0" w:color="auto"/>
              <w:bottom w:val="single" w:sz="4" w:space="0" w:color="auto"/>
              <w:right w:val="single" w:sz="4" w:space="0" w:color="auto"/>
            </w:tcBorders>
            <w:shd w:val="clear" w:color="auto" w:fill="auto"/>
            <w:vAlign w:val="center"/>
            <w:hideMark/>
          </w:tcPr>
          <w:p w14:paraId="5BD1B5B0" w14:textId="77777777" w:rsidR="00F25246" w:rsidRPr="00F25246" w:rsidRDefault="00F25246" w:rsidP="00F25246">
            <w:pPr>
              <w:jc w:val="right"/>
              <w:rPr>
                <w:b/>
                <w:sz w:val="10"/>
                <w:szCs w:val="10"/>
                <w:lang w:eastAsia="tr-TR"/>
              </w:rPr>
            </w:pPr>
            <w:r w:rsidRPr="00F25246">
              <w:rPr>
                <w:b/>
                <w:sz w:val="10"/>
                <w:szCs w:val="18"/>
                <w:lang w:eastAsia="tr-TR"/>
              </w:rPr>
              <w:t>1,036,056</w:t>
            </w:r>
          </w:p>
        </w:tc>
        <w:tc>
          <w:tcPr>
            <w:tcW w:w="873" w:type="dxa"/>
            <w:tcBorders>
              <w:top w:val="nil"/>
              <w:left w:val="single" w:sz="4" w:space="0" w:color="auto"/>
              <w:bottom w:val="single" w:sz="4" w:space="0" w:color="auto"/>
              <w:right w:val="single" w:sz="4" w:space="0" w:color="auto"/>
            </w:tcBorders>
            <w:shd w:val="clear" w:color="auto" w:fill="auto"/>
            <w:vAlign w:val="center"/>
            <w:hideMark/>
          </w:tcPr>
          <w:p w14:paraId="17340019" w14:textId="77777777" w:rsidR="00F25246" w:rsidRPr="00F25246" w:rsidRDefault="00F25246" w:rsidP="00F25246">
            <w:pPr>
              <w:jc w:val="right"/>
              <w:rPr>
                <w:b/>
                <w:sz w:val="10"/>
                <w:szCs w:val="10"/>
                <w:lang w:eastAsia="tr-TR"/>
              </w:rPr>
            </w:pPr>
            <w:r w:rsidRPr="00F25246">
              <w:rPr>
                <w:b/>
                <w:sz w:val="10"/>
                <w:szCs w:val="18"/>
                <w:lang w:eastAsia="tr-TR"/>
              </w:rPr>
              <w:t>7,532,043</w:t>
            </w:r>
          </w:p>
        </w:tc>
        <w:tc>
          <w:tcPr>
            <w:tcW w:w="726" w:type="dxa"/>
            <w:tcBorders>
              <w:top w:val="nil"/>
              <w:left w:val="single" w:sz="4" w:space="0" w:color="auto"/>
              <w:bottom w:val="single" w:sz="4" w:space="0" w:color="auto"/>
              <w:right w:val="single" w:sz="4" w:space="0" w:color="auto"/>
            </w:tcBorders>
            <w:shd w:val="clear" w:color="auto" w:fill="auto"/>
            <w:vAlign w:val="center"/>
            <w:hideMark/>
          </w:tcPr>
          <w:p w14:paraId="40F48CC8" w14:textId="77777777" w:rsidR="00F25246" w:rsidRPr="00F25246" w:rsidRDefault="00F25246" w:rsidP="00F25246">
            <w:pPr>
              <w:jc w:val="right"/>
              <w:rPr>
                <w:b/>
                <w:sz w:val="10"/>
                <w:szCs w:val="10"/>
                <w:lang w:eastAsia="tr-TR"/>
              </w:rPr>
            </w:pPr>
            <w:r w:rsidRPr="00F25246">
              <w:rPr>
                <w:b/>
                <w:sz w:val="10"/>
                <w:szCs w:val="18"/>
                <w:lang w:eastAsia="tr-TR"/>
              </w:rPr>
              <w:t>-</w:t>
            </w:r>
          </w:p>
        </w:tc>
        <w:tc>
          <w:tcPr>
            <w:tcW w:w="594" w:type="dxa"/>
            <w:tcBorders>
              <w:top w:val="nil"/>
              <w:left w:val="single" w:sz="4" w:space="0" w:color="auto"/>
              <w:bottom w:val="single" w:sz="4" w:space="0" w:color="auto"/>
              <w:right w:val="single" w:sz="4" w:space="0" w:color="auto"/>
            </w:tcBorders>
            <w:shd w:val="clear" w:color="auto" w:fill="auto"/>
            <w:vAlign w:val="center"/>
            <w:hideMark/>
          </w:tcPr>
          <w:p w14:paraId="00C9BC5C" w14:textId="77777777" w:rsidR="00F25246" w:rsidRPr="00F25246" w:rsidRDefault="00F25246" w:rsidP="00F25246">
            <w:pPr>
              <w:jc w:val="right"/>
              <w:rPr>
                <w:b/>
                <w:sz w:val="10"/>
                <w:szCs w:val="10"/>
                <w:lang w:eastAsia="tr-TR"/>
              </w:rPr>
            </w:pPr>
            <w:r w:rsidRPr="00F25246">
              <w:rPr>
                <w:b/>
                <w:sz w:val="10"/>
                <w:szCs w:val="18"/>
                <w:lang w:eastAsia="tr-TR"/>
              </w:rPr>
              <w:t>7,532,043</w:t>
            </w:r>
          </w:p>
        </w:tc>
      </w:tr>
    </w:tbl>
    <w:p w14:paraId="218B5799" w14:textId="7C0BF980" w:rsidR="00B420B8" w:rsidRPr="00004514" w:rsidRDefault="00B420B8" w:rsidP="00A81DF8">
      <w:pPr>
        <w:rPr>
          <w:sz w:val="11"/>
          <w:szCs w:val="11"/>
        </w:rPr>
      </w:pPr>
    </w:p>
    <w:tbl>
      <w:tblPr>
        <w:tblW w:w="13099" w:type="dxa"/>
        <w:tblInd w:w="108" w:type="dxa"/>
        <w:tblLook w:val="04A0" w:firstRow="1" w:lastRow="0" w:firstColumn="1" w:lastColumn="0" w:noHBand="0" w:noVBand="1"/>
      </w:tblPr>
      <w:tblGrid>
        <w:gridCol w:w="13099"/>
      </w:tblGrid>
      <w:tr w:rsidR="00F337B6" w:rsidRPr="00004514" w14:paraId="03375065" w14:textId="77777777" w:rsidTr="00140893">
        <w:trPr>
          <w:trHeight w:val="132"/>
        </w:trPr>
        <w:tc>
          <w:tcPr>
            <w:tcW w:w="13099" w:type="dxa"/>
            <w:tcBorders>
              <w:top w:val="nil"/>
              <w:left w:val="nil"/>
              <w:bottom w:val="nil"/>
              <w:right w:val="nil"/>
            </w:tcBorders>
            <w:shd w:val="clear" w:color="auto" w:fill="auto"/>
            <w:noWrap/>
            <w:vAlign w:val="bottom"/>
            <w:hideMark/>
          </w:tcPr>
          <w:p w14:paraId="3FFEF1AE" w14:textId="77777777" w:rsidR="00F337B6" w:rsidRPr="00004514" w:rsidRDefault="00F337B6" w:rsidP="00C62BB7">
            <w:pPr>
              <w:rPr>
                <w:sz w:val="8"/>
                <w:szCs w:val="10"/>
                <w:lang w:val="en-US"/>
              </w:rPr>
            </w:pPr>
            <w:r w:rsidRPr="00004514">
              <w:rPr>
                <w:sz w:val="8"/>
                <w:szCs w:val="10"/>
              </w:rPr>
              <w:t>1. Duran varlıklar birikmiş yeniden değerleme artışları/azalışları,</w:t>
            </w:r>
          </w:p>
          <w:p w14:paraId="328A6AFE" w14:textId="77777777" w:rsidR="00F337B6" w:rsidRPr="00004514" w:rsidRDefault="00F337B6" w:rsidP="00C62BB7">
            <w:pPr>
              <w:rPr>
                <w:sz w:val="8"/>
                <w:szCs w:val="10"/>
                <w:lang w:val="en-US"/>
              </w:rPr>
            </w:pPr>
            <w:r w:rsidRPr="00004514">
              <w:rPr>
                <w:sz w:val="8"/>
                <w:szCs w:val="10"/>
                <w:lang w:val="en-US"/>
              </w:rPr>
              <w:t xml:space="preserve">2. </w:t>
            </w:r>
            <w:proofErr w:type="spellStart"/>
            <w:r w:rsidRPr="00004514">
              <w:rPr>
                <w:sz w:val="8"/>
                <w:szCs w:val="10"/>
                <w:lang w:val="en-US"/>
              </w:rPr>
              <w:t>Tanımlanmış</w:t>
            </w:r>
            <w:proofErr w:type="spellEnd"/>
            <w:r w:rsidRPr="00004514">
              <w:rPr>
                <w:sz w:val="8"/>
                <w:szCs w:val="10"/>
                <w:lang w:val="en-US"/>
              </w:rPr>
              <w:t xml:space="preserve"> </w:t>
            </w:r>
            <w:proofErr w:type="spellStart"/>
            <w:r w:rsidRPr="00004514">
              <w:rPr>
                <w:sz w:val="8"/>
                <w:szCs w:val="10"/>
                <w:lang w:val="en-US"/>
              </w:rPr>
              <w:t>fayda</w:t>
            </w:r>
            <w:proofErr w:type="spellEnd"/>
            <w:r w:rsidRPr="00004514">
              <w:rPr>
                <w:sz w:val="8"/>
                <w:szCs w:val="10"/>
                <w:lang w:val="en-US"/>
              </w:rPr>
              <w:t xml:space="preserve"> </w:t>
            </w:r>
            <w:proofErr w:type="spellStart"/>
            <w:r w:rsidRPr="00004514">
              <w:rPr>
                <w:sz w:val="8"/>
                <w:szCs w:val="10"/>
                <w:lang w:val="en-US"/>
              </w:rPr>
              <w:t>planlarının</w:t>
            </w:r>
            <w:proofErr w:type="spellEnd"/>
            <w:r w:rsidRPr="00004514">
              <w:rPr>
                <w:sz w:val="8"/>
                <w:szCs w:val="10"/>
                <w:lang w:val="en-US"/>
              </w:rPr>
              <w:t xml:space="preserve"> </w:t>
            </w:r>
            <w:proofErr w:type="spellStart"/>
            <w:r w:rsidRPr="00004514">
              <w:rPr>
                <w:sz w:val="8"/>
                <w:szCs w:val="10"/>
                <w:lang w:val="en-US"/>
              </w:rPr>
              <w:t>birikmiş</w:t>
            </w:r>
            <w:proofErr w:type="spellEnd"/>
            <w:r w:rsidRPr="00004514">
              <w:rPr>
                <w:sz w:val="8"/>
                <w:szCs w:val="10"/>
                <w:lang w:val="en-US"/>
              </w:rPr>
              <w:t xml:space="preserve"> </w:t>
            </w:r>
            <w:proofErr w:type="spellStart"/>
            <w:r w:rsidRPr="00004514">
              <w:rPr>
                <w:sz w:val="8"/>
                <w:szCs w:val="10"/>
                <w:lang w:val="en-US"/>
              </w:rPr>
              <w:t>yeniden</w:t>
            </w:r>
            <w:proofErr w:type="spellEnd"/>
            <w:r w:rsidRPr="00004514">
              <w:rPr>
                <w:sz w:val="8"/>
                <w:szCs w:val="10"/>
                <w:lang w:val="en-US"/>
              </w:rPr>
              <w:t xml:space="preserve"> </w:t>
            </w:r>
            <w:proofErr w:type="spellStart"/>
            <w:r w:rsidRPr="00004514">
              <w:rPr>
                <w:sz w:val="8"/>
                <w:szCs w:val="10"/>
                <w:lang w:val="en-US"/>
              </w:rPr>
              <w:t>ölçüm</w:t>
            </w:r>
            <w:proofErr w:type="spellEnd"/>
            <w:r w:rsidRPr="00004514">
              <w:rPr>
                <w:sz w:val="8"/>
                <w:szCs w:val="10"/>
                <w:lang w:val="en-US"/>
              </w:rPr>
              <w:t xml:space="preserve"> </w:t>
            </w:r>
            <w:proofErr w:type="spellStart"/>
            <w:r w:rsidRPr="00004514">
              <w:rPr>
                <w:sz w:val="8"/>
                <w:szCs w:val="10"/>
                <w:lang w:val="en-US"/>
              </w:rPr>
              <w:t>kazançları</w:t>
            </w:r>
            <w:proofErr w:type="spellEnd"/>
            <w:r w:rsidRPr="00004514">
              <w:rPr>
                <w:sz w:val="8"/>
                <w:szCs w:val="10"/>
                <w:lang w:val="en-US"/>
              </w:rPr>
              <w:t>/</w:t>
            </w:r>
            <w:proofErr w:type="spellStart"/>
            <w:r w:rsidRPr="00004514">
              <w:rPr>
                <w:sz w:val="8"/>
                <w:szCs w:val="10"/>
                <w:lang w:val="en-US"/>
              </w:rPr>
              <w:t>kayıpları</w:t>
            </w:r>
            <w:proofErr w:type="spellEnd"/>
            <w:r w:rsidRPr="00004514">
              <w:rPr>
                <w:sz w:val="8"/>
                <w:szCs w:val="10"/>
                <w:lang w:val="en-US"/>
              </w:rPr>
              <w:t>,</w:t>
            </w:r>
          </w:p>
        </w:tc>
      </w:tr>
      <w:tr w:rsidR="00F337B6" w:rsidRPr="00004514" w14:paraId="2007CD1A" w14:textId="77777777" w:rsidTr="00140893">
        <w:trPr>
          <w:trHeight w:val="75"/>
        </w:trPr>
        <w:tc>
          <w:tcPr>
            <w:tcW w:w="13099" w:type="dxa"/>
            <w:tcBorders>
              <w:top w:val="nil"/>
              <w:left w:val="nil"/>
              <w:bottom w:val="nil"/>
              <w:right w:val="nil"/>
            </w:tcBorders>
            <w:shd w:val="clear" w:color="auto" w:fill="auto"/>
            <w:noWrap/>
            <w:vAlign w:val="bottom"/>
            <w:hideMark/>
          </w:tcPr>
          <w:p w14:paraId="7C13D60E" w14:textId="77777777" w:rsidR="00F337B6" w:rsidRPr="00004514" w:rsidRDefault="00F337B6" w:rsidP="00C62BB7">
            <w:pPr>
              <w:rPr>
                <w:sz w:val="8"/>
                <w:szCs w:val="10"/>
              </w:rPr>
            </w:pPr>
            <w:r w:rsidRPr="00004514">
              <w:rPr>
                <w:sz w:val="8"/>
                <w:szCs w:val="10"/>
              </w:rPr>
              <w:t>3. Diğer (</w:t>
            </w:r>
            <w:proofErr w:type="spellStart"/>
            <w:r w:rsidRPr="00004514">
              <w:rPr>
                <w:sz w:val="8"/>
                <w:szCs w:val="10"/>
              </w:rPr>
              <w:t>Özkaynak</w:t>
            </w:r>
            <w:proofErr w:type="spellEnd"/>
            <w:r w:rsidRPr="00004514">
              <w:rPr>
                <w:sz w:val="8"/>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004514" w14:paraId="44B7BA09" w14:textId="77777777" w:rsidTr="00140893">
        <w:trPr>
          <w:trHeight w:val="75"/>
        </w:trPr>
        <w:tc>
          <w:tcPr>
            <w:tcW w:w="13099" w:type="dxa"/>
            <w:tcBorders>
              <w:top w:val="nil"/>
              <w:left w:val="nil"/>
              <w:bottom w:val="nil"/>
              <w:right w:val="nil"/>
            </w:tcBorders>
            <w:shd w:val="clear" w:color="auto" w:fill="auto"/>
            <w:noWrap/>
            <w:vAlign w:val="bottom"/>
          </w:tcPr>
          <w:p w14:paraId="288D02F8" w14:textId="6741B7D9" w:rsidR="009E243B" w:rsidRPr="00004514" w:rsidRDefault="009E243B" w:rsidP="00C62BB7">
            <w:pPr>
              <w:rPr>
                <w:sz w:val="8"/>
                <w:szCs w:val="10"/>
              </w:rPr>
            </w:pPr>
            <w:r w:rsidRPr="00004514">
              <w:rPr>
                <w:sz w:val="8"/>
                <w:szCs w:val="10"/>
              </w:rPr>
              <w:t>4. Yabancı para çevrim farkları</w:t>
            </w:r>
          </w:p>
        </w:tc>
      </w:tr>
      <w:tr w:rsidR="009E243B" w:rsidRPr="00004514" w14:paraId="0270434C" w14:textId="77777777" w:rsidTr="00140893">
        <w:trPr>
          <w:trHeight w:val="75"/>
        </w:trPr>
        <w:tc>
          <w:tcPr>
            <w:tcW w:w="13099" w:type="dxa"/>
            <w:tcBorders>
              <w:top w:val="nil"/>
              <w:left w:val="nil"/>
              <w:bottom w:val="nil"/>
              <w:right w:val="nil"/>
            </w:tcBorders>
            <w:shd w:val="clear" w:color="auto" w:fill="auto"/>
            <w:noWrap/>
            <w:vAlign w:val="bottom"/>
          </w:tcPr>
          <w:p w14:paraId="7A289886" w14:textId="6DFA345D" w:rsidR="009E243B" w:rsidRPr="00004514" w:rsidRDefault="009E243B" w:rsidP="009E243B">
            <w:pPr>
              <w:rPr>
                <w:sz w:val="8"/>
                <w:szCs w:val="10"/>
              </w:rPr>
            </w:pPr>
            <w:r w:rsidRPr="00004514">
              <w:rPr>
                <w:sz w:val="8"/>
                <w:szCs w:val="10"/>
              </w:rPr>
              <w:t>5. Gerçeğe uygun değer farkı diğer kapsamlı gelire yansıtılan finansal varlıkların birikmiş yeniden değerleme ve/veya sınıflandırma kazançları/kayıpları,</w:t>
            </w:r>
          </w:p>
        </w:tc>
      </w:tr>
      <w:tr w:rsidR="009E243B" w:rsidRPr="00004514" w14:paraId="613737CC" w14:textId="77777777" w:rsidTr="00140893">
        <w:trPr>
          <w:trHeight w:val="75"/>
        </w:trPr>
        <w:tc>
          <w:tcPr>
            <w:tcW w:w="13099" w:type="dxa"/>
            <w:tcBorders>
              <w:top w:val="nil"/>
              <w:left w:val="nil"/>
              <w:bottom w:val="nil"/>
              <w:right w:val="nil"/>
            </w:tcBorders>
            <w:shd w:val="clear" w:color="auto" w:fill="auto"/>
            <w:noWrap/>
            <w:vAlign w:val="bottom"/>
          </w:tcPr>
          <w:p w14:paraId="44D958FA" w14:textId="32B7CF1E" w:rsidR="009E243B" w:rsidRPr="00004514" w:rsidRDefault="009E243B" w:rsidP="009E243B">
            <w:pPr>
              <w:rPr>
                <w:sz w:val="8"/>
                <w:szCs w:val="10"/>
              </w:rPr>
            </w:pPr>
            <w:r w:rsidRPr="00004514">
              <w:rPr>
                <w:sz w:val="8"/>
                <w:szCs w:val="10"/>
              </w:rPr>
              <w:t xml:space="preserve">6. Diğer (Nakit akış riskinden korunma kazançları/kayıpları, </w:t>
            </w:r>
            <w:proofErr w:type="spellStart"/>
            <w:r w:rsidRPr="00004514">
              <w:rPr>
                <w:sz w:val="8"/>
                <w:szCs w:val="10"/>
              </w:rPr>
              <w:t>özkaynak</w:t>
            </w:r>
            <w:proofErr w:type="spellEnd"/>
            <w:r w:rsidRPr="00004514">
              <w:rPr>
                <w:sz w:val="8"/>
                <w:szCs w:val="10"/>
              </w:rPr>
              <w:t xml:space="preserve">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68CA99EF" w14:textId="77777777" w:rsidR="002E368F" w:rsidRPr="00004514" w:rsidRDefault="002E368F" w:rsidP="008317D1">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rPr>
          <w:sz w:val="10"/>
          <w:szCs w:val="10"/>
        </w:rPr>
      </w:pPr>
    </w:p>
    <w:p w14:paraId="37E319BD" w14:textId="053CC12A" w:rsidR="002E368F" w:rsidRDefault="002E368F"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6CB2BC6" w14:textId="3B5AF14B" w:rsidR="00717AB5" w:rsidRDefault="00717AB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AE7A416" w14:textId="138EB1AB" w:rsidR="00717AB5" w:rsidRDefault="00717AB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442A025" w14:textId="6B06A007" w:rsidR="00717AB5" w:rsidRDefault="00717AB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8361EA8" w14:textId="4F430572" w:rsidR="00717AB5" w:rsidRDefault="00717AB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934CE57" w14:textId="77777777" w:rsidR="00717AB5" w:rsidRPr="00004514" w:rsidRDefault="00717AB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8648556" w14:textId="75A982A4" w:rsidR="008D745E" w:rsidRPr="00B0539F" w:rsidRDefault="0088566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rPr>
        <w:sectPr w:rsidR="008D745E" w:rsidRPr="00B0539F" w:rsidSect="00A07E0F">
          <w:headerReference w:type="default" r:id="rId25"/>
          <w:footerReference w:type="default" r:id="rId26"/>
          <w:pgSz w:w="16840" w:h="11907" w:orient="landscape" w:code="9"/>
          <w:pgMar w:top="1418" w:right="1418" w:bottom="1418" w:left="1418" w:header="357" w:footer="709" w:gutter="0"/>
          <w:pgNumType w:start="8"/>
          <w:cols w:space="708"/>
          <w:noEndnote/>
        </w:sectPr>
      </w:pPr>
      <w:bookmarkStart w:id="5" w:name="_Hlk55891050"/>
      <w:r w:rsidRPr="00004514">
        <w:rPr>
          <w:bCs/>
          <w:i/>
          <w:iCs/>
          <w:sz w:val="14"/>
          <w:szCs w:val="14"/>
        </w:rPr>
        <w:t>İlişikteki notlar bu finansal tabloların tamamlayıcı parçaları</w:t>
      </w:r>
      <w:r w:rsidR="009534EE" w:rsidRPr="00004514">
        <w:rPr>
          <w:bCs/>
          <w:i/>
          <w:iCs/>
          <w:sz w:val="14"/>
          <w:szCs w:val="14"/>
        </w:rPr>
        <w:t>dır</w:t>
      </w:r>
      <w:bookmarkEnd w:id="5"/>
      <w:r w:rsidR="009534EE" w:rsidRPr="00004514">
        <w:rPr>
          <w:bCs/>
          <w:i/>
          <w:iCs/>
          <w:sz w:val="14"/>
          <w:szCs w:val="14"/>
        </w:rPr>
        <w:t>.</w:t>
      </w:r>
      <w:r w:rsidR="003702AD" w:rsidRPr="00B0539F">
        <w:rPr>
          <w:bCs/>
          <w:i/>
          <w:iCs/>
          <w:sz w:val="10"/>
          <w:szCs w:val="10"/>
        </w:rPr>
        <w:t xml:space="preserve">                                                                                                                                                                                       </w:t>
      </w:r>
    </w:p>
    <w:p w14:paraId="635BE5C5" w14:textId="77777777" w:rsidR="00555815" w:rsidRPr="00311DAB" w:rsidRDefault="006C3524" w:rsidP="007C131B">
      <w:pPr>
        <w:pStyle w:val="1tipi"/>
        <w:tabs>
          <w:tab w:val="clear" w:pos="1134"/>
        </w:tabs>
        <w:autoSpaceDE w:val="0"/>
        <w:autoSpaceDN w:val="0"/>
        <w:adjustRightInd w:val="0"/>
        <w:ind w:hanging="567"/>
        <w:rPr>
          <w:rFonts w:ascii="Times New Roman" w:hAnsi="Times New Roman"/>
          <w:b/>
          <w:sz w:val="22"/>
        </w:rPr>
      </w:pPr>
      <w:r w:rsidRPr="00311DAB">
        <w:rPr>
          <w:rFonts w:ascii="Times New Roman" w:hAnsi="Times New Roman"/>
          <w:b/>
          <w:snapToGrid/>
          <w:sz w:val="22"/>
          <w:lang w:eastAsia="en-US"/>
        </w:rPr>
        <w:lastRenderedPageBreak/>
        <w:t>6</w:t>
      </w:r>
      <w:r w:rsidR="00555815" w:rsidRPr="00311DAB">
        <w:rPr>
          <w:rFonts w:ascii="Times New Roman" w:hAnsi="Times New Roman"/>
          <w:b/>
          <w:snapToGrid/>
          <w:sz w:val="22"/>
          <w:lang w:eastAsia="en-US"/>
        </w:rPr>
        <w:t>.</w:t>
      </w:r>
      <w:r w:rsidR="00555815" w:rsidRPr="00311DAB">
        <w:rPr>
          <w:rFonts w:ascii="Times New Roman" w:hAnsi="Times New Roman"/>
          <w:b/>
          <w:snapToGrid/>
          <w:sz w:val="22"/>
          <w:lang w:eastAsia="en-US"/>
        </w:rPr>
        <w:tab/>
      </w:r>
      <w:r w:rsidR="00555815" w:rsidRPr="00311DAB">
        <w:rPr>
          <w:rFonts w:ascii="Times New Roman" w:hAnsi="Times New Roman"/>
          <w:b/>
          <w:sz w:val="22"/>
        </w:rPr>
        <w:t xml:space="preserve">NAKİT AKIŞ TABLOSU </w:t>
      </w:r>
    </w:p>
    <w:p w14:paraId="578A92E0" w14:textId="77777777" w:rsidR="007C131B" w:rsidRPr="00270CE6" w:rsidRDefault="007C131B" w:rsidP="007C131B">
      <w:pPr>
        <w:pStyle w:val="1tipi"/>
        <w:tabs>
          <w:tab w:val="clear" w:pos="1134"/>
        </w:tabs>
        <w:autoSpaceDE w:val="0"/>
        <w:autoSpaceDN w:val="0"/>
        <w:adjustRightInd w:val="0"/>
        <w:ind w:hanging="567"/>
        <w:rPr>
          <w:rFonts w:ascii="Times New Roman" w:hAnsi="Times New Roman"/>
          <w:b/>
          <w:sz w:val="16"/>
          <w:szCs w:val="16"/>
          <w:highlight w:val="yellow"/>
        </w:rPr>
      </w:pPr>
    </w:p>
    <w:tbl>
      <w:tblPr>
        <w:tblW w:w="9303" w:type="dxa"/>
        <w:tblInd w:w="-5" w:type="dxa"/>
        <w:tblLook w:val="04A0" w:firstRow="1" w:lastRow="0" w:firstColumn="1" w:lastColumn="0" w:noHBand="0" w:noVBand="1"/>
      </w:tblPr>
      <w:tblGrid>
        <w:gridCol w:w="541"/>
        <w:gridCol w:w="5442"/>
        <w:gridCol w:w="708"/>
        <w:gridCol w:w="1276"/>
        <w:gridCol w:w="1336"/>
      </w:tblGrid>
      <w:tr w:rsidR="007A72BF" w:rsidRPr="009016C5" w14:paraId="17FD07E8" w14:textId="77777777" w:rsidTr="00717AB5">
        <w:trPr>
          <w:trHeight w:val="122"/>
        </w:trPr>
        <w:tc>
          <w:tcPr>
            <w:tcW w:w="541" w:type="dxa"/>
            <w:tcBorders>
              <w:top w:val="single" w:sz="4" w:space="0" w:color="auto"/>
              <w:left w:val="single" w:sz="4" w:space="0" w:color="auto"/>
              <w:right w:val="single" w:sz="4" w:space="0" w:color="auto"/>
            </w:tcBorders>
            <w:shd w:val="clear" w:color="auto" w:fill="auto"/>
            <w:noWrap/>
            <w:hideMark/>
          </w:tcPr>
          <w:p w14:paraId="7A31932F" w14:textId="77777777" w:rsidR="00A34D92" w:rsidRPr="00311DAB" w:rsidRDefault="00A34D92" w:rsidP="00A34D92">
            <w:pPr>
              <w:autoSpaceDE w:val="0"/>
              <w:autoSpaceDN w:val="0"/>
              <w:adjustRightInd w:val="0"/>
              <w:ind w:left="-108"/>
              <w:rPr>
                <w:b/>
                <w:bCs/>
                <w:sz w:val="13"/>
                <w:szCs w:val="13"/>
              </w:rPr>
            </w:pPr>
          </w:p>
        </w:tc>
        <w:tc>
          <w:tcPr>
            <w:tcW w:w="5442" w:type="dxa"/>
            <w:tcBorders>
              <w:top w:val="single" w:sz="4" w:space="0" w:color="auto"/>
              <w:left w:val="single" w:sz="4" w:space="0" w:color="auto"/>
              <w:right w:val="single" w:sz="4" w:space="0" w:color="auto"/>
            </w:tcBorders>
            <w:shd w:val="clear" w:color="auto" w:fill="auto"/>
            <w:noWrap/>
            <w:hideMark/>
          </w:tcPr>
          <w:p w14:paraId="5AE85CEC" w14:textId="77777777" w:rsidR="00A34D92" w:rsidRPr="00311DAB" w:rsidRDefault="00A34D92" w:rsidP="00A34D92">
            <w:pPr>
              <w:autoSpaceDE w:val="0"/>
              <w:autoSpaceDN w:val="0"/>
              <w:adjustRightInd w:val="0"/>
              <w:rPr>
                <w:b/>
                <w:bCs/>
                <w:sz w:val="13"/>
                <w:szCs w:val="13"/>
              </w:rPr>
            </w:pPr>
          </w:p>
        </w:tc>
        <w:tc>
          <w:tcPr>
            <w:tcW w:w="708" w:type="dxa"/>
            <w:tcBorders>
              <w:top w:val="single" w:sz="4" w:space="0" w:color="auto"/>
              <w:left w:val="single" w:sz="4" w:space="0" w:color="auto"/>
              <w:right w:val="single" w:sz="4" w:space="0" w:color="auto"/>
            </w:tcBorders>
            <w:shd w:val="clear" w:color="auto" w:fill="auto"/>
            <w:noWrap/>
            <w:vAlign w:val="bottom"/>
          </w:tcPr>
          <w:p w14:paraId="1F41A47A" w14:textId="77777777" w:rsidR="00A34D92" w:rsidRPr="00311DAB" w:rsidRDefault="00A34D92" w:rsidP="00A34D92">
            <w:pPr>
              <w:ind w:left="-96" w:right="-108"/>
              <w:jc w:val="right"/>
              <w:rPr>
                <w:b/>
                <w:sz w:val="13"/>
                <w:szCs w:val="13"/>
              </w:rPr>
            </w:pPr>
          </w:p>
        </w:tc>
        <w:tc>
          <w:tcPr>
            <w:tcW w:w="1276" w:type="dxa"/>
            <w:tcBorders>
              <w:top w:val="single" w:sz="4" w:space="0" w:color="auto"/>
              <w:left w:val="single" w:sz="4" w:space="0" w:color="auto"/>
              <w:right w:val="single" w:sz="4" w:space="0" w:color="auto"/>
            </w:tcBorders>
            <w:shd w:val="clear" w:color="auto" w:fill="auto"/>
          </w:tcPr>
          <w:p w14:paraId="6BF61D33" w14:textId="77777777" w:rsidR="00A469DB" w:rsidRPr="009016C5" w:rsidRDefault="00A34D92" w:rsidP="00717AB5">
            <w:pPr>
              <w:ind w:left="-96"/>
              <w:jc w:val="right"/>
              <w:rPr>
                <w:b/>
                <w:sz w:val="14"/>
                <w:szCs w:val="14"/>
              </w:rPr>
            </w:pPr>
            <w:r w:rsidRPr="009016C5">
              <w:rPr>
                <w:b/>
                <w:sz w:val="14"/>
                <w:szCs w:val="14"/>
              </w:rPr>
              <w:t>Bağımsız Sınırlı Denetimden</w:t>
            </w:r>
          </w:p>
          <w:p w14:paraId="344F8E86" w14:textId="39BC4E4C" w:rsidR="00A34D92" w:rsidRPr="009016C5" w:rsidRDefault="00A34D92" w:rsidP="00717AB5">
            <w:pPr>
              <w:ind w:left="-96"/>
              <w:jc w:val="right"/>
              <w:rPr>
                <w:b/>
                <w:sz w:val="14"/>
                <w:szCs w:val="14"/>
              </w:rPr>
            </w:pPr>
            <w:r w:rsidRPr="009016C5">
              <w:rPr>
                <w:b/>
                <w:sz w:val="14"/>
                <w:szCs w:val="14"/>
              </w:rPr>
              <w:t>Geçmiş</w:t>
            </w:r>
          </w:p>
        </w:tc>
        <w:tc>
          <w:tcPr>
            <w:tcW w:w="1336" w:type="dxa"/>
            <w:tcBorders>
              <w:top w:val="single" w:sz="4" w:space="0" w:color="auto"/>
              <w:left w:val="single" w:sz="4" w:space="0" w:color="auto"/>
              <w:right w:val="single" w:sz="4" w:space="0" w:color="auto"/>
            </w:tcBorders>
            <w:shd w:val="clear" w:color="auto" w:fill="auto"/>
            <w:noWrap/>
          </w:tcPr>
          <w:p w14:paraId="3E111646" w14:textId="0814884A" w:rsidR="00A469DB" w:rsidRPr="009016C5" w:rsidRDefault="00A34D92" w:rsidP="00717AB5">
            <w:pPr>
              <w:ind w:left="-96"/>
              <w:jc w:val="right"/>
              <w:rPr>
                <w:b/>
                <w:sz w:val="14"/>
                <w:szCs w:val="14"/>
              </w:rPr>
            </w:pPr>
            <w:r w:rsidRPr="009016C5">
              <w:rPr>
                <w:b/>
                <w:sz w:val="14"/>
                <w:szCs w:val="14"/>
              </w:rPr>
              <w:t>Bağımsız Sınırlı Denetimden</w:t>
            </w:r>
          </w:p>
          <w:p w14:paraId="6B1B78FA" w14:textId="34F88B9F" w:rsidR="00A34D92" w:rsidRPr="009016C5" w:rsidRDefault="00A34D92" w:rsidP="00717AB5">
            <w:pPr>
              <w:ind w:left="-96"/>
              <w:jc w:val="right"/>
              <w:rPr>
                <w:b/>
                <w:sz w:val="14"/>
                <w:szCs w:val="14"/>
              </w:rPr>
            </w:pPr>
            <w:r w:rsidRPr="009016C5">
              <w:rPr>
                <w:b/>
                <w:sz w:val="14"/>
                <w:szCs w:val="14"/>
              </w:rPr>
              <w:t>Geçmiş</w:t>
            </w:r>
          </w:p>
        </w:tc>
      </w:tr>
      <w:tr w:rsidR="007A72BF" w:rsidRPr="009016C5" w14:paraId="09291129" w14:textId="77777777" w:rsidTr="00717AB5">
        <w:trPr>
          <w:trHeight w:val="122"/>
        </w:trPr>
        <w:tc>
          <w:tcPr>
            <w:tcW w:w="541" w:type="dxa"/>
            <w:tcBorders>
              <w:left w:val="single" w:sz="4" w:space="0" w:color="auto"/>
              <w:right w:val="single" w:sz="4" w:space="0" w:color="auto"/>
            </w:tcBorders>
            <w:shd w:val="clear" w:color="auto" w:fill="auto"/>
            <w:noWrap/>
            <w:hideMark/>
          </w:tcPr>
          <w:p w14:paraId="61251723" w14:textId="77777777" w:rsidR="00A34D92" w:rsidRPr="009016C5" w:rsidRDefault="00A34D92" w:rsidP="00A34D92">
            <w:pPr>
              <w:autoSpaceDE w:val="0"/>
              <w:autoSpaceDN w:val="0"/>
              <w:adjustRightInd w:val="0"/>
              <w:ind w:left="-108"/>
              <w:rPr>
                <w:b/>
                <w:bCs/>
                <w:sz w:val="13"/>
                <w:szCs w:val="13"/>
              </w:rPr>
            </w:pPr>
          </w:p>
        </w:tc>
        <w:tc>
          <w:tcPr>
            <w:tcW w:w="5442" w:type="dxa"/>
            <w:tcBorders>
              <w:left w:val="single" w:sz="4" w:space="0" w:color="auto"/>
              <w:right w:val="single" w:sz="4" w:space="0" w:color="auto"/>
            </w:tcBorders>
            <w:shd w:val="clear" w:color="auto" w:fill="auto"/>
            <w:noWrap/>
            <w:hideMark/>
          </w:tcPr>
          <w:p w14:paraId="66F57AF8" w14:textId="77777777" w:rsidR="00A34D92" w:rsidRPr="009016C5" w:rsidRDefault="00A34D92" w:rsidP="00A34D92">
            <w:pPr>
              <w:autoSpaceDE w:val="0"/>
              <w:autoSpaceDN w:val="0"/>
              <w:adjustRightInd w:val="0"/>
              <w:rPr>
                <w:b/>
                <w:bCs/>
                <w:sz w:val="13"/>
                <w:szCs w:val="13"/>
              </w:rPr>
            </w:pPr>
          </w:p>
        </w:tc>
        <w:tc>
          <w:tcPr>
            <w:tcW w:w="708" w:type="dxa"/>
            <w:tcBorders>
              <w:left w:val="single" w:sz="4" w:space="0" w:color="auto"/>
              <w:right w:val="single" w:sz="4" w:space="0" w:color="auto"/>
            </w:tcBorders>
            <w:shd w:val="clear" w:color="auto" w:fill="auto"/>
            <w:noWrap/>
            <w:vAlign w:val="bottom"/>
          </w:tcPr>
          <w:p w14:paraId="727B7374" w14:textId="77777777" w:rsidR="00A34D92" w:rsidRPr="009016C5" w:rsidRDefault="00A34D92" w:rsidP="00A34D92">
            <w:pPr>
              <w:ind w:left="-96" w:right="-108"/>
              <w:jc w:val="right"/>
              <w:rPr>
                <w:b/>
                <w:sz w:val="13"/>
                <w:szCs w:val="13"/>
              </w:rPr>
            </w:pPr>
          </w:p>
        </w:tc>
        <w:tc>
          <w:tcPr>
            <w:tcW w:w="1276" w:type="dxa"/>
            <w:tcBorders>
              <w:left w:val="single" w:sz="4" w:space="0" w:color="auto"/>
              <w:bottom w:val="single" w:sz="4" w:space="0" w:color="auto"/>
              <w:right w:val="single" w:sz="4" w:space="0" w:color="auto"/>
            </w:tcBorders>
            <w:shd w:val="clear" w:color="auto" w:fill="auto"/>
          </w:tcPr>
          <w:p w14:paraId="0509108C" w14:textId="77777777" w:rsidR="00A34D92" w:rsidRPr="009016C5" w:rsidRDefault="00A34D92" w:rsidP="00717AB5">
            <w:pPr>
              <w:ind w:left="-96"/>
              <w:jc w:val="right"/>
              <w:rPr>
                <w:b/>
                <w:sz w:val="14"/>
                <w:szCs w:val="14"/>
              </w:rPr>
            </w:pPr>
            <w:r w:rsidRPr="009016C5">
              <w:rPr>
                <w:b/>
                <w:sz w:val="14"/>
                <w:szCs w:val="14"/>
              </w:rPr>
              <w:t>Cari Dönem</w:t>
            </w:r>
          </w:p>
        </w:tc>
        <w:tc>
          <w:tcPr>
            <w:tcW w:w="1336" w:type="dxa"/>
            <w:tcBorders>
              <w:left w:val="single" w:sz="4" w:space="0" w:color="auto"/>
              <w:bottom w:val="single" w:sz="4" w:space="0" w:color="auto"/>
              <w:right w:val="single" w:sz="4" w:space="0" w:color="auto"/>
            </w:tcBorders>
            <w:shd w:val="clear" w:color="auto" w:fill="auto"/>
            <w:noWrap/>
          </w:tcPr>
          <w:p w14:paraId="47CC7173" w14:textId="77777777" w:rsidR="00A34D92" w:rsidRPr="009016C5" w:rsidRDefault="00FB396E" w:rsidP="00717AB5">
            <w:pPr>
              <w:ind w:left="-96"/>
              <w:jc w:val="right"/>
              <w:rPr>
                <w:b/>
                <w:sz w:val="14"/>
                <w:szCs w:val="14"/>
              </w:rPr>
            </w:pPr>
            <w:r w:rsidRPr="009016C5">
              <w:rPr>
                <w:b/>
                <w:sz w:val="14"/>
                <w:szCs w:val="14"/>
              </w:rPr>
              <w:t>Geçmiş</w:t>
            </w:r>
            <w:r w:rsidR="00A34D92" w:rsidRPr="009016C5">
              <w:rPr>
                <w:b/>
                <w:sz w:val="14"/>
                <w:szCs w:val="14"/>
              </w:rPr>
              <w:t xml:space="preserve"> Dönem</w:t>
            </w:r>
          </w:p>
        </w:tc>
      </w:tr>
      <w:tr w:rsidR="007A72BF" w:rsidRPr="009016C5" w14:paraId="49714F94" w14:textId="77777777" w:rsidTr="00717AB5">
        <w:trPr>
          <w:trHeight w:val="122"/>
        </w:trPr>
        <w:tc>
          <w:tcPr>
            <w:tcW w:w="541" w:type="dxa"/>
            <w:tcBorders>
              <w:left w:val="single" w:sz="4" w:space="0" w:color="auto"/>
              <w:bottom w:val="single" w:sz="4" w:space="0" w:color="auto"/>
              <w:right w:val="single" w:sz="4" w:space="0" w:color="auto"/>
            </w:tcBorders>
            <w:shd w:val="clear" w:color="auto" w:fill="auto"/>
            <w:noWrap/>
            <w:vAlign w:val="bottom"/>
            <w:hideMark/>
          </w:tcPr>
          <w:p w14:paraId="07841735" w14:textId="77777777" w:rsidR="00A34D92" w:rsidRPr="009016C5" w:rsidRDefault="00A34D92" w:rsidP="00A34D92">
            <w:pPr>
              <w:autoSpaceDE w:val="0"/>
              <w:autoSpaceDN w:val="0"/>
              <w:adjustRightInd w:val="0"/>
              <w:ind w:left="-108"/>
              <w:jc w:val="right"/>
              <w:rPr>
                <w:b/>
                <w:bCs/>
                <w:sz w:val="13"/>
                <w:szCs w:val="13"/>
              </w:rPr>
            </w:pPr>
          </w:p>
        </w:tc>
        <w:tc>
          <w:tcPr>
            <w:tcW w:w="5442" w:type="dxa"/>
            <w:tcBorders>
              <w:left w:val="single" w:sz="4" w:space="0" w:color="auto"/>
              <w:bottom w:val="single" w:sz="4" w:space="0" w:color="auto"/>
              <w:right w:val="single" w:sz="4" w:space="0" w:color="auto"/>
            </w:tcBorders>
            <w:shd w:val="clear" w:color="auto" w:fill="auto"/>
            <w:noWrap/>
            <w:vAlign w:val="bottom"/>
            <w:hideMark/>
          </w:tcPr>
          <w:p w14:paraId="717B0067" w14:textId="77777777" w:rsidR="00A34D92" w:rsidRPr="009016C5" w:rsidRDefault="00A34D92" w:rsidP="00A34D92">
            <w:pPr>
              <w:autoSpaceDE w:val="0"/>
              <w:autoSpaceDN w:val="0"/>
              <w:adjustRightInd w:val="0"/>
              <w:jc w:val="right"/>
              <w:rPr>
                <w:b/>
                <w:bCs/>
                <w:sz w:val="13"/>
                <w:szCs w:val="13"/>
              </w:rPr>
            </w:pPr>
          </w:p>
        </w:tc>
        <w:tc>
          <w:tcPr>
            <w:tcW w:w="708" w:type="dxa"/>
            <w:tcBorders>
              <w:left w:val="single" w:sz="4" w:space="0" w:color="auto"/>
              <w:bottom w:val="single" w:sz="4" w:space="0" w:color="auto"/>
              <w:right w:val="single" w:sz="4" w:space="0" w:color="auto"/>
            </w:tcBorders>
            <w:shd w:val="clear" w:color="auto" w:fill="auto"/>
            <w:noWrap/>
            <w:vAlign w:val="bottom"/>
          </w:tcPr>
          <w:p w14:paraId="16CB5972" w14:textId="77777777" w:rsidR="00A34D92" w:rsidRPr="009016C5" w:rsidRDefault="00A34D92" w:rsidP="00A34D92">
            <w:pPr>
              <w:ind w:left="-96" w:right="-108"/>
              <w:jc w:val="center"/>
              <w:rPr>
                <w:b/>
                <w:sz w:val="14"/>
                <w:szCs w:val="14"/>
              </w:rPr>
            </w:pPr>
            <w:r w:rsidRPr="009016C5">
              <w:rPr>
                <w:b/>
                <w:sz w:val="14"/>
                <w:szCs w:val="14"/>
              </w:rPr>
              <w:t>Dipnot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2331ECB" w14:textId="4F315F82" w:rsidR="00A34D92" w:rsidRPr="009016C5" w:rsidRDefault="00A34D92" w:rsidP="00717AB5">
            <w:pPr>
              <w:ind w:left="36"/>
              <w:jc w:val="right"/>
              <w:rPr>
                <w:b/>
                <w:sz w:val="14"/>
                <w:szCs w:val="14"/>
              </w:rPr>
            </w:pPr>
            <w:r w:rsidRPr="009016C5">
              <w:rPr>
                <w:b/>
                <w:sz w:val="14"/>
                <w:szCs w:val="14"/>
              </w:rPr>
              <w:t>01.01.</w:t>
            </w:r>
            <w:r w:rsidR="00B54242" w:rsidRPr="009016C5">
              <w:rPr>
                <w:b/>
                <w:sz w:val="14"/>
                <w:szCs w:val="14"/>
              </w:rPr>
              <w:t>2020</w:t>
            </w:r>
            <w:r w:rsidRPr="009016C5">
              <w:rPr>
                <w:b/>
                <w:sz w:val="14"/>
                <w:szCs w:val="14"/>
              </w:rPr>
              <w:t>-3</w:t>
            </w:r>
            <w:r w:rsidR="008942EC" w:rsidRPr="009016C5">
              <w:rPr>
                <w:b/>
                <w:sz w:val="14"/>
                <w:szCs w:val="14"/>
              </w:rPr>
              <w:t>0</w:t>
            </w:r>
            <w:r w:rsidRPr="009016C5">
              <w:rPr>
                <w:b/>
                <w:sz w:val="14"/>
                <w:szCs w:val="14"/>
              </w:rPr>
              <w:t>.0</w:t>
            </w:r>
            <w:r w:rsidR="00674CA4" w:rsidRPr="009016C5">
              <w:rPr>
                <w:b/>
                <w:sz w:val="14"/>
                <w:szCs w:val="14"/>
              </w:rPr>
              <w:t>9</w:t>
            </w:r>
            <w:r w:rsidRPr="009016C5">
              <w:rPr>
                <w:b/>
                <w:sz w:val="14"/>
                <w:szCs w:val="14"/>
              </w:rPr>
              <w:t>.</w:t>
            </w:r>
            <w:r w:rsidR="00B54242" w:rsidRPr="009016C5">
              <w:rPr>
                <w:b/>
                <w:sz w:val="14"/>
                <w:szCs w:val="14"/>
              </w:rPr>
              <w:t>2020</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103F3" w14:textId="463B7FDD" w:rsidR="00A34D92" w:rsidRPr="009016C5" w:rsidRDefault="00A34D92" w:rsidP="00717AB5">
            <w:pPr>
              <w:ind w:left="36"/>
              <w:jc w:val="right"/>
              <w:rPr>
                <w:b/>
                <w:sz w:val="14"/>
                <w:szCs w:val="14"/>
              </w:rPr>
            </w:pPr>
            <w:r w:rsidRPr="009016C5">
              <w:rPr>
                <w:b/>
                <w:sz w:val="14"/>
                <w:szCs w:val="14"/>
              </w:rPr>
              <w:t>01.01.</w:t>
            </w:r>
            <w:r w:rsidR="00597BA4" w:rsidRPr="009016C5">
              <w:rPr>
                <w:b/>
                <w:sz w:val="14"/>
                <w:szCs w:val="14"/>
              </w:rPr>
              <w:t>2019</w:t>
            </w:r>
            <w:r w:rsidRPr="009016C5">
              <w:rPr>
                <w:b/>
                <w:sz w:val="14"/>
                <w:szCs w:val="14"/>
              </w:rPr>
              <w:t>-3</w:t>
            </w:r>
            <w:r w:rsidR="008942EC" w:rsidRPr="009016C5">
              <w:rPr>
                <w:b/>
                <w:sz w:val="14"/>
                <w:szCs w:val="14"/>
              </w:rPr>
              <w:t>0</w:t>
            </w:r>
            <w:r w:rsidRPr="009016C5">
              <w:rPr>
                <w:b/>
                <w:sz w:val="14"/>
                <w:szCs w:val="14"/>
              </w:rPr>
              <w:t>.0</w:t>
            </w:r>
            <w:r w:rsidR="00674CA4" w:rsidRPr="009016C5">
              <w:rPr>
                <w:b/>
                <w:sz w:val="14"/>
                <w:szCs w:val="14"/>
              </w:rPr>
              <w:t>9</w:t>
            </w:r>
            <w:r w:rsidRPr="009016C5">
              <w:rPr>
                <w:b/>
                <w:sz w:val="14"/>
                <w:szCs w:val="14"/>
              </w:rPr>
              <w:t>.</w:t>
            </w:r>
            <w:r w:rsidR="00597BA4" w:rsidRPr="009016C5">
              <w:rPr>
                <w:b/>
                <w:sz w:val="14"/>
                <w:szCs w:val="14"/>
              </w:rPr>
              <w:t>2019</w:t>
            </w:r>
          </w:p>
        </w:tc>
      </w:tr>
      <w:tr w:rsidR="007A72BF" w:rsidRPr="009016C5" w14:paraId="02948A53" w14:textId="77777777" w:rsidTr="00717AB5">
        <w:trPr>
          <w:trHeight w:val="122"/>
        </w:trPr>
        <w:tc>
          <w:tcPr>
            <w:tcW w:w="541" w:type="dxa"/>
            <w:tcBorders>
              <w:top w:val="single" w:sz="4" w:space="0" w:color="auto"/>
              <w:left w:val="single" w:sz="4" w:space="0" w:color="auto"/>
              <w:right w:val="single" w:sz="4" w:space="0" w:color="auto"/>
            </w:tcBorders>
            <w:shd w:val="clear" w:color="auto" w:fill="auto"/>
            <w:noWrap/>
            <w:hideMark/>
          </w:tcPr>
          <w:p w14:paraId="1B06B37D" w14:textId="77777777" w:rsidR="00A34D92" w:rsidRPr="009016C5" w:rsidRDefault="00A34D92" w:rsidP="00A34D92">
            <w:pPr>
              <w:autoSpaceDE w:val="0"/>
              <w:autoSpaceDN w:val="0"/>
              <w:adjustRightInd w:val="0"/>
              <w:ind w:left="-108"/>
              <w:rPr>
                <w:b/>
                <w:bCs/>
                <w:sz w:val="13"/>
                <w:szCs w:val="13"/>
              </w:rPr>
            </w:pPr>
          </w:p>
        </w:tc>
        <w:tc>
          <w:tcPr>
            <w:tcW w:w="5442" w:type="dxa"/>
            <w:tcBorders>
              <w:left w:val="single" w:sz="4" w:space="0" w:color="auto"/>
              <w:right w:val="single" w:sz="4" w:space="0" w:color="auto"/>
            </w:tcBorders>
            <w:shd w:val="clear" w:color="auto" w:fill="auto"/>
            <w:noWrap/>
            <w:hideMark/>
          </w:tcPr>
          <w:p w14:paraId="6B208A44" w14:textId="77777777" w:rsidR="00A34D92" w:rsidRPr="009016C5" w:rsidRDefault="00A34D92" w:rsidP="00A34D92">
            <w:pPr>
              <w:autoSpaceDE w:val="0"/>
              <w:autoSpaceDN w:val="0"/>
              <w:adjustRightInd w:val="0"/>
              <w:rPr>
                <w:b/>
                <w:bCs/>
                <w:sz w:val="13"/>
                <w:szCs w:val="13"/>
              </w:rPr>
            </w:pPr>
          </w:p>
        </w:tc>
        <w:tc>
          <w:tcPr>
            <w:tcW w:w="708" w:type="dxa"/>
            <w:tcBorders>
              <w:left w:val="single" w:sz="4" w:space="0" w:color="auto"/>
              <w:right w:val="single" w:sz="4" w:space="0" w:color="auto"/>
            </w:tcBorders>
            <w:shd w:val="clear" w:color="auto" w:fill="auto"/>
            <w:noWrap/>
          </w:tcPr>
          <w:p w14:paraId="5A6533F5" w14:textId="77777777" w:rsidR="00A34D92" w:rsidRPr="009016C5" w:rsidRDefault="00A34D92" w:rsidP="00A34D92">
            <w:pPr>
              <w:ind w:left="-96" w:right="-33"/>
              <w:jc w:val="right"/>
              <w:rPr>
                <w:b/>
                <w:sz w:val="13"/>
                <w:szCs w:val="13"/>
              </w:rPr>
            </w:pPr>
          </w:p>
        </w:tc>
        <w:tc>
          <w:tcPr>
            <w:tcW w:w="1276" w:type="dxa"/>
            <w:tcBorders>
              <w:left w:val="single" w:sz="4" w:space="0" w:color="auto"/>
              <w:right w:val="single" w:sz="4" w:space="0" w:color="auto"/>
            </w:tcBorders>
            <w:shd w:val="clear" w:color="auto" w:fill="auto"/>
          </w:tcPr>
          <w:p w14:paraId="77873583" w14:textId="77777777" w:rsidR="00A34D92" w:rsidRPr="009016C5" w:rsidRDefault="00A34D92" w:rsidP="00717AB5">
            <w:pPr>
              <w:ind w:left="-96"/>
              <w:jc w:val="right"/>
              <w:rPr>
                <w:b/>
                <w:sz w:val="13"/>
                <w:szCs w:val="13"/>
              </w:rPr>
            </w:pPr>
          </w:p>
        </w:tc>
        <w:tc>
          <w:tcPr>
            <w:tcW w:w="1336" w:type="dxa"/>
            <w:tcBorders>
              <w:left w:val="single" w:sz="4" w:space="0" w:color="auto"/>
              <w:right w:val="single" w:sz="4" w:space="0" w:color="auto"/>
            </w:tcBorders>
            <w:shd w:val="clear" w:color="auto" w:fill="auto"/>
            <w:noWrap/>
          </w:tcPr>
          <w:p w14:paraId="191CD7EE" w14:textId="77777777" w:rsidR="00A34D92" w:rsidRPr="009016C5" w:rsidRDefault="00A34D92" w:rsidP="00717AB5">
            <w:pPr>
              <w:ind w:left="-96"/>
              <w:jc w:val="right"/>
              <w:rPr>
                <w:b/>
                <w:sz w:val="13"/>
                <w:szCs w:val="13"/>
              </w:rPr>
            </w:pPr>
          </w:p>
        </w:tc>
      </w:tr>
      <w:tr w:rsidR="007A72BF" w:rsidRPr="009016C5" w14:paraId="229829C5"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178B42DC" w14:textId="77777777" w:rsidR="00A34D92" w:rsidRPr="009016C5" w:rsidRDefault="00A34D92" w:rsidP="00A34D92">
            <w:pPr>
              <w:rPr>
                <w:b/>
                <w:bCs/>
                <w:sz w:val="13"/>
                <w:szCs w:val="13"/>
                <w:lang w:val="en-US"/>
              </w:rPr>
            </w:pPr>
            <w:r w:rsidRPr="009016C5">
              <w:rPr>
                <w:b/>
                <w:bCs/>
                <w:sz w:val="13"/>
                <w:szCs w:val="13"/>
                <w:lang w:val="en-US"/>
              </w:rPr>
              <w:t>A.</w:t>
            </w:r>
          </w:p>
        </w:tc>
        <w:tc>
          <w:tcPr>
            <w:tcW w:w="5442" w:type="dxa"/>
            <w:tcBorders>
              <w:left w:val="single" w:sz="4" w:space="0" w:color="auto"/>
              <w:right w:val="single" w:sz="4" w:space="0" w:color="auto"/>
            </w:tcBorders>
            <w:shd w:val="clear" w:color="auto" w:fill="auto"/>
            <w:noWrap/>
            <w:vAlign w:val="bottom"/>
            <w:hideMark/>
          </w:tcPr>
          <w:p w14:paraId="5490A7F2" w14:textId="77777777" w:rsidR="00A34D92" w:rsidRPr="009016C5" w:rsidRDefault="00A34D92" w:rsidP="00A34D92">
            <w:pPr>
              <w:rPr>
                <w:b/>
                <w:bCs/>
                <w:sz w:val="13"/>
                <w:szCs w:val="13"/>
                <w:lang w:val="en-US"/>
              </w:rPr>
            </w:pPr>
            <w:r w:rsidRPr="009016C5">
              <w:rPr>
                <w:b/>
                <w:bCs/>
                <w:sz w:val="13"/>
                <w:szCs w:val="13"/>
                <w:lang w:val="en-US"/>
              </w:rPr>
              <w:t>BANKACILIK FAALİYETLERİNE İLİŞKİN NAKİT AKIŞLARI</w:t>
            </w:r>
          </w:p>
        </w:tc>
        <w:tc>
          <w:tcPr>
            <w:tcW w:w="708" w:type="dxa"/>
            <w:tcBorders>
              <w:left w:val="single" w:sz="4" w:space="0" w:color="auto"/>
              <w:right w:val="single" w:sz="4" w:space="0" w:color="auto"/>
            </w:tcBorders>
            <w:shd w:val="clear" w:color="auto" w:fill="auto"/>
            <w:noWrap/>
            <w:vAlign w:val="bottom"/>
            <w:hideMark/>
          </w:tcPr>
          <w:p w14:paraId="4C87DE55" w14:textId="77777777" w:rsidR="00A34D92" w:rsidRPr="009016C5" w:rsidRDefault="00A34D92" w:rsidP="00A34D92">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1369408B" w14:textId="77777777" w:rsidR="00A34D92" w:rsidRPr="009016C5" w:rsidRDefault="00A34D92" w:rsidP="00717AB5">
            <w:pPr>
              <w:jc w:val="right"/>
              <w:rPr>
                <w:sz w:val="13"/>
                <w:szCs w:val="13"/>
                <w:lang w:val="en-US"/>
              </w:rPr>
            </w:pPr>
          </w:p>
        </w:tc>
        <w:tc>
          <w:tcPr>
            <w:tcW w:w="1336" w:type="dxa"/>
            <w:tcBorders>
              <w:left w:val="single" w:sz="4" w:space="0" w:color="auto"/>
              <w:right w:val="single" w:sz="4" w:space="0" w:color="auto"/>
            </w:tcBorders>
            <w:shd w:val="clear" w:color="auto" w:fill="auto"/>
            <w:noWrap/>
            <w:vAlign w:val="bottom"/>
            <w:hideMark/>
          </w:tcPr>
          <w:p w14:paraId="47DDC9EB" w14:textId="16BD27B9" w:rsidR="00A34D92" w:rsidRPr="009016C5" w:rsidRDefault="00A34D92" w:rsidP="00717AB5">
            <w:pPr>
              <w:jc w:val="right"/>
              <w:rPr>
                <w:sz w:val="13"/>
                <w:szCs w:val="13"/>
                <w:lang w:val="en-US"/>
              </w:rPr>
            </w:pPr>
          </w:p>
        </w:tc>
      </w:tr>
      <w:tr w:rsidR="007A72BF" w:rsidRPr="009016C5" w14:paraId="2CEEFBD5"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42872589" w14:textId="77777777" w:rsidR="00A34D92" w:rsidRPr="009016C5" w:rsidRDefault="00A34D92" w:rsidP="00A34D92">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55B7D0BC" w14:textId="77777777" w:rsidR="00A34D92" w:rsidRPr="009016C5" w:rsidRDefault="00A34D92" w:rsidP="00A34D92">
            <w:pPr>
              <w:rPr>
                <w:b/>
                <w:bCs/>
                <w:sz w:val="13"/>
                <w:szCs w:val="13"/>
                <w:lang w:val="en-US"/>
              </w:rPr>
            </w:pPr>
            <w:r w:rsidRPr="009016C5">
              <w:rPr>
                <w:b/>
                <w:bCs/>
                <w:sz w:val="13"/>
                <w:szCs w:val="13"/>
                <w:lang w:val="en-US"/>
              </w:rPr>
              <w:t> </w:t>
            </w:r>
          </w:p>
        </w:tc>
        <w:tc>
          <w:tcPr>
            <w:tcW w:w="708" w:type="dxa"/>
            <w:tcBorders>
              <w:left w:val="single" w:sz="4" w:space="0" w:color="auto"/>
              <w:right w:val="single" w:sz="4" w:space="0" w:color="auto"/>
            </w:tcBorders>
            <w:shd w:val="clear" w:color="auto" w:fill="auto"/>
            <w:noWrap/>
            <w:vAlign w:val="bottom"/>
            <w:hideMark/>
          </w:tcPr>
          <w:p w14:paraId="07CF9F95" w14:textId="77777777" w:rsidR="00A34D92" w:rsidRPr="009016C5" w:rsidRDefault="00A34D92" w:rsidP="00A34D92">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4329BE17" w14:textId="77777777" w:rsidR="00A34D92" w:rsidRPr="009016C5" w:rsidRDefault="00A34D92" w:rsidP="00717AB5">
            <w:pPr>
              <w:jc w:val="right"/>
              <w:rPr>
                <w:sz w:val="13"/>
                <w:szCs w:val="13"/>
                <w:lang w:val="en-US"/>
              </w:rPr>
            </w:pPr>
          </w:p>
        </w:tc>
        <w:tc>
          <w:tcPr>
            <w:tcW w:w="1336" w:type="dxa"/>
            <w:tcBorders>
              <w:left w:val="single" w:sz="4" w:space="0" w:color="auto"/>
              <w:right w:val="single" w:sz="4" w:space="0" w:color="auto"/>
            </w:tcBorders>
            <w:shd w:val="clear" w:color="auto" w:fill="auto"/>
            <w:noWrap/>
            <w:vAlign w:val="bottom"/>
            <w:hideMark/>
          </w:tcPr>
          <w:p w14:paraId="336E6394" w14:textId="71A99775" w:rsidR="00A34D92" w:rsidRPr="009016C5" w:rsidRDefault="00A34D92" w:rsidP="00717AB5">
            <w:pPr>
              <w:jc w:val="right"/>
              <w:rPr>
                <w:sz w:val="13"/>
                <w:szCs w:val="13"/>
                <w:lang w:val="en-US"/>
              </w:rPr>
            </w:pPr>
          </w:p>
        </w:tc>
      </w:tr>
      <w:tr w:rsidR="003D7A11" w:rsidRPr="009016C5" w14:paraId="3E8F0FAB"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673FF6C3" w14:textId="77777777" w:rsidR="003D7A11" w:rsidRPr="009016C5" w:rsidRDefault="003D7A11" w:rsidP="003D7A11">
            <w:pPr>
              <w:rPr>
                <w:b/>
                <w:bCs/>
                <w:sz w:val="13"/>
                <w:szCs w:val="13"/>
                <w:lang w:val="en-US"/>
              </w:rPr>
            </w:pPr>
            <w:r w:rsidRPr="009016C5">
              <w:rPr>
                <w:b/>
                <w:bCs/>
                <w:sz w:val="13"/>
                <w:szCs w:val="13"/>
                <w:lang w:val="en-US"/>
              </w:rPr>
              <w:t>1.1</w:t>
            </w:r>
          </w:p>
        </w:tc>
        <w:tc>
          <w:tcPr>
            <w:tcW w:w="5442" w:type="dxa"/>
            <w:tcBorders>
              <w:left w:val="single" w:sz="4" w:space="0" w:color="auto"/>
              <w:right w:val="single" w:sz="4" w:space="0" w:color="auto"/>
            </w:tcBorders>
            <w:shd w:val="clear" w:color="auto" w:fill="auto"/>
            <w:noWrap/>
            <w:vAlign w:val="bottom"/>
            <w:hideMark/>
          </w:tcPr>
          <w:p w14:paraId="1BEA959F" w14:textId="77777777" w:rsidR="003D7A11" w:rsidRPr="009016C5" w:rsidRDefault="003D7A11" w:rsidP="003D7A11">
            <w:pPr>
              <w:rPr>
                <w:b/>
                <w:bCs/>
                <w:sz w:val="13"/>
                <w:szCs w:val="13"/>
                <w:lang w:val="en-US"/>
              </w:rPr>
            </w:pPr>
            <w:r w:rsidRPr="009016C5">
              <w:rPr>
                <w:b/>
                <w:bCs/>
                <w:sz w:val="13"/>
                <w:szCs w:val="13"/>
                <w:lang w:val="en-US"/>
              </w:rPr>
              <w:t xml:space="preserve">Bankacılık </w:t>
            </w:r>
            <w:proofErr w:type="spellStart"/>
            <w:r w:rsidRPr="009016C5">
              <w:rPr>
                <w:b/>
                <w:bCs/>
                <w:sz w:val="13"/>
                <w:szCs w:val="13"/>
                <w:lang w:val="en-US"/>
              </w:rPr>
              <w:t>Faaliyet</w:t>
            </w:r>
            <w:proofErr w:type="spellEnd"/>
            <w:r w:rsidRPr="009016C5">
              <w:rPr>
                <w:b/>
                <w:bCs/>
                <w:sz w:val="13"/>
                <w:szCs w:val="13"/>
                <w:lang w:val="en-US"/>
              </w:rPr>
              <w:t xml:space="preserve"> </w:t>
            </w:r>
            <w:proofErr w:type="spellStart"/>
            <w:r w:rsidRPr="009016C5">
              <w:rPr>
                <w:b/>
                <w:bCs/>
                <w:sz w:val="13"/>
                <w:szCs w:val="13"/>
                <w:lang w:val="en-US"/>
              </w:rPr>
              <w:t>Konusu</w:t>
            </w:r>
            <w:proofErr w:type="spellEnd"/>
            <w:r w:rsidRPr="009016C5">
              <w:rPr>
                <w:b/>
                <w:bCs/>
                <w:sz w:val="13"/>
                <w:szCs w:val="13"/>
                <w:lang w:val="en-US"/>
              </w:rPr>
              <w:t xml:space="preserve"> </w:t>
            </w:r>
            <w:proofErr w:type="spellStart"/>
            <w:r w:rsidRPr="009016C5">
              <w:rPr>
                <w:b/>
                <w:bCs/>
                <w:sz w:val="13"/>
                <w:szCs w:val="13"/>
                <w:lang w:val="en-US"/>
              </w:rPr>
              <w:t>Varlık</w:t>
            </w:r>
            <w:proofErr w:type="spellEnd"/>
            <w:r w:rsidRPr="009016C5">
              <w:rPr>
                <w:b/>
                <w:bCs/>
                <w:sz w:val="13"/>
                <w:szCs w:val="13"/>
                <w:lang w:val="en-US"/>
              </w:rPr>
              <w:t xml:space="preserve"> ve </w:t>
            </w:r>
            <w:proofErr w:type="spellStart"/>
            <w:r w:rsidRPr="009016C5">
              <w:rPr>
                <w:b/>
                <w:bCs/>
                <w:sz w:val="13"/>
                <w:szCs w:val="13"/>
                <w:lang w:val="en-US"/>
              </w:rPr>
              <w:t>Yükümlülüklerdeki</w:t>
            </w:r>
            <w:proofErr w:type="spellEnd"/>
            <w:r w:rsidRPr="009016C5">
              <w:rPr>
                <w:b/>
                <w:bCs/>
                <w:sz w:val="13"/>
                <w:szCs w:val="13"/>
                <w:lang w:val="en-US"/>
              </w:rPr>
              <w:t xml:space="preserve"> </w:t>
            </w:r>
            <w:proofErr w:type="spellStart"/>
            <w:r w:rsidRPr="009016C5">
              <w:rPr>
                <w:b/>
                <w:bCs/>
                <w:sz w:val="13"/>
                <w:szCs w:val="13"/>
                <w:lang w:val="en-US"/>
              </w:rPr>
              <w:t>Değişim</w:t>
            </w:r>
            <w:proofErr w:type="spellEnd"/>
            <w:r w:rsidRPr="009016C5">
              <w:rPr>
                <w:b/>
                <w:bCs/>
                <w:sz w:val="13"/>
                <w:szCs w:val="13"/>
                <w:lang w:val="en-US"/>
              </w:rPr>
              <w:t xml:space="preserve"> </w:t>
            </w:r>
            <w:proofErr w:type="spellStart"/>
            <w:r w:rsidRPr="009016C5">
              <w:rPr>
                <w:b/>
                <w:bCs/>
                <w:sz w:val="13"/>
                <w:szCs w:val="13"/>
                <w:lang w:val="en-US"/>
              </w:rPr>
              <w:t>Öncesi</w:t>
            </w:r>
            <w:proofErr w:type="spellEnd"/>
            <w:r w:rsidRPr="009016C5">
              <w:rPr>
                <w:b/>
                <w:bCs/>
                <w:sz w:val="13"/>
                <w:szCs w:val="13"/>
                <w:lang w:val="en-US"/>
              </w:rPr>
              <w:t xml:space="preserve"> </w:t>
            </w:r>
            <w:proofErr w:type="spellStart"/>
            <w:r w:rsidRPr="009016C5">
              <w:rPr>
                <w:b/>
                <w:bCs/>
                <w:sz w:val="13"/>
                <w:szCs w:val="13"/>
                <w:lang w:val="en-US"/>
              </w:rPr>
              <w:t>Faaliyet</w:t>
            </w:r>
            <w:proofErr w:type="spellEnd"/>
            <w:r w:rsidRPr="009016C5">
              <w:rPr>
                <w:b/>
                <w:bCs/>
                <w:sz w:val="13"/>
                <w:szCs w:val="13"/>
                <w:lang w:val="en-US"/>
              </w:rPr>
              <w:t xml:space="preserve"> </w:t>
            </w:r>
            <w:proofErr w:type="spellStart"/>
            <w:r w:rsidRPr="009016C5">
              <w:rPr>
                <w:b/>
                <w:bCs/>
                <w:sz w:val="13"/>
                <w:szCs w:val="13"/>
                <w:lang w:val="en-US"/>
              </w:rPr>
              <w:t>Kârı</w:t>
            </w:r>
            <w:proofErr w:type="spellEnd"/>
          </w:p>
        </w:tc>
        <w:tc>
          <w:tcPr>
            <w:tcW w:w="708" w:type="dxa"/>
            <w:tcBorders>
              <w:left w:val="single" w:sz="4" w:space="0" w:color="auto"/>
              <w:right w:val="single" w:sz="4" w:space="0" w:color="auto"/>
            </w:tcBorders>
            <w:shd w:val="clear" w:color="auto" w:fill="auto"/>
            <w:noWrap/>
            <w:vAlign w:val="bottom"/>
            <w:hideMark/>
          </w:tcPr>
          <w:p w14:paraId="117AB521"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2B836797" w14:textId="14B69AAF" w:rsidR="003D7A11" w:rsidRPr="009016C5" w:rsidRDefault="003D7A11" w:rsidP="00717AB5">
            <w:pPr>
              <w:jc w:val="right"/>
              <w:rPr>
                <w:b/>
                <w:sz w:val="14"/>
              </w:rPr>
            </w:pPr>
            <w:r w:rsidRPr="009016C5">
              <w:rPr>
                <w:b/>
                <w:sz w:val="14"/>
              </w:rPr>
              <w:t>3,330,914</w:t>
            </w:r>
          </w:p>
        </w:tc>
        <w:tc>
          <w:tcPr>
            <w:tcW w:w="1336" w:type="dxa"/>
            <w:tcBorders>
              <w:left w:val="single" w:sz="4" w:space="0" w:color="auto"/>
              <w:right w:val="single" w:sz="4" w:space="0" w:color="auto"/>
            </w:tcBorders>
            <w:shd w:val="clear" w:color="auto" w:fill="auto"/>
            <w:noWrap/>
            <w:vAlign w:val="bottom"/>
          </w:tcPr>
          <w:p w14:paraId="6B29D2F6" w14:textId="3C58D948" w:rsidR="003D7A11" w:rsidRPr="009016C5" w:rsidRDefault="003D7A11" w:rsidP="00717AB5">
            <w:pPr>
              <w:jc w:val="right"/>
              <w:rPr>
                <w:b/>
                <w:sz w:val="14"/>
              </w:rPr>
            </w:pPr>
            <w:r w:rsidRPr="009016C5">
              <w:rPr>
                <w:b/>
                <w:sz w:val="14"/>
              </w:rPr>
              <w:t>212,910</w:t>
            </w:r>
          </w:p>
        </w:tc>
      </w:tr>
      <w:tr w:rsidR="003D7A11" w:rsidRPr="009016C5" w14:paraId="1FF3144F"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1158E6F8"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1AA17563" w14:textId="77777777" w:rsidR="003D7A11" w:rsidRPr="009016C5" w:rsidRDefault="003D7A11" w:rsidP="003D7A11">
            <w:pPr>
              <w:rPr>
                <w:sz w:val="13"/>
                <w:szCs w:val="13"/>
                <w:lang w:val="en-US"/>
              </w:rPr>
            </w:pPr>
            <w:r w:rsidRPr="009016C5">
              <w:rPr>
                <w:sz w:val="13"/>
                <w:szCs w:val="13"/>
                <w:lang w:val="en-US"/>
              </w:rPr>
              <w:t> </w:t>
            </w:r>
          </w:p>
        </w:tc>
        <w:tc>
          <w:tcPr>
            <w:tcW w:w="708" w:type="dxa"/>
            <w:tcBorders>
              <w:left w:val="single" w:sz="4" w:space="0" w:color="auto"/>
              <w:right w:val="single" w:sz="4" w:space="0" w:color="auto"/>
            </w:tcBorders>
            <w:shd w:val="clear" w:color="auto" w:fill="auto"/>
            <w:noWrap/>
            <w:vAlign w:val="bottom"/>
            <w:hideMark/>
          </w:tcPr>
          <w:p w14:paraId="3F2120C5"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74F2FC2E" w14:textId="3794715A"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28C17004" w14:textId="77777777" w:rsidR="003D7A11" w:rsidRPr="009016C5" w:rsidRDefault="003D7A11" w:rsidP="00717AB5">
            <w:pPr>
              <w:jc w:val="right"/>
              <w:rPr>
                <w:b/>
                <w:sz w:val="14"/>
              </w:rPr>
            </w:pPr>
          </w:p>
        </w:tc>
      </w:tr>
      <w:tr w:rsidR="003D7A11" w:rsidRPr="009016C5" w14:paraId="49022BA0"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4B5EDFC8" w14:textId="77777777" w:rsidR="003D7A11" w:rsidRPr="009016C5" w:rsidRDefault="003D7A11" w:rsidP="003D7A11">
            <w:pPr>
              <w:rPr>
                <w:sz w:val="13"/>
                <w:szCs w:val="13"/>
                <w:lang w:val="en-US"/>
              </w:rPr>
            </w:pPr>
            <w:r w:rsidRPr="009016C5">
              <w:rPr>
                <w:sz w:val="13"/>
                <w:szCs w:val="13"/>
                <w:lang w:val="en-US"/>
              </w:rPr>
              <w:t>1.1.1</w:t>
            </w:r>
          </w:p>
        </w:tc>
        <w:tc>
          <w:tcPr>
            <w:tcW w:w="5442" w:type="dxa"/>
            <w:tcBorders>
              <w:left w:val="single" w:sz="4" w:space="0" w:color="auto"/>
              <w:right w:val="single" w:sz="4" w:space="0" w:color="auto"/>
            </w:tcBorders>
            <w:shd w:val="clear" w:color="auto" w:fill="auto"/>
            <w:noWrap/>
            <w:vAlign w:val="bottom"/>
            <w:hideMark/>
          </w:tcPr>
          <w:p w14:paraId="11BBE7A2" w14:textId="77777777" w:rsidR="003D7A11" w:rsidRPr="009016C5" w:rsidRDefault="003D7A11" w:rsidP="003D7A11">
            <w:pPr>
              <w:rPr>
                <w:sz w:val="13"/>
                <w:szCs w:val="13"/>
                <w:lang w:val="en-US"/>
              </w:rPr>
            </w:pPr>
            <w:proofErr w:type="spellStart"/>
            <w:r w:rsidRPr="009016C5">
              <w:rPr>
                <w:sz w:val="13"/>
                <w:szCs w:val="13"/>
                <w:lang w:val="en-US"/>
              </w:rPr>
              <w:t>Alınan</w:t>
            </w:r>
            <w:proofErr w:type="spellEnd"/>
            <w:r w:rsidRPr="009016C5">
              <w:rPr>
                <w:sz w:val="13"/>
                <w:szCs w:val="13"/>
                <w:lang w:val="en-US"/>
              </w:rPr>
              <w:t xml:space="preserve"> </w:t>
            </w:r>
            <w:proofErr w:type="spellStart"/>
            <w:r w:rsidRPr="009016C5">
              <w:rPr>
                <w:sz w:val="13"/>
                <w:szCs w:val="13"/>
                <w:lang w:val="en-US"/>
              </w:rPr>
              <w:t>Kâr</w:t>
            </w:r>
            <w:proofErr w:type="spellEnd"/>
            <w:r w:rsidRPr="009016C5">
              <w:rPr>
                <w:sz w:val="13"/>
                <w:szCs w:val="13"/>
                <w:lang w:val="en-US"/>
              </w:rPr>
              <w:t xml:space="preserve"> </w:t>
            </w:r>
            <w:proofErr w:type="spellStart"/>
            <w:r w:rsidRPr="009016C5">
              <w:rPr>
                <w:sz w:val="13"/>
                <w:szCs w:val="13"/>
                <w:lang w:val="en-US"/>
              </w:rPr>
              <w:t>Payları</w:t>
            </w:r>
            <w:proofErr w:type="spellEnd"/>
          </w:p>
        </w:tc>
        <w:tc>
          <w:tcPr>
            <w:tcW w:w="708" w:type="dxa"/>
            <w:tcBorders>
              <w:left w:val="single" w:sz="4" w:space="0" w:color="auto"/>
              <w:right w:val="single" w:sz="4" w:space="0" w:color="auto"/>
            </w:tcBorders>
            <w:shd w:val="clear" w:color="auto" w:fill="auto"/>
            <w:noWrap/>
            <w:vAlign w:val="bottom"/>
            <w:hideMark/>
          </w:tcPr>
          <w:p w14:paraId="70B1DB82"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723F0A20" w14:textId="67EE9F3D" w:rsidR="003D7A11" w:rsidRPr="00271DD2" w:rsidRDefault="003D7A11" w:rsidP="00717AB5">
            <w:pPr>
              <w:jc w:val="right"/>
              <w:rPr>
                <w:bCs/>
                <w:sz w:val="14"/>
              </w:rPr>
            </w:pPr>
            <w:r w:rsidRPr="00271DD2">
              <w:rPr>
                <w:bCs/>
                <w:sz w:val="14"/>
              </w:rPr>
              <w:t>5,382,686</w:t>
            </w:r>
          </w:p>
        </w:tc>
        <w:tc>
          <w:tcPr>
            <w:tcW w:w="1336" w:type="dxa"/>
            <w:tcBorders>
              <w:left w:val="single" w:sz="4" w:space="0" w:color="auto"/>
              <w:right w:val="single" w:sz="4" w:space="0" w:color="auto"/>
            </w:tcBorders>
            <w:shd w:val="clear" w:color="auto" w:fill="auto"/>
            <w:noWrap/>
            <w:vAlign w:val="bottom"/>
          </w:tcPr>
          <w:p w14:paraId="77747039" w14:textId="2083E03F" w:rsidR="003D7A11" w:rsidRPr="009016C5" w:rsidRDefault="003D7A11" w:rsidP="00717AB5">
            <w:pPr>
              <w:jc w:val="right"/>
              <w:rPr>
                <w:sz w:val="14"/>
              </w:rPr>
            </w:pPr>
            <w:r w:rsidRPr="009016C5">
              <w:rPr>
                <w:bCs/>
                <w:sz w:val="14"/>
              </w:rPr>
              <w:t>6,073,594</w:t>
            </w:r>
          </w:p>
        </w:tc>
      </w:tr>
      <w:tr w:rsidR="003D7A11" w:rsidRPr="009016C5" w14:paraId="0CB146B2"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735068C5" w14:textId="77777777" w:rsidR="003D7A11" w:rsidRPr="009016C5" w:rsidRDefault="003D7A11" w:rsidP="003D7A11">
            <w:pPr>
              <w:rPr>
                <w:sz w:val="13"/>
                <w:szCs w:val="13"/>
                <w:lang w:val="en-US"/>
              </w:rPr>
            </w:pPr>
            <w:r w:rsidRPr="009016C5">
              <w:rPr>
                <w:sz w:val="13"/>
                <w:szCs w:val="13"/>
                <w:lang w:val="en-US"/>
              </w:rPr>
              <w:t>1.1.2</w:t>
            </w:r>
          </w:p>
        </w:tc>
        <w:tc>
          <w:tcPr>
            <w:tcW w:w="5442" w:type="dxa"/>
            <w:tcBorders>
              <w:left w:val="single" w:sz="4" w:space="0" w:color="auto"/>
              <w:right w:val="single" w:sz="4" w:space="0" w:color="auto"/>
            </w:tcBorders>
            <w:shd w:val="clear" w:color="auto" w:fill="auto"/>
            <w:noWrap/>
            <w:vAlign w:val="bottom"/>
            <w:hideMark/>
          </w:tcPr>
          <w:p w14:paraId="6ED050FD" w14:textId="77777777" w:rsidR="003D7A11" w:rsidRPr="009016C5" w:rsidRDefault="003D7A11" w:rsidP="003D7A11">
            <w:pPr>
              <w:rPr>
                <w:sz w:val="13"/>
                <w:szCs w:val="13"/>
                <w:lang w:val="en-US"/>
              </w:rPr>
            </w:pPr>
            <w:proofErr w:type="spellStart"/>
            <w:r w:rsidRPr="009016C5">
              <w:rPr>
                <w:sz w:val="13"/>
                <w:szCs w:val="13"/>
                <w:lang w:val="en-US"/>
              </w:rPr>
              <w:t>Ödenen</w:t>
            </w:r>
            <w:proofErr w:type="spellEnd"/>
            <w:r w:rsidRPr="009016C5">
              <w:rPr>
                <w:sz w:val="13"/>
                <w:szCs w:val="13"/>
                <w:lang w:val="en-US"/>
              </w:rPr>
              <w:t xml:space="preserve"> </w:t>
            </w:r>
            <w:proofErr w:type="spellStart"/>
            <w:r w:rsidRPr="009016C5">
              <w:rPr>
                <w:sz w:val="13"/>
                <w:szCs w:val="13"/>
                <w:lang w:val="en-US"/>
              </w:rPr>
              <w:t>Kâr</w:t>
            </w:r>
            <w:proofErr w:type="spellEnd"/>
            <w:r w:rsidRPr="009016C5">
              <w:rPr>
                <w:sz w:val="13"/>
                <w:szCs w:val="13"/>
                <w:lang w:val="en-US"/>
              </w:rPr>
              <w:t xml:space="preserve"> </w:t>
            </w:r>
            <w:proofErr w:type="spellStart"/>
            <w:r w:rsidRPr="009016C5">
              <w:rPr>
                <w:sz w:val="13"/>
                <w:szCs w:val="13"/>
                <w:lang w:val="en-US"/>
              </w:rPr>
              <w:t>Payları</w:t>
            </w:r>
            <w:proofErr w:type="spellEnd"/>
          </w:p>
        </w:tc>
        <w:tc>
          <w:tcPr>
            <w:tcW w:w="708" w:type="dxa"/>
            <w:tcBorders>
              <w:left w:val="single" w:sz="4" w:space="0" w:color="auto"/>
              <w:right w:val="single" w:sz="4" w:space="0" w:color="auto"/>
            </w:tcBorders>
            <w:shd w:val="clear" w:color="auto" w:fill="auto"/>
            <w:noWrap/>
            <w:vAlign w:val="bottom"/>
            <w:hideMark/>
          </w:tcPr>
          <w:p w14:paraId="48BFEAD4"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05A096AB" w14:textId="41D87965" w:rsidR="003D7A11" w:rsidRPr="00271DD2" w:rsidRDefault="003D7A11" w:rsidP="00717AB5">
            <w:pPr>
              <w:jc w:val="right"/>
              <w:rPr>
                <w:bCs/>
                <w:sz w:val="14"/>
              </w:rPr>
            </w:pPr>
            <w:r w:rsidRPr="00271DD2">
              <w:rPr>
                <w:bCs/>
                <w:sz w:val="14"/>
              </w:rPr>
              <w:t>(2,301,527)</w:t>
            </w:r>
          </w:p>
        </w:tc>
        <w:tc>
          <w:tcPr>
            <w:tcW w:w="1336" w:type="dxa"/>
            <w:tcBorders>
              <w:left w:val="single" w:sz="4" w:space="0" w:color="auto"/>
              <w:right w:val="single" w:sz="4" w:space="0" w:color="auto"/>
            </w:tcBorders>
            <w:shd w:val="clear" w:color="auto" w:fill="auto"/>
            <w:noWrap/>
            <w:vAlign w:val="bottom"/>
          </w:tcPr>
          <w:p w14:paraId="7CC0D4D1" w14:textId="28B5E53E" w:rsidR="003D7A11" w:rsidRPr="009016C5" w:rsidRDefault="003D7A11" w:rsidP="00717AB5">
            <w:pPr>
              <w:jc w:val="right"/>
              <w:rPr>
                <w:sz w:val="14"/>
              </w:rPr>
            </w:pPr>
            <w:r w:rsidRPr="009016C5">
              <w:rPr>
                <w:bCs/>
                <w:sz w:val="14"/>
              </w:rPr>
              <w:t>(3,063,720)</w:t>
            </w:r>
          </w:p>
        </w:tc>
      </w:tr>
      <w:tr w:rsidR="003D7A11" w:rsidRPr="009016C5" w14:paraId="47FDA45F"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07F1DC61" w14:textId="77777777" w:rsidR="003D7A11" w:rsidRPr="009016C5" w:rsidRDefault="003D7A11" w:rsidP="003D7A11">
            <w:pPr>
              <w:rPr>
                <w:sz w:val="13"/>
                <w:szCs w:val="13"/>
                <w:lang w:val="en-US"/>
              </w:rPr>
            </w:pPr>
            <w:r w:rsidRPr="009016C5">
              <w:rPr>
                <w:sz w:val="13"/>
                <w:szCs w:val="13"/>
                <w:lang w:val="en-US"/>
              </w:rPr>
              <w:t>1.1.3</w:t>
            </w:r>
          </w:p>
        </w:tc>
        <w:tc>
          <w:tcPr>
            <w:tcW w:w="5442" w:type="dxa"/>
            <w:tcBorders>
              <w:left w:val="single" w:sz="4" w:space="0" w:color="auto"/>
              <w:right w:val="single" w:sz="4" w:space="0" w:color="auto"/>
            </w:tcBorders>
            <w:shd w:val="clear" w:color="auto" w:fill="auto"/>
            <w:noWrap/>
            <w:vAlign w:val="bottom"/>
            <w:hideMark/>
          </w:tcPr>
          <w:p w14:paraId="64A0342D" w14:textId="77777777" w:rsidR="003D7A11" w:rsidRPr="009016C5" w:rsidRDefault="003D7A11" w:rsidP="003D7A11">
            <w:pPr>
              <w:rPr>
                <w:sz w:val="13"/>
                <w:szCs w:val="13"/>
                <w:lang w:val="en-US"/>
              </w:rPr>
            </w:pPr>
            <w:proofErr w:type="spellStart"/>
            <w:r w:rsidRPr="009016C5">
              <w:rPr>
                <w:sz w:val="13"/>
                <w:szCs w:val="13"/>
                <w:lang w:val="en-US"/>
              </w:rPr>
              <w:t>Alınan</w:t>
            </w:r>
            <w:proofErr w:type="spellEnd"/>
            <w:r w:rsidRPr="009016C5">
              <w:rPr>
                <w:sz w:val="13"/>
                <w:szCs w:val="13"/>
                <w:lang w:val="en-US"/>
              </w:rPr>
              <w:t xml:space="preserve"> </w:t>
            </w:r>
            <w:proofErr w:type="spellStart"/>
            <w:r w:rsidRPr="009016C5">
              <w:rPr>
                <w:sz w:val="13"/>
                <w:szCs w:val="13"/>
                <w:lang w:val="en-US"/>
              </w:rPr>
              <w:t>Temettüler</w:t>
            </w:r>
            <w:proofErr w:type="spellEnd"/>
          </w:p>
        </w:tc>
        <w:tc>
          <w:tcPr>
            <w:tcW w:w="708" w:type="dxa"/>
            <w:tcBorders>
              <w:left w:val="single" w:sz="4" w:space="0" w:color="auto"/>
              <w:right w:val="single" w:sz="4" w:space="0" w:color="auto"/>
            </w:tcBorders>
            <w:shd w:val="clear" w:color="auto" w:fill="auto"/>
            <w:noWrap/>
            <w:vAlign w:val="bottom"/>
            <w:hideMark/>
          </w:tcPr>
          <w:p w14:paraId="70FE925D"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7141E8D4" w14:textId="575CC296" w:rsidR="003D7A11" w:rsidRPr="00271DD2" w:rsidRDefault="003D7A11" w:rsidP="00717AB5">
            <w:pPr>
              <w:jc w:val="right"/>
              <w:rPr>
                <w:bCs/>
                <w:sz w:val="14"/>
              </w:rPr>
            </w:pPr>
            <w:r w:rsidRPr="00271DD2">
              <w:rPr>
                <w:bCs/>
                <w:sz w:val="14"/>
              </w:rPr>
              <w:t>68</w:t>
            </w:r>
          </w:p>
        </w:tc>
        <w:tc>
          <w:tcPr>
            <w:tcW w:w="1336" w:type="dxa"/>
            <w:tcBorders>
              <w:left w:val="single" w:sz="4" w:space="0" w:color="auto"/>
              <w:right w:val="single" w:sz="4" w:space="0" w:color="auto"/>
            </w:tcBorders>
            <w:shd w:val="clear" w:color="auto" w:fill="auto"/>
            <w:noWrap/>
            <w:vAlign w:val="bottom"/>
          </w:tcPr>
          <w:p w14:paraId="088DEE5A" w14:textId="7E143B9B" w:rsidR="003D7A11" w:rsidRPr="009016C5" w:rsidRDefault="003D7A11" w:rsidP="00717AB5">
            <w:pPr>
              <w:jc w:val="right"/>
              <w:rPr>
                <w:sz w:val="14"/>
              </w:rPr>
            </w:pPr>
            <w:r w:rsidRPr="009016C5">
              <w:rPr>
                <w:bCs/>
                <w:sz w:val="14"/>
              </w:rPr>
              <w:t>2,922</w:t>
            </w:r>
          </w:p>
        </w:tc>
      </w:tr>
      <w:tr w:rsidR="003D7A11" w:rsidRPr="009016C5" w14:paraId="2585FED6"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6897BAC2" w14:textId="77777777" w:rsidR="003D7A11" w:rsidRPr="009016C5" w:rsidRDefault="003D7A11" w:rsidP="003D7A11">
            <w:pPr>
              <w:rPr>
                <w:sz w:val="13"/>
                <w:szCs w:val="13"/>
                <w:lang w:val="en-US"/>
              </w:rPr>
            </w:pPr>
            <w:r w:rsidRPr="009016C5">
              <w:rPr>
                <w:sz w:val="13"/>
                <w:szCs w:val="13"/>
                <w:lang w:val="en-US"/>
              </w:rPr>
              <w:t>1.1.4</w:t>
            </w:r>
          </w:p>
        </w:tc>
        <w:tc>
          <w:tcPr>
            <w:tcW w:w="5442" w:type="dxa"/>
            <w:tcBorders>
              <w:left w:val="single" w:sz="4" w:space="0" w:color="auto"/>
              <w:right w:val="single" w:sz="4" w:space="0" w:color="auto"/>
            </w:tcBorders>
            <w:shd w:val="clear" w:color="auto" w:fill="auto"/>
            <w:noWrap/>
            <w:vAlign w:val="bottom"/>
            <w:hideMark/>
          </w:tcPr>
          <w:p w14:paraId="1FE4940C" w14:textId="77777777" w:rsidR="003D7A11" w:rsidRPr="009016C5" w:rsidRDefault="003D7A11" w:rsidP="003D7A11">
            <w:pPr>
              <w:rPr>
                <w:sz w:val="13"/>
                <w:szCs w:val="13"/>
                <w:lang w:val="en-US"/>
              </w:rPr>
            </w:pPr>
            <w:proofErr w:type="spellStart"/>
            <w:r w:rsidRPr="009016C5">
              <w:rPr>
                <w:sz w:val="13"/>
                <w:szCs w:val="13"/>
                <w:lang w:val="en-US"/>
              </w:rPr>
              <w:t>Alınan</w:t>
            </w:r>
            <w:proofErr w:type="spellEnd"/>
            <w:r w:rsidRPr="009016C5">
              <w:rPr>
                <w:sz w:val="13"/>
                <w:szCs w:val="13"/>
                <w:lang w:val="en-US"/>
              </w:rPr>
              <w:t xml:space="preserve"> </w:t>
            </w:r>
            <w:proofErr w:type="spellStart"/>
            <w:r w:rsidRPr="009016C5">
              <w:rPr>
                <w:sz w:val="13"/>
                <w:szCs w:val="13"/>
                <w:lang w:val="en-US"/>
              </w:rPr>
              <w:t>Ücret</w:t>
            </w:r>
            <w:proofErr w:type="spellEnd"/>
            <w:r w:rsidRPr="009016C5">
              <w:rPr>
                <w:sz w:val="13"/>
                <w:szCs w:val="13"/>
                <w:lang w:val="en-US"/>
              </w:rPr>
              <w:t xml:space="preserve"> ve </w:t>
            </w:r>
            <w:proofErr w:type="spellStart"/>
            <w:r w:rsidRPr="009016C5">
              <w:rPr>
                <w:sz w:val="13"/>
                <w:szCs w:val="13"/>
                <w:lang w:val="en-US"/>
              </w:rPr>
              <w:t>Komisyonlar</w:t>
            </w:r>
            <w:proofErr w:type="spellEnd"/>
          </w:p>
        </w:tc>
        <w:tc>
          <w:tcPr>
            <w:tcW w:w="708" w:type="dxa"/>
            <w:tcBorders>
              <w:left w:val="single" w:sz="4" w:space="0" w:color="auto"/>
              <w:right w:val="single" w:sz="4" w:space="0" w:color="auto"/>
            </w:tcBorders>
            <w:shd w:val="clear" w:color="auto" w:fill="auto"/>
            <w:noWrap/>
            <w:vAlign w:val="bottom"/>
            <w:hideMark/>
          </w:tcPr>
          <w:p w14:paraId="1F105598"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50B07BC3" w14:textId="07023E38" w:rsidR="003D7A11" w:rsidRPr="00271DD2" w:rsidRDefault="003D7A11" w:rsidP="00717AB5">
            <w:pPr>
              <w:jc w:val="right"/>
              <w:rPr>
                <w:bCs/>
                <w:sz w:val="14"/>
              </w:rPr>
            </w:pPr>
            <w:r w:rsidRPr="00271DD2">
              <w:rPr>
                <w:bCs/>
                <w:sz w:val="14"/>
              </w:rPr>
              <w:t>584,547</w:t>
            </w:r>
          </w:p>
        </w:tc>
        <w:tc>
          <w:tcPr>
            <w:tcW w:w="1336" w:type="dxa"/>
            <w:tcBorders>
              <w:left w:val="single" w:sz="4" w:space="0" w:color="auto"/>
              <w:right w:val="single" w:sz="4" w:space="0" w:color="auto"/>
            </w:tcBorders>
            <w:shd w:val="clear" w:color="auto" w:fill="auto"/>
            <w:noWrap/>
            <w:vAlign w:val="bottom"/>
          </w:tcPr>
          <w:p w14:paraId="1D88D5FD" w14:textId="7C330531" w:rsidR="003D7A11" w:rsidRPr="009016C5" w:rsidRDefault="003D7A11" w:rsidP="00717AB5">
            <w:pPr>
              <w:jc w:val="right"/>
              <w:rPr>
                <w:sz w:val="14"/>
              </w:rPr>
            </w:pPr>
            <w:r w:rsidRPr="009016C5">
              <w:rPr>
                <w:bCs/>
                <w:sz w:val="14"/>
              </w:rPr>
              <w:t>569,369</w:t>
            </w:r>
          </w:p>
        </w:tc>
      </w:tr>
      <w:tr w:rsidR="003D7A11" w:rsidRPr="009016C5" w14:paraId="2484D0D8"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208E2CDD" w14:textId="77777777" w:rsidR="003D7A11" w:rsidRPr="009016C5" w:rsidRDefault="003D7A11" w:rsidP="003D7A11">
            <w:pPr>
              <w:rPr>
                <w:sz w:val="13"/>
                <w:szCs w:val="13"/>
                <w:lang w:val="en-US"/>
              </w:rPr>
            </w:pPr>
            <w:r w:rsidRPr="009016C5">
              <w:rPr>
                <w:sz w:val="13"/>
                <w:szCs w:val="13"/>
                <w:lang w:val="en-US"/>
              </w:rPr>
              <w:t>1.1.5</w:t>
            </w:r>
          </w:p>
        </w:tc>
        <w:tc>
          <w:tcPr>
            <w:tcW w:w="5442" w:type="dxa"/>
            <w:tcBorders>
              <w:left w:val="single" w:sz="4" w:space="0" w:color="auto"/>
              <w:right w:val="single" w:sz="4" w:space="0" w:color="auto"/>
            </w:tcBorders>
            <w:shd w:val="clear" w:color="auto" w:fill="auto"/>
            <w:noWrap/>
            <w:vAlign w:val="bottom"/>
            <w:hideMark/>
          </w:tcPr>
          <w:p w14:paraId="095BDAF4" w14:textId="77777777" w:rsidR="003D7A11" w:rsidRPr="009016C5" w:rsidRDefault="003D7A11" w:rsidP="003D7A11">
            <w:pPr>
              <w:rPr>
                <w:sz w:val="13"/>
                <w:szCs w:val="13"/>
                <w:lang w:val="en-US"/>
              </w:rPr>
            </w:pPr>
            <w:proofErr w:type="spellStart"/>
            <w:r w:rsidRPr="009016C5">
              <w:rPr>
                <w:sz w:val="13"/>
                <w:szCs w:val="13"/>
                <w:lang w:val="en-US"/>
              </w:rPr>
              <w:t>Elde</w:t>
            </w:r>
            <w:proofErr w:type="spellEnd"/>
            <w:r w:rsidRPr="009016C5">
              <w:rPr>
                <w:sz w:val="13"/>
                <w:szCs w:val="13"/>
                <w:lang w:val="en-US"/>
              </w:rPr>
              <w:t xml:space="preserve"> </w:t>
            </w:r>
            <w:proofErr w:type="spellStart"/>
            <w:r w:rsidRPr="009016C5">
              <w:rPr>
                <w:sz w:val="13"/>
                <w:szCs w:val="13"/>
                <w:lang w:val="en-US"/>
              </w:rPr>
              <w:t>Edilen</w:t>
            </w:r>
            <w:proofErr w:type="spellEnd"/>
            <w:r w:rsidRPr="009016C5">
              <w:rPr>
                <w:sz w:val="13"/>
                <w:szCs w:val="13"/>
                <w:lang w:val="en-US"/>
              </w:rPr>
              <w:t xml:space="preserve"> </w:t>
            </w:r>
            <w:proofErr w:type="spellStart"/>
            <w:r w:rsidRPr="009016C5">
              <w:rPr>
                <w:sz w:val="13"/>
                <w:szCs w:val="13"/>
                <w:lang w:val="en-US"/>
              </w:rPr>
              <w:t>Diğer</w:t>
            </w:r>
            <w:proofErr w:type="spellEnd"/>
            <w:r w:rsidRPr="009016C5">
              <w:rPr>
                <w:sz w:val="13"/>
                <w:szCs w:val="13"/>
                <w:lang w:val="en-US"/>
              </w:rPr>
              <w:t xml:space="preserve"> </w:t>
            </w:r>
            <w:proofErr w:type="spellStart"/>
            <w:r w:rsidRPr="009016C5">
              <w:rPr>
                <w:sz w:val="13"/>
                <w:szCs w:val="13"/>
                <w:lang w:val="en-US"/>
              </w:rPr>
              <w:t>Kazançlar</w:t>
            </w:r>
            <w:proofErr w:type="spellEnd"/>
          </w:p>
        </w:tc>
        <w:tc>
          <w:tcPr>
            <w:tcW w:w="708" w:type="dxa"/>
            <w:tcBorders>
              <w:left w:val="single" w:sz="4" w:space="0" w:color="auto"/>
              <w:right w:val="single" w:sz="4" w:space="0" w:color="auto"/>
            </w:tcBorders>
            <w:shd w:val="clear" w:color="auto" w:fill="auto"/>
            <w:noWrap/>
            <w:vAlign w:val="bottom"/>
            <w:hideMark/>
          </w:tcPr>
          <w:p w14:paraId="23EB6CC1"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19B7DEBD" w14:textId="610A140E" w:rsidR="003D7A11" w:rsidRPr="00271DD2" w:rsidRDefault="003D7A11" w:rsidP="00717AB5">
            <w:pPr>
              <w:jc w:val="right"/>
              <w:rPr>
                <w:bCs/>
                <w:sz w:val="14"/>
              </w:rPr>
            </w:pPr>
            <w:r w:rsidRPr="00271DD2">
              <w:rPr>
                <w:bCs/>
                <w:sz w:val="14"/>
              </w:rPr>
              <w:t>1,963,604</w:t>
            </w:r>
          </w:p>
        </w:tc>
        <w:tc>
          <w:tcPr>
            <w:tcW w:w="1336" w:type="dxa"/>
            <w:tcBorders>
              <w:left w:val="single" w:sz="4" w:space="0" w:color="auto"/>
              <w:right w:val="single" w:sz="4" w:space="0" w:color="auto"/>
            </w:tcBorders>
            <w:shd w:val="clear" w:color="auto" w:fill="auto"/>
            <w:noWrap/>
            <w:vAlign w:val="bottom"/>
          </w:tcPr>
          <w:p w14:paraId="3DE8BC19" w14:textId="38F528B4" w:rsidR="003D7A11" w:rsidRPr="009016C5" w:rsidRDefault="003D7A11" w:rsidP="00717AB5">
            <w:pPr>
              <w:jc w:val="right"/>
              <w:rPr>
                <w:sz w:val="14"/>
              </w:rPr>
            </w:pPr>
            <w:r w:rsidRPr="009016C5">
              <w:rPr>
                <w:bCs/>
                <w:sz w:val="14"/>
              </w:rPr>
              <w:t>(303,030)</w:t>
            </w:r>
          </w:p>
        </w:tc>
      </w:tr>
      <w:tr w:rsidR="003D7A11" w:rsidRPr="009016C5" w14:paraId="5BAFF9E6"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164CA612" w14:textId="77777777" w:rsidR="003D7A11" w:rsidRPr="009016C5" w:rsidRDefault="003D7A11" w:rsidP="003D7A11">
            <w:pPr>
              <w:rPr>
                <w:sz w:val="13"/>
                <w:szCs w:val="13"/>
                <w:lang w:val="en-US"/>
              </w:rPr>
            </w:pPr>
            <w:r w:rsidRPr="009016C5">
              <w:rPr>
                <w:sz w:val="13"/>
                <w:szCs w:val="13"/>
                <w:lang w:val="en-US"/>
              </w:rPr>
              <w:t>1.1.6</w:t>
            </w:r>
          </w:p>
        </w:tc>
        <w:tc>
          <w:tcPr>
            <w:tcW w:w="5442" w:type="dxa"/>
            <w:tcBorders>
              <w:left w:val="single" w:sz="4" w:space="0" w:color="auto"/>
              <w:right w:val="single" w:sz="4" w:space="0" w:color="auto"/>
            </w:tcBorders>
            <w:shd w:val="clear" w:color="auto" w:fill="auto"/>
            <w:noWrap/>
            <w:vAlign w:val="bottom"/>
            <w:hideMark/>
          </w:tcPr>
          <w:p w14:paraId="158BAB7A" w14:textId="77777777" w:rsidR="003D7A11" w:rsidRPr="009016C5" w:rsidRDefault="003D7A11" w:rsidP="003D7A11">
            <w:pPr>
              <w:rPr>
                <w:sz w:val="13"/>
                <w:szCs w:val="13"/>
                <w:lang w:val="en-US"/>
              </w:rPr>
            </w:pPr>
            <w:proofErr w:type="spellStart"/>
            <w:r w:rsidRPr="009016C5">
              <w:rPr>
                <w:sz w:val="13"/>
                <w:szCs w:val="13"/>
                <w:lang w:val="en-US"/>
              </w:rPr>
              <w:t>Zarar</w:t>
            </w:r>
            <w:proofErr w:type="spellEnd"/>
            <w:r w:rsidRPr="009016C5">
              <w:rPr>
                <w:sz w:val="13"/>
                <w:szCs w:val="13"/>
                <w:lang w:val="en-US"/>
              </w:rPr>
              <w:t xml:space="preserve"> </w:t>
            </w:r>
            <w:proofErr w:type="spellStart"/>
            <w:r w:rsidRPr="009016C5">
              <w:rPr>
                <w:sz w:val="13"/>
                <w:szCs w:val="13"/>
                <w:lang w:val="en-US"/>
              </w:rPr>
              <w:t>Olarak</w:t>
            </w:r>
            <w:proofErr w:type="spellEnd"/>
            <w:r w:rsidRPr="009016C5">
              <w:rPr>
                <w:sz w:val="13"/>
                <w:szCs w:val="13"/>
                <w:lang w:val="en-US"/>
              </w:rPr>
              <w:t xml:space="preserve"> </w:t>
            </w:r>
            <w:proofErr w:type="spellStart"/>
            <w:r w:rsidRPr="009016C5">
              <w:rPr>
                <w:sz w:val="13"/>
                <w:szCs w:val="13"/>
                <w:lang w:val="en-US"/>
              </w:rPr>
              <w:t>Muhasebeleştirilen</w:t>
            </w:r>
            <w:proofErr w:type="spellEnd"/>
            <w:r w:rsidRPr="009016C5">
              <w:rPr>
                <w:sz w:val="13"/>
                <w:szCs w:val="13"/>
                <w:lang w:val="en-US"/>
              </w:rPr>
              <w:t xml:space="preserve"> </w:t>
            </w:r>
            <w:proofErr w:type="spellStart"/>
            <w:r w:rsidRPr="009016C5">
              <w:rPr>
                <w:sz w:val="13"/>
                <w:szCs w:val="13"/>
                <w:lang w:val="en-US"/>
              </w:rPr>
              <w:t>Donuk</w:t>
            </w:r>
            <w:proofErr w:type="spellEnd"/>
            <w:r w:rsidRPr="009016C5">
              <w:rPr>
                <w:sz w:val="13"/>
                <w:szCs w:val="13"/>
                <w:lang w:val="en-US"/>
              </w:rPr>
              <w:t xml:space="preserve"> </w:t>
            </w:r>
            <w:proofErr w:type="spellStart"/>
            <w:r w:rsidRPr="009016C5">
              <w:rPr>
                <w:sz w:val="13"/>
                <w:szCs w:val="13"/>
                <w:lang w:val="en-US"/>
              </w:rPr>
              <w:t>Alacaklardan</w:t>
            </w:r>
            <w:proofErr w:type="spellEnd"/>
            <w:r w:rsidRPr="009016C5">
              <w:rPr>
                <w:sz w:val="13"/>
                <w:szCs w:val="13"/>
                <w:lang w:val="en-US"/>
              </w:rPr>
              <w:t xml:space="preserve"> </w:t>
            </w:r>
            <w:proofErr w:type="spellStart"/>
            <w:r w:rsidRPr="009016C5">
              <w:rPr>
                <w:sz w:val="13"/>
                <w:szCs w:val="13"/>
                <w:lang w:val="en-US"/>
              </w:rPr>
              <w:t>Tahsilatlar</w:t>
            </w:r>
            <w:proofErr w:type="spellEnd"/>
          </w:p>
        </w:tc>
        <w:tc>
          <w:tcPr>
            <w:tcW w:w="708" w:type="dxa"/>
            <w:tcBorders>
              <w:left w:val="single" w:sz="4" w:space="0" w:color="auto"/>
              <w:right w:val="single" w:sz="4" w:space="0" w:color="auto"/>
            </w:tcBorders>
            <w:shd w:val="clear" w:color="auto" w:fill="auto"/>
            <w:noWrap/>
            <w:vAlign w:val="bottom"/>
            <w:hideMark/>
          </w:tcPr>
          <w:p w14:paraId="2A3E1DDF"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2C0CB07B" w14:textId="7222C9BF" w:rsidR="003D7A11" w:rsidRPr="00271DD2" w:rsidRDefault="003D7A11" w:rsidP="00717AB5">
            <w:pPr>
              <w:jc w:val="right"/>
              <w:rPr>
                <w:bCs/>
                <w:sz w:val="14"/>
              </w:rPr>
            </w:pPr>
            <w:r w:rsidRPr="00271DD2">
              <w:rPr>
                <w:bCs/>
                <w:sz w:val="14"/>
              </w:rPr>
              <w:t>193,288</w:t>
            </w:r>
          </w:p>
        </w:tc>
        <w:tc>
          <w:tcPr>
            <w:tcW w:w="1336" w:type="dxa"/>
            <w:tcBorders>
              <w:left w:val="single" w:sz="4" w:space="0" w:color="auto"/>
              <w:right w:val="single" w:sz="4" w:space="0" w:color="auto"/>
            </w:tcBorders>
            <w:shd w:val="clear" w:color="auto" w:fill="auto"/>
            <w:noWrap/>
            <w:vAlign w:val="bottom"/>
          </w:tcPr>
          <w:p w14:paraId="7DDB288F" w14:textId="080EC027" w:rsidR="003D7A11" w:rsidRPr="009016C5" w:rsidRDefault="003D7A11" w:rsidP="00717AB5">
            <w:pPr>
              <w:jc w:val="right"/>
              <w:rPr>
                <w:sz w:val="14"/>
              </w:rPr>
            </w:pPr>
            <w:r w:rsidRPr="009016C5">
              <w:rPr>
                <w:bCs/>
                <w:sz w:val="14"/>
              </w:rPr>
              <w:t>132,549</w:t>
            </w:r>
          </w:p>
        </w:tc>
      </w:tr>
      <w:tr w:rsidR="003D7A11" w:rsidRPr="009016C5" w14:paraId="60B88CAF"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0912C174" w14:textId="77777777" w:rsidR="003D7A11" w:rsidRPr="009016C5" w:rsidRDefault="003D7A11" w:rsidP="003D7A11">
            <w:pPr>
              <w:rPr>
                <w:sz w:val="13"/>
                <w:szCs w:val="13"/>
                <w:lang w:val="en-US"/>
              </w:rPr>
            </w:pPr>
            <w:r w:rsidRPr="009016C5">
              <w:rPr>
                <w:sz w:val="13"/>
                <w:szCs w:val="13"/>
                <w:lang w:val="en-US"/>
              </w:rPr>
              <w:t>1.1.7</w:t>
            </w:r>
          </w:p>
        </w:tc>
        <w:tc>
          <w:tcPr>
            <w:tcW w:w="5442" w:type="dxa"/>
            <w:tcBorders>
              <w:left w:val="single" w:sz="4" w:space="0" w:color="auto"/>
              <w:right w:val="single" w:sz="4" w:space="0" w:color="auto"/>
            </w:tcBorders>
            <w:shd w:val="clear" w:color="auto" w:fill="auto"/>
            <w:noWrap/>
            <w:vAlign w:val="bottom"/>
            <w:hideMark/>
          </w:tcPr>
          <w:p w14:paraId="2F942AE6" w14:textId="77777777" w:rsidR="003D7A11" w:rsidRPr="009016C5" w:rsidRDefault="003D7A11" w:rsidP="003D7A11">
            <w:pPr>
              <w:rPr>
                <w:sz w:val="13"/>
                <w:szCs w:val="13"/>
                <w:lang w:val="en-US"/>
              </w:rPr>
            </w:pPr>
            <w:proofErr w:type="spellStart"/>
            <w:r w:rsidRPr="009016C5">
              <w:rPr>
                <w:sz w:val="13"/>
                <w:szCs w:val="13"/>
                <w:lang w:val="en-US"/>
              </w:rPr>
              <w:t>Personele</w:t>
            </w:r>
            <w:proofErr w:type="spellEnd"/>
            <w:r w:rsidRPr="009016C5">
              <w:rPr>
                <w:sz w:val="13"/>
                <w:szCs w:val="13"/>
                <w:lang w:val="en-US"/>
              </w:rPr>
              <w:t xml:space="preserve"> ve </w:t>
            </w:r>
            <w:proofErr w:type="spellStart"/>
            <w:r w:rsidRPr="009016C5">
              <w:rPr>
                <w:sz w:val="13"/>
                <w:szCs w:val="13"/>
                <w:lang w:val="en-US"/>
              </w:rPr>
              <w:t>Hizmet</w:t>
            </w:r>
            <w:proofErr w:type="spellEnd"/>
            <w:r w:rsidRPr="009016C5">
              <w:rPr>
                <w:sz w:val="13"/>
                <w:szCs w:val="13"/>
                <w:lang w:val="en-US"/>
              </w:rPr>
              <w:t xml:space="preserve"> </w:t>
            </w:r>
            <w:proofErr w:type="spellStart"/>
            <w:r w:rsidRPr="009016C5">
              <w:rPr>
                <w:sz w:val="13"/>
                <w:szCs w:val="13"/>
                <w:lang w:val="en-US"/>
              </w:rPr>
              <w:t>Tedarik</w:t>
            </w:r>
            <w:proofErr w:type="spellEnd"/>
            <w:r w:rsidRPr="009016C5">
              <w:rPr>
                <w:sz w:val="13"/>
                <w:szCs w:val="13"/>
                <w:lang w:val="en-US"/>
              </w:rPr>
              <w:t xml:space="preserve"> </w:t>
            </w:r>
            <w:proofErr w:type="spellStart"/>
            <w:r w:rsidRPr="009016C5">
              <w:rPr>
                <w:sz w:val="13"/>
                <w:szCs w:val="13"/>
                <w:lang w:val="en-US"/>
              </w:rPr>
              <w:t>Edenlere</w:t>
            </w:r>
            <w:proofErr w:type="spellEnd"/>
            <w:r w:rsidRPr="009016C5">
              <w:rPr>
                <w:sz w:val="13"/>
                <w:szCs w:val="13"/>
                <w:lang w:val="en-US"/>
              </w:rPr>
              <w:t xml:space="preserve"> </w:t>
            </w:r>
            <w:proofErr w:type="spellStart"/>
            <w:r w:rsidRPr="009016C5">
              <w:rPr>
                <w:sz w:val="13"/>
                <w:szCs w:val="13"/>
                <w:lang w:val="en-US"/>
              </w:rPr>
              <w:t>Yapılan</w:t>
            </w:r>
            <w:proofErr w:type="spellEnd"/>
            <w:r w:rsidRPr="009016C5">
              <w:rPr>
                <w:sz w:val="13"/>
                <w:szCs w:val="13"/>
                <w:lang w:val="en-US"/>
              </w:rPr>
              <w:t xml:space="preserve"> </w:t>
            </w:r>
            <w:proofErr w:type="spellStart"/>
            <w:r w:rsidRPr="009016C5">
              <w:rPr>
                <w:sz w:val="13"/>
                <w:szCs w:val="13"/>
                <w:lang w:val="en-US"/>
              </w:rPr>
              <w:t>Nakit</w:t>
            </w:r>
            <w:proofErr w:type="spellEnd"/>
            <w:r w:rsidRPr="009016C5">
              <w:rPr>
                <w:sz w:val="13"/>
                <w:szCs w:val="13"/>
                <w:lang w:val="en-US"/>
              </w:rPr>
              <w:t xml:space="preserve"> Ödemeler</w:t>
            </w:r>
          </w:p>
        </w:tc>
        <w:tc>
          <w:tcPr>
            <w:tcW w:w="708" w:type="dxa"/>
            <w:tcBorders>
              <w:left w:val="single" w:sz="4" w:space="0" w:color="auto"/>
              <w:right w:val="single" w:sz="4" w:space="0" w:color="auto"/>
            </w:tcBorders>
            <w:shd w:val="clear" w:color="auto" w:fill="auto"/>
            <w:noWrap/>
            <w:vAlign w:val="bottom"/>
            <w:hideMark/>
          </w:tcPr>
          <w:p w14:paraId="623E9664"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161C5631" w14:textId="69EFE242" w:rsidR="003D7A11" w:rsidRPr="00271DD2" w:rsidRDefault="003D7A11" w:rsidP="00717AB5">
            <w:pPr>
              <w:jc w:val="right"/>
              <w:rPr>
                <w:bCs/>
                <w:sz w:val="14"/>
              </w:rPr>
            </w:pPr>
            <w:r w:rsidRPr="00271DD2">
              <w:rPr>
                <w:bCs/>
                <w:sz w:val="14"/>
              </w:rPr>
              <w:t>(890,614)</w:t>
            </w:r>
          </w:p>
        </w:tc>
        <w:tc>
          <w:tcPr>
            <w:tcW w:w="1336" w:type="dxa"/>
            <w:tcBorders>
              <w:left w:val="single" w:sz="4" w:space="0" w:color="auto"/>
              <w:right w:val="single" w:sz="4" w:space="0" w:color="auto"/>
            </w:tcBorders>
            <w:shd w:val="clear" w:color="auto" w:fill="auto"/>
            <w:noWrap/>
            <w:vAlign w:val="bottom"/>
          </w:tcPr>
          <w:p w14:paraId="582363CD" w14:textId="32C7E8D3" w:rsidR="003D7A11" w:rsidRPr="009016C5" w:rsidRDefault="003D7A11" w:rsidP="00717AB5">
            <w:pPr>
              <w:jc w:val="right"/>
              <w:rPr>
                <w:sz w:val="14"/>
              </w:rPr>
            </w:pPr>
            <w:r w:rsidRPr="009016C5">
              <w:rPr>
                <w:bCs/>
                <w:sz w:val="14"/>
              </w:rPr>
              <w:t>(755,721)</w:t>
            </w:r>
          </w:p>
        </w:tc>
      </w:tr>
      <w:tr w:rsidR="003D7A11" w:rsidRPr="009016C5" w14:paraId="469F3802"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22F9EDEB" w14:textId="77777777" w:rsidR="003D7A11" w:rsidRPr="009016C5" w:rsidRDefault="003D7A11" w:rsidP="003D7A11">
            <w:pPr>
              <w:rPr>
                <w:sz w:val="13"/>
                <w:szCs w:val="13"/>
                <w:lang w:val="en-US"/>
              </w:rPr>
            </w:pPr>
            <w:r w:rsidRPr="009016C5">
              <w:rPr>
                <w:sz w:val="13"/>
                <w:szCs w:val="13"/>
                <w:lang w:val="en-US"/>
              </w:rPr>
              <w:t>1.1.8</w:t>
            </w:r>
          </w:p>
        </w:tc>
        <w:tc>
          <w:tcPr>
            <w:tcW w:w="5442" w:type="dxa"/>
            <w:tcBorders>
              <w:left w:val="single" w:sz="4" w:space="0" w:color="auto"/>
              <w:right w:val="single" w:sz="4" w:space="0" w:color="auto"/>
            </w:tcBorders>
            <w:shd w:val="clear" w:color="auto" w:fill="auto"/>
            <w:noWrap/>
            <w:vAlign w:val="bottom"/>
            <w:hideMark/>
          </w:tcPr>
          <w:p w14:paraId="692909C4" w14:textId="77777777" w:rsidR="003D7A11" w:rsidRPr="009016C5" w:rsidRDefault="003D7A11" w:rsidP="003D7A11">
            <w:pPr>
              <w:rPr>
                <w:sz w:val="13"/>
                <w:szCs w:val="13"/>
                <w:lang w:val="en-US"/>
              </w:rPr>
            </w:pPr>
            <w:proofErr w:type="spellStart"/>
            <w:r w:rsidRPr="009016C5">
              <w:rPr>
                <w:sz w:val="13"/>
                <w:szCs w:val="13"/>
                <w:lang w:val="en-US"/>
              </w:rPr>
              <w:t>Ödenen</w:t>
            </w:r>
            <w:proofErr w:type="spellEnd"/>
            <w:r w:rsidRPr="009016C5">
              <w:rPr>
                <w:sz w:val="13"/>
                <w:szCs w:val="13"/>
                <w:lang w:val="en-US"/>
              </w:rPr>
              <w:t xml:space="preserve"> </w:t>
            </w:r>
            <w:proofErr w:type="spellStart"/>
            <w:r w:rsidRPr="009016C5">
              <w:rPr>
                <w:sz w:val="13"/>
                <w:szCs w:val="13"/>
                <w:lang w:val="en-US"/>
              </w:rPr>
              <w:t>Vergiler</w:t>
            </w:r>
            <w:proofErr w:type="spellEnd"/>
          </w:p>
        </w:tc>
        <w:tc>
          <w:tcPr>
            <w:tcW w:w="708" w:type="dxa"/>
            <w:tcBorders>
              <w:left w:val="single" w:sz="4" w:space="0" w:color="auto"/>
              <w:right w:val="single" w:sz="4" w:space="0" w:color="auto"/>
            </w:tcBorders>
            <w:shd w:val="clear" w:color="auto" w:fill="auto"/>
            <w:noWrap/>
            <w:vAlign w:val="bottom"/>
            <w:hideMark/>
          </w:tcPr>
          <w:p w14:paraId="66688349"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5281749D" w14:textId="21713227" w:rsidR="003D7A11" w:rsidRPr="00271DD2" w:rsidRDefault="003D7A11" w:rsidP="00717AB5">
            <w:pPr>
              <w:jc w:val="right"/>
              <w:rPr>
                <w:bCs/>
                <w:sz w:val="14"/>
              </w:rPr>
            </w:pPr>
            <w:r w:rsidRPr="00271DD2">
              <w:rPr>
                <w:bCs/>
                <w:sz w:val="14"/>
              </w:rPr>
              <w:t>(703,562)</w:t>
            </w:r>
          </w:p>
        </w:tc>
        <w:tc>
          <w:tcPr>
            <w:tcW w:w="1336" w:type="dxa"/>
            <w:tcBorders>
              <w:left w:val="single" w:sz="4" w:space="0" w:color="auto"/>
              <w:right w:val="single" w:sz="4" w:space="0" w:color="auto"/>
            </w:tcBorders>
            <w:shd w:val="clear" w:color="auto" w:fill="auto"/>
            <w:noWrap/>
            <w:vAlign w:val="bottom"/>
          </w:tcPr>
          <w:p w14:paraId="4B6396DB" w14:textId="0E9DD8B7" w:rsidR="003D7A11" w:rsidRPr="009016C5" w:rsidRDefault="003D7A11" w:rsidP="00717AB5">
            <w:pPr>
              <w:jc w:val="right"/>
              <w:rPr>
                <w:sz w:val="14"/>
              </w:rPr>
            </w:pPr>
            <w:r w:rsidRPr="009016C5">
              <w:rPr>
                <w:bCs/>
                <w:sz w:val="14"/>
              </w:rPr>
              <w:t>(594,716)</w:t>
            </w:r>
          </w:p>
        </w:tc>
      </w:tr>
      <w:tr w:rsidR="003D7A11" w:rsidRPr="009016C5" w14:paraId="6DD31111"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65348682" w14:textId="77777777" w:rsidR="003D7A11" w:rsidRPr="009016C5" w:rsidRDefault="003D7A11" w:rsidP="003D7A11">
            <w:pPr>
              <w:rPr>
                <w:sz w:val="13"/>
                <w:szCs w:val="13"/>
                <w:lang w:val="en-US"/>
              </w:rPr>
            </w:pPr>
            <w:r w:rsidRPr="009016C5">
              <w:rPr>
                <w:sz w:val="13"/>
                <w:szCs w:val="13"/>
                <w:lang w:val="en-US"/>
              </w:rPr>
              <w:t>1.1.9</w:t>
            </w:r>
          </w:p>
        </w:tc>
        <w:tc>
          <w:tcPr>
            <w:tcW w:w="5442" w:type="dxa"/>
            <w:tcBorders>
              <w:left w:val="single" w:sz="4" w:space="0" w:color="auto"/>
              <w:right w:val="single" w:sz="4" w:space="0" w:color="auto"/>
            </w:tcBorders>
            <w:shd w:val="clear" w:color="auto" w:fill="auto"/>
            <w:noWrap/>
            <w:vAlign w:val="bottom"/>
            <w:hideMark/>
          </w:tcPr>
          <w:p w14:paraId="2B1904A4" w14:textId="77777777" w:rsidR="003D7A11" w:rsidRPr="009016C5" w:rsidRDefault="003D7A11" w:rsidP="003D7A11">
            <w:pPr>
              <w:rPr>
                <w:sz w:val="13"/>
                <w:szCs w:val="13"/>
                <w:lang w:val="en-US"/>
              </w:rPr>
            </w:pPr>
            <w:proofErr w:type="spellStart"/>
            <w:r w:rsidRPr="009016C5">
              <w:rPr>
                <w:sz w:val="13"/>
                <w:szCs w:val="13"/>
                <w:lang w:val="en-US"/>
              </w:rPr>
              <w:t>Diğer</w:t>
            </w:r>
            <w:proofErr w:type="spellEnd"/>
            <w:r w:rsidRPr="009016C5">
              <w:rPr>
                <w:sz w:val="13"/>
                <w:szCs w:val="13"/>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79D3D221"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4E3131ED" w14:textId="16979142" w:rsidR="003D7A11" w:rsidRPr="00271DD2" w:rsidRDefault="003D7A11" w:rsidP="00717AB5">
            <w:pPr>
              <w:jc w:val="right"/>
              <w:rPr>
                <w:bCs/>
                <w:sz w:val="14"/>
              </w:rPr>
            </w:pPr>
            <w:r w:rsidRPr="00271DD2">
              <w:rPr>
                <w:bCs/>
                <w:sz w:val="14"/>
              </w:rPr>
              <w:t>(897,576)</w:t>
            </w:r>
          </w:p>
        </w:tc>
        <w:tc>
          <w:tcPr>
            <w:tcW w:w="1336" w:type="dxa"/>
            <w:tcBorders>
              <w:left w:val="single" w:sz="4" w:space="0" w:color="auto"/>
              <w:right w:val="single" w:sz="4" w:space="0" w:color="auto"/>
            </w:tcBorders>
            <w:shd w:val="clear" w:color="auto" w:fill="auto"/>
            <w:noWrap/>
            <w:vAlign w:val="bottom"/>
          </w:tcPr>
          <w:p w14:paraId="50552757" w14:textId="4FAC4EB8" w:rsidR="003D7A11" w:rsidRPr="009016C5" w:rsidRDefault="003D7A11" w:rsidP="00717AB5">
            <w:pPr>
              <w:jc w:val="right"/>
              <w:rPr>
                <w:sz w:val="14"/>
              </w:rPr>
            </w:pPr>
            <w:r w:rsidRPr="009016C5">
              <w:rPr>
                <w:bCs/>
                <w:sz w:val="14"/>
              </w:rPr>
              <w:t>(1,848,337)</w:t>
            </w:r>
          </w:p>
        </w:tc>
      </w:tr>
      <w:tr w:rsidR="003D7A11" w:rsidRPr="009016C5" w14:paraId="14DD2E28"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5542988F"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76E388A0" w14:textId="77777777" w:rsidR="003D7A11" w:rsidRPr="009016C5" w:rsidRDefault="003D7A11" w:rsidP="003D7A11">
            <w:pPr>
              <w:rPr>
                <w:sz w:val="13"/>
                <w:szCs w:val="13"/>
                <w:lang w:val="en-US"/>
              </w:rPr>
            </w:pPr>
            <w:r w:rsidRPr="009016C5">
              <w:rPr>
                <w:sz w:val="13"/>
                <w:szCs w:val="13"/>
                <w:lang w:val="en-US"/>
              </w:rPr>
              <w:t> </w:t>
            </w:r>
          </w:p>
        </w:tc>
        <w:tc>
          <w:tcPr>
            <w:tcW w:w="708" w:type="dxa"/>
            <w:tcBorders>
              <w:left w:val="single" w:sz="4" w:space="0" w:color="auto"/>
              <w:right w:val="single" w:sz="4" w:space="0" w:color="auto"/>
            </w:tcBorders>
            <w:shd w:val="clear" w:color="auto" w:fill="auto"/>
            <w:noWrap/>
            <w:vAlign w:val="bottom"/>
            <w:hideMark/>
          </w:tcPr>
          <w:p w14:paraId="11FD6ACC"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41F6D393" w14:textId="2054B619"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351F8279" w14:textId="77777777" w:rsidR="003D7A11" w:rsidRPr="009016C5" w:rsidRDefault="003D7A11" w:rsidP="00717AB5">
            <w:pPr>
              <w:jc w:val="right"/>
              <w:rPr>
                <w:sz w:val="14"/>
              </w:rPr>
            </w:pPr>
          </w:p>
        </w:tc>
      </w:tr>
      <w:tr w:rsidR="003D7A11" w:rsidRPr="009016C5" w14:paraId="69DA7969"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044071FA" w14:textId="77777777" w:rsidR="003D7A11" w:rsidRPr="009016C5" w:rsidRDefault="003D7A11" w:rsidP="003D7A11">
            <w:pPr>
              <w:rPr>
                <w:b/>
                <w:bCs/>
                <w:sz w:val="13"/>
                <w:szCs w:val="13"/>
                <w:lang w:val="en-US"/>
              </w:rPr>
            </w:pPr>
            <w:r w:rsidRPr="009016C5">
              <w:rPr>
                <w:b/>
                <w:bCs/>
                <w:sz w:val="13"/>
                <w:szCs w:val="13"/>
                <w:lang w:val="en-US"/>
              </w:rPr>
              <w:t>1.2</w:t>
            </w:r>
          </w:p>
        </w:tc>
        <w:tc>
          <w:tcPr>
            <w:tcW w:w="5442" w:type="dxa"/>
            <w:tcBorders>
              <w:left w:val="single" w:sz="4" w:space="0" w:color="auto"/>
              <w:right w:val="single" w:sz="4" w:space="0" w:color="auto"/>
            </w:tcBorders>
            <w:shd w:val="clear" w:color="auto" w:fill="auto"/>
            <w:noWrap/>
            <w:vAlign w:val="bottom"/>
            <w:hideMark/>
          </w:tcPr>
          <w:p w14:paraId="37613533" w14:textId="77777777" w:rsidR="003D7A11" w:rsidRPr="009016C5" w:rsidRDefault="003D7A11" w:rsidP="003D7A11">
            <w:pPr>
              <w:rPr>
                <w:b/>
                <w:bCs/>
                <w:sz w:val="13"/>
                <w:szCs w:val="13"/>
                <w:lang w:val="en-US"/>
              </w:rPr>
            </w:pPr>
            <w:r w:rsidRPr="009016C5">
              <w:rPr>
                <w:b/>
                <w:bCs/>
                <w:sz w:val="13"/>
                <w:szCs w:val="13"/>
                <w:lang w:val="en-US"/>
              </w:rPr>
              <w:t xml:space="preserve">Bankacılık </w:t>
            </w:r>
            <w:proofErr w:type="spellStart"/>
            <w:r w:rsidRPr="009016C5">
              <w:rPr>
                <w:b/>
                <w:bCs/>
                <w:sz w:val="13"/>
                <w:szCs w:val="13"/>
                <w:lang w:val="en-US"/>
              </w:rPr>
              <w:t>Faaliyetleri</w:t>
            </w:r>
            <w:proofErr w:type="spellEnd"/>
            <w:r w:rsidRPr="009016C5">
              <w:rPr>
                <w:b/>
                <w:bCs/>
                <w:sz w:val="13"/>
                <w:szCs w:val="13"/>
                <w:lang w:val="en-US"/>
              </w:rPr>
              <w:t xml:space="preserve"> </w:t>
            </w:r>
            <w:proofErr w:type="spellStart"/>
            <w:r w:rsidRPr="009016C5">
              <w:rPr>
                <w:b/>
                <w:bCs/>
                <w:sz w:val="13"/>
                <w:szCs w:val="13"/>
                <w:lang w:val="en-US"/>
              </w:rPr>
              <w:t>Konusu</w:t>
            </w:r>
            <w:proofErr w:type="spellEnd"/>
            <w:r w:rsidRPr="009016C5">
              <w:rPr>
                <w:b/>
                <w:bCs/>
                <w:sz w:val="13"/>
                <w:szCs w:val="13"/>
                <w:lang w:val="en-US"/>
              </w:rPr>
              <w:t xml:space="preserve"> </w:t>
            </w:r>
            <w:proofErr w:type="spellStart"/>
            <w:r w:rsidRPr="009016C5">
              <w:rPr>
                <w:b/>
                <w:bCs/>
                <w:sz w:val="13"/>
                <w:szCs w:val="13"/>
                <w:lang w:val="en-US"/>
              </w:rPr>
              <w:t>Varlık</w:t>
            </w:r>
            <w:proofErr w:type="spellEnd"/>
            <w:r w:rsidRPr="009016C5">
              <w:rPr>
                <w:b/>
                <w:bCs/>
                <w:sz w:val="13"/>
                <w:szCs w:val="13"/>
                <w:lang w:val="en-US"/>
              </w:rPr>
              <w:t xml:space="preserve"> ve </w:t>
            </w:r>
            <w:proofErr w:type="spellStart"/>
            <w:r w:rsidRPr="009016C5">
              <w:rPr>
                <w:b/>
                <w:bCs/>
                <w:sz w:val="13"/>
                <w:szCs w:val="13"/>
                <w:lang w:val="en-US"/>
              </w:rPr>
              <w:t>Yükümlülüklerdeki</w:t>
            </w:r>
            <w:proofErr w:type="spellEnd"/>
            <w:r w:rsidRPr="009016C5">
              <w:rPr>
                <w:b/>
                <w:bCs/>
                <w:sz w:val="13"/>
                <w:szCs w:val="13"/>
                <w:lang w:val="en-US"/>
              </w:rPr>
              <w:t xml:space="preserve"> </w:t>
            </w:r>
            <w:proofErr w:type="spellStart"/>
            <w:r w:rsidRPr="009016C5">
              <w:rPr>
                <w:b/>
                <w:bCs/>
                <w:sz w:val="13"/>
                <w:szCs w:val="13"/>
                <w:lang w:val="en-US"/>
              </w:rPr>
              <w:t>Değişim</w:t>
            </w:r>
            <w:proofErr w:type="spellEnd"/>
          </w:p>
        </w:tc>
        <w:tc>
          <w:tcPr>
            <w:tcW w:w="708" w:type="dxa"/>
            <w:tcBorders>
              <w:left w:val="single" w:sz="4" w:space="0" w:color="auto"/>
              <w:right w:val="single" w:sz="4" w:space="0" w:color="auto"/>
            </w:tcBorders>
            <w:shd w:val="clear" w:color="auto" w:fill="auto"/>
            <w:noWrap/>
            <w:vAlign w:val="bottom"/>
            <w:hideMark/>
          </w:tcPr>
          <w:p w14:paraId="2742B3E7"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44FC7E9B" w14:textId="19781DA6" w:rsidR="003D7A11" w:rsidRPr="009016C5" w:rsidRDefault="003D7A11" w:rsidP="00717AB5">
            <w:pPr>
              <w:jc w:val="right"/>
              <w:rPr>
                <w:b/>
                <w:sz w:val="14"/>
              </w:rPr>
            </w:pPr>
            <w:r w:rsidRPr="009016C5">
              <w:rPr>
                <w:b/>
                <w:sz w:val="14"/>
              </w:rPr>
              <w:t>4,548,211</w:t>
            </w:r>
          </w:p>
        </w:tc>
        <w:tc>
          <w:tcPr>
            <w:tcW w:w="1336" w:type="dxa"/>
            <w:tcBorders>
              <w:left w:val="single" w:sz="4" w:space="0" w:color="auto"/>
              <w:right w:val="single" w:sz="4" w:space="0" w:color="auto"/>
            </w:tcBorders>
            <w:shd w:val="clear" w:color="auto" w:fill="auto"/>
            <w:noWrap/>
            <w:vAlign w:val="bottom"/>
          </w:tcPr>
          <w:p w14:paraId="2591EA69" w14:textId="30161F08" w:rsidR="003D7A11" w:rsidRPr="009016C5" w:rsidRDefault="003D7A11" w:rsidP="00717AB5">
            <w:pPr>
              <w:jc w:val="right"/>
              <w:rPr>
                <w:b/>
                <w:sz w:val="14"/>
              </w:rPr>
            </w:pPr>
            <w:r w:rsidRPr="009016C5">
              <w:rPr>
                <w:b/>
                <w:sz w:val="14"/>
              </w:rPr>
              <w:t>11,053,156</w:t>
            </w:r>
          </w:p>
        </w:tc>
      </w:tr>
      <w:tr w:rsidR="003D7A11" w:rsidRPr="009016C5" w14:paraId="3DCEBC8B"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7D70A4FB"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65762A57" w14:textId="77777777" w:rsidR="003D7A11" w:rsidRPr="009016C5" w:rsidRDefault="003D7A11" w:rsidP="003D7A11">
            <w:pPr>
              <w:rPr>
                <w:sz w:val="13"/>
                <w:szCs w:val="13"/>
                <w:lang w:val="en-US"/>
              </w:rPr>
            </w:pPr>
            <w:r w:rsidRPr="009016C5">
              <w:rPr>
                <w:sz w:val="13"/>
                <w:szCs w:val="13"/>
                <w:lang w:val="en-US"/>
              </w:rPr>
              <w:t> </w:t>
            </w:r>
          </w:p>
        </w:tc>
        <w:tc>
          <w:tcPr>
            <w:tcW w:w="708" w:type="dxa"/>
            <w:tcBorders>
              <w:left w:val="single" w:sz="4" w:space="0" w:color="auto"/>
              <w:right w:val="single" w:sz="4" w:space="0" w:color="auto"/>
            </w:tcBorders>
            <w:shd w:val="clear" w:color="auto" w:fill="auto"/>
            <w:noWrap/>
            <w:vAlign w:val="bottom"/>
            <w:hideMark/>
          </w:tcPr>
          <w:p w14:paraId="014340DF"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0C1C68C2" w14:textId="5BB13272"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38EB815E" w14:textId="77777777" w:rsidR="003D7A11" w:rsidRPr="009016C5" w:rsidRDefault="003D7A11" w:rsidP="00717AB5">
            <w:pPr>
              <w:jc w:val="right"/>
              <w:rPr>
                <w:b/>
                <w:sz w:val="14"/>
              </w:rPr>
            </w:pPr>
          </w:p>
        </w:tc>
      </w:tr>
      <w:tr w:rsidR="003D7A11" w:rsidRPr="009016C5" w14:paraId="2A85B999"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3F23E3EF" w14:textId="77777777" w:rsidR="003D7A11" w:rsidRPr="009016C5" w:rsidRDefault="003D7A11" w:rsidP="003D7A11">
            <w:pPr>
              <w:rPr>
                <w:sz w:val="13"/>
                <w:szCs w:val="13"/>
                <w:lang w:val="en-US"/>
              </w:rPr>
            </w:pPr>
            <w:r w:rsidRPr="009016C5">
              <w:rPr>
                <w:sz w:val="13"/>
                <w:szCs w:val="13"/>
                <w:lang w:val="en-US"/>
              </w:rPr>
              <w:t>1.2.1</w:t>
            </w:r>
          </w:p>
        </w:tc>
        <w:tc>
          <w:tcPr>
            <w:tcW w:w="5442" w:type="dxa"/>
            <w:tcBorders>
              <w:left w:val="single" w:sz="4" w:space="0" w:color="auto"/>
              <w:right w:val="single" w:sz="4" w:space="0" w:color="auto"/>
            </w:tcBorders>
            <w:shd w:val="clear" w:color="auto" w:fill="auto"/>
            <w:noWrap/>
            <w:vAlign w:val="bottom"/>
            <w:hideMark/>
          </w:tcPr>
          <w:p w14:paraId="5EEC0D95" w14:textId="77777777" w:rsidR="003D7A11" w:rsidRPr="009016C5" w:rsidRDefault="003D7A11" w:rsidP="003D7A11">
            <w:pPr>
              <w:rPr>
                <w:sz w:val="13"/>
                <w:szCs w:val="13"/>
                <w:lang w:val="en-US"/>
              </w:rPr>
            </w:pPr>
            <w:proofErr w:type="spellStart"/>
            <w:r w:rsidRPr="009016C5">
              <w:rPr>
                <w:sz w:val="13"/>
                <w:szCs w:val="13"/>
                <w:lang w:val="en-US"/>
              </w:rPr>
              <w:t>Gerçeğe</w:t>
            </w:r>
            <w:proofErr w:type="spellEnd"/>
            <w:r w:rsidRPr="009016C5">
              <w:rPr>
                <w:sz w:val="13"/>
                <w:szCs w:val="13"/>
                <w:lang w:val="en-US"/>
              </w:rPr>
              <w:t xml:space="preserve"> Uygun </w:t>
            </w:r>
            <w:proofErr w:type="spellStart"/>
            <w:r w:rsidRPr="009016C5">
              <w:rPr>
                <w:sz w:val="13"/>
                <w:szCs w:val="13"/>
                <w:lang w:val="en-US"/>
              </w:rPr>
              <w:t>Değer</w:t>
            </w:r>
            <w:proofErr w:type="spellEnd"/>
            <w:r w:rsidRPr="009016C5">
              <w:rPr>
                <w:sz w:val="13"/>
                <w:szCs w:val="13"/>
                <w:lang w:val="en-US"/>
              </w:rPr>
              <w:t xml:space="preserve"> </w:t>
            </w:r>
            <w:proofErr w:type="spellStart"/>
            <w:r w:rsidRPr="009016C5">
              <w:rPr>
                <w:sz w:val="13"/>
                <w:szCs w:val="13"/>
                <w:lang w:val="en-US"/>
              </w:rPr>
              <w:t>Farkı</w:t>
            </w:r>
            <w:proofErr w:type="spellEnd"/>
            <w:r w:rsidRPr="009016C5">
              <w:rPr>
                <w:sz w:val="13"/>
                <w:szCs w:val="13"/>
                <w:lang w:val="en-US"/>
              </w:rPr>
              <w:t xml:space="preserve"> K/</w:t>
            </w:r>
            <w:proofErr w:type="spellStart"/>
            <w:r w:rsidRPr="009016C5">
              <w:rPr>
                <w:sz w:val="13"/>
                <w:szCs w:val="13"/>
                <w:lang w:val="en-US"/>
              </w:rPr>
              <w:t>Z'a</w:t>
            </w:r>
            <w:proofErr w:type="spellEnd"/>
            <w:r w:rsidRPr="009016C5">
              <w:rPr>
                <w:sz w:val="13"/>
                <w:szCs w:val="13"/>
                <w:lang w:val="en-US"/>
              </w:rPr>
              <w:t xml:space="preserve"> </w:t>
            </w:r>
            <w:proofErr w:type="spellStart"/>
            <w:r w:rsidRPr="009016C5">
              <w:rPr>
                <w:sz w:val="13"/>
                <w:szCs w:val="13"/>
                <w:lang w:val="en-US"/>
              </w:rPr>
              <w:t>Yansıtılan</w:t>
            </w:r>
            <w:proofErr w:type="spellEnd"/>
            <w:r w:rsidRPr="009016C5">
              <w:rPr>
                <w:sz w:val="13"/>
                <w:szCs w:val="13"/>
                <w:lang w:val="en-US"/>
              </w:rPr>
              <w:t xml:space="preserve"> </w:t>
            </w:r>
            <w:proofErr w:type="spellStart"/>
            <w:r w:rsidRPr="009016C5">
              <w:rPr>
                <w:sz w:val="13"/>
                <w:szCs w:val="13"/>
                <w:lang w:val="en-US"/>
              </w:rPr>
              <w:t>FV'larda</w:t>
            </w:r>
            <w:proofErr w:type="spellEnd"/>
            <w:r w:rsidRPr="009016C5">
              <w:rPr>
                <w:sz w:val="13"/>
                <w:szCs w:val="13"/>
                <w:lang w:val="en-US"/>
              </w:rPr>
              <w:t xml:space="preserve"> Net (</w:t>
            </w:r>
            <w:proofErr w:type="spellStart"/>
            <w:r w:rsidRPr="009016C5">
              <w:rPr>
                <w:sz w:val="13"/>
                <w:szCs w:val="13"/>
                <w:lang w:val="en-US"/>
              </w:rPr>
              <w:t>Artış</w:t>
            </w:r>
            <w:proofErr w:type="spellEnd"/>
            <w:r w:rsidRPr="009016C5">
              <w:rPr>
                <w:sz w:val="13"/>
                <w:szCs w:val="13"/>
                <w:lang w:val="en-US"/>
              </w:rPr>
              <w:t xml:space="preserve">) </w:t>
            </w:r>
            <w:proofErr w:type="spellStart"/>
            <w:r w:rsidRPr="009016C5">
              <w:rPr>
                <w:sz w:val="13"/>
                <w:szCs w:val="13"/>
                <w:lang w:val="en-US"/>
              </w:rPr>
              <w:t>Azalış</w:t>
            </w:r>
            <w:proofErr w:type="spellEnd"/>
          </w:p>
        </w:tc>
        <w:tc>
          <w:tcPr>
            <w:tcW w:w="708" w:type="dxa"/>
            <w:tcBorders>
              <w:left w:val="single" w:sz="4" w:space="0" w:color="auto"/>
              <w:right w:val="single" w:sz="4" w:space="0" w:color="auto"/>
            </w:tcBorders>
            <w:shd w:val="clear" w:color="auto" w:fill="auto"/>
            <w:noWrap/>
            <w:vAlign w:val="bottom"/>
            <w:hideMark/>
          </w:tcPr>
          <w:p w14:paraId="20D1EB17"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3034A2A7" w14:textId="08E17198" w:rsidR="003D7A11" w:rsidRPr="00271DD2" w:rsidRDefault="003D7A11" w:rsidP="00717AB5">
            <w:pPr>
              <w:jc w:val="right"/>
              <w:rPr>
                <w:bCs/>
                <w:sz w:val="14"/>
              </w:rPr>
            </w:pPr>
            <w:r w:rsidRPr="00271DD2">
              <w:rPr>
                <w:bCs/>
                <w:sz w:val="14"/>
              </w:rPr>
              <w:t>(3,067,896)</w:t>
            </w:r>
          </w:p>
        </w:tc>
        <w:tc>
          <w:tcPr>
            <w:tcW w:w="1336" w:type="dxa"/>
            <w:tcBorders>
              <w:left w:val="single" w:sz="4" w:space="0" w:color="auto"/>
              <w:right w:val="single" w:sz="4" w:space="0" w:color="auto"/>
            </w:tcBorders>
            <w:shd w:val="clear" w:color="auto" w:fill="auto"/>
            <w:noWrap/>
            <w:vAlign w:val="bottom"/>
          </w:tcPr>
          <w:p w14:paraId="6E50BD94" w14:textId="4BCF830C" w:rsidR="003D7A11" w:rsidRPr="009016C5" w:rsidRDefault="003D7A11" w:rsidP="00717AB5">
            <w:pPr>
              <w:jc w:val="right"/>
              <w:rPr>
                <w:sz w:val="14"/>
              </w:rPr>
            </w:pPr>
            <w:r w:rsidRPr="009016C5">
              <w:rPr>
                <w:bCs/>
                <w:sz w:val="14"/>
              </w:rPr>
              <w:t>(2,297,895)</w:t>
            </w:r>
          </w:p>
        </w:tc>
      </w:tr>
      <w:tr w:rsidR="003D7A11" w:rsidRPr="009016C5" w14:paraId="31068CD3"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672DEC89" w14:textId="77777777" w:rsidR="003D7A11" w:rsidRPr="009016C5" w:rsidRDefault="003D7A11" w:rsidP="003D7A11">
            <w:pPr>
              <w:rPr>
                <w:sz w:val="13"/>
                <w:szCs w:val="13"/>
                <w:lang w:val="en-US"/>
              </w:rPr>
            </w:pPr>
            <w:r w:rsidRPr="009016C5">
              <w:rPr>
                <w:sz w:val="13"/>
                <w:szCs w:val="13"/>
                <w:lang w:val="en-US"/>
              </w:rPr>
              <w:t>1.2.2</w:t>
            </w:r>
          </w:p>
        </w:tc>
        <w:tc>
          <w:tcPr>
            <w:tcW w:w="5442" w:type="dxa"/>
            <w:tcBorders>
              <w:left w:val="single" w:sz="4" w:space="0" w:color="auto"/>
              <w:right w:val="single" w:sz="4" w:space="0" w:color="auto"/>
            </w:tcBorders>
            <w:shd w:val="clear" w:color="auto" w:fill="auto"/>
            <w:noWrap/>
            <w:vAlign w:val="bottom"/>
            <w:hideMark/>
          </w:tcPr>
          <w:p w14:paraId="67D82852" w14:textId="77777777" w:rsidR="003D7A11" w:rsidRPr="009016C5" w:rsidRDefault="003D7A11" w:rsidP="003D7A11">
            <w:pPr>
              <w:rPr>
                <w:sz w:val="13"/>
                <w:szCs w:val="13"/>
                <w:lang w:val="en-US"/>
              </w:rPr>
            </w:pPr>
            <w:proofErr w:type="spellStart"/>
            <w:r w:rsidRPr="009016C5">
              <w:rPr>
                <w:sz w:val="13"/>
                <w:szCs w:val="13"/>
                <w:lang w:val="en-US"/>
              </w:rPr>
              <w:t>Bankalar</w:t>
            </w:r>
            <w:proofErr w:type="spellEnd"/>
            <w:r w:rsidRPr="009016C5">
              <w:rPr>
                <w:sz w:val="13"/>
                <w:szCs w:val="13"/>
                <w:lang w:val="en-US"/>
              </w:rPr>
              <w:t xml:space="preserve"> </w:t>
            </w:r>
            <w:proofErr w:type="spellStart"/>
            <w:r w:rsidRPr="009016C5">
              <w:rPr>
                <w:sz w:val="13"/>
                <w:szCs w:val="13"/>
                <w:lang w:val="en-US"/>
              </w:rPr>
              <w:t>Hesabındaki</w:t>
            </w:r>
            <w:proofErr w:type="spellEnd"/>
            <w:r w:rsidRPr="009016C5">
              <w:rPr>
                <w:sz w:val="13"/>
                <w:szCs w:val="13"/>
                <w:lang w:val="en-US"/>
              </w:rPr>
              <w:t xml:space="preserve"> Net (</w:t>
            </w:r>
            <w:proofErr w:type="spellStart"/>
            <w:r w:rsidRPr="009016C5">
              <w:rPr>
                <w:sz w:val="13"/>
                <w:szCs w:val="13"/>
                <w:lang w:val="en-US"/>
              </w:rPr>
              <w:t>Artış</w:t>
            </w:r>
            <w:proofErr w:type="spellEnd"/>
            <w:r w:rsidRPr="009016C5">
              <w:rPr>
                <w:sz w:val="13"/>
                <w:szCs w:val="13"/>
                <w:lang w:val="en-US"/>
              </w:rPr>
              <w:t xml:space="preserve">) </w:t>
            </w:r>
            <w:proofErr w:type="spellStart"/>
            <w:r w:rsidRPr="009016C5">
              <w:rPr>
                <w:sz w:val="13"/>
                <w:szCs w:val="13"/>
                <w:lang w:val="en-US"/>
              </w:rPr>
              <w:t>Azalış</w:t>
            </w:r>
            <w:proofErr w:type="spellEnd"/>
          </w:p>
        </w:tc>
        <w:tc>
          <w:tcPr>
            <w:tcW w:w="708" w:type="dxa"/>
            <w:tcBorders>
              <w:left w:val="single" w:sz="4" w:space="0" w:color="auto"/>
              <w:right w:val="single" w:sz="4" w:space="0" w:color="auto"/>
            </w:tcBorders>
            <w:shd w:val="clear" w:color="auto" w:fill="auto"/>
            <w:noWrap/>
            <w:vAlign w:val="bottom"/>
            <w:hideMark/>
          </w:tcPr>
          <w:p w14:paraId="6A8FC8D9"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29191EBA" w14:textId="15B4DC6A" w:rsidR="003D7A11" w:rsidRPr="00271DD2" w:rsidRDefault="003D7A11" w:rsidP="00717AB5">
            <w:pPr>
              <w:jc w:val="right"/>
              <w:rPr>
                <w:bCs/>
                <w:sz w:val="14"/>
              </w:rPr>
            </w:pPr>
            <w:r w:rsidRPr="00271DD2">
              <w:rPr>
                <w:bCs/>
                <w:sz w:val="14"/>
              </w:rPr>
              <w:t>(9,945,432)</w:t>
            </w:r>
          </w:p>
        </w:tc>
        <w:tc>
          <w:tcPr>
            <w:tcW w:w="1336" w:type="dxa"/>
            <w:tcBorders>
              <w:left w:val="single" w:sz="4" w:space="0" w:color="auto"/>
              <w:right w:val="single" w:sz="4" w:space="0" w:color="auto"/>
            </w:tcBorders>
            <w:shd w:val="clear" w:color="auto" w:fill="auto"/>
            <w:noWrap/>
            <w:vAlign w:val="bottom"/>
          </w:tcPr>
          <w:p w14:paraId="43BC7CA5" w14:textId="4818FD95" w:rsidR="003D7A11" w:rsidRPr="009016C5" w:rsidRDefault="003D7A11" w:rsidP="00717AB5">
            <w:pPr>
              <w:jc w:val="right"/>
              <w:rPr>
                <w:sz w:val="14"/>
              </w:rPr>
            </w:pPr>
            <w:r w:rsidRPr="009016C5">
              <w:rPr>
                <w:bCs/>
                <w:sz w:val="14"/>
              </w:rPr>
              <w:t>(2,138,246)</w:t>
            </w:r>
          </w:p>
        </w:tc>
      </w:tr>
      <w:tr w:rsidR="003D7A11" w:rsidRPr="009016C5" w14:paraId="16B13BB4"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63554E0C" w14:textId="77777777" w:rsidR="003D7A11" w:rsidRPr="009016C5" w:rsidRDefault="003D7A11" w:rsidP="003D7A11">
            <w:pPr>
              <w:rPr>
                <w:sz w:val="13"/>
                <w:szCs w:val="13"/>
                <w:lang w:val="en-US"/>
              </w:rPr>
            </w:pPr>
            <w:r w:rsidRPr="009016C5">
              <w:rPr>
                <w:sz w:val="13"/>
                <w:szCs w:val="13"/>
                <w:lang w:val="en-US"/>
              </w:rPr>
              <w:t>1.2.3</w:t>
            </w:r>
          </w:p>
        </w:tc>
        <w:tc>
          <w:tcPr>
            <w:tcW w:w="5442" w:type="dxa"/>
            <w:tcBorders>
              <w:left w:val="single" w:sz="4" w:space="0" w:color="auto"/>
              <w:right w:val="single" w:sz="4" w:space="0" w:color="auto"/>
            </w:tcBorders>
            <w:shd w:val="clear" w:color="auto" w:fill="auto"/>
            <w:noWrap/>
            <w:vAlign w:val="bottom"/>
            <w:hideMark/>
          </w:tcPr>
          <w:p w14:paraId="5AA00291" w14:textId="77777777" w:rsidR="003D7A11" w:rsidRPr="009016C5" w:rsidRDefault="003D7A11" w:rsidP="003D7A11">
            <w:pPr>
              <w:rPr>
                <w:sz w:val="13"/>
                <w:szCs w:val="13"/>
                <w:lang w:val="en-US"/>
              </w:rPr>
            </w:pPr>
            <w:proofErr w:type="spellStart"/>
            <w:r w:rsidRPr="009016C5">
              <w:rPr>
                <w:sz w:val="13"/>
                <w:szCs w:val="13"/>
                <w:lang w:val="en-US"/>
              </w:rPr>
              <w:t>Kredilerdeki</w:t>
            </w:r>
            <w:proofErr w:type="spellEnd"/>
            <w:r w:rsidRPr="009016C5">
              <w:rPr>
                <w:sz w:val="13"/>
                <w:szCs w:val="13"/>
                <w:lang w:val="en-US"/>
              </w:rPr>
              <w:t xml:space="preserve"> Net (</w:t>
            </w:r>
            <w:proofErr w:type="spellStart"/>
            <w:r w:rsidRPr="009016C5">
              <w:rPr>
                <w:sz w:val="13"/>
                <w:szCs w:val="13"/>
                <w:lang w:val="en-US"/>
              </w:rPr>
              <w:t>Artış</w:t>
            </w:r>
            <w:proofErr w:type="spellEnd"/>
            <w:r w:rsidRPr="009016C5">
              <w:rPr>
                <w:sz w:val="13"/>
                <w:szCs w:val="13"/>
                <w:lang w:val="en-US"/>
              </w:rPr>
              <w:t xml:space="preserve">) </w:t>
            </w:r>
            <w:proofErr w:type="spellStart"/>
            <w:r w:rsidRPr="009016C5">
              <w:rPr>
                <w:sz w:val="13"/>
                <w:szCs w:val="13"/>
                <w:lang w:val="en-US"/>
              </w:rPr>
              <w:t>Azalış</w:t>
            </w:r>
            <w:proofErr w:type="spellEnd"/>
          </w:p>
        </w:tc>
        <w:tc>
          <w:tcPr>
            <w:tcW w:w="708" w:type="dxa"/>
            <w:tcBorders>
              <w:left w:val="single" w:sz="4" w:space="0" w:color="auto"/>
              <w:right w:val="single" w:sz="4" w:space="0" w:color="auto"/>
            </w:tcBorders>
            <w:shd w:val="clear" w:color="auto" w:fill="auto"/>
            <w:noWrap/>
            <w:vAlign w:val="bottom"/>
            <w:hideMark/>
          </w:tcPr>
          <w:p w14:paraId="478F5735"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6111609F" w14:textId="68A96C02" w:rsidR="003D7A11" w:rsidRPr="00271DD2" w:rsidRDefault="003D7A11" w:rsidP="00717AB5">
            <w:pPr>
              <w:jc w:val="right"/>
              <w:rPr>
                <w:bCs/>
                <w:sz w:val="14"/>
              </w:rPr>
            </w:pPr>
            <w:r w:rsidRPr="00271DD2">
              <w:rPr>
                <w:bCs/>
                <w:sz w:val="14"/>
              </w:rPr>
              <w:t>(17,688,353)</w:t>
            </w:r>
          </w:p>
        </w:tc>
        <w:tc>
          <w:tcPr>
            <w:tcW w:w="1336" w:type="dxa"/>
            <w:tcBorders>
              <w:left w:val="single" w:sz="4" w:space="0" w:color="auto"/>
              <w:right w:val="single" w:sz="4" w:space="0" w:color="auto"/>
            </w:tcBorders>
            <w:shd w:val="clear" w:color="auto" w:fill="auto"/>
            <w:noWrap/>
            <w:vAlign w:val="bottom"/>
          </w:tcPr>
          <w:p w14:paraId="72B4A1D4" w14:textId="03BB1AFD" w:rsidR="003D7A11" w:rsidRPr="009016C5" w:rsidRDefault="003D7A11" w:rsidP="00717AB5">
            <w:pPr>
              <w:jc w:val="right"/>
              <w:rPr>
                <w:sz w:val="14"/>
              </w:rPr>
            </w:pPr>
            <w:r w:rsidRPr="009016C5">
              <w:rPr>
                <w:bCs/>
                <w:sz w:val="14"/>
              </w:rPr>
              <w:t>(6,709,183)</w:t>
            </w:r>
          </w:p>
        </w:tc>
      </w:tr>
      <w:tr w:rsidR="003D7A11" w:rsidRPr="009016C5" w14:paraId="1BFAB247"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284C1B45" w14:textId="77777777" w:rsidR="003D7A11" w:rsidRPr="009016C5" w:rsidRDefault="003D7A11" w:rsidP="003D7A11">
            <w:pPr>
              <w:rPr>
                <w:sz w:val="13"/>
                <w:szCs w:val="13"/>
                <w:lang w:val="en-US"/>
              </w:rPr>
            </w:pPr>
            <w:r w:rsidRPr="009016C5">
              <w:rPr>
                <w:sz w:val="13"/>
                <w:szCs w:val="13"/>
                <w:lang w:val="en-US"/>
              </w:rPr>
              <w:t>1.2.4</w:t>
            </w:r>
          </w:p>
        </w:tc>
        <w:tc>
          <w:tcPr>
            <w:tcW w:w="5442" w:type="dxa"/>
            <w:tcBorders>
              <w:left w:val="single" w:sz="4" w:space="0" w:color="auto"/>
              <w:right w:val="single" w:sz="4" w:space="0" w:color="auto"/>
            </w:tcBorders>
            <w:shd w:val="clear" w:color="auto" w:fill="auto"/>
            <w:noWrap/>
            <w:vAlign w:val="bottom"/>
            <w:hideMark/>
          </w:tcPr>
          <w:p w14:paraId="0ABEE65C" w14:textId="77777777" w:rsidR="003D7A11" w:rsidRPr="009016C5" w:rsidRDefault="003D7A11" w:rsidP="003D7A11">
            <w:pPr>
              <w:rPr>
                <w:sz w:val="13"/>
                <w:szCs w:val="13"/>
                <w:lang w:val="en-US"/>
              </w:rPr>
            </w:pPr>
            <w:proofErr w:type="spellStart"/>
            <w:r w:rsidRPr="009016C5">
              <w:rPr>
                <w:sz w:val="13"/>
                <w:szCs w:val="13"/>
                <w:lang w:val="en-US"/>
              </w:rPr>
              <w:t>Diğer</w:t>
            </w:r>
            <w:proofErr w:type="spellEnd"/>
            <w:r w:rsidRPr="009016C5">
              <w:rPr>
                <w:sz w:val="13"/>
                <w:szCs w:val="13"/>
                <w:lang w:val="en-US"/>
              </w:rPr>
              <w:t xml:space="preserve"> </w:t>
            </w:r>
            <w:proofErr w:type="spellStart"/>
            <w:r w:rsidRPr="009016C5">
              <w:rPr>
                <w:sz w:val="13"/>
                <w:szCs w:val="13"/>
                <w:lang w:val="en-US"/>
              </w:rPr>
              <w:t>Varlıklarda</w:t>
            </w:r>
            <w:proofErr w:type="spellEnd"/>
            <w:r w:rsidRPr="009016C5">
              <w:rPr>
                <w:sz w:val="13"/>
                <w:szCs w:val="13"/>
                <w:lang w:val="en-US"/>
              </w:rPr>
              <w:t xml:space="preserve"> Net (</w:t>
            </w:r>
            <w:proofErr w:type="spellStart"/>
            <w:r w:rsidRPr="009016C5">
              <w:rPr>
                <w:sz w:val="13"/>
                <w:szCs w:val="13"/>
                <w:lang w:val="en-US"/>
              </w:rPr>
              <w:t>Artış</w:t>
            </w:r>
            <w:proofErr w:type="spellEnd"/>
            <w:r w:rsidRPr="009016C5">
              <w:rPr>
                <w:sz w:val="13"/>
                <w:szCs w:val="13"/>
                <w:lang w:val="en-US"/>
              </w:rPr>
              <w:t xml:space="preserve">) </w:t>
            </w:r>
            <w:proofErr w:type="spellStart"/>
            <w:r w:rsidRPr="009016C5">
              <w:rPr>
                <w:sz w:val="13"/>
                <w:szCs w:val="13"/>
                <w:lang w:val="en-US"/>
              </w:rPr>
              <w:t>Azalış</w:t>
            </w:r>
            <w:proofErr w:type="spellEnd"/>
          </w:p>
        </w:tc>
        <w:tc>
          <w:tcPr>
            <w:tcW w:w="708" w:type="dxa"/>
            <w:tcBorders>
              <w:left w:val="single" w:sz="4" w:space="0" w:color="auto"/>
              <w:right w:val="single" w:sz="4" w:space="0" w:color="auto"/>
            </w:tcBorders>
            <w:shd w:val="clear" w:color="auto" w:fill="auto"/>
            <w:noWrap/>
            <w:vAlign w:val="bottom"/>
            <w:hideMark/>
          </w:tcPr>
          <w:p w14:paraId="5898050D"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5B06B550" w14:textId="3D17AF41" w:rsidR="003D7A11" w:rsidRPr="00271DD2" w:rsidRDefault="003D7A11" w:rsidP="00717AB5">
            <w:pPr>
              <w:jc w:val="right"/>
              <w:rPr>
                <w:bCs/>
                <w:sz w:val="14"/>
              </w:rPr>
            </w:pPr>
            <w:r w:rsidRPr="00271DD2">
              <w:rPr>
                <w:bCs/>
                <w:sz w:val="14"/>
              </w:rPr>
              <w:t>(83,835)</w:t>
            </w:r>
          </w:p>
        </w:tc>
        <w:tc>
          <w:tcPr>
            <w:tcW w:w="1336" w:type="dxa"/>
            <w:tcBorders>
              <w:left w:val="single" w:sz="4" w:space="0" w:color="auto"/>
              <w:right w:val="single" w:sz="4" w:space="0" w:color="auto"/>
            </w:tcBorders>
            <w:shd w:val="clear" w:color="auto" w:fill="auto"/>
            <w:noWrap/>
            <w:vAlign w:val="bottom"/>
          </w:tcPr>
          <w:p w14:paraId="2B66A5FD" w14:textId="50AB3325" w:rsidR="003D7A11" w:rsidRPr="009016C5" w:rsidRDefault="003D7A11" w:rsidP="00717AB5">
            <w:pPr>
              <w:jc w:val="right"/>
              <w:rPr>
                <w:sz w:val="14"/>
              </w:rPr>
            </w:pPr>
            <w:r w:rsidRPr="009016C5">
              <w:rPr>
                <w:bCs/>
                <w:sz w:val="14"/>
              </w:rPr>
              <w:t>1,094,200</w:t>
            </w:r>
          </w:p>
        </w:tc>
      </w:tr>
      <w:tr w:rsidR="003D7A11" w:rsidRPr="009016C5" w14:paraId="243DE9FA"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7B961FB0" w14:textId="77777777" w:rsidR="003D7A11" w:rsidRPr="009016C5" w:rsidRDefault="003D7A11" w:rsidP="003D7A11">
            <w:pPr>
              <w:rPr>
                <w:sz w:val="13"/>
                <w:szCs w:val="13"/>
                <w:lang w:val="en-US"/>
              </w:rPr>
            </w:pPr>
            <w:r w:rsidRPr="009016C5">
              <w:rPr>
                <w:sz w:val="13"/>
                <w:szCs w:val="13"/>
                <w:lang w:val="en-US"/>
              </w:rPr>
              <w:t>1.2.5</w:t>
            </w:r>
          </w:p>
        </w:tc>
        <w:tc>
          <w:tcPr>
            <w:tcW w:w="5442" w:type="dxa"/>
            <w:tcBorders>
              <w:left w:val="single" w:sz="4" w:space="0" w:color="auto"/>
              <w:right w:val="single" w:sz="4" w:space="0" w:color="auto"/>
            </w:tcBorders>
            <w:shd w:val="clear" w:color="auto" w:fill="auto"/>
            <w:noWrap/>
            <w:vAlign w:val="bottom"/>
            <w:hideMark/>
          </w:tcPr>
          <w:p w14:paraId="494A913B" w14:textId="77777777" w:rsidR="003D7A11" w:rsidRPr="009016C5" w:rsidRDefault="003D7A11" w:rsidP="003D7A11">
            <w:pPr>
              <w:rPr>
                <w:sz w:val="13"/>
                <w:szCs w:val="13"/>
                <w:lang w:val="en-US"/>
              </w:rPr>
            </w:pPr>
            <w:proofErr w:type="spellStart"/>
            <w:r w:rsidRPr="009016C5">
              <w:rPr>
                <w:sz w:val="13"/>
                <w:szCs w:val="13"/>
                <w:lang w:val="en-US"/>
              </w:rPr>
              <w:t>Bankalardan</w:t>
            </w:r>
            <w:proofErr w:type="spellEnd"/>
            <w:r w:rsidRPr="009016C5">
              <w:rPr>
                <w:sz w:val="13"/>
                <w:szCs w:val="13"/>
                <w:lang w:val="en-US"/>
              </w:rPr>
              <w:t xml:space="preserve"> </w:t>
            </w:r>
            <w:proofErr w:type="spellStart"/>
            <w:r w:rsidRPr="009016C5">
              <w:rPr>
                <w:sz w:val="13"/>
                <w:szCs w:val="13"/>
                <w:lang w:val="en-US"/>
              </w:rPr>
              <w:t>Toplanan</w:t>
            </w:r>
            <w:proofErr w:type="spellEnd"/>
            <w:r w:rsidRPr="009016C5">
              <w:rPr>
                <w:sz w:val="13"/>
                <w:szCs w:val="13"/>
                <w:lang w:val="en-US"/>
              </w:rPr>
              <w:t xml:space="preserve"> </w:t>
            </w:r>
            <w:proofErr w:type="spellStart"/>
            <w:r w:rsidRPr="009016C5">
              <w:rPr>
                <w:sz w:val="13"/>
                <w:szCs w:val="13"/>
                <w:lang w:val="en-US"/>
              </w:rPr>
              <w:t>Fonlarda</w:t>
            </w:r>
            <w:proofErr w:type="spellEnd"/>
            <w:r w:rsidRPr="009016C5">
              <w:rPr>
                <w:sz w:val="13"/>
                <w:szCs w:val="13"/>
                <w:lang w:val="en-US"/>
              </w:rPr>
              <w:t xml:space="preserve"> Net </w:t>
            </w:r>
            <w:proofErr w:type="spellStart"/>
            <w:r w:rsidRPr="009016C5">
              <w:rPr>
                <w:sz w:val="13"/>
                <w:szCs w:val="13"/>
                <w:lang w:val="en-US"/>
              </w:rPr>
              <w:t>Artış</w:t>
            </w:r>
            <w:proofErr w:type="spellEnd"/>
            <w:r w:rsidRPr="009016C5">
              <w:rPr>
                <w:sz w:val="13"/>
                <w:szCs w:val="13"/>
                <w:lang w:val="en-US"/>
              </w:rPr>
              <w:t xml:space="preserve"> (</w:t>
            </w:r>
            <w:proofErr w:type="spellStart"/>
            <w:r w:rsidRPr="009016C5">
              <w:rPr>
                <w:sz w:val="13"/>
                <w:szCs w:val="13"/>
                <w:lang w:val="en-US"/>
              </w:rPr>
              <w:t>Azalış</w:t>
            </w:r>
            <w:proofErr w:type="spellEnd"/>
            <w:r w:rsidRPr="009016C5">
              <w:rPr>
                <w:sz w:val="13"/>
                <w:szCs w:val="13"/>
                <w:lang w:val="en-US"/>
              </w:rPr>
              <w:t>)</w:t>
            </w:r>
          </w:p>
        </w:tc>
        <w:tc>
          <w:tcPr>
            <w:tcW w:w="708" w:type="dxa"/>
            <w:tcBorders>
              <w:left w:val="single" w:sz="4" w:space="0" w:color="auto"/>
              <w:right w:val="single" w:sz="4" w:space="0" w:color="auto"/>
            </w:tcBorders>
            <w:shd w:val="clear" w:color="auto" w:fill="auto"/>
            <w:noWrap/>
            <w:vAlign w:val="bottom"/>
            <w:hideMark/>
          </w:tcPr>
          <w:p w14:paraId="4CB26CA9"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73FF5C45" w14:textId="73048144" w:rsidR="003D7A11" w:rsidRPr="00271DD2" w:rsidRDefault="003D7A11" w:rsidP="00717AB5">
            <w:pPr>
              <w:jc w:val="right"/>
              <w:rPr>
                <w:bCs/>
                <w:sz w:val="14"/>
              </w:rPr>
            </w:pPr>
            <w:r w:rsidRPr="00271DD2">
              <w:rPr>
                <w:bCs/>
                <w:sz w:val="14"/>
              </w:rPr>
              <w:t>314,714</w:t>
            </w:r>
          </w:p>
        </w:tc>
        <w:tc>
          <w:tcPr>
            <w:tcW w:w="1336" w:type="dxa"/>
            <w:tcBorders>
              <w:left w:val="single" w:sz="4" w:space="0" w:color="auto"/>
              <w:right w:val="single" w:sz="4" w:space="0" w:color="auto"/>
            </w:tcBorders>
            <w:shd w:val="clear" w:color="auto" w:fill="auto"/>
            <w:noWrap/>
            <w:vAlign w:val="bottom"/>
          </w:tcPr>
          <w:p w14:paraId="2683AAD8" w14:textId="0EE00764" w:rsidR="003D7A11" w:rsidRPr="009016C5" w:rsidRDefault="003D7A11" w:rsidP="00717AB5">
            <w:pPr>
              <w:jc w:val="right"/>
              <w:rPr>
                <w:sz w:val="14"/>
              </w:rPr>
            </w:pPr>
            <w:r w:rsidRPr="009016C5">
              <w:rPr>
                <w:bCs/>
                <w:sz w:val="14"/>
              </w:rPr>
              <w:t>(235,612)</w:t>
            </w:r>
          </w:p>
        </w:tc>
      </w:tr>
      <w:tr w:rsidR="003D7A11" w:rsidRPr="009016C5" w14:paraId="3232C262"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7645D690" w14:textId="77777777" w:rsidR="003D7A11" w:rsidRPr="009016C5" w:rsidRDefault="003D7A11" w:rsidP="003D7A11">
            <w:pPr>
              <w:rPr>
                <w:sz w:val="13"/>
                <w:szCs w:val="13"/>
                <w:lang w:val="en-US"/>
              </w:rPr>
            </w:pPr>
            <w:r w:rsidRPr="009016C5">
              <w:rPr>
                <w:sz w:val="13"/>
                <w:szCs w:val="13"/>
                <w:lang w:val="en-US"/>
              </w:rPr>
              <w:t>1.2.6</w:t>
            </w:r>
          </w:p>
        </w:tc>
        <w:tc>
          <w:tcPr>
            <w:tcW w:w="5442" w:type="dxa"/>
            <w:tcBorders>
              <w:left w:val="single" w:sz="4" w:space="0" w:color="auto"/>
              <w:right w:val="single" w:sz="4" w:space="0" w:color="auto"/>
            </w:tcBorders>
            <w:shd w:val="clear" w:color="auto" w:fill="auto"/>
            <w:noWrap/>
            <w:vAlign w:val="bottom"/>
            <w:hideMark/>
          </w:tcPr>
          <w:p w14:paraId="70453BBC" w14:textId="77777777" w:rsidR="003D7A11" w:rsidRPr="009016C5" w:rsidRDefault="003D7A11" w:rsidP="003D7A11">
            <w:pPr>
              <w:rPr>
                <w:sz w:val="13"/>
                <w:szCs w:val="13"/>
                <w:lang w:val="en-US"/>
              </w:rPr>
            </w:pPr>
            <w:proofErr w:type="spellStart"/>
            <w:r w:rsidRPr="009016C5">
              <w:rPr>
                <w:sz w:val="13"/>
                <w:szCs w:val="13"/>
                <w:lang w:val="en-US"/>
              </w:rPr>
              <w:t>Diğer</w:t>
            </w:r>
            <w:proofErr w:type="spellEnd"/>
            <w:r w:rsidRPr="009016C5">
              <w:rPr>
                <w:sz w:val="13"/>
                <w:szCs w:val="13"/>
                <w:lang w:val="en-US"/>
              </w:rPr>
              <w:t xml:space="preserve"> </w:t>
            </w:r>
            <w:proofErr w:type="spellStart"/>
            <w:r w:rsidRPr="009016C5">
              <w:rPr>
                <w:sz w:val="13"/>
                <w:szCs w:val="13"/>
                <w:lang w:val="en-US"/>
              </w:rPr>
              <w:t>Toplanan</w:t>
            </w:r>
            <w:proofErr w:type="spellEnd"/>
            <w:r w:rsidRPr="009016C5">
              <w:rPr>
                <w:sz w:val="13"/>
                <w:szCs w:val="13"/>
                <w:lang w:val="en-US"/>
              </w:rPr>
              <w:t xml:space="preserve"> </w:t>
            </w:r>
            <w:proofErr w:type="spellStart"/>
            <w:r w:rsidRPr="009016C5">
              <w:rPr>
                <w:sz w:val="13"/>
                <w:szCs w:val="13"/>
                <w:lang w:val="en-US"/>
              </w:rPr>
              <w:t>Fonlarda</w:t>
            </w:r>
            <w:proofErr w:type="spellEnd"/>
            <w:r w:rsidRPr="009016C5">
              <w:rPr>
                <w:sz w:val="13"/>
                <w:szCs w:val="13"/>
                <w:lang w:val="en-US"/>
              </w:rPr>
              <w:t xml:space="preserve"> Net </w:t>
            </w:r>
            <w:proofErr w:type="spellStart"/>
            <w:r w:rsidRPr="009016C5">
              <w:rPr>
                <w:sz w:val="13"/>
                <w:szCs w:val="13"/>
                <w:lang w:val="en-US"/>
              </w:rPr>
              <w:t>Artış</w:t>
            </w:r>
            <w:proofErr w:type="spellEnd"/>
            <w:r w:rsidRPr="009016C5">
              <w:rPr>
                <w:sz w:val="13"/>
                <w:szCs w:val="13"/>
                <w:lang w:val="en-US"/>
              </w:rPr>
              <w:t xml:space="preserve"> (</w:t>
            </w:r>
            <w:proofErr w:type="spellStart"/>
            <w:r w:rsidRPr="009016C5">
              <w:rPr>
                <w:sz w:val="13"/>
                <w:szCs w:val="13"/>
                <w:lang w:val="en-US"/>
              </w:rPr>
              <w:t>Azalış</w:t>
            </w:r>
            <w:proofErr w:type="spellEnd"/>
            <w:r w:rsidRPr="009016C5">
              <w:rPr>
                <w:sz w:val="13"/>
                <w:szCs w:val="13"/>
                <w:lang w:val="en-US"/>
              </w:rPr>
              <w:t>)</w:t>
            </w:r>
          </w:p>
        </w:tc>
        <w:tc>
          <w:tcPr>
            <w:tcW w:w="708" w:type="dxa"/>
            <w:tcBorders>
              <w:left w:val="single" w:sz="4" w:space="0" w:color="auto"/>
              <w:right w:val="single" w:sz="4" w:space="0" w:color="auto"/>
            </w:tcBorders>
            <w:shd w:val="clear" w:color="auto" w:fill="auto"/>
            <w:noWrap/>
            <w:vAlign w:val="bottom"/>
            <w:hideMark/>
          </w:tcPr>
          <w:p w14:paraId="2B118B04"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5B0EEBB2" w14:textId="5C2DC38A" w:rsidR="003D7A11" w:rsidRPr="00271DD2" w:rsidRDefault="003D7A11" w:rsidP="00717AB5">
            <w:pPr>
              <w:jc w:val="right"/>
              <w:rPr>
                <w:bCs/>
                <w:sz w:val="14"/>
              </w:rPr>
            </w:pPr>
            <w:r w:rsidRPr="00271DD2">
              <w:rPr>
                <w:bCs/>
                <w:sz w:val="14"/>
              </w:rPr>
              <w:t>22,589,142</w:t>
            </w:r>
          </w:p>
        </w:tc>
        <w:tc>
          <w:tcPr>
            <w:tcW w:w="1336" w:type="dxa"/>
            <w:tcBorders>
              <w:left w:val="single" w:sz="4" w:space="0" w:color="auto"/>
              <w:right w:val="single" w:sz="4" w:space="0" w:color="auto"/>
            </w:tcBorders>
            <w:shd w:val="clear" w:color="auto" w:fill="auto"/>
            <w:noWrap/>
            <w:vAlign w:val="bottom"/>
          </w:tcPr>
          <w:p w14:paraId="6675044C" w14:textId="62B37F7D" w:rsidR="003D7A11" w:rsidRPr="009016C5" w:rsidRDefault="003D7A11" w:rsidP="00717AB5">
            <w:pPr>
              <w:jc w:val="right"/>
              <w:rPr>
                <w:sz w:val="14"/>
              </w:rPr>
            </w:pPr>
            <w:r w:rsidRPr="009016C5">
              <w:rPr>
                <w:bCs/>
                <w:sz w:val="14"/>
              </w:rPr>
              <w:t>22,650,062</w:t>
            </w:r>
          </w:p>
        </w:tc>
      </w:tr>
      <w:tr w:rsidR="003D7A11" w:rsidRPr="009016C5" w14:paraId="40074F41"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6057FD38" w14:textId="77777777" w:rsidR="003D7A11" w:rsidRPr="009016C5" w:rsidRDefault="003D7A11" w:rsidP="003D7A11">
            <w:pPr>
              <w:rPr>
                <w:sz w:val="13"/>
                <w:szCs w:val="13"/>
                <w:lang w:val="en-US"/>
              </w:rPr>
            </w:pPr>
            <w:r w:rsidRPr="009016C5">
              <w:rPr>
                <w:sz w:val="13"/>
                <w:szCs w:val="13"/>
                <w:lang w:val="en-US"/>
              </w:rPr>
              <w:t>1.2.7</w:t>
            </w:r>
          </w:p>
        </w:tc>
        <w:tc>
          <w:tcPr>
            <w:tcW w:w="5442" w:type="dxa"/>
            <w:tcBorders>
              <w:left w:val="single" w:sz="4" w:space="0" w:color="auto"/>
              <w:right w:val="single" w:sz="4" w:space="0" w:color="auto"/>
            </w:tcBorders>
            <w:shd w:val="clear" w:color="auto" w:fill="auto"/>
            <w:noWrap/>
            <w:vAlign w:val="bottom"/>
            <w:hideMark/>
          </w:tcPr>
          <w:p w14:paraId="2A9A4275" w14:textId="77777777" w:rsidR="003D7A11" w:rsidRPr="009016C5" w:rsidRDefault="003D7A11" w:rsidP="003D7A11">
            <w:pPr>
              <w:rPr>
                <w:sz w:val="13"/>
                <w:szCs w:val="13"/>
                <w:lang w:val="en-US"/>
              </w:rPr>
            </w:pPr>
            <w:proofErr w:type="spellStart"/>
            <w:r w:rsidRPr="009016C5">
              <w:rPr>
                <w:sz w:val="13"/>
                <w:szCs w:val="13"/>
                <w:lang w:val="en-US"/>
              </w:rPr>
              <w:t>Gerçeğe</w:t>
            </w:r>
            <w:proofErr w:type="spellEnd"/>
            <w:r w:rsidRPr="009016C5">
              <w:rPr>
                <w:sz w:val="13"/>
                <w:szCs w:val="13"/>
                <w:lang w:val="en-US"/>
              </w:rPr>
              <w:t xml:space="preserve"> Uygun </w:t>
            </w:r>
            <w:proofErr w:type="spellStart"/>
            <w:r w:rsidRPr="009016C5">
              <w:rPr>
                <w:sz w:val="13"/>
                <w:szCs w:val="13"/>
                <w:lang w:val="en-US"/>
              </w:rPr>
              <w:t>Değer</w:t>
            </w:r>
            <w:proofErr w:type="spellEnd"/>
            <w:r w:rsidRPr="009016C5">
              <w:rPr>
                <w:sz w:val="13"/>
                <w:szCs w:val="13"/>
                <w:lang w:val="en-US"/>
              </w:rPr>
              <w:t xml:space="preserve"> </w:t>
            </w:r>
            <w:proofErr w:type="spellStart"/>
            <w:r w:rsidRPr="009016C5">
              <w:rPr>
                <w:sz w:val="13"/>
                <w:szCs w:val="13"/>
                <w:lang w:val="en-US"/>
              </w:rPr>
              <w:t>Farkı</w:t>
            </w:r>
            <w:proofErr w:type="spellEnd"/>
            <w:r w:rsidRPr="009016C5">
              <w:rPr>
                <w:sz w:val="13"/>
                <w:szCs w:val="13"/>
                <w:lang w:val="en-US"/>
              </w:rPr>
              <w:t xml:space="preserve"> K/</w:t>
            </w:r>
            <w:proofErr w:type="spellStart"/>
            <w:r w:rsidRPr="009016C5">
              <w:rPr>
                <w:sz w:val="13"/>
                <w:szCs w:val="13"/>
                <w:lang w:val="en-US"/>
              </w:rPr>
              <w:t>Z'a</w:t>
            </w:r>
            <w:proofErr w:type="spellEnd"/>
            <w:r w:rsidRPr="009016C5">
              <w:rPr>
                <w:sz w:val="13"/>
                <w:szCs w:val="13"/>
                <w:lang w:val="en-US"/>
              </w:rPr>
              <w:t xml:space="preserve"> </w:t>
            </w:r>
            <w:proofErr w:type="spellStart"/>
            <w:r w:rsidRPr="009016C5">
              <w:rPr>
                <w:sz w:val="13"/>
                <w:szCs w:val="13"/>
                <w:lang w:val="en-US"/>
              </w:rPr>
              <w:t>Yansıtılan</w:t>
            </w:r>
            <w:proofErr w:type="spellEnd"/>
            <w:r w:rsidRPr="009016C5">
              <w:rPr>
                <w:sz w:val="13"/>
                <w:szCs w:val="13"/>
                <w:lang w:val="en-US"/>
              </w:rPr>
              <w:t xml:space="preserve"> </w:t>
            </w:r>
            <w:proofErr w:type="spellStart"/>
            <w:r w:rsidRPr="009016C5">
              <w:rPr>
                <w:sz w:val="13"/>
                <w:szCs w:val="13"/>
                <w:lang w:val="en-US"/>
              </w:rPr>
              <w:t>FY'lerde</w:t>
            </w:r>
            <w:proofErr w:type="spellEnd"/>
            <w:r w:rsidRPr="009016C5">
              <w:rPr>
                <w:sz w:val="13"/>
                <w:szCs w:val="13"/>
                <w:lang w:val="en-US"/>
              </w:rPr>
              <w:t xml:space="preserve"> Net </w:t>
            </w:r>
            <w:proofErr w:type="spellStart"/>
            <w:r w:rsidRPr="009016C5">
              <w:rPr>
                <w:sz w:val="13"/>
                <w:szCs w:val="13"/>
                <w:lang w:val="en-US"/>
              </w:rPr>
              <w:t>Artış</w:t>
            </w:r>
            <w:proofErr w:type="spellEnd"/>
            <w:r w:rsidRPr="009016C5">
              <w:rPr>
                <w:sz w:val="13"/>
                <w:szCs w:val="13"/>
                <w:lang w:val="en-US"/>
              </w:rPr>
              <w:t xml:space="preserve"> (</w:t>
            </w:r>
            <w:proofErr w:type="spellStart"/>
            <w:r w:rsidRPr="009016C5">
              <w:rPr>
                <w:sz w:val="13"/>
                <w:szCs w:val="13"/>
                <w:lang w:val="en-US"/>
              </w:rPr>
              <w:t>Azalış</w:t>
            </w:r>
            <w:proofErr w:type="spellEnd"/>
            <w:r w:rsidRPr="009016C5">
              <w:rPr>
                <w:sz w:val="13"/>
                <w:szCs w:val="13"/>
                <w:lang w:val="en-US"/>
              </w:rPr>
              <w:t>)</w:t>
            </w:r>
          </w:p>
        </w:tc>
        <w:tc>
          <w:tcPr>
            <w:tcW w:w="708" w:type="dxa"/>
            <w:tcBorders>
              <w:left w:val="single" w:sz="4" w:space="0" w:color="auto"/>
              <w:right w:val="single" w:sz="4" w:space="0" w:color="auto"/>
            </w:tcBorders>
            <w:shd w:val="clear" w:color="auto" w:fill="auto"/>
            <w:noWrap/>
            <w:vAlign w:val="bottom"/>
            <w:hideMark/>
          </w:tcPr>
          <w:p w14:paraId="7AF458AB"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0AFA93FB" w14:textId="6DEE77EC" w:rsidR="003D7A11" w:rsidRPr="00271DD2" w:rsidRDefault="003D7A11" w:rsidP="00717AB5">
            <w:pPr>
              <w:jc w:val="right"/>
              <w:rPr>
                <w:bCs/>
                <w:sz w:val="14"/>
              </w:rPr>
            </w:pPr>
            <w:r w:rsidRPr="00271DD2">
              <w:rPr>
                <w:bCs/>
                <w:sz w:val="14"/>
              </w:rPr>
              <w:t>-</w:t>
            </w:r>
          </w:p>
        </w:tc>
        <w:tc>
          <w:tcPr>
            <w:tcW w:w="1336" w:type="dxa"/>
            <w:tcBorders>
              <w:left w:val="single" w:sz="4" w:space="0" w:color="auto"/>
              <w:right w:val="single" w:sz="4" w:space="0" w:color="auto"/>
            </w:tcBorders>
            <w:shd w:val="clear" w:color="auto" w:fill="auto"/>
            <w:noWrap/>
            <w:vAlign w:val="bottom"/>
          </w:tcPr>
          <w:p w14:paraId="4A0BC166" w14:textId="707B9676" w:rsidR="003D7A11" w:rsidRPr="009016C5" w:rsidRDefault="003D7A11" w:rsidP="00717AB5">
            <w:pPr>
              <w:jc w:val="right"/>
              <w:rPr>
                <w:sz w:val="14"/>
              </w:rPr>
            </w:pPr>
            <w:r w:rsidRPr="009016C5">
              <w:rPr>
                <w:bCs/>
                <w:sz w:val="14"/>
              </w:rPr>
              <w:t>-</w:t>
            </w:r>
          </w:p>
        </w:tc>
      </w:tr>
      <w:tr w:rsidR="003D7A11" w:rsidRPr="009016C5" w14:paraId="14A1D5AE"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73784B59" w14:textId="77777777" w:rsidR="003D7A11" w:rsidRPr="009016C5" w:rsidRDefault="003D7A11" w:rsidP="003D7A11">
            <w:pPr>
              <w:rPr>
                <w:sz w:val="13"/>
                <w:szCs w:val="13"/>
                <w:lang w:val="en-US"/>
              </w:rPr>
            </w:pPr>
            <w:r w:rsidRPr="009016C5">
              <w:rPr>
                <w:sz w:val="13"/>
                <w:szCs w:val="13"/>
                <w:lang w:val="en-US"/>
              </w:rPr>
              <w:t>1.2.8</w:t>
            </w:r>
          </w:p>
        </w:tc>
        <w:tc>
          <w:tcPr>
            <w:tcW w:w="5442" w:type="dxa"/>
            <w:tcBorders>
              <w:left w:val="single" w:sz="4" w:space="0" w:color="auto"/>
              <w:right w:val="single" w:sz="4" w:space="0" w:color="auto"/>
            </w:tcBorders>
            <w:shd w:val="clear" w:color="auto" w:fill="auto"/>
            <w:noWrap/>
            <w:vAlign w:val="bottom"/>
            <w:hideMark/>
          </w:tcPr>
          <w:p w14:paraId="68EF9442" w14:textId="77777777" w:rsidR="003D7A11" w:rsidRPr="009016C5" w:rsidRDefault="003D7A11" w:rsidP="003D7A11">
            <w:pPr>
              <w:rPr>
                <w:sz w:val="13"/>
                <w:szCs w:val="13"/>
                <w:lang w:val="en-US"/>
              </w:rPr>
            </w:pPr>
            <w:proofErr w:type="spellStart"/>
            <w:r w:rsidRPr="009016C5">
              <w:rPr>
                <w:sz w:val="13"/>
                <w:szCs w:val="13"/>
                <w:lang w:val="en-US"/>
              </w:rPr>
              <w:t>Alınan</w:t>
            </w:r>
            <w:proofErr w:type="spellEnd"/>
            <w:r w:rsidRPr="009016C5">
              <w:rPr>
                <w:sz w:val="13"/>
                <w:szCs w:val="13"/>
                <w:lang w:val="en-US"/>
              </w:rPr>
              <w:t xml:space="preserve"> </w:t>
            </w:r>
            <w:proofErr w:type="spellStart"/>
            <w:r w:rsidRPr="009016C5">
              <w:rPr>
                <w:sz w:val="13"/>
                <w:szCs w:val="13"/>
                <w:lang w:val="en-US"/>
              </w:rPr>
              <w:t>Kredilerdeki</w:t>
            </w:r>
            <w:proofErr w:type="spellEnd"/>
            <w:r w:rsidRPr="009016C5">
              <w:rPr>
                <w:sz w:val="13"/>
                <w:szCs w:val="13"/>
                <w:lang w:val="en-US"/>
              </w:rPr>
              <w:t xml:space="preserve"> Net </w:t>
            </w:r>
            <w:proofErr w:type="spellStart"/>
            <w:r w:rsidRPr="009016C5">
              <w:rPr>
                <w:sz w:val="13"/>
                <w:szCs w:val="13"/>
                <w:lang w:val="en-US"/>
              </w:rPr>
              <w:t>Artış</w:t>
            </w:r>
            <w:proofErr w:type="spellEnd"/>
            <w:r w:rsidRPr="009016C5">
              <w:rPr>
                <w:sz w:val="13"/>
                <w:szCs w:val="13"/>
                <w:lang w:val="en-US"/>
              </w:rPr>
              <w:t xml:space="preserve"> (</w:t>
            </w:r>
            <w:proofErr w:type="spellStart"/>
            <w:r w:rsidRPr="009016C5">
              <w:rPr>
                <w:sz w:val="13"/>
                <w:szCs w:val="13"/>
                <w:lang w:val="en-US"/>
              </w:rPr>
              <w:t>Azalış</w:t>
            </w:r>
            <w:proofErr w:type="spellEnd"/>
            <w:r w:rsidRPr="009016C5">
              <w:rPr>
                <w:sz w:val="13"/>
                <w:szCs w:val="13"/>
                <w:lang w:val="en-US"/>
              </w:rPr>
              <w:t>)</w:t>
            </w:r>
          </w:p>
        </w:tc>
        <w:tc>
          <w:tcPr>
            <w:tcW w:w="708" w:type="dxa"/>
            <w:tcBorders>
              <w:left w:val="single" w:sz="4" w:space="0" w:color="auto"/>
              <w:right w:val="single" w:sz="4" w:space="0" w:color="auto"/>
            </w:tcBorders>
            <w:shd w:val="clear" w:color="auto" w:fill="auto"/>
            <w:noWrap/>
            <w:vAlign w:val="bottom"/>
            <w:hideMark/>
          </w:tcPr>
          <w:p w14:paraId="4A179CCA"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06E6D20B" w14:textId="7ACAEABC" w:rsidR="003D7A11" w:rsidRPr="00271DD2" w:rsidRDefault="003D7A11" w:rsidP="00717AB5">
            <w:pPr>
              <w:jc w:val="right"/>
              <w:rPr>
                <w:bCs/>
                <w:sz w:val="14"/>
              </w:rPr>
            </w:pPr>
            <w:r w:rsidRPr="00271DD2">
              <w:rPr>
                <w:bCs/>
                <w:sz w:val="14"/>
              </w:rPr>
              <w:t>1,989,443</w:t>
            </w:r>
          </w:p>
        </w:tc>
        <w:tc>
          <w:tcPr>
            <w:tcW w:w="1336" w:type="dxa"/>
            <w:tcBorders>
              <w:left w:val="single" w:sz="4" w:space="0" w:color="auto"/>
              <w:right w:val="single" w:sz="4" w:space="0" w:color="auto"/>
            </w:tcBorders>
            <w:shd w:val="clear" w:color="auto" w:fill="auto"/>
            <w:noWrap/>
            <w:vAlign w:val="bottom"/>
          </w:tcPr>
          <w:p w14:paraId="6014AF9C" w14:textId="559C153F" w:rsidR="003D7A11" w:rsidRPr="009016C5" w:rsidRDefault="003D7A11" w:rsidP="00717AB5">
            <w:pPr>
              <w:jc w:val="right"/>
              <w:rPr>
                <w:sz w:val="14"/>
              </w:rPr>
            </w:pPr>
            <w:r w:rsidRPr="009016C5">
              <w:rPr>
                <w:bCs/>
                <w:sz w:val="14"/>
              </w:rPr>
              <w:t>(3,087,149)</w:t>
            </w:r>
          </w:p>
        </w:tc>
      </w:tr>
      <w:tr w:rsidR="003D7A11" w:rsidRPr="009016C5" w14:paraId="377F5AE0"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1F8F3E2B" w14:textId="77777777" w:rsidR="003D7A11" w:rsidRPr="009016C5" w:rsidRDefault="003D7A11" w:rsidP="003D7A11">
            <w:pPr>
              <w:rPr>
                <w:sz w:val="13"/>
                <w:szCs w:val="13"/>
                <w:lang w:val="en-US"/>
              </w:rPr>
            </w:pPr>
            <w:r w:rsidRPr="009016C5">
              <w:rPr>
                <w:sz w:val="13"/>
                <w:szCs w:val="13"/>
                <w:lang w:val="en-US"/>
              </w:rPr>
              <w:t>1.2.9</w:t>
            </w:r>
          </w:p>
        </w:tc>
        <w:tc>
          <w:tcPr>
            <w:tcW w:w="5442" w:type="dxa"/>
            <w:tcBorders>
              <w:left w:val="single" w:sz="4" w:space="0" w:color="auto"/>
              <w:right w:val="single" w:sz="4" w:space="0" w:color="auto"/>
            </w:tcBorders>
            <w:shd w:val="clear" w:color="auto" w:fill="auto"/>
            <w:noWrap/>
            <w:vAlign w:val="bottom"/>
            <w:hideMark/>
          </w:tcPr>
          <w:p w14:paraId="5550B5D0" w14:textId="77777777" w:rsidR="003D7A11" w:rsidRPr="009016C5" w:rsidRDefault="003D7A11" w:rsidP="003D7A11">
            <w:pPr>
              <w:rPr>
                <w:sz w:val="13"/>
                <w:szCs w:val="13"/>
                <w:lang w:val="en-US"/>
              </w:rPr>
            </w:pPr>
            <w:proofErr w:type="spellStart"/>
            <w:r w:rsidRPr="009016C5">
              <w:rPr>
                <w:sz w:val="13"/>
                <w:szCs w:val="13"/>
                <w:lang w:val="en-US"/>
              </w:rPr>
              <w:t>Vadesi</w:t>
            </w:r>
            <w:proofErr w:type="spellEnd"/>
            <w:r w:rsidRPr="009016C5">
              <w:rPr>
                <w:sz w:val="13"/>
                <w:szCs w:val="13"/>
                <w:lang w:val="en-US"/>
              </w:rPr>
              <w:t xml:space="preserve"> </w:t>
            </w:r>
            <w:proofErr w:type="spellStart"/>
            <w:r w:rsidRPr="009016C5">
              <w:rPr>
                <w:sz w:val="13"/>
                <w:szCs w:val="13"/>
                <w:lang w:val="en-US"/>
              </w:rPr>
              <w:t>Gelmiş</w:t>
            </w:r>
            <w:proofErr w:type="spellEnd"/>
            <w:r w:rsidRPr="009016C5">
              <w:rPr>
                <w:sz w:val="13"/>
                <w:szCs w:val="13"/>
                <w:lang w:val="en-US"/>
              </w:rPr>
              <w:t xml:space="preserve"> </w:t>
            </w:r>
            <w:proofErr w:type="spellStart"/>
            <w:r w:rsidRPr="009016C5">
              <w:rPr>
                <w:sz w:val="13"/>
                <w:szCs w:val="13"/>
                <w:lang w:val="en-US"/>
              </w:rPr>
              <w:t>Borçlarda</w:t>
            </w:r>
            <w:proofErr w:type="spellEnd"/>
            <w:r w:rsidRPr="009016C5">
              <w:rPr>
                <w:sz w:val="13"/>
                <w:szCs w:val="13"/>
                <w:lang w:val="en-US"/>
              </w:rPr>
              <w:t xml:space="preserve"> Net </w:t>
            </w:r>
            <w:proofErr w:type="spellStart"/>
            <w:r w:rsidRPr="009016C5">
              <w:rPr>
                <w:sz w:val="13"/>
                <w:szCs w:val="13"/>
                <w:lang w:val="en-US"/>
              </w:rPr>
              <w:t>Artış</w:t>
            </w:r>
            <w:proofErr w:type="spellEnd"/>
            <w:r w:rsidRPr="009016C5">
              <w:rPr>
                <w:sz w:val="13"/>
                <w:szCs w:val="13"/>
                <w:lang w:val="en-US"/>
              </w:rPr>
              <w:t xml:space="preserve"> (</w:t>
            </w:r>
            <w:proofErr w:type="spellStart"/>
            <w:r w:rsidRPr="009016C5">
              <w:rPr>
                <w:sz w:val="13"/>
                <w:szCs w:val="13"/>
                <w:lang w:val="en-US"/>
              </w:rPr>
              <w:t>Azalış</w:t>
            </w:r>
            <w:proofErr w:type="spellEnd"/>
            <w:r w:rsidRPr="009016C5">
              <w:rPr>
                <w:sz w:val="13"/>
                <w:szCs w:val="13"/>
                <w:lang w:val="en-US"/>
              </w:rPr>
              <w:t>)</w:t>
            </w:r>
          </w:p>
        </w:tc>
        <w:tc>
          <w:tcPr>
            <w:tcW w:w="708" w:type="dxa"/>
            <w:tcBorders>
              <w:left w:val="single" w:sz="4" w:space="0" w:color="auto"/>
              <w:right w:val="single" w:sz="4" w:space="0" w:color="auto"/>
            </w:tcBorders>
            <w:shd w:val="clear" w:color="auto" w:fill="auto"/>
            <w:noWrap/>
            <w:vAlign w:val="bottom"/>
            <w:hideMark/>
          </w:tcPr>
          <w:p w14:paraId="145BBD43"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1E787EDF" w14:textId="629DE9F6" w:rsidR="003D7A11" w:rsidRPr="00271DD2" w:rsidRDefault="003D7A11" w:rsidP="00717AB5">
            <w:pPr>
              <w:jc w:val="right"/>
              <w:rPr>
                <w:bCs/>
                <w:sz w:val="14"/>
              </w:rPr>
            </w:pPr>
            <w:r w:rsidRPr="00271DD2">
              <w:rPr>
                <w:bCs/>
                <w:sz w:val="14"/>
              </w:rPr>
              <w:t>-</w:t>
            </w:r>
          </w:p>
        </w:tc>
        <w:tc>
          <w:tcPr>
            <w:tcW w:w="1336" w:type="dxa"/>
            <w:tcBorders>
              <w:left w:val="single" w:sz="4" w:space="0" w:color="auto"/>
              <w:right w:val="single" w:sz="4" w:space="0" w:color="auto"/>
            </w:tcBorders>
            <w:shd w:val="clear" w:color="auto" w:fill="auto"/>
            <w:noWrap/>
            <w:vAlign w:val="bottom"/>
          </w:tcPr>
          <w:p w14:paraId="0FA7E816" w14:textId="10B8D18D" w:rsidR="003D7A11" w:rsidRPr="009016C5" w:rsidRDefault="003D7A11" w:rsidP="00717AB5">
            <w:pPr>
              <w:jc w:val="right"/>
              <w:rPr>
                <w:sz w:val="14"/>
              </w:rPr>
            </w:pPr>
            <w:r w:rsidRPr="009016C5">
              <w:rPr>
                <w:bCs/>
                <w:sz w:val="14"/>
              </w:rPr>
              <w:t>-</w:t>
            </w:r>
          </w:p>
        </w:tc>
      </w:tr>
      <w:tr w:rsidR="003D7A11" w:rsidRPr="009016C5" w14:paraId="48A8EAF8"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2BCE16C6" w14:textId="77777777" w:rsidR="003D7A11" w:rsidRPr="009016C5" w:rsidRDefault="003D7A11" w:rsidP="003D7A11">
            <w:pPr>
              <w:rPr>
                <w:sz w:val="13"/>
                <w:szCs w:val="13"/>
                <w:lang w:val="en-US"/>
              </w:rPr>
            </w:pPr>
            <w:r w:rsidRPr="009016C5">
              <w:rPr>
                <w:sz w:val="13"/>
                <w:szCs w:val="13"/>
                <w:lang w:val="en-US"/>
              </w:rPr>
              <w:t>1.2.10</w:t>
            </w:r>
          </w:p>
        </w:tc>
        <w:tc>
          <w:tcPr>
            <w:tcW w:w="5442" w:type="dxa"/>
            <w:tcBorders>
              <w:left w:val="single" w:sz="4" w:space="0" w:color="auto"/>
              <w:right w:val="single" w:sz="4" w:space="0" w:color="auto"/>
            </w:tcBorders>
            <w:shd w:val="clear" w:color="auto" w:fill="auto"/>
            <w:noWrap/>
            <w:vAlign w:val="bottom"/>
            <w:hideMark/>
          </w:tcPr>
          <w:p w14:paraId="1C4C63C7" w14:textId="77777777" w:rsidR="003D7A11" w:rsidRPr="009016C5" w:rsidRDefault="003D7A11" w:rsidP="003D7A11">
            <w:pPr>
              <w:rPr>
                <w:sz w:val="13"/>
                <w:szCs w:val="13"/>
                <w:lang w:val="en-US"/>
              </w:rPr>
            </w:pPr>
            <w:proofErr w:type="spellStart"/>
            <w:r w:rsidRPr="009016C5">
              <w:rPr>
                <w:sz w:val="13"/>
                <w:szCs w:val="13"/>
                <w:lang w:val="en-US"/>
              </w:rPr>
              <w:t>Diğer</w:t>
            </w:r>
            <w:proofErr w:type="spellEnd"/>
            <w:r w:rsidRPr="009016C5">
              <w:rPr>
                <w:sz w:val="13"/>
                <w:szCs w:val="13"/>
                <w:lang w:val="en-US"/>
              </w:rPr>
              <w:t xml:space="preserve"> </w:t>
            </w:r>
            <w:proofErr w:type="spellStart"/>
            <w:r w:rsidRPr="009016C5">
              <w:rPr>
                <w:sz w:val="13"/>
                <w:szCs w:val="13"/>
                <w:lang w:val="en-US"/>
              </w:rPr>
              <w:t>Borçlarda</w:t>
            </w:r>
            <w:proofErr w:type="spellEnd"/>
            <w:r w:rsidRPr="009016C5">
              <w:rPr>
                <w:sz w:val="13"/>
                <w:szCs w:val="13"/>
                <w:lang w:val="en-US"/>
              </w:rPr>
              <w:t xml:space="preserve"> Net </w:t>
            </w:r>
            <w:proofErr w:type="spellStart"/>
            <w:r w:rsidRPr="009016C5">
              <w:rPr>
                <w:sz w:val="13"/>
                <w:szCs w:val="13"/>
                <w:lang w:val="en-US"/>
              </w:rPr>
              <w:t>Artış</w:t>
            </w:r>
            <w:proofErr w:type="spellEnd"/>
            <w:r w:rsidRPr="009016C5">
              <w:rPr>
                <w:sz w:val="13"/>
                <w:szCs w:val="13"/>
                <w:lang w:val="en-US"/>
              </w:rPr>
              <w:t xml:space="preserve"> (</w:t>
            </w:r>
            <w:proofErr w:type="spellStart"/>
            <w:r w:rsidRPr="009016C5">
              <w:rPr>
                <w:sz w:val="13"/>
                <w:szCs w:val="13"/>
                <w:lang w:val="en-US"/>
              </w:rPr>
              <w:t>Azalış</w:t>
            </w:r>
            <w:proofErr w:type="spellEnd"/>
            <w:r w:rsidRPr="009016C5">
              <w:rPr>
                <w:sz w:val="13"/>
                <w:szCs w:val="13"/>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399C8576"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44B8D43D" w14:textId="3868E241" w:rsidR="003D7A11" w:rsidRPr="00271DD2" w:rsidRDefault="003D7A11" w:rsidP="00717AB5">
            <w:pPr>
              <w:jc w:val="right"/>
              <w:rPr>
                <w:bCs/>
                <w:sz w:val="14"/>
              </w:rPr>
            </w:pPr>
            <w:r w:rsidRPr="00271DD2">
              <w:rPr>
                <w:bCs/>
                <w:sz w:val="14"/>
              </w:rPr>
              <w:t>10,440,428</w:t>
            </w:r>
          </w:p>
        </w:tc>
        <w:tc>
          <w:tcPr>
            <w:tcW w:w="1336" w:type="dxa"/>
            <w:tcBorders>
              <w:left w:val="single" w:sz="4" w:space="0" w:color="auto"/>
              <w:right w:val="single" w:sz="4" w:space="0" w:color="auto"/>
            </w:tcBorders>
            <w:shd w:val="clear" w:color="auto" w:fill="auto"/>
            <w:noWrap/>
            <w:vAlign w:val="bottom"/>
          </w:tcPr>
          <w:p w14:paraId="01B2EFDF" w14:textId="2ABC9CC6" w:rsidR="003D7A11" w:rsidRPr="009016C5" w:rsidRDefault="003D7A11" w:rsidP="00717AB5">
            <w:pPr>
              <w:jc w:val="right"/>
              <w:rPr>
                <w:sz w:val="14"/>
              </w:rPr>
            </w:pPr>
            <w:r w:rsidRPr="009016C5">
              <w:rPr>
                <w:bCs/>
                <w:sz w:val="14"/>
              </w:rPr>
              <w:t>1,776,979</w:t>
            </w:r>
          </w:p>
        </w:tc>
      </w:tr>
      <w:tr w:rsidR="003D7A11" w:rsidRPr="009016C5" w14:paraId="394E264C"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134B0557"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40188B89" w14:textId="77777777" w:rsidR="003D7A11" w:rsidRPr="009016C5" w:rsidRDefault="003D7A11" w:rsidP="003D7A11">
            <w:pPr>
              <w:rPr>
                <w:sz w:val="13"/>
                <w:szCs w:val="13"/>
                <w:lang w:val="en-US"/>
              </w:rPr>
            </w:pPr>
            <w:r w:rsidRPr="009016C5">
              <w:rPr>
                <w:sz w:val="13"/>
                <w:szCs w:val="13"/>
                <w:lang w:val="en-US"/>
              </w:rPr>
              <w:t> </w:t>
            </w:r>
          </w:p>
        </w:tc>
        <w:tc>
          <w:tcPr>
            <w:tcW w:w="708" w:type="dxa"/>
            <w:tcBorders>
              <w:left w:val="single" w:sz="4" w:space="0" w:color="auto"/>
              <w:right w:val="single" w:sz="4" w:space="0" w:color="auto"/>
            </w:tcBorders>
            <w:shd w:val="clear" w:color="auto" w:fill="auto"/>
            <w:noWrap/>
            <w:vAlign w:val="bottom"/>
            <w:hideMark/>
          </w:tcPr>
          <w:p w14:paraId="08ADD1B4" w14:textId="77777777" w:rsidR="003D7A11" w:rsidRPr="009016C5" w:rsidRDefault="003D7A11" w:rsidP="003D7A11">
            <w:pP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0F528C15" w14:textId="20D72482"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6CD4C31D" w14:textId="77777777" w:rsidR="003D7A11" w:rsidRPr="009016C5" w:rsidRDefault="003D7A11" w:rsidP="00717AB5">
            <w:pPr>
              <w:jc w:val="right"/>
              <w:rPr>
                <w:b/>
                <w:sz w:val="14"/>
              </w:rPr>
            </w:pPr>
          </w:p>
        </w:tc>
      </w:tr>
      <w:tr w:rsidR="003D7A11" w:rsidRPr="009016C5" w14:paraId="689FF125"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062007B5" w14:textId="77777777" w:rsidR="003D7A11" w:rsidRPr="009016C5" w:rsidRDefault="003D7A11" w:rsidP="003D7A11">
            <w:pPr>
              <w:rPr>
                <w:b/>
                <w:bCs/>
                <w:sz w:val="13"/>
                <w:szCs w:val="13"/>
                <w:lang w:val="en-US"/>
              </w:rPr>
            </w:pPr>
            <w:r w:rsidRPr="009016C5">
              <w:rPr>
                <w:b/>
                <w:bCs/>
                <w:sz w:val="13"/>
                <w:szCs w:val="13"/>
                <w:lang w:val="en-US"/>
              </w:rPr>
              <w:t>I.</w:t>
            </w:r>
          </w:p>
        </w:tc>
        <w:tc>
          <w:tcPr>
            <w:tcW w:w="5442" w:type="dxa"/>
            <w:tcBorders>
              <w:left w:val="single" w:sz="4" w:space="0" w:color="auto"/>
              <w:right w:val="single" w:sz="4" w:space="0" w:color="auto"/>
            </w:tcBorders>
            <w:shd w:val="clear" w:color="auto" w:fill="auto"/>
            <w:noWrap/>
            <w:vAlign w:val="bottom"/>
            <w:hideMark/>
          </w:tcPr>
          <w:p w14:paraId="15D452EB" w14:textId="77777777" w:rsidR="003D7A11" w:rsidRPr="009016C5" w:rsidRDefault="003D7A11" w:rsidP="003D7A11">
            <w:pPr>
              <w:rPr>
                <w:b/>
                <w:bCs/>
                <w:sz w:val="13"/>
                <w:szCs w:val="13"/>
                <w:lang w:val="en-US"/>
              </w:rPr>
            </w:pPr>
            <w:r w:rsidRPr="009016C5">
              <w:rPr>
                <w:b/>
                <w:bCs/>
                <w:sz w:val="13"/>
                <w:szCs w:val="13"/>
                <w:lang w:val="en-US"/>
              </w:rPr>
              <w:t xml:space="preserve">Bankacılık </w:t>
            </w:r>
            <w:proofErr w:type="spellStart"/>
            <w:r w:rsidRPr="009016C5">
              <w:rPr>
                <w:b/>
                <w:bCs/>
                <w:sz w:val="13"/>
                <w:szCs w:val="13"/>
                <w:lang w:val="en-US"/>
              </w:rPr>
              <w:t>Faaliyetlerinden</w:t>
            </w:r>
            <w:proofErr w:type="spellEnd"/>
            <w:r w:rsidRPr="009016C5">
              <w:rPr>
                <w:b/>
                <w:bCs/>
                <w:sz w:val="13"/>
                <w:szCs w:val="13"/>
                <w:lang w:val="en-US"/>
              </w:rPr>
              <w:t xml:space="preserve"> </w:t>
            </w:r>
            <w:proofErr w:type="spellStart"/>
            <w:r w:rsidRPr="009016C5">
              <w:rPr>
                <w:b/>
                <w:bCs/>
                <w:sz w:val="13"/>
                <w:szCs w:val="13"/>
                <w:lang w:val="en-US"/>
              </w:rPr>
              <w:t>Kaynaklanan</w:t>
            </w:r>
            <w:proofErr w:type="spellEnd"/>
            <w:r w:rsidRPr="009016C5">
              <w:rPr>
                <w:b/>
                <w:bCs/>
                <w:sz w:val="13"/>
                <w:szCs w:val="13"/>
                <w:lang w:val="en-US"/>
              </w:rPr>
              <w:t xml:space="preserve"> Net </w:t>
            </w:r>
            <w:proofErr w:type="spellStart"/>
            <w:r w:rsidRPr="009016C5">
              <w:rPr>
                <w:b/>
                <w:bCs/>
                <w:sz w:val="13"/>
                <w:szCs w:val="13"/>
                <w:lang w:val="en-US"/>
              </w:rPr>
              <w:t>Nakit</w:t>
            </w:r>
            <w:proofErr w:type="spellEnd"/>
            <w:r w:rsidRPr="009016C5">
              <w:rPr>
                <w:b/>
                <w:bCs/>
                <w:sz w:val="13"/>
                <w:szCs w:val="13"/>
                <w:lang w:val="en-US"/>
              </w:rPr>
              <w:t xml:space="preserve"> </w:t>
            </w:r>
            <w:proofErr w:type="spellStart"/>
            <w:r w:rsidRPr="009016C5">
              <w:rPr>
                <w:b/>
                <w:bCs/>
                <w:sz w:val="13"/>
                <w:szCs w:val="13"/>
                <w:lang w:val="en-US"/>
              </w:rPr>
              <w:t>Akışı</w:t>
            </w:r>
            <w:proofErr w:type="spellEnd"/>
          </w:p>
        </w:tc>
        <w:tc>
          <w:tcPr>
            <w:tcW w:w="708" w:type="dxa"/>
            <w:tcBorders>
              <w:left w:val="single" w:sz="4" w:space="0" w:color="auto"/>
              <w:right w:val="single" w:sz="4" w:space="0" w:color="auto"/>
            </w:tcBorders>
            <w:shd w:val="clear" w:color="auto" w:fill="auto"/>
            <w:noWrap/>
            <w:vAlign w:val="bottom"/>
            <w:hideMark/>
          </w:tcPr>
          <w:p w14:paraId="0D7DC2A3"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2CA0A2B6" w14:textId="3AD4DAE7" w:rsidR="003D7A11" w:rsidRPr="009016C5" w:rsidRDefault="003D7A11" w:rsidP="00717AB5">
            <w:pPr>
              <w:jc w:val="right"/>
              <w:rPr>
                <w:b/>
                <w:sz w:val="14"/>
              </w:rPr>
            </w:pPr>
            <w:r w:rsidRPr="009016C5">
              <w:rPr>
                <w:b/>
                <w:sz w:val="14"/>
              </w:rPr>
              <w:t>7,879,125</w:t>
            </w:r>
          </w:p>
        </w:tc>
        <w:tc>
          <w:tcPr>
            <w:tcW w:w="1336" w:type="dxa"/>
            <w:tcBorders>
              <w:left w:val="single" w:sz="4" w:space="0" w:color="auto"/>
              <w:right w:val="single" w:sz="4" w:space="0" w:color="auto"/>
            </w:tcBorders>
            <w:shd w:val="clear" w:color="auto" w:fill="auto"/>
            <w:noWrap/>
            <w:vAlign w:val="bottom"/>
          </w:tcPr>
          <w:p w14:paraId="298EDC23" w14:textId="12DEA890" w:rsidR="003D7A11" w:rsidRPr="009016C5" w:rsidRDefault="003D7A11" w:rsidP="00717AB5">
            <w:pPr>
              <w:jc w:val="right"/>
              <w:rPr>
                <w:b/>
                <w:sz w:val="14"/>
              </w:rPr>
            </w:pPr>
            <w:r w:rsidRPr="009016C5">
              <w:rPr>
                <w:b/>
                <w:sz w:val="14"/>
              </w:rPr>
              <w:t>11,266,066</w:t>
            </w:r>
          </w:p>
        </w:tc>
      </w:tr>
      <w:tr w:rsidR="003D7A11" w:rsidRPr="009016C5" w14:paraId="66EE721B"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5AF30EC0"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3989D4AF" w14:textId="77777777" w:rsidR="003D7A11" w:rsidRPr="009016C5" w:rsidRDefault="003D7A11" w:rsidP="003D7A11">
            <w:pPr>
              <w:rPr>
                <w:sz w:val="13"/>
                <w:szCs w:val="13"/>
                <w:lang w:val="en-US"/>
              </w:rPr>
            </w:pPr>
            <w:r w:rsidRPr="009016C5">
              <w:rPr>
                <w:sz w:val="13"/>
                <w:szCs w:val="13"/>
                <w:lang w:val="en-US"/>
              </w:rPr>
              <w:t> </w:t>
            </w:r>
          </w:p>
        </w:tc>
        <w:tc>
          <w:tcPr>
            <w:tcW w:w="708" w:type="dxa"/>
            <w:tcBorders>
              <w:left w:val="single" w:sz="4" w:space="0" w:color="auto"/>
              <w:right w:val="single" w:sz="4" w:space="0" w:color="auto"/>
            </w:tcBorders>
            <w:shd w:val="clear" w:color="auto" w:fill="auto"/>
            <w:noWrap/>
            <w:vAlign w:val="bottom"/>
            <w:hideMark/>
          </w:tcPr>
          <w:p w14:paraId="77B11DDB" w14:textId="77777777" w:rsidR="003D7A11" w:rsidRPr="009016C5" w:rsidRDefault="003D7A11" w:rsidP="003D7A11">
            <w:pP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60D3440E" w14:textId="02F54B39"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23E6C3B3" w14:textId="77777777" w:rsidR="003D7A11" w:rsidRPr="009016C5" w:rsidRDefault="003D7A11" w:rsidP="00717AB5">
            <w:pPr>
              <w:jc w:val="right"/>
              <w:rPr>
                <w:b/>
                <w:sz w:val="14"/>
              </w:rPr>
            </w:pPr>
          </w:p>
        </w:tc>
      </w:tr>
      <w:tr w:rsidR="003D7A11" w:rsidRPr="009016C5" w14:paraId="7C626451"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649C6BF8" w14:textId="77777777" w:rsidR="003D7A11" w:rsidRPr="009016C5" w:rsidRDefault="003D7A11" w:rsidP="003D7A11">
            <w:pPr>
              <w:rPr>
                <w:b/>
                <w:bCs/>
                <w:sz w:val="13"/>
                <w:szCs w:val="13"/>
                <w:lang w:val="en-US"/>
              </w:rPr>
            </w:pPr>
            <w:r w:rsidRPr="009016C5">
              <w:rPr>
                <w:b/>
                <w:bCs/>
                <w:sz w:val="13"/>
                <w:szCs w:val="13"/>
                <w:lang w:val="en-US"/>
              </w:rPr>
              <w:t>B.</w:t>
            </w:r>
          </w:p>
        </w:tc>
        <w:tc>
          <w:tcPr>
            <w:tcW w:w="5442" w:type="dxa"/>
            <w:tcBorders>
              <w:left w:val="single" w:sz="4" w:space="0" w:color="auto"/>
              <w:right w:val="single" w:sz="4" w:space="0" w:color="auto"/>
            </w:tcBorders>
            <w:shd w:val="clear" w:color="auto" w:fill="auto"/>
            <w:noWrap/>
            <w:vAlign w:val="bottom"/>
            <w:hideMark/>
          </w:tcPr>
          <w:p w14:paraId="5FE6F417" w14:textId="77777777" w:rsidR="003D7A11" w:rsidRPr="009016C5" w:rsidRDefault="003D7A11" w:rsidP="003D7A11">
            <w:pPr>
              <w:rPr>
                <w:b/>
                <w:bCs/>
                <w:sz w:val="13"/>
                <w:szCs w:val="13"/>
                <w:lang w:val="en-US"/>
              </w:rPr>
            </w:pPr>
            <w:r w:rsidRPr="009016C5">
              <w:rPr>
                <w:b/>
                <w:bCs/>
                <w:sz w:val="13"/>
                <w:szCs w:val="13"/>
                <w:lang w:val="en-US"/>
              </w:rPr>
              <w:t>YATIRIM FAALİYETLERİNE İLİŞKİN NAKİT AKIŞLARI</w:t>
            </w:r>
          </w:p>
        </w:tc>
        <w:tc>
          <w:tcPr>
            <w:tcW w:w="708" w:type="dxa"/>
            <w:tcBorders>
              <w:left w:val="single" w:sz="4" w:space="0" w:color="auto"/>
              <w:right w:val="single" w:sz="4" w:space="0" w:color="auto"/>
            </w:tcBorders>
            <w:shd w:val="clear" w:color="auto" w:fill="auto"/>
            <w:noWrap/>
            <w:vAlign w:val="bottom"/>
            <w:hideMark/>
          </w:tcPr>
          <w:p w14:paraId="3A2EFEE2" w14:textId="77777777" w:rsidR="003D7A11" w:rsidRPr="009016C5" w:rsidRDefault="003D7A11" w:rsidP="003D7A11">
            <w:pP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37F4E67D" w14:textId="77471925" w:rsidR="003D7A11" w:rsidRPr="009016C5" w:rsidRDefault="003D7A11" w:rsidP="00717AB5">
            <w:pPr>
              <w:jc w:val="right"/>
              <w:rPr>
                <w:b/>
                <w:sz w:val="14"/>
              </w:rPr>
            </w:pPr>
            <w:r w:rsidRPr="009016C5">
              <w:rPr>
                <w:b/>
                <w:sz w:val="14"/>
              </w:rPr>
              <w:t>-</w:t>
            </w:r>
          </w:p>
        </w:tc>
        <w:tc>
          <w:tcPr>
            <w:tcW w:w="1336" w:type="dxa"/>
            <w:tcBorders>
              <w:left w:val="single" w:sz="4" w:space="0" w:color="auto"/>
              <w:right w:val="single" w:sz="4" w:space="0" w:color="auto"/>
            </w:tcBorders>
            <w:shd w:val="clear" w:color="auto" w:fill="auto"/>
            <w:noWrap/>
            <w:vAlign w:val="bottom"/>
          </w:tcPr>
          <w:p w14:paraId="493B20B4" w14:textId="77777777" w:rsidR="003D7A11" w:rsidRPr="009016C5" w:rsidRDefault="003D7A11" w:rsidP="00717AB5">
            <w:pPr>
              <w:jc w:val="right"/>
              <w:rPr>
                <w:b/>
                <w:sz w:val="14"/>
              </w:rPr>
            </w:pPr>
          </w:p>
        </w:tc>
      </w:tr>
      <w:tr w:rsidR="003D7A11" w:rsidRPr="009016C5" w14:paraId="0A36B1A5"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65AF69D7" w14:textId="77777777" w:rsidR="003D7A11" w:rsidRPr="009016C5" w:rsidRDefault="003D7A11" w:rsidP="003D7A11">
            <w:pP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157C4509" w14:textId="77777777" w:rsidR="003D7A11" w:rsidRPr="009016C5" w:rsidRDefault="003D7A11" w:rsidP="003D7A11">
            <w:pPr>
              <w:rPr>
                <w:sz w:val="13"/>
                <w:szCs w:val="13"/>
                <w:lang w:val="en-US"/>
              </w:rPr>
            </w:pPr>
            <w:r w:rsidRPr="009016C5">
              <w:rPr>
                <w:sz w:val="13"/>
                <w:szCs w:val="13"/>
                <w:lang w:val="en-US"/>
              </w:rPr>
              <w:t> </w:t>
            </w:r>
          </w:p>
        </w:tc>
        <w:tc>
          <w:tcPr>
            <w:tcW w:w="708" w:type="dxa"/>
            <w:tcBorders>
              <w:left w:val="single" w:sz="4" w:space="0" w:color="auto"/>
              <w:right w:val="single" w:sz="4" w:space="0" w:color="auto"/>
            </w:tcBorders>
            <w:shd w:val="clear" w:color="auto" w:fill="auto"/>
            <w:noWrap/>
            <w:vAlign w:val="bottom"/>
            <w:hideMark/>
          </w:tcPr>
          <w:p w14:paraId="5B711B45" w14:textId="77777777" w:rsidR="003D7A11" w:rsidRPr="009016C5" w:rsidRDefault="003D7A11" w:rsidP="003D7A11">
            <w:pP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1D301E54" w14:textId="7D9C952D"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5A084472" w14:textId="77777777" w:rsidR="003D7A11" w:rsidRPr="009016C5" w:rsidRDefault="003D7A11" w:rsidP="00717AB5">
            <w:pPr>
              <w:jc w:val="right"/>
              <w:rPr>
                <w:b/>
                <w:sz w:val="14"/>
              </w:rPr>
            </w:pPr>
          </w:p>
        </w:tc>
      </w:tr>
      <w:tr w:rsidR="003D7A11" w:rsidRPr="009016C5" w14:paraId="6DB5A157"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6F49AD74" w14:textId="77777777" w:rsidR="003D7A11" w:rsidRPr="009016C5" w:rsidRDefault="003D7A11" w:rsidP="003D7A11">
            <w:pPr>
              <w:rPr>
                <w:b/>
                <w:bCs/>
                <w:sz w:val="13"/>
                <w:szCs w:val="13"/>
                <w:lang w:val="en-US"/>
              </w:rPr>
            </w:pPr>
            <w:r w:rsidRPr="009016C5">
              <w:rPr>
                <w:b/>
                <w:bCs/>
                <w:sz w:val="13"/>
                <w:szCs w:val="13"/>
                <w:lang w:val="en-US"/>
              </w:rPr>
              <w:t>II.</w:t>
            </w:r>
          </w:p>
        </w:tc>
        <w:tc>
          <w:tcPr>
            <w:tcW w:w="5442" w:type="dxa"/>
            <w:tcBorders>
              <w:left w:val="single" w:sz="4" w:space="0" w:color="auto"/>
              <w:right w:val="single" w:sz="4" w:space="0" w:color="auto"/>
            </w:tcBorders>
            <w:shd w:val="clear" w:color="auto" w:fill="auto"/>
            <w:noWrap/>
            <w:vAlign w:val="bottom"/>
            <w:hideMark/>
          </w:tcPr>
          <w:p w14:paraId="789022EA" w14:textId="77777777" w:rsidR="003D7A11" w:rsidRPr="009016C5" w:rsidRDefault="003D7A11" w:rsidP="003D7A11">
            <w:pPr>
              <w:rPr>
                <w:b/>
                <w:bCs/>
                <w:sz w:val="13"/>
                <w:szCs w:val="13"/>
                <w:lang w:val="en-US"/>
              </w:rPr>
            </w:pPr>
            <w:proofErr w:type="spellStart"/>
            <w:r w:rsidRPr="009016C5">
              <w:rPr>
                <w:b/>
                <w:bCs/>
                <w:sz w:val="13"/>
                <w:szCs w:val="13"/>
                <w:lang w:val="en-US"/>
              </w:rPr>
              <w:t>Yatırım</w:t>
            </w:r>
            <w:proofErr w:type="spellEnd"/>
            <w:r w:rsidRPr="009016C5">
              <w:rPr>
                <w:b/>
                <w:bCs/>
                <w:sz w:val="13"/>
                <w:szCs w:val="13"/>
                <w:lang w:val="en-US"/>
              </w:rPr>
              <w:t xml:space="preserve"> </w:t>
            </w:r>
            <w:proofErr w:type="spellStart"/>
            <w:r w:rsidRPr="009016C5">
              <w:rPr>
                <w:b/>
                <w:bCs/>
                <w:sz w:val="13"/>
                <w:szCs w:val="13"/>
                <w:lang w:val="en-US"/>
              </w:rPr>
              <w:t>Faaliyetlerinden</w:t>
            </w:r>
            <w:proofErr w:type="spellEnd"/>
            <w:r w:rsidRPr="009016C5">
              <w:rPr>
                <w:b/>
                <w:bCs/>
                <w:sz w:val="13"/>
                <w:szCs w:val="13"/>
                <w:lang w:val="en-US"/>
              </w:rPr>
              <w:t xml:space="preserve"> </w:t>
            </w:r>
            <w:proofErr w:type="spellStart"/>
            <w:r w:rsidRPr="009016C5">
              <w:rPr>
                <w:b/>
                <w:bCs/>
                <w:sz w:val="13"/>
                <w:szCs w:val="13"/>
                <w:lang w:val="en-US"/>
              </w:rPr>
              <w:t>Kaynaklanan</w:t>
            </w:r>
            <w:proofErr w:type="spellEnd"/>
            <w:r w:rsidRPr="009016C5">
              <w:rPr>
                <w:b/>
                <w:bCs/>
                <w:sz w:val="13"/>
                <w:szCs w:val="13"/>
                <w:lang w:val="en-US"/>
              </w:rPr>
              <w:t xml:space="preserve"> Net </w:t>
            </w:r>
            <w:proofErr w:type="spellStart"/>
            <w:r w:rsidRPr="009016C5">
              <w:rPr>
                <w:b/>
                <w:bCs/>
                <w:sz w:val="13"/>
                <w:szCs w:val="13"/>
                <w:lang w:val="en-US"/>
              </w:rPr>
              <w:t>Nakit</w:t>
            </w:r>
            <w:proofErr w:type="spellEnd"/>
            <w:r w:rsidRPr="009016C5">
              <w:rPr>
                <w:b/>
                <w:bCs/>
                <w:sz w:val="13"/>
                <w:szCs w:val="13"/>
                <w:lang w:val="en-US"/>
              </w:rPr>
              <w:t xml:space="preserve"> </w:t>
            </w:r>
            <w:proofErr w:type="spellStart"/>
            <w:r w:rsidRPr="009016C5">
              <w:rPr>
                <w:b/>
                <w:bCs/>
                <w:sz w:val="13"/>
                <w:szCs w:val="13"/>
                <w:lang w:val="en-US"/>
              </w:rPr>
              <w:t>Akışı</w:t>
            </w:r>
            <w:proofErr w:type="spellEnd"/>
          </w:p>
        </w:tc>
        <w:tc>
          <w:tcPr>
            <w:tcW w:w="708" w:type="dxa"/>
            <w:tcBorders>
              <w:left w:val="single" w:sz="4" w:space="0" w:color="auto"/>
              <w:right w:val="single" w:sz="4" w:space="0" w:color="auto"/>
            </w:tcBorders>
            <w:shd w:val="clear" w:color="auto" w:fill="auto"/>
            <w:noWrap/>
            <w:vAlign w:val="bottom"/>
            <w:hideMark/>
          </w:tcPr>
          <w:p w14:paraId="4C985AE0"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0BE3248F" w14:textId="4473F5F8" w:rsidR="003D7A11" w:rsidRPr="009016C5" w:rsidRDefault="003D7A11" w:rsidP="00717AB5">
            <w:pPr>
              <w:jc w:val="right"/>
              <w:rPr>
                <w:b/>
                <w:sz w:val="14"/>
              </w:rPr>
            </w:pPr>
            <w:r w:rsidRPr="009016C5">
              <w:rPr>
                <w:b/>
                <w:sz w:val="14"/>
              </w:rPr>
              <w:t>(21,927,486)</w:t>
            </w:r>
          </w:p>
        </w:tc>
        <w:tc>
          <w:tcPr>
            <w:tcW w:w="1336" w:type="dxa"/>
            <w:tcBorders>
              <w:left w:val="single" w:sz="4" w:space="0" w:color="auto"/>
              <w:right w:val="single" w:sz="4" w:space="0" w:color="auto"/>
            </w:tcBorders>
            <w:shd w:val="clear" w:color="auto" w:fill="auto"/>
            <w:noWrap/>
            <w:vAlign w:val="bottom"/>
          </w:tcPr>
          <w:p w14:paraId="23FE4BFB" w14:textId="2FB00B87" w:rsidR="003D7A11" w:rsidRPr="009016C5" w:rsidRDefault="003D7A11" w:rsidP="00717AB5">
            <w:pPr>
              <w:jc w:val="right"/>
              <w:rPr>
                <w:b/>
                <w:sz w:val="14"/>
              </w:rPr>
            </w:pPr>
            <w:r w:rsidRPr="009016C5">
              <w:rPr>
                <w:b/>
                <w:sz w:val="14"/>
              </w:rPr>
              <w:t>(7,367,608)</w:t>
            </w:r>
          </w:p>
        </w:tc>
      </w:tr>
      <w:tr w:rsidR="003D7A11" w:rsidRPr="009016C5" w14:paraId="3DC38324"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6BFB798B"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2972BBEA" w14:textId="77777777" w:rsidR="003D7A11" w:rsidRPr="009016C5" w:rsidRDefault="003D7A11" w:rsidP="003D7A11">
            <w:pPr>
              <w:rPr>
                <w:sz w:val="13"/>
                <w:szCs w:val="13"/>
                <w:lang w:val="en-US"/>
              </w:rPr>
            </w:pPr>
            <w:r w:rsidRPr="009016C5">
              <w:rPr>
                <w:sz w:val="13"/>
                <w:szCs w:val="13"/>
                <w:lang w:val="en-US"/>
              </w:rPr>
              <w:t> </w:t>
            </w:r>
          </w:p>
        </w:tc>
        <w:tc>
          <w:tcPr>
            <w:tcW w:w="708" w:type="dxa"/>
            <w:tcBorders>
              <w:left w:val="single" w:sz="4" w:space="0" w:color="auto"/>
              <w:right w:val="single" w:sz="4" w:space="0" w:color="auto"/>
            </w:tcBorders>
            <w:shd w:val="clear" w:color="auto" w:fill="auto"/>
            <w:noWrap/>
            <w:vAlign w:val="bottom"/>
            <w:hideMark/>
          </w:tcPr>
          <w:p w14:paraId="319FC192" w14:textId="77777777" w:rsidR="003D7A11" w:rsidRPr="009016C5" w:rsidRDefault="003D7A11" w:rsidP="003D7A11">
            <w:pP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58D1D567" w14:textId="0FB70B1E"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04F4C8AF" w14:textId="77777777" w:rsidR="003D7A11" w:rsidRPr="009016C5" w:rsidRDefault="003D7A11" w:rsidP="00717AB5">
            <w:pPr>
              <w:jc w:val="right"/>
              <w:rPr>
                <w:b/>
                <w:sz w:val="14"/>
              </w:rPr>
            </w:pPr>
          </w:p>
        </w:tc>
      </w:tr>
      <w:tr w:rsidR="003D7A11" w:rsidRPr="009016C5" w14:paraId="0068C1AE"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108AE44E" w14:textId="77777777" w:rsidR="003D7A11" w:rsidRPr="009016C5" w:rsidRDefault="003D7A11" w:rsidP="003D7A11">
            <w:pPr>
              <w:rPr>
                <w:sz w:val="13"/>
                <w:szCs w:val="13"/>
                <w:lang w:val="en-US"/>
              </w:rPr>
            </w:pPr>
            <w:r w:rsidRPr="009016C5">
              <w:rPr>
                <w:sz w:val="13"/>
                <w:szCs w:val="13"/>
                <w:lang w:val="en-US"/>
              </w:rPr>
              <w:t>2.1</w:t>
            </w:r>
          </w:p>
        </w:tc>
        <w:tc>
          <w:tcPr>
            <w:tcW w:w="5442" w:type="dxa"/>
            <w:tcBorders>
              <w:left w:val="single" w:sz="4" w:space="0" w:color="auto"/>
              <w:right w:val="single" w:sz="4" w:space="0" w:color="auto"/>
            </w:tcBorders>
            <w:shd w:val="clear" w:color="auto" w:fill="auto"/>
            <w:noWrap/>
            <w:vAlign w:val="bottom"/>
            <w:hideMark/>
          </w:tcPr>
          <w:p w14:paraId="3B655137" w14:textId="77777777" w:rsidR="003D7A11" w:rsidRPr="009016C5" w:rsidRDefault="003D7A11" w:rsidP="003D7A11">
            <w:pPr>
              <w:rPr>
                <w:sz w:val="13"/>
                <w:szCs w:val="13"/>
                <w:lang w:val="en-US"/>
              </w:rPr>
            </w:pPr>
            <w:proofErr w:type="spellStart"/>
            <w:r w:rsidRPr="009016C5">
              <w:rPr>
                <w:sz w:val="13"/>
                <w:szCs w:val="13"/>
                <w:lang w:val="en-US"/>
              </w:rPr>
              <w:t>İktisap</w:t>
            </w:r>
            <w:proofErr w:type="spellEnd"/>
            <w:r w:rsidRPr="009016C5">
              <w:rPr>
                <w:sz w:val="13"/>
                <w:szCs w:val="13"/>
                <w:lang w:val="en-US"/>
              </w:rPr>
              <w:t xml:space="preserve"> </w:t>
            </w:r>
            <w:proofErr w:type="spellStart"/>
            <w:r w:rsidRPr="009016C5">
              <w:rPr>
                <w:sz w:val="13"/>
                <w:szCs w:val="13"/>
                <w:lang w:val="en-US"/>
              </w:rPr>
              <w:t>Edilen</w:t>
            </w:r>
            <w:proofErr w:type="spellEnd"/>
            <w:r w:rsidRPr="009016C5">
              <w:rPr>
                <w:sz w:val="13"/>
                <w:szCs w:val="13"/>
                <w:lang w:val="en-US"/>
              </w:rPr>
              <w:t xml:space="preserve"> İştirakler, </w:t>
            </w:r>
            <w:proofErr w:type="spellStart"/>
            <w:r w:rsidRPr="009016C5">
              <w:rPr>
                <w:sz w:val="13"/>
                <w:szCs w:val="13"/>
                <w:lang w:val="en-US"/>
              </w:rPr>
              <w:t>Bağlı</w:t>
            </w:r>
            <w:proofErr w:type="spellEnd"/>
            <w:r w:rsidRPr="009016C5">
              <w:rPr>
                <w:sz w:val="13"/>
                <w:szCs w:val="13"/>
                <w:lang w:val="en-US"/>
              </w:rPr>
              <w:t xml:space="preserve"> </w:t>
            </w:r>
            <w:proofErr w:type="spellStart"/>
            <w:r w:rsidRPr="009016C5">
              <w:rPr>
                <w:sz w:val="13"/>
                <w:szCs w:val="13"/>
                <w:lang w:val="en-US"/>
              </w:rPr>
              <w:t>Ortaklıklar</w:t>
            </w:r>
            <w:proofErr w:type="spellEnd"/>
            <w:r w:rsidRPr="009016C5">
              <w:rPr>
                <w:sz w:val="13"/>
                <w:szCs w:val="13"/>
                <w:lang w:val="en-US"/>
              </w:rPr>
              <w:t xml:space="preserve"> ve </w:t>
            </w:r>
            <w:proofErr w:type="spellStart"/>
            <w:r w:rsidRPr="009016C5">
              <w:rPr>
                <w:sz w:val="13"/>
                <w:szCs w:val="13"/>
                <w:lang w:val="en-US"/>
              </w:rPr>
              <w:t>Birlikte</w:t>
            </w:r>
            <w:proofErr w:type="spellEnd"/>
            <w:r w:rsidRPr="009016C5">
              <w:rPr>
                <w:sz w:val="13"/>
                <w:szCs w:val="13"/>
                <w:lang w:val="en-US"/>
              </w:rPr>
              <w:t xml:space="preserve"> Kontrol </w:t>
            </w:r>
            <w:proofErr w:type="spellStart"/>
            <w:r w:rsidRPr="009016C5">
              <w:rPr>
                <w:sz w:val="13"/>
                <w:szCs w:val="13"/>
                <w:lang w:val="en-US"/>
              </w:rPr>
              <w:t>Edilen</w:t>
            </w:r>
            <w:proofErr w:type="spellEnd"/>
            <w:r w:rsidRPr="009016C5">
              <w:rPr>
                <w:sz w:val="13"/>
                <w:szCs w:val="13"/>
                <w:lang w:val="en-US"/>
              </w:rPr>
              <w:t xml:space="preserve"> </w:t>
            </w:r>
            <w:proofErr w:type="spellStart"/>
            <w:r w:rsidRPr="009016C5">
              <w:rPr>
                <w:sz w:val="13"/>
                <w:szCs w:val="13"/>
                <w:lang w:val="en-US"/>
              </w:rPr>
              <w:t>Ortaklıklar</w:t>
            </w:r>
            <w:proofErr w:type="spellEnd"/>
            <w:r w:rsidRPr="009016C5">
              <w:rPr>
                <w:sz w:val="13"/>
                <w:szCs w:val="13"/>
                <w:lang w:val="en-US"/>
              </w:rPr>
              <w:t xml:space="preserve"> (İş </w:t>
            </w:r>
            <w:proofErr w:type="spellStart"/>
            <w:r w:rsidRPr="009016C5">
              <w:rPr>
                <w:sz w:val="13"/>
                <w:szCs w:val="13"/>
                <w:lang w:val="en-US"/>
              </w:rPr>
              <w:t>Ortaklıkları</w:t>
            </w:r>
            <w:proofErr w:type="spellEnd"/>
            <w:r w:rsidRPr="009016C5">
              <w:rPr>
                <w:sz w:val="13"/>
                <w:szCs w:val="13"/>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38E96C65"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6DF0281E" w14:textId="2FB09E1D" w:rsidR="003D7A11" w:rsidRPr="00271DD2" w:rsidRDefault="003D7A11" w:rsidP="00717AB5">
            <w:pPr>
              <w:jc w:val="right"/>
              <w:rPr>
                <w:bCs/>
                <w:sz w:val="14"/>
              </w:rPr>
            </w:pPr>
            <w:r w:rsidRPr="00271DD2">
              <w:rPr>
                <w:bCs/>
                <w:sz w:val="14"/>
              </w:rPr>
              <w:t>(745,860)</w:t>
            </w:r>
          </w:p>
        </w:tc>
        <w:tc>
          <w:tcPr>
            <w:tcW w:w="1336" w:type="dxa"/>
            <w:tcBorders>
              <w:left w:val="single" w:sz="4" w:space="0" w:color="auto"/>
              <w:right w:val="single" w:sz="4" w:space="0" w:color="auto"/>
            </w:tcBorders>
            <w:shd w:val="clear" w:color="auto" w:fill="auto"/>
            <w:noWrap/>
            <w:vAlign w:val="bottom"/>
          </w:tcPr>
          <w:p w14:paraId="31400767" w14:textId="33890A09" w:rsidR="003D7A11" w:rsidRPr="00271DD2" w:rsidRDefault="003D7A11" w:rsidP="00717AB5">
            <w:pPr>
              <w:jc w:val="right"/>
              <w:rPr>
                <w:bCs/>
                <w:sz w:val="14"/>
              </w:rPr>
            </w:pPr>
            <w:r w:rsidRPr="00271DD2">
              <w:rPr>
                <w:bCs/>
                <w:sz w:val="14"/>
              </w:rPr>
              <w:t>(16,901)</w:t>
            </w:r>
          </w:p>
        </w:tc>
      </w:tr>
      <w:tr w:rsidR="003D7A11" w:rsidRPr="009016C5" w14:paraId="7DF16350"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4DDAD9B8" w14:textId="77777777" w:rsidR="003D7A11" w:rsidRPr="009016C5" w:rsidRDefault="003D7A11" w:rsidP="003D7A11">
            <w:pPr>
              <w:rPr>
                <w:sz w:val="13"/>
                <w:szCs w:val="13"/>
                <w:lang w:val="en-US"/>
              </w:rPr>
            </w:pPr>
            <w:r w:rsidRPr="009016C5">
              <w:rPr>
                <w:sz w:val="13"/>
                <w:szCs w:val="13"/>
                <w:lang w:val="en-US"/>
              </w:rPr>
              <w:t>2.2</w:t>
            </w:r>
          </w:p>
        </w:tc>
        <w:tc>
          <w:tcPr>
            <w:tcW w:w="5442" w:type="dxa"/>
            <w:tcBorders>
              <w:left w:val="single" w:sz="4" w:space="0" w:color="auto"/>
              <w:right w:val="single" w:sz="4" w:space="0" w:color="auto"/>
            </w:tcBorders>
            <w:shd w:val="clear" w:color="auto" w:fill="auto"/>
            <w:noWrap/>
            <w:vAlign w:val="bottom"/>
            <w:hideMark/>
          </w:tcPr>
          <w:p w14:paraId="5FDF59CF" w14:textId="77777777" w:rsidR="003D7A11" w:rsidRPr="009016C5" w:rsidRDefault="003D7A11" w:rsidP="003D7A11">
            <w:pPr>
              <w:rPr>
                <w:sz w:val="13"/>
                <w:szCs w:val="13"/>
                <w:lang w:val="en-US"/>
              </w:rPr>
            </w:pPr>
            <w:r w:rsidRPr="009016C5">
              <w:rPr>
                <w:sz w:val="13"/>
                <w:szCs w:val="13"/>
                <w:lang w:val="en-US"/>
              </w:rPr>
              <w:t xml:space="preserve">Elden </w:t>
            </w:r>
            <w:proofErr w:type="spellStart"/>
            <w:r w:rsidRPr="009016C5">
              <w:rPr>
                <w:sz w:val="13"/>
                <w:szCs w:val="13"/>
                <w:lang w:val="en-US"/>
              </w:rPr>
              <w:t>Çıkarılan</w:t>
            </w:r>
            <w:proofErr w:type="spellEnd"/>
            <w:r w:rsidRPr="009016C5">
              <w:rPr>
                <w:sz w:val="13"/>
                <w:szCs w:val="13"/>
                <w:lang w:val="en-US"/>
              </w:rPr>
              <w:t xml:space="preserve"> İştirakler, </w:t>
            </w:r>
            <w:proofErr w:type="spellStart"/>
            <w:r w:rsidRPr="009016C5">
              <w:rPr>
                <w:sz w:val="13"/>
                <w:szCs w:val="13"/>
                <w:lang w:val="en-US"/>
              </w:rPr>
              <w:t>Bağlı</w:t>
            </w:r>
            <w:proofErr w:type="spellEnd"/>
            <w:r w:rsidRPr="009016C5">
              <w:rPr>
                <w:sz w:val="13"/>
                <w:szCs w:val="13"/>
                <w:lang w:val="en-US"/>
              </w:rPr>
              <w:t xml:space="preserve"> </w:t>
            </w:r>
            <w:proofErr w:type="spellStart"/>
            <w:r w:rsidRPr="009016C5">
              <w:rPr>
                <w:sz w:val="13"/>
                <w:szCs w:val="13"/>
                <w:lang w:val="en-US"/>
              </w:rPr>
              <w:t>Ortaklıklar</w:t>
            </w:r>
            <w:proofErr w:type="spellEnd"/>
            <w:r w:rsidRPr="009016C5">
              <w:rPr>
                <w:sz w:val="13"/>
                <w:szCs w:val="13"/>
                <w:lang w:val="en-US"/>
              </w:rPr>
              <w:t xml:space="preserve"> ve </w:t>
            </w:r>
            <w:proofErr w:type="spellStart"/>
            <w:r w:rsidRPr="009016C5">
              <w:rPr>
                <w:sz w:val="13"/>
                <w:szCs w:val="13"/>
                <w:lang w:val="en-US"/>
              </w:rPr>
              <w:t>Birlikte</w:t>
            </w:r>
            <w:proofErr w:type="spellEnd"/>
            <w:r w:rsidRPr="009016C5">
              <w:rPr>
                <w:sz w:val="13"/>
                <w:szCs w:val="13"/>
                <w:lang w:val="en-US"/>
              </w:rPr>
              <w:t xml:space="preserve"> Kontrol </w:t>
            </w:r>
            <w:proofErr w:type="spellStart"/>
            <w:r w:rsidRPr="009016C5">
              <w:rPr>
                <w:sz w:val="13"/>
                <w:szCs w:val="13"/>
                <w:lang w:val="en-US"/>
              </w:rPr>
              <w:t>Edilen</w:t>
            </w:r>
            <w:proofErr w:type="spellEnd"/>
            <w:r w:rsidRPr="009016C5">
              <w:rPr>
                <w:sz w:val="13"/>
                <w:szCs w:val="13"/>
                <w:lang w:val="en-US"/>
              </w:rPr>
              <w:t xml:space="preserve"> </w:t>
            </w:r>
            <w:proofErr w:type="spellStart"/>
            <w:r w:rsidRPr="009016C5">
              <w:rPr>
                <w:sz w:val="13"/>
                <w:szCs w:val="13"/>
                <w:lang w:val="en-US"/>
              </w:rPr>
              <w:t>Ortaklıklar</w:t>
            </w:r>
            <w:proofErr w:type="spellEnd"/>
            <w:r w:rsidRPr="009016C5">
              <w:rPr>
                <w:sz w:val="13"/>
                <w:szCs w:val="13"/>
                <w:lang w:val="en-US"/>
              </w:rPr>
              <w:t xml:space="preserve"> (İş </w:t>
            </w:r>
            <w:proofErr w:type="spellStart"/>
            <w:r w:rsidRPr="009016C5">
              <w:rPr>
                <w:sz w:val="13"/>
                <w:szCs w:val="13"/>
                <w:lang w:val="en-US"/>
              </w:rPr>
              <w:t>Ortaklıkları</w:t>
            </w:r>
            <w:proofErr w:type="spellEnd"/>
            <w:r w:rsidRPr="009016C5">
              <w:rPr>
                <w:sz w:val="13"/>
                <w:szCs w:val="13"/>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16854CFE"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12E76A3E" w14:textId="20C9C73F" w:rsidR="003D7A11" w:rsidRPr="00271DD2" w:rsidRDefault="003D7A11" w:rsidP="00717AB5">
            <w:pPr>
              <w:jc w:val="right"/>
              <w:rPr>
                <w:bCs/>
                <w:sz w:val="14"/>
              </w:rPr>
            </w:pPr>
            <w:r w:rsidRPr="00271DD2">
              <w:rPr>
                <w:bCs/>
                <w:sz w:val="14"/>
              </w:rPr>
              <w:t>-</w:t>
            </w:r>
          </w:p>
        </w:tc>
        <w:tc>
          <w:tcPr>
            <w:tcW w:w="1336" w:type="dxa"/>
            <w:tcBorders>
              <w:left w:val="single" w:sz="4" w:space="0" w:color="auto"/>
              <w:right w:val="single" w:sz="4" w:space="0" w:color="auto"/>
            </w:tcBorders>
            <w:shd w:val="clear" w:color="auto" w:fill="auto"/>
            <w:noWrap/>
            <w:vAlign w:val="bottom"/>
          </w:tcPr>
          <w:p w14:paraId="52E38851" w14:textId="77ED84F0" w:rsidR="003D7A11" w:rsidRPr="00271DD2" w:rsidRDefault="003D7A11" w:rsidP="00717AB5">
            <w:pPr>
              <w:jc w:val="right"/>
              <w:rPr>
                <w:bCs/>
                <w:sz w:val="14"/>
              </w:rPr>
            </w:pPr>
            <w:r w:rsidRPr="00271DD2">
              <w:rPr>
                <w:bCs/>
                <w:sz w:val="14"/>
              </w:rPr>
              <w:t>-</w:t>
            </w:r>
          </w:p>
        </w:tc>
      </w:tr>
      <w:tr w:rsidR="003D7A11" w:rsidRPr="009016C5" w14:paraId="66E5A7DE"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307BF6BD" w14:textId="77777777" w:rsidR="003D7A11" w:rsidRPr="009016C5" w:rsidRDefault="003D7A11" w:rsidP="003D7A11">
            <w:pPr>
              <w:rPr>
                <w:sz w:val="13"/>
                <w:szCs w:val="13"/>
                <w:lang w:val="en-US"/>
              </w:rPr>
            </w:pPr>
            <w:r w:rsidRPr="009016C5">
              <w:rPr>
                <w:sz w:val="13"/>
                <w:szCs w:val="13"/>
                <w:lang w:val="en-US"/>
              </w:rPr>
              <w:t>2.3</w:t>
            </w:r>
          </w:p>
        </w:tc>
        <w:tc>
          <w:tcPr>
            <w:tcW w:w="5442" w:type="dxa"/>
            <w:tcBorders>
              <w:left w:val="single" w:sz="4" w:space="0" w:color="auto"/>
              <w:right w:val="single" w:sz="4" w:space="0" w:color="auto"/>
            </w:tcBorders>
            <w:shd w:val="clear" w:color="auto" w:fill="auto"/>
            <w:noWrap/>
            <w:vAlign w:val="bottom"/>
            <w:hideMark/>
          </w:tcPr>
          <w:p w14:paraId="1EB5821C" w14:textId="77777777" w:rsidR="003D7A11" w:rsidRPr="009016C5" w:rsidRDefault="003D7A11" w:rsidP="003D7A11">
            <w:pPr>
              <w:rPr>
                <w:sz w:val="13"/>
                <w:szCs w:val="13"/>
                <w:lang w:val="en-US"/>
              </w:rPr>
            </w:pPr>
            <w:proofErr w:type="spellStart"/>
            <w:r w:rsidRPr="009016C5">
              <w:rPr>
                <w:sz w:val="13"/>
                <w:szCs w:val="13"/>
                <w:lang w:val="en-US"/>
              </w:rPr>
              <w:t>Satın</w:t>
            </w:r>
            <w:proofErr w:type="spellEnd"/>
            <w:r w:rsidRPr="009016C5">
              <w:rPr>
                <w:sz w:val="13"/>
                <w:szCs w:val="13"/>
                <w:lang w:val="en-US"/>
              </w:rPr>
              <w:t xml:space="preserve"> </w:t>
            </w:r>
            <w:proofErr w:type="spellStart"/>
            <w:r w:rsidRPr="009016C5">
              <w:rPr>
                <w:sz w:val="13"/>
                <w:szCs w:val="13"/>
                <w:lang w:val="en-US"/>
              </w:rPr>
              <w:t>Alınan</w:t>
            </w:r>
            <w:proofErr w:type="spellEnd"/>
            <w:r w:rsidRPr="009016C5">
              <w:rPr>
                <w:sz w:val="13"/>
                <w:szCs w:val="13"/>
                <w:lang w:val="en-US"/>
              </w:rPr>
              <w:t xml:space="preserve"> </w:t>
            </w:r>
            <w:proofErr w:type="spellStart"/>
            <w:r w:rsidRPr="009016C5">
              <w:rPr>
                <w:sz w:val="13"/>
                <w:szCs w:val="13"/>
                <w:lang w:val="en-US"/>
              </w:rPr>
              <w:t>Menkul</w:t>
            </w:r>
            <w:proofErr w:type="spellEnd"/>
            <w:r w:rsidRPr="009016C5">
              <w:rPr>
                <w:sz w:val="13"/>
                <w:szCs w:val="13"/>
                <w:lang w:val="en-US"/>
              </w:rPr>
              <w:t xml:space="preserve"> ve </w:t>
            </w:r>
            <w:proofErr w:type="spellStart"/>
            <w:r w:rsidRPr="009016C5">
              <w:rPr>
                <w:sz w:val="13"/>
                <w:szCs w:val="13"/>
                <w:lang w:val="en-US"/>
              </w:rPr>
              <w:t>Gayrimenkuller</w:t>
            </w:r>
            <w:proofErr w:type="spellEnd"/>
            <w:r w:rsidRPr="009016C5">
              <w:rPr>
                <w:sz w:val="13"/>
                <w:szCs w:val="13"/>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344D30A8"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1050779F" w14:textId="4112C68E" w:rsidR="003D7A11" w:rsidRPr="00271DD2" w:rsidRDefault="003D7A11" w:rsidP="00717AB5">
            <w:pPr>
              <w:jc w:val="right"/>
              <w:rPr>
                <w:bCs/>
                <w:sz w:val="14"/>
              </w:rPr>
            </w:pPr>
            <w:r w:rsidRPr="00271DD2">
              <w:rPr>
                <w:bCs/>
                <w:sz w:val="14"/>
              </w:rPr>
              <w:t>(40,298)</w:t>
            </w:r>
          </w:p>
        </w:tc>
        <w:tc>
          <w:tcPr>
            <w:tcW w:w="1336" w:type="dxa"/>
            <w:tcBorders>
              <w:left w:val="single" w:sz="4" w:space="0" w:color="auto"/>
              <w:right w:val="single" w:sz="4" w:space="0" w:color="auto"/>
            </w:tcBorders>
            <w:shd w:val="clear" w:color="auto" w:fill="auto"/>
            <w:noWrap/>
            <w:vAlign w:val="bottom"/>
          </w:tcPr>
          <w:p w14:paraId="7A09D963" w14:textId="08580AA2" w:rsidR="003D7A11" w:rsidRPr="00271DD2" w:rsidRDefault="003D7A11" w:rsidP="00717AB5">
            <w:pPr>
              <w:jc w:val="right"/>
              <w:rPr>
                <w:bCs/>
                <w:sz w:val="14"/>
              </w:rPr>
            </w:pPr>
            <w:r w:rsidRPr="00271DD2">
              <w:rPr>
                <w:bCs/>
                <w:sz w:val="14"/>
              </w:rPr>
              <w:t>(21,908)</w:t>
            </w:r>
          </w:p>
        </w:tc>
      </w:tr>
      <w:tr w:rsidR="003D7A11" w:rsidRPr="009016C5" w14:paraId="257FEBA2"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1365E810" w14:textId="77777777" w:rsidR="003D7A11" w:rsidRPr="009016C5" w:rsidRDefault="003D7A11" w:rsidP="003D7A11">
            <w:pPr>
              <w:rPr>
                <w:sz w:val="13"/>
                <w:szCs w:val="13"/>
                <w:lang w:val="en-US"/>
              </w:rPr>
            </w:pPr>
            <w:r w:rsidRPr="009016C5">
              <w:rPr>
                <w:sz w:val="13"/>
                <w:szCs w:val="13"/>
                <w:lang w:val="en-US"/>
              </w:rPr>
              <w:t>2.4</w:t>
            </w:r>
          </w:p>
        </w:tc>
        <w:tc>
          <w:tcPr>
            <w:tcW w:w="5442" w:type="dxa"/>
            <w:tcBorders>
              <w:left w:val="single" w:sz="4" w:space="0" w:color="auto"/>
              <w:right w:val="single" w:sz="4" w:space="0" w:color="auto"/>
            </w:tcBorders>
            <w:shd w:val="clear" w:color="auto" w:fill="auto"/>
            <w:noWrap/>
            <w:vAlign w:val="bottom"/>
            <w:hideMark/>
          </w:tcPr>
          <w:p w14:paraId="47845D51" w14:textId="77777777" w:rsidR="003D7A11" w:rsidRPr="009016C5" w:rsidRDefault="003D7A11" w:rsidP="003D7A11">
            <w:pPr>
              <w:rPr>
                <w:sz w:val="13"/>
                <w:szCs w:val="13"/>
                <w:lang w:val="en-US"/>
              </w:rPr>
            </w:pPr>
            <w:r w:rsidRPr="009016C5">
              <w:rPr>
                <w:sz w:val="13"/>
                <w:szCs w:val="13"/>
                <w:lang w:val="en-US"/>
              </w:rPr>
              <w:t xml:space="preserve">Elden </w:t>
            </w:r>
            <w:proofErr w:type="spellStart"/>
            <w:r w:rsidRPr="009016C5">
              <w:rPr>
                <w:sz w:val="13"/>
                <w:szCs w:val="13"/>
                <w:lang w:val="en-US"/>
              </w:rPr>
              <w:t>Çıkarılan</w:t>
            </w:r>
            <w:proofErr w:type="spellEnd"/>
            <w:r w:rsidRPr="009016C5">
              <w:rPr>
                <w:sz w:val="13"/>
                <w:szCs w:val="13"/>
                <w:lang w:val="en-US"/>
              </w:rPr>
              <w:t xml:space="preserve"> </w:t>
            </w:r>
            <w:proofErr w:type="spellStart"/>
            <w:r w:rsidRPr="009016C5">
              <w:rPr>
                <w:sz w:val="13"/>
                <w:szCs w:val="13"/>
                <w:lang w:val="en-US"/>
              </w:rPr>
              <w:t>Menkul</w:t>
            </w:r>
            <w:proofErr w:type="spellEnd"/>
            <w:r w:rsidRPr="009016C5">
              <w:rPr>
                <w:sz w:val="13"/>
                <w:szCs w:val="13"/>
                <w:lang w:val="en-US"/>
              </w:rPr>
              <w:t xml:space="preserve"> ve </w:t>
            </w:r>
            <w:proofErr w:type="spellStart"/>
            <w:r w:rsidRPr="009016C5">
              <w:rPr>
                <w:sz w:val="13"/>
                <w:szCs w:val="13"/>
                <w:lang w:val="en-US"/>
              </w:rPr>
              <w:t>Gayrimenkuller</w:t>
            </w:r>
            <w:proofErr w:type="spellEnd"/>
          </w:p>
        </w:tc>
        <w:tc>
          <w:tcPr>
            <w:tcW w:w="708" w:type="dxa"/>
            <w:tcBorders>
              <w:left w:val="single" w:sz="4" w:space="0" w:color="auto"/>
              <w:right w:val="single" w:sz="4" w:space="0" w:color="auto"/>
            </w:tcBorders>
            <w:shd w:val="clear" w:color="auto" w:fill="auto"/>
            <w:noWrap/>
            <w:vAlign w:val="bottom"/>
            <w:hideMark/>
          </w:tcPr>
          <w:p w14:paraId="3BFCCC69"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6C3AA5C5" w14:textId="7814A973" w:rsidR="003D7A11" w:rsidRPr="00271DD2" w:rsidRDefault="003D7A11" w:rsidP="00717AB5">
            <w:pPr>
              <w:jc w:val="right"/>
              <w:rPr>
                <w:bCs/>
                <w:sz w:val="14"/>
              </w:rPr>
            </w:pPr>
            <w:r w:rsidRPr="00271DD2">
              <w:rPr>
                <w:bCs/>
                <w:sz w:val="14"/>
              </w:rPr>
              <w:t>317</w:t>
            </w:r>
          </w:p>
        </w:tc>
        <w:tc>
          <w:tcPr>
            <w:tcW w:w="1336" w:type="dxa"/>
            <w:tcBorders>
              <w:left w:val="single" w:sz="4" w:space="0" w:color="auto"/>
              <w:right w:val="single" w:sz="4" w:space="0" w:color="auto"/>
            </w:tcBorders>
            <w:shd w:val="clear" w:color="auto" w:fill="auto"/>
            <w:noWrap/>
            <w:vAlign w:val="bottom"/>
          </w:tcPr>
          <w:p w14:paraId="20F6574D" w14:textId="1257EA13" w:rsidR="003D7A11" w:rsidRPr="00271DD2" w:rsidRDefault="003D7A11" w:rsidP="00717AB5">
            <w:pPr>
              <w:jc w:val="right"/>
              <w:rPr>
                <w:bCs/>
                <w:sz w:val="14"/>
              </w:rPr>
            </w:pPr>
            <w:r w:rsidRPr="00271DD2">
              <w:rPr>
                <w:bCs/>
                <w:sz w:val="14"/>
              </w:rPr>
              <w:t>19,976</w:t>
            </w:r>
          </w:p>
        </w:tc>
      </w:tr>
      <w:tr w:rsidR="003D7A11" w:rsidRPr="009016C5" w14:paraId="61ABC304"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377F6458" w14:textId="77777777" w:rsidR="003D7A11" w:rsidRPr="009016C5" w:rsidRDefault="003D7A11" w:rsidP="003D7A11">
            <w:pPr>
              <w:rPr>
                <w:sz w:val="13"/>
                <w:szCs w:val="13"/>
                <w:lang w:val="en-US"/>
              </w:rPr>
            </w:pPr>
            <w:r w:rsidRPr="009016C5">
              <w:rPr>
                <w:sz w:val="13"/>
                <w:szCs w:val="13"/>
                <w:lang w:val="en-US"/>
              </w:rPr>
              <w:t>2.5</w:t>
            </w:r>
          </w:p>
        </w:tc>
        <w:tc>
          <w:tcPr>
            <w:tcW w:w="5442" w:type="dxa"/>
            <w:tcBorders>
              <w:left w:val="single" w:sz="4" w:space="0" w:color="auto"/>
              <w:right w:val="single" w:sz="4" w:space="0" w:color="auto"/>
            </w:tcBorders>
            <w:shd w:val="clear" w:color="auto" w:fill="auto"/>
            <w:noWrap/>
            <w:vAlign w:val="bottom"/>
            <w:hideMark/>
          </w:tcPr>
          <w:p w14:paraId="2D394A2E" w14:textId="77777777" w:rsidR="003D7A11" w:rsidRPr="009016C5" w:rsidRDefault="003D7A11" w:rsidP="003D7A11">
            <w:pPr>
              <w:rPr>
                <w:sz w:val="13"/>
                <w:szCs w:val="13"/>
                <w:lang w:val="en-US"/>
              </w:rPr>
            </w:pPr>
            <w:proofErr w:type="spellStart"/>
            <w:r w:rsidRPr="009016C5">
              <w:rPr>
                <w:sz w:val="13"/>
                <w:szCs w:val="13"/>
                <w:lang w:val="en-US"/>
              </w:rPr>
              <w:t>Elde</w:t>
            </w:r>
            <w:proofErr w:type="spellEnd"/>
            <w:r w:rsidRPr="009016C5">
              <w:rPr>
                <w:sz w:val="13"/>
                <w:szCs w:val="13"/>
                <w:lang w:val="en-US"/>
              </w:rPr>
              <w:t xml:space="preserve"> </w:t>
            </w:r>
            <w:proofErr w:type="spellStart"/>
            <w:r w:rsidRPr="009016C5">
              <w:rPr>
                <w:sz w:val="13"/>
                <w:szCs w:val="13"/>
                <w:lang w:val="en-US"/>
              </w:rPr>
              <w:t>Edilen</w:t>
            </w:r>
            <w:proofErr w:type="spellEnd"/>
            <w:r w:rsidRPr="009016C5">
              <w:rPr>
                <w:sz w:val="13"/>
                <w:szCs w:val="13"/>
                <w:lang w:val="en-US"/>
              </w:rPr>
              <w:t xml:space="preserve"> </w:t>
            </w:r>
            <w:proofErr w:type="spellStart"/>
            <w:r w:rsidRPr="009016C5">
              <w:rPr>
                <w:sz w:val="13"/>
                <w:szCs w:val="13"/>
                <w:lang w:val="en-US"/>
              </w:rPr>
              <w:t>Gerçeğe</w:t>
            </w:r>
            <w:proofErr w:type="spellEnd"/>
            <w:r w:rsidRPr="009016C5">
              <w:rPr>
                <w:sz w:val="13"/>
                <w:szCs w:val="13"/>
                <w:lang w:val="en-US"/>
              </w:rPr>
              <w:t xml:space="preserve"> Uygun </w:t>
            </w:r>
            <w:proofErr w:type="spellStart"/>
            <w:r w:rsidRPr="009016C5">
              <w:rPr>
                <w:sz w:val="13"/>
                <w:szCs w:val="13"/>
                <w:lang w:val="en-US"/>
              </w:rPr>
              <w:t>Değer</w:t>
            </w:r>
            <w:proofErr w:type="spellEnd"/>
            <w:r w:rsidRPr="009016C5">
              <w:rPr>
                <w:sz w:val="13"/>
                <w:szCs w:val="13"/>
                <w:lang w:val="en-US"/>
              </w:rPr>
              <w:t xml:space="preserve"> </w:t>
            </w:r>
            <w:proofErr w:type="spellStart"/>
            <w:r w:rsidRPr="009016C5">
              <w:rPr>
                <w:sz w:val="13"/>
                <w:szCs w:val="13"/>
                <w:lang w:val="en-US"/>
              </w:rPr>
              <w:t>Farkı</w:t>
            </w:r>
            <w:proofErr w:type="spellEnd"/>
            <w:r w:rsidRPr="009016C5">
              <w:rPr>
                <w:sz w:val="13"/>
                <w:szCs w:val="13"/>
                <w:lang w:val="en-US"/>
              </w:rPr>
              <w:t xml:space="preserve"> </w:t>
            </w:r>
            <w:proofErr w:type="spellStart"/>
            <w:r w:rsidRPr="009016C5">
              <w:rPr>
                <w:sz w:val="13"/>
                <w:szCs w:val="13"/>
                <w:lang w:val="en-US"/>
              </w:rPr>
              <w:t>Diğer</w:t>
            </w:r>
            <w:proofErr w:type="spellEnd"/>
            <w:r w:rsidRPr="009016C5">
              <w:rPr>
                <w:sz w:val="13"/>
                <w:szCs w:val="13"/>
                <w:lang w:val="en-US"/>
              </w:rPr>
              <w:t xml:space="preserve"> </w:t>
            </w:r>
            <w:proofErr w:type="spellStart"/>
            <w:r w:rsidRPr="009016C5">
              <w:rPr>
                <w:sz w:val="13"/>
                <w:szCs w:val="13"/>
                <w:lang w:val="en-US"/>
              </w:rPr>
              <w:t>Kapsamlı</w:t>
            </w:r>
            <w:proofErr w:type="spellEnd"/>
            <w:r w:rsidRPr="009016C5">
              <w:rPr>
                <w:sz w:val="13"/>
                <w:szCs w:val="13"/>
                <w:lang w:val="en-US"/>
              </w:rPr>
              <w:t xml:space="preserve"> </w:t>
            </w:r>
            <w:proofErr w:type="spellStart"/>
            <w:r w:rsidRPr="009016C5">
              <w:rPr>
                <w:sz w:val="13"/>
                <w:szCs w:val="13"/>
                <w:lang w:val="en-US"/>
              </w:rPr>
              <w:t>Gelire</w:t>
            </w:r>
            <w:proofErr w:type="spellEnd"/>
            <w:r w:rsidRPr="009016C5">
              <w:rPr>
                <w:sz w:val="13"/>
                <w:szCs w:val="13"/>
                <w:lang w:val="en-US"/>
              </w:rPr>
              <w:t xml:space="preserve"> </w:t>
            </w:r>
            <w:proofErr w:type="spellStart"/>
            <w:r w:rsidRPr="009016C5">
              <w:rPr>
                <w:sz w:val="13"/>
                <w:szCs w:val="13"/>
                <w:lang w:val="en-US"/>
              </w:rPr>
              <w:t>Yansıtılan</w:t>
            </w:r>
            <w:proofErr w:type="spellEnd"/>
            <w:r w:rsidRPr="009016C5">
              <w:rPr>
                <w:sz w:val="13"/>
                <w:szCs w:val="13"/>
                <w:lang w:val="en-US"/>
              </w:rPr>
              <w:t xml:space="preserve"> Finansal </w:t>
            </w:r>
            <w:proofErr w:type="spellStart"/>
            <w:r w:rsidRPr="009016C5">
              <w:rPr>
                <w:sz w:val="13"/>
                <w:szCs w:val="13"/>
                <w:lang w:val="en-US"/>
              </w:rPr>
              <w:t>Varlıklar</w:t>
            </w:r>
            <w:proofErr w:type="spellEnd"/>
          </w:p>
        </w:tc>
        <w:tc>
          <w:tcPr>
            <w:tcW w:w="708" w:type="dxa"/>
            <w:tcBorders>
              <w:left w:val="single" w:sz="4" w:space="0" w:color="auto"/>
              <w:right w:val="single" w:sz="4" w:space="0" w:color="auto"/>
            </w:tcBorders>
            <w:shd w:val="clear" w:color="auto" w:fill="auto"/>
            <w:noWrap/>
            <w:vAlign w:val="bottom"/>
            <w:hideMark/>
          </w:tcPr>
          <w:p w14:paraId="09DF81C2"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5E81A80C" w14:textId="23661002" w:rsidR="003D7A11" w:rsidRPr="00271DD2" w:rsidRDefault="003D7A11" w:rsidP="00717AB5">
            <w:pPr>
              <w:jc w:val="right"/>
              <w:rPr>
                <w:bCs/>
                <w:sz w:val="14"/>
              </w:rPr>
            </w:pPr>
            <w:r w:rsidRPr="00271DD2">
              <w:rPr>
                <w:bCs/>
                <w:sz w:val="14"/>
              </w:rPr>
              <w:t>(22,824,279)</w:t>
            </w:r>
          </w:p>
        </w:tc>
        <w:tc>
          <w:tcPr>
            <w:tcW w:w="1336" w:type="dxa"/>
            <w:tcBorders>
              <w:left w:val="single" w:sz="4" w:space="0" w:color="auto"/>
              <w:right w:val="single" w:sz="4" w:space="0" w:color="auto"/>
            </w:tcBorders>
            <w:shd w:val="clear" w:color="auto" w:fill="auto"/>
            <w:noWrap/>
            <w:vAlign w:val="bottom"/>
          </w:tcPr>
          <w:p w14:paraId="2F18B385" w14:textId="1D80D945" w:rsidR="003D7A11" w:rsidRPr="00271DD2" w:rsidRDefault="003D7A11" w:rsidP="00717AB5">
            <w:pPr>
              <w:jc w:val="right"/>
              <w:rPr>
                <w:bCs/>
                <w:sz w:val="14"/>
              </w:rPr>
            </w:pPr>
            <w:r w:rsidRPr="00271DD2">
              <w:rPr>
                <w:bCs/>
                <w:sz w:val="14"/>
              </w:rPr>
              <w:t>(6,750,482)</w:t>
            </w:r>
          </w:p>
        </w:tc>
      </w:tr>
      <w:tr w:rsidR="003D7A11" w:rsidRPr="009016C5" w14:paraId="471E0B91" w14:textId="77777777" w:rsidTr="00717AB5">
        <w:trPr>
          <w:trHeight w:val="14"/>
        </w:trPr>
        <w:tc>
          <w:tcPr>
            <w:tcW w:w="541" w:type="dxa"/>
            <w:tcBorders>
              <w:left w:val="single" w:sz="4" w:space="0" w:color="auto"/>
              <w:right w:val="single" w:sz="4" w:space="0" w:color="auto"/>
            </w:tcBorders>
            <w:shd w:val="clear" w:color="auto" w:fill="auto"/>
            <w:noWrap/>
            <w:vAlign w:val="bottom"/>
            <w:hideMark/>
          </w:tcPr>
          <w:p w14:paraId="15655828" w14:textId="77777777" w:rsidR="003D7A11" w:rsidRPr="009016C5" w:rsidRDefault="003D7A11" w:rsidP="003D7A11">
            <w:pPr>
              <w:rPr>
                <w:sz w:val="13"/>
                <w:szCs w:val="13"/>
                <w:lang w:val="en-US"/>
              </w:rPr>
            </w:pPr>
            <w:r w:rsidRPr="009016C5">
              <w:rPr>
                <w:sz w:val="13"/>
                <w:szCs w:val="13"/>
                <w:lang w:val="en-US"/>
              </w:rPr>
              <w:t>2.6</w:t>
            </w:r>
          </w:p>
        </w:tc>
        <w:tc>
          <w:tcPr>
            <w:tcW w:w="5442" w:type="dxa"/>
            <w:tcBorders>
              <w:left w:val="single" w:sz="4" w:space="0" w:color="auto"/>
              <w:right w:val="single" w:sz="4" w:space="0" w:color="auto"/>
            </w:tcBorders>
            <w:shd w:val="clear" w:color="auto" w:fill="auto"/>
            <w:noWrap/>
            <w:vAlign w:val="bottom"/>
            <w:hideMark/>
          </w:tcPr>
          <w:p w14:paraId="6BF3B8FE" w14:textId="77777777" w:rsidR="003D7A11" w:rsidRPr="009016C5" w:rsidRDefault="003D7A11" w:rsidP="003D7A11">
            <w:pPr>
              <w:rPr>
                <w:sz w:val="13"/>
                <w:szCs w:val="13"/>
                <w:lang w:val="en-US"/>
              </w:rPr>
            </w:pPr>
            <w:r w:rsidRPr="009016C5">
              <w:rPr>
                <w:sz w:val="13"/>
                <w:szCs w:val="13"/>
                <w:lang w:val="en-US"/>
              </w:rPr>
              <w:t xml:space="preserve">Elden </w:t>
            </w:r>
            <w:proofErr w:type="spellStart"/>
            <w:r w:rsidRPr="009016C5">
              <w:rPr>
                <w:sz w:val="13"/>
                <w:szCs w:val="13"/>
                <w:lang w:val="en-US"/>
              </w:rPr>
              <w:t>Çıkarılan</w:t>
            </w:r>
            <w:proofErr w:type="spellEnd"/>
            <w:r w:rsidRPr="009016C5">
              <w:rPr>
                <w:sz w:val="13"/>
                <w:szCs w:val="13"/>
                <w:lang w:val="en-US"/>
              </w:rPr>
              <w:t xml:space="preserve"> </w:t>
            </w:r>
            <w:proofErr w:type="spellStart"/>
            <w:r w:rsidRPr="009016C5">
              <w:rPr>
                <w:sz w:val="13"/>
                <w:szCs w:val="13"/>
                <w:lang w:val="en-US"/>
              </w:rPr>
              <w:t>Gerçeğe</w:t>
            </w:r>
            <w:proofErr w:type="spellEnd"/>
            <w:r w:rsidRPr="009016C5">
              <w:rPr>
                <w:sz w:val="13"/>
                <w:szCs w:val="13"/>
                <w:lang w:val="en-US"/>
              </w:rPr>
              <w:t xml:space="preserve"> Uygun </w:t>
            </w:r>
            <w:proofErr w:type="spellStart"/>
            <w:r w:rsidRPr="009016C5">
              <w:rPr>
                <w:sz w:val="13"/>
                <w:szCs w:val="13"/>
                <w:lang w:val="en-US"/>
              </w:rPr>
              <w:t>Değer</w:t>
            </w:r>
            <w:proofErr w:type="spellEnd"/>
            <w:r w:rsidRPr="009016C5">
              <w:rPr>
                <w:sz w:val="13"/>
                <w:szCs w:val="13"/>
                <w:lang w:val="en-US"/>
              </w:rPr>
              <w:t xml:space="preserve"> </w:t>
            </w:r>
            <w:proofErr w:type="spellStart"/>
            <w:r w:rsidRPr="009016C5">
              <w:rPr>
                <w:sz w:val="13"/>
                <w:szCs w:val="13"/>
                <w:lang w:val="en-US"/>
              </w:rPr>
              <w:t>Farkı</w:t>
            </w:r>
            <w:proofErr w:type="spellEnd"/>
            <w:r w:rsidRPr="009016C5">
              <w:rPr>
                <w:sz w:val="13"/>
                <w:szCs w:val="13"/>
                <w:lang w:val="en-US"/>
              </w:rPr>
              <w:t xml:space="preserve"> </w:t>
            </w:r>
            <w:proofErr w:type="spellStart"/>
            <w:r w:rsidRPr="009016C5">
              <w:rPr>
                <w:sz w:val="13"/>
                <w:szCs w:val="13"/>
                <w:lang w:val="en-US"/>
              </w:rPr>
              <w:t>Diğer</w:t>
            </w:r>
            <w:proofErr w:type="spellEnd"/>
            <w:r w:rsidRPr="009016C5">
              <w:rPr>
                <w:sz w:val="13"/>
                <w:szCs w:val="13"/>
                <w:lang w:val="en-US"/>
              </w:rPr>
              <w:t xml:space="preserve"> </w:t>
            </w:r>
            <w:proofErr w:type="spellStart"/>
            <w:r w:rsidRPr="009016C5">
              <w:rPr>
                <w:sz w:val="13"/>
                <w:szCs w:val="13"/>
                <w:lang w:val="en-US"/>
              </w:rPr>
              <w:t>Kapsamlı</w:t>
            </w:r>
            <w:proofErr w:type="spellEnd"/>
            <w:r w:rsidRPr="009016C5">
              <w:rPr>
                <w:sz w:val="13"/>
                <w:szCs w:val="13"/>
                <w:lang w:val="en-US"/>
              </w:rPr>
              <w:t xml:space="preserve"> </w:t>
            </w:r>
            <w:proofErr w:type="spellStart"/>
            <w:r w:rsidRPr="009016C5">
              <w:rPr>
                <w:sz w:val="13"/>
                <w:szCs w:val="13"/>
                <w:lang w:val="en-US"/>
              </w:rPr>
              <w:t>Gelire</w:t>
            </w:r>
            <w:proofErr w:type="spellEnd"/>
            <w:r w:rsidRPr="009016C5">
              <w:rPr>
                <w:sz w:val="13"/>
                <w:szCs w:val="13"/>
                <w:lang w:val="en-US"/>
              </w:rPr>
              <w:t xml:space="preserve"> </w:t>
            </w:r>
            <w:proofErr w:type="spellStart"/>
            <w:r w:rsidRPr="009016C5">
              <w:rPr>
                <w:sz w:val="13"/>
                <w:szCs w:val="13"/>
                <w:lang w:val="en-US"/>
              </w:rPr>
              <w:t>Yansıtılan</w:t>
            </w:r>
            <w:proofErr w:type="spellEnd"/>
            <w:r w:rsidRPr="009016C5">
              <w:rPr>
                <w:sz w:val="13"/>
                <w:szCs w:val="13"/>
                <w:lang w:val="en-US"/>
              </w:rPr>
              <w:t xml:space="preserve"> Finansal </w:t>
            </w:r>
            <w:proofErr w:type="spellStart"/>
            <w:r w:rsidRPr="009016C5">
              <w:rPr>
                <w:sz w:val="13"/>
                <w:szCs w:val="13"/>
                <w:lang w:val="en-US"/>
              </w:rPr>
              <w:t>Varlıklar</w:t>
            </w:r>
            <w:proofErr w:type="spellEnd"/>
          </w:p>
        </w:tc>
        <w:tc>
          <w:tcPr>
            <w:tcW w:w="708" w:type="dxa"/>
            <w:tcBorders>
              <w:left w:val="single" w:sz="4" w:space="0" w:color="auto"/>
              <w:right w:val="single" w:sz="4" w:space="0" w:color="auto"/>
            </w:tcBorders>
            <w:shd w:val="clear" w:color="auto" w:fill="auto"/>
            <w:noWrap/>
            <w:vAlign w:val="bottom"/>
            <w:hideMark/>
          </w:tcPr>
          <w:p w14:paraId="000CC68A"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05293CBB" w14:textId="13C2767A" w:rsidR="003D7A11" w:rsidRPr="00271DD2" w:rsidRDefault="003D7A11" w:rsidP="00717AB5">
            <w:pPr>
              <w:jc w:val="right"/>
              <w:rPr>
                <w:bCs/>
                <w:sz w:val="14"/>
              </w:rPr>
            </w:pPr>
            <w:r w:rsidRPr="00271DD2">
              <w:rPr>
                <w:bCs/>
                <w:sz w:val="14"/>
              </w:rPr>
              <w:t>3,905,991</w:t>
            </w:r>
          </w:p>
        </w:tc>
        <w:tc>
          <w:tcPr>
            <w:tcW w:w="1336" w:type="dxa"/>
            <w:tcBorders>
              <w:left w:val="single" w:sz="4" w:space="0" w:color="auto"/>
              <w:right w:val="single" w:sz="4" w:space="0" w:color="auto"/>
            </w:tcBorders>
            <w:shd w:val="clear" w:color="auto" w:fill="auto"/>
            <w:noWrap/>
            <w:vAlign w:val="bottom"/>
          </w:tcPr>
          <w:p w14:paraId="1A0B85F0" w14:textId="49FD01AA" w:rsidR="003D7A11" w:rsidRPr="00271DD2" w:rsidRDefault="003D7A11" w:rsidP="00717AB5">
            <w:pPr>
              <w:jc w:val="right"/>
              <w:rPr>
                <w:bCs/>
                <w:sz w:val="14"/>
              </w:rPr>
            </w:pPr>
            <w:r w:rsidRPr="00271DD2">
              <w:rPr>
                <w:bCs/>
                <w:sz w:val="14"/>
              </w:rPr>
              <w:t>1,816,819</w:t>
            </w:r>
          </w:p>
        </w:tc>
      </w:tr>
      <w:tr w:rsidR="003D7A11" w:rsidRPr="009016C5" w14:paraId="7BD8D6C9"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66AE96FA" w14:textId="77777777" w:rsidR="003D7A11" w:rsidRPr="009016C5" w:rsidRDefault="003D7A11" w:rsidP="003D7A11">
            <w:pPr>
              <w:rPr>
                <w:sz w:val="13"/>
                <w:szCs w:val="13"/>
                <w:lang w:val="en-US"/>
              </w:rPr>
            </w:pPr>
            <w:r w:rsidRPr="009016C5">
              <w:rPr>
                <w:sz w:val="13"/>
                <w:szCs w:val="13"/>
                <w:lang w:val="en-US"/>
              </w:rPr>
              <w:t>2.7</w:t>
            </w:r>
          </w:p>
        </w:tc>
        <w:tc>
          <w:tcPr>
            <w:tcW w:w="5442" w:type="dxa"/>
            <w:tcBorders>
              <w:left w:val="single" w:sz="4" w:space="0" w:color="auto"/>
              <w:right w:val="single" w:sz="4" w:space="0" w:color="auto"/>
            </w:tcBorders>
            <w:shd w:val="clear" w:color="auto" w:fill="auto"/>
            <w:noWrap/>
            <w:vAlign w:val="bottom"/>
            <w:hideMark/>
          </w:tcPr>
          <w:p w14:paraId="52E2F2A0" w14:textId="77777777" w:rsidR="003D7A11" w:rsidRPr="009016C5" w:rsidRDefault="003D7A11" w:rsidP="003D7A11">
            <w:pPr>
              <w:rPr>
                <w:sz w:val="13"/>
                <w:szCs w:val="13"/>
                <w:lang w:val="en-US"/>
              </w:rPr>
            </w:pPr>
            <w:proofErr w:type="spellStart"/>
            <w:r w:rsidRPr="009016C5">
              <w:rPr>
                <w:sz w:val="13"/>
                <w:szCs w:val="13"/>
                <w:lang w:val="en-US"/>
              </w:rPr>
              <w:t>Satın</w:t>
            </w:r>
            <w:proofErr w:type="spellEnd"/>
            <w:r w:rsidRPr="009016C5">
              <w:rPr>
                <w:sz w:val="13"/>
                <w:szCs w:val="13"/>
                <w:lang w:val="en-US"/>
              </w:rPr>
              <w:t xml:space="preserve"> </w:t>
            </w:r>
            <w:proofErr w:type="spellStart"/>
            <w:r w:rsidRPr="009016C5">
              <w:rPr>
                <w:sz w:val="13"/>
                <w:szCs w:val="13"/>
                <w:lang w:val="en-US"/>
              </w:rPr>
              <w:t>Alınan</w:t>
            </w:r>
            <w:proofErr w:type="spellEnd"/>
            <w:r w:rsidRPr="009016C5">
              <w:rPr>
                <w:sz w:val="13"/>
                <w:szCs w:val="13"/>
                <w:lang w:val="en-US"/>
              </w:rPr>
              <w:t xml:space="preserve"> </w:t>
            </w:r>
            <w:proofErr w:type="spellStart"/>
            <w:r w:rsidRPr="009016C5">
              <w:rPr>
                <w:sz w:val="13"/>
                <w:szCs w:val="13"/>
                <w:lang w:val="en-US"/>
              </w:rPr>
              <w:t>İtfa</w:t>
            </w:r>
            <w:proofErr w:type="spellEnd"/>
            <w:r w:rsidRPr="009016C5">
              <w:rPr>
                <w:sz w:val="13"/>
                <w:szCs w:val="13"/>
                <w:lang w:val="en-US"/>
              </w:rPr>
              <w:t xml:space="preserve"> </w:t>
            </w:r>
            <w:proofErr w:type="spellStart"/>
            <w:r w:rsidRPr="009016C5">
              <w:rPr>
                <w:sz w:val="13"/>
                <w:szCs w:val="13"/>
                <w:lang w:val="en-US"/>
              </w:rPr>
              <w:t>Edilmiş</w:t>
            </w:r>
            <w:proofErr w:type="spellEnd"/>
            <w:r w:rsidRPr="009016C5">
              <w:rPr>
                <w:sz w:val="13"/>
                <w:szCs w:val="13"/>
                <w:lang w:val="en-US"/>
              </w:rPr>
              <w:t xml:space="preserve"> </w:t>
            </w:r>
            <w:proofErr w:type="spellStart"/>
            <w:r w:rsidRPr="009016C5">
              <w:rPr>
                <w:sz w:val="13"/>
                <w:szCs w:val="13"/>
                <w:lang w:val="en-US"/>
              </w:rPr>
              <w:t>Maliyeti</w:t>
            </w:r>
            <w:proofErr w:type="spellEnd"/>
            <w:r w:rsidRPr="009016C5">
              <w:rPr>
                <w:sz w:val="13"/>
                <w:szCs w:val="13"/>
                <w:lang w:val="en-US"/>
              </w:rPr>
              <w:t xml:space="preserve"> </w:t>
            </w:r>
            <w:proofErr w:type="spellStart"/>
            <w:r w:rsidRPr="009016C5">
              <w:rPr>
                <w:sz w:val="13"/>
                <w:szCs w:val="13"/>
                <w:lang w:val="en-US"/>
              </w:rPr>
              <w:t>ile</w:t>
            </w:r>
            <w:proofErr w:type="spellEnd"/>
            <w:r w:rsidRPr="009016C5">
              <w:rPr>
                <w:sz w:val="13"/>
                <w:szCs w:val="13"/>
                <w:lang w:val="en-US"/>
              </w:rPr>
              <w:t xml:space="preserve"> </w:t>
            </w:r>
            <w:proofErr w:type="spellStart"/>
            <w:r w:rsidRPr="009016C5">
              <w:rPr>
                <w:sz w:val="13"/>
                <w:szCs w:val="13"/>
                <w:lang w:val="en-US"/>
              </w:rPr>
              <w:t>Ölçülen</w:t>
            </w:r>
            <w:proofErr w:type="spellEnd"/>
            <w:r w:rsidRPr="009016C5">
              <w:rPr>
                <w:sz w:val="13"/>
                <w:szCs w:val="13"/>
                <w:lang w:val="en-US"/>
              </w:rPr>
              <w:t xml:space="preserve"> Finansal </w:t>
            </w:r>
            <w:proofErr w:type="spellStart"/>
            <w:r w:rsidRPr="009016C5">
              <w:rPr>
                <w:sz w:val="13"/>
                <w:szCs w:val="13"/>
                <w:lang w:val="en-US"/>
              </w:rPr>
              <w:t>Varlıklar</w:t>
            </w:r>
            <w:proofErr w:type="spellEnd"/>
          </w:p>
        </w:tc>
        <w:tc>
          <w:tcPr>
            <w:tcW w:w="708" w:type="dxa"/>
            <w:tcBorders>
              <w:left w:val="single" w:sz="4" w:space="0" w:color="auto"/>
              <w:right w:val="single" w:sz="4" w:space="0" w:color="auto"/>
            </w:tcBorders>
            <w:shd w:val="clear" w:color="auto" w:fill="auto"/>
            <w:noWrap/>
            <w:vAlign w:val="bottom"/>
            <w:hideMark/>
          </w:tcPr>
          <w:p w14:paraId="6782BCFD"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1D992016" w14:textId="2CCEC08B" w:rsidR="003D7A11" w:rsidRPr="00271DD2" w:rsidRDefault="003D7A11" w:rsidP="00717AB5">
            <w:pPr>
              <w:jc w:val="right"/>
              <w:rPr>
                <w:bCs/>
                <w:sz w:val="14"/>
              </w:rPr>
            </w:pPr>
            <w:r w:rsidRPr="00271DD2">
              <w:rPr>
                <w:bCs/>
                <w:sz w:val="14"/>
              </w:rPr>
              <w:t>(2,035,983)</w:t>
            </w:r>
          </w:p>
        </w:tc>
        <w:tc>
          <w:tcPr>
            <w:tcW w:w="1336" w:type="dxa"/>
            <w:tcBorders>
              <w:left w:val="single" w:sz="4" w:space="0" w:color="auto"/>
              <w:right w:val="single" w:sz="4" w:space="0" w:color="auto"/>
            </w:tcBorders>
            <w:shd w:val="clear" w:color="auto" w:fill="auto"/>
            <w:noWrap/>
            <w:vAlign w:val="bottom"/>
          </w:tcPr>
          <w:p w14:paraId="1670AE3B" w14:textId="4793FCF6" w:rsidR="003D7A11" w:rsidRPr="00271DD2" w:rsidRDefault="003D7A11" w:rsidP="00717AB5">
            <w:pPr>
              <w:jc w:val="right"/>
              <w:rPr>
                <w:bCs/>
                <w:sz w:val="14"/>
              </w:rPr>
            </w:pPr>
            <w:r w:rsidRPr="00271DD2">
              <w:rPr>
                <w:bCs/>
                <w:sz w:val="14"/>
              </w:rPr>
              <w:t>(2,427,959)</w:t>
            </w:r>
          </w:p>
        </w:tc>
      </w:tr>
      <w:tr w:rsidR="003D7A11" w:rsidRPr="009016C5" w14:paraId="36B50AD7"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48B4D68E" w14:textId="77777777" w:rsidR="003D7A11" w:rsidRPr="009016C5" w:rsidRDefault="003D7A11" w:rsidP="003D7A11">
            <w:pPr>
              <w:rPr>
                <w:sz w:val="13"/>
                <w:szCs w:val="13"/>
                <w:lang w:val="en-US"/>
              </w:rPr>
            </w:pPr>
            <w:r w:rsidRPr="009016C5">
              <w:rPr>
                <w:sz w:val="13"/>
                <w:szCs w:val="13"/>
                <w:lang w:val="en-US"/>
              </w:rPr>
              <w:t>2.8</w:t>
            </w:r>
          </w:p>
        </w:tc>
        <w:tc>
          <w:tcPr>
            <w:tcW w:w="5442" w:type="dxa"/>
            <w:tcBorders>
              <w:left w:val="single" w:sz="4" w:space="0" w:color="auto"/>
              <w:right w:val="single" w:sz="4" w:space="0" w:color="auto"/>
            </w:tcBorders>
            <w:shd w:val="clear" w:color="auto" w:fill="auto"/>
            <w:noWrap/>
            <w:vAlign w:val="bottom"/>
            <w:hideMark/>
          </w:tcPr>
          <w:p w14:paraId="5C97D10A" w14:textId="77777777" w:rsidR="003D7A11" w:rsidRPr="009016C5" w:rsidRDefault="003D7A11" w:rsidP="003D7A11">
            <w:pPr>
              <w:rPr>
                <w:sz w:val="13"/>
                <w:szCs w:val="13"/>
                <w:lang w:val="en-US"/>
              </w:rPr>
            </w:pPr>
            <w:proofErr w:type="spellStart"/>
            <w:r w:rsidRPr="009016C5">
              <w:rPr>
                <w:sz w:val="13"/>
                <w:szCs w:val="13"/>
                <w:lang w:val="en-US"/>
              </w:rPr>
              <w:t>Satılan</w:t>
            </w:r>
            <w:proofErr w:type="spellEnd"/>
            <w:r w:rsidRPr="009016C5">
              <w:rPr>
                <w:sz w:val="13"/>
                <w:szCs w:val="13"/>
                <w:lang w:val="en-US"/>
              </w:rPr>
              <w:t xml:space="preserve"> </w:t>
            </w:r>
            <w:proofErr w:type="spellStart"/>
            <w:r w:rsidRPr="009016C5">
              <w:rPr>
                <w:sz w:val="13"/>
                <w:szCs w:val="13"/>
                <w:lang w:val="en-US"/>
              </w:rPr>
              <w:t>İtfa</w:t>
            </w:r>
            <w:proofErr w:type="spellEnd"/>
            <w:r w:rsidRPr="009016C5">
              <w:rPr>
                <w:sz w:val="13"/>
                <w:szCs w:val="13"/>
                <w:lang w:val="en-US"/>
              </w:rPr>
              <w:t xml:space="preserve"> </w:t>
            </w:r>
            <w:proofErr w:type="spellStart"/>
            <w:r w:rsidRPr="009016C5">
              <w:rPr>
                <w:sz w:val="13"/>
                <w:szCs w:val="13"/>
                <w:lang w:val="en-US"/>
              </w:rPr>
              <w:t>Edilmiş</w:t>
            </w:r>
            <w:proofErr w:type="spellEnd"/>
            <w:r w:rsidRPr="009016C5">
              <w:rPr>
                <w:sz w:val="13"/>
                <w:szCs w:val="13"/>
                <w:lang w:val="en-US"/>
              </w:rPr>
              <w:t xml:space="preserve"> </w:t>
            </w:r>
            <w:proofErr w:type="spellStart"/>
            <w:r w:rsidRPr="009016C5">
              <w:rPr>
                <w:sz w:val="13"/>
                <w:szCs w:val="13"/>
                <w:lang w:val="en-US"/>
              </w:rPr>
              <w:t>Maliyeti</w:t>
            </w:r>
            <w:proofErr w:type="spellEnd"/>
            <w:r w:rsidRPr="009016C5">
              <w:rPr>
                <w:sz w:val="13"/>
                <w:szCs w:val="13"/>
                <w:lang w:val="en-US"/>
              </w:rPr>
              <w:t xml:space="preserve"> </w:t>
            </w:r>
            <w:proofErr w:type="spellStart"/>
            <w:r w:rsidRPr="009016C5">
              <w:rPr>
                <w:sz w:val="13"/>
                <w:szCs w:val="13"/>
                <w:lang w:val="en-US"/>
              </w:rPr>
              <w:t>ile</w:t>
            </w:r>
            <w:proofErr w:type="spellEnd"/>
            <w:r w:rsidRPr="009016C5">
              <w:rPr>
                <w:sz w:val="13"/>
                <w:szCs w:val="13"/>
                <w:lang w:val="en-US"/>
              </w:rPr>
              <w:t xml:space="preserve"> </w:t>
            </w:r>
            <w:proofErr w:type="spellStart"/>
            <w:r w:rsidRPr="009016C5">
              <w:rPr>
                <w:sz w:val="13"/>
                <w:szCs w:val="13"/>
                <w:lang w:val="en-US"/>
              </w:rPr>
              <w:t>Ölçülen</w:t>
            </w:r>
            <w:proofErr w:type="spellEnd"/>
            <w:r w:rsidRPr="009016C5">
              <w:rPr>
                <w:sz w:val="13"/>
                <w:szCs w:val="13"/>
                <w:lang w:val="en-US"/>
              </w:rPr>
              <w:t xml:space="preserve"> Finansal </w:t>
            </w:r>
            <w:proofErr w:type="spellStart"/>
            <w:r w:rsidRPr="009016C5">
              <w:rPr>
                <w:sz w:val="13"/>
                <w:szCs w:val="13"/>
                <w:lang w:val="en-US"/>
              </w:rPr>
              <w:t>Varlıklar</w:t>
            </w:r>
            <w:proofErr w:type="spellEnd"/>
            <w:r w:rsidRPr="009016C5">
              <w:rPr>
                <w:sz w:val="13"/>
                <w:szCs w:val="13"/>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473B431A"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478A0773" w14:textId="04FD106C" w:rsidR="003D7A11" w:rsidRPr="00271DD2" w:rsidRDefault="003D7A11" w:rsidP="00717AB5">
            <w:pPr>
              <w:jc w:val="right"/>
              <w:rPr>
                <w:bCs/>
                <w:sz w:val="14"/>
              </w:rPr>
            </w:pPr>
            <w:r w:rsidRPr="00271DD2">
              <w:rPr>
                <w:bCs/>
                <w:sz w:val="14"/>
              </w:rPr>
              <w:t>-</w:t>
            </w:r>
          </w:p>
        </w:tc>
        <w:tc>
          <w:tcPr>
            <w:tcW w:w="1336" w:type="dxa"/>
            <w:tcBorders>
              <w:left w:val="single" w:sz="4" w:space="0" w:color="auto"/>
              <w:right w:val="single" w:sz="4" w:space="0" w:color="auto"/>
            </w:tcBorders>
            <w:shd w:val="clear" w:color="auto" w:fill="auto"/>
            <w:noWrap/>
            <w:vAlign w:val="bottom"/>
          </w:tcPr>
          <w:p w14:paraId="154C99CD" w14:textId="57B30118" w:rsidR="003D7A11" w:rsidRPr="00271DD2" w:rsidRDefault="003D7A11" w:rsidP="00717AB5">
            <w:pPr>
              <w:jc w:val="right"/>
              <w:rPr>
                <w:bCs/>
                <w:sz w:val="14"/>
              </w:rPr>
            </w:pPr>
            <w:r w:rsidRPr="00271DD2">
              <w:rPr>
                <w:bCs/>
                <w:sz w:val="14"/>
              </w:rPr>
              <w:t>-</w:t>
            </w:r>
          </w:p>
        </w:tc>
      </w:tr>
      <w:tr w:rsidR="003D7A11" w:rsidRPr="009016C5" w14:paraId="2D37A45E"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5A6DAAE0" w14:textId="77777777" w:rsidR="003D7A11" w:rsidRPr="009016C5" w:rsidRDefault="003D7A11" w:rsidP="003D7A11">
            <w:pPr>
              <w:rPr>
                <w:sz w:val="13"/>
                <w:szCs w:val="13"/>
                <w:lang w:val="en-US"/>
              </w:rPr>
            </w:pPr>
            <w:r w:rsidRPr="009016C5">
              <w:rPr>
                <w:sz w:val="13"/>
                <w:szCs w:val="13"/>
                <w:lang w:val="en-US"/>
              </w:rPr>
              <w:t>2.9</w:t>
            </w:r>
          </w:p>
        </w:tc>
        <w:tc>
          <w:tcPr>
            <w:tcW w:w="5442" w:type="dxa"/>
            <w:tcBorders>
              <w:left w:val="single" w:sz="4" w:space="0" w:color="auto"/>
              <w:right w:val="single" w:sz="4" w:space="0" w:color="auto"/>
            </w:tcBorders>
            <w:shd w:val="clear" w:color="auto" w:fill="auto"/>
            <w:noWrap/>
            <w:vAlign w:val="bottom"/>
            <w:hideMark/>
          </w:tcPr>
          <w:p w14:paraId="3C414C3C" w14:textId="77777777" w:rsidR="003D7A11" w:rsidRPr="009016C5" w:rsidRDefault="003D7A11" w:rsidP="003D7A11">
            <w:pPr>
              <w:rPr>
                <w:sz w:val="13"/>
                <w:szCs w:val="13"/>
                <w:lang w:val="en-US"/>
              </w:rPr>
            </w:pPr>
            <w:proofErr w:type="spellStart"/>
            <w:r w:rsidRPr="009016C5">
              <w:rPr>
                <w:sz w:val="13"/>
                <w:szCs w:val="13"/>
                <w:lang w:val="en-US"/>
              </w:rPr>
              <w:t>Diğer</w:t>
            </w:r>
            <w:proofErr w:type="spellEnd"/>
            <w:r w:rsidRPr="009016C5">
              <w:rPr>
                <w:sz w:val="13"/>
                <w:szCs w:val="13"/>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3016731D"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684AE6CA" w14:textId="6E82B87A" w:rsidR="003D7A11" w:rsidRPr="00271DD2" w:rsidRDefault="003D7A11" w:rsidP="00717AB5">
            <w:pPr>
              <w:jc w:val="right"/>
              <w:rPr>
                <w:bCs/>
                <w:sz w:val="14"/>
              </w:rPr>
            </w:pPr>
            <w:r w:rsidRPr="00271DD2">
              <w:rPr>
                <w:bCs/>
                <w:sz w:val="14"/>
              </w:rPr>
              <w:t>(187,374)</w:t>
            </w:r>
          </w:p>
        </w:tc>
        <w:tc>
          <w:tcPr>
            <w:tcW w:w="1336" w:type="dxa"/>
            <w:tcBorders>
              <w:left w:val="single" w:sz="4" w:space="0" w:color="auto"/>
              <w:right w:val="single" w:sz="4" w:space="0" w:color="auto"/>
            </w:tcBorders>
            <w:shd w:val="clear" w:color="auto" w:fill="auto"/>
            <w:noWrap/>
            <w:vAlign w:val="bottom"/>
          </w:tcPr>
          <w:p w14:paraId="1C84C99F" w14:textId="24643793" w:rsidR="003D7A11" w:rsidRPr="00271DD2" w:rsidRDefault="003D7A11" w:rsidP="00717AB5">
            <w:pPr>
              <w:jc w:val="right"/>
              <w:rPr>
                <w:bCs/>
                <w:sz w:val="14"/>
              </w:rPr>
            </w:pPr>
            <w:r w:rsidRPr="00271DD2">
              <w:rPr>
                <w:bCs/>
                <w:sz w:val="14"/>
              </w:rPr>
              <w:t>12,847</w:t>
            </w:r>
          </w:p>
        </w:tc>
      </w:tr>
      <w:tr w:rsidR="003D7A11" w:rsidRPr="009016C5" w14:paraId="7FFBFBEF"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4AA96830"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600EE28F" w14:textId="77777777" w:rsidR="003D7A11" w:rsidRPr="009016C5" w:rsidRDefault="003D7A11" w:rsidP="003D7A11">
            <w:pPr>
              <w:rPr>
                <w:sz w:val="13"/>
                <w:szCs w:val="13"/>
                <w:lang w:val="en-US"/>
              </w:rPr>
            </w:pPr>
            <w:r w:rsidRPr="009016C5">
              <w:rPr>
                <w:sz w:val="13"/>
                <w:szCs w:val="13"/>
                <w:lang w:val="en-US"/>
              </w:rPr>
              <w:t> </w:t>
            </w:r>
          </w:p>
        </w:tc>
        <w:tc>
          <w:tcPr>
            <w:tcW w:w="708" w:type="dxa"/>
            <w:tcBorders>
              <w:left w:val="single" w:sz="4" w:space="0" w:color="auto"/>
              <w:right w:val="single" w:sz="4" w:space="0" w:color="auto"/>
            </w:tcBorders>
            <w:shd w:val="clear" w:color="auto" w:fill="auto"/>
            <w:noWrap/>
            <w:vAlign w:val="bottom"/>
            <w:hideMark/>
          </w:tcPr>
          <w:p w14:paraId="36168215"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18893C51" w14:textId="33B4B581" w:rsidR="003D7A11" w:rsidRPr="00271DD2" w:rsidRDefault="003D7A11" w:rsidP="00717AB5">
            <w:pPr>
              <w:jc w:val="right"/>
              <w:rPr>
                <w:bCs/>
                <w:sz w:val="14"/>
              </w:rPr>
            </w:pPr>
          </w:p>
        </w:tc>
        <w:tc>
          <w:tcPr>
            <w:tcW w:w="1336" w:type="dxa"/>
            <w:tcBorders>
              <w:left w:val="single" w:sz="4" w:space="0" w:color="auto"/>
              <w:right w:val="single" w:sz="4" w:space="0" w:color="auto"/>
            </w:tcBorders>
            <w:shd w:val="clear" w:color="auto" w:fill="auto"/>
            <w:noWrap/>
            <w:vAlign w:val="bottom"/>
          </w:tcPr>
          <w:p w14:paraId="63DBBD59" w14:textId="77777777" w:rsidR="003D7A11" w:rsidRPr="00271DD2" w:rsidRDefault="003D7A11" w:rsidP="00717AB5">
            <w:pPr>
              <w:jc w:val="right"/>
              <w:rPr>
                <w:bCs/>
                <w:sz w:val="14"/>
              </w:rPr>
            </w:pPr>
          </w:p>
        </w:tc>
      </w:tr>
      <w:tr w:rsidR="003D7A11" w:rsidRPr="009016C5" w14:paraId="6AEC8192"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00FD02A7" w14:textId="77777777" w:rsidR="003D7A11" w:rsidRPr="009016C5" w:rsidRDefault="003D7A11" w:rsidP="003D7A11">
            <w:pPr>
              <w:rPr>
                <w:b/>
                <w:bCs/>
                <w:sz w:val="13"/>
                <w:szCs w:val="13"/>
                <w:lang w:val="en-US"/>
              </w:rPr>
            </w:pPr>
            <w:r w:rsidRPr="009016C5">
              <w:rPr>
                <w:b/>
                <w:bCs/>
                <w:sz w:val="13"/>
                <w:szCs w:val="13"/>
                <w:lang w:val="en-US"/>
              </w:rPr>
              <w:t>C.</w:t>
            </w:r>
          </w:p>
        </w:tc>
        <w:tc>
          <w:tcPr>
            <w:tcW w:w="5442" w:type="dxa"/>
            <w:tcBorders>
              <w:left w:val="single" w:sz="4" w:space="0" w:color="auto"/>
              <w:right w:val="single" w:sz="4" w:space="0" w:color="auto"/>
            </w:tcBorders>
            <w:shd w:val="clear" w:color="auto" w:fill="auto"/>
            <w:noWrap/>
            <w:vAlign w:val="bottom"/>
            <w:hideMark/>
          </w:tcPr>
          <w:p w14:paraId="055B79D8" w14:textId="77777777" w:rsidR="003D7A11" w:rsidRPr="009016C5" w:rsidRDefault="003D7A11" w:rsidP="003D7A11">
            <w:pPr>
              <w:rPr>
                <w:b/>
                <w:bCs/>
                <w:sz w:val="13"/>
                <w:szCs w:val="13"/>
                <w:lang w:val="en-US"/>
              </w:rPr>
            </w:pPr>
            <w:r w:rsidRPr="009016C5">
              <w:rPr>
                <w:b/>
                <w:bCs/>
                <w:sz w:val="13"/>
                <w:szCs w:val="13"/>
                <w:lang w:val="en-US"/>
              </w:rPr>
              <w:t>FİNANSMAN FAALİYETLERİNE İLİŞKİN NAKİT AKIŞLARI</w:t>
            </w:r>
          </w:p>
        </w:tc>
        <w:tc>
          <w:tcPr>
            <w:tcW w:w="708" w:type="dxa"/>
            <w:tcBorders>
              <w:left w:val="single" w:sz="4" w:space="0" w:color="auto"/>
              <w:right w:val="single" w:sz="4" w:space="0" w:color="auto"/>
            </w:tcBorders>
            <w:shd w:val="clear" w:color="auto" w:fill="auto"/>
            <w:noWrap/>
            <w:vAlign w:val="bottom"/>
            <w:hideMark/>
          </w:tcPr>
          <w:p w14:paraId="215DF74A"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2CE48A1D" w14:textId="497D6615" w:rsidR="003D7A11" w:rsidRPr="009016C5" w:rsidRDefault="003D7A11" w:rsidP="00717AB5">
            <w:pPr>
              <w:jc w:val="right"/>
              <w:rPr>
                <w:b/>
                <w:sz w:val="14"/>
              </w:rPr>
            </w:pPr>
            <w:r w:rsidRPr="009016C5">
              <w:rPr>
                <w:b/>
                <w:sz w:val="14"/>
              </w:rPr>
              <w:t>-</w:t>
            </w:r>
          </w:p>
        </w:tc>
        <w:tc>
          <w:tcPr>
            <w:tcW w:w="1336" w:type="dxa"/>
            <w:tcBorders>
              <w:left w:val="single" w:sz="4" w:space="0" w:color="auto"/>
              <w:right w:val="single" w:sz="4" w:space="0" w:color="auto"/>
            </w:tcBorders>
            <w:shd w:val="clear" w:color="auto" w:fill="auto"/>
            <w:noWrap/>
            <w:vAlign w:val="bottom"/>
          </w:tcPr>
          <w:p w14:paraId="569345E0" w14:textId="77777777" w:rsidR="003D7A11" w:rsidRPr="009016C5" w:rsidRDefault="003D7A11" w:rsidP="00717AB5">
            <w:pPr>
              <w:jc w:val="right"/>
              <w:rPr>
                <w:sz w:val="14"/>
              </w:rPr>
            </w:pPr>
          </w:p>
        </w:tc>
      </w:tr>
      <w:tr w:rsidR="003D7A11" w:rsidRPr="009016C5" w14:paraId="7F767A0B"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0E33A272"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6DEBB22C" w14:textId="77777777" w:rsidR="003D7A11" w:rsidRPr="009016C5" w:rsidRDefault="003D7A11" w:rsidP="003D7A11">
            <w:pPr>
              <w:rPr>
                <w:sz w:val="13"/>
                <w:szCs w:val="13"/>
                <w:lang w:val="en-US"/>
              </w:rPr>
            </w:pPr>
            <w:r w:rsidRPr="009016C5">
              <w:rPr>
                <w:sz w:val="13"/>
                <w:szCs w:val="13"/>
                <w:lang w:val="en-US"/>
              </w:rPr>
              <w:t> </w:t>
            </w:r>
          </w:p>
        </w:tc>
        <w:tc>
          <w:tcPr>
            <w:tcW w:w="708" w:type="dxa"/>
            <w:tcBorders>
              <w:left w:val="single" w:sz="4" w:space="0" w:color="auto"/>
              <w:right w:val="single" w:sz="4" w:space="0" w:color="auto"/>
            </w:tcBorders>
            <w:shd w:val="clear" w:color="auto" w:fill="auto"/>
            <w:noWrap/>
            <w:vAlign w:val="bottom"/>
            <w:hideMark/>
          </w:tcPr>
          <w:p w14:paraId="061F3C1F"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775227BB" w14:textId="6AC1FFFB"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25CB3329" w14:textId="77777777" w:rsidR="003D7A11" w:rsidRPr="009016C5" w:rsidRDefault="003D7A11" w:rsidP="00717AB5">
            <w:pPr>
              <w:jc w:val="right"/>
              <w:rPr>
                <w:b/>
                <w:sz w:val="14"/>
              </w:rPr>
            </w:pPr>
          </w:p>
        </w:tc>
      </w:tr>
      <w:tr w:rsidR="003D7A11" w:rsidRPr="009016C5" w14:paraId="45A97E31"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7F34E324" w14:textId="77777777" w:rsidR="003D7A11" w:rsidRPr="009016C5" w:rsidRDefault="003D7A11" w:rsidP="003D7A11">
            <w:pPr>
              <w:rPr>
                <w:b/>
                <w:bCs/>
                <w:sz w:val="13"/>
                <w:szCs w:val="13"/>
                <w:lang w:val="en-US"/>
              </w:rPr>
            </w:pPr>
            <w:r w:rsidRPr="009016C5">
              <w:rPr>
                <w:b/>
                <w:bCs/>
                <w:sz w:val="13"/>
                <w:szCs w:val="13"/>
                <w:lang w:val="en-US"/>
              </w:rPr>
              <w:t>III.</w:t>
            </w:r>
          </w:p>
        </w:tc>
        <w:tc>
          <w:tcPr>
            <w:tcW w:w="5442" w:type="dxa"/>
            <w:tcBorders>
              <w:left w:val="single" w:sz="4" w:space="0" w:color="auto"/>
              <w:right w:val="single" w:sz="4" w:space="0" w:color="auto"/>
            </w:tcBorders>
            <w:shd w:val="clear" w:color="auto" w:fill="auto"/>
            <w:noWrap/>
            <w:vAlign w:val="bottom"/>
            <w:hideMark/>
          </w:tcPr>
          <w:p w14:paraId="2AFAD2B1" w14:textId="77777777" w:rsidR="003D7A11" w:rsidRPr="009016C5" w:rsidRDefault="003D7A11" w:rsidP="003D7A11">
            <w:pPr>
              <w:rPr>
                <w:b/>
                <w:bCs/>
                <w:sz w:val="13"/>
                <w:szCs w:val="13"/>
                <w:lang w:val="en-US"/>
              </w:rPr>
            </w:pPr>
            <w:proofErr w:type="spellStart"/>
            <w:r w:rsidRPr="009016C5">
              <w:rPr>
                <w:b/>
                <w:bCs/>
                <w:sz w:val="13"/>
                <w:szCs w:val="13"/>
                <w:lang w:val="en-US"/>
              </w:rPr>
              <w:t>Finansman</w:t>
            </w:r>
            <w:proofErr w:type="spellEnd"/>
            <w:r w:rsidRPr="009016C5">
              <w:rPr>
                <w:b/>
                <w:bCs/>
                <w:sz w:val="13"/>
                <w:szCs w:val="13"/>
                <w:lang w:val="en-US"/>
              </w:rPr>
              <w:t xml:space="preserve"> </w:t>
            </w:r>
            <w:proofErr w:type="spellStart"/>
            <w:r w:rsidRPr="009016C5">
              <w:rPr>
                <w:b/>
                <w:bCs/>
                <w:sz w:val="13"/>
                <w:szCs w:val="13"/>
                <w:lang w:val="en-US"/>
              </w:rPr>
              <w:t>Faaliyetlerinden</w:t>
            </w:r>
            <w:proofErr w:type="spellEnd"/>
            <w:r w:rsidRPr="009016C5">
              <w:rPr>
                <w:b/>
                <w:bCs/>
                <w:sz w:val="13"/>
                <w:szCs w:val="13"/>
                <w:lang w:val="en-US"/>
              </w:rPr>
              <w:t xml:space="preserve"> </w:t>
            </w:r>
            <w:proofErr w:type="spellStart"/>
            <w:r w:rsidRPr="009016C5">
              <w:rPr>
                <w:b/>
                <w:bCs/>
                <w:sz w:val="13"/>
                <w:szCs w:val="13"/>
                <w:lang w:val="en-US"/>
              </w:rPr>
              <w:t>Sağlanan</w:t>
            </w:r>
            <w:proofErr w:type="spellEnd"/>
            <w:r w:rsidRPr="009016C5">
              <w:rPr>
                <w:b/>
                <w:bCs/>
                <w:sz w:val="13"/>
                <w:szCs w:val="13"/>
                <w:lang w:val="en-US"/>
              </w:rPr>
              <w:t xml:space="preserve"> Net </w:t>
            </w:r>
            <w:proofErr w:type="spellStart"/>
            <w:r w:rsidRPr="009016C5">
              <w:rPr>
                <w:b/>
                <w:bCs/>
                <w:sz w:val="13"/>
                <w:szCs w:val="13"/>
                <w:lang w:val="en-US"/>
              </w:rPr>
              <w:t>Nakit</w:t>
            </w:r>
            <w:proofErr w:type="spellEnd"/>
            <w:r w:rsidRPr="009016C5">
              <w:rPr>
                <w:b/>
                <w:bCs/>
                <w:sz w:val="13"/>
                <w:szCs w:val="13"/>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73719874"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67F29745" w14:textId="472843C6" w:rsidR="003D7A11" w:rsidRPr="009016C5" w:rsidRDefault="003D7A11" w:rsidP="00717AB5">
            <w:pPr>
              <w:jc w:val="right"/>
              <w:rPr>
                <w:b/>
                <w:sz w:val="14"/>
              </w:rPr>
            </w:pPr>
            <w:r w:rsidRPr="009016C5">
              <w:rPr>
                <w:b/>
                <w:sz w:val="14"/>
              </w:rPr>
              <w:t>333,989</w:t>
            </w:r>
          </w:p>
        </w:tc>
        <w:tc>
          <w:tcPr>
            <w:tcW w:w="1336" w:type="dxa"/>
            <w:tcBorders>
              <w:left w:val="single" w:sz="4" w:space="0" w:color="auto"/>
              <w:right w:val="single" w:sz="4" w:space="0" w:color="auto"/>
            </w:tcBorders>
            <w:shd w:val="clear" w:color="auto" w:fill="auto"/>
            <w:noWrap/>
            <w:vAlign w:val="bottom"/>
          </w:tcPr>
          <w:p w14:paraId="60A21917" w14:textId="5E15273F" w:rsidR="003D7A11" w:rsidRPr="009016C5" w:rsidRDefault="003D7A11" w:rsidP="00717AB5">
            <w:pPr>
              <w:jc w:val="right"/>
              <w:rPr>
                <w:b/>
                <w:sz w:val="14"/>
              </w:rPr>
            </w:pPr>
            <w:r w:rsidRPr="009016C5">
              <w:rPr>
                <w:b/>
                <w:sz w:val="14"/>
              </w:rPr>
              <w:t>(43,222)</w:t>
            </w:r>
          </w:p>
        </w:tc>
      </w:tr>
      <w:tr w:rsidR="003D7A11" w:rsidRPr="009016C5" w14:paraId="7FB461A4"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125AFACA"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4753DAD1" w14:textId="77777777" w:rsidR="003D7A11" w:rsidRPr="009016C5" w:rsidRDefault="003D7A11" w:rsidP="003D7A11">
            <w:pPr>
              <w:rPr>
                <w:sz w:val="13"/>
                <w:szCs w:val="13"/>
                <w:lang w:val="en-US"/>
              </w:rPr>
            </w:pPr>
            <w:r w:rsidRPr="009016C5">
              <w:rPr>
                <w:sz w:val="13"/>
                <w:szCs w:val="13"/>
                <w:lang w:val="en-US"/>
              </w:rPr>
              <w:t> </w:t>
            </w:r>
          </w:p>
        </w:tc>
        <w:tc>
          <w:tcPr>
            <w:tcW w:w="708" w:type="dxa"/>
            <w:tcBorders>
              <w:left w:val="single" w:sz="4" w:space="0" w:color="auto"/>
              <w:right w:val="single" w:sz="4" w:space="0" w:color="auto"/>
            </w:tcBorders>
            <w:shd w:val="clear" w:color="auto" w:fill="auto"/>
            <w:noWrap/>
            <w:vAlign w:val="bottom"/>
            <w:hideMark/>
          </w:tcPr>
          <w:p w14:paraId="76FE700B"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1A1D5A52" w14:textId="6C8F8203"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731ECD3C" w14:textId="77777777" w:rsidR="003D7A11" w:rsidRPr="009016C5" w:rsidRDefault="003D7A11" w:rsidP="00717AB5">
            <w:pPr>
              <w:jc w:val="right"/>
              <w:rPr>
                <w:b/>
                <w:sz w:val="14"/>
              </w:rPr>
            </w:pPr>
          </w:p>
        </w:tc>
      </w:tr>
      <w:tr w:rsidR="003D7A11" w:rsidRPr="009016C5" w14:paraId="29761869"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4612D1AE" w14:textId="77777777" w:rsidR="003D7A11" w:rsidRPr="009016C5" w:rsidRDefault="003D7A11" w:rsidP="003D7A11">
            <w:pPr>
              <w:rPr>
                <w:sz w:val="13"/>
                <w:szCs w:val="13"/>
                <w:lang w:val="en-US"/>
              </w:rPr>
            </w:pPr>
            <w:r w:rsidRPr="009016C5">
              <w:rPr>
                <w:sz w:val="13"/>
                <w:szCs w:val="13"/>
                <w:lang w:val="en-US"/>
              </w:rPr>
              <w:t>3.1</w:t>
            </w:r>
          </w:p>
        </w:tc>
        <w:tc>
          <w:tcPr>
            <w:tcW w:w="5442" w:type="dxa"/>
            <w:tcBorders>
              <w:left w:val="single" w:sz="4" w:space="0" w:color="auto"/>
              <w:right w:val="single" w:sz="4" w:space="0" w:color="auto"/>
            </w:tcBorders>
            <w:shd w:val="clear" w:color="auto" w:fill="auto"/>
            <w:noWrap/>
            <w:vAlign w:val="bottom"/>
            <w:hideMark/>
          </w:tcPr>
          <w:p w14:paraId="5B02D8DA" w14:textId="77777777" w:rsidR="003D7A11" w:rsidRPr="009016C5" w:rsidRDefault="003D7A11" w:rsidP="003D7A11">
            <w:pPr>
              <w:rPr>
                <w:sz w:val="13"/>
                <w:szCs w:val="13"/>
                <w:lang w:val="en-US"/>
              </w:rPr>
            </w:pPr>
            <w:r w:rsidRPr="009016C5">
              <w:rPr>
                <w:sz w:val="13"/>
                <w:szCs w:val="13"/>
                <w:lang w:val="en-US"/>
              </w:rPr>
              <w:t xml:space="preserve">Krediler ve </w:t>
            </w:r>
            <w:proofErr w:type="spellStart"/>
            <w:r w:rsidRPr="009016C5">
              <w:rPr>
                <w:sz w:val="13"/>
                <w:szCs w:val="13"/>
                <w:lang w:val="en-US"/>
              </w:rPr>
              <w:t>İhraç</w:t>
            </w:r>
            <w:proofErr w:type="spellEnd"/>
            <w:r w:rsidRPr="009016C5">
              <w:rPr>
                <w:sz w:val="13"/>
                <w:szCs w:val="13"/>
                <w:lang w:val="en-US"/>
              </w:rPr>
              <w:t xml:space="preserve"> </w:t>
            </w:r>
            <w:proofErr w:type="spellStart"/>
            <w:r w:rsidRPr="009016C5">
              <w:rPr>
                <w:sz w:val="13"/>
                <w:szCs w:val="13"/>
                <w:lang w:val="en-US"/>
              </w:rPr>
              <w:t>Edilen</w:t>
            </w:r>
            <w:proofErr w:type="spellEnd"/>
            <w:r w:rsidRPr="009016C5">
              <w:rPr>
                <w:sz w:val="13"/>
                <w:szCs w:val="13"/>
                <w:lang w:val="en-US"/>
              </w:rPr>
              <w:t xml:space="preserve"> </w:t>
            </w:r>
            <w:proofErr w:type="spellStart"/>
            <w:r w:rsidRPr="009016C5">
              <w:rPr>
                <w:sz w:val="13"/>
                <w:szCs w:val="13"/>
                <w:lang w:val="en-US"/>
              </w:rPr>
              <w:t>Menkul</w:t>
            </w:r>
            <w:proofErr w:type="spellEnd"/>
            <w:r w:rsidRPr="009016C5">
              <w:rPr>
                <w:sz w:val="13"/>
                <w:szCs w:val="13"/>
                <w:lang w:val="en-US"/>
              </w:rPr>
              <w:t xml:space="preserve"> </w:t>
            </w:r>
            <w:proofErr w:type="spellStart"/>
            <w:r w:rsidRPr="009016C5">
              <w:rPr>
                <w:sz w:val="13"/>
                <w:szCs w:val="13"/>
                <w:lang w:val="en-US"/>
              </w:rPr>
              <w:t>Değerlerden</w:t>
            </w:r>
            <w:proofErr w:type="spellEnd"/>
            <w:r w:rsidRPr="009016C5">
              <w:rPr>
                <w:sz w:val="13"/>
                <w:szCs w:val="13"/>
                <w:lang w:val="en-US"/>
              </w:rPr>
              <w:t xml:space="preserve"> </w:t>
            </w:r>
            <w:proofErr w:type="spellStart"/>
            <w:r w:rsidRPr="009016C5">
              <w:rPr>
                <w:sz w:val="13"/>
                <w:szCs w:val="13"/>
                <w:lang w:val="en-US"/>
              </w:rPr>
              <w:t>Sağlanan</w:t>
            </w:r>
            <w:proofErr w:type="spellEnd"/>
            <w:r w:rsidRPr="009016C5">
              <w:rPr>
                <w:sz w:val="13"/>
                <w:szCs w:val="13"/>
                <w:lang w:val="en-US"/>
              </w:rPr>
              <w:t xml:space="preserve"> </w:t>
            </w:r>
            <w:proofErr w:type="spellStart"/>
            <w:r w:rsidRPr="009016C5">
              <w:rPr>
                <w:sz w:val="13"/>
                <w:szCs w:val="13"/>
                <w:lang w:val="en-US"/>
              </w:rPr>
              <w:t>Nakit</w:t>
            </w:r>
            <w:proofErr w:type="spellEnd"/>
          </w:p>
        </w:tc>
        <w:tc>
          <w:tcPr>
            <w:tcW w:w="708" w:type="dxa"/>
            <w:tcBorders>
              <w:left w:val="single" w:sz="4" w:space="0" w:color="auto"/>
              <w:right w:val="single" w:sz="4" w:space="0" w:color="auto"/>
            </w:tcBorders>
            <w:shd w:val="clear" w:color="auto" w:fill="auto"/>
            <w:noWrap/>
            <w:vAlign w:val="bottom"/>
            <w:hideMark/>
          </w:tcPr>
          <w:p w14:paraId="1745F877"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7259BBD4" w14:textId="19442422" w:rsidR="003D7A11" w:rsidRPr="00271DD2" w:rsidRDefault="003D7A11" w:rsidP="00717AB5">
            <w:pPr>
              <w:jc w:val="right"/>
              <w:rPr>
                <w:bCs/>
                <w:sz w:val="14"/>
              </w:rPr>
            </w:pPr>
            <w:r w:rsidRPr="00271DD2">
              <w:rPr>
                <w:bCs/>
                <w:sz w:val="14"/>
              </w:rPr>
              <w:t>-</w:t>
            </w:r>
          </w:p>
        </w:tc>
        <w:tc>
          <w:tcPr>
            <w:tcW w:w="1336" w:type="dxa"/>
            <w:tcBorders>
              <w:left w:val="single" w:sz="4" w:space="0" w:color="auto"/>
              <w:right w:val="single" w:sz="4" w:space="0" w:color="auto"/>
            </w:tcBorders>
            <w:shd w:val="clear" w:color="auto" w:fill="auto"/>
            <w:noWrap/>
            <w:vAlign w:val="bottom"/>
          </w:tcPr>
          <w:p w14:paraId="7787A29B" w14:textId="4C867CCE" w:rsidR="003D7A11" w:rsidRPr="009016C5" w:rsidRDefault="003D7A11" w:rsidP="00717AB5">
            <w:pPr>
              <w:jc w:val="right"/>
              <w:rPr>
                <w:b/>
                <w:sz w:val="14"/>
              </w:rPr>
            </w:pPr>
            <w:r w:rsidRPr="009016C5">
              <w:rPr>
                <w:b/>
                <w:sz w:val="14"/>
              </w:rPr>
              <w:t>-</w:t>
            </w:r>
          </w:p>
        </w:tc>
      </w:tr>
      <w:tr w:rsidR="003D7A11" w:rsidRPr="009016C5" w14:paraId="7DB1C40C"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3293309D" w14:textId="77777777" w:rsidR="003D7A11" w:rsidRPr="009016C5" w:rsidRDefault="003D7A11" w:rsidP="003D7A11">
            <w:pPr>
              <w:rPr>
                <w:sz w:val="13"/>
                <w:szCs w:val="13"/>
                <w:lang w:val="en-US"/>
              </w:rPr>
            </w:pPr>
            <w:r w:rsidRPr="009016C5">
              <w:rPr>
                <w:sz w:val="13"/>
                <w:szCs w:val="13"/>
                <w:lang w:val="en-US"/>
              </w:rPr>
              <w:t>3.2</w:t>
            </w:r>
          </w:p>
        </w:tc>
        <w:tc>
          <w:tcPr>
            <w:tcW w:w="5442" w:type="dxa"/>
            <w:tcBorders>
              <w:left w:val="single" w:sz="4" w:space="0" w:color="auto"/>
              <w:right w:val="single" w:sz="4" w:space="0" w:color="auto"/>
            </w:tcBorders>
            <w:shd w:val="clear" w:color="auto" w:fill="auto"/>
            <w:noWrap/>
            <w:vAlign w:val="bottom"/>
            <w:hideMark/>
          </w:tcPr>
          <w:p w14:paraId="53BCC0EA" w14:textId="77777777" w:rsidR="003D7A11" w:rsidRPr="009016C5" w:rsidRDefault="003D7A11" w:rsidP="003D7A11">
            <w:pPr>
              <w:rPr>
                <w:sz w:val="13"/>
                <w:szCs w:val="13"/>
                <w:lang w:val="en-US"/>
              </w:rPr>
            </w:pPr>
            <w:r w:rsidRPr="009016C5">
              <w:rPr>
                <w:sz w:val="13"/>
                <w:szCs w:val="13"/>
                <w:lang w:val="en-US"/>
              </w:rPr>
              <w:t xml:space="preserve">Krediler ve </w:t>
            </w:r>
            <w:proofErr w:type="spellStart"/>
            <w:r w:rsidRPr="009016C5">
              <w:rPr>
                <w:sz w:val="13"/>
                <w:szCs w:val="13"/>
                <w:lang w:val="en-US"/>
              </w:rPr>
              <w:t>İhraç</w:t>
            </w:r>
            <w:proofErr w:type="spellEnd"/>
            <w:r w:rsidRPr="009016C5">
              <w:rPr>
                <w:sz w:val="13"/>
                <w:szCs w:val="13"/>
                <w:lang w:val="en-US"/>
              </w:rPr>
              <w:t xml:space="preserve"> </w:t>
            </w:r>
            <w:proofErr w:type="spellStart"/>
            <w:r w:rsidRPr="009016C5">
              <w:rPr>
                <w:sz w:val="13"/>
                <w:szCs w:val="13"/>
                <w:lang w:val="en-US"/>
              </w:rPr>
              <w:t>Edilen</w:t>
            </w:r>
            <w:proofErr w:type="spellEnd"/>
            <w:r w:rsidRPr="009016C5">
              <w:rPr>
                <w:sz w:val="13"/>
                <w:szCs w:val="13"/>
                <w:lang w:val="en-US"/>
              </w:rPr>
              <w:t xml:space="preserve"> </w:t>
            </w:r>
            <w:proofErr w:type="spellStart"/>
            <w:r w:rsidRPr="009016C5">
              <w:rPr>
                <w:sz w:val="13"/>
                <w:szCs w:val="13"/>
                <w:lang w:val="en-US"/>
              </w:rPr>
              <w:t>Menkul</w:t>
            </w:r>
            <w:proofErr w:type="spellEnd"/>
            <w:r w:rsidRPr="009016C5">
              <w:rPr>
                <w:sz w:val="13"/>
                <w:szCs w:val="13"/>
                <w:lang w:val="en-US"/>
              </w:rPr>
              <w:t xml:space="preserve"> </w:t>
            </w:r>
            <w:proofErr w:type="spellStart"/>
            <w:r w:rsidRPr="009016C5">
              <w:rPr>
                <w:sz w:val="13"/>
                <w:szCs w:val="13"/>
                <w:lang w:val="en-US"/>
              </w:rPr>
              <w:t>Değerlerden</w:t>
            </w:r>
            <w:proofErr w:type="spellEnd"/>
            <w:r w:rsidRPr="009016C5">
              <w:rPr>
                <w:sz w:val="13"/>
                <w:szCs w:val="13"/>
                <w:lang w:val="en-US"/>
              </w:rPr>
              <w:t xml:space="preserve"> </w:t>
            </w:r>
            <w:proofErr w:type="spellStart"/>
            <w:r w:rsidRPr="009016C5">
              <w:rPr>
                <w:sz w:val="13"/>
                <w:szCs w:val="13"/>
                <w:lang w:val="en-US"/>
              </w:rPr>
              <w:t>Kaynaklanan</w:t>
            </w:r>
            <w:proofErr w:type="spellEnd"/>
            <w:r w:rsidRPr="009016C5">
              <w:rPr>
                <w:sz w:val="13"/>
                <w:szCs w:val="13"/>
                <w:lang w:val="en-US"/>
              </w:rPr>
              <w:t xml:space="preserve"> </w:t>
            </w:r>
            <w:proofErr w:type="spellStart"/>
            <w:r w:rsidRPr="009016C5">
              <w:rPr>
                <w:sz w:val="13"/>
                <w:szCs w:val="13"/>
                <w:lang w:val="en-US"/>
              </w:rPr>
              <w:t>Nakit</w:t>
            </w:r>
            <w:proofErr w:type="spellEnd"/>
            <w:r w:rsidRPr="009016C5">
              <w:rPr>
                <w:sz w:val="13"/>
                <w:szCs w:val="13"/>
                <w:lang w:val="en-US"/>
              </w:rPr>
              <w:t xml:space="preserve"> </w:t>
            </w:r>
            <w:proofErr w:type="spellStart"/>
            <w:r w:rsidRPr="009016C5">
              <w:rPr>
                <w:sz w:val="13"/>
                <w:szCs w:val="13"/>
                <w:lang w:val="en-US"/>
              </w:rPr>
              <w:t>Çıkışı</w:t>
            </w:r>
            <w:proofErr w:type="spellEnd"/>
          </w:p>
        </w:tc>
        <w:tc>
          <w:tcPr>
            <w:tcW w:w="708" w:type="dxa"/>
            <w:tcBorders>
              <w:left w:val="single" w:sz="4" w:space="0" w:color="auto"/>
              <w:right w:val="single" w:sz="4" w:space="0" w:color="auto"/>
            </w:tcBorders>
            <w:shd w:val="clear" w:color="auto" w:fill="auto"/>
            <w:noWrap/>
            <w:vAlign w:val="bottom"/>
            <w:hideMark/>
          </w:tcPr>
          <w:p w14:paraId="0B41AE99"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71D3D209" w14:textId="19A80DD9" w:rsidR="003D7A11" w:rsidRPr="00271DD2" w:rsidRDefault="003D7A11" w:rsidP="00717AB5">
            <w:pPr>
              <w:jc w:val="right"/>
              <w:rPr>
                <w:bCs/>
                <w:sz w:val="14"/>
              </w:rPr>
            </w:pPr>
            <w:r w:rsidRPr="00271DD2">
              <w:rPr>
                <w:bCs/>
                <w:sz w:val="14"/>
              </w:rPr>
              <w:t>-</w:t>
            </w:r>
          </w:p>
        </w:tc>
        <w:tc>
          <w:tcPr>
            <w:tcW w:w="1336" w:type="dxa"/>
            <w:tcBorders>
              <w:left w:val="single" w:sz="4" w:space="0" w:color="auto"/>
              <w:right w:val="single" w:sz="4" w:space="0" w:color="auto"/>
            </w:tcBorders>
            <w:shd w:val="clear" w:color="auto" w:fill="auto"/>
            <w:noWrap/>
            <w:vAlign w:val="bottom"/>
          </w:tcPr>
          <w:p w14:paraId="662D94C9" w14:textId="5BD4E300" w:rsidR="003D7A11" w:rsidRPr="009016C5" w:rsidRDefault="003D7A11" w:rsidP="00717AB5">
            <w:pPr>
              <w:jc w:val="right"/>
              <w:rPr>
                <w:b/>
                <w:sz w:val="14"/>
              </w:rPr>
            </w:pPr>
            <w:r w:rsidRPr="009016C5">
              <w:rPr>
                <w:b/>
                <w:sz w:val="14"/>
              </w:rPr>
              <w:t>-</w:t>
            </w:r>
          </w:p>
        </w:tc>
      </w:tr>
      <w:tr w:rsidR="003D7A11" w:rsidRPr="009016C5" w14:paraId="7EF6F74B"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27BB092E" w14:textId="77777777" w:rsidR="003D7A11" w:rsidRPr="009016C5" w:rsidRDefault="003D7A11" w:rsidP="003D7A11">
            <w:pPr>
              <w:rPr>
                <w:sz w:val="13"/>
                <w:szCs w:val="13"/>
                <w:lang w:val="en-US"/>
              </w:rPr>
            </w:pPr>
            <w:r w:rsidRPr="009016C5">
              <w:rPr>
                <w:sz w:val="13"/>
                <w:szCs w:val="13"/>
                <w:lang w:val="en-US"/>
              </w:rPr>
              <w:t>3.3</w:t>
            </w:r>
          </w:p>
        </w:tc>
        <w:tc>
          <w:tcPr>
            <w:tcW w:w="5442" w:type="dxa"/>
            <w:tcBorders>
              <w:left w:val="single" w:sz="4" w:space="0" w:color="auto"/>
              <w:right w:val="single" w:sz="4" w:space="0" w:color="auto"/>
            </w:tcBorders>
            <w:shd w:val="clear" w:color="auto" w:fill="auto"/>
            <w:noWrap/>
            <w:vAlign w:val="bottom"/>
            <w:hideMark/>
          </w:tcPr>
          <w:p w14:paraId="4D5BF743" w14:textId="77777777" w:rsidR="003D7A11" w:rsidRPr="009016C5" w:rsidRDefault="003D7A11" w:rsidP="003D7A11">
            <w:pPr>
              <w:rPr>
                <w:sz w:val="13"/>
                <w:szCs w:val="13"/>
                <w:lang w:val="en-US"/>
              </w:rPr>
            </w:pPr>
            <w:proofErr w:type="spellStart"/>
            <w:r w:rsidRPr="009016C5">
              <w:rPr>
                <w:sz w:val="13"/>
                <w:szCs w:val="13"/>
                <w:lang w:val="en-US"/>
              </w:rPr>
              <w:t>İhraç</w:t>
            </w:r>
            <w:proofErr w:type="spellEnd"/>
            <w:r w:rsidRPr="009016C5">
              <w:rPr>
                <w:sz w:val="13"/>
                <w:szCs w:val="13"/>
                <w:lang w:val="en-US"/>
              </w:rPr>
              <w:t xml:space="preserve"> </w:t>
            </w:r>
            <w:proofErr w:type="spellStart"/>
            <w:r w:rsidRPr="009016C5">
              <w:rPr>
                <w:sz w:val="13"/>
                <w:szCs w:val="13"/>
                <w:lang w:val="en-US"/>
              </w:rPr>
              <w:t>Edilen</w:t>
            </w:r>
            <w:proofErr w:type="spellEnd"/>
            <w:r w:rsidRPr="009016C5">
              <w:rPr>
                <w:sz w:val="13"/>
                <w:szCs w:val="13"/>
                <w:lang w:val="en-US"/>
              </w:rPr>
              <w:t xml:space="preserve"> Sermaye </w:t>
            </w:r>
            <w:proofErr w:type="spellStart"/>
            <w:r w:rsidRPr="009016C5">
              <w:rPr>
                <w:sz w:val="13"/>
                <w:szCs w:val="13"/>
                <w:lang w:val="en-US"/>
              </w:rPr>
              <w:t>Araçları</w:t>
            </w:r>
            <w:proofErr w:type="spellEnd"/>
            <w:r w:rsidRPr="009016C5">
              <w:rPr>
                <w:sz w:val="13"/>
                <w:szCs w:val="13"/>
                <w:lang w:val="en-US"/>
              </w:rPr>
              <w:t xml:space="preserve"> </w:t>
            </w:r>
            <w:r w:rsidRPr="009016C5">
              <w:rPr>
                <w:sz w:val="13"/>
                <w:szCs w:val="13"/>
                <w:vertAlign w:val="superscript"/>
                <w:lang w:val="en-US"/>
              </w:rPr>
              <w:t xml:space="preserve"> </w:t>
            </w:r>
            <w:r w:rsidRPr="009016C5">
              <w:rPr>
                <w:sz w:val="13"/>
                <w:szCs w:val="13"/>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5C299F1A"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43C99983" w14:textId="1DAB6F7B" w:rsidR="003D7A11" w:rsidRPr="00271DD2" w:rsidRDefault="003D7A11" w:rsidP="00717AB5">
            <w:pPr>
              <w:jc w:val="right"/>
              <w:rPr>
                <w:bCs/>
                <w:sz w:val="14"/>
              </w:rPr>
            </w:pPr>
            <w:r w:rsidRPr="00271DD2">
              <w:rPr>
                <w:bCs/>
                <w:sz w:val="14"/>
              </w:rPr>
              <w:t>388,645</w:t>
            </w:r>
          </w:p>
        </w:tc>
        <w:tc>
          <w:tcPr>
            <w:tcW w:w="1336" w:type="dxa"/>
            <w:tcBorders>
              <w:left w:val="single" w:sz="4" w:space="0" w:color="auto"/>
              <w:right w:val="single" w:sz="4" w:space="0" w:color="auto"/>
            </w:tcBorders>
            <w:shd w:val="clear" w:color="auto" w:fill="auto"/>
            <w:noWrap/>
            <w:vAlign w:val="bottom"/>
          </w:tcPr>
          <w:p w14:paraId="2813141A" w14:textId="7A5AD34F" w:rsidR="003D7A11" w:rsidRPr="009016C5" w:rsidRDefault="003D7A11" w:rsidP="00717AB5">
            <w:pPr>
              <w:jc w:val="right"/>
              <w:rPr>
                <w:b/>
                <w:sz w:val="14"/>
              </w:rPr>
            </w:pPr>
            <w:r w:rsidRPr="009016C5">
              <w:rPr>
                <w:b/>
                <w:sz w:val="14"/>
              </w:rPr>
              <w:t>-</w:t>
            </w:r>
          </w:p>
        </w:tc>
      </w:tr>
      <w:tr w:rsidR="003D7A11" w:rsidRPr="009016C5" w14:paraId="45D44066"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6379EDE2" w14:textId="77777777" w:rsidR="003D7A11" w:rsidRPr="009016C5" w:rsidRDefault="003D7A11" w:rsidP="003D7A11">
            <w:pPr>
              <w:rPr>
                <w:sz w:val="13"/>
                <w:szCs w:val="13"/>
                <w:lang w:val="en-US"/>
              </w:rPr>
            </w:pPr>
            <w:r w:rsidRPr="009016C5">
              <w:rPr>
                <w:sz w:val="13"/>
                <w:szCs w:val="13"/>
                <w:lang w:val="en-US"/>
              </w:rPr>
              <w:t>3.4</w:t>
            </w:r>
          </w:p>
        </w:tc>
        <w:tc>
          <w:tcPr>
            <w:tcW w:w="5442" w:type="dxa"/>
            <w:tcBorders>
              <w:left w:val="single" w:sz="4" w:space="0" w:color="auto"/>
              <w:right w:val="single" w:sz="4" w:space="0" w:color="auto"/>
            </w:tcBorders>
            <w:shd w:val="clear" w:color="auto" w:fill="auto"/>
            <w:noWrap/>
            <w:vAlign w:val="bottom"/>
            <w:hideMark/>
          </w:tcPr>
          <w:p w14:paraId="57A7D7D5" w14:textId="77777777" w:rsidR="003D7A11" w:rsidRPr="009016C5" w:rsidRDefault="003D7A11" w:rsidP="003D7A11">
            <w:pPr>
              <w:rPr>
                <w:sz w:val="13"/>
                <w:szCs w:val="13"/>
                <w:lang w:val="en-US"/>
              </w:rPr>
            </w:pPr>
            <w:proofErr w:type="spellStart"/>
            <w:r w:rsidRPr="009016C5">
              <w:rPr>
                <w:sz w:val="13"/>
                <w:szCs w:val="13"/>
                <w:lang w:val="en-US"/>
              </w:rPr>
              <w:t>Temettü</w:t>
            </w:r>
            <w:proofErr w:type="spellEnd"/>
            <w:r w:rsidRPr="009016C5">
              <w:rPr>
                <w:sz w:val="13"/>
                <w:szCs w:val="13"/>
                <w:lang w:val="en-US"/>
              </w:rPr>
              <w:t xml:space="preserve"> </w:t>
            </w:r>
            <w:proofErr w:type="spellStart"/>
            <w:r w:rsidRPr="009016C5">
              <w:rPr>
                <w:sz w:val="13"/>
                <w:szCs w:val="13"/>
                <w:lang w:val="en-US"/>
              </w:rPr>
              <w:t>Ödemeleri</w:t>
            </w:r>
            <w:proofErr w:type="spellEnd"/>
            <w:r w:rsidRPr="009016C5">
              <w:rPr>
                <w:sz w:val="13"/>
                <w:szCs w:val="13"/>
                <w:vertAlign w:val="superscript"/>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5D0FF353"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47F6950A" w14:textId="44EF758E" w:rsidR="003D7A11" w:rsidRPr="00271DD2" w:rsidRDefault="003D7A11" w:rsidP="00717AB5">
            <w:pPr>
              <w:jc w:val="right"/>
              <w:rPr>
                <w:bCs/>
                <w:sz w:val="14"/>
              </w:rPr>
            </w:pPr>
            <w:r w:rsidRPr="00271DD2">
              <w:rPr>
                <w:bCs/>
                <w:sz w:val="14"/>
              </w:rPr>
              <w:t>(7,280)</w:t>
            </w:r>
          </w:p>
        </w:tc>
        <w:tc>
          <w:tcPr>
            <w:tcW w:w="1336" w:type="dxa"/>
            <w:tcBorders>
              <w:left w:val="single" w:sz="4" w:space="0" w:color="auto"/>
              <w:right w:val="single" w:sz="4" w:space="0" w:color="auto"/>
            </w:tcBorders>
            <w:shd w:val="clear" w:color="auto" w:fill="auto"/>
            <w:noWrap/>
            <w:vAlign w:val="bottom"/>
          </w:tcPr>
          <w:p w14:paraId="59C06AF6" w14:textId="317D9850" w:rsidR="003D7A11" w:rsidRPr="009016C5" w:rsidRDefault="003D7A11" w:rsidP="00717AB5">
            <w:pPr>
              <w:jc w:val="right"/>
              <w:rPr>
                <w:sz w:val="14"/>
              </w:rPr>
            </w:pPr>
            <w:r w:rsidRPr="009016C5">
              <w:rPr>
                <w:bCs/>
                <w:sz w:val="14"/>
              </w:rPr>
              <w:t>-</w:t>
            </w:r>
          </w:p>
        </w:tc>
      </w:tr>
      <w:tr w:rsidR="003D7A11" w:rsidRPr="009016C5" w14:paraId="0BA50D75"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7AB76B82" w14:textId="77777777" w:rsidR="003D7A11" w:rsidRPr="009016C5" w:rsidRDefault="003D7A11" w:rsidP="003D7A11">
            <w:pPr>
              <w:rPr>
                <w:sz w:val="13"/>
                <w:szCs w:val="13"/>
                <w:lang w:val="en-US"/>
              </w:rPr>
            </w:pPr>
            <w:r w:rsidRPr="009016C5">
              <w:rPr>
                <w:sz w:val="13"/>
                <w:szCs w:val="13"/>
                <w:lang w:val="en-US"/>
              </w:rPr>
              <w:t>3.5</w:t>
            </w:r>
          </w:p>
        </w:tc>
        <w:tc>
          <w:tcPr>
            <w:tcW w:w="5442" w:type="dxa"/>
            <w:tcBorders>
              <w:left w:val="single" w:sz="4" w:space="0" w:color="auto"/>
              <w:right w:val="single" w:sz="4" w:space="0" w:color="auto"/>
            </w:tcBorders>
            <w:shd w:val="clear" w:color="auto" w:fill="auto"/>
            <w:noWrap/>
            <w:vAlign w:val="bottom"/>
            <w:hideMark/>
          </w:tcPr>
          <w:p w14:paraId="69A44DFD" w14:textId="4C33AC9A" w:rsidR="003D7A11" w:rsidRPr="009016C5" w:rsidRDefault="003D7A11" w:rsidP="003D7A11">
            <w:pPr>
              <w:rPr>
                <w:sz w:val="13"/>
                <w:szCs w:val="13"/>
                <w:lang w:val="en-US"/>
              </w:rPr>
            </w:pPr>
            <w:proofErr w:type="spellStart"/>
            <w:r w:rsidRPr="009016C5">
              <w:rPr>
                <w:sz w:val="13"/>
                <w:szCs w:val="13"/>
                <w:lang w:val="en-US"/>
              </w:rPr>
              <w:t>Kiralamaya</w:t>
            </w:r>
            <w:proofErr w:type="spellEnd"/>
            <w:r w:rsidRPr="009016C5">
              <w:rPr>
                <w:sz w:val="13"/>
                <w:szCs w:val="13"/>
                <w:lang w:val="en-US"/>
              </w:rPr>
              <w:t xml:space="preserve"> </w:t>
            </w:r>
            <w:proofErr w:type="spellStart"/>
            <w:r w:rsidRPr="009016C5">
              <w:rPr>
                <w:sz w:val="13"/>
                <w:szCs w:val="13"/>
                <w:lang w:val="en-US"/>
              </w:rPr>
              <w:t>İlişkin</w:t>
            </w:r>
            <w:proofErr w:type="spellEnd"/>
            <w:r w:rsidRPr="009016C5">
              <w:rPr>
                <w:sz w:val="13"/>
                <w:szCs w:val="13"/>
                <w:lang w:val="en-US"/>
              </w:rPr>
              <w:t xml:space="preserve"> Ödemeler (*)</w:t>
            </w:r>
          </w:p>
        </w:tc>
        <w:tc>
          <w:tcPr>
            <w:tcW w:w="708" w:type="dxa"/>
            <w:tcBorders>
              <w:left w:val="single" w:sz="4" w:space="0" w:color="auto"/>
              <w:right w:val="single" w:sz="4" w:space="0" w:color="auto"/>
            </w:tcBorders>
            <w:shd w:val="clear" w:color="auto" w:fill="auto"/>
            <w:noWrap/>
            <w:vAlign w:val="bottom"/>
            <w:hideMark/>
          </w:tcPr>
          <w:p w14:paraId="5F50D52D"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3B0EF943" w14:textId="1B94B638" w:rsidR="003D7A11" w:rsidRPr="00271DD2" w:rsidRDefault="003D7A11" w:rsidP="00717AB5">
            <w:pPr>
              <w:jc w:val="right"/>
              <w:rPr>
                <w:bCs/>
                <w:sz w:val="14"/>
              </w:rPr>
            </w:pPr>
            <w:r w:rsidRPr="00271DD2">
              <w:rPr>
                <w:bCs/>
                <w:sz w:val="14"/>
              </w:rPr>
              <w:t>(47,376)</w:t>
            </w:r>
          </w:p>
        </w:tc>
        <w:tc>
          <w:tcPr>
            <w:tcW w:w="1336" w:type="dxa"/>
            <w:tcBorders>
              <w:left w:val="single" w:sz="4" w:space="0" w:color="auto"/>
              <w:right w:val="single" w:sz="4" w:space="0" w:color="auto"/>
            </w:tcBorders>
            <w:shd w:val="clear" w:color="auto" w:fill="auto"/>
            <w:noWrap/>
            <w:vAlign w:val="bottom"/>
          </w:tcPr>
          <w:p w14:paraId="487D57FB" w14:textId="518E31DF" w:rsidR="003D7A11" w:rsidRPr="009016C5" w:rsidRDefault="003D7A11" w:rsidP="00717AB5">
            <w:pPr>
              <w:jc w:val="right"/>
              <w:rPr>
                <w:b/>
                <w:sz w:val="14"/>
              </w:rPr>
            </w:pPr>
            <w:r w:rsidRPr="009016C5">
              <w:rPr>
                <w:bCs/>
                <w:sz w:val="14"/>
              </w:rPr>
              <w:t>(43,222)</w:t>
            </w:r>
          </w:p>
        </w:tc>
      </w:tr>
      <w:tr w:rsidR="003D7A11" w:rsidRPr="009016C5" w14:paraId="3EC2E169"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5601E9BD" w14:textId="77777777" w:rsidR="003D7A11" w:rsidRPr="009016C5" w:rsidRDefault="003D7A11" w:rsidP="003D7A11">
            <w:pPr>
              <w:rPr>
                <w:sz w:val="13"/>
                <w:szCs w:val="13"/>
                <w:lang w:val="en-US"/>
              </w:rPr>
            </w:pPr>
            <w:r w:rsidRPr="009016C5">
              <w:rPr>
                <w:sz w:val="13"/>
                <w:szCs w:val="13"/>
                <w:lang w:val="en-US"/>
              </w:rPr>
              <w:t>3.6</w:t>
            </w:r>
          </w:p>
        </w:tc>
        <w:tc>
          <w:tcPr>
            <w:tcW w:w="5442" w:type="dxa"/>
            <w:tcBorders>
              <w:left w:val="single" w:sz="4" w:space="0" w:color="auto"/>
              <w:right w:val="single" w:sz="4" w:space="0" w:color="auto"/>
            </w:tcBorders>
            <w:shd w:val="clear" w:color="auto" w:fill="auto"/>
            <w:noWrap/>
            <w:vAlign w:val="bottom"/>
            <w:hideMark/>
          </w:tcPr>
          <w:p w14:paraId="2270E642" w14:textId="77777777" w:rsidR="003D7A11" w:rsidRPr="009016C5" w:rsidRDefault="003D7A11" w:rsidP="003D7A11">
            <w:pPr>
              <w:rPr>
                <w:sz w:val="13"/>
                <w:szCs w:val="13"/>
                <w:lang w:val="en-US"/>
              </w:rPr>
            </w:pPr>
            <w:proofErr w:type="spellStart"/>
            <w:r w:rsidRPr="009016C5">
              <w:rPr>
                <w:sz w:val="13"/>
                <w:szCs w:val="13"/>
                <w:lang w:val="en-US"/>
              </w:rPr>
              <w:t>Diğer</w:t>
            </w:r>
            <w:proofErr w:type="spellEnd"/>
            <w:r w:rsidRPr="009016C5">
              <w:rPr>
                <w:sz w:val="13"/>
                <w:szCs w:val="13"/>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603E2959" w14:textId="77777777" w:rsidR="003D7A11" w:rsidRPr="009016C5" w:rsidRDefault="003D7A11" w:rsidP="003D7A11">
            <w:pPr>
              <w:jc w:val="center"/>
              <w:rPr>
                <w:sz w:val="13"/>
                <w:szCs w:val="13"/>
                <w:lang w:val="en-US"/>
              </w:rPr>
            </w:pPr>
            <w:r w:rsidRPr="009016C5">
              <w:rPr>
                <w:sz w:val="13"/>
                <w:szCs w:val="13"/>
                <w:lang w:val="en-US"/>
              </w:rPr>
              <w:t> </w:t>
            </w:r>
          </w:p>
        </w:tc>
        <w:tc>
          <w:tcPr>
            <w:tcW w:w="1276" w:type="dxa"/>
            <w:tcBorders>
              <w:left w:val="single" w:sz="4" w:space="0" w:color="auto"/>
              <w:right w:val="single" w:sz="4" w:space="0" w:color="auto"/>
            </w:tcBorders>
            <w:shd w:val="clear" w:color="auto" w:fill="auto"/>
            <w:vAlign w:val="bottom"/>
          </w:tcPr>
          <w:p w14:paraId="4BC51E16" w14:textId="6BC02009" w:rsidR="003D7A11" w:rsidRPr="00271DD2" w:rsidRDefault="003D7A11" w:rsidP="00717AB5">
            <w:pPr>
              <w:jc w:val="right"/>
              <w:rPr>
                <w:bCs/>
                <w:sz w:val="14"/>
              </w:rPr>
            </w:pPr>
            <w:r w:rsidRPr="00271DD2">
              <w:rPr>
                <w:bCs/>
                <w:sz w:val="14"/>
              </w:rPr>
              <w:t>-</w:t>
            </w:r>
          </w:p>
        </w:tc>
        <w:tc>
          <w:tcPr>
            <w:tcW w:w="1336" w:type="dxa"/>
            <w:tcBorders>
              <w:left w:val="single" w:sz="4" w:space="0" w:color="auto"/>
              <w:right w:val="single" w:sz="4" w:space="0" w:color="auto"/>
            </w:tcBorders>
            <w:shd w:val="clear" w:color="auto" w:fill="auto"/>
            <w:noWrap/>
            <w:vAlign w:val="bottom"/>
          </w:tcPr>
          <w:p w14:paraId="64201B44" w14:textId="5ED2C591" w:rsidR="003D7A11" w:rsidRPr="009016C5" w:rsidRDefault="003D7A11" w:rsidP="00717AB5">
            <w:pPr>
              <w:jc w:val="right"/>
              <w:rPr>
                <w:b/>
                <w:sz w:val="14"/>
              </w:rPr>
            </w:pPr>
            <w:r w:rsidRPr="009016C5">
              <w:rPr>
                <w:b/>
                <w:sz w:val="14"/>
              </w:rPr>
              <w:t>-</w:t>
            </w:r>
          </w:p>
        </w:tc>
      </w:tr>
      <w:tr w:rsidR="003D7A11" w:rsidRPr="009016C5" w14:paraId="6255071C"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554E4D96"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38036888" w14:textId="77777777" w:rsidR="003D7A11" w:rsidRPr="009016C5" w:rsidRDefault="003D7A11" w:rsidP="003D7A11">
            <w:pPr>
              <w:rPr>
                <w:sz w:val="13"/>
                <w:szCs w:val="13"/>
                <w:lang w:val="en-US"/>
              </w:rPr>
            </w:pPr>
            <w:r w:rsidRPr="009016C5">
              <w:rPr>
                <w:sz w:val="13"/>
                <w:szCs w:val="13"/>
                <w:lang w:val="en-US"/>
              </w:rPr>
              <w:t> </w:t>
            </w:r>
          </w:p>
        </w:tc>
        <w:tc>
          <w:tcPr>
            <w:tcW w:w="708" w:type="dxa"/>
            <w:tcBorders>
              <w:left w:val="single" w:sz="4" w:space="0" w:color="auto"/>
              <w:right w:val="single" w:sz="4" w:space="0" w:color="auto"/>
            </w:tcBorders>
            <w:shd w:val="clear" w:color="auto" w:fill="auto"/>
            <w:noWrap/>
            <w:vAlign w:val="bottom"/>
          </w:tcPr>
          <w:p w14:paraId="75CDF89A" w14:textId="77777777" w:rsidR="003D7A11" w:rsidRPr="009016C5" w:rsidRDefault="003D7A11" w:rsidP="003D7A11">
            <w:pPr>
              <w:jc w:val="center"/>
              <w:rPr>
                <w:sz w:val="13"/>
                <w:szCs w:val="13"/>
                <w:lang w:val="en-US"/>
              </w:rPr>
            </w:pPr>
          </w:p>
        </w:tc>
        <w:tc>
          <w:tcPr>
            <w:tcW w:w="1276" w:type="dxa"/>
            <w:tcBorders>
              <w:left w:val="single" w:sz="4" w:space="0" w:color="auto"/>
              <w:right w:val="single" w:sz="4" w:space="0" w:color="auto"/>
            </w:tcBorders>
            <w:shd w:val="clear" w:color="auto" w:fill="auto"/>
            <w:vAlign w:val="bottom"/>
          </w:tcPr>
          <w:p w14:paraId="79C72BEB" w14:textId="4499F2BA"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68ECDFDD" w14:textId="77777777" w:rsidR="003D7A11" w:rsidRPr="009016C5" w:rsidRDefault="003D7A11" w:rsidP="00717AB5">
            <w:pPr>
              <w:jc w:val="right"/>
              <w:rPr>
                <w:b/>
                <w:sz w:val="14"/>
              </w:rPr>
            </w:pPr>
          </w:p>
        </w:tc>
      </w:tr>
      <w:tr w:rsidR="003D7A11" w:rsidRPr="009016C5" w14:paraId="3A0DF74A" w14:textId="77777777" w:rsidTr="00717AB5">
        <w:trPr>
          <w:trHeight w:val="48"/>
        </w:trPr>
        <w:tc>
          <w:tcPr>
            <w:tcW w:w="541" w:type="dxa"/>
            <w:tcBorders>
              <w:left w:val="single" w:sz="4" w:space="0" w:color="auto"/>
              <w:right w:val="single" w:sz="4" w:space="0" w:color="auto"/>
            </w:tcBorders>
            <w:shd w:val="clear" w:color="auto" w:fill="auto"/>
            <w:noWrap/>
            <w:vAlign w:val="bottom"/>
            <w:hideMark/>
          </w:tcPr>
          <w:p w14:paraId="72FEB79A" w14:textId="77777777" w:rsidR="003D7A11" w:rsidRPr="009016C5" w:rsidRDefault="003D7A11" w:rsidP="003D7A11">
            <w:pPr>
              <w:rPr>
                <w:b/>
                <w:bCs/>
                <w:sz w:val="13"/>
                <w:szCs w:val="13"/>
                <w:lang w:val="en-US"/>
              </w:rPr>
            </w:pPr>
            <w:r w:rsidRPr="009016C5">
              <w:rPr>
                <w:b/>
                <w:bCs/>
                <w:sz w:val="13"/>
                <w:szCs w:val="13"/>
                <w:lang w:val="en-US"/>
              </w:rPr>
              <w:t>IV.</w:t>
            </w:r>
          </w:p>
        </w:tc>
        <w:tc>
          <w:tcPr>
            <w:tcW w:w="5442" w:type="dxa"/>
            <w:tcBorders>
              <w:left w:val="single" w:sz="4" w:space="0" w:color="auto"/>
              <w:right w:val="single" w:sz="4" w:space="0" w:color="auto"/>
            </w:tcBorders>
            <w:shd w:val="clear" w:color="auto" w:fill="auto"/>
            <w:noWrap/>
            <w:vAlign w:val="bottom"/>
            <w:hideMark/>
          </w:tcPr>
          <w:p w14:paraId="30D68782" w14:textId="77777777" w:rsidR="003D7A11" w:rsidRPr="009016C5" w:rsidRDefault="003D7A11" w:rsidP="003D7A11">
            <w:pPr>
              <w:rPr>
                <w:b/>
                <w:sz w:val="13"/>
                <w:szCs w:val="13"/>
                <w:lang w:val="en-US"/>
              </w:rPr>
            </w:pPr>
            <w:proofErr w:type="spellStart"/>
            <w:r w:rsidRPr="009016C5">
              <w:rPr>
                <w:b/>
                <w:sz w:val="13"/>
                <w:szCs w:val="13"/>
                <w:lang w:val="en-US"/>
              </w:rPr>
              <w:t>Yabancı</w:t>
            </w:r>
            <w:proofErr w:type="spellEnd"/>
            <w:r w:rsidRPr="009016C5">
              <w:rPr>
                <w:b/>
                <w:sz w:val="13"/>
                <w:szCs w:val="13"/>
                <w:lang w:val="en-US"/>
              </w:rPr>
              <w:t xml:space="preserve"> Para </w:t>
            </w:r>
            <w:proofErr w:type="spellStart"/>
            <w:r w:rsidRPr="009016C5">
              <w:rPr>
                <w:b/>
                <w:sz w:val="13"/>
                <w:szCs w:val="13"/>
                <w:lang w:val="en-US"/>
              </w:rPr>
              <w:t>Çevrim</w:t>
            </w:r>
            <w:proofErr w:type="spellEnd"/>
            <w:r w:rsidRPr="009016C5">
              <w:rPr>
                <w:b/>
                <w:sz w:val="13"/>
                <w:szCs w:val="13"/>
                <w:lang w:val="en-US"/>
              </w:rPr>
              <w:t xml:space="preserve"> </w:t>
            </w:r>
            <w:proofErr w:type="spellStart"/>
            <w:r w:rsidRPr="009016C5">
              <w:rPr>
                <w:b/>
                <w:sz w:val="13"/>
                <w:szCs w:val="13"/>
                <w:lang w:val="en-US"/>
              </w:rPr>
              <w:t>Farklarının</w:t>
            </w:r>
            <w:proofErr w:type="spellEnd"/>
            <w:r w:rsidRPr="009016C5">
              <w:rPr>
                <w:b/>
                <w:sz w:val="13"/>
                <w:szCs w:val="13"/>
                <w:lang w:val="en-US"/>
              </w:rPr>
              <w:t xml:space="preserve"> </w:t>
            </w:r>
            <w:proofErr w:type="spellStart"/>
            <w:r w:rsidRPr="009016C5">
              <w:rPr>
                <w:b/>
                <w:sz w:val="13"/>
                <w:szCs w:val="13"/>
                <w:lang w:val="en-US"/>
              </w:rPr>
              <w:t>Nakit</w:t>
            </w:r>
            <w:proofErr w:type="spellEnd"/>
            <w:r w:rsidRPr="009016C5">
              <w:rPr>
                <w:b/>
                <w:sz w:val="13"/>
                <w:szCs w:val="13"/>
                <w:lang w:val="en-US"/>
              </w:rPr>
              <w:t xml:space="preserve"> ve </w:t>
            </w:r>
            <w:proofErr w:type="spellStart"/>
            <w:r w:rsidRPr="009016C5">
              <w:rPr>
                <w:b/>
                <w:sz w:val="13"/>
                <w:szCs w:val="13"/>
                <w:lang w:val="en-US"/>
              </w:rPr>
              <w:t>Nakde</w:t>
            </w:r>
            <w:proofErr w:type="spellEnd"/>
            <w:r w:rsidRPr="009016C5">
              <w:rPr>
                <w:b/>
                <w:sz w:val="13"/>
                <w:szCs w:val="13"/>
                <w:lang w:val="en-US"/>
              </w:rPr>
              <w:t xml:space="preserve"> </w:t>
            </w:r>
            <w:proofErr w:type="spellStart"/>
            <w:r w:rsidRPr="009016C5">
              <w:rPr>
                <w:b/>
                <w:sz w:val="13"/>
                <w:szCs w:val="13"/>
                <w:lang w:val="en-US"/>
              </w:rPr>
              <w:t>Eşdeğer</w:t>
            </w:r>
            <w:proofErr w:type="spellEnd"/>
            <w:r w:rsidRPr="009016C5">
              <w:rPr>
                <w:b/>
                <w:sz w:val="13"/>
                <w:szCs w:val="13"/>
                <w:lang w:val="en-US"/>
              </w:rPr>
              <w:t xml:space="preserve"> </w:t>
            </w:r>
            <w:proofErr w:type="spellStart"/>
            <w:r w:rsidRPr="009016C5">
              <w:rPr>
                <w:b/>
                <w:sz w:val="13"/>
                <w:szCs w:val="13"/>
                <w:lang w:val="en-US"/>
              </w:rPr>
              <w:t>Varlıklar</w:t>
            </w:r>
            <w:proofErr w:type="spellEnd"/>
            <w:r w:rsidRPr="009016C5">
              <w:rPr>
                <w:b/>
                <w:sz w:val="13"/>
                <w:szCs w:val="13"/>
                <w:lang w:val="en-US"/>
              </w:rPr>
              <w:t xml:space="preserve"> </w:t>
            </w:r>
            <w:proofErr w:type="spellStart"/>
            <w:r w:rsidRPr="009016C5">
              <w:rPr>
                <w:b/>
                <w:sz w:val="13"/>
                <w:szCs w:val="13"/>
                <w:lang w:val="en-US"/>
              </w:rPr>
              <w:t>Üzerindeki</w:t>
            </w:r>
            <w:proofErr w:type="spellEnd"/>
            <w:r w:rsidRPr="009016C5">
              <w:rPr>
                <w:b/>
                <w:sz w:val="13"/>
                <w:szCs w:val="13"/>
                <w:lang w:val="en-US"/>
              </w:rPr>
              <w:t xml:space="preserve"> </w:t>
            </w:r>
            <w:proofErr w:type="spellStart"/>
            <w:r w:rsidRPr="009016C5">
              <w:rPr>
                <w:b/>
                <w:sz w:val="13"/>
                <w:szCs w:val="13"/>
                <w:lang w:val="en-US"/>
              </w:rPr>
              <w:t>Etkisi</w:t>
            </w:r>
            <w:proofErr w:type="spellEnd"/>
            <w:r w:rsidRPr="009016C5">
              <w:rPr>
                <w:b/>
                <w:sz w:val="13"/>
                <w:szCs w:val="13"/>
                <w:lang w:val="en-US"/>
              </w:rPr>
              <w:t xml:space="preserve"> </w:t>
            </w:r>
          </w:p>
        </w:tc>
        <w:tc>
          <w:tcPr>
            <w:tcW w:w="708" w:type="dxa"/>
            <w:tcBorders>
              <w:left w:val="single" w:sz="4" w:space="0" w:color="auto"/>
              <w:right w:val="single" w:sz="4" w:space="0" w:color="auto"/>
            </w:tcBorders>
            <w:shd w:val="clear" w:color="auto" w:fill="auto"/>
            <w:noWrap/>
            <w:vAlign w:val="bottom"/>
          </w:tcPr>
          <w:p w14:paraId="311943BE" w14:textId="77777777" w:rsidR="003D7A11" w:rsidRPr="009016C5" w:rsidRDefault="003D7A11" w:rsidP="003D7A11">
            <w:pPr>
              <w:jc w:val="center"/>
              <w:rPr>
                <w:sz w:val="13"/>
                <w:szCs w:val="13"/>
                <w:lang w:val="en-US"/>
              </w:rPr>
            </w:pPr>
            <w:r w:rsidRPr="009016C5">
              <w:rPr>
                <w:b/>
                <w:sz w:val="13"/>
                <w:szCs w:val="13"/>
              </w:rPr>
              <w:t>(5.5.4)</w:t>
            </w:r>
          </w:p>
        </w:tc>
        <w:tc>
          <w:tcPr>
            <w:tcW w:w="1276" w:type="dxa"/>
            <w:tcBorders>
              <w:left w:val="single" w:sz="4" w:space="0" w:color="auto"/>
              <w:right w:val="single" w:sz="4" w:space="0" w:color="auto"/>
            </w:tcBorders>
            <w:shd w:val="clear" w:color="auto" w:fill="auto"/>
            <w:vAlign w:val="bottom"/>
          </w:tcPr>
          <w:p w14:paraId="3148AEBC" w14:textId="19706797" w:rsidR="003D7A11" w:rsidRPr="009016C5" w:rsidRDefault="003D7A11" w:rsidP="00717AB5">
            <w:pPr>
              <w:jc w:val="right"/>
              <w:rPr>
                <w:b/>
                <w:sz w:val="14"/>
              </w:rPr>
            </w:pPr>
            <w:r w:rsidRPr="009016C5">
              <w:rPr>
                <w:b/>
                <w:sz w:val="14"/>
              </w:rPr>
              <w:t>3,845,560</w:t>
            </w:r>
          </w:p>
        </w:tc>
        <w:tc>
          <w:tcPr>
            <w:tcW w:w="1336" w:type="dxa"/>
            <w:tcBorders>
              <w:left w:val="single" w:sz="4" w:space="0" w:color="auto"/>
              <w:right w:val="single" w:sz="4" w:space="0" w:color="auto"/>
            </w:tcBorders>
            <w:shd w:val="clear" w:color="auto" w:fill="auto"/>
            <w:noWrap/>
            <w:vAlign w:val="bottom"/>
          </w:tcPr>
          <w:p w14:paraId="4C642C8D" w14:textId="07C9427B" w:rsidR="003D7A11" w:rsidRPr="009016C5" w:rsidRDefault="003D7A11" w:rsidP="00717AB5">
            <w:pPr>
              <w:jc w:val="right"/>
              <w:rPr>
                <w:b/>
                <w:sz w:val="14"/>
              </w:rPr>
            </w:pPr>
            <w:r w:rsidRPr="009016C5">
              <w:rPr>
                <w:b/>
                <w:sz w:val="14"/>
              </w:rPr>
              <w:t>1,472,312</w:t>
            </w:r>
          </w:p>
        </w:tc>
      </w:tr>
      <w:tr w:rsidR="003D7A11" w:rsidRPr="009016C5" w14:paraId="3C7B6946"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44D49219"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29F5961C" w14:textId="77777777" w:rsidR="003D7A11" w:rsidRPr="009016C5" w:rsidRDefault="003D7A11" w:rsidP="003D7A11">
            <w:pPr>
              <w:rPr>
                <w:b/>
                <w:sz w:val="13"/>
                <w:szCs w:val="13"/>
                <w:lang w:val="en-US"/>
              </w:rPr>
            </w:pPr>
          </w:p>
        </w:tc>
        <w:tc>
          <w:tcPr>
            <w:tcW w:w="708" w:type="dxa"/>
            <w:tcBorders>
              <w:left w:val="single" w:sz="4" w:space="0" w:color="auto"/>
              <w:right w:val="single" w:sz="4" w:space="0" w:color="auto"/>
            </w:tcBorders>
            <w:shd w:val="clear" w:color="auto" w:fill="auto"/>
            <w:noWrap/>
            <w:vAlign w:val="bottom"/>
          </w:tcPr>
          <w:p w14:paraId="4D8C7F85" w14:textId="77777777" w:rsidR="003D7A11" w:rsidRPr="009016C5" w:rsidRDefault="003D7A11" w:rsidP="003D7A11">
            <w:pPr>
              <w:rPr>
                <w:sz w:val="13"/>
                <w:szCs w:val="13"/>
                <w:lang w:val="en-US"/>
              </w:rPr>
            </w:pPr>
          </w:p>
        </w:tc>
        <w:tc>
          <w:tcPr>
            <w:tcW w:w="1276" w:type="dxa"/>
            <w:tcBorders>
              <w:left w:val="single" w:sz="4" w:space="0" w:color="auto"/>
              <w:right w:val="single" w:sz="4" w:space="0" w:color="auto"/>
            </w:tcBorders>
            <w:shd w:val="clear" w:color="auto" w:fill="auto"/>
            <w:vAlign w:val="bottom"/>
          </w:tcPr>
          <w:p w14:paraId="2204F8DF" w14:textId="4F0817D0"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33CC378A" w14:textId="77777777" w:rsidR="003D7A11" w:rsidRPr="009016C5" w:rsidRDefault="003D7A11" w:rsidP="00717AB5">
            <w:pPr>
              <w:jc w:val="right"/>
              <w:rPr>
                <w:b/>
                <w:sz w:val="14"/>
              </w:rPr>
            </w:pPr>
          </w:p>
        </w:tc>
      </w:tr>
      <w:tr w:rsidR="003D7A11" w:rsidRPr="009016C5" w14:paraId="7CDCAD94" w14:textId="77777777" w:rsidTr="00717AB5">
        <w:trPr>
          <w:trHeight w:val="48"/>
        </w:trPr>
        <w:tc>
          <w:tcPr>
            <w:tcW w:w="541" w:type="dxa"/>
            <w:tcBorders>
              <w:left w:val="single" w:sz="4" w:space="0" w:color="auto"/>
              <w:right w:val="single" w:sz="4" w:space="0" w:color="auto"/>
            </w:tcBorders>
            <w:shd w:val="clear" w:color="auto" w:fill="auto"/>
            <w:noWrap/>
            <w:vAlign w:val="bottom"/>
            <w:hideMark/>
          </w:tcPr>
          <w:p w14:paraId="6582687C" w14:textId="77777777" w:rsidR="003D7A11" w:rsidRPr="009016C5" w:rsidRDefault="003D7A11" w:rsidP="003D7A11">
            <w:pPr>
              <w:rPr>
                <w:b/>
                <w:bCs/>
                <w:sz w:val="13"/>
                <w:szCs w:val="13"/>
                <w:lang w:val="en-US"/>
              </w:rPr>
            </w:pPr>
            <w:r w:rsidRPr="009016C5">
              <w:rPr>
                <w:b/>
                <w:bCs/>
                <w:sz w:val="13"/>
                <w:szCs w:val="13"/>
                <w:lang w:val="en-US"/>
              </w:rPr>
              <w:t>V.</w:t>
            </w:r>
          </w:p>
        </w:tc>
        <w:tc>
          <w:tcPr>
            <w:tcW w:w="5442" w:type="dxa"/>
            <w:tcBorders>
              <w:left w:val="single" w:sz="4" w:space="0" w:color="auto"/>
              <w:right w:val="single" w:sz="4" w:space="0" w:color="auto"/>
            </w:tcBorders>
            <w:shd w:val="clear" w:color="auto" w:fill="auto"/>
            <w:noWrap/>
            <w:vAlign w:val="bottom"/>
            <w:hideMark/>
          </w:tcPr>
          <w:p w14:paraId="56EF56E1" w14:textId="77777777" w:rsidR="003D7A11" w:rsidRPr="009016C5" w:rsidRDefault="003D7A11" w:rsidP="003D7A11">
            <w:pPr>
              <w:rPr>
                <w:b/>
                <w:sz w:val="13"/>
                <w:szCs w:val="13"/>
                <w:lang w:val="en-US"/>
              </w:rPr>
            </w:pPr>
            <w:proofErr w:type="spellStart"/>
            <w:r w:rsidRPr="009016C5">
              <w:rPr>
                <w:b/>
                <w:sz w:val="13"/>
                <w:szCs w:val="13"/>
                <w:lang w:val="en-US"/>
              </w:rPr>
              <w:t>Nakit</w:t>
            </w:r>
            <w:proofErr w:type="spellEnd"/>
            <w:r w:rsidRPr="009016C5">
              <w:rPr>
                <w:b/>
                <w:sz w:val="13"/>
                <w:szCs w:val="13"/>
                <w:lang w:val="en-US"/>
              </w:rPr>
              <w:t xml:space="preserve"> ve </w:t>
            </w:r>
            <w:proofErr w:type="spellStart"/>
            <w:r w:rsidRPr="009016C5">
              <w:rPr>
                <w:b/>
                <w:sz w:val="13"/>
                <w:szCs w:val="13"/>
                <w:lang w:val="en-US"/>
              </w:rPr>
              <w:t>Nakde</w:t>
            </w:r>
            <w:proofErr w:type="spellEnd"/>
            <w:r w:rsidRPr="009016C5">
              <w:rPr>
                <w:b/>
                <w:sz w:val="13"/>
                <w:szCs w:val="13"/>
                <w:lang w:val="en-US"/>
              </w:rPr>
              <w:t xml:space="preserve"> </w:t>
            </w:r>
            <w:proofErr w:type="spellStart"/>
            <w:r w:rsidRPr="009016C5">
              <w:rPr>
                <w:b/>
                <w:sz w:val="13"/>
                <w:szCs w:val="13"/>
                <w:lang w:val="en-US"/>
              </w:rPr>
              <w:t>Eşdeğer</w:t>
            </w:r>
            <w:proofErr w:type="spellEnd"/>
            <w:r w:rsidRPr="009016C5">
              <w:rPr>
                <w:b/>
                <w:sz w:val="13"/>
                <w:szCs w:val="13"/>
                <w:lang w:val="en-US"/>
              </w:rPr>
              <w:t xml:space="preserve"> </w:t>
            </w:r>
            <w:proofErr w:type="spellStart"/>
            <w:r w:rsidRPr="009016C5">
              <w:rPr>
                <w:b/>
                <w:sz w:val="13"/>
                <w:szCs w:val="13"/>
                <w:lang w:val="en-US"/>
              </w:rPr>
              <w:t>Varlıklardaki</w:t>
            </w:r>
            <w:proofErr w:type="spellEnd"/>
            <w:r w:rsidRPr="009016C5">
              <w:rPr>
                <w:b/>
                <w:sz w:val="13"/>
                <w:szCs w:val="13"/>
                <w:lang w:val="en-US"/>
              </w:rPr>
              <w:t xml:space="preserve"> Net </w:t>
            </w:r>
            <w:proofErr w:type="spellStart"/>
            <w:r w:rsidRPr="009016C5">
              <w:rPr>
                <w:b/>
                <w:sz w:val="13"/>
                <w:szCs w:val="13"/>
                <w:lang w:val="en-US"/>
              </w:rPr>
              <w:t>Artış</w:t>
            </w:r>
            <w:proofErr w:type="spellEnd"/>
          </w:p>
        </w:tc>
        <w:tc>
          <w:tcPr>
            <w:tcW w:w="708" w:type="dxa"/>
            <w:tcBorders>
              <w:left w:val="single" w:sz="4" w:space="0" w:color="auto"/>
              <w:right w:val="single" w:sz="4" w:space="0" w:color="auto"/>
            </w:tcBorders>
            <w:shd w:val="clear" w:color="auto" w:fill="auto"/>
            <w:noWrap/>
            <w:vAlign w:val="bottom"/>
          </w:tcPr>
          <w:p w14:paraId="36E4DCEA" w14:textId="77777777" w:rsidR="003D7A11" w:rsidRPr="009016C5" w:rsidRDefault="003D7A11" w:rsidP="003D7A11">
            <w:pPr>
              <w:rPr>
                <w:sz w:val="13"/>
                <w:szCs w:val="13"/>
                <w:lang w:val="en-US"/>
              </w:rPr>
            </w:pPr>
          </w:p>
        </w:tc>
        <w:tc>
          <w:tcPr>
            <w:tcW w:w="1276" w:type="dxa"/>
            <w:tcBorders>
              <w:left w:val="single" w:sz="4" w:space="0" w:color="auto"/>
              <w:right w:val="single" w:sz="4" w:space="0" w:color="auto"/>
            </w:tcBorders>
            <w:shd w:val="clear" w:color="auto" w:fill="auto"/>
            <w:vAlign w:val="bottom"/>
          </w:tcPr>
          <w:p w14:paraId="04FBDB6C" w14:textId="6EBFA3C8" w:rsidR="003D7A11" w:rsidRPr="009016C5" w:rsidRDefault="003D7A11" w:rsidP="00717AB5">
            <w:pPr>
              <w:jc w:val="right"/>
              <w:rPr>
                <w:b/>
                <w:sz w:val="14"/>
              </w:rPr>
            </w:pPr>
            <w:r w:rsidRPr="009016C5">
              <w:rPr>
                <w:b/>
                <w:sz w:val="14"/>
              </w:rPr>
              <w:t>(9,868,81</w:t>
            </w:r>
            <w:r w:rsidR="00271DD2">
              <w:rPr>
                <w:b/>
                <w:sz w:val="14"/>
              </w:rPr>
              <w:t>2</w:t>
            </w:r>
            <w:r w:rsidRPr="009016C5">
              <w:rPr>
                <w:b/>
                <w:sz w:val="14"/>
              </w:rPr>
              <w:t>)</w:t>
            </w:r>
          </w:p>
        </w:tc>
        <w:tc>
          <w:tcPr>
            <w:tcW w:w="1336" w:type="dxa"/>
            <w:tcBorders>
              <w:left w:val="single" w:sz="4" w:space="0" w:color="auto"/>
              <w:right w:val="single" w:sz="4" w:space="0" w:color="auto"/>
            </w:tcBorders>
            <w:shd w:val="clear" w:color="auto" w:fill="auto"/>
            <w:noWrap/>
            <w:vAlign w:val="bottom"/>
          </w:tcPr>
          <w:p w14:paraId="4D1D6C9D" w14:textId="5A76FFC4" w:rsidR="003D7A11" w:rsidRPr="009016C5" w:rsidRDefault="003D7A11" w:rsidP="00717AB5">
            <w:pPr>
              <w:jc w:val="right"/>
              <w:rPr>
                <w:b/>
                <w:sz w:val="14"/>
              </w:rPr>
            </w:pPr>
            <w:r w:rsidRPr="009016C5">
              <w:rPr>
                <w:b/>
                <w:sz w:val="14"/>
              </w:rPr>
              <w:t>5,327,548</w:t>
            </w:r>
          </w:p>
        </w:tc>
      </w:tr>
      <w:tr w:rsidR="003D7A11" w:rsidRPr="009016C5" w14:paraId="5AE893EF"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38FC1235"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39535671" w14:textId="77777777" w:rsidR="003D7A11" w:rsidRPr="009016C5" w:rsidRDefault="003D7A11" w:rsidP="003D7A11">
            <w:pPr>
              <w:rPr>
                <w:b/>
                <w:bCs/>
                <w:sz w:val="13"/>
                <w:szCs w:val="13"/>
                <w:lang w:val="en-US"/>
              </w:rPr>
            </w:pPr>
            <w:r w:rsidRPr="009016C5">
              <w:rPr>
                <w:b/>
                <w:bCs/>
                <w:sz w:val="13"/>
                <w:szCs w:val="13"/>
                <w:lang w:val="en-US"/>
              </w:rPr>
              <w:t> </w:t>
            </w:r>
          </w:p>
        </w:tc>
        <w:tc>
          <w:tcPr>
            <w:tcW w:w="708" w:type="dxa"/>
            <w:tcBorders>
              <w:left w:val="single" w:sz="4" w:space="0" w:color="auto"/>
              <w:right w:val="single" w:sz="4" w:space="0" w:color="auto"/>
            </w:tcBorders>
            <w:shd w:val="clear" w:color="auto" w:fill="auto"/>
            <w:noWrap/>
            <w:vAlign w:val="bottom"/>
          </w:tcPr>
          <w:p w14:paraId="4D280910" w14:textId="77777777" w:rsidR="003D7A11" w:rsidRPr="009016C5" w:rsidRDefault="003D7A11" w:rsidP="003D7A11">
            <w:pPr>
              <w:jc w:val="center"/>
              <w:rPr>
                <w:sz w:val="13"/>
                <w:szCs w:val="13"/>
                <w:lang w:val="en-US"/>
              </w:rPr>
            </w:pPr>
          </w:p>
        </w:tc>
        <w:tc>
          <w:tcPr>
            <w:tcW w:w="1276" w:type="dxa"/>
            <w:tcBorders>
              <w:left w:val="single" w:sz="4" w:space="0" w:color="auto"/>
              <w:right w:val="single" w:sz="4" w:space="0" w:color="auto"/>
            </w:tcBorders>
            <w:shd w:val="clear" w:color="auto" w:fill="auto"/>
            <w:vAlign w:val="bottom"/>
          </w:tcPr>
          <w:p w14:paraId="13F086C1" w14:textId="223EFA64"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0D6E48B9" w14:textId="77777777" w:rsidR="003D7A11" w:rsidRPr="009016C5" w:rsidRDefault="003D7A11" w:rsidP="00717AB5">
            <w:pPr>
              <w:jc w:val="right"/>
              <w:rPr>
                <w:b/>
                <w:sz w:val="14"/>
              </w:rPr>
            </w:pPr>
          </w:p>
        </w:tc>
      </w:tr>
      <w:tr w:rsidR="003D7A11" w:rsidRPr="009016C5" w14:paraId="4602EF85" w14:textId="77777777" w:rsidTr="00717AB5">
        <w:trPr>
          <w:trHeight w:val="48"/>
        </w:trPr>
        <w:tc>
          <w:tcPr>
            <w:tcW w:w="541" w:type="dxa"/>
            <w:tcBorders>
              <w:left w:val="single" w:sz="4" w:space="0" w:color="auto"/>
              <w:right w:val="single" w:sz="4" w:space="0" w:color="auto"/>
            </w:tcBorders>
            <w:shd w:val="clear" w:color="auto" w:fill="auto"/>
            <w:noWrap/>
            <w:vAlign w:val="bottom"/>
            <w:hideMark/>
          </w:tcPr>
          <w:p w14:paraId="2780108B" w14:textId="77777777" w:rsidR="003D7A11" w:rsidRPr="009016C5" w:rsidRDefault="003D7A11" w:rsidP="003D7A11">
            <w:pPr>
              <w:rPr>
                <w:b/>
                <w:bCs/>
                <w:sz w:val="13"/>
                <w:szCs w:val="13"/>
                <w:lang w:val="en-US"/>
              </w:rPr>
            </w:pPr>
            <w:r w:rsidRPr="009016C5">
              <w:rPr>
                <w:b/>
                <w:bCs/>
                <w:sz w:val="13"/>
                <w:szCs w:val="13"/>
                <w:lang w:val="en-US"/>
              </w:rPr>
              <w:t>VI.</w:t>
            </w:r>
          </w:p>
        </w:tc>
        <w:tc>
          <w:tcPr>
            <w:tcW w:w="5442" w:type="dxa"/>
            <w:tcBorders>
              <w:left w:val="single" w:sz="4" w:space="0" w:color="auto"/>
              <w:right w:val="single" w:sz="4" w:space="0" w:color="auto"/>
            </w:tcBorders>
            <w:shd w:val="clear" w:color="auto" w:fill="auto"/>
            <w:noWrap/>
            <w:vAlign w:val="bottom"/>
            <w:hideMark/>
          </w:tcPr>
          <w:p w14:paraId="77075A5E" w14:textId="77777777" w:rsidR="003D7A11" w:rsidRPr="009016C5" w:rsidRDefault="003D7A11" w:rsidP="003D7A11">
            <w:pPr>
              <w:rPr>
                <w:b/>
                <w:sz w:val="13"/>
                <w:szCs w:val="13"/>
                <w:lang w:val="en-US"/>
              </w:rPr>
            </w:pPr>
            <w:proofErr w:type="spellStart"/>
            <w:r w:rsidRPr="009016C5">
              <w:rPr>
                <w:b/>
                <w:sz w:val="13"/>
                <w:szCs w:val="13"/>
                <w:lang w:val="en-US"/>
              </w:rPr>
              <w:t>Dönem</w:t>
            </w:r>
            <w:proofErr w:type="spellEnd"/>
            <w:r w:rsidRPr="009016C5">
              <w:rPr>
                <w:b/>
                <w:sz w:val="13"/>
                <w:szCs w:val="13"/>
                <w:lang w:val="en-US"/>
              </w:rPr>
              <w:t xml:space="preserve"> </w:t>
            </w:r>
            <w:proofErr w:type="spellStart"/>
            <w:r w:rsidRPr="009016C5">
              <w:rPr>
                <w:b/>
                <w:sz w:val="13"/>
                <w:szCs w:val="13"/>
                <w:lang w:val="en-US"/>
              </w:rPr>
              <w:t>Başındaki</w:t>
            </w:r>
            <w:proofErr w:type="spellEnd"/>
            <w:r w:rsidRPr="009016C5">
              <w:rPr>
                <w:b/>
                <w:sz w:val="13"/>
                <w:szCs w:val="13"/>
                <w:lang w:val="en-US"/>
              </w:rPr>
              <w:t xml:space="preserve"> </w:t>
            </w:r>
            <w:proofErr w:type="spellStart"/>
            <w:r w:rsidRPr="009016C5">
              <w:rPr>
                <w:b/>
                <w:sz w:val="13"/>
                <w:szCs w:val="13"/>
                <w:lang w:val="en-US"/>
              </w:rPr>
              <w:t>Nakit</w:t>
            </w:r>
            <w:proofErr w:type="spellEnd"/>
            <w:r w:rsidRPr="009016C5">
              <w:rPr>
                <w:b/>
                <w:sz w:val="13"/>
                <w:szCs w:val="13"/>
                <w:lang w:val="en-US"/>
              </w:rPr>
              <w:t xml:space="preserve"> ve </w:t>
            </w:r>
            <w:proofErr w:type="spellStart"/>
            <w:r w:rsidRPr="009016C5">
              <w:rPr>
                <w:b/>
                <w:sz w:val="13"/>
                <w:szCs w:val="13"/>
                <w:lang w:val="en-US"/>
              </w:rPr>
              <w:t>Nakde</w:t>
            </w:r>
            <w:proofErr w:type="spellEnd"/>
            <w:r w:rsidRPr="009016C5">
              <w:rPr>
                <w:b/>
                <w:sz w:val="13"/>
                <w:szCs w:val="13"/>
                <w:lang w:val="en-US"/>
              </w:rPr>
              <w:t xml:space="preserve"> </w:t>
            </w:r>
            <w:proofErr w:type="spellStart"/>
            <w:r w:rsidRPr="009016C5">
              <w:rPr>
                <w:b/>
                <w:sz w:val="13"/>
                <w:szCs w:val="13"/>
                <w:lang w:val="en-US"/>
              </w:rPr>
              <w:t>Eşdeğer</w:t>
            </w:r>
            <w:proofErr w:type="spellEnd"/>
            <w:r w:rsidRPr="009016C5">
              <w:rPr>
                <w:b/>
                <w:sz w:val="13"/>
                <w:szCs w:val="13"/>
                <w:lang w:val="en-US"/>
              </w:rPr>
              <w:t xml:space="preserve"> </w:t>
            </w:r>
            <w:proofErr w:type="spellStart"/>
            <w:r w:rsidRPr="009016C5">
              <w:rPr>
                <w:b/>
                <w:sz w:val="13"/>
                <w:szCs w:val="13"/>
                <w:lang w:val="en-US"/>
              </w:rPr>
              <w:t>Varlıklar</w:t>
            </w:r>
            <w:proofErr w:type="spellEnd"/>
            <w:r w:rsidRPr="009016C5">
              <w:rPr>
                <w:b/>
                <w:sz w:val="13"/>
                <w:szCs w:val="13"/>
                <w:vertAlign w:val="superscript"/>
                <w:lang w:val="en-US"/>
              </w:rPr>
              <w:t xml:space="preserve"> </w:t>
            </w:r>
          </w:p>
        </w:tc>
        <w:tc>
          <w:tcPr>
            <w:tcW w:w="708" w:type="dxa"/>
            <w:tcBorders>
              <w:left w:val="single" w:sz="4" w:space="0" w:color="auto"/>
              <w:right w:val="single" w:sz="4" w:space="0" w:color="auto"/>
            </w:tcBorders>
            <w:shd w:val="clear" w:color="auto" w:fill="auto"/>
            <w:noWrap/>
            <w:vAlign w:val="bottom"/>
          </w:tcPr>
          <w:p w14:paraId="7022B8FD" w14:textId="77777777" w:rsidR="003D7A11" w:rsidRPr="009016C5" w:rsidRDefault="003D7A11" w:rsidP="003D7A11">
            <w:pPr>
              <w:jc w:val="center"/>
              <w:rPr>
                <w:b/>
                <w:sz w:val="13"/>
                <w:szCs w:val="13"/>
              </w:rPr>
            </w:pPr>
            <w:r w:rsidRPr="009016C5">
              <w:rPr>
                <w:b/>
                <w:sz w:val="13"/>
                <w:szCs w:val="13"/>
              </w:rPr>
              <w:t>(5.5.1)</w:t>
            </w:r>
          </w:p>
        </w:tc>
        <w:tc>
          <w:tcPr>
            <w:tcW w:w="1276" w:type="dxa"/>
            <w:tcBorders>
              <w:left w:val="single" w:sz="4" w:space="0" w:color="auto"/>
              <w:right w:val="single" w:sz="4" w:space="0" w:color="auto"/>
            </w:tcBorders>
            <w:shd w:val="clear" w:color="auto" w:fill="auto"/>
            <w:vAlign w:val="bottom"/>
          </w:tcPr>
          <w:p w14:paraId="7F1FB106" w14:textId="7A3DF63A" w:rsidR="003D7A11" w:rsidRPr="009016C5" w:rsidRDefault="003D7A11" w:rsidP="00717AB5">
            <w:pPr>
              <w:jc w:val="right"/>
              <w:rPr>
                <w:b/>
                <w:sz w:val="14"/>
              </w:rPr>
            </w:pPr>
            <w:r w:rsidRPr="009016C5">
              <w:rPr>
                <w:b/>
                <w:sz w:val="14"/>
              </w:rPr>
              <w:t>18,893,086</w:t>
            </w:r>
          </w:p>
        </w:tc>
        <w:tc>
          <w:tcPr>
            <w:tcW w:w="1336" w:type="dxa"/>
            <w:tcBorders>
              <w:left w:val="single" w:sz="4" w:space="0" w:color="auto"/>
              <w:right w:val="single" w:sz="4" w:space="0" w:color="auto"/>
            </w:tcBorders>
            <w:shd w:val="clear" w:color="auto" w:fill="auto"/>
            <w:noWrap/>
            <w:vAlign w:val="bottom"/>
          </w:tcPr>
          <w:p w14:paraId="7DD741C4" w14:textId="361C01F0" w:rsidR="003D7A11" w:rsidRPr="009016C5" w:rsidRDefault="003D7A11" w:rsidP="00717AB5">
            <w:pPr>
              <w:jc w:val="right"/>
              <w:rPr>
                <w:b/>
                <w:sz w:val="14"/>
              </w:rPr>
            </w:pPr>
            <w:r w:rsidRPr="009016C5">
              <w:rPr>
                <w:b/>
                <w:sz w:val="14"/>
              </w:rPr>
              <w:t>6,680,124</w:t>
            </w:r>
          </w:p>
        </w:tc>
      </w:tr>
      <w:tr w:rsidR="003D7A11" w:rsidRPr="009016C5" w14:paraId="0E47F727" w14:textId="77777777" w:rsidTr="00717AB5">
        <w:trPr>
          <w:trHeight w:val="122"/>
        </w:trPr>
        <w:tc>
          <w:tcPr>
            <w:tcW w:w="541" w:type="dxa"/>
            <w:tcBorders>
              <w:left w:val="single" w:sz="4" w:space="0" w:color="auto"/>
              <w:right w:val="single" w:sz="4" w:space="0" w:color="auto"/>
            </w:tcBorders>
            <w:shd w:val="clear" w:color="auto" w:fill="auto"/>
            <w:noWrap/>
            <w:vAlign w:val="bottom"/>
            <w:hideMark/>
          </w:tcPr>
          <w:p w14:paraId="79AB89C5" w14:textId="77777777" w:rsidR="003D7A11" w:rsidRPr="009016C5" w:rsidRDefault="003D7A11" w:rsidP="003D7A11">
            <w:pPr>
              <w:jc w:val="center"/>
              <w:rPr>
                <w:sz w:val="13"/>
                <w:szCs w:val="13"/>
                <w:lang w:val="en-US"/>
              </w:rPr>
            </w:pPr>
          </w:p>
        </w:tc>
        <w:tc>
          <w:tcPr>
            <w:tcW w:w="5442" w:type="dxa"/>
            <w:tcBorders>
              <w:left w:val="single" w:sz="4" w:space="0" w:color="auto"/>
              <w:right w:val="single" w:sz="4" w:space="0" w:color="auto"/>
            </w:tcBorders>
            <w:shd w:val="clear" w:color="auto" w:fill="auto"/>
            <w:noWrap/>
            <w:vAlign w:val="bottom"/>
            <w:hideMark/>
          </w:tcPr>
          <w:p w14:paraId="44D13D35" w14:textId="77777777" w:rsidR="003D7A11" w:rsidRPr="009016C5" w:rsidRDefault="003D7A11" w:rsidP="003D7A11">
            <w:pPr>
              <w:rPr>
                <w:rFonts w:ascii="MS Sans Serif" w:hAnsi="MS Sans Serif" w:cs="Calibri"/>
                <w:b/>
                <w:sz w:val="13"/>
                <w:szCs w:val="13"/>
                <w:lang w:val="en-US"/>
              </w:rPr>
            </w:pPr>
            <w:r w:rsidRPr="009016C5">
              <w:rPr>
                <w:rFonts w:ascii="MS Sans Serif" w:hAnsi="MS Sans Serif" w:cs="Calibri"/>
                <w:b/>
                <w:sz w:val="13"/>
                <w:szCs w:val="13"/>
                <w:lang w:val="en-US"/>
              </w:rPr>
              <w:t> </w:t>
            </w:r>
          </w:p>
        </w:tc>
        <w:tc>
          <w:tcPr>
            <w:tcW w:w="708" w:type="dxa"/>
            <w:tcBorders>
              <w:left w:val="single" w:sz="4" w:space="0" w:color="auto"/>
              <w:right w:val="single" w:sz="4" w:space="0" w:color="auto"/>
            </w:tcBorders>
            <w:shd w:val="clear" w:color="auto" w:fill="auto"/>
            <w:noWrap/>
            <w:vAlign w:val="bottom"/>
          </w:tcPr>
          <w:p w14:paraId="2A25F0CC" w14:textId="77777777" w:rsidR="003D7A11" w:rsidRPr="009016C5" w:rsidRDefault="003D7A11" w:rsidP="003D7A11">
            <w:pPr>
              <w:jc w:val="center"/>
              <w:rPr>
                <w:b/>
                <w:sz w:val="13"/>
                <w:szCs w:val="13"/>
              </w:rPr>
            </w:pPr>
          </w:p>
        </w:tc>
        <w:tc>
          <w:tcPr>
            <w:tcW w:w="1276" w:type="dxa"/>
            <w:tcBorders>
              <w:left w:val="single" w:sz="4" w:space="0" w:color="auto"/>
              <w:right w:val="single" w:sz="4" w:space="0" w:color="auto"/>
            </w:tcBorders>
            <w:shd w:val="clear" w:color="auto" w:fill="auto"/>
            <w:vAlign w:val="bottom"/>
          </w:tcPr>
          <w:p w14:paraId="0C939416" w14:textId="6B831932" w:rsidR="003D7A11" w:rsidRPr="009016C5" w:rsidRDefault="003D7A11" w:rsidP="00717AB5">
            <w:pPr>
              <w:jc w:val="right"/>
              <w:rPr>
                <w:b/>
                <w:sz w:val="14"/>
              </w:rPr>
            </w:pPr>
          </w:p>
        </w:tc>
        <w:tc>
          <w:tcPr>
            <w:tcW w:w="1336" w:type="dxa"/>
            <w:tcBorders>
              <w:left w:val="single" w:sz="4" w:space="0" w:color="auto"/>
              <w:right w:val="single" w:sz="4" w:space="0" w:color="auto"/>
            </w:tcBorders>
            <w:shd w:val="clear" w:color="auto" w:fill="auto"/>
            <w:noWrap/>
            <w:vAlign w:val="bottom"/>
          </w:tcPr>
          <w:p w14:paraId="14A4B888" w14:textId="77777777" w:rsidR="003D7A11" w:rsidRPr="009016C5" w:rsidRDefault="003D7A11" w:rsidP="00717AB5">
            <w:pPr>
              <w:jc w:val="right"/>
              <w:rPr>
                <w:b/>
                <w:sz w:val="14"/>
              </w:rPr>
            </w:pPr>
          </w:p>
        </w:tc>
      </w:tr>
      <w:tr w:rsidR="003D7A11" w:rsidRPr="009016C5" w14:paraId="0F6E3FE3" w14:textId="77777777" w:rsidTr="00717AB5">
        <w:trPr>
          <w:trHeight w:val="48"/>
        </w:trPr>
        <w:tc>
          <w:tcPr>
            <w:tcW w:w="541" w:type="dxa"/>
            <w:tcBorders>
              <w:left w:val="single" w:sz="4" w:space="0" w:color="auto"/>
              <w:right w:val="single" w:sz="4" w:space="0" w:color="auto"/>
            </w:tcBorders>
            <w:shd w:val="clear" w:color="auto" w:fill="auto"/>
            <w:noWrap/>
            <w:vAlign w:val="bottom"/>
            <w:hideMark/>
          </w:tcPr>
          <w:p w14:paraId="79E13A0D" w14:textId="77777777" w:rsidR="003D7A11" w:rsidRPr="009016C5" w:rsidRDefault="003D7A11" w:rsidP="003D7A11">
            <w:pPr>
              <w:rPr>
                <w:b/>
                <w:bCs/>
                <w:sz w:val="13"/>
                <w:szCs w:val="13"/>
                <w:lang w:val="en-US"/>
              </w:rPr>
            </w:pPr>
            <w:r w:rsidRPr="009016C5">
              <w:rPr>
                <w:b/>
                <w:bCs/>
                <w:sz w:val="13"/>
                <w:szCs w:val="13"/>
                <w:lang w:val="en-US"/>
              </w:rPr>
              <w:t>VII.</w:t>
            </w:r>
          </w:p>
        </w:tc>
        <w:tc>
          <w:tcPr>
            <w:tcW w:w="5442" w:type="dxa"/>
            <w:tcBorders>
              <w:left w:val="single" w:sz="4" w:space="0" w:color="auto"/>
              <w:right w:val="single" w:sz="4" w:space="0" w:color="auto"/>
            </w:tcBorders>
            <w:shd w:val="clear" w:color="auto" w:fill="auto"/>
            <w:noWrap/>
            <w:vAlign w:val="bottom"/>
            <w:hideMark/>
          </w:tcPr>
          <w:p w14:paraId="507D0F57" w14:textId="77777777" w:rsidR="003D7A11" w:rsidRPr="009016C5" w:rsidRDefault="003D7A11" w:rsidP="003D7A11">
            <w:pPr>
              <w:rPr>
                <w:b/>
                <w:sz w:val="13"/>
                <w:szCs w:val="13"/>
                <w:lang w:val="en-US"/>
              </w:rPr>
            </w:pPr>
            <w:proofErr w:type="spellStart"/>
            <w:r w:rsidRPr="009016C5">
              <w:rPr>
                <w:b/>
                <w:sz w:val="13"/>
                <w:szCs w:val="13"/>
                <w:lang w:val="en-US"/>
              </w:rPr>
              <w:t>Dönem</w:t>
            </w:r>
            <w:proofErr w:type="spellEnd"/>
            <w:r w:rsidRPr="009016C5">
              <w:rPr>
                <w:b/>
                <w:sz w:val="13"/>
                <w:szCs w:val="13"/>
                <w:lang w:val="en-US"/>
              </w:rPr>
              <w:t xml:space="preserve"> </w:t>
            </w:r>
            <w:proofErr w:type="spellStart"/>
            <w:r w:rsidRPr="009016C5">
              <w:rPr>
                <w:b/>
                <w:sz w:val="13"/>
                <w:szCs w:val="13"/>
                <w:lang w:val="en-US"/>
              </w:rPr>
              <w:t>Sonundaki</w:t>
            </w:r>
            <w:proofErr w:type="spellEnd"/>
            <w:r w:rsidRPr="009016C5">
              <w:rPr>
                <w:b/>
                <w:sz w:val="13"/>
                <w:szCs w:val="13"/>
                <w:lang w:val="en-US"/>
              </w:rPr>
              <w:t xml:space="preserve"> </w:t>
            </w:r>
            <w:proofErr w:type="spellStart"/>
            <w:r w:rsidRPr="009016C5">
              <w:rPr>
                <w:b/>
                <w:sz w:val="13"/>
                <w:szCs w:val="13"/>
                <w:lang w:val="en-US"/>
              </w:rPr>
              <w:t>Nakit</w:t>
            </w:r>
            <w:proofErr w:type="spellEnd"/>
            <w:r w:rsidRPr="009016C5">
              <w:rPr>
                <w:b/>
                <w:sz w:val="13"/>
                <w:szCs w:val="13"/>
                <w:lang w:val="en-US"/>
              </w:rPr>
              <w:t xml:space="preserve"> ve </w:t>
            </w:r>
            <w:proofErr w:type="spellStart"/>
            <w:r w:rsidRPr="009016C5">
              <w:rPr>
                <w:b/>
                <w:sz w:val="13"/>
                <w:szCs w:val="13"/>
                <w:lang w:val="en-US"/>
              </w:rPr>
              <w:t>Nakde</w:t>
            </w:r>
            <w:proofErr w:type="spellEnd"/>
            <w:r w:rsidRPr="009016C5">
              <w:rPr>
                <w:b/>
                <w:sz w:val="13"/>
                <w:szCs w:val="13"/>
                <w:lang w:val="en-US"/>
              </w:rPr>
              <w:t xml:space="preserve"> </w:t>
            </w:r>
            <w:proofErr w:type="spellStart"/>
            <w:r w:rsidRPr="009016C5">
              <w:rPr>
                <w:b/>
                <w:sz w:val="13"/>
                <w:szCs w:val="13"/>
                <w:lang w:val="en-US"/>
              </w:rPr>
              <w:t>Eşdeğer</w:t>
            </w:r>
            <w:proofErr w:type="spellEnd"/>
            <w:r w:rsidRPr="009016C5">
              <w:rPr>
                <w:b/>
                <w:sz w:val="13"/>
                <w:szCs w:val="13"/>
                <w:lang w:val="en-US"/>
              </w:rPr>
              <w:t xml:space="preserve"> </w:t>
            </w:r>
            <w:proofErr w:type="spellStart"/>
            <w:r w:rsidRPr="009016C5">
              <w:rPr>
                <w:b/>
                <w:sz w:val="13"/>
                <w:szCs w:val="13"/>
                <w:lang w:val="en-US"/>
              </w:rPr>
              <w:t>Varlıklar</w:t>
            </w:r>
            <w:proofErr w:type="spellEnd"/>
            <w:r w:rsidRPr="009016C5">
              <w:rPr>
                <w:b/>
                <w:sz w:val="13"/>
                <w:szCs w:val="13"/>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68C257F1" w14:textId="77777777" w:rsidR="003D7A11" w:rsidRPr="009016C5" w:rsidRDefault="003D7A11" w:rsidP="003D7A11">
            <w:pPr>
              <w:jc w:val="center"/>
              <w:rPr>
                <w:b/>
                <w:sz w:val="13"/>
                <w:szCs w:val="13"/>
              </w:rPr>
            </w:pPr>
            <w:r w:rsidRPr="009016C5">
              <w:rPr>
                <w:b/>
                <w:sz w:val="13"/>
                <w:szCs w:val="13"/>
              </w:rPr>
              <w:t>(5.5.1)</w:t>
            </w:r>
          </w:p>
        </w:tc>
        <w:tc>
          <w:tcPr>
            <w:tcW w:w="1276" w:type="dxa"/>
            <w:tcBorders>
              <w:left w:val="single" w:sz="4" w:space="0" w:color="auto"/>
              <w:right w:val="single" w:sz="4" w:space="0" w:color="auto"/>
            </w:tcBorders>
            <w:shd w:val="clear" w:color="auto" w:fill="auto"/>
            <w:vAlign w:val="bottom"/>
          </w:tcPr>
          <w:p w14:paraId="02B4A281" w14:textId="3B11A852" w:rsidR="003D7A11" w:rsidRPr="009016C5" w:rsidRDefault="003D7A11" w:rsidP="00717AB5">
            <w:pPr>
              <w:jc w:val="right"/>
              <w:rPr>
                <w:b/>
                <w:sz w:val="14"/>
              </w:rPr>
            </w:pPr>
            <w:r w:rsidRPr="009016C5">
              <w:rPr>
                <w:b/>
                <w:sz w:val="14"/>
              </w:rPr>
              <w:t>9,024,27</w:t>
            </w:r>
            <w:r w:rsidR="00271DD2">
              <w:rPr>
                <w:b/>
                <w:sz w:val="14"/>
              </w:rPr>
              <w:t>4</w:t>
            </w:r>
          </w:p>
        </w:tc>
        <w:tc>
          <w:tcPr>
            <w:tcW w:w="1336" w:type="dxa"/>
            <w:tcBorders>
              <w:left w:val="single" w:sz="4" w:space="0" w:color="auto"/>
              <w:right w:val="single" w:sz="4" w:space="0" w:color="auto"/>
            </w:tcBorders>
            <w:shd w:val="clear" w:color="auto" w:fill="auto"/>
            <w:noWrap/>
            <w:vAlign w:val="bottom"/>
          </w:tcPr>
          <w:p w14:paraId="66CADC31" w14:textId="67A7D2D4" w:rsidR="003D7A11" w:rsidRPr="009016C5" w:rsidRDefault="003D7A11" w:rsidP="00717AB5">
            <w:pPr>
              <w:jc w:val="right"/>
              <w:rPr>
                <w:b/>
                <w:sz w:val="14"/>
              </w:rPr>
            </w:pPr>
            <w:r w:rsidRPr="009016C5">
              <w:rPr>
                <w:b/>
                <w:sz w:val="14"/>
              </w:rPr>
              <w:t>12,007,672</w:t>
            </w:r>
          </w:p>
        </w:tc>
      </w:tr>
      <w:tr w:rsidR="00EE38C5" w:rsidRPr="009016C5" w14:paraId="468A7020" w14:textId="77777777" w:rsidTr="00717AB5">
        <w:trPr>
          <w:trHeight w:val="48"/>
        </w:trPr>
        <w:tc>
          <w:tcPr>
            <w:tcW w:w="541" w:type="dxa"/>
            <w:tcBorders>
              <w:left w:val="single" w:sz="4" w:space="0" w:color="auto"/>
              <w:bottom w:val="single" w:sz="4" w:space="0" w:color="auto"/>
              <w:right w:val="single" w:sz="4" w:space="0" w:color="auto"/>
            </w:tcBorders>
            <w:shd w:val="clear" w:color="auto" w:fill="auto"/>
            <w:noWrap/>
            <w:vAlign w:val="bottom"/>
          </w:tcPr>
          <w:p w14:paraId="1395AA27" w14:textId="77777777" w:rsidR="00EE38C5" w:rsidRPr="009016C5" w:rsidRDefault="00EE38C5" w:rsidP="00EE38C5">
            <w:pPr>
              <w:rPr>
                <w:b/>
                <w:bCs/>
                <w:sz w:val="13"/>
                <w:szCs w:val="13"/>
                <w:lang w:val="en-US"/>
              </w:rPr>
            </w:pPr>
          </w:p>
        </w:tc>
        <w:tc>
          <w:tcPr>
            <w:tcW w:w="5442" w:type="dxa"/>
            <w:tcBorders>
              <w:left w:val="single" w:sz="4" w:space="0" w:color="auto"/>
              <w:bottom w:val="single" w:sz="4" w:space="0" w:color="auto"/>
              <w:right w:val="single" w:sz="4" w:space="0" w:color="auto"/>
            </w:tcBorders>
            <w:shd w:val="clear" w:color="auto" w:fill="auto"/>
            <w:noWrap/>
            <w:vAlign w:val="bottom"/>
          </w:tcPr>
          <w:p w14:paraId="6FAD66F8" w14:textId="77777777" w:rsidR="00EE38C5" w:rsidRPr="009016C5" w:rsidRDefault="00EE38C5" w:rsidP="00EE38C5">
            <w:pPr>
              <w:rPr>
                <w:sz w:val="13"/>
                <w:szCs w:val="13"/>
              </w:rPr>
            </w:pPr>
          </w:p>
        </w:tc>
        <w:tc>
          <w:tcPr>
            <w:tcW w:w="708" w:type="dxa"/>
            <w:tcBorders>
              <w:left w:val="single" w:sz="4" w:space="0" w:color="auto"/>
              <w:bottom w:val="single" w:sz="4" w:space="0" w:color="auto"/>
              <w:right w:val="single" w:sz="4" w:space="0" w:color="auto"/>
            </w:tcBorders>
            <w:shd w:val="clear" w:color="auto" w:fill="auto"/>
            <w:noWrap/>
            <w:vAlign w:val="bottom"/>
          </w:tcPr>
          <w:p w14:paraId="6A5418E6" w14:textId="77777777" w:rsidR="00EE38C5" w:rsidRPr="009016C5" w:rsidRDefault="00EE38C5" w:rsidP="00EE38C5">
            <w:pPr>
              <w:jc w:val="center"/>
              <w:rPr>
                <w:sz w:val="13"/>
                <w:szCs w:val="13"/>
                <w:lang w:val="en-US"/>
              </w:rPr>
            </w:pPr>
          </w:p>
        </w:tc>
        <w:tc>
          <w:tcPr>
            <w:tcW w:w="1276" w:type="dxa"/>
            <w:tcBorders>
              <w:left w:val="single" w:sz="4" w:space="0" w:color="auto"/>
              <w:bottom w:val="single" w:sz="4" w:space="0" w:color="auto"/>
              <w:right w:val="single" w:sz="4" w:space="0" w:color="auto"/>
            </w:tcBorders>
            <w:shd w:val="clear" w:color="auto" w:fill="auto"/>
            <w:vAlign w:val="bottom"/>
          </w:tcPr>
          <w:p w14:paraId="374C2378" w14:textId="77777777" w:rsidR="00EE38C5" w:rsidRPr="009016C5" w:rsidRDefault="00EE38C5" w:rsidP="00717AB5">
            <w:pPr>
              <w:jc w:val="right"/>
              <w:rPr>
                <w:b/>
                <w:sz w:val="14"/>
              </w:rPr>
            </w:pPr>
          </w:p>
        </w:tc>
        <w:tc>
          <w:tcPr>
            <w:tcW w:w="1336" w:type="dxa"/>
            <w:tcBorders>
              <w:left w:val="single" w:sz="4" w:space="0" w:color="auto"/>
              <w:bottom w:val="single" w:sz="4" w:space="0" w:color="auto"/>
              <w:right w:val="single" w:sz="4" w:space="0" w:color="auto"/>
            </w:tcBorders>
            <w:shd w:val="clear" w:color="auto" w:fill="auto"/>
            <w:noWrap/>
            <w:vAlign w:val="bottom"/>
          </w:tcPr>
          <w:p w14:paraId="7EF98C5B" w14:textId="77777777" w:rsidR="00EE38C5" w:rsidRPr="009016C5" w:rsidRDefault="00EE38C5" w:rsidP="00717AB5">
            <w:pPr>
              <w:jc w:val="right"/>
              <w:rPr>
                <w:b/>
                <w:sz w:val="14"/>
              </w:rPr>
            </w:pPr>
          </w:p>
        </w:tc>
      </w:tr>
    </w:tbl>
    <w:p w14:paraId="3A482B24" w14:textId="77777777" w:rsidR="006F1C7D" w:rsidRPr="009016C5" w:rsidRDefault="006F1C7D" w:rsidP="00E67194">
      <w:pPr>
        <w:pStyle w:val="1tipi"/>
        <w:autoSpaceDE w:val="0"/>
        <w:autoSpaceDN w:val="0"/>
        <w:adjustRightInd w:val="0"/>
        <w:ind w:left="450" w:right="-491" w:hanging="259"/>
        <w:rPr>
          <w:rFonts w:ascii="Times New Roman" w:hAnsi="Times New Roman"/>
          <w:snapToGrid/>
          <w:sz w:val="6"/>
          <w:szCs w:val="6"/>
          <w:lang w:eastAsia="en-US"/>
        </w:rPr>
      </w:pPr>
    </w:p>
    <w:p w14:paraId="6CEF3910" w14:textId="646EB935" w:rsidR="00674E29" w:rsidRPr="009016C5"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70F00780" w14:textId="1B9AFF49" w:rsidR="00674E29"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2440474C" w14:textId="50FBF5CA" w:rsidR="00717AB5" w:rsidRDefault="00717AB5" w:rsidP="00CE6799">
      <w:pPr>
        <w:pStyle w:val="1tipi"/>
        <w:autoSpaceDE w:val="0"/>
        <w:autoSpaceDN w:val="0"/>
        <w:adjustRightInd w:val="0"/>
        <w:ind w:left="450" w:right="-491" w:hanging="259"/>
        <w:rPr>
          <w:rFonts w:ascii="Times New Roman" w:hAnsi="Times New Roman"/>
          <w:snapToGrid/>
          <w:sz w:val="13"/>
          <w:szCs w:val="13"/>
          <w:lang w:eastAsia="en-US"/>
        </w:rPr>
      </w:pPr>
    </w:p>
    <w:p w14:paraId="6D1135A6" w14:textId="48441764" w:rsidR="00717AB5" w:rsidRDefault="00717AB5" w:rsidP="00CE6799">
      <w:pPr>
        <w:pStyle w:val="1tipi"/>
        <w:autoSpaceDE w:val="0"/>
        <w:autoSpaceDN w:val="0"/>
        <w:adjustRightInd w:val="0"/>
        <w:ind w:left="450" w:right="-491" w:hanging="259"/>
        <w:rPr>
          <w:rFonts w:ascii="Times New Roman" w:hAnsi="Times New Roman"/>
          <w:snapToGrid/>
          <w:sz w:val="13"/>
          <w:szCs w:val="13"/>
          <w:lang w:eastAsia="en-US"/>
        </w:rPr>
      </w:pPr>
    </w:p>
    <w:p w14:paraId="77423B5B" w14:textId="42EBFEB4" w:rsidR="00717AB5" w:rsidRDefault="00717AB5" w:rsidP="00CE6799">
      <w:pPr>
        <w:pStyle w:val="1tipi"/>
        <w:autoSpaceDE w:val="0"/>
        <w:autoSpaceDN w:val="0"/>
        <w:adjustRightInd w:val="0"/>
        <w:ind w:left="450" w:right="-491" w:hanging="259"/>
        <w:rPr>
          <w:rFonts w:ascii="Times New Roman" w:hAnsi="Times New Roman"/>
          <w:snapToGrid/>
          <w:sz w:val="13"/>
          <w:szCs w:val="13"/>
          <w:lang w:eastAsia="en-US"/>
        </w:rPr>
      </w:pPr>
    </w:p>
    <w:p w14:paraId="729727EA" w14:textId="2BE324C2" w:rsidR="00717AB5" w:rsidRDefault="00717AB5" w:rsidP="00CE6799">
      <w:pPr>
        <w:pStyle w:val="1tipi"/>
        <w:autoSpaceDE w:val="0"/>
        <w:autoSpaceDN w:val="0"/>
        <w:adjustRightInd w:val="0"/>
        <w:ind w:left="450" w:right="-491" w:hanging="259"/>
        <w:rPr>
          <w:rFonts w:ascii="Times New Roman" w:hAnsi="Times New Roman"/>
          <w:snapToGrid/>
          <w:sz w:val="13"/>
          <w:szCs w:val="13"/>
          <w:lang w:eastAsia="en-US"/>
        </w:rPr>
      </w:pPr>
    </w:p>
    <w:p w14:paraId="4405FDEB" w14:textId="34EAF93D" w:rsidR="00717AB5" w:rsidRDefault="00717AB5" w:rsidP="00CE6799">
      <w:pPr>
        <w:pStyle w:val="1tipi"/>
        <w:autoSpaceDE w:val="0"/>
        <w:autoSpaceDN w:val="0"/>
        <w:adjustRightInd w:val="0"/>
        <w:ind w:left="450" w:right="-491" w:hanging="259"/>
        <w:rPr>
          <w:rFonts w:ascii="Times New Roman" w:hAnsi="Times New Roman"/>
          <w:snapToGrid/>
          <w:sz w:val="13"/>
          <w:szCs w:val="13"/>
          <w:lang w:eastAsia="en-US"/>
        </w:rPr>
      </w:pPr>
    </w:p>
    <w:p w14:paraId="35685CF9" w14:textId="7FC37EB1" w:rsidR="00717AB5" w:rsidRDefault="00717AB5" w:rsidP="00CE6799">
      <w:pPr>
        <w:pStyle w:val="1tipi"/>
        <w:autoSpaceDE w:val="0"/>
        <w:autoSpaceDN w:val="0"/>
        <w:adjustRightInd w:val="0"/>
        <w:ind w:left="450" w:right="-491" w:hanging="259"/>
        <w:rPr>
          <w:rFonts w:ascii="Times New Roman" w:hAnsi="Times New Roman"/>
          <w:snapToGrid/>
          <w:sz w:val="13"/>
          <w:szCs w:val="13"/>
          <w:lang w:eastAsia="en-US"/>
        </w:rPr>
      </w:pPr>
    </w:p>
    <w:p w14:paraId="09E03C06" w14:textId="7A6B5F0F" w:rsidR="00717AB5" w:rsidRDefault="00717AB5" w:rsidP="00CE6799">
      <w:pPr>
        <w:pStyle w:val="1tipi"/>
        <w:autoSpaceDE w:val="0"/>
        <w:autoSpaceDN w:val="0"/>
        <w:adjustRightInd w:val="0"/>
        <w:ind w:left="450" w:right="-491" w:hanging="259"/>
        <w:rPr>
          <w:rFonts w:ascii="Times New Roman" w:hAnsi="Times New Roman"/>
          <w:snapToGrid/>
          <w:sz w:val="13"/>
          <w:szCs w:val="13"/>
          <w:lang w:eastAsia="en-US"/>
        </w:rPr>
      </w:pPr>
    </w:p>
    <w:p w14:paraId="28F3A5C8" w14:textId="77777777" w:rsidR="00717AB5" w:rsidRPr="009016C5" w:rsidRDefault="00717AB5" w:rsidP="00CE6799">
      <w:pPr>
        <w:pStyle w:val="1tipi"/>
        <w:autoSpaceDE w:val="0"/>
        <w:autoSpaceDN w:val="0"/>
        <w:adjustRightInd w:val="0"/>
        <w:ind w:left="450" w:right="-491" w:hanging="259"/>
        <w:rPr>
          <w:rFonts w:ascii="Times New Roman" w:hAnsi="Times New Roman"/>
          <w:snapToGrid/>
          <w:sz w:val="13"/>
          <w:szCs w:val="13"/>
          <w:lang w:eastAsia="en-US"/>
        </w:rPr>
      </w:pPr>
    </w:p>
    <w:p w14:paraId="5741AE5A" w14:textId="115CF8F1" w:rsidR="00674E29" w:rsidRPr="00270CE6"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36C6DD30" w14:textId="4F30BBA1" w:rsidR="00674E29" w:rsidRPr="00270CE6" w:rsidRDefault="00717AB5" w:rsidP="00717AB5">
      <w:pPr>
        <w:pStyle w:val="1tipi"/>
        <w:autoSpaceDE w:val="0"/>
        <w:autoSpaceDN w:val="0"/>
        <w:adjustRightInd w:val="0"/>
        <w:ind w:left="450" w:right="-491" w:hanging="259"/>
        <w:jc w:val="center"/>
        <w:rPr>
          <w:rFonts w:ascii="Times New Roman" w:hAnsi="Times New Roman"/>
          <w:snapToGrid/>
          <w:sz w:val="13"/>
          <w:szCs w:val="13"/>
          <w:highlight w:val="yellow"/>
          <w:lang w:eastAsia="en-US"/>
        </w:rPr>
      </w:pPr>
      <w:r w:rsidRPr="00004514">
        <w:rPr>
          <w:bCs/>
          <w:i/>
          <w:iCs/>
          <w:sz w:val="14"/>
          <w:szCs w:val="14"/>
        </w:rPr>
        <w:t>İlişikteki notlar bu finansal tabloların tamamlayıcı parçalarıdır</w:t>
      </w:r>
    </w:p>
    <w:p w14:paraId="7F651D29" w14:textId="77777777" w:rsidR="00084767" w:rsidRPr="00270CE6" w:rsidRDefault="00084767" w:rsidP="00CE6799">
      <w:pPr>
        <w:pStyle w:val="1tipi"/>
        <w:autoSpaceDE w:val="0"/>
        <w:autoSpaceDN w:val="0"/>
        <w:adjustRightInd w:val="0"/>
        <w:ind w:left="450" w:right="-491" w:hanging="259"/>
        <w:rPr>
          <w:rFonts w:ascii="Times New Roman" w:hAnsi="Times New Roman"/>
          <w:snapToGrid/>
          <w:sz w:val="13"/>
          <w:szCs w:val="13"/>
          <w:highlight w:val="yellow"/>
          <w:lang w:eastAsia="en-US"/>
        </w:rPr>
        <w:sectPr w:rsidR="00084767" w:rsidRPr="00270CE6" w:rsidSect="00BA357F">
          <w:headerReference w:type="default" r:id="rId27"/>
          <w:footerReference w:type="default" r:id="rId28"/>
          <w:pgSz w:w="11906" w:h="16838"/>
          <w:pgMar w:top="1273" w:right="1417" w:bottom="1417" w:left="1440" w:header="708" w:footer="708" w:gutter="0"/>
          <w:cols w:space="708"/>
          <w:docGrid w:linePitch="360"/>
        </w:sectPr>
      </w:pPr>
    </w:p>
    <w:p w14:paraId="36F74170" w14:textId="77777777" w:rsidR="00E074CE" w:rsidRPr="00F46167" w:rsidRDefault="00E074CE" w:rsidP="00E074CE">
      <w:pPr>
        <w:pStyle w:val="Heading5"/>
        <w:ind w:left="3420" w:firstLine="180"/>
        <w:rPr>
          <w:color w:val="000000"/>
          <w:sz w:val="24"/>
        </w:rPr>
      </w:pPr>
      <w:r w:rsidRPr="00F46167">
        <w:rPr>
          <w:color w:val="000000"/>
          <w:sz w:val="24"/>
        </w:rPr>
        <w:lastRenderedPageBreak/>
        <w:t>ÜÇÜNCÜ BÖLÜM</w:t>
      </w:r>
    </w:p>
    <w:p w14:paraId="469630D7" w14:textId="77777777" w:rsidR="00E074CE" w:rsidRPr="00F46167" w:rsidRDefault="00E074CE" w:rsidP="00E074CE">
      <w:pPr>
        <w:jc w:val="center"/>
        <w:rPr>
          <w:color w:val="000000"/>
          <w:sz w:val="12"/>
        </w:rPr>
      </w:pPr>
    </w:p>
    <w:p w14:paraId="0ADC8911" w14:textId="77777777" w:rsidR="00E074CE" w:rsidRPr="00F46167" w:rsidRDefault="00E074CE" w:rsidP="00E074CE">
      <w:pPr>
        <w:pStyle w:val="Heading5"/>
        <w:ind w:left="0" w:firstLine="0"/>
        <w:jc w:val="center"/>
        <w:rPr>
          <w:color w:val="000000"/>
          <w:spacing w:val="-6"/>
          <w:sz w:val="24"/>
        </w:rPr>
      </w:pPr>
      <w:r w:rsidRPr="00F46167">
        <w:rPr>
          <w:color w:val="000000"/>
          <w:spacing w:val="-6"/>
          <w:sz w:val="24"/>
        </w:rPr>
        <w:t>İLGİLİ DÖNEMDE UYGULANAN MUHASEBE POLİTİKALARINA İLİŞKİN AÇIKLAMALAR</w:t>
      </w:r>
    </w:p>
    <w:p w14:paraId="4983064D" w14:textId="77777777" w:rsidR="00E074CE" w:rsidRPr="00F46167" w:rsidRDefault="00E074CE" w:rsidP="00E074CE">
      <w:pPr>
        <w:autoSpaceDE w:val="0"/>
        <w:autoSpaceDN w:val="0"/>
        <w:adjustRightInd w:val="0"/>
        <w:rPr>
          <w:sz w:val="8"/>
          <w:szCs w:val="8"/>
        </w:rPr>
      </w:pPr>
    </w:p>
    <w:p w14:paraId="715BE9B2" w14:textId="77777777" w:rsidR="004A773C" w:rsidRPr="00F46167" w:rsidRDefault="004A773C" w:rsidP="004A773C">
      <w:pPr>
        <w:tabs>
          <w:tab w:val="left" w:pos="709"/>
          <w:tab w:val="left" w:pos="851"/>
        </w:tabs>
        <w:autoSpaceDE w:val="0"/>
        <w:autoSpaceDN w:val="0"/>
        <w:adjustRightInd w:val="0"/>
        <w:ind w:hanging="567"/>
        <w:rPr>
          <w:b/>
        </w:rPr>
      </w:pPr>
      <w:r w:rsidRPr="00F46167">
        <w:rPr>
          <w:b/>
        </w:rPr>
        <w:t xml:space="preserve">1.      </w:t>
      </w:r>
      <w:r w:rsidRPr="00F46167">
        <w:rPr>
          <w:b/>
        </w:rPr>
        <w:tab/>
        <w:t>Sunum esaslarına ilişkin açıklamalar</w:t>
      </w:r>
    </w:p>
    <w:p w14:paraId="6E214DBE" w14:textId="77777777" w:rsidR="004A773C" w:rsidRPr="00F46167" w:rsidRDefault="004A773C" w:rsidP="004A773C">
      <w:pPr>
        <w:autoSpaceDE w:val="0"/>
        <w:autoSpaceDN w:val="0"/>
        <w:adjustRightInd w:val="0"/>
        <w:ind w:left="-360"/>
        <w:rPr>
          <w:b/>
          <w:sz w:val="16"/>
          <w:szCs w:val="16"/>
        </w:rPr>
      </w:pPr>
    </w:p>
    <w:p w14:paraId="0EB06A70" w14:textId="77777777" w:rsidR="004A773C" w:rsidRPr="00F46167" w:rsidRDefault="004A773C" w:rsidP="004A773C">
      <w:pPr>
        <w:pStyle w:val="BodyTextIndent"/>
        <w:autoSpaceDE/>
        <w:autoSpaceDN/>
        <w:adjustRightInd/>
        <w:ind w:left="0" w:hanging="567"/>
        <w:rPr>
          <w:b/>
        </w:rPr>
      </w:pPr>
      <w:r w:rsidRPr="00F46167">
        <w:rPr>
          <w:b/>
        </w:rPr>
        <w:t xml:space="preserve">1.1    </w:t>
      </w:r>
      <w:r w:rsidRPr="00F46167">
        <w:rPr>
          <w:b/>
        </w:rPr>
        <w:tab/>
        <w:t>Finansal tablolar ile bunlara ilişkin açıklama ve dipnotların Türkiye Muhasebe Standartları ve Bankaların Muhasebe Uygulamalarına ve Belgelerin Saklanmasına İlişkin Usul ve Esaslar Hakkında Yönetmeliğe uygun olarak hazırlanması:</w:t>
      </w:r>
    </w:p>
    <w:p w14:paraId="20EFFA45" w14:textId="77777777" w:rsidR="004A773C" w:rsidRPr="00F46167" w:rsidRDefault="004A773C" w:rsidP="004A773C">
      <w:pPr>
        <w:pStyle w:val="BodyText"/>
        <w:tabs>
          <w:tab w:val="left" w:pos="540"/>
        </w:tabs>
        <w:jc w:val="left"/>
        <w:rPr>
          <w:sz w:val="12"/>
          <w:szCs w:val="12"/>
        </w:rPr>
      </w:pPr>
    </w:p>
    <w:p w14:paraId="3160E9A8" w14:textId="77777777" w:rsidR="004A773C" w:rsidRPr="00F46167" w:rsidRDefault="004A773C" w:rsidP="004A773C">
      <w:pPr>
        <w:autoSpaceDE w:val="0"/>
        <w:autoSpaceDN w:val="0"/>
        <w:jc w:val="both"/>
        <w:rPr>
          <w:color w:val="000000"/>
        </w:rPr>
      </w:pPr>
      <w:r w:rsidRPr="00F46167">
        <w:rPr>
          <w:color w:val="000000"/>
        </w:rPr>
        <w:t xml:space="preserve">Banka, finansal tablolarını 1 Kasım 2006 tarihli ve 26333 sayılı Resmi </w:t>
      </w:r>
      <w:proofErr w:type="spellStart"/>
      <w:r w:rsidRPr="00F46167">
        <w:rPr>
          <w:color w:val="000000"/>
        </w:rPr>
        <w:t>Gazete'de</w:t>
      </w:r>
      <w:proofErr w:type="spellEnd"/>
      <w:r w:rsidRPr="00F46167">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Pr="00F46167">
        <w:rPr>
          <w:color w:val="000000"/>
        </w:rPr>
        <w:t>na</w:t>
      </w:r>
      <w:proofErr w:type="spellEnd"/>
      <w:r w:rsidRPr="00F46167">
        <w:rPr>
          <w:color w:val="000000"/>
        </w:rPr>
        <w:t xml:space="preserve"> uygun olarak düzenlemektedir.</w:t>
      </w:r>
    </w:p>
    <w:p w14:paraId="6DF09B89" w14:textId="77777777" w:rsidR="004A773C" w:rsidRPr="00F46167" w:rsidRDefault="004A773C" w:rsidP="004A773C">
      <w:pPr>
        <w:jc w:val="both"/>
      </w:pPr>
    </w:p>
    <w:p w14:paraId="428BB7E0" w14:textId="77777777" w:rsidR="004A773C" w:rsidRPr="00F46167" w:rsidRDefault="004A773C" w:rsidP="004A773C">
      <w:pPr>
        <w:pStyle w:val="BodyTextIndent"/>
        <w:autoSpaceDE/>
        <w:autoSpaceDN/>
        <w:adjustRightInd/>
        <w:ind w:left="0" w:hanging="567"/>
        <w:jc w:val="left"/>
        <w:rPr>
          <w:b/>
        </w:rPr>
      </w:pPr>
      <w:bookmarkStart w:id="6" w:name="_Hlk46745405"/>
      <w:r w:rsidRPr="00F46167">
        <w:rPr>
          <w:b/>
        </w:rPr>
        <w:t xml:space="preserve">1.2    </w:t>
      </w:r>
      <w:r w:rsidRPr="00F46167">
        <w:rPr>
          <w:b/>
        </w:rPr>
        <w:tab/>
        <w:t>Finansal tabloların hazırlanmasında izlenen muhasebe politikaları ve kullanılan değerleme esasları:</w:t>
      </w:r>
    </w:p>
    <w:p w14:paraId="0519F5CE" w14:textId="77777777" w:rsidR="004A773C" w:rsidRPr="00F46167" w:rsidRDefault="004A773C" w:rsidP="004A773C">
      <w:pPr>
        <w:pStyle w:val="BodyText"/>
        <w:tabs>
          <w:tab w:val="left" w:pos="567"/>
        </w:tabs>
        <w:autoSpaceDE/>
        <w:autoSpaceDN/>
        <w:adjustRightInd/>
        <w:jc w:val="left"/>
        <w:rPr>
          <w:sz w:val="16"/>
          <w:szCs w:val="16"/>
        </w:rPr>
      </w:pPr>
    </w:p>
    <w:p w14:paraId="4FF782C0" w14:textId="77777777" w:rsidR="004A773C" w:rsidRPr="00F46167" w:rsidRDefault="004A773C" w:rsidP="004A773C">
      <w:pPr>
        <w:pStyle w:val="BodyText"/>
      </w:pPr>
      <w:r w:rsidRPr="00F46167">
        <w:t xml:space="preserve">Finansal tablolar, gerçeğe uygun değeri ile değerlenen gerçeğe uygun değer farkı kar zarara yansıtılan finansal araçlar, gerçeğe uygun değer farkı diğer kapsamlı gelire yansıtılan finansal varlıklar ve yükümlülükler </w:t>
      </w:r>
      <w:proofErr w:type="gramStart"/>
      <w:r w:rsidRPr="00F46167">
        <w:t>dışında  tarihi</w:t>
      </w:r>
      <w:proofErr w:type="gramEnd"/>
      <w:r w:rsidRPr="00F46167">
        <w:t xml:space="preserve"> maliyet esasına göre hazırlanmaktadır.</w:t>
      </w:r>
    </w:p>
    <w:p w14:paraId="655FF250" w14:textId="77777777" w:rsidR="004A773C" w:rsidRPr="00F46167" w:rsidRDefault="004A773C" w:rsidP="004A773C">
      <w:pPr>
        <w:pStyle w:val="BodyText"/>
        <w:rPr>
          <w:sz w:val="16"/>
          <w:szCs w:val="16"/>
        </w:rPr>
      </w:pPr>
    </w:p>
    <w:p w14:paraId="2CDFDCDA" w14:textId="77777777" w:rsidR="004A773C" w:rsidRPr="00F46167" w:rsidRDefault="004A773C" w:rsidP="004A773C">
      <w:pPr>
        <w:autoSpaceDE w:val="0"/>
        <w:autoSpaceDN w:val="0"/>
        <w:jc w:val="both"/>
        <w:rPr>
          <w:lang w:eastAsia="x-none"/>
        </w:rPr>
      </w:pPr>
      <w:r w:rsidRPr="00F46167">
        <w:rPr>
          <w:lang w:eastAsia="x-none"/>
        </w:rPr>
        <w:t xml:space="preserve">Finansal tabloların BDDK Muhasebe ve Finansal Raporlama </w:t>
      </w:r>
      <w:proofErr w:type="spellStart"/>
      <w:r w:rsidRPr="00F46167">
        <w:rPr>
          <w:lang w:eastAsia="x-none"/>
        </w:rPr>
        <w:t>Mevzuatı’na</w:t>
      </w:r>
      <w:proofErr w:type="spellEnd"/>
      <w:r w:rsidRPr="00F46167">
        <w:rPr>
          <w:lang w:eastAsia="x-none"/>
        </w:rPr>
        <w:t xml:space="preserve">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F46167">
        <w:rPr>
          <w:lang w:eastAsia="x-none"/>
        </w:rPr>
        <w:tab/>
      </w:r>
    </w:p>
    <w:p w14:paraId="23285F5A" w14:textId="77777777" w:rsidR="004A773C" w:rsidRPr="00F46167" w:rsidRDefault="004A773C" w:rsidP="004A773C">
      <w:pPr>
        <w:autoSpaceDE w:val="0"/>
        <w:autoSpaceDN w:val="0"/>
        <w:jc w:val="both"/>
        <w:rPr>
          <w:lang w:eastAsia="x-none"/>
        </w:rPr>
      </w:pPr>
    </w:p>
    <w:p w14:paraId="5EDED676" w14:textId="55522AF3" w:rsidR="004A773C" w:rsidRPr="00F46167" w:rsidRDefault="004A773C" w:rsidP="004A773C">
      <w:pPr>
        <w:pStyle w:val="BodyTextIndent"/>
        <w:autoSpaceDE/>
        <w:autoSpaceDN/>
        <w:adjustRightInd/>
        <w:spacing w:line="221" w:lineRule="auto"/>
        <w:ind w:left="0" w:hanging="567"/>
      </w:pPr>
      <w:r w:rsidRPr="00F46167">
        <w:t xml:space="preserve">           Son dönemde Çin’de ortaya çıkan, dünyada çeşitli ülkelere yayılan, potansiyel olarak ölümcül solunum yolu enfeksiyonlarına neden olan </w:t>
      </w:r>
      <w:proofErr w:type="spellStart"/>
      <w:r w:rsidRPr="00F46167">
        <w:t>Coronavirüs</w:t>
      </w:r>
      <w:proofErr w:type="spellEnd"/>
      <w:r w:rsidRPr="00F46167">
        <w:t xml:space="preserve"> salgını, özellikle salgına aşırı maruz kalan ülkelerde operasyonlarda aksaklıklara yol açtığı </w:t>
      </w:r>
      <w:proofErr w:type="gramStart"/>
      <w:r w:rsidRPr="00F46167">
        <w:t>gibi,</w:t>
      </w:r>
      <w:proofErr w:type="gramEnd"/>
      <w:r w:rsidRPr="00F46167">
        <w:t xml:space="preserve"> hem bölgesel ve hem de küresel olarak ekonomik koşulları olumsuz yönde etkilemektedir. COVID-19’un dünya geneline yayılması sonucunda, virüsün bulaşmasını önlemek amacıyla dünyada olduğu gibi </w:t>
      </w:r>
      <w:r w:rsidR="00760780">
        <w:t>Türkiye’de</w:t>
      </w:r>
      <w:r w:rsidR="00760780" w:rsidRPr="00F46167">
        <w:t xml:space="preserve"> </w:t>
      </w:r>
      <w:r w:rsidRPr="00F46167">
        <w:t xml:space="preserve">de çeşitli tedbirler alınmış ve </w:t>
      </w:r>
      <w:proofErr w:type="spellStart"/>
      <w:r w:rsidRPr="00F46167">
        <w:t>hâla</w:t>
      </w:r>
      <w:proofErr w:type="spellEnd"/>
      <w:r w:rsidRPr="00F46167">
        <w:t xml:space="preserve"> alınmaya devam edilmektedir. Bu tedbirlerin yanı sıra, </w:t>
      </w:r>
      <w:r w:rsidR="00760780">
        <w:t>Türkiye</w:t>
      </w:r>
      <w:r w:rsidR="00760780" w:rsidRPr="00F46167">
        <w:t xml:space="preserve"> </w:t>
      </w:r>
      <w:r w:rsidRPr="00F46167">
        <w:t>ve dünya genelinde virüs salgınının bireyler ve işletmeler üzerindeki ekonomik etkilerinin asgari seviyeye indirilebilmesi için ekonomik tedbirler de alınmaktadır.</w:t>
      </w:r>
    </w:p>
    <w:p w14:paraId="25D653BF" w14:textId="77777777" w:rsidR="004A773C" w:rsidRPr="00F46167" w:rsidRDefault="004A773C" w:rsidP="004A773C">
      <w:pPr>
        <w:pStyle w:val="BodyTextIndent"/>
        <w:autoSpaceDE/>
        <w:autoSpaceDN/>
        <w:adjustRightInd/>
        <w:spacing w:line="221" w:lineRule="auto"/>
        <w:ind w:left="0" w:firstLine="0"/>
      </w:pPr>
    </w:p>
    <w:p w14:paraId="0880B41A" w14:textId="2AAA9147" w:rsidR="007F4E84" w:rsidRPr="00F46167" w:rsidRDefault="004A773C" w:rsidP="007F4E84">
      <w:pPr>
        <w:pStyle w:val="BodyTextIndent"/>
        <w:autoSpaceDE/>
        <w:autoSpaceDN/>
        <w:adjustRightInd/>
        <w:spacing w:line="221" w:lineRule="auto"/>
        <w:ind w:left="0" w:hanging="567"/>
      </w:pPr>
      <w:r w:rsidRPr="00F46167">
        <w:t xml:space="preserve">           </w:t>
      </w:r>
      <w:r w:rsidR="0044609D" w:rsidRPr="00F46167">
        <w:t>30 Eylül 2020</w:t>
      </w:r>
      <w:r w:rsidR="007F4E84" w:rsidRPr="00F46167">
        <w:t xml:space="preserve"> tarihi itibarıyla hazırlanan ara dönem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yapmış ve bunları üçüncü bölüm 1.5 </w:t>
      </w:r>
      <w:proofErr w:type="spellStart"/>
      <w:r w:rsidR="007F4E84" w:rsidRPr="00F46167">
        <w:t>no’lu</w:t>
      </w:r>
      <w:proofErr w:type="spellEnd"/>
      <w:r w:rsidR="007F4E84" w:rsidRPr="00F46167">
        <w:t xml:space="preserve"> “</w:t>
      </w:r>
      <w:r w:rsidR="007F4E84" w:rsidRPr="00F46167">
        <w:rPr>
          <w:i/>
          <w:iCs/>
        </w:rPr>
        <w:t>Beklenen Zarar Karşılıklarına İlişkin Açıklamalar</w:t>
      </w:r>
      <w:r w:rsidR="007F4E84" w:rsidRPr="00F46167">
        <w:t>” dipnotunda açıklamıştır. İlerleyen dönemlerde Banka ilgili varsayımlarını gerektiği ölçüde güncelleyecek ve geçmişe yönelik tahminlerinin gerçekleşme durumlarını tekrar gözden geçirecektir.</w:t>
      </w:r>
    </w:p>
    <w:bookmarkEnd w:id="6"/>
    <w:p w14:paraId="7B2CAAF6" w14:textId="77777777" w:rsidR="004A773C" w:rsidRPr="00F46167" w:rsidRDefault="004A773C" w:rsidP="004A773C">
      <w:pPr>
        <w:pStyle w:val="BodyText"/>
        <w:rPr>
          <w:sz w:val="16"/>
          <w:szCs w:val="16"/>
        </w:rPr>
      </w:pPr>
    </w:p>
    <w:p w14:paraId="7BA7886A" w14:textId="77777777" w:rsidR="004A773C" w:rsidRPr="00F46167" w:rsidRDefault="004A773C" w:rsidP="004A773C">
      <w:pPr>
        <w:pStyle w:val="BodyTextIndent"/>
        <w:autoSpaceDE/>
        <w:autoSpaceDN/>
        <w:adjustRightInd/>
        <w:spacing w:line="221" w:lineRule="auto"/>
        <w:ind w:left="0" w:hanging="567"/>
        <w:jc w:val="left"/>
        <w:rPr>
          <w:b/>
        </w:rPr>
      </w:pPr>
      <w:r w:rsidRPr="00F46167">
        <w:rPr>
          <w:b/>
        </w:rPr>
        <w:t>1.3</w:t>
      </w:r>
      <w:r w:rsidRPr="00F46167">
        <w:rPr>
          <w:b/>
        </w:rPr>
        <w:tab/>
        <w:t>Muhasebe tahminlerindeki değişiklikler, hatalar ve sınıflandırmalar</w:t>
      </w:r>
    </w:p>
    <w:p w14:paraId="65293DD2" w14:textId="77777777" w:rsidR="004A773C" w:rsidRPr="00F46167" w:rsidRDefault="004A773C" w:rsidP="004A773C">
      <w:pPr>
        <w:pStyle w:val="BodyTextIndent"/>
        <w:autoSpaceDE/>
        <w:autoSpaceDN/>
        <w:adjustRightInd/>
        <w:spacing w:line="221" w:lineRule="auto"/>
        <w:ind w:left="0" w:hanging="567"/>
        <w:jc w:val="left"/>
        <w:rPr>
          <w:b/>
        </w:rPr>
      </w:pPr>
    </w:p>
    <w:p w14:paraId="7A35901B" w14:textId="77777777" w:rsidR="004A773C" w:rsidRPr="00F46167" w:rsidRDefault="004A773C" w:rsidP="004A773C">
      <w:pPr>
        <w:pStyle w:val="BodyTextIndent"/>
        <w:autoSpaceDE/>
        <w:autoSpaceDN/>
        <w:adjustRightInd/>
        <w:spacing w:line="221" w:lineRule="auto"/>
        <w:ind w:left="0" w:hanging="567"/>
      </w:pPr>
      <w:r w:rsidRPr="00F46167">
        <w:tab/>
        <w:t xml:space="preserve">Muhasebe tahminlerindeki değişiklikler, yalnızca bir döneme ilişkin ise, değişikliğin yapıldığı cari dönemde, gelecek dönemlere ilişkin ise, hem değişikliğin yapıldığı dönemde hem de gelecek dönemlerde, ileriye yönelik </w:t>
      </w:r>
      <w:proofErr w:type="gramStart"/>
      <w:r w:rsidRPr="00F46167">
        <w:t>olarak  uygulanır</w:t>
      </w:r>
      <w:proofErr w:type="gramEnd"/>
      <w:r w:rsidRPr="00F46167">
        <w:t>. Banka’nın cari yıl içerisinde muhasebe tahminlerinde önemli bir değişikliği olmamıştır. Tespit edilen önemli muhasebe hataları geriye dönük olarak uygulanır ve önceki dönem finansal tabloları yeniden düzenlenir.</w:t>
      </w:r>
    </w:p>
    <w:p w14:paraId="73E64E72" w14:textId="77777777" w:rsidR="004A773C" w:rsidRPr="00F46167" w:rsidRDefault="004A773C" w:rsidP="004A773C">
      <w:pPr>
        <w:pStyle w:val="BodyTextIndent"/>
        <w:autoSpaceDE/>
        <w:autoSpaceDN/>
        <w:adjustRightInd/>
        <w:spacing w:line="221" w:lineRule="auto"/>
        <w:ind w:left="0" w:hanging="567"/>
      </w:pPr>
    </w:p>
    <w:p w14:paraId="251AE3D6" w14:textId="77777777" w:rsidR="004A773C" w:rsidRPr="00F46167" w:rsidRDefault="004A773C" w:rsidP="004A773C">
      <w:pPr>
        <w:pStyle w:val="BodyTextIndent"/>
        <w:autoSpaceDE/>
        <w:autoSpaceDN/>
        <w:adjustRightInd/>
        <w:spacing w:line="221" w:lineRule="auto"/>
        <w:ind w:left="0" w:hanging="567"/>
        <w:jc w:val="left"/>
        <w:rPr>
          <w:b/>
        </w:rPr>
      </w:pPr>
      <w:r w:rsidRPr="00F46167">
        <w:rPr>
          <w:b/>
        </w:rPr>
        <w:t xml:space="preserve">1.4    </w:t>
      </w:r>
      <w:r w:rsidRPr="00F46167">
        <w:rPr>
          <w:b/>
        </w:rPr>
        <w:tab/>
        <w:t>Finansal tabloların paranın cari satın alma gücüne göre düzenlenmesi:</w:t>
      </w:r>
    </w:p>
    <w:p w14:paraId="13A35E9D" w14:textId="77777777" w:rsidR="004A773C" w:rsidRPr="00F46167" w:rsidRDefault="004A773C" w:rsidP="004A773C">
      <w:pPr>
        <w:pStyle w:val="BodyText"/>
        <w:tabs>
          <w:tab w:val="left" w:pos="567"/>
        </w:tabs>
        <w:autoSpaceDE/>
        <w:autoSpaceDN/>
        <w:adjustRightInd/>
        <w:spacing w:line="221" w:lineRule="auto"/>
        <w:jc w:val="left"/>
        <w:rPr>
          <w:sz w:val="16"/>
          <w:szCs w:val="16"/>
        </w:rPr>
      </w:pPr>
    </w:p>
    <w:p w14:paraId="7D7166A7" w14:textId="77777777" w:rsidR="004A773C" w:rsidRPr="00F46167" w:rsidRDefault="004A773C" w:rsidP="004A773C">
      <w:pPr>
        <w:pStyle w:val="BodyText"/>
        <w:tabs>
          <w:tab w:val="left" w:pos="567"/>
        </w:tabs>
        <w:autoSpaceDE/>
        <w:autoSpaceDN/>
        <w:adjustRightInd/>
        <w:spacing w:line="221" w:lineRule="auto"/>
      </w:pPr>
      <w:r w:rsidRPr="00F46167">
        <w:t xml:space="preserve">Banka’nın finansal tabloları 31 Aralık 2004 tarihine kadar “Yüksek Enflasyonlu Ekonomilerde Finansal Raporlamaya İlişkin Türkiye Muhasebe Standardı” TMS 29 uyarınca enflasyon düzeltmesine tabi tutulmuştur. Bankacılık Düzenleme ve Denetleme Kurulu’nun 21 Nisan 2005 </w:t>
      </w:r>
      <w:proofErr w:type="gramStart"/>
      <w:r w:rsidRPr="00F46167">
        <w:t>tarih -</w:t>
      </w:r>
      <w:proofErr w:type="gramEnd"/>
      <w:r w:rsidRPr="00F46167">
        <w:t xml:space="preserve"> 1623 sayılı kararı ve 28 Nisan 2005 tarihli Genelgesi ile enflasyon muhasebesi uygulanmasını gerektiren göstergelerin ortadan kalktığı belirtilmiş ve 1 Ocak 2005’ten itibaren enflasyon muhasebesi uygulanmamıştır.</w:t>
      </w:r>
    </w:p>
    <w:p w14:paraId="027C08A9" w14:textId="77777777" w:rsidR="004A773C" w:rsidRPr="00270CE6" w:rsidRDefault="004A773C" w:rsidP="004A773C">
      <w:pPr>
        <w:pStyle w:val="BodyText"/>
        <w:tabs>
          <w:tab w:val="left" w:pos="567"/>
        </w:tabs>
        <w:autoSpaceDE/>
        <w:autoSpaceDN/>
        <w:adjustRightInd/>
        <w:spacing w:line="221" w:lineRule="auto"/>
        <w:rPr>
          <w:sz w:val="16"/>
          <w:szCs w:val="16"/>
          <w:highlight w:val="yellow"/>
        </w:rPr>
      </w:pPr>
    </w:p>
    <w:p w14:paraId="6B64F5C3" w14:textId="77777777" w:rsidR="004A773C" w:rsidRPr="00270CE6" w:rsidRDefault="004A773C" w:rsidP="004A773C">
      <w:pPr>
        <w:pStyle w:val="BodyText"/>
        <w:tabs>
          <w:tab w:val="left" w:pos="567"/>
        </w:tabs>
        <w:autoSpaceDE/>
        <w:autoSpaceDN/>
        <w:adjustRightInd/>
        <w:spacing w:line="221" w:lineRule="auto"/>
        <w:rPr>
          <w:sz w:val="16"/>
          <w:szCs w:val="16"/>
          <w:highlight w:val="yellow"/>
        </w:rPr>
      </w:pPr>
    </w:p>
    <w:p w14:paraId="1B3526CA" w14:textId="77777777" w:rsidR="004A773C" w:rsidRPr="00270CE6" w:rsidRDefault="004A773C" w:rsidP="004A773C">
      <w:pPr>
        <w:pStyle w:val="BodyText"/>
        <w:tabs>
          <w:tab w:val="left" w:pos="567"/>
        </w:tabs>
        <w:autoSpaceDE/>
        <w:autoSpaceDN/>
        <w:adjustRightInd/>
        <w:spacing w:line="221" w:lineRule="auto"/>
        <w:rPr>
          <w:sz w:val="16"/>
          <w:szCs w:val="16"/>
          <w:highlight w:val="yellow"/>
        </w:rPr>
      </w:pPr>
    </w:p>
    <w:p w14:paraId="7517D1EA" w14:textId="77777777" w:rsidR="00717AB5" w:rsidRDefault="00717AB5">
      <w:pPr>
        <w:rPr>
          <w:b/>
          <w:bCs/>
        </w:rPr>
      </w:pPr>
      <w:r>
        <w:rPr>
          <w:b/>
          <w:bCs/>
        </w:rPr>
        <w:br w:type="page"/>
      </w:r>
    </w:p>
    <w:p w14:paraId="611DE1FB" w14:textId="262BB051" w:rsidR="004A773C" w:rsidRPr="00F46167" w:rsidRDefault="004A773C" w:rsidP="004A773C">
      <w:pPr>
        <w:autoSpaceDE w:val="0"/>
        <w:autoSpaceDN w:val="0"/>
        <w:ind w:left="708" w:hanging="1247"/>
        <w:jc w:val="both"/>
        <w:rPr>
          <w:b/>
          <w:bCs/>
        </w:rPr>
      </w:pPr>
      <w:r w:rsidRPr="00F46167">
        <w:rPr>
          <w:b/>
          <w:bCs/>
        </w:rPr>
        <w:lastRenderedPageBreak/>
        <w:t>1.5     TFRS 9 Finansal Araçlar Standardına İlişkin Açıklamalar:</w:t>
      </w:r>
    </w:p>
    <w:p w14:paraId="527348C7" w14:textId="77777777" w:rsidR="004A773C" w:rsidRPr="00F46167" w:rsidRDefault="004A773C" w:rsidP="004A773C">
      <w:pPr>
        <w:autoSpaceDE w:val="0"/>
        <w:autoSpaceDN w:val="0"/>
        <w:jc w:val="both"/>
        <w:rPr>
          <w:sz w:val="16"/>
          <w:szCs w:val="16"/>
        </w:rPr>
      </w:pPr>
    </w:p>
    <w:p w14:paraId="2BBBD808" w14:textId="77777777" w:rsidR="004A773C" w:rsidRPr="00F46167" w:rsidRDefault="004A773C" w:rsidP="004A773C">
      <w:pPr>
        <w:autoSpaceDE w:val="0"/>
        <w:autoSpaceDN w:val="0"/>
        <w:jc w:val="both"/>
      </w:pPr>
      <w:r w:rsidRPr="00F46167">
        <w:t xml:space="preserve">Kamu Gözetimi Muhasebe ve Denetim Standartları Kurumu tarafından 19 Ocak 2017 tarihli ve 29953 sayılı </w:t>
      </w:r>
      <w:proofErr w:type="gramStart"/>
      <w:r w:rsidRPr="00F46167">
        <w:t>Resmi</w:t>
      </w:r>
      <w:proofErr w:type="gramEnd"/>
      <w:r w:rsidRPr="00F46167">
        <w:t xml:space="preserve"> </w:t>
      </w:r>
      <w:proofErr w:type="spellStart"/>
      <w:r w:rsidRPr="00F46167">
        <w:t>Gazete’de</w:t>
      </w:r>
      <w:proofErr w:type="spellEnd"/>
      <w:r w:rsidRPr="00F46167">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605B674C" w14:textId="77777777" w:rsidR="004A773C" w:rsidRPr="00F46167" w:rsidRDefault="004A773C" w:rsidP="004A773C">
      <w:pPr>
        <w:autoSpaceDE w:val="0"/>
        <w:autoSpaceDN w:val="0"/>
        <w:jc w:val="both"/>
      </w:pPr>
    </w:p>
    <w:p w14:paraId="2D96B7E3" w14:textId="0AC95270" w:rsidR="004A773C" w:rsidRPr="00F46167" w:rsidRDefault="004A773C" w:rsidP="00974CBB">
      <w:pPr>
        <w:autoSpaceDE w:val="0"/>
        <w:autoSpaceDN w:val="0"/>
        <w:jc w:val="both"/>
      </w:pPr>
      <w:r w:rsidRPr="00F46167">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0A193AD0" w14:textId="77777777" w:rsidR="004A773C" w:rsidRPr="00F46167" w:rsidRDefault="004A773C" w:rsidP="004A773C">
      <w:pPr>
        <w:autoSpaceDE w:val="0"/>
        <w:autoSpaceDN w:val="0"/>
        <w:jc w:val="both"/>
      </w:pPr>
    </w:p>
    <w:p w14:paraId="04F1EBA6" w14:textId="77777777" w:rsidR="004A773C" w:rsidRPr="00F46167" w:rsidRDefault="004A773C" w:rsidP="004A773C">
      <w:pPr>
        <w:autoSpaceDE w:val="0"/>
        <w:autoSpaceDN w:val="0"/>
        <w:jc w:val="both"/>
      </w:pPr>
      <w:r w:rsidRPr="00F46167">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F46167">
        <w:t>kar</w:t>
      </w:r>
      <w:proofErr w:type="gramEnd"/>
      <w:r w:rsidRPr="00F46167">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F46167">
        <w:t>kar</w:t>
      </w:r>
      <w:proofErr w:type="gramEnd"/>
      <w:r w:rsidRPr="00F46167">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F46167">
        <w:t>özkaynak</w:t>
      </w:r>
      <w:proofErr w:type="spellEnd"/>
      <w:r w:rsidRPr="00F46167">
        <w:t xml:space="preserve"> araçları, sonraki hesap dönemlerinin sonunda gerçeğe uygun değerleriyle ölçülür.  Ayrıca, TFRS 9 uyarınca işletmeler, ticari amaçla elde tutulmayan </w:t>
      </w:r>
      <w:proofErr w:type="spellStart"/>
      <w:r w:rsidRPr="00F46167">
        <w:t>özkaynak</w:t>
      </w:r>
      <w:proofErr w:type="spellEnd"/>
      <w:r w:rsidRPr="00F46167">
        <w:t xml:space="preserve"> aracına yapılan yatırımın gerçeğe uygun değerinde meydana gelen değişimlerin diğer kapsamlı gelirde sunulması konusunda geri dönülemeyecek bir tercihte bulunabilirler. </w:t>
      </w:r>
    </w:p>
    <w:p w14:paraId="4FE9E79E" w14:textId="77777777" w:rsidR="004A773C" w:rsidRPr="00F46167" w:rsidRDefault="004A773C" w:rsidP="004A773C">
      <w:pPr>
        <w:autoSpaceDE w:val="0"/>
        <w:autoSpaceDN w:val="0"/>
        <w:jc w:val="both"/>
        <w:rPr>
          <w:sz w:val="16"/>
          <w:szCs w:val="16"/>
        </w:rPr>
      </w:pPr>
    </w:p>
    <w:p w14:paraId="5B676799" w14:textId="77777777" w:rsidR="004A773C" w:rsidRPr="00F46167" w:rsidRDefault="004A773C" w:rsidP="004A773C">
      <w:pPr>
        <w:autoSpaceDE w:val="0"/>
        <w:autoSpaceDN w:val="0"/>
        <w:jc w:val="both"/>
      </w:pPr>
      <w:r w:rsidRPr="00F46167">
        <w:t>Bu tür yatırımlardan sağlanan temettüler, açıkça yatırımın maliyetinin bir kısmının geri kazanılması niteliğinde olmadıkça, kar veya zarar olarak finansal tablolara alınır.</w:t>
      </w:r>
    </w:p>
    <w:p w14:paraId="28FE3233" w14:textId="77777777" w:rsidR="004A773C" w:rsidRPr="00F46167" w:rsidRDefault="004A773C" w:rsidP="004A773C">
      <w:pPr>
        <w:autoSpaceDE w:val="0"/>
        <w:autoSpaceDN w:val="0"/>
        <w:jc w:val="both"/>
        <w:rPr>
          <w:sz w:val="16"/>
          <w:szCs w:val="16"/>
        </w:rPr>
      </w:pPr>
    </w:p>
    <w:p w14:paraId="3AD88B4B" w14:textId="77777777" w:rsidR="004A773C" w:rsidRPr="00F46167" w:rsidRDefault="004A773C" w:rsidP="004A773C">
      <w:pPr>
        <w:autoSpaceDE w:val="0"/>
        <w:autoSpaceDN w:val="0"/>
        <w:jc w:val="both"/>
      </w:pPr>
      <w:r w:rsidRPr="00F46167">
        <w:t>Sözleşmeye dayalı nakit akım özelliklerinin ve iş modellerinin beraber uygulanması sonucunda, TMS 39’daki mevcut sınıflandırmaya kıyasla, finansal varlıkların sınıflandırılmasındaki farklılıklar mali tablolara yansıtılmıştır.</w:t>
      </w:r>
    </w:p>
    <w:p w14:paraId="2064A200" w14:textId="77777777" w:rsidR="004A773C" w:rsidRPr="00F46167" w:rsidRDefault="004A773C" w:rsidP="004A773C">
      <w:pPr>
        <w:autoSpaceDE w:val="0"/>
        <w:autoSpaceDN w:val="0"/>
        <w:jc w:val="both"/>
      </w:pPr>
    </w:p>
    <w:p w14:paraId="4FA7A71A" w14:textId="77777777" w:rsidR="004A773C" w:rsidRPr="00F46167" w:rsidRDefault="004A773C" w:rsidP="004A773C">
      <w:pPr>
        <w:autoSpaceDE w:val="0"/>
        <w:autoSpaceDN w:val="0"/>
        <w:jc w:val="both"/>
      </w:pPr>
      <w:r w:rsidRPr="00F46167">
        <w:t>Finansal araçların ilk muhasebeleştirilme esnasında hangi kategoride sınıflandırılacağı, yönetim için kullanılan ilgili iş modeli ile sözleşmeye bağlı nakit akışların özelliklerine bağlıdır.</w:t>
      </w:r>
    </w:p>
    <w:p w14:paraId="6DC266C3" w14:textId="77777777" w:rsidR="004A773C" w:rsidRPr="00F46167" w:rsidRDefault="004A773C" w:rsidP="004A773C">
      <w:pPr>
        <w:autoSpaceDE w:val="0"/>
        <w:autoSpaceDN w:val="0"/>
        <w:spacing w:beforeLines="60" w:before="144" w:afterLines="60" w:after="144"/>
        <w:jc w:val="both"/>
        <w:rPr>
          <w:b/>
        </w:rPr>
      </w:pPr>
      <w:r w:rsidRPr="00F46167">
        <w:rPr>
          <w:b/>
        </w:rPr>
        <w:t>Finansal araçların sınıflandırılması ve ölçümü:</w:t>
      </w:r>
    </w:p>
    <w:p w14:paraId="55ED2A45" w14:textId="77777777" w:rsidR="004A773C" w:rsidRPr="00F46167" w:rsidRDefault="004A773C" w:rsidP="004A773C">
      <w:pPr>
        <w:autoSpaceDE w:val="0"/>
        <w:autoSpaceDN w:val="0"/>
        <w:spacing w:beforeLines="60" w:before="144" w:afterLines="60" w:after="144"/>
        <w:jc w:val="both"/>
      </w:pPr>
      <w:r w:rsidRPr="00F46167">
        <w:t xml:space="preserve">TFRS 9 standardına göre finansal varlıkların sınıflandırılması ve ölçümü, finansal varlığın yönetildiği iş modeline ve sadece anapara ve anapara bakiyesine ilişkin </w:t>
      </w:r>
      <w:proofErr w:type="gramStart"/>
      <w:r w:rsidRPr="00F46167">
        <w:t>kar</w:t>
      </w:r>
      <w:proofErr w:type="gramEnd"/>
      <w:r w:rsidRPr="00F46167">
        <w:t xml:space="preserve"> payı ödemelerini içeren sözleşmeye dayalı nakit akışlarına bağlı olup olmadığına göre belirlenmiştir.</w:t>
      </w:r>
    </w:p>
    <w:p w14:paraId="067B7468" w14:textId="77777777" w:rsidR="004A773C" w:rsidRPr="00F46167" w:rsidRDefault="004A773C" w:rsidP="004A773C">
      <w:pPr>
        <w:autoSpaceDE w:val="0"/>
        <w:autoSpaceDN w:val="0"/>
        <w:jc w:val="both"/>
      </w:pPr>
      <w:r w:rsidRPr="00F46167">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492D7D5E" w14:textId="77777777" w:rsidR="004A773C" w:rsidRPr="00F46167" w:rsidRDefault="004A773C" w:rsidP="004A773C">
      <w:pPr>
        <w:autoSpaceDE w:val="0"/>
        <w:autoSpaceDN w:val="0"/>
        <w:jc w:val="both"/>
        <w:rPr>
          <w:b/>
          <w:sz w:val="6"/>
        </w:rPr>
      </w:pPr>
    </w:p>
    <w:p w14:paraId="712F52D7" w14:textId="77777777" w:rsidR="004A773C" w:rsidRPr="00F46167" w:rsidRDefault="004A773C" w:rsidP="004A773C">
      <w:pPr>
        <w:autoSpaceDE w:val="0"/>
        <w:autoSpaceDN w:val="0"/>
        <w:adjustRightInd w:val="0"/>
        <w:rPr>
          <w:b/>
        </w:rPr>
      </w:pPr>
      <w:bookmarkStart w:id="7" w:name="_Hlk46745430"/>
      <w:r w:rsidRPr="00F46167">
        <w:rPr>
          <w:b/>
        </w:rPr>
        <w:t>Beklenen Zarar Karşılıklarına ilişkin açıklamalar:</w:t>
      </w:r>
    </w:p>
    <w:p w14:paraId="3F89FE30" w14:textId="77777777" w:rsidR="004A773C" w:rsidRPr="00F46167" w:rsidRDefault="004A773C" w:rsidP="004A773C">
      <w:pPr>
        <w:autoSpaceDE w:val="0"/>
        <w:autoSpaceDN w:val="0"/>
        <w:spacing w:beforeLines="60" w:before="144" w:afterLines="60" w:after="144"/>
        <w:jc w:val="both"/>
      </w:pPr>
      <w:r w:rsidRPr="00F46167">
        <w:t xml:space="preserve">22 Haziran 2016 tarih ve 29750 sayılı </w:t>
      </w:r>
      <w:proofErr w:type="gramStart"/>
      <w:r w:rsidRPr="00F46167">
        <w:t>Resmi</w:t>
      </w:r>
      <w:proofErr w:type="gramEnd"/>
      <w:r w:rsidRPr="00F46167">
        <w:t xml:space="preserve"> </w:t>
      </w:r>
      <w:proofErr w:type="spellStart"/>
      <w:r w:rsidRPr="00F46167">
        <w:t>Gazete’de</w:t>
      </w:r>
      <w:proofErr w:type="spellEnd"/>
      <w:r w:rsidRPr="00F46167">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w:t>
      </w:r>
      <w:proofErr w:type="spellStart"/>
      <w:r w:rsidRPr="00F46167">
        <w:t>ağırlıklandırılmış</w:t>
      </w:r>
      <w:proofErr w:type="spellEnd"/>
      <w:r w:rsidRPr="00F46167">
        <w:t xml:space="preserve"> ve geçmiş olaylar, mevcut şartlar ve gelecekteki ekonomik şartlara ilişkin tahminler hakkında desteklenebilir bilgiler içermelidir.</w:t>
      </w:r>
    </w:p>
    <w:p w14:paraId="2BE9497C" w14:textId="77777777" w:rsidR="004A773C" w:rsidRPr="00F46167" w:rsidRDefault="004A773C" w:rsidP="004A773C">
      <w:pPr>
        <w:autoSpaceDE w:val="0"/>
        <w:autoSpaceDN w:val="0"/>
        <w:spacing w:beforeLines="60" w:before="144" w:afterLines="60" w:after="144"/>
        <w:jc w:val="both"/>
      </w:pPr>
      <w:r w:rsidRPr="00F46167">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w:t>
      </w:r>
      <w:proofErr w:type="spellStart"/>
      <w:r w:rsidRPr="00F46167">
        <w:t>segmentlerine</w:t>
      </w:r>
      <w:proofErr w:type="spellEnd"/>
      <w:r w:rsidRPr="00F46167">
        <w:t xml:space="preserve"> göre belirlenmiştir. İçsel Derecelendirmeye Dayalı </w:t>
      </w:r>
      <w:proofErr w:type="spellStart"/>
      <w:r w:rsidRPr="00F46167">
        <w:t>Yaklaşım’da</w:t>
      </w:r>
      <w:proofErr w:type="spellEnd"/>
      <w:r w:rsidRPr="00F46167">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yasal kesinti oranlarını ve teminatsız kredilerde Banka’nın geçmiş tahsilat performansını yansıtmaktadır. Temerrüt Tutarı (TT), nakdi krediler için raporlama tarihindeki kullanılmış bakiyeye, </w:t>
      </w:r>
      <w:proofErr w:type="spellStart"/>
      <w:r w:rsidRPr="00F46167">
        <w:t>gayrinakdi</w:t>
      </w:r>
      <w:proofErr w:type="spellEnd"/>
      <w:r w:rsidRPr="00F46167">
        <w:t xml:space="preserve"> krediler ve taahhüt riskleri için krediye dönüşüm oranı uygulandıktan sonraki bakiyeye tekabül eder.</w:t>
      </w:r>
    </w:p>
    <w:p w14:paraId="2FB4EFEB" w14:textId="2DDCEA95" w:rsidR="00717AB5" w:rsidRDefault="00717AB5">
      <w:pPr>
        <w:rPr>
          <w:highlight w:val="yellow"/>
        </w:rPr>
      </w:pPr>
      <w:r>
        <w:rPr>
          <w:highlight w:val="yellow"/>
        </w:rPr>
        <w:br w:type="page"/>
      </w:r>
    </w:p>
    <w:p w14:paraId="4B64C3FE" w14:textId="77777777" w:rsidR="004A773C" w:rsidRPr="00F46167" w:rsidRDefault="004A773C" w:rsidP="004A773C">
      <w:pPr>
        <w:autoSpaceDE w:val="0"/>
        <w:autoSpaceDN w:val="0"/>
        <w:spacing w:beforeLines="60" w:before="144" w:afterLines="60" w:after="144"/>
        <w:jc w:val="both"/>
      </w:pPr>
      <w:r w:rsidRPr="00F46167">
        <w:lastRenderedPageBreak/>
        <w:t xml:space="preserve">Makroekonomik senaryolar TO ve THK değerlerine etki etmektedir. Baz, İyi ve Kötü senaryo olmak üzere 3 farklı senaryo ile beklenen kredi zararı tutarı hesaplanmaktadır. Borçluların temerrüt olasılıkları ve temerrüt halinde kayıp oranları her bir senaryo bazında değişmektedir. </w:t>
      </w:r>
    </w:p>
    <w:p w14:paraId="10B6941E" w14:textId="6A1646C6" w:rsidR="008470CB" w:rsidRPr="00F46167" w:rsidRDefault="008470CB" w:rsidP="008470CB">
      <w:pPr>
        <w:pStyle w:val="BodyTextIndent"/>
        <w:adjustRightInd/>
        <w:spacing w:before="80" w:after="80"/>
        <w:ind w:left="0" w:firstLine="0"/>
      </w:pPr>
      <w:bookmarkStart w:id="8" w:name="_Hlk38892804"/>
      <w:r w:rsidRPr="00F46167">
        <w:t xml:space="preserve">Banka </w:t>
      </w:r>
      <w:r w:rsidR="0044609D" w:rsidRPr="00F46167">
        <w:t xml:space="preserve">30 Eylül 2020 </w:t>
      </w:r>
      <w:r w:rsidRPr="00F46167">
        <w:t xml:space="preserve">tarihi itibariyle COVID-19 salgınının olası etkilerini beklenen kredi zararları hesaplamasında kullanılan tahmin ve muhakemelere azami gayret prensibi ile elde ettiği verileri en iyi tahmin yöntemiyle yansıtmıştır. </w:t>
      </w:r>
      <w:proofErr w:type="spellStart"/>
      <w:r w:rsidRPr="00F46167">
        <w:t>Sözkonusu</w:t>
      </w:r>
      <w:proofErr w:type="spellEnd"/>
      <w:r w:rsidRPr="00F46167">
        <w:t xml:space="preserve"> veriler ışığında Banka beklenen kredi zararı hesaplamasında, makro ekonomik beklentilerini revize etmiş, EDF modelindeki güncelleme ile birlikte TO değişimi de göz önüne alınarak yapılan hesaplama </w:t>
      </w:r>
      <w:r w:rsidR="0044609D" w:rsidRPr="00F46167">
        <w:t>30 Eylül 2020</w:t>
      </w:r>
      <w:r w:rsidR="009269E3">
        <w:t xml:space="preserve"> </w:t>
      </w:r>
      <w:r w:rsidRPr="00F46167">
        <w:t xml:space="preserve">itibari ile finansal tablolara yansıtılmıştır. Doğası gereği model etkileri değişikliğe sebep olan olaylarla etkilerinin farklı zamanlarda gerçekleşmesi sebebiyle mali tablolara gecikmeyle yansımaktadır, </w:t>
      </w:r>
      <w:proofErr w:type="gramStart"/>
      <w:r w:rsidRPr="00F46167">
        <w:t>Bu</w:t>
      </w:r>
      <w:proofErr w:type="gramEnd"/>
      <w:r w:rsidRPr="00F46167">
        <w:t xml:space="preserve"> sebeple Banka, zamanlama farklılığını ortadan kaldırmak için gerekli görüldüğü takdirde </w:t>
      </w:r>
      <w:proofErr w:type="spellStart"/>
      <w:r w:rsidRPr="00F46167">
        <w:t>sektörel</w:t>
      </w:r>
      <w:proofErr w:type="spellEnd"/>
      <w:r w:rsidRPr="00F46167">
        <w:t xml:space="preserve"> bazlı değerlemeler yaparak etkinin yüksek olabileceği düşünülen sektör veya müşteriler için ilave karşılıklar tesis etmektedir.</w:t>
      </w:r>
    </w:p>
    <w:bookmarkEnd w:id="8"/>
    <w:p w14:paraId="308F8443" w14:textId="77777777" w:rsidR="007F4E84" w:rsidRPr="00F46167" w:rsidRDefault="007F4E84" w:rsidP="004A773C">
      <w:pPr>
        <w:jc w:val="both"/>
      </w:pPr>
    </w:p>
    <w:p w14:paraId="6690EB1E" w14:textId="3B87F7AE" w:rsidR="004A773C" w:rsidRPr="00F46167" w:rsidRDefault="004A773C" w:rsidP="004A773C">
      <w:pPr>
        <w:jc w:val="both"/>
      </w:pPr>
      <w:r w:rsidRPr="00F46167">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w:t>
      </w:r>
      <w:r w:rsidR="00AB4B06" w:rsidRPr="00F46167">
        <w:t xml:space="preserve"> </w:t>
      </w:r>
      <w:r w:rsidRPr="00F46167">
        <w:t xml:space="preserve">sürenin de 90 gün olarak uygulanmasına 31 Aralık 2020 tarihine kadar  imkan sağlanmıştır. Bu bağlamda; </w:t>
      </w:r>
    </w:p>
    <w:p w14:paraId="6098BF4E" w14:textId="77777777" w:rsidR="004A773C" w:rsidRPr="00F46167" w:rsidRDefault="004A773C" w:rsidP="004A773C">
      <w:pPr>
        <w:pStyle w:val="ListParagraph"/>
        <w:numPr>
          <w:ilvl w:val="0"/>
          <w:numId w:val="22"/>
        </w:numPr>
        <w:autoSpaceDE w:val="0"/>
        <w:autoSpaceDN w:val="0"/>
        <w:spacing w:beforeLines="60" w:before="144" w:afterLines="60" w:after="144"/>
        <w:jc w:val="both"/>
      </w:pPr>
      <w:r w:rsidRPr="00F46167">
        <w:t xml:space="preserve">Geçici olarak, 90 güne kadar tahsil edilemeyen alacakların birinci grupta, 180 güne kadar tahsil edilemeyen alacakların ise ikinci grupta sınıflandırılabilmesine </w:t>
      </w:r>
      <w:proofErr w:type="gramStart"/>
      <w:r w:rsidRPr="00F46167">
        <w:t>imkan</w:t>
      </w:r>
      <w:proofErr w:type="gramEnd"/>
      <w:r w:rsidRPr="00F46167">
        <w:t xml:space="preserve"> sağlanmıştır. </w:t>
      </w:r>
    </w:p>
    <w:p w14:paraId="5EEFF245" w14:textId="77777777" w:rsidR="004A773C" w:rsidRPr="00F46167" w:rsidRDefault="004A773C" w:rsidP="004A773C">
      <w:pPr>
        <w:pStyle w:val="ListParagraph"/>
        <w:numPr>
          <w:ilvl w:val="0"/>
          <w:numId w:val="22"/>
        </w:numPr>
        <w:autoSpaceDE w:val="0"/>
        <w:autoSpaceDN w:val="0"/>
        <w:spacing w:beforeLines="60" w:before="144" w:afterLines="60" w:after="144"/>
        <w:jc w:val="both"/>
      </w:pPr>
      <w:r w:rsidRPr="00F46167">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362E203A" w14:textId="77777777" w:rsidR="004A773C" w:rsidRPr="00F46167" w:rsidRDefault="004A773C" w:rsidP="004A773C">
      <w:pPr>
        <w:autoSpaceDE w:val="0"/>
        <w:autoSpaceDN w:val="0"/>
        <w:spacing w:beforeLines="60" w:before="144" w:afterLines="60" w:after="144"/>
        <w:jc w:val="both"/>
      </w:pPr>
      <w:r w:rsidRPr="00F46167">
        <w:t xml:space="preserve">Nihai olarak </w:t>
      </w:r>
      <w:proofErr w:type="gramStart"/>
      <w:r w:rsidRPr="00F46167">
        <w:t>da,</w:t>
      </w:r>
      <w:proofErr w:type="gramEnd"/>
      <w:r w:rsidRPr="00F46167">
        <w:t xml:space="preserve"> bu tür alacaklara istinaden ayrılacak karşılıkların, bankaların TFRS 9 kapsamında beklenen kredi zararının hesaplanmasında kullandıkları kendi risk modellerine göre devam edecekleri sonucu doğmuştur.</w:t>
      </w:r>
    </w:p>
    <w:p w14:paraId="22971EC6" w14:textId="77777777" w:rsidR="004A773C" w:rsidRPr="00F46167" w:rsidRDefault="004A773C" w:rsidP="004A773C">
      <w:pPr>
        <w:autoSpaceDE w:val="0"/>
        <w:autoSpaceDN w:val="0"/>
        <w:spacing w:beforeLines="60" w:before="144" w:afterLines="60" w:after="144"/>
        <w:jc w:val="both"/>
      </w:pPr>
      <w:r w:rsidRPr="00F46167">
        <w:t xml:space="preserve">Beklenen kredi zararları tahmini tarafsız, olasılıklara göre </w:t>
      </w:r>
      <w:proofErr w:type="spellStart"/>
      <w:r w:rsidRPr="00F46167">
        <w:t>ağırlıklandırılmış</w:t>
      </w:r>
      <w:proofErr w:type="spellEnd"/>
      <w:r w:rsidRPr="00F46167">
        <w:t xml:space="preserve"> ve geçmiş olaylar, mevcut şartlar ve gelecekteki ekonomik şartlara ilişkin tahminler hakkında desteklenebilir bilgiler içermektedir.</w:t>
      </w:r>
    </w:p>
    <w:p w14:paraId="1A845345" w14:textId="77777777" w:rsidR="004A773C" w:rsidRPr="00F46167" w:rsidRDefault="004A773C" w:rsidP="004A773C">
      <w:pPr>
        <w:autoSpaceDE w:val="0"/>
        <w:autoSpaceDN w:val="0"/>
        <w:spacing w:beforeLines="60" w:before="144" w:afterLines="60" w:after="144"/>
        <w:jc w:val="both"/>
      </w:pPr>
      <w:r w:rsidRPr="00F46167">
        <w:t>Banka, ilk muhasebeleştirmeden sonra kredi kalitesindeki değişime dayanan ‘3 aşamalı’ değer düşüklüğü modeli oluşturmuştur:</w:t>
      </w:r>
      <w:bookmarkStart w:id="9" w:name="_Hlk15422470"/>
    </w:p>
    <w:p w14:paraId="617B4087" w14:textId="77777777" w:rsidR="004A773C" w:rsidRPr="00F46167" w:rsidRDefault="004A773C" w:rsidP="004A773C">
      <w:pPr>
        <w:autoSpaceDE w:val="0"/>
        <w:autoSpaceDN w:val="0"/>
        <w:spacing w:beforeLines="60" w:before="144" w:afterLines="60" w:after="144"/>
        <w:jc w:val="both"/>
      </w:pPr>
      <w:r w:rsidRPr="00F46167">
        <w:rPr>
          <w:b/>
        </w:rPr>
        <w:t>Aşama 1:</w:t>
      </w:r>
      <w:r w:rsidRPr="00F46167">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0" w:name="_Hlk15422413"/>
    </w:p>
    <w:bookmarkEnd w:id="9"/>
    <w:bookmarkEnd w:id="10"/>
    <w:p w14:paraId="5067594D" w14:textId="77777777" w:rsidR="004A773C" w:rsidRPr="00F46167" w:rsidRDefault="004A773C" w:rsidP="004A773C">
      <w:pPr>
        <w:autoSpaceDE w:val="0"/>
        <w:autoSpaceDN w:val="0"/>
        <w:spacing w:beforeLines="60" w:before="144" w:afterLines="60" w:after="144"/>
        <w:jc w:val="both"/>
      </w:pPr>
      <w:r w:rsidRPr="00F46167">
        <w:rPr>
          <w:b/>
        </w:rPr>
        <w:t>Aşama 2:</w:t>
      </w:r>
      <w:r w:rsidRPr="00F46167">
        <w:t xml:space="preserve"> İlk muhasebeleştirmeden sonra kredi riskinde önemli artış olan fakat değer düşüklüğüne ilişkin tarafsız bir kanıt olmayan finansal varlıkları kapsar. Bu varlıklar için, ömür boyu beklenen kredi zararı </w:t>
      </w:r>
      <w:proofErr w:type="spellStart"/>
      <w:proofErr w:type="gramStart"/>
      <w:r w:rsidRPr="00F46167">
        <w:t>muhasebeleştirilir.Bu</w:t>
      </w:r>
      <w:proofErr w:type="spellEnd"/>
      <w:proofErr w:type="gramEnd"/>
      <w:r w:rsidRPr="00F46167">
        <w:t xml:space="preserve"> kapsamda; bir finansal varlığın, kredi riskinin önemli derecede artmasının ve 2. Aşamaya aktarılmasının belirlenmesinde dikkate alınan temel hususlar bunlarla sınırlı olmamakla birlikte aşağıdaki gibidir.</w:t>
      </w:r>
    </w:p>
    <w:p w14:paraId="27D9CC25" w14:textId="77777777" w:rsidR="004A773C" w:rsidRPr="00F46167" w:rsidRDefault="004A773C" w:rsidP="004A773C">
      <w:pPr>
        <w:autoSpaceDE w:val="0"/>
        <w:autoSpaceDN w:val="0"/>
        <w:jc w:val="both"/>
      </w:pPr>
      <w:r w:rsidRPr="00F46167">
        <w:t>•</w:t>
      </w:r>
      <w:r w:rsidRPr="00F46167">
        <w:tab/>
        <w:t>Raporlama tarihi itibarıyla 30 günden fazla gecikmiş olması</w:t>
      </w:r>
    </w:p>
    <w:p w14:paraId="697973DE" w14:textId="77777777" w:rsidR="004A773C" w:rsidRPr="00F46167" w:rsidRDefault="004A773C" w:rsidP="004A773C">
      <w:pPr>
        <w:autoSpaceDE w:val="0"/>
        <w:autoSpaceDN w:val="0"/>
        <w:jc w:val="both"/>
      </w:pPr>
      <w:r w:rsidRPr="00F46167">
        <w:t>•</w:t>
      </w:r>
      <w:r w:rsidRPr="00F46167">
        <w:tab/>
        <w:t>Yeniden yapılandırma kapsamında bulunması</w:t>
      </w:r>
    </w:p>
    <w:p w14:paraId="735EEFFA" w14:textId="77777777" w:rsidR="004A773C" w:rsidRPr="00F46167" w:rsidRDefault="004A773C" w:rsidP="004A773C">
      <w:pPr>
        <w:autoSpaceDE w:val="0"/>
        <w:autoSpaceDN w:val="0"/>
        <w:jc w:val="both"/>
      </w:pPr>
      <w:r w:rsidRPr="00F46167">
        <w:t>•</w:t>
      </w:r>
      <w:r w:rsidRPr="00F46167">
        <w:tab/>
        <w:t>Yakın İzlemede bulunması</w:t>
      </w:r>
    </w:p>
    <w:p w14:paraId="1C292BFB" w14:textId="77777777" w:rsidR="004A773C" w:rsidRPr="00F46167" w:rsidRDefault="004A773C" w:rsidP="004A773C">
      <w:pPr>
        <w:autoSpaceDE w:val="0"/>
        <w:autoSpaceDN w:val="0"/>
        <w:jc w:val="both"/>
      </w:pPr>
      <w:r w:rsidRPr="00F46167">
        <w:t>•</w:t>
      </w:r>
      <w:r w:rsidRPr="00F46167">
        <w:tab/>
      </w:r>
      <w:proofErr w:type="spellStart"/>
      <w:r w:rsidRPr="00F46167">
        <w:t>Rating</w:t>
      </w:r>
      <w:proofErr w:type="spellEnd"/>
      <w:r w:rsidRPr="00F46167">
        <w:t xml:space="preserve"> notunda bozulmanın değerlendirilmesi</w:t>
      </w:r>
    </w:p>
    <w:p w14:paraId="0A19FB2C" w14:textId="77777777" w:rsidR="004A773C" w:rsidRPr="00F46167" w:rsidRDefault="004A773C" w:rsidP="004A773C">
      <w:pPr>
        <w:autoSpaceDE w:val="0"/>
        <w:autoSpaceDN w:val="0"/>
        <w:jc w:val="both"/>
        <w:rPr>
          <w:sz w:val="6"/>
          <w:szCs w:val="6"/>
        </w:rPr>
      </w:pPr>
    </w:p>
    <w:p w14:paraId="21C59057" w14:textId="77777777" w:rsidR="004A773C" w:rsidRPr="00F46167" w:rsidRDefault="004A773C" w:rsidP="004A773C">
      <w:pPr>
        <w:autoSpaceDE w:val="0"/>
        <w:autoSpaceDN w:val="0"/>
        <w:jc w:val="both"/>
      </w:pPr>
      <w:proofErr w:type="spellStart"/>
      <w:r w:rsidRPr="00F46167">
        <w:t>Rating</w:t>
      </w:r>
      <w:proofErr w:type="spellEnd"/>
      <w:r w:rsidRPr="00F46167">
        <w:t xml:space="preserve"> notunda bozulma tanımı, Banka tarafından Banka'nın içsel derecelendirmeye dayalı kredi derecelendirme modellerinden yararlanılarak kredinin açılış tarihindeki </w:t>
      </w:r>
      <w:proofErr w:type="spellStart"/>
      <w:r w:rsidRPr="00F46167">
        <w:t>rating</w:t>
      </w:r>
      <w:proofErr w:type="spellEnd"/>
      <w:r w:rsidRPr="00F46167">
        <w:t xml:space="preserve"> notu ile raporlama tarihindeki </w:t>
      </w:r>
      <w:proofErr w:type="spellStart"/>
      <w:r w:rsidRPr="00F46167">
        <w:t>rating</w:t>
      </w:r>
      <w:proofErr w:type="spellEnd"/>
      <w:r w:rsidRPr="00F46167">
        <w:t xml:space="preserve"> notunun karşılaştırılmasıdır. Kredi için raporlama tarihinde hesaplanan </w:t>
      </w:r>
      <w:proofErr w:type="spellStart"/>
      <w:r w:rsidRPr="00F46167">
        <w:t>rating</w:t>
      </w:r>
      <w:proofErr w:type="spellEnd"/>
      <w:r w:rsidRPr="00F46167">
        <w:t xml:space="preserve"> notunun belirlenen eşik değerleri aşması </w:t>
      </w:r>
      <w:proofErr w:type="spellStart"/>
      <w:r w:rsidRPr="00F46167">
        <w:t>ratingte</w:t>
      </w:r>
      <w:proofErr w:type="spellEnd"/>
      <w:r w:rsidRPr="00F46167">
        <w:t xml:space="preserve"> bozulma olarak kabul edilir.</w:t>
      </w:r>
    </w:p>
    <w:p w14:paraId="6560A4BF" w14:textId="77777777" w:rsidR="00AB4B06" w:rsidRPr="00F46167" w:rsidRDefault="00AB4B06" w:rsidP="004A773C">
      <w:pPr>
        <w:autoSpaceDE w:val="0"/>
        <w:autoSpaceDN w:val="0"/>
        <w:jc w:val="both"/>
      </w:pPr>
    </w:p>
    <w:p w14:paraId="3008300D" w14:textId="77777777" w:rsidR="005641FF" w:rsidRPr="004A773C" w:rsidRDefault="005641FF" w:rsidP="005641FF">
      <w:pPr>
        <w:autoSpaceDE w:val="0"/>
        <w:autoSpaceDN w:val="0"/>
        <w:jc w:val="both"/>
        <w:rPr>
          <w:highlight w:val="yellow"/>
        </w:rPr>
      </w:pPr>
      <w:r w:rsidRPr="00D01486">
        <w:t xml:space="preserve">Bununla birlikte, COVID-19 salgını kapsamında BDDK’nın aldığı karara istinaden, kredilerin Aşama 2 olarak sınıflandırılması için öngörülen 30 günlük gecikme süresi, 31 Aralık 2020 tarihine kadar 90 gün olarak uygulanmaya başlanmış olup; Banka, </w:t>
      </w:r>
      <w:r>
        <w:t xml:space="preserve">bu kredi müşterilerine </w:t>
      </w:r>
      <w:r w:rsidRPr="00D01486">
        <w:t xml:space="preserve">risk politikalarına uygun olarak karşılık </w:t>
      </w:r>
      <w:r>
        <w:t>ayırmaya devam etmektedir.</w:t>
      </w:r>
    </w:p>
    <w:p w14:paraId="06AE8B26" w14:textId="711CE7CD" w:rsidR="005641FF" w:rsidRDefault="005641FF" w:rsidP="00AB4B06">
      <w:pPr>
        <w:autoSpaceDE w:val="0"/>
        <w:autoSpaceDN w:val="0"/>
        <w:jc w:val="both"/>
      </w:pPr>
    </w:p>
    <w:p w14:paraId="7CF589BF" w14:textId="72B26257" w:rsidR="005641FF" w:rsidRDefault="005641FF" w:rsidP="00AB4B06">
      <w:pPr>
        <w:autoSpaceDE w:val="0"/>
        <w:autoSpaceDN w:val="0"/>
        <w:jc w:val="both"/>
      </w:pPr>
    </w:p>
    <w:p w14:paraId="40738A7B" w14:textId="5C4283CA" w:rsidR="00717AB5" w:rsidRDefault="00717AB5">
      <w:r>
        <w:br w:type="page"/>
      </w:r>
    </w:p>
    <w:p w14:paraId="01024B1E" w14:textId="77777777" w:rsidR="004A773C" w:rsidRPr="00F46167" w:rsidRDefault="004A773C" w:rsidP="004A773C">
      <w:pPr>
        <w:autoSpaceDE w:val="0"/>
        <w:autoSpaceDN w:val="0"/>
        <w:jc w:val="both"/>
      </w:pPr>
      <w:r w:rsidRPr="00F46167">
        <w:rPr>
          <w:b/>
        </w:rPr>
        <w:lastRenderedPageBreak/>
        <w:t>Aşama 3:</w:t>
      </w:r>
      <w:r w:rsidRPr="00F46167">
        <w:t xml:space="preserve"> Raporlama tarihinde değer düşüklüğü için tarafsız kanıtın olduğu finansal varlıkları içerir. Bu varlıklar için, ömür boyu beklenen kredi zararı muhasebeleştirilir. </w:t>
      </w:r>
    </w:p>
    <w:p w14:paraId="50086AC8" w14:textId="77777777" w:rsidR="004A773C" w:rsidRPr="00270CE6" w:rsidRDefault="004A773C" w:rsidP="004A773C">
      <w:pPr>
        <w:autoSpaceDE w:val="0"/>
        <w:autoSpaceDN w:val="0"/>
        <w:jc w:val="both"/>
        <w:rPr>
          <w:b/>
          <w:sz w:val="2"/>
          <w:szCs w:val="15"/>
          <w:highlight w:val="yellow"/>
        </w:rPr>
      </w:pPr>
    </w:p>
    <w:p w14:paraId="6DF54CED" w14:textId="77777777" w:rsidR="004A773C" w:rsidRPr="00270CE6" w:rsidRDefault="004A773C" w:rsidP="004A773C">
      <w:pPr>
        <w:autoSpaceDE w:val="0"/>
        <w:autoSpaceDN w:val="0"/>
        <w:jc w:val="both"/>
        <w:rPr>
          <w:highlight w:val="yellow"/>
        </w:rPr>
      </w:pPr>
    </w:p>
    <w:p w14:paraId="5086ACFE" w14:textId="45283EBC" w:rsidR="004A773C" w:rsidRDefault="004A773C" w:rsidP="004A773C">
      <w:pPr>
        <w:autoSpaceDE w:val="0"/>
        <w:autoSpaceDN w:val="0"/>
        <w:jc w:val="both"/>
      </w:pPr>
      <w:r w:rsidRPr="005641FF">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5641FF">
        <w:t>sepetlendirme</w:t>
      </w:r>
      <w:proofErr w:type="spellEnd"/>
      <w:r w:rsidRPr="005641FF">
        <w:t xml:space="preserve"> kurallarında ve ilgili karşılık bakiyelerinin hesaplamasında kullanılan parametrelerde güncellemeler yapmaktadır.</w:t>
      </w:r>
    </w:p>
    <w:p w14:paraId="33FB8E3C" w14:textId="77777777" w:rsidR="005641FF" w:rsidRPr="005641FF" w:rsidRDefault="005641FF" w:rsidP="004A773C">
      <w:pPr>
        <w:autoSpaceDE w:val="0"/>
        <w:autoSpaceDN w:val="0"/>
        <w:jc w:val="both"/>
      </w:pPr>
    </w:p>
    <w:p w14:paraId="299C004B" w14:textId="77777777" w:rsidR="005641FF" w:rsidRPr="00D01486" w:rsidRDefault="005641FF" w:rsidP="005641FF">
      <w:pPr>
        <w:autoSpaceDE w:val="0"/>
        <w:autoSpaceDN w:val="0"/>
        <w:jc w:val="both"/>
      </w:pPr>
      <w:r w:rsidRPr="00D01486">
        <w:t xml:space="preserve">Bununla birlikte, COVID-19 salgını kapsamında BDDK’nın aldığı karara istinaden, kredilerin donuk alacak olarak sınıflandırılması için öngörülen 90 günlük gecikme süresi, 31 Aralık 2020 tarihine kadar 180 gün olarak uygulanmaya başlanmış olup; Banka, </w:t>
      </w:r>
      <w:r>
        <w:t xml:space="preserve">bu kredi müşterilerine </w:t>
      </w:r>
      <w:r w:rsidRPr="00D01486">
        <w:t xml:space="preserve">risk politikalarına uygun olarak karşılık </w:t>
      </w:r>
      <w:r>
        <w:t>ayırmaya devam etmektedir.</w:t>
      </w:r>
    </w:p>
    <w:p w14:paraId="09B40DCB" w14:textId="77777777" w:rsidR="004A773C" w:rsidRPr="00270CE6" w:rsidRDefault="004A773C" w:rsidP="004A773C">
      <w:pPr>
        <w:autoSpaceDE w:val="0"/>
        <w:autoSpaceDN w:val="0"/>
        <w:jc w:val="both"/>
        <w:rPr>
          <w:highlight w:val="yellow"/>
        </w:rPr>
      </w:pPr>
    </w:p>
    <w:bookmarkEnd w:id="7"/>
    <w:p w14:paraId="5B81CEC8" w14:textId="77777777" w:rsidR="004A773C" w:rsidRPr="00270CE6" w:rsidRDefault="004A773C" w:rsidP="004A773C">
      <w:pPr>
        <w:autoSpaceDE w:val="0"/>
        <w:autoSpaceDN w:val="0"/>
        <w:jc w:val="both"/>
        <w:rPr>
          <w:b/>
          <w:sz w:val="4"/>
          <w:highlight w:val="yellow"/>
        </w:rPr>
      </w:pPr>
    </w:p>
    <w:p w14:paraId="1DE6A4AD" w14:textId="77777777" w:rsidR="004A773C" w:rsidRPr="005641FF" w:rsidRDefault="004A773C" w:rsidP="004A773C">
      <w:pPr>
        <w:autoSpaceDE w:val="0"/>
        <w:autoSpaceDN w:val="0"/>
        <w:adjustRightInd w:val="0"/>
        <w:ind w:left="-567"/>
        <w:jc w:val="both"/>
        <w:rPr>
          <w:b/>
        </w:rPr>
      </w:pPr>
      <w:r w:rsidRPr="005641FF">
        <w:rPr>
          <w:b/>
        </w:rPr>
        <w:t xml:space="preserve">1.6 </w:t>
      </w:r>
      <w:r w:rsidRPr="005641FF">
        <w:rPr>
          <w:b/>
        </w:rPr>
        <w:tab/>
        <w:t>TFRS 15 Müşteri Sözleşmelerinden Hasılat Standardına İlişkin Açıklamalar:</w:t>
      </w:r>
    </w:p>
    <w:p w14:paraId="34484868" w14:textId="77777777" w:rsidR="004A773C" w:rsidRPr="005641FF" w:rsidRDefault="004A773C" w:rsidP="004A773C">
      <w:pPr>
        <w:autoSpaceDE w:val="0"/>
        <w:autoSpaceDN w:val="0"/>
        <w:adjustRightInd w:val="0"/>
        <w:ind w:left="709"/>
        <w:jc w:val="both"/>
        <w:rPr>
          <w:sz w:val="3"/>
          <w:szCs w:val="15"/>
        </w:rPr>
      </w:pPr>
    </w:p>
    <w:p w14:paraId="540E832A" w14:textId="77777777" w:rsidR="004A773C" w:rsidRPr="005641FF" w:rsidRDefault="004A773C" w:rsidP="004A773C">
      <w:pPr>
        <w:autoSpaceDE w:val="0"/>
        <w:autoSpaceDN w:val="0"/>
        <w:adjustRightInd w:val="0"/>
        <w:jc w:val="both"/>
      </w:pPr>
      <w:r w:rsidRPr="005641FF">
        <w:t>TFRS 15 Müşteri Sözleşmelerinden Hasılat standardı hasılatın kayda alınmasına ilişkin tek ve kapsamlı bir model ve rehber sunmakta olup TFRS 15’ e uygun olarak kaydedilmektedir.</w:t>
      </w:r>
    </w:p>
    <w:p w14:paraId="4BCAC3BD" w14:textId="77777777" w:rsidR="004A773C" w:rsidRPr="005641FF" w:rsidRDefault="004A773C" w:rsidP="004A773C">
      <w:pPr>
        <w:autoSpaceDE w:val="0"/>
        <w:autoSpaceDN w:val="0"/>
        <w:adjustRightInd w:val="0"/>
        <w:jc w:val="both"/>
      </w:pPr>
    </w:p>
    <w:p w14:paraId="3CC40F90" w14:textId="77777777" w:rsidR="004A773C" w:rsidRPr="005641FF" w:rsidRDefault="004A773C" w:rsidP="004A773C">
      <w:pPr>
        <w:autoSpaceDE w:val="0"/>
        <w:autoSpaceDN w:val="0"/>
        <w:ind w:left="-567"/>
        <w:jc w:val="both"/>
        <w:rPr>
          <w:sz w:val="2"/>
        </w:rPr>
      </w:pPr>
    </w:p>
    <w:p w14:paraId="4895E25A" w14:textId="77777777" w:rsidR="004A773C" w:rsidRPr="005641FF" w:rsidRDefault="004A773C" w:rsidP="004A773C">
      <w:pPr>
        <w:autoSpaceDE w:val="0"/>
        <w:autoSpaceDN w:val="0"/>
        <w:ind w:left="-567"/>
        <w:jc w:val="both"/>
        <w:rPr>
          <w:b/>
        </w:rPr>
      </w:pPr>
      <w:r w:rsidRPr="005641FF">
        <w:rPr>
          <w:b/>
        </w:rPr>
        <w:t xml:space="preserve">1.7 </w:t>
      </w:r>
      <w:r w:rsidRPr="005641FF">
        <w:rPr>
          <w:b/>
        </w:rPr>
        <w:tab/>
        <w:t>TFRS 16 Kiralamalar Standardına İlişkin Açıklamalar</w:t>
      </w:r>
    </w:p>
    <w:p w14:paraId="391964C5" w14:textId="77777777" w:rsidR="004A773C" w:rsidRPr="005641FF" w:rsidRDefault="004A773C" w:rsidP="004A773C">
      <w:pPr>
        <w:autoSpaceDE w:val="0"/>
        <w:autoSpaceDN w:val="0"/>
        <w:jc w:val="both"/>
        <w:rPr>
          <w:sz w:val="3"/>
          <w:szCs w:val="15"/>
        </w:rPr>
      </w:pPr>
    </w:p>
    <w:p w14:paraId="1E3BBDBF" w14:textId="3E68EC3B" w:rsidR="004A773C" w:rsidRPr="005641FF" w:rsidRDefault="001F2489" w:rsidP="001F2489">
      <w:pPr>
        <w:autoSpaceDE w:val="0"/>
        <w:autoSpaceDN w:val="0"/>
        <w:adjustRightInd w:val="0"/>
        <w:jc w:val="both"/>
      </w:pPr>
      <w:r>
        <w:t>K</w:t>
      </w:r>
      <w:r w:rsidR="004A773C" w:rsidRPr="005641FF">
        <w:t xml:space="preserve">iralama işlemleri kiracılar tarafından varlık (kullanım hakkı varlığı) olarak varlıklarda ve kiralama işlemlerinden borçlar olarak </w:t>
      </w:r>
      <w:proofErr w:type="gramStart"/>
      <w:r w:rsidR="004A773C" w:rsidRPr="005641FF">
        <w:t xml:space="preserve">yükümlülüklerde  </w:t>
      </w:r>
      <w:r>
        <w:t>gösterilmektedir</w:t>
      </w:r>
      <w:proofErr w:type="gramEnd"/>
      <w:r w:rsidR="004A773C" w:rsidRPr="005641FF">
        <w:t xml:space="preserve">.  TFRS 16 Standardı kiracılar açısından finansal kiralama işlemlerinin bilançoda ve </w:t>
      </w:r>
      <w:proofErr w:type="gramStart"/>
      <w:r w:rsidR="004A773C" w:rsidRPr="005641FF">
        <w:t>operasyonel  kiralama</w:t>
      </w:r>
      <w:proofErr w:type="gramEnd"/>
      <w:r w:rsidR="004A773C" w:rsidRPr="005641FF">
        <w:t xml:space="preserve"> işlemlerinin bilanço dışında direkt gider olarak gösterilmesi şeklindeki ikili muhasebe modelini ortadan kaldırmaktadır.</w:t>
      </w:r>
    </w:p>
    <w:p w14:paraId="74EB1C9A" w14:textId="77777777" w:rsidR="004A773C" w:rsidRPr="005641FF" w:rsidRDefault="004A773C" w:rsidP="004A773C">
      <w:pPr>
        <w:autoSpaceDE w:val="0"/>
        <w:autoSpaceDN w:val="0"/>
        <w:adjustRightInd w:val="0"/>
        <w:jc w:val="both"/>
      </w:pPr>
    </w:p>
    <w:p w14:paraId="7AB54670" w14:textId="77777777" w:rsidR="004A773C" w:rsidRPr="005641FF" w:rsidRDefault="004A773C" w:rsidP="004A773C">
      <w:pPr>
        <w:autoSpaceDE w:val="0"/>
        <w:autoSpaceDN w:val="0"/>
        <w:adjustRightInd w:val="0"/>
        <w:jc w:val="both"/>
        <w:rPr>
          <w:sz w:val="2"/>
          <w:szCs w:val="15"/>
        </w:rPr>
      </w:pPr>
    </w:p>
    <w:p w14:paraId="175C38B1" w14:textId="7CE67B27" w:rsidR="004A773C" w:rsidRPr="005641FF" w:rsidRDefault="001F2489" w:rsidP="004A773C">
      <w:pPr>
        <w:jc w:val="both"/>
      </w:pPr>
      <w:r>
        <w:t xml:space="preserve">TFRS 16 kapsamında </w:t>
      </w:r>
      <w:r w:rsidR="004A773C" w:rsidRPr="005641FF">
        <w:t xml:space="preserve">Banka, finansal tablolarına bir kira yükümlülüğü ve bir kullanım hakkı varlığı yansıtmaktadır. Banka, söz konusu kira yükümlülüğünü, geri kalan kira ödemelerinin, Banka’nın ilk uygulama tarihindeki alternatif borçlanma maliyet oranı kullanılarak </w:t>
      </w:r>
      <w:proofErr w:type="spellStart"/>
      <w:r w:rsidR="004A773C" w:rsidRPr="005641FF">
        <w:t>iskonto</w:t>
      </w:r>
      <w:proofErr w:type="spellEnd"/>
      <w:r w:rsidR="004A773C" w:rsidRPr="005641FF">
        <w:t xml:space="preserve">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47F79779" w14:textId="77777777" w:rsidR="004A773C" w:rsidRPr="00270CE6" w:rsidRDefault="004A773C" w:rsidP="004A773C">
      <w:pPr>
        <w:jc w:val="both"/>
        <w:rPr>
          <w:highlight w:val="yellow"/>
        </w:rPr>
      </w:pPr>
    </w:p>
    <w:p w14:paraId="007AC724" w14:textId="56CC0412" w:rsidR="004A773C" w:rsidRPr="0083206F" w:rsidRDefault="001F2489" w:rsidP="004A773C">
      <w:pPr>
        <w:jc w:val="both"/>
      </w:pPr>
      <w:r>
        <w:t xml:space="preserve">30 Eylül 2020 tarihi itibariyle </w:t>
      </w:r>
      <w:r w:rsidR="004A773C" w:rsidRPr="0083206F">
        <w:t xml:space="preserve">Banka’nın </w:t>
      </w:r>
      <w:r>
        <w:t xml:space="preserve">bilançosunda </w:t>
      </w:r>
      <w:r w:rsidRPr="0083206F">
        <w:t>483,802 TL</w:t>
      </w:r>
      <w:r w:rsidRPr="0083206F" w:rsidDel="001F2489">
        <w:t xml:space="preserve"> </w:t>
      </w:r>
      <w:r>
        <w:t xml:space="preserve">tutarında </w:t>
      </w:r>
      <w:r w:rsidR="004A773C" w:rsidRPr="0083206F">
        <w:t>maddi duran varlık kaleminde sınıflanan kullanım varlığ</w:t>
      </w:r>
      <w:r>
        <w:t>ı ve 342</w:t>
      </w:r>
      <w:r w:rsidRPr="0083206F">
        <w:t>,</w:t>
      </w:r>
      <w:r>
        <w:t>531</w:t>
      </w:r>
      <w:r w:rsidRPr="0083206F">
        <w:t xml:space="preserve"> TL</w:t>
      </w:r>
      <w:r>
        <w:t xml:space="preserve"> tutarında </w:t>
      </w:r>
      <w:r w:rsidR="004A773C" w:rsidRPr="0083206F">
        <w:t>kiralama yükümlülüğü</w:t>
      </w:r>
      <w:r>
        <w:t xml:space="preserve"> bulunmaktadır.</w:t>
      </w:r>
      <w:r w:rsidR="004A773C" w:rsidRPr="0083206F">
        <w:t xml:space="preserve"> </w:t>
      </w:r>
      <w:r>
        <w:t xml:space="preserve">Aynı tarih itibariyle sona eren dokuz aylık dönemde ise </w:t>
      </w:r>
      <w:proofErr w:type="spellStart"/>
      <w:r>
        <w:t>ise</w:t>
      </w:r>
      <w:proofErr w:type="spellEnd"/>
      <w:r>
        <w:t xml:space="preserve"> </w:t>
      </w:r>
      <w:r w:rsidRPr="0083206F">
        <w:t xml:space="preserve">47,376 TL </w:t>
      </w:r>
      <w:r>
        <w:t xml:space="preserve">tutarında </w:t>
      </w:r>
      <w:r w:rsidR="004A773C" w:rsidRPr="0083206F">
        <w:t xml:space="preserve">finansman gideri ve </w:t>
      </w:r>
      <w:r w:rsidR="0083206F" w:rsidRPr="0083206F">
        <w:t>80</w:t>
      </w:r>
      <w:r w:rsidR="004A773C" w:rsidRPr="0083206F">
        <w:t>,</w:t>
      </w:r>
      <w:r w:rsidR="0083206F" w:rsidRPr="0083206F">
        <w:t>190</w:t>
      </w:r>
      <w:r w:rsidR="004A773C" w:rsidRPr="0083206F">
        <w:t xml:space="preserve"> TL </w:t>
      </w:r>
      <w:r>
        <w:t>tutarında amortisman gideri oluşmuştur</w:t>
      </w:r>
      <w:r w:rsidR="004A773C" w:rsidRPr="0083206F">
        <w:t>.</w:t>
      </w:r>
    </w:p>
    <w:p w14:paraId="350C87C1" w14:textId="3CC0BEE5" w:rsidR="008242D4" w:rsidRPr="00270CE6" w:rsidRDefault="008242D4" w:rsidP="004A773C">
      <w:pPr>
        <w:jc w:val="both"/>
        <w:rPr>
          <w:highlight w:val="yellow"/>
        </w:rPr>
      </w:pPr>
    </w:p>
    <w:p w14:paraId="6399D06F" w14:textId="77777777" w:rsidR="008242D4" w:rsidRPr="005641FF" w:rsidRDefault="008242D4" w:rsidP="009269E3">
      <w:pPr>
        <w:jc w:val="both"/>
      </w:pPr>
      <w:r w:rsidRPr="005641FF">
        <w:t xml:space="preserve">5 Haziran 2020 tarihinde KGK, COVID-19’la İlgili olarak Kira Ödemelerinde Tanınan İmtiyazlar- “TFRS 16 </w:t>
      </w:r>
      <w:proofErr w:type="spellStart"/>
      <w:r w:rsidRPr="005641FF">
        <w:t>Kiralamalar’a</w:t>
      </w:r>
      <w:proofErr w:type="spellEnd"/>
      <w:r w:rsidRPr="005641FF">
        <w:t xml:space="preserve">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Banka’nın finansal durumu veya performansı üzerinde önemli bir etkisi olmamıştır</w:t>
      </w:r>
    </w:p>
    <w:p w14:paraId="4968317B" w14:textId="77777777" w:rsidR="008242D4" w:rsidRPr="00270CE6" w:rsidRDefault="008242D4" w:rsidP="004A773C">
      <w:pPr>
        <w:jc w:val="both"/>
        <w:rPr>
          <w:highlight w:val="yellow"/>
        </w:rPr>
      </w:pPr>
    </w:p>
    <w:p w14:paraId="1D935BE7" w14:textId="77777777" w:rsidR="004A773C" w:rsidRPr="005641FF" w:rsidRDefault="004A773C" w:rsidP="004A773C">
      <w:pPr>
        <w:tabs>
          <w:tab w:val="left" w:pos="709"/>
        </w:tabs>
        <w:autoSpaceDE w:val="0"/>
        <w:autoSpaceDN w:val="0"/>
        <w:adjustRightInd w:val="0"/>
        <w:spacing w:line="221" w:lineRule="auto"/>
        <w:ind w:hanging="567"/>
        <w:rPr>
          <w:b/>
        </w:rPr>
      </w:pPr>
      <w:r w:rsidRPr="005641FF">
        <w:rPr>
          <w:b/>
        </w:rPr>
        <w:t>2.</w:t>
      </w:r>
      <w:r w:rsidRPr="005641FF">
        <w:rPr>
          <w:b/>
        </w:rPr>
        <w:tab/>
        <w:t>Finansal araçların kullanım stratejisi ve yabancı para cinsinden işlemlere ilişkin açıklamalar</w:t>
      </w:r>
    </w:p>
    <w:p w14:paraId="39395EB5" w14:textId="77777777" w:rsidR="004A773C" w:rsidRPr="005641FF" w:rsidRDefault="004A773C" w:rsidP="004A773C">
      <w:pPr>
        <w:pStyle w:val="BodyTextIndent3"/>
        <w:spacing w:before="0" w:line="221" w:lineRule="auto"/>
        <w:ind w:firstLine="0"/>
        <w:jc w:val="left"/>
        <w:rPr>
          <w:sz w:val="6"/>
          <w:szCs w:val="16"/>
        </w:rPr>
      </w:pPr>
    </w:p>
    <w:p w14:paraId="68F31045" w14:textId="77777777" w:rsidR="004A773C" w:rsidRPr="005641FF" w:rsidRDefault="004A773C" w:rsidP="004A773C">
      <w:pPr>
        <w:pStyle w:val="BodyTextIndent3"/>
        <w:spacing w:before="0" w:line="221" w:lineRule="auto"/>
        <w:ind w:firstLine="0"/>
        <w:rPr>
          <w:color w:val="000000"/>
          <w:sz w:val="20"/>
        </w:rPr>
      </w:pPr>
      <w:r w:rsidRPr="005641FF">
        <w:rPr>
          <w:color w:val="000000"/>
          <w:sz w:val="20"/>
        </w:rPr>
        <w:t xml:space="preserve">Banka, kullandığı kaynakların ve aktiflerin risk ve getiri açısından dengesini kurarak, riskleri azaltmaya ve kazançları artırmaya yönelik bir </w:t>
      </w:r>
      <w:proofErr w:type="spellStart"/>
      <w:r w:rsidRPr="005641FF">
        <w:rPr>
          <w:color w:val="000000"/>
          <w:sz w:val="20"/>
        </w:rPr>
        <w:t>aktif-pasif</w:t>
      </w:r>
      <w:proofErr w:type="spellEnd"/>
      <w:r w:rsidRPr="005641FF">
        <w:rPr>
          <w:color w:val="000000"/>
          <w:sz w:val="20"/>
        </w:rPr>
        <w:t xml:space="preserve"> yönetimi stratejisi takip etmektedir. </w:t>
      </w:r>
      <w:proofErr w:type="spellStart"/>
      <w:r w:rsidRPr="005641FF">
        <w:rPr>
          <w:color w:val="000000"/>
          <w:sz w:val="20"/>
        </w:rPr>
        <w:t>Aktif-pasif</w:t>
      </w:r>
      <w:proofErr w:type="spellEnd"/>
      <w:r w:rsidRPr="005641FF">
        <w:rPr>
          <w:color w:val="000000"/>
          <w:sz w:val="20"/>
        </w:rPr>
        <w:t xml:space="preserve"> yönetiminin temel hedefi Banka’nın likidite riski, kur riski ve kredi riskini belli sınırlar içinde tutmak; karlılığı artırmak ve Banka’nın </w:t>
      </w:r>
      <w:proofErr w:type="spellStart"/>
      <w:r w:rsidRPr="005641FF">
        <w:rPr>
          <w:color w:val="000000"/>
          <w:sz w:val="20"/>
        </w:rPr>
        <w:t>özkaynaklarını</w:t>
      </w:r>
      <w:proofErr w:type="spellEnd"/>
      <w:r w:rsidRPr="005641FF">
        <w:rPr>
          <w:color w:val="000000"/>
          <w:sz w:val="20"/>
        </w:rPr>
        <w:t xml:space="preserve"> güçlendirmektir. Banka’nın </w:t>
      </w:r>
      <w:proofErr w:type="spellStart"/>
      <w:r w:rsidRPr="005641FF">
        <w:rPr>
          <w:color w:val="000000"/>
          <w:sz w:val="20"/>
        </w:rPr>
        <w:t>aktif-pasif</w:t>
      </w:r>
      <w:proofErr w:type="spellEnd"/>
      <w:r w:rsidRPr="005641FF">
        <w:rPr>
          <w:color w:val="000000"/>
          <w:sz w:val="20"/>
        </w:rPr>
        <w:t xml:space="preserve"> yönetimi “Aktif-Pasif Komitesi (“APKO”)” tarafından Banka Üst Düzey Risk Komitesi’nce belirtilen risk limitleri dahilinde yürütülmektedir.</w:t>
      </w:r>
    </w:p>
    <w:p w14:paraId="4FC40660" w14:textId="77777777" w:rsidR="004A773C" w:rsidRPr="005641FF" w:rsidRDefault="004A773C" w:rsidP="004A773C">
      <w:pPr>
        <w:pStyle w:val="BodyTextIndent3"/>
        <w:spacing w:before="0" w:line="221" w:lineRule="auto"/>
        <w:ind w:firstLine="0"/>
        <w:rPr>
          <w:color w:val="000000"/>
          <w:sz w:val="10"/>
          <w:szCs w:val="16"/>
        </w:rPr>
      </w:pPr>
    </w:p>
    <w:p w14:paraId="2E356C84" w14:textId="77777777" w:rsidR="004A773C" w:rsidRPr="005641FF" w:rsidRDefault="004A773C" w:rsidP="004A773C">
      <w:pPr>
        <w:pStyle w:val="BodyTextIndent3"/>
        <w:tabs>
          <w:tab w:val="left" w:pos="567"/>
        </w:tabs>
        <w:spacing w:before="0" w:line="221" w:lineRule="auto"/>
        <w:ind w:firstLine="0"/>
        <w:rPr>
          <w:color w:val="000000"/>
          <w:sz w:val="20"/>
        </w:rPr>
      </w:pPr>
      <w:r w:rsidRPr="005641FF">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5290BD0C" w14:textId="77777777" w:rsidR="004A773C" w:rsidRPr="005641FF" w:rsidRDefault="004A773C" w:rsidP="004A773C">
      <w:pPr>
        <w:autoSpaceDE w:val="0"/>
        <w:autoSpaceDN w:val="0"/>
        <w:adjustRightInd w:val="0"/>
        <w:spacing w:line="221" w:lineRule="auto"/>
        <w:jc w:val="both"/>
        <w:rPr>
          <w:color w:val="000000"/>
          <w:sz w:val="10"/>
          <w:szCs w:val="16"/>
        </w:rPr>
      </w:pPr>
    </w:p>
    <w:p w14:paraId="5093CE0A" w14:textId="6C95CBD3" w:rsidR="004A773C" w:rsidRDefault="004A773C" w:rsidP="008242D4">
      <w:pPr>
        <w:autoSpaceDE w:val="0"/>
        <w:autoSpaceDN w:val="0"/>
        <w:adjustRightInd w:val="0"/>
        <w:spacing w:line="221" w:lineRule="auto"/>
        <w:jc w:val="both"/>
        <w:rPr>
          <w:color w:val="000000"/>
        </w:rPr>
      </w:pPr>
      <w:r w:rsidRPr="005641FF">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49B941D5" w14:textId="77777777" w:rsidR="00FD10E9" w:rsidRPr="005641FF" w:rsidRDefault="00FD10E9" w:rsidP="008242D4">
      <w:pPr>
        <w:autoSpaceDE w:val="0"/>
        <w:autoSpaceDN w:val="0"/>
        <w:adjustRightInd w:val="0"/>
        <w:spacing w:line="221" w:lineRule="auto"/>
        <w:jc w:val="both"/>
        <w:rPr>
          <w:color w:val="000000"/>
        </w:rPr>
      </w:pPr>
    </w:p>
    <w:p w14:paraId="6CB9E599" w14:textId="32AA21C8" w:rsidR="008242D4" w:rsidRPr="005641FF" w:rsidRDefault="008242D4" w:rsidP="008242D4">
      <w:pPr>
        <w:autoSpaceDE w:val="0"/>
        <w:autoSpaceDN w:val="0"/>
        <w:adjustRightInd w:val="0"/>
        <w:spacing w:line="221" w:lineRule="auto"/>
        <w:jc w:val="both"/>
        <w:rPr>
          <w:b/>
          <w:bCs/>
          <w:sz w:val="10"/>
          <w:szCs w:val="16"/>
        </w:rPr>
      </w:pPr>
    </w:p>
    <w:p w14:paraId="43DED198" w14:textId="77777777" w:rsidR="008242D4" w:rsidRPr="005641FF" w:rsidRDefault="008242D4" w:rsidP="008242D4">
      <w:pPr>
        <w:autoSpaceDE w:val="0"/>
        <w:autoSpaceDN w:val="0"/>
        <w:adjustRightInd w:val="0"/>
        <w:spacing w:line="221" w:lineRule="auto"/>
        <w:jc w:val="both"/>
        <w:rPr>
          <w:b/>
          <w:bCs/>
          <w:sz w:val="10"/>
          <w:szCs w:val="16"/>
        </w:rPr>
      </w:pPr>
    </w:p>
    <w:p w14:paraId="51543FF5" w14:textId="77777777" w:rsidR="004A773C" w:rsidRPr="005641FF" w:rsidRDefault="004A773C" w:rsidP="004A773C">
      <w:pPr>
        <w:pStyle w:val="Default"/>
        <w:tabs>
          <w:tab w:val="left" w:pos="709"/>
        </w:tabs>
        <w:ind w:hanging="567"/>
        <w:rPr>
          <w:sz w:val="20"/>
          <w:szCs w:val="20"/>
        </w:rPr>
      </w:pPr>
      <w:r w:rsidRPr="005641FF">
        <w:rPr>
          <w:b/>
          <w:bCs/>
          <w:sz w:val="20"/>
          <w:szCs w:val="20"/>
        </w:rPr>
        <w:t>3.</w:t>
      </w:r>
      <w:r w:rsidRPr="005641FF">
        <w:rPr>
          <w:b/>
          <w:bCs/>
          <w:sz w:val="20"/>
          <w:szCs w:val="20"/>
        </w:rPr>
        <w:tab/>
        <w:t xml:space="preserve">İştirak ve bağlı ortaklıklara ilişkin bilgiler </w:t>
      </w:r>
    </w:p>
    <w:p w14:paraId="28266A2E" w14:textId="77777777" w:rsidR="004A773C" w:rsidRPr="005641FF" w:rsidRDefault="004A773C" w:rsidP="004A773C">
      <w:pPr>
        <w:autoSpaceDE w:val="0"/>
        <w:autoSpaceDN w:val="0"/>
        <w:adjustRightInd w:val="0"/>
        <w:spacing w:line="221" w:lineRule="auto"/>
        <w:jc w:val="both"/>
        <w:rPr>
          <w:sz w:val="10"/>
          <w:szCs w:val="10"/>
        </w:rPr>
      </w:pPr>
    </w:p>
    <w:p w14:paraId="2251E1F3" w14:textId="70BC819C" w:rsidR="007F4E84" w:rsidRPr="005641FF" w:rsidRDefault="004A773C" w:rsidP="004A773C">
      <w:pPr>
        <w:autoSpaceDE w:val="0"/>
        <w:autoSpaceDN w:val="0"/>
        <w:adjustRightInd w:val="0"/>
        <w:spacing w:line="221" w:lineRule="auto"/>
        <w:jc w:val="both"/>
      </w:pPr>
      <w:r w:rsidRPr="005641FF">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0DA70DE8" w14:textId="77777777" w:rsidR="007F4E84" w:rsidRPr="00270CE6" w:rsidRDefault="007F4E84" w:rsidP="004A773C">
      <w:pPr>
        <w:autoSpaceDE w:val="0"/>
        <w:autoSpaceDN w:val="0"/>
        <w:adjustRightInd w:val="0"/>
        <w:spacing w:line="221" w:lineRule="auto"/>
        <w:jc w:val="both"/>
        <w:rPr>
          <w:highlight w:val="yellow"/>
        </w:rPr>
      </w:pPr>
    </w:p>
    <w:p w14:paraId="54389D92" w14:textId="77777777" w:rsidR="004A773C" w:rsidRPr="00270CE6" w:rsidRDefault="004A773C" w:rsidP="004A773C">
      <w:pPr>
        <w:autoSpaceDE w:val="0"/>
        <w:autoSpaceDN w:val="0"/>
        <w:adjustRightInd w:val="0"/>
        <w:spacing w:line="221" w:lineRule="auto"/>
        <w:jc w:val="both"/>
        <w:rPr>
          <w:sz w:val="10"/>
          <w:szCs w:val="10"/>
          <w:highlight w:val="yellow"/>
        </w:rPr>
      </w:pPr>
    </w:p>
    <w:p w14:paraId="0A4F5308" w14:textId="77777777" w:rsidR="00717AB5" w:rsidRDefault="00717AB5">
      <w:pPr>
        <w:rPr>
          <w:b/>
        </w:rPr>
      </w:pPr>
      <w:r>
        <w:rPr>
          <w:b/>
        </w:rPr>
        <w:br w:type="page"/>
      </w:r>
    </w:p>
    <w:p w14:paraId="1B01D4AA" w14:textId="28777850" w:rsidR="004A773C" w:rsidRPr="00FD10E9" w:rsidRDefault="004A773C" w:rsidP="004A773C">
      <w:pPr>
        <w:tabs>
          <w:tab w:val="left" w:pos="709"/>
        </w:tabs>
        <w:autoSpaceDE w:val="0"/>
        <w:autoSpaceDN w:val="0"/>
        <w:adjustRightInd w:val="0"/>
        <w:spacing w:line="221" w:lineRule="auto"/>
        <w:ind w:hanging="567"/>
        <w:jc w:val="both"/>
      </w:pPr>
      <w:r w:rsidRPr="00FD10E9">
        <w:rPr>
          <w:b/>
        </w:rPr>
        <w:lastRenderedPageBreak/>
        <w:t>4.</w:t>
      </w:r>
      <w:r w:rsidRPr="00FD10E9">
        <w:rPr>
          <w:b/>
        </w:rPr>
        <w:tab/>
        <w:t>Vadeli işlem ve opsiyon sözleşmeleri ile türev ürünlere ilişkin açıklamalar</w:t>
      </w:r>
    </w:p>
    <w:p w14:paraId="30484371" w14:textId="77777777" w:rsidR="004A773C" w:rsidRPr="00FD10E9" w:rsidRDefault="004A773C" w:rsidP="004A773C">
      <w:pPr>
        <w:autoSpaceDE w:val="0"/>
        <w:autoSpaceDN w:val="0"/>
        <w:adjustRightInd w:val="0"/>
        <w:rPr>
          <w:sz w:val="4"/>
          <w:szCs w:val="10"/>
        </w:rPr>
      </w:pPr>
    </w:p>
    <w:p w14:paraId="5F501D0A" w14:textId="77777777" w:rsidR="004A773C" w:rsidRPr="00FD10E9" w:rsidRDefault="004A773C" w:rsidP="004A773C">
      <w:pPr>
        <w:pStyle w:val="BodyText"/>
      </w:pPr>
      <w:r w:rsidRPr="00FD10E9">
        <w:t xml:space="preserve">Banka, yabancı para pozisyon riskini azaltmak ve döviz likiditesini yönetmek amacıyla yabancı para vadeli döviz işlemlerine girmektedir. Banka’nın türev ürünleri “Riskten Korunma Amaçlı” ve “Gerçeğe Uygun </w:t>
      </w:r>
      <w:proofErr w:type="gramStart"/>
      <w:r w:rsidRPr="00FD10E9">
        <w:t>Değeri(</w:t>
      </w:r>
      <w:proofErr w:type="gramEnd"/>
      <w:r w:rsidRPr="00FD10E9">
        <w:t xml:space="preserve">GUD) Kar ya da Zarara Yansıtılan Finansal Varlık’’ olarak sınıflandırılmaktadır. Buna göre, bazı türev işlemler ekonomik olarak Banka için risklere karşı etkin bir koruma sağlamakla birlikte, </w:t>
      </w:r>
      <w:proofErr w:type="spellStart"/>
      <w:r w:rsidRPr="00FD10E9">
        <w:t>muhasebesel</w:t>
      </w:r>
      <w:proofErr w:type="spellEnd"/>
      <w:r w:rsidRPr="00FD10E9">
        <w:t xml:space="preserve"> olarak riskten korunma amaçlı olarak </w:t>
      </w:r>
      <w:proofErr w:type="gramStart"/>
      <w:r w:rsidRPr="00FD10E9">
        <w:t>tanımlanamayanlar  Gerçeğe</w:t>
      </w:r>
      <w:proofErr w:type="gramEnd"/>
      <w:r w:rsidRPr="00FD10E9">
        <w:t xml:space="preserve"> Uygun Değeri(GUD) Kar ya da Zarara Yansıtılan Finansal Varlık’’ olarak muhasebeleştirilmekte ve rayiç değerleri ile bilançoda “Türev Finansal Varlıklar / Borçlar” hesabında izlenmektedir. </w:t>
      </w:r>
    </w:p>
    <w:p w14:paraId="1F77046B" w14:textId="77777777" w:rsidR="004A773C" w:rsidRPr="00FD10E9" w:rsidRDefault="004A773C" w:rsidP="004A773C">
      <w:pPr>
        <w:pStyle w:val="BodyText"/>
        <w:rPr>
          <w:sz w:val="10"/>
          <w:szCs w:val="10"/>
        </w:rPr>
      </w:pPr>
    </w:p>
    <w:p w14:paraId="33F1330C" w14:textId="77777777" w:rsidR="004A773C" w:rsidRPr="00FD10E9" w:rsidRDefault="004A773C" w:rsidP="004A773C">
      <w:pPr>
        <w:pStyle w:val="BodyText"/>
      </w:pPr>
      <w:r w:rsidRPr="00FD10E9">
        <w:t>Türev işlemlerden doğan yükümlülük ve alacaklar sözleşme tutarları üzerinden nazım hesaplara kaydedilmektedir.</w:t>
      </w:r>
    </w:p>
    <w:p w14:paraId="47401359" w14:textId="77777777" w:rsidR="004A773C" w:rsidRPr="00FD10E9" w:rsidRDefault="004A773C" w:rsidP="004A773C">
      <w:pPr>
        <w:jc w:val="both"/>
        <w:rPr>
          <w:color w:val="000000"/>
          <w:sz w:val="4"/>
          <w:szCs w:val="10"/>
        </w:rPr>
      </w:pPr>
    </w:p>
    <w:p w14:paraId="00331BD2" w14:textId="165180C2" w:rsidR="004A773C" w:rsidRDefault="004A773C" w:rsidP="004A773C">
      <w:pPr>
        <w:jc w:val="both"/>
        <w:rPr>
          <w:color w:val="000000"/>
        </w:rPr>
      </w:pPr>
      <w:r w:rsidRPr="00FD10E9">
        <w:rPr>
          <w:color w:val="000000"/>
        </w:rPr>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4FC5632C" w14:textId="77777777" w:rsidR="00F22B6B" w:rsidRPr="00FD10E9" w:rsidRDefault="00F22B6B" w:rsidP="004A773C">
      <w:pPr>
        <w:jc w:val="both"/>
        <w:rPr>
          <w:color w:val="000000"/>
        </w:rPr>
      </w:pPr>
    </w:p>
    <w:p w14:paraId="43BEFCA3" w14:textId="77777777" w:rsidR="004A773C" w:rsidRPr="00FD10E9" w:rsidRDefault="004A773C" w:rsidP="004A773C">
      <w:pPr>
        <w:rPr>
          <w:color w:val="000000"/>
          <w:sz w:val="2"/>
          <w:szCs w:val="10"/>
        </w:rPr>
      </w:pPr>
    </w:p>
    <w:p w14:paraId="10EEDFA5" w14:textId="77777777" w:rsidR="004A773C" w:rsidRPr="00FD10E9" w:rsidRDefault="004A773C" w:rsidP="004A773C">
      <w:pPr>
        <w:autoSpaceDE w:val="0"/>
        <w:autoSpaceDN w:val="0"/>
        <w:adjustRightInd w:val="0"/>
        <w:jc w:val="both"/>
        <w:rPr>
          <w:color w:val="000000"/>
        </w:rPr>
      </w:pPr>
      <w:r w:rsidRPr="00FD10E9">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37068A6B" w14:textId="77777777" w:rsidR="004A773C" w:rsidRPr="00FD10E9" w:rsidRDefault="004A773C" w:rsidP="004A773C">
      <w:pPr>
        <w:autoSpaceDE w:val="0"/>
        <w:autoSpaceDN w:val="0"/>
        <w:adjustRightInd w:val="0"/>
        <w:rPr>
          <w:color w:val="000000"/>
          <w:sz w:val="8"/>
          <w:szCs w:val="16"/>
        </w:rPr>
      </w:pPr>
    </w:p>
    <w:p w14:paraId="48FF5116" w14:textId="0D60917B" w:rsidR="00F22B6B" w:rsidRDefault="004A773C" w:rsidP="00974CBB">
      <w:pPr>
        <w:pStyle w:val="Heading3"/>
        <w:jc w:val="both"/>
        <w:rPr>
          <w:b w:val="0"/>
          <w:bCs w:val="0"/>
          <w:color w:val="000000"/>
          <w:sz w:val="20"/>
          <w:szCs w:val="20"/>
        </w:rPr>
      </w:pPr>
      <w:r w:rsidRPr="00FD10E9">
        <w:rPr>
          <w:b w:val="0"/>
          <w:bCs w:val="0"/>
          <w:color w:val="000000"/>
          <w:sz w:val="20"/>
          <w:szCs w:val="20"/>
        </w:rPr>
        <w:t xml:space="preserve">TFRS 9, muhasebe politikası seçiminde TFRS 9'un finansal riskten korunma muhasebesinin kabulünü erteleme ve TMS 39’un korunma muhasebesi hükümlerinin uygulanmasına devam etme seçeneğini sunmaktadır. Banka bu kapsamda TMS 39’un korunma muhasebesi hükümlerini uygulamaya devam </w:t>
      </w:r>
      <w:proofErr w:type="spellStart"/>
      <w:proofErr w:type="gramStart"/>
      <w:r w:rsidR="00F22B6B">
        <w:rPr>
          <w:b w:val="0"/>
          <w:bCs w:val="0"/>
          <w:color w:val="000000"/>
          <w:sz w:val="20"/>
          <w:szCs w:val="20"/>
        </w:rPr>
        <w:t>etmiştir</w:t>
      </w:r>
      <w:r w:rsidR="004A5BAC">
        <w:rPr>
          <w:b w:val="0"/>
          <w:bCs w:val="0"/>
          <w:color w:val="000000"/>
          <w:sz w:val="20"/>
          <w:szCs w:val="20"/>
        </w:rPr>
        <w:t>.Banka’nın</w:t>
      </w:r>
      <w:proofErr w:type="spellEnd"/>
      <w:proofErr w:type="gramEnd"/>
      <w:r w:rsidR="00F22B6B">
        <w:rPr>
          <w:b w:val="0"/>
          <w:bCs w:val="0"/>
          <w:color w:val="000000"/>
          <w:sz w:val="20"/>
          <w:szCs w:val="20"/>
        </w:rPr>
        <w:t xml:space="preserve"> </w:t>
      </w:r>
      <w:r w:rsidR="004A5BAC">
        <w:rPr>
          <w:b w:val="0"/>
          <w:bCs w:val="0"/>
          <w:color w:val="000000"/>
          <w:sz w:val="20"/>
          <w:szCs w:val="20"/>
        </w:rPr>
        <w:t>30 Eylül 2020 itibarıyla nakit akış riskinden korunma işlemi sona ermiştir.</w:t>
      </w:r>
    </w:p>
    <w:p w14:paraId="4782684B" w14:textId="77777777" w:rsidR="004A773C" w:rsidRPr="00FD10E9" w:rsidRDefault="004A773C" w:rsidP="004A773C">
      <w:pPr>
        <w:autoSpaceDE w:val="0"/>
        <w:autoSpaceDN w:val="0"/>
        <w:adjustRightInd w:val="0"/>
        <w:jc w:val="both"/>
      </w:pPr>
    </w:p>
    <w:p w14:paraId="70E7CF7F" w14:textId="77777777" w:rsidR="004A773C" w:rsidRPr="00FD10E9" w:rsidRDefault="004A773C" w:rsidP="004A773C">
      <w:pPr>
        <w:autoSpaceDE w:val="0"/>
        <w:autoSpaceDN w:val="0"/>
        <w:adjustRightInd w:val="0"/>
        <w:ind w:hanging="567"/>
        <w:rPr>
          <w:b/>
        </w:rPr>
      </w:pPr>
      <w:r w:rsidRPr="00FD10E9">
        <w:rPr>
          <w:b/>
        </w:rPr>
        <w:t>5.</w:t>
      </w:r>
      <w:r w:rsidRPr="00FD10E9">
        <w:rPr>
          <w:b/>
        </w:rPr>
        <w:tab/>
      </w:r>
      <w:proofErr w:type="gramStart"/>
      <w:r w:rsidRPr="00FD10E9">
        <w:rPr>
          <w:b/>
        </w:rPr>
        <w:t>Kar</w:t>
      </w:r>
      <w:proofErr w:type="gramEnd"/>
      <w:r w:rsidRPr="00FD10E9">
        <w:rPr>
          <w:b/>
        </w:rPr>
        <w:t xml:space="preserve"> payı gelir ve giderine ilişkin açıklamalar</w:t>
      </w:r>
    </w:p>
    <w:p w14:paraId="08103B91" w14:textId="77777777" w:rsidR="004A773C" w:rsidRPr="00FD10E9" w:rsidRDefault="004A773C" w:rsidP="004A773C">
      <w:pPr>
        <w:autoSpaceDE w:val="0"/>
        <w:autoSpaceDN w:val="0"/>
        <w:adjustRightInd w:val="0"/>
        <w:rPr>
          <w:b/>
          <w:sz w:val="10"/>
          <w:szCs w:val="10"/>
        </w:rPr>
      </w:pPr>
    </w:p>
    <w:p w14:paraId="71C9EA09" w14:textId="77777777" w:rsidR="004A773C" w:rsidRPr="00FD10E9" w:rsidRDefault="004A773C" w:rsidP="004A773C">
      <w:pPr>
        <w:autoSpaceDE w:val="0"/>
        <w:autoSpaceDN w:val="0"/>
        <w:adjustRightInd w:val="0"/>
        <w:jc w:val="both"/>
        <w:rPr>
          <w:color w:val="000000"/>
        </w:rPr>
      </w:pPr>
      <w:proofErr w:type="gramStart"/>
      <w:r w:rsidRPr="00FD10E9">
        <w:rPr>
          <w:color w:val="000000"/>
        </w:rPr>
        <w:t>Kar</w:t>
      </w:r>
      <w:proofErr w:type="gramEnd"/>
      <w:r w:rsidRPr="00FD10E9">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Pr="00FD10E9">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FD10E9">
        <w:rPr>
          <w:color w:val="000000"/>
        </w:rPr>
        <w:t>TFRS 9 Finansal Araçlar Standardı kapsamından bu müşteriler için kar tahakkuk ve reeskontları hesaplanmaktadır.</w:t>
      </w:r>
    </w:p>
    <w:p w14:paraId="6A245C98" w14:textId="77777777" w:rsidR="004A773C" w:rsidRPr="00FD10E9" w:rsidRDefault="004A773C" w:rsidP="004A773C">
      <w:pPr>
        <w:autoSpaceDE w:val="0"/>
        <w:autoSpaceDN w:val="0"/>
        <w:adjustRightInd w:val="0"/>
        <w:jc w:val="both"/>
        <w:rPr>
          <w:color w:val="000000"/>
        </w:rPr>
      </w:pPr>
      <w:r w:rsidRPr="00FD10E9">
        <w:rPr>
          <w:color w:val="000000"/>
        </w:rPr>
        <w:t> </w:t>
      </w:r>
    </w:p>
    <w:p w14:paraId="100120D8" w14:textId="631F5CAC" w:rsidR="004A773C" w:rsidRPr="00FD10E9" w:rsidRDefault="004A773C" w:rsidP="004A773C">
      <w:pPr>
        <w:autoSpaceDE w:val="0"/>
        <w:autoSpaceDN w:val="0"/>
        <w:adjustRightInd w:val="0"/>
        <w:jc w:val="both"/>
        <w:rPr>
          <w:color w:val="000000"/>
        </w:rPr>
      </w:pPr>
      <w:r w:rsidRPr="00FD10E9">
        <w:rPr>
          <w:color w:val="000000"/>
        </w:rPr>
        <w:t>Banka, kar/zarar katılma hesapları üzerinden birim değer hesaplama yöntemine göre gider reeskontu hesaplamaktadır ve bu tutarlar bilançoda “Toplanan Fonlar” hesabı üzerinde gösterilmiştir.</w:t>
      </w:r>
    </w:p>
    <w:p w14:paraId="1655A7FB" w14:textId="77777777" w:rsidR="004A773C" w:rsidRPr="00FD10E9" w:rsidRDefault="004A773C" w:rsidP="004A773C">
      <w:pPr>
        <w:autoSpaceDE w:val="0"/>
        <w:autoSpaceDN w:val="0"/>
        <w:adjustRightInd w:val="0"/>
        <w:ind w:hanging="567"/>
        <w:rPr>
          <w:b/>
          <w:sz w:val="16"/>
          <w:szCs w:val="16"/>
        </w:rPr>
      </w:pPr>
    </w:p>
    <w:p w14:paraId="40BAA77D" w14:textId="77777777" w:rsidR="004A773C" w:rsidRPr="00FD10E9" w:rsidRDefault="004A773C" w:rsidP="004A773C">
      <w:pPr>
        <w:autoSpaceDE w:val="0"/>
        <w:autoSpaceDN w:val="0"/>
        <w:adjustRightInd w:val="0"/>
        <w:ind w:hanging="567"/>
        <w:rPr>
          <w:b/>
        </w:rPr>
      </w:pPr>
      <w:r w:rsidRPr="00FD10E9">
        <w:rPr>
          <w:b/>
        </w:rPr>
        <w:t>6.</w:t>
      </w:r>
      <w:r w:rsidRPr="00FD10E9">
        <w:rPr>
          <w:b/>
        </w:rPr>
        <w:tab/>
        <w:t>Ücret ve komisyon gelir ve giderlerine ilişkin açıklamalar</w:t>
      </w:r>
    </w:p>
    <w:p w14:paraId="53B83456" w14:textId="77777777" w:rsidR="004A773C" w:rsidRPr="00FD10E9" w:rsidRDefault="004A773C" w:rsidP="004A773C">
      <w:pPr>
        <w:autoSpaceDE w:val="0"/>
        <w:autoSpaceDN w:val="0"/>
        <w:adjustRightInd w:val="0"/>
        <w:rPr>
          <w:sz w:val="6"/>
          <w:szCs w:val="16"/>
        </w:rPr>
      </w:pPr>
    </w:p>
    <w:p w14:paraId="5CBC9D7C" w14:textId="77777777" w:rsidR="004A773C" w:rsidRPr="00FD10E9" w:rsidRDefault="004A773C" w:rsidP="004A773C">
      <w:pPr>
        <w:autoSpaceDE w:val="0"/>
        <w:autoSpaceDN w:val="0"/>
        <w:adjustRightInd w:val="0"/>
        <w:jc w:val="both"/>
      </w:pPr>
      <w:r w:rsidRPr="00FD10E9">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FD10E9">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4AF27A82" w14:textId="77777777" w:rsidR="004A773C" w:rsidRPr="00FD10E9" w:rsidRDefault="004A773C" w:rsidP="004A773C">
      <w:pPr>
        <w:autoSpaceDE w:val="0"/>
        <w:autoSpaceDN w:val="0"/>
        <w:adjustRightInd w:val="0"/>
        <w:jc w:val="both"/>
        <w:rPr>
          <w:sz w:val="6"/>
        </w:rPr>
      </w:pPr>
    </w:p>
    <w:p w14:paraId="5352AC9C" w14:textId="77777777" w:rsidR="004A773C" w:rsidRPr="00FD10E9" w:rsidRDefault="004A773C" w:rsidP="004A773C">
      <w:pPr>
        <w:autoSpaceDE w:val="0"/>
        <w:autoSpaceDN w:val="0"/>
        <w:adjustRightInd w:val="0"/>
        <w:jc w:val="both"/>
        <w:rPr>
          <w:color w:val="000000"/>
        </w:rPr>
      </w:pPr>
      <w:r w:rsidRPr="00FD10E9">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25B4BF48" w14:textId="77777777" w:rsidR="004A773C" w:rsidRPr="00FD10E9" w:rsidRDefault="004A773C" w:rsidP="004A773C">
      <w:pPr>
        <w:autoSpaceDE w:val="0"/>
        <w:autoSpaceDN w:val="0"/>
        <w:adjustRightInd w:val="0"/>
        <w:jc w:val="both"/>
        <w:rPr>
          <w:color w:val="000000"/>
          <w:sz w:val="6"/>
          <w:szCs w:val="12"/>
        </w:rPr>
      </w:pPr>
    </w:p>
    <w:p w14:paraId="221AE222" w14:textId="77777777" w:rsidR="004A773C" w:rsidRPr="00FD10E9" w:rsidRDefault="004A773C" w:rsidP="004A773C">
      <w:pPr>
        <w:autoSpaceDE w:val="0"/>
        <w:autoSpaceDN w:val="0"/>
        <w:adjustRightInd w:val="0"/>
        <w:jc w:val="both"/>
        <w:rPr>
          <w:color w:val="000000"/>
        </w:rPr>
      </w:pPr>
      <w:r w:rsidRPr="00FD10E9">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 </w:t>
      </w:r>
    </w:p>
    <w:p w14:paraId="7C61F5EF" w14:textId="77777777" w:rsidR="004A773C" w:rsidRPr="00FD10E9" w:rsidRDefault="004A773C" w:rsidP="004A773C">
      <w:pPr>
        <w:autoSpaceDE w:val="0"/>
        <w:autoSpaceDN w:val="0"/>
        <w:adjustRightInd w:val="0"/>
        <w:jc w:val="both"/>
        <w:rPr>
          <w:b/>
          <w:sz w:val="10"/>
          <w:szCs w:val="16"/>
        </w:rPr>
      </w:pPr>
    </w:p>
    <w:p w14:paraId="161A4BEC" w14:textId="77777777" w:rsidR="00717AB5" w:rsidRDefault="00717AB5">
      <w:pPr>
        <w:rPr>
          <w:b/>
        </w:rPr>
      </w:pPr>
      <w:r>
        <w:rPr>
          <w:b/>
        </w:rPr>
        <w:br w:type="page"/>
      </w:r>
    </w:p>
    <w:p w14:paraId="5524CBE2" w14:textId="203115B4" w:rsidR="004A773C" w:rsidRPr="00FD10E9" w:rsidRDefault="004A773C" w:rsidP="004A773C">
      <w:pPr>
        <w:tabs>
          <w:tab w:val="left" w:pos="709"/>
        </w:tabs>
        <w:autoSpaceDE w:val="0"/>
        <w:autoSpaceDN w:val="0"/>
        <w:adjustRightInd w:val="0"/>
        <w:ind w:left="-11" w:hanging="556"/>
        <w:rPr>
          <w:b/>
        </w:rPr>
      </w:pPr>
      <w:r w:rsidRPr="00FD10E9">
        <w:rPr>
          <w:b/>
        </w:rPr>
        <w:lastRenderedPageBreak/>
        <w:t xml:space="preserve">7.     </w:t>
      </w:r>
      <w:r w:rsidRPr="00FD10E9">
        <w:rPr>
          <w:b/>
        </w:rPr>
        <w:tab/>
        <w:t>Finansal varlıklara ilişkin açıklama ve dipnotlar</w:t>
      </w:r>
    </w:p>
    <w:p w14:paraId="7FAE72E4" w14:textId="77777777" w:rsidR="004A773C" w:rsidRPr="00FD10E9" w:rsidRDefault="004A773C" w:rsidP="004A773C">
      <w:pPr>
        <w:autoSpaceDE w:val="0"/>
        <w:autoSpaceDN w:val="0"/>
        <w:adjustRightInd w:val="0"/>
        <w:ind w:hanging="540"/>
        <w:rPr>
          <w:b/>
          <w:sz w:val="10"/>
          <w:szCs w:val="12"/>
        </w:rPr>
      </w:pPr>
    </w:p>
    <w:p w14:paraId="627A9434" w14:textId="77777777" w:rsidR="004A773C" w:rsidRPr="00FD10E9" w:rsidRDefault="004A773C" w:rsidP="004A773C">
      <w:pPr>
        <w:autoSpaceDE w:val="0"/>
        <w:autoSpaceDN w:val="0"/>
        <w:adjustRightInd w:val="0"/>
        <w:jc w:val="both"/>
        <w:rPr>
          <w:color w:val="000000"/>
        </w:rPr>
      </w:pPr>
      <w:r w:rsidRPr="00FD10E9">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FD10E9">
        <w:rPr>
          <w:color w:val="000000"/>
        </w:rPr>
        <w:t>Resmi</w:t>
      </w:r>
      <w:proofErr w:type="gramEnd"/>
      <w:r w:rsidRPr="00FD10E9">
        <w:rPr>
          <w:color w:val="000000"/>
        </w:rPr>
        <w:t xml:space="preserve"> </w:t>
      </w:r>
      <w:proofErr w:type="spellStart"/>
      <w:r w:rsidRPr="00FD10E9">
        <w:rPr>
          <w:color w:val="000000"/>
        </w:rPr>
        <w:t>Gazete’de</w:t>
      </w:r>
      <w:proofErr w:type="spellEnd"/>
      <w:r w:rsidRPr="00FD10E9">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13948701" w14:textId="77777777" w:rsidR="004A773C" w:rsidRPr="00FD10E9" w:rsidRDefault="004A773C" w:rsidP="004A773C">
      <w:pPr>
        <w:autoSpaceDE w:val="0"/>
        <w:autoSpaceDN w:val="0"/>
        <w:adjustRightInd w:val="0"/>
        <w:jc w:val="both"/>
        <w:rPr>
          <w:color w:val="000000"/>
        </w:rPr>
      </w:pPr>
      <w:r w:rsidRPr="00FD10E9">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440BEB5C" w14:textId="77777777" w:rsidR="004A773C" w:rsidRPr="00FD10E9" w:rsidRDefault="004A773C" w:rsidP="004A773C">
      <w:pPr>
        <w:autoSpaceDE w:val="0"/>
        <w:autoSpaceDN w:val="0"/>
        <w:adjustRightInd w:val="0"/>
        <w:jc w:val="both"/>
        <w:rPr>
          <w:color w:val="000000"/>
          <w:sz w:val="10"/>
        </w:rPr>
      </w:pPr>
    </w:p>
    <w:p w14:paraId="1850F287" w14:textId="77777777" w:rsidR="004A773C" w:rsidRPr="00FD10E9" w:rsidRDefault="004A773C" w:rsidP="004A773C">
      <w:pPr>
        <w:pStyle w:val="BodyText3"/>
        <w:tabs>
          <w:tab w:val="clear" w:pos="539"/>
          <w:tab w:val="num" w:pos="709"/>
        </w:tabs>
        <w:ind w:right="183" w:hanging="567"/>
        <w:rPr>
          <w:b/>
          <w:bCs w:val="0"/>
          <w:i w:val="0"/>
          <w:iCs w:val="0"/>
          <w:sz w:val="20"/>
        </w:rPr>
      </w:pPr>
      <w:r w:rsidRPr="00FD10E9">
        <w:rPr>
          <w:b/>
          <w:bCs w:val="0"/>
          <w:i w:val="0"/>
          <w:iCs w:val="0"/>
          <w:sz w:val="20"/>
        </w:rPr>
        <w:t xml:space="preserve">7.1   </w:t>
      </w:r>
      <w:r w:rsidRPr="00FD10E9">
        <w:rPr>
          <w:b/>
          <w:bCs w:val="0"/>
          <w:i w:val="0"/>
          <w:iCs w:val="0"/>
          <w:sz w:val="20"/>
        </w:rPr>
        <w:tab/>
        <w:t>Gerçeğe Uygun Değer Farkı Kar/</w:t>
      </w:r>
      <w:proofErr w:type="spellStart"/>
      <w:r w:rsidRPr="00FD10E9">
        <w:rPr>
          <w:b/>
          <w:bCs w:val="0"/>
          <w:i w:val="0"/>
          <w:iCs w:val="0"/>
          <w:sz w:val="20"/>
        </w:rPr>
        <w:t>Zarar’a</w:t>
      </w:r>
      <w:proofErr w:type="spellEnd"/>
      <w:r w:rsidRPr="00FD10E9">
        <w:rPr>
          <w:b/>
          <w:bCs w:val="0"/>
          <w:i w:val="0"/>
          <w:iCs w:val="0"/>
          <w:sz w:val="20"/>
        </w:rPr>
        <w:t xml:space="preserve"> Yansıtılan Finansal Varlıklar:</w:t>
      </w:r>
    </w:p>
    <w:p w14:paraId="7474F12B" w14:textId="77777777" w:rsidR="004A773C" w:rsidRPr="00FD10E9" w:rsidRDefault="004A773C" w:rsidP="004A773C">
      <w:pPr>
        <w:autoSpaceDE w:val="0"/>
        <w:autoSpaceDN w:val="0"/>
        <w:adjustRightInd w:val="0"/>
        <w:ind w:hanging="540"/>
        <w:rPr>
          <w:b/>
          <w:sz w:val="8"/>
          <w:szCs w:val="12"/>
        </w:rPr>
      </w:pPr>
    </w:p>
    <w:p w14:paraId="4554ED71" w14:textId="77777777" w:rsidR="004A773C" w:rsidRPr="00FD10E9" w:rsidRDefault="004A773C" w:rsidP="004A773C">
      <w:pPr>
        <w:autoSpaceDE w:val="0"/>
        <w:autoSpaceDN w:val="0"/>
        <w:adjustRightInd w:val="0"/>
        <w:jc w:val="both"/>
      </w:pPr>
      <w:r w:rsidRPr="00FD10E9">
        <w:t>Gerçeğe uygun değer farkı kâr/</w:t>
      </w:r>
      <w:proofErr w:type="spellStart"/>
      <w:r w:rsidRPr="00FD10E9">
        <w:t>zarar’a</w:t>
      </w:r>
      <w:proofErr w:type="spellEnd"/>
      <w:r w:rsidRPr="00FD10E9">
        <w:t xml:space="preserve">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w:t>
      </w:r>
      <w:proofErr w:type="spellStart"/>
      <w:r w:rsidRPr="00FD10E9">
        <w:t>zarar’a</w:t>
      </w:r>
      <w:proofErr w:type="spellEnd"/>
      <w:r w:rsidRPr="00FD10E9">
        <w:t xml:space="preserve">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6625D467" w14:textId="77777777" w:rsidR="004A773C" w:rsidRPr="00FD10E9" w:rsidRDefault="004A773C" w:rsidP="004A773C">
      <w:pPr>
        <w:autoSpaceDE w:val="0"/>
        <w:autoSpaceDN w:val="0"/>
        <w:adjustRightInd w:val="0"/>
        <w:jc w:val="both"/>
        <w:rPr>
          <w:color w:val="000000"/>
          <w:sz w:val="10"/>
        </w:rPr>
      </w:pPr>
    </w:p>
    <w:p w14:paraId="545250C7" w14:textId="77777777" w:rsidR="004A773C" w:rsidRPr="00FD10E9" w:rsidRDefault="004A773C" w:rsidP="004A773C">
      <w:pPr>
        <w:pStyle w:val="BodyText3"/>
        <w:tabs>
          <w:tab w:val="clear" w:pos="539"/>
          <w:tab w:val="clear" w:pos="5310"/>
          <w:tab w:val="clear" w:pos="7560"/>
        </w:tabs>
        <w:ind w:right="183" w:hanging="567"/>
        <w:rPr>
          <w:b/>
          <w:bCs w:val="0"/>
          <w:i w:val="0"/>
          <w:iCs w:val="0"/>
          <w:sz w:val="20"/>
        </w:rPr>
      </w:pPr>
      <w:r w:rsidRPr="00FD10E9">
        <w:rPr>
          <w:b/>
          <w:bCs w:val="0"/>
          <w:i w:val="0"/>
          <w:iCs w:val="0"/>
          <w:sz w:val="20"/>
        </w:rPr>
        <w:t xml:space="preserve">7.2   </w:t>
      </w:r>
      <w:r w:rsidRPr="00FD10E9">
        <w:rPr>
          <w:b/>
          <w:bCs w:val="0"/>
          <w:i w:val="0"/>
          <w:iCs w:val="0"/>
          <w:sz w:val="20"/>
        </w:rPr>
        <w:tab/>
        <w:t>Gerçeğe Uygun Değer Farkı Diğer Kapsamlı Gelire Yansıtılan Finansal Varlıklar:</w:t>
      </w:r>
    </w:p>
    <w:p w14:paraId="74F1C891" w14:textId="77777777" w:rsidR="004A773C" w:rsidRPr="00FD10E9" w:rsidRDefault="004A773C" w:rsidP="004A773C">
      <w:pPr>
        <w:autoSpaceDE w:val="0"/>
        <w:autoSpaceDN w:val="0"/>
        <w:adjustRightInd w:val="0"/>
        <w:ind w:left="540" w:hanging="540"/>
        <w:jc w:val="both"/>
        <w:rPr>
          <w:sz w:val="10"/>
          <w:szCs w:val="16"/>
        </w:rPr>
      </w:pPr>
    </w:p>
    <w:p w14:paraId="7AA8608D" w14:textId="77777777" w:rsidR="004A773C" w:rsidRPr="00FD10E9" w:rsidRDefault="004A773C" w:rsidP="004A773C">
      <w:pPr>
        <w:autoSpaceDE w:val="0"/>
        <w:autoSpaceDN w:val="0"/>
        <w:adjustRightInd w:val="0"/>
        <w:jc w:val="both"/>
      </w:pPr>
      <w:r w:rsidRPr="00FD10E9">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FD10E9">
        <w:t>kar</w:t>
      </w:r>
      <w:proofErr w:type="gramEnd"/>
      <w:r w:rsidRPr="00FD10E9">
        <w:t xml:space="preserve"> payı ödemelerini içeren nakit akışlarına yol açması durumlarında finansal varlık, gerçeğe uygun değer farkı diğer kapsamlı gelire yansıtılan olarak sınıflandırılmaktadır. </w:t>
      </w:r>
    </w:p>
    <w:p w14:paraId="288D076C" w14:textId="77777777" w:rsidR="004A773C" w:rsidRPr="00FD10E9" w:rsidRDefault="004A773C" w:rsidP="004A773C">
      <w:pPr>
        <w:autoSpaceDE w:val="0"/>
        <w:autoSpaceDN w:val="0"/>
        <w:adjustRightInd w:val="0"/>
        <w:jc w:val="both"/>
        <w:rPr>
          <w:sz w:val="10"/>
          <w:szCs w:val="12"/>
        </w:rPr>
      </w:pPr>
    </w:p>
    <w:p w14:paraId="45627A00" w14:textId="77777777" w:rsidR="004A773C" w:rsidRPr="00FD10E9" w:rsidRDefault="004A773C" w:rsidP="004A773C">
      <w:pPr>
        <w:autoSpaceDE w:val="0"/>
        <w:autoSpaceDN w:val="0"/>
        <w:adjustRightInd w:val="0"/>
        <w:jc w:val="both"/>
      </w:pPr>
      <w:r w:rsidRPr="00FD10E9">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FD10E9">
        <w:t>kar</w:t>
      </w:r>
      <w:proofErr w:type="gramEnd"/>
      <w:r w:rsidRPr="00FD10E9">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FD10E9">
        <w:t>özkaynaklar</w:t>
      </w:r>
      <w:proofErr w:type="spellEnd"/>
      <w:r w:rsidRPr="00FD10E9">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FD10E9">
        <w:t>özkaynak</w:t>
      </w:r>
      <w:proofErr w:type="spellEnd"/>
      <w:r w:rsidRPr="00FD10E9">
        <w:t xml:space="preserve"> içinde yansıtılan birikmiş gerçeğe uygun değer farkları gelir tablosuna yansıtılmaktadır.</w:t>
      </w:r>
    </w:p>
    <w:p w14:paraId="6DEF1B94" w14:textId="77777777" w:rsidR="004A773C" w:rsidRPr="00FD10E9" w:rsidRDefault="004A773C" w:rsidP="004A773C">
      <w:pPr>
        <w:autoSpaceDE w:val="0"/>
        <w:autoSpaceDN w:val="0"/>
        <w:adjustRightInd w:val="0"/>
        <w:jc w:val="both"/>
      </w:pPr>
      <w:r w:rsidRPr="00FD10E9">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0901E4D8" w14:textId="77777777" w:rsidR="004A773C" w:rsidRPr="00FD10E9" w:rsidRDefault="004A773C" w:rsidP="004A773C">
      <w:pPr>
        <w:autoSpaceDE w:val="0"/>
        <w:autoSpaceDN w:val="0"/>
        <w:adjustRightInd w:val="0"/>
        <w:jc w:val="both"/>
        <w:rPr>
          <w:sz w:val="16"/>
          <w:szCs w:val="16"/>
        </w:rPr>
      </w:pPr>
    </w:p>
    <w:p w14:paraId="40A0F2AC" w14:textId="65F9C51C" w:rsidR="004A773C" w:rsidRPr="00FD10E9" w:rsidRDefault="004A773C" w:rsidP="00FD10E9">
      <w:pPr>
        <w:autoSpaceDE w:val="0"/>
        <w:autoSpaceDN w:val="0"/>
        <w:adjustRightInd w:val="0"/>
        <w:jc w:val="both"/>
        <w:rPr>
          <w:sz w:val="16"/>
          <w:szCs w:val="16"/>
        </w:rPr>
      </w:pPr>
      <w:r w:rsidRPr="00FD10E9">
        <w:t xml:space="preserve">İlk defa finansal tablolara almada işletme, ticari amaçla elde tutulmayan bir </w:t>
      </w:r>
      <w:proofErr w:type="spellStart"/>
      <w:r w:rsidRPr="00FD10E9">
        <w:t>özkaynak</w:t>
      </w:r>
      <w:proofErr w:type="spellEnd"/>
      <w:r w:rsidRPr="00FD10E9">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798A750A" w14:textId="77777777" w:rsidR="004A773C" w:rsidRPr="00FD10E9" w:rsidRDefault="004A773C" w:rsidP="004A773C">
      <w:pPr>
        <w:pStyle w:val="BodyText"/>
        <w:jc w:val="left"/>
        <w:rPr>
          <w:sz w:val="16"/>
          <w:szCs w:val="16"/>
        </w:rPr>
      </w:pPr>
    </w:p>
    <w:p w14:paraId="5773D505" w14:textId="77777777" w:rsidR="00717AB5" w:rsidRDefault="00717AB5">
      <w:pPr>
        <w:rPr>
          <w:b/>
          <w:bCs/>
          <w:iCs/>
        </w:rPr>
      </w:pPr>
      <w:r>
        <w:rPr>
          <w:b/>
          <w:i/>
        </w:rPr>
        <w:br w:type="page"/>
      </w:r>
    </w:p>
    <w:p w14:paraId="4FB9088D" w14:textId="09DF52B0" w:rsidR="004A773C" w:rsidRPr="00FD10E9" w:rsidRDefault="004A773C" w:rsidP="004A773C">
      <w:pPr>
        <w:pStyle w:val="BodyText3"/>
        <w:tabs>
          <w:tab w:val="clear" w:pos="539"/>
          <w:tab w:val="num" w:pos="709"/>
        </w:tabs>
        <w:ind w:right="183" w:hanging="567"/>
        <w:rPr>
          <w:b/>
          <w:bCs w:val="0"/>
          <w:i w:val="0"/>
          <w:iCs w:val="0"/>
          <w:sz w:val="20"/>
        </w:rPr>
      </w:pPr>
      <w:r w:rsidRPr="00FD10E9">
        <w:rPr>
          <w:b/>
          <w:i w:val="0"/>
          <w:sz w:val="20"/>
        </w:rPr>
        <w:lastRenderedPageBreak/>
        <w:t xml:space="preserve">7.3 </w:t>
      </w:r>
      <w:r w:rsidRPr="00FD10E9">
        <w:rPr>
          <w:b/>
          <w:i w:val="0"/>
          <w:sz w:val="20"/>
        </w:rPr>
        <w:tab/>
        <w:t>İtfa Edilmiş Maliyeti ile Ölçülen Finansal Varlıklar:</w:t>
      </w:r>
    </w:p>
    <w:p w14:paraId="0889F63F" w14:textId="77777777" w:rsidR="004A773C" w:rsidRPr="00FD10E9" w:rsidRDefault="004A773C" w:rsidP="004A773C">
      <w:pPr>
        <w:pStyle w:val="BodyText3"/>
        <w:tabs>
          <w:tab w:val="clear" w:pos="539"/>
        </w:tabs>
        <w:ind w:right="183"/>
        <w:rPr>
          <w:b/>
          <w:bCs w:val="0"/>
          <w:i w:val="0"/>
          <w:iCs w:val="0"/>
          <w:sz w:val="16"/>
          <w:szCs w:val="16"/>
        </w:rPr>
      </w:pPr>
    </w:p>
    <w:p w14:paraId="2FB88D61" w14:textId="77777777" w:rsidR="004A773C" w:rsidRPr="00FD10E9" w:rsidRDefault="004A773C" w:rsidP="004A773C">
      <w:pPr>
        <w:pStyle w:val="BodyTextIndent"/>
        <w:ind w:left="0" w:firstLine="0"/>
      </w:pPr>
      <w:r w:rsidRPr="00FD10E9">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FD10E9">
        <w:t>kar</w:t>
      </w:r>
      <w:proofErr w:type="gramEnd"/>
      <w:r w:rsidRPr="00FD10E9">
        <w:t xml:space="preserve"> payı ödemelerini içeren nakit akışlarına yol açması durumunda finansal varlık itfa edilmiş maliyeti ile ölçülen finansal varlık olarak sınıflandırılmaktadır. </w:t>
      </w:r>
    </w:p>
    <w:p w14:paraId="56148872" w14:textId="77777777" w:rsidR="004A773C" w:rsidRPr="00FD10E9" w:rsidRDefault="004A773C" w:rsidP="004A773C">
      <w:pPr>
        <w:pStyle w:val="BodyTextIndent"/>
        <w:ind w:left="0" w:firstLine="0"/>
        <w:rPr>
          <w:color w:val="000000"/>
          <w:sz w:val="16"/>
          <w:szCs w:val="16"/>
        </w:rPr>
      </w:pPr>
    </w:p>
    <w:p w14:paraId="6CC35ED2" w14:textId="77777777" w:rsidR="004A773C" w:rsidRPr="00FD10E9" w:rsidRDefault="004A773C" w:rsidP="004A773C">
      <w:pPr>
        <w:pStyle w:val="BodyTextIndent"/>
        <w:ind w:left="0" w:firstLine="0"/>
        <w:rPr>
          <w:color w:val="000000"/>
        </w:rPr>
      </w:pPr>
      <w:r w:rsidRPr="00FD10E9">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FD10E9">
        <w:rPr>
          <w:color w:val="000000"/>
        </w:rPr>
        <w:t>iskonto</w:t>
      </w:r>
      <w:proofErr w:type="spellEnd"/>
      <w:r w:rsidRPr="00FD10E9">
        <w:rPr>
          <w:color w:val="000000"/>
        </w:rPr>
        <w:t xml:space="preserve"> edilmiş bedeli ile değerlenmektedir. İtfa Edilmiş Maliyeti ile Ölçülen Finansal Varlıklar ile ilgili </w:t>
      </w:r>
      <w:proofErr w:type="gramStart"/>
      <w:r w:rsidRPr="00FD10E9">
        <w:rPr>
          <w:color w:val="000000"/>
        </w:rPr>
        <w:t>kar</w:t>
      </w:r>
      <w:proofErr w:type="gramEnd"/>
      <w:r w:rsidRPr="00FD10E9">
        <w:rPr>
          <w:color w:val="000000"/>
        </w:rPr>
        <w:t xml:space="preserve"> payı gelirleri gelir tablosunda yansıtılmaktadır.</w:t>
      </w:r>
    </w:p>
    <w:p w14:paraId="1E197D3A" w14:textId="77777777" w:rsidR="004A773C" w:rsidRPr="00FD10E9" w:rsidRDefault="004A773C" w:rsidP="004A773C">
      <w:pPr>
        <w:pStyle w:val="BodyTextIndent"/>
        <w:ind w:left="0" w:firstLine="0"/>
        <w:rPr>
          <w:color w:val="000000"/>
        </w:rPr>
      </w:pPr>
    </w:p>
    <w:p w14:paraId="52E5D2F1" w14:textId="77777777" w:rsidR="004A773C" w:rsidRPr="00FD10E9" w:rsidRDefault="004A773C" w:rsidP="004A773C">
      <w:pPr>
        <w:pStyle w:val="BodyText3"/>
        <w:tabs>
          <w:tab w:val="clear" w:pos="539"/>
          <w:tab w:val="num" w:pos="709"/>
        </w:tabs>
        <w:ind w:right="183" w:hanging="567"/>
        <w:rPr>
          <w:b/>
          <w:bCs w:val="0"/>
          <w:i w:val="0"/>
          <w:iCs w:val="0"/>
          <w:sz w:val="20"/>
        </w:rPr>
      </w:pPr>
      <w:r w:rsidRPr="00FD10E9">
        <w:rPr>
          <w:b/>
          <w:i w:val="0"/>
          <w:sz w:val="20"/>
        </w:rPr>
        <w:t xml:space="preserve">7.4 </w:t>
      </w:r>
      <w:r w:rsidRPr="00FD10E9">
        <w:rPr>
          <w:b/>
          <w:i w:val="0"/>
          <w:sz w:val="20"/>
        </w:rPr>
        <w:tab/>
        <w:t>Türev Finansal Varlıklar:</w:t>
      </w:r>
    </w:p>
    <w:p w14:paraId="55DA3C38" w14:textId="77777777" w:rsidR="004A773C" w:rsidRPr="00FD10E9" w:rsidRDefault="004A773C" w:rsidP="004A773C">
      <w:pPr>
        <w:pStyle w:val="BodyText3"/>
        <w:tabs>
          <w:tab w:val="clear" w:pos="539"/>
        </w:tabs>
        <w:ind w:right="183"/>
        <w:rPr>
          <w:b/>
          <w:bCs w:val="0"/>
          <w:i w:val="0"/>
          <w:iCs w:val="0"/>
          <w:sz w:val="16"/>
          <w:szCs w:val="16"/>
        </w:rPr>
      </w:pPr>
    </w:p>
    <w:p w14:paraId="304513ED" w14:textId="77777777" w:rsidR="004A773C" w:rsidRPr="00FD10E9" w:rsidRDefault="004A773C" w:rsidP="004A773C">
      <w:pPr>
        <w:pStyle w:val="BodyTextIndent"/>
        <w:ind w:left="0" w:firstLine="0"/>
      </w:pPr>
      <w:r w:rsidRPr="00FD10E9">
        <w:t xml:space="preserve">Banka’nın türev işlemlerini ağırlıklı olarak yabancı para swapları, çapraz para swapları ile vadeli döviz </w:t>
      </w:r>
      <w:proofErr w:type="spellStart"/>
      <w:r w:rsidRPr="00FD10E9">
        <w:t>alım-satım</w:t>
      </w:r>
      <w:proofErr w:type="spellEnd"/>
      <w:r w:rsidRPr="00FD10E9">
        <w:t xml:space="preserve"> sözleşmeleri oluşturmaktadır. </w:t>
      </w:r>
    </w:p>
    <w:p w14:paraId="651A2DEF" w14:textId="77777777" w:rsidR="004A773C" w:rsidRPr="00FD10E9" w:rsidRDefault="004A773C" w:rsidP="004A773C">
      <w:pPr>
        <w:pStyle w:val="BodyTextIndent"/>
        <w:ind w:left="0" w:firstLine="0"/>
        <w:rPr>
          <w:sz w:val="16"/>
          <w:szCs w:val="16"/>
        </w:rPr>
      </w:pPr>
    </w:p>
    <w:p w14:paraId="38610490" w14:textId="77777777" w:rsidR="004A773C" w:rsidRPr="00FD10E9" w:rsidRDefault="004A773C" w:rsidP="004A773C">
      <w:pPr>
        <w:pStyle w:val="BodyTextIndent"/>
        <w:ind w:left="0" w:firstLine="0"/>
      </w:pPr>
      <w:r w:rsidRPr="00FD10E9">
        <w:t xml:space="preserve">Türev işlemlerden doğan alacak ve yükümlülük sözleşme tutarları üzerinden nazım hesaplara kaydedilmektedir. </w:t>
      </w:r>
    </w:p>
    <w:p w14:paraId="7CF8E0E0" w14:textId="77777777" w:rsidR="004A773C" w:rsidRPr="00FD10E9" w:rsidRDefault="004A773C" w:rsidP="004A773C">
      <w:pPr>
        <w:pStyle w:val="BodyTextIndent"/>
        <w:ind w:left="0" w:firstLine="0"/>
        <w:rPr>
          <w:sz w:val="16"/>
          <w:szCs w:val="16"/>
        </w:rPr>
      </w:pPr>
    </w:p>
    <w:p w14:paraId="72D7E609" w14:textId="77777777" w:rsidR="004A773C" w:rsidRPr="00FD10E9" w:rsidRDefault="004A773C" w:rsidP="004A773C">
      <w:pPr>
        <w:pStyle w:val="BodyTextIndent"/>
        <w:ind w:left="0" w:firstLine="0"/>
      </w:pPr>
      <w:r w:rsidRPr="00FD10E9">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5FA0E06D" w14:textId="77777777" w:rsidR="004A773C" w:rsidRPr="00FD10E9" w:rsidRDefault="004A773C" w:rsidP="004A773C">
      <w:pPr>
        <w:pStyle w:val="BodyTextIndent"/>
        <w:ind w:left="0" w:firstLine="0"/>
        <w:rPr>
          <w:sz w:val="16"/>
          <w:szCs w:val="16"/>
        </w:rPr>
      </w:pPr>
    </w:p>
    <w:p w14:paraId="39CEAADC" w14:textId="77777777" w:rsidR="004A773C" w:rsidRPr="00FD10E9" w:rsidRDefault="004A773C" w:rsidP="004A773C">
      <w:pPr>
        <w:pStyle w:val="BodyText3"/>
        <w:tabs>
          <w:tab w:val="clear" w:pos="539"/>
          <w:tab w:val="num" w:pos="709"/>
        </w:tabs>
        <w:ind w:right="183" w:hanging="567"/>
        <w:rPr>
          <w:b/>
          <w:bCs w:val="0"/>
          <w:i w:val="0"/>
          <w:iCs w:val="0"/>
          <w:sz w:val="20"/>
        </w:rPr>
      </w:pPr>
      <w:r w:rsidRPr="00FD10E9">
        <w:rPr>
          <w:b/>
          <w:i w:val="0"/>
          <w:sz w:val="20"/>
        </w:rPr>
        <w:t xml:space="preserve">7.5 </w:t>
      </w:r>
      <w:r w:rsidRPr="00FD10E9">
        <w:rPr>
          <w:b/>
          <w:i w:val="0"/>
          <w:sz w:val="20"/>
        </w:rPr>
        <w:tab/>
        <w:t>Krediler:</w:t>
      </w:r>
    </w:p>
    <w:p w14:paraId="487D9E07" w14:textId="77777777" w:rsidR="004A773C" w:rsidRPr="00FD10E9" w:rsidRDefault="004A773C" w:rsidP="004A773C">
      <w:pPr>
        <w:pStyle w:val="BodyText3"/>
        <w:tabs>
          <w:tab w:val="clear" w:pos="539"/>
        </w:tabs>
        <w:ind w:right="183"/>
        <w:rPr>
          <w:b/>
          <w:bCs w:val="0"/>
          <w:i w:val="0"/>
          <w:iCs w:val="0"/>
          <w:sz w:val="16"/>
          <w:szCs w:val="16"/>
        </w:rPr>
      </w:pPr>
    </w:p>
    <w:p w14:paraId="16243FCC" w14:textId="77777777" w:rsidR="004A773C" w:rsidRPr="00FD10E9" w:rsidRDefault="004A773C" w:rsidP="004A773C">
      <w:pPr>
        <w:pStyle w:val="BodyTextIndent"/>
        <w:ind w:left="0" w:firstLine="0"/>
      </w:pPr>
      <w:r w:rsidRPr="00FD10E9">
        <w:t xml:space="preserve">Krediler, sabit veya belirlenebilir nitelikte ödemeleri olan ve aktif bir piyasada </w:t>
      </w:r>
      <w:proofErr w:type="spellStart"/>
      <w:r w:rsidRPr="00FD10E9">
        <w:t>kote</w:t>
      </w:r>
      <w:proofErr w:type="spellEnd"/>
      <w:r w:rsidRPr="00FD10E9">
        <w:t xml:space="preserve"> olmayan finansal varlıklardır. Söz konusu krediler ilk olarak gerçeğe uygun değerini yansıtan elde etme maliyet bedellerine işlem maliyetlerinin eklenmesi ile kayda alınmakta ve kayda alınmalarını takiben “Etkin </w:t>
      </w:r>
      <w:proofErr w:type="gramStart"/>
      <w:r w:rsidRPr="00FD10E9">
        <w:t>kar</w:t>
      </w:r>
      <w:proofErr w:type="gramEnd"/>
      <w:r w:rsidRPr="00FD10E9">
        <w:t xml:space="preserve"> payı (iç verim) oranı yöntemi” kullanılarak itfa edilmiş bedelleri ile ölçülmektedir.</w:t>
      </w:r>
    </w:p>
    <w:p w14:paraId="07B03301" w14:textId="77777777" w:rsidR="004A773C" w:rsidRPr="00FD10E9" w:rsidRDefault="004A773C" w:rsidP="004A773C">
      <w:pPr>
        <w:pStyle w:val="BodyTextIndent"/>
        <w:ind w:left="0" w:firstLine="0"/>
      </w:pPr>
    </w:p>
    <w:p w14:paraId="0DA16231" w14:textId="77777777" w:rsidR="004A773C" w:rsidRPr="00FD10E9" w:rsidRDefault="004A773C" w:rsidP="004A773C">
      <w:pPr>
        <w:ind w:hanging="567"/>
        <w:rPr>
          <w:b/>
        </w:rPr>
      </w:pPr>
      <w:r w:rsidRPr="00FD10E9">
        <w:rPr>
          <w:b/>
        </w:rPr>
        <w:t xml:space="preserve">8.     </w:t>
      </w:r>
      <w:r w:rsidRPr="00FD10E9">
        <w:rPr>
          <w:b/>
        </w:rPr>
        <w:tab/>
        <w:t>Finansal araçların netleştirilmesine ilişkin açıklamalar</w:t>
      </w:r>
    </w:p>
    <w:p w14:paraId="0340A774" w14:textId="77777777" w:rsidR="004A773C" w:rsidRPr="00FD10E9" w:rsidRDefault="004A773C" w:rsidP="004A773C">
      <w:pPr>
        <w:autoSpaceDE w:val="0"/>
        <w:autoSpaceDN w:val="0"/>
        <w:adjustRightInd w:val="0"/>
        <w:ind w:hanging="540"/>
        <w:rPr>
          <w:b/>
          <w:sz w:val="16"/>
          <w:szCs w:val="16"/>
        </w:rPr>
      </w:pPr>
    </w:p>
    <w:p w14:paraId="6264C2B6" w14:textId="77777777" w:rsidR="004A773C" w:rsidRPr="00FD10E9" w:rsidRDefault="004A773C" w:rsidP="004A773C">
      <w:pPr>
        <w:autoSpaceDE w:val="0"/>
        <w:autoSpaceDN w:val="0"/>
        <w:adjustRightInd w:val="0"/>
        <w:jc w:val="both"/>
      </w:pPr>
      <w:r w:rsidRPr="00FD10E9">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1E83DC08" w14:textId="77777777" w:rsidR="004A773C" w:rsidRPr="00FD10E9" w:rsidRDefault="004A773C" w:rsidP="004A773C">
      <w:pPr>
        <w:autoSpaceDE w:val="0"/>
        <w:autoSpaceDN w:val="0"/>
        <w:adjustRightInd w:val="0"/>
        <w:ind w:left="540" w:hanging="540"/>
        <w:rPr>
          <w:b/>
          <w:sz w:val="16"/>
          <w:szCs w:val="16"/>
        </w:rPr>
      </w:pPr>
    </w:p>
    <w:p w14:paraId="439CDB4C" w14:textId="77777777" w:rsidR="004A773C" w:rsidRPr="00FD10E9" w:rsidRDefault="004A773C" w:rsidP="004A773C">
      <w:pPr>
        <w:autoSpaceDE w:val="0"/>
        <w:autoSpaceDN w:val="0"/>
        <w:adjustRightInd w:val="0"/>
        <w:ind w:hanging="567"/>
        <w:rPr>
          <w:b/>
        </w:rPr>
      </w:pPr>
      <w:r w:rsidRPr="00FD10E9">
        <w:rPr>
          <w:b/>
        </w:rPr>
        <w:t xml:space="preserve">9.   </w:t>
      </w:r>
      <w:r w:rsidRPr="00FD10E9">
        <w:rPr>
          <w:b/>
        </w:rPr>
        <w:tab/>
        <w:t>Satış ve geri alış anlaşmaları ve menkul değerlerin ödünç verilmesi işlemlerine ilişkin açıklamalar</w:t>
      </w:r>
    </w:p>
    <w:p w14:paraId="7395DBE1" w14:textId="77777777" w:rsidR="004A773C" w:rsidRPr="00FD10E9" w:rsidRDefault="004A773C" w:rsidP="004A773C">
      <w:pPr>
        <w:autoSpaceDE w:val="0"/>
        <w:autoSpaceDN w:val="0"/>
        <w:adjustRightInd w:val="0"/>
        <w:ind w:hanging="540"/>
        <w:rPr>
          <w:b/>
          <w:sz w:val="16"/>
          <w:szCs w:val="16"/>
        </w:rPr>
      </w:pPr>
    </w:p>
    <w:p w14:paraId="2E059B9E" w14:textId="5F1FDB4A" w:rsidR="004A773C" w:rsidRPr="00FA77D7" w:rsidRDefault="004A773C" w:rsidP="003D7945">
      <w:pPr>
        <w:autoSpaceDE w:val="0"/>
        <w:autoSpaceDN w:val="0"/>
        <w:adjustRightInd w:val="0"/>
        <w:jc w:val="both"/>
        <w:rPr>
          <w:color w:val="000000"/>
        </w:rPr>
      </w:pPr>
      <w:r w:rsidRPr="00FD10E9">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Bankası’nın değişik vadelerde açmış olduğu alım ihalelerine teklifler verilerek bilançonun aktifinde yer alan hazine kira sertifikaları geri alım vaadiyle satış işlemine konu edilmekte ve bu kapsamda fon temin edilmektedir. </w:t>
      </w:r>
      <w:r w:rsidR="0044609D" w:rsidRPr="00FA77D7">
        <w:t>30 Eylül 2020</w:t>
      </w:r>
      <w:r w:rsidRPr="00FA77D7">
        <w:rPr>
          <w:color w:val="000000"/>
        </w:rPr>
        <w:t xml:space="preserve"> tarihi itibarıyla, Banka’nın</w:t>
      </w:r>
      <w:r w:rsidR="009D3714" w:rsidRPr="00FA77D7">
        <w:rPr>
          <w:color w:val="000000"/>
        </w:rPr>
        <w:t xml:space="preserve"> </w:t>
      </w:r>
      <w:r w:rsidR="00FA77D7" w:rsidRPr="00FA77D7">
        <w:rPr>
          <w:color w:val="000000"/>
        </w:rPr>
        <w:t>8</w:t>
      </w:r>
      <w:r w:rsidR="009D3714" w:rsidRPr="00FA77D7">
        <w:rPr>
          <w:color w:val="000000"/>
        </w:rPr>
        <w:t>,</w:t>
      </w:r>
      <w:r w:rsidR="00FA77D7" w:rsidRPr="00FA77D7">
        <w:rPr>
          <w:color w:val="000000"/>
        </w:rPr>
        <w:t>224</w:t>
      </w:r>
      <w:r w:rsidR="009D3714" w:rsidRPr="00FA77D7">
        <w:rPr>
          <w:color w:val="000000"/>
        </w:rPr>
        <w:t>,</w:t>
      </w:r>
      <w:r w:rsidR="00FA77D7" w:rsidRPr="00FA77D7">
        <w:rPr>
          <w:color w:val="000000"/>
        </w:rPr>
        <w:t>602</w:t>
      </w:r>
      <w:r w:rsidR="009D3714" w:rsidRPr="00FA77D7">
        <w:rPr>
          <w:color w:val="000000"/>
        </w:rPr>
        <w:t xml:space="preserve"> TL değerinde</w:t>
      </w:r>
      <w:r w:rsidRPr="00FA77D7">
        <w:rPr>
          <w:color w:val="000000"/>
        </w:rPr>
        <w:t xml:space="preserve"> geri alım vaadiyle satış işlemi </w:t>
      </w:r>
      <w:proofErr w:type="gramStart"/>
      <w:r w:rsidRPr="00FA77D7">
        <w:rPr>
          <w:color w:val="000000"/>
        </w:rPr>
        <w:t>bulunma</w:t>
      </w:r>
      <w:r w:rsidR="009D3714" w:rsidRPr="00FA77D7">
        <w:rPr>
          <w:color w:val="000000"/>
        </w:rPr>
        <w:t>ktadır.</w:t>
      </w:r>
      <w:r w:rsidRPr="00FA77D7">
        <w:rPr>
          <w:color w:val="000000"/>
        </w:rPr>
        <w:t>(</w:t>
      </w:r>
      <w:proofErr w:type="gramEnd"/>
      <w:r w:rsidRPr="00FA77D7">
        <w:rPr>
          <w:color w:val="000000"/>
        </w:rPr>
        <w:t xml:space="preserve">31 Aralık 2019 - Bulunmamaktadır). </w:t>
      </w:r>
    </w:p>
    <w:p w14:paraId="282FCB99" w14:textId="77777777" w:rsidR="004A773C" w:rsidRPr="00270CE6" w:rsidRDefault="004A773C" w:rsidP="004A773C">
      <w:pPr>
        <w:autoSpaceDE w:val="0"/>
        <w:autoSpaceDN w:val="0"/>
        <w:adjustRightInd w:val="0"/>
        <w:jc w:val="both"/>
        <w:rPr>
          <w:color w:val="000000"/>
          <w:highlight w:val="yellow"/>
        </w:rPr>
      </w:pPr>
    </w:p>
    <w:p w14:paraId="0F8C5359" w14:textId="77777777" w:rsidR="00717AB5" w:rsidRDefault="00717AB5">
      <w:pPr>
        <w:rPr>
          <w:b/>
        </w:rPr>
      </w:pPr>
      <w:r>
        <w:rPr>
          <w:b/>
        </w:rPr>
        <w:br w:type="page"/>
      </w:r>
    </w:p>
    <w:p w14:paraId="4CA28632" w14:textId="11C00BAB" w:rsidR="004A773C" w:rsidRPr="00FD10E9" w:rsidRDefault="004A773C" w:rsidP="004A773C">
      <w:pPr>
        <w:autoSpaceDE w:val="0"/>
        <w:autoSpaceDN w:val="0"/>
        <w:adjustRightInd w:val="0"/>
        <w:ind w:hanging="567"/>
        <w:jc w:val="both"/>
        <w:rPr>
          <w:b/>
        </w:rPr>
      </w:pPr>
      <w:r w:rsidRPr="00FD10E9">
        <w:rPr>
          <w:b/>
        </w:rPr>
        <w:lastRenderedPageBreak/>
        <w:t xml:space="preserve">10.    </w:t>
      </w:r>
      <w:r w:rsidRPr="00FD10E9">
        <w:rPr>
          <w:b/>
        </w:rPr>
        <w:tab/>
        <w:t>Satış amaçlı elde tutulan ve durdurulan faaliyetlere ilişkin duran varlıklar ile bu varlıklara ilişkin borçlar hakkında açıklamalar</w:t>
      </w:r>
    </w:p>
    <w:p w14:paraId="12030F4C" w14:textId="77777777" w:rsidR="004A773C" w:rsidRPr="00FD10E9" w:rsidRDefault="004A773C" w:rsidP="004A773C">
      <w:pPr>
        <w:tabs>
          <w:tab w:val="left" w:pos="0"/>
        </w:tabs>
        <w:rPr>
          <w:sz w:val="16"/>
          <w:szCs w:val="16"/>
        </w:rPr>
      </w:pPr>
      <w:r w:rsidRPr="00FD10E9">
        <w:rPr>
          <w:sz w:val="16"/>
          <w:szCs w:val="16"/>
        </w:rPr>
        <w:tab/>
      </w:r>
    </w:p>
    <w:p w14:paraId="1A6E9600" w14:textId="77777777" w:rsidR="004A773C" w:rsidRPr="00FD10E9" w:rsidRDefault="004A773C" w:rsidP="004A773C">
      <w:pPr>
        <w:jc w:val="both"/>
        <w:rPr>
          <w:color w:val="000000"/>
        </w:rPr>
      </w:pPr>
      <w:r w:rsidRPr="00FD10E9">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1F7D4B1B" w14:textId="77777777" w:rsidR="004A773C" w:rsidRPr="00FD10E9" w:rsidRDefault="004A773C" w:rsidP="004A773C">
      <w:pPr>
        <w:tabs>
          <w:tab w:val="left" w:pos="284"/>
        </w:tabs>
        <w:autoSpaceDE w:val="0"/>
        <w:autoSpaceDN w:val="0"/>
        <w:adjustRightInd w:val="0"/>
        <w:jc w:val="both"/>
        <w:rPr>
          <w:color w:val="000000"/>
        </w:rPr>
      </w:pPr>
      <w:r w:rsidRPr="00FD10E9">
        <w:rPr>
          <w:color w:val="000000"/>
        </w:rPr>
        <w:b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24B6FAC4" w14:textId="77777777" w:rsidR="004A773C" w:rsidRPr="00FD10E9" w:rsidRDefault="004A773C" w:rsidP="004A773C">
      <w:pPr>
        <w:pStyle w:val="BodyText"/>
        <w:rPr>
          <w:sz w:val="10"/>
          <w:szCs w:val="16"/>
        </w:rPr>
      </w:pPr>
    </w:p>
    <w:p w14:paraId="1ABEEE46" w14:textId="77777777" w:rsidR="004A773C" w:rsidRPr="00FD10E9" w:rsidRDefault="004A773C" w:rsidP="004A773C">
      <w:pPr>
        <w:pStyle w:val="BodyText"/>
        <w:rPr>
          <w:color w:val="000000"/>
          <w:lang w:eastAsia="en-US"/>
        </w:rPr>
      </w:pPr>
      <w:r w:rsidRPr="00FD10E9">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29C7A855" w14:textId="77777777" w:rsidR="004A773C" w:rsidRPr="00FD10E9" w:rsidRDefault="004A773C" w:rsidP="004A773C">
      <w:pPr>
        <w:pStyle w:val="BodyText"/>
        <w:rPr>
          <w:color w:val="000000"/>
          <w:sz w:val="14"/>
          <w:lang w:eastAsia="en-US"/>
        </w:rPr>
      </w:pPr>
    </w:p>
    <w:p w14:paraId="6B91817E" w14:textId="77777777" w:rsidR="004A773C" w:rsidRPr="00FD10E9" w:rsidRDefault="004A773C" w:rsidP="004A773C">
      <w:pPr>
        <w:autoSpaceDE w:val="0"/>
        <w:autoSpaceDN w:val="0"/>
        <w:adjustRightInd w:val="0"/>
        <w:ind w:hanging="567"/>
        <w:rPr>
          <w:b/>
        </w:rPr>
      </w:pPr>
      <w:r w:rsidRPr="00FD10E9">
        <w:rPr>
          <w:b/>
        </w:rPr>
        <w:t xml:space="preserve">11.   </w:t>
      </w:r>
      <w:r w:rsidRPr="00FD10E9">
        <w:rPr>
          <w:b/>
        </w:rPr>
        <w:tab/>
        <w:t>Şerefiye ve diğer maddi olmayan duran varlıklara ilişkin açıklamalar</w:t>
      </w:r>
    </w:p>
    <w:p w14:paraId="4821BCF4" w14:textId="77777777" w:rsidR="004A773C" w:rsidRPr="00FD10E9" w:rsidRDefault="004A773C" w:rsidP="004A773C">
      <w:pPr>
        <w:pStyle w:val="BodyTextIndent"/>
        <w:ind w:left="0" w:firstLine="0"/>
        <w:jc w:val="left"/>
        <w:rPr>
          <w:sz w:val="10"/>
          <w:szCs w:val="16"/>
        </w:rPr>
      </w:pPr>
    </w:p>
    <w:p w14:paraId="515AB1FC" w14:textId="77777777" w:rsidR="004A773C" w:rsidRPr="00FD10E9" w:rsidRDefault="004A773C" w:rsidP="004A773C">
      <w:pPr>
        <w:pStyle w:val="BodyTextIndent"/>
        <w:ind w:left="0" w:firstLine="0"/>
        <w:rPr>
          <w:color w:val="000000"/>
          <w:lang w:eastAsia="en-US"/>
        </w:rPr>
      </w:pPr>
      <w:r w:rsidRPr="00FD10E9">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1F6AE61E" w14:textId="77777777" w:rsidR="004A773C" w:rsidRPr="00FD10E9" w:rsidRDefault="004A773C" w:rsidP="004A773C">
      <w:pPr>
        <w:pStyle w:val="BodyTextIndent"/>
        <w:ind w:left="0" w:firstLine="0"/>
        <w:rPr>
          <w:sz w:val="10"/>
          <w:szCs w:val="16"/>
        </w:rPr>
      </w:pPr>
    </w:p>
    <w:p w14:paraId="630AD102" w14:textId="77777777" w:rsidR="004A773C" w:rsidRPr="00FD10E9" w:rsidRDefault="004A773C" w:rsidP="004A773C">
      <w:pPr>
        <w:autoSpaceDE w:val="0"/>
        <w:autoSpaceDN w:val="0"/>
        <w:adjustRightInd w:val="0"/>
        <w:jc w:val="both"/>
        <w:rPr>
          <w:color w:val="000000"/>
        </w:rPr>
      </w:pPr>
      <w:r w:rsidRPr="00FD10E9">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10117D6" w14:textId="77777777" w:rsidR="004A773C" w:rsidRPr="00FD10E9" w:rsidRDefault="004A773C" w:rsidP="004A773C">
      <w:pPr>
        <w:pStyle w:val="BodyTextIndent"/>
        <w:ind w:left="0" w:firstLine="0"/>
        <w:rPr>
          <w:color w:val="000000"/>
          <w:lang w:eastAsia="en-US"/>
        </w:rPr>
      </w:pPr>
    </w:p>
    <w:p w14:paraId="72C78A35" w14:textId="77777777" w:rsidR="004A773C" w:rsidRPr="00FD10E9" w:rsidRDefault="004A773C" w:rsidP="004A773C">
      <w:pPr>
        <w:tabs>
          <w:tab w:val="left" w:pos="142"/>
        </w:tabs>
        <w:autoSpaceDE w:val="0"/>
        <w:autoSpaceDN w:val="0"/>
        <w:adjustRightInd w:val="0"/>
        <w:ind w:hanging="567"/>
        <w:rPr>
          <w:b/>
        </w:rPr>
      </w:pPr>
      <w:r w:rsidRPr="00FD10E9">
        <w:rPr>
          <w:b/>
        </w:rPr>
        <w:t>12.</w:t>
      </w:r>
      <w:r w:rsidRPr="00FD10E9">
        <w:t xml:space="preserve">   </w:t>
      </w:r>
      <w:r w:rsidRPr="00FD10E9">
        <w:tab/>
      </w:r>
      <w:r w:rsidRPr="00FD10E9">
        <w:rPr>
          <w:b/>
        </w:rPr>
        <w:t xml:space="preserve">Maddi duran varlıklara ilişkin açıklamalar </w:t>
      </w:r>
    </w:p>
    <w:p w14:paraId="6C0E07EA" w14:textId="77777777" w:rsidR="004A773C" w:rsidRPr="00FD10E9" w:rsidRDefault="004A773C" w:rsidP="004A773C">
      <w:pPr>
        <w:autoSpaceDE w:val="0"/>
        <w:autoSpaceDN w:val="0"/>
        <w:adjustRightInd w:val="0"/>
        <w:rPr>
          <w:sz w:val="16"/>
          <w:szCs w:val="16"/>
        </w:rPr>
      </w:pPr>
    </w:p>
    <w:p w14:paraId="7152952A" w14:textId="77777777" w:rsidR="004A773C" w:rsidRPr="00FD10E9" w:rsidRDefault="004A773C" w:rsidP="004A773C">
      <w:pPr>
        <w:pStyle w:val="BodyText3"/>
        <w:jc w:val="both"/>
        <w:rPr>
          <w:i w:val="0"/>
          <w:iCs w:val="0"/>
          <w:sz w:val="20"/>
        </w:rPr>
      </w:pPr>
      <w:r w:rsidRPr="00FD10E9">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08316186" w14:textId="77777777" w:rsidR="004A773C" w:rsidRPr="00FD10E9" w:rsidRDefault="004A773C" w:rsidP="004A773C">
      <w:pPr>
        <w:autoSpaceDE w:val="0"/>
        <w:autoSpaceDN w:val="0"/>
        <w:adjustRightInd w:val="0"/>
        <w:jc w:val="both"/>
        <w:rPr>
          <w:sz w:val="16"/>
          <w:szCs w:val="16"/>
        </w:rPr>
      </w:pPr>
    </w:p>
    <w:p w14:paraId="69770F7E" w14:textId="77777777" w:rsidR="004A773C" w:rsidRPr="00FD10E9" w:rsidRDefault="004A773C" w:rsidP="004A773C">
      <w:pPr>
        <w:jc w:val="both"/>
      </w:pPr>
      <w:r w:rsidRPr="00FD10E9">
        <w:t>Amortisman, maddi duran varlıklar için doğrusal amortisman metoduyla varlıkların tahmini faydalı ömürleri dikkate alınarak ayrılmakta olup, kullanılan oranlar aşağıdaki gibidir:</w:t>
      </w:r>
    </w:p>
    <w:p w14:paraId="179A4F5C" w14:textId="77777777" w:rsidR="004A773C" w:rsidRPr="00FD10E9" w:rsidRDefault="004A773C" w:rsidP="004A773C">
      <w:pPr>
        <w:tabs>
          <w:tab w:val="right" w:pos="9000"/>
        </w:tabs>
        <w:autoSpaceDE w:val="0"/>
        <w:autoSpaceDN w:val="0"/>
        <w:adjustRightInd w:val="0"/>
        <w:jc w:val="both"/>
        <w:rPr>
          <w:sz w:val="16"/>
          <w:szCs w:val="16"/>
        </w:rPr>
      </w:pPr>
    </w:p>
    <w:p w14:paraId="15E33632" w14:textId="77777777" w:rsidR="004A773C" w:rsidRPr="00FD10E9" w:rsidRDefault="004A773C" w:rsidP="004A773C">
      <w:pPr>
        <w:tabs>
          <w:tab w:val="right" w:pos="9000"/>
        </w:tabs>
        <w:autoSpaceDE w:val="0"/>
        <w:autoSpaceDN w:val="0"/>
        <w:adjustRightInd w:val="0"/>
        <w:ind w:hanging="426"/>
        <w:jc w:val="right"/>
      </w:pPr>
      <w:r w:rsidRPr="00FD10E9">
        <w:t>Gayrimenkuller</w:t>
      </w:r>
      <w:r w:rsidRPr="00FD10E9">
        <w:tab/>
        <w:t>%2</w:t>
      </w:r>
    </w:p>
    <w:p w14:paraId="48A2D15D" w14:textId="77777777" w:rsidR="004A773C" w:rsidRPr="00FD10E9" w:rsidRDefault="004A773C" w:rsidP="004A773C">
      <w:pPr>
        <w:tabs>
          <w:tab w:val="right" w:pos="9000"/>
        </w:tabs>
        <w:autoSpaceDE w:val="0"/>
        <w:autoSpaceDN w:val="0"/>
        <w:adjustRightInd w:val="0"/>
        <w:ind w:hanging="426"/>
        <w:jc w:val="right"/>
      </w:pPr>
      <w:r w:rsidRPr="00FD10E9">
        <w:t>Menkuller, finansal kiralama ile edinilen menkuller</w:t>
      </w:r>
      <w:r w:rsidRPr="00FD10E9">
        <w:tab/>
        <w:t>%6.</w:t>
      </w:r>
      <w:proofErr w:type="gramStart"/>
      <w:r w:rsidRPr="00FD10E9">
        <w:t>67 -</w:t>
      </w:r>
      <w:proofErr w:type="gramEnd"/>
      <w:r w:rsidRPr="00FD10E9">
        <w:t xml:space="preserve"> %20</w:t>
      </w:r>
    </w:p>
    <w:p w14:paraId="2946B547" w14:textId="77777777" w:rsidR="004A773C" w:rsidRPr="00FD10E9" w:rsidRDefault="004A773C" w:rsidP="004A773C">
      <w:pPr>
        <w:jc w:val="both"/>
        <w:rPr>
          <w:sz w:val="16"/>
          <w:szCs w:val="16"/>
        </w:rPr>
      </w:pPr>
    </w:p>
    <w:p w14:paraId="18A52C21" w14:textId="77777777" w:rsidR="004A773C" w:rsidRPr="00FD10E9" w:rsidRDefault="004A773C" w:rsidP="004A773C">
      <w:pPr>
        <w:jc w:val="both"/>
      </w:pPr>
      <w:r w:rsidRPr="00FD10E9">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139A9E78" w14:textId="77777777" w:rsidR="004A773C" w:rsidRPr="00FD10E9" w:rsidRDefault="004A773C" w:rsidP="004A773C">
      <w:pPr>
        <w:jc w:val="both"/>
      </w:pPr>
    </w:p>
    <w:p w14:paraId="2DBE2914" w14:textId="77777777" w:rsidR="004A773C" w:rsidRPr="00FD10E9" w:rsidRDefault="004A773C" w:rsidP="004A773C">
      <w:pPr>
        <w:jc w:val="both"/>
      </w:pPr>
      <w:r w:rsidRPr="00FD10E9">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733AA2AE" w14:textId="156647F7" w:rsidR="00717AB5" w:rsidRDefault="00717AB5">
      <w:pPr>
        <w:rPr>
          <w:sz w:val="16"/>
          <w:szCs w:val="16"/>
        </w:rPr>
      </w:pPr>
      <w:r>
        <w:rPr>
          <w:sz w:val="16"/>
          <w:szCs w:val="16"/>
        </w:rPr>
        <w:br w:type="page"/>
      </w:r>
    </w:p>
    <w:p w14:paraId="2B7FD2D1" w14:textId="77777777" w:rsidR="004A773C" w:rsidRPr="00FD10E9" w:rsidRDefault="004A773C" w:rsidP="004A773C">
      <w:pPr>
        <w:autoSpaceDE w:val="0"/>
        <w:autoSpaceDN w:val="0"/>
        <w:adjustRightInd w:val="0"/>
        <w:jc w:val="both"/>
        <w:rPr>
          <w:b/>
        </w:rPr>
      </w:pPr>
      <w:r w:rsidRPr="00FD10E9">
        <w:lastRenderedPageBreak/>
        <w:t>Maddi duran varlıkların elden çıkarılmasından kaynaklanan kar veya zarar, net elden çıkarma hasılatı ile ilgili maddi duran varlığın net defter değerinin farkı olarak gelir tablosuna yansıtılmaktadır.</w:t>
      </w:r>
    </w:p>
    <w:p w14:paraId="61C75B17" w14:textId="77777777" w:rsidR="004A773C" w:rsidRPr="00FD10E9" w:rsidRDefault="004A773C" w:rsidP="004A773C">
      <w:pPr>
        <w:pStyle w:val="BodyTextIndent"/>
        <w:ind w:left="0" w:firstLine="0"/>
        <w:rPr>
          <w:sz w:val="16"/>
          <w:szCs w:val="16"/>
        </w:rPr>
      </w:pPr>
    </w:p>
    <w:p w14:paraId="37FE5FEA" w14:textId="77777777" w:rsidR="004A773C" w:rsidRPr="00FD10E9" w:rsidRDefault="004A773C" w:rsidP="004A773C">
      <w:pPr>
        <w:pStyle w:val="BodyTextIndent"/>
        <w:ind w:left="0" w:firstLine="0"/>
      </w:pPr>
      <w:r w:rsidRPr="00FD10E9">
        <w:t>Maddi duran varlığın onarım maliyetlerinden varlığın ekonomik ömrünü uzatıcı nitelikte olanlar aktifleştirilmekte, diğer onarım maliyetleri ise gider olarak kayıtlara yansıtılmaktadır.</w:t>
      </w:r>
    </w:p>
    <w:p w14:paraId="34B276B0" w14:textId="77777777" w:rsidR="004A773C" w:rsidRPr="00FD10E9" w:rsidRDefault="004A773C" w:rsidP="004A773C">
      <w:pPr>
        <w:pStyle w:val="BodyTextIndent"/>
        <w:ind w:left="0" w:firstLine="0"/>
      </w:pPr>
      <w:r w:rsidRPr="00FD10E9">
        <w:br/>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proofErr w:type="gramStart"/>
      <w:r w:rsidRPr="00FD10E9">
        <w:t>uzatan,varlığın</w:t>
      </w:r>
      <w:proofErr w:type="spellEnd"/>
      <w:proofErr w:type="gramEnd"/>
      <w:r w:rsidRPr="00FD10E9">
        <w:t xml:space="preserve"> hizmet kapasitesini artıran, üretilen mal veya hizmetin kalitesini artıran veya maliyetini azaltan giderler gibi maliyet unsurlarından oluşmaktadır.</w:t>
      </w:r>
    </w:p>
    <w:p w14:paraId="3D80203E" w14:textId="77777777" w:rsidR="004A773C" w:rsidRPr="00FD10E9" w:rsidRDefault="004A773C" w:rsidP="004A773C">
      <w:pPr>
        <w:pStyle w:val="BodyTextIndent"/>
        <w:ind w:left="0" w:firstLine="0"/>
        <w:rPr>
          <w:sz w:val="16"/>
          <w:szCs w:val="16"/>
        </w:rPr>
      </w:pPr>
    </w:p>
    <w:p w14:paraId="7761D059" w14:textId="77777777" w:rsidR="004A773C" w:rsidRPr="00FD10E9" w:rsidRDefault="004A773C" w:rsidP="004A773C">
      <w:pPr>
        <w:pStyle w:val="BodyTextIndent"/>
        <w:ind w:left="0" w:firstLine="0"/>
      </w:pPr>
      <w:r w:rsidRPr="00FD10E9">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7E82E0C3" w14:textId="77777777" w:rsidR="004A773C" w:rsidRPr="00FD10E9" w:rsidRDefault="004A773C" w:rsidP="004A773C">
      <w:pPr>
        <w:pStyle w:val="BodyTextIndent"/>
        <w:ind w:left="0" w:firstLine="0"/>
        <w:rPr>
          <w:b/>
          <w:sz w:val="16"/>
          <w:szCs w:val="16"/>
        </w:rPr>
      </w:pPr>
    </w:p>
    <w:p w14:paraId="7DF5918C" w14:textId="77777777" w:rsidR="004A773C" w:rsidRPr="00FD10E9" w:rsidRDefault="004A773C" w:rsidP="004A773C">
      <w:pPr>
        <w:ind w:hanging="567"/>
        <w:rPr>
          <w:b/>
        </w:rPr>
      </w:pPr>
      <w:r w:rsidRPr="00FD10E9">
        <w:rPr>
          <w:b/>
        </w:rPr>
        <w:t xml:space="preserve">13.   </w:t>
      </w:r>
      <w:r w:rsidRPr="00FD10E9">
        <w:rPr>
          <w:b/>
        </w:rPr>
        <w:tab/>
        <w:t>Kiralama işlemlerine ilişkin açıklamalar</w:t>
      </w:r>
    </w:p>
    <w:p w14:paraId="50DD99AD" w14:textId="77777777" w:rsidR="004A773C" w:rsidRPr="00FD10E9" w:rsidRDefault="004A773C" w:rsidP="004A773C">
      <w:pPr>
        <w:rPr>
          <w:i/>
          <w:sz w:val="16"/>
          <w:szCs w:val="16"/>
        </w:rPr>
      </w:pPr>
    </w:p>
    <w:p w14:paraId="605D5863" w14:textId="77777777" w:rsidR="004A773C" w:rsidRPr="00FD10E9" w:rsidRDefault="004A773C" w:rsidP="004A773C">
      <w:pPr>
        <w:pStyle w:val="BodyText3"/>
        <w:jc w:val="both"/>
        <w:rPr>
          <w:i w:val="0"/>
          <w:sz w:val="20"/>
        </w:rPr>
      </w:pPr>
      <w:r w:rsidRPr="00FD10E9">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7814C64C" w14:textId="77777777" w:rsidR="004A773C" w:rsidRPr="00FD10E9" w:rsidRDefault="004A773C" w:rsidP="004A773C">
      <w:pPr>
        <w:pStyle w:val="BodyText3"/>
        <w:jc w:val="both"/>
        <w:rPr>
          <w:i w:val="0"/>
          <w:sz w:val="20"/>
        </w:rPr>
      </w:pPr>
    </w:p>
    <w:p w14:paraId="500846DF" w14:textId="77777777" w:rsidR="004A773C" w:rsidRPr="00FD10E9" w:rsidRDefault="004A773C" w:rsidP="004A773C">
      <w:pPr>
        <w:pStyle w:val="BodyText3"/>
        <w:jc w:val="both"/>
        <w:rPr>
          <w:i w:val="0"/>
          <w:sz w:val="20"/>
        </w:rPr>
      </w:pPr>
      <w:r w:rsidRPr="00FD10E9">
        <w:rPr>
          <w:i w:val="0"/>
          <w:sz w:val="20"/>
        </w:rPr>
        <w:t>(a) Kiralanan varlığının kullanımından sağlanacak ekonomik yararların tamamına yakınını elde etme hakkı ve</w:t>
      </w:r>
    </w:p>
    <w:p w14:paraId="6893BD30" w14:textId="77777777" w:rsidR="004A773C" w:rsidRPr="00FD10E9" w:rsidRDefault="004A773C" w:rsidP="004A773C">
      <w:pPr>
        <w:pStyle w:val="BodyText3"/>
        <w:jc w:val="both"/>
        <w:rPr>
          <w:i w:val="0"/>
          <w:sz w:val="20"/>
        </w:rPr>
      </w:pPr>
      <w:r w:rsidRPr="00FD10E9">
        <w:rPr>
          <w:i w:val="0"/>
          <w:sz w:val="20"/>
        </w:rPr>
        <w:t xml:space="preserve">(b) Kiralanan varlığın kullanımını yönetme hakkının olup olmadığını değerlendirerek belirlemiştir. </w:t>
      </w:r>
    </w:p>
    <w:p w14:paraId="06CDD506" w14:textId="77777777" w:rsidR="004A773C" w:rsidRPr="00FD10E9" w:rsidRDefault="004A773C" w:rsidP="004A773C">
      <w:pPr>
        <w:pStyle w:val="BodyText3"/>
        <w:jc w:val="both"/>
        <w:rPr>
          <w:i w:val="0"/>
          <w:sz w:val="20"/>
        </w:rPr>
      </w:pPr>
    </w:p>
    <w:p w14:paraId="217200F4" w14:textId="77777777" w:rsidR="004A773C" w:rsidRPr="00FD10E9" w:rsidRDefault="004A773C" w:rsidP="004A773C">
      <w:pPr>
        <w:pStyle w:val="BodyText3"/>
        <w:jc w:val="both"/>
        <w:rPr>
          <w:i w:val="0"/>
          <w:sz w:val="20"/>
        </w:rPr>
      </w:pPr>
      <w:r w:rsidRPr="00FD10E9">
        <w:rPr>
          <w:i w:val="0"/>
          <w:sz w:val="20"/>
        </w:rPr>
        <w:t xml:space="preserve">Banka, TFRS 16 standardının ilk uygulama tarihi olan 1 Ocak 2019 tarihinden itibaren TFRS </w:t>
      </w:r>
      <w:proofErr w:type="gramStart"/>
      <w:r w:rsidRPr="00FD10E9">
        <w:rPr>
          <w:i w:val="0"/>
          <w:sz w:val="20"/>
        </w:rPr>
        <w:t>16 -</w:t>
      </w:r>
      <w:proofErr w:type="gramEnd"/>
      <w:r w:rsidRPr="00FD10E9">
        <w:rPr>
          <w:i w:val="0"/>
          <w:sz w:val="20"/>
        </w:rPr>
        <w:t xml:space="preserve"> Kiralamalar standardını uygulamaya başlamıştır. TFRS 16 “Kiralamalar” standardına geçiş tarihi olan 1 Ocak 2019 itibarıyla kira yükümlülüğünü o tarihte ödenmemiş olan kira ödemelerinin bugünkü değeri üzerinden ölçülmüştür. Kira ödemeleri, Banka’nın alternatif borçlanma </w:t>
      </w:r>
      <w:proofErr w:type="gramStart"/>
      <w:r w:rsidRPr="00FD10E9">
        <w:rPr>
          <w:i w:val="0"/>
          <w:sz w:val="20"/>
        </w:rPr>
        <w:t>kar</w:t>
      </w:r>
      <w:proofErr w:type="gramEnd"/>
      <w:r w:rsidRPr="00FD10E9">
        <w:rPr>
          <w:i w:val="0"/>
          <w:sz w:val="20"/>
        </w:rPr>
        <w:t xml:space="preserve"> payı oranını kullanılarak </w:t>
      </w:r>
      <w:proofErr w:type="spellStart"/>
      <w:r w:rsidRPr="00FD10E9">
        <w:rPr>
          <w:i w:val="0"/>
          <w:sz w:val="20"/>
        </w:rPr>
        <w:t>iskonto</w:t>
      </w:r>
      <w:proofErr w:type="spellEnd"/>
      <w:r w:rsidRPr="00FD10E9">
        <w:rPr>
          <w:i w:val="0"/>
          <w:sz w:val="20"/>
        </w:rPr>
        <w:t xml:space="preserve"> edilmiştir. Banka kullanım hakkı varlıklarını, önceden ödenmiş veya tahakkuk etmiş kiralama ödemeleri düzeltilerek, kiralama yükümlülüğüne eşit olarak muhasebeleştirmiştir. </w:t>
      </w:r>
    </w:p>
    <w:p w14:paraId="2D9B45D7" w14:textId="77777777" w:rsidR="004A773C" w:rsidRPr="00FD10E9" w:rsidRDefault="004A773C" w:rsidP="004A773C">
      <w:pPr>
        <w:jc w:val="both"/>
        <w:rPr>
          <w:b/>
        </w:rPr>
      </w:pPr>
    </w:p>
    <w:p w14:paraId="38D32199" w14:textId="77777777" w:rsidR="004A773C" w:rsidRPr="00FD10E9" w:rsidRDefault="004A773C" w:rsidP="004A773C">
      <w:pPr>
        <w:jc w:val="both"/>
        <w:rPr>
          <w:b/>
        </w:rPr>
      </w:pPr>
      <w:r w:rsidRPr="00FD10E9">
        <w:rPr>
          <w:b/>
        </w:rPr>
        <w:t>Kullanım hakkı varlığı</w:t>
      </w:r>
    </w:p>
    <w:p w14:paraId="16BCB1EB" w14:textId="77777777" w:rsidR="004A773C" w:rsidRPr="00FD10E9" w:rsidRDefault="004A773C" w:rsidP="004A773C">
      <w:pPr>
        <w:jc w:val="both"/>
        <w:rPr>
          <w:b/>
        </w:rPr>
      </w:pPr>
    </w:p>
    <w:p w14:paraId="600234D9" w14:textId="77777777" w:rsidR="004A773C" w:rsidRPr="00FD10E9" w:rsidRDefault="004A773C" w:rsidP="004A773C">
      <w:pPr>
        <w:jc w:val="both"/>
      </w:pPr>
      <w:r w:rsidRPr="00FD10E9">
        <w:t>Banka, kiralamanın fiilen başladığı tarihte finansal tablolarına bir kullanım hakkı varlığı ve bir kira yükümlülüğü yansıtır.</w:t>
      </w:r>
    </w:p>
    <w:p w14:paraId="4FB256AD" w14:textId="77777777" w:rsidR="004A773C" w:rsidRPr="00FD10E9" w:rsidRDefault="004A773C" w:rsidP="004A773C">
      <w:pPr>
        <w:jc w:val="both"/>
      </w:pPr>
    </w:p>
    <w:p w14:paraId="07B40FA1" w14:textId="77777777" w:rsidR="004A773C" w:rsidRPr="00FD10E9" w:rsidRDefault="004A773C" w:rsidP="004A773C">
      <w:pPr>
        <w:jc w:val="both"/>
      </w:pPr>
      <w:r w:rsidRPr="00FD10E9">
        <w:t>Kullanım hakkı varlığı ilk olarak maliyet yöntemiyle muhasebeleştirilir ve aşağıdakileri içerir:</w:t>
      </w:r>
    </w:p>
    <w:p w14:paraId="21C852BB" w14:textId="77777777" w:rsidR="004A773C" w:rsidRPr="00FD10E9" w:rsidRDefault="004A773C" w:rsidP="004A773C">
      <w:pPr>
        <w:jc w:val="both"/>
        <w:rPr>
          <w:b/>
        </w:rPr>
      </w:pPr>
    </w:p>
    <w:p w14:paraId="1D1A8F1A" w14:textId="77777777" w:rsidR="004A773C" w:rsidRPr="00FD10E9" w:rsidRDefault="004A773C" w:rsidP="004A773C">
      <w:pPr>
        <w:jc w:val="both"/>
      </w:pPr>
      <w:r w:rsidRPr="00FD10E9">
        <w:t>(a) Kira yükümlülüğünün ilk ölçüm tutarı,</w:t>
      </w:r>
    </w:p>
    <w:p w14:paraId="1EF090A5" w14:textId="77777777" w:rsidR="004A773C" w:rsidRPr="00FD10E9" w:rsidRDefault="004A773C" w:rsidP="004A773C">
      <w:pPr>
        <w:jc w:val="both"/>
      </w:pPr>
      <w:r w:rsidRPr="00FD10E9">
        <w:t>(b) Kiralamanın fiilen başladığı tarihte veya öncesinde yapılan tüm kira ödemelerinden alınan tüm kiralama teşviklerinin düşülmesiyle elde edilen tutar,</w:t>
      </w:r>
    </w:p>
    <w:p w14:paraId="0DE9C643" w14:textId="77777777" w:rsidR="004A773C" w:rsidRPr="00FD10E9" w:rsidRDefault="004A773C" w:rsidP="004A773C">
      <w:pPr>
        <w:jc w:val="both"/>
      </w:pPr>
    </w:p>
    <w:p w14:paraId="5C67B448" w14:textId="77777777" w:rsidR="004A773C" w:rsidRPr="00FD10E9" w:rsidRDefault="004A773C" w:rsidP="004A773C">
      <w:pPr>
        <w:jc w:val="both"/>
      </w:pPr>
      <w:r w:rsidRPr="00FD10E9">
        <w:t>Banka maliyet yöntemini uygularken, kullanım hakkı varlığını:</w:t>
      </w:r>
    </w:p>
    <w:p w14:paraId="117C13FD" w14:textId="77777777" w:rsidR="004A773C" w:rsidRPr="00FD10E9" w:rsidRDefault="004A773C" w:rsidP="004A773C">
      <w:pPr>
        <w:jc w:val="both"/>
      </w:pPr>
      <w:r w:rsidRPr="00FD10E9">
        <w:t>(a) Birikmiş amortisman ve birikmiş değer düşüklüğü zararları düşülmüş ve</w:t>
      </w:r>
    </w:p>
    <w:p w14:paraId="60177E9D" w14:textId="77777777" w:rsidR="004A773C" w:rsidRPr="00FD10E9" w:rsidRDefault="004A773C" w:rsidP="004A773C">
      <w:pPr>
        <w:jc w:val="both"/>
      </w:pPr>
      <w:r w:rsidRPr="00FD10E9">
        <w:t>(b) kira yükümlülüğünün yeniden ölçümüne göre düzeltilmiş maliyeti üzerinden ölçer.</w:t>
      </w:r>
    </w:p>
    <w:p w14:paraId="00614599" w14:textId="77777777" w:rsidR="004A773C" w:rsidRPr="00FD10E9" w:rsidRDefault="004A773C" w:rsidP="004A773C">
      <w:pPr>
        <w:jc w:val="both"/>
      </w:pPr>
      <w:r w:rsidRPr="00FD10E9">
        <w:t xml:space="preserve">Banka, kullanım hakkı varlığını amortismana tabi tutarken TMS 16 Maddi Duran </w:t>
      </w:r>
      <w:proofErr w:type="spellStart"/>
      <w:r w:rsidRPr="00FD10E9">
        <w:t>Varlıklar’da</w:t>
      </w:r>
      <w:proofErr w:type="spellEnd"/>
      <w:r w:rsidRPr="00FD10E9">
        <w:t xml:space="preserve"> yer alan amortisman hükümlerini uygular. </w:t>
      </w:r>
    </w:p>
    <w:p w14:paraId="2EB7BC06" w14:textId="77777777" w:rsidR="004A773C" w:rsidRPr="00FD10E9" w:rsidRDefault="004A773C" w:rsidP="004A773C">
      <w:pPr>
        <w:jc w:val="both"/>
      </w:pPr>
    </w:p>
    <w:p w14:paraId="59B509EC" w14:textId="77777777" w:rsidR="004A773C" w:rsidRPr="00FD10E9" w:rsidRDefault="004A773C" w:rsidP="004A773C">
      <w:pPr>
        <w:jc w:val="both"/>
        <w:rPr>
          <w:b/>
        </w:rPr>
      </w:pPr>
      <w:r w:rsidRPr="00FD10E9">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FD10E9">
        <w:t>Düşüklüğü’nü</w:t>
      </w:r>
      <w:proofErr w:type="spellEnd"/>
      <w:r w:rsidRPr="00FD10E9">
        <w:t xml:space="preserve"> uygular.</w:t>
      </w:r>
    </w:p>
    <w:p w14:paraId="114A7F80" w14:textId="6CC99448" w:rsidR="004A773C" w:rsidRPr="00FD10E9" w:rsidRDefault="004A773C" w:rsidP="004A773C">
      <w:pPr>
        <w:jc w:val="both"/>
        <w:rPr>
          <w:b/>
        </w:rPr>
      </w:pPr>
    </w:p>
    <w:p w14:paraId="0C4A87B2" w14:textId="22445CC1" w:rsidR="00FD10E9" w:rsidRPr="00FD10E9" w:rsidRDefault="00FD10E9" w:rsidP="004A773C">
      <w:pPr>
        <w:jc w:val="both"/>
        <w:rPr>
          <w:b/>
        </w:rPr>
      </w:pPr>
    </w:p>
    <w:p w14:paraId="0107B64D" w14:textId="77777777" w:rsidR="00717AB5" w:rsidRDefault="00717AB5">
      <w:pPr>
        <w:rPr>
          <w:b/>
        </w:rPr>
      </w:pPr>
      <w:r>
        <w:rPr>
          <w:b/>
        </w:rPr>
        <w:br w:type="page"/>
      </w:r>
    </w:p>
    <w:p w14:paraId="720A0007" w14:textId="2588829E" w:rsidR="004A773C" w:rsidRPr="00FD10E9" w:rsidRDefault="004A773C" w:rsidP="004A773C">
      <w:pPr>
        <w:jc w:val="both"/>
        <w:rPr>
          <w:b/>
        </w:rPr>
      </w:pPr>
      <w:r w:rsidRPr="00FD10E9">
        <w:rPr>
          <w:b/>
        </w:rPr>
        <w:lastRenderedPageBreak/>
        <w:t>Kira yükümlülüğü</w:t>
      </w:r>
    </w:p>
    <w:p w14:paraId="04B00508" w14:textId="77777777" w:rsidR="004A773C" w:rsidRPr="00FD10E9" w:rsidRDefault="004A773C" w:rsidP="004A773C">
      <w:pPr>
        <w:jc w:val="both"/>
        <w:rPr>
          <w:b/>
        </w:rPr>
      </w:pPr>
    </w:p>
    <w:p w14:paraId="6FBDBA60" w14:textId="77777777" w:rsidR="004A773C" w:rsidRPr="00FD10E9" w:rsidRDefault="004A773C" w:rsidP="004A773C">
      <w:pPr>
        <w:jc w:val="both"/>
      </w:pPr>
      <w:r w:rsidRPr="00FD10E9">
        <w:t xml:space="preserve">Kiralamanın fiilen başladığı tarihte, Banka kira yükümlülüğünü o tarihte ödenmemiş olan kira ödemelerinin bugünkü değeri üzerinden ölçer. Kira ödemelerinin bugüne indirgenmesinde Banka’nın alternatif borçlanma </w:t>
      </w:r>
      <w:proofErr w:type="gramStart"/>
      <w:r w:rsidRPr="00FD10E9">
        <w:t>kar</w:t>
      </w:r>
      <w:proofErr w:type="gramEnd"/>
      <w:r w:rsidRPr="00FD10E9">
        <w:t xml:space="preserve"> payı oranını kullanılmıştır.</w:t>
      </w:r>
    </w:p>
    <w:p w14:paraId="5CA3F719" w14:textId="77777777" w:rsidR="004A773C" w:rsidRPr="00FD10E9" w:rsidRDefault="004A773C" w:rsidP="004A773C">
      <w:pPr>
        <w:jc w:val="both"/>
      </w:pPr>
    </w:p>
    <w:p w14:paraId="7DDEA85D" w14:textId="0973DD91" w:rsidR="004A773C" w:rsidRPr="00FD10E9" w:rsidRDefault="004A773C" w:rsidP="004A773C">
      <w:pPr>
        <w:jc w:val="both"/>
      </w:pPr>
      <w:r w:rsidRPr="00FD10E9">
        <w:t xml:space="preserve">Kiralama süresindeki her bir döneme ait kira yükümlülüğüne ilişkin </w:t>
      </w:r>
      <w:proofErr w:type="gramStart"/>
      <w:r w:rsidRPr="00FD10E9">
        <w:t>kar</w:t>
      </w:r>
      <w:proofErr w:type="gramEnd"/>
      <w:r w:rsidRPr="00FD10E9">
        <w:t xml:space="preserve"> payı, kira yükümlülüğünün kalan bakiyesine sabit bir dönemsel kar payı oranı uygulanarak bulunan tutardır. Dönemsel </w:t>
      </w:r>
      <w:proofErr w:type="gramStart"/>
      <w:r w:rsidRPr="00FD10E9">
        <w:t>kar</w:t>
      </w:r>
      <w:proofErr w:type="gramEnd"/>
      <w:r w:rsidRPr="00FD10E9">
        <w:t xml:space="preserve"> payı oranı Banka’nın alternatif borçlanma kar payı oranıdır.</w:t>
      </w:r>
    </w:p>
    <w:p w14:paraId="61EDEE3F" w14:textId="77777777" w:rsidR="004A773C" w:rsidRPr="00FD10E9" w:rsidRDefault="004A773C" w:rsidP="004A773C">
      <w:pPr>
        <w:jc w:val="both"/>
      </w:pPr>
      <w:r w:rsidRPr="00FD10E9">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7FD9C777" w14:textId="77777777" w:rsidR="004A773C" w:rsidRPr="00FD10E9" w:rsidRDefault="004A773C" w:rsidP="004A773C">
      <w:pPr>
        <w:jc w:val="both"/>
      </w:pPr>
    </w:p>
    <w:p w14:paraId="60C6259A" w14:textId="77777777" w:rsidR="004A773C" w:rsidRPr="00FD10E9" w:rsidRDefault="004A773C" w:rsidP="004A773C">
      <w:pPr>
        <w:jc w:val="both"/>
      </w:pPr>
      <w:r w:rsidRPr="00FD10E9">
        <w:t>Banka, aşağıdaki durumlardan birinin gerçekleşmesi halinde, kira yükümlülüğünü, revize edilmiş kira ödemelerini revize edilmiş bir ıskonto oranı üzerinden indirgeyerek yeniden ölçer.</w:t>
      </w:r>
    </w:p>
    <w:p w14:paraId="2C9D6B13" w14:textId="77777777" w:rsidR="004A773C" w:rsidRPr="00FD10E9" w:rsidRDefault="004A773C" w:rsidP="004A773C">
      <w:pPr>
        <w:autoSpaceDE w:val="0"/>
        <w:autoSpaceDN w:val="0"/>
        <w:adjustRightInd w:val="0"/>
        <w:ind w:hanging="567"/>
        <w:rPr>
          <w:b/>
        </w:rPr>
      </w:pPr>
    </w:p>
    <w:p w14:paraId="2E21817C" w14:textId="77777777" w:rsidR="004A773C" w:rsidRPr="00FD10E9" w:rsidRDefault="004A773C" w:rsidP="004A773C">
      <w:pPr>
        <w:autoSpaceDE w:val="0"/>
        <w:autoSpaceDN w:val="0"/>
        <w:adjustRightInd w:val="0"/>
        <w:ind w:hanging="567"/>
        <w:rPr>
          <w:b/>
        </w:rPr>
      </w:pPr>
      <w:r w:rsidRPr="00FD10E9">
        <w:rPr>
          <w:b/>
        </w:rPr>
        <w:t>14.</w:t>
      </w:r>
      <w:r w:rsidRPr="00FD10E9">
        <w:t xml:space="preserve">   </w:t>
      </w:r>
      <w:r w:rsidRPr="00FD10E9">
        <w:tab/>
      </w:r>
      <w:r w:rsidRPr="00FD10E9">
        <w:rPr>
          <w:b/>
        </w:rPr>
        <w:t xml:space="preserve">Karşılıklar ve koşullu yükümlülüklere ilişkin açıklamalar </w:t>
      </w:r>
    </w:p>
    <w:p w14:paraId="567133C2" w14:textId="77777777" w:rsidR="004A773C" w:rsidRPr="00FD10E9" w:rsidRDefault="004A773C" w:rsidP="004A773C">
      <w:pPr>
        <w:rPr>
          <w:rFonts w:eastAsia="Arial Unicode MS"/>
          <w:sz w:val="16"/>
          <w:szCs w:val="16"/>
        </w:rPr>
      </w:pPr>
    </w:p>
    <w:p w14:paraId="4FDB7EC7" w14:textId="77777777" w:rsidR="004A773C" w:rsidRPr="00FD10E9" w:rsidRDefault="004A773C" w:rsidP="004A773C">
      <w:pPr>
        <w:pStyle w:val="BodyTextIndent"/>
        <w:ind w:left="0" w:firstLine="0"/>
        <w:rPr>
          <w:rFonts w:eastAsia="Arial Unicode MS"/>
        </w:rPr>
      </w:pPr>
      <w:r w:rsidRPr="00FD10E9">
        <w:rPr>
          <w:rFonts w:eastAsia="Arial Unicode MS"/>
        </w:rPr>
        <w:t xml:space="preserve">Karşılıklar ve koşullu yükümlülükler “Karşılıklar, Koşullu Borçlar ve Koşullu Varlıklara İlişkin Türkiye Muhasebe </w:t>
      </w:r>
      <w:proofErr w:type="spellStart"/>
      <w:r w:rsidRPr="00FD10E9">
        <w:rPr>
          <w:rFonts w:eastAsia="Arial Unicode MS"/>
        </w:rPr>
        <w:t>Standardı”na</w:t>
      </w:r>
      <w:proofErr w:type="spellEnd"/>
      <w:r w:rsidRPr="00FD10E9">
        <w:rPr>
          <w:rFonts w:eastAsia="Arial Unicode MS"/>
        </w:rPr>
        <w:t xml:space="preserve"> (“TMS 37”) uygun olarak muhasebeleştirilmektedir. </w:t>
      </w:r>
    </w:p>
    <w:p w14:paraId="329B8850" w14:textId="77777777" w:rsidR="004A773C" w:rsidRPr="00FD10E9" w:rsidRDefault="004A773C" w:rsidP="004A773C">
      <w:pPr>
        <w:pStyle w:val="BodyTextIndent"/>
        <w:ind w:left="0" w:firstLine="0"/>
        <w:rPr>
          <w:rFonts w:eastAsia="Arial Unicode MS"/>
          <w:sz w:val="12"/>
          <w:szCs w:val="12"/>
        </w:rPr>
      </w:pPr>
    </w:p>
    <w:p w14:paraId="13C92DBF" w14:textId="77777777" w:rsidR="004A773C" w:rsidRPr="00FD10E9" w:rsidRDefault="004A773C" w:rsidP="004A773C">
      <w:pPr>
        <w:pStyle w:val="BodyTextIndent"/>
        <w:ind w:left="0" w:firstLine="0"/>
        <w:rPr>
          <w:rFonts w:eastAsia="Arial Unicode MS"/>
        </w:rPr>
      </w:pPr>
      <w:r w:rsidRPr="00FD10E9">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27ECB335" w14:textId="77777777" w:rsidR="004A773C" w:rsidRPr="00FD10E9" w:rsidRDefault="004A773C" w:rsidP="004A773C">
      <w:pPr>
        <w:pStyle w:val="BodyTextIndent"/>
        <w:ind w:left="0" w:firstLine="0"/>
        <w:rPr>
          <w:rFonts w:eastAsia="Arial Unicode MS"/>
          <w:sz w:val="12"/>
          <w:szCs w:val="12"/>
        </w:rPr>
      </w:pPr>
    </w:p>
    <w:p w14:paraId="3EA3C249" w14:textId="77777777" w:rsidR="004A773C" w:rsidRPr="00FD10E9" w:rsidRDefault="004A773C" w:rsidP="004A773C">
      <w:pPr>
        <w:pStyle w:val="BodyTextIndent"/>
        <w:ind w:left="0" w:firstLine="0"/>
        <w:rPr>
          <w:rFonts w:eastAsia="Arial Unicode MS"/>
        </w:rPr>
      </w:pPr>
      <w:r w:rsidRPr="00FD10E9">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2B612FAE" w14:textId="77777777" w:rsidR="004A773C" w:rsidRPr="00FD10E9" w:rsidRDefault="004A773C" w:rsidP="004A773C">
      <w:pPr>
        <w:pStyle w:val="BodyTextIndent"/>
        <w:ind w:left="0" w:firstLine="0"/>
        <w:rPr>
          <w:rFonts w:eastAsia="Arial Unicode MS"/>
          <w:sz w:val="12"/>
          <w:szCs w:val="12"/>
        </w:rPr>
      </w:pPr>
    </w:p>
    <w:p w14:paraId="4A6EF2CA" w14:textId="77777777" w:rsidR="004A773C" w:rsidRPr="00FD10E9" w:rsidRDefault="004A773C" w:rsidP="004A773C">
      <w:pPr>
        <w:pStyle w:val="BodyTextIndent"/>
        <w:ind w:left="0" w:firstLine="0"/>
      </w:pPr>
      <w:r w:rsidRPr="00FD10E9">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1D64FB4A" w14:textId="77777777" w:rsidR="004A773C" w:rsidRPr="00FD10E9" w:rsidRDefault="004A773C" w:rsidP="004A773C">
      <w:pPr>
        <w:pStyle w:val="BodyTextIndent"/>
        <w:ind w:left="0" w:firstLine="0"/>
      </w:pPr>
    </w:p>
    <w:p w14:paraId="4608F96F" w14:textId="77777777" w:rsidR="004A773C" w:rsidRPr="00FD10E9" w:rsidRDefault="004A773C" w:rsidP="004A773C">
      <w:pPr>
        <w:ind w:hanging="567"/>
        <w:rPr>
          <w:rFonts w:eastAsia="Arial Unicode MS"/>
          <w:b/>
        </w:rPr>
      </w:pPr>
      <w:r w:rsidRPr="00FD10E9">
        <w:rPr>
          <w:b/>
        </w:rPr>
        <w:t xml:space="preserve">15.   </w:t>
      </w:r>
      <w:r w:rsidRPr="00FD10E9">
        <w:rPr>
          <w:b/>
        </w:rPr>
        <w:tab/>
        <w:t>Çalışanların haklarına ilişkin yükümlülüklere ilişkin açıklamalar</w:t>
      </w:r>
    </w:p>
    <w:p w14:paraId="6155EFF6" w14:textId="77777777" w:rsidR="004A773C" w:rsidRPr="00FD10E9" w:rsidRDefault="004A773C" w:rsidP="004A773C">
      <w:pPr>
        <w:pStyle w:val="BodyTextIndent3"/>
        <w:spacing w:before="0" w:line="240" w:lineRule="auto"/>
        <w:ind w:firstLine="0"/>
        <w:jc w:val="left"/>
        <w:rPr>
          <w:sz w:val="16"/>
          <w:szCs w:val="16"/>
        </w:rPr>
      </w:pPr>
    </w:p>
    <w:p w14:paraId="38E3AC00" w14:textId="77777777" w:rsidR="004A773C" w:rsidRPr="00FD10E9" w:rsidRDefault="004A773C" w:rsidP="004A773C">
      <w:pPr>
        <w:pStyle w:val="BodyText3"/>
        <w:tabs>
          <w:tab w:val="clear" w:pos="539"/>
          <w:tab w:val="num" w:pos="709"/>
        </w:tabs>
        <w:ind w:right="183" w:hanging="567"/>
        <w:rPr>
          <w:b/>
          <w:bCs w:val="0"/>
          <w:i w:val="0"/>
          <w:iCs w:val="0"/>
          <w:sz w:val="20"/>
        </w:rPr>
      </w:pPr>
      <w:r w:rsidRPr="00FD10E9">
        <w:rPr>
          <w:b/>
          <w:bCs w:val="0"/>
          <w:i w:val="0"/>
          <w:iCs w:val="0"/>
          <w:sz w:val="20"/>
        </w:rPr>
        <w:t>15.1</w:t>
      </w:r>
      <w:r w:rsidRPr="00FD10E9">
        <w:rPr>
          <w:b/>
          <w:bCs w:val="0"/>
          <w:i w:val="0"/>
          <w:iCs w:val="0"/>
          <w:sz w:val="20"/>
        </w:rPr>
        <w:tab/>
        <w:t>Tanımlanmış fayda planları:</w:t>
      </w:r>
    </w:p>
    <w:p w14:paraId="114A4A9A" w14:textId="77777777" w:rsidR="004A773C" w:rsidRPr="00FD10E9" w:rsidRDefault="004A773C" w:rsidP="004A773C">
      <w:pPr>
        <w:pStyle w:val="BodyText3"/>
        <w:tabs>
          <w:tab w:val="clear" w:pos="539"/>
          <w:tab w:val="num" w:pos="540"/>
        </w:tabs>
        <w:ind w:right="183"/>
        <w:rPr>
          <w:b/>
          <w:bCs w:val="0"/>
          <w:i w:val="0"/>
          <w:iCs w:val="0"/>
          <w:sz w:val="12"/>
          <w:szCs w:val="12"/>
        </w:rPr>
      </w:pPr>
    </w:p>
    <w:p w14:paraId="6A1CBE2D" w14:textId="77777777" w:rsidR="004A773C" w:rsidRPr="00FD10E9" w:rsidRDefault="004A773C" w:rsidP="004A773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FD10E9">
        <w:rPr>
          <w:rFonts w:ascii="Times New Roman" w:eastAsia="Times New Roman" w:hAnsi="Times New Roman" w:cs="Times New Roman"/>
        </w:rPr>
        <w:t>Banka, mevcut iş kanunu gereğince, en az bir yıl hizmet verdikten sonra emeklilik</w:t>
      </w:r>
      <w:r w:rsidRPr="00FD10E9">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6BB8A215" w14:textId="77777777" w:rsidR="004A773C" w:rsidRPr="00FD10E9" w:rsidRDefault="004A773C" w:rsidP="004A773C">
      <w:pPr>
        <w:jc w:val="both"/>
        <w:rPr>
          <w:sz w:val="12"/>
          <w:szCs w:val="12"/>
        </w:rPr>
      </w:pPr>
    </w:p>
    <w:p w14:paraId="252EE263" w14:textId="77777777" w:rsidR="004A773C" w:rsidRPr="00FD10E9" w:rsidRDefault="004A773C" w:rsidP="004A773C">
      <w:pPr>
        <w:jc w:val="both"/>
      </w:pPr>
      <w:r w:rsidRPr="00FD10E9">
        <w:t xml:space="preserve">Banka, </w:t>
      </w:r>
      <w:r w:rsidRPr="00FD10E9">
        <w:rPr>
          <w:rFonts w:eastAsia="Arial Unicode MS"/>
        </w:rPr>
        <w:t xml:space="preserve">“Çalışanlara Sağlanan Faydalara İlişkin Türkiye Muhasebe Standardı” (“TMS 19”) hükümleri uyarınca </w:t>
      </w:r>
      <w:r w:rsidRPr="00FD10E9">
        <w:t xml:space="preserve">bağımsız bir aktüer şirket tarafından hesaplanan yükümlülük tutarını ilişikteki finansal tablolarına yansıtmıştır. Banka, tüm </w:t>
      </w:r>
      <w:proofErr w:type="spellStart"/>
      <w:r w:rsidRPr="00FD10E9">
        <w:t>aktüeryal</w:t>
      </w:r>
      <w:proofErr w:type="spellEnd"/>
      <w:r w:rsidRPr="00FD10E9">
        <w:t xml:space="preserve"> kayıp ve kazançlarını, diğer kapsamlı gelir tablosu altında muhasebeleştirmektedir.</w:t>
      </w:r>
    </w:p>
    <w:p w14:paraId="12AFB307" w14:textId="77777777" w:rsidR="004A773C" w:rsidRPr="00FD10E9" w:rsidRDefault="004A773C" w:rsidP="004A773C">
      <w:pPr>
        <w:pStyle w:val="BodyTextIndent3"/>
        <w:spacing w:before="0" w:line="240" w:lineRule="auto"/>
        <w:ind w:firstLine="0"/>
        <w:rPr>
          <w:rFonts w:eastAsia="Arial Unicode MS"/>
          <w:sz w:val="20"/>
        </w:rPr>
      </w:pPr>
      <w:r w:rsidRPr="00FD10E9">
        <w:rPr>
          <w:rFonts w:eastAsia="Arial Unicode MS"/>
          <w:sz w:val="12"/>
          <w:szCs w:val="12"/>
        </w:rPr>
        <w:br/>
      </w:r>
      <w:r w:rsidRPr="00FD10E9">
        <w:rPr>
          <w:rFonts w:eastAsia="Arial Unicode MS"/>
          <w:sz w:val="20"/>
        </w:rPr>
        <w:t>Banka çalışanlarının üyesi bulundukları vakıf, sandık ve benzeri kuruluşlar yoktur.</w:t>
      </w:r>
    </w:p>
    <w:p w14:paraId="1BE9A881" w14:textId="77777777" w:rsidR="004A773C" w:rsidRPr="00FD10E9" w:rsidRDefault="004A773C" w:rsidP="004A773C">
      <w:pPr>
        <w:pStyle w:val="BodyTextIndent3"/>
        <w:spacing w:before="0" w:line="240" w:lineRule="auto"/>
        <w:ind w:hanging="567"/>
        <w:jc w:val="left"/>
        <w:rPr>
          <w:rFonts w:eastAsia="Arial Unicode MS"/>
          <w:b/>
          <w:sz w:val="16"/>
          <w:szCs w:val="16"/>
        </w:rPr>
      </w:pPr>
    </w:p>
    <w:p w14:paraId="6DF21C40" w14:textId="77777777" w:rsidR="004A773C" w:rsidRPr="00FD10E9" w:rsidRDefault="004A773C" w:rsidP="004A773C">
      <w:pPr>
        <w:pStyle w:val="BodyTextIndent3"/>
        <w:spacing w:before="0" w:line="240" w:lineRule="auto"/>
        <w:ind w:hanging="567"/>
        <w:jc w:val="left"/>
        <w:rPr>
          <w:rFonts w:eastAsia="Arial Unicode MS"/>
          <w:b/>
          <w:sz w:val="20"/>
        </w:rPr>
      </w:pPr>
      <w:r w:rsidRPr="00FD10E9">
        <w:rPr>
          <w:rFonts w:eastAsia="Arial Unicode MS"/>
          <w:b/>
          <w:sz w:val="20"/>
        </w:rPr>
        <w:t>15.2</w:t>
      </w:r>
      <w:r w:rsidRPr="00FD10E9">
        <w:rPr>
          <w:rFonts w:eastAsia="Arial Unicode MS"/>
          <w:b/>
          <w:sz w:val="20"/>
        </w:rPr>
        <w:tab/>
        <w:t>Tanımlanmış katkı planları:</w:t>
      </w:r>
    </w:p>
    <w:p w14:paraId="7C32B6B6" w14:textId="77777777" w:rsidR="004A773C" w:rsidRPr="00FD10E9" w:rsidRDefault="004A773C" w:rsidP="004A773C">
      <w:pPr>
        <w:pStyle w:val="BodyTextIndent3"/>
        <w:spacing w:before="0" w:line="240" w:lineRule="auto"/>
        <w:ind w:firstLine="0"/>
        <w:jc w:val="left"/>
        <w:rPr>
          <w:rFonts w:eastAsia="Arial Unicode MS"/>
          <w:b/>
          <w:sz w:val="16"/>
        </w:rPr>
      </w:pPr>
    </w:p>
    <w:p w14:paraId="409860E0" w14:textId="7CE5C6D8" w:rsidR="004A773C" w:rsidRPr="00FD10E9" w:rsidRDefault="004A773C" w:rsidP="004A773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FD10E9">
        <w:rPr>
          <w:rFonts w:ascii="Times New Roman" w:eastAsia="Times New Roman" w:hAnsi="Times New Roman" w:cs="Times New Roman"/>
        </w:rPr>
        <w:t>Banka, çalışanları adına Sosyal Güvenlik Kurumu’na (</w:t>
      </w:r>
      <w:r w:rsidRPr="00FD10E9">
        <w:rPr>
          <w:rFonts w:ascii="Times New Roman" w:hAnsi="Times New Roman" w:cs="Times New Roman"/>
        </w:rPr>
        <w:t>“</w:t>
      </w:r>
      <w:r w:rsidRPr="00FD10E9">
        <w:rPr>
          <w:rFonts w:ascii="Times New Roman" w:eastAsia="Times New Roman" w:hAnsi="Times New Roman" w:cs="Times New Roman"/>
        </w:rPr>
        <w:t>Kurum</w:t>
      </w:r>
      <w:r w:rsidRPr="00FD10E9">
        <w:rPr>
          <w:rFonts w:ascii="Times New Roman" w:hAnsi="Times New Roman" w:cs="Times New Roman"/>
        </w:rPr>
        <w:t>”</w:t>
      </w:r>
      <w:r w:rsidRPr="00FD10E9">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4A3DE46C" w14:textId="4370EF5B" w:rsidR="00FD10E9" w:rsidRPr="00FD10E9" w:rsidRDefault="00FD10E9" w:rsidP="004A773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p>
    <w:p w14:paraId="3215B428" w14:textId="77777777" w:rsidR="004A773C" w:rsidRPr="00FD10E9" w:rsidRDefault="004A773C" w:rsidP="004A773C">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FD10E9">
        <w:rPr>
          <w:rFonts w:ascii="Times New Roman" w:eastAsia="Times New Roman" w:hAnsi="Times New Roman" w:cs="Times New Roman"/>
          <w:b/>
        </w:rPr>
        <w:t>15.3</w:t>
      </w:r>
      <w:r w:rsidRPr="00FD10E9">
        <w:rPr>
          <w:rFonts w:ascii="Times New Roman" w:eastAsia="Times New Roman" w:hAnsi="Times New Roman" w:cs="Times New Roman"/>
          <w:b/>
        </w:rPr>
        <w:tab/>
        <w:t>Çalışanlara sağlanan kısa vadeli faydalar:</w:t>
      </w:r>
    </w:p>
    <w:p w14:paraId="05AD41C5" w14:textId="77777777" w:rsidR="004A773C" w:rsidRPr="00FD10E9" w:rsidRDefault="004A773C" w:rsidP="004A773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62C0D0DF" w14:textId="77777777" w:rsidR="004A773C" w:rsidRPr="00FD10E9" w:rsidRDefault="004A773C" w:rsidP="004A773C">
      <w:pPr>
        <w:pStyle w:val="BodyTextIndent3"/>
        <w:spacing w:before="0" w:line="240" w:lineRule="auto"/>
        <w:ind w:firstLine="0"/>
        <w:rPr>
          <w:sz w:val="20"/>
        </w:rPr>
      </w:pPr>
      <w:r w:rsidRPr="00FD10E9">
        <w:rPr>
          <w:sz w:val="20"/>
        </w:rPr>
        <w:t xml:space="preserve">“TMS 19” kapsamında “Çalışanlara kısa vadeli faydalar” olarak tanımlanan izin tazminatlarından doğan yükümlülükler hak kazanıldıkları dönemlerde tahakkuk edilir. </w:t>
      </w:r>
    </w:p>
    <w:p w14:paraId="1A19DE98" w14:textId="77777777" w:rsidR="004A773C" w:rsidRPr="00FD10E9" w:rsidRDefault="004A773C" w:rsidP="004A773C">
      <w:pPr>
        <w:pStyle w:val="BodyTextIndent3"/>
        <w:spacing w:before="0" w:line="240" w:lineRule="auto"/>
        <w:ind w:firstLine="0"/>
        <w:rPr>
          <w:sz w:val="20"/>
        </w:rPr>
      </w:pPr>
    </w:p>
    <w:p w14:paraId="6D7D300D" w14:textId="77777777" w:rsidR="004A773C" w:rsidRPr="00FD10E9" w:rsidRDefault="004A773C" w:rsidP="004A773C">
      <w:pPr>
        <w:pStyle w:val="BodyTextIndent3"/>
        <w:spacing w:before="0" w:line="240" w:lineRule="auto"/>
        <w:ind w:firstLine="0"/>
        <w:rPr>
          <w:sz w:val="20"/>
        </w:rPr>
      </w:pPr>
      <w:r w:rsidRPr="00FD10E9">
        <w:rPr>
          <w:sz w:val="20"/>
        </w:rPr>
        <w:t>Banka yönetimi, Yönetim Kurulu tarafından onaylanmış yıl sonu bütçe hedeflerine ulaşılabileceğinin öngörüldüğü durumlarda performans prim karşılığı hesaplamaktadır.</w:t>
      </w:r>
    </w:p>
    <w:p w14:paraId="76A963D2" w14:textId="77777777" w:rsidR="004A773C" w:rsidRPr="00FD10E9" w:rsidRDefault="004A773C" w:rsidP="004A773C">
      <w:pPr>
        <w:pStyle w:val="BodyTextIndent3"/>
        <w:spacing w:before="0" w:line="240" w:lineRule="auto"/>
        <w:ind w:firstLine="0"/>
        <w:rPr>
          <w:rFonts w:eastAsia="Arial Unicode MS"/>
          <w:sz w:val="20"/>
        </w:rPr>
      </w:pPr>
    </w:p>
    <w:p w14:paraId="57EFEABB" w14:textId="77777777" w:rsidR="00717AB5" w:rsidRDefault="00717AB5">
      <w:pPr>
        <w:rPr>
          <w:rFonts w:eastAsia="Arial Unicode MS"/>
          <w:b/>
        </w:rPr>
      </w:pPr>
      <w:r>
        <w:rPr>
          <w:rFonts w:eastAsia="Arial Unicode MS"/>
          <w:b/>
        </w:rPr>
        <w:br w:type="page"/>
      </w:r>
    </w:p>
    <w:p w14:paraId="5B676E4B" w14:textId="1FE965B7" w:rsidR="004A773C" w:rsidRPr="00FD10E9" w:rsidRDefault="004A773C" w:rsidP="004A773C">
      <w:pPr>
        <w:autoSpaceDE w:val="0"/>
        <w:autoSpaceDN w:val="0"/>
        <w:adjustRightInd w:val="0"/>
        <w:ind w:hanging="567"/>
        <w:rPr>
          <w:b/>
        </w:rPr>
      </w:pPr>
      <w:r w:rsidRPr="00FD10E9">
        <w:rPr>
          <w:rFonts w:eastAsia="Arial Unicode MS"/>
          <w:b/>
        </w:rPr>
        <w:lastRenderedPageBreak/>
        <w:t>16.</w:t>
      </w:r>
      <w:r w:rsidRPr="00FD10E9">
        <w:rPr>
          <w:rFonts w:eastAsia="Arial Unicode MS"/>
        </w:rPr>
        <w:t xml:space="preserve">   </w:t>
      </w:r>
      <w:r w:rsidRPr="00FD10E9">
        <w:rPr>
          <w:rFonts w:eastAsia="Arial Unicode MS"/>
        </w:rPr>
        <w:tab/>
      </w:r>
      <w:r w:rsidRPr="00FD10E9">
        <w:rPr>
          <w:b/>
        </w:rPr>
        <w:t>Vergi uygulamalarına ilişkin açıklamalar</w:t>
      </w:r>
    </w:p>
    <w:p w14:paraId="29FF0897" w14:textId="77777777" w:rsidR="004A773C" w:rsidRPr="00FD10E9" w:rsidRDefault="004A773C" w:rsidP="004A773C">
      <w:pPr>
        <w:rPr>
          <w:sz w:val="16"/>
          <w:szCs w:val="16"/>
        </w:rPr>
      </w:pPr>
    </w:p>
    <w:p w14:paraId="37F95E6D" w14:textId="77777777" w:rsidR="004A773C" w:rsidRPr="00FD10E9" w:rsidRDefault="004A773C" w:rsidP="004A773C">
      <w:pPr>
        <w:pStyle w:val="Heading6"/>
        <w:ind w:left="0"/>
        <w:jc w:val="left"/>
        <w:rPr>
          <w:rFonts w:cs="Times New Roman"/>
          <w:b/>
          <w:bCs/>
          <w:i/>
          <w:iCs/>
          <w:u w:val="none"/>
        </w:rPr>
      </w:pPr>
      <w:r w:rsidRPr="00FD10E9">
        <w:rPr>
          <w:rFonts w:cs="Times New Roman"/>
          <w:b/>
          <w:bCs/>
          <w:i/>
          <w:iCs/>
          <w:u w:val="none"/>
        </w:rPr>
        <w:t>Cari vergi</w:t>
      </w:r>
    </w:p>
    <w:p w14:paraId="74A83FB4" w14:textId="77777777" w:rsidR="004A773C" w:rsidRPr="00FD10E9" w:rsidRDefault="004A773C" w:rsidP="004A773C">
      <w:pPr>
        <w:pStyle w:val="EndnoteText"/>
        <w:rPr>
          <w:sz w:val="16"/>
          <w:szCs w:val="16"/>
        </w:rPr>
      </w:pPr>
    </w:p>
    <w:p w14:paraId="75A0E0DC" w14:textId="77777777" w:rsidR="004A773C" w:rsidRPr="00FD10E9" w:rsidRDefault="004A773C" w:rsidP="004A773C">
      <w:pPr>
        <w:autoSpaceDE w:val="0"/>
        <w:autoSpaceDN w:val="0"/>
        <w:jc w:val="both"/>
      </w:pPr>
      <w:r w:rsidRPr="00FD10E9">
        <w:t xml:space="preserve">5520 sayılı Kanuna 7061 sayılı Kanunun 91 inci maddesiyle eklenen geçici 10 uncu madde hükmüne </w:t>
      </w:r>
      <w:proofErr w:type="gramStart"/>
      <w:r w:rsidRPr="00FD10E9">
        <w:t>göre  5520</w:t>
      </w:r>
      <w:proofErr w:type="gramEnd"/>
      <w:r w:rsidRPr="00FD10E9">
        <w:t xml:space="preserve"> Sayılı Kurumlar Vergisi Kanunu 32 </w:t>
      </w:r>
      <w:proofErr w:type="spellStart"/>
      <w:r w:rsidRPr="00FD10E9">
        <w:t>nci</w:t>
      </w:r>
      <w:proofErr w:type="spellEnd"/>
      <w:r w:rsidRPr="00FD10E9">
        <w:t xml:space="preserve"> maddesinin birinci fıkrasında yer alan %20 oranı, kurumların 2018, 2019 ve 2020 yılı vergilendirme dönemlerine (özel hesap dönemi tayin edilen kurumlar için ilgili yıl içinde başlayan hesap dönemlerine) ait kurum kazançları için %22 olarak uygulanacağı hüküm altına alınmıştır. Bakanlar Kurulu, birinci fıkrada yazılı %22 oranını %20 oranına kadar indirmeye yetkilidir.</w:t>
      </w:r>
    </w:p>
    <w:p w14:paraId="37DF5D85" w14:textId="77777777" w:rsidR="004A773C" w:rsidRPr="00FD10E9" w:rsidRDefault="004A773C" w:rsidP="004A773C">
      <w:pPr>
        <w:autoSpaceDE w:val="0"/>
        <w:autoSpaceDN w:val="0"/>
        <w:jc w:val="both"/>
        <w:rPr>
          <w:snapToGrid w:val="0"/>
          <w:color w:val="000000"/>
          <w:spacing w:val="-6"/>
          <w:sz w:val="16"/>
          <w:szCs w:val="16"/>
          <w:lang w:eastAsia="tr-TR"/>
        </w:rPr>
      </w:pPr>
    </w:p>
    <w:p w14:paraId="0F138C10" w14:textId="77777777" w:rsidR="004A773C" w:rsidRPr="00FD10E9" w:rsidRDefault="004A773C" w:rsidP="004A773C">
      <w:pPr>
        <w:autoSpaceDE w:val="0"/>
        <w:autoSpaceDN w:val="0"/>
        <w:jc w:val="both"/>
      </w:pPr>
      <w:r w:rsidRPr="00FD10E9">
        <w:t>Bu kapsamda, kurumlar vergisi mükelleflerinin 2018, 2019 ve 2020 hesap dönemlerine ait kurum kazançları üzerinden %22 oranında kurumlar vergisi alınacaktır. Ayrıca, söz konusu dönemlerde kurumlar vergisi mükelleflerince, anılan vergilendirme dönemlerinin kurumlar vergisine mahsup edilmek üzere Gelir Vergisi Kanunu’nda belirtilen esaslara göre %22 oranında geçici vergi ödenecektir.</w:t>
      </w:r>
    </w:p>
    <w:p w14:paraId="7BF105FE" w14:textId="77777777" w:rsidR="004A773C" w:rsidRPr="00FD10E9" w:rsidRDefault="004A773C" w:rsidP="004A773C">
      <w:pPr>
        <w:autoSpaceDE w:val="0"/>
        <w:autoSpaceDN w:val="0"/>
        <w:jc w:val="both"/>
      </w:pPr>
    </w:p>
    <w:p w14:paraId="687FECB6" w14:textId="77777777" w:rsidR="004A773C" w:rsidRPr="00FD10E9" w:rsidRDefault="004A773C" w:rsidP="004A773C">
      <w:pPr>
        <w:autoSpaceDE w:val="0"/>
        <w:autoSpaceDN w:val="0"/>
        <w:jc w:val="both"/>
      </w:pPr>
      <w:r w:rsidRPr="00FD10E9">
        <w:t xml:space="preserve">Kurumlar vergisi oranı 2018-2019-2020 yılları için %22 olarak uygulanacaktır.  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üçer aylık dönemler itibarıyla oluşan matrahlar üzerinden 2018-2019-2020 yılları için geçici vergi oranı </w:t>
      </w:r>
      <w:proofErr w:type="gramStart"/>
      <w:r w:rsidRPr="00FD10E9">
        <w:t>da  %</w:t>
      </w:r>
      <w:proofErr w:type="gramEnd"/>
      <w:r w:rsidRPr="00FD10E9">
        <w:t>22 oranında ödenecek olup, yıl içeresinde ödenen geçici vergiler, o yılın yıllık kurumlar vergisi beyannamesi üzerinden hesaplanan kurumlar vergisinden mahsup edilmektedir.</w:t>
      </w:r>
    </w:p>
    <w:p w14:paraId="0EA903AC" w14:textId="77777777" w:rsidR="004A773C" w:rsidRPr="00FD10E9" w:rsidRDefault="004A773C" w:rsidP="004A773C">
      <w:pPr>
        <w:autoSpaceDE w:val="0"/>
        <w:autoSpaceDN w:val="0"/>
        <w:jc w:val="both"/>
        <w:rPr>
          <w:sz w:val="16"/>
          <w:szCs w:val="16"/>
        </w:rPr>
      </w:pPr>
    </w:p>
    <w:p w14:paraId="04FE9323" w14:textId="77777777" w:rsidR="004A773C" w:rsidRPr="00FD10E9" w:rsidRDefault="004A773C" w:rsidP="004A773C">
      <w:pPr>
        <w:autoSpaceDE w:val="0"/>
        <w:autoSpaceDN w:val="0"/>
        <w:jc w:val="both"/>
      </w:pPr>
      <w:r w:rsidRPr="00FD10E9">
        <w:t xml:space="preserve">Türkiye’deki bir işyeri ya da </w:t>
      </w:r>
      <w:proofErr w:type="gramStart"/>
      <w:r w:rsidRPr="00FD10E9">
        <w:t>daimi</w:t>
      </w:r>
      <w:proofErr w:type="gramEnd"/>
      <w:r w:rsidRPr="00FD10E9">
        <w:t xml:space="preserve"> temsilcisi aracılığı ile gelir elde eden kurumlar ile Türkiye’de yerleşik kurumlara ödenen kar paylarından (temettüler) stopaj yapılmaz. 3 Şubat 2009 tarih ve 27130 Sayılı </w:t>
      </w:r>
      <w:proofErr w:type="gramStart"/>
      <w:r w:rsidRPr="00FD10E9">
        <w:t>Resmi</w:t>
      </w:r>
      <w:proofErr w:type="gramEnd"/>
      <w:r w:rsidRPr="00FD10E9">
        <w:t xml:space="preserve"> </w:t>
      </w:r>
      <w:proofErr w:type="spellStart"/>
      <w:r w:rsidRPr="00FD10E9">
        <w:t>Gazete’de</w:t>
      </w:r>
      <w:proofErr w:type="spellEnd"/>
      <w:r w:rsidRPr="00FD10E9">
        <w:t xml:space="preserve"> yayımlanan 2009/14593 Sayılı Bakanlar Kurulu Kararı ve 3 Şubat 2009 tarih ve 27130 sayılı Resmi </w:t>
      </w:r>
      <w:proofErr w:type="spellStart"/>
      <w:r w:rsidRPr="00FD10E9">
        <w:t>Gazete’de</w:t>
      </w:r>
      <w:proofErr w:type="spellEnd"/>
      <w:r w:rsidRPr="00FD10E9">
        <w:t xml:space="preserve"> yayımlanan 2009/14594 sayılı Bakanlar Kurulu Kararı ile 5520 Sayılı Kurumlar Vergisi Kanunu’nun 15 ve 30 uncu maddelerinde yer alan bazı </w:t>
      </w:r>
      <w:proofErr w:type="spellStart"/>
      <w:r w:rsidRPr="00FD10E9">
        <w:t>tevkifat</w:t>
      </w:r>
      <w:proofErr w:type="spellEnd"/>
      <w:r w:rsidRPr="00FD10E9">
        <w:t xml:space="preserve"> oranları yeniden belirlenmiştir. Bu bağlamda Türkiye’de bir işyeri ya da </w:t>
      </w:r>
      <w:proofErr w:type="gramStart"/>
      <w:r w:rsidRPr="00FD10E9">
        <w:t>daimi</w:t>
      </w:r>
      <w:proofErr w:type="gramEnd"/>
      <w:r w:rsidRPr="00FD10E9">
        <w:t xml:space="preserve"> temsilcisi aracılığı ile gelir elde eden dar mükellef kurumlar ile Türkiye’de yerleşik kurumlara yapılanlar dışındaki temettü ödemelerine uygulanan stopaj oranı %15’tir.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355F5B4A" w14:textId="77777777" w:rsidR="004A773C" w:rsidRPr="00FD10E9" w:rsidRDefault="004A773C" w:rsidP="004A773C">
      <w:pPr>
        <w:autoSpaceDE w:val="0"/>
        <w:autoSpaceDN w:val="0"/>
        <w:jc w:val="both"/>
        <w:rPr>
          <w:sz w:val="16"/>
          <w:szCs w:val="16"/>
        </w:rPr>
      </w:pPr>
    </w:p>
    <w:p w14:paraId="263DFADA" w14:textId="77777777" w:rsidR="004A773C" w:rsidRPr="00FD10E9" w:rsidRDefault="004A773C" w:rsidP="004A773C">
      <w:pPr>
        <w:autoSpaceDE w:val="0"/>
        <w:autoSpaceDN w:val="0"/>
        <w:jc w:val="both"/>
      </w:pPr>
      <w:r w:rsidRPr="00FD10E9">
        <w:t xml:space="preserve">Kurumlar üçer aylık mali kârları üzerinden yukarıdaki kanun değişikliği </w:t>
      </w:r>
      <w:proofErr w:type="gramStart"/>
      <w:r w:rsidRPr="00FD10E9">
        <w:t>ile  2018</w:t>
      </w:r>
      <w:proofErr w:type="gramEnd"/>
      <w:r w:rsidRPr="00FD10E9">
        <w:t>-2019-2020 yılları için  %22 oranında geçici vergi hesaplar ve o dönemi izleyen ikinci ayın14’üncü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32CD5649" w14:textId="77777777" w:rsidR="004A773C" w:rsidRPr="00FD10E9" w:rsidRDefault="004A773C" w:rsidP="004A773C">
      <w:pPr>
        <w:autoSpaceDE w:val="0"/>
        <w:autoSpaceDN w:val="0"/>
        <w:jc w:val="both"/>
        <w:rPr>
          <w:sz w:val="6"/>
          <w:szCs w:val="16"/>
        </w:rPr>
      </w:pPr>
    </w:p>
    <w:p w14:paraId="4E8704BC" w14:textId="77777777" w:rsidR="00717AB5" w:rsidRDefault="004A773C" w:rsidP="004A773C">
      <w:pPr>
        <w:autoSpaceDE w:val="0"/>
        <w:autoSpaceDN w:val="0"/>
        <w:jc w:val="both"/>
      </w:pPr>
      <w:r w:rsidRPr="00FD10E9">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r w:rsidRPr="00FD10E9">
        <w:br/>
      </w:r>
    </w:p>
    <w:p w14:paraId="0A74073D" w14:textId="2A0CF7B1" w:rsidR="004A773C" w:rsidRPr="00FD10E9" w:rsidRDefault="004A773C" w:rsidP="004A773C">
      <w:pPr>
        <w:autoSpaceDE w:val="0"/>
        <w:autoSpaceDN w:val="0"/>
        <w:jc w:val="both"/>
      </w:pPr>
      <w:r w:rsidRPr="00FD10E9">
        <w:t>Kurumlar vergisi, ilgili olduğu hesap dönemini takip eden dördüncü ayın yirmi beşinci günü akşamına kadar beyan edilmekte ve ilgili ayın sonuna kadar tek taksitte ödenmektedir.  </w:t>
      </w:r>
    </w:p>
    <w:p w14:paraId="20466509" w14:textId="77777777" w:rsidR="004A773C" w:rsidRPr="00FD10E9" w:rsidRDefault="004A773C" w:rsidP="004A773C">
      <w:pPr>
        <w:autoSpaceDE w:val="0"/>
        <w:autoSpaceDN w:val="0"/>
        <w:jc w:val="both"/>
        <w:rPr>
          <w:sz w:val="16"/>
          <w:szCs w:val="16"/>
        </w:rPr>
      </w:pPr>
    </w:p>
    <w:p w14:paraId="479ED4C0" w14:textId="77777777" w:rsidR="004A773C" w:rsidRPr="00FD10E9" w:rsidRDefault="004A773C" w:rsidP="004A773C">
      <w:pPr>
        <w:autoSpaceDE w:val="0"/>
        <w:autoSpaceDN w:val="0"/>
        <w:jc w:val="both"/>
      </w:pPr>
      <w:r w:rsidRPr="00FD10E9">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3354925B" w14:textId="77777777" w:rsidR="004A773C" w:rsidRPr="00FD10E9" w:rsidRDefault="004A773C" w:rsidP="004A773C">
      <w:pPr>
        <w:autoSpaceDE w:val="0"/>
        <w:autoSpaceDN w:val="0"/>
        <w:jc w:val="both"/>
        <w:rPr>
          <w:sz w:val="16"/>
          <w:szCs w:val="16"/>
        </w:rPr>
      </w:pPr>
    </w:p>
    <w:p w14:paraId="4E7F8746" w14:textId="77777777" w:rsidR="004A773C" w:rsidRPr="00FD10E9" w:rsidRDefault="004A773C" w:rsidP="004A773C">
      <w:pPr>
        <w:autoSpaceDE w:val="0"/>
        <w:autoSpaceDN w:val="0"/>
        <w:jc w:val="both"/>
      </w:pPr>
      <w:r w:rsidRPr="00FD10E9">
        <w:t xml:space="preserve">Türkiye’de ödenecek vergiler konusunda vergi otoritesi ile mutabakat sağlamak gibi bir uygulama bulunmamaktadır. </w:t>
      </w:r>
    </w:p>
    <w:p w14:paraId="0D755695" w14:textId="77777777" w:rsidR="004A773C" w:rsidRPr="00FD10E9" w:rsidRDefault="004A773C" w:rsidP="004A773C">
      <w:pPr>
        <w:jc w:val="both"/>
        <w:rPr>
          <w:b/>
          <w:bCs/>
          <w:i/>
          <w:iCs/>
          <w:sz w:val="16"/>
          <w:szCs w:val="16"/>
        </w:rPr>
      </w:pPr>
    </w:p>
    <w:p w14:paraId="6490C2D4" w14:textId="77777777" w:rsidR="00717AB5" w:rsidRDefault="00717AB5">
      <w:pPr>
        <w:rPr>
          <w:b/>
          <w:bCs/>
          <w:i/>
          <w:iCs/>
        </w:rPr>
      </w:pPr>
      <w:r>
        <w:rPr>
          <w:b/>
          <w:bCs/>
          <w:i/>
          <w:iCs/>
        </w:rPr>
        <w:br w:type="page"/>
      </w:r>
    </w:p>
    <w:p w14:paraId="698756E9" w14:textId="2CCD8C6B" w:rsidR="004A773C" w:rsidRPr="00FD10E9" w:rsidRDefault="004A773C" w:rsidP="004A773C">
      <w:pPr>
        <w:jc w:val="both"/>
        <w:rPr>
          <w:b/>
          <w:bCs/>
          <w:i/>
          <w:iCs/>
        </w:rPr>
      </w:pPr>
      <w:r w:rsidRPr="00FD10E9">
        <w:rPr>
          <w:b/>
          <w:bCs/>
          <w:i/>
          <w:iCs/>
        </w:rPr>
        <w:lastRenderedPageBreak/>
        <w:t xml:space="preserve">Ertelenmiş vergi </w:t>
      </w:r>
    </w:p>
    <w:p w14:paraId="081E1F1C" w14:textId="77777777" w:rsidR="004A773C" w:rsidRPr="00270CE6" w:rsidRDefault="004A773C" w:rsidP="004A773C">
      <w:pPr>
        <w:jc w:val="both"/>
        <w:rPr>
          <w:sz w:val="16"/>
          <w:szCs w:val="16"/>
          <w:highlight w:val="yellow"/>
        </w:rPr>
      </w:pPr>
    </w:p>
    <w:p w14:paraId="40EEE88D" w14:textId="77777777" w:rsidR="00FD10E9" w:rsidRDefault="00FD10E9" w:rsidP="00FD10E9">
      <w:pPr>
        <w:autoSpaceDE w:val="0"/>
        <w:autoSpaceDN w:val="0"/>
        <w:jc w:val="both"/>
      </w:pPr>
      <w:r w:rsidRPr="00452FF5">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( 1. aşama ) ve ilk muhasebeleştirmeden sonra kredi riskinde önemli artış olan Ömür Boyu Beklenen Kredi Zararı ( 2. aşama ) karşılıkları hariç indirilebilir geçici farklar üzerinden ertelenmiş vergi aktifi, bütün vergilendirilebilir geçici farklar üzerinden ise ertelenmiş vergi </w:t>
      </w:r>
      <w:r>
        <w:t xml:space="preserve">aktifi ve ya </w:t>
      </w:r>
      <w:r w:rsidRPr="00452FF5">
        <w:t xml:space="preserve">yükümlülüğü hesaplamıştır. Ertelenmiş vergi aktif ve yükümlülükleri netleştirilmek suretiyle finansal tablolara yansıtılmıştır. Doğrudan </w:t>
      </w:r>
      <w:proofErr w:type="spellStart"/>
      <w:r w:rsidRPr="00452FF5">
        <w:t>özkaynaklarda</w:t>
      </w:r>
      <w:proofErr w:type="spellEnd"/>
      <w:r w:rsidRPr="00452FF5">
        <w:t xml:space="preserve"> muhasebeleştirilen kalemlerin vergi etkileri de </w:t>
      </w:r>
      <w:proofErr w:type="spellStart"/>
      <w:r w:rsidRPr="00452FF5">
        <w:t>özkaynaklara</w:t>
      </w:r>
      <w:proofErr w:type="spellEnd"/>
      <w:r w:rsidRPr="00452FF5">
        <w:t xml:space="preserve"> yansıtılır. Ertelenmiş vergi aktifleri ve pasiflerinin hesaplanmasında kullanılan vergi oranı olarak 2018, 2019 ve 2020 </w:t>
      </w:r>
      <w:proofErr w:type="gramStart"/>
      <w:r w:rsidRPr="00452FF5">
        <w:t>yıllarında  tersine</w:t>
      </w:r>
      <w:proofErr w:type="gramEnd"/>
      <w:r w:rsidRPr="00452FF5">
        <w:t xml:space="preserve"> dönmesi beklenen geçici zamanlama farkları üzerinden %22, 2021 ve sonrasında tersine dönmesi beklenen geçici zamanlama farkları üzerinden  ise %20 kullanılmıştır.</w:t>
      </w:r>
    </w:p>
    <w:p w14:paraId="677C8664" w14:textId="77777777" w:rsidR="00FD10E9" w:rsidRPr="00FD10E9" w:rsidRDefault="00FD10E9" w:rsidP="007F4E84">
      <w:pPr>
        <w:autoSpaceDE w:val="0"/>
        <w:autoSpaceDN w:val="0"/>
        <w:jc w:val="both"/>
        <w:rPr>
          <w:rFonts w:eastAsia="Arial Unicode MS"/>
          <w:b/>
        </w:rPr>
      </w:pPr>
    </w:p>
    <w:p w14:paraId="38C7D57B" w14:textId="77777777" w:rsidR="004A773C" w:rsidRPr="00FD10E9" w:rsidRDefault="004A773C" w:rsidP="004A773C">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FD10E9">
        <w:rPr>
          <w:rFonts w:eastAsia="Arial Unicode MS"/>
          <w:b/>
        </w:rPr>
        <w:t>17.</w:t>
      </w:r>
      <w:r w:rsidRPr="00FD10E9">
        <w:rPr>
          <w:rFonts w:eastAsia="Arial Unicode MS"/>
        </w:rPr>
        <w:t xml:space="preserve">   </w:t>
      </w:r>
      <w:r w:rsidRPr="00FD10E9">
        <w:rPr>
          <w:rFonts w:eastAsia="Arial Unicode MS"/>
        </w:rPr>
        <w:tab/>
      </w:r>
      <w:r w:rsidRPr="00FD10E9">
        <w:rPr>
          <w:b/>
        </w:rPr>
        <w:t>Borçlanmalara ilişkin ilave açıklamalar</w:t>
      </w:r>
    </w:p>
    <w:p w14:paraId="655598E3" w14:textId="77777777" w:rsidR="004A773C" w:rsidRPr="00FD10E9" w:rsidRDefault="004A773C" w:rsidP="004A773C">
      <w:pPr>
        <w:autoSpaceDE w:val="0"/>
        <w:autoSpaceDN w:val="0"/>
        <w:adjustRightInd w:val="0"/>
        <w:ind w:right="-23"/>
        <w:jc w:val="both"/>
        <w:rPr>
          <w:rFonts w:eastAsia="Arial Unicode MS"/>
          <w:sz w:val="16"/>
          <w:szCs w:val="16"/>
        </w:rPr>
      </w:pPr>
    </w:p>
    <w:p w14:paraId="1FD72810" w14:textId="77777777" w:rsidR="004A773C" w:rsidRPr="00FD10E9" w:rsidRDefault="004A773C" w:rsidP="004A773C">
      <w:pPr>
        <w:autoSpaceDE w:val="0"/>
        <w:autoSpaceDN w:val="0"/>
        <w:adjustRightInd w:val="0"/>
        <w:ind w:right="-23"/>
        <w:jc w:val="both"/>
        <w:rPr>
          <w:rFonts w:eastAsia="Arial Unicode MS"/>
        </w:rPr>
      </w:pPr>
      <w:r w:rsidRPr="00FD10E9">
        <w:rPr>
          <w:rFonts w:eastAsia="Arial Unicode MS"/>
        </w:rPr>
        <w:t xml:space="preserve">Toplanan fonlar dışında kalan borçlanmayı temsil eden araçlar, kayda alınmalarını izleyen dönemde iç verim oranı yöntemi ile </w:t>
      </w:r>
      <w:proofErr w:type="spellStart"/>
      <w:r w:rsidRPr="00FD10E9">
        <w:rPr>
          <w:rFonts w:eastAsia="Arial Unicode MS"/>
        </w:rPr>
        <w:t>iskonto</w:t>
      </w:r>
      <w:proofErr w:type="spellEnd"/>
      <w:r w:rsidRPr="00FD10E9">
        <w:rPr>
          <w:rFonts w:eastAsia="Arial Unicode MS"/>
        </w:rPr>
        <w:t xml:space="preserve"> edilmiş değerleri üzerinden izlenmektedir. Banka, söz konusu borçlanmayı temsil eden araçlar için riskten korunma teknikleri uygulamamaktadır.</w:t>
      </w:r>
    </w:p>
    <w:p w14:paraId="1C28C15C" w14:textId="77777777" w:rsidR="004A773C" w:rsidRPr="00FD10E9" w:rsidRDefault="004A773C" w:rsidP="004A773C">
      <w:pPr>
        <w:autoSpaceDE w:val="0"/>
        <w:autoSpaceDN w:val="0"/>
        <w:adjustRightInd w:val="0"/>
        <w:ind w:right="-23"/>
        <w:jc w:val="both"/>
        <w:rPr>
          <w:rFonts w:eastAsia="Arial Unicode MS"/>
          <w:sz w:val="16"/>
          <w:szCs w:val="16"/>
        </w:rPr>
      </w:pPr>
    </w:p>
    <w:p w14:paraId="628EAE34" w14:textId="77777777" w:rsidR="004A773C" w:rsidRPr="00FD10E9" w:rsidRDefault="004A773C" w:rsidP="004A773C">
      <w:pPr>
        <w:autoSpaceDE w:val="0"/>
        <w:autoSpaceDN w:val="0"/>
        <w:adjustRightInd w:val="0"/>
        <w:ind w:right="-23"/>
        <w:jc w:val="both"/>
      </w:pPr>
      <w:r w:rsidRPr="00FD10E9">
        <w:rPr>
          <w:rFonts w:eastAsia="Arial Unicode MS"/>
        </w:rPr>
        <w:t>Banka hisse senedine dönüştürülebilir tahvil ihraç etmemiştir</w:t>
      </w:r>
      <w:r w:rsidRPr="00FD10E9">
        <w:t>.</w:t>
      </w:r>
    </w:p>
    <w:p w14:paraId="16BDDB2F" w14:textId="77777777" w:rsidR="004A773C" w:rsidRPr="00FD10E9" w:rsidRDefault="004A773C" w:rsidP="004A773C">
      <w:pPr>
        <w:autoSpaceDE w:val="0"/>
        <w:autoSpaceDN w:val="0"/>
        <w:adjustRightInd w:val="0"/>
        <w:ind w:right="-23"/>
        <w:jc w:val="both"/>
        <w:rPr>
          <w:sz w:val="16"/>
          <w:szCs w:val="16"/>
        </w:rPr>
      </w:pPr>
    </w:p>
    <w:p w14:paraId="0C8E48D5" w14:textId="77777777" w:rsidR="004A773C" w:rsidRPr="00FD10E9" w:rsidRDefault="004A773C" w:rsidP="004A773C">
      <w:pPr>
        <w:autoSpaceDE w:val="0"/>
        <w:autoSpaceDN w:val="0"/>
        <w:adjustRightInd w:val="0"/>
        <w:ind w:right="-23" w:hanging="567"/>
        <w:rPr>
          <w:rFonts w:eastAsia="Arial Unicode MS"/>
        </w:rPr>
      </w:pPr>
      <w:r w:rsidRPr="00FD10E9">
        <w:rPr>
          <w:b/>
        </w:rPr>
        <w:t xml:space="preserve">18.  </w:t>
      </w:r>
      <w:r w:rsidRPr="00FD10E9">
        <w:rPr>
          <w:b/>
        </w:rPr>
        <w:tab/>
        <w:t>İhraç edilen hisse senetlerine ilişkin açıklamalar</w:t>
      </w:r>
    </w:p>
    <w:p w14:paraId="498CD40B" w14:textId="77777777" w:rsidR="004A773C" w:rsidRPr="00FD10E9" w:rsidRDefault="004A773C" w:rsidP="004A773C">
      <w:pPr>
        <w:ind w:right="-23"/>
        <w:jc w:val="both"/>
        <w:rPr>
          <w:rFonts w:eastAsia="Arial Unicode MS"/>
          <w:sz w:val="16"/>
          <w:szCs w:val="16"/>
        </w:rPr>
      </w:pPr>
    </w:p>
    <w:p w14:paraId="3AAF7A78" w14:textId="77777777" w:rsidR="004A773C" w:rsidRPr="00FD10E9" w:rsidRDefault="004A773C" w:rsidP="004A773C">
      <w:pPr>
        <w:autoSpaceDE w:val="0"/>
        <w:autoSpaceDN w:val="0"/>
        <w:adjustRightInd w:val="0"/>
        <w:ind w:right="-23"/>
      </w:pPr>
      <w:r w:rsidRPr="00FD10E9">
        <w:t>Banka’nın hisse senedi ihracı ile ilgili önemli tutarda işlem maliyetleri bulunmamaktadır.</w:t>
      </w:r>
    </w:p>
    <w:p w14:paraId="78FA2A94" w14:textId="77777777" w:rsidR="004A773C" w:rsidRPr="00FD10E9" w:rsidRDefault="004A773C" w:rsidP="004A773C">
      <w:pPr>
        <w:autoSpaceDE w:val="0"/>
        <w:autoSpaceDN w:val="0"/>
        <w:adjustRightInd w:val="0"/>
        <w:ind w:right="-23"/>
        <w:rPr>
          <w:sz w:val="16"/>
          <w:szCs w:val="16"/>
        </w:rPr>
      </w:pPr>
    </w:p>
    <w:p w14:paraId="30405991" w14:textId="77777777" w:rsidR="004A773C" w:rsidRPr="00FD10E9" w:rsidRDefault="004A773C" w:rsidP="004A773C">
      <w:pPr>
        <w:autoSpaceDE w:val="0"/>
        <w:autoSpaceDN w:val="0"/>
        <w:adjustRightInd w:val="0"/>
        <w:ind w:right="-23" w:hanging="567"/>
        <w:rPr>
          <w:b/>
        </w:rPr>
      </w:pPr>
      <w:r w:rsidRPr="00FD10E9">
        <w:rPr>
          <w:b/>
        </w:rPr>
        <w:t xml:space="preserve">19.   </w:t>
      </w:r>
      <w:r w:rsidRPr="00FD10E9">
        <w:rPr>
          <w:b/>
        </w:rPr>
        <w:tab/>
        <w:t>Aval ve kabullere ilişkin açıklamalar</w:t>
      </w:r>
    </w:p>
    <w:p w14:paraId="2FB8D56F" w14:textId="77777777" w:rsidR="004A773C" w:rsidRPr="00FD10E9" w:rsidRDefault="004A773C" w:rsidP="004A773C">
      <w:pPr>
        <w:autoSpaceDE w:val="0"/>
        <w:autoSpaceDN w:val="0"/>
        <w:adjustRightInd w:val="0"/>
        <w:ind w:right="-23"/>
        <w:rPr>
          <w:rFonts w:eastAsia="Arial Unicode MS"/>
          <w:sz w:val="16"/>
          <w:szCs w:val="16"/>
        </w:rPr>
      </w:pPr>
    </w:p>
    <w:p w14:paraId="60E0E148" w14:textId="77777777" w:rsidR="004A773C" w:rsidRPr="00FD10E9" w:rsidRDefault="004A773C" w:rsidP="004A773C">
      <w:pPr>
        <w:pStyle w:val="BodyTextIndent"/>
        <w:ind w:left="0" w:right="-23" w:firstLine="0"/>
        <w:rPr>
          <w:rFonts w:eastAsia="Arial Unicode MS"/>
        </w:rPr>
      </w:pPr>
      <w:r w:rsidRPr="00FD10E9">
        <w:rPr>
          <w:rFonts w:eastAsia="Arial Unicode MS"/>
        </w:rPr>
        <w:t xml:space="preserve">Aval ve kabuller, müşterilerin ödemeleri ile eş zamanlı olarak gerçekleştirilmekte ve olası borç ve taahhütler olarak bilanço dışı işlemlerde gösterilmektedir. </w:t>
      </w:r>
    </w:p>
    <w:p w14:paraId="2E2F7ED1" w14:textId="77777777" w:rsidR="004A773C" w:rsidRPr="00FD10E9" w:rsidRDefault="004A773C" w:rsidP="004A773C">
      <w:pPr>
        <w:autoSpaceDE w:val="0"/>
        <w:autoSpaceDN w:val="0"/>
        <w:adjustRightInd w:val="0"/>
        <w:ind w:right="-23"/>
        <w:rPr>
          <w:rFonts w:eastAsia="Arial Unicode MS"/>
          <w:sz w:val="16"/>
          <w:szCs w:val="16"/>
        </w:rPr>
      </w:pPr>
    </w:p>
    <w:p w14:paraId="6F20F4D6" w14:textId="77777777" w:rsidR="004A773C" w:rsidRPr="00FD10E9" w:rsidRDefault="004A773C" w:rsidP="004A773C">
      <w:pPr>
        <w:autoSpaceDE w:val="0"/>
        <w:autoSpaceDN w:val="0"/>
        <w:adjustRightInd w:val="0"/>
        <w:ind w:right="-23" w:hanging="567"/>
        <w:rPr>
          <w:b/>
        </w:rPr>
      </w:pPr>
      <w:r w:rsidRPr="00FD10E9">
        <w:rPr>
          <w:b/>
        </w:rPr>
        <w:t xml:space="preserve">20.   </w:t>
      </w:r>
      <w:r w:rsidRPr="00FD10E9">
        <w:rPr>
          <w:b/>
        </w:rPr>
        <w:tab/>
        <w:t>Devlet teşviklerine ilişkin açıklamalar</w:t>
      </w:r>
    </w:p>
    <w:p w14:paraId="5E5D9892" w14:textId="77777777" w:rsidR="004A773C" w:rsidRPr="00FD10E9" w:rsidRDefault="004A773C" w:rsidP="004A773C">
      <w:pPr>
        <w:autoSpaceDE w:val="0"/>
        <w:autoSpaceDN w:val="0"/>
        <w:adjustRightInd w:val="0"/>
        <w:ind w:right="-23"/>
        <w:rPr>
          <w:rFonts w:eastAsia="Arial Unicode MS"/>
          <w:sz w:val="16"/>
        </w:rPr>
      </w:pPr>
    </w:p>
    <w:p w14:paraId="47B3095B" w14:textId="77777777" w:rsidR="004A773C" w:rsidRPr="00FD10E9" w:rsidRDefault="004A773C" w:rsidP="004A773C">
      <w:pPr>
        <w:autoSpaceDE w:val="0"/>
        <w:autoSpaceDN w:val="0"/>
        <w:adjustRightInd w:val="0"/>
        <w:ind w:right="-23"/>
        <w:rPr>
          <w:rFonts w:eastAsia="Arial Unicode MS"/>
        </w:rPr>
      </w:pPr>
      <w:r w:rsidRPr="00FD10E9">
        <w:t>Banka’nın almış olduğu devlet teşviki bulunmamaktadır.</w:t>
      </w:r>
    </w:p>
    <w:p w14:paraId="3A7ACC9D" w14:textId="77777777" w:rsidR="004A773C" w:rsidRPr="00FD10E9" w:rsidRDefault="004A773C" w:rsidP="004A773C">
      <w:pPr>
        <w:autoSpaceDE w:val="0"/>
        <w:autoSpaceDN w:val="0"/>
        <w:adjustRightInd w:val="0"/>
        <w:ind w:right="-23" w:hanging="540"/>
        <w:rPr>
          <w:rFonts w:eastAsia="Arial Unicode MS"/>
          <w:b/>
          <w:sz w:val="16"/>
        </w:rPr>
      </w:pPr>
    </w:p>
    <w:p w14:paraId="140873BC" w14:textId="77777777" w:rsidR="004A773C" w:rsidRPr="00FD10E9" w:rsidRDefault="004A773C" w:rsidP="004A773C">
      <w:pPr>
        <w:autoSpaceDE w:val="0"/>
        <w:autoSpaceDN w:val="0"/>
        <w:adjustRightInd w:val="0"/>
        <w:ind w:right="-23" w:hanging="567"/>
        <w:rPr>
          <w:b/>
        </w:rPr>
      </w:pPr>
      <w:r w:rsidRPr="00FD10E9">
        <w:rPr>
          <w:b/>
        </w:rPr>
        <w:t xml:space="preserve">21.   </w:t>
      </w:r>
      <w:r w:rsidRPr="00FD10E9">
        <w:rPr>
          <w:b/>
        </w:rPr>
        <w:tab/>
        <w:t>Raporlamanın bölümlemeye göre yapılmasına ilişkin açıklamalar</w:t>
      </w:r>
    </w:p>
    <w:p w14:paraId="234CBED4" w14:textId="77777777" w:rsidR="004A773C" w:rsidRPr="00FD10E9" w:rsidRDefault="004A773C" w:rsidP="004A773C">
      <w:pPr>
        <w:pStyle w:val="BodyTextIndent"/>
        <w:ind w:right="-23"/>
        <w:jc w:val="left"/>
        <w:rPr>
          <w:sz w:val="16"/>
          <w:szCs w:val="16"/>
        </w:rPr>
      </w:pPr>
    </w:p>
    <w:p w14:paraId="52418216" w14:textId="77777777" w:rsidR="004A773C" w:rsidRPr="00FD10E9" w:rsidRDefault="004A773C" w:rsidP="004A773C">
      <w:pPr>
        <w:ind w:right="-23"/>
        <w:jc w:val="both"/>
      </w:pPr>
      <w:r w:rsidRPr="00FD10E9">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3628733D" w14:textId="77777777" w:rsidR="004A773C" w:rsidRPr="00FD10E9" w:rsidRDefault="004A773C" w:rsidP="004A773C">
      <w:pPr>
        <w:ind w:right="-23"/>
        <w:jc w:val="both"/>
        <w:rPr>
          <w:sz w:val="16"/>
          <w:szCs w:val="16"/>
        </w:rPr>
      </w:pPr>
    </w:p>
    <w:p w14:paraId="48D9BE8E" w14:textId="187371D8" w:rsidR="004A773C" w:rsidRPr="00FD10E9" w:rsidRDefault="004A773C" w:rsidP="004A773C">
      <w:pPr>
        <w:ind w:right="-23"/>
        <w:jc w:val="both"/>
      </w:pPr>
      <w:r w:rsidRPr="00FD10E9">
        <w:t>Faaliyet bölümlerine göre raporlama, Dördüncü Bölüm 1</w:t>
      </w:r>
      <w:r w:rsidR="009269E3">
        <w:t>2</w:t>
      </w:r>
      <w:r w:rsidRPr="00FD10E9">
        <w:t xml:space="preserve"> </w:t>
      </w:r>
      <w:proofErr w:type="spellStart"/>
      <w:r w:rsidRPr="00FD10E9">
        <w:t>no’lu</w:t>
      </w:r>
      <w:proofErr w:type="spellEnd"/>
      <w:r w:rsidRPr="00FD10E9">
        <w:t xml:space="preserve"> dipnotta sunulmuştur.</w:t>
      </w:r>
    </w:p>
    <w:p w14:paraId="64702DCB" w14:textId="77777777" w:rsidR="004A773C" w:rsidRPr="00FD10E9" w:rsidRDefault="004A773C" w:rsidP="004A773C">
      <w:pPr>
        <w:ind w:right="-23"/>
        <w:rPr>
          <w:sz w:val="16"/>
          <w:szCs w:val="16"/>
        </w:rPr>
      </w:pPr>
    </w:p>
    <w:p w14:paraId="3E99A747" w14:textId="77777777" w:rsidR="004A773C" w:rsidRPr="00FD10E9" w:rsidRDefault="004A773C" w:rsidP="004A773C">
      <w:pPr>
        <w:autoSpaceDE w:val="0"/>
        <w:autoSpaceDN w:val="0"/>
        <w:adjustRightInd w:val="0"/>
        <w:ind w:right="-23" w:hanging="567"/>
        <w:rPr>
          <w:b/>
        </w:rPr>
      </w:pPr>
      <w:r w:rsidRPr="00FD10E9">
        <w:rPr>
          <w:b/>
        </w:rPr>
        <w:t xml:space="preserve">22.   </w:t>
      </w:r>
      <w:r w:rsidRPr="00FD10E9">
        <w:rPr>
          <w:b/>
        </w:rPr>
        <w:tab/>
        <w:t>Diğer hususlara ilişkin açıklamalar</w:t>
      </w:r>
    </w:p>
    <w:p w14:paraId="27B3232A" w14:textId="77777777" w:rsidR="004A773C" w:rsidRPr="00FD10E9" w:rsidRDefault="004A773C" w:rsidP="004A773C">
      <w:pPr>
        <w:autoSpaceDE w:val="0"/>
        <w:autoSpaceDN w:val="0"/>
        <w:adjustRightInd w:val="0"/>
        <w:ind w:right="-23"/>
        <w:rPr>
          <w:b/>
          <w:sz w:val="16"/>
          <w:szCs w:val="16"/>
        </w:rPr>
      </w:pPr>
    </w:p>
    <w:p w14:paraId="2F03E9BC" w14:textId="1EC6F501" w:rsidR="00603839" w:rsidRPr="00FD10E9" w:rsidRDefault="004A773C" w:rsidP="004A773C">
      <w:pPr>
        <w:pStyle w:val="BodyText"/>
        <w:autoSpaceDE/>
        <w:autoSpaceDN/>
        <w:adjustRightInd/>
        <w:ind w:right="-23"/>
        <w:jc w:val="left"/>
        <w:rPr>
          <w:rFonts w:eastAsia="Arial Unicode MS"/>
          <w:b/>
        </w:rPr>
      </w:pPr>
      <w:r w:rsidRPr="00FD10E9">
        <w:t>Banka’nın diğer hususlara ilişkin açıklaması bulunmamaktadır.</w:t>
      </w:r>
    </w:p>
    <w:p w14:paraId="442AA3CB" w14:textId="77777777" w:rsidR="00603839" w:rsidRPr="00270CE6" w:rsidRDefault="00603839" w:rsidP="00DC7490">
      <w:pPr>
        <w:autoSpaceDE w:val="0"/>
        <w:autoSpaceDN w:val="0"/>
        <w:adjustRightInd w:val="0"/>
        <w:rPr>
          <w:rFonts w:eastAsia="Arial Unicode MS"/>
          <w:b/>
          <w:highlight w:val="yellow"/>
        </w:rPr>
      </w:pPr>
    </w:p>
    <w:p w14:paraId="32DA7C10" w14:textId="77777777" w:rsidR="00603839" w:rsidRPr="00270CE6" w:rsidRDefault="00603839" w:rsidP="00DC7490">
      <w:pPr>
        <w:autoSpaceDE w:val="0"/>
        <w:autoSpaceDN w:val="0"/>
        <w:adjustRightInd w:val="0"/>
        <w:rPr>
          <w:rFonts w:eastAsia="Arial Unicode MS"/>
          <w:b/>
          <w:highlight w:val="yellow"/>
        </w:rPr>
      </w:pPr>
    </w:p>
    <w:p w14:paraId="4C2E9294" w14:textId="77777777" w:rsidR="00603839" w:rsidRPr="00270CE6" w:rsidRDefault="00603839" w:rsidP="00DC7490">
      <w:pPr>
        <w:autoSpaceDE w:val="0"/>
        <w:autoSpaceDN w:val="0"/>
        <w:adjustRightInd w:val="0"/>
        <w:rPr>
          <w:rFonts w:eastAsia="Arial Unicode MS"/>
          <w:b/>
          <w:highlight w:val="yellow"/>
        </w:rPr>
      </w:pPr>
    </w:p>
    <w:p w14:paraId="31BA17D3" w14:textId="77777777" w:rsidR="004957D6" w:rsidRPr="00270CE6" w:rsidRDefault="004957D6" w:rsidP="00DC7490">
      <w:pPr>
        <w:autoSpaceDE w:val="0"/>
        <w:autoSpaceDN w:val="0"/>
        <w:adjustRightInd w:val="0"/>
        <w:rPr>
          <w:rFonts w:eastAsia="Arial Unicode MS"/>
          <w:b/>
          <w:highlight w:val="yellow"/>
        </w:rPr>
      </w:pPr>
    </w:p>
    <w:p w14:paraId="4B30CE3F" w14:textId="77777777" w:rsidR="003D3060" w:rsidRPr="0083206F" w:rsidRDefault="00CC1FB5" w:rsidP="00DC7490">
      <w:pPr>
        <w:autoSpaceDE w:val="0"/>
        <w:autoSpaceDN w:val="0"/>
        <w:adjustRightInd w:val="0"/>
        <w:ind w:left="2160" w:firstLine="720"/>
        <w:rPr>
          <w:rFonts w:eastAsia="Arial Unicode MS"/>
          <w:b/>
          <w:sz w:val="24"/>
        </w:rPr>
      </w:pPr>
      <w:r w:rsidRPr="00270CE6">
        <w:rPr>
          <w:rFonts w:eastAsia="Arial Unicode MS"/>
          <w:b/>
          <w:sz w:val="24"/>
          <w:highlight w:val="yellow"/>
        </w:rPr>
        <w:br w:type="page"/>
      </w:r>
      <w:r w:rsidR="003D3060" w:rsidRPr="0083206F">
        <w:rPr>
          <w:rFonts w:eastAsia="Arial Unicode MS"/>
          <w:b/>
          <w:sz w:val="24"/>
        </w:rPr>
        <w:lastRenderedPageBreak/>
        <w:t>DÖRDÜNCÜ BÖLÜM</w:t>
      </w:r>
    </w:p>
    <w:p w14:paraId="2A652380" w14:textId="77777777" w:rsidR="003D3060" w:rsidRPr="0083206F" w:rsidRDefault="003D3060" w:rsidP="008F6231">
      <w:pPr>
        <w:autoSpaceDE w:val="0"/>
        <w:autoSpaceDN w:val="0"/>
        <w:adjustRightInd w:val="0"/>
        <w:ind w:left="2880" w:firstLine="720"/>
        <w:jc w:val="center"/>
        <w:rPr>
          <w:rFonts w:eastAsia="Arial Unicode MS"/>
          <w:b/>
          <w:color w:val="000000"/>
          <w:sz w:val="12"/>
        </w:rPr>
      </w:pPr>
    </w:p>
    <w:p w14:paraId="050FAC76" w14:textId="77777777" w:rsidR="00910AD9" w:rsidRPr="0083206F" w:rsidRDefault="00910AD9" w:rsidP="00910AD9">
      <w:pPr>
        <w:autoSpaceDE w:val="0"/>
        <w:autoSpaceDN w:val="0"/>
        <w:adjustRightInd w:val="0"/>
        <w:ind w:left="720" w:firstLine="720"/>
        <w:rPr>
          <w:b/>
          <w:color w:val="000000"/>
          <w:sz w:val="18"/>
          <w:szCs w:val="18"/>
        </w:rPr>
      </w:pPr>
      <w:r w:rsidRPr="0083206F">
        <w:rPr>
          <w:b/>
          <w:color w:val="000000"/>
        </w:rPr>
        <w:t>MALİ BÜNYE</w:t>
      </w:r>
      <w:r w:rsidR="00243A0C" w:rsidRPr="0083206F">
        <w:rPr>
          <w:b/>
          <w:color w:val="000000"/>
        </w:rPr>
        <w:t>YE</w:t>
      </w:r>
      <w:r w:rsidRPr="0083206F">
        <w:rPr>
          <w:b/>
          <w:color w:val="000000"/>
        </w:rPr>
        <w:t xml:space="preserve"> VE RİSK YÖNETİMİNE İLİŞKİN BİLGİLER</w:t>
      </w:r>
      <w:r w:rsidRPr="0083206F">
        <w:rPr>
          <w:b/>
          <w:color w:val="000000"/>
          <w:sz w:val="18"/>
          <w:szCs w:val="18"/>
        </w:rPr>
        <w:t xml:space="preserve">  </w:t>
      </w:r>
    </w:p>
    <w:p w14:paraId="4557DEDE" w14:textId="77777777" w:rsidR="00910AD9" w:rsidRPr="0083206F" w:rsidRDefault="00910AD9" w:rsidP="00910AD9">
      <w:pPr>
        <w:autoSpaceDE w:val="0"/>
        <w:autoSpaceDN w:val="0"/>
        <w:adjustRightInd w:val="0"/>
        <w:ind w:left="720" w:firstLine="720"/>
        <w:rPr>
          <w:b/>
          <w:color w:val="000000"/>
          <w:sz w:val="16"/>
          <w:szCs w:val="16"/>
        </w:rPr>
      </w:pPr>
      <w:r w:rsidRPr="0083206F">
        <w:rPr>
          <w:b/>
          <w:color w:val="000000"/>
          <w:sz w:val="18"/>
          <w:szCs w:val="18"/>
        </w:rPr>
        <w:t xml:space="preserve">           </w:t>
      </w:r>
    </w:p>
    <w:p w14:paraId="570DC6BC" w14:textId="77777777" w:rsidR="00861DCF" w:rsidRPr="0083206F" w:rsidRDefault="00372AAD" w:rsidP="0003633B">
      <w:pPr>
        <w:tabs>
          <w:tab w:val="left" w:pos="709"/>
        </w:tabs>
        <w:autoSpaceDE w:val="0"/>
        <w:autoSpaceDN w:val="0"/>
        <w:adjustRightInd w:val="0"/>
        <w:ind w:hanging="567"/>
        <w:rPr>
          <w:b/>
        </w:rPr>
      </w:pPr>
      <w:r w:rsidRPr="0083206F">
        <w:rPr>
          <w:b/>
          <w:color w:val="000000"/>
        </w:rPr>
        <w:t>1</w:t>
      </w:r>
      <w:r w:rsidR="00FD72BB" w:rsidRPr="0083206F">
        <w:rPr>
          <w:b/>
        </w:rPr>
        <w:t xml:space="preserve">.      </w:t>
      </w:r>
      <w:r w:rsidR="0003633B" w:rsidRPr="0083206F">
        <w:rPr>
          <w:b/>
        </w:rPr>
        <w:tab/>
      </w:r>
      <w:proofErr w:type="spellStart"/>
      <w:r w:rsidR="00861DCF" w:rsidRPr="0083206F">
        <w:rPr>
          <w:b/>
        </w:rPr>
        <w:t>Özkaynak</w:t>
      </w:r>
      <w:proofErr w:type="spellEnd"/>
      <w:r w:rsidR="00243A0C" w:rsidRPr="0083206F">
        <w:rPr>
          <w:b/>
        </w:rPr>
        <w:t xml:space="preserve"> kalemlerine</w:t>
      </w:r>
      <w:r w:rsidR="00861DCF" w:rsidRPr="0083206F">
        <w:rPr>
          <w:b/>
        </w:rPr>
        <w:t xml:space="preserve"> ilişkin</w:t>
      </w:r>
      <w:r w:rsidR="00CD4650" w:rsidRPr="0083206F">
        <w:rPr>
          <w:b/>
        </w:rPr>
        <w:t xml:space="preserve"> açıklamalar</w:t>
      </w:r>
    </w:p>
    <w:p w14:paraId="468DFD34" w14:textId="77777777" w:rsidR="00910AD9" w:rsidRPr="0083206F" w:rsidRDefault="00910AD9" w:rsidP="000F527F">
      <w:pPr>
        <w:pStyle w:val="BodyText3"/>
        <w:ind w:right="-23"/>
        <w:jc w:val="both"/>
        <w:rPr>
          <w:bCs w:val="0"/>
          <w:i w:val="0"/>
          <w:iCs w:val="0"/>
          <w:sz w:val="16"/>
          <w:szCs w:val="16"/>
        </w:rPr>
      </w:pPr>
    </w:p>
    <w:p w14:paraId="503784BD" w14:textId="6059E06D" w:rsidR="00DC7490" w:rsidRPr="0083206F" w:rsidRDefault="00DC7490" w:rsidP="00DC7490">
      <w:pPr>
        <w:pStyle w:val="BodyText3"/>
        <w:ind w:right="-23"/>
        <w:jc w:val="both"/>
        <w:rPr>
          <w:bCs w:val="0"/>
          <w:i w:val="0"/>
          <w:iCs w:val="0"/>
          <w:spacing w:val="4"/>
          <w:sz w:val="20"/>
        </w:rPr>
      </w:pPr>
      <w:proofErr w:type="spellStart"/>
      <w:r w:rsidRPr="0083206F">
        <w:rPr>
          <w:bCs w:val="0"/>
          <w:i w:val="0"/>
          <w:iCs w:val="0"/>
          <w:spacing w:val="4"/>
          <w:sz w:val="20"/>
        </w:rPr>
        <w:t>Özkaynak</w:t>
      </w:r>
      <w:proofErr w:type="spellEnd"/>
      <w:r w:rsidRPr="0083206F">
        <w:rPr>
          <w:bCs w:val="0"/>
          <w:i w:val="0"/>
          <w:iCs w:val="0"/>
          <w:spacing w:val="4"/>
          <w:sz w:val="20"/>
        </w:rPr>
        <w:t xml:space="preserve"> tutarı ve sermaye yeterliliği standart oranı “Bankaların </w:t>
      </w:r>
      <w:proofErr w:type="spellStart"/>
      <w:r w:rsidRPr="0083206F">
        <w:rPr>
          <w:bCs w:val="0"/>
          <w:i w:val="0"/>
          <w:iCs w:val="0"/>
          <w:spacing w:val="4"/>
          <w:sz w:val="20"/>
        </w:rPr>
        <w:t>Özkaynaklarına</w:t>
      </w:r>
      <w:proofErr w:type="spellEnd"/>
      <w:r w:rsidRPr="0083206F">
        <w:rPr>
          <w:bCs w:val="0"/>
          <w:i w:val="0"/>
          <w:iCs w:val="0"/>
          <w:spacing w:val="4"/>
          <w:sz w:val="20"/>
        </w:rPr>
        <w:t xml:space="preserve"> İlişkin Yönetmelik” ile “Bankaların Sermaye Yeterliliğinin Ölçülmesine ve Değerlendirilmesine İlişkin Yönetmelik” çerçevesinde hesaplanmıştır. Banka’nın </w:t>
      </w:r>
      <w:r w:rsidR="0044609D" w:rsidRPr="0083206F">
        <w:rPr>
          <w:bCs w:val="0"/>
          <w:i w:val="0"/>
          <w:iCs w:val="0"/>
          <w:spacing w:val="4"/>
          <w:sz w:val="20"/>
        </w:rPr>
        <w:t>30 Eylül 2020</w:t>
      </w:r>
      <w:r w:rsidR="00E61D1E" w:rsidRPr="0083206F">
        <w:t xml:space="preserve"> </w:t>
      </w:r>
      <w:r w:rsidRPr="0083206F">
        <w:rPr>
          <w:bCs w:val="0"/>
          <w:i w:val="0"/>
          <w:iCs w:val="0"/>
          <w:spacing w:val="4"/>
          <w:sz w:val="20"/>
        </w:rPr>
        <w:t xml:space="preserve">tarihi itibarıyla hesaplanan cari dönem </w:t>
      </w:r>
      <w:proofErr w:type="spellStart"/>
      <w:r w:rsidRPr="0083206F">
        <w:rPr>
          <w:bCs w:val="0"/>
          <w:i w:val="0"/>
          <w:iCs w:val="0"/>
          <w:spacing w:val="4"/>
          <w:sz w:val="20"/>
        </w:rPr>
        <w:t>özkaynak</w:t>
      </w:r>
      <w:proofErr w:type="spellEnd"/>
      <w:r w:rsidRPr="0083206F">
        <w:rPr>
          <w:bCs w:val="0"/>
          <w:i w:val="0"/>
          <w:iCs w:val="0"/>
          <w:spacing w:val="4"/>
          <w:sz w:val="20"/>
        </w:rPr>
        <w:t xml:space="preserve"> tutarı </w:t>
      </w:r>
      <w:r w:rsidR="00996CCA" w:rsidRPr="0083206F">
        <w:rPr>
          <w:bCs w:val="0"/>
          <w:i w:val="0"/>
          <w:iCs w:val="0"/>
          <w:spacing w:val="4"/>
          <w:sz w:val="20"/>
        </w:rPr>
        <w:t>1</w:t>
      </w:r>
      <w:r w:rsidR="0083206F" w:rsidRPr="0083206F">
        <w:rPr>
          <w:bCs w:val="0"/>
          <w:i w:val="0"/>
          <w:iCs w:val="0"/>
          <w:spacing w:val="4"/>
          <w:sz w:val="20"/>
        </w:rPr>
        <w:t>2</w:t>
      </w:r>
      <w:r w:rsidR="00996CCA" w:rsidRPr="0083206F">
        <w:rPr>
          <w:bCs w:val="0"/>
          <w:i w:val="0"/>
          <w:iCs w:val="0"/>
          <w:spacing w:val="4"/>
          <w:sz w:val="20"/>
        </w:rPr>
        <w:t>,</w:t>
      </w:r>
      <w:r w:rsidR="0043643E" w:rsidRPr="0083206F">
        <w:rPr>
          <w:bCs w:val="0"/>
          <w:i w:val="0"/>
          <w:iCs w:val="0"/>
          <w:spacing w:val="4"/>
          <w:sz w:val="20"/>
        </w:rPr>
        <w:t>3</w:t>
      </w:r>
      <w:r w:rsidR="0083206F" w:rsidRPr="0083206F">
        <w:rPr>
          <w:bCs w:val="0"/>
          <w:i w:val="0"/>
          <w:iCs w:val="0"/>
          <w:spacing w:val="4"/>
          <w:sz w:val="20"/>
        </w:rPr>
        <w:t>60</w:t>
      </w:r>
      <w:r w:rsidR="00996CCA" w:rsidRPr="0083206F">
        <w:rPr>
          <w:bCs w:val="0"/>
          <w:i w:val="0"/>
          <w:iCs w:val="0"/>
          <w:spacing w:val="4"/>
          <w:sz w:val="20"/>
        </w:rPr>
        <w:t>,</w:t>
      </w:r>
      <w:r w:rsidR="0083206F" w:rsidRPr="0083206F">
        <w:rPr>
          <w:bCs w:val="0"/>
          <w:i w:val="0"/>
          <w:iCs w:val="0"/>
          <w:spacing w:val="4"/>
          <w:sz w:val="20"/>
        </w:rPr>
        <w:t>05</w:t>
      </w:r>
      <w:r w:rsidR="00E42CBA" w:rsidRPr="0083206F">
        <w:rPr>
          <w:bCs w:val="0"/>
          <w:i w:val="0"/>
          <w:iCs w:val="0"/>
          <w:spacing w:val="4"/>
          <w:sz w:val="20"/>
        </w:rPr>
        <w:t>1</w:t>
      </w:r>
      <w:r w:rsidR="00D7419B" w:rsidRPr="0083206F">
        <w:rPr>
          <w:bCs w:val="0"/>
          <w:i w:val="0"/>
          <w:iCs w:val="0"/>
          <w:spacing w:val="4"/>
          <w:sz w:val="20"/>
        </w:rPr>
        <w:t xml:space="preserve"> </w:t>
      </w:r>
      <w:proofErr w:type="gramStart"/>
      <w:r w:rsidRPr="0083206F">
        <w:rPr>
          <w:bCs w:val="0"/>
          <w:i w:val="0"/>
          <w:iCs w:val="0"/>
          <w:spacing w:val="4"/>
          <w:sz w:val="20"/>
        </w:rPr>
        <w:t>TL</w:t>
      </w:r>
      <w:r w:rsidR="00E962E3" w:rsidRPr="0083206F">
        <w:rPr>
          <w:bCs w:val="0"/>
          <w:i w:val="0"/>
          <w:iCs w:val="0"/>
          <w:spacing w:val="4"/>
          <w:sz w:val="20"/>
        </w:rPr>
        <w:t xml:space="preserve"> </w:t>
      </w:r>
      <w:r w:rsidRPr="0083206F">
        <w:rPr>
          <w:bCs w:val="0"/>
          <w:i w:val="0"/>
          <w:iCs w:val="0"/>
          <w:spacing w:val="4"/>
          <w:sz w:val="20"/>
        </w:rPr>
        <w:t xml:space="preserve"> (</w:t>
      </w:r>
      <w:proofErr w:type="gramEnd"/>
      <w:r w:rsidR="00DF1F03" w:rsidRPr="0083206F">
        <w:rPr>
          <w:bCs w:val="0"/>
          <w:i w:val="0"/>
          <w:iCs w:val="0"/>
          <w:spacing w:val="4"/>
          <w:sz w:val="20"/>
        </w:rPr>
        <w:t>31 Aralık 201</w:t>
      </w:r>
      <w:r w:rsidR="00677725" w:rsidRPr="0083206F">
        <w:rPr>
          <w:bCs w:val="0"/>
          <w:i w:val="0"/>
          <w:iCs w:val="0"/>
          <w:spacing w:val="4"/>
          <w:sz w:val="20"/>
        </w:rPr>
        <w:t>9</w:t>
      </w:r>
      <w:r w:rsidRPr="0083206F">
        <w:rPr>
          <w:bCs w:val="0"/>
          <w:i w:val="0"/>
          <w:iCs w:val="0"/>
          <w:spacing w:val="4"/>
          <w:sz w:val="20"/>
        </w:rPr>
        <w:t xml:space="preserve">: </w:t>
      </w:r>
      <w:r w:rsidR="00677725" w:rsidRPr="0083206F">
        <w:rPr>
          <w:bCs w:val="0"/>
          <w:i w:val="0"/>
          <w:iCs w:val="0"/>
          <w:spacing w:val="4"/>
          <w:sz w:val="20"/>
        </w:rPr>
        <w:t>10,334,918 TL</w:t>
      </w:r>
      <w:r w:rsidRPr="0083206F">
        <w:rPr>
          <w:bCs w:val="0"/>
          <w:i w:val="0"/>
          <w:iCs w:val="0"/>
          <w:spacing w:val="4"/>
          <w:sz w:val="20"/>
        </w:rPr>
        <w:t>), sermaye yeterliliği standart oranı da %</w:t>
      </w:r>
      <w:r w:rsidR="00E650DC" w:rsidRPr="0083206F">
        <w:rPr>
          <w:bCs w:val="0"/>
          <w:i w:val="0"/>
          <w:iCs w:val="0"/>
          <w:spacing w:val="4"/>
          <w:sz w:val="20"/>
        </w:rPr>
        <w:t>2</w:t>
      </w:r>
      <w:r w:rsidR="00E42CBA" w:rsidRPr="0083206F">
        <w:rPr>
          <w:bCs w:val="0"/>
          <w:i w:val="0"/>
          <w:iCs w:val="0"/>
          <w:spacing w:val="4"/>
          <w:sz w:val="20"/>
        </w:rPr>
        <w:t>2</w:t>
      </w:r>
      <w:r w:rsidR="00E650DC" w:rsidRPr="0083206F">
        <w:rPr>
          <w:bCs w:val="0"/>
          <w:i w:val="0"/>
          <w:iCs w:val="0"/>
          <w:spacing w:val="4"/>
          <w:sz w:val="20"/>
        </w:rPr>
        <w:t>.</w:t>
      </w:r>
      <w:r w:rsidR="0083206F" w:rsidRPr="0083206F">
        <w:rPr>
          <w:bCs w:val="0"/>
          <w:i w:val="0"/>
          <w:iCs w:val="0"/>
          <w:spacing w:val="4"/>
          <w:sz w:val="20"/>
        </w:rPr>
        <w:t>65</w:t>
      </w:r>
      <w:r w:rsidR="00BD51F0" w:rsidRPr="0083206F">
        <w:rPr>
          <w:bCs w:val="0"/>
          <w:i w:val="0"/>
          <w:iCs w:val="0"/>
          <w:spacing w:val="4"/>
          <w:sz w:val="20"/>
        </w:rPr>
        <w:t>’d</w:t>
      </w:r>
      <w:r w:rsidR="00DB0801" w:rsidRPr="0083206F">
        <w:rPr>
          <w:bCs w:val="0"/>
          <w:i w:val="0"/>
          <w:iCs w:val="0"/>
          <w:spacing w:val="4"/>
          <w:sz w:val="20"/>
        </w:rPr>
        <w:t>i</w:t>
      </w:r>
      <w:r w:rsidR="00BD51F0" w:rsidRPr="0083206F">
        <w:rPr>
          <w:bCs w:val="0"/>
          <w:i w:val="0"/>
          <w:iCs w:val="0"/>
          <w:spacing w:val="4"/>
          <w:sz w:val="20"/>
        </w:rPr>
        <w:t xml:space="preserve">r </w:t>
      </w:r>
      <w:r w:rsidR="00DF1F03" w:rsidRPr="0083206F">
        <w:rPr>
          <w:bCs w:val="0"/>
          <w:i w:val="0"/>
          <w:iCs w:val="0"/>
          <w:spacing w:val="4"/>
          <w:sz w:val="20"/>
        </w:rPr>
        <w:t>(31 Aralık 201</w:t>
      </w:r>
      <w:r w:rsidR="00A52CA3" w:rsidRPr="0083206F">
        <w:rPr>
          <w:bCs w:val="0"/>
          <w:i w:val="0"/>
          <w:iCs w:val="0"/>
          <w:spacing w:val="4"/>
          <w:sz w:val="20"/>
        </w:rPr>
        <w:t>9</w:t>
      </w:r>
      <w:r w:rsidR="00DF1F03" w:rsidRPr="0083206F">
        <w:rPr>
          <w:bCs w:val="0"/>
          <w:i w:val="0"/>
          <w:iCs w:val="0"/>
          <w:spacing w:val="4"/>
          <w:sz w:val="20"/>
        </w:rPr>
        <w:t>: %</w:t>
      </w:r>
      <w:r w:rsidR="00A52CA3" w:rsidRPr="0083206F">
        <w:rPr>
          <w:bCs w:val="0"/>
          <w:i w:val="0"/>
          <w:iCs w:val="0"/>
          <w:spacing w:val="4"/>
          <w:sz w:val="20"/>
        </w:rPr>
        <w:t>19.32</w:t>
      </w:r>
      <w:r w:rsidRPr="0083206F">
        <w:rPr>
          <w:bCs w:val="0"/>
          <w:i w:val="0"/>
          <w:iCs w:val="0"/>
          <w:spacing w:val="4"/>
          <w:sz w:val="20"/>
        </w:rPr>
        <w:t xml:space="preserve">). </w:t>
      </w:r>
    </w:p>
    <w:p w14:paraId="7CEC201F" w14:textId="77777777" w:rsidR="00910AD9" w:rsidRPr="0083206F" w:rsidRDefault="00910AD9" w:rsidP="000F527F">
      <w:pPr>
        <w:pStyle w:val="BodyText3"/>
        <w:ind w:right="-23"/>
        <w:jc w:val="both"/>
        <w:rPr>
          <w:bCs w:val="0"/>
          <w:i w:val="0"/>
          <w:iCs w:val="0"/>
          <w:sz w:val="20"/>
        </w:rPr>
      </w:pPr>
    </w:p>
    <w:p w14:paraId="7E2F1AE8" w14:textId="35039398" w:rsidR="0099015D" w:rsidRPr="0083206F" w:rsidRDefault="0099015D" w:rsidP="0099015D">
      <w:pPr>
        <w:pStyle w:val="BodyText3"/>
        <w:ind w:right="-23"/>
        <w:jc w:val="both"/>
        <w:rPr>
          <w:bCs w:val="0"/>
          <w:i w:val="0"/>
          <w:iCs w:val="0"/>
          <w:spacing w:val="4"/>
          <w:sz w:val="20"/>
        </w:rPr>
      </w:pPr>
      <w:r w:rsidRPr="0083206F">
        <w:rPr>
          <w:bCs w:val="0"/>
          <w:i w:val="0"/>
          <w:iCs w:val="0"/>
          <w:spacing w:val="4"/>
          <w:sz w:val="20"/>
        </w:rPr>
        <w:t xml:space="preserve">BDDK’nın 23 Mart 2020 tarihinde yapmış olduğu basın açıklamasına esas olarak COVID-19 salgını neticesinde finansal piyasalarda yaşanan dalgalanmalar sebebiyle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2019 tarihli finansal tablolarının hazırlanmasında esas alınan döviz alış kuru kullanabilmesine ve 23 Mart 2020 tarihi itibarıyla “Gerçeğe Uygun Değer Farkı Diğer Kapsamlı Gelire Yansıtılan Menkul Değerler” portföyünde yer alan menkullerin net değerleme farklarının negatif olması durumunda, bu farkların Bankaların </w:t>
      </w:r>
      <w:proofErr w:type="spellStart"/>
      <w:r w:rsidRPr="0083206F">
        <w:rPr>
          <w:bCs w:val="0"/>
          <w:i w:val="0"/>
          <w:iCs w:val="0"/>
          <w:spacing w:val="4"/>
          <w:sz w:val="20"/>
        </w:rPr>
        <w:t>Özkaynaklarına</w:t>
      </w:r>
      <w:proofErr w:type="spellEnd"/>
      <w:r w:rsidRPr="0083206F">
        <w:rPr>
          <w:bCs w:val="0"/>
          <w:i w:val="0"/>
          <w:iCs w:val="0"/>
          <w:spacing w:val="4"/>
          <w:sz w:val="20"/>
        </w:rPr>
        <w:t xml:space="preserve"> İlişkin Yönetmelik uyarınca hesaplanacak ve sermaye yeterliliği oranı için kullanılacak </w:t>
      </w:r>
      <w:proofErr w:type="spellStart"/>
      <w:r w:rsidRPr="0083206F">
        <w:rPr>
          <w:bCs w:val="0"/>
          <w:i w:val="0"/>
          <w:iCs w:val="0"/>
          <w:spacing w:val="4"/>
          <w:sz w:val="20"/>
        </w:rPr>
        <w:t>özkaynak</w:t>
      </w:r>
      <w:proofErr w:type="spellEnd"/>
      <w:r w:rsidRPr="0083206F">
        <w:rPr>
          <w:bCs w:val="0"/>
          <w:i w:val="0"/>
          <w:iCs w:val="0"/>
          <w:spacing w:val="4"/>
          <w:sz w:val="20"/>
        </w:rPr>
        <w:t xml:space="preserve"> tutarında dikkate alınmamasına imkan sağlanmıştır. Banka, 30 </w:t>
      </w:r>
      <w:r w:rsidR="0083206F" w:rsidRPr="0083206F">
        <w:rPr>
          <w:bCs w:val="0"/>
          <w:i w:val="0"/>
          <w:iCs w:val="0"/>
          <w:spacing w:val="4"/>
          <w:sz w:val="20"/>
        </w:rPr>
        <w:t>Eylül</w:t>
      </w:r>
      <w:r w:rsidRPr="0083206F">
        <w:rPr>
          <w:bCs w:val="0"/>
          <w:i w:val="0"/>
          <w:iCs w:val="0"/>
          <w:spacing w:val="4"/>
          <w:sz w:val="20"/>
        </w:rPr>
        <w:t xml:space="preserve"> 2020 tarihi itibarıyla Sermaye Yeterliliği hesaplamalarında bu imkanları kullanmıştır.</w:t>
      </w:r>
    </w:p>
    <w:p w14:paraId="57587FFF" w14:textId="77777777" w:rsidR="00910AD9" w:rsidRPr="00270CE6" w:rsidRDefault="00910AD9" w:rsidP="000F527F">
      <w:pPr>
        <w:pStyle w:val="BodyText3"/>
        <w:ind w:right="-23"/>
        <w:jc w:val="both"/>
        <w:rPr>
          <w:i w:val="0"/>
          <w:color w:val="000000"/>
          <w:sz w:val="20"/>
          <w:highlight w:val="yellow"/>
        </w:rPr>
      </w:pPr>
    </w:p>
    <w:p w14:paraId="79332CF4" w14:textId="77777777" w:rsidR="00910AD9" w:rsidRPr="00270CE6" w:rsidRDefault="00910AD9" w:rsidP="000F527F">
      <w:pPr>
        <w:pStyle w:val="BodyText3"/>
        <w:ind w:right="-23"/>
        <w:jc w:val="both"/>
        <w:rPr>
          <w:i w:val="0"/>
          <w:color w:val="000000"/>
          <w:sz w:val="20"/>
          <w:highlight w:val="yellow"/>
        </w:rPr>
      </w:pPr>
    </w:p>
    <w:p w14:paraId="3B508C3E" w14:textId="77777777" w:rsidR="00F560B3" w:rsidRPr="00270CE6" w:rsidRDefault="00F560B3" w:rsidP="00F560B3">
      <w:pPr>
        <w:pStyle w:val="BodyText3"/>
        <w:ind w:right="-23"/>
        <w:jc w:val="both"/>
        <w:rPr>
          <w:rFonts w:eastAsia="Arial Unicode MS"/>
          <w:i w:val="0"/>
          <w:iCs w:val="0"/>
          <w:sz w:val="20"/>
          <w:highlight w:val="yellow"/>
        </w:rPr>
      </w:pPr>
    </w:p>
    <w:p w14:paraId="449BB917" w14:textId="77777777" w:rsidR="00F560B3" w:rsidRPr="00270CE6" w:rsidRDefault="00F560B3" w:rsidP="00F560B3">
      <w:pPr>
        <w:pStyle w:val="BodyText3"/>
        <w:ind w:right="-23"/>
        <w:jc w:val="both"/>
        <w:rPr>
          <w:rFonts w:eastAsia="Arial Unicode MS"/>
          <w:i w:val="0"/>
          <w:iCs w:val="0"/>
          <w:sz w:val="20"/>
          <w:highlight w:val="yellow"/>
        </w:rPr>
      </w:pPr>
    </w:p>
    <w:p w14:paraId="25188B03" w14:textId="77777777" w:rsidR="00F560B3" w:rsidRPr="00270CE6" w:rsidRDefault="00F560B3" w:rsidP="00F560B3">
      <w:pPr>
        <w:pStyle w:val="BodyText3"/>
        <w:ind w:right="-23"/>
        <w:jc w:val="both"/>
        <w:rPr>
          <w:rFonts w:eastAsia="Arial Unicode MS"/>
          <w:i w:val="0"/>
          <w:iCs w:val="0"/>
          <w:sz w:val="20"/>
          <w:highlight w:val="yellow"/>
        </w:rPr>
      </w:pPr>
    </w:p>
    <w:p w14:paraId="3999BBE5" w14:textId="77777777" w:rsidR="00F560B3" w:rsidRPr="00270CE6" w:rsidRDefault="00F560B3" w:rsidP="00F560B3">
      <w:pPr>
        <w:pStyle w:val="BodyText3"/>
        <w:ind w:right="-23"/>
        <w:jc w:val="both"/>
        <w:rPr>
          <w:rFonts w:eastAsia="Arial Unicode MS"/>
          <w:i w:val="0"/>
          <w:iCs w:val="0"/>
          <w:sz w:val="20"/>
          <w:highlight w:val="yellow"/>
        </w:rPr>
      </w:pPr>
    </w:p>
    <w:p w14:paraId="59CA16CF" w14:textId="77777777" w:rsidR="00F560B3" w:rsidRPr="00270CE6" w:rsidRDefault="00F560B3" w:rsidP="00F560B3">
      <w:pPr>
        <w:pStyle w:val="BodyText3"/>
        <w:ind w:right="-23"/>
        <w:jc w:val="both"/>
        <w:rPr>
          <w:rFonts w:eastAsia="Arial Unicode MS"/>
          <w:i w:val="0"/>
          <w:iCs w:val="0"/>
          <w:sz w:val="20"/>
          <w:highlight w:val="yellow"/>
        </w:rPr>
      </w:pPr>
    </w:p>
    <w:p w14:paraId="38D9DC24" w14:textId="77777777" w:rsidR="00F560B3" w:rsidRPr="00270CE6" w:rsidRDefault="00F560B3" w:rsidP="00F560B3">
      <w:pPr>
        <w:pStyle w:val="BodyText3"/>
        <w:ind w:right="-23"/>
        <w:jc w:val="both"/>
        <w:rPr>
          <w:rFonts w:eastAsia="Arial Unicode MS"/>
          <w:i w:val="0"/>
          <w:iCs w:val="0"/>
          <w:sz w:val="20"/>
          <w:highlight w:val="yellow"/>
        </w:rPr>
      </w:pPr>
    </w:p>
    <w:p w14:paraId="18DF1BDC" w14:textId="77777777" w:rsidR="00F560B3" w:rsidRPr="00270CE6" w:rsidRDefault="00F560B3" w:rsidP="00F560B3">
      <w:pPr>
        <w:pStyle w:val="BodyText3"/>
        <w:ind w:right="-23"/>
        <w:jc w:val="both"/>
        <w:rPr>
          <w:rFonts w:eastAsia="Arial Unicode MS"/>
          <w:i w:val="0"/>
          <w:iCs w:val="0"/>
          <w:sz w:val="20"/>
          <w:highlight w:val="yellow"/>
        </w:rPr>
      </w:pPr>
    </w:p>
    <w:p w14:paraId="423C850A" w14:textId="77777777" w:rsidR="00F560B3" w:rsidRPr="00270CE6" w:rsidRDefault="00F560B3" w:rsidP="00F560B3">
      <w:pPr>
        <w:pStyle w:val="BodyText3"/>
        <w:ind w:right="-23"/>
        <w:jc w:val="both"/>
        <w:rPr>
          <w:rFonts w:eastAsia="Arial Unicode MS"/>
          <w:i w:val="0"/>
          <w:iCs w:val="0"/>
          <w:sz w:val="20"/>
          <w:highlight w:val="yellow"/>
        </w:rPr>
      </w:pPr>
    </w:p>
    <w:p w14:paraId="26C89A5D" w14:textId="77777777" w:rsidR="00F560B3" w:rsidRPr="00270CE6" w:rsidRDefault="00F560B3" w:rsidP="00F560B3">
      <w:pPr>
        <w:pStyle w:val="BodyText3"/>
        <w:ind w:right="-23"/>
        <w:jc w:val="both"/>
        <w:rPr>
          <w:rFonts w:eastAsia="Arial Unicode MS"/>
          <w:i w:val="0"/>
          <w:iCs w:val="0"/>
          <w:sz w:val="20"/>
          <w:highlight w:val="yellow"/>
        </w:rPr>
      </w:pPr>
    </w:p>
    <w:p w14:paraId="78D6B16E" w14:textId="77777777" w:rsidR="00F560B3" w:rsidRPr="00270CE6" w:rsidRDefault="00F560B3" w:rsidP="00F560B3">
      <w:pPr>
        <w:pStyle w:val="BodyText3"/>
        <w:ind w:right="-23"/>
        <w:jc w:val="both"/>
        <w:rPr>
          <w:i w:val="0"/>
          <w:iCs w:val="0"/>
          <w:sz w:val="20"/>
          <w:highlight w:val="yellow"/>
        </w:rPr>
      </w:pPr>
    </w:p>
    <w:p w14:paraId="646DA40E" w14:textId="5D3B9AB4" w:rsidR="006F44AF" w:rsidRPr="00B0539F" w:rsidRDefault="00756171" w:rsidP="006F44AF">
      <w:pPr>
        <w:pStyle w:val="ListParagraph"/>
        <w:numPr>
          <w:ilvl w:val="1"/>
          <w:numId w:val="23"/>
        </w:numPr>
        <w:tabs>
          <w:tab w:val="left" w:pos="709"/>
        </w:tabs>
        <w:autoSpaceDE w:val="0"/>
        <w:autoSpaceDN w:val="0"/>
        <w:adjustRightInd w:val="0"/>
        <w:rPr>
          <w:b/>
          <w:color w:val="000000"/>
        </w:rPr>
      </w:pPr>
      <w:r w:rsidRPr="006F44AF">
        <w:rPr>
          <w:rFonts w:eastAsia="Arial Unicode MS"/>
          <w:b/>
          <w:highlight w:val="yellow"/>
        </w:rPr>
        <w:br w:type="page"/>
      </w:r>
      <w:proofErr w:type="spellStart"/>
      <w:r w:rsidR="00910AD9" w:rsidRPr="00B0539F">
        <w:rPr>
          <w:b/>
          <w:color w:val="000000"/>
        </w:rPr>
        <w:lastRenderedPageBreak/>
        <w:t>Özkaynak</w:t>
      </w:r>
      <w:proofErr w:type="spellEnd"/>
      <w:r w:rsidR="00910AD9" w:rsidRPr="00B0539F">
        <w:rPr>
          <w:b/>
          <w:color w:val="000000"/>
        </w:rPr>
        <w:t xml:space="preserve"> kalemlerine ilişkin bilgiler:</w:t>
      </w:r>
    </w:p>
    <w:p w14:paraId="1EAA0CBE" w14:textId="148CE3CD" w:rsidR="00171C8A" w:rsidRDefault="00171C8A" w:rsidP="00717AB5">
      <w:pPr>
        <w:pStyle w:val="ListParagraph"/>
        <w:tabs>
          <w:tab w:val="left" w:pos="709"/>
        </w:tabs>
        <w:ind w:left="3"/>
        <w:rPr>
          <w:lang w:val="en-GB" w:eastAsia="en-GB"/>
        </w:rPr>
      </w:pP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4"/>
        <w:gridCol w:w="1701"/>
        <w:gridCol w:w="1336"/>
      </w:tblGrid>
      <w:tr w:rsidR="00171C8A" w:rsidRPr="00171C8A" w14:paraId="0AE9D7E6" w14:textId="77777777" w:rsidTr="00717AB5">
        <w:trPr>
          <w:divId w:val="1092430232"/>
          <w:trHeight w:val="246"/>
        </w:trPr>
        <w:tc>
          <w:tcPr>
            <w:tcW w:w="6374" w:type="dxa"/>
            <w:shd w:val="clear" w:color="auto" w:fill="auto"/>
            <w:vAlign w:val="center"/>
            <w:hideMark/>
          </w:tcPr>
          <w:p w14:paraId="4CB4EBD8" w14:textId="61EEBBDE" w:rsidR="00171C8A" w:rsidRPr="00171C8A" w:rsidRDefault="00171C8A" w:rsidP="00171C8A">
            <w:pPr>
              <w:rPr>
                <w:sz w:val="16"/>
                <w:szCs w:val="16"/>
                <w:lang w:eastAsia="tr-TR"/>
              </w:rPr>
            </w:pPr>
            <w:r w:rsidRPr="00171C8A">
              <w:rPr>
                <w:sz w:val="16"/>
                <w:szCs w:val="16"/>
                <w:lang w:eastAsia="tr-TR"/>
              </w:rPr>
              <w:t> </w:t>
            </w:r>
          </w:p>
        </w:tc>
        <w:tc>
          <w:tcPr>
            <w:tcW w:w="1701" w:type="dxa"/>
            <w:shd w:val="clear" w:color="auto" w:fill="auto"/>
            <w:hideMark/>
          </w:tcPr>
          <w:p w14:paraId="53C8A9D0" w14:textId="77777777" w:rsidR="00171C8A" w:rsidRPr="00171C8A" w:rsidRDefault="00171C8A" w:rsidP="00171C8A">
            <w:pPr>
              <w:jc w:val="center"/>
              <w:rPr>
                <w:b/>
                <w:bCs/>
                <w:sz w:val="16"/>
                <w:szCs w:val="16"/>
                <w:lang w:eastAsia="tr-TR"/>
              </w:rPr>
            </w:pPr>
            <w:r w:rsidRPr="00171C8A">
              <w:rPr>
                <w:b/>
                <w:bCs/>
                <w:sz w:val="16"/>
                <w:szCs w:val="16"/>
                <w:lang w:eastAsia="tr-TR"/>
              </w:rPr>
              <w:t>Cari Dönem</w:t>
            </w:r>
            <w:r w:rsidRPr="00171C8A">
              <w:rPr>
                <w:b/>
                <w:bCs/>
                <w:sz w:val="16"/>
                <w:szCs w:val="16"/>
                <w:lang w:eastAsia="tr-TR"/>
              </w:rPr>
              <w:br/>
              <w:t xml:space="preserve"> Tutar </w:t>
            </w:r>
          </w:p>
        </w:tc>
        <w:tc>
          <w:tcPr>
            <w:tcW w:w="1336" w:type="dxa"/>
            <w:shd w:val="clear" w:color="auto" w:fill="auto"/>
            <w:hideMark/>
          </w:tcPr>
          <w:p w14:paraId="5427836D" w14:textId="77777777" w:rsidR="00171C8A" w:rsidRPr="00171C8A" w:rsidRDefault="00171C8A" w:rsidP="00171C8A">
            <w:pPr>
              <w:jc w:val="center"/>
              <w:rPr>
                <w:b/>
                <w:bCs/>
                <w:sz w:val="16"/>
                <w:szCs w:val="16"/>
                <w:lang w:eastAsia="tr-TR"/>
              </w:rPr>
            </w:pPr>
            <w:r w:rsidRPr="00171C8A">
              <w:rPr>
                <w:b/>
                <w:bCs/>
                <w:sz w:val="16"/>
                <w:szCs w:val="16"/>
                <w:lang w:eastAsia="tr-TR"/>
              </w:rPr>
              <w:t>Önceki Dönem</w:t>
            </w:r>
            <w:r w:rsidRPr="00171C8A">
              <w:rPr>
                <w:b/>
                <w:bCs/>
                <w:sz w:val="16"/>
                <w:szCs w:val="16"/>
                <w:lang w:eastAsia="tr-TR"/>
              </w:rPr>
              <w:br/>
              <w:t>Tutar</w:t>
            </w:r>
          </w:p>
        </w:tc>
      </w:tr>
      <w:tr w:rsidR="00171C8A" w:rsidRPr="00171C8A" w14:paraId="266A651D" w14:textId="77777777" w:rsidTr="00717AB5">
        <w:trPr>
          <w:divId w:val="1092430232"/>
          <w:trHeight w:val="235"/>
        </w:trPr>
        <w:tc>
          <w:tcPr>
            <w:tcW w:w="6374" w:type="dxa"/>
            <w:shd w:val="clear" w:color="auto" w:fill="auto"/>
            <w:vAlign w:val="center"/>
            <w:hideMark/>
          </w:tcPr>
          <w:p w14:paraId="480C4A3A" w14:textId="77777777" w:rsidR="00171C8A" w:rsidRPr="00171C8A" w:rsidRDefault="00171C8A" w:rsidP="00171C8A">
            <w:pPr>
              <w:jc w:val="center"/>
              <w:rPr>
                <w:b/>
                <w:bCs/>
                <w:sz w:val="16"/>
                <w:szCs w:val="16"/>
                <w:lang w:eastAsia="tr-TR"/>
              </w:rPr>
            </w:pPr>
            <w:r w:rsidRPr="00171C8A">
              <w:rPr>
                <w:b/>
                <w:bCs/>
                <w:sz w:val="16"/>
                <w:szCs w:val="16"/>
                <w:lang w:eastAsia="tr-TR"/>
              </w:rPr>
              <w:t>ÇEKİRDEK SERMAYE</w:t>
            </w:r>
          </w:p>
        </w:tc>
        <w:tc>
          <w:tcPr>
            <w:tcW w:w="1701" w:type="dxa"/>
            <w:shd w:val="clear" w:color="auto" w:fill="auto"/>
            <w:vAlign w:val="bottom"/>
            <w:hideMark/>
          </w:tcPr>
          <w:p w14:paraId="1A886B57" w14:textId="77777777" w:rsidR="00171C8A" w:rsidRPr="00171C8A" w:rsidRDefault="00171C8A" w:rsidP="00171C8A">
            <w:pPr>
              <w:jc w:val="center"/>
              <w:rPr>
                <w:b/>
                <w:bCs/>
                <w:sz w:val="16"/>
                <w:szCs w:val="16"/>
                <w:lang w:eastAsia="tr-TR"/>
              </w:rPr>
            </w:pPr>
            <w:r w:rsidRPr="00171C8A">
              <w:rPr>
                <w:b/>
                <w:bCs/>
                <w:sz w:val="16"/>
                <w:szCs w:val="16"/>
                <w:lang w:eastAsia="tr-TR"/>
              </w:rPr>
              <w:t> </w:t>
            </w:r>
          </w:p>
        </w:tc>
        <w:tc>
          <w:tcPr>
            <w:tcW w:w="1336" w:type="dxa"/>
            <w:shd w:val="clear" w:color="auto" w:fill="auto"/>
            <w:vAlign w:val="bottom"/>
            <w:hideMark/>
          </w:tcPr>
          <w:p w14:paraId="7E8A9B07" w14:textId="77777777" w:rsidR="00171C8A" w:rsidRPr="00171C8A" w:rsidRDefault="00171C8A" w:rsidP="00171C8A">
            <w:pPr>
              <w:jc w:val="center"/>
              <w:rPr>
                <w:b/>
                <w:bCs/>
                <w:sz w:val="16"/>
                <w:szCs w:val="16"/>
                <w:lang w:eastAsia="tr-TR"/>
              </w:rPr>
            </w:pPr>
            <w:r w:rsidRPr="00171C8A">
              <w:rPr>
                <w:b/>
                <w:bCs/>
                <w:sz w:val="16"/>
                <w:szCs w:val="16"/>
                <w:lang w:eastAsia="tr-TR"/>
              </w:rPr>
              <w:t> </w:t>
            </w:r>
          </w:p>
        </w:tc>
      </w:tr>
      <w:tr w:rsidR="00171C8A" w:rsidRPr="00171C8A" w14:paraId="43FC37C2" w14:textId="77777777" w:rsidTr="00717AB5">
        <w:trPr>
          <w:divId w:val="1092430232"/>
          <w:trHeight w:val="160"/>
        </w:trPr>
        <w:tc>
          <w:tcPr>
            <w:tcW w:w="6374" w:type="dxa"/>
            <w:shd w:val="clear" w:color="auto" w:fill="auto"/>
            <w:vAlign w:val="center"/>
            <w:hideMark/>
          </w:tcPr>
          <w:p w14:paraId="5AB5CFE4" w14:textId="77777777" w:rsidR="00171C8A" w:rsidRPr="00171C8A" w:rsidRDefault="00171C8A" w:rsidP="00171C8A">
            <w:pPr>
              <w:rPr>
                <w:sz w:val="16"/>
                <w:szCs w:val="16"/>
                <w:lang w:eastAsia="tr-TR"/>
              </w:rPr>
            </w:pPr>
            <w:r w:rsidRPr="00171C8A">
              <w:rPr>
                <w:sz w:val="16"/>
                <w:szCs w:val="16"/>
                <w:lang w:eastAsia="tr-TR"/>
              </w:rPr>
              <w:t>Bankanın tasfiyesi halinde alacak hakkı açısından diğer tüm alacaklardan sonra gelen ödenmiş sermaye</w:t>
            </w:r>
          </w:p>
        </w:tc>
        <w:tc>
          <w:tcPr>
            <w:tcW w:w="1701" w:type="dxa"/>
            <w:shd w:val="clear" w:color="auto" w:fill="auto"/>
            <w:vAlign w:val="bottom"/>
            <w:hideMark/>
          </w:tcPr>
          <w:p w14:paraId="0BF54D2D" w14:textId="77777777" w:rsidR="00171C8A" w:rsidRPr="00171C8A" w:rsidRDefault="00171C8A" w:rsidP="00171C8A">
            <w:pPr>
              <w:jc w:val="right"/>
              <w:rPr>
                <w:sz w:val="16"/>
                <w:szCs w:val="16"/>
                <w:lang w:eastAsia="tr-TR"/>
              </w:rPr>
            </w:pPr>
            <w:r w:rsidRPr="00171C8A">
              <w:rPr>
                <w:sz w:val="16"/>
                <w:szCs w:val="16"/>
                <w:lang w:eastAsia="tr-TR"/>
              </w:rPr>
              <w:t>4,600,000</w:t>
            </w:r>
          </w:p>
        </w:tc>
        <w:tc>
          <w:tcPr>
            <w:tcW w:w="1336" w:type="dxa"/>
            <w:shd w:val="clear" w:color="auto" w:fill="auto"/>
            <w:vAlign w:val="bottom"/>
            <w:hideMark/>
          </w:tcPr>
          <w:p w14:paraId="5C9E67AD" w14:textId="77777777" w:rsidR="00171C8A" w:rsidRPr="00171C8A" w:rsidRDefault="00171C8A" w:rsidP="00171C8A">
            <w:pPr>
              <w:jc w:val="right"/>
              <w:rPr>
                <w:sz w:val="16"/>
                <w:szCs w:val="16"/>
                <w:lang w:eastAsia="tr-TR"/>
              </w:rPr>
            </w:pPr>
            <w:r w:rsidRPr="00171C8A">
              <w:rPr>
                <w:sz w:val="16"/>
                <w:szCs w:val="16"/>
                <w:lang w:eastAsia="tr-TR"/>
              </w:rPr>
              <w:t>4,000,000</w:t>
            </w:r>
          </w:p>
        </w:tc>
      </w:tr>
      <w:tr w:rsidR="00171C8A" w:rsidRPr="00171C8A" w14:paraId="401AD446" w14:textId="77777777" w:rsidTr="00717AB5">
        <w:trPr>
          <w:divId w:val="1092430232"/>
          <w:trHeight w:val="160"/>
        </w:trPr>
        <w:tc>
          <w:tcPr>
            <w:tcW w:w="6374" w:type="dxa"/>
            <w:shd w:val="clear" w:color="auto" w:fill="auto"/>
            <w:vAlign w:val="center"/>
            <w:hideMark/>
          </w:tcPr>
          <w:p w14:paraId="3DF3D422" w14:textId="77777777" w:rsidR="00171C8A" w:rsidRPr="00171C8A" w:rsidRDefault="00171C8A" w:rsidP="00171C8A">
            <w:pPr>
              <w:rPr>
                <w:sz w:val="16"/>
                <w:szCs w:val="16"/>
                <w:lang w:eastAsia="tr-TR"/>
              </w:rPr>
            </w:pPr>
            <w:r w:rsidRPr="00171C8A">
              <w:rPr>
                <w:sz w:val="16"/>
                <w:szCs w:val="16"/>
                <w:lang w:eastAsia="tr-TR"/>
              </w:rPr>
              <w:t>Hisse senedi ihraç primleri</w:t>
            </w:r>
          </w:p>
        </w:tc>
        <w:tc>
          <w:tcPr>
            <w:tcW w:w="1701" w:type="dxa"/>
            <w:shd w:val="clear" w:color="auto" w:fill="auto"/>
            <w:vAlign w:val="bottom"/>
            <w:hideMark/>
          </w:tcPr>
          <w:p w14:paraId="4E1E0134" w14:textId="77777777" w:rsidR="00171C8A" w:rsidRPr="00171C8A" w:rsidRDefault="00171C8A" w:rsidP="00171C8A">
            <w:pPr>
              <w:jc w:val="right"/>
              <w:rPr>
                <w:sz w:val="16"/>
                <w:szCs w:val="16"/>
                <w:lang w:eastAsia="tr-TR"/>
              </w:rPr>
            </w:pPr>
            <w:r w:rsidRPr="00171C8A">
              <w:rPr>
                <w:sz w:val="16"/>
                <w:szCs w:val="16"/>
                <w:lang w:eastAsia="tr-TR"/>
              </w:rPr>
              <w:t>23,250</w:t>
            </w:r>
          </w:p>
        </w:tc>
        <w:tc>
          <w:tcPr>
            <w:tcW w:w="1336" w:type="dxa"/>
            <w:shd w:val="clear" w:color="auto" w:fill="auto"/>
            <w:vAlign w:val="bottom"/>
            <w:hideMark/>
          </w:tcPr>
          <w:p w14:paraId="70211476" w14:textId="77777777" w:rsidR="00171C8A" w:rsidRPr="00171C8A" w:rsidRDefault="00171C8A" w:rsidP="00171C8A">
            <w:pPr>
              <w:jc w:val="right"/>
              <w:rPr>
                <w:sz w:val="16"/>
                <w:szCs w:val="16"/>
                <w:lang w:eastAsia="tr-TR"/>
              </w:rPr>
            </w:pPr>
            <w:r w:rsidRPr="00171C8A">
              <w:rPr>
                <w:sz w:val="16"/>
                <w:szCs w:val="16"/>
                <w:lang w:eastAsia="tr-TR"/>
              </w:rPr>
              <w:t>23,250</w:t>
            </w:r>
          </w:p>
        </w:tc>
      </w:tr>
      <w:tr w:rsidR="00171C8A" w:rsidRPr="00171C8A" w14:paraId="452739BC" w14:textId="77777777" w:rsidTr="00717AB5">
        <w:trPr>
          <w:divId w:val="1092430232"/>
          <w:trHeight w:val="160"/>
        </w:trPr>
        <w:tc>
          <w:tcPr>
            <w:tcW w:w="6374" w:type="dxa"/>
            <w:shd w:val="clear" w:color="auto" w:fill="auto"/>
            <w:vAlign w:val="center"/>
            <w:hideMark/>
          </w:tcPr>
          <w:p w14:paraId="604E605D" w14:textId="77777777" w:rsidR="00171C8A" w:rsidRPr="00171C8A" w:rsidRDefault="00171C8A" w:rsidP="00171C8A">
            <w:pPr>
              <w:rPr>
                <w:sz w:val="16"/>
                <w:szCs w:val="16"/>
                <w:lang w:eastAsia="tr-TR"/>
              </w:rPr>
            </w:pPr>
            <w:r w:rsidRPr="00171C8A">
              <w:rPr>
                <w:sz w:val="16"/>
                <w:szCs w:val="16"/>
                <w:lang w:eastAsia="tr-TR"/>
              </w:rPr>
              <w:t>Yedek akçeler</w:t>
            </w:r>
          </w:p>
        </w:tc>
        <w:tc>
          <w:tcPr>
            <w:tcW w:w="1701" w:type="dxa"/>
            <w:shd w:val="clear" w:color="auto" w:fill="auto"/>
            <w:vAlign w:val="bottom"/>
            <w:hideMark/>
          </w:tcPr>
          <w:p w14:paraId="39D3AEF2" w14:textId="77777777" w:rsidR="00171C8A" w:rsidRPr="00171C8A" w:rsidRDefault="00171C8A" w:rsidP="00171C8A">
            <w:pPr>
              <w:jc w:val="right"/>
              <w:rPr>
                <w:sz w:val="16"/>
                <w:szCs w:val="16"/>
                <w:lang w:eastAsia="tr-TR"/>
              </w:rPr>
            </w:pPr>
            <w:r w:rsidRPr="00171C8A">
              <w:rPr>
                <w:sz w:val="16"/>
                <w:szCs w:val="16"/>
                <w:lang w:eastAsia="tr-TR"/>
              </w:rPr>
              <w:t>1,970,505</w:t>
            </w:r>
          </w:p>
        </w:tc>
        <w:tc>
          <w:tcPr>
            <w:tcW w:w="1336" w:type="dxa"/>
            <w:shd w:val="clear" w:color="auto" w:fill="auto"/>
            <w:vAlign w:val="bottom"/>
            <w:hideMark/>
          </w:tcPr>
          <w:p w14:paraId="08EB479E" w14:textId="77777777" w:rsidR="00171C8A" w:rsidRPr="00171C8A" w:rsidRDefault="00171C8A" w:rsidP="00171C8A">
            <w:pPr>
              <w:jc w:val="right"/>
              <w:rPr>
                <w:sz w:val="16"/>
                <w:szCs w:val="16"/>
                <w:lang w:eastAsia="tr-TR"/>
              </w:rPr>
            </w:pPr>
            <w:r w:rsidRPr="00171C8A">
              <w:rPr>
                <w:sz w:val="16"/>
                <w:szCs w:val="16"/>
                <w:lang w:eastAsia="tr-TR"/>
              </w:rPr>
              <w:t>1,469,025</w:t>
            </w:r>
          </w:p>
        </w:tc>
      </w:tr>
      <w:tr w:rsidR="00171C8A" w:rsidRPr="00171C8A" w14:paraId="0E31E3D7" w14:textId="77777777" w:rsidTr="00717AB5">
        <w:trPr>
          <w:divId w:val="1092430232"/>
          <w:trHeight w:val="160"/>
        </w:trPr>
        <w:tc>
          <w:tcPr>
            <w:tcW w:w="6374" w:type="dxa"/>
            <w:shd w:val="clear" w:color="auto" w:fill="auto"/>
            <w:vAlign w:val="center"/>
            <w:hideMark/>
          </w:tcPr>
          <w:p w14:paraId="0CDECA20" w14:textId="77777777" w:rsidR="00171C8A" w:rsidRPr="00171C8A" w:rsidRDefault="00171C8A" w:rsidP="00171C8A">
            <w:pPr>
              <w:rPr>
                <w:sz w:val="16"/>
                <w:szCs w:val="16"/>
                <w:lang w:eastAsia="tr-TR"/>
              </w:rPr>
            </w:pPr>
            <w:r w:rsidRPr="00171C8A">
              <w:rPr>
                <w:sz w:val="16"/>
                <w:szCs w:val="16"/>
                <w:lang w:eastAsia="tr-TR"/>
              </w:rPr>
              <w:t>Türkiye Muhasebe Standartları (TMS) uyarınca </w:t>
            </w:r>
            <w:proofErr w:type="spellStart"/>
            <w:r w:rsidRPr="00171C8A">
              <w:rPr>
                <w:sz w:val="16"/>
                <w:szCs w:val="16"/>
                <w:lang w:eastAsia="tr-TR"/>
              </w:rPr>
              <w:t>özkaynaklara</w:t>
            </w:r>
            <w:proofErr w:type="spellEnd"/>
            <w:r w:rsidRPr="00171C8A">
              <w:rPr>
                <w:sz w:val="16"/>
                <w:szCs w:val="16"/>
                <w:lang w:eastAsia="tr-TR"/>
              </w:rPr>
              <w:t> yansıtılan kazançlar</w:t>
            </w:r>
          </w:p>
        </w:tc>
        <w:tc>
          <w:tcPr>
            <w:tcW w:w="1701" w:type="dxa"/>
            <w:shd w:val="clear" w:color="auto" w:fill="auto"/>
            <w:vAlign w:val="bottom"/>
            <w:hideMark/>
          </w:tcPr>
          <w:p w14:paraId="59FCE585" w14:textId="77777777" w:rsidR="00171C8A" w:rsidRPr="00171C8A" w:rsidRDefault="00171C8A" w:rsidP="00171C8A">
            <w:pPr>
              <w:jc w:val="right"/>
              <w:rPr>
                <w:sz w:val="16"/>
                <w:szCs w:val="16"/>
                <w:lang w:eastAsia="tr-TR"/>
              </w:rPr>
            </w:pPr>
            <w:r w:rsidRPr="00171C8A">
              <w:rPr>
                <w:sz w:val="16"/>
                <w:szCs w:val="16"/>
                <w:lang w:eastAsia="tr-TR"/>
              </w:rPr>
              <w:t>57,097</w:t>
            </w:r>
          </w:p>
        </w:tc>
        <w:tc>
          <w:tcPr>
            <w:tcW w:w="1336" w:type="dxa"/>
            <w:shd w:val="clear" w:color="auto" w:fill="auto"/>
            <w:vAlign w:val="bottom"/>
            <w:hideMark/>
          </w:tcPr>
          <w:p w14:paraId="55FE0C7C" w14:textId="77777777" w:rsidR="00171C8A" w:rsidRPr="00171C8A" w:rsidRDefault="00171C8A" w:rsidP="00171C8A">
            <w:pPr>
              <w:jc w:val="right"/>
              <w:rPr>
                <w:sz w:val="16"/>
                <w:szCs w:val="16"/>
                <w:lang w:eastAsia="tr-TR"/>
              </w:rPr>
            </w:pPr>
            <w:r w:rsidRPr="00171C8A">
              <w:rPr>
                <w:sz w:val="16"/>
                <w:szCs w:val="16"/>
                <w:lang w:eastAsia="tr-TR"/>
              </w:rPr>
              <w:t>219,108</w:t>
            </w:r>
          </w:p>
        </w:tc>
      </w:tr>
      <w:tr w:rsidR="00171C8A" w:rsidRPr="00171C8A" w14:paraId="74B46CF8" w14:textId="77777777" w:rsidTr="00717AB5">
        <w:trPr>
          <w:divId w:val="1092430232"/>
          <w:trHeight w:val="160"/>
        </w:trPr>
        <w:tc>
          <w:tcPr>
            <w:tcW w:w="6374" w:type="dxa"/>
            <w:shd w:val="clear" w:color="auto" w:fill="auto"/>
            <w:vAlign w:val="center"/>
            <w:hideMark/>
          </w:tcPr>
          <w:p w14:paraId="2AFE6D13" w14:textId="77777777" w:rsidR="00171C8A" w:rsidRPr="00171C8A" w:rsidRDefault="00171C8A" w:rsidP="00171C8A">
            <w:pPr>
              <w:rPr>
                <w:sz w:val="16"/>
                <w:szCs w:val="16"/>
                <w:lang w:eastAsia="tr-TR"/>
              </w:rPr>
            </w:pPr>
            <w:r w:rsidRPr="00171C8A">
              <w:rPr>
                <w:sz w:val="16"/>
                <w:szCs w:val="16"/>
                <w:lang w:eastAsia="tr-TR"/>
              </w:rPr>
              <w:t>Kâr</w:t>
            </w:r>
          </w:p>
        </w:tc>
        <w:tc>
          <w:tcPr>
            <w:tcW w:w="1701" w:type="dxa"/>
            <w:shd w:val="clear" w:color="auto" w:fill="auto"/>
            <w:vAlign w:val="bottom"/>
            <w:hideMark/>
          </w:tcPr>
          <w:p w14:paraId="7DAB2DB1" w14:textId="77777777" w:rsidR="00171C8A" w:rsidRPr="00171C8A" w:rsidRDefault="00171C8A" w:rsidP="00171C8A">
            <w:pPr>
              <w:jc w:val="right"/>
              <w:rPr>
                <w:sz w:val="16"/>
                <w:szCs w:val="16"/>
                <w:lang w:eastAsia="tr-TR"/>
              </w:rPr>
            </w:pPr>
            <w:r w:rsidRPr="00171C8A">
              <w:rPr>
                <w:sz w:val="16"/>
                <w:szCs w:val="16"/>
                <w:lang w:eastAsia="tr-TR"/>
              </w:rPr>
              <w:t>1,094,254</w:t>
            </w:r>
          </w:p>
        </w:tc>
        <w:tc>
          <w:tcPr>
            <w:tcW w:w="1336" w:type="dxa"/>
            <w:shd w:val="clear" w:color="auto" w:fill="auto"/>
            <w:vAlign w:val="bottom"/>
            <w:hideMark/>
          </w:tcPr>
          <w:p w14:paraId="2B04DD8E" w14:textId="77777777" w:rsidR="00171C8A" w:rsidRPr="00171C8A" w:rsidRDefault="00171C8A" w:rsidP="00171C8A">
            <w:pPr>
              <w:jc w:val="right"/>
              <w:rPr>
                <w:sz w:val="16"/>
                <w:szCs w:val="16"/>
                <w:lang w:eastAsia="tr-TR"/>
              </w:rPr>
            </w:pPr>
            <w:r w:rsidRPr="00171C8A">
              <w:rPr>
                <w:sz w:val="16"/>
                <w:szCs w:val="16"/>
                <w:lang w:eastAsia="tr-TR"/>
              </w:rPr>
              <w:t>1,145,378</w:t>
            </w:r>
          </w:p>
        </w:tc>
      </w:tr>
      <w:tr w:rsidR="00171C8A" w:rsidRPr="00171C8A" w14:paraId="1BEDA73C" w14:textId="77777777" w:rsidTr="00717AB5">
        <w:trPr>
          <w:divId w:val="1092430232"/>
          <w:trHeight w:val="160"/>
        </w:trPr>
        <w:tc>
          <w:tcPr>
            <w:tcW w:w="6374" w:type="dxa"/>
            <w:shd w:val="clear" w:color="auto" w:fill="auto"/>
            <w:vAlign w:val="center"/>
            <w:hideMark/>
          </w:tcPr>
          <w:p w14:paraId="48C564DF" w14:textId="77777777" w:rsidR="00171C8A" w:rsidRPr="00171C8A" w:rsidRDefault="00171C8A" w:rsidP="00171C8A">
            <w:pPr>
              <w:rPr>
                <w:sz w:val="16"/>
                <w:szCs w:val="16"/>
                <w:lang w:eastAsia="tr-TR"/>
              </w:rPr>
            </w:pPr>
            <w:r w:rsidRPr="00171C8A">
              <w:rPr>
                <w:sz w:val="16"/>
                <w:szCs w:val="16"/>
                <w:lang w:eastAsia="tr-TR"/>
              </w:rPr>
              <w:t>      Net Dönem Kârı</w:t>
            </w:r>
          </w:p>
        </w:tc>
        <w:tc>
          <w:tcPr>
            <w:tcW w:w="1701" w:type="dxa"/>
            <w:shd w:val="clear" w:color="auto" w:fill="auto"/>
            <w:vAlign w:val="bottom"/>
            <w:hideMark/>
          </w:tcPr>
          <w:p w14:paraId="57BBA5BD" w14:textId="77777777" w:rsidR="00171C8A" w:rsidRPr="00171C8A" w:rsidRDefault="00171C8A" w:rsidP="00171C8A">
            <w:pPr>
              <w:jc w:val="right"/>
              <w:rPr>
                <w:sz w:val="16"/>
                <w:szCs w:val="16"/>
                <w:lang w:eastAsia="tr-TR"/>
              </w:rPr>
            </w:pPr>
            <w:r w:rsidRPr="00171C8A">
              <w:rPr>
                <w:sz w:val="16"/>
                <w:szCs w:val="16"/>
                <w:lang w:eastAsia="tr-TR"/>
              </w:rPr>
              <w:t>1,036,056</w:t>
            </w:r>
          </w:p>
        </w:tc>
        <w:tc>
          <w:tcPr>
            <w:tcW w:w="1336" w:type="dxa"/>
            <w:shd w:val="clear" w:color="auto" w:fill="auto"/>
            <w:vAlign w:val="bottom"/>
            <w:hideMark/>
          </w:tcPr>
          <w:p w14:paraId="54D21E9F" w14:textId="77777777" w:rsidR="00171C8A" w:rsidRPr="00171C8A" w:rsidRDefault="00171C8A" w:rsidP="00171C8A">
            <w:pPr>
              <w:jc w:val="right"/>
              <w:rPr>
                <w:sz w:val="16"/>
                <w:szCs w:val="16"/>
                <w:lang w:eastAsia="tr-TR"/>
              </w:rPr>
            </w:pPr>
            <w:r w:rsidRPr="00171C8A">
              <w:rPr>
                <w:sz w:val="16"/>
                <w:szCs w:val="16"/>
                <w:lang w:eastAsia="tr-TR"/>
              </w:rPr>
              <w:t>1,109,838</w:t>
            </w:r>
          </w:p>
        </w:tc>
      </w:tr>
      <w:tr w:rsidR="00171C8A" w:rsidRPr="00171C8A" w14:paraId="7C893019" w14:textId="77777777" w:rsidTr="00717AB5">
        <w:trPr>
          <w:divId w:val="1092430232"/>
          <w:trHeight w:val="160"/>
        </w:trPr>
        <w:tc>
          <w:tcPr>
            <w:tcW w:w="6374" w:type="dxa"/>
            <w:shd w:val="clear" w:color="auto" w:fill="auto"/>
            <w:vAlign w:val="center"/>
            <w:hideMark/>
          </w:tcPr>
          <w:p w14:paraId="07356ABD" w14:textId="77777777" w:rsidR="00171C8A" w:rsidRPr="00171C8A" w:rsidRDefault="00171C8A" w:rsidP="00171C8A">
            <w:pPr>
              <w:rPr>
                <w:sz w:val="16"/>
                <w:szCs w:val="16"/>
                <w:lang w:eastAsia="tr-TR"/>
              </w:rPr>
            </w:pPr>
            <w:r w:rsidRPr="00171C8A">
              <w:rPr>
                <w:sz w:val="16"/>
                <w:szCs w:val="16"/>
                <w:lang w:eastAsia="tr-TR"/>
              </w:rPr>
              <w:t>      Geçmiş Yıllar Kârı</w:t>
            </w:r>
          </w:p>
        </w:tc>
        <w:tc>
          <w:tcPr>
            <w:tcW w:w="1701" w:type="dxa"/>
            <w:shd w:val="clear" w:color="auto" w:fill="auto"/>
            <w:vAlign w:val="bottom"/>
            <w:hideMark/>
          </w:tcPr>
          <w:p w14:paraId="274C8225" w14:textId="77777777" w:rsidR="00171C8A" w:rsidRPr="00171C8A" w:rsidRDefault="00171C8A" w:rsidP="00171C8A">
            <w:pPr>
              <w:jc w:val="right"/>
              <w:rPr>
                <w:sz w:val="16"/>
                <w:szCs w:val="16"/>
                <w:lang w:eastAsia="tr-TR"/>
              </w:rPr>
            </w:pPr>
            <w:r w:rsidRPr="00171C8A">
              <w:rPr>
                <w:sz w:val="16"/>
                <w:szCs w:val="16"/>
                <w:lang w:eastAsia="tr-TR"/>
              </w:rPr>
              <w:t>58,198</w:t>
            </w:r>
          </w:p>
        </w:tc>
        <w:tc>
          <w:tcPr>
            <w:tcW w:w="1336" w:type="dxa"/>
            <w:shd w:val="clear" w:color="auto" w:fill="auto"/>
            <w:vAlign w:val="bottom"/>
            <w:hideMark/>
          </w:tcPr>
          <w:p w14:paraId="3D2982BC" w14:textId="77777777" w:rsidR="00171C8A" w:rsidRPr="00171C8A" w:rsidRDefault="00171C8A" w:rsidP="00171C8A">
            <w:pPr>
              <w:jc w:val="right"/>
              <w:rPr>
                <w:sz w:val="16"/>
                <w:szCs w:val="16"/>
                <w:lang w:eastAsia="tr-TR"/>
              </w:rPr>
            </w:pPr>
            <w:r w:rsidRPr="00171C8A">
              <w:rPr>
                <w:sz w:val="16"/>
                <w:szCs w:val="16"/>
                <w:lang w:eastAsia="tr-TR"/>
              </w:rPr>
              <w:t>35,540</w:t>
            </w:r>
          </w:p>
        </w:tc>
      </w:tr>
      <w:tr w:rsidR="00171C8A" w:rsidRPr="00171C8A" w14:paraId="589BB74E" w14:textId="77777777" w:rsidTr="00717AB5">
        <w:trPr>
          <w:divId w:val="1092430232"/>
          <w:trHeight w:val="160"/>
        </w:trPr>
        <w:tc>
          <w:tcPr>
            <w:tcW w:w="6374" w:type="dxa"/>
            <w:shd w:val="clear" w:color="auto" w:fill="auto"/>
            <w:vAlign w:val="center"/>
            <w:hideMark/>
          </w:tcPr>
          <w:p w14:paraId="36072C10" w14:textId="77777777" w:rsidR="00171C8A" w:rsidRPr="00171C8A" w:rsidRDefault="00171C8A" w:rsidP="00171C8A">
            <w:pPr>
              <w:rPr>
                <w:sz w:val="16"/>
                <w:szCs w:val="16"/>
                <w:lang w:eastAsia="tr-TR"/>
              </w:rPr>
            </w:pPr>
            <w:r w:rsidRPr="00171C8A">
              <w:rPr>
                <w:sz w:val="16"/>
                <w:szCs w:val="16"/>
                <w:lang w:eastAsia="tr-TR"/>
              </w:rPr>
              <w:t>İştirakler, bağlı ortaklıklar ve birlikte kontrol edilen ortaklıklardan bedelsiz olarak edinilen ve dönem kârı içerisinde muhasebeleştirilmeyen hisseler</w:t>
            </w:r>
          </w:p>
        </w:tc>
        <w:tc>
          <w:tcPr>
            <w:tcW w:w="1701" w:type="dxa"/>
            <w:shd w:val="clear" w:color="auto" w:fill="auto"/>
            <w:vAlign w:val="bottom"/>
            <w:hideMark/>
          </w:tcPr>
          <w:p w14:paraId="4C323AC1"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3E04C8E4"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39FC89B4" w14:textId="77777777" w:rsidTr="00717AB5">
        <w:trPr>
          <w:divId w:val="1092430232"/>
          <w:trHeight w:val="235"/>
        </w:trPr>
        <w:tc>
          <w:tcPr>
            <w:tcW w:w="6374" w:type="dxa"/>
            <w:shd w:val="clear" w:color="auto" w:fill="auto"/>
            <w:vAlign w:val="center"/>
            <w:hideMark/>
          </w:tcPr>
          <w:p w14:paraId="68D41B6D" w14:textId="77777777" w:rsidR="00171C8A" w:rsidRPr="00171C8A" w:rsidRDefault="00171C8A" w:rsidP="00171C8A">
            <w:pPr>
              <w:rPr>
                <w:b/>
                <w:bCs/>
                <w:sz w:val="16"/>
                <w:szCs w:val="16"/>
                <w:lang w:eastAsia="tr-TR"/>
              </w:rPr>
            </w:pPr>
            <w:r w:rsidRPr="00171C8A">
              <w:rPr>
                <w:b/>
                <w:bCs/>
                <w:sz w:val="16"/>
                <w:szCs w:val="16"/>
                <w:lang w:eastAsia="tr-TR"/>
              </w:rPr>
              <w:t>İndirimler öncesi çekirdek sermaye</w:t>
            </w:r>
          </w:p>
        </w:tc>
        <w:tc>
          <w:tcPr>
            <w:tcW w:w="1701" w:type="dxa"/>
            <w:shd w:val="clear" w:color="auto" w:fill="auto"/>
            <w:vAlign w:val="bottom"/>
            <w:hideMark/>
          </w:tcPr>
          <w:p w14:paraId="2C2D1A9C" w14:textId="77777777" w:rsidR="00171C8A" w:rsidRPr="00171C8A" w:rsidRDefault="00171C8A" w:rsidP="00171C8A">
            <w:pPr>
              <w:jc w:val="right"/>
              <w:rPr>
                <w:b/>
                <w:bCs/>
                <w:sz w:val="16"/>
                <w:szCs w:val="16"/>
                <w:lang w:eastAsia="tr-TR"/>
              </w:rPr>
            </w:pPr>
            <w:r w:rsidRPr="00171C8A">
              <w:rPr>
                <w:b/>
                <w:bCs/>
                <w:sz w:val="16"/>
                <w:szCs w:val="16"/>
                <w:lang w:eastAsia="tr-TR"/>
              </w:rPr>
              <w:t>7,745,106</w:t>
            </w:r>
          </w:p>
        </w:tc>
        <w:tc>
          <w:tcPr>
            <w:tcW w:w="1336" w:type="dxa"/>
            <w:shd w:val="clear" w:color="auto" w:fill="auto"/>
            <w:vAlign w:val="bottom"/>
            <w:hideMark/>
          </w:tcPr>
          <w:p w14:paraId="5962AFBB" w14:textId="77777777" w:rsidR="00171C8A" w:rsidRPr="00171C8A" w:rsidRDefault="00171C8A" w:rsidP="00171C8A">
            <w:pPr>
              <w:jc w:val="right"/>
              <w:rPr>
                <w:b/>
                <w:sz w:val="16"/>
                <w:szCs w:val="16"/>
                <w:lang w:eastAsia="tr-TR"/>
              </w:rPr>
            </w:pPr>
            <w:r w:rsidRPr="00171C8A">
              <w:rPr>
                <w:b/>
                <w:sz w:val="16"/>
                <w:szCs w:val="16"/>
                <w:lang w:eastAsia="tr-TR"/>
              </w:rPr>
              <w:t>6,856,761</w:t>
            </w:r>
          </w:p>
        </w:tc>
      </w:tr>
      <w:tr w:rsidR="00171C8A" w:rsidRPr="00171C8A" w14:paraId="419D1B42" w14:textId="77777777" w:rsidTr="00717AB5">
        <w:trPr>
          <w:divId w:val="1092430232"/>
          <w:trHeight w:val="235"/>
        </w:trPr>
        <w:tc>
          <w:tcPr>
            <w:tcW w:w="6374" w:type="dxa"/>
            <w:shd w:val="clear" w:color="auto" w:fill="auto"/>
            <w:vAlign w:val="center"/>
            <w:hideMark/>
          </w:tcPr>
          <w:p w14:paraId="283B8008" w14:textId="77777777" w:rsidR="00171C8A" w:rsidRPr="00171C8A" w:rsidRDefault="00171C8A" w:rsidP="00171C8A">
            <w:pPr>
              <w:rPr>
                <w:b/>
                <w:bCs/>
                <w:sz w:val="16"/>
                <w:szCs w:val="16"/>
                <w:lang w:eastAsia="tr-TR"/>
              </w:rPr>
            </w:pPr>
            <w:r w:rsidRPr="00171C8A">
              <w:rPr>
                <w:b/>
                <w:bCs/>
                <w:sz w:val="16"/>
                <w:szCs w:val="16"/>
                <w:lang w:eastAsia="tr-TR"/>
              </w:rPr>
              <w:t>Çekirdek sermayeden yapılacak indirimler</w:t>
            </w:r>
          </w:p>
        </w:tc>
        <w:tc>
          <w:tcPr>
            <w:tcW w:w="1701" w:type="dxa"/>
            <w:shd w:val="clear" w:color="auto" w:fill="auto"/>
            <w:vAlign w:val="bottom"/>
            <w:hideMark/>
          </w:tcPr>
          <w:p w14:paraId="0DAB6AE2" w14:textId="77777777" w:rsidR="00171C8A" w:rsidRPr="00171C8A" w:rsidRDefault="00171C8A" w:rsidP="00171C8A">
            <w:pPr>
              <w:jc w:val="right"/>
              <w:rPr>
                <w:b/>
                <w:bCs/>
                <w:sz w:val="16"/>
                <w:szCs w:val="16"/>
                <w:lang w:eastAsia="tr-TR"/>
              </w:rPr>
            </w:pPr>
            <w:r w:rsidRPr="00171C8A">
              <w:rPr>
                <w:b/>
                <w:bCs/>
                <w:sz w:val="16"/>
                <w:szCs w:val="16"/>
                <w:lang w:eastAsia="tr-TR"/>
              </w:rPr>
              <w:t>-</w:t>
            </w:r>
          </w:p>
        </w:tc>
        <w:tc>
          <w:tcPr>
            <w:tcW w:w="1336" w:type="dxa"/>
            <w:shd w:val="clear" w:color="auto" w:fill="auto"/>
            <w:vAlign w:val="bottom"/>
            <w:hideMark/>
          </w:tcPr>
          <w:p w14:paraId="04300785"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6686B13B" w14:textId="77777777" w:rsidTr="00717AB5">
        <w:trPr>
          <w:divId w:val="1092430232"/>
          <w:trHeight w:val="160"/>
        </w:trPr>
        <w:tc>
          <w:tcPr>
            <w:tcW w:w="6374" w:type="dxa"/>
            <w:shd w:val="clear" w:color="auto" w:fill="auto"/>
            <w:vAlign w:val="center"/>
            <w:hideMark/>
          </w:tcPr>
          <w:p w14:paraId="432B97AE" w14:textId="77777777" w:rsidR="00171C8A" w:rsidRPr="00171C8A" w:rsidRDefault="00171C8A" w:rsidP="00171C8A">
            <w:pPr>
              <w:rPr>
                <w:sz w:val="16"/>
                <w:szCs w:val="16"/>
                <w:lang w:eastAsia="tr-TR"/>
              </w:rPr>
            </w:pPr>
            <w:r w:rsidRPr="00171C8A">
              <w:rPr>
                <w:sz w:val="16"/>
                <w:szCs w:val="16"/>
                <w:lang w:eastAsia="tr-TR"/>
              </w:rPr>
              <w:t xml:space="preserve">Bankaların </w:t>
            </w:r>
            <w:proofErr w:type="spellStart"/>
            <w:r w:rsidRPr="00171C8A">
              <w:rPr>
                <w:sz w:val="16"/>
                <w:szCs w:val="16"/>
                <w:lang w:eastAsia="tr-TR"/>
              </w:rPr>
              <w:t>Özkaynaklarına</w:t>
            </w:r>
            <w:proofErr w:type="spellEnd"/>
            <w:r w:rsidRPr="00171C8A">
              <w:rPr>
                <w:sz w:val="16"/>
                <w:szCs w:val="16"/>
                <w:lang w:eastAsia="tr-TR"/>
              </w:rPr>
              <w:t xml:space="preserve"> İlişkin Yönetmeliğin 9 uncu maddesinin birinci fıkrasının (i) bendi uyarınca hesaplanan değerleme ayarlamaları</w:t>
            </w:r>
          </w:p>
        </w:tc>
        <w:tc>
          <w:tcPr>
            <w:tcW w:w="1701" w:type="dxa"/>
            <w:shd w:val="clear" w:color="auto" w:fill="auto"/>
            <w:vAlign w:val="bottom"/>
            <w:hideMark/>
          </w:tcPr>
          <w:p w14:paraId="7A66CCD8"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54CD641E"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3F99DA24" w14:textId="77777777" w:rsidTr="00717AB5">
        <w:trPr>
          <w:divId w:val="1092430232"/>
          <w:trHeight w:val="160"/>
        </w:trPr>
        <w:tc>
          <w:tcPr>
            <w:tcW w:w="6374" w:type="dxa"/>
            <w:shd w:val="clear" w:color="auto" w:fill="auto"/>
            <w:vAlign w:val="center"/>
            <w:hideMark/>
          </w:tcPr>
          <w:p w14:paraId="584A1892" w14:textId="77777777" w:rsidR="00171C8A" w:rsidRPr="00171C8A" w:rsidRDefault="00171C8A" w:rsidP="00171C8A">
            <w:pPr>
              <w:rPr>
                <w:sz w:val="16"/>
                <w:szCs w:val="16"/>
                <w:lang w:eastAsia="tr-TR"/>
              </w:rPr>
            </w:pPr>
            <w:r w:rsidRPr="00171C8A">
              <w:rPr>
                <w:sz w:val="16"/>
                <w:szCs w:val="16"/>
                <w:lang w:eastAsia="tr-TR"/>
              </w:rPr>
              <w:t>Net dönem zararı ile geçmiş yıllar zararı toplamının yedek akçelerle karşılanamayan kısmı ile TMS uyarınca </w:t>
            </w:r>
            <w:proofErr w:type="spellStart"/>
            <w:r w:rsidRPr="00171C8A">
              <w:rPr>
                <w:sz w:val="16"/>
                <w:szCs w:val="16"/>
                <w:lang w:eastAsia="tr-TR"/>
              </w:rPr>
              <w:t>özkaynaklara</w:t>
            </w:r>
            <w:proofErr w:type="spellEnd"/>
            <w:r w:rsidRPr="00171C8A">
              <w:rPr>
                <w:sz w:val="16"/>
                <w:szCs w:val="16"/>
                <w:lang w:eastAsia="tr-TR"/>
              </w:rPr>
              <w:t> yansıtılan kayıplar</w:t>
            </w:r>
          </w:p>
        </w:tc>
        <w:tc>
          <w:tcPr>
            <w:tcW w:w="1701" w:type="dxa"/>
            <w:shd w:val="clear" w:color="auto" w:fill="auto"/>
            <w:vAlign w:val="bottom"/>
            <w:hideMark/>
          </w:tcPr>
          <w:p w14:paraId="2D9D87B6" w14:textId="77777777" w:rsidR="00171C8A" w:rsidRPr="00171C8A" w:rsidRDefault="00171C8A" w:rsidP="00171C8A">
            <w:pPr>
              <w:jc w:val="right"/>
              <w:rPr>
                <w:sz w:val="16"/>
                <w:szCs w:val="16"/>
                <w:lang w:eastAsia="tr-TR"/>
              </w:rPr>
            </w:pPr>
            <w:r w:rsidRPr="00171C8A">
              <w:rPr>
                <w:sz w:val="16"/>
                <w:szCs w:val="16"/>
                <w:lang w:eastAsia="tr-TR"/>
              </w:rPr>
              <w:t>138,139</w:t>
            </w:r>
          </w:p>
        </w:tc>
        <w:tc>
          <w:tcPr>
            <w:tcW w:w="1336" w:type="dxa"/>
            <w:shd w:val="clear" w:color="auto" w:fill="auto"/>
            <w:vAlign w:val="bottom"/>
            <w:hideMark/>
          </w:tcPr>
          <w:p w14:paraId="0F6C0F76" w14:textId="77777777" w:rsidR="00171C8A" w:rsidRPr="00171C8A" w:rsidRDefault="00171C8A" w:rsidP="00171C8A">
            <w:pPr>
              <w:jc w:val="right"/>
              <w:rPr>
                <w:sz w:val="16"/>
                <w:szCs w:val="16"/>
                <w:lang w:eastAsia="tr-TR"/>
              </w:rPr>
            </w:pPr>
            <w:r w:rsidRPr="00171C8A">
              <w:rPr>
                <w:sz w:val="16"/>
                <w:szCs w:val="16"/>
                <w:lang w:eastAsia="tr-TR"/>
              </w:rPr>
              <w:t>13,394</w:t>
            </w:r>
          </w:p>
        </w:tc>
      </w:tr>
      <w:tr w:rsidR="00171C8A" w:rsidRPr="00171C8A" w14:paraId="30F7BB29" w14:textId="77777777" w:rsidTr="00717AB5">
        <w:trPr>
          <w:divId w:val="1092430232"/>
          <w:trHeight w:val="160"/>
        </w:trPr>
        <w:tc>
          <w:tcPr>
            <w:tcW w:w="6374" w:type="dxa"/>
            <w:shd w:val="clear" w:color="auto" w:fill="auto"/>
            <w:vAlign w:val="center"/>
            <w:hideMark/>
          </w:tcPr>
          <w:p w14:paraId="0C525A5E" w14:textId="77777777" w:rsidR="00171C8A" w:rsidRPr="00171C8A" w:rsidRDefault="00171C8A" w:rsidP="00171C8A">
            <w:pPr>
              <w:rPr>
                <w:sz w:val="16"/>
                <w:szCs w:val="16"/>
                <w:lang w:eastAsia="tr-TR"/>
              </w:rPr>
            </w:pPr>
            <w:r w:rsidRPr="00171C8A">
              <w:rPr>
                <w:sz w:val="16"/>
                <w:szCs w:val="16"/>
                <w:lang w:eastAsia="tr-TR"/>
              </w:rPr>
              <w:t>Faaliyet kiralaması geliştirme maliyetleri</w:t>
            </w:r>
          </w:p>
        </w:tc>
        <w:tc>
          <w:tcPr>
            <w:tcW w:w="1701" w:type="dxa"/>
            <w:shd w:val="clear" w:color="auto" w:fill="auto"/>
            <w:vAlign w:val="bottom"/>
            <w:hideMark/>
          </w:tcPr>
          <w:p w14:paraId="4E617FF8" w14:textId="77777777" w:rsidR="00171C8A" w:rsidRPr="00171C8A" w:rsidRDefault="00171C8A" w:rsidP="00171C8A">
            <w:pPr>
              <w:jc w:val="right"/>
              <w:rPr>
                <w:sz w:val="16"/>
                <w:szCs w:val="16"/>
                <w:lang w:eastAsia="tr-TR"/>
              </w:rPr>
            </w:pPr>
            <w:r w:rsidRPr="00171C8A">
              <w:rPr>
                <w:sz w:val="16"/>
                <w:szCs w:val="16"/>
                <w:lang w:eastAsia="tr-TR"/>
              </w:rPr>
              <w:t>72,368</w:t>
            </w:r>
          </w:p>
        </w:tc>
        <w:tc>
          <w:tcPr>
            <w:tcW w:w="1336" w:type="dxa"/>
            <w:shd w:val="clear" w:color="auto" w:fill="auto"/>
            <w:vAlign w:val="bottom"/>
            <w:hideMark/>
          </w:tcPr>
          <w:p w14:paraId="0D77334D" w14:textId="77777777" w:rsidR="00171C8A" w:rsidRPr="00171C8A" w:rsidRDefault="00171C8A" w:rsidP="00171C8A">
            <w:pPr>
              <w:jc w:val="right"/>
              <w:rPr>
                <w:sz w:val="16"/>
                <w:szCs w:val="16"/>
                <w:lang w:eastAsia="tr-TR"/>
              </w:rPr>
            </w:pPr>
            <w:r w:rsidRPr="00171C8A">
              <w:rPr>
                <w:sz w:val="16"/>
                <w:szCs w:val="16"/>
                <w:lang w:eastAsia="tr-TR"/>
              </w:rPr>
              <w:t>66,940</w:t>
            </w:r>
          </w:p>
        </w:tc>
      </w:tr>
      <w:tr w:rsidR="00171C8A" w:rsidRPr="00171C8A" w14:paraId="249DA3D5" w14:textId="77777777" w:rsidTr="00717AB5">
        <w:trPr>
          <w:divId w:val="1092430232"/>
          <w:trHeight w:val="160"/>
        </w:trPr>
        <w:tc>
          <w:tcPr>
            <w:tcW w:w="6374" w:type="dxa"/>
            <w:shd w:val="clear" w:color="auto" w:fill="auto"/>
            <w:vAlign w:val="center"/>
            <w:hideMark/>
          </w:tcPr>
          <w:p w14:paraId="2AD3D17D" w14:textId="77777777" w:rsidR="00171C8A" w:rsidRPr="00171C8A" w:rsidRDefault="00171C8A" w:rsidP="00171C8A">
            <w:pPr>
              <w:rPr>
                <w:sz w:val="16"/>
                <w:szCs w:val="16"/>
                <w:lang w:eastAsia="tr-TR"/>
              </w:rPr>
            </w:pPr>
            <w:r w:rsidRPr="00171C8A">
              <w:rPr>
                <w:sz w:val="16"/>
                <w:szCs w:val="16"/>
                <w:lang w:eastAsia="tr-TR"/>
              </w:rPr>
              <w:t>İlgili ertelenmiş vergi yükümlülüğü ile mahsup edildikten sonra kalan şerefiye</w:t>
            </w:r>
          </w:p>
        </w:tc>
        <w:tc>
          <w:tcPr>
            <w:tcW w:w="1701" w:type="dxa"/>
            <w:shd w:val="clear" w:color="auto" w:fill="auto"/>
            <w:vAlign w:val="bottom"/>
            <w:hideMark/>
          </w:tcPr>
          <w:p w14:paraId="1B1867BA"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125010B5"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339A09D2" w14:textId="77777777" w:rsidTr="00717AB5">
        <w:trPr>
          <w:divId w:val="1092430232"/>
          <w:trHeight w:val="160"/>
        </w:trPr>
        <w:tc>
          <w:tcPr>
            <w:tcW w:w="6374" w:type="dxa"/>
            <w:shd w:val="clear" w:color="auto" w:fill="auto"/>
            <w:vAlign w:val="center"/>
            <w:hideMark/>
          </w:tcPr>
          <w:p w14:paraId="4EA2DF12" w14:textId="77777777" w:rsidR="00171C8A" w:rsidRPr="00171C8A" w:rsidRDefault="00171C8A" w:rsidP="00171C8A">
            <w:pPr>
              <w:rPr>
                <w:sz w:val="16"/>
                <w:szCs w:val="16"/>
                <w:lang w:eastAsia="tr-TR"/>
              </w:rPr>
            </w:pPr>
            <w:r w:rsidRPr="00171C8A">
              <w:rPr>
                <w:sz w:val="16"/>
                <w:szCs w:val="16"/>
                <w:lang w:eastAsia="tr-TR"/>
              </w:rPr>
              <w:t>İpotek hizmeti sunma hakları hariç olmak üzere ilgili ertelenmiş vergi yükümlülüğü ile mahsup edildikten sonra kalan diğer maddi olmayan duran varlıklar</w:t>
            </w:r>
          </w:p>
        </w:tc>
        <w:tc>
          <w:tcPr>
            <w:tcW w:w="1701" w:type="dxa"/>
            <w:shd w:val="clear" w:color="auto" w:fill="auto"/>
            <w:vAlign w:val="bottom"/>
            <w:hideMark/>
          </w:tcPr>
          <w:p w14:paraId="59549452" w14:textId="77777777" w:rsidR="00171C8A" w:rsidRPr="00171C8A" w:rsidRDefault="00171C8A" w:rsidP="00171C8A">
            <w:pPr>
              <w:jc w:val="right"/>
              <w:rPr>
                <w:sz w:val="16"/>
                <w:szCs w:val="16"/>
                <w:lang w:eastAsia="tr-TR"/>
              </w:rPr>
            </w:pPr>
            <w:r w:rsidRPr="00171C8A">
              <w:rPr>
                <w:sz w:val="16"/>
                <w:szCs w:val="16"/>
                <w:lang w:eastAsia="tr-TR"/>
              </w:rPr>
              <w:t>154,679</w:t>
            </w:r>
          </w:p>
        </w:tc>
        <w:tc>
          <w:tcPr>
            <w:tcW w:w="1336" w:type="dxa"/>
            <w:shd w:val="clear" w:color="auto" w:fill="auto"/>
            <w:vAlign w:val="bottom"/>
            <w:hideMark/>
          </w:tcPr>
          <w:p w14:paraId="1CCB0561" w14:textId="77777777" w:rsidR="00171C8A" w:rsidRPr="00171C8A" w:rsidRDefault="00171C8A" w:rsidP="00171C8A">
            <w:pPr>
              <w:jc w:val="right"/>
              <w:rPr>
                <w:sz w:val="16"/>
                <w:szCs w:val="16"/>
                <w:lang w:eastAsia="tr-TR"/>
              </w:rPr>
            </w:pPr>
            <w:r w:rsidRPr="00171C8A">
              <w:rPr>
                <w:sz w:val="16"/>
                <w:szCs w:val="16"/>
                <w:lang w:eastAsia="tr-TR"/>
              </w:rPr>
              <w:t>124,315</w:t>
            </w:r>
          </w:p>
        </w:tc>
      </w:tr>
      <w:tr w:rsidR="00171C8A" w:rsidRPr="00171C8A" w14:paraId="1E5262EA" w14:textId="77777777" w:rsidTr="00717AB5">
        <w:trPr>
          <w:divId w:val="1092430232"/>
          <w:trHeight w:val="160"/>
        </w:trPr>
        <w:tc>
          <w:tcPr>
            <w:tcW w:w="6374" w:type="dxa"/>
            <w:shd w:val="clear" w:color="auto" w:fill="auto"/>
            <w:vAlign w:val="center"/>
            <w:hideMark/>
          </w:tcPr>
          <w:p w14:paraId="37777DE1" w14:textId="77777777" w:rsidR="00171C8A" w:rsidRPr="00171C8A" w:rsidRDefault="00171C8A" w:rsidP="00171C8A">
            <w:pPr>
              <w:rPr>
                <w:sz w:val="16"/>
                <w:szCs w:val="16"/>
                <w:lang w:eastAsia="tr-TR"/>
              </w:rPr>
            </w:pPr>
            <w:r w:rsidRPr="00171C8A">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701" w:type="dxa"/>
            <w:shd w:val="clear" w:color="auto" w:fill="auto"/>
            <w:vAlign w:val="bottom"/>
            <w:hideMark/>
          </w:tcPr>
          <w:p w14:paraId="7E24EA3D"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693B2DA1"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58401F07" w14:textId="77777777" w:rsidTr="00717AB5">
        <w:trPr>
          <w:divId w:val="1092430232"/>
          <w:trHeight w:val="160"/>
        </w:trPr>
        <w:tc>
          <w:tcPr>
            <w:tcW w:w="6374" w:type="dxa"/>
            <w:shd w:val="clear" w:color="auto" w:fill="auto"/>
            <w:vAlign w:val="center"/>
            <w:hideMark/>
          </w:tcPr>
          <w:p w14:paraId="59A97449" w14:textId="77777777" w:rsidR="00171C8A" w:rsidRPr="00171C8A" w:rsidRDefault="00171C8A" w:rsidP="00171C8A">
            <w:pPr>
              <w:rPr>
                <w:sz w:val="16"/>
                <w:szCs w:val="16"/>
                <w:lang w:eastAsia="tr-TR"/>
              </w:rPr>
            </w:pPr>
            <w:r w:rsidRPr="00171C8A">
              <w:rPr>
                <w:sz w:val="16"/>
                <w:szCs w:val="16"/>
                <w:lang w:eastAsia="tr-TR"/>
              </w:rPr>
              <w:t>Gerçeğe uygun değeri üzerinden izlenmeyen varlık veya yükümlülüklerin nakit akış riskinden korunma işlemine konu edilmesi halinde ortaya çıkan farklar</w:t>
            </w:r>
          </w:p>
        </w:tc>
        <w:tc>
          <w:tcPr>
            <w:tcW w:w="1701" w:type="dxa"/>
            <w:shd w:val="clear" w:color="auto" w:fill="auto"/>
            <w:vAlign w:val="bottom"/>
            <w:hideMark/>
          </w:tcPr>
          <w:p w14:paraId="54DF0715"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0B1FA66B"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65CEC233" w14:textId="77777777" w:rsidTr="00717AB5">
        <w:trPr>
          <w:divId w:val="1092430232"/>
          <w:trHeight w:val="160"/>
        </w:trPr>
        <w:tc>
          <w:tcPr>
            <w:tcW w:w="6374" w:type="dxa"/>
            <w:shd w:val="clear" w:color="auto" w:fill="auto"/>
            <w:vAlign w:val="center"/>
            <w:hideMark/>
          </w:tcPr>
          <w:p w14:paraId="2EF32650" w14:textId="77777777" w:rsidR="00171C8A" w:rsidRPr="00171C8A" w:rsidRDefault="00171C8A" w:rsidP="00171C8A">
            <w:pPr>
              <w:rPr>
                <w:sz w:val="16"/>
                <w:szCs w:val="16"/>
                <w:lang w:eastAsia="tr-TR"/>
              </w:rPr>
            </w:pPr>
            <w:r w:rsidRPr="00171C8A">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701" w:type="dxa"/>
            <w:shd w:val="clear" w:color="auto" w:fill="auto"/>
            <w:vAlign w:val="bottom"/>
            <w:hideMark/>
          </w:tcPr>
          <w:p w14:paraId="41118B93"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59246F4D"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1B251E9A" w14:textId="77777777" w:rsidTr="00717AB5">
        <w:trPr>
          <w:divId w:val="1092430232"/>
          <w:trHeight w:val="160"/>
        </w:trPr>
        <w:tc>
          <w:tcPr>
            <w:tcW w:w="6374" w:type="dxa"/>
            <w:shd w:val="clear" w:color="auto" w:fill="auto"/>
            <w:vAlign w:val="center"/>
            <w:hideMark/>
          </w:tcPr>
          <w:p w14:paraId="47FD0794" w14:textId="77777777" w:rsidR="00171C8A" w:rsidRPr="00171C8A" w:rsidRDefault="00171C8A" w:rsidP="00171C8A">
            <w:pPr>
              <w:rPr>
                <w:sz w:val="16"/>
                <w:szCs w:val="16"/>
                <w:lang w:eastAsia="tr-TR"/>
              </w:rPr>
            </w:pPr>
            <w:r w:rsidRPr="00171C8A">
              <w:rPr>
                <w:sz w:val="16"/>
                <w:szCs w:val="16"/>
                <w:lang w:eastAsia="tr-TR"/>
              </w:rPr>
              <w:t>Menkul kıymetleştirme işlemlerinden kaynaklanan kazançlar</w:t>
            </w:r>
          </w:p>
        </w:tc>
        <w:tc>
          <w:tcPr>
            <w:tcW w:w="1701" w:type="dxa"/>
            <w:shd w:val="clear" w:color="auto" w:fill="auto"/>
            <w:vAlign w:val="bottom"/>
            <w:hideMark/>
          </w:tcPr>
          <w:p w14:paraId="51188591"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34C8EC7C"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14C68E61" w14:textId="77777777" w:rsidTr="00717AB5">
        <w:trPr>
          <w:divId w:val="1092430232"/>
          <w:trHeight w:val="160"/>
        </w:trPr>
        <w:tc>
          <w:tcPr>
            <w:tcW w:w="6374" w:type="dxa"/>
            <w:shd w:val="clear" w:color="auto" w:fill="auto"/>
            <w:vAlign w:val="center"/>
            <w:hideMark/>
          </w:tcPr>
          <w:p w14:paraId="7A13AD58" w14:textId="77777777" w:rsidR="00171C8A" w:rsidRPr="00171C8A" w:rsidRDefault="00171C8A" w:rsidP="00171C8A">
            <w:pPr>
              <w:rPr>
                <w:sz w:val="16"/>
                <w:szCs w:val="16"/>
                <w:lang w:eastAsia="tr-TR"/>
              </w:rPr>
            </w:pPr>
            <w:r w:rsidRPr="00171C8A">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701" w:type="dxa"/>
            <w:shd w:val="clear" w:color="auto" w:fill="auto"/>
            <w:vAlign w:val="bottom"/>
            <w:hideMark/>
          </w:tcPr>
          <w:p w14:paraId="5FEDFA09"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479E08DB"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6F68513F" w14:textId="77777777" w:rsidTr="00717AB5">
        <w:trPr>
          <w:divId w:val="1092430232"/>
          <w:trHeight w:val="160"/>
        </w:trPr>
        <w:tc>
          <w:tcPr>
            <w:tcW w:w="6374" w:type="dxa"/>
            <w:shd w:val="clear" w:color="auto" w:fill="auto"/>
            <w:vAlign w:val="center"/>
            <w:hideMark/>
          </w:tcPr>
          <w:p w14:paraId="2050EA65" w14:textId="77777777" w:rsidR="00171C8A" w:rsidRPr="00171C8A" w:rsidRDefault="00171C8A" w:rsidP="00171C8A">
            <w:pPr>
              <w:rPr>
                <w:sz w:val="16"/>
                <w:szCs w:val="16"/>
                <w:lang w:eastAsia="tr-TR"/>
              </w:rPr>
            </w:pPr>
            <w:r w:rsidRPr="00171C8A">
              <w:rPr>
                <w:sz w:val="16"/>
                <w:szCs w:val="16"/>
                <w:lang w:eastAsia="tr-TR"/>
              </w:rPr>
              <w:t>Tanımlanmış fayda plan varlıklarının net tutarı</w:t>
            </w:r>
          </w:p>
        </w:tc>
        <w:tc>
          <w:tcPr>
            <w:tcW w:w="1701" w:type="dxa"/>
            <w:shd w:val="clear" w:color="auto" w:fill="auto"/>
            <w:vAlign w:val="bottom"/>
            <w:hideMark/>
          </w:tcPr>
          <w:p w14:paraId="5B3CDF49" w14:textId="77777777" w:rsidR="00171C8A" w:rsidRPr="00171C8A" w:rsidRDefault="00171C8A" w:rsidP="00171C8A">
            <w:pPr>
              <w:jc w:val="right"/>
              <w:rPr>
                <w:sz w:val="16"/>
                <w:szCs w:val="16"/>
                <w:lang w:eastAsia="tr-TR"/>
              </w:rPr>
            </w:pPr>
            <w:r w:rsidRPr="00171C8A">
              <w:rPr>
                <w:sz w:val="16"/>
                <w:szCs w:val="16"/>
                <w:lang w:eastAsia="tr-TR"/>
              </w:rPr>
              <w:t>19,082</w:t>
            </w:r>
          </w:p>
        </w:tc>
        <w:tc>
          <w:tcPr>
            <w:tcW w:w="1336" w:type="dxa"/>
            <w:shd w:val="clear" w:color="auto" w:fill="auto"/>
            <w:vAlign w:val="bottom"/>
            <w:hideMark/>
          </w:tcPr>
          <w:p w14:paraId="494ECF02" w14:textId="77777777" w:rsidR="00171C8A" w:rsidRPr="00171C8A" w:rsidRDefault="00171C8A" w:rsidP="00171C8A">
            <w:pPr>
              <w:jc w:val="right"/>
              <w:rPr>
                <w:sz w:val="16"/>
                <w:szCs w:val="16"/>
                <w:lang w:eastAsia="tr-TR"/>
              </w:rPr>
            </w:pPr>
            <w:r w:rsidRPr="00171C8A">
              <w:rPr>
                <w:sz w:val="16"/>
                <w:szCs w:val="16"/>
                <w:lang w:eastAsia="tr-TR"/>
              </w:rPr>
              <w:t>19,082</w:t>
            </w:r>
          </w:p>
        </w:tc>
      </w:tr>
      <w:tr w:rsidR="00171C8A" w:rsidRPr="00171C8A" w14:paraId="31B7CD03" w14:textId="77777777" w:rsidTr="00717AB5">
        <w:trPr>
          <w:divId w:val="1092430232"/>
          <w:trHeight w:val="160"/>
        </w:trPr>
        <w:tc>
          <w:tcPr>
            <w:tcW w:w="6374" w:type="dxa"/>
            <w:shd w:val="clear" w:color="auto" w:fill="auto"/>
            <w:vAlign w:val="center"/>
            <w:hideMark/>
          </w:tcPr>
          <w:p w14:paraId="1001CFB5" w14:textId="77777777" w:rsidR="00171C8A" w:rsidRPr="00171C8A" w:rsidRDefault="00171C8A" w:rsidP="00171C8A">
            <w:pPr>
              <w:rPr>
                <w:sz w:val="16"/>
                <w:szCs w:val="16"/>
                <w:lang w:eastAsia="tr-TR"/>
              </w:rPr>
            </w:pPr>
            <w:r w:rsidRPr="00171C8A">
              <w:rPr>
                <w:sz w:val="16"/>
                <w:szCs w:val="16"/>
                <w:lang w:eastAsia="tr-TR"/>
              </w:rPr>
              <w:t>Bankanın kendi çekirdek sermayesine yapmış olduğu doğrudan veya dolaylı yatırımlar</w:t>
            </w:r>
          </w:p>
        </w:tc>
        <w:tc>
          <w:tcPr>
            <w:tcW w:w="1701" w:type="dxa"/>
            <w:shd w:val="clear" w:color="auto" w:fill="auto"/>
            <w:vAlign w:val="bottom"/>
            <w:hideMark/>
          </w:tcPr>
          <w:p w14:paraId="308A02EF" w14:textId="77777777" w:rsidR="00171C8A" w:rsidRPr="00171C8A" w:rsidRDefault="00171C8A" w:rsidP="00171C8A">
            <w:pPr>
              <w:jc w:val="right"/>
              <w:rPr>
                <w:sz w:val="16"/>
                <w:szCs w:val="16"/>
                <w:lang w:eastAsia="tr-TR"/>
              </w:rPr>
            </w:pPr>
            <w:r w:rsidRPr="00171C8A">
              <w:rPr>
                <w:sz w:val="16"/>
                <w:szCs w:val="16"/>
                <w:lang w:eastAsia="tr-TR"/>
              </w:rPr>
              <w:t>4,869</w:t>
            </w:r>
          </w:p>
        </w:tc>
        <w:tc>
          <w:tcPr>
            <w:tcW w:w="1336" w:type="dxa"/>
            <w:shd w:val="clear" w:color="auto" w:fill="auto"/>
            <w:vAlign w:val="bottom"/>
            <w:hideMark/>
          </w:tcPr>
          <w:p w14:paraId="399F5CCC" w14:textId="77777777" w:rsidR="00171C8A" w:rsidRPr="00171C8A" w:rsidRDefault="00171C8A" w:rsidP="00171C8A">
            <w:pPr>
              <w:jc w:val="right"/>
              <w:rPr>
                <w:sz w:val="16"/>
                <w:szCs w:val="16"/>
                <w:lang w:eastAsia="tr-TR"/>
              </w:rPr>
            </w:pPr>
            <w:r w:rsidRPr="00171C8A">
              <w:rPr>
                <w:sz w:val="16"/>
                <w:szCs w:val="16"/>
                <w:lang w:eastAsia="tr-TR"/>
              </w:rPr>
              <w:t>4,234</w:t>
            </w:r>
          </w:p>
        </w:tc>
      </w:tr>
      <w:tr w:rsidR="00171C8A" w:rsidRPr="00171C8A" w14:paraId="27766D15" w14:textId="77777777" w:rsidTr="00717AB5">
        <w:trPr>
          <w:divId w:val="1092430232"/>
          <w:trHeight w:val="160"/>
        </w:trPr>
        <w:tc>
          <w:tcPr>
            <w:tcW w:w="6374" w:type="dxa"/>
            <w:shd w:val="clear" w:color="auto" w:fill="auto"/>
            <w:vAlign w:val="center"/>
            <w:hideMark/>
          </w:tcPr>
          <w:p w14:paraId="7340A9D4" w14:textId="77777777" w:rsidR="00171C8A" w:rsidRPr="00171C8A" w:rsidRDefault="00171C8A" w:rsidP="00171C8A">
            <w:pPr>
              <w:rPr>
                <w:sz w:val="16"/>
                <w:szCs w:val="16"/>
                <w:lang w:eastAsia="tr-TR"/>
              </w:rPr>
            </w:pPr>
            <w:r w:rsidRPr="00171C8A">
              <w:rPr>
                <w:sz w:val="16"/>
                <w:szCs w:val="16"/>
                <w:lang w:eastAsia="tr-TR"/>
              </w:rPr>
              <w:t xml:space="preserve">Kanunun </w:t>
            </w:r>
            <w:proofErr w:type="gramStart"/>
            <w:r w:rsidRPr="00171C8A">
              <w:rPr>
                <w:sz w:val="16"/>
                <w:szCs w:val="16"/>
                <w:lang w:eastAsia="tr-TR"/>
              </w:rPr>
              <w:t>56 </w:t>
            </w:r>
            <w:proofErr w:type="spellStart"/>
            <w:r w:rsidRPr="00171C8A">
              <w:rPr>
                <w:sz w:val="16"/>
                <w:szCs w:val="16"/>
                <w:lang w:eastAsia="tr-TR"/>
              </w:rPr>
              <w:t>ncı</w:t>
            </w:r>
            <w:proofErr w:type="spellEnd"/>
            <w:proofErr w:type="gramEnd"/>
            <w:r w:rsidRPr="00171C8A">
              <w:rPr>
                <w:sz w:val="16"/>
                <w:szCs w:val="16"/>
                <w:lang w:eastAsia="tr-TR"/>
              </w:rPr>
              <w:t> maddesinin dördüncü fıkrasına aykırı olarak edinilen paylar</w:t>
            </w:r>
          </w:p>
        </w:tc>
        <w:tc>
          <w:tcPr>
            <w:tcW w:w="1701" w:type="dxa"/>
            <w:shd w:val="clear" w:color="auto" w:fill="auto"/>
            <w:vAlign w:val="bottom"/>
            <w:hideMark/>
          </w:tcPr>
          <w:p w14:paraId="12C01DA2"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6F3D8DD1"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3B5D7114" w14:textId="77777777" w:rsidTr="00717AB5">
        <w:trPr>
          <w:divId w:val="1092430232"/>
          <w:trHeight w:val="160"/>
        </w:trPr>
        <w:tc>
          <w:tcPr>
            <w:tcW w:w="6374" w:type="dxa"/>
            <w:shd w:val="clear" w:color="auto" w:fill="auto"/>
            <w:vAlign w:val="center"/>
            <w:hideMark/>
          </w:tcPr>
          <w:p w14:paraId="054396AC" w14:textId="77777777" w:rsidR="00171C8A" w:rsidRPr="00171C8A" w:rsidRDefault="00171C8A" w:rsidP="00171C8A">
            <w:pPr>
              <w:rPr>
                <w:sz w:val="16"/>
                <w:szCs w:val="16"/>
                <w:lang w:eastAsia="tr-TR"/>
              </w:rPr>
            </w:pPr>
            <w:r w:rsidRPr="00171C8A">
              <w:rPr>
                <w:sz w:val="16"/>
                <w:szCs w:val="16"/>
                <w:lang w:eastAsia="tr-TR"/>
              </w:rPr>
              <w:t>Ortaklık paylarının %10 veya daha azına sahip olunan ve konsolide edilmeyen bankalar ve finansal kuruluşların </w:t>
            </w:r>
            <w:proofErr w:type="spellStart"/>
            <w:r w:rsidRPr="00171C8A">
              <w:rPr>
                <w:sz w:val="16"/>
                <w:szCs w:val="16"/>
                <w:lang w:eastAsia="tr-TR"/>
              </w:rPr>
              <w:t>özkaynak</w:t>
            </w:r>
            <w:proofErr w:type="spellEnd"/>
            <w:r w:rsidRPr="00171C8A">
              <w:rPr>
                <w:sz w:val="16"/>
                <w:szCs w:val="16"/>
                <w:lang w:eastAsia="tr-TR"/>
              </w:rPr>
              <w:t> unsurlarına yapılan yatırımların net uzun pozisyonları toplamının, bankanın çekirdek sermayesinin %10’nunu aşan kısmı</w:t>
            </w:r>
          </w:p>
        </w:tc>
        <w:tc>
          <w:tcPr>
            <w:tcW w:w="1701" w:type="dxa"/>
            <w:shd w:val="clear" w:color="auto" w:fill="auto"/>
            <w:vAlign w:val="bottom"/>
            <w:hideMark/>
          </w:tcPr>
          <w:p w14:paraId="0CF8085F"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2265EDB8"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0F108119" w14:textId="77777777" w:rsidTr="00717AB5">
        <w:trPr>
          <w:divId w:val="1092430232"/>
          <w:trHeight w:val="160"/>
        </w:trPr>
        <w:tc>
          <w:tcPr>
            <w:tcW w:w="6374" w:type="dxa"/>
            <w:shd w:val="clear" w:color="auto" w:fill="auto"/>
            <w:vAlign w:val="center"/>
            <w:hideMark/>
          </w:tcPr>
          <w:p w14:paraId="0AC7DFD0" w14:textId="77777777" w:rsidR="00171C8A" w:rsidRPr="00171C8A" w:rsidRDefault="00171C8A" w:rsidP="00171C8A">
            <w:pPr>
              <w:rPr>
                <w:sz w:val="16"/>
                <w:szCs w:val="16"/>
                <w:lang w:eastAsia="tr-TR"/>
              </w:rPr>
            </w:pPr>
            <w:r w:rsidRPr="00171C8A">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701" w:type="dxa"/>
            <w:shd w:val="clear" w:color="auto" w:fill="auto"/>
            <w:vAlign w:val="bottom"/>
            <w:hideMark/>
          </w:tcPr>
          <w:p w14:paraId="30E1F658"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67B46841"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2BB3A515" w14:textId="77777777" w:rsidTr="00717AB5">
        <w:trPr>
          <w:divId w:val="1092430232"/>
          <w:trHeight w:val="160"/>
        </w:trPr>
        <w:tc>
          <w:tcPr>
            <w:tcW w:w="6374" w:type="dxa"/>
            <w:shd w:val="clear" w:color="auto" w:fill="auto"/>
            <w:vAlign w:val="center"/>
            <w:hideMark/>
          </w:tcPr>
          <w:p w14:paraId="07355CC0" w14:textId="77777777" w:rsidR="00171C8A" w:rsidRPr="00171C8A" w:rsidRDefault="00171C8A" w:rsidP="00171C8A">
            <w:pPr>
              <w:rPr>
                <w:sz w:val="16"/>
                <w:szCs w:val="16"/>
                <w:lang w:eastAsia="tr-TR"/>
              </w:rPr>
            </w:pPr>
            <w:r w:rsidRPr="00171C8A">
              <w:rPr>
                <w:sz w:val="16"/>
                <w:szCs w:val="16"/>
                <w:lang w:eastAsia="tr-TR"/>
              </w:rPr>
              <w:t>İpotek hizmeti sunma haklarının çekirdek sermayenin %10’nunu aşan kısmı</w:t>
            </w:r>
          </w:p>
        </w:tc>
        <w:tc>
          <w:tcPr>
            <w:tcW w:w="1701" w:type="dxa"/>
            <w:shd w:val="clear" w:color="auto" w:fill="auto"/>
            <w:vAlign w:val="bottom"/>
            <w:hideMark/>
          </w:tcPr>
          <w:p w14:paraId="2533DBDD"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518663E8"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2E23B79B" w14:textId="77777777" w:rsidTr="00717AB5">
        <w:trPr>
          <w:divId w:val="1092430232"/>
          <w:trHeight w:val="160"/>
        </w:trPr>
        <w:tc>
          <w:tcPr>
            <w:tcW w:w="6374" w:type="dxa"/>
            <w:shd w:val="clear" w:color="auto" w:fill="auto"/>
            <w:vAlign w:val="center"/>
            <w:hideMark/>
          </w:tcPr>
          <w:p w14:paraId="25D0DC64" w14:textId="77777777" w:rsidR="00171C8A" w:rsidRPr="00171C8A" w:rsidRDefault="00171C8A" w:rsidP="00171C8A">
            <w:pPr>
              <w:rPr>
                <w:sz w:val="16"/>
                <w:szCs w:val="16"/>
                <w:lang w:eastAsia="tr-TR"/>
              </w:rPr>
            </w:pPr>
            <w:r w:rsidRPr="00171C8A">
              <w:rPr>
                <w:sz w:val="16"/>
                <w:szCs w:val="16"/>
                <w:lang w:eastAsia="tr-TR"/>
              </w:rPr>
              <w:t>Geçici farklara dayanan ertelenmiş vergi varlıklarının çekirdek sermayenin %10’nunu aşan kısmı</w:t>
            </w:r>
          </w:p>
        </w:tc>
        <w:tc>
          <w:tcPr>
            <w:tcW w:w="1701" w:type="dxa"/>
            <w:shd w:val="clear" w:color="auto" w:fill="auto"/>
            <w:vAlign w:val="bottom"/>
            <w:hideMark/>
          </w:tcPr>
          <w:p w14:paraId="58A39FEC"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183B1866"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4DDFE7EF" w14:textId="77777777" w:rsidTr="00717AB5">
        <w:trPr>
          <w:divId w:val="1092430232"/>
          <w:trHeight w:val="160"/>
        </w:trPr>
        <w:tc>
          <w:tcPr>
            <w:tcW w:w="6374" w:type="dxa"/>
            <w:shd w:val="clear" w:color="auto" w:fill="auto"/>
            <w:vAlign w:val="center"/>
            <w:hideMark/>
          </w:tcPr>
          <w:p w14:paraId="2B4771C7" w14:textId="77777777" w:rsidR="00171C8A" w:rsidRPr="00171C8A" w:rsidRDefault="00171C8A" w:rsidP="00171C8A">
            <w:pPr>
              <w:rPr>
                <w:sz w:val="16"/>
                <w:szCs w:val="16"/>
                <w:lang w:eastAsia="tr-TR"/>
              </w:rPr>
            </w:pPr>
            <w:r w:rsidRPr="00171C8A">
              <w:rPr>
                <w:sz w:val="16"/>
                <w:szCs w:val="16"/>
                <w:lang w:eastAsia="tr-TR"/>
              </w:rPr>
              <w:t>Bankaların </w:t>
            </w:r>
            <w:proofErr w:type="spellStart"/>
            <w:r w:rsidRPr="00171C8A">
              <w:rPr>
                <w:sz w:val="16"/>
                <w:szCs w:val="16"/>
                <w:lang w:eastAsia="tr-TR"/>
              </w:rPr>
              <w:t>Özkaynaklarına</w:t>
            </w:r>
            <w:proofErr w:type="spellEnd"/>
            <w:r w:rsidRPr="00171C8A">
              <w:rPr>
                <w:sz w:val="16"/>
                <w:szCs w:val="16"/>
                <w:lang w:eastAsia="tr-TR"/>
              </w:rPr>
              <w:t xml:space="preserve"> İlişkin Yönetmeliğin Geçici </w:t>
            </w:r>
            <w:proofErr w:type="gramStart"/>
            <w:r w:rsidRPr="00171C8A">
              <w:rPr>
                <w:sz w:val="16"/>
                <w:szCs w:val="16"/>
                <w:lang w:eastAsia="tr-TR"/>
              </w:rPr>
              <w:t>2 </w:t>
            </w:r>
            <w:proofErr w:type="spellStart"/>
            <w:r w:rsidRPr="00171C8A">
              <w:rPr>
                <w:sz w:val="16"/>
                <w:szCs w:val="16"/>
                <w:lang w:eastAsia="tr-TR"/>
              </w:rPr>
              <w:t>nci</w:t>
            </w:r>
            <w:proofErr w:type="spellEnd"/>
            <w:proofErr w:type="gramEnd"/>
            <w:r w:rsidRPr="00171C8A">
              <w:rPr>
                <w:sz w:val="16"/>
                <w:szCs w:val="16"/>
                <w:lang w:eastAsia="tr-TR"/>
              </w:rPr>
              <w:t xml:space="preserve"> maddesinin ikinci fıkrası uyarınca çekirdek sermayenin %15’ini aşan tutarlar </w:t>
            </w:r>
          </w:p>
        </w:tc>
        <w:tc>
          <w:tcPr>
            <w:tcW w:w="1701" w:type="dxa"/>
            <w:shd w:val="clear" w:color="auto" w:fill="auto"/>
            <w:vAlign w:val="bottom"/>
            <w:hideMark/>
          </w:tcPr>
          <w:p w14:paraId="6EE4A92B"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553ADA92"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3B9BB330" w14:textId="77777777" w:rsidTr="00717AB5">
        <w:trPr>
          <w:divId w:val="1092430232"/>
          <w:trHeight w:val="160"/>
        </w:trPr>
        <w:tc>
          <w:tcPr>
            <w:tcW w:w="6374" w:type="dxa"/>
            <w:shd w:val="clear" w:color="auto" w:fill="auto"/>
            <w:vAlign w:val="center"/>
            <w:hideMark/>
          </w:tcPr>
          <w:p w14:paraId="21D18DF3" w14:textId="77777777" w:rsidR="00171C8A" w:rsidRPr="00171C8A" w:rsidRDefault="00171C8A" w:rsidP="00171C8A">
            <w:pPr>
              <w:rPr>
                <w:sz w:val="16"/>
                <w:szCs w:val="16"/>
                <w:lang w:eastAsia="tr-TR"/>
              </w:rPr>
            </w:pPr>
            <w:r w:rsidRPr="00171C8A">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701" w:type="dxa"/>
            <w:shd w:val="clear" w:color="auto" w:fill="auto"/>
            <w:vAlign w:val="bottom"/>
            <w:hideMark/>
          </w:tcPr>
          <w:p w14:paraId="7F3F59BF"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3C62F69D"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36440603" w14:textId="77777777" w:rsidTr="00717AB5">
        <w:trPr>
          <w:divId w:val="1092430232"/>
          <w:trHeight w:val="160"/>
        </w:trPr>
        <w:tc>
          <w:tcPr>
            <w:tcW w:w="6374" w:type="dxa"/>
            <w:shd w:val="clear" w:color="auto" w:fill="auto"/>
            <w:vAlign w:val="center"/>
            <w:hideMark/>
          </w:tcPr>
          <w:p w14:paraId="5F35FD38" w14:textId="77777777" w:rsidR="00171C8A" w:rsidRPr="00171C8A" w:rsidRDefault="00171C8A" w:rsidP="00171C8A">
            <w:pPr>
              <w:rPr>
                <w:sz w:val="16"/>
                <w:szCs w:val="16"/>
                <w:lang w:eastAsia="tr-TR"/>
              </w:rPr>
            </w:pPr>
            <w:r w:rsidRPr="00171C8A">
              <w:rPr>
                <w:sz w:val="16"/>
                <w:szCs w:val="16"/>
                <w:lang w:eastAsia="tr-TR"/>
              </w:rPr>
              <w:t>İpotek hizmeti sunma haklarından kaynaklanan aşım tutarı</w:t>
            </w:r>
          </w:p>
        </w:tc>
        <w:tc>
          <w:tcPr>
            <w:tcW w:w="1701" w:type="dxa"/>
            <w:shd w:val="clear" w:color="auto" w:fill="auto"/>
            <w:vAlign w:val="bottom"/>
            <w:hideMark/>
          </w:tcPr>
          <w:p w14:paraId="354043CE"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7D761657"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7A9B170A" w14:textId="77777777" w:rsidTr="00717AB5">
        <w:trPr>
          <w:divId w:val="1092430232"/>
          <w:trHeight w:val="160"/>
        </w:trPr>
        <w:tc>
          <w:tcPr>
            <w:tcW w:w="6374" w:type="dxa"/>
            <w:shd w:val="clear" w:color="auto" w:fill="auto"/>
            <w:vAlign w:val="center"/>
            <w:hideMark/>
          </w:tcPr>
          <w:p w14:paraId="6AA7650C" w14:textId="77777777" w:rsidR="00171C8A" w:rsidRPr="00171C8A" w:rsidRDefault="00171C8A" w:rsidP="00171C8A">
            <w:pPr>
              <w:rPr>
                <w:sz w:val="16"/>
                <w:szCs w:val="16"/>
                <w:lang w:eastAsia="tr-TR"/>
              </w:rPr>
            </w:pPr>
            <w:r w:rsidRPr="00171C8A">
              <w:rPr>
                <w:sz w:val="16"/>
                <w:szCs w:val="16"/>
                <w:lang w:eastAsia="tr-TR"/>
              </w:rPr>
              <w:t xml:space="preserve">Geçici farklara dayanan ertelenmiş vergi varlıklarından kaynaklanan aşım tutarı </w:t>
            </w:r>
          </w:p>
        </w:tc>
        <w:tc>
          <w:tcPr>
            <w:tcW w:w="1701" w:type="dxa"/>
            <w:shd w:val="clear" w:color="auto" w:fill="auto"/>
            <w:vAlign w:val="bottom"/>
            <w:hideMark/>
          </w:tcPr>
          <w:p w14:paraId="32DC73E6"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4E56FFAB"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2E01E16D" w14:textId="77777777" w:rsidTr="00717AB5">
        <w:trPr>
          <w:divId w:val="1092430232"/>
          <w:trHeight w:val="160"/>
        </w:trPr>
        <w:tc>
          <w:tcPr>
            <w:tcW w:w="6374" w:type="dxa"/>
            <w:shd w:val="clear" w:color="auto" w:fill="auto"/>
            <w:vAlign w:val="center"/>
            <w:hideMark/>
          </w:tcPr>
          <w:p w14:paraId="2ACFC542" w14:textId="77777777" w:rsidR="00171C8A" w:rsidRPr="00171C8A" w:rsidRDefault="00171C8A" w:rsidP="00171C8A">
            <w:pPr>
              <w:rPr>
                <w:sz w:val="16"/>
                <w:szCs w:val="16"/>
                <w:lang w:eastAsia="tr-TR"/>
              </w:rPr>
            </w:pPr>
            <w:r w:rsidRPr="00171C8A">
              <w:rPr>
                <w:sz w:val="16"/>
                <w:szCs w:val="16"/>
                <w:lang w:eastAsia="tr-TR"/>
              </w:rPr>
              <w:t xml:space="preserve">Kurulca belirlenecek diğer kalemler </w:t>
            </w:r>
          </w:p>
        </w:tc>
        <w:tc>
          <w:tcPr>
            <w:tcW w:w="1701" w:type="dxa"/>
            <w:shd w:val="clear" w:color="auto" w:fill="auto"/>
            <w:vAlign w:val="bottom"/>
            <w:hideMark/>
          </w:tcPr>
          <w:p w14:paraId="7FCF3ABB"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4C0D1C42"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49391000" w14:textId="77777777" w:rsidTr="00717AB5">
        <w:trPr>
          <w:divId w:val="1092430232"/>
          <w:trHeight w:val="160"/>
        </w:trPr>
        <w:tc>
          <w:tcPr>
            <w:tcW w:w="6374" w:type="dxa"/>
            <w:shd w:val="clear" w:color="auto" w:fill="auto"/>
            <w:vAlign w:val="center"/>
            <w:hideMark/>
          </w:tcPr>
          <w:p w14:paraId="1931D716" w14:textId="77777777" w:rsidR="00171C8A" w:rsidRPr="00171C8A" w:rsidRDefault="00171C8A" w:rsidP="00171C8A">
            <w:pPr>
              <w:rPr>
                <w:sz w:val="16"/>
                <w:szCs w:val="16"/>
                <w:lang w:eastAsia="tr-TR"/>
              </w:rPr>
            </w:pPr>
            <w:r w:rsidRPr="00171C8A">
              <w:rPr>
                <w:sz w:val="16"/>
                <w:szCs w:val="16"/>
                <w:lang w:eastAsia="tr-TR"/>
              </w:rPr>
              <w:t>Yeterli ilave ana sermaye veya katkı sermaye bulunmaması halinde çekirdek sermayeden indirim yapılacak tutar</w:t>
            </w:r>
          </w:p>
        </w:tc>
        <w:tc>
          <w:tcPr>
            <w:tcW w:w="1701" w:type="dxa"/>
            <w:shd w:val="clear" w:color="auto" w:fill="auto"/>
            <w:vAlign w:val="bottom"/>
            <w:hideMark/>
          </w:tcPr>
          <w:p w14:paraId="28151B38" w14:textId="77777777" w:rsidR="00171C8A" w:rsidRPr="00171C8A" w:rsidRDefault="00171C8A" w:rsidP="00171C8A">
            <w:pPr>
              <w:jc w:val="right"/>
              <w:rPr>
                <w:sz w:val="16"/>
                <w:szCs w:val="16"/>
                <w:lang w:eastAsia="tr-TR"/>
              </w:rPr>
            </w:pPr>
            <w:r w:rsidRPr="00171C8A">
              <w:rPr>
                <w:sz w:val="16"/>
                <w:szCs w:val="16"/>
                <w:lang w:eastAsia="tr-TR"/>
              </w:rPr>
              <w:t>-</w:t>
            </w:r>
          </w:p>
        </w:tc>
        <w:tc>
          <w:tcPr>
            <w:tcW w:w="1336" w:type="dxa"/>
            <w:shd w:val="clear" w:color="auto" w:fill="auto"/>
            <w:vAlign w:val="bottom"/>
            <w:hideMark/>
          </w:tcPr>
          <w:p w14:paraId="4CC1FDF9"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6A8B9F82" w14:textId="77777777" w:rsidTr="00717AB5">
        <w:trPr>
          <w:divId w:val="1092430232"/>
          <w:trHeight w:val="235"/>
        </w:trPr>
        <w:tc>
          <w:tcPr>
            <w:tcW w:w="6374" w:type="dxa"/>
            <w:shd w:val="clear" w:color="auto" w:fill="auto"/>
            <w:vAlign w:val="center"/>
            <w:hideMark/>
          </w:tcPr>
          <w:p w14:paraId="2D27A1F9" w14:textId="77777777" w:rsidR="00171C8A" w:rsidRPr="00171C8A" w:rsidRDefault="00171C8A" w:rsidP="00171C8A">
            <w:pPr>
              <w:rPr>
                <w:b/>
                <w:bCs/>
                <w:sz w:val="16"/>
                <w:szCs w:val="16"/>
                <w:lang w:eastAsia="tr-TR"/>
              </w:rPr>
            </w:pPr>
            <w:r w:rsidRPr="00171C8A">
              <w:rPr>
                <w:b/>
                <w:bCs/>
                <w:sz w:val="16"/>
                <w:szCs w:val="16"/>
                <w:lang w:eastAsia="tr-TR"/>
              </w:rPr>
              <w:t>Çekirdek Sermayeden Yapılan İndirimler Toplamı</w:t>
            </w:r>
          </w:p>
        </w:tc>
        <w:tc>
          <w:tcPr>
            <w:tcW w:w="1701" w:type="dxa"/>
            <w:shd w:val="clear" w:color="auto" w:fill="auto"/>
            <w:vAlign w:val="bottom"/>
            <w:hideMark/>
          </w:tcPr>
          <w:p w14:paraId="647D9C5B" w14:textId="77777777" w:rsidR="00171C8A" w:rsidRPr="00171C8A" w:rsidRDefault="00171C8A" w:rsidP="00171C8A">
            <w:pPr>
              <w:jc w:val="right"/>
              <w:rPr>
                <w:b/>
                <w:bCs/>
                <w:sz w:val="16"/>
                <w:szCs w:val="16"/>
                <w:lang w:eastAsia="tr-TR"/>
              </w:rPr>
            </w:pPr>
            <w:r w:rsidRPr="00171C8A">
              <w:rPr>
                <w:b/>
                <w:bCs/>
                <w:sz w:val="16"/>
                <w:szCs w:val="16"/>
                <w:lang w:eastAsia="tr-TR"/>
              </w:rPr>
              <w:t>389,137</w:t>
            </w:r>
          </w:p>
        </w:tc>
        <w:tc>
          <w:tcPr>
            <w:tcW w:w="1336" w:type="dxa"/>
            <w:shd w:val="clear" w:color="auto" w:fill="auto"/>
            <w:vAlign w:val="bottom"/>
            <w:hideMark/>
          </w:tcPr>
          <w:p w14:paraId="41E4332A" w14:textId="77777777" w:rsidR="00171C8A" w:rsidRPr="00171C8A" w:rsidRDefault="00171C8A" w:rsidP="00171C8A">
            <w:pPr>
              <w:jc w:val="right"/>
              <w:rPr>
                <w:b/>
                <w:sz w:val="16"/>
                <w:szCs w:val="16"/>
                <w:lang w:eastAsia="tr-TR"/>
              </w:rPr>
            </w:pPr>
            <w:r w:rsidRPr="00171C8A">
              <w:rPr>
                <w:b/>
                <w:sz w:val="16"/>
                <w:szCs w:val="16"/>
                <w:lang w:eastAsia="tr-TR"/>
              </w:rPr>
              <w:t>227,965</w:t>
            </w:r>
          </w:p>
        </w:tc>
      </w:tr>
      <w:tr w:rsidR="00171C8A" w:rsidRPr="00171C8A" w14:paraId="5CAC881E" w14:textId="77777777" w:rsidTr="00717AB5">
        <w:trPr>
          <w:divId w:val="1092430232"/>
          <w:trHeight w:val="235"/>
        </w:trPr>
        <w:tc>
          <w:tcPr>
            <w:tcW w:w="6374" w:type="dxa"/>
            <w:shd w:val="clear" w:color="auto" w:fill="auto"/>
            <w:vAlign w:val="center"/>
            <w:hideMark/>
          </w:tcPr>
          <w:p w14:paraId="0973227C" w14:textId="77777777" w:rsidR="00171C8A" w:rsidRPr="00171C8A" w:rsidRDefault="00171C8A" w:rsidP="00171C8A">
            <w:pPr>
              <w:rPr>
                <w:b/>
                <w:bCs/>
                <w:sz w:val="16"/>
                <w:szCs w:val="16"/>
                <w:lang w:eastAsia="tr-TR"/>
              </w:rPr>
            </w:pPr>
            <w:r w:rsidRPr="00171C8A">
              <w:rPr>
                <w:b/>
                <w:bCs/>
                <w:sz w:val="16"/>
                <w:szCs w:val="16"/>
                <w:lang w:eastAsia="tr-TR"/>
              </w:rPr>
              <w:t>Çekirdek Sermaye Toplamı</w:t>
            </w:r>
          </w:p>
        </w:tc>
        <w:tc>
          <w:tcPr>
            <w:tcW w:w="1701" w:type="dxa"/>
            <w:shd w:val="clear" w:color="auto" w:fill="auto"/>
            <w:vAlign w:val="bottom"/>
            <w:hideMark/>
          </w:tcPr>
          <w:p w14:paraId="20FEA3E0" w14:textId="77777777" w:rsidR="00171C8A" w:rsidRPr="00171C8A" w:rsidRDefault="00171C8A" w:rsidP="00171C8A">
            <w:pPr>
              <w:jc w:val="right"/>
              <w:rPr>
                <w:b/>
                <w:bCs/>
                <w:sz w:val="16"/>
                <w:szCs w:val="16"/>
                <w:lang w:eastAsia="tr-TR"/>
              </w:rPr>
            </w:pPr>
            <w:r w:rsidRPr="00171C8A">
              <w:rPr>
                <w:b/>
                <w:bCs/>
                <w:sz w:val="16"/>
                <w:szCs w:val="16"/>
                <w:lang w:eastAsia="tr-TR"/>
              </w:rPr>
              <w:t>7,355,969</w:t>
            </w:r>
          </w:p>
        </w:tc>
        <w:tc>
          <w:tcPr>
            <w:tcW w:w="1336" w:type="dxa"/>
            <w:shd w:val="clear" w:color="auto" w:fill="auto"/>
            <w:vAlign w:val="bottom"/>
            <w:hideMark/>
          </w:tcPr>
          <w:p w14:paraId="63E17E06" w14:textId="77777777" w:rsidR="00171C8A" w:rsidRPr="00171C8A" w:rsidRDefault="00171C8A" w:rsidP="00171C8A">
            <w:pPr>
              <w:jc w:val="right"/>
              <w:rPr>
                <w:b/>
                <w:sz w:val="16"/>
                <w:szCs w:val="16"/>
                <w:lang w:eastAsia="tr-TR"/>
              </w:rPr>
            </w:pPr>
            <w:r w:rsidRPr="00171C8A">
              <w:rPr>
                <w:b/>
                <w:sz w:val="16"/>
                <w:szCs w:val="16"/>
                <w:lang w:eastAsia="tr-TR"/>
              </w:rPr>
              <w:t>6,628,796</w:t>
            </w:r>
          </w:p>
        </w:tc>
      </w:tr>
    </w:tbl>
    <w:p w14:paraId="0C563787" w14:textId="50A2E736" w:rsidR="00673BB7" w:rsidRPr="00B0539F" w:rsidRDefault="00673BB7" w:rsidP="005571E3">
      <w:pPr>
        <w:tabs>
          <w:tab w:val="left" w:pos="3229"/>
        </w:tabs>
        <w:autoSpaceDE w:val="0"/>
        <w:autoSpaceDN w:val="0"/>
        <w:adjustRightInd w:val="0"/>
        <w:rPr>
          <w:lang w:val="en-GB" w:eastAsia="en-GB"/>
        </w:rPr>
      </w:pPr>
    </w:p>
    <w:p w14:paraId="2A9ED39B" w14:textId="6B796B75" w:rsidR="00D95C1D" w:rsidRDefault="00D95C1D" w:rsidP="00171C8A">
      <w:pPr>
        <w:tabs>
          <w:tab w:val="left" w:pos="3229"/>
        </w:tabs>
        <w:autoSpaceDE w:val="0"/>
        <w:autoSpaceDN w:val="0"/>
        <w:adjustRightInd w:val="0"/>
        <w:rPr>
          <w:lang w:val="en-GB" w:eastAsia="en-GB"/>
        </w:rPr>
      </w:pPr>
      <w:r>
        <w:rPr>
          <w:lang w:val="en-GB" w:eastAsia="en-GB"/>
        </w:rPr>
        <w:br w:type="page"/>
      </w:r>
    </w:p>
    <w:p w14:paraId="2C1C4EFB" w14:textId="77777777" w:rsidR="00171C8A" w:rsidRDefault="00171C8A" w:rsidP="00171C8A">
      <w:pPr>
        <w:tabs>
          <w:tab w:val="left" w:pos="3229"/>
        </w:tabs>
        <w:autoSpaceDE w:val="0"/>
        <w:autoSpaceDN w:val="0"/>
        <w:adjustRightInd w:val="0"/>
        <w:rPr>
          <w:lang w:val="en-GB" w:eastAsia="en-GB"/>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50"/>
        <w:gridCol w:w="1750"/>
        <w:gridCol w:w="1240"/>
      </w:tblGrid>
      <w:tr w:rsidR="00171C8A" w:rsidRPr="00171C8A" w14:paraId="358C35F1" w14:textId="77777777" w:rsidTr="00717AB5">
        <w:trPr>
          <w:divId w:val="770471016"/>
          <w:trHeight w:val="259"/>
        </w:trPr>
        <w:tc>
          <w:tcPr>
            <w:tcW w:w="6350" w:type="dxa"/>
            <w:shd w:val="clear" w:color="auto" w:fill="auto"/>
            <w:vAlign w:val="center"/>
            <w:hideMark/>
          </w:tcPr>
          <w:p w14:paraId="75D7619D" w14:textId="0C0B5A96" w:rsidR="00171C8A" w:rsidRPr="00171C8A" w:rsidRDefault="00171C8A" w:rsidP="00171C8A">
            <w:pPr>
              <w:jc w:val="center"/>
              <w:rPr>
                <w:b/>
                <w:bCs/>
                <w:sz w:val="16"/>
                <w:szCs w:val="16"/>
                <w:lang w:eastAsia="tr-TR"/>
              </w:rPr>
            </w:pPr>
            <w:r w:rsidRPr="00171C8A">
              <w:rPr>
                <w:b/>
                <w:bCs/>
                <w:sz w:val="16"/>
                <w:szCs w:val="16"/>
                <w:lang w:eastAsia="tr-TR"/>
              </w:rPr>
              <w:t>İLAVE ANA SERMAYE</w:t>
            </w:r>
          </w:p>
        </w:tc>
        <w:tc>
          <w:tcPr>
            <w:tcW w:w="1750" w:type="dxa"/>
            <w:shd w:val="clear" w:color="auto" w:fill="auto"/>
            <w:vAlign w:val="bottom"/>
            <w:hideMark/>
          </w:tcPr>
          <w:p w14:paraId="62C8AB5C" w14:textId="77777777" w:rsidR="00171C8A" w:rsidRPr="00171C8A" w:rsidRDefault="00171C8A" w:rsidP="00171C8A">
            <w:pPr>
              <w:jc w:val="center"/>
              <w:rPr>
                <w:b/>
                <w:bCs/>
                <w:sz w:val="16"/>
                <w:szCs w:val="16"/>
                <w:lang w:eastAsia="tr-TR"/>
              </w:rPr>
            </w:pPr>
            <w:r w:rsidRPr="00171C8A">
              <w:rPr>
                <w:b/>
                <w:bCs/>
                <w:sz w:val="16"/>
                <w:szCs w:val="16"/>
                <w:lang w:eastAsia="tr-TR"/>
              </w:rPr>
              <w:t> </w:t>
            </w:r>
          </w:p>
        </w:tc>
        <w:tc>
          <w:tcPr>
            <w:tcW w:w="1240" w:type="dxa"/>
            <w:shd w:val="clear" w:color="auto" w:fill="auto"/>
            <w:vAlign w:val="bottom"/>
            <w:hideMark/>
          </w:tcPr>
          <w:p w14:paraId="4762D4D8" w14:textId="77777777" w:rsidR="00171C8A" w:rsidRPr="00171C8A" w:rsidRDefault="00171C8A" w:rsidP="00171C8A">
            <w:pPr>
              <w:jc w:val="center"/>
              <w:rPr>
                <w:b/>
                <w:bCs/>
                <w:sz w:val="16"/>
                <w:szCs w:val="16"/>
                <w:lang w:eastAsia="tr-TR"/>
              </w:rPr>
            </w:pPr>
            <w:r w:rsidRPr="00171C8A">
              <w:rPr>
                <w:b/>
                <w:bCs/>
                <w:sz w:val="16"/>
                <w:szCs w:val="16"/>
                <w:lang w:eastAsia="tr-TR"/>
              </w:rPr>
              <w:t> </w:t>
            </w:r>
          </w:p>
        </w:tc>
      </w:tr>
      <w:tr w:rsidR="00171C8A" w:rsidRPr="00171C8A" w14:paraId="2A0DD1D5" w14:textId="77777777" w:rsidTr="00717AB5">
        <w:trPr>
          <w:divId w:val="770471016"/>
          <w:trHeight w:val="174"/>
        </w:trPr>
        <w:tc>
          <w:tcPr>
            <w:tcW w:w="6350" w:type="dxa"/>
            <w:shd w:val="clear" w:color="auto" w:fill="auto"/>
            <w:vAlign w:val="center"/>
            <w:hideMark/>
          </w:tcPr>
          <w:p w14:paraId="5EFE1F5D" w14:textId="77777777" w:rsidR="00171C8A" w:rsidRPr="00171C8A" w:rsidRDefault="00171C8A" w:rsidP="00171C8A">
            <w:pPr>
              <w:rPr>
                <w:sz w:val="16"/>
                <w:szCs w:val="16"/>
                <w:lang w:eastAsia="tr-TR"/>
              </w:rPr>
            </w:pPr>
            <w:r w:rsidRPr="00171C8A">
              <w:rPr>
                <w:sz w:val="16"/>
                <w:szCs w:val="16"/>
                <w:lang w:eastAsia="tr-TR"/>
              </w:rPr>
              <w:t>Çekirdek sermayeye dahil edilmeyen imtiyazlı paylara tekabül eden sermaye ve bunlara ilişkin ihraç primleri</w:t>
            </w:r>
          </w:p>
        </w:tc>
        <w:tc>
          <w:tcPr>
            <w:tcW w:w="1750" w:type="dxa"/>
            <w:shd w:val="clear" w:color="auto" w:fill="auto"/>
            <w:vAlign w:val="bottom"/>
            <w:hideMark/>
          </w:tcPr>
          <w:p w14:paraId="56061132"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41CE7FE8"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5FBE0D4A" w14:textId="77777777" w:rsidTr="00717AB5">
        <w:trPr>
          <w:divId w:val="770471016"/>
          <w:trHeight w:val="174"/>
        </w:trPr>
        <w:tc>
          <w:tcPr>
            <w:tcW w:w="6350" w:type="dxa"/>
            <w:shd w:val="clear" w:color="auto" w:fill="auto"/>
            <w:vAlign w:val="center"/>
            <w:hideMark/>
          </w:tcPr>
          <w:p w14:paraId="6F379717" w14:textId="77777777" w:rsidR="00171C8A" w:rsidRPr="00171C8A" w:rsidRDefault="00171C8A" w:rsidP="00171C8A">
            <w:pPr>
              <w:rPr>
                <w:sz w:val="16"/>
                <w:szCs w:val="16"/>
                <w:lang w:eastAsia="tr-TR"/>
              </w:rPr>
            </w:pPr>
            <w:r w:rsidRPr="00171C8A">
              <w:rPr>
                <w:sz w:val="16"/>
                <w:szCs w:val="16"/>
                <w:lang w:eastAsia="tr-TR"/>
              </w:rPr>
              <w:t>Kurumca uygun görülen borçlanma araçları ve bunlara ilişkin ihraç primleri</w:t>
            </w:r>
          </w:p>
        </w:tc>
        <w:tc>
          <w:tcPr>
            <w:tcW w:w="1750" w:type="dxa"/>
            <w:shd w:val="clear" w:color="auto" w:fill="auto"/>
            <w:vAlign w:val="bottom"/>
            <w:hideMark/>
          </w:tcPr>
          <w:p w14:paraId="42AC4ED5" w14:textId="77777777" w:rsidR="00171C8A" w:rsidRPr="00171C8A" w:rsidRDefault="00171C8A" w:rsidP="00171C8A">
            <w:pPr>
              <w:jc w:val="right"/>
              <w:rPr>
                <w:sz w:val="16"/>
                <w:szCs w:val="16"/>
                <w:lang w:eastAsia="tr-TR"/>
              </w:rPr>
            </w:pPr>
            <w:r w:rsidRPr="00171C8A">
              <w:rPr>
                <w:sz w:val="16"/>
                <w:szCs w:val="16"/>
                <w:lang w:eastAsia="tr-TR"/>
              </w:rPr>
              <w:t>1,944,075</w:t>
            </w:r>
          </w:p>
        </w:tc>
        <w:tc>
          <w:tcPr>
            <w:tcW w:w="1240" w:type="dxa"/>
            <w:shd w:val="clear" w:color="auto" w:fill="auto"/>
            <w:vAlign w:val="bottom"/>
            <w:hideMark/>
          </w:tcPr>
          <w:p w14:paraId="6759166C" w14:textId="77777777" w:rsidR="00171C8A" w:rsidRPr="00171C8A" w:rsidRDefault="00171C8A" w:rsidP="00171C8A">
            <w:pPr>
              <w:jc w:val="right"/>
              <w:rPr>
                <w:sz w:val="16"/>
                <w:szCs w:val="16"/>
                <w:lang w:eastAsia="tr-TR"/>
              </w:rPr>
            </w:pPr>
            <w:r w:rsidRPr="00171C8A">
              <w:rPr>
                <w:sz w:val="16"/>
                <w:szCs w:val="16"/>
                <w:lang w:eastAsia="tr-TR"/>
              </w:rPr>
              <w:t>1,189,404</w:t>
            </w:r>
          </w:p>
        </w:tc>
      </w:tr>
      <w:tr w:rsidR="00171C8A" w:rsidRPr="00171C8A" w14:paraId="19568DD7" w14:textId="77777777" w:rsidTr="00717AB5">
        <w:trPr>
          <w:divId w:val="770471016"/>
          <w:trHeight w:val="174"/>
        </w:trPr>
        <w:tc>
          <w:tcPr>
            <w:tcW w:w="6350" w:type="dxa"/>
            <w:shd w:val="clear" w:color="auto" w:fill="auto"/>
            <w:vAlign w:val="center"/>
            <w:hideMark/>
          </w:tcPr>
          <w:p w14:paraId="1910CAD8" w14:textId="77777777" w:rsidR="00171C8A" w:rsidRPr="00171C8A" w:rsidRDefault="00171C8A" w:rsidP="00171C8A">
            <w:pPr>
              <w:rPr>
                <w:sz w:val="16"/>
                <w:szCs w:val="16"/>
                <w:lang w:eastAsia="tr-TR"/>
              </w:rPr>
            </w:pPr>
            <w:r w:rsidRPr="00171C8A">
              <w:rPr>
                <w:sz w:val="16"/>
                <w:szCs w:val="16"/>
                <w:lang w:eastAsia="tr-TR"/>
              </w:rPr>
              <w:t>Kurumca uygun görülen borçlanma araçları ve bunlara ilişkin ihraç primleri (Geçici Madde 4 kapsamında olanlar)</w:t>
            </w:r>
          </w:p>
        </w:tc>
        <w:tc>
          <w:tcPr>
            <w:tcW w:w="1750" w:type="dxa"/>
            <w:shd w:val="clear" w:color="auto" w:fill="auto"/>
            <w:vAlign w:val="bottom"/>
            <w:hideMark/>
          </w:tcPr>
          <w:p w14:paraId="344276B8"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74D137CC"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29D76100" w14:textId="77777777" w:rsidTr="00717AB5">
        <w:trPr>
          <w:divId w:val="770471016"/>
          <w:trHeight w:val="259"/>
        </w:trPr>
        <w:tc>
          <w:tcPr>
            <w:tcW w:w="6350" w:type="dxa"/>
            <w:shd w:val="clear" w:color="auto" w:fill="auto"/>
            <w:vAlign w:val="center"/>
            <w:hideMark/>
          </w:tcPr>
          <w:p w14:paraId="288C26FB" w14:textId="77777777" w:rsidR="00171C8A" w:rsidRPr="00171C8A" w:rsidRDefault="00171C8A" w:rsidP="00171C8A">
            <w:pPr>
              <w:rPr>
                <w:b/>
                <w:bCs/>
                <w:sz w:val="16"/>
                <w:szCs w:val="16"/>
                <w:lang w:eastAsia="tr-TR"/>
              </w:rPr>
            </w:pPr>
            <w:r w:rsidRPr="00171C8A">
              <w:rPr>
                <w:b/>
                <w:bCs/>
                <w:sz w:val="16"/>
                <w:szCs w:val="16"/>
                <w:lang w:eastAsia="tr-TR"/>
              </w:rPr>
              <w:t>İndirimler Öncesi İlave Ana Sermaye</w:t>
            </w:r>
          </w:p>
        </w:tc>
        <w:tc>
          <w:tcPr>
            <w:tcW w:w="1750" w:type="dxa"/>
            <w:shd w:val="clear" w:color="auto" w:fill="auto"/>
            <w:vAlign w:val="bottom"/>
            <w:hideMark/>
          </w:tcPr>
          <w:p w14:paraId="23C035AA" w14:textId="77777777" w:rsidR="00171C8A" w:rsidRPr="00171C8A" w:rsidRDefault="00171C8A" w:rsidP="00171C8A">
            <w:pPr>
              <w:jc w:val="right"/>
              <w:rPr>
                <w:b/>
                <w:bCs/>
                <w:sz w:val="16"/>
                <w:szCs w:val="16"/>
                <w:lang w:eastAsia="tr-TR"/>
              </w:rPr>
            </w:pPr>
            <w:r w:rsidRPr="00171C8A">
              <w:rPr>
                <w:b/>
                <w:bCs/>
                <w:sz w:val="16"/>
                <w:szCs w:val="16"/>
                <w:lang w:eastAsia="tr-TR"/>
              </w:rPr>
              <w:t>1,944,075</w:t>
            </w:r>
          </w:p>
        </w:tc>
        <w:tc>
          <w:tcPr>
            <w:tcW w:w="1240" w:type="dxa"/>
            <w:shd w:val="clear" w:color="auto" w:fill="auto"/>
            <w:vAlign w:val="bottom"/>
            <w:hideMark/>
          </w:tcPr>
          <w:p w14:paraId="1FD7835E" w14:textId="77777777" w:rsidR="00171C8A" w:rsidRPr="00171C8A" w:rsidRDefault="00171C8A" w:rsidP="00171C8A">
            <w:pPr>
              <w:jc w:val="right"/>
              <w:rPr>
                <w:b/>
                <w:bCs/>
                <w:sz w:val="16"/>
                <w:szCs w:val="16"/>
                <w:lang w:eastAsia="tr-TR"/>
              </w:rPr>
            </w:pPr>
            <w:r w:rsidRPr="00171C8A">
              <w:rPr>
                <w:b/>
                <w:bCs/>
                <w:sz w:val="16"/>
                <w:szCs w:val="16"/>
                <w:lang w:eastAsia="tr-TR"/>
              </w:rPr>
              <w:t>1,189,404</w:t>
            </w:r>
          </w:p>
        </w:tc>
      </w:tr>
      <w:tr w:rsidR="00171C8A" w:rsidRPr="00171C8A" w14:paraId="762EC62A" w14:textId="77777777" w:rsidTr="00717AB5">
        <w:trPr>
          <w:divId w:val="770471016"/>
          <w:trHeight w:val="259"/>
        </w:trPr>
        <w:tc>
          <w:tcPr>
            <w:tcW w:w="6350" w:type="dxa"/>
            <w:shd w:val="clear" w:color="auto" w:fill="auto"/>
            <w:vAlign w:val="center"/>
            <w:hideMark/>
          </w:tcPr>
          <w:p w14:paraId="46B10B26" w14:textId="77777777" w:rsidR="00171C8A" w:rsidRPr="00171C8A" w:rsidRDefault="00171C8A" w:rsidP="00171C8A">
            <w:pPr>
              <w:rPr>
                <w:b/>
                <w:bCs/>
                <w:sz w:val="16"/>
                <w:szCs w:val="16"/>
                <w:lang w:eastAsia="tr-TR"/>
              </w:rPr>
            </w:pPr>
            <w:r w:rsidRPr="00171C8A">
              <w:rPr>
                <w:b/>
                <w:bCs/>
                <w:sz w:val="16"/>
                <w:szCs w:val="16"/>
                <w:lang w:eastAsia="tr-TR"/>
              </w:rPr>
              <w:t>İlave Ana Sermayeden Yapılacak İndirimler</w:t>
            </w:r>
          </w:p>
        </w:tc>
        <w:tc>
          <w:tcPr>
            <w:tcW w:w="1750" w:type="dxa"/>
            <w:shd w:val="clear" w:color="auto" w:fill="auto"/>
            <w:vAlign w:val="bottom"/>
            <w:hideMark/>
          </w:tcPr>
          <w:p w14:paraId="11059BF5" w14:textId="77777777" w:rsidR="00171C8A" w:rsidRPr="00171C8A" w:rsidRDefault="00171C8A" w:rsidP="00171C8A">
            <w:pPr>
              <w:jc w:val="right"/>
              <w:rPr>
                <w:b/>
                <w:bCs/>
                <w:sz w:val="16"/>
                <w:szCs w:val="16"/>
                <w:lang w:eastAsia="tr-TR"/>
              </w:rPr>
            </w:pPr>
            <w:r w:rsidRPr="00171C8A">
              <w:rPr>
                <w:b/>
                <w:bCs/>
                <w:sz w:val="16"/>
                <w:szCs w:val="16"/>
                <w:lang w:eastAsia="tr-TR"/>
              </w:rPr>
              <w:t>-</w:t>
            </w:r>
          </w:p>
        </w:tc>
        <w:tc>
          <w:tcPr>
            <w:tcW w:w="1240" w:type="dxa"/>
            <w:shd w:val="clear" w:color="auto" w:fill="auto"/>
            <w:vAlign w:val="bottom"/>
            <w:hideMark/>
          </w:tcPr>
          <w:p w14:paraId="1F3CAFBE" w14:textId="77777777" w:rsidR="00171C8A" w:rsidRPr="00171C8A" w:rsidRDefault="00171C8A" w:rsidP="00171C8A">
            <w:pPr>
              <w:jc w:val="right"/>
              <w:rPr>
                <w:b/>
                <w:bCs/>
                <w:sz w:val="16"/>
                <w:szCs w:val="16"/>
                <w:lang w:eastAsia="tr-TR"/>
              </w:rPr>
            </w:pPr>
            <w:r w:rsidRPr="00171C8A">
              <w:rPr>
                <w:b/>
                <w:bCs/>
                <w:sz w:val="16"/>
                <w:szCs w:val="16"/>
                <w:lang w:eastAsia="tr-TR"/>
              </w:rPr>
              <w:t>-</w:t>
            </w:r>
          </w:p>
        </w:tc>
      </w:tr>
      <w:tr w:rsidR="00171C8A" w:rsidRPr="00171C8A" w14:paraId="57BF4FCC" w14:textId="77777777" w:rsidTr="00717AB5">
        <w:trPr>
          <w:divId w:val="770471016"/>
          <w:trHeight w:val="174"/>
        </w:trPr>
        <w:tc>
          <w:tcPr>
            <w:tcW w:w="6350" w:type="dxa"/>
            <w:shd w:val="clear" w:color="auto" w:fill="auto"/>
            <w:vAlign w:val="center"/>
            <w:hideMark/>
          </w:tcPr>
          <w:p w14:paraId="7B7537A9" w14:textId="77777777" w:rsidR="00171C8A" w:rsidRPr="00171C8A" w:rsidRDefault="00171C8A" w:rsidP="00171C8A">
            <w:pPr>
              <w:rPr>
                <w:sz w:val="16"/>
                <w:szCs w:val="16"/>
                <w:lang w:eastAsia="tr-TR"/>
              </w:rPr>
            </w:pPr>
            <w:r w:rsidRPr="00171C8A">
              <w:rPr>
                <w:sz w:val="16"/>
                <w:szCs w:val="16"/>
                <w:lang w:eastAsia="tr-TR"/>
              </w:rPr>
              <w:t>Bankanın kendi ilave ana sermayesine yapmış olduğu doğrudan veya dolaylı yatırımlar</w:t>
            </w:r>
          </w:p>
        </w:tc>
        <w:tc>
          <w:tcPr>
            <w:tcW w:w="1750" w:type="dxa"/>
            <w:shd w:val="clear" w:color="auto" w:fill="auto"/>
            <w:vAlign w:val="bottom"/>
            <w:hideMark/>
          </w:tcPr>
          <w:p w14:paraId="5AE538B7"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26BDBB18"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024C1AFF" w14:textId="77777777" w:rsidTr="00717AB5">
        <w:trPr>
          <w:divId w:val="770471016"/>
          <w:trHeight w:val="174"/>
        </w:trPr>
        <w:tc>
          <w:tcPr>
            <w:tcW w:w="6350" w:type="dxa"/>
            <w:shd w:val="clear" w:color="auto" w:fill="auto"/>
            <w:vAlign w:val="center"/>
            <w:hideMark/>
          </w:tcPr>
          <w:p w14:paraId="61653B45" w14:textId="77777777" w:rsidR="00171C8A" w:rsidRPr="00171C8A" w:rsidRDefault="00171C8A" w:rsidP="00171C8A">
            <w:pPr>
              <w:rPr>
                <w:sz w:val="16"/>
                <w:szCs w:val="16"/>
                <w:lang w:eastAsia="tr-TR"/>
              </w:rPr>
            </w:pPr>
            <w:r w:rsidRPr="00171C8A">
              <w:rPr>
                <w:sz w:val="16"/>
                <w:szCs w:val="16"/>
                <w:lang w:eastAsia="tr-TR"/>
              </w:rPr>
              <w:t xml:space="preserve">Bankanın ilave ana sermaye kalemlerine yatırım yapan bankalar ile finansal kuruluşlar tarafından ihraç edilen ve Yönetmeliğin </w:t>
            </w:r>
            <w:proofErr w:type="gramStart"/>
            <w:r w:rsidRPr="00171C8A">
              <w:rPr>
                <w:sz w:val="16"/>
                <w:szCs w:val="16"/>
                <w:lang w:eastAsia="tr-TR"/>
              </w:rPr>
              <w:t xml:space="preserve">7 </w:t>
            </w:r>
            <w:proofErr w:type="spellStart"/>
            <w:r w:rsidRPr="00171C8A">
              <w:rPr>
                <w:sz w:val="16"/>
                <w:szCs w:val="16"/>
                <w:lang w:eastAsia="tr-TR"/>
              </w:rPr>
              <w:t>nci</w:t>
            </w:r>
            <w:proofErr w:type="spellEnd"/>
            <w:proofErr w:type="gramEnd"/>
            <w:r w:rsidRPr="00171C8A">
              <w:rPr>
                <w:sz w:val="16"/>
                <w:szCs w:val="16"/>
                <w:lang w:eastAsia="tr-TR"/>
              </w:rPr>
              <w:t xml:space="preserve"> maddesinde belirtilen şartları taşıyan </w:t>
            </w:r>
            <w:proofErr w:type="spellStart"/>
            <w:r w:rsidRPr="00171C8A">
              <w:rPr>
                <w:sz w:val="16"/>
                <w:szCs w:val="16"/>
                <w:lang w:eastAsia="tr-TR"/>
              </w:rPr>
              <w:t>özkaynak</w:t>
            </w:r>
            <w:proofErr w:type="spellEnd"/>
            <w:r w:rsidRPr="00171C8A">
              <w:rPr>
                <w:sz w:val="16"/>
                <w:szCs w:val="16"/>
                <w:lang w:eastAsia="tr-TR"/>
              </w:rPr>
              <w:t xml:space="preserve"> kalemlerine bankanın yaptığı yatırımlar</w:t>
            </w:r>
          </w:p>
        </w:tc>
        <w:tc>
          <w:tcPr>
            <w:tcW w:w="1750" w:type="dxa"/>
            <w:shd w:val="clear" w:color="auto" w:fill="auto"/>
            <w:vAlign w:val="bottom"/>
            <w:hideMark/>
          </w:tcPr>
          <w:p w14:paraId="039FB111"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20589B57"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48E081B8" w14:textId="77777777" w:rsidTr="00717AB5">
        <w:trPr>
          <w:divId w:val="770471016"/>
          <w:trHeight w:val="174"/>
        </w:trPr>
        <w:tc>
          <w:tcPr>
            <w:tcW w:w="6350" w:type="dxa"/>
            <w:shd w:val="clear" w:color="auto" w:fill="auto"/>
            <w:vAlign w:val="center"/>
            <w:hideMark/>
          </w:tcPr>
          <w:p w14:paraId="3CB45991" w14:textId="77777777" w:rsidR="00171C8A" w:rsidRPr="00171C8A" w:rsidRDefault="00171C8A" w:rsidP="00171C8A">
            <w:pPr>
              <w:rPr>
                <w:sz w:val="16"/>
                <w:szCs w:val="16"/>
                <w:lang w:eastAsia="tr-TR"/>
              </w:rPr>
            </w:pPr>
            <w:r w:rsidRPr="00171C8A">
              <w:rPr>
                <w:sz w:val="16"/>
                <w:szCs w:val="16"/>
                <w:lang w:eastAsia="tr-TR"/>
              </w:rPr>
              <w:t>Ortaklık paylarının %10 veya daha azına sahip olunan ve konsolide edilmeyen bankalar ve finansal kuruluşların </w:t>
            </w:r>
            <w:proofErr w:type="spellStart"/>
            <w:r w:rsidRPr="00171C8A">
              <w:rPr>
                <w:sz w:val="16"/>
                <w:szCs w:val="16"/>
                <w:lang w:eastAsia="tr-TR"/>
              </w:rPr>
              <w:t>özkaynak</w:t>
            </w:r>
            <w:proofErr w:type="spellEnd"/>
            <w:r w:rsidRPr="00171C8A">
              <w:rPr>
                <w:sz w:val="16"/>
                <w:szCs w:val="16"/>
                <w:lang w:eastAsia="tr-TR"/>
              </w:rPr>
              <w:t> unsurlarına yapılan yatırımların net uzun pozisyonları toplamının, bankanın çekirdek sermayesinin %10’nunu aşan kısmı</w:t>
            </w:r>
          </w:p>
        </w:tc>
        <w:tc>
          <w:tcPr>
            <w:tcW w:w="1750" w:type="dxa"/>
            <w:shd w:val="clear" w:color="auto" w:fill="auto"/>
            <w:vAlign w:val="bottom"/>
            <w:hideMark/>
          </w:tcPr>
          <w:p w14:paraId="6DDCDA9B"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4CBB4F5D"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1877A26B" w14:textId="77777777" w:rsidTr="00717AB5">
        <w:trPr>
          <w:divId w:val="770471016"/>
          <w:trHeight w:val="174"/>
        </w:trPr>
        <w:tc>
          <w:tcPr>
            <w:tcW w:w="6350" w:type="dxa"/>
            <w:shd w:val="clear" w:color="auto" w:fill="auto"/>
            <w:vAlign w:val="center"/>
            <w:hideMark/>
          </w:tcPr>
          <w:p w14:paraId="67DD4F00" w14:textId="77777777" w:rsidR="00171C8A" w:rsidRPr="00171C8A" w:rsidRDefault="00171C8A" w:rsidP="00171C8A">
            <w:pPr>
              <w:rPr>
                <w:sz w:val="16"/>
                <w:szCs w:val="16"/>
                <w:lang w:eastAsia="tr-TR"/>
              </w:rPr>
            </w:pPr>
            <w:r w:rsidRPr="00171C8A">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750" w:type="dxa"/>
            <w:shd w:val="clear" w:color="auto" w:fill="auto"/>
            <w:vAlign w:val="bottom"/>
            <w:hideMark/>
          </w:tcPr>
          <w:p w14:paraId="302CA711"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3C11F884"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58AD2F4D" w14:textId="77777777" w:rsidTr="00717AB5">
        <w:trPr>
          <w:divId w:val="770471016"/>
          <w:trHeight w:val="174"/>
        </w:trPr>
        <w:tc>
          <w:tcPr>
            <w:tcW w:w="6350" w:type="dxa"/>
            <w:shd w:val="clear" w:color="auto" w:fill="auto"/>
            <w:vAlign w:val="center"/>
            <w:hideMark/>
          </w:tcPr>
          <w:p w14:paraId="409E9AC5" w14:textId="77777777" w:rsidR="00171C8A" w:rsidRPr="00171C8A" w:rsidRDefault="00171C8A" w:rsidP="00171C8A">
            <w:pPr>
              <w:rPr>
                <w:sz w:val="16"/>
                <w:szCs w:val="16"/>
                <w:lang w:eastAsia="tr-TR"/>
              </w:rPr>
            </w:pPr>
            <w:r w:rsidRPr="00171C8A">
              <w:rPr>
                <w:sz w:val="16"/>
                <w:szCs w:val="16"/>
                <w:lang w:eastAsia="tr-TR"/>
              </w:rPr>
              <w:t>Kurulca belirlenecek diğer kalemler</w:t>
            </w:r>
          </w:p>
        </w:tc>
        <w:tc>
          <w:tcPr>
            <w:tcW w:w="1750" w:type="dxa"/>
            <w:shd w:val="clear" w:color="auto" w:fill="auto"/>
            <w:vAlign w:val="bottom"/>
            <w:hideMark/>
          </w:tcPr>
          <w:p w14:paraId="1FA43E60"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7AF9B54C"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54C1245F" w14:textId="77777777" w:rsidTr="00717AB5">
        <w:trPr>
          <w:divId w:val="770471016"/>
          <w:trHeight w:val="259"/>
        </w:trPr>
        <w:tc>
          <w:tcPr>
            <w:tcW w:w="6350" w:type="dxa"/>
            <w:shd w:val="clear" w:color="auto" w:fill="auto"/>
            <w:vAlign w:val="center"/>
            <w:hideMark/>
          </w:tcPr>
          <w:p w14:paraId="06FC7F35" w14:textId="77777777" w:rsidR="00171C8A" w:rsidRPr="00171C8A" w:rsidRDefault="00171C8A" w:rsidP="00171C8A">
            <w:pPr>
              <w:rPr>
                <w:b/>
                <w:bCs/>
                <w:sz w:val="16"/>
                <w:szCs w:val="16"/>
                <w:lang w:eastAsia="tr-TR"/>
              </w:rPr>
            </w:pPr>
            <w:r w:rsidRPr="00171C8A">
              <w:rPr>
                <w:b/>
                <w:bCs/>
                <w:sz w:val="16"/>
                <w:szCs w:val="16"/>
                <w:lang w:eastAsia="tr-TR"/>
              </w:rPr>
              <w:t>Geçiş Süresince Ana Sermayeden İndirilmeye Devam edecek Unsurlar</w:t>
            </w:r>
          </w:p>
        </w:tc>
        <w:tc>
          <w:tcPr>
            <w:tcW w:w="1750" w:type="dxa"/>
            <w:shd w:val="clear" w:color="auto" w:fill="auto"/>
            <w:vAlign w:val="bottom"/>
            <w:hideMark/>
          </w:tcPr>
          <w:p w14:paraId="1FA8CCC1" w14:textId="77777777" w:rsidR="00171C8A" w:rsidRPr="00171C8A" w:rsidRDefault="00171C8A" w:rsidP="00171C8A">
            <w:pPr>
              <w:jc w:val="right"/>
              <w:rPr>
                <w:b/>
                <w:bCs/>
                <w:sz w:val="16"/>
                <w:szCs w:val="16"/>
                <w:lang w:eastAsia="tr-TR"/>
              </w:rPr>
            </w:pPr>
            <w:r w:rsidRPr="00171C8A">
              <w:rPr>
                <w:b/>
                <w:bCs/>
                <w:sz w:val="16"/>
                <w:szCs w:val="16"/>
                <w:lang w:eastAsia="tr-TR"/>
              </w:rPr>
              <w:t> </w:t>
            </w:r>
          </w:p>
        </w:tc>
        <w:tc>
          <w:tcPr>
            <w:tcW w:w="1240" w:type="dxa"/>
            <w:shd w:val="clear" w:color="auto" w:fill="auto"/>
            <w:vAlign w:val="bottom"/>
            <w:hideMark/>
          </w:tcPr>
          <w:p w14:paraId="29C3B9F1" w14:textId="77777777" w:rsidR="00171C8A" w:rsidRPr="00171C8A" w:rsidRDefault="00171C8A" w:rsidP="00171C8A">
            <w:pPr>
              <w:jc w:val="right"/>
              <w:rPr>
                <w:b/>
                <w:bCs/>
                <w:sz w:val="16"/>
                <w:szCs w:val="16"/>
                <w:lang w:eastAsia="tr-TR"/>
              </w:rPr>
            </w:pPr>
            <w:r w:rsidRPr="00171C8A">
              <w:rPr>
                <w:b/>
                <w:bCs/>
                <w:sz w:val="16"/>
                <w:szCs w:val="16"/>
                <w:lang w:eastAsia="tr-TR"/>
              </w:rPr>
              <w:t> </w:t>
            </w:r>
          </w:p>
        </w:tc>
      </w:tr>
      <w:tr w:rsidR="00171C8A" w:rsidRPr="00171C8A" w14:paraId="642BC3EE" w14:textId="77777777" w:rsidTr="00717AB5">
        <w:trPr>
          <w:divId w:val="770471016"/>
          <w:trHeight w:val="174"/>
        </w:trPr>
        <w:tc>
          <w:tcPr>
            <w:tcW w:w="6350" w:type="dxa"/>
            <w:shd w:val="clear" w:color="auto" w:fill="auto"/>
            <w:vAlign w:val="center"/>
            <w:hideMark/>
          </w:tcPr>
          <w:p w14:paraId="109D37D7" w14:textId="77777777" w:rsidR="00171C8A" w:rsidRPr="00171C8A" w:rsidRDefault="00171C8A" w:rsidP="00171C8A">
            <w:pPr>
              <w:rPr>
                <w:sz w:val="16"/>
                <w:szCs w:val="16"/>
                <w:lang w:eastAsia="tr-TR"/>
              </w:rPr>
            </w:pPr>
            <w:r w:rsidRPr="00171C8A">
              <w:rPr>
                <w:sz w:val="16"/>
                <w:szCs w:val="16"/>
                <w:lang w:eastAsia="tr-TR"/>
              </w:rPr>
              <w:t>Şerefiye veya diğer maddi olmayan duran varlıklar ve bunlara ilişkin ertelenmiş vergi yükümlülüklerinin Bankaların </w:t>
            </w:r>
            <w:proofErr w:type="spellStart"/>
            <w:r w:rsidRPr="00171C8A">
              <w:rPr>
                <w:sz w:val="16"/>
                <w:szCs w:val="16"/>
                <w:lang w:eastAsia="tr-TR"/>
              </w:rPr>
              <w:t>Özkaynaklarına</w:t>
            </w:r>
            <w:proofErr w:type="spellEnd"/>
            <w:r w:rsidRPr="00171C8A">
              <w:rPr>
                <w:sz w:val="16"/>
                <w:szCs w:val="16"/>
                <w:lang w:eastAsia="tr-TR"/>
              </w:rPr>
              <w:t xml:space="preserve"> İlişkin Yönetmeliğin Geçici </w:t>
            </w:r>
            <w:proofErr w:type="gramStart"/>
            <w:r w:rsidRPr="00171C8A">
              <w:rPr>
                <w:sz w:val="16"/>
                <w:szCs w:val="16"/>
                <w:lang w:eastAsia="tr-TR"/>
              </w:rPr>
              <w:t>2 </w:t>
            </w:r>
            <w:proofErr w:type="spellStart"/>
            <w:r w:rsidRPr="00171C8A">
              <w:rPr>
                <w:sz w:val="16"/>
                <w:szCs w:val="16"/>
                <w:lang w:eastAsia="tr-TR"/>
              </w:rPr>
              <w:t>nci</w:t>
            </w:r>
            <w:proofErr w:type="spellEnd"/>
            <w:proofErr w:type="gramEnd"/>
            <w:r w:rsidRPr="00171C8A">
              <w:rPr>
                <w:sz w:val="16"/>
                <w:szCs w:val="16"/>
                <w:lang w:eastAsia="tr-TR"/>
              </w:rPr>
              <w:t xml:space="preserve"> maddesinin birinci fıkrası uyarınca çekirdek sermayeden indirilmeyen kısmı (-)</w:t>
            </w:r>
          </w:p>
        </w:tc>
        <w:tc>
          <w:tcPr>
            <w:tcW w:w="1750" w:type="dxa"/>
            <w:shd w:val="clear" w:color="auto" w:fill="auto"/>
            <w:vAlign w:val="bottom"/>
            <w:hideMark/>
          </w:tcPr>
          <w:p w14:paraId="7A73F916"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4E27B3DB"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1B8FBA31" w14:textId="77777777" w:rsidTr="00717AB5">
        <w:trPr>
          <w:divId w:val="770471016"/>
          <w:trHeight w:val="174"/>
        </w:trPr>
        <w:tc>
          <w:tcPr>
            <w:tcW w:w="6350" w:type="dxa"/>
            <w:shd w:val="clear" w:color="auto" w:fill="auto"/>
            <w:vAlign w:val="center"/>
            <w:hideMark/>
          </w:tcPr>
          <w:p w14:paraId="7E086676" w14:textId="77777777" w:rsidR="00171C8A" w:rsidRPr="00171C8A" w:rsidRDefault="00171C8A" w:rsidP="00171C8A">
            <w:pPr>
              <w:rPr>
                <w:sz w:val="16"/>
                <w:szCs w:val="16"/>
                <w:lang w:eastAsia="tr-TR"/>
              </w:rPr>
            </w:pPr>
            <w:r w:rsidRPr="00171C8A">
              <w:rPr>
                <w:sz w:val="16"/>
                <w:szCs w:val="16"/>
                <w:lang w:eastAsia="tr-TR"/>
              </w:rPr>
              <w:t>Net ertelenmiş vergi varlığı/vergi borcunun Bankaların </w:t>
            </w:r>
            <w:proofErr w:type="spellStart"/>
            <w:r w:rsidRPr="00171C8A">
              <w:rPr>
                <w:sz w:val="16"/>
                <w:szCs w:val="16"/>
                <w:lang w:eastAsia="tr-TR"/>
              </w:rPr>
              <w:t>Özkaynaklarına</w:t>
            </w:r>
            <w:proofErr w:type="spellEnd"/>
            <w:r w:rsidRPr="00171C8A">
              <w:rPr>
                <w:sz w:val="16"/>
                <w:szCs w:val="16"/>
                <w:lang w:eastAsia="tr-TR"/>
              </w:rPr>
              <w:t xml:space="preserve"> İlişkin Yönetmeliğin Geçici </w:t>
            </w:r>
            <w:proofErr w:type="gramStart"/>
            <w:r w:rsidRPr="00171C8A">
              <w:rPr>
                <w:sz w:val="16"/>
                <w:szCs w:val="16"/>
                <w:lang w:eastAsia="tr-TR"/>
              </w:rPr>
              <w:t>2 </w:t>
            </w:r>
            <w:proofErr w:type="spellStart"/>
            <w:r w:rsidRPr="00171C8A">
              <w:rPr>
                <w:sz w:val="16"/>
                <w:szCs w:val="16"/>
                <w:lang w:eastAsia="tr-TR"/>
              </w:rPr>
              <w:t>nci</w:t>
            </w:r>
            <w:proofErr w:type="spellEnd"/>
            <w:proofErr w:type="gramEnd"/>
            <w:r w:rsidRPr="00171C8A">
              <w:rPr>
                <w:sz w:val="16"/>
                <w:szCs w:val="16"/>
                <w:lang w:eastAsia="tr-TR"/>
              </w:rPr>
              <w:t> maddesinin birinci fıkrası uyarınca çekirdek sermayeden indirilmeyen kısmı (-)</w:t>
            </w:r>
          </w:p>
        </w:tc>
        <w:tc>
          <w:tcPr>
            <w:tcW w:w="1750" w:type="dxa"/>
            <w:shd w:val="clear" w:color="auto" w:fill="auto"/>
            <w:vAlign w:val="bottom"/>
            <w:hideMark/>
          </w:tcPr>
          <w:p w14:paraId="234FB761"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443AB71D"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38D2563F" w14:textId="77777777" w:rsidTr="00717AB5">
        <w:trPr>
          <w:divId w:val="770471016"/>
          <w:trHeight w:val="174"/>
        </w:trPr>
        <w:tc>
          <w:tcPr>
            <w:tcW w:w="6350" w:type="dxa"/>
            <w:shd w:val="clear" w:color="auto" w:fill="auto"/>
            <w:vAlign w:val="center"/>
            <w:hideMark/>
          </w:tcPr>
          <w:p w14:paraId="73E6976E" w14:textId="77777777" w:rsidR="00171C8A" w:rsidRPr="00171C8A" w:rsidRDefault="00171C8A" w:rsidP="00171C8A">
            <w:pPr>
              <w:rPr>
                <w:sz w:val="16"/>
                <w:szCs w:val="16"/>
                <w:lang w:eastAsia="tr-TR"/>
              </w:rPr>
            </w:pPr>
            <w:r w:rsidRPr="00171C8A">
              <w:rPr>
                <w:sz w:val="16"/>
                <w:szCs w:val="16"/>
                <w:lang w:eastAsia="tr-TR"/>
              </w:rPr>
              <w:t>Yeterli katkı sermaye bulunmaması halinde ilave ana sermayeden indirim yapılacak tutar (-)</w:t>
            </w:r>
          </w:p>
        </w:tc>
        <w:tc>
          <w:tcPr>
            <w:tcW w:w="1750" w:type="dxa"/>
            <w:shd w:val="clear" w:color="auto" w:fill="auto"/>
            <w:vAlign w:val="bottom"/>
            <w:hideMark/>
          </w:tcPr>
          <w:p w14:paraId="704C488D"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39883126"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30C10478" w14:textId="77777777" w:rsidTr="00717AB5">
        <w:trPr>
          <w:divId w:val="770471016"/>
          <w:trHeight w:val="259"/>
        </w:trPr>
        <w:tc>
          <w:tcPr>
            <w:tcW w:w="6350" w:type="dxa"/>
            <w:shd w:val="clear" w:color="auto" w:fill="auto"/>
            <w:vAlign w:val="center"/>
            <w:hideMark/>
          </w:tcPr>
          <w:p w14:paraId="784387C0" w14:textId="77777777" w:rsidR="00171C8A" w:rsidRPr="00171C8A" w:rsidRDefault="00171C8A" w:rsidP="00171C8A">
            <w:pPr>
              <w:rPr>
                <w:b/>
                <w:bCs/>
                <w:sz w:val="16"/>
                <w:szCs w:val="16"/>
                <w:lang w:eastAsia="tr-TR"/>
              </w:rPr>
            </w:pPr>
            <w:r w:rsidRPr="00171C8A">
              <w:rPr>
                <w:b/>
                <w:bCs/>
                <w:sz w:val="16"/>
                <w:szCs w:val="16"/>
                <w:lang w:eastAsia="tr-TR"/>
              </w:rPr>
              <w:t>İlave ana sermayeden indirimler toplamı</w:t>
            </w:r>
          </w:p>
        </w:tc>
        <w:tc>
          <w:tcPr>
            <w:tcW w:w="1750" w:type="dxa"/>
            <w:shd w:val="clear" w:color="auto" w:fill="auto"/>
            <w:vAlign w:val="bottom"/>
            <w:hideMark/>
          </w:tcPr>
          <w:p w14:paraId="51BBBAEC" w14:textId="77777777" w:rsidR="00171C8A" w:rsidRPr="00171C8A" w:rsidRDefault="00171C8A" w:rsidP="00171C8A">
            <w:pPr>
              <w:jc w:val="right"/>
              <w:rPr>
                <w:b/>
                <w:bCs/>
                <w:sz w:val="16"/>
                <w:szCs w:val="16"/>
                <w:lang w:eastAsia="tr-TR"/>
              </w:rPr>
            </w:pPr>
            <w:r w:rsidRPr="00171C8A">
              <w:rPr>
                <w:b/>
                <w:bCs/>
                <w:sz w:val="16"/>
                <w:szCs w:val="16"/>
                <w:lang w:eastAsia="tr-TR"/>
              </w:rPr>
              <w:t>-</w:t>
            </w:r>
          </w:p>
        </w:tc>
        <w:tc>
          <w:tcPr>
            <w:tcW w:w="1240" w:type="dxa"/>
            <w:shd w:val="clear" w:color="auto" w:fill="auto"/>
            <w:vAlign w:val="bottom"/>
            <w:hideMark/>
          </w:tcPr>
          <w:p w14:paraId="29FED869" w14:textId="77777777" w:rsidR="00171C8A" w:rsidRPr="00171C8A" w:rsidRDefault="00171C8A" w:rsidP="00171C8A">
            <w:pPr>
              <w:jc w:val="right"/>
              <w:rPr>
                <w:b/>
                <w:bCs/>
                <w:sz w:val="16"/>
                <w:szCs w:val="16"/>
                <w:lang w:eastAsia="tr-TR"/>
              </w:rPr>
            </w:pPr>
            <w:r w:rsidRPr="00171C8A">
              <w:rPr>
                <w:b/>
                <w:bCs/>
                <w:sz w:val="16"/>
                <w:szCs w:val="16"/>
                <w:lang w:eastAsia="tr-TR"/>
              </w:rPr>
              <w:t>-</w:t>
            </w:r>
          </w:p>
        </w:tc>
      </w:tr>
      <w:tr w:rsidR="00171C8A" w:rsidRPr="00171C8A" w14:paraId="2E4C0550" w14:textId="77777777" w:rsidTr="00717AB5">
        <w:trPr>
          <w:divId w:val="770471016"/>
          <w:trHeight w:val="259"/>
        </w:trPr>
        <w:tc>
          <w:tcPr>
            <w:tcW w:w="6350" w:type="dxa"/>
            <w:shd w:val="clear" w:color="auto" w:fill="auto"/>
            <w:vAlign w:val="center"/>
            <w:hideMark/>
          </w:tcPr>
          <w:p w14:paraId="77D53EA4" w14:textId="77777777" w:rsidR="00171C8A" w:rsidRPr="00171C8A" w:rsidRDefault="00171C8A" w:rsidP="00171C8A">
            <w:pPr>
              <w:rPr>
                <w:b/>
                <w:bCs/>
                <w:sz w:val="16"/>
                <w:szCs w:val="16"/>
                <w:lang w:eastAsia="tr-TR"/>
              </w:rPr>
            </w:pPr>
            <w:r w:rsidRPr="00171C8A">
              <w:rPr>
                <w:b/>
                <w:bCs/>
                <w:sz w:val="16"/>
                <w:szCs w:val="16"/>
                <w:lang w:eastAsia="tr-TR"/>
              </w:rPr>
              <w:t>İlave Ana Sermaye Toplamı</w:t>
            </w:r>
          </w:p>
        </w:tc>
        <w:tc>
          <w:tcPr>
            <w:tcW w:w="1750" w:type="dxa"/>
            <w:shd w:val="clear" w:color="auto" w:fill="auto"/>
            <w:vAlign w:val="bottom"/>
            <w:hideMark/>
          </w:tcPr>
          <w:p w14:paraId="4AD10B9E" w14:textId="77777777" w:rsidR="00171C8A" w:rsidRPr="00171C8A" w:rsidRDefault="00171C8A" w:rsidP="00171C8A">
            <w:pPr>
              <w:jc w:val="right"/>
              <w:rPr>
                <w:b/>
                <w:bCs/>
                <w:sz w:val="16"/>
                <w:szCs w:val="16"/>
                <w:lang w:eastAsia="tr-TR"/>
              </w:rPr>
            </w:pPr>
            <w:r w:rsidRPr="00171C8A">
              <w:rPr>
                <w:b/>
                <w:bCs/>
                <w:sz w:val="16"/>
                <w:szCs w:val="16"/>
                <w:lang w:eastAsia="tr-TR"/>
              </w:rPr>
              <w:t>1,944,075</w:t>
            </w:r>
          </w:p>
        </w:tc>
        <w:tc>
          <w:tcPr>
            <w:tcW w:w="1240" w:type="dxa"/>
            <w:shd w:val="clear" w:color="auto" w:fill="auto"/>
            <w:vAlign w:val="bottom"/>
            <w:hideMark/>
          </w:tcPr>
          <w:p w14:paraId="50B797EB" w14:textId="77777777" w:rsidR="00171C8A" w:rsidRPr="00171C8A" w:rsidRDefault="00171C8A" w:rsidP="00171C8A">
            <w:pPr>
              <w:jc w:val="right"/>
              <w:rPr>
                <w:b/>
                <w:bCs/>
                <w:sz w:val="16"/>
                <w:szCs w:val="16"/>
                <w:lang w:eastAsia="tr-TR"/>
              </w:rPr>
            </w:pPr>
            <w:r w:rsidRPr="00171C8A">
              <w:rPr>
                <w:b/>
                <w:bCs/>
                <w:sz w:val="16"/>
                <w:szCs w:val="16"/>
                <w:lang w:eastAsia="tr-TR"/>
              </w:rPr>
              <w:t>1,189,404</w:t>
            </w:r>
          </w:p>
        </w:tc>
      </w:tr>
      <w:tr w:rsidR="00171C8A" w:rsidRPr="00171C8A" w14:paraId="5693B565" w14:textId="77777777" w:rsidTr="00717AB5">
        <w:trPr>
          <w:divId w:val="770471016"/>
          <w:trHeight w:val="259"/>
        </w:trPr>
        <w:tc>
          <w:tcPr>
            <w:tcW w:w="6350" w:type="dxa"/>
            <w:shd w:val="clear" w:color="auto" w:fill="auto"/>
            <w:vAlign w:val="center"/>
            <w:hideMark/>
          </w:tcPr>
          <w:p w14:paraId="357499F7" w14:textId="77777777" w:rsidR="00171C8A" w:rsidRPr="00171C8A" w:rsidRDefault="00171C8A" w:rsidP="00171C8A">
            <w:pPr>
              <w:rPr>
                <w:b/>
                <w:bCs/>
                <w:sz w:val="16"/>
                <w:szCs w:val="16"/>
                <w:lang w:eastAsia="tr-TR"/>
              </w:rPr>
            </w:pPr>
            <w:r w:rsidRPr="00171C8A">
              <w:rPr>
                <w:b/>
                <w:bCs/>
                <w:sz w:val="16"/>
                <w:szCs w:val="16"/>
                <w:lang w:eastAsia="tr-TR"/>
              </w:rPr>
              <w:t>Ana Sermaye Toplamı (Ana Sermaye = Çekirdek Sermaye + İlave Ana Sermaye)</w:t>
            </w:r>
          </w:p>
        </w:tc>
        <w:tc>
          <w:tcPr>
            <w:tcW w:w="1750" w:type="dxa"/>
            <w:shd w:val="clear" w:color="auto" w:fill="auto"/>
            <w:vAlign w:val="bottom"/>
            <w:hideMark/>
          </w:tcPr>
          <w:p w14:paraId="554372A5" w14:textId="77777777" w:rsidR="00171C8A" w:rsidRPr="00171C8A" w:rsidRDefault="00171C8A" w:rsidP="00171C8A">
            <w:pPr>
              <w:jc w:val="right"/>
              <w:rPr>
                <w:b/>
                <w:bCs/>
                <w:sz w:val="16"/>
                <w:szCs w:val="16"/>
                <w:lang w:eastAsia="tr-TR"/>
              </w:rPr>
            </w:pPr>
            <w:r w:rsidRPr="00171C8A">
              <w:rPr>
                <w:b/>
                <w:bCs/>
                <w:sz w:val="16"/>
                <w:szCs w:val="16"/>
                <w:lang w:eastAsia="tr-TR"/>
              </w:rPr>
              <w:t>9,300,044</w:t>
            </w:r>
          </w:p>
        </w:tc>
        <w:tc>
          <w:tcPr>
            <w:tcW w:w="1240" w:type="dxa"/>
            <w:shd w:val="clear" w:color="auto" w:fill="auto"/>
            <w:vAlign w:val="bottom"/>
            <w:hideMark/>
          </w:tcPr>
          <w:p w14:paraId="1791FC96" w14:textId="77777777" w:rsidR="00171C8A" w:rsidRPr="00171C8A" w:rsidRDefault="00171C8A" w:rsidP="00171C8A">
            <w:pPr>
              <w:jc w:val="right"/>
              <w:rPr>
                <w:b/>
                <w:bCs/>
                <w:sz w:val="16"/>
                <w:szCs w:val="16"/>
                <w:lang w:eastAsia="tr-TR"/>
              </w:rPr>
            </w:pPr>
            <w:r w:rsidRPr="00171C8A">
              <w:rPr>
                <w:b/>
                <w:bCs/>
                <w:sz w:val="16"/>
                <w:szCs w:val="16"/>
                <w:lang w:eastAsia="tr-TR"/>
              </w:rPr>
              <w:t>7,818,200</w:t>
            </w:r>
          </w:p>
        </w:tc>
      </w:tr>
      <w:tr w:rsidR="00171C8A" w:rsidRPr="00171C8A" w14:paraId="256E98A9" w14:textId="77777777" w:rsidTr="00717AB5">
        <w:trPr>
          <w:divId w:val="770471016"/>
          <w:trHeight w:val="259"/>
        </w:trPr>
        <w:tc>
          <w:tcPr>
            <w:tcW w:w="6350" w:type="dxa"/>
            <w:shd w:val="clear" w:color="auto" w:fill="auto"/>
            <w:vAlign w:val="center"/>
            <w:hideMark/>
          </w:tcPr>
          <w:p w14:paraId="7BA2D8A7" w14:textId="77777777" w:rsidR="00171C8A" w:rsidRPr="00171C8A" w:rsidRDefault="00171C8A" w:rsidP="00171C8A">
            <w:pPr>
              <w:jc w:val="center"/>
              <w:rPr>
                <w:b/>
                <w:bCs/>
                <w:sz w:val="16"/>
                <w:szCs w:val="16"/>
                <w:lang w:eastAsia="tr-TR"/>
              </w:rPr>
            </w:pPr>
            <w:r w:rsidRPr="00171C8A">
              <w:rPr>
                <w:b/>
                <w:bCs/>
                <w:sz w:val="16"/>
                <w:szCs w:val="16"/>
                <w:lang w:eastAsia="tr-TR"/>
              </w:rPr>
              <w:t>KATKI SERMAYE</w:t>
            </w:r>
          </w:p>
        </w:tc>
        <w:tc>
          <w:tcPr>
            <w:tcW w:w="1750" w:type="dxa"/>
            <w:shd w:val="clear" w:color="auto" w:fill="auto"/>
            <w:vAlign w:val="bottom"/>
            <w:hideMark/>
          </w:tcPr>
          <w:p w14:paraId="315E6D43" w14:textId="77777777" w:rsidR="00171C8A" w:rsidRPr="00171C8A" w:rsidRDefault="00171C8A" w:rsidP="00171C8A">
            <w:pPr>
              <w:jc w:val="right"/>
              <w:rPr>
                <w:b/>
                <w:bCs/>
                <w:sz w:val="16"/>
                <w:szCs w:val="16"/>
                <w:lang w:eastAsia="tr-TR"/>
              </w:rPr>
            </w:pPr>
            <w:r w:rsidRPr="00171C8A">
              <w:rPr>
                <w:b/>
                <w:bCs/>
                <w:sz w:val="16"/>
                <w:szCs w:val="16"/>
                <w:lang w:eastAsia="tr-TR"/>
              </w:rPr>
              <w:t> </w:t>
            </w:r>
          </w:p>
        </w:tc>
        <w:tc>
          <w:tcPr>
            <w:tcW w:w="1240" w:type="dxa"/>
            <w:shd w:val="clear" w:color="auto" w:fill="auto"/>
            <w:vAlign w:val="bottom"/>
            <w:hideMark/>
          </w:tcPr>
          <w:p w14:paraId="0E928114" w14:textId="77777777" w:rsidR="00171C8A" w:rsidRPr="00171C8A" w:rsidRDefault="00171C8A" w:rsidP="00171C8A">
            <w:pPr>
              <w:jc w:val="right"/>
              <w:rPr>
                <w:b/>
                <w:bCs/>
                <w:sz w:val="16"/>
                <w:szCs w:val="16"/>
                <w:lang w:eastAsia="tr-TR"/>
              </w:rPr>
            </w:pPr>
            <w:r w:rsidRPr="00171C8A">
              <w:rPr>
                <w:b/>
                <w:bCs/>
                <w:sz w:val="16"/>
                <w:szCs w:val="16"/>
                <w:lang w:eastAsia="tr-TR"/>
              </w:rPr>
              <w:t> </w:t>
            </w:r>
          </w:p>
        </w:tc>
      </w:tr>
      <w:tr w:rsidR="00171C8A" w:rsidRPr="00171C8A" w14:paraId="66F137B9" w14:textId="77777777" w:rsidTr="00717AB5">
        <w:trPr>
          <w:divId w:val="770471016"/>
          <w:trHeight w:val="174"/>
        </w:trPr>
        <w:tc>
          <w:tcPr>
            <w:tcW w:w="6350" w:type="dxa"/>
            <w:shd w:val="clear" w:color="auto" w:fill="auto"/>
            <w:vAlign w:val="center"/>
            <w:hideMark/>
          </w:tcPr>
          <w:p w14:paraId="1EE34E4F" w14:textId="77777777" w:rsidR="00171C8A" w:rsidRPr="00171C8A" w:rsidRDefault="00171C8A" w:rsidP="00171C8A">
            <w:pPr>
              <w:rPr>
                <w:sz w:val="16"/>
                <w:szCs w:val="16"/>
                <w:lang w:eastAsia="tr-TR"/>
              </w:rPr>
            </w:pPr>
            <w:r w:rsidRPr="00171C8A">
              <w:rPr>
                <w:sz w:val="16"/>
                <w:szCs w:val="16"/>
                <w:lang w:eastAsia="tr-TR"/>
              </w:rPr>
              <w:t>Kurumca uygun görülen borçlanma araçları ve bunlara ilişkin ihraç primleri</w:t>
            </w:r>
          </w:p>
        </w:tc>
        <w:tc>
          <w:tcPr>
            <w:tcW w:w="1750" w:type="dxa"/>
            <w:shd w:val="clear" w:color="auto" w:fill="auto"/>
            <w:vAlign w:val="bottom"/>
            <w:hideMark/>
          </w:tcPr>
          <w:p w14:paraId="113FE80C" w14:textId="77777777" w:rsidR="00171C8A" w:rsidRPr="00171C8A" w:rsidRDefault="00171C8A" w:rsidP="00171C8A">
            <w:pPr>
              <w:jc w:val="right"/>
              <w:rPr>
                <w:sz w:val="16"/>
                <w:szCs w:val="16"/>
                <w:lang w:eastAsia="tr-TR"/>
              </w:rPr>
            </w:pPr>
            <w:r w:rsidRPr="00171C8A">
              <w:rPr>
                <w:sz w:val="16"/>
                <w:szCs w:val="16"/>
                <w:lang w:eastAsia="tr-TR"/>
              </w:rPr>
              <w:t>2,721,700</w:t>
            </w:r>
          </w:p>
        </w:tc>
        <w:tc>
          <w:tcPr>
            <w:tcW w:w="1240" w:type="dxa"/>
            <w:shd w:val="clear" w:color="auto" w:fill="auto"/>
            <w:vAlign w:val="bottom"/>
            <w:hideMark/>
          </w:tcPr>
          <w:p w14:paraId="5BB5C270" w14:textId="77777777" w:rsidR="00171C8A" w:rsidRPr="00171C8A" w:rsidRDefault="00171C8A" w:rsidP="00171C8A">
            <w:pPr>
              <w:jc w:val="right"/>
              <w:rPr>
                <w:sz w:val="16"/>
                <w:szCs w:val="16"/>
                <w:lang w:eastAsia="tr-TR"/>
              </w:rPr>
            </w:pPr>
            <w:r w:rsidRPr="00171C8A">
              <w:rPr>
                <w:sz w:val="16"/>
                <w:szCs w:val="16"/>
                <w:lang w:eastAsia="tr-TR"/>
              </w:rPr>
              <w:t>2,073,398</w:t>
            </w:r>
          </w:p>
        </w:tc>
      </w:tr>
      <w:tr w:rsidR="00171C8A" w:rsidRPr="00171C8A" w14:paraId="10184CF0" w14:textId="77777777" w:rsidTr="00717AB5">
        <w:trPr>
          <w:divId w:val="770471016"/>
          <w:trHeight w:val="174"/>
        </w:trPr>
        <w:tc>
          <w:tcPr>
            <w:tcW w:w="6350" w:type="dxa"/>
            <w:shd w:val="clear" w:color="auto" w:fill="auto"/>
            <w:vAlign w:val="center"/>
            <w:hideMark/>
          </w:tcPr>
          <w:p w14:paraId="4EF3A9C5" w14:textId="77777777" w:rsidR="00171C8A" w:rsidRPr="00171C8A" w:rsidRDefault="00171C8A" w:rsidP="00171C8A">
            <w:pPr>
              <w:rPr>
                <w:sz w:val="16"/>
                <w:szCs w:val="16"/>
                <w:lang w:eastAsia="tr-TR"/>
              </w:rPr>
            </w:pPr>
            <w:r w:rsidRPr="00171C8A">
              <w:rPr>
                <w:sz w:val="16"/>
                <w:szCs w:val="16"/>
                <w:lang w:eastAsia="tr-TR"/>
              </w:rPr>
              <w:t xml:space="preserve">Kurumca uygun görülen borçlanma araçları ve bunlara ilişkin ihraç </w:t>
            </w:r>
            <w:proofErr w:type="gramStart"/>
            <w:r w:rsidRPr="00171C8A">
              <w:rPr>
                <w:sz w:val="16"/>
                <w:szCs w:val="16"/>
                <w:lang w:eastAsia="tr-TR"/>
              </w:rPr>
              <w:t>primleri  (</w:t>
            </w:r>
            <w:proofErr w:type="gramEnd"/>
            <w:r w:rsidRPr="00171C8A">
              <w:rPr>
                <w:sz w:val="16"/>
                <w:szCs w:val="16"/>
                <w:lang w:eastAsia="tr-TR"/>
              </w:rPr>
              <w:t>Geçici Madde 4 kapsamında olanlar)</w:t>
            </w:r>
          </w:p>
        </w:tc>
        <w:tc>
          <w:tcPr>
            <w:tcW w:w="1750" w:type="dxa"/>
            <w:shd w:val="clear" w:color="auto" w:fill="auto"/>
            <w:vAlign w:val="bottom"/>
            <w:hideMark/>
          </w:tcPr>
          <w:p w14:paraId="74C4C42E"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3BA6FBD7"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72094D4E" w14:textId="77777777" w:rsidTr="00717AB5">
        <w:trPr>
          <w:divId w:val="770471016"/>
          <w:trHeight w:val="174"/>
        </w:trPr>
        <w:tc>
          <w:tcPr>
            <w:tcW w:w="6350" w:type="dxa"/>
            <w:shd w:val="clear" w:color="auto" w:fill="auto"/>
            <w:vAlign w:val="center"/>
            <w:hideMark/>
          </w:tcPr>
          <w:p w14:paraId="0F4C40E6" w14:textId="77777777" w:rsidR="00171C8A" w:rsidRPr="00171C8A" w:rsidRDefault="00171C8A" w:rsidP="00171C8A">
            <w:pPr>
              <w:rPr>
                <w:sz w:val="16"/>
                <w:szCs w:val="16"/>
                <w:lang w:eastAsia="tr-TR"/>
              </w:rPr>
            </w:pPr>
            <w:r w:rsidRPr="00171C8A">
              <w:rPr>
                <w:sz w:val="16"/>
                <w:szCs w:val="16"/>
                <w:lang w:eastAsia="tr-TR"/>
              </w:rPr>
              <w:t xml:space="preserve">Karşılıklar (Bankaların </w:t>
            </w:r>
            <w:proofErr w:type="spellStart"/>
            <w:r w:rsidRPr="00171C8A">
              <w:rPr>
                <w:sz w:val="16"/>
                <w:szCs w:val="16"/>
                <w:lang w:eastAsia="tr-TR"/>
              </w:rPr>
              <w:t>Özkaynaklarına</w:t>
            </w:r>
            <w:proofErr w:type="spellEnd"/>
            <w:r w:rsidRPr="00171C8A">
              <w:rPr>
                <w:sz w:val="16"/>
                <w:szCs w:val="16"/>
                <w:lang w:eastAsia="tr-TR"/>
              </w:rPr>
              <w:t xml:space="preserve"> İlişkin Yönetmeliğin 8 inci maddesinin birinci fıkrasında belirtilen tutarlar)</w:t>
            </w:r>
          </w:p>
        </w:tc>
        <w:tc>
          <w:tcPr>
            <w:tcW w:w="1750" w:type="dxa"/>
            <w:shd w:val="clear" w:color="auto" w:fill="auto"/>
            <w:vAlign w:val="bottom"/>
            <w:hideMark/>
          </w:tcPr>
          <w:p w14:paraId="7B626362" w14:textId="77777777" w:rsidR="00171C8A" w:rsidRPr="00171C8A" w:rsidRDefault="00171C8A" w:rsidP="00171C8A">
            <w:pPr>
              <w:jc w:val="right"/>
              <w:rPr>
                <w:sz w:val="16"/>
                <w:szCs w:val="16"/>
                <w:lang w:eastAsia="tr-TR"/>
              </w:rPr>
            </w:pPr>
            <w:r w:rsidRPr="00171C8A">
              <w:rPr>
                <w:sz w:val="16"/>
                <w:szCs w:val="16"/>
                <w:lang w:eastAsia="tr-TR"/>
              </w:rPr>
              <w:t>564,259</w:t>
            </w:r>
          </w:p>
        </w:tc>
        <w:tc>
          <w:tcPr>
            <w:tcW w:w="1240" w:type="dxa"/>
            <w:shd w:val="clear" w:color="auto" w:fill="auto"/>
            <w:vAlign w:val="bottom"/>
            <w:hideMark/>
          </w:tcPr>
          <w:p w14:paraId="088BB0C6" w14:textId="77777777" w:rsidR="00171C8A" w:rsidRPr="00171C8A" w:rsidRDefault="00171C8A" w:rsidP="00171C8A">
            <w:pPr>
              <w:jc w:val="right"/>
              <w:rPr>
                <w:sz w:val="16"/>
                <w:szCs w:val="16"/>
                <w:lang w:eastAsia="tr-TR"/>
              </w:rPr>
            </w:pPr>
            <w:r w:rsidRPr="00171C8A">
              <w:rPr>
                <w:sz w:val="16"/>
                <w:szCs w:val="16"/>
                <w:lang w:eastAsia="tr-TR"/>
              </w:rPr>
              <w:t>565,274</w:t>
            </w:r>
          </w:p>
        </w:tc>
      </w:tr>
      <w:tr w:rsidR="00171C8A" w:rsidRPr="00171C8A" w14:paraId="7CD64033" w14:textId="77777777" w:rsidTr="00717AB5">
        <w:trPr>
          <w:divId w:val="770471016"/>
          <w:trHeight w:val="174"/>
        </w:trPr>
        <w:tc>
          <w:tcPr>
            <w:tcW w:w="6350" w:type="dxa"/>
            <w:shd w:val="clear" w:color="auto" w:fill="auto"/>
            <w:vAlign w:val="center"/>
            <w:hideMark/>
          </w:tcPr>
          <w:p w14:paraId="69E79E12" w14:textId="77777777" w:rsidR="00171C8A" w:rsidRPr="00171C8A" w:rsidRDefault="00171C8A" w:rsidP="00171C8A">
            <w:pPr>
              <w:rPr>
                <w:b/>
                <w:sz w:val="16"/>
                <w:szCs w:val="16"/>
                <w:lang w:eastAsia="tr-TR"/>
              </w:rPr>
            </w:pPr>
            <w:r w:rsidRPr="00171C8A">
              <w:rPr>
                <w:b/>
                <w:sz w:val="16"/>
                <w:szCs w:val="16"/>
                <w:lang w:eastAsia="tr-TR"/>
              </w:rPr>
              <w:t>İndirimler Öncesi Katkı Sermaye</w:t>
            </w:r>
          </w:p>
        </w:tc>
        <w:tc>
          <w:tcPr>
            <w:tcW w:w="1750" w:type="dxa"/>
            <w:shd w:val="clear" w:color="auto" w:fill="auto"/>
            <w:vAlign w:val="bottom"/>
            <w:hideMark/>
          </w:tcPr>
          <w:p w14:paraId="75A818BD" w14:textId="77777777" w:rsidR="00171C8A" w:rsidRPr="00171C8A" w:rsidRDefault="00171C8A" w:rsidP="00171C8A">
            <w:pPr>
              <w:jc w:val="right"/>
              <w:rPr>
                <w:b/>
                <w:sz w:val="16"/>
                <w:szCs w:val="16"/>
                <w:lang w:eastAsia="tr-TR"/>
              </w:rPr>
            </w:pPr>
            <w:r w:rsidRPr="00171C8A">
              <w:rPr>
                <w:b/>
                <w:sz w:val="16"/>
                <w:szCs w:val="16"/>
                <w:lang w:eastAsia="tr-TR"/>
              </w:rPr>
              <w:t>3,285,959</w:t>
            </w:r>
          </w:p>
        </w:tc>
        <w:tc>
          <w:tcPr>
            <w:tcW w:w="1240" w:type="dxa"/>
            <w:shd w:val="clear" w:color="auto" w:fill="auto"/>
            <w:vAlign w:val="bottom"/>
            <w:hideMark/>
          </w:tcPr>
          <w:p w14:paraId="4CCA02B2" w14:textId="77777777" w:rsidR="00171C8A" w:rsidRPr="00171C8A" w:rsidRDefault="00171C8A" w:rsidP="00171C8A">
            <w:pPr>
              <w:jc w:val="right"/>
              <w:rPr>
                <w:b/>
                <w:sz w:val="16"/>
                <w:szCs w:val="16"/>
                <w:lang w:eastAsia="tr-TR"/>
              </w:rPr>
            </w:pPr>
            <w:r w:rsidRPr="00171C8A">
              <w:rPr>
                <w:b/>
                <w:sz w:val="16"/>
                <w:szCs w:val="16"/>
                <w:lang w:eastAsia="tr-TR"/>
              </w:rPr>
              <w:t>2,638,672</w:t>
            </w:r>
          </w:p>
        </w:tc>
      </w:tr>
      <w:tr w:rsidR="00171C8A" w:rsidRPr="00171C8A" w14:paraId="69DC5578" w14:textId="77777777" w:rsidTr="00717AB5">
        <w:trPr>
          <w:divId w:val="770471016"/>
          <w:trHeight w:val="174"/>
        </w:trPr>
        <w:tc>
          <w:tcPr>
            <w:tcW w:w="6350" w:type="dxa"/>
            <w:shd w:val="clear" w:color="auto" w:fill="auto"/>
            <w:vAlign w:val="center"/>
            <w:hideMark/>
          </w:tcPr>
          <w:p w14:paraId="4269E70D" w14:textId="77777777" w:rsidR="00171C8A" w:rsidRPr="00171C8A" w:rsidRDefault="00171C8A" w:rsidP="00171C8A">
            <w:pPr>
              <w:rPr>
                <w:sz w:val="16"/>
                <w:szCs w:val="16"/>
                <w:lang w:eastAsia="tr-TR"/>
              </w:rPr>
            </w:pPr>
            <w:r w:rsidRPr="00171C8A">
              <w:rPr>
                <w:sz w:val="16"/>
                <w:szCs w:val="16"/>
                <w:lang w:eastAsia="tr-TR"/>
              </w:rPr>
              <w:t>Katkı Sermayeden Yapılacak İndirimler</w:t>
            </w:r>
          </w:p>
        </w:tc>
        <w:tc>
          <w:tcPr>
            <w:tcW w:w="1750" w:type="dxa"/>
            <w:shd w:val="clear" w:color="auto" w:fill="auto"/>
            <w:vAlign w:val="bottom"/>
            <w:hideMark/>
          </w:tcPr>
          <w:p w14:paraId="73D1C7BE"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51E8C50D"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6506C568" w14:textId="77777777" w:rsidTr="00717AB5">
        <w:trPr>
          <w:divId w:val="770471016"/>
          <w:trHeight w:val="174"/>
        </w:trPr>
        <w:tc>
          <w:tcPr>
            <w:tcW w:w="6350" w:type="dxa"/>
            <w:shd w:val="clear" w:color="auto" w:fill="auto"/>
            <w:vAlign w:val="center"/>
            <w:hideMark/>
          </w:tcPr>
          <w:p w14:paraId="44C7BCF4" w14:textId="77777777" w:rsidR="00171C8A" w:rsidRPr="00171C8A" w:rsidRDefault="00171C8A" w:rsidP="00171C8A">
            <w:pPr>
              <w:rPr>
                <w:sz w:val="16"/>
                <w:szCs w:val="16"/>
                <w:lang w:eastAsia="tr-TR"/>
              </w:rPr>
            </w:pPr>
            <w:r w:rsidRPr="00171C8A">
              <w:rPr>
                <w:sz w:val="16"/>
                <w:szCs w:val="16"/>
                <w:lang w:eastAsia="tr-TR"/>
              </w:rPr>
              <w:t>Bankanın kendi katkı sermayesine yapmış olduğu doğrudan veya dolaylı yatırımlar (-)</w:t>
            </w:r>
          </w:p>
        </w:tc>
        <w:tc>
          <w:tcPr>
            <w:tcW w:w="1750" w:type="dxa"/>
            <w:shd w:val="clear" w:color="auto" w:fill="auto"/>
            <w:vAlign w:val="bottom"/>
            <w:hideMark/>
          </w:tcPr>
          <w:p w14:paraId="3DA8A6BF"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0A11B984"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207229D3" w14:textId="77777777" w:rsidTr="00717AB5">
        <w:trPr>
          <w:divId w:val="770471016"/>
          <w:trHeight w:val="174"/>
        </w:trPr>
        <w:tc>
          <w:tcPr>
            <w:tcW w:w="6350" w:type="dxa"/>
            <w:shd w:val="clear" w:color="auto" w:fill="auto"/>
            <w:vAlign w:val="center"/>
            <w:hideMark/>
          </w:tcPr>
          <w:p w14:paraId="4FD0196C" w14:textId="77777777" w:rsidR="00171C8A" w:rsidRPr="00171C8A" w:rsidRDefault="00171C8A" w:rsidP="00171C8A">
            <w:pPr>
              <w:rPr>
                <w:sz w:val="16"/>
                <w:szCs w:val="16"/>
                <w:lang w:eastAsia="tr-TR"/>
              </w:rPr>
            </w:pPr>
            <w:r w:rsidRPr="00171C8A">
              <w:rPr>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171C8A">
              <w:rPr>
                <w:sz w:val="16"/>
                <w:szCs w:val="16"/>
                <w:lang w:eastAsia="tr-TR"/>
              </w:rPr>
              <w:t>özkaynak</w:t>
            </w:r>
            <w:proofErr w:type="spellEnd"/>
            <w:r w:rsidRPr="00171C8A">
              <w:rPr>
                <w:sz w:val="16"/>
                <w:szCs w:val="16"/>
                <w:lang w:eastAsia="tr-TR"/>
              </w:rPr>
              <w:t xml:space="preserve"> kalemlerine bankanın yaptığı yatırımlar</w:t>
            </w:r>
          </w:p>
        </w:tc>
        <w:tc>
          <w:tcPr>
            <w:tcW w:w="1750" w:type="dxa"/>
            <w:shd w:val="clear" w:color="auto" w:fill="auto"/>
            <w:vAlign w:val="bottom"/>
            <w:hideMark/>
          </w:tcPr>
          <w:p w14:paraId="7D6C1AA0"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37465686"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69F5E0FE" w14:textId="77777777" w:rsidTr="00717AB5">
        <w:trPr>
          <w:divId w:val="770471016"/>
          <w:trHeight w:val="174"/>
        </w:trPr>
        <w:tc>
          <w:tcPr>
            <w:tcW w:w="6350" w:type="dxa"/>
            <w:shd w:val="clear" w:color="auto" w:fill="auto"/>
            <w:vAlign w:val="center"/>
            <w:hideMark/>
          </w:tcPr>
          <w:p w14:paraId="56BB40A5" w14:textId="77777777" w:rsidR="00171C8A" w:rsidRPr="00171C8A" w:rsidRDefault="00171C8A" w:rsidP="00171C8A">
            <w:pPr>
              <w:rPr>
                <w:sz w:val="16"/>
                <w:szCs w:val="16"/>
                <w:lang w:eastAsia="tr-TR"/>
              </w:rPr>
            </w:pPr>
            <w:r w:rsidRPr="00171C8A">
              <w:rPr>
                <w:sz w:val="16"/>
                <w:szCs w:val="16"/>
                <w:lang w:eastAsia="tr-TR"/>
              </w:rPr>
              <w:t>Ortaklık paylarının %10 veya daha azına sahip olunan ve konsolide edilmeyen bankalar ve finansal kuruluşların </w:t>
            </w:r>
            <w:proofErr w:type="spellStart"/>
            <w:r w:rsidRPr="00171C8A">
              <w:rPr>
                <w:sz w:val="16"/>
                <w:szCs w:val="16"/>
                <w:lang w:eastAsia="tr-TR"/>
              </w:rPr>
              <w:t>özkaynak</w:t>
            </w:r>
            <w:proofErr w:type="spellEnd"/>
            <w:r w:rsidRPr="00171C8A">
              <w:rPr>
                <w:sz w:val="16"/>
                <w:szCs w:val="16"/>
                <w:lang w:eastAsia="tr-TR"/>
              </w:rPr>
              <w:t> unsurlarına yapılan yatırımların net uzun pozisyonları toplamının, bankanın çekirdek sermayesinin %10’nunu aşan kısmı (-)</w:t>
            </w:r>
          </w:p>
        </w:tc>
        <w:tc>
          <w:tcPr>
            <w:tcW w:w="1750" w:type="dxa"/>
            <w:shd w:val="clear" w:color="auto" w:fill="auto"/>
            <w:vAlign w:val="bottom"/>
            <w:hideMark/>
          </w:tcPr>
          <w:p w14:paraId="68ABCE3C"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2213BAE6"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5395AB59" w14:textId="77777777" w:rsidTr="00717AB5">
        <w:trPr>
          <w:divId w:val="770471016"/>
          <w:trHeight w:val="174"/>
        </w:trPr>
        <w:tc>
          <w:tcPr>
            <w:tcW w:w="6350" w:type="dxa"/>
            <w:shd w:val="clear" w:color="auto" w:fill="auto"/>
            <w:vAlign w:val="center"/>
            <w:hideMark/>
          </w:tcPr>
          <w:p w14:paraId="18C56F81" w14:textId="77777777" w:rsidR="00171C8A" w:rsidRPr="00171C8A" w:rsidRDefault="00171C8A" w:rsidP="00171C8A">
            <w:pPr>
              <w:rPr>
                <w:sz w:val="16"/>
                <w:szCs w:val="16"/>
                <w:lang w:eastAsia="tr-TR"/>
              </w:rPr>
            </w:pPr>
            <w:r w:rsidRPr="00171C8A">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750" w:type="dxa"/>
            <w:shd w:val="clear" w:color="auto" w:fill="auto"/>
            <w:vAlign w:val="bottom"/>
            <w:hideMark/>
          </w:tcPr>
          <w:p w14:paraId="69536BAC"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40568E16"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470C456A" w14:textId="77777777" w:rsidTr="00717AB5">
        <w:trPr>
          <w:divId w:val="770471016"/>
          <w:trHeight w:val="174"/>
        </w:trPr>
        <w:tc>
          <w:tcPr>
            <w:tcW w:w="6350" w:type="dxa"/>
            <w:shd w:val="clear" w:color="auto" w:fill="auto"/>
            <w:vAlign w:val="center"/>
            <w:hideMark/>
          </w:tcPr>
          <w:p w14:paraId="2FDB4881" w14:textId="77777777" w:rsidR="00171C8A" w:rsidRPr="00171C8A" w:rsidRDefault="00171C8A" w:rsidP="00171C8A">
            <w:pPr>
              <w:rPr>
                <w:sz w:val="16"/>
                <w:szCs w:val="16"/>
                <w:lang w:eastAsia="tr-TR"/>
              </w:rPr>
            </w:pPr>
            <w:r w:rsidRPr="00171C8A">
              <w:rPr>
                <w:sz w:val="16"/>
                <w:szCs w:val="16"/>
                <w:lang w:eastAsia="tr-TR"/>
              </w:rPr>
              <w:t>Kurulca belirlenecek diğer kalemler (-)</w:t>
            </w:r>
          </w:p>
        </w:tc>
        <w:tc>
          <w:tcPr>
            <w:tcW w:w="1750" w:type="dxa"/>
            <w:shd w:val="clear" w:color="auto" w:fill="auto"/>
            <w:vAlign w:val="bottom"/>
            <w:hideMark/>
          </w:tcPr>
          <w:p w14:paraId="0A79482B" w14:textId="77777777" w:rsidR="00171C8A" w:rsidRPr="00171C8A" w:rsidRDefault="00171C8A" w:rsidP="00171C8A">
            <w:pPr>
              <w:jc w:val="right"/>
              <w:rPr>
                <w:sz w:val="16"/>
                <w:szCs w:val="16"/>
                <w:lang w:eastAsia="tr-TR"/>
              </w:rPr>
            </w:pPr>
            <w:r w:rsidRPr="00171C8A">
              <w:rPr>
                <w:sz w:val="16"/>
                <w:szCs w:val="16"/>
                <w:lang w:eastAsia="tr-TR"/>
              </w:rPr>
              <w:t>-</w:t>
            </w:r>
          </w:p>
        </w:tc>
        <w:tc>
          <w:tcPr>
            <w:tcW w:w="1240" w:type="dxa"/>
            <w:shd w:val="clear" w:color="auto" w:fill="auto"/>
            <w:vAlign w:val="bottom"/>
            <w:hideMark/>
          </w:tcPr>
          <w:p w14:paraId="69D26226"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7DE921DB" w14:textId="77777777" w:rsidTr="00717AB5">
        <w:trPr>
          <w:divId w:val="770471016"/>
          <w:trHeight w:val="259"/>
        </w:trPr>
        <w:tc>
          <w:tcPr>
            <w:tcW w:w="6350" w:type="dxa"/>
            <w:shd w:val="clear" w:color="auto" w:fill="auto"/>
            <w:vAlign w:val="center"/>
            <w:hideMark/>
          </w:tcPr>
          <w:p w14:paraId="3CCFC5C8" w14:textId="77777777" w:rsidR="00171C8A" w:rsidRPr="00171C8A" w:rsidRDefault="00171C8A" w:rsidP="00171C8A">
            <w:pPr>
              <w:rPr>
                <w:b/>
                <w:bCs/>
                <w:sz w:val="16"/>
                <w:szCs w:val="16"/>
                <w:lang w:eastAsia="tr-TR"/>
              </w:rPr>
            </w:pPr>
            <w:r w:rsidRPr="00171C8A">
              <w:rPr>
                <w:b/>
                <w:bCs/>
                <w:sz w:val="16"/>
                <w:szCs w:val="16"/>
                <w:lang w:eastAsia="tr-TR"/>
              </w:rPr>
              <w:t>Katkı Sermayeden Yapılan İndirimler Toplamı</w:t>
            </w:r>
          </w:p>
        </w:tc>
        <w:tc>
          <w:tcPr>
            <w:tcW w:w="1750" w:type="dxa"/>
            <w:shd w:val="clear" w:color="auto" w:fill="auto"/>
            <w:vAlign w:val="bottom"/>
            <w:hideMark/>
          </w:tcPr>
          <w:p w14:paraId="09E34E12" w14:textId="77777777" w:rsidR="00171C8A" w:rsidRPr="00171C8A" w:rsidRDefault="00171C8A" w:rsidP="00171C8A">
            <w:pPr>
              <w:jc w:val="right"/>
              <w:rPr>
                <w:b/>
                <w:bCs/>
                <w:sz w:val="16"/>
                <w:szCs w:val="16"/>
                <w:lang w:eastAsia="tr-TR"/>
              </w:rPr>
            </w:pPr>
            <w:r w:rsidRPr="00171C8A">
              <w:rPr>
                <w:b/>
                <w:bCs/>
                <w:sz w:val="16"/>
                <w:szCs w:val="16"/>
                <w:lang w:eastAsia="tr-TR"/>
              </w:rPr>
              <w:t>-</w:t>
            </w:r>
          </w:p>
        </w:tc>
        <w:tc>
          <w:tcPr>
            <w:tcW w:w="1240" w:type="dxa"/>
            <w:shd w:val="clear" w:color="auto" w:fill="auto"/>
            <w:vAlign w:val="bottom"/>
            <w:hideMark/>
          </w:tcPr>
          <w:p w14:paraId="7036B5CB" w14:textId="77777777" w:rsidR="00171C8A" w:rsidRPr="00171C8A" w:rsidRDefault="00171C8A" w:rsidP="00171C8A">
            <w:pPr>
              <w:jc w:val="right"/>
              <w:rPr>
                <w:b/>
                <w:bCs/>
                <w:sz w:val="16"/>
                <w:szCs w:val="16"/>
                <w:lang w:eastAsia="tr-TR"/>
              </w:rPr>
            </w:pPr>
            <w:r w:rsidRPr="00171C8A">
              <w:rPr>
                <w:b/>
                <w:bCs/>
                <w:sz w:val="16"/>
                <w:szCs w:val="16"/>
                <w:lang w:eastAsia="tr-TR"/>
              </w:rPr>
              <w:t>-</w:t>
            </w:r>
          </w:p>
        </w:tc>
      </w:tr>
      <w:tr w:rsidR="00171C8A" w:rsidRPr="00171C8A" w14:paraId="3940DD70" w14:textId="77777777" w:rsidTr="00717AB5">
        <w:trPr>
          <w:divId w:val="770471016"/>
          <w:trHeight w:val="259"/>
        </w:trPr>
        <w:tc>
          <w:tcPr>
            <w:tcW w:w="6350" w:type="dxa"/>
            <w:shd w:val="clear" w:color="auto" w:fill="auto"/>
            <w:vAlign w:val="center"/>
            <w:hideMark/>
          </w:tcPr>
          <w:p w14:paraId="73C4CB29" w14:textId="77777777" w:rsidR="00171C8A" w:rsidRPr="00171C8A" w:rsidRDefault="00171C8A" w:rsidP="00171C8A">
            <w:pPr>
              <w:rPr>
                <w:b/>
                <w:bCs/>
                <w:sz w:val="16"/>
                <w:szCs w:val="16"/>
                <w:lang w:eastAsia="tr-TR"/>
              </w:rPr>
            </w:pPr>
            <w:r w:rsidRPr="00171C8A">
              <w:rPr>
                <w:b/>
                <w:bCs/>
                <w:sz w:val="16"/>
                <w:szCs w:val="16"/>
                <w:lang w:eastAsia="tr-TR"/>
              </w:rPr>
              <w:t>Katkı Sermaye Toplamı</w:t>
            </w:r>
          </w:p>
        </w:tc>
        <w:tc>
          <w:tcPr>
            <w:tcW w:w="1750" w:type="dxa"/>
            <w:shd w:val="clear" w:color="auto" w:fill="auto"/>
            <w:vAlign w:val="bottom"/>
            <w:hideMark/>
          </w:tcPr>
          <w:p w14:paraId="5FB2E6CB" w14:textId="77777777" w:rsidR="00171C8A" w:rsidRPr="00171C8A" w:rsidRDefault="00171C8A" w:rsidP="00171C8A">
            <w:pPr>
              <w:jc w:val="right"/>
              <w:rPr>
                <w:b/>
                <w:bCs/>
                <w:sz w:val="16"/>
                <w:szCs w:val="16"/>
                <w:lang w:eastAsia="tr-TR"/>
              </w:rPr>
            </w:pPr>
            <w:r w:rsidRPr="00171C8A">
              <w:rPr>
                <w:b/>
                <w:bCs/>
                <w:sz w:val="16"/>
                <w:szCs w:val="16"/>
                <w:lang w:eastAsia="tr-TR"/>
              </w:rPr>
              <w:t>3,285,959</w:t>
            </w:r>
          </w:p>
        </w:tc>
        <w:tc>
          <w:tcPr>
            <w:tcW w:w="1240" w:type="dxa"/>
            <w:shd w:val="clear" w:color="auto" w:fill="auto"/>
            <w:vAlign w:val="bottom"/>
            <w:hideMark/>
          </w:tcPr>
          <w:p w14:paraId="6D4CE02C" w14:textId="77777777" w:rsidR="00171C8A" w:rsidRPr="00171C8A" w:rsidRDefault="00171C8A" w:rsidP="00171C8A">
            <w:pPr>
              <w:jc w:val="right"/>
              <w:rPr>
                <w:b/>
                <w:bCs/>
                <w:sz w:val="16"/>
                <w:szCs w:val="16"/>
                <w:lang w:eastAsia="tr-TR"/>
              </w:rPr>
            </w:pPr>
            <w:r w:rsidRPr="00171C8A">
              <w:rPr>
                <w:b/>
                <w:bCs/>
                <w:sz w:val="16"/>
                <w:szCs w:val="16"/>
                <w:lang w:eastAsia="tr-TR"/>
              </w:rPr>
              <w:t>2,638,672</w:t>
            </w:r>
          </w:p>
        </w:tc>
      </w:tr>
      <w:tr w:rsidR="00171C8A" w:rsidRPr="00171C8A" w14:paraId="6886878F" w14:textId="77777777" w:rsidTr="00717AB5">
        <w:trPr>
          <w:divId w:val="770471016"/>
          <w:trHeight w:val="259"/>
        </w:trPr>
        <w:tc>
          <w:tcPr>
            <w:tcW w:w="6350" w:type="dxa"/>
            <w:shd w:val="clear" w:color="auto" w:fill="auto"/>
            <w:vAlign w:val="center"/>
            <w:hideMark/>
          </w:tcPr>
          <w:p w14:paraId="087BE96F" w14:textId="77777777" w:rsidR="00171C8A" w:rsidRPr="00171C8A" w:rsidRDefault="00171C8A" w:rsidP="00171C8A">
            <w:pPr>
              <w:rPr>
                <w:b/>
                <w:bCs/>
                <w:sz w:val="16"/>
                <w:szCs w:val="16"/>
                <w:lang w:eastAsia="tr-TR"/>
              </w:rPr>
            </w:pPr>
            <w:r w:rsidRPr="00171C8A">
              <w:rPr>
                <w:b/>
                <w:bCs/>
                <w:sz w:val="16"/>
                <w:szCs w:val="16"/>
                <w:lang w:eastAsia="tr-TR"/>
              </w:rPr>
              <w:t xml:space="preserve">Toplam </w:t>
            </w:r>
            <w:proofErr w:type="spellStart"/>
            <w:r w:rsidRPr="00171C8A">
              <w:rPr>
                <w:b/>
                <w:bCs/>
                <w:sz w:val="16"/>
                <w:szCs w:val="16"/>
                <w:lang w:eastAsia="tr-TR"/>
              </w:rPr>
              <w:t>Özkaynak</w:t>
            </w:r>
            <w:proofErr w:type="spellEnd"/>
            <w:r w:rsidRPr="00171C8A">
              <w:rPr>
                <w:b/>
                <w:bCs/>
                <w:sz w:val="16"/>
                <w:szCs w:val="16"/>
                <w:lang w:eastAsia="tr-TR"/>
              </w:rPr>
              <w:t xml:space="preserve"> (Ana Sermaye ve Katkı Sermaye Toplamı)</w:t>
            </w:r>
          </w:p>
        </w:tc>
        <w:tc>
          <w:tcPr>
            <w:tcW w:w="1750" w:type="dxa"/>
            <w:shd w:val="clear" w:color="auto" w:fill="auto"/>
            <w:vAlign w:val="bottom"/>
            <w:hideMark/>
          </w:tcPr>
          <w:p w14:paraId="14B6EF57" w14:textId="77777777" w:rsidR="00171C8A" w:rsidRPr="00171C8A" w:rsidRDefault="00171C8A" w:rsidP="00171C8A">
            <w:pPr>
              <w:jc w:val="right"/>
              <w:rPr>
                <w:b/>
                <w:bCs/>
                <w:sz w:val="16"/>
                <w:szCs w:val="16"/>
                <w:lang w:eastAsia="tr-TR"/>
              </w:rPr>
            </w:pPr>
            <w:r w:rsidRPr="00171C8A">
              <w:rPr>
                <w:b/>
                <w:bCs/>
                <w:sz w:val="16"/>
                <w:szCs w:val="16"/>
                <w:lang w:eastAsia="tr-TR"/>
              </w:rPr>
              <w:t>12,586,003</w:t>
            </w:r>
          </w:p>
        </w:tc>
        <w:tc>
          <w:tcPr>
            <w:tcW w:w="1240" w:type="dxa"/>
            <w:shd w:val="clear" w:color="auto" w:fill="auto"/>
            <w:vAlign w:val="bottom"/>
            <w:hideMark/>
          </w:tcPr>
          <w:p w14:paraId="49088FEE" w14:textId="77777777" w:rsidR="00171C8A" w:rsidRPr="00171C8A" w:rsidRDefault="00171C8A" w:rsidP="00171C8A">
            <w:pPr>
              <w:jc w:val="right"/>
              <w:rPr>
                <w:b/>
                <w:bCs/>
                <w:sz w:val="16"/>
                <w:szCs w:val="16"/>
                <w:lang w:eastAsia="tr-TR"/>
              </w:rPr>
            </w:pPr>
            <w:r w:rsidRPr="00171C8A">
              <w:rPr>
                <w:b/>
                <w:bCs/>
                <w:sz w:val="16"/>
                <w:szCs w:val="16"/>
                <w:lang w:eastAsia="tr-TR"/>
              </w:rPr>
              <w:t>10,456,872</w:t>
            </w:r>
          </w:p>
        </w:tc>
      </w:tr>
    </w:tbl>
    <w:p w14:paraId="267E041F" w14:textId="5BE4F973" w:rsidR="00C730DF" w:rsidRPr="00B0539F" w:rsidRDefault="00C730DF" w:rsidP="00925864">
      <w:pPr>
        <w:tabs>
          <w:tab w:val="left" w:pos="709"/>
        </w:tabs>
        <w:autoSpaceDE w:val="0"/>
        <w:autoSpaceDN w:val="0"/>
        <w:adjustRightInd w:val="0"/>
        <w:ind w:left="142" w:hanging="142"/>
      </w:pPr>
    </w:p>
    <w:p w14:paraId="35C1148E" w14:textId="51C0BFBE" w:rsidR="001E4AC2" w:rsidRPr="00B0539F" w:rsidRDefault="00925864" w:rsidP="006F44AF">
      <w:pPr>
        <w:autoSpaceDE w:val="0"/>
        <w:autoSpaceDN w:val="0"/>
        <w:adjustRightInd w:val="0"/>
        <w:ind w:left="567" w:right="-24" w:hanging="567"/>
        <w:jc w:val="both"/>
      </w:pPr>
      <w:r w:rsidRPr="00B0539F">
        <w:rPr>
          <w:sz w:val="16"/>
          <w:lang w:eastAsia="en-GB"/>
        </w:rPr>
        <w:t>(*)</w:t>
      </w:r>
      <w:r w:rsidR="006F44AF" w:rsidRPr="00B0539F">
        <w:rPr>
          <w:sz w:val="16"/>
          <w:lang w:eastAsia="en-GB"/>
        </w:rPr>
        <w:t xml:space="preserve">     </w:t>
      </w:r>
      <w:r w:rsidR="00717AB5">
        <w:rPr>
          <w:sz w:val="16"/>
          <w:lang w:eastAsia="en-GB"/>
        </w:rPr>
        <w:tab/>
      </w:r>
      <w:r w:rsidRPr="00B0539F">
        <w:rPr>
          <w:sz w:val="16"/>
          <w:lang w:eastAsia="en-GB"/>
        </w:rPr>
        <w:t xml:space="preserve">KT Sukuk </w:t>
      </w:r>
      <w:proofErr w:type="spellStart"/>
      <w:r w:rsidRPr="00B0539F">
        <w:rPr>
          <w:sz w:val="16"/>
          <w:lang w:eastAsia="en-GB"/>
        </w:rPr>
        <w:t>Company</w:t>
      </w:r>
      <w:proofErr w:type="spellEnd"/>
      <w:r w:rsidRPr="00B0539F">
        <w:rPr>
          <w:sz w:val="16"/>
          <w:lang w:eastAsia="en-GB"/>
        </w:rPr>
        <w:t xml:space="preserve"> Limited üzerinden ihraç edilen 2,</w:t>
      </w:r>
      <w:r w:rsidR="008470CB" w:rsidRPr="00B0539F">
        <w:rPr>
          <w:sz w:val="16"/>
          <w:lang w:eastAsia="en-GB"/>
        </w:rPr>
        <w:t>399</w:t>
      </w:r>
      <w:r w:rsidRPr="00B0539F">
        <w:rPr>
          <w:sz w:val="16"/>
          <w:lang w:eastAsia="en-GB"/>
        </w:rPr>
        <w:t>,</w:t>
      </w:r>
      <w:r w:rsidR="0000666E" w:rsidRPr="00B0539F">
        <w:rPr>
          <w:sz w:val="16"/>
          <w:lang w:eastAsia="en-GB"/>
        </w:rPr>
        <w:t>7</w:t>
      </w:r>
      <w:r w:rsidR="008470CB" w:rsidRPr="00B0539F">
        <w:rPr>
          <w:sz w:val="16"/>
          <w:lang w:eastAsia="en-GB"/>
        </w:rPr>
        <w:t>50</w:t>
      </w:r>
      <w:r w:rsidRPr="00B0539F">
        <w:rPr>
          <w:sz w:val="16"/>
          <w:lang w:eastAsia="en-GB"/>
        </w:rPr>
        <w:t xml:space="preserve"> TL tutarındaki Katkı Sermaye ihracının </w:t>
      </w:r>
      <w:r w:rsidR="00C830D5">
        <w:rPr>
          <w:sz w:val="16"/>
          <w:lang w:eastAsia="en-GB"/>
        </w:rPr>
        <w:t>5</w:t>
      </w:r>
      <w:r w:rsidRPr="00B0539F">
        <w:rPr>
          <w:sz w:val="16"/>
          <w:lang w:eastAsia="en-GB"/>
        </w:rPr>
        <w:t xml:space="preserve"> TL’lik kısmı geri </w:t>
      </w:r>
      <w:proofErr w:type="gramStart"/>
      <w:r w:rsidRPr="00B0539F">
        <w:rPr>
          <w:sz w:val="16"/>
          <w:lang w:eastAsia="en-GB"/>
        </w:rPr>
        <w:t xml:space="preserve">alınmış </w:t>
      </w:r>
      <w:r w:rsidR="006F44AF" w:rsidRPr="00B0539F">
        <w:rPr>
          <w:sz w:val="16"/>
          <w:lang w:eastAsia="en-GB"/>
        </w:rPr>
        <w:t xml:space="preserve"> </w:t>
      </w:r>
      <w:r w:rsidRPr="00B0539F">
        <w:rPr>
          <w:sz w:val="16"/>
          <w:lang w:eastAsia="en-GB"/>
        </w:rPr>
        <w:t>olup</w:t>
      </w:r>
      <w:proofErr w:type="gramEnd"/>
      <w:r w:rsidR="005F1465">
        <w:rPr>
          <w:sz w:val="16"/>
          <w:lang w:eastAsia="en-GB"/>
        </w:rPr>
        <w:t xml:space="preserve"> </w:t>
      </w:r>
      <w:proofErr w:type="spellStart"/>
      <w:r w:rsidRPr="00B0539F">
        <w:rPr>
          <w:sz w:val="16"/>
          <w:lang w:eastAsia="en-GB"/>
        </w:rPr>
        <w:t>özkaynaktan</w:t>
      </w:r>
      <w:proofErr w:type="spellEnd"/>
      <w:r w:rsidRPr="00B0539F">
        <w:rPr>
          <w:sz w:val="16"/>
          <w:lang w:eastAsia="en-GB"/>
        </w:rPr>
        <w:t xml:space="preserve"> düşülerek gösterilmiştir.</w:t>
      </w:r>
    </w:p>
    <w:p w14:paraId="5B59447E" w14:textId="5121BF06" w:rsidR="007C33CE" w:rsidRPr="00B0539F" w:rsidRDefault="007C33CE" w:rsidP="005571E3">
      <w:pPr>
        <w:tabs>
          <w:tab w:val="left" w:pos="709"/>
        </w:tabs>
        <w:autoSpaceDE w:val="0"/>
        <w:autoSpaceDN w:val="0"/>
        <w:adjustRightInd w:val="0"/>
        <w:ind w:hanging="567"/>
      </w:pPr>
    </w:p>
    <w:p w14:paraId="16AA3BBF" w14:textId="32FBFAF1" w:rsidR="00D95C1D" w:rsidRDefault="00D95C1D" w:rsidP="005571E3">
      <w:pPr>
        <w:tabs>
          <w:tab w:val="left" w:pos="709"/>
        </w:tabs>
        <w:autoSpaceDE w:val="0"/>
        <w:autoSpaceDN w:val="0"/>
        <w:adjustRightInd w:val="0"/>
        <w:ind w:hanging="567"/>
      </w:pPr>
      <w:r>
        <w:br w:type="page"/>
      </w:r>
    </w:p>
    <w:p w14:paraId="07D6B11E" w14:textId="77777777" w:rsidR="007C33CE" w:rsidRPr="00B0539F" w:rsidRDefault="007C33CE" w:rsidP="005571E3">
      <w:pPr>
        <w:tabs>
          <w:tab w:val="left" w:pos="709"/>
        </w:tabs>
        <w:autoSpaceDE w:val="0"/>
        <w:autoSpaceDN w:val="0"/>
        <w:adjustRightInd w:val="0"/>
        <w:ind w:hanging="567"/>
      </w:pPr>
    </w:p>
    <w:p w14:paraId="75B0F08A" w14:textId="6D0E627B" w:rsidR="00171C8A" w:rsidRPr="00311DAB" w:rsidRDefault="00171C8A" w:rsidP="006F44AF">
      <w:pPr>
        <w:tabs>
          <w:tab w:val="left" w:pos="709"/>
        </w:tabs>
        <w:autoSpaceDE w:val="0"/>
        <w:autoSpaceDN w:val="0"/>
        <w:adjustRightInd w:val="0"/>
        <w:rPr>
          <w:lang w:eastAsia="en-GB"/>
        </w:rPr>
      </w:pPr>
    </w:p>
    <w:tbl>
      <w:tblPr>
        <w:tblW w:w="9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59"/>
        <w:gridCol w:w="1647"/>
        <w:gridCol w:w="1647"/>
      </w:tblGrid>
      <w:tr w:rsidR="00171C8A" w:rsidRPr="00171C8A" w14:paraId="7D2B26C1" w14:textId="77777777" w:rsidTr="00311DAB">
        <w:trPr>
          <w:divId w:val="846749932"/>
          <w:trHeight w:val="193"/>
        </w:trPr>
        <w:tc>
          <w:tcPr>
            <w:tcW w:w="6059" w:type="dxa"/>
            <w:shd w:val="clear" w:color="auto" w:fill="auto"/>
            <w:vAlign w:val="center"/>
            <w:hideMark/>
          </w:tcPr>
          <w:p w14:paraId="6DC844D8" w14:textId="60F6C358" w:rsidR="00171C8A" w:rsidRPr="00171C8A" w:rsidRDefault="00171C8A" w:rsidP="00171C8A">
            <w:pPr>
              <w:jc w:val="center"/>
              <w:rPr>
                <w:b/>
                <w:bCs/>
                <w:sz w:val="16"/>
                <w:szCs w:val="16"/>
                <w:lang w:eastAsia="tr-TR"/>
              </w:rPr>
            </w:pPr>
            <w:r w:rsidRPr="00171C8A">
              <w:rPr>
                <w:b/>
                <w:bCs/>
                <w:sz w:val="16"/>
                <w:szCs w:val="16"/>
                <w:lang w:eastAsia="tr-TR"/>
              </w:rPr>
              <w:t xml:space="preserve">Ana Sermaye ve Katkı Sermaye Toplamı (Toplam </w:t>
            </w:r>
            <w:proofErr w:type="spellStart"/>
            <w:r w:rsidRPr="00171C8A">
              <w:rPr>
                <w:b/>
                <w:bCs/>
                <w:sz w:val="16"/>
                <w:szCs w:val="16"/>
                <w:lang w:eastAsia="tr-TR"/>
              </w:rPr>
              <w:t>Özkaynak</w:t>
            </w:r>
            <w:proofErr w:type="spellEnd"/>
            <w:r w:rsidRPr="00171C8A">
              <w:rPr>
                <w:b/>
                <w:bCs/>
                <w:sz w:val="16"/>
                <w:szCs w:val="16"/>
                <w:lang w:eastAsia="tr-TR"/>
              </w:rPr>
              <w:t>)</w:t>
            </w:r>
          </w:p>
        </w:tc>
        <w:tc>
          <w:tcPr>
            <w:tcW w:w="1647" w:type="dxa"/>
            <w:shd w:val="clear" w:color="auto" w:fill="auto"/>
            <w:vAlign w:val="bottom"/>
            <w:hideMark/>
          </w:tcPr>
          <w:p w14:paraId="37060C87" w14:textId="77777777" w:rsidR="00171C8A" w:rsidRPr="00171C8A" w:rsidRDefault="00171C8A" w:rsidP="00171C8A">
            <w:pPr>
              <w:jc w:val="right"/>
              <w:rPr>
                <w:sz w:val="16"/>
                <w:szCs w:val="16"/>
                <w:lang w:eastAsia="tr-TR"/>
              </w:rPr>
            </w:pPr>
            <w:r w:rsidRPr="00171C8A">
              <w:rPr>
                <w:sz w:val="16"/>
                <w:szCs w:val="16"/>
                <w:lang w:eastAsia="tr-TR"/>
              </w:rPr>
              <w:t> </w:t>
            </w:r>
          </w:p>
        </w:tc>
        <w:tc>
          <w:tcPr>
            <w:tcW w:w="1647" w:type="dxa"/>
            <w:shd w:val="clear" w:color="auto" w:fill="auto"/>
            <w:vAlign w:val="bottom"/>
            <w:hideMark/>
          </w:tcPr>
          <w:p w14:paraId="7E1B6CD5" w14:textId="77777777" w:rsidR="00171C8A" w:rsidRPr="00171C8A" w:rsidRDefault="00171C8A" w:rsidP="00171C8A">
            <w:pPr>
              <w:jc w:val="right"/>
              <w:rPr>
                <w:sz w:val="16"/>
                <w:szCs w:val="16"/>
                <w:lang w:eastAsia="tr-TR"/>
              </w:rPr>
            </w:pPr>
            <w:r w:rsidRPr="00171C8A">
              <w:rPr>
                <w:sz w:val="16"/>
                <w:szCs w:val="16"/>
                <w:lang w:eastAsia="tr-TR"/>
              </w:rPr>
              <w:t> </w:t>
            </w:r>
          </w:p>
        </w:tc>
      </w:tr>
      <w:tr w:rsidR="00171C8A" w:rsidRPr="00171C8A" w14:paraId="07FC9B0C" w14:textId="77777777" w:rsidTr="00311DAB">
        <w:trPr>
          <w:divId w:val="846749932"/>
          <w:trHeight w:val="132"/>
        </w:trPr>
        <w:tc>
          <w:tcPr>
            <w:tcW w:w="6059" w:type="dxa"/>
            <w:shd w:val="clear" w:color="auto" w:fill="auto"/>
            <w:vAlign w:val="center"/>
            <w:hideMark/>
          </w:tcPr>
          <w:p w14:paraId="7B7AB238" w14:textId="77777777" w:rsidR="00171C8A" w:rsidRPr="00171C8A" w:rsidRDefault="00171C8A" w:rsidP="00171C8A">
            <w:pPr>
              <w:rPr>
                <w:sz w:val="16"/>
                <w:szCs w:val="16"/>
                <w:lang w:eastAsia="tr-TR"/>
              </w:rPr>
            </w:pPr>
            <w:r w:rsidRPr="00171C8A">
              <w:rPr>
                <w:sz w:val="16"/>
                <w:szCs w:val="16"/>
                <w:lang w:eastAsia="tr-TR"/>
              </w:rPr>
              <w:t>Kanunun 50 ve 51 inci maddeleri hükümlerine aykırı olarak kullandırılan krediler</w:t>
            </w:r>
          </w:p>
        </w:tc>
        <w:tc>
          <w:tcPr>
            <w:tcW w:w="1647" w:type="dxa"/>
            <w:shd w:val="clear" w:color="auto" w:fill="auto"/>
            <w:vAlign w:val="bottom"/>
            <w:hideMark/>
          </w:tcPr>
          <w:p w14:paraId="2D141524"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767BD739"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1B773053" w14:textId="77777777" w:rsidTr="00311DAB">
        <w:trPr>
          <w:divId w:val="846749932"/>
          <w:trHeight w:val="132"/>
        </w:trPr>
        <w:tc>
          <w:tcPr>
            <w:tcW w:w="6059" w:type="dxa"/>
            <w:shd w:val="clear" w:color="auto" w:fill="auto"/>
            <w:vAlign w:val="center"/>
            <w:hideMark/>
          </w:tcPr>
          <w:p w14:paraId="00D4E039" w14:textId="77777777" w:rsidR="00171C8A" w:rsidRPr="00171C8A" w:rsidRDefault="00171C8A" w:rsidP="00171C8A">
            <w:pPr>
              <w:rPr>
                <w:sz w:val="16"/>
                <w:szCs w:val="16"/>
                <w:lang w:eastAsia="tr-TR"/>
              </w:rPr>
            </w:pPr>
            <w:r w:rsidRPr="00171C8A">
              <w:rPr>
                <w:sz w:val="16"/>
                <w:szCs w:val="16"/>
                <w:lang w:eastAsia="tr-TR"/>
              </w:rPr>
              <w:t xml:space="preserve">Kanunun </w:t>
            </w:r>
            <w:proofErr w:type="gramStart"/>
            <w:r w:rsidRPr="00171C8A">
              <w:rPr>
                <w:sz w:val="16"/>
                <w:szCs w:val="16"/>
                <w:lang w:eastAsia="tr-TR"/>
              </w:rPr>
              <w:t xml:space="preserve">57 </w:t>
            </w:r>
            <w:proofErr w:type="spellStart"/>
            <w:r w:rsidRPr="00171C8A">
              <w:rPr>
                <w:sz w:val="16"/>
                <w:szCs w:val="16"/>
                <w:lang w:eastAsia="tr-TR"/>
              </w:rPr>
              <w:t>nci</w:t>
            </w:r>
            <w:proofErr w:type="spellEnd"/>
            <w:proofErr w:type="gramEnd"/>
            <w:r w:rsidRPr="00171C8A">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647" w:type="dxa"/>
            <w:shd w:val="clear" w:color="auto" w:fill="auto"/>
            <w:vAlign w:val="bottom"/>
            <w:hideMark/>
          </w:tcPr>
          <w:p w14:paraId="01AA9B6A" w14:textId="77777777" w:rsidR="00171C8A" w:rsidRPr="00171C8A" w:rsidRDefault="00171C8A" w:rsidP="00171C8A">
            <w:pPr>
              <w:jc w:val="right"/>
              <w:rPr>
                <w:sz w:val="16"/>
                <w:szCs w:val="16"/>
                <w:lang w:eastAsia="tr-TR"/>
              </w:rPr>
            </w:pPr>
            <w:r w:rsidRPr="00171C8A">
              <w:rPr>
                <w:sz w:val="16"/>
                <w:szCs w:val="16"/>
                <w:lang w:eastAsia="tr-TR"/>
              </w:rPr>
              <w:t>11,875</w:t>
            </w:r>
          </w:p>
        </w:tc>
        <w:tc>
          <w:tcPr>
            <w:tcW w:w="1647" w:type="dxa"/>
            <w:shd w:val="clear" w:color="auto" w:fill="auto"/>
            <w:vAlign w:val="bottom"/>
            <w:hideMark/>
          </w:tcPr>
          <w:p w14:paraId="0918E789" w14:textId="77777777" w:rsidR="00171C8A" w:rsidRPr="00171C8A" w:rsidRDefault="00171C8A" w:rsidP="00171C8A">
            <w:pPr>
              <w:jc w:val="right"/>
              <w:rPr>
                <w:sz w:val="16"/>
                <w:szCs w:val="16"/>
                <w:lang w:eastAsia="tr-TR"/>
              </w:rPr>
            </w:pPr>
            <w:r w:rsidRPr="00171C8A">
              <w:rPr>
                <w:sz w:val="16"/>
                <w:szCs w:val="16"/>
                <w:lang w:eastAsia="tr-TR"/>
              </w:rPr>
              <w:t>5,505</w:t>
            </w:r>
          </w:p>
        </w:tc>
      </w:tr>
      <w:tr w:rsidR="00171C8A" w:rsidRPr="00171C8A" w14:paraId="15FB96CE" w14:textId="77777777" w:rsidTr="00311DAB">
        <w:trPr>
          <w:divId w:val="846749932"/>
          <w:trHeight w:val="132"/>
        </w:trPr>
        <w:tc>
          <w:tcPr>
            <w:tcW w:w="6059" w:type="dxa"/>
            <w:shd w:val="clear" w:color="auto" w:fill="auto"/>
            <w:vAlign w:val="center"/>
            <w:hideMark/>
          </w:tcPr>
          <w:p w14:paraId="4685982C" w14:textId="77777777" w:rsidR="00171C8A" w:rsidRPr="00171C8A" w:rsidRDefault="00171C8A" w:rsidP="00171C8A">
            <w:pPr>
              <w:rPr>
                <w:sz w:val="16"/>
                <w:szCs w:val="16"/>
                <w:lang w:eastAsia="tr-TR"/>
              </w:rPr>
            </w:pPr>
            <w:r w:rsidRPr="00171C8A">
              <w:rPr>
                <w:sz w:val="16"/>
                <w:szCs w:val="16"/>
                <w:lang w:eastAsia="tr-TR"/>
              </w:rPr>
              <w:t>Kurulca belirlenecek diğer hesaplar</w:t>
            </w:r>
          </w:p>
        </w:tc>
        <w:tc>
          <w:tcPr>
            <w:tcW w:w="1647" w:type="dxa"/>
            <w:shd w:val="clear" w:color="auto" w:fill="auto"/>
            <w:vAlign w:val="bottom"/>
            <w:hideMark/>
          </w:tcPr>
          <w:p w14:paraId="0E2B9D50" w14:textId="77777777" w:rsidR="00171C8A" w:rsidRPr="00171C8A" w:rsidRDefault="00171C8A" w:rsidP="00171C8A">
            <w:pPr>
              <w:jc w:val="right"/>
              <w:rPr>
                <w:sz w:val="16"/>
                <w:szCs w:val="16"/>
                <w:lang w:eastAsia="tr-TR"/>
              </w:rPr>
            </w:pPr>
            <w:r w:rsidRPr="00171C8A">
              <w:rPr>
                <w:sz w:val="16"/>
                <w:szCs w:val="16"/>
                <w:lang w:eastAsia="tr-TR"/>
              </w:rPr>
              <w:t>214,077</w:t>
            </w:r>
          </w:p>
        </w:tc>
        <w:tc>
          <w:tcPr>
            <w:tcW w:w="1647" w:type="dxa"/>
            <w:shd w:val="clear" w:color="auto" w:fill="auto"/>
            <w:vAlign w:val="bottom"/>
            <w:hideMark/>
          </w:tcPr>
          <w:p w14:paraId="3A3ECAEC" w14:textId="77777777" w:rsidR="00171C8A" w:rsidRPr="00171C8A" w:rsidRDefault="00171C8A" w:rsidP="00171C8A">
            <w:pPr>
              <w:jc w:val="right"/>
              <w:rPr>
                <w:sz w:val="16"/>
                <w:szCs w:val="16"/>
                <w:lang w:eastAsia="tr-TR"/>
              </w:rPr>
            </w:pPr>
            <w:r w:rsidRPr="00171C8A">
              <w:rPr>
                <w:sz w:val="16"/>
                <w:szCs w:val="16"/>
                <w:lang w:eastAsia="tr-TR"/>
              </w:rPr>
              <w:t>116,449</w:t>
            </w:r>
          </w:p>
        </w:tc>
      </w:tr>
      <w:tr w:rsidR="00171C8A" w:rsidRPr="00171C8A" w14:paraId="1C27B40F" w14:textId="77777777" w:rsidTr="00311DAB">
        <w:trPr>
          <w:divId w:val="846749932"/>
          <w:trHeight w:val="193"/>
        </w:trPr>
        <w:tc>
          <w:tcPr>
            <w:tcW w:w="6059" w:type="dxa"/>
            <w:shd w:val="clear" w:color="auto" w:fill="auto"/>
            <w:vAlign w:val="center"/>
            <w:hideMark/>
          </w:tcPr>
          <w:p w14:paraId="6FD512DB" w14:textId="77777777" w:rsidR="00171C8A" w:rsidRPr="00171C8A" w:rsidRDefault="00171C8A" w:rsidP="00171C8A">
            <w:pPr>
              <w:rPr>
                <w:b/>
                <w:bCs/>
                <w:sz w:val="16"/>
                <w:szCs w:val="16"/>
                <w:lang w:eastAsia="tr-TR"/>
              </w:rPr>
            </w:pPr>
            <w:r w:rsidRPr="00171C8A">
              <w:rPr>
                <w:b/>
                <w:bCs/>
                <w:sz w:val="16"/>
                <w:szCs w:val="16"/>
                <w:lang w:eastAsia="tr-TR"/>
              </w:rPr>
              <w:t>Geçiş Süresince Ana Sermaye ve Katlı Sermaye Toplamından (Sermayeden) İndirilmeye Devam edecek Unsurlar</w:t>
            </w:r>
          </w:p>
        </w:tc>
        <w:tc>
          <w:tcPr>
            <w:tcW w:w="1647" w:type="dxa"/>
            <w:shd w:val="clear" w:color="auto" w:fill="auto"/>
            <w:vAlign w:val="bottom"/>
            <w:hideMark/>
          </w:tcPr>
          <w:p w14:paraId="5C415A56" w14:textId="77777777" w:rsidR="00171C8A" w:rsidRPr="00171C8A" w:rsidRDefault="00171C8A" w:rsidP="00171C8A">
            <w:pPr>
              <w:jc w:val="right"/>
              <w:rPr>
                <w:sz w:val="16"/>
                <w:szCs w:val="16"/>
                <w:lang w:eastAsia="tr-TR"/>
              </w:rPr>
            </w:pPr>
            <w:r w:rsidRPr="00171C8A">
              <w:rPr>
                <w:sz w:val="16"/>
                <w:szCs w:val="16"/>
                <w:lang w:eastAsia="tr-TR"/>
              </w:rPr>
              <w:t> </w:t>
            </w:r>
          </w:p>
        </w:tc>
        <w:tc>
          <w:tcPr>
            <w:tcW w:w="1647" w:type="dxa"/>
            <w:shd w:val="clear" w:color="auto" w:fill="auto"/>
            <w:vAlign w:val="bottom"/>
            <w:hideMark/>
          </w:tcPr>
          <w:p w14:paraId="52337BF8" w14:textId="77777777" w:rsidR="00171C8A" w:rsidRPr="00171C8A" w:rsidRDefault="00171C8A" w:rsidP="00171C8A">
            <w:pPr>
              <w:jc w:val="right"/>
              <w:rPr>
                <w:sz w:val="16"/>
                <w:szCs w:val="16"/>
                <w:lang w:eastAsia="tr-TR"/>
              </w:rPr>
            </w:pPr>
            <w:r w:rsidRPr="00171C8A">
              <w:rPr>
                <w:sz w:val="16"/>
                <w:szCs w:val="16"/>
                <w:lang w:eastAsia="tr-TR"/>
              </w:rPr>
              <w:t> </w:t>
            </w:r>
          </w:p>
        </w:tc>
      </w:tr>
      <w:tr w:rsidR="00171C8A" w:rsidRPr="00171C8A" w14:paraId="36882B5B" w14:textId="77777777" w:rsidTr="00311DAB">
        <w:trPr>
          <w:divId w:val="846749932"/>
          <w:trHeight w:val="132"/>
        </w:trPr>
        <w:tc>
          <w:tcPr>
            <w:tcW w:w="6059" w:type="dxa"/>
            <w:shd w:val="clear" w:color="auto" w:fill="auto"/>
            <w:vAlign w:val="center"/>
            <w:hideMark/>
          </w:tcPr>
          <w:p w14:paraId="3A336A8F" w14:textId="77777777" w:rsidR="00171C8A" w:rsidRPr="00171C8A" w:rsidRDefault="00171C8A" w:rsidP="00171C8A">
            <w:pPr>
              <w:rPr>
                <w:sz w:val="16"/>
                <w:szCs w:val="16"/>
                <w:lang w:eastAsia="tr-TR"/>
              </w:rPr>
            </w:pPr>
            <w:r w:rsidRPr="00171C8A">
              <w:rPr>
                <w:sz w:val="16"/>
                <w:szCs w:val="16"/>
                <w:lang w:eastAsia="tr-TR"/>
              </w:rPr>
              <w:t xml:space="preserve">Ortaklık paylarının yüzde %10 veya daha azına sahip olunan ve konsolide edilmeyen bankalar ve finansal kuruluşların </w:t>
            </w:r>
            <w:proofErr w:type="spellStart"/>
            <w:r w:rsidRPr="00171C8A">
              <w:rPr>
                <w:sz w:val="16"/>
                <w:szCs w:val="16"/>
                <w:lang w:eastAsia="tr-TR"/>
              </w:rPr>
              <w:t>özkaynak</w:t>
            </w:r>
            <w:proofErr w:type="spellEnd"/>
            <w:r w:rsidRPr="00171C8A">
              <w:rPr>
                <w:sz w:val="16"/>
                <w:szCs w:val="16"/>
                <w:lang w:eastAsia="tr-TR"/>
              </w:rPr>
              <w:t xml:space="preserve"> unsurlarına yapılan yatırımların net uzun pozisyonları toplamının, bankanın çekirdek sermayesinin yüzde onunu aşan kısmının, Bankaların </w:t>
            </w:r>
            <w:proofErr w:type="spellStart"/>
            <w:r w:rsidRPr="00171C8A">
              <w:rPr>
                <w:sz w:val="16"/>
                <w:szCs w:val="16"/>
                <w:lang w:eastAsia="tr-TR"/>
              </w:rPr>
              <w:t>Özkaynaklarına</w:t>
            </w:r>
            <w:proofErr w:type="spellEnd"/>
            <w:r w:rsidRPr="00171C8A">
              <w:rPr>
                <w:sz w:val="16"/>
                <w:szCs w:val="16"/>
                <w:lang w:eastAsia="tr-TR"/>
              </w:rPr>
              <w:t xml:space="preserve"> İlişkin Yönetmeliğin Geçici </w:t>
            </w:r>
            <w:proofErr w:type="gramStart"/>
            <w:r w:rsidRPr="00171C8A">
              <w:rPr>
                <w:sz w:val="16"/>
                <w:szCs w:val="16"/>
                <w:lang w:eastAsia="tr-TR"/>
              </w:rPr>
              <w:t xml:space="preserve">2 </w:t>
            </w:r>
            <w:proofErr w:type="spellStart"/>
            <w:r w:rsidRPr="00171C8A">
              <w:rPr>
                <w:sz w:val="16"/>
                <w:szCs w:val="16"/>
                <w:lang w:eastAsia="tr-TR"/>
              </w:rPr>
              <w:t>nci</w:t>
            </w:r>
            <w:proofErr w:type="spellEnd"/>
            <w:proofErr w:type="gramEnd"/>
            <w:r w:rsidRPr="00171C8A">
              <w:rPr>
                <w:sz w:val="16"/>
                <w:szCs w:val="16"/>
                <w:lang w:eastAsia="tr-TR"/>
              </w:rPr>
              <w:t xml:space="preserve"> maddesinin birinci fıkrası uyarınca çekirdek sermayeden, ilave ana sermayeden ve katkı sermayeden indirilmeyen kısmı</w:t>
            </w:r>
          </w:p>
        </w:tc>
        <w:tc>
          <w:tcPr>
            <w:tcW w:w="1647" w:type="dxa"/>
            <w:shd w:val="clear" w:color="auto" w:fill="auto"/>
            <w:vAlign w:val="bottom"/>
            <w:hideMark/>
          </w:tcPr>
          <w:p w14:paraId="618BB1E2"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4734254F"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35846BB4" w14:textId="77777777" w:rsidTr="00311DAB">
        <w:trPr>
          <w:divId w:val="846749932"/>
          <w:trHeight w:val="132"/>
        </w:trPr>
        <w:tc>
          <w:tcPr>
            <w:tcW w:w="6059" w:type="dxa"/>
            <w:shd w:val="clear" w:color="auto" w:fill="auto"/>
            <w:vAlign w:val="center"/>
            <w:hideMark/>
          </w:tcPr>
          <w:p w14:paraId="20F40BDD" w14:textId="77777777" w:rsidR="00171C8A" w:rsidRPr="00171C8A" w:rsidRDefault="00171C8A" w:rsidP="00171C8A">
            <w:pPr>
              <w:rPr>
                <w:sz w:val="16"/>
                <w:szCs w:val="16"/>
                <w:lang w:eastAsia="tr-TR"/>
              </w:rPr>
            </w:pPr>
            <w:r w:rsidRPr="00171C8A">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171C8A">
              <w:rPr>
                <w:sz w:val="16"/>
                <w:szCs w:val="16"/>
                <w:lang w:eastAsia="tr-TR"/>
              </w:rPr>
              <w:t>Özkaynaklarına</w:t>
            </w:r>
            <w:proofErr w:type="spellEnd"/>
            <w:r w:rsidRPr="00171C8A">
              <w:rPr>
                <w:sz w:val="16"/>
                <w:szCs w:val="16"/>
                <w:lang w:eastAsia="tr-TR"/>
              </w:rPr>
              <w:t xml:space="preserve"> İlişkin Yönetmeliğin Geçici </w:t>
            </w:r>
            <w:proofErr w:type="gramStart"/>
            <w:r w:rsidRPr="00171C8A">
              <w:rPr>
                <w:sz w:val="16"/>
                <w:szCs w:val="16"/>
                <w:lang w:eastAsia="tr-TR"/>
              </w:rPr>
              <w:t xml:space="preserve">2 </w:t>
            </w:r>
            <w:proofErr w:type="spellStart"/>
            <w:r w:rsidRPr="00171C8A">
              <w:rPr>
                <w:sz w:val="16"/>
                <w:szCs w:val="16"/>
                <w:lang w:eastAsia="tr-TR"/>
              </w:rPr>
              <w:t>nci</w:t>
            </w:r>
            <w:proofErr w:type="spellEnd"/>
            <w:proofErr w:type="gramEnd"/>
            <w:r w:rsidRPr="00171C8A">
              <w:rPr>
                <w:sz w:val="16"/>
                <w:szCs w:val="16"/>
                <w:lang w:eastAsia="tr-TR"/>
              </w:rPr>
              <w:t xml:space="preserve"> maddesinin birinci fıkrası uyarınca, ilave ana sermayeden ve katkı sermayeden indirilmeyen kısmı</w:t>
            </w:r>
          </w:p>
        </w:tc>
        <w:tc>
          <w:tcPr>
            <w:tcW w:w="1647" w:type="dxa"/>
            <w:shd w:val="clear" w:color="auto" w:fill="auto"/>
            <w:vAlign w:val="bottom"/>
            <w:hideMark/>
          </w:tcPr>
          <w:p w14:paraId="4D77F3E7"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0DD4BDDC"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6C77E3CD" w14:textId="77777777" w:rsidTr="00311DAB">
        <w:trPr>
          <w:divId w:val="846749932"/>
          <w:trHeight w:val="132"/>
        </w:trPr>
        <w:tc>
          <w:tcPr>
            <w:tcW w:w="6059" w:type="dxa"/>
            <w:shd w:val="clear" w:color="auto" w:fill="auto"/>
            <w:vAlign w:val="center"/>
            <w:hideMark/>
          </w:tcPr>
          <w:p w14:paraId="34249682" w14:textId="77777777" w:rsidR="00171C8A" w:rsidRPr="00171C8A" w:rsidRDefault="00171C8A" w:rsidP="00171C8A">
            <w:pPr>
              <w:rPr>
                <w:sz w:val="16"/>
                <w:szCs w:val="16"/>
                <w:lang w:eastAsia="tr-TR"/>
              </w:rPr>
            </w:pPr>
            <w:r w:rsidRPr="00171C8A">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171C8A">
              <w:rPr>
                <w:sz w:val="16"/>
                <w:szCs w:val="16"/>
                <w:lang w:eastAsia="tr-TR"/>
              </w:rPr>
              <w:t>Özkaynaklarına</w:t>
            </w:r>
            <w:proofErr w:type="spellEnd"/>
            <w:r w:rsidRPr="00171C8A">
              <w:rPr>
                <w:sz w:val="16"/>
                <w:szCs w:val="16"/>
                <w:lang w:eastAsia="tr-TR"/>
              </w:rPr>
              <w:t xml:space="preserve"> İlişkin Yönetmeliğin Geçici 2 </w:t>
            </w:r>
            <w:proofErr w:type="spellStart"/>
            <w:r w:rsidRPr="00171C8A">
              <w:rPr>
                <w:sz w:val="16"/>
                <w:szCs w:val="16"/>
                <w:lang w:eastAsia="tr-TR"/>
              </w:rPr>
              <w:t>nci</w:t>
            </w:r>
            <w:proofErr w:type="spellEnd"/>
            <w:r w:rsidRPr="00171C8A">
              <w:rPr>
                <w:sz w:val="16"/>
                <w:szCs w:val="16"/>
                <w:lang w:eastAsia="tr-TR"/>
              </w:rPr>
              <w:t xml:space="preserve"> maddesinin ikinci fıkrasının (1) ve (2) </w:t>
            </w:r>
            <w:proofErr w:type="spellStart"/>
            <w:r w:rsidRPr="00171C8A">
              <w:rPr>
                <w:sz w:val="16"/>
                <w:szCs w:val="16"/>
                <w:lang w:eastAsia="tr-TR"/>
              </w:rPr>
              <w:t>nci</w:t>
            </w:r>
            <w:proofErr w:type="spellEnd"/>
            <w:r w:rsidRPr="00171C8A">
              <w:rPr>
                <w:sz w:val="16"/>
                <w:szCs w:val="16"/>
                <w:lang w:eastAsia="tr-TR"/>
              </w:rPr>
              <w:t xml:space="preserve"> alt bentleri uyarınca çekirdek sermayeden indirilecek tutarlarının, Yönetmeliğin Geçici 2 </w:t>
            </w:r>
            <w:proofErr w:type="spellStart"/>
            <w:r w:rsidRPr="00171C8A">
              <w:rPr>
                <w:sz w:val="16"/>
                <w:szCs w:val="16"/>
                <w:lang w:eastAsia="tr-TR"/>
              </w:rPr>
              <w:t>nci</w:t>
            </w:r>
            <w:proofErr w:type="spellEnd"/>
            <w:r w:rsidRPr="00171C8A">
              <w:rPr>
                <w:sz w:val="16"/>
                <w:szCs w:val="16"/>
                <w:lang w:eastAsia="tr-TR"/>
              </w:rPr>
              <w:t xml:space="preserve"> maddesinin birinci fıkrası uyarınca çekirdek sermayeden indirilmeyen kısmı</w:t>
            </w:r>
          </w:p>
        </w:tc>
        <w:tc>
          <w:tcPr>
            <w:tcW w:w="1647" w:type="dxa"/>
            <w:shd w:val="clear" w:color="auto" w:fill="auto"/>
            <w:vAlign w:val="bottom"/>
            <w:hideMark/>
          </w:tcPr>
          <w:p w14:paraId="7AAEC2F4"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1D7A00A8"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6AF8BEFF" w14:textId="77777777" w:rsidTr="00311DAB">
        <w:trPr>
          <w:divId w:val="846749932"/>
          <w:trHeight w:val="193"/>
        </w:trPr>
        <w:tc>
          <w:tcPr>
            <w:tcW w:w="6059" w:type="dxa"/>
            <w:shd w:val="clear" w:color="auto" w:fill="auto"/>
            <w:vAlign w:val="center"/>
            <w:hideMark/>
          </w:tcPr>
          <w:p w14:paraId="4E6B2735" w14:textId="77777777" w:rsidR="00171C8A" w:rsidRPr="00171C8A" w:rsidRDefault="00171C8A" w:rsidP="00171C8A">
            <w:pPr>
              <w:jc w:val="center"/>
              <w:rPr>
                <w:b/>
                <w:bCs/>
                <w:sz w:val="16"/>
                <w:szCs w:val="16"/>
                <w:lang w:eastAsia="tr-TR"/>
              </w:rPr>
            </w:pPr>
            <w:r w:rsidRPr="00171C8A">
              <w:rPr>
                <w:b/>
                <w:bCs/>
                <w:sz w:val="16"/>
                <w:szCs w:val="16"/>
                <w:lang w:eastAsia="tr-TR"/>
              </w:rPr>
              <w:t>ÖZKAYNAK</w:t>
            </w:r>
          </w:p>
        </w:tc>
        <w:tc>
          <w:tcPr>
            <w:tcW w:w="1647" w:type="dxa"/>
            <w:shd w:val="clear" w:color="auto" w:fill="auto"/>
            <w:vAlign w:val="bottom"/>
            <w:hideMark/>
          </w:tcPr>
          <w:p w14:paraId="7FCC0048" w14:textId="77777777" w:rsidR="00171C8A" w:rsidRPr="00171C8A" w:rsidRDefault="00171C8A" w:rsidP="00171C8A">
            <w:pPr>
              <w:jc w:val="right"/>
              <w:rPr>
                <w:sz w:val="16"/>
                <w:szCs w:val="16"/>
                <w:lang w:eastAsia="tr-TR"/>
              </w:rPr>
            </w:pPr>
            <w:r w:rsidRPr="00171C8A">
              <w:rPr>
                <w:sz w:val="16"/>
                <w:szCs w:val="16"/>
                <w:lang w:eastAsia="tr-TR"/>
              </w:rPr>
              <w:t> </w:t>
            </w:r>
          </w:p>
        </w:tc>
        <w:tc>
          <w:tcPr>
            <w:tcW w:w="1647" w:type="dxa"/>
            <w:shd w:val="clear" w:color="auto" w:fill="auto"/>
            <w:vAlign w:val="bottom"/>
            <w:hideMark/>
          </w:tcPr>
          <w:p w14:paraId="5033B6CD" w14:textId="77777777" w:rsidR="00171C8A" w:rsidRPr="00171C8A" w:rsidRDefault="00171C8A" w:rsidP="00171C8A">
            <w:pPr>
              <w:jc w:val="right"/>
              <w:rPr>
                <w:sz w:val="16"/>
                <w:szCs w:val="16"/>
                <w:lang w:eastAsia="tr-TR"/>
              </w:rPr>
            </w:pPr>
            <w:r w:rsidRPr="00171C8A">
              <w:rPr>
                <w:sz w:val="16"/>
                <w:szCs w:val="16"/>
                <w:lang w:eastAsia="tr-TR"/>
              </w:rPr>
              <w:t> </w:t>
            </w:r>
          </w:p>
        </w:tc>
      </w:tr>
      <w:tr w:rsidR="00171C8A" w:rsidRPr="00171C8A" w14:paraId="25FE2844" w14:textId="77777777" w:rsidTr="00311DAB">
        <w:trPr>
          <w:divId w:val="846749932"/>
          <w:trHeight w:val="132"/>
        </w:trPr>
        <w:tc>
          <w:tcPr>
            <w:tcW w:w="6059" w:type="dxa"/>
            <w:shd w:val="clear" w:color="auto" w:fill="auto"/>
            <w:vAlign w:val="center"/>
            <w:hideMark/>
          </w:tcPr>
          <w:p w14:paraId="63C42562" w14:textId="77777777" w:rsidR="00171C8A" w:rsidRPr="00171C8A" w:rsidRDefault="00171C8A" w:rsidP="00171C8A">
            <w:pPr>
              <w:rPr>
                <w:sz w:val="16"/>
                <w:szCs w:val="16"/>
                <w:lang w:eastAsia="tr-TR"/>
              </w:rPr>
            </w:pPr>
            <w:r w:rsidRPr="00171C8A">
              <w:rPr>
                <w:sz w:val="16"/>
                <w:szCs w:val="16"/>
                <w:lang w:eastAsia="tr-TR"/>
              </w:rPr>
              <w:t xml:space="preserve">Toplam </w:t>
            </w:r>
            <w:proofErr w:type="spellStart"/>
            <w:r w:rsidRPr="00171C8A">
              <w:rPr>
                <w:sz w:val="16"/>
                <w:szCs w:val="16"/>
                <w:lang w:eastAsia="tr-TR"/>
              </w:rPr>
              <w:t>Özkaynak</w:t>
            </w:r>
            <w:proofErr w:type="spellEnd"/>
            <w:r w:rsidRPr="00171C8A">
              <w:rPr>
                <w:sz w:val="16"/>
                <w:szCs w:val="16"/>
                <w:lang w:eastAsia="tr-TR"/>
              </w:rPr>
              <w:t xml:space="preserve"> </w:t>
            </w:r>
            <w:proofErr w:type="gramStart"/>
            <w:r w:rsidRPr="00171C8A">
              <w:rPr>
                <w:sz w:val="16"/>
                <w:szCs w:val="16"/>
                <w:lang w:eastAsia="tr-TR"/>
              </w:rPr>
              <w:t>( Ana</w:t>
            </w:r>
            <w:proofErr w:type="gramEnd"/>
            <w:r w:rsidRPr="00171C8A">
              <w:rPr>
                <w:sz w:val="16"/>
                <w:szCs w:val="16"/>
                <w:lang w:eastAsia="tr-TR"/>
              </w:rPr>
              <w:t xml:space="preserve"> sermaye ve katkı sermaye toplamı)</w:t>
            </w:r>
          </w:p>
        </w:tc>
        <w:tc>
          <w:tcPr>
            <w:tcW w:w="1647" w:type="dxa"/>
            <w:shd w:val="clear" w:color="auto" w:fill="auto"/>
            <w:vAlign w:val="bottom"/>
            <w:hideMark/>
          </w:tcPr>
          <w:p w14:paraId="76DB1E67" w14:textId="77777777" w:rsidR="00171C8A" w:rsidRPr="00171C8A" w:rsidRDefault="00171C8A" w:rsidP="00171C8A">
            <w:pPr>
              <w:jc w:val="right"/>
              <w:rPr>
                <w:sz w:val="16"/>
                <w:szCs w:val="16"/>
                <w:lang w:eastAsia="tr-TR"/>
              </w:rPr>
            </w:pPr>
            <w:r w:rsidRPr="00171C8A">
              <w:rPr>
                <w:sz w:val="16"/>
                <w:szCs w:val="16"/>
                <w:lang w:eastAsia="tr-TR"/>
              </w:rPr>
              <w:t>12,360,051</w:t>
            </w:r>
          </w:p>
        </w:tc>
        <w:tc>
          <w:tcPr>
            <w:tcW w:w="1647" w:type="dxa"/>
            <w:shd w:val="clear" w:color="auto" w:fill="auto"/>
            <w:vAlign w:val="bottom"/>
            <w:hideMark/>
          </w:tcPr>
          <w:p w14:paraId="4F2A54A5" w14:textId="77777777" w:rsidR="00171C8A" w:rsidRPr="00171C8A" w:rsidRDefault="00171C8A" w:rsidP="00171C8A">
            <w:pPr>
              <w:jc w:val="right"/>
              <w:rPr>
                <w:sz w:val="16"/>
                <w:szCs w:val="16"/>
                <w:lang w:eastAsia="tr-TR"/>
              </w:rPr>
            </w:pPr>
            <w:r w:rsidRPr="00171C8A">
              <w:rPr>
                <w:sz w:val="16"/>
                <w:szCs w:val="16"/>
                <w:lang w:eastAsia="tr-TR"/>
              </w:rPr>
              <w:t>10,334,918</w:t>
            </w:r>
          </w:p>
        </w:tc>
      </w:tr>
      <w:tr w:rsidR="00171C8A" w:rsidRPr="00171C8A" w14:paraId="2F904629" w14:textId="77777777" w:rsidTr="00311DAB">
        <w:trPr>
          <w:divId w:val="846749932"/>
          <w:trHeight w:val="132"/>
        </w:trPr>
        <w:tc>
          <w:tcPr>
            <w:tcW w:w="6059" w:type="dxa"/>
            <w:shd w:val="clear" w:color="auto" w:fill="auto"/>
            <w:vAlign w:val="center"/>
            <w:hideMark/>
          </w:tcPr>
          <w:p w14:paraId="225B88E1" w14:textId="77777777" w:rsidR="00171C8A" w:rsidRPr="00171C8A" w:rsidRDefault="00171C8A" w:rsidP="00171C8A">
            <w:pPr>
              <w:rPr>
                <w:sz w:val="16"/>
                <w:szCs w:val="16"/>
                <w:lang w:eastAsia="tr-TR"/>
              </w:rPr>
            </w:pPr>
            <w:r w:rsidRPr="00171C8A">
              <w:rPr>
                <w:sz w:val="16"/>
                <w:szCs w:val="16"/>
                <w:lang w:eastAsia="tr-TR"/>
              </w:rPr>
              <w:t>Toplam Risk Ağırlıklı Tutarlar</w:t>
            </w:r>
          </w:p>
        </w:tc>
        <w:tc>
          <w:tcPr>
            <w:tcW w:w="1647" w:type="dxa"/>
            <w:shd w:val="clear" w:color="auto" w:fill="auto"/>
            <w:vAlign w:val="bottom"/>
            <w:hideMark/>
          </w:tcPr>
          <w:p w14:paraId="2C9EE0DA" w14:textId="77777777" w:rsidR="00171C8A" w:rsidRPr="00171C8A" w:rsidRDefault="00171C8A" w:rsidP="00171C8A">
            <w:pPr>
              <w:jc w:val="right"/>
              <w:rPr>
                <w:sz w:val="16"/>
                <w:szCs w:val="16"/>
                <w:lang w:eastAsia="tr-TR"/>
              </w:rPr>
            </w:pPr>
            <w:r w:rsidRPr="00171C8A">
              <w:rPr>
                <w:sz w:val="16"/>
                <w:szCs w:val="16"/>
                <w:lang w:eastAsia="tr-TR"/>
              </w:rPr>
              <w:t>54,568,550</w:t>
            </w:r>
          </w:p>
        </w:tc>
        <w:tc>
          <w:tcPr>
            <w:tcW w:w="1647" w:type="dxa"/>
            <w:shd w:val="clear" w:color="auto" w:fill="auto"/>
            <w:vAlign w:val="bottom"/>
            <w:hideMark/>
          </w:tcPr>
          <w:p w14:paraId="6624DF1D" w14:textId="77777777" w:rsidR="00171C8A" w:rsidRPr="00171C8A" w:rsidRDefault="00171C8A" w:rsidP="00171C8A">
            <w:pPr>
              <w:jc w:val="right"/>
              <w:rPr>
                <w:sz w:val="16"/>
                <w:szCs w:val="16"/>
                <w:lang w:eastAsia="tr-TR"/>
              </w:rPr>
            </w:pPr>
            <w:r w:rsidRPr="00171C8A">
              <w:rPr>
                <w:sz w:val="16"/>
                <w:szCs w:val="16"/>
                <w:lang w:eastAsia="tr-TR"/>
              </w:rPr>
              <w:t>53,504,497</w:t>
            </w:r>
          </w:p>
        </w:tc>
      </w:tr>
      <w:tr w:rsidR="00171C8A" w:rsidRPr="00171C8A" w14:paraId="2345F4BB" w14:textId="77777777" w:rsidTr="00311DAB">
        <w:trPr>
          <w:divId w:val="846749932"/>
          <w:trHeight w:val="193"/>
        </w:trPr>
        <w:tc>
          <w:tcPr>
            <w:tcW w:w="6059" w:type="dxa"/>
            <w:shd w:val="clear" w:color="auto" w:fill="auto"/>
            <w:vAlign w:val="center"/>
            <w:hideMark/>
          </w:tcPr>
          <w:p w14:paraId="4CE05894" w14:textId="77777777" w:rsidR="00171C8A" w:rsidRPr="00171C8A" w:rsidRDefault="00171C8A" w:rsidP="00171C8A">
            <w:pPr>
              <w:jc w:val="center"/>
              <w:rPr>
                <w:b/>
                <w:bCs/>
                <w:sz w:val="16"/>
                <w:szCs w:val="16"/>
                <w:lang w:eastAsia="tr-TR"/>
              </w:rPr>
            </w:pPr>
            <w:r w:rsidRPr="00171C8A">
              <w:rPr>
                <w:b/>
                <w:bCs/>
                <w:sz w:val="16"/>
                <w:szCs w:val="16"/>
                <w:lang w:eastAsia="tr-TR"/>
              </w:rPr>
              <w:t>SERMAYE YETERLİLİĞİ ORANLARI</w:t>
            </w:r>
          </w:p>
        </w:tc>
        <w:tc>
          <w:tcPr>
            <w:tcW w:w="1647" w:type="dxa"/>
            <w:shd w:val="clear" w:color="auto" w:fill="auto"/>
            <w:vAlign w:val="bottom"/>
            <w:hideMark/>
          </w:tcPr>
          <w:p w14:paraId="55B2FCC2" w14:textId="77777777" w:rsidR="00171C8A" w:rsidRPr="00171C8A" w:rsidRDefault="00171C8A" w:rsidP="00171C8A">
            <w:pPr>
              <w:jc w:val="right"/>
              <w:rPr>
                <w:sz w:val="16"/>
                <w:szCs w:val="16"/>
                <w:lang w:eastAsia="tr-TR"/>
              </w:rPr>
            </w:pPr>
            <w:r w:rsidRPr="00171C8A">
              <w:rPr>
                <w:sz w:val="16"/>
                <w:szCs w:val="16"/>
                <w:lang w:eastAsia="tr-TR"/>
              </w:rPr>
              <w:t> </w:t>
            </w:r>
          </w:p>
        </w:tc>
        <w:tc>
          <w:tcPr>
            <w:tcW w:w="1647" w:type="dxa"/>
            <w:shd w:val="clear" w:color="auto" w:fill="auto"/>
            <w:vAlign w:val="bottom"/>
            <w:hideMark/>
          </w:tcPr>
          <w:p w14:paraId="4E9773E5" w14:textId="77777777" w:rsidR="00171C8A" w:rsidRPr="00171C8A" w:rsidRDefault="00171C8A" w:rsidP="00171C8A">
            <w:pPr>
              <w:jc w:val="right"/>
              <w:rPr>
                <w:sz w:val="16"/>
                <w:szCs w:val="16"/>
                <w:lang w:eastAsia="tr-TR"/>
              </w:rPr>
            </w:pPr>
            <w:r w:rsidRPr="00171C8A">
              <w:rPr>
                <w:sz w:val="16"/>
                <w:szCs w:val="16"/>
                <w:lang w:eastAsia="tr-TR"/>
              </w:rPr>
              <w:t> </w:t>
            </w:r>
          </w:p>
        </w:tc>
      </w:tr>
      <w:tr w:rsidR="00171C8A" w:rsidRPr="00171C8A" w14:paraId="046E6884" w14:textId="77777777" w:rsidTr="00311DAB">
        <w:trPr>
          <w:divId w:val="846749932"/>
          <w:trHeight w:val="132"/>
        </w:trPr>
        <w:tc>
          <w:tcPr>
            <w:tcW w:w="6059" w:type="dxa"/>
            <w:shd w:val="clear" w:color="auto" w:fill="auto"/>
            <w:vAlign w:val="center"/>
            <w:hideMark/>
          </w:tcPr>
          <w:p w14:paraId="4DCA69EC" w14:textId="77777777" w:rsidR="00171C8A" w:rsidRPr="00171C8A" w:rsidRDefault="00171C8A" w:rsidP="00171C8A">
            <w:pPr>
              <w:rPr>
                <w:sz w:val="16"/>
                <w:szCs w:val="16"/>
                <w:lang w:eastAsia="tr-TR"/>
              </w:rPr>
            </w:pPr>
            <w:r w:rsidRPr="00171C8A">
              <w:rPr>
                <w:sz w:val="16"/>
                <w:szCs w:val="16"/>
                <w:lang w:eastAsia="tr-TR"/>
              </w:rPr>
              <w:t>Çekirdek Sermaye Yeterliliği Oranı (%)</w:t>
            </w:r>
          </w:p>
        </w:tc>
        <w:tc>
          <w:tcPr>
            <w:tcW w:w="1647" w:type="dxa"/>
            <w:shd w:val="clear" w:color="auto" w:fill="auto"/>
            <w:vAlign w:val="bottom"/>
            <w:hideMark/>
          </w:tcPr>
          <w:p w14:paraId="694E6137" w14:textId="77777777" w:rsidR="00171C8A" w:rsidRPr="00171C8A" w:rsidRDefault="00171C8A" w:rsidP="00171C8A">
            <w:pPr>
              <w:jc w:val="right"/>
              <w:rPr>
                <w:sz w:val="16"/>
                <w:szCs w:val="16"/>
                <w:lang w:eastAsia="tr-TR"/>
              </w:rPr>
            </w:pPr>
            <w:r w:rsidRPr="00171C8A">
              <w:rPr>
                <w:sz w:val="16"/>
                <w:szCs w:val="16"/>
                <w:lang w:eastAsia="tr-TR"/>
              </w:rPr>
              <w:t>13.48</w:t>
            </w:r>
          </w:p>
        </w:tc>
        <w:tc>
          <w:tcPr>
            <w:tcW w:w="1647" w:type="dxa"/>
            <w:shd w:val="clear" w:color="auto" w:fill="auto"/>
            <w:vAlign w:val="bottom"/>
            <w:hideMark/>
          </w:tcPr>
          <w:p w14:paraId="7EF47D0D" w14:textId="77777777" w:rsidR="00171C8A" w:rsidRPr="00171C8A" w:rsidRDefault="00171C8A" w:rsidP="00171C8A">
            <w:pPr>
              <w:jc w:val="right"/>
              <w:rPr>
                <w:sz w:val="16"/>
                <w:szCs w:val="16"/>
                <w:lang w:eastAsia="tr-TR"/>
              </w:rPr>
            </w:pPr>
            <w:r w:rsidRPr="00171C8A">
              <w:rPr>
                <w:sz w:val="16"/>
                <w:szCs w:val="16"/>
                <w:lang w:eastAsia="tr-TR"/>
              </w:rPr>
              <w:t>12.39</w:t>
            </w:r>
          </w:p>
        </w:tc>
      </w:tr>
      <w:tr w:rsidR="00171C8A" w:rsidRPr="00171C8A" w14:paraId="2E635C62" w14:textId="77777777" w:rsidTr="00311DAB">
        <w:trPr>
          <w:divId w:val="846749932"/>
          <w:trHeight w:val="132"/>
        </w:trPr>
        <w:tc>
          <w:tcPr>
            <w:tcW w:w="6059" w:type="dxa"/>
            <w:shd w:val="clear" w:color="auto" w:fill="auto"/>
            <w:vAlign w:val="center"/>
            <w:hideMark/>
          </w:tcPr>
          <w:p w14:paraId="1AAC4F1F" w14:textId="77777777" w:rsidR="00171C8A" w:rsidRPr="00171C8A" w:rsidRDefault="00171C8A" w:rsidP="00171C8A">
            <w:pPr>
              <w:rPr>
                <w:sz w:val="16"/>
                <w:szCs w:val="16"/>
                <w:lang w:eastAsia="tr-TR"/>
              </w:rPr>
            </w:pPr>
            <w:r w:rsidRPr="00171C8A">
              <w:rPr>
                <w:sz w:val="16"/>
                <w:szCs w:val="16"/>
                <w:lang w:eastAsia="tr-TR"/>
              </w:rPr>
              <w:t>Ana Sermaye Yeterliliği Oranı (%)</w:t>
            </w:r>
          </w:p>
        </w:tc>
        <w:tc>
          <w:tcPr>
            <w:tcW w:w="1647" w:type="dxa"/>
            <w:shd w:val="clear" w:color="auto" w:fill="auto"/>
            <w:vAlign w:val="bottom"/>
            <w:hideMark/>
          </w:tcPr>
          <w:p w14:paraId="5F641075" w14:textId="77777777" w:rsidR="00171C8A" w:rsidRPr="00171C8A" w:rsidRDefault="00171C8A" w:rsidP="00171C8A">
            <w:pPr>
              <w:jc w:val="right"/>
              <w:rPr>
                <w:sz w:val="16"/>
                <w:szCs w:val="16"/>
                <w:lang w:eastAsia="tr-TR"/>
              </w:rPr>
            </w:pPr>
            <w:r w:rsidRPr="00171C8A">
              <w:rPr>
                <w:sz w:val="16"/>
                <w:szCs w:val="16"/>
                <w:lang w:eastAsia="tr-TR"/>
              </w:rPr>
              <w:t>17.04</w:t>
            </w:r>
          </w:p>
        </w:tc>
        <w:tc>
          <w:tcPr>
            <w:tcW w:w="1647" w:type="dxa"/>
            <w:shd w:val="clear" w:color="auto" w:fill="auto"/>
            <w:vAlign w:val="bottom"/>
            <w:hideMark/>
          </w:tcPr>
          <w:p w14:paraId="1CD83B30" w14:textId="77777777" w:rsidR="00171C8A" w:rsidRPr="00171C8A" w:rsidRDefault="00171C8A" w:rsidP="00171C8A">
            <w:pPr>
              <w:jc w:val="right"/>
              <w:rPr>
                <w:sz w:val="16"/>
                <w:szCs w:val="16"/>
                <w:lang w:eastAsia="tr-TR"/>
              </w:rPr>
            </w:pPr>
            <w:r w:rsidRPr="00171C8A">
              <w:rPr>
                <w:sz w:val="16"/>
                <w:szCs w:val="16"/>
                <w:lang w:eastAsia="tr-TR"/>
              </w:rPr>
              <w:t>14.61</w:t>
            </w:r>
          </w:p>
        </w:tc>
      </w:tr>
      <w:tr w:rsidR="00171C8A" w:rsidRPr="00171C8A" w14:paraId="456E0782" w14:textId="77777777" w:rsidTr="00311DAB">
        <w:trPr>
          <w:divId w:val="846749932"/>
          <w:trHeight w:val="132"/>
        </w:trPr>
        <w:tc>
          <w:tcPr>
            <w:tcW w:w="6059" w:type="dxa"/>
            <w:shd w:val="clear" w:color="auto" w:fill="auto"/>
            <w:vAlign w:val="center"/>
            <w:hideMark/>
          </w:tcPr>
          <w:p w14:paraId="34DBDB11" w14:textId="77777777" w:rsidR="00171C8A" w:rsidRPr="00171C8A" w:rsidRDefault="00171C8A" w:rsidP="00171C8A">
            <w:pPr>
              <w:rPr>
                <w:sz w:val="16"/>
                <w:szCs w:val="16"/>
                <w:lang w:eastAsia="tr-TR"/>
              </w:rPr>
            </w:pPr>
            <w:r w:rsidRPr="00171C8A">
              <w:rPr>
                <w:sz w:val="16"/>
                <w:szCs w:val="16"/>
                <w:lang w:eastAsia="tr-TR"/>
              </w:rPr>
              <w:t>Sermaye Yeterliliği Oranı (%)</w:t>
            </w:r>
          </w:p>
        </w:tc>
        <w:tc>
          <w:tcPr>
            <w:tcW w:w="1647" w:type="dxa"/>
            <w:shd w:val="clear" w:color="auto" w:fill="auto"/>
            <w:vAlign w:val="bottom"/>
            <w:hideMark/>
          </w:tcPr>
          <w:p w14:paraId="716FEF3E" w14:textId="77777777" w:rsidR="00171C8A" w:rsidRPr="00171C8A" w:rsidRDefault="00171C8A" w:rsidP="00171C8A">
            <w:pPr>
              <w:jc w:val="right"/>
              <w:rPr>
                <w:sz w:val="16"/>
                <w:szCs w:val="16"/>
                <w:lang w:eastAsia="tr-TR"/>
              </w:rPr>
            </w:pPr>
            <w:r w:rsidRPr="00171C8A">
              <w:rPr>
                <w:sz w:val="16"/>
                <w:szCs w:val="16"/>
                <w:lang w:eastAsia="tr-TR"/>
              </w:rPr>
              <w:t>22.65</w:t>
            </w:r>
          </w:p>
        </w:tc>
        <w:tc>
          <w:tcPr>
            <w:tcW w:w="1647" w:type="dxa"/>
            <w:shd w:val="clear" w:color="auto" w:fill="auto"/>
            <w:vAlign w:val="bottom"/>
            <w:hideMark/>
          </w:tcPr>
          <w:p w14:paraId="6E3A1615" w14:textId="77777777" w:rsidR="00171C8A" w:rsidRPr="00171C8A" w:rsidRDefault="00171C8A" w:rsidP="00171C8A">
            <w:pPr>
              <w:jc w:val="right"/>
              <w:rPr>
                <w:sz w:val="16"/>
                <w:szCs w:val="16"/>
                <w:lang w:eastAsia="tr-TR"/>
              </w:rPr>
            </w:pPr>
            <w:r w:rsidRPr="00171C8A">
              <w:rPr>
                <w:sz w:val="16"/>
                <w:szCs w:val="16"/>
                <w:lang w:eastAsia="tr-TR"/>
              </w:rPr>
              <w:t>19.32</w:t>
            </w:r>
          </w:p>
        </w:tc>
      </w:tr>
      <w:tr w:rsidR="00171C8A" w:rsidRPr="00171C8A" w14:paraId="36989151" w14:textId="77777777" w:rsidTr="00311DAB">
        <w:trPr>
          <w:divId w:val="846749932"/>
          <w:trHeight w:val="193"/>
        </w:trPr>
        <w:tc>
          <w:tcPr>
            <w:tcW w:w="6059" w:type="dxa"/>
            <w:shd w:val="clear" w:color="auto" w:fill="auto"/>
            <w:vAlign w:val="center"/>
            <w:hideMark/>
          </w:tcPr>
          <w:p w14:paraId="2922E503" w14:textId="77777777" w:rsidR="00171C8A" w:rsidRPr="00171C8A" w:rsidRDefault="00171C8A" w:rsidP="00171C8A">
            <w:pPr>
              <w:jc w:val="center"/>
              <w:rPr>
                <w:b/>
                <w:bCs/>
                <w:sz w:val="16"/>
                <w:szCs w:val="16"/>
                <w:lang w:eastAsia="tr-TR"/>
              </w:rPr>
            </w:pPr>
            <w:r w:rsidRPr="00171C8A">
              <w:rPr>
                <w:b/>
                <w:bCs/>
                <w:sz w:val="16"/>
                <w:szCs w:val="16"/>
                <w:lang w:eastAsia="tr-TR"/>
              </w:rPr>
              <w:t>TAMPONLAR</w:t>
            </w:r>
          </w:p>
        </w:tc>
        <w:tc>
          <w:tcPr>
            <w:tcW w:w="1647" w:type="dxa"/>
            <w:shd w:val="clear" w:color="auto" w:fill="auto"/>
            <w:vAlign w:val="bottom"/>
            <w:hideMark/>
          </w:tcPr>
          <w:p w14:paraId="3AB87550" w14:textId="77777777" w:rsidR="00171C8A" w:rsidRPr="00171C8A" w:rsidRDefault="00171C8A" w:rsidP="00171C8A">
            <w:pPr>
              <w:jc w:val="right"/>
              <w:rPr>
                <w:sz w:val="16"/>
                <w:szCs w:val="16"/>
                <w:lang w:eastAsia="tr-TR"/>
              </w:rPr>
            </w:pPr>
            <w:r w:rsidRPr="00171C8A">
              <w:rPr>
                <w:sz w:val="16"/>
                <w:szCs w:val="16"/>
                <w:lang w:eastAsia="tr-TR"/>
              </w:rPr>
              <w:t> </w:t>
            </w:r>
          </w:p>
        </w:tc>
        <w:tc>
          <w:tcPr>
            <w:tcW w:w="1647" w:type="dxa"/>
            <w:shd w:val="clear" w:color="auto" w:fill="auto"/>
            <w:vAlign w:val="bottom"/>
            <w:hideMark/>
          </w:tcPr>
          <w:p w14:paraId="51795401" w14:textId="77777777" w:rsidR="00171C8A" w:rsidRPr="00171C8A" w:rsidRDefault="00171C8A" w:rsidP="00171C8A">
            <w:pPr>
              <w:jc w:val="right"/>
              <w:rPr>
                <w:sz w:val="16"/>
                <w:szCs w:val="16"/>
                <w:lang w:eastAsia="tr-TR"/>
              </w:rPr>
            </w:pPr>
            <w:r w:rsidRPr="00171C8A">
              <w:rPr>
                <w:sz w:val="16"/>
                <w:szCs w:val="16"/>
                <w:lang w:eastAsia="tr-TR"/>
              </w:rPr>
              <w:t> </w:t>
            </w:r>
          </w:p>
        </w:tc>
      </w:tr>
      <w:tr w:rsidR="00171C8A" w:rsidRPr="00171C8A" w14:paraId="187C62BA" w14:textId="77777777" w:rsidTr="00311DAB">
        <w:trPr>
          <w:divId w:val="846749932"/>
          <w:trHeight w:val="132"/>
        </w:trPr>
        <w:tc>
          <w:tcPr>
            <w:tcW w:w="6059" w:type="dxa"/>
            <w:shd w:val="clear" w:color="auto" w:fill="auto"/>
            <w:vAlign w:val="center"/>
            <w:hideMark/>
          </w:tcPr>
          <w:p w14:paraId="160B99EF" w14:textId="77777777" w:rsidR="00171C8A" w:rsidRPr="00171C8A" w:rsidRDefault="00171C8A" w:rsidP="00171C8A">
            <w:pPr>
              <w:rPr>
                <w:sz w:val="16"/>
                <w:szCs w:val="16"/>
                <w:lang w:eastAsia="tr-TR"/>
              </w:rPr>
            </w:pPr>
            <w:r w:rsidRPr="00171C8A">
              <w:rPr>
                <w:sz w:val="16"/>
                <w:szCs w:val="16"/>
                <w:lang w:eastAsia="tr-TR"/>
              </w:rPr>
              <w:t>Bankaya özgü toplam çekirdek sermaye oranı</w:t>
            </w:r>
          </w:p>
        </w:tc>
        <w:tc>
          <w:tcPr>
            <w:tcW w:w="1647" w:type="dxa"/>
            <w:shd w:val="clear" w:color="auto" w:fill="auto"/>
            <w:vAlign w:val="bottom"/>
            <w:hideMark/>
          </w:tcPr>
          <w:p w14:paraId="561D2091" w14:textId="77777777" w:rsidR="00171C8A" w:rsidRPr="00171C8A" w:rsidRDefault="00171C8A" w:rsidP="00171C8A">
            <w:pPr>
              <w:jc w:val="right"/>
              <w:rPr>
                <w:sz w:val="16"/>
                <w:szCs w:val="16"/>
                <w:lang w:eastAsia="tr-TR"/>
              </w:rPr>
            </w:pPr>
            <w:r w:rsidRPr="00171C8A">
              <w:rPr>
                <w:sz w:val="16"/>
                <w:szCs w:val="16"/>
                <w:lang w:eastAsia="tr-TR"/>
              </w:rPr>
              <w:t>2.50</w:t>
            </w:r>
          </w:p>
        </w:tc>
        <w:tc>
          <w:tcPr>
            <w:tcW w:w="1647" w:type="dxa"/>
            <w:shd w:val="clear" w:color="auto" w:fill="auto"/>
            <w:vAlign w:val="bottom"/>
            <w:hideMark/>
          </w:tcPr>
          <w:p w14:paraId="3677441A" w14:textId="77777777" w:rsidR="00171C8A" w:rsidRPr="00171C8A" w:rsidRDefault="00171C8A" w:rsidP="00171C8A">
            <w:pPr>
              <w:jc w:val="right"/>
              <w:rPr>
                <w:sz w:val="16"/>
                <w:szCs w:val="16"/>
                <w:lang w:eastAsia="tr-TR"/>
              </w:rPr>
            </w:pPr>
            <w:r w:rsidRPr="00171C8A">
              <w:rPr>
                <w:sz w:val="16"/>
                <w:szCs w:val="16"/>
                <w:lang w:eastAsia="tr-TR"/>
              </w:rPr>
              <w:t>2.50</w:t>
            </w:r>
          </w:p>
        </w:tc>
      </w:tr>
      <w:tr w:rsidR="00171C8A" w:rsidRPr="00171C8A" w14:paraId="5D16DFBF" w14:textId="77777777" w:rsidTr="00311DAB">
        <w:trPr>
          <w:divId w:val="846749932"/>
          <w:trHeight w:val="132"/>
        </w:trPr>
        <w:tc>
          <w:tcPr>
            <w:tcW w:w="6059" w:type="dxa"/>
            <w:shd w:val="clear" w:color="auto" w:fill="auto"/>
            <w:vAlign w:val="center"/>
            <w:hideMark/>
          </w:tcPr>
          <w:p w14:paraId="76E445C5" w14:textId="77777777" w:rsidR="00171C8A" w:rsidRPr="00171C8A" w:rsidRDefault="00171C8A" w:rsidP="00171C8A">
            <w:pPr>
              <w:rPr>
                <w:sz w:val="16"/>
                <w:szCs w:val="16"/>
                <w:lang w:eastAsia="tr-TR"/>
              </w:rPr>
            </w:pPr>
            <w:r w:rsidRPr="00171C8A">
              <w:rPr>
                <w:sz w:val="16"/>
                <w:szCs w:val="16"/>
                <w:lang w:eastAsia="tr-TR"/>
              </w:rPr>
              <w:t>Sermaye koruma tamponu oranı (%)</w:t>
            </w:r>
          </w:p>
        </w:tc>
        <w:tc>
          <w:tcPr>
            <w:tcW w:w="1647" w:type="dxa"/>
            <w:shd w:val="clear" w:color="auto" w:fill="auto"/>
            <w:vAlign w:val="bottom"/>
            <w:hideMark/>
          </w:tcPr>
          <w:p w14:paraId="2E558C5B" w14:textId="77777777" w:rsidR="00171C8A" w:rsidRPr="00171C8A" w:rsidRDefault="00171C8A" w:rsidP="00171C8A">
            <w:pPr>
              <w:jc w:val="right"/>
              <w:rPr>
                <w:sz w:val="16"/>
                <w:szCs w:val="16"/>
                <w:lang w:eastAsia="tr-TR"/>
              </w:rPr>
            </w:pPr>
            <w:r w:rsidRPr="00171C8A">
              <w:rPr>
                <w:sz w:val="16"/>
                <w:szCs w:val="16"/>
                <w:lang w:eastAsia="tr-TR"/>
              </w:rPr>
              <w:t>2.50</w:t>
            </w:r>
          </w:p>
        </w:tc>
        <w:tc>
          <w:tcPr>
            <w:tcW w:w="1647" w:type="dxa"/>
            <w:shd w:val="clear" w:color="auto" w:fill="auto"/>
            <w:vAlign w:val="bottom"/>
            <w:hideMark/>
          </w:tcPr>
          <w:p w14:paraId="22F64737" w14:textId="77777777" w:rsidR="00171C8A" w:rsidRPr="00171C8A" w:rsidRDefault="00171C8A" w:rsidP="00171C8A">
            <w:pPr>
              <w:jc w:val="right"/>
              <w:rPr>
                <w:sz w:val="16"/>
                <w:szCs w:val="16"/>
                <w:lang w:eastAsia="tr-TR"/>
              </w:rPr>
            </w:pPr>
            <w:r w:rsidRPr="00171C8A">
              <w:rPr>
                <w:sz w:val="16"/>
                <w:szCs w:val="16"/>
                <w:lang w:eastAsia="tr-TR"/>
              </w:rPr>
              <w:t>2.50</w:t>
            </w:r>
          </w:p>
        </w:tc>
      </w:tr>
      <w:tr w:rsidR="00171C8A" w:rsidRPr="00171C8A" w14:paraId="38C37C17" w14:textId="77777777" w:rsidTr="00311DAB">
        <w:trPr>
          <w:divId w:val="846749932"/>
          <w:trHeight w:val="132"/>
        </w:trPr>
        <w:tc>
          <w:tcPr>
            <w:tcW w:w="6059" w:type="dxa"/>
            <w:shd w:val="clear" w:color="auto" w:fill="auto"/>
            <w:vAlign w:val="center"/>
            <w:hideMark/>
          </w:tcPr>
          <w:p w14:paraId="51928943" w14:textId="77777777" w:rsidR="00171C8A" w:rsidRPr="00171C8A" w:rsidRDefault="00171C8A" w:rsidP="00171C8A">
            <w:pPr>
              <w:rPr>
                <w:sz w:val="16"/>
                <w:szCs w:val="16"/>
                <w:lang w:eastAsia="tr-TR"/>
              </w:rPr>
            </w:pPr>
            <w:r w:rsidRPr="00171C8A">
              <w:rPr>
                <w:sz w:val="16"/>
                <w:szCs w:val="16"/>
                <w:lang w:eastAsia="tr-TR"/>
              </w:rPr>
              <w:t>Bankaya özgü döngüsel sermaye tamponu oranı (%)</w:t>
            </w:r>
          </w:p>
        </w:tc>
        <w:tc>
          <w:tcPr>
            <w:tcW w:w="1647" w:type="dxa"/>
            <w:shd w:val="clear" w:color="auto" w:fill="auto"/>
            <w:vAlign w:val="bottom"/>
            <w:hideMark/>
          </w:tcPr>
          <w:p w14:paraId="7DA8B83C"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4CB0E163" w14:textId="77777777" w:rsidR="00171C8A" w:rsidRPr="00171C8A" w:rsidRDefault="00171C8A" w:rsidP="00171C8A">
            <w:pPr>
              <w:jc w:val="right"/>
              <w:rPr>
                <w:sz w:val="16"/>
                <w:szCs w:val="16"/>
                <w:lang w:eastAsia="tr-TR"/>
              </w:rPr>
            </w:pPr>
            <w:r w:rsidRPr="00171C8A">
              <w:rPr>
                <w:sz w:val="16"/>
                <w:szCs w:val="16"/>
                <w:lang w:eastAsia="tr-TR"/>
              </w:rPr>
              <w:t xml:space="preserve">                            - </w:t>
            </w:r>
          </w:p>
        </w:tc>
      </w:tr>
      <w:tr w:rsidR="00171C8A" w:rsidRPr="00171C8A" w14:paraId="3192A427" w14:textId="77777777" w:rsidTr="00311DAB">
        <w:trPr>
          <w:divId w:val="846749932"/>
          <w:trHeight w:val="132"/>
        </w:trPr>
        <w:tc>
          <w:tcPr>
            <w:tcW w:w="6059" w:type="dxa"/>
            <w:shd w:val="clear" w:color="auto" w:fill="auto"/>
            <w:vAlign w:val="center"/>
            <w:hideMark/>
          </w:tcPr>
          <w:p w14:paraId="3E7C5220" w14:textId="77777777" w:rsidR="00171C8A" w:rsidRPr="00171C8A" w:rsidRDefault="00171C8A" w:rsidP="00171C8A">
            <w:pPr>
              <w:rPr>
                <w:sz w:val="16"/>
                <w:szCs w:val="16"/>
                <w:lang w:eastAsia="tr-TR"/>
              </w:rPr>
            </w:pPr>
            <w:r w:rsidRPr="00171C8A">
              <w:rPr>
                <w:sz w:val="16"/>
                <w:szCs w:val="16"/>
                <w:lang w:eastAsia="tr-TR"/>
              </w:rPr>
              <w:t xml:space="preserve">Sermaye Koruma ve Döngüsel Sermaye Tamponlarına İlişkin Yönetmeliğin </w:t>
            </w:r>
            <w:proofErr w:type="gramStart"/>
            <w:r w:rsidRPr="00171C8A">
              <w:rPr>
                <w:sz w:val="16"/>
                <w:szCs w:val="16"/>
                <w:lang w:eastAsia="tr-TR"/>
              </w:rPr>
              <w:t>4 üncü</w:t>
            </w:r>
            <w:proofErr w:type="gramEnd"/>
            <w:r w:rsidRPr="00171C8A">
              <w:rPr>
                <w:sz w:val="16"/>
                <w:szCs w:val="16"/>
                <w:lang w:eastAsia="tr-TR"/>
              </w:rPr>
              <w:t xml:space="preserve"> maddesinin birinci fıkrası uyarınca hesaplanacak ilave çekirdek sermaye tutarının risk ağırlıklı varlıklar tutarına oranı (%)</w:t>
            </w:r>
          </w:p>
        </w:tc>
        <w:tc>
          <w:tcPr>
            <w:tcW w:w="1647" w:type="dxa"/>
            <w:shd w:val="clear" w:color="auto" w:fill="auto"/>
            <w:vAlign w:val="bottom"/>
            <w:hideMark/>
          </w:tcPr>
          <w:p w14:paraId="42677250" w14:textId="77777777" w:rsidR="00171C8A" w:rsidRPr="00171C8A" w:rsidRDefault="00171C8A" w:rsidP="00171C8A">
            <w:pPr>
              <w:jc w:val="right"/>
              <w:rPr>
                <w:sz w:val="16"/>
                <w:szCs w:val="16"/>
                <w:lang w:eastAsia="tr-TR"/>
              </w:rPr>
            </w:pPr>
            <w:r w:rsidRPr="00171C8A">
              <w:rPr>
                <w:sz w:val="16"/>
                <w:szCs w:val="16"/>
                <w:lang w:eastAsia="tr-TR"/>
              </w:rPr>
              <w:t>8.98</w:t>
            </w:r>
          </w:p>
        </w:tc>
        <w:tc>
          <w:tcPr>
            <w:tcW w:w="1647" w:type="dxa"/>
            <w:shd w:val="clear" w:color="auto" w:fill="auto"/>
            <w:vAlign w:val="bottom"/>
            <w:hideMark/>
          </w:tcPr>
          <w:p w14:paraId="159934FE" w14:textId="77777777" w:rsidR="00171C8A" w:rsidRPr="00171C8A" w:rsidRDefault="00171C8A" w:rsidP="00171C8A">
            <w:pPr>
              <w:jc w:val="right"/>
              <w:rPr>
                <w:sz w:val="16"/>
                <w:szCs w:val="16"/>
                <w:lang w:eastAsia="tr-TR"/>
              </w:rPr>
            </w:pPr>
            <w:r w:rsidRPr="00171C8A">
              <w:rPr>
                <w:sz w:val="16"/>
                <w:szCs w:val="16"/>
                <w:lang w:eastAsia="tr-TR"/>
              </w:rPr>
              <w:t>7.89</w:t>
            </w:r>
          </w:p>
        </w:tc>
      </w:tr>
      <w:tr w:rsidR="00171C8A" w:rsidRPr="00171C8A" w14:paraId="346520BD" w14:textId="77777777" w:rsidTr="00311DAB">
        <w:trPr>
          <w:divId w:val="846749932"/>
          <w:trHeight w:val="132"/>
        </w:trPr>
        <w:tc>
          <w:tcPr>
            <w:tcW w:w="6059" w:type="dxa"/>
            <w:shd w:val="clear" w:color="auto" w:fill="auto"/>
            <w:vAlign w:val="center"/>
            <w:hideMark/>
          </w:tcPr>
          <w:p w14:paraId="61B048A1" w14:textId="77777777" w:rsidR="00171C8A" w:rsidRPr="00171C8A" w:rsidRDefault="00171C8A" w:rsidP="00171C8A">
            <w:pPr>
              <w:jc w:val="center"/>
              <w:rPr>
                <w:b/>
                <w:bCs/>
                <w:sz w:val="16"/>
                <w:szCs w:val="16"/>
                <w:lang w:eastAsia="tr-TR"/>
              </w:rPr>
            </w:pPr>
            <w:r w:rsidRPr="00171C8A">
              <w:rPr>
                <w:b/>
                <w:bCs/>
                <w:sz w:val="16"/>
                <w:szCs w:val="16"/>
                <w:lang w:eastAsia="tr-TR"/>
              </w:rPr>
              <w:t>Uygulanacak İndirim Esaslarında Aşım Tutarının Altında Kalan Tutarlar</w:t>
            </w:r>
          </w:p>
        </w:tc>
        <w:tc>
          <w:tcPr>
            <w:tcW w:w="1647" w:type="dxa"/>
            <w:shd w:val="clear" w:color="auto" w:fill="auto"/>
            <w:vAlign w:val="bottom"/>
            <w:hideMark/>
          </w:tcPr>
          <w:p w14:paraId="42DF27DF" w14:textId="77777777" w:rsidR="00171C8A" w:rsidRPr="00171C8A" w:rsidRDefault="00171C8A" w:rsidP="00171C8A">
            <w:pPr>
              <w:jc w:val="right"/>
              <w:rPr>
                <w:sz w:val="16"/>
                <w:szCs w:val="16"/>
                <w:lang w:eastAsia="tr-TR"/>
              </w:rPr>
            </w:pPr>
            <w:r w:rsidRPr="00171C8A">
              <w:rPr>
                <w:sz w:val="16"/>
                <w:szCs w:val="16"/>
                <w:lang w:eastAsia="tr-TR"/>
              </w:rPr>
              <w:t> </w:t>
            </w:r>
          </w:p>
        </w:tc>
        <w:tc>
          <w:tcPr>
            <w:tcW w:w="1647" w:type="dxa"/>
            <w:shd w:val="clear" w:color="auto" w:fill="auto"/>
            <w:vAlign w:val="bottom"/>
            <w:hideMark/>
          </w:tcPr>
          <w:p w14:paraId="0609789F" w14:textId="77777777" w:rsidR="00171C8A" w:rsidRPr="00171C8A" w:rsidRDefault="00171C8A" w:rsidP="00171C8A">
            <w:pPr>
              <w:jc w:val="right"/>
              <w:rPr>
                <w:sz w:val="16"/>
                <w:szCs w:val="16"/>
                <w:lang w:eastAsia="tr-TR"/>
              </w:rPr>
            </w:pPr>
            <w:r w:rsidRPr="00171C8A">
              <w:rPr>
                <w:sz w:val="16"/>
                <w:szCs w:val="16"/>
                <w:lang w:eastAsia="tr-TR"/>
              </w:rPr>
              <w:t> </w:t>
            </w:r>
          </w:p>
        </w:tc>
      </w:tr>
      <w:tr w:rsidR="00171C8A" w:rsidRPr="00171C8A" w14:paraId="59252DE1" w14:textId="77777777" w:rsidTr="00311DAB">
        <w:trPr>
          <w:divId w:val="846749932"/>
          <w:trHeight w:val="193"/>
        </w:trPr>
        <w:tc>
          <w:tcPr>
            <w:tcW w:w="6059" w:type="dxa"/>
            <w:shd w:val="clear" w:color="auto" w:fill="auto"/>
            <w:vAlign w:val="center"/>
            <w:hideMark/>
          </w:tcPr>
          <w:p w14:paraId="26A5B63F" w14:textId="77777777" w:rsidR="00171C8A" w:rsidRPr="00171C8A" w:rsidRDefault="00171C8A" w:rsidP="00171C8A">
            <w:pPr>
              <w:rPr>
                <w:sz w:val="16"/>
                <w:szCs w:val="16"/>
                <w:lang w:eastAsia="tr-TR"/>
              </w:rPr>
            </w:pPr>
            <w:r w:rsidRPr="00171C8A">
              <w:rPr>
                <w:sz w:val="16"/>
                <w:szCs w:val="16"/>
                <w:lang w:eastAsia="tr-TR"/>
              </w:rPr>
              <w:t xml:space="preserve">Ortaklık paylarının %10 veya daha azına sahip olunan ve konsolide edilmeyen bankalar ve finansal kuruluşların </w:t>
            </w:r>
            <w:proofErr w:type="spellStart"/>
            <w:r w:rsidRPr="00171C8A">
              <w:rPr>
                <w:sz w:val="16"/>
                <w:szCs w:val="16"/>
                <w:lang w:eastAsia="tr-TR"/>
              </w:rPr>
              <w:t>özkaynak</w:t>
            </w:r>
            <w:proofErr w:type="spellEnd"/>
            <w:r w:rsidRPr="00171C8A">
              <w:rPr>
                <w:sz w:val="16"/>
                <w:szCs w:val="16"/>
                <w:lang w:eastAsia="tr-TR"/>
              </w:rPr>
              <w:t xml:space="preserve"> unsurlarına yapılan yatırımların net uzun pozisyonlarından kaynaklanan tutar</w:t>
            </w:r>
          </w:p>
        </w:tc>
        <w:tc>
          <w:tcPr>
            <w:tcW w:w="1647" w:type="dxa"/>
            <w:shd w:val="clear" w:color="auto" w:fill="auto"/>
            <w:vAlign w:val="bottom"/>
            <w:hideMark/>
          </w:tcPr>
          <w:p w14:paraId="3E4D6295"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39CBC3D9"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5A75ECBF" w14:textId="77777777" w:rsidTr="00311DAB">
        <w:trPr>
          <w:divId w:val="846749932"/>
          <w:trHeight w:val="132"/>
        </w:trPr>
        <w:tc>
          <w:tcPr>
            <w:tcW w:w="6059" w:type="dxa"/>
            <w:shd w:val="clear" w:color="auto" w:fill="auto"/>
            <w:vAlign w:val="center"/>
            <w:hideMark/>
          </w:tcPr>
          <w:p w14:paraId="025DE69C" w14:textId="77777777" w:rsidR="00171C8A" w:rsidRPr="00171C8A" w:rsidRDefault="00171C8A" w:rsidP="00171C8A">
            <w:pPr>
              <w:rPr>
                <w:sz w:val="16"/>
                <w:szCs w:val="16"/>
                <w:lang w:eastAsia="tr-TR"/>
              </w:rPr>
            </w:pPr>
            <w:r w:rsidRPr="00171C8A">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647" w:type="dxa"/>
            <w:shd w:val="clear" w:color="auto" w:fill="auto"/>
            <w:vAlign w:val="bottom"/>
            <w:hideMark/>
          </w:tcPr>
          <w:p w14:paraId="6764A84A"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1B9912E0"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6DAB90E7" w14:textId="77777777" w:rsidTr="00311DAB">
        <w:trPr>
          <w:divId w:val="846749932"/>
          <w:trHeight w:val="132"/>
        </w:trPr>
        <w:tc>
          <w:tcPr>
            <w:tcW w:w="6059" w:type="dxa"/>
            <w:shd w:val="clear" w:color="auto" w:fill="auto"/>
            <w:vAlign w:val="center"/>
            <w:hideMark/>
          </w:tcPr>
          <w:p w14:paraId="79083F43" w14:textId="77777777" w:rsidR="00171C8A" w:rsidRPr="00171C8A" w:rsidRDefault="00171C8A" w:rsidP="00171C8A">
            <w:pPr>
              <w:rPr>
                <w:sz w:val="16"/>
                <w:szCs w:val="16"/>
                <w:lang w:eastAsia="tr-TR"/>
              </w:rPr>
            </w:pPr>
            <w:r w:rsidRPr="00171C8A">
              <w:rPr>
                <w:sz w:val="16"/>
                <w:szCs w:val="16"/>
                <w:lang w:eastAsia="tr-TR"/>
              </w:rPr>
              <w:t>İpotek hizmeti sunma haklarından kaynaklanan tutar</w:t>
            </w:r>
          </w:p>
        </w:tc>
        <w:tc>
          <w:tcPr>
            <w:tcW w:w="1647" w:type="dxa"/>
            <w:shd w:val="clear" w:color="auto" w:fill="auto"/>
            <w:vAlign w:val="bottom"/>
            <w:hideMark/>
          </w:tcPr>
          <w:p w14:paraId="4C6FF269"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7DB396C2"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761CFF27" w14:textId="77777777" w:rsidTr="00311DAB">
        <w:trPr>
          <w:divId w:val="846749932"/>
          <w:trHeight w:val="132"/>
        </w:trPr>
        <w:tc>
          <w:tcPr>
            <w:tcW w:w="6059" w:type="dxa"/>
            <w:shd w:val="clear" w:color="auto" w:fill="auto"/>
            <w:vAlign w:val="center"/>
            <w:hideMark/>
          </w:tcPr>
          <w:p w14:paraId="69E2D4A4" w14:textId="77777777" w:rsidR="00171C8A" w:rsidRPr="00171C8A" w:rsidRDefault="00171C8A" w:rsidP="00171C8A">
            <w:pPr>
              <w:rPr>
                <w:sz w:val="16"/>
                <w:szCs w:val="16"/>
                <w:lang w:eastAsia="tr-TR"/>
              </w:rPr>
            </w:pPr>
            <w:r w:rsidRPr="00171C8A">
              <w:rPr>
                <w:sz w:val="16"/>
                <w:szCs w:val="16"/>
                <w:lang w:eastAsia="tr-TR"/>
              </w:rPr>
              <w:t>Geçici farklara dayanan ertelenmiş vergi varlıklarından kaynaklanan tutar</w:t>
            </w:r>
          </w:p>
        </w:tc>
        <w:tc>
          <w:tcPr>
            <w:tcW w:w="1647" w:type="dxa"/>
            <w:shd w:val="clear" w:color="auto" w:fill="auto"/>
            <w:vAlign w:val="bottom"/>
            <w:hideMark/>
          </w:tcPr>
          <w:p w14:paraId="3E0498FB"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516DA342"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61CC5D3F" w14:textId="77777777" w:rsidTr="00311DAB">
        <w:trPr>
          <w:divId w:val="846749932"/>
          <w:trHeight w:val="132"/>
        </w:trPr>
        <w:tc>
          <w:tcPr>
            <w:tcW w:w="6059" w:type="dxa"/>
            <w:shd w:val="clear" w:color="auto" w:fill="auto"/>
            <w:vAlign w:val="center"/>
            <w:hideMark/>
          </w:tcPr>
          <w:p w14:paraId="517575C0" w14:textId="77777777" w:rsidR="00171C8A" w:rsidRPr="00171C8A" w:rsidRDefault="00171C8A" w:rsidP="00171C8A">
            <w:pPr>
              <w:jc w:val="center"/>
              <w:rPr>
                <w:b/>
                <w:bCs/>
                <w:sz w:val="16"/>
                <w:szCs w:val="16"/>
                <w:lang w:eastAsia="tr-TR"/>
              </w:rPr>
            </w:pPr>
            <w:r w:rsidRPr="00171C8A">
              <w:rPr>
                <w:b/>
                <w:bCs/>
                <w:sz w:val="16"/>
                <w:szCs w:val="16"/>
                <w:lang w:eastAsia="tr-TR"/>
              </w:rPr>
              <w:t>Katkı Sermaye Hesaplamasında Dikkate Alınan Karşılıklara İlişkin Sınırlar</w:t>
            </w:r>
          </w:p>
        </w:tc>
        <w:tc>
          <w:tcPr>
            <w:tcW w:w="1647" w:type="dxa"/>
            <w:shd w:val="clear" w:color="auto" w:fill="auto"/>
            <w:vAlign w:val="bottom"/>
            <w:hideMark/>
          </w:tcPr>
          <w:p w14:paraId="223326E3" w14:textId="77777777" w:rsidR="00171C8A" w:rsidRPr="00171C8A" w:rsidRDefault="00171C8A" w:rsidP="00171C8A">
            <w:pPr>
              <w:jc w:val="right"/>
              <w:rPr>
                <w:sz w:val="16"/>
                <w:szCs w:val="16"/>
                <w:lang w:eastAsia="tr-TR"/>
              </w:rPr>
            </w:pPr>
            <w:r w:rsidRPr="00171C8A">
              <w:rPr>
                <w:sz w:val="16"/>
                <w:szCs w:val="16"/>
                <w:lang w:eastAsia="tr-TR"/>
              </w:rPr>
              <w:t> </w:t>
            </w:r>
          </w:p>
        </w:tc>
        <w:tc>
          <w:tcPr>
            <w:tcW w:w="1647" w:type="dxa"/>
            <w:shd w:val="clear" w:color="auto" w:fill="auto"/>
            <w:vAlign w:val="bottom"/>
            <w:hideMark/>
          </w:tcPr>
          <w:p w14:paraId="1F6787AB" w14:textId="77777777" w:rsidR="00171C8A" w:rsidRPr="00171C8A" w:rsidRDefault="00171C8A" w:rsidP="00171C8A">
            <w:pPr>
              <w:jc w:val="right"/>
              <w:rPr>
                <w:sz w:val="16"/>
                <w:szCs w:val="16"/>
                <w:lang w:eastAsia="tr-TR"/>
              </w:rPr>
            </w:pPr>
            <w:r w:rsidRPr="00171C8A">
              <w:rPr>
                <w:sz w:val="16"/>
                <w:szCs w:val="16"/>
                <w:lang w:eastAsia="tr-TR"/>
              </w:rPr>
              <w:t> </w:t>
            </w:r>
          </w:p>
        </w:tc>
      </w:tr>
      <w:tr w:rsidR="00171C8A" w:rsidRPr="00171C8A" w14:paraId="3290D3D6" w14:textId="77777777" w:rsidTr="00311DAB">
        <w:trPr>
          <w:divId w:val="846749932"/>
          <w:trHeight w:val="193"/>
        </w:trPr>
        <w:tc>
          <w:tcPr>
            <w:tcW w:w="6059" w:type="dxa"/>
            <w:shd w:val="clear" w:color="auto" w:fill="auto"/>
            <w:vAlign w:val="center"/>
            <w:hideMark/>
          </w:tcPr>
          <w:p w14:paraId="78222794" w14:textId="77777777" w:rsidR="00171C8A" w:rsidRPr="00171C8A" w:rsidRDefault="00171C8A" w:rsidP="00171C8A">
            <w:pPr>
              <w:rPr>
                <w:sz w:val="16"/>
                <w:szCs w:val="16"/>
                <w:lang w:eastAsia="tr-TR"/>
              </w:rPr>
            </w:pPr>
            <w:r w:rsidRPr="00171C8A">
              <w:rPr>
                <w:sz w:val="16"/>
                <w:szCs w:val="16"/>
                <w:lang w:eastAsia="tr-TR"/>
              </w:rPr>
              <w:t>Standart yaklaşımın kullanıldığı alacaklar için ayrılan genel karşılıklar (</w:t>
            </w:r>
            <w:proofErr w:type="spellStart"/>
            <w:r w:rsidRPr="00171C8A">
              <w:rPr>
                <w:sz w:val="16"/>
                <w:szCs w:val="16"/>
                <w:lang w:eastAsia="tr-TR"/>
              </w:rPr>
              <w:t>Onbindeyüzyirmibeşlik</w:t>
            </w:r>
            <w:proofErr w:type="spellEnd"/>
            <w:r w:rsidRPr="00171C8A">
              <w:rPr>
                <w:sz w:val="16"/>
                <w:szCs w:val="16"/>
                <w:lang w:eastAsia="tr-TR"/>
              </w:rPr>
              <w:t xml:space="preserve"> sınır öncesi)</w:t>
            </w:r>
          </w:p>
        </w:tc>
        <w:tc>
          <w:tcPr>
            <w:tcW w:w="1647" w:type="dxa"/>
            <w:shd w:val="clear" w:color="auto" w:fill="auto"/>
            <w:vAlign w:val="bottom"/>
            <w:hideMark/>
          </w:tcPr>
          <w:p w14:paraId="515555F8" w14:textId="77777777" w:rsidR="00171C8A" w:rsidRPr="00171C8A" w:rsidRDefault="00171C8A" w:rsidP="00171C8A">
            <w:pPr>
              <w:jc w:val="right"/>
              <w:rPr>
                <w:sz w:val="16"/>
                <w:szCs w:val="16"/>
                <w:lang w:eastAsia="tr-TR"/>
              </w:rPr>
            </w:pPr>
            <w:r w:rsidRPr="00171C8A">
              <w:rPr>
                <w:sz w:val="16"/>
                <w:szCs w:val="16"/>
                <w:lang w:eastAsia="tr-TR"/>
              </w:rPr>
              <w:t>564,259</w:t>
            </w:r>
          </w:p>
        </w:tc>
        <w:tc>
          <w:tcPr>
            <w:tcW w:w="1647" w:type="dxa"/>
            <w:shd w:val="clear" w:color="auto" w:fill="auto"/>
            <w:vAlign w:val="bottom"/>
            <w:hideMark/>
          </w:tcPr>
          <w:p w14:paraId="51CFF903" w14:textId="77777777" w:rsidR="00171C8A" w:rsidRPr="00171C8A" w:rsidRDefault="00171C8A" w:rsidP="00171C8A">
            <w:pPr>
              <w:jc w:val="right"/>
              <w:rPr>
                <w:sz w:val="16"/>
                <w:szCs w:val="16"/>
                <w:lang w:eastAsia="tr-TR"/>
              </w:rPr>
            </w:pPr>
            <w:r w:rsidRPr="00171C8A">
              <w:rPr>
                <w:sz w:val="16"/>
                <w:szCs w:val="16"/>
                <w:lang w:eastAsia="tr-TR"/>
              </w:rPr>
              <w:t>565,274</w:t>
            </w:r>
          </w:p>
        </w:tc>
      </w:tr>
      <w:tr w:rsidR="00171C8A" w:rsidRPr="00171C8A" w14:paraId="5B727531" w14:textId="77777777" w:rsidTr="00311DAB">
        <w:trPr>
          <w:divId w:val="846749932"/>
          <w:trHeight w:val="132"/>
        </w:trPr>
        <w:tc>
          <w:tcPr>
            <w:tcW w:w="6059" w:type="dxa"/>
            <w:shd w:val="clear" w:color="auto" w:fill="auto"/>
            <w:vAlign w:val="center"/>
            <w:hideMark/>
          </w:tcPr>
          <w:p w14:paraId="791B9A39" w14:textId="77777777" w:rsidR="00171C8A" w:rsidRPr="00171C8A" w:rsidRDefault="00171C8A" w:rsidP="00171C8A">
            <w:pPr>
              <w:rPr>
                <w:sz w:val="16"/>
                <w:szCs w:val="16"/>
                <w:lang w:eastAsia="tr-TR"/>
              </w:rPr>
            </w:pPr>
            <w:r w:rsidRPr="00171C8A">
              <w:rPr>
                <w:sz w:val="16"/>
                <w:szCs w:val="16"/>
                <w:lang w:eastAsia="tr-TR"/>
              </w:rPr>
              <w:t>Standart yaklaşımın kullanıldığı alacaklar için ayrılan genel karşılıkların risk ağırlıklı tutarlar toplamının %1,25'ine kadar olan kısmı</w:t>
            </w:r>
          </w:p>
        </w:tc>
        <w:tc>
          <w:tcPr>
            <w:tcW w:w="1647" w:type="dxa"/>
            <w:shd w:val="clear" w:color="auto" w:fill="auto"/>
            <w:vAlign w:val="bottom"/>
            <w:hideMark/>
          </w:tcPr>
          <w:p w14:paraId="32F8629C" w14:textId="77777777" w:rsidR="00171C8A" w:rsidRPr="00171C8A" w:rsidRDefault="00171C8A" w:rsidP="00171C8A">
            <w:pPr>
              <w:jc w:val="right"/>
              <w:rPr>
                <w:sz w:val="16"/>
                <w:szCs w:val="16"/>
                <w:lang w:eastAsia="tr-TR"/>
              </w:rPr>
            </w:pPr>
            <w:r w:rsidRPr="00171C8A">
              <w:rPr>
                <w:sz w:val="16"/>
                <w:szCs w:val="16"/>
                <w:lang w:eastAsia="tr-TR"/>
              </w:rPr>
              <w:t>564,259</w:t>
            </w:r>
          </w:p>
        </w:tc>
        <w:tc>
          <w:tcPr>
            <w:tcW w:w="1647" w:type="dxa"/>
            <w:shd w:val="clear" w:color="auto" w:fill="auto"/>
            <w:vAlign w:val="bottom"/>
            <w:hideMark/>
          </w:tcPr>
          <w:p w14:paraId="7DEBD5B5" w14:textId="77777777" w:rsidR="00171C8A" w:rsidRPr="00171C8A" w:rsidRDefault="00171C8A" w:rsidP="00171C8A">
            <w:pPr>
              <w:jc w:val="right"/>
              <w:rPr>
                <w:sz w:val="16"/>
                <w:szCs w:val="16"/>
                <w:lang w:eastAsia="tr-TR"/>
              </w:rPr>
            </w:pPr>
            <w:r w:rsidRPr="00171C8A">
              <w:rPr>
                <w:sz w:val="16"/>
                <w:szCs w:val="16"/>
                <w:lang w:eastAsia="tr-TR"/>
              </w:rPr>
              <w:t>565,274</w:t>
            </w:r>
          </w:p>
        </w:tc>
      </w:tr>
      <w:tr w:rsidR="00171C8A" w:rsidRPr="00171C8A" w14:paraId="61C6B530" w14:textId="77777777" w:rsidTr="00311DAB">
        <w:trPr>
          <w:divId w:val="846749932"/>
          <w:trHeight w:val="132"/>
        </w:trPr>
        <w:tc>
          <w:tcPr>
            <w:tcW w:w="6059" w:type="dxa"/>
            <w:shd w:val="clear" w:color="auto" w:fill="auto"/>
            <w:vAlign w:val="center"/>
            <w:hideMark/>
          </w:tcPr>
          <w:p w14:paraId="5106BD21" w14:textId="77777777" w:rsidR="00171C8A" w:rsidRPr="00171C8A" w:rsidRDefault="00171C8A" w:rsidP="00171C8A">
            <w:pPr>
              <w:rPr>
                <w:sz w:val="16"/>
                <w:szCs w:val="16"/>
                <w:lang w:eastAsia="tr-TR"/>
              </w:rPr>
            </w:pPr>
            <w:r w:rsidRPr="00171C8A">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647" w:type="dxa"/>
            <w:shd w:val="clear" w:color="auto" w:fill="auto"/>
            <w:vAlign w:val="bottom"/>
            <w:hideMark/>
          </w:tcPr>
          <w:p w14:paraId="0A927D26"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30D7CC55"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3330022B" w14:textId="77777777" w:rsidTr="00311DAB">
        <w:trPr>
          <w:divId w:val="846749932"/>
          <w:trHeight w:val="132"/>
        </w:trPr>
        <w:tc>
          <w:tcPr>
            <w:tcW w:w="6059" w:type="dxa"/>
            <w:shd w:val="clear" w:color="auto" w:fill="auto"/>
            <w:vAlign w:val="center"/>
            <w:hideMark/>
          </w:tcPr>
          <w:p w14:paraId="1F21EA40" w14:textId="77777777" w:rsidR="00171C8A" w:rsidRPr="00171C8A" w:rsidRDefault="00171C8A" w:rsidP="00171C8A">
            <w:pPr>
              <w:rPr>
                <w:sz w:val="16"/>
                <w:szCs w:val="16"/>
                <w:lang w:eastAsia="tr-TR"/>
              </w:rPr>
            </w:pPr>
            <w:r w:rsidRPr="00171C8A">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47" w:type="dxa"/>
            <w:shd w:val="clear" w:color="auto" w:fill="auto"/>
            <w:vAlign w:val="bottom"/>
            <w:hideMark/>
          </w:tcPr>
          <w:p w14:paraId="73245DBB"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552CCFE2"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275EE0FE" w14:textId="77777777" w:rsidTr="00311DAB">
        <w:trPr>
          <w:divId w:val="846749932"/>
          <w:trHeight w:val="132"/>
        </w:trPr>
        <w:tc>
          <w:tcPr>
            <w:tcW w:w="6059" w:type="dxa"/>
            <w:shd w:val="clear" w:color="auto" w:fill="auto"/>
            <w:vAlign w:val="center"/>
            <w:hideMark/>
          </w:tcPr>
          <w:p w14:paraId="53D00921" w14:textId="77777777" w:rsidR="00171C8A" w:rsidRPr="00171C8A" w:rsidRDefault="00171C8A" w:rsidP="00171C8A">
            <w:pPr>
              <w:rPr>
                <w:b/>
                <w:bCs/>
                <w:sz w:val="16"/>
                <w:szCs w:val="16"/>
                <w:lang w:eastAsia="tr-TR"/>
              </w:rPr>
            </w:pPr>
            <w:r w:rsidRPr="00171C8A">
              <w:rPr>
                <w:b/>
                <w:bCs/>
                <w:sz w:val="16"/>
                <w:szCs w:val="16"/>
                <w:lang w:eastAsia="tr-TR"/>
              </w:rPr>
              <w:t>Geçici Madde 4 hükümlerine tabi borçlanma araçları</w:t>
            </w:r>
            <w:r w:rsidRPr="00171C8A">
              <w:rPr>
                <w:b/>
                <w:bCs/>
                <w:sz w:val="16"/>
                <w:szCs w:val="16"/>
                <w:lang w:eastAsia="tr-TR"/>
              </w:rPr>
              <w:br/>
              <w:t>(1 Ocak 2018 ve 1 Ocak 2022 arasında uygulanmak üzere)</w:t>
            </w:r>
          </w:p>
        </w:tc>
        <w:tc>
          <w:tcPr>
            <w:tcW w:w="1647" w:type="dxa"/>
            <w:shd w:val="clear" w:color="auto" w:fill="auto"/>
            <w:vAlign w:val="bottom"/>
            <w:hideMark/>
          </w:tcPr>
          <w:p w14:paraId="6EFB2B33" w14:textId="77777777" w:rsidR="00171C8A" w:rsidRPr="00171C8A" w:rsidRDefault="00171C8A" w:rsidP="00171C8A">
            <w:pPr>
              <w:jc w:val="right"/>
              <w:rPr>
                <w:sz w:val="16"/>
                <w:szCs w:val="16"/>
                <w:lang w:eastAsia="tr-TR"/>
              </w:rPr>
            </w:pPr>
            <w:r w:rsidRPr="00171C8A">
              <w:rPr>
                <w:sz w:val="16"/>
                <w:szCs w:val="16"/>
                <w:lang w:eastAsia="tr-TR"/>
              </w:rPr>
              <w:t> </w:t>
            </w:r>
          </w:p>
        </w:tc>
        <w:tc>
          <w:tcPr>
            <w:tcW w:w="1647" w:type="dxa"/>
            <w:shd w:val="clear" w:color="auto" w:fill="auto"/>
            <w:vAlign w:val="bottom"/>
            <w:hideMark/>
          </w:tcPr>
          <w:p w14:paraId="34B5392A" w14:textId="77777777" w:rsidR="00171C8A" w:rsidRPr="00171C8A" w:rsidRDefault="00171C8A" w:rsidP="00171C8A">
            <w:pPr>
              <w:jc w:val="right"/>
              <w:rPr>
                <w:sz w:val="16"/>
                <w:szCs w:val="16"/>
                <w:lang w:eastAsia="tr-TR"/>
              </w:rPr>
            </w:pPr>
            <w:r w:rsidRPr="00171C8A">
              <w:rPr>
                <w:sz w:val="16"/>
                <w:szCs w:val="16"/>
                <w:lang w:eastAsia="tr-TR"/>
              </w:rPr>
              <w:t> </w:t>
            </w:r>
          </w:p>
        </w:tc>
      </w:tr>
      <w:tr w:rsidR="00171C8A" w:rsidRPr="00171C8A" w14:paraId="77F4B1EC" w14:textId="77777777" w:rsidTr="00311DAB">
        <w:trPr>
          <w:divId w:val="846749932"/>
          <w:trHeight w:val="193"/>
        </w:trPr>
        <w:tc>
          <w:tcPr>
            <w:tcW w:w="6059" w:type="dxa"/>
            <w:shd w:val="clear" w:color="auto" w:fill="auto"/>
            <w:vAlign w:val="center"/>
            <w:hideMark/>
          </w:tcPr>
          <w:p w14:paraId="7DEA36DA" w14:textId="77777777" w:rsidR="00171C8A" w:rsidRPr="00171C8A" w:rsidRDefault="00171C8A" w:rsidP="00171C8A">
            <w:pPr>
              <w:rPr>
                <w:sz w:val="16"/>
                <w:szCs w:val="16"/>
                <w:lang w:eastAsia="tr-TR"/>
              </w:rPr>
            </w:pPr>
            <w:r w:rsidRPr="00171C8A">
              <w:rPr>
                <w:sz w:val="16"/>
                <w:szCs w:val="16"/>
                <w:lang w:eastAsia="tr-TR"/>
              </w:rPr>
              <w:t>Geçici Madde 4 hükümlerine tabi ilave ana sermaye kalemlerine ilişkin üst sınır</w:t>
            </w:r>
          </w:p>
        </w:tc>
        <w:tc>
          <w:tcPr>
            <w:tcW w:w="1647" w:type="dxa"/>
            <w:shd w:val="clear" w:color="auto" w:fill="auto"/>
            <w:vAlign w:val="bottom"/>
            <w:hideMark/>
          </w:tcPr>
          <w:p w14:paraId="1D474D72"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5372D8D1"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0A7753D9" w14:textId="77777777" w:rsidTr="00311DAB">
        <w:trPr>
          <w:divId w:val="846749932"/>
          <w:trHeight w:val="132"/>
        </w:trPr>
        <w:tc>
          <w:tcPr>
            <w:tcW w:w="6059" w:type="dxa"/>
            <w:shd w:val="clear" w:color="auto" w:fill="auto"/>
            <w:vAlign w:val="center"/>
            <w:hideMark/>
          </w:tcPr>
          <w:p w14:paraId="015AAF70" w14:textId="77777777" w:rsidR="00171C8A" w:rsidRPr="00171C8A" w:rsidRDefault="00171C8A" w:rsidP="00171C8A">
            <w:pPr>
              <w:rPr>
                <w:sz w:val="16"/>
                <w:szCs w:val="16"/>
                <w:lang w:eastAsia="tr-TR"/>
              </w:rPr>
            </w:pPr>
            <w:r w:rsidRPr="00171C8A">
              <w:rPr>
                <w:sz w:val="16"/>
                <w:szCs w:val="16"/>
                <w:lang w:eastAsia="tr-TR"/>
              </w:rPr>
              <w:t>Geçici Madde 4 hükümlerine tabi ilave ana sermaye kalemlerinin üst sınırı aşan kısmı</w:t>
            </w:r>
          </w:p>
        </w:tc>
        <w:tc>
          <w:tcPr>
            <w:tcW w:w="1647" w:type="dxa"/>
            <w:shd w:val="clear" w:color="auto" w:fill="auto"/>
            <w:vAlign w:val="bottom"/>
            <w:hideMark/>
          </w:tcPr>
          <w:p w14:paraId="0F09032E"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67CBA49F"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26F8D607" w14:textId="77777777" w:rsidTr="00311DAB">
        <w:trPr>
          <w:divId w:val="846749932"/>
          <w:trHeight w:val="132"/>
        </w:trPr>
        <w:tc>
          <w:tcPr>
            <w:tcW w:w="6059" w:type="dxa"/>
            <w:shd w:val="clear" w:color="auto" w:fill="auto"/>
            <w:vAlign w:val="center"/>
            <w:hideMark/>
          </w:tcPr>
          <w:p w14:paraId="1ED8732B" w14:textId="77777777" w:rsidR="00171C8A" w:rsidRPr="00171C8A" w:rsidRDefault="00171C8A" w:rsidP="00171C8A">
            <w:pPr>
              <w:rPr>
                <w:sz w:val="16"/>
                <w:szCs w:val="16"/>
                <w:lang w:eastAsia="tr-TR"/>
              </w:rPr>
            </w:pPr>
            <w:r w:rsidRPr="00171C8A">
              <w:rPr>
                <w:sz w:val="16"/>
                <w:szCs w:val="16"/>
                <w:lang w:eastAsia="tr-TR"/>
              </w:rPr>
              <w:t>Geçici Madde 4 hükümlerine tabi katkı sermaye kalemlerine ilişkin üst sınır</w:t>
            </w:r>
          </w:p>
        </w:tc>
        <w:tc>
          <w:tcPr>
            <w:tcW w:w="1647" w:type="dxa"/>
            <w:shd w:val="clear" w:color="auto" w:fill="auto"/>
            <w:vAlign w:val="bottom"/>
            <w:hideMark/>
          </w:tcPr>
          <w:p w14:paraId="70C6E919"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19E951EE" w14:textId="77777777" w:rsidR="00171C8A" w:rsidRPr="00171C8A" w:rsidRDefault="00171C8A" w:rsidP="00171C8A">
            <w:pPr>
              <w:jc w:val="right"/>
              <w:rPr>
                <w:sz w:val="16"/>
                <w:szCs w:val="16"/>
                <w:lang w:eastAsia="tr-TR"/>
              </w:rPr>
            </w:pPr>
            <w:r w:rsidRPr="00171C8A">
              <w:rPr>
                <w:sz w:val="16"/>
                <w:szCs w:val="16"/>
                <w:lang w:eastAsia="tr-TR"/>
              </w:rPr>
              <w:t>-</w:t>
            </w:r>
          </w:p>
        </w:tc>
      </w:tr>
      <w:tr w:rsidR="00171C8A" w:rsidRPr="00171C8A" w14:paraId="36150F3F" w14:textId="77777777" w:rsidTr="00311DAB">
        <w:trPr>
          <w:divId w:val="846749932"/>
          <w:trHeight w:val="132"/>
        </w:trPr>
        <w:tc>
          <w:tcPr>
            <w:tcW w:w="6059" w:type="dxa"/>
            <w:shd w:val="clear" w:color="auto" w:fill="auto"/>
            <w:vAlign w:val="center"/>
            <w:hideMark/>
          </w:tcPr>
          <w:p w14:paraId="333797B8" w14:textId="77777777" w:rsidR="00171C8A" w:rsidRPr="00171C8A" w:rsidRDefault="00171C8A" w:rsidP="00171C8A">
            <w:pPr>
              <w:rPr>
                <w:sz w:val="16"/>
                <w:szCs w:val="16"/>
                <w:lang w:eastAsia="tr-TR"/>
              </w:rPr>
            </w:pPr>
            <w:r w:rsidRPr="00171C8A">
              <w:rPr>
                <w:sz w:val="16"/>
                <w:szCs w:val="16"/>
                <w:lang w:eastAsia="tr-TR"/>
              </w:rPr>
              <w:t>Geçici Madde 4 hükümlerine tabi katkı sermaye kalemlerinin üst sınırı aşan kısmı</w:t>
            </w:r>
          </w:p>
        </w:tc>
        <w:tc>
          <w:tcPr>
            <w:tcW w:w="1647" w:type="dxa"/>
            <w:shd w:val="clear" w:color="auto" w:fill="auto"/>
            <w:vAlign w:val="bottom"/>
            <w:hideMark/>
          </w:tcPr>
          <w:p w14:paraId="76C44B20" w14:textId="77777777" w:rsidR="00171C8A" w:rsidRPr="00171C8A" w:rsidRDefault="00171C8A" w:rsidP="00171C8A">
            <w:pPr>
              <w:jc w:val="right"/>
              <w:rPr>
                <w:sz w:val="16"/>
                <w:szCs w:val="16"/>
                <w:lang w:eastAsia="tr-TR"/>
              </w:rPr>
            </w:pPr>
            <w:r w:rsidRPr="00171C8A">
              <w:rPr>
                <w:sz w:val="16"/>
                <w:szCs w:val="16"/>
                <w:lang w:eastAsia="tr-TR"/>
              </w:rPr>
              <w:t>-</w:t>
            </w:r>
          </w:p>
        </w:tc>
        <w:tc>
          <w:tcPr>
            <w:tcW w:w="1647" w:type="dxa"/>
            <w:shd w:val="clear" w:color="auto" w:fill="auto"/>
            <w:vAlign w:val="bottom"/>
            <w:hideMark/>
          </w:tcPr>
          <w:p w14:paraId="6383104C" w14:textId="77777777" w:rsidR="00171C8A" w:rsidRPr="00171C8A" w:rsidRDefault="00171C8A" w:rsidP="00171C8A">
            <w:pPr>
              <w:jc w:val="right"/>
              <w:rPr>
                <w:sz w:val="16"/>
                <w:szCs w:val="16"/>
                <w:lang w:eastAsia="tr-TR"/>
              </w:rPr>
            </w:pPr>
            <w:r w:rsidRPr="00171C8A">
              <w:rPr>
                <w:sz w:val="16"/>
                <w:szCs w:val="16"/>
                <w:lang w:eastAsia="tr-TR"/>
              </w:rPr>
              <w:t>-</w:t>
            </w:r>
          </w:p>
        </w:tc>
      </w:tr>
    </w:tbl>
    <w:p w14:paraId="6DC09271" w14:textId="7064FB6C" w:rsidR="000D619A" w:rsidRPr="00B0539F" w:rsidRDefault="000D619A" w:rsidP="006F44AF">
      <w:pPr>
        <w:tabs>
          <w:tab w:val="left" w:pos="709"/>
        </w:tabs>
        <w:autoSpaceDE w:val="0"/>
        <w:autoSpaceDN w:val="0"/>
        <w:adjustRightInd w:val="0"/>
        <w:rPr>
          <w:lang w:val="en-GB" w:eastAsia="en-GB"/>
        </w:rPr>
      </w:pPr>
    </w:p>
    <w:tbl>
      <w:tblPr>
        <w:tblW w:w="9360" w:type="dxa"/>
        <w:tblCellMar>
          <w:left w:w="70" w:type="dxa"/>
          <w:right w:w="70" w:type="dxa"/>
        </w:tblCellMar>
        <w:tblLook w:val="04A0" w:firstRow="1" w:lastRow="0" w:firstColumn="1" w:lastColumn="0" w:noHBand="0" w:noVBand="1"/>
      </w:tblPr>
      <w:tblGrid>
        <w:gridCol w:w="3777"/>
        <w:gridCol w:w="2135"/>
        <w:gridCol w:w="1724"/>
        <w:gridCol w:w="1724"/>
      </w:tblGrid>
      <w:tr w:rsidR="00AC3BC9" w:rsidRPr="00B0539F" w14:paraId="3282D8E8" w14:textId="77777777" w:rsidTr="00311DAB">
        <w:trPr>
          <w:trHeight w:val="258"/>
        </w:trPr>
        <w:tc>
          <w:tcPr>
            <w:tcW w:w="37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8CB00" w14:textId="482C7CE7" w:rsidR="00AC3BC9" w:rsidRPr="00B0539F" w:rsidRDefault="00AC3BC9" w:rsidP="000D619A">
            <w:pPr>
              <w:rPr>
                <w:b/>
                <w:bCs/>
                <w:color w:val="000000"/>
                <w:sz w:val="14"/>
                <w:szCs w:val="18"/>
                <w:lang w:eastAsia="tr-TR"/>
              </w:rPr>
            </w:pPr>
            <w:proofErr w:type="spellStart"/>
            <w:r w:rsidRPr="00B0539F">
              <w:rPr>
                <w:b/>
                <w:bCs/>
                <w:color w:val="000000"/>
                <w:sz w:val="14"/>
                <w:szCs w:val="18"/>
                <w:lang w:eastAsia="tr-TR"/>
              </w:rPr>
              <w:lastRenderedPageBreak/>
              <w:t>Özkaynak</w:t>
            </w:r>
            <w:proofErr w:type="spellEnd"/>
            <w:r w:rsidRPr="00B0539F">
              <w:rPr>
                <w:b/>
                <w:bCs/>
                <w:color w:val="000000"/>
                <w:sz w:val="14"/>
                <w:szCs w:val="18"/>
                <w:lang w:eastAsia="tr-TR"/>
              </w:rPr>
              <w:t xml:space="preserve"> hesaplamasına dahil edilecek borçlanma araçlarına ilişkin bilgiler:</w:t>
            </w:r>
          </w:p>
        </w:tc>
        <w:tc>
          <w:tcPr>
            <w:tcW w:w="5583" w:type="dxa"/>
            <w:gridSpan w:val="3"/>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4708AA87" w14:textId="58EF1432" w:rsidR="00AC3BC9" w:rsidRPr="00B0539F" w:rsidRDefault="00AC3BC9" w:rsidP="000D619A">
            <w:pPr>
              <w:rPr>
                <w:b/>
                <w:bCs/>
                <w:color w:val="000000"/>
                <w:sz w:val="14"/>
                <w:szCs w:val="18"/>
                <w:lang w:eastAsia="tr-TR"/>
              </w:rPr>
            </w:pPr>
          </w:p>
        </w:tc>
      </w:tr>
      <w:tr w:rsidR="000D619A" w:rsidRPr="00B0539F" w14:paraId="48B2CA93" w14:textId="77777777" w:rsidTr="006B1072">
        <w:trPr>
          <w:trHeight w:val="415"/>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60C80A48" w14:textId="77777777" w:rsidR="000D619A" w:rsidRPr="00B0539F" w:rsidRDefault="000D619A" w:rsidP="000D619A">
            <w:pPr>
              <w:rPr>
                <w:color w:val="000000"/>
                <w:sz w:val="14"/>
                <w:szCs w:val="18"/>
                <w:lang w:eastAsia="tr-TR"/>
              </w:rPr>
            </w:pPr>
            <w:proofErr w:type="spellStart"/>
            <w:r w:rsidRPr="00B0539F">
              <w:rPr>
                <w:color w:val="000000"/>
                <w:sz w:val="14"/>
                <w:szCs w:val="18"/>
                <w:lang w:eastAsia="tr-TR"/>
              </w:rPr>
              <w:t>İhraçcı</w:t>
            </w:r>
            <w:proofErr w:type="spellEnd"/>
          </w:p>
        </w:tc>
        <w:tc>
          <w:tcPr>
            <w:tcW w:w="2135" w:type="dxa"/>
            <w:tcBorders>
              <w:top w:val="nil"/>
              <w:left w:val="nil"/>
              <w:bottom w:val="single" w:sz="4" w:space="0" w:color="auto"/>
              <w:right w:val="single" w:sz="4" w:space="0" w:color="auto"/>
            </w:tcBorders>
            <w:shd w:val="clear" w:color="auto" w:fill="auto"/>
            <w:vAlign w:val="center"/>
            <w:hideMark/>
          </w:tcPr>
          <w:p w14:paraId="753F495D" w14:textId="77777777" w:rsidR="000D619A" w:rsidRPr="00B0539F" w:rsidRDefault="000D619A" w:rsidP="003F2CDD">
            <w:pPr>
              <w:jc w:val="right"/>
              <w:rPr>
                <w:color w:val="000000"/>
                <w:sz w:val="14"/>
                <w:szCs w:val="18"/>
                <w:lang w:eastAsia="tr-TR"/>
              </w:rPr>
            </w:pPr>
            <w:r w:rsidRPr="00B0539F">
              <w:rPr>
                <w:color w:val="000000"/>
                <w:sz w:val="14"/>
                <w:szCs w:val="18"/>
                <w:lang w:eastAsia="tr-TR"/>
              </w:rPr>
              <w:t>KT SUKUK COMPANY LIMITED</w:t>
            </w:r>
          </w:p>
        </w:tc>
        <w:tc>
          <w:tcPr>
            <w:tcW w:w="1724" w:type="dxa"/>
            <w:tcBorders>
              <w:top w:val="nil"/>
              <w:left w:val="nil"/>
              <w:bottom w:val="single" w:sz="4" w:space="0" w:color="auto"/>
              <w:right w:val="single" w:sz="4" w:space="0" w:color="auto"/>
            </w:tcBorders>
            <w:shd w:val="clear" w:color="auto" w:fill="auto"/>
            <w:vAlign w:val="center"/>
            <w:hideMark/>
          </w:tcPr>
          <w:p w14:paraId="17EE737E" w14:textId="77777777" w:rsidR="000D619A" w:rsidRPr="00B0539F" w:rsidRDefault="000D619A" w:rsidP="003F2CDD">
            <w:pPr>
              <w:jc w:val="right"/>
              <w:rPr>
                <w:color w:val="000000"/>
                <w:sz w:val="14"/>
                <w:szCs w:val="18"/>
                <w:lang w:eastAsia="tr-TR"/>
              </w:rPr>
            </w:pPr>
            <w:r w:rsidRPr="00B0539F">
              <w:rPr>
                <w:color w:val="000000"/>
                <w:sz w:val="14"/>
                <w:szCs w:val="18"/>
                <w:lang w:eastAsia="tr-TR"/>
              </w:rPr>
              <w:t>KT ONE COMPANY LIMITED</w:t>
            </w:r>
          </w:p>
        </w:tc>
        <w:tc>
          <w:tcPr>
            <w:tcW w:w="1724" w:type="dxa"/>
            <w:tcBorders>
              <w:top w:val="nil"/>
              <w:left w:val="nil"/>
              <w:bottom w:val="single" w:sz="4" w:space="0" w:color="auto"/>
              <w:right w:val="single" w:sz="4" w:space="0" w:color="auto"/>
            </w:tcBorders>
            <w:shd w:val="clear" w:color="auto" w:fill="auto"/>
            <w:vAlign w:val="center"/>
            <w:hideMark/>
          </w:tcPr>
          <w:p w14:paraId="31D1623F" w14:textId="77777777" w:rsidR="000D619A" w:rsidRPr="00B0539F" w:rsidRDefault="000D619A" w:rsidP="003F2CDD">
            <w:pPr>
              <w:jc w:val="right"/>
              <w:rPr>
                <w:color w:val="000000"/>
                <w:sz w:val="14"/>
                <w:szCs w:val="18"/>
                <w:lang w:eastAsia="tr-TR"/>
              </w:rPr>
            </w:pPr>
            <w:r w:rsidRPr="00B0539F">
              <w:rPr>
                <w:color w:val="000000"/>
                <w:sz w:val="14"/>
                <w:szCs w:val="18"/>
                <w:lang w:eastAsia="tr-TR"/>
              </w:rPr>
              <w:t xml:space="preserve">KT AT </w:t>
            </w:r>
            <w:proofErr w:type="spellStart"/>
            <w:r w:rsidRPr="00B0539F">
              <w:rPr>
                <w:color w:val="000000"/>
                <w:sz w:val="14"/>
                <w:szCs w:val="18"/>
                <w:lang w:eastAsia="tr-TR"/>
              </w:rPr>
              <w:t>One</w:t>
            </w:r>
            <w:proofErr w:type="spellEnd"/>
            <w:r w:rsidRPr="00B0539F">
              <w:rPr>
                <w:color w:val="000000"/>
                <w:sz w:val="14"/>
                <w:szCs w:val="18"/>
                <w:lang w:eastAsia="tr-TR"/>
              </w:rPr>
              <w:t xml:space="preserve"> </w:t>
            </w:r>
            <w:proofErr w:type="spellStart"/>
            <w:r w:rsidRPr="00B0539F">
              <w:rPr>
                <w:color w:val="000000"/>
                <w:sz w:val="14"/>
                <w:szCs w:val="18"/>
                <w:lang w:eastAsia="tr-TR"/>
              </w:rPr>
              <w:t>Company</w:t>
            </w:r>
            <w:proofErr w:type="spellEnd"/>
            <w:r w:rsidRPr="00B0539F">
              <w:rPr>
                <w:color w:val="000000"/>
                <w:sz w:val="14"/>
                <w:szCs w:val="18"/>
                <w:lang w:eastAsia="tr-TR"/>
              </w:rPr>
              <w:t xml:space="preserve"> Limited</w:t>
            </w:r>
          </w:p>
        </w:tc>
      </w:tr>
      <w:tr w:rsidR="000D619A" w:rsidRPr="00B0539F" w14:paraId="07F7F6BA"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0E125261" w14:textId="77777777" w:rsidR="000D619A" w:rsidRPr="00B0539F" w:rsidRDefault="000D619A" w:rsidP="000D619A">
            <w:pPr>
              <w:rPr>
                <w:color w:val="000000"/>
                <w:sz w:val="14"/>
                <w:szCs w:val="18"/>
                <w:lang w:eastAsia="tr-TR"/>
              </w:rPr>
            </w:pPr>
            <w:r w:rsidRPr="00B0539F">
              <w:rPr>
                <w:color w:val="000000"/>
                <w:sz w:val="14"/>
                <w:szCs w:val="18"/>
                <w:lang w:eastAsia="tr-TR"/>
              </w:rPr>
              <w:t>Aracın Kodu (CUSIP, ISIN vb.)</w:t>
            </w:r>
          </w:p>
        </w:tc>
        <w:tc>
          <w:tcPr>
            <w:tcW w:w="2135" w:type="dxa"/>
            <w:tcBorders>
              <w:top w:val="nil"/>
              <w:left w:val="nil"/>
              <w:bottom w:val="single" w:sz="4" w:space="0" w:color="auto"/>
              <w:right w:val="single" w:sz="4" w:space="0" w:color="auto"/>
            </w:tcBorders>
            <w:shd w:val="clear" w:color="auto" w:fill="auto"/>
            <w:vAlign w:val="center"/>
            <w:hideMark/>
          </w:tcPr>
          <w:p w14:paraId="6FEF1912" w14:textId="77777777" w:rsidR="000D619A" w:rsidRPr="00B0539F" w:rsidRDefault="000D619A" w:rsidP="003F2CDD">
            <w:pPr>
              <w:jc w:val="right"/>
              <w:rPr>
                <w:color w:val="000000"/>
                <w:sz w:val="14"/>
                <w:szCs w:val="18"/>
                <w:lang w:eastAsia="tr-TR"/>
              </w:rPr>
            </w:pPr>
            <w:r w:rsidRPr="00B0539F">
              <w:rPr>
                <w:color w:val="000000"/>
                <w:sz w:val="14"/>
                <w:szCs w:val="18"/>
                <w:lang w:eastAsia="tr-TR"/>
              </w:rPr>
              <w:t>XS1323608635</w:t>
            </w:r>
          </w:p>
        </w:tc>
        <w:tc>
          <w:tcPr>
            <w:tcW w:w="1724" w:type="dxa"/>
            <w:tcBorders>
              <w:top w:val="nil"/>
              <w:left w:val="nil"/>
              <w:bottom w:val="single" w:sz="4" w:space="0" w:color="auto"/>
              <w:right w:val="single" w:sz="4" w:space="0" w:color="auto"/>
            </w:tcBorders>
            <w:shd w:val="clear" w:color="auto" w:fill="auto"/>
            <w:vAlign w:val="center"/>
            <w:hideMark/>
          </w:tcPr>
          <w:p w14:paraId="42A1AC78" w14:textId="77777777" w:rsidR="000D619A" w:rsidRPr="00B0539F" w:rsidRDefault="000D619A" w:rsidP="003F2CDD">
            <w:pPr>
              <w:jc w:val="right"/>
              <w:rPr>
                <w:color w:val="000000"/>
                <w:sz w:val="14"/>
                <w:szCs w:val="18"/>
                <w:lang w:eastAsia="tr-TR"/>
              </w:rPr>
            </w:pPr>
            <w:r w:rsidRPr="00B0539F">
              <w:rPr>
                <w:color w:val="000000"/>
                <w:sz w:val="14"/>
                <w:szCs w:val="18"/>
                <w:lang w:eastAsia="tr-TR"/>
              </w:rPr>
              <w:t>XS2028862998</w:t>
            </w:r>
          </w:p>
        </w:tc>
        <w:tc>
          <w:tcPr>
            <w:tcW w:w="1724" w:type="dxa"/>
            <w:tcBorders>
              <w:top w:val="nil"/>
              <w:left w:val="nil"/>
              <w:bottom w:val="single" w:sz="4" w:space="0" w:color="auto"/>
              <w:right w:val="single" w:sz="4" w:space="0" w:color="auto"/>
            </w:tcBorders>
            <w:shd w:val="clear" w:color="auto" w:fill="auto"/>
            <w:vAlign w:val="center"/>
            <w:hideMark/>
          </w:tcPr>
          <w:p w14:paraId="4F6244D8" w14:textId="77777777" w:rsidR="000D619A" w:rsidRPr="00B0539F" w:rsidRDefault="000D619A" w:rsidP="003F2CDD">
            <w:pPr>
              <w:jc w:val="right"/>
              <w:rPr>
                <w:color w:val="000000"/>
                <w:sz w:val="14"/>
                <w:szCs w:val="18"/>
                <w:lang w:eastAsia="tr-TR"/>
              </w:rPr>
            </w:pPr>
            <w:r w:rsidRPr="00B0539F">
              <w:rPr>
                <w:color w:val="000000"/>
                <w:sz w:val="14"/>
                <w:szCs w:val="18"/>
                <w:lang w:eastAsia="tr-TR"/>
              </w:rPr>
              <w:t>XS2227803819</w:t>
            </w:r>
          </w:p>
        </w:tc>
      </w:tr>
      <w:tr w:rsidR="000D619A" w:rsidRPr="00B0539F" w14:paraId="4BA41249"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4EC0F265" w14:textId="77777777" w:rsidR="000D619A" w:rsidRPr="00B0539F" w:rsidRDefault="000D619A" w:rsidP="000D619A">
            <w:pPr>
              <w:rPr>
                <w:color w:val="000000"/>
                <w:sz w:val="14"/>
                <w:szCs w:val="18"/>
                <w:lang w:eastAsia="tr-TR"/>
              </w:rPr>
            </w:pPr>
            <w:r w:rsidRPr="00B0539F">
              <w:rPr>
                <w:color w:val="000000"/>
                <w:sz w:val="14"/>
                <w:szCs w:val="18"/>
                <w:lang w:eastAsia="tr-TR"/>
              </w:rPr>
              <w:t>Aracın tabi olduğu mevzuat</w:t>
            </w:r>
          </w:p>
        </w:tc>
        <w:tc>
          <w:tcPr>
            <w:tcW w:w="2135" w:type="dxa"/>
            <w:tcBorders>
              <w:top w:val="nil"/>
              <w:left w:val="nil"/>
              <w:bottom w:val="single" w:sz="4" w:space="0" w:color="auto"/>
              <w:right w:val="single" w:sz="4" w:space="0" w:color="auto"/>
            </w:tcBorders>
            <w:shd w:val="clear" w:color="auto" w:fill="auto"/>
            <w:noWrap/>
            <w:vAlign w:val="center"/>
            <w:hideMark/>
          </w:tcPr>
          <w:p w14:paraId="5B1FE8B4" w14:textId="77777777" w:rsidR="000D619A" w:rsidRPr="00B0539F" w:rsidRDefault="000D619A" w:rsidP="003F2CDD">
            <w:pPr>
              <w:jc w:val="right"/>
              <w:rPr>
                <w:color w:val="000000"/>
                <w:sz w:val="14"/>
                <w:szCs w:val="18"/>
                <w:lang w:eastAsia="tr-TR"/>
              </w:rPr>
            </w:pPr>
            <w:proofErr w:type="spellStart"/>
            <w:r w:rsidRPr="00B0539F">
              <w:rPr>
                <w:color w:val="000000"/>
                <w:sz w:val="14"/>
                <w:szCs w:val="18"/>
                <w:lang w:eastAsia="tr-TR"/>
              </w:rPr>
              <w:t>Bankalarin</w:t>
            </w:r>
            <w:proofErr w:type="spellEnd"/>
            <w:r w:rsidRPr="00B0539F">
              <w:rPr>
                <w:color w:val="000000"/>
                <w:sz w:val="14"/>
                <w:szCs w:val="18"/>
                <w:lang w:eastAsia="tr-TR"/>
              </w:rPr>
              <w:t xml:space="preserve"> </w:t>
            </w:r>
            <w:proofErr w:type="spellStart"/>
            <w:r w:rsidRPr="00B0539F">
              <w:rPr>
                <w:color w:val="000000"/>
                <w:sz w:val="14"/>
                <w:szCs w:val="18"/>
                <w:lang w:eastAsia="tr-TR"/>
              </w:rPr>
              <w:t>Özkaynaklarina</w:t>
            </w:r>
            <w:proofErr w:type="spellEnd"/>
            <w:r w:rsidRPr="00B0539F">
              <w:rPr>
                <w:color w:val="000000"/>
                <w:sz w:val="14"/>
                <w:szCs w:val="18"/>
                <w:lang w:eastAsia="tr-TR"/>
              </w:rPr>
              <w:t xml:space="preserve"> </w:t>
            </w:r>
            <w:proofErr w:type="spellStart"/>
            <w:r w:rsidRPr="00B0539F">
              <w:rPr>
                <w:color w:val="000000"/>
                <w:sz w:val="14"/>
                <w:szCs w:val="18"/>
                <w:lang w:eastAsia="tr-TR"/>
              </w:rPr>
              <w:t>Ilişkin</w:t>
            </w:r>
            <w:proofErr w:type="spellEnd"/>
            <w:r w:rsidRPr="00B0539F">
              <w:rPr>
                <w:color w:val="000000"/>
                <w:sz w:val="14"/>
                <w:szCs w:val="18"/>
                <w:lang w:eastAsia="tr-TR"/>
              </w:rPr>
              <w:t xml:space="preserve"> </w:t>
            </w:r>
            <w:proofErr w:type="spellStart"/>
            <w:r w:rsidRPr="00B0539F">
              <w:rPr>
                <w:color w:val="000000"/>
                <w:sz w:val="14"/>
                <w:szCs w:val="18"/>
                <w:lang w:eastAsia="tr-TR"/>
              </w:rPr>
              <w:t>Bddk</w:t>
            </w:r>
            <w:proofErr w:type="spellEnd"/>
            <w:r w:rsidRPr="00B0539F">
              <w:rPr>
                <w:color w:val="000000"/>
                <w:sz w:val="14"/>
                <w:szCs w:val="18"/>
                <w:lang w:eastAsia="tr-TR"/>
              </w:rPr>
              <w:t xml:space="preserve"> Yönetmeliği</w:t>
            </w:r>
          </w:p>
        </w:tc>
        <w:tc>
          <w:tcPr>
            <w:tcW w:w="1724" w:type="dxa"/>
            <w:tcBorders>
              <w:top w:val="nil"/>
              <w:left w:val="nil"/>
              <w:bottom w:val="single" w:sz="4" w:space="0" w:color="auto"/>
              <w:right w:val="single" w:sz="4" w:space="0" w:color="auto"/>
            </w:tcBorders>
            <w:shd w:val="clear" w:color="auto" w:fill="auto"/>
            <w:noWrap/>
            <w:vAlign w:val="center"/>
            <w:hideMark/>
          </w:tcPr>
          <w:p w14:paraId="722F1D53" w14:textId="77777777" w:rsidR="000D619A" w:rsidRPr="00B0539F" w:rsidRDefault="000D619A" w:rsidP="003F2CDD">
            <w:pPr>
              <w:jc w:val="right"/>
              <w:rPr>
                <w:color w:val="000000"/>
                <w:sz w:val="14"/>
                <w:szCs w:val="18"/>
                <w:lang w:eastAsia="tr-TR"/>
              </w:rPr>
            </w:pPr>
            <w:proofErr w:type="spellStart"/>
            <w:r w:rsidRPr="00B0539F">
              <w:rPr>
                <w:color w:val="000000"/>
                <w:sz w:val="14"/>
                <w:szCs w:val="18"/>
                <w:lang w:eastAsia="tr-TR"/>
              </w:rPr>
              <w:t>Bankalarin</w:t>
            </w:r>
            <w:proofErr w:type="spellEnd"/>
            <w:r w:rsidRPr="00B0539F">
              <w:rPr>
                <w:color w:val="000000"/>
                <w:sz w:val="14"/>
                <w:szCs w:val="18"/>
                <w:lang w:eastAsia="tr-TR"/>
              </w:rPr>
              <w:t xml:space="preserve"> </w:t>
            </w:r>
            <w:proofErr w:type="spellStart"/>
            <w:r w:rsidRPr="00B0539F">
              <w:rPr>
                <w:color w:val="000000"/>
                <w:sz w:val="14"/>
                <w:szCs w:val="18"/>
                <w:lang w:eastAsia="tr-TR"/>
              </w:rPr>
              <w:t>Özkaynaklarina</w:t>
            </w:r>
            <w:proofErr w:type="spellEnd"/>
            <w:r w:rsidRPr="00B0539F">
              <w:rPr>
                <w:color w:val="000000"/>
                <w:sz w:val="14"/>
                <w:szCs w:val="18"/>
                <w:lang w:eastAsia="tr-TR"/>
              </w:rPr>
              <w:t xml:space="preserve"> </w:t>
            </w:r>
            <w:proofErr w:type="spellStart"/>
            <w:r w:rsidRPr="00B0539F">
              <w:rPr>
                <w:color w:val="000000"/>
                <w:sz w:val="14"/>
                <w:szCs w:val="18"/>
                <w:lang w:eastAsia="tr-TR"/>
              </w:rPr>
              <w:t>Ilişkin</w:t>
            </w:r>
            <w:proofErr w:type="spellEnd"/>
            <w:r w:rsidRPr="00B0539F">
              <w:rPr>
                <w:color w:val="000000"/>
                <w:sz w:val="14"/>
                <w:szCs w:val="18"/>
                <w:lang w:eastAsia="tr-TR"/>
              </w:rPr>
              <w:t xml:space="preserve"> </w:t>
            </w:r>
            <w:proofErr w:type="spellStart"/>
            <w:r w:rsidRPr="00B0539F">
              <w:rPr>
                <w:color w:val="000000"/>
                <w:sz w:val="14"/>
                <w:szCs w:val="18"/>
                <w:lang w:eastAsia="tr-TR"/>
              </w:rPr>
              <w:t>Bddk</w:t>
            </w:r>
            <w:proofErr w:type="spellEnd"/>
            <w:r w:rsidRPr="00B0539F">
              <w:rPr>
                <w:color w:val="000000"/>
                <w:sz w:val="14"/>
                <w:szCs w:val="18"/>
                <w:lang w:eastAsia="tr-TR"/>
              </w:rPr>
              <w:t xml:space="preserve"> Yönetmeliği</w:t>
            </w:r>
          </w:p>
        </w:tc>
        <w:tc>
          <w:tcPr>
            <w:tcW w:w="1724" w:type="dxa"/>
            <w:tcBorders>
              <w:top w:val="nil"/>
              <w:left w:val="nil"/>
              <w:bottom w:val="single" w:sz="4" w:space="0" w:color="auto"/>
              <w:right w:val="single" w:sz="4" w:space="0" w:color="auto"/>
            </w:tcBorders>
            <w:shd w:val="clear" w:color="auto" w:fill="auto"/>
            <w:noWrap/>
            <w:vAlign w:val="center"/>
            <w:hideMark/>
          </w:tcPr>
          <w:p w14:paraId="1484F47D" w14:textId="77777777" w:rsidR="000D619A" w:rsidRPr="00B0539F" w:rsidRDefault="000D619A" w:rsidP="003F2CDD">
            <w:pPr>
              <w:jc w:val="right"/>
              <w:rPr>
                <w:color w:val="000000"/>
                <w:sz w:val="14"/>
                <w:szCs w:val="18"/>
                <w:lang w:eastAsia="tr-TR"/>
              </w:rPr>
            </w:pPr>
            <w:proofErr w:type="spellStart"/>
            <w:r w:rsidRPr="00B0539F">
              <w:rPr>
                <w:color w:val="000000"/>
                <w:sz w:val="14"/>
                <w:szCs w:val="18"/>
                <w:lang w:eastAsia="tr-TR"/>
              </w:rPr>
              <w:t>Bankalarin</w:t>
            </w:r>
            <w:proofErr w:type="spellEnd"/>
            <w:r w:rsidRPr="00B0539F">
              <w:rPr>
                <w:color w:val="000000"/>
                <w:sz w:val="14"/>
                <w:szCs w:val="18"/>
                <w:lang w:eastAsia="tr-TR"/>
              </w:rPr>
              <w:t xml:space="preserve"> </w:t>
            </w:r>
            <w:proofErr w:type="spellStart"/>
            <w:r w:rsidRPr="00B0539F">
              <w:rPr>
                <w:color w:val="000000"/>
                <w:sz w:val="14"/>
                <w:szCs w:val="18"/>
                <w:lang w:eastAsia="tr-TR"/>
              </w:rPr>
              <w:t>Özkaynaklarina</w:t>
            </w:r>
            <w:proofErr w:type="spellEnd"/>
            <w:r w:rsidRPr="00B0539F">
              <w:rPr>
                <w:color w:val="000000"/>
                <w:sz w:val="14"/>
                <w:szCs w:val="18"/>
                <w:lang w:eastAsia="tr-TR"/>
              </w:rPr>
              <w:t xml:space="preserve"> </w:t>
            </w:r>
            <w:proofErr w:type="spellStart"/>
            <w:r w:rsidRPr="00B0539F">
              <w:rPr>
                <w:color w:val="000000"/>
                <w:sz w:val="14"/>
                <w:szCs w:val="18"/>
                <w:lang w:eastAsia="tr-TR"/>
              </w:rPr>
              <w:t>Ilişkin</w:t>
            </w:r>
            <w:proofErr w:type="spellEnd"/>
            <w:r w:rsidRPr="00B0539F">
              <w:rPr>
                <w:color w:val="000000"/>
                <w:sz w:val="14"/>
                <w:szCs w:val="18"/>
                <w:lang w:eastAsia="tr-TR"/>
              </w:rPr>
              <w:t xml:space="preserve"> </w:t>
            </w:r>
            <w:proofErr w:type="spellStart"/>
            <w:r w:rsidRPr="00B0539F">
              <w:rPr>
                <w:color w:val="000000"/>
                <w:sz w:val="14"/>
                <w:szCs w:val="18"/>
                <w:lang w:eastAsia="tr-TR"/>
              </w:rPr>
              <w:t>Bddk</w:t>
            </w:r>
            <w:proofErr w:type="spellEnd"/>
            <w:r w:rsidRPr="00B0539F">
              <w:rPr>
                <w:color w:val="000000"/>
                <w:sz w:val="14"/>
                <w:szCs w:val="18"/>
                <w:lang w:eastAsia="tr-TR"/>
              </w:rPr>
              <w:t xml:space="preserve"> Yönetmeliği</w:t>
            </w:r>
          </w:p>
        </w:tc>
      </w:tr>
      <w:tr w:rsidR="000D619A" w:rsidRPr="00B0539F" w14:paraId="068157AC" w14:textId="77777777" w:rsidTr="00311DAB">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705E612B" w14:textId="77777777" w:rsidR="000D619A" w:rsidRPr="00B0539F" w:rsidRDefault="000D619A" w:rsidP="000D619A">
            <w:pPr>
              <w:rPr>
                <w:b/>
                <w:bCs/>
                <w:color w:val="000000"/>
                <w:sz w:val="14"/>
                <w:szCs w:val="18"/>
                <w:lang w:eastAsia="tr-TR"/>
              </w:rPr>
            </w:pPr>
            <w:proofErr w:type="spellStart"/>
            <w:r w:rsidRPr="00B0539F">
              <w:rPr>
                <w:b/>
                <w:bCs/>
                <w:color w:val="000000"/>
                <w:sz w:val="14"/>
                <w:szCs w:val="18"/>
                <w:lang w:eastAsia="tr-TR"/>
              </w:rPr>
              <w:t>Özkaynak</w:t>
            </w:r>
            <w:proofErr w:type="spellEnd"/>
            <w:r w:rsidRPr="00B0539F">
              <w:rPr>
                <w:b/>
                <w:bCs/>
                <w:color w:val="000000"/>
                <w:sz w:val="14"/>
                <w:szCs w:val="18"/>
                <w:lang w:eastAsia="tr-TR"/>
              </w:rPr>
              <w:t xml:space="preserve"> Hesaplamasında Dikkate Alınma Durumu</w:t>
            </w:r>
          </w:p>
        </w:tc>
        <w:tc>
          <w:tcPr>
            <w:tcW w:w="2135" w:type="dxa"/>
            <w:tcBorders>
              <w:top w:val="nil"/>
              <w:left w:val="nil"/>
              <w:bottom w:val="single" w:sz="4" w:space="0" w:color="auto"/>
              <w:right w:val="single" w:sz="4" w:space="0" w:color="auto"/>
            </w:tcBorders>
            <w:shd w:val="clear" w:color="auto" w:fill="D0CECE" w:themeFill="background2" w:themeFillShade="E6"/>
            <w:vAlign w:val="center"/>
            <w:hideMark/>
          </w:tcPr>
          <w:p w14:paraId="6FC2A8FA" w14:textId="66E6A631" w:rsidR="000D619A" w:rsidRPr="00B0539F" w:rsidRDefault="000D619A" w:rsidP="003F2CDD">
            <w:pPr>
              <w:jc w:val="right"/>
              <w:rPr>
                <w:b/>
                <w:bCs/>
                <w:color w:val="000000"/>
                <w:sz w:val="14"/>
                <w:szCs w:val="18"/>
                <w:lang w:eastAsia="tr-TR"/>
              </w:rPr>
            </w:pPr>
          </w:p>
        </w:tc>
        <w:tc>
          <w:tcPr>
            <w:tcW w:w="1724" w:type="dxa"/>
            <w:tcBorders>
              <w:top w:val="nil"/>
              <w:left w:val="nil"/>
              <w:bottom w:val="single" w:sz="4" w:space="0" w:color="auto"/>
              <w:right w:val="single" w:sz="4" w:space="0" w:color="auto"/>
            </w:tcBorders>
            <w:shd w:val="clear" w:color="auto" w:fill="D0CECE" w:themeFill="background2" w:themeFillShade="E6"/>
            <w:vAlign w:val="center"/>
            <w:hideMark/>
          </w:tcPr>
          <w:p w14:paraId="19D9707D" w14:textId="39829273" w:rsidR="000D619A" w:rsidRPr="00B0539F" w:rsidRDefault="000D619A" w:rsidP="003F2CDD">
            <w:pPr>
              <w:jc w:val="right"/>
              <w:rPr>
                <w:sz w:val="14"/>
                <w:lang w:eastAsia="tr-TR"/>
              </w:rPr>
            </w:pPr>
          </w:p>
        </w:tc>
        <w:tc>
          <w:tcPr>
            <w:tcW w:w="1724" w:type="dxa"/>
            <w:tcBorders>
              <w:top w:val="nil"/>
              <w:left w:val="nil"/>
              <w:bottom w:val="single" w:sz="4" w:space="0" w:color="auto"/>
              <w:right w:val="single" w:sz="4" w:space="0" w:color="auto"/>
            </w:tcBorders>
            <w:shd w:val="clear" w:color="auto" w:fill="D0CECE" w:themeFill="background2" w:themeFillShade="E6"/>
            <w:vAlign w:val="center"/>
            <w:hideMark/>
          </w:tcPr>
          <w:p w14:paraId="45BD3404" w14:textId="613907CA" w:rsidR="000D619A" w:rsidRPr="00B0539F" w:rsidRDefault="000D619A" w:rsidP="003F2CDD">
            <w:pPr>
              <w:jc w:val="right"/>
              <w:rPr>
                <w:sz w:val="14"/>
                <w:lang w:eastAsia="tr-TR"/>
              </w:rPr>
            </w:pPr>
          </w:p>
        </w:tc>
      </w:tr>
      <w:tr w:rsidR="000D619A" w:rsidRPr="00B0539F" w14:paraId="292E27F9"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2B0D0946" w14:textId="77777777" w:rsidR="000D619A" w:rsidRPr="00B0539F" w:rsidRDefault="000D619A" w:rsidP="000D619A">
            <w:pPr>
              <w:rPr>
                <w:color w:val="000000"/>
                <w:sz w:val="14"/>
                <w:szCs w:val="18"/>
                <w:lang w:eastAsia="tr-TR"/>
              </w:rPr>
            </w:pPr>
            <w:r w:rsidRPr="00B0539F">
              <w:rPr>
                <w:color w:val="000000"/>
                <w:sz w:val="14"/>
                <w:szCs w:val="18"/>
                <w:lang w:eastAsia="tr-TR"/>
              </w:rPr>
              <w:t>1/1/2015'den itibaren %10 oranında azaltılarak dikkate alınma uygulamasına tabi olma durumu</w:t>
            </w:r>
          </w:p>
        </w:tc>
        <w:tc>
          <w:tcPr>
            <w:tcW w:w="2135" w:type="dxa"/>
            <w:tcBorders>
              <w:top w:val="nil"/>
              <w:left w:val="nil"/>
              <w:bottom w:val="single" w:sz="4" w:space="0" w:color="auto"/>
              <w:right w:val="single" w:sz="4" w:space="0" w:color="auto"/>
            </w:tcBorders>
            <w:shd w:val="clear" w:color="auto" w:fill="auto"/>
            <w:vAlign w:val="center"/>
            <w:hideMark/>
          </w:tcPr>
          <w:p w14:paraId="2E298737" w14:textId="77777777" w:rsidR="000D619A" w:rsidRPr="00B0539F" w:rsidRDefault="000D619A" w:rsidP="003F2CDD">
            <w:pPr>
              <w:jc w:val="right"/>
              <w:rPr>
                <w:color w:val="000000"/>
                <w:sz w:val="14"/>
                <w:szCs w:val="18"/>
                <w:lang w:eastAsia="tr-TR"/>
              </w:rPr>
            </w:pPr>
            <w:r w:rsidRPr="00B0539F">
              <w:rPr>
                <w:color w:val="000000"/>
                <w:sz w:val="14"/>
                <w:szCs w:val="18"/>
                <w:lang w:eastAsia="tr-TR"/>
              </w:rPr>
              <w:t>Tabi Değil</w:t>
            </w:r>
          </w:p>
        </w:tc>
        <w:tc>
          <w:tcPr>
            <w:tcW w:w="1724" w:type="dxa"/>
            <w:tcBorders>
              <w:top w:val="nil"/>
              <w:left w:val="nil"/>
              <w:bottom w:val="single" w:sz="4" w:space="0" w:color="auto"/>
              <w:right w:val="single" w:sz="4" w:space="0" w:color="auto"/>
            </w:tcBorders>
            <w:shd w:val="clear" w:color="auto" w:fill="auto"/>
            <w:vAlign w:val="center"/>
            <w:hideMark/>
          </w:tcPr>
          <w:p w14:paraId="0A351915" w14:textId="63ECAB32" w:rsidR="000D619A" w:rsidRPr="00B0539F" w:rsidRDefault="000D619A" w:rsidP="003F2CDD">
            <w:pPr>
              <w:jc w:val="right"/>
              <w:rPr>
                <w:color w:val="000000"/>
                <w:sz w:val="14"/>
                <w:szCs w:val="18"/>
                <w:lang w:eastAsia="tr-TR"/>
              </w:rPr>
            </w:pPr>
            <w:r w:rsidRPr="00B0539F">
              <w:rPr>
                <w:color w:val="000000"/>
                <w:sz w:val="14"/>
                <w:szCs w:val="18"/>
                <w:lang w:eastAsia="tr-TR"/>
              </w:rPr>
              <w:t>Tabi Değil</w:t>
            </w:r>
          </w:p>
        </w:tc>
        <w:tc>
          <w:tcPr>
            <w:tcW w:w="1724" w:type="dxa"/>
            <w:tcBorders>
              <w:top w:val="nil"/>
              <w:left w:val="nil"/>
              <w:bottom w:val="single" w:sz="4" w:space="0" w:color="auto"/>
              <w:right w:val="single" w:sz="4" w:space="0" w:color="auto"/>
            </w:tcBorders>
            <w:shd w:val="clear" w:color="auto" w:fill="auto"/>
            <w:vAlign w:val="center"/>
            <w:hideMark/>
          </w:tcPr>
          <w:p w14:paraId="320FF4C6" w14:textId="09707CB4" w:rsidR="000D619A" w:rsidRPr="00B0539F" w:rsidRDefault="000D619A" w:rsidP="003F2CDD">
            <w:pPr>
              <w:jc w:val="right"/>
              <w:rPr>
                <w:color w:val="000000"/>
                <w:sz w:val="14"/>
                <w:szCs w:val="18"/>
                <w:lang w:eastAsia="tr-TR"/>
              </w:rPr>
            </w:pPr>
            <w:r w:rsidRPr="00B0539F">
              <w:rPr>
                <w:color w:val="000000"/>
                <w:sz w:val="14"/>
                <w:szCs w:val="18"/>
                <w:lang w:eastAsia="tr-TR"/>
              </w:rPr>
              <w:t>Tabi Değil</w:t>
            </w:r>
          </w:p>
        </w:tc>
      </w:tr>
      <w:tr w:rsidR="000D619A" w:rsidRPr="00B0539F" w14:paraId="031506A2" w14:textId="77777777" w:rsidTr="006B1072">
        <w:trPr>
          <w:trHeight w:val="415"/>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6AC03F57" w14:textId="77777777" w:rsidR="000D619A" w:rsidRPr="00B0539F" w:rsidRDefault="000D619A" w:rsidP="000D619A">
            <w:pPr>
              <w:rPr>
                <w:color w:val="000000"/>
                <w:sz w:val="14"/>
                <w:szCs w:val="18"/>
                <w:lang w:eastAsia="tr-TR"/>
              </w:rPr>
            </w:pPr>
            <w:r w:rsidRPr="00B0539F">
              <w:rPr>
                <w:color w:val="000000"/>
                <w:sz w:val="14"/>
                <w:szCs w:val="18"/>
                <w:lang w:eastAsia="tr-TR"/>
              </w:rPr>
              <w:t>Konsolide veya konsolide olmayan bazda veya hem konsolide hem konsolide olmayan bazda geçerlilik durumu</w:t>
            </w:r>
          </w:p>
        </w:tc>
        <w:tc>
          <w:tcPr>
            <w:tcW w:w="2135" w:type="dxa"/>
            <w:tcBorders>
              <w:top w:val="nil"/>
              <w:left w:val="nil"/>
              <w:bottom w:val="single" w:sz="4" w:space="0" w:color="auto"/>
              <w:right w:val="single" w:sz="4" w:space="0" w:color="auto"/>
            </w:tcBorders>
            <w:shd w:val="clear" w:color="auto" w:fill="auto"/>
            <w:vAlign w:val="center"/>
            <w:hideMark/>
          </w:tcPr>
          <w:p w14:paraId="6C4ADC2C" w14:textId="77777777" w:rsidR="000D619A" w:rsidRPr="00B0539F" w:rsidRDefault="000D619A" w:rsidP="003F2CDD">
            <w:pPr>
              <w:jc w:val="right"/>
              <w:rPr>
                <w:color w:val="000000"/>
                <w:sz w:val="14"/>
                <w:szCs w:val="18"/>
                <w:lang w:eastAsia="tr-TR"/>
              </w:rPr>
            </w:pPr>
            <w:r w:rsidRPr="00B0539F">
              <w:rPr>
                <w:color w:val="000000"/>
                <w:sz w:val="14"/>
                <w:szCs w:val="18"/>
                <w:lang w:eastAsia="tr-TR"/>
              </w:rPr>
              <w:t>Hem konsolide hem konsolide olmayan bazda geçerli</w:t>
            </w:r>
          </w:p>
        </w:tc>
        <w:tc>
          <w:tcPr>
            <w:tcW w:w="1724" w:type="dxa"/>
            <w:tcBorders>
              <w:top w:val="nil"/>
              <w:left w:val="nil"/>
              <w:bottom w:val="single" w:sz="4" w:space="0" w:color="auto"/>
              <w:right w:val="single" w:sz="4" w:space="0" w:color="auto"/>
            </w:tcBorders>
            <w:shd w:val="clear" w:color="auto" w:fill="auto"/>
            <w:vAlign w:val="center"/>
            <w:hideMark/>
          </w:tcPr>
          <w:p w14:paraId="0EED6F96" w14:textId="77777777" w:rsidR="000D619A" w:rsidRPr="00B0539F" w:rsidRDefault="000D619A" w:rsidP="003F2CDD">
            <w:pPr>
              <w:jc w:val="right"/>
              <w:rPr>
                <w:color w:val="000000"/>
                <w:sz w:val="14"/>
                <w:szCs w:val="18"/>
                <w:lang w:eastAsia="tr-TR"/>
              </w:rPr>
            </w:pPr>
            <w:r w:rsidRPr="00B0539F">
              <w:rPr>
                <w:color w:val="000000"/>
                <w:sz w:val="14"/>
                <w:szCs w:val="18"/>
                <w:lang w:eastAsia="tr-TR"/>
              </w:rPr>
              <w:t>Hem konsolide hem konsolide olmayan bazda geçerli</w:t>
            </w:r>
          </w:p>
        </w:tc>
        <w:tc>
          <w:tcPr>
            <w:tcW w:w="1724" w:type="dxa"/>
            <w:tcBorders>
              <w:top w:val="nil"/>
              <w:left w:val="nil"/>
              <w:bottom w:val="single" w:sz="4" w:space="0" w:color="auto"/>
              <w:right w:val="single" w:sz="4" w:space="0" w:color="auto"/>
            </w:tcBorders>
            <w:shd w:val="clear" w:color="auto" w:fill="auto"/>
            <w:vAlign w:val="center"/>
            <w:hideMark/>
          </w:tcPr>
          <w:p w14:paraId="45DE7AAD" w14:textId="77777777" w:rsidR="000D619A" w:rsidRPr="00B0539F" w:rsidRDefault="000D619A" w:rsidP="003F2CDD">
            <w:pPr>
              <w:jc w:val="right"/>
              <w:rPr>
                <w:color w:val="000000"/>
                <w:sz w:val="14"/>
                <w:szCs w:val="18"/>
                <w:lang w:eastAsia="tr-TR"/>
              </w:rPr>
            </w:pPr>
            <w:r w:rsidRPr="00B0539F">
              <w:rPr>
                <w:color w:val="000000"/>
                <w:sz w:val="14"/>
                <w:szCs w:val="18"/>
                <w:lang w:eastAsia="tr-TR"/>
              </w:rPr>
              <w:t>Hem konsolide hem konsolide olmayan bazda geçerli</w:t>
            </w:r>
          </w:p>
        </w:tc>
      </w:tr>
      <w:tr w:rsidR="000D619A" w:rsidRPr="00B0539F" w14:paraId="43D10FEC"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58AC28C7" w14:textId="77777777" w:rsidR="000D619A" w:rsidRPr="00B0539F" w:rsidRDefault="000D619A" w:rsidP="000D619A">
            <w:pPr>
              <w:rPr>
                <w:color w:val="000000"/>
                <w:sz w:val="14"/>
                <w:szCs w:val="18"/>
                <w:lang w:eastAsia="tr-TR"/>
              </w:rPr>
            </w:pPr>
            <w:r w:rsidRPr="00B0539F">
              <w:rPr>
                <w:color w:val="000000"/>
                <w:sz w:val="14"/>
                <w:szCs w:val="18"/>
                <w:lang w:eastAsia="tr-TR"/>
              </w:rPr>
              <w:t>Aracın türü</w:t>
            </w:r>
          </w:p>
        </w:tc>
        <w:tc>
          <w:tcPr>
            <w:tcW w:w="2135" w:type="dxa"/>
            <w:tcBorders>
              <w:top w:val="nil"/>
              <w:left w:val="nil"/>
              <w:bottom w:val="single" w:sz="4" w:space="0" w:color="auto"/>
              <w:right w:val="single" w:sz="4" w:space="0" w:color="auto"/>
            </w:tcBorders>
            <w:shd w:val="clear" w:color="auto" w:fill="auto"/>
            <w:vAlign w:val="center"/>
            <w:hideMark/>
          </w:tcPr>
          <w:p w14:paraId="5FA52F6A" w14:textId="77777777" w:rsidR="000D619A" w:rsidRPr="00B0539F" w:rsidRDefault="000D619A" w:rsidP="003F2CDD">
            <w:pPr>
              <w:jc w:val="right"/>
              <w:rPr>
                <w:color w:val="000000"/>
                <w:sz w:val="14"/>
                <w:szCs w:val="18"/>
                <w:lang w:eastAsia="tr-TR"/>
              </w:rPr>
            </w:pPr>
            <w:r w:rsidRPr="00B0539F">
              <w:rPr>
                <w:color w:val="000000"/>
                <w:sz w:val="14"/>
                <w:szCs w:val="18"/>
                <w:lang w:eastAsia="tr-TR"/>
              </w:rPr>
              <w:t>Sermaye Benzeri Sukuk</w:t>
            </w:r>
          </w:p>
        </w:tc>
        <w:tc>
          <w:tcPr>
            <w:tcW w:w="1724" w:type="dxa"/>
            <w:tcBorders>
              <w:top w:val="nil"/>
              <w:left w:val="nil"/>
              <w:bottom w:val="single" w:sz="4" w:space="0" w:color="auto"/>
              <w:right w:val="single" w:sz="4" w:space="0" w:color="auto"/>
            </w:tcBorders>
            <w:shd w:val="clear" w:color="auto" w:fill="auto"/>
            <w:vAlign w:val="center"/>
            <w:hideMark/>
          </w:tcPr>
          <w:p w14:paraId="5F18CD2C" w14:textId="77777777" w:rsidR="000D619A" w:rsidRPr="00B0539F" w:rsidRDefault="000D619A" w:rsidP="003F2CDD">
            <w:pPr>
              <w:jc w:val="right"/>
              <w:rPr>
                <w:color w:val="000000"/>
                <w:sz w:val="14"/>
                <w:szCs w:val="18"/>
                <w:lang w:eastAsia="tr-TR"/>
              </w:rPr>
            </w:pPr>
            <w:r w:rsidRPr="00B0539F">
              <w:rPr>
                <w:color w:val="000000"/>
                <w:sz w:val="14"/>
                <w:szCs w:val="18"/>
                <w:lang w:eastAsia="tr-TR"/>
              </w:rPr>
              <w:t>Sermaye Benzeri Sukuk</w:t>
            </w:r>
          </w:p>
        </w:tc>
        <w:tc>
          <w:tcPr>
            <w:tcW w:w="1724" w:type="dxa"/>
            <w:tcBorders>
              <w:top w:val="nil"/>
              <w:left w:val="nil"/>
              <w:bottom w:val="single" w:sz="4" w:space="0" w:color="auto"/>
              <w:right w:val="single" w:sz="4" w:space="0" w:color="auto"/>
            </w:tcBorders>
            <w:shd w:val="clear" w:color="auto" w:fill="auto"/>
            <w:vAlign w:val="center"/>
            <w:hideMark/>
          </w:tcPr>
          <w:p w14:paraId="5583FEC1" w14:textId="77777777" w:rsidR="000D619A" w:rsidRPr="00B0539F" w:rsidRDefault="000D619A" w:rsidP="003F2CDD">
            <w:pPr>
              <w:jc w:val="right"/>
              <w:rPr>
                <w:color w:val="000000"/>
                <w:sz w:val="14"/>
                <w:szCs w:val="18"/>
                <w:lang w:eastAsia="tr-TR"/>
              </w:rPr>
            </w:pPr>
            <w:r w:rsidRPr="00B0539F">
              <w:rPr>
                <w:color w:val="000000"/>
                <w:sz w:val="14"/>
                <w:szCs w:val="18"/>
                <w:lang w:eastAsia="tr-TR"/>
              </w:rPr>
              <w:t>Sermaye Benzeri Sukuk</w:t>
            </w:r>
          </w:p>
        </w:tc>
      </w:tr>
      <w:tr w:rsidR="003F2CDD" w:rsidRPr="00B0539F" w14:paraId="3BB1EFE2"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465CBA75" w14:textId="77777777" w:rsidR="000D619A" w:rsidRPr="00B0539F" w:rsidRDefault="000D619A" w:rsidP="000D619A">
            <w:pPr>
              <w:rPr>
                <w:color w:val="000000"/>
                <w:sz w:val="14"/>
                <w:szCs w:val="18"/>
                <w:lang w:eastAsia="tr-TR"/>
              </w:rPr>
            </w:pPr>
            <w:proofErr w:type="spellStart"/>
            <w:r w:rsidRPr="00B0539F">
              <w:rPr>
                <w:color w:val="000000"/>
                <w:sz w:val="14"/>
                <w:szCs w:val="18"/>
                <w:lang w:eastAsia="tr-TR"/>
              </w:rPr>
              <w:t>Özkaynak</w:t>
            </w:r>
            <w:proofErr w:type="spellEnd"/>
            <w:r w:rsidRPr="00B0539F">
              <w:rPr>
                <w:color w:val="000000"/>
                <w:sz w:val="14"/>
                <w:szCs w:val="18"/>
                <w:lang w:eastAsia="tr-TR"/>
              </w:rPr>
              <w:t xml:space="preserve"> hesaplamasında dikkate alınan tutar (En son raporlama tarihi itibarıyla -Milyon TL)</w:t>
            </w:r>
          </w:p>
        </w:tc>
        <w:tc>
          <w:tcPr>
            <w:tcW w:w="2135" w:type="dxa"/>
            <w:tcBorders>
              <w:top w:val="nil"/>
              <w:left w:val="nil"/>
              <w:bottom w:val="single" w:sz="4" w:space="0" w:color="auto"/>
              <w:right w:val="single" w:sz="4" w:space="0" w:color="auto"/>
            </w:tcBorders>
            <w:shd w:val="clear" w:color="auto" w:fill="auto"/>
            <w:vAlign w:val="center"/>
            <w:hideMark/>
          </w:tcPr>
          <w:p w14:paraId="6E69FFA8" w14:textId="77777777" w:rsidR="000D619A" w:rsidRPr="00B0539F" w:rsidRDefault="000D619A" w:rsidP="003F2CDD">
            <w:pPr>
              <w:jc w:val="right"/>
              <w:rPr>
                <w:color w:val="000000"/>
                <w:sz w:val="14"/>
                <w:szCs w:val="18"/>
                <w:lang w:eastAsia="tr-TR"/>
              </w:rPr>
            </w:pPr>
            <w:r w:rsidRPr="00B0539F">
              <w:rPr>
                <w:color w:val="000000"/>
                <w:sz w:val="14"/>
                <w:szCs w:val="18"/>
                <w:lang w:eastAsia="tr-TR"/>
              </w:rPr>
              <w:t>2,722</w:t>
            </w:r>
          </w:p>
        </w:tc>
        <w:tc>
          <w:tcPr>
            <w:tcW w:w="1724" w:type="dxa"/>
            <w:tcBorders>
              <w:top w:val="nil"/>
              <w:left w:val="nil"/>
              <w:bottom w:val="single" w:sz="4" w:space="0" w:color="auto"/>
              <w:right w:val="single" w:sz="4" w:space="0" w:color="auto"/>
            </w:tcBorders>
            <w:shd w:val="clear" w:color="auto" w:fill="auto"/>
            <w:vAlign w:val="center"/>
            <w:hideMark/>
          </w:tcPr>
          <w:p w14:paraId="7381B21C" w14:textId="77777777" w:rsidR="000D619A" w:rsidRPr="00B0539F" w:rsidRDefault="000D619A" w:rsidP="003F2CDD">
            <w:pPr>
              <w:jc w:val="right"/>
              <w:rPr>
                <w:color w:val="000000"/>
                <w:sz w:val="14"/>
                <w:szCs w:val="18"/>
                <w:lang w:eastAsia="tr-TR"/>
              </w:rPr>
            </w:pPr>
            <w:r w:rsidRPr="00B0539F">
              <w:rPr>
                <w:color w:val="000000"/>
                <w:sz w:val="14"/>
                <w:szCs w:val="18"/>
                <w:lang w:eastAsia="tr-TR"/>
              </w:rPr>
              <w:t>1,555</w:t>
            </w:r>
          </w:p>
        </w:tc>
        <w:tc>
          <w:tcPr>
            <w:tcW w:w="1724" w:type="dxa"/>
            <w:tcBorders>
              <w:top w:val="nil"/>
              <w:left w:val="nil"/>
              <w:bottom w:val="single" w:sz="4" w:space="0" w:color="auto"/>
              <w:right w:val="single" w:sz="4" w:space="0" w:color="auto"/>
            </w:tcBorders>
            <w:shd w:val="clear" w:color="auto" w:fill="auto"/>
            <w:vAlign w:val="center"/>
            <w:hideMark/>
          </w:tcPr>
          <w:p w14:paraId="519AD388" w14:textId="77777777" w:rsidR="000D619A" w:rsidRPr="00B0539F" w:rsidRDefault="000D619A" w:rsidP="003F2CDD">
            <w:pPr>
              <w:jc w:val="right"/>
              <w:rPr>
                <w:color w:val="000000"/>
                <w:sz w:val="14"/>
                <w:szCs w:val="18"/>
                <w:lang w:eastAsia="tr-TR"/>
              </w:rPr>
            </w:pPr>
            <w:r w:rsidRPr="00B0539F">
              <w:rPr>
                <w:color w:val="000000"/>
                <w:sz w:val="14"/>
                <w:szCs w:val="18"/>
                <w:lang w:eastAsia="tr-TR"/>
              </w:rPr>
              <w:t>389</w:t>
            </w:r>
          </w:p>
        </w:tc>
      </w:tr>
      <w:tr w:rsidR="003F2CDD" w:rsidRPr="00B0539F" w14:paraId="01BBFE0C"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344C8506" w14:textId="77777777" w:rsidR="000D619A" w:rsidRPr="00B0539F" w:rsidRDefault="000D619A" w:rsidP="000D619A">
            <w:pPr>
              <w:rPr>
                <w:color w:val="000000"/>
                <w:sz w:val="14"/>
                <w:szCs w:val="18"/>
                <w:lang w:eastAsia="tr-TR"/>
              </w:rPr>
            </w:pPr>
            <w:r w:rsidRPr="00B0539F">
              <w:rPr>
                <w:color w:val="000000"/>
                <w:sz w:val="14"/>
                <w:szCs w:val="18"/>
                <w:lang w:eastAsia="tr-TR"/>
              </w:rPr>
              <w:t>Aracın nominal değeri (Milyon TL)</w:t>
            </w:r>
          </w:p>
        </w:tc>
        <w:tc>
          <w:tcPr>
            <w:tcW w:w="2135" w:type="dxa"/>
            <w:tcBorders>
              <w:top w:val="nil"/>
              <w:left w:val="nil"/>
              <w:bottom w:val="single" w:sz="4" w:space="0" w:color="auto"/>
              <w:right w:val="single" w:sz="4" w:space="0" w:color="auto"/>
            </w:tcBorders>
            <w:shd w:val="clear" w:color="auto" w:fill="auto"/>
            <w:vAlign w:val="center"/>
            <w:hideMark/>
          </w:tcPr>
          <w:p w14:paraId="7697FB70" w14:textId="77777777" w:rsidR="000D619A" w:rsidRPr="00B0539F" w:rsidRDefault="000D619A" w:rsidP="003F2CDD">
            <w:pPr>
              <w:jc w:val="right"/>
              <w:rPr>
                <w:color w:val="000000"/>
                <w:sz w:val="14"/>
                <w:szCs w:val="18"/>
                <w:lang w:eastAsia="tr-TR"/>
              </w:rPr>
            </w:pPr>
            <w:r w:rsidRPr="00B0539F">
              <w:rPr>
                <w:color w:val="000000"/>
                <w:sz w:val="14"/>
                <w:szCs w:val="18"/>
                <w:lang w:eastAsia="tr-TR"/>
              </w:rPr>
              <w:t>2,722</w:t>
            </w:r>
          </w:p>
        </w:tc>
        <w:tc>
          <w:tcPr>
            <w:tcW w:w="1724" w:type="dxa"/>
            <w:tcBorders>
              <w:top w:val="nil"/>
              <w:left w:val="nil"/>
              <w:bottom w:val="single" w:sz="4" w:space="0" w:color="auto"/>
              <w:right w:val="single" w:sz="4" w:space="0" w:color="auto"/>
            </w:tcBorders>
            <w:shd w:val="clear" w:color="auto" w:fill="auto"/>
            <w:vAlign w:val="center"/>
            <w:hideMark/>
          </w:tcPr>
          <w:p w14:paraId="3F95E3BC" w14:textId="77777777" w:rsidR="000D619A" w:rsidRPr="00B0539F" w:rsidRDefault="000D619A" w:rsidP="003F2CDD">
            <w:pPr>
              <w:jc w:val="right"/>
              <w:rPr>
                <w:color w:val="000000"/>
                <w:sz w:val="14"/>
                <w:szCs w:val="18"/>
                <w:lang w:eastAsia="tr-TR"/>
              </w:rPr>
            </w:pPr>
            <w:r w:rsidRPr="00B0539F">
              <w:rPr>
                <w:color w:val="000000"/>
                <w:sz w:val="14"/>
                <w:szCs w:val="18"/>
                <w:lang w:eastAsia="tr-TR"/>
              </w:rPr>
              <w:t>1,555</w:t>
            </w:r>
          </w:p>
        </w:tc>
        <w:tc>
          <w:tcPr>
            <w:tcW w:w="1724" w:type="dxa"/>
            <w:tcBorders>
              <w:top w:val="nil"/>
              <w:left w:val="nil"/>
              <w:bottom w:val="single" w:sz="4" w:space="0" w:color="auto"/>
              <w:right w:val="single" w:sz="4" w:space="0" w:color="auto"/>
            </w:tcBorders>
            <w:shd w:val="clear" w:color="auto" w:fill="auto"/>
            <w:vAlign w:val="center"/>
            <w:hideMark/>
          </w:tcPr>
          <w:p w14:paraId="744E7A70" w14:textId="77777777" w:rsidR="000D619A" w:rsidRPr="00B0539F" w:rsidRDefault="000D619A" w:rsidP="003F2CDD">
            <w:pPr>
              <w:jc w:val="right"/>
              <w:rPr>
                <w:color w:val="000000"/>
                <w:sz w:val="14"/>
                <w:szCs w:val="18"/>
                <w:lang w:eastAsia="tr-TR"/>
              </w:rPr>
            </w:pPr>
            <w:r w:rsidRPr="00B0539F">
              <w:rPr>
                <w:color w:val="000000"/>
                <w:sz w:val="14"/>
                <w:szCs w:val="18"/>
                <w:lang w:eastAsia="tr-TR"/>
              </w:rPr>
              <w:t>389</w:t>
            </w:r>
          </w:p>
        </w:tc>
      </w:tr>
      <w:tr w:rsidR="000D619A" w:rsidRPr="00B0539F" w14:paraId="31205647"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240DC071" w14:textId="77777777" w:rsidR="000D619A" w:rsidRPr="00B0539F" w:rsidRDefault="000D619A" w:rsidP="000D619A">
            <w:pPr>
              <w:rPr>
                <w:color w:val="000000"/>
                <w:sz w:val="14"/>
                <w:szCs w:val="18"/>
                <w:lang w:eastAsia="tr-TR"/>
              </w:rPr>
            </w:pPr>
            <w:r w:rsidRPr="00B0539F">
              <w:rPr>
                <w:color w:val="000000"/>
                <w:sz w:val="14"/>
                <w:szCs w:val="18"/>
                <w:lang w:eastAsia="tr-TR"/>
              </w:rPr>
              <w:t xml:space="preserve">Aracın </w:t>
            </w:r>
            <w:proofErr w:type="spellStart"/>
            <w:r w:rsidRPr="00B0539F">
              <w:rPr>
                <w:color w:val="000000"/>
                <w:sz w:val="14"/>
                <w:szCs w:val="18"/>
                <w:lang w:eastAsia="tr-TR"/>
              </w:rPr>
              <w:t>muhasebesel</w:t>
            </w:r>
            <w:proofErr w:type="spellEnd"/>
            <w:r w:rsidRPr="00B0539F">
              <w:rPr>
                <w:color w:val="000000"/>
                <w:sz w:val="14"/>
                <w:szCs w:val="18"/>
                <w:lang w:eastAsia="tr-TR"/>
              </w:rPr>
              <w:t xml:space="preserve"> olarak takip edildiği hesap</w:t>
            </w:r>
          </w:p>
        </w:tc>
        <w:tc>
          <w:tcPr>
            <w:tcW w:w="2135" w:type="dxa"/>
            <w:tcBorders>
              <w:top w:val="nil"/>
              <w:left w:val="nil"/>
              <w:bottom w:val="single" w:sz="4" w:space="0" w:color="auto"/>
              <w:right w:val="single" w:sz="4" w:space="0" w:color="auto"/>
            </w:tcBorders>
            <w:shd w:val="clear" w:color="auto" w:fill="auto"/>
            <w:vAlign w:val="center"/>
            <w:hideMark/>
          </w:tcPr>
          <w:p w14:paraId="3E9C7DBA" w14:textId="77777777" w:rsidR="000D619A" w:rsidRPr="00B0539F" w:rsidRDefault="000D619A" w:rsidP="003F2CDD">
            <w:pPr>
              <w:jc w:val="right"/>
              <w:rPr>
                <w:color w:val="000000"/>
                <w:sz w:val="14"/>
                <w:szCs w:val="18"/>
                <w:lang w:eastAsia="tr-TR"/>
              </w:rPr>
            </w:pPr>
            <w:r w:rsidRPr="00B0539F">
              <w:rPr>
                <w:color w:val="000000"/>
                <w:sz w:val="14"/>
                <w:szCs w:val="18"/>
                <w:lang w:eastAsia="tr-TR"/>
              </w:rPr>
              <w:t>3470103</w:t>
            </w:r>
          </w:p>
        </w:tc>
        <w:tc>
          <w:tcPr>
            <w:tcW w:w="1724" w:type="dxa"/>
            <w:tcBorders>
              <w:top w:val="nil"/>
              <w:left w:val="nil"/>
              <w:bottom w:val="single" w:sz="4" w:space="0" w:color="auto"/>
              <w:right w:val="single" w:sz="4" w:space="0" w:color="auto"/>
            </w:tcBorders>
            <w:shd w:val="clear" w:color="auto" w:fill="auto"/>
            <w:vAlign w:val="center"/>
            <w:hideMark/>
          </w:tcPr>
          <w:p w14:paraId="14902EC7" w14:textId="77777777" w:rsidR="000D619A" w:rsidRPr="00B0539F" w:rsidRDefault="000D619A" w:rsidP="003F2CDD">
            <w:pPr>
              <w:jc w:val="right"/>
              <w:rPr>
                <w:color w:val="000000"/>
                <w:sz w:val="14"/>
                <w:szCs w:val="18"/>
                <w:lang w:eastAsia="tr-TR"/>
              </w:rPr>
            </w:pPr>
            <w:r w:rsidRPr="00B0539F">
              <w:rPr>
                <w:color w:val="000000"/>
                <w:sz w:val="14"/>
                <w:szCs w:val="18"/>
                <w:lang w:eastAsia="tr-TR"/>
              </w:rPr>
              <w:t>3470003</w:t>
            </w:r>
          </w:p>
        </w:tc>
        <w:tc>
          <w:tcPr>
            <w:tcW w:w="1724" w:type="dxa"/>
            <w:tcBorders>
              <w:top w:val="nil"/>
              <w:left w:val="nil"/>
              <w:bottom w:val="single" w:sz="4" w:space="0" w:color="auto"/>
              <w:right w:val="single" w:sz="4" w:space="0" w:color="auto"/>
            </w:tcBorders>
            <w:shd w:val="clear" w:color="auto" w:fill="auto"/>
            <w:vAlign w:val="center"/>
            <w:hideMark/>
          </w:tcPr>
          <w:p w14:paraId="7A5F3279" w14:textId="77777777" w:rsidR="000D619A" w:rsidRPr="00B0539F" w:rsidRDefault="000D619A" w:rsidP="003F2CDD">
            <w:pPr>
              <w:jc w:val="right"/>
              <w:rPr>
                <w:color w:val="000000"/>
                <w:sz w:val="14"/>
                <w:szCs w:val="18"/>
                <w:lang w:eastAsia="tr-TR"/>
              </w:rPr>
            </w:pPr>
            <w:r w:rsidRPr="00B0539F">
              <w:rPr>
                <w:color w:val="000000"/>
                <w:sz w:val="14"/>
                <w:szCs w:val="18"/>
                <w:lang w:eastAsia="tr-TR"/>
              </w:rPr>
              <w:t>3470003</w:t>
            </w:r>
          </w:p>
        </w:tc>
      </w:tr>
      <w:tr w:rsidR="000D619A" w:rsidRPr="00B0539F" w14:paraId="783D8A11"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409AA142" w14:textId="77777777" w:rsidR="000D619A" w:rsidRPr="00B0539F" w:rsidRDefault="000D619A" w:rsidP="000D619A">
            <w:pPr>
              <w:rPr>
                <w:color w:val="000000"/>
                <w:sz w:val="14"/>
                <w:szCs w:val="18"/>
                <w:lang w:eastAsia="tr-TR"/>
              </w:rPr>
            </w:pPr>
            <w:r w:rsidRPr="00B0539F">
              <w:rPr>
                <w:color w:val="000000"/>
                <w:sz w:val="14"/>
                <w:szCs w:val="18"/>
                <w:lang w:eastAsia="tr-TR"/>
              </w:rPr>
              <w:t>Aracın ihraç tarihi</w:t>
            </w:r>
          </w:p>
        </w:tc>
        <w:tc>
          <w:tcPr>
            <w:tcW w:w="2135" w:type="dxa"/>
            <w:tcBorders>
              <w:top w:val="nil"/>
              <w:left w:val="nil"/>
              <w:bottom w:val="single" w:sz="4" w:space="0" w:color="auto"/>
              <w:right w:val="single" w:sz="4" w:space="0" w:color="auto"/>
            </w:tcBorders>
            <w:shd w:val="clear" w:color="auto" w:fill="auto"/>
            <w:vAlign w:val="center"/>
            <w:hideMark/>
          </w:tcPr>
          <w:p w14:paraId="0729350D" w14:textId="77777777" w:rsidR="000D619A" w:rsidRPr="00B0539F" w:rsidRDefault="000D619A" w:rsidP="003F2CDD">
            <w:pPr>
              <w:jc w:val="right"/>
              <w:rPr>
                <w:color w:val="000000"/>
                <w:sz w:val="14"/>
                <w:szCs w:val="18"/>
                <w:lang w:eastAsia="tr-TR"/>
              </w:rPr>
            </w:pPr>
            <w:r w:rsidRPr="00B0539F">
              <w:rPr>
                <w:color w:val="000000"/>
                <w:sz w:val="14"/>
                <w:szCs w:val="18"/>
                <w:lang w:eastAsia="tr-TR"/>
              </w:rPr>
              <w:t>17/02/2016</w:t>
            </w:r>
          </w:p>
        </w:tc>
        <w:tc>
          <w:tcPr>
            <w:tcW w:w="1724" w:type="dxa"/>
            <w:tcBorders>
              <w:top w:val="nil"/>
              <w:left w:val="nil"/>
              <w:bottom w:val="single" w:sz="4" w:space="0" w:color="auto"/>
              <w:right w:val="single" w:sz="4" w:space="0" w:color="auto"/>
            </w:tcBorders>
            <w:shd w:val="clear" w:color="auto" w:fill="auto"/>
            <w:vAlign w:val="center"/>
            <w:hideMark/>
          </w:tcPr>
          <w:p w14:paraId="52E4DF8E" w14:textId="77777777" w:rsidR="000D619A" w:rsidRPr="00B0539F" w:rsidRDefault="000D619A" w:rsidP="003F2CDD">
            <w:pPr>
              <w:jc w:val="right"/>
              <w:rPr>
                <w:color w:val="000000"/>
                <w:sz w:val="14"/>
                <w:szCs w:val="18"/>
                <w:lang w:eastAsia="tr-TR"/>
              </w:rPr>
            </w:pPr>
            <w:r w:rsidRPr="00B0539F">
              <w:rPr>
                <w:color w:val="000000"/>
                <w:sz w:val="14"/>
                <w:szCs w:val="18"/>
                <w:lang w:eastAsia="tr-TR"/>
              </w:rPr>
              <w:t>16/07/2019</w:t>
            </w:r>
          </w:p>
        </w:tc>
        <w:tc>
          <w:tcPr>
            <w:tcW w:w="1724" w:type="dxa"/>
            <w:tcBorders>
              <w:top w:val="nil"/>
              <w:left w:val="nil"/>
              <w:bottom w:val="single" w:sz="4" w:space="0" w:color="auto"/>
              <w:right w:val="single" w:sz="4" w:space="0" w:color="auto"/>
            </w:tcBorders>
            <w:shd w:val="clear" w:color="auto" w:fill="auto"/>
            <w:vAlign w:val="center"/>
            <w:hideMark/>
          </w:tcPr>
          <w:p w14:paraId="31612E64" w14:textId="77777777" w:rsidR="000D619A" w:rsidRPr="00B0539F" w:rsidRDefault="000D619A" w:rsidP="003F2CDD">
            <w:pPr>
              <w:jc w:val="right"/>
              <w:rPr>
                <w:color w:val="000000"/>
                <w:sz w:val="14"/>
                <w:szCs w:val="18"/>
                <w:lang w:eastAsia="tr-TR"/>
              </w:rPr>
            </w:pPr>
            <w:r w:rsidRPr="00B0539F">
              <w:rPr>
                <w:color w:val="000000"/>
                <w:sz w:val="14"/>
                <w:szCs w:val="18"/>
                <w:lang w:eastAsia="tr-TR"/>
              </w:rPr>
              <w:t>28/09/2020</w:t>
            </w:r>
          </w:p>
        </w:tc>
      </w:tr>
      <w:tr w:rsidR="000D619A" w:rsidRPr="00B0539F" w14:paraId="1B3005E2"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6BE6A2E9" w14:textId="77777777" w:rsidR="000D619A" w:rsidRPr="00B0539F" w:rsidRDefault="000D619A" w:rsidP="000D619A">
            <w:pPr>
              <w:rPr>
                <w:color w:val="000000"/>
                <w:sz w:val="14"/>
                <w:szCs w:val="18"/>
                <w:lang w:eastAsia="tr-TR"/>
              </w:rPr>
            </w:pPr>
            <w:r w:rsidRPr="00B0539F">
              <w:rPr>
                <w:color w:val="000000"/>
                <w:sz w:val="14"/>
                <w:szCs w:val="18"/>
                <w:lang w:eastAsia="tr-TR"/>
              </w:rPr>
              <w:t>Aracın vade yapısı (Vadesiz/Vadeli)</w:t>
            </w:r>
          </w:p>
        </w:tc>
        <w:tc>
          <w:tcPr>
            <w:tcW w:w="2135" w:type="dxa"/>
            <w:tcBorders>
              <w:top w:val="nil"/>
              <w:left w:val="nil"/>
              <w:bottom w:val="single" w:sz="4" w:space="0" w:color="auto"/>
              <w:right w:val="single" w:sz="4" w:space="0" w:color="auto"/>
            </w:tcBorders>
            <w:shd w:val="clear" w:color="auto" w:fill="auto"/>
            <w:vAlign w:val="center"/>
            <w:hideMark/>
          </w:tcPr>
          <w:p w14:paraId="0A04C4DA" w14:textId="77777777" w:rsidR="000D619A" w:rsidRPr="00B0539F" w:rsidRDefault="000D619A" w:rsidP="003F2CDD">
            <w:pPr>
              <w:jc w:val="right"/>
              <w:rPr>
                <w:color w:val="000000"/>
                <w:sz w:val="14"/>
                <w:szCs w:val="18"/>
                <w:lang w:eastAsia="tr-TR"/>
              </w:rPr>
            </w:pPr>
            <w:r w:rsidRPr="00B0539F">
              <w:rPr>
                <w:color w:val="000000"/>
                <w:sz w:val="14"/>
                <w:szCs w:val="18"/>
                <w:lang w:eastAsia="tr-TR"/>
              </w:rPr>
              <w:t>Vadeli</w:t>
            </w:r>
          </w:p>
        </w:tc>
        <w:tc>
          <w:tcPr>
            <w:tcW w:w="1724" w:type="dxa"/>
            <w:tcBorders>
              <w:top w:val="nil"/>
              <w:left w:val="nil"/>
              <w:bottom w:val="single" w:sz="4" w:space="0" w:color="auto"/>
              <w:right w:val="single" w:sz="4" w:space="0" w:color="auto"/>
            </w:tcBorders>
            <w:shd w:val="clear" w:color="auto" w:fill="auto"/>
            <w:vAlign w:val="center"/>
            <w:hideMark/>
          </w:tcPr>
          <w:p w14:paraId="74008A93" w14:textId="19250E77" w:rsidR="000D619A" w:rsidRPr="00B0539F" w:rsidRDefault="000D619A" w:rsidP="003F2CDD">
            <w:pPr>
              <w:jc w:val="right"/>
              <w:rPr>
                <w:color w:val="000000"/>
                <w:sz w:val="14"/>
                <w:szCs w:val="18"/>
                <w:lang w:eastAsia="tr-TR"/>
              </w:rPr>
            </w:pPr>
            <w:r w:rsidRPr="00B0539F">
              <w:rPr>
                <w:color w:val="000000"/>
                <w:sz w:val="14"/>
                <w:szCs w:val="18"/>
                <w:lang w:eastAsia="tr-TR"/>
              </w:rPr>
              <w:t>Vad</w:t>
            </w:r>
            <w:r w:rsidR="000E1AB5">
              <w:rPr>
                <w:color w:val="000000"/>
                <w:sz w:val="14"/>
                <w:szCs w:val="18"/>
                <w:lang w:eastAsia="tr-TR"/>
              </w:rPr>
              <w:t>esiz</w:t>
            </w:r>
          </w:p>
        </w:tc>
        <w:tc>
          <w:tcPr>
            <w:tcW w:w="1724" w:type="dxa"/>
            <w:tcBorders>
              <w:top w:val="nil"/>
              <w:left w:val="nil"/>
              <w:bottom w:val="single" w:sz="4" w:space="0" w:color="auto"/>
              <w:right w:val="single" w:sz="4" w:space="0" w:color="auto"/>
            </w:tcBorders>
            <w:shd w:val="clear" w:color="auto" w:fill="auto"/>
            <w:vAlign w:val="center"/>
            <w:hideMark/>
          </w:tcPr>
          <w:p w14:paraId="53D1301F" w14:textId="77777777" w:rsidR="000D619A" w:rsidRPr="00B0539F" w:rsidRDefault="000D619A" w:rsidP="003F2CDD">
            <w:pPr>
              <w:jc w:val="right"/>
              <w:rPr>
                <w:color w:val="000000"/>
                <w:sz w:val="14"/>
                <w:szCs w:val="18"/>
                <w:lang w:eastAsia="tr-TR"/>
              </w:rPr>
            </w:pPr>
            <w:r w:rsidRPr="00B0539F">
              <w:rPr>
                <w:color w:val="000000"/>
                <w:sz w:val="14"/>
                <w:szCs w:val="18"/>
                <w:lang w:eastAsia="tr-TR"/>
              </w:rPr>
              <w:t>Vadesiz</w:t>
            </w:r>
          </w:p>
        </w:tc>
      </w:tr>
      <w:tr w:rsidR="000D619A" w:rsidRPr="00B0539F" w14:paraId="536EDBA2"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1C5E62CE" w14:textId="77777777" w:rsidR="000D619A" w:rsidRPr="00B0539F" w:rsidRDefault="000D619A" w:rsidP="000D619A">
            <w:pPr>
              <w:rPr>
                <w:color w:val="000000"/>
                <w:sz w:val="14"/>
                <w:szCs w:val="18"/>
                <w:lang w:eastAsia="tr-TR"/>
              </w:rPr>
            </w:pPr>
            <w:r w:rsidRPr="00B0539F">
              <w:rPr>
                <w:color w:val="000000"/>
                <w:sz w:val="14"/>
                <w:szCs w:val="18"/>
                <w:lang w:eastAsia="tr-TR"/>
              </w:rPr>
              <w:t>Aracın başlangıç vadesi</w:t>
            </w:r>
          </w:p>
        </w:tc>
        <w:tc>
          <w:tcPr>
            <w:tcW w:w="2135" w:type="dxa"/>
            <w:tcBorders>
              <w:top w:val="nil"/>
              <w:left w:val="nil"/>
              <w:bottom w:val="single" w:sz="4" w:space="0" w:color="auto"/>
              <w:right w:val="single" w:sz="4" w:space="0" w:color="auto"/>
            </w:tcBorders>
            <w:shd w:val="clear" w:color="auto" w:fill="auto"/>
            <w:vAlign w:val="center"/>
            <w:hideMark/>
          </w:tcPr>
          <w:p w14:paraId="6C01390C" w14:textId="77777777" w:rsidR="000D619A" w:rsidRPr="00B0539F" w:rsidRDefault="000D619A" w:rsidP="003F2CDD">
            <w:pPr>
              <w:jc w:val="right"/>
              <w:rPr>
                <w:color w:val="000000"/>
                <w:sz w:val="14"/>
                <w:szCs w:val="18"/>
                <w:lang w:eastAsia="tr-TR"/>
              </w:rPr>
            </w:pPr>
            <w:r w:rsidRPr="00B0539F">
              <w:rPr>
                <w:color w:val="000000"/>
                <w:sz w:val="14"/>
                <w:szCs w:val="18"/>
                <w:lang w:eastAsia="tr-TR"/>
              </w:rPr>
              <w:t xml:space="preserve">10 Yıl (Vade </w:t>
            </w:r>
            <w:proofErr w:type="gramStart"/>
            <w:r w:rsidRPr="00B0539F">
              <w:rPr>
                <w:color w:val="000000"/>
                <w:sz w:val="14"/>
                <w:szCs w:val="18"/>
                <w:lang w:eastAsia="tr-TR"/>
              </w:rPr>
              <w:t>Tarihi :</w:t>
            </w:r>
            <w:proofErr w:type="gramEnd"/>
            <w:r w:rsidRPr="00B0539F">
              <w:rPr>
                <w:color w:val="000000"/>
                <w:sz w:val="14"/>
                <w:szCs w:val="18"/>
                <w:lang w:eastAsia="tr-TR"/>
              </w:rPr>
              <w:t xml:space="preserve"> 17/02/2026)</w:t>
            </w:r>
          </w:p>
        </w:tc>
        <w:tc>
          <w:tcPr>
            <w:tcW w:w="1724" w:type="dxa"/>
            <w:tcBorders>
              <w:top w:val="nil"/>
              <w:left w:val="nil"/>
              <w:bottom w:val="single" w:sz="4" w:space="0" w:color="auto"/>
              <w:right w:val="single" w:sz="4" w:space="0" w:color="auto"/>
            </w:tcBorders>
            <w:shd w:val="clear" w:color="auto" w:fill="auto"/>
            <w:vAlign w:val="center"/>
            <w:hideMark/>
          </w:tcPr>
          <w:p w14:paraId="05F674C1" w14:textId="72B014A8" w:rsidR="000D619A" w:rsidRPr="00B0539F" w:rsidRDefault="00EF7F3F" w:rsidP="003F2CDD">
            <w:pPr>
              <w:jc w:val="right"/>
              <w:rPr>
                <w:color w:val="000000"/>
                <w:sz w:val="14"/>
                <w:szCs w:val="18"/>
                <w:lang w:eastAsia="tr-TR"/>
              </w:rPr>
            </w:pPr>
            <w:r w:rsidRPr="00B0539F">
              <w:rPr>
                <w:color w:val="000000"/>
                <w:sz w:val="14"/>
                <w:szCs w:val="18"/>
                <w:lang w:eastAsia="tr-TR"/>
              </w:rPr>
              <w:t>Vad</w:t>
            </w:r>
            <w:r>
              <w:rPr>
                <w:color w:val="000000"/>
                <w:sz w:val="14"/>
                <w:szCs w:val="18"/>
                <w:lang w:eastAsia="tr-TR"/>
              </w:rPr>
              <w:t>esiz</w:t>
            </w:r>
          </w:p>
        </w:tc>
        <w:tc>
          <w:tcPr>
            <w:tcW w:w="1724" w:type="dxa"/>
            <w:tcBorders>
              <w:top w:val="nil"/>
              <w:left w:val="nil"/>
              <w:bottom w:val="single" w:sz="4" w:space="0" w:color="auto"/>
              <w:right w:val="single" w:sz="4" w:space="0" w:color="auto"/>
            </w:tcBorders>
            <w:shd w:val="clear" w:color="auto" w:fill="auto"/>
            <w:vAlign w:val="center"/>
            <w:hideMark/>
          </w:tcPr>
          <w:p w14:paraId="5AE9B919" w14:textId="18192E65" w:rsidR="000D619A" w:rsidRPr="00B0539F" w:rsidRDefault="00EF7F3F" w:rsidP="003F2CDD">
            <w:pPr>
              <w:jc w:val="right"/>
              <w:rPr>
                <w:color w:val="000000"/>
                <w:sz w:val="14"/>
                <w:szCs w:val="18"/>
                <w:lang w:eastAsia="tr-TR"/>
              </w:rPr>
            </w:pPr>
            <w:r w:rsidRPr="00B0539F">
              <w:rPr>
                <w:color w:val="000000"/>
                <w:sz w:val="14"/>
                <w:szCs w:val="18"/>
                <w:lang w:eastAsia="tr-TR"/>
              </w:rPr>
              <w:t>Vad</w:t>
            </w:r>
            <w:r>
              <w:rPr>
                <w:color w:val="000000"/>
                <w:sz w:val="14"/>
                <w:szCs w:val="18"/>
                <w:lang w:eastAsia="tr-TR"/>
              </w:rPr>
              <w:t>esiz</w:t>
            </w:r>
          </w:p>
        </w:tc>
      </w:tr>
      <w:tr w:rsidR="000D619A" w:rsidRPr="00B0539F" w14:paraId="1DABBC5F"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5EECB0BD" w14:textId="77777777" w:rsidR="000D619A" w:rsidRPr="00B0539F" w:rsidRDefault="000D619A" w:rsidP="000D619A">
            <w:pPr>
              <w:rPr>
                <w:color w:val="000000"/>
                <w:sz w:val="14"/>
                <w:szCs w:val="18"/>
                <w:lang w:eastAsia="tr-TR"/>
              </w:rPr>
            </w:pPr>
            <w:r w:rsidRPr="00B0539F">
              <w:rPr>
                <w:color w:val="000000"/>
                <w:sz w:val="14"/>
                <w:szCs w:val="18"/>
                <w:lang w:eastAsia="tr-TR"/>
              </w:rPr>
              <w:t>İhraççının BDDK onayına bağlı geri ödeme hakkının olup olmadığı</w:t>
            </w:r>
          </w:p>
        </w:tc>
        <w:tc>
          <w:tcPr>
            <w:tcW w:w="2135" w:type="dxa"/>
            <w:tcBorders>
              <w:top w:val="nil"/>
              <w:left w:val="nil"/>
              <w:bottom w:val="single" w:sz="4" w:space="0" w:color="auto"/>
              <w:right w:val="single" w:sz="4" w:space="0" w:color="auto"/>
            </w:tcBorders>
            <w:shd w:val="clear" w:color="auto" w:fill="auto"/>
            <w:vAlign w:val="center"/>
            <w:hideMark/>
          </w:tcPr>
          <w:p w14:paraId="3945292A" w14:textId="77777777" w:rsidR="000D619A" w:rsidRPr="00B0539F" w:rsidRDefault="000D619A" w:rsidP="003F2CDD">
            <w:pPr>
              <w:jc w:val="right"/>
              <w:rPr>
                <w:color w:val="000000"/>
                <w:sz w:val="14"/>
                <w:szCs w:val="18"/>
                <w:lang w:eastAsia="tr-TR"/>
              </w:rPr>
            </w:pPr>
            <w:r w:rsidRPr="00B0539F">
              <w:rPr>
                <w:color w:val="000000"/>
                <w:sz w:val="14"/>
                <w:szCs w:val="18"/>
                <w:lang w:eastAsia="tr-TR"/>
              </w:rPr>
              <w:t>Var</w:t>
            </w:r>
          </w:p>
        </w:tc>
        <w:tc>
          <w:tcPr>
            <w:tcW w:w="1724" w:type="dxa"/>
            <w:tcBorders>
              <w:top w:val="nil"/>
              <w:left w:val="nil"/>
              <w:bottom w:val="single" w:sz="4" w:space="0" w:color="auto"/>
              <w:right w:val="single" w:sz="4" w:space="0" w:color="auto"/>
            </w:tcBorders>
            <w:shd w:val="clear" w:color="auto" w:fill="auto"/>
            <w:vAlign w:val="center"/>
            <w:hideMark/>
          </w:tcPr>
          <w:p w14:paraId="2D48F651" w14:textId="77777777" w:rsidR="000D619A" w:rsidRPr="00B0539F" w:rsidRDefault="000D619A" w:rsidP="003F2CDD">
            <w:pPr>
              <w:jc w:val="right"/>
              <w:rPr>
                <w:color w:val="000000"/>
                <w:sz w:val="14"/>
                <w:szCs w:val="18"/>
                <w:lang w:eastAsia="tr-TR"/>
              </w:rPr>
            </w:pPr>
            <w:r w:rsidRPr="00B0539F">
              <w:rPr>
                <w:color w:val="000000"/>
                <w:sz w:val="14"/>
                <w:szCs w:val="18"/>
                <w:lang w:eastAsia="tr-TR"/>
              </w:rPr>
              <w:t>Var</w:t>
            </w:r>
          </w:p>
        </w:tc>
        <w:tc>
          <w:tcPr>
            <w:tcW w:w="1724" w:type="dxa"/>
            <w:tcBorders>
              <w:top w:val="nil"/>
              <w:left w:val="nil"/>
              <w:bottom w:val="single" w:sz="4" w:space="0" w:color="auto"/>
              <w:right w:val="single" w:sz="4" w:space="0" w:color="auto"/>
            </w:tcBorders>
            <w:shd w:val="clear" w:color="auto" w:fill="auto"/>
            <w:vAlign w:val="center"/>
            <w:hideMark/>
          </w:tcPr>
          <w:p w14:paraId="631E54E5" w14:textId="77777777" w:rsidR="000D619A" w:rsidRPr="00B0539F" w:rsidRDefault="000D619A" w:rsidP="003F2CDD">
            <w:pPr>
              <w:jc w:val="right"/>
              <w:rPr>
                <w:color w:val="000000"/>
                <w:sz w:val="14"/>
                <w:szCs w:val="18"/>
                <w:lang w:eastAsia="tr-TR"/>
              </w:rPr>
            </w:pPr>
            <w:r w:rsidRPr="00B0539F">
              <w:rPr>
                <w:color w:val="000000"/>
                <w:sz w:val="14"/>
                <w:szCs w:val="18"/>
                <w:lang w:eastAsia="tr-TR"/>
              </w:rPr>
              <w:t>Var</w:t>
            </w:r>
          </w:p>
        </w:tc>
      </w:tr>
      <w:tr w:rsidR="000D619A" w:rsidRPr="00B0539F" w14:paraId="406164D5"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6066408E" w14:textId="77777777" w:rsidR="000D619A" w:rsidRPr="00B0539F" w:rsidRDefault="000D619A" w:rsidP="000D619A">
            <w:pPr>
              <w:rPr>
                <w:color w:val="000000"/>
                <w:sz w:val="14"/>
                <w:szCs w:val="18"/>
                <w:lang w:eastAsia="tr-TR"/>
              </w:rPr>
            </w:pPr>
            <w:r w:rsidRPr="00B0539F">
              <w:rPr>
                <w:color w:val="000000"/>
                <w:sz w:val="14"/>
                <w:szCs w:val="18"/>
                <w:lang w:eastAsia="tr-TR"/>
              </w:rPr>
              <w:t>Geri ödeme opsiyonu tarihi, şarta bağlı geri ödeme opsiyonları ve geri ödenecek tutar</w:t>
            </w:r>
          </w:p>
        </w:tc>
        <w:tc>
          <w:tcPr>
            <w:tcW w:w="2135" w:type="dxa"/>
            <w:tcBorders>
              <w:top w:val="nil"/>
              <w:left w:val="nil"/>
              <w:bottom w:val="single" w:sz="4" w:space="0" w:color="auto"/>
              <w:right w:val="single" w:sz="4" w:space="0" w:color="auto"/>
            </w:tcBorders>
            <w:shd w:val="clear" w:color="auto" w:fill="auto"/>
            <w:vAlign w:val="center"/>
            <w:hideMark/>
          </w:tcPr>
          <w:p w14:paraId="4DC782B1" w14:textId="77777777" w:rsidR="000D619A" w:rsidRPr="00B0539F" w:rsidRDefault="000D619A" w:rsidP="003F2CDD">
            <w:pPr>
              <w:jc w:val="right"/>
              <w:rPr>
                <w:color w:val="000000"/>
                <w:sz w:val="14"/>
                <w:szCs w:val="18"/>
                <w:lang w:eastAsia="tr-TR"/>
              </w:rPr>
            </w:pPr>
            <w:r w:rsidRPr="00B0539F">
              <w:rPr>
                <w:color w:val="000000"/>
                <w:sz w:val="14"/>
                <w:szCs w:val="18"/>
                <w:lang w:eastAsia="tr-TR"/>
              </w:rPr>
              <w:t>17/02/</w:t>
            </w:r>
            <w:proofErr w:type="gramStart"/>
            <w:r w:rsidRPr="00B0539F">
              <w:rPr>
                <w:color w:val="000000"/>
                <w:sz w:val="14"/>
                <w:szCs w:val="18"/>
                <w:lang w:eastAsia="tr-TR"/>
              </w:rPr>
              <w:t>2021 -</w:t>
            </w:r>
            <w:proofErr w:type="gramEnd"/>
            <w:r w:rsidRPr="00B0539F">
              <w:rPr>
                <w:color w:val="000000"/>
                <w:sz w:val="14"/>
                <w:szCs w:val="18"/>
                <w:lang w:eastAsia="tr-TR"/>
              </w:rPr>
              <w:t xml:space="preserve"> Tamamı</w:t>
            </w:r>
          </w:p>
        </w:tc>
        <w:tc>
          <w:tcPr>
            <w:tcW w:w="1724" w:type="dxa"/>
            <w:tcBorders>
              <w:top w:val="nil"/>
              <w:left w:val="nil"/>
              <w:bottom w:val="single" w:sz="4" w:space="0" w:color="auto"/>
              <w:right w:val="single" w:sz="4" w:space="0" w:color="auto"/>
            </w:tcBorders>
            <w:shd w:val="clear" w:color="auto" w:fill="auto"/>
            <w:vAlign w:val="center"/>
            <w:hideMark/>
          </w:tcPr>
          <w:p w14:paraId="79EDAAD8" w14:textId="77777777" w:rsidR="000D619A" w:rsidRPr="00B0539F" w:rsidRDefault="000D619A" w:rsidP="003F2CDD">
            <w:pPr>
              <w:jc w:val="right"/>
              <w:rPr>
                <w:color w:val="000000"/>
                <w:sz w:val="14"/>
                <w:szCs w:val="18"/>
                <w:lang w:eastAsia="tr-TR"/>
              </w:rPr>
            </w:pPr>
            <w:r w:rsidRPr="00B0539F">
              <w:rPr>
                <w:color w:val="000000"/>
                <w:sz w:val="14"/>
                <w:szCs w:val="18"/>
                <w:lang w:eastAsia="tr-TR"/>
              </w:rPr>
              <w:t>16/07/</w:t>
            </w:r>
            <w:proofErr w:type="gramStart"/>
            <w:r w:rsidRPr="00B0539F">
              <w:rPr>
                <w:color w:val="000000"/>
                <w:sz w:val="14"/>
                <w:szCs w:val="18"/>
                <w:lang w:eastAsia="tr-TR"/>
              </w:rPr>
              <w:t>2024 -</w:t>
            </w:r>
            <w:proofErr w:type="gramEnd"/>
            <w:r w:rsidRPr="00B0539F">
              <w:rPr>
                <w:color w:val="000000"/>
                <w:sz w:val="14"/>
                <w:szCs w:val="18"/>
                <w:lang w:eastAsia="tr-TR"/>
              </w:rPr>
              <w:t xml:space="preserve"> Tamamı</w:t>
            </w:r>
          </w:p>
        </w:tc>
        <w:tc>
          <w:tcPr>
            <w:tcW w:w="1724" w:type="dxa"/>
            <w:tcBorders>
              <w:top w:val="nil"/>
              <w:left w:val="nil"/>
              <w:bottom w:val="single" w:sz="4" w:space="0" w:color="auto"/>
              <w:right w:val="single" w:sz="4" w:space="0" w:color="auto"/>
            </w:tcBorders>
            <w:shd w:val="clear" w:color="auto" w:fill="auto"/>
            <w:vAlign w:val="center"/>
            <w:hideMark/>
          </w:tcPr>
          <w:p w14:paraId="2DC02BE9" w14:textId="77777777" w:rsidR="000D619A" w:rsidRPr="00B0539F" w:rsidRDefault="000D619A" w:rsidP="003F2CDD">
            <w:pPr>
              <w:jc w:val="right"/>
              <w:rPr>
                <w:color w:val="000000"/>
                <w:sz w:val="14"/>
                <w:szCs w:val="18"/>
                <w:lang w:eastAsia="tr-TR"/>
              </w:rPr>
            </w:pPr>
            <w:r w:rsidRPr="00B0539F">
              <w:rPr>
                <w:color w:val="000000"/>
                <w:sz w:val="14"/>
                <w:szCs w:val="18"/>
                <w:lang w:eastAsia="tr-TR"/>
              </w:rPr>
              <w:t>28/09/</w:t>
            </w:r>
            <w:proofErr w:type="gramStart"/>
            <w:r w:rsidRPr="00B0539F">
              <w:rPr>
                <w:color w:val="000000"/>
                <w:sz w:val="14"/>
                <w:szCs w:val="18"/>
                <w:lang w:eastAsia="tr-TR"/>
              </w:rPr>
              <w:t>2025 -</w:t>
            </w:r>
            <w:proofErr w:type="gramEnd"/>
            <w:r w:rsidRPr="00B0539F">
              <w:rPr>
                <w:color w:val="000000"/>
                <w:sz w:val="14"/>
                <w:szCs w:val="18"/>
                <w:lang w:eastAsia="tr-TR"/>
              </w:rPr>
              <w:t xml:space="preserve"> Tamamı</w:t>
            </w:r>
          </w:p>
        </w:tc>
      </w:tr>
      <w:tr w:rsidR="000D619A" w:rsidRPr="00B0539F" w14:paraId="1C533D03"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73661B63" w14:textId="77777777" w:rsidR="000D619A" w:rsidRPr="00B0539F" w:rsidRDefault="000D619A" w:rsidP="000D619A">
            <w:pPr>
              <w:rPr>
                <w:color w:val="000000"/>
                <w:sz w:val="14"/>
                <w:szCs w:val="18"/>
                <w:lang w:eastAsia="tr-TR"/>
              </w:rPr>
            </w:pPr>
            <w:r w:rsidRPr="00B0539F">
              <w:rPr>
                <w:color w:val="000000"/>
                <w:sz w:val="14"/>
                <w:szCs w:val="18"/>
                <w:lang w:eastAsia="tr-TR"/>
              </w:rPr>
              <w:t>Müteakip geri ödeme opsiyonu tarihleri</w:t>
            </w:r>
          </w:p>
        </w:tc>
        <w:tc>
          <w:tcPr>
            <w:tcW w:w="2135" w:type="dxa"/>
            <w:tcBorders>
              <w:top w:val="nil"/>
              <w:left w:val="nil"/>
              <w:bottom w:val="single" w:sz="4" w:space="0" w:color="auto"/>
              <w:right w:val="single" w:sz="4" w:space="0" w:color="auto"/>
            </w:tcBorders>
            <w:shd w:val="clear" w:color="auto" w:fill="auto"/>
            <w:vAlign w:val="center"/>
            <w:hideMark/>
          </w:tcPr>
          <w:p w14:paraId="2F35A744" w14:textId="77777777" w:rsidR="000D619A" w:rsidRPr="00B0539F" w:rsidRDefault="000D619A" w:rsidP="003F2CDD">
            <w:pPr>
              <w:jc w:val="right"/>
              <w:rPr>
                <w:color w:val="000000"/>
                <w:sz w:val="14"/>
                <w:szCs w:val="18"/>
                <w:lang w:eastAsia="tr-TR"/>
              </w:rPr>
            </w:pPr>
            <w:r w:rsidRPr="00B0539F">
              <w:rPr>
                <w:color w:val="000000"/>
                <w:sz w:val="14"/>
                <w:szCs w:val="18"/>
                <w:lang w:eastAsia="tr-TR"/>
              </w:rPr>
              <w:t>17/02/2021</w:t>
            </w:r>
          </w:p>
        </w:tc>
        <w:tc>
          <w:tcPr>
            <w:tcW w:w="1724" w:type="dxa"/>
            <w:tcBorders>
              <w:top w:val="nil"/>
              <w:left w:val="nil"/>
              <w:bottom w:val="single" w:sz="4" w:space="0" w:color="auto"/>
              <w:right w:val="single" w:sz="4" w:space="0" w:color="auto"/>
            </w:tcBorders>
            <w:shd w:val="clear" w:color="auto" w:fill="auto"/>
            <w:vAlign w:val="center"/>
            <w:hideMark/>
          </w:tcPr>
          <w:p w14:paraId="385EB0BF" w14:textId="77777777" w:rsidR="000D619A" w:rsidRPr="00B0539F" w:rsidRDefault="000D619A" w:rsidP="003F2CDD">
            <w:pPr>
              <w:jc w:val="right"/>
              <w:rPr>
                <w:color w:val="000000"/>
                <w:sz w:val="14"/>
                <w:szCs w:val="18"/>
                <w:lang w:eastAsia="tr-TR"/>
              </w:rPr>
            </w:pPr>
            <w:r w:rsidRPr="00B0539F">
              <w:rPr>
                <w:color w:val="000000"/>
                <w:sz w:val="14"/>
                <w:szCs w:val="18"/>
                <w:lang w:eastAsia="tr-TR"/>
              </w:rPr>
              <w:t>16/07/2024</w:t>
            </w:r>
          </w:p>
        </w:tc>
        <w:tc>
          <w:tcPr>
            <w:tcW w:w="1724" w:type="dxa"/>
            <w:tcBorders>
              <w:top w:val="nil"/>
              <w:left w:val="nil"/>
              <w:bottom w:val="single" w:sz="4" w:space="0" w:color="auto"/>
              <w:right w:val="single" w:sz="4" w:space="0" w:color="auto"/>
            </w:tcBorders>
            <w:shd w:val="clear" w:color="auto" w:fill="auto"/>
            <w:vAlign w:val="center"/>
            <w:hideMark/>
          </w:tcPr>
          <w:p w14:paraId="23AF6F72" w14:textId="77777777" w:rsidR="000D619A" w:rsidRPr="00B0539F" w:rsidRDefault="000D619A" w:rsidP="003F2CDD">
            <w:pPr>
              <w:jc w:val="right"/>
              <w:rPr>
                <w:color w:val="000000"/>
                <w:sz w:val="14"/>
                <w:szCs w:val="18"/>
                <w:lang w:eastAsia="tr-TR"/>
              </w:rPr>
            </w:pPr>
            <w:r w:rsidRPr="00B0539F">
              <w:rPr>
                <w:color w:val="000000"/>
                <w:sz w:val="14"/>
                <w:szCs w:val="18"/>
                <w:lang w:eastAsia="tr-TR"/>
              </w:rPr>
              <w:t>28/09/2025</w:t>
            </w:r>
          </w:p>
        </w:tc>
      </w:tr>
      <w:tr w:rsidR="000D619A" w:rsidRPr="00B0539F" w14:paraId="784FBBBA" w14:textId="77777777" w:rsidTr="00311DAB">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40585257" w14:textId="77777777" w:rsidR="000D619A" w:rsidRPr="00B0539F" w:rsidRDefault="000D619A" w:rsidP="000D619A">
            <w:pPr>
              <w:rPr>
                <w:b/>
                <w:bCs/>
                <w:color w:val="000000"/>
                <w:sz w:val="14"/>
                <w:szCs w:val="18"/>
                <w:lang w:eastAsia="tr-TR"/>
              </w:rPr>
            </w:pPr>
            <w:proofErr w:type="gramStart"/>
            <w:r w:rsidRPr="00B0539F">
              <w:rPr>
                <w:b/>
                <w:bCs/>
                <w:color w:val="000000"/>
                <w:sz w:val="14"/>
                <w:szCs w:val="18"/>
                <w:lang w:eastAsia="tr-TR"/>
              </w:rPr>
              <w:t>Kar</w:t>
            </w:r>
            <w:proofErr w:type="gramEnd"/>
            <w:r w:rsidRPr="00B0539F">
              <w:rPr>
                <w:b/>
                <w:bCs/>
                <w:color w:val="000000"/>
                <w:sz w:val="14"/>
                <w:szCs w:val="18"/>
                <w:lang w:eastAsia="tr-TR"/>
              </w:rPr>
              <w:t xml:space="preserve"> payı/temettü ödemeleri</w:t>
            </w:r>
          </w:p>
        </w:tc>
        <w:tc>
          <w:tcPr>
            <w:tcW w:w="2135" w:type="dxa"/>
            <w:tcBorders>
              <w:top w:val="nil"/>
              <w:left w:val="nil"/>
              <w:bottom w:val="single" w:sz="4" w:space="0" w:color="auto"/>
              <w:right w:val="single" w:sz="4" w:space="0" w:color="auto"/>
            </w:tcBorders>
            <w:shd w:val="clear" w:color="auto" w:fill="D0CECE" w:themeFill="background2" w:themeFillShade="E6"/>
            <w:vAlign w:val="center"/>
            <w:hideMark/>
          </w:tcPr>
          <w:p w14:paraId="175B9A91" w14:textId="3B6CA935" w:rsidR="000D619A" w:rsidRPr="00B0539F" w:rsidRDefault="000D619A" w:rsidP="003F2CDD">
            <w:pPr>
              <w:jc w:val="right"/>
              <w:rPr>
                <w:b/>
                <w:bCs/>
                <w:color w:val="000000"/>
                <w:sz w:val="14"/>
                <w:szCs w:val="18"/>
                <w:lang w:eastAsia="tr-TR"/>
              </w:rPr>
            </w:pPr>
          </w:p>
        </w:tc>
        <w:tc>
          <w:tcPr>
            <w:tcW w:w="1724" w:type="dxa"/>
            <w:tcBorders>
              <w:top w:val="nil"/>
              <w:left w:val="nil"/>
              <w:bottom w:val="single" w:sz="4" w:space="0" w:color="auto"/>
              <w:right w:val="single" w:sz="4" w:space="0" w:color="auto"/>
            </w:tcBorders>
            <w:shd w:val="clear" w:color="auto" w:fill="D0CECE" w:themeFill="background2" w:themeFillShade="E6"/>
            <w:vAlign w:val="center"/>
            <w:hideMark/>
          </w:tcPr>
          <w:p w14:paraId="304560AD" w14:textId="52A42959" w:rsidR="000D619A" w:rsidRPr="00B0539F" w:rsidRDefault="000D619A" w:rsidP="003F2CDD">
            <w:pPr>
              <w:jc w:val="right"/>
              <w:rPr>
                <w:sz w:val="14"/>
                <w:lang w:eastAsia="tr-TR"/>
              </w:rPr>
            </w:pPr>
          </w:p>
        </w:tc>
        <w:tc>
          <w:tcPr>
            <w:tcW w:w="1724" w:type="dxa"/>
            <w:tcBorders>
              <w:top w:val="nil"/>
              <w:left w:val="nil"/>
              <w:bottom w:val="single" w:sz="4" w:space="0" w:color="auto"/>
              <w:right w:val="single" w:sz="4" w:space="0" w:color="auto"/>
            </w:tcBorders>
            <w:shd w:val="clear" w:color="auto" w:fill="D0CECE" w:themeFill="background2" w:themeFillShade="E6"/>
            <w:vAlign w:val="center"/>
            <w:hideMark/>
          </w:tcPr>
          <w:p w14:paraId="709AA8EF" w14:textId="7ED32607" w:rsidR="000D619A" w:rsidRPr="00B0539F" w:rsidRDefault="000D619A" w:rsidP="003F2CDD">
            <w:pPr>
              <w:jc w:val="right"/>
              <w:rPr>
                <w:sz w:val="14"/>
                <w:lang w:eastAsia="tr-TR"/>
              </w:rPr>
            </w:pPr>
          </w:p>
        </w:tc>
      </w:tr>
      <w:tr w:rsidR="000D619A" w:rsidRPr="00B0539F" w14:paraId="1B872446"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25E1C5C8" w14:textId="77777777" w:rsidR="000D619A" w:rsidRPr="00B0539F" w:rsidRDefault="000D619A" w:rsidP="000D619A">
            <w:pPr>
              <w:rPr>
                <w:color w:val="000000"/>
                <w:sz w:val="14"/>
                <w:szCs w:val="18"/>
                <w:lang w:eastAsia="tr-TR"/>
              </w:rPr>
            </w:pPr>
            <w:r w:rsidRPr="00B0539F">
              <w:rPr>
                <w:color w:val="000000"/>
                <w:sz w:val="14"/>
                <w:szCs w:val="18"/>
                <w:lang w:eastAsia="tr-TR"/>
              </w:rPr>
              <w:t xml:space="preserve">Sabit ya da değişken </w:t>
            </w:r>
            <w:proofErr w:type="gramStart"/>
            <w:r w:rsidRPr="00B0539F">
              <w:rPr>
                <w:color w:val="000000"/>
                <w:sz w:val="14"/>
                <w:szCs w:val="18"/>
                <w:lang w:eastAsia="tr-TR"/>
              </w:rPr>
              <w:t>kar</w:t>
            </w:r>
            <w:proofErr w:type="gramEnd"/>
            <w:r w:rsidRPr="00B0539F">
              <w:rPr>
                <w:color w:val="000000"/>
                <w:sz w:val="14"/>
                <w:szCs w:val="18"/>
                <w:lang w:eastAsia="tr-TR"/>
              </w:rPr>
              <w:t xml:space="preserve"> payı/temettü ödemeleri</w:t>
            </w:r>
          </w:p>
        </w:tc>
        <w:tc>
          <w:tcPr>
            <w:tcW w:w="2135" w:type="dxa"/>
            <w:tcBorders>
              <w:top w:val="nil"/>
              <w:left w:val="nil"/>
              <w:bottom w:val="single" w:sz="4" w:space="0" w:color="auto"/>
              <w:right w:val="single" w:sz="4" w:space="0" w:color="auto"/>
            </w:tcBorders>
            <w:shd w:val="clear" w:color="auto" w:fill="auto"/>
            <w:vAlign w:val="center"/>
            <w:hideMark/>
          </w:tcPr>
          <w:p w14:paraId="616D6332" w14:textId="77777777" w:rsidR="000D619A" w:rsidRPr="00B0539F" w:rsidRDefault="000D619A" w:rsidP="003F2CDD">
            <w:pPr>
              <w:jc w:val="right"/>
              <w:rPr>
                <w:color w:val="000000"/>
                <w:sz w:val="14"/>
                <w:szCs w:val="18"/>
                <w:lang w:eastAsia="tr-TR"/>
              </w:rPr>
            </w:pPr>
            <w:r w:rsidRPr="00B0539F">
              <w:rPr>
                <w:color w:val="000000"/>
                <w:sz w:val="14"/>
                <w:szCs w:val="18"/>
                <w:lang w:eastAsia="tr-TR"/>
              </w:rPr>
              <w:t xml:space="preserve">Sabit </w:t>
            </w:r>
            <w:proofErr w:type="spellStart"/>
            <w:r w:rsidRPr="00B0539F">
              <w:rPr>
                <w:color w:val="000000"/>
                <w:sz w:val="14"/>
                <w:szCs w:val="18"/>
                <w:lang w:eastAsia="tr-TR"/>
              </w:rPr>
              <w:t>Karpayı</w:t>
            </w:r>
            <w:proofErr w:type="spellEnd"/>
            <w:r w:rsidRPr="00B0539F">
              <w:rPr>
                <w:color w:val="000000"/>
                <w:sz w:val="14"/>
                <w:szCs w:val="18"/>
                <w:lang w:eastAsia="tr-TR"/>
              </w:rPr>
              <w:t xml:space="preserve"> ödemeleri</w:t>
            </w:r>
          </w:p>
        </w:tc>
        <w:tc>
          <w:tcPr>
            <w:tcW w:w="1724" w:type="dxa"/>
            <w:tcBorders>
              <w:top w:val="nil"/>
              <w:left w:val="nil"/>
              <w:bottom w:val="single" w:sz="4" w:space="0" w:color="auto"/>
              <w:right w:val="single" w:sz="4" w:space="0" w:color="auto"/>
            </w:tcBorders>
            <w:shd w:val="clear" w:color="auto" w:fill="auto"/>
            <w:vAlign w:val="center"/>
            <w:hideMark/>
          </w:tcPr>
          <w:p w14:paraId="3C835154" w14:textId="77777777" w:rsidR="000D619A" w:rsidRPr="00B0539F" w:rsidRDefault="000D619A" w:rsidP="003F2CDD">
            <w:pPr>
              <w:jc w:val="right"/>
              <w:rPr>
                <w:color w:val="000000"/>
                <w:sz w:val="14"/>
                <w:szCs w:val="18"/>
                <w:lang w:eastAsia="tr-TR"/>
              </w:rPr>
            </w:pPr>
            <w:r w:rsidRPr="00B0539F">
              <w:rPr>
                <w:color w:val="000000"/>
                <w:sz w:val="14"/>
                <w:szCs w:val="18"/>
                <w:lang w:eastAsia="tr-TR"/>
              </w:rPr>
              <w:t xml:space="preserve">Sabit </w:t>
            </w:r>
            <w:proofErr w:type="spellStart"/>
            <w:r w:rsidRPr="00B0539F">
              <w:rPr>
                <w:color w:val="000000"/>
                <w:sz w:val="14"/>
                <w:szCs w:val="18"/>
                <w:lang w:eastAsia="tr-TR"/>
              </w:rPr>
              <w:t>Karpayı</w:t>
            </w:r>
            <w:proofErr w:type="spellEnd"/>
            <w:r w:rsidRPr="00B0539F">
              <w:rPr>
                <w:color w:val="000000"/>
                <w:sz w:val="14"/>
                <w:szCs w:val="18"/>
                <w:lang w:eastAsia="tr-TR"/>
              </w:rPr>
              <w:t xml:space="preserve"> ödemeleri</w:t>
            </w:r>
          </w:p>
        </w:tc>
        <w:tc>
          <w:tcPr>
            <w:tcW w:w="1724" w:type="dxa"/>
            <w:tcBorders>
              <w:top w:val="nil"/>
              <w:left w:val="nil"/>
              <w:bottom w:val="single" w:sz="4" w:space="0" w:color="auto"/>
              <w:right w:val="single" w:sz="4" w:space="0" w:color="auto"/>
            </w:tcBorders>
            <w:shd w:val="clear" w:color="auto" w:fill="auto"/>
            <w:vAlign w:val="center"/>
            <w:hideMark/>
          </w:tcPr>
          <w:p w14:paraId="14D3C707" w14:textId="77777777" w:rsidR="000D619A" w:rsidRPr="00B0539F" w:rsidRDefault="000D619A" w:rsidP="003F2CDD">
            <w:pPr>
              <w:jc w:val="right"/>
              <w:rPr>
                <w:color w:val="000000"/>
                <w:sz w:val="14"/>
                <w:szCs w:val="18"/>
                <w:lang w:eastAsia="tr-TR"/>
              </w:rPr>
            </w:pPr>
            <w:r w:rsidRPr="00B0539F">
              <w:rPr>
                <w:color w:val="000000"/>
                <w:sz w:val="14"/>
                <w:szCs w:val="18"/>
                <w:lang w:eastAsia="tr-TR"/>
              </w:rPr>
              <w:t xml:space="preserve">Sabit </w:t>
            </w:r>
            <w:proofErr w:type="spellStart"/>
            <w:r w:rsidRPr="00B0539F">
              <w:rPr>
                <w:color w:val="000000"/>
                <w:sz w:val="14"/>
                <w:szCs w:val="18"/>
                <w:lang w:eastAsia="tr-TR"/>
              </w:rPr>
              <w:t>Karpayı</w:t>
            </w:r>
            <w:proofErr w:type="spellEnd"/>
            <w:r w:rsidRPr="00B0539F">
              <w:rPr>
                <w:color w:val="000000"/>
                <w:sz w:val="14"/>
                <w:szCs w:val="18"/>
                <w:lang w:eastAsia="tr-TR"/>
              </w:rPr>
              <w:t xml:space="preserve"> ödemeleri</w:t>
            </w:r>
          </w:p>
        </w:tc>
      </w:tr>
      <w:tr w:rsidR="000D619A" w:rsidRPr="00B0539F" w14:paraId="167CE81B"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2A8744E8" w14:textId="77777777" w:rsidR="000D619A" w:rsidRPr="00B0539F" w:rsidRDefault="000D619A" w:rsidP="000D619A">
            <w:pPr>
              <w:rPr>
                <w:color w:val="000000"/>
                <w:sz w:val="14"/>
                <w:szCs w:val="18"/>
                <w:lang w:eastAsia="tr-TR"/>
              </w:rPr>
            </w:pPr>
            <w:proofErr w:type="gramStart"/>
            <w:r w:rsidRPr="00B0539F">
              <w:rPr>
                <w:color w:val="000000"/>
                <w:sz w:val="14"/>
                <w:szCs w:val="18"/>
                <w:lang w:eastAsia="tr-TR"/>
              </w:rPr>
              <w:t>Kar</w:t>
            </w:r>
            <w:proofErr w:type="gramEnd"/>
            <w:r w:rsidRPr="00B0539F">
              <w:rPr>
                <w:color w:val="000000"/>
                <w:sz w:val="14"/>
                <w:szCs w:val="18"/>
                <w:lang w:eastAsia="tr-TR"/>
              </w:rPr>
              <w:t xml:space="preserve"> payı oranı ve kar payı oranına ilişkin endeks değeri</w:t>
            </w:r>
          </w:p>
        </w:tc>
        <w:tc>
          <w:tcPr>
            <w:tcW w:w="2135" w:type="dxa"/>
            <w:tcBorders>
              <w:top w:val="nil"/>
              <w:left w:val="nil"/>
              <w:bottom w:val="single" w:sz="4" w:space="0" w:color="auto"/>
              <w:right w:val="single" w:sz="4" w:space="0" w:color="auto"/>
            </w:tcBorders>
            <w:shd w:val="clear" w:color="auto" w:fill="auto"/>
            <w:vAlign w:val="center"/>
            <w:hideMark/>
          </w:tcPr>
          <w:p w14:paraId="226B49F5" w14:textId="77777777" w:rsidR="000D619A" w:rsidRPr="00B0539F" w:rsidRDefault="000D619A" w:rsidP="003F2CDD">
            <w:pPr>
              <w:jc w:val="right"/>
              <w:rPr>
                <w:color w:val="000000"/>
                <w:sz w:val="14"/>
                <w:szCs w:val="18"/>
                <w:lang w:eastAsia="tr-TR"/>
              </w:rPr>
            </w:pPr>
            <w:r w:rsidRPr="00B0539F">
              <w:rPr>
                <w:color w:val="000000"/>
                <w:sz w:val="14"/>
                <w:szCs w:val="18"/>
                <w:lang w:eastAsia="tr-TR"/>
              </w:rPr>
              <w:t>7.90%</w:t>
            </w:r>
          </w:p>
        </w:tc>
        <w:tc>
          <w:tcPr>
            <w:tcW w:w="1724" w:type="dxa"/>
            <w:tcBorders>
              <w:top w:val="nil"/>
              <w:left w:val="nil"/>
              <w:bottom w:val="single" w:sz="4" w:space="0" w:color="auto"/>
              <w:right w:val="single" w:sz="4" w:space="0" w:color="auto"/>
            </w:tcBorders>
            <w:shd w:val="clear" w:color="auto" w:fill="auto"/>
            <w:vAlign w:val="center"/>
            <w:hideMark/>
          </w:tcPr>
          <w:p w14:paraId="0900EF09" w14:textId="77777777" w:rsidR="000D619A" w:rsidRPr="00B0539F" w:rsidRDefault="000D619A" w:rsidP="003F2CDD">
            <w:pPr>
              <w:jc w:val="right"/>
              <w:rPr>
                <w:color w:val="000000"/>
                <w:sz w:val="14"/>
                <w:szCs w:val="18"/>
                <w:lang w:eastAsia="tr-TR"/>
              </w:rPr>
            </w:pPr>
            <w:r w:rsidRPr="00B0539F">
              <w:rPr>
                <w:color w:val="000000"/>
                <w:sz w:val="14"/>
                <w:szCs w:val="18"/>
                <w:lang w:eastAsia="tr-TR"/>
              </w:rPr>
              <w:t>9.13%</w:t>
            </w:r>
          </w:p>
        </w:tc>
        <w:tc>
          <w:tcPr>
            <w:tcW w:w="1724" w:type="dxa"/>
            <w:tcBorders>
              <w:top w:val="nil"/>
              <w:left w:val="nil"/>
              <w:bottom w:val="single" w:sz="4" w:space="0" w:color="auto"/>
              <w:right w:val="single" w:sz="4" w:space="0" w:color="auto"/>
            </w:tcBorders>
            <w:shd w:val="clear" w:color="auto" w:fill="auto"/>
            <w:vAlign w:val="center"/>
            <w:hideMark/>
          </w:tcPr>
          <w:p w14:paraId="03DED423" w14:textId="77777777" w:rsidR="000D619A" w:rsidRPr="00B0539F" w:rsidRDefault="000D619A" w:rsidP="003F2CDD">
            <w:pPr>
              <w:jc w:val="right"/>
              <w:rPr>
                <w:color w:val="000000"/>
                <w:sz w:val="14"/>
                <w:szCs w:val="18"/>
                <w:lang w:eastAsia="tr-TR"/>
              </w:rPr>
            </w:pPr>
            <w:r w:rsidRPr="00B0539F">
              <w:rPr>
                <w:color w:val="000000"/>
                <w:sz w:val="14"/>
                <w:szCs w:val="18"/>
                <w:lang w:eastAsia="tr-TR"/>
              </w:rPr>
              <w:t>9.95%</w:t>
            </w:r>
          </w:p>
        </w:tc>
      </w:tr>
      <w:tr w:rsidR="000D619A" w:rsidRPr="00B0539F" w14:paraId="0F0CB9F6"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50E11FC9" w14:textId="77777777" w:rsidR="000D619A" w:rsidRPr="00B0539F" w:rsidRDefault="000D619A" w:rsidP="000D619A">
            <w:pPr>
              <w:rPr>
                <w:color w:val="000000"/>
                <w:sz w:val="14"/>
                <w:szCs w:val="18"/>
                <w:lang w:eastAsia="tr-TR"/>
              </w:rPr>
            </w:pPr>
            <w:r w:rsidRPr="00B0539F">
              <w:rPr>
                <w:color w:val="000000"/>
                <w:sz w:val="14"/>
                <w:szCs w:val="18"/>
                <w:lang w:eastAsia="tr-TR"/>
              </w:rPr>
              <w:t>Temettü ödemesini durduran herhangi bir kısıtlamanın var olup olmadığı</w:t>
            </w:r>
          </w:p>
        </w:tc>
        <w:tc>
          <w:tcPr>
            <w:tcW w:w="2135" w:type="dxa"/>
            <w:tcBorders>
              <w:top w:val="nil"/>
              <w:left w:val="nil"/>
              <w:bottom w:val="single" w:sz="4" w:space="0" w:color="auto"/>
              <w:right w:val="single" w:sz="4" w:space="0" w:color="auto"/>
            </w:tcBorders>
            <w:shd w:val="clear" w:color="auto" w:fill="auto"/>
            <w:vAlign w:val="center"/>
            <w:hideMark/>
          </w:tcPr>
          <w:p w14:paraId="678D42E6" w14:textId="77777777" w:rsidR="000D619A" w:rsidRPr="00B0539F" w:rsidRDefault="000D619A" w:rsidP="003F2CDD">
            <w:pPr>
              <w:jc w:val="right"/>
              <w:rPr>
                <w:color w:val="000000"/>
                <w:sz w:val="14"/>
                <w:szCs w:val="18"/>
                <w:lang w:eastAsia="tr-TR"/>
              </w:rPr>
            </w:pPr>
            <w:r w:rsidRPr="00B0539F">
              <w:rPr>
                <w:color w:val="000000"/>
                <w:sz w:val="14"/>
                <w:szCs w:val="18"/>
                <w:lang w:eastAsia="tr-TR"/>
              </w:rPr>
              <w:t>Yok</w:t>
            </w:r>
          </w:p>
        </w:tc>
        <w:tc>
          <w:tcPr>
            <w:tcW w:w="1724" w:type="dxa"/>
            <w:tcBorders>
              <w:top w:val="nil"/>
              <w:left w:val="nil"/>
              <w:bottom w:val="single" w:sz="4" w:space="0" w:color="auto"/>
              <w:right w:val="single" w:sz="4" w:space="0" w:color="auto"/>
            </w:tcBorders>
            <w:shd w:val="clear" w:color="auto" w:fill="auto"/>
            <w:vAlign w:val="center"/>
            <w:hideMark/>
          </w:tcPr>
          <w:p w14:paraId="314C6C70" w14:textId="77777777" w:rsidR="000D619A" w:rsidRPr="00B0539F" w:rsidRDefault="000D619A" w:rsidP="003F2CDD">
            <w:pPr>
              <w:jc w:val="right"/>
              <w:rPr>
                <w:color w:val="000000"/>
                <w:sz w:val="14"/>
                <w:szCs w:val="18"/>
                <w:lang w:eastAsia="tr-TR"/>
              </w:rPr>
            </w:pPr>
            <w:r w:rsidRPr="00B0539F">
              <w:rPr>
                <w:color w:val="000000"/>
                <w:sz w:val="14"/>
                <w:szCs w:val="18"/>
                <w:lang w:eastAsia="tr-TR"/>
              </w:rPr>
              <w:t>Yok</w:t>
            </w:r>
          </w:p>
        </w:tc>
        <w:tc>
          <w:tcPr>
            <w:tcW w:w="1724" w:type="dxa"/>
            <w:tcBorders>
              <w:top w:val="nil"/>
              <w:left w:val="nil"/>
              <w:bottom w:val="single" w:sz="4" w:space="0" w:color="auto"/>
              <w:right w:val="single" w:sz="4" w:space="0" w:color="auto"/>
            </w:tcBorders>
            <w:shd w:val="clear" w:color="auto" w:fill="auto"/>
            <w:vAlign w:val="center"/>
            <w:hideMark/>
          </w:tcPr>
          <w:p w14:paraId="5BE8DA54" w14:textId="77777777" w:rsidR="000D619A" w:rsidRPr="00B0539F" w:rsidRDefault="000D619A" w:rsidP="003F2CDD">
            <w:pPr>
              <w:jc w:val="right"/>
              <w:rPr>
                <w:color w:val="000000"/>
                <w:sz w:val="14"/>
                <w:szCs w:val="18"/>
                <w:lang w:eastAsia="tr-TR"/>
              </w:rPr>
            </w:pPr>
            <w:r w:rsidRPr="00B0539F">
              <w:rPr>
                <w:color w:val="000000"/>
                <w:sz w:val="14"/>
                <w:szCs w:val="18"/>
                <w:lang w:eastAsia="tr-TR"/>
              </w:rPr>
              <w:t>Yok</w:t>
            </w:r>
          </w:p>
        </w:tc>
      </w:tr>
      <w:tr w:rsidR="000D619A" w:rsidRPr="00B0539F" w14:paraId="1DF76AC8"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7646C5FD" w14:textId="77777777" w:rsidR="000D619A" w:rsidRPr="00B0539F" w:rsidRDefault="000D619A" w:rsidP="000D619A">
            <w:pPr>
              <w:rPr>
                <w:color w:val="000000"/>
                <w:sz w:val="14"/>
                <w:szCs w:val="18"/>
                <w:lang w:eastAsia="tr-TR"/>
              </w:rPr>
            </w:pPr>
            <w:r w:rsidRPr="00B0539F">
              <w:rPr>
                <w:color w:val="000000"/>
                <w:sz w:val="14"/>
                <w:szCs w:val="18"/>
                <w:lang w:eastAsia="tr-TR"/>
              </w:rPr>
              <w:t>Tamamen isteğe bağlı, kısmen isteğe bağlı ya da mecburi olma özelliği</w:t>
            </w:r>
          </w:p>
        </w:tc>
        <w:tc>
          <w:tcPr>
            <w:tcW w:w="2135" w:type="dxa"/>
            <w:tcBorders>
              <w:top w:val="nil"/>
              <w:left w:val="nil"/>
              <w:bottom w:val="single" w:sz="4" w:space="0" w:color="auto"/>
              <w:right w:val="single" w:sz="4" w:space="0" w:color="auto"/>
            </w:tcBorders>
            <w:shd w:val="clear" w:color="auto" w:fill="auto"/>
            <w:vAlign w:val="center"/>
            <w:hideMark/>
          </w:tcPr>
          <w:p w14:paraId="142680E3" w14:textId="77777777" w:rsidR="000D619A" w:rsidRPr="00B0539F" w:rsidRDefault="000D619A" w:rsidP="003F2CDD">
            <w:pPr>
              <w:jc w:val="right"/>
              <w:rPr>
                <w:color w:val="000000"/>
                <w:sz w:val="14"/>
                <w:szCs w:val="18"/>
                <w:lang w:eastAsia="tr-TR"/>
              </w:rPr>
            </w:pPr>
            <w:r w:rsidRPr="00B0539F">
              <w:rPr>
                <w:color w:val="000000"/>
                <w:sz w:val="14"/>
                <w:szCs w:val="18"/>
                <w:lang w:eastAsia="tr-TR"/>
              </w:rPr>
              <w:t>Mecburi</w:t>
            </w:r>
          </w:p>
        </w:tc>
        <w:tc>
          <w:tcPr>
            <w:tcW w:w="1724" w:type="dxa"/>
            <w:tcBorders>
              <w:top w:val="nil"/>
              <w:left w:val="nil"/>
              <w:bottom w:val="single" w:sz="4" w:space="0" w:color="auto"/>
              <w:right w:val="single" w:sz="4" w:space="0" w:color="auto"/>
            </w:tcBorders>
            <w:shd w:val="clear" w:color="auto" w:fill="auto"/>
            <w:vAlign w:val="center"/>
            <w:hideMark/>
          </w:tcPr>
          <w:p w14:paraId="242B2F40" w14:textId="77777777" w:rsidR="000D619A" w:rsidRPr="00B0539F" w:rsidRDefault="000D619A" w:rsidP="003F2CDD">
            <w:pPr>
              <w:jc w:val="right"/>
              <w:rPr>
                <w:color w:val="000000"/>
                <w:sz w:val="14"/>
                <w:szCs w:val="18"/>
                <w:lang w:eastAsia="tr-TR"/>
              </w:rPr>
            </w:pPr>
            <w:r w:rsidRPr="00B0539F">
              <w:rPr>
                <w:color w:val="000000"/>
                <w:sz w:val="14"/>
                <w:szCs w:val="18"/>
                <w:lang w:eastAsia="tr-TR"/>
              </w:rPr>
              <w:t>Mecburi</w:t>
            </w:r>
          </w:p>
        </w:tc>
        <w:tc>
          <w:tcPr>
            <w:tcW w:w="1724" w:type="dxa"/>
            <w:tcBorders>
              <w:top w:val="nil"/>
              <w:left w:val="nil"/>
              <w:bottom w:val="single" w:sz="4" w:space="0" w:color="auto"/>
              <w:right w:val="single" w:sz="4" w:space="0" w:color="auto"/>
            </w:tcBorders>
            <w:shd w:val="clear" w:color="auto" w:fill="auto"/>
            <w:vAlign w:val="center"/>
            <w:hideMark/>
          </w:tcPr>
          <w:p w14:paraId="27C0793A" w14:textId="77777777" w:rsidR="000D619A" w:rsidRPr="00B0539F" w:rsidRDefault="000D619A" w:rsidP="003F2CDD">
            <w:pPr>
              <w:jc w:val="right"/>
              <w:rPr>
                <w:color w:val="000000"/>
                <w:sz w:val="14"/>
                <w:szCs w:val="18"/>
                <w:lang w:eastAsia="tr-TR"/>
              </w:rPr>
            </w:pPr>
            <w:r w:rsidRPr="00B0539F">
              <w:rPr>
                <w:color w:val="000000"/>
                <w:sz w:val="14"/>
                <w:szCs w:val="18"/>
                <w:lang w:eastAsia="tr-TR"/>
              </w:rPr>
              <w:t>Mecburi</w:t>
            </w:r>
          </w:p>
        </w:tc>
      </w:tr>
      <w:tr w:rsidR="000D619A" w:rsidRPr="00B0539F" w14:paraId="3624C82C"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37C843C9" w14:textId="77777777" w:rsidR="000D619A" w:rsidRPr="00B0539F" w:rsidRDefault="000D619A" w:rsidP="000D619A">
            <w:pPr>
              <w:rPr>
                <w:color w:val="000000"/>
                <w:sz w:val="14"/>
                <w:szCs w:val="18"/>
                <w:lang w:eastAsia="tr-TR"/>
              </w:rPr>
            </w:pPr>
            <w:proofErr w:type="gramStart"/>
            <w:r w:rsidRPr="00B0539F">
              <w:rPr>
                <w:color w:val="000000"/>
                <w:sz w:val="14"/>
                <w:szCs w:val="18"/>
                <w:lang w:eastAsia="tr-TR"/>
              </w:rPr>
              <w:t>Kar</w:t>
            </w:r>
            <w:proofErr w:type="gramEnd"/>
            <w:r w:rsidRPr="00B0539F">
              <w:rPr>
                <w:color w:val="000000"/>
                <w:sz w:val="14"/>
                <w:szCs w:val="18"/>
                <w:lang w:eastAsia="tr-TR"/>
              </w:rPr>
              <w:t xml:space="preserve"> payı oranı artırımı gibi geri ödemeyi teşvik edecek bir unsurun olup olmadığı</w:t>
            </w:r>
          </w:p>
        </w:tc>
        <w:tc>
          <w:tcPr>
            <w:tcW w:w="2135" w:type="dxa"/>
            <w:tcBorders>
              <w:top w:val="nil"/>
              <w:left w:val="nil"/>
              <w:bottom w:val="single" w:sz="4" w:space="0" w:color="auto"/>
              <w:right w:val="single" w:sz="4" w:space="0" w:color="auto"/>
            </w:tcBorders>
            <w:shd w:val="clear" w:color="auto" w:fill="auto"/>
            <w:vAlign w:val="center"/>
            <w:hideMark/>
          </w:tcPr>
          <w:p w14:paraId="18DD5AA7" w14:textId="77777777" w:rsidR="000D619A" w:rsidRPr="00B0539F" w:rsidRDefault="000D619A" w:rsidP="003F2CDD">
            <w:pPr>
              <w:jc w:val="right"/>
              <w:rPr>
                <w:color w:val="000000"/>
                <w:sz w:val="14"/>
                <w:szCs w:val="18"/>
                <w:lang w:eastAsia="tr-TR"/>
              </w:rPr>
            </w:pPr>
            <w:r w:rsidRPr="00B0539F">
              <w:rPr>
                <w:color w:val="000000"/>
                <w:sz w:val="14"/>
                <w:szCs w:val="18"/>
                <w:lang w:eastAsia="tr-TR"/>
              </w:rPr>
              <w:t>Yok</w:t>
            </w:r>
          </w:p>
        </w:tc>
        <w:tc>
          <w:tcPr>
            <w:tcW w:w="1724" w:type="dxa"/>
            <w:tcBorders>
              <w:top w:val="nil"/>
              <w:left w:val="nil"/>
              <w:bottom w:val="single" w:sz="4" w:space="0" w:color="auto"/>
              <w:right w:val="single" w:sz="4" w:space="0" w:color="auto"/>
            </w:tcBorders>
            <w:shd w:val="clear" w:color="auto" w:fill="auto"/>
            <w:vAlign w:val="center"/>
            <w:hideMark/>
          </w:tcPr>
          <w:p w14:paraId="7EEB69F8" w14:textId="77777777" w:rsidR="000D619A" w:rsidRPr="00B0539F" w:rsidRDefault="000D619A" w:rsidP="003F2CDD">
            <w:pPr>
              <w:jc w:val="right"/>
              <w:rPr>
                <w:color w:val="000000"/>
                <w:sz w:val="14"/>
                <w:szCs w:val="18"/>
                <w:lang w:eastAsia="tr-TR"/>
              </w:rPr>
            </w:pPr>
            <w:r w:rsidRPr="00B0539F">
              <w:rPr>
                <w:color w:val="000000"/>
                <w:sz w:val="14"/>
                <w:szCs w:val="18"/>
                <w:lang w:eastAsia="tr-TR"/>
              </w:rPr>
              <w:t>Yok</w:t>
            </w:r>
          </w:p>
        </w:tc>
        <w:tc>
          <w:tcPr>
            <w:tcW w:w="1724" w:type="dxa"/>
            <w:tcBorders>
              <w:top w:val="nil"/>
              <w:left w:val="nil"/>
              <w:bottom w:val="single" w:sz="4" w:space="0" w:color="auto"/>
              <w:right w:val="single" w:sz="4" w:space="0" w:color="auto"/>
            </w:tcBorders>
            <w:shd w:val="clear" w:color="auto" w:fill="auto"/>
            <w:vAlign w:val="center"/>
            <w:hideMark/>
          </w:tcPr>
          <w:p w14:paraId="284D3CDE" w14:textId="77777777" w:rsidR="000D619A" w:rsidRPr="00B0539F" w:rsidRDefault="000D619A" w:rsidP="003F2CDD">
            <w:pPr>
              <w:jc w:val="right"/>
              <w:rPr>
                <w:color w:val="000000"/>
                <w:sz w:val="14"/>
                <w:szCs w:val="18"/>
                <w:lang w:eastAsia="tr-TR"/>
              </w:rPr>
            </w:pPr>
            <w:r w:rsidRPr="00B0539F">
              <w:rPr>
                <w:color w:val="000000"/>
                <w:sz w:val="14"/>
                <w:szCs w:val="18"/>
                <w:lang w:eastAsia="tr-TR"/>
              </w:rPr>
              <w:t>Yok</w:t>
            </w:r>
          </w:p>
        </w:tc>
      </w:tr>
      <w:tr w:rsidR="000D619A" w:rsidRPr="00B0539F" w14:paraId="30BF23A7"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3C200A50" w14:textId="77777777" w:rsidR="000D619A" w:rsidRPr="00B0539F" w:rsidRDefault="000D619A" w:rsidP="000D619A">
            <w:pPr>
              <w:rPr>
                <w:color w:val="000000"/>
                <w:sz w:val="14"/>
                <w:szCs w:val="18"/>
                <w:lang w:eastAsia="tr-TR"/>
              </w:rPr>
            </w:pPr>
            <w:r w:rsidRPr="00B0539F">
              <w:rPr>
                <w:color w:val="000000"/>
                <w:sz w:val="14"/>
                <w:szCs w:val="18"/>
                <w:lang w:eastAsia="tr-TR"/>
              </w:rPr>
              <w:t>Birikimsiz ya da birikimli olma özelliği</w:t>
            </w:r>
          </w:p>
        </w:tc>
        <w:tc>
          <w:tcPr>
            <w:tcW w:w="2135" w:type="dxa"/>
            <w:tcBorders>
              <w:top w:val="nil"/>
              <w:left w:val="nil"/>
              <w:bottom w:val="single" w:sz="4" w:space="0" w:color="auto"/>
              <w:right w:val="single" w:sz="4" w:space="0" w:color="auto"/>
            </w:tcBorders>
            <w:shd w:val="clear" w:color="auto" w:fill="auto"/>
            <w:vAlign w:val="center"/>
            <w:hideMark/>
          </w:tcPr>
          <w:p w14:paraId="34388018" w14:textId="77777777" w:rsidR="000D619A" w:rsidRPr="00B0539F" w:rsidRDefault="000D619A" w:rsidP="003F2CDD">
            <w:pPr>
              <w:jc w:val="right"/>
              <w:rPr>
                <w:color w:val="000000"/>
                <w:sz w:val="14"/>
                <w:szCs w:val="18"/>
                <w:lang w:eastAsia="tr-TR"/>
              </w:rPr>
            </w:pPr>
            <w:r w:rsidRPr="00B0539F">
              <w:rPr>
                <w:color w:val="000000"/>
                <w:sz w:val="14"/>
                <w:szCs w:val="18"/>
                <w:lang w:eastAsia="tr-TR"/>
              </w:rPr>
              <w:t>Birikimsiz</w:t>
            </w:r>
          </w:p>
        </w:tc>
        <w:tc>
          <w:tcPr>
            <w:tcW w:w="1724" w:type="dxa"/>
            <w:tcBorders>
              <w:top w:val="nil"/>
              <w:left w:val="nil"/>
              <w:bottom w:val="single" w:sz="4" w:space="0" w:color="auto"/>
              <w:right w:val="single" w:sz="4" w:space="0" w:color="auto"/>
            </w:tcBorders>
            <w:shd w:val="clear" w:color="auto" w:fill="auto"/>
            <w:vAlign w:val="center"/>
            <w:hideMark/>
          </w:tcPr>
          <w:p w14:paraId="7696FB2C" w14:textId="77777777" w:rsidR="000D619A" w:rsidRPr="00B0539F" w:rsidRDefault="000D619A" w:rsidP="003F2CDD">
            <w:pPr>
              <w:jc w:val="right"/>
              <w:rPr>
                <w:color w:val="000000"/>
                <w:sz w:val="14"/>
                <w:szCs w:val="18"/>
                <w:lang w:eastAsia="tr-TR"/>
              </w:rPr>
            </w:pPr>
            <w:r w:rsidRPr="00B0539F">
              <w:rPr>
                <w:color w:val="000000"/>
                <w:sz w:val="14"/>
                <w:szCs w:val="18"/>
                <w:lang w:eastAsia="tr-TR"/>
              </w:rPr>
              <w:t>Birikimsiz</w:t>
            </w:r>
          </w:p>
        </w:tc>
        <w:tc>
          <w:tcPr>
            <w:tcW w:w="1724" w:type="dxa"/>
            <w:tcBorders>
              <w:top w:val="nil"/>
              <w:left w:val="nil"/>
              <w:bottom w:val="single" w:sz="4" w:space="0" w:color="auto"/>
              <w:right w:val="single" w:sz="4" w:space="0" w:color="auto"/>
            </w:tcBorders>
            <w:shd w:val="clear" w:color="auto" w:fill="auto"/>
            <w:vAlign w:val="center"/>
            <w:hideMark/>
          </w:tcPr>
          <w:p w14:paraId="192EBAC0" w14:textId="77777777" w:rsidR="000D619A" w:rsidRPr="00B0539F" w:rsidRDefault="000D619A" w:rsidP="003F2CDD">
            <w:pPr>
              <w:jc w:val="right"/>
              <w:rPr>
                <w:color w:val="000000"/>
                <w:sz w:val="14"/>
                <w:szCs w:val="18"/>
                <w:lang w:eastAsia="tr-TR"/>
              </w:rPr>
            </w:pPr>
            <w:r w:rsidRPr="00B0539F">
              <w:rPr>
                <w:color w:val="000000"/>
                <w:sz w:val="14"/>
                <w:szCs w:val="18"/>
                <w:lang w:eastAsia="tr-TR"/>
              </w:rPr>
              <w:t>Birikimsiz</w:t>
            </w:r>
          </w:p>
        </w:tc>
      </w:tr>
      <w:tr w:rsidR="000D619A" w:rsidRPr="00B0539F" w14:paraId="581D2533" w14:textId="77777777" w:rsidTr="00311DAB">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2FC79795" w14:textId="77777777" w:rsidR="000D619A" w:rsidRPr="00B0539F" w:rsidRDefault="000D619A" w:rsidP="000D619A">
            <w:pPr>
              <w:rPr>
                <w:b/>
                <w:bCs/>
                <w:color w:val="000000"/>
                <w:sz w:val="14"/>
                <w:szCs w:val="18"/>
                <w:lang w:eastAsia="tr-TR"/>
              </w:rPr>
            </w:pPr>
            <w:r w:rsidRPr="00B0539F">
              <w:rPr>
                <w:b/>
                <w:bCs/>
                <w:color w:val="000000"/>
                <w:sz w:val="14"/>
                <w:szCs w:val="18"/>
                <w:lang w:eastAsia="tr-TR"/>
              </w:rPr>
              <w:t>Hisse senedine dönüştürülebilme özelliği</w:t>
            </w:r>
          </w:p>
        </w:tc>
        <w:tc>
          <w:tcPr>
            <w:tcW w:w="2135" w:type="dxa"/>
            <w:tcBorders>
              <w:top w:val="nil"/>
              <w:left w:val="nil"/>
              <w:bottom w:val="single" w:sz="4" w:space="0" w:color="auto"/>
              <w:right w:val="single" w:sz="4" w:space="0" w:color="auto"/>
            </w:tcBorders>
            <w:shd w:val="clear" w:color="auto" w:fill="D0CECE" w:themeFill="background2" w:themeFillShade="E6"/>
            <w:vAlign w:val="center"/>
            <w:hideMark/>
          </w:tcPr>
          <w:p w14:paraId="170F07C6" w14:textId="0566CD90" w:rsidR="000D619A" w:rsidRPr="00B0539F" w:rsidRDefault="000D619A" w:rsidP="003F2CDD">
            <w:pPr>
              <w:jc w:val="right"/>
              <w:rPr>
                <w:b/>
                <w:bCs/>
                <w:color w:val="000000"/>
                <w:sz w:val="14"/>
                <w:szCs w:val="18"/>
                <w:lang w:eastAsia="tr-TR"/>
              </w:rPr>
            </w:pPr>
          </w:p>
        </w:tc>
        <w:tc>
          <w:tcPr>
            <w:tcW w:w="1724" w:type="dxa"/>
            <w:tcBorders>
              <w:top w:val="nil"/>
              <w:left w:val="nil"/>
              <w:bottom w:val="single" w:sz="4" w:space="0" w:color="auto"/>
              <w:right w:val="single" w:sz="4" w:space="0" w:color="auto"/>
            </w:tcBorders>
            <w:shd w:val="clear" w:color="auto" w:fill="D0CECE" w:themeFill="background2" w:themeFillShade="E6"/>
            <w:vAlign w:val="center"/>
            <w:hideMark/>
          </w:tcPr>
          <w:p w14:paraId="36A9E5D6" w14:textId="53E8B9E5" w:rsidR="000D619A" w:rsidRPr="00B0539F" w:rsidRDefault="000D619A" w:rsidP="003F2CDD">
            <w:pPr>
              <w:jc w:val="right"/>
              <w:rPr>
                <w:sz w:val="14"/>
                <w:lang w:eastAsia="tr-TR"/>
              </w:rPr>
            </w:pPr>
          </w:p>
        </w:tc>
        <w:tc>
          <w:tcPr>
            <w:tcW w:w="1724" w:type="dxa"/>
            <w:tcBorders>
              <w:top w:val="nil"/>
              <w:left w:val="nil"/>
              <w:bottom w:val="single" w:sz="4" w:space="0" w:color="auto"/>
              <w:right w:val="single" w:sz="4" w:space="0" w:color="auto"/>
            </w:tcBorders>
            <w:shd w:val="clear" w:color="auto" w:fill="D0CECE" w:themeFill="background2" w:themeFillShade="E6"/>
            <w:vAlign w:val="center"/>
            <w:hideMark/>
          </w:tcPr>
          <w:p w14:paraId="2EE31158" w14:textId="223062F4" w:rsidR="000D619A" w:rsidRPr="00B0539F" w:rsidRDefault="000D619A" w:rsidP="003F2CDD">
            <w:pPr>
              <w:jc w:val="right"/>
              <w:rPr>
                <w:sz w:val="14"/>
                <w:lang w:eastAsia="tr-TR"/>
              </w:rPr>
            </w:pPr>
          </w:p>
        </w:tc>
      </w:tr>
      <w:tr w:rsidR="000D619A" w:rsidRPr="00B0539F" w14:paraId="1B071F69"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7128F343" w14:textId="77777777" w:rsidR="000D619A" w:rsidRPr="00B0539F" w:rsidRDefault="000D619A" w:rsidP="000D619A">
            <w:pPr>
              <w:rPr>
                <w:color w:val="000000"/>
                <w:sz w:val="14"/>
                <w:szCs w:val="18"/>
                <w:lang w:eastAsia="tr-TR"/>
              </w:rPr>
            </w:pPr>
            <w:r w:rsidRPr="00B0539F">
              <w:rPr>
                <w:color w:val="000000"/>
                <w:sz w:val="14"/>
                <w:szCs w:val="18"/>
                <w:lang w:eastAsia="tr-TR"/>
              </w:rPr>
              <w:t>Hisse senedine dönüştürülebilirse, dönüştürmeye sebep olacak tetikleyici olay/olaylar</w:t>
            </w:r>
          </w:p>
        </w:tc>
        <w:tc>
          <w:tcPr>
            <w:tcW w:w="2135" w:type="dxa"/>
            <w:tcBorders>
              <w:top w:val="nil"/>
              <w:left w:val="nil"/>
              <w:bottom w:val="single" w:sz="4" w:space="0" w:color="auto"/>
              <w:right w:val="single" w:sz="4" w:space="0" w:color="auto"/>
            </w:tcBorders>
            <w:shd w:val="clear" w:color="auto" w:fill="auto"/>
            <w:vAlign w:val="center"/>
            <w:hideMark/>
          </w:tcPr>
          <w:p w14:paraId="4B093418"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3B206625"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64FB62B8"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r>
      <w:tr w:rsidR="000D619A" w:rsidRPr="00B0539F" w14:paraId="47D05208"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7B4CCE91" w14:textId="77777777" w:rsidR="000D619A" w:rsidRPr="00B0539F" w:rsidRDefault="000D619A" w:rsidP="000D619A">
            <w:pPr>
              <w:rPr>
                <w:color w:val="000000"/>
                <w:sz w:val="14"/>
                <w:szCs w:val="18"/>
                <w:lang w:eastAsia="tr-TR"/>
              </w:rPr>
            </w:pPr>
            <w:r w:rsidRPr="00B0539F">
              <w:rPr>
                <w:color w:val="000000"/>
                <w:sz w:val="14"/>
                <w:szCs w:val="18"/>
                <w:lang w:eastAsia="tr-TR"/>
              </w:rPr>
              <w:t>Hisse senedine dönüştürülebilirse, tamamen ya da kısmen dönüştürme özelliği</w:t>
            </w:r>
          </w:p>
        </w:tc>
        <w:tc>
          <w:tcPr>
            <w:tcW w:w="2135" w:type="dxa"/>
            <w:tcBorders>
              <w:top w:val="nil"/>
              <w:left w:val="nil"/>
              <w:bottom w:val="single" w:sz="4" w:space="0" w:color="auto"/>
              <w:right w:val="single" w:sz="4" w:space="0" w:color="auto"/>
            </w:tcBorders>
            <w:shd w:val="clear" w:color="auto" w:fill="auto"/>
            <w:vAlign w:val="center"/>
            <w:hideMark/>
          </w:tcPr>
          <w:p w14:paraId="4C9D7F32"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51257801"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2579AC36"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r>
      <w:tr w:rsidR="000D619A" w:rsidRPr="00B0539F" w14:paraId="02058E91"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1DE7E283" w14:textId="77777777" w:rsidR="000D619A" w:rsidRPr="00B0539F" w:rsidRDefault="000D619A" w:rsidP="000D619A">
            <w:pPr>
              <w:rPr>
                <w:color w:val="000000"/>
                <w:sz w:val="14"/>
                <w:szCs w:val="18"/>
                <w:lang w:eastAsia="tr-TR"/>
              </w:rPr>
            </w:pPr>
            <w:r w:rsidRPr="00B0539F">
              <w:rPr>
                <w:color w:val="000000"/>
                <w:sz w:val="14"/>
                <w:szCs w:val="18"/>
                <w:lang w:eastAsia="tr-TR"/>
              </w:rPr>
              <w:t>Hisse senedine dönüştürülebilirse, dönüştürme oranı</w:t>
            </w:r>
          </w:p>
        </w:tc>
        <w:tc>
          <w:tcPr>
            <w:tcW w:w="2135" w:type="dxa"/>
            <w:tcBorders>
              <w:top w:val="nil"/>
              <w:left w:val="nil"/>
              <w:bottom w:val="single" w:sz="4" w:space="0" w:color="auto"/>
              <w:right w:val="single" w:sz="4" w:space="0" w:color="auto"/>
            </w:tcBorders>
            <w:shd w:val="clear" w:color="auto" w:fill="auto"/>
            <w:vAlign w:val="center"/>
            <w:hideMark/>
          </w:tcPr>
          <w:p w14:paraId="63E97AC1"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0F171CAD"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04B3D52B"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r>
      <w:tr w:rsidR="000D619A" w:rsidRPr="00B0539F" w14:paraId="7C85FB02"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2A3B1024" w14:textId="77777777" w:rsidR="000D619A" w:rsidRPr="00B0539F" w:rsidRDefault="000D619A" w:rsidP="000D619A">
            <w:pPr>
              <w:rPr>
                <w:color w:val="000000"/>
                <w:sz w:val="14"/>
                <w:szCs w:val="18"/>
                <w:lang w:eastAsia="tr-TR"/>
              </w:rPr>
            </w:pPr>
            <w:r w:rsidRPr="00B0539F">
              <w:rPr>
                <w:color w:val="000000"/>
                <w:sz w:val="14"/>
                <w:szCs w:val="18"/>
                <w:lang w:eastAsia="tr-TR"/>
              </w:rPr>
              <w:t>Hisse senedine dönüştürülebilirse, mecburi ya da isteğe bağlı dönüştürme özelliği</w:t>
            </w:r>
          </w:p>
        </w:tc>
        <w:tc>
          <w:tcPr>
            <w:tcW w:w="2135" w:type="dxa"/>
            <w:tcBorders>
              <w:top w:val="nil"/>
              <w:left w:val="nil"/>
              <w:bottom w:val="single" w:sz="4" w:space="0" w:color="auto"/>
              <w:right w:val="single" w:sz="4" w:space="0" w:color="auto"/>
            </w:tcBorders>
            <w:shd w:val="clear" w:color="auto" w:fill="auto"/>
            <w:vAlign w:val="center"/>
            <w:hideMark/>
          </w:tcPr>
          <w:p w14:paraId="36E70927"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5856E001"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17DC611B"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r>
      <w:tr w:rsidR="000D619A" w:rsidRPr="00B0539F" w14:paraId="41CBFF61"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3AFB7064" w14:textId="77777777" w:rsidR="000D619A" w:rsidRPr="00B0539F" w:rsidRDefault="000D619A" w:rsidP="000D619A">
            <w:pPr>
              <w:rPr>
                <w:color w:val="000000"/>
                <w:sz w:val="14"/>
                <w:szCs w:val="18"/>
                <w:lang w:eastAsia="tr-TR"/>
              </w:rPr>
            </w:pPr>
            <w:r w:rsidRPr="00B0539F">
              <w:rPr>
                <w:color w:val="000000"/>
                <w:sz w:val="14"/>
                <w:szCs w:val="18"/>
                <w:lang w:eastAsia="tr-TR"/>
              </w:rPr>
              <w:t>Hisse senedine dönüştürülebilirse, dönüştürülebilir araç türleri</w:t>
            </w:r>
          </w:p>
        </w:tc>
        <w:tc>
          <w:tcPr>
            <w:tcW w:w="2135" w:type="dxa"/>
            <w:tcBorders>
              <w:top w:val="nil"/>
              <w:left w:val="nil"/>
              <w:bottom w:val="single" w:sz="4" w:space="0" w:color="auto"/>
              <w:right w:val="single" w:sz="4" w:space="0" w:color="auto"/>
            </w:tcBorders>
            <w:shd w:val="clear" w:color="auto" w:fill="auto"/>
            <w:vAlign w:val="center"/>
            <w:hideMark/>
          </w:tcPr>
          <w:p w14:paraId="5B137F1F"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1600BD74"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3570C1EA"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r>
      <w:tr w:rsidR="000D619A" w:rsidRPr="00B0539F" w14:paraId="165D0C79"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4A11101E" w14:textId="77777777" w:rsidR="000D619A" w:rsidRPr="00B0539F" w:rsidRDefault="000D619A" w:rsidP="000D619A">
            <w:pPr>
              <w:rPr>
                <w:color w:val="000000"/>
                <w:sz w:val="14"/>
                <w:szCs w:val="18"/>
                <w:lang w:eastAsia="tr-TR"/>
              </w:rPr>
            </w:pPr>
            <w:r w:rsidRPr="00B0539F">
              <w:rPr>
                <w:color w:val="000000"/>
                <w:sz w:val="14"/>
                <w:szCs w:val="18"/>
                <w:lang w:eastAsia="tr-TR"/>
              </w:rPr>
              <w:t>Hisse senedine dönüştürülebilirse, dönüştürülecek borçlanma aracının ihraççısı</w:t>
            </w:r>
          </w:p>
        </w:tc>
        <w:tc>
          <w:tcPr>
            <w:tcW w:w="2135" w:type="dxa"/>
            <w:tcBorders>
              <w:top w:val="nil"/>
              <w:left w:val="nil"/>
              <w:bottom w:val="single" w:sz="4" w:space="0" w:color="auto"/>
              <w:right w:val="single" w:sz="4" w:space="0" w:color="auto"/>
            </w:tcBorders>
            <w:shd w:val="clear" w:color="auto" w:fill="auto"/>
            <w:vAlign w:val="center"/>
            <w:hideMark/>
          </w:tcPr>
          <w:p w14:paraId="0BA42D9C"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347683ED"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41AFF529" w14:textId="77777777" w:rsidR="000D619A" w:rsidRPr="00B0539F" w:rsidRDefault="000D619A" w:rsidP="003F2CDD">
            <w:pPr>
              <w:jc w:val="right"/>
              <w:rPr>
                <w:color w:val="000000"/>
                <w:sz w:val="14"/>
                <w:szCs w:val="18"/>
                <w:lang w:eastAsia="tr-TR"/>
              </w:rPr>
            </w:pPr>
            <w:r w:rsidRPr="00B0539F">
              <w:rPr>
                <w:color w:val="000000"/>
                <w:sz w:val="14"/>
                <w:szCs w:val="18"/>
                <w:lang w:eastAsia="tr-TR"/>
              </w:rPr>
              <w:t>Hisse senedine dönüştürülemez.</w:t>
            </w:r>
          </w:p>
        </w:tc>
      </w:tr>
      <w:tr w:rsidR="000D619A" w:rsidRPr="00B0539F" w14:paraId="7EF33425" w14:textId="77777777" w:rsidTr="00311DAB">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0AB44AFD" w14:textId="77777777" w:rsidR="000D619A" w:rsidRPr="00B0539F" w:rsidRDefault="000D619A" w:rsidP="000D619A">
            <w:pPr>
              <w:rPr>
                <w:b/>
                <w:bCs/>
                <w:color w:val="000000"/>
                <w:sz w:val="14"/>
                <w:szCs w:val="18"/>
                <w:lang w:eastAsia="tr-TR"/>
              </w:rPr>
            </w:pPr>
            <w:r w:rsidRPr="00B0539F">
              <w:rPr>
                <w:b/>
                <w:bCs/>
                <w:color w:val="000000"/>
                <w:sz w:val="14"/>
                <w:szCs w:val="18"/>
                <w:lang w:eastAsia="tr-TR"/>
              </w:rPr>
              <w:t>Değer azaltma özelliği</w:t>
            </w:r>
          </w:p>
        </w:tc>
        <w:tc>
          <w:tcPr>
            <w:tcW w:w="2135" w:type="dxa"/>
            <w:tcBorders>
              <w:top w:val="nil"/>
              <w:left w:val="nil"/>
              <w:bottom w:val="single" w:sz="4" w:space="0" w:color="auto"/>
              <w:right w:val="single" w:sz="4" w:space="0" w:color="auto"/>
            </w:tcBorders>
            <w:shd w:val="clear" w:color="auto" w:fill="D0CECE" w:themeFill="background2" w:themeFillShade="E6"/>
            <w:vAlign w:val="center"/>
            <w:hideMark/>
          </w:tcPr>
          <w:p w14:paraId="41AD74E5" w14:textId="3550FF89" w:rsidR="000D619A" w:rsidRPr="00B0539F" w:rsidRDefault="000D619A" w:rsidP="003F2CDD">
            <w:pPr>
              <w:jc w:val="right"/>
              <w:rPr>
                <w:b/>
                <w:bCs/>
                <w:color w:val="000000"/>
                <w:sz w:val="14"/>
                <w:szCs w:val="18"/>
                <w:lang w:eastAsia="tr-TR"/>
              </w:rPr>
            </w:pPr>
          </w:p>
        </w:tc>
        <w:tc>
          <w:tcPr>
            <w:tcW w:w="1724" w:type="dxa"/>
            <w:tcBorders>
              <w:top w:val="nil"/>
              <w:left w:val="nil"/>
              <w:bottom w:val="single" w:sz="4" w:space="0" w:color="auto"/>
              <w:right w:val="single" w:sz="4" w:space="0" w:color="auto"/>
            </w:tcBorders>
            <w:shd w:val="clear" w:color="auto" w:fill="D0CECE" w:themeFill="background2" w:themeFillShade="E6"/>
            <w:vAlign w:val="center"/>
            <w:hideMark/>
          </w:tcPr>
          <w:p w14:paraId="366A5CBE" w14:textId="7F67FCE3" w:rsidR="000D619A" w:rsidRPr="00B0539F" w:rsidRDefault="000D619A" w:rsidP="003F2CDD">
            <w:pPr>
              <w:jc w:val="right"/>
              <w:rPr>
                <w:sz w:val="14"/>
                <w:lang w:eastAsia="tr-TR"/>
              </w:rPr>
            </w:pPr>
          </w:p>
        </w:tc>
        <w:tc>
          <w:tcPr>
            <w:tcW w:w="1724" w:type="dxa"/>
            <w:tcBorders>
              <w:top w:val="nil"/>
              <w:left w:val="nil"/>
              <w:bottom w:val="single" w:sz="4" w:space="0" w:color="auto"/>
              <w:right w:val="single" w:sz="4" w:space="0" w:color="auto"/>
            </w:tcBorders>
            <w:shd w:val="clear" w:color="auto" w:fill="D0CECE" w:themeFill="background2" w:themeFillShade="E6"/>
            <w:vAlign w:val="center"/>
            <w:hideMark/>
          </w:tcPr>
          <w:p w14:paraId="2974BFEA" w14:textId="535D93AA" w:rsidR="000D619A" w:rsidRPr="00B0539F" w:rsidRDefault="000D619A" w:rsidP="003F2CDD">
            <w:pPr>
              <w:jc w:val="right"/>
              <w:rPr>
                <w:sz w:val="14"/>
                <w:lang w:eastAsia="tr-TR"/>
              </w:rPr>
            </w:pPr>
          </w:p>
        </w:tc>
      </w:tr>
      <w:tr w:rsidR="000D619A" w:rsidRPr="00B0539F" w14:paraId="168D0E32"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53245BDD" w14:textId="77777777" w:rsidR="000D619A" w:rsidRPr="00B0539F" w:rsidRDefault="000D619A" w:rsidP="000D619A">
            <w:pPr>
              <w:rPr>
                <w:color w:val="000000"/>
                <w:sz w:val="14"/>
                <w:szCs w:val="18"/>
                <w:lang w:eastAsia="tr-TR"/>
              </w:rPr>
            </w:pPr>
            <w:r w:rsidRPr="00B0539F">
              <w:rPr>
                <w:color w:val="000000"/>
                <w:sz w:val="14"/>
                <w:szCs w:val="18"/>
                <w:lang w:eastAsia="tr-TR"/>
              </w:rPr>
              <w:t xml:space="preserve">Değer azaltma özelliğine sahipse, </w:t>
            </w:r>
            <w:proofErr w:type="spellStart"/>
            <w:r w:rsidRPr="00B0539F">
              <w:rPr>
                <w:color w:val="000000"/>
                <w:sz w:val="14"/>
                <w:szCs w:val="18"/>
                <w:lang w:eastAsia="tr-TR"/>
              </w:rPr>
              <w:t>azaltıma</w:t>
            </w:r>
            <w:proofErr w:type="spellEnd"/>
            <w:r w:rsidRPr="00B0539F">
              <w:rPr>
                <w:color w:val="000000"/>
                <w:sz w:val="14"/>
                <w:szCs w:val="18"/>
                <w:lang w:eastAsia="tr-TR"/>
              </w:rPr>
              <w:t xml:space="preserve"> sebep olacak tetikleyici olay/olaylar</w:t>
            </w:r>
          </w:p>
        </w:tc>
        <w:tc>
          <w:tcPr>
            <w:tcW w:w="2135" w:type="dxa"/>
            <w:tcBorders>
              <w:top w:val="nil"/>
              <w:left w:val="nil"/>
              <w:bottom w:val="single" w:sz="4" w:space="0" w:color="auto"/>
              <w:right w:val="single" w:sz="4" w:space="0" w:color="auto"/>
            </w:tcBorders>
            <w:shd w:val="clear" w:color="auto" w:fill="auto"/>
            <w:vAlign w:val="center"/>
            <w:hideMark/>
          </w:tcPr>
          <w:p w14:paraId="34E500D5" w14:textId="77777777" w:rsidR="000D619A" w:rsidRPr="00B0539F" w:rsidRDefault="000D619A" w:rsidP="003F2CDD">
            <w:pPr>
              <w:jc w:val="right"/>
              <w:rPr>
                <w:color w:val="000000"/>
                <w:sz w:val="14"/>
                <w:szCs w:val="18"/>
                <w:lang w:eastAsia="tr-TR"/>
              </w:rPr>
            </w:pPr>
            <w:r w:rsidRPr="00B0539F">
              <w:rPr>
                <w:color w:val="000000"/>
                <w:sz w:val="14"/>
                <w:szCs w:val="18"/>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505DB329" w14:textId="77777777" w:rsidR="000D619A" w:rsidRPr="00B0539F" w:rsidRDefault="000D619A" w:rsidP="003F2CDD">
            <w:pPr>
              <w:jc w:val="right"/>
              <w:rPr>
                <w:color w:val="000000"/>
                <w:sz w:val="14"/>
                <w:szCs w:val="18"/>
                <w:lang w:eastAsia="tr-TR"/>
              </w:rPr>
            </w:pPr>
            <w:r w:rsidRPr="00B0539F">
              <w:rPr>
                <w:color w:val="000000"/>
                <w:sz w:val="14"/>
                <w:szCs w:val="18"/>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35AF062F" w14:textId="77777777" w:rsidR="000D619A" w:rsidRPr="00B0539F" w:rsidRDefault="000D619A" w:rsidP="003F2CDD">
            <w:pPr>
              <w:jc w:val="right"/>
              <w:rPr>
                <w:color w:val="000000"/>
                <w:sz w:val="14"/>
                <w:szCs w:val="18"/>
                <w:lang w:eastAsia="tr-TR"/>
              </w:rPr>
            </w:pPr>
            <w:r w:rsidRPr="00B0539F">
              <w:rPr>
                <w:color w:val="000000"/>
                <w:sz w:val="14"/>
                <w:szCs w:val="18"/>
                <w:lang w:eastAsia="tr-TR"/>
              </w:rPr>
              <w:t>Değer Azaltma Özelliği Yok</w:t>
            </w:r>
          </w:p>
        </w:tc>
      </w:tr>
      <w:tr w:rsidR="000D619A" w:rsidRPr="00B0539F" w14:paraId="4BBBD888"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3C6654D4" w14:textId="77777777" w:rsidR="000D619A" w:rsidRPr="00B0539F" w:rsidRDefault="000D619A" w:rsidP="000D619A">
            <w:pPr>
              <w:rPr>
                <w:color w:val="000000"/>
                <w:sz w:val="14"/>
                <w:szCs w:val="18"/>
                <w:lang w:eastAsia="tr-TR"/>
              </w:rPr>
            </w:pPr>
            <w:r w:rsidRPr="00B0539F">
              <w:rPr>
                <w:color w:val="000000"/>
                <w:sz w:val="14"/>
                <w:szCs w:val="18"/>
                <w:lang w:eastAsia="tr-TR"/>
              </w:rPr>
              <w:t xml:space="preserve">Değer azaltma özelliğine sahipse, tamamen ya da kısmen değer </w:t>
            </w:r>
            <w:proofErr w:type="spellStart"/>
            <w:r w:rsidRPr="00B0539F">
              <w:rPr>
                <w:color w:val="000000"/>
                <w:sz w:val="14"/>
                <w:szCs w:val="18"/>
                <w:lang w:eastAsia="tr-TR"/>
              </w:rPr>
              <w:t>azaltımı</w:t>
            </w:r>
            <w:proofErr w:type="spellEnd"/>
            <w:r w:rsidRPr="00B0539F">
              <w:rPr>
                <w:color w:val="000000"/>
                <w:sz w:val="14"/>
                <w:szCs w:val="18"/>
                <w:lang w:eastAsia="tr-TR"/>
              </w:rPr>
              <w:t xml:space="preserve"> özelliği</w:t>
            </w:r>
          </w:p>
        </w:tc>
        <w:tc>
          <w:tcPr>
            <w:tcW w:w="2135" w:type="dxa"/>
            <w:tcBorders>
              <w:top w:val="nil"/>
              <w:left w:val="nil"/>
              <w:bottom w:val="single" w:sz="4" w:space="0" w:color="auto"/>
              <w:right w:val="single" w:sz="4" w:space="0" w:color="auto"/>
            </w:tcBorders>
            <w:shd w:val="clear" w:color="auto" w:fill="auto"/>
            <w:vAlign w:val="center"/>
            <w:hideMark/>
          </w:tcPr>
          <w:p w14:paraId="3CD1197D" w14:textId="77777777" w:rsidR="000D619A" w:rsidRPr="00B0539F" w:rsidRDefault="000D619A" w:rsidP="003F2CDD">
            <w:pPr>
              <w:jc w:val="right"/>
              <w:rPr>
                <w:color w:val="000000"/>
                <w:sz w:val="14"/>
                <w:szCs w:val="18"/>
                <w:lang w:eastAsia="tr-TR"/>
              </w:rPr>
            </w:pPr>
            <w:r w:rsidRPr="00B0539F">
              <w:rPr>
                <w:color w:val="000000"/>
                <w:sz w:val="14"/>
                <w:szCs w:val="18"/>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3CCBAD66" w14:textId="77777777" w:rsidR="000D619A" w:rsidRPr="00B0539F" w:rsidRDefault="000D619A" w:rsidP="003F2CDD">
            <w:pPr>
              <w:jc w:val="right"/>
              <w:rPr>
                <w:color w:val="000000"/>
                <w:sz w:val="14"/>
                <w:szCs w:val="18"/>
                <w:lang w:eastAsia="tr-TR"/>
              </w:rPr>
            </w:pPr>
            <w:r w:rsidRPr="00B0539F">
              <w:rPr>
                <w:color w:val="000000"/>
                <w:sz w:val="14"/>
                <w:szCs w:val="18"/>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6CC7E57D" w14:textId="77777777" w:rsidR="000D619A" w:rsidRPr="00B0539F" w:rsidRDefault="000D619A" w:rsidP="003F2CDD">
            <w:pPr>
              <w:jc w:val="right"/>
              <w:rPr>
                <w:color w:val="000000"/>
                <w:sz w:val="14"/>
                <w:szCs w:val="18"/>
                <w:lang w:eastAsia="tr-TR"/>
              </w:rPr>
            </w:pPr>
            <w:r w:rsidRPr="00B0539F">
              <w:rPr>
                <w:color w:val="000000"/>
                <w:sz w:val="14"/>
                <w:szCs w:val="18"/>
                <w:lang w:eastAsia="tr-TR"/>
              </w:rPr>
              <w:t>Değer Azaltma Özelliği Yok</w:t>
            </w:r>
          </w:p>
        </w:tc>
      </w:tr>
      <w:tr w:rsidR="000D619A" w:rsidRPr="00B0539F" w14:paraId="691B56FB"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006EB772" w14:textId="77777777" w:rsidR="000D619A" w:rsidRPr="00B0539F" w:rsidRDefault="000D619A" w:rsidP="000D619A">
            <w:pPr>
              <w:rPr>
                <w:color w:val="000000"/>
                <w:sz w:val="14"/>
                <w:szCs w:val="18"/>
                <w:lang w:eastAsia="tr-TR"/>
              </w:rPr>
            </w:pPr>
            <w:r w:rsidRPr="00B0539F">
              <w:rPr>
                <w:color w:val="000000"/>
                <w:sz w:val="14"/>
                <w:szCs w:val="18"/>
                <w:lang w:eastAsia="tr-TR"/>
              </w:rPr>
              <w:t>Değer azaltma özelliğine sahipse, sürekli ya da geçici olma özelliği</w:t>
            </w:r>
          </w:p>
        </w:tc>
        <w:tc>
          <w:tcPr>
            <w:tcW w:w="2135" w:type="dxa"/>
            <w:tcBorders>
              <w:top w:val="nil"/>
              <w:left w:val="nil"/>
              <w:bottom w:val="single" w:sz="4" w:space="0" w:color="auto"/>
              <w:right w:val="single" w:sz="4" w:space="0" w:color="auto"/>
            </w:tcBorders>
            <w:shd w:val="clear" w:color="auto" w:fill="auto"/>
            <w:vAlign w:val="center"/>
            <w:hideMark/>
          </w:tcPr>
          <w:p w14:paraId="32804251" w14:textId="77777777" w:rsidR="000D619A" w:rsidRPr="00B0539F" w:rsidRDefault="000D619A" w:rsidP="003F2CDD">
            <w:pPr>
              <w:jc w:val="right"/>
              <w:rPr>
                <w:color w:val="000000"/>
                <w:sz w:val="14"/>
                <w:szCs w:val="18"/>
                <w:lang w:eastAsia="tr-TR"/>
              </w:rPr>
            </w:pPr>
            <w:r w:rsidRPr="00B0539F">
              <w:rPr>
                <w:color w:val="000000"/>
                <w:sz w:val="14"/>
                <w:szCs w:val="18"/>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7D7CF637" w14:textId="77777777" w:rsidR="000D619A" w:rsidRPr="00B0539F" w:rsidRDefault="000D619A" w:rsidP="003F2CDD">
            <w:pPr>
              <w:jc w:val="right"/>
              <w:rPr>
                <w:color w:val="000000"/>
                <w:sz w:val="14"/>
                <w:szCs w:val="18"/>
                <w:lang w:eastAsia="tr-TR"/>
              </w:rPr>
            </w:pPr>
            <w:r w:rsidRPr="00B0539F">
              <w:rPr>
                <w:color w:val="000000"/>
                <w:sz w:val="14"/>
                <w:szCs w:val="18"/>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3DFE8AB0" w14:textId="77777777" w:rsidR="000D619A" w:rsidRPr="00B0539F" w:rsidRDefault="000D619A" w:rsidP="003F2CDD">
            <w:pPr>
              <w:jc w:val="right"/>
              <w:rPr>
                <w:color w:val="000000"/>
                <w:sz w:val="14"/>
                <w:szCs w:val="18"/>
                <w:lang w:eastAsia="tr-TR"/>
              </w:rPr>
            </w:pPr>
            <w:r w:rsidRPr="00B0539F">
              <w:rPr>
                <w:color w:val="000000"/>
                <w:sz w:val="14"/>
                <w:szCs w:val="18"/>
                <w:lang w:eastAsia="tr-TR"/>
              </w:rPr>
              <w:t>Değer Azaltma Özelliği Yok</w:t>
            </w:r>
          </w:p>
        </w:tc>
      </w:tr>
      <w:tr w:rsidR="000D619A" w:rsidRPr="00B0539F" w14:paraId="11C7563A"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58E4BB3E" w14:textId="77777777" w:rsidR="000D619A" w:rsidRPr="00B0539F" w:rsidRDefault="000D619A" w:rsidP="000D619A">
            <w:pPr>
              <w:rPr>
                <w:color w:val="000000"/>
                <w:sz w:val="14"/>
                <w:szCs w:val="18"/>
                <w:lang w:eastAsia="tr-TR"/>
              </w:rPr>
            </w:pPr>
            <w:r w:rsidRPr="00B0539F">
              <w:rPr>
                <w:color w:val="000000"/>
                <w:sz w:val="14"/>
                <w:szCs w:val="18"/>
                <w:lang w:eastAsia="tr-TR"/>
              </w:rPr>
              <w:t>Değeri geçici olarak azaltılabiliyorsa, değer artırım mekanizması</w:t>
            </w:r>
          </w:p>
        </w:tc>
        <w:tc>
          <w:tcPr>
            <w:tcW w:w="2135" w:type="dxa"/>
            <w:tcBorders>
              <w:top w:val="nil"/>
              <w:left w:val="nil"/>
              <w:bottom w:val="single" w:sz="4" w:space="0" w:color="auto"/>
              <w:right w:val="single" w:sz="4" w:space="0" w:color="auto"/>
            </w:tcBorders>
            <w:shd w:val="clear" w:color="auto" w:fill="auto"/>
            <w:vAlign w:val="center"/>
            <w:hideMark/>
          </w:tcPr>
          <w:p w14:paraId="59F00E1E" w14:textId="77777777" w:rsidR="000D619A" w:rsidRPr="00B0539F" w:rsidRDefault="000D619A" w:rsidP="003F2CDD">
            <w:pPr>
              <w:jc w:val="right"/>
              <w:rPr>
                <w:color w:val="000000"/>
                <w:sz w:val="14"/>
                <w:szCs w:val="18"/>
                <w:lang w:eastAsia="tr-TR"/>
              </w:rPr>
            </w:pPr>
            <w:r w:rsidRPr="00B0539F">
              <w:rPr>
                <w:color w:val="000000"/>
                <w:sz w:val="14"/>
                <w:szCs w:val="18"/>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695A7182" w14:textId="77777777" w:rsidR="000D619A" w:rsidRPr="00B0539F" w:rsidRDefault="000D619A" w:rsidP="003F2CDD">
            <w:pPr>
              <w:jc w:val="right"/>
              <w:rPr>
                <w:color w:val="000000"/>
                <w:sz w:val="14"/>
                <w:szCs w:val="18"/>
                <w:lang w:eastAsia="tr-TR"/>
              </w:rPr>
            </w:pPr>
            <w:r w:rsidRPr="00B0539F">
              <w:rPr>
                <w:color w:val="000000"/>
                <w:sz w:val="14"/>
                <w:szCs w:val="18"/>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4DC1758C" w14:textId="77777777" w:rsidR="000D619A" w:rsidRPr="00B0539F" w:rsidRDefault="000D619A" w:rsidP="003F2CDD">
            <w:pPr>
              <w:jc w:val="right"/>
              <w:rPr>
                <w:color w:val="000000"/>
                <w:sz w:val="14"/>
                <w:szCs w:val="18"/>
                <w:lang w:eastAsia="tr-TR"/>
              </w:rPr>
            </w:pPr>
            <w:r w:rsidRPr="00B0539F">
              <w:rPr>
                <w:color w:val="000000"/>
                <w:sz w:val="14"/>
                <w:szCs w:val="18"/>
                <w:lang w:eastAsia="tr-TR"/>
              </w:rPr>
              <w:t>Değer Azaltma Özelliği Yok</w:t>
            </w:r>
          </w:p>
        </w:tc>
      </w:tr>
      <w:tr w:rsidR="000D619A" w:rsidRPr="00B0539F" w14:paraId="634B9410"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2743A4CC" w14:textId="77777777" w:rsidR="000D619A" w:rsidRPr="00B0539F" w:rsidRDefault="000D619A" w:rsidP="000D619A">
            <w:pPr>
              <w:rPr>
                <w:color w:val="000000"/>
                <w:sz w:val="14"/>
                <w:szCs w:val="18"/>
                <w:lang w:eastAsia="tr-TR"/>
              </w:rPr>
            </w:pPr>
            <w:r w:rsidRPr="00B0539F">
              <w:rPr>
                <w:color w:val="000000"/>
                <w:sz w:val="14"/>
                <w:szCs w:val="18"/>
                <w:lang w:eastAsia="tr-TR"/>
              </w:rPr>
              <w:t>Tasfiye halinde alacak hakkı açısından hangi sırada olduğu (Bu borçlanma aracının hemen üstünde yer alan araç)</w:t>
            </w:r>
          </w:p>
        </w:tc>
        <w:tc>
          <w:tcPr>
            <w:tcW w:w="2135" w:type="dxa"/>
            <w:tcBorders>
              <w:top w:val="nil"/>
              <w:left w:val="nil"/>
              <w:bottom w:val="single" w:sz="4" w:space="0" w:color="auto"/>
              <w:right w:val="single" w:sz="4" w:space="0" w:color="auto"/>
            </w:tcBorders>
            <w:shd w:val="clear" w:color="auto" w:fill="auto"/>
            <w:vAlign w:val="center"/>
            <w:hideMark/>
          </w:tcPr>
          <w:p w14:paraId="6915E2A6" w14:textId="77777777" w:rsidR="000D619A" w:rsidRPr="00B0539F" w:rsidRDefault="000D619A" w:rsidP="003F2CDD">
            <w:pPr>
              <w:jc w:val="right"/>
              <w:rPr>
                <w:color w:val="000000"/>
                <w:sz w:val="14"/>
                <w:szCs w:val="18"/>
                <w:lang w:eastAsia="tr-TR"/>
              </w:rPr>
            </w:pPr>
            <w:r w:rsidRPr="00B0539F">
              <w:rPr>
                <w:color w:val="000000"/>
                <w:sz w:val="14"/>
                <w:szCs w:val="18"/>
                <w:lang w:eastAsia="tr-TR"/>
              </w:rPr>
              <w:t>Rüçhanlı Teminatsız Sukuk</w:t>
            </w:r>
          </w:p>
        </w:tc>
        <w:tc>
          <w:tcPr>
            <w:tcW w:w="1724" w:type="dxa"/>
            <w:tcBorders>
              <w:top w:val="nil"/>
              <w:left w:val="nil"/>
              <w:bottom w:val="single" w:sz="4" w:space="0" w:color="auto"/>
              <w:right w:val="single" w:sz="4" w:space="0" w:color="auto"/>
            </w:tcBorders>
            <w:shd w:val="clear" w:color="auto" w:fill="auto"/>
            <w:vAlign w:val="center"/>
            <w:hideMark/>
          </w:tcPr>
          <w:p w14:paraId="07A4F185" w14:textId="77777777" w:rsidR="000D619A" w:rsidRPr="00B0539F" w:rsidRDefault="000D619A" w:rsidP="003F2CDD">
            <w:pPr>
              <w:jc w:val="right"/>
              <w:rPr>
                <w:color w:val="000000"/>
                <w:sz w:val="14"/>
                <w:szCs w:val="18"/>
                <w:lang w:eastAsia="tr-TR"/>
              </w:rPr>
            </w:pPr>
            <w:proofErr w:type="spellStart"/>
            <w:proofErr w:type="gramStart"/>
            <w:r w:rsidRPr="00B0539F">
              <w:rPr>
                <w:color w:val="000000"/>
                <w:sz w:val="14"/>
                <w:szCs w:val="18"/>
                <w:lang w:eastAsia="tr-TR"/>
              </w:rPr>
              <w:t>Tier</w:t>
            </w:r>
            <w:proofErr w:type="spellEnd"/>
            <w:r w:rsidRPr="00B0539F">
              <w:rPr>
                <w:color w:val="000000"/>
                <w:sz w:val="14"/>
                <w:szCs w:val="18"/>
                <w:lang w:eastAsia="tr-TR"/>
              </w:rPr>
              <w:t xml:space="preserve"> -</w:t>
            </w:r>
            <w:proofErr w:type="gramEnd"/>
            <w:r w:rsidRPr="00B0539F">
              <w:rPr>
                <w:color w:val="000000"/>
                <w:sz w:val="14"/>
                <w:szCs w:val="18"/>
                <w:lang w:eastAsia="tr-TR"/>
              </w:rPr>
              <w:t xml:space="preserve"> 1</w:t>
            </w:r>
          </w:p>
        </w:tc>
        <w:tc>
          <w:tcPr>
            <w:tcW w:w="1724" w:type="dxa"/>
            <w:tcBorders>
              <w:top w:val="nil"/>
              <w:left w:val="nil"/>
              <w:bottom w:val="single" w:sz="4" w:space="0" w:color="auto"/>
              <w:right w:val="single" w:sz="4" w:space="0" w:color="auto"/>
            </w:tcBorders>
            <w:shd w:val="clear" w:color="auto" w:fill="auto"/>
            <w:vAlign w:val="center"/>
            <w:hideMark/>
          </w:tcPr>
          <w:p w14:paraId="5DD22E6A" w14:textId="77777777" w:rsidR="000D619A" w:rsidRPr="00B0539F" w:rsidRDefault="000D619A" w:rsidP="003F2CDD">
            <w:pPr>
              <w:jc w:val="right"/>
              <w:rPr>
                <w:color w:val="000000"/>
                <w:sz w:val="14"/>
                <w:szCs w:val="18"/>
                <w:lang w:eastAsia="tr-TR"/>
              </w:rPr>
            </w:pPr>
            <w:proofErr w:type="spellStart"/>
            <w:proofErr w:type="gramStart"/>
            <w:r w:rsidRPr="00B0539F">
              <w:rPr>
                <w:color w:val="000000"/>
                <w:sz w:val="14"/>
                <w:szCs w:val="18"/>
                <w:lang w:eastAsia="tr-TR"/>
              </w:rPr>
              <w:t>Tier</w:t>
            </w:r>
            <w:proofErr w:type="spellEnd"/>
            <w:r w:rsidRPr="00B0539F">
              <w:rPr>
                <w:color w:val="000000"/>
                <w:sz w:val="14"/>
                <w:szCs w:val="18"/>
                <w:lang w:eastAsia="tr-TR"/>
              </w:rPr>
              <w:t xml:space="preserve"> -</w:t>
            </w:r>
            <w:proofErr w:type="gramEnd"/>
            <w:r w:rsidRPr="00B0539F">
              <w:rPr>
                <w:color w:val="000000"/>
                <w:sz w:val="14"/>
                <w:szCs w:val="18"/>
                <w:lang w:eastAsia="tr-TR"/>
              </w:rPr>
              <w:t xml:space="preserve"> 1</w:t>
            </w:r>
          </w:p>
        </w:tc>
      </w:tr>
      <w:tr w:rsidR="000D619A" w:rsidRPr="00B0539F" w14:paraId="476DC95F"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657C17CE" w14:textId="77777777" w:rsidR="000D619A" w:rsidRPr="00B0539F" w:rsidRDefault="000D619A" w:rsidP="000D619A">
            <w:pPr>
              <w:rPr>
                <w:color w:val="000000"/>
                <w:sz w:val="14"/>
                <w:szCs w:val="18"/>
                <w:lang w:eastAsia="tr-TR"/>
              </w:rPr>
            </w:pPr>
            <w:r w:rsidRPr="00B0539F">
              <w:rPr>
                <w:color w:val="000000"/>
                <w:sz w:val="14"/>
                <w:szCs w:val="18"/>
                <w:lang w:eastAsia="tr-TR"/>
              </w:rPr>
              <w:t xml:space="preserve">Bankaların </w:t>
            </w:r>
            <w:proofErr w:type="spellStart"/>
            <w:r w:rsidRPr="00B0539F">
              <w:rPr>
                <w:color w:val="000000"/>
                <w:sz w:val="14"/>
                <w:szCs w:val="18"/>
                <w:lang w:eastAsia="tr-TR"/>
              </w:rPr>
              <w:t>Özkaynaklarına</w:t>
            </w:r>
            <w:proofErr w:type="spellEnd"/>
            <w:r w:rsidRPr="00B0539F">
              <w:rPr>
                <w:color w:val="000000"/>
                <w:sz w:val="14"/>
                <w:szCs w:val="18"/>
                <w:lang w:eastAsia="tr-TR"/>
              </w:rPr>
              <w:t xml:space="preserve"> ilişkin Yönetmeliğin </w:t>
            </w:r>
            <w:proofErr w:type="gramStart"/>
            <w:r w:rsidRPr="00B0539F">
              <w:rPr>
                <w:color w:val="000000"/>
                <w:sz w:val="14"/>
                <w:szCs w:val="18"/>
                <w:lang w:eastAsia="tr-TR"/>
              </w:rPr>
              <w:t xml:space="preserve">7 </w:t>
            </w:r>
            <w:proofErr w:type="spellStart"/>
            <w:r w:rsidRPr="00B0539F">
              <w:rPr>
                <w:color w:val="000000"/>
                <w:sz w:val="14"/>
                <w:szCs w:val="18"/>
                <w:lang w:eastAsia="tr-TR"/>
              </w:rPr>
              <w:t>nci</w:t>
            </w:r>
            <w:proofErr w:type="spellEnd"/>
            <w:proofErr w:type="gramEnd"/>
            <w:r w:rsidRPr="00B0539F">
              <w:rPr>
                <w:color w:val="000000"/>
                <w:sz w:val="14"/>
                <w:szCs w:val="18"/>
                <w:lang w:eastAsia="tr-TR"/>
              </w:rPr>
              <w:t xml:space="preserve"> ve 8 inci maddelerinde yer alan şartlardan haiz olunmayan olup olmadığı</w:t>
            </w:r>
          </w:p>
        </w:tc>
        <w:tc>
          <w:tcPr>
            <w:tcW w:w="2135" w:type="dxa"/>
            <w:tcBorders>
              <w:top w:val="nil"/>
              <w:left w:val="nil"/>
              <w:bottom w:val="single" w:sz="4" w:space="0" w:color="auto"/>
              <w:right w:val="single" w:sz="4" w:space="0" w:color="auto"/>
            </w:tcBorders>
            <w:shd w:val="clear" w:color="auto" w:fill="auto"/>
            <w:vAlign w:val="center"/>
            <w:hideMark/>
          </w:tcPr>
          <w:p w14:paraId="64AA2C8D" w14:textId="77777777" w:rsidR="000D619A" w:rsidRPr="00B0539F" w:rsidRDefault="000D619A" w:rsidP="003F2CDD">
            <w:pPr>
              <w:jc w:val="right"/>
              <w:rPr>
                <w:color w:val="000000"/>
                <w:sz w:val="14"/>
                <w:szCs w:val="18"/>
                <w:lang w:eastAsia="tr-TR"/>
              </w:rPr>
            </w:pPr>
            <w:r w:rsidRPr="00B0539F">
              <w:rPr>
                <w:color w:val="000000"/>
                <w:sz w:val="14"/>
                <w:szCs w:val="18"/>
                <w:lang w:eastAsia="tr-TR"/>
              </w:rPr>
              <w:t>Yoktur</w:t>
            </w:r>
          </w:p>
        </w:tc>
        <w:tc>
          <w:tcPr>
            <w:tcW w:w="1724" w:type="dxa"/>
            <w:tcBorders>
              <w:top w:val="nil"/>
              <w:left w:val="nil"/>
              <w:bottom w:val="single" w:sz="4" w:space="0" w:color="auto"/>
              <w:right w:val="single" w:sz="4" w:space="0" w:color="auto"/>
            </w:tcBorders>
            <w:shd w:val="clear" w:color="auto" w:fill="auto"/>
            <w:vAlign w:val="center"/>
            <w:hideMark/>
          </w:tcPr>
          <w:p w14:paraId="6F7BFA95" w14:textId="77777777" w:rsidR="000D619A" w:rsidRPr="00B0539F" w:rsidRDefault="000D619A" w:rsidP="003F2CDD">
            <w:pPr>
              <w:jc w:val="right"/>
              <w:rPr>
                <w:color w:val="000000"/>
                <w:sz w:val="14"/>
                <w:szCs w:val="18"/>
                <w:lang w:eastAsia="tr-TR"/>
              </w:rPr>
            </w:pPr>
            <w:r w:rsidRPr="00B0539F">
              <w:rPr>
                <w:color w:val="000000"/>
                <w:sz w:val="14"/>
                <w:szCs w:val="18"/>
                <w:lang w:eastAsia="tr-TR"/>
              </w:rPr>
              <w:t>Yoktur</w:t>
            </w:r>
          </w:p>
        </w:tc>
        <w:tc>
          <w:tcPr>
            <w:tcW w:w="1724" w:type="dxa"/>
            <w:tcBorders>
              <w:top w:val="nil"/>
              <w:left w:val="nil"/>
              <w:bottom w:val="single" w:sz="4" w:space="0" w:color="auto"/>
              <w:right w:val="single" w:sz="4" w:space="0" w:color="auto"/>
            </w:tcBorders>
            <w:shd w:val="clear" w:color="auto" w:fill="auto"/>
            <w:vAlign w:val="center"/>
            <w:hideMark/>
          </w:tcPr>
          <w:p w14:paraId="02490C69" w14:textId="77777777" w:rsidR="000D619A" w:rsidRPr="00B0539F" w:rsidRDefault="000D619A" w:rsidP="003F2CDD">
            <w:pPr>
              <w:jc w:val="right"/>
              <w:rPr>
                <w:color w:val="000000"/>
                <w:sz w:val="14"/>
                <w:szCs w:val="18"/>
                <w:lang w:eastAsia="tr-TR"/>
              </w:rPr>
            </w:pPr>
            <w:r w:rsidRPr="00B0539F">
              <w:rPr>
                <w:color w:val="000000"/>
                <w:sz w:val="14"/>
                <w:szCs w:val="18"/>
                <w:lang w:eastAsia="tr-TR"/>
              </w:rPr>
              <w:t>Yoktur</w:t>
            </w:r>
          </w:p>
        </w:tc>
      </w:tr>
      <w:tr w:rsidR="000D619A" w:rsidRPr="00B0539F" w14:paraId="5D249242" w14:textId="77777777" w:rsidTr="006B1072">
        <w:trPr>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59D32850" w14:textId="77777777" w:rsidR="000D619A" w:rsidRPr="00B0539F" w:rsidRDefault="000D619A" w:rsidP="000D619A">
            <w:pPr>
              <w:rPr>
                <w:color w:val="000000"/>
                <w:sz w:val="14"/>
                <w:szCs w:val="18"/>
                <w:lang w:eastAsia="tr-TR"/>
              </w:rPr>
            </w:pPr>
            <w:r w:rsidRPr="00B0539F">
              <w:rPr>
                <w:color w:val="000000"/>
                <w:sz w:val="14"/>
                <w:szCs w:val="18"/>
                <w:lang w:eastAsia="tr-TR"/>
              </w:rPr>
              <w:t xml:space="preserve">Bankaların </w:t>
            </w:r>
            <w:proofErr w:type="spellStart"/>
            <w:r w:rsidRPr="00B0539F">
              <w:rPr>
                <w:color w:val="000000"/>
                <w:sz w:val="14"/>
                <w:szCs w:val="18"/>
                <w:lang w:eastAsia="tr-TR"/>
              </w:rPr>
              <w:t>Özkaynaklarına</w:t>
            </w:r>
            <w:proofErr w:type="spellEnd"/>
            <w:r w:rsidRPr="00B0539F">
              <w:rPr>
                <w:color w:val="000000"/>
                <w:sz w:val="14"/>
                <w:szCs w:val="18"/>
                <w:lang w:eastAsia="tr-TR"/>
              </w:rPr>
              <w:t xml:space="preserve"> ilişkin Yönetmeliğin </w:t>
            </w:r>
            <w:proofErr w:type="gramStart"/>
            <w:r w:rsidRPr="00B0539F">
              <w:rPr>
                <w:color w:val="000000"/>
                <w:sz w:val="14"/>
                <w:szCs w:val="18"/>
                <w:lang w:eastAsia="tr-TR"/>
              </w:rPr>
              <w:t xml:space="preserve">7 </w:t>
            </w:r>
            <w:proofErr w:type="spellStart"/>
            <w:r w:rsidRPr="00B0539F">
              <w:rPr>
                <w:color w:val="000000"/>
                <w:sz w:val="14"/>
                <w:szCs w:val="18"/>
                <w:lang w:eastAsia="tr-TR"/>
              </w:rPr>
              <w:t>nci</w:t>
            </w:r>
            <w:proofErr w:type="spellEnd"/>
            <w:proofErr w:type="gramEnd"/>
            <w:r w:rsidRPr="00B0539F">
              <w:rPr>
                <w:color w:val="000000"/>
                <w:sz w:val="14"/>
                <w:szCs w:val="18"/>
                <w:lang w:eastAsia="tr-TR"/>
              </w:rPr>
              <w:t xml:space="preserve"> ve 8 inci maddelerinde yer alan şartlardan hangilerine haiz olunmadığı</w:t>
            </w:r>
          </w:p>
        </w:tc>
        <w:tc>
          <w:tcPr>
            <w:tcW w:w="2135" w:type="dxa"/>
            <w:tcBorders>
              <w:top w:val="nil"/>
              <w:left w:val="nil"/>
              <w:bottom w:val="single" w:sz="4" w:space="0" w:color="auto"/>
              <w:right w:val="single" w:sz="4" w:space="0" w:color="auto"/>
            </w:tcBorders>
            <w:shd w:val="clear" w:color="auto" w:fill="auto"/>
            <w:vAlign w:val="center"/>
            <w:hideMark/>
          </w:tcPr>
          <w:p w14:paraId="14BE7E00" w14:textId="77777777" w:rsidR="000D619A" w:rsidRPr="00B0539F" w:rsidRDefault="000D619A" w:rsidP="003F2CDD">
            <w:pPr>
              <w:jc w:val="right"/>
              <w:rPr>
                <w:color w:val="000000"/>
                <w:sz w:val="14"/>
                <w:szCs w:val="18"/>
                <w:lang w:eastAsia="tr-TR"/>
              </w:rPr>
            </w:pPr>
            <w:r w:rsidRPr="00B0539F">
              <w:rPr>
                <w:color w:val="000000"/>
                <w:sz w:val="14"/>
                <w:szCs w:val="18"/>
                <w:lang w:eastAsia="tr-TR"/>
              </w:rPr>
              <w:t>Yoktur</w:t>
            </w:r>
          </w:p>
        </w:tc>
        <w:tc>
          <w:tcPr>
            <w:tcW w:w="1724" w:type="dxa"/>
            <w:tcBorders>
              <w:top w:val="nil"/>
              <w:left w:val="nil"/>
              <w:bottom w:val="single" w:sz="4" w:space="0" w:color="auto"/>
              <w:right w:val="single" w:sz="4" w:space="0" w:color="auto"/>
            </w:tcBorders>
            <w:shd w:val="clear" w:color="auto" w:fill="auto"/>
            <w:vAlign w:val="center"/>
            <w:hideMark/>
          </w:tcPr>
          <w:p w14:paraId="6AF47FEB" w14:textId="77777777" w:rsidR="000D619A" w:rsidRPr="00B0539F" w:rsidRDefault="000D619A" w:rsidP="003F2CDD">
            <w:pPr>
              <w:jc w:val="right"/>
              <w:rPr>
                <w:color w:val="000000"/>
                <w:sz w:val="14"/>
                <w:szCs w:val="18"/>
                <w:lang w:eastAsia="tr-TR"/>
              </w:rPr>
            </w:pPr>
            <w:r w:rsidRPr="00B0539F">
              <w:rPr>
                <w:color w:val="000000"/>
                <w:sz w:val="14"/>
                <w:szCs w:val="18"/>
                <w:lang w:eastAsia="tr-TR"/>
              </w:rPr>
              <w:t>Yoktur</w:t>
            </w:r>
          </w:p>
        </w:tc>
        <w:tc>
          <w:tcPr>
            <w:tcW w:w="1724" w:type="dxa"/>
            <w:tcBorders>
              <w:top w:val="nil"/>
              <w:left w:val="nil"/>
              <w:bottom w:val="single" w:sz="4" w:space="0" w:color="auto"/>
              <w:right w:val="single" w:sz="4" w:space="0" w:color="auto"/>
            </w:tcBorders>
            <w:shd w:val="clear" w:color="auto" w:fill="auto"/>
            <w:vAlign w:val="center"/>
            <w:hideMark/>
          </w:tcPr>
          <w:p w14:paraId="40DC43DF" w14:textId="77777777" w:rsidR="000D619A" w:rsidRPr="00B0539F" w:rsidRDefault="000D619A" w:rsidP="003F2CDD">
            <w:pPr>
              <w:jc w:val="right"/>
              <w:rPr>
                <w:color w:val="000000"/>
                <w:sz w:val="14"/>
                <w:szCs w:val="18"/>
                <w:lang w:eastAsia="tr-TR"/>
              </w:rPr>
            </w:pPr>
            <w:r w:rsidRPr="00B0539F">
              <w:rPr>
                <w:color w:val="000000"/>
                <w:sz w:val="14"/>
                <w:szCs w:val="18"/>
                <w:lang w:eastAsia="tr-TR"/>
              </w:rPr>
              <w:t>Yoktur</w:t>
            </w:r>
          </w:p>
        </w:tc>
      </w:tr>
    </w:tbl>
    <w:p w14:paraId="325CD3AD" w14:textId="477ACB96" w:rsidR="003F2CDD" w:rsidRPr="00B0539F" w:rsidRDefault="003F2CDD" w:rsidP="008B378C">
      <w:pPr>
        <w:tabs>
          <w:tab w:val="left" w:pos="567"/>
        </w:tabs>
        <w:ind w:hanging="567"/>
      </w:pPr>
    </w:p>
    <w:p w14:paraId="5AB3DD58" w14:textId="6A88C9DE" w:rsidR="00717AB5" w:rsidRDefault="00717AB5">
      <w:pPr>
        <w:rPr>
          <w:highlight w:val="yellow"/>
        </w:rPr>
      </w:pPr>
      <w:r>
        <w:rPr>
          <w:highlight w:val="yellow"/>
        </w:rPr>
        <w:br w:type="page"/>
      </w:r>
    </w:p>
    <w:p w14:paraId="557E1CDD" w14:textId="5789F532" w:rsidR="00B30841" w:rsidRPr="006F44AF" w:rsidRDefault="005571E3" w:rsidP="00311DAB">
      <w:pPr>
        <w:tabs>
          <w:tab w:val="left" w:pos="567"/>
        </w:tabs>
        <w:ind w:hanging="567"/>
        <w:jc w:val="both"/>
        <w:rPr>
          <w:rFonts w:eastAsia="Arial Unicode MS"/>
          <w:b/>
        </w:rPr>
      </w:pPr>
      <w:r w:rsidRPr="006F44AF">
        <w:rPr>
          <w:rFonts w:eastAsia="Arial Unicode MS"/>
          <w:b/>
        </w:rPr>
        <w:lastRenderedPageBreak/>
        <w:t xml:space="preserve">1.2   </w:t>
      </w:r>
      <w:r w:rsidRPr="006F44AF">
        <w:rPr>
          <w:rFonts w:eastAsia="Arial Unicode MS"/>
          <w:b/>
        </w:rPr>
        <w:tab/>
      </w:r>
      <w:r w:rsidR="00B30841" w:rsidRPr="006F44AF">
        <w:rPr>
          <w:rFonts w:eastAsia="Arial Unicode MS"/>
          <w:b/>
        </w:rPr>
        <w:t>İçsel sermaye gereksiniminin cari ve gelecek faaliyetler açısından yeterliliğinin değerle</w:t>
      </w:r>
      <w:r w:rsidRPr="006F44AF">
        <w:rPr>
          <w:rFonts w:eastAsia="Arial Unicode MS"/>
          <w:b/>
        </w:rPr>
        <w:t>ndirilmesi amacıyla</w:t>
      </w:r>
      <w:r w:rsidR="00B30841" w:rsidRPr="006F44AF">
        <w:rPr>
          <w:rFonts w:eastAsia="Arial Unicode MS"/>
          <w:b/>
        </w:rPr>
        <w:t xml:space="preserve"> uygulanan yaklaşımlar</w:t>
      </w:r>
    </w:p>
    <w:p w14:paraId="62263235" w14:textId="77777777" w:rsidR="00B30841" w:rsidRPr="006F44AF" w:rsidRDefault="00B30841" w:rsidP="00B30841">
      <w:pPr>
        <w:autoSpaceDE w:val="0"/>
        <w:autoSpaceDN w:val="0"/>
        <w:adjustRightInd w:val="0"/>
        <w:jc w:val="both"/>
        <w:rPr>
          <w:rFonts w:eastAsia="Arial Unicode MS"/>
          <w:b/>
          <w:sz w:val="6"/>
          <w:szCs w:val="16"/>
        </w:rPr>
      </w:pPr>
    </w:p>
    <w:p w14:paraId="6E6118FB" w14:textId="7F04323C" w:rsidR="00B30841" w:rsidRPr="006F44AF" w:rsidRDefault="00B30841" w:rsidP="00B30841">
      <w:pPr>
        <w:jc w:val="both"/>
        <w:rPr>
          <w:spacing w:val="-6"/>
        </w:rPr>
      </w:pPr>
      <w:r w:rsidRPr="006F44AF">
        <w:rPr>
          <w:spacing w:val="-6"/>
        </w:rPr>
        <w:t xml:space="preserve">Maruz kalınan veya </w:t>
      </w:r>
      <w:proofErr w:type="spellStart"/>
      <w:r w:rsidRPr="006F44AF">
        <w:rPr>
          <w:spacing w:val="-6"/>
        </w:rPr>
        <w:t>kalınabilinecek</w:t>
      </w:r>
      <w:proofErr w:type="spellEnd"/>
      <w:r w:rsidRPr="006F44AF">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w:t>
      </w:r>
      <w:r w:rsidR="00E33AB7" w:rsidRPr="006F44AF">
        <w:rPr>
          <w:spacing w:val="-6"/>
        </w:rPr>
        <w:t>Banka’nın</w:t>
      </w:r>
      <w:r w:rsidRPr="006F44AF">
        <w:rPr>
          <w:spacing w:val="-6"/>
        </w:rPr>
        <w:t xml:space="preserve">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w:t>
      </w:r>
      <w:proofErr w:type="spellStart"/>
      <w:r w:rsidRPr="006F44AF">
        <w:rPr>
          <w:spacing w:val="-6"/>
        </w:rPr>
        <w:t>aktif-pasif</w:t>
      </w:r>
      <w:proofErr w:type="spellEnd"/>
      <w:r w:rsidRPr="006F44AF">
        <w:rPr>
          <w:spacing w:val="-6"/>
        </w:rPr>
        <w:t xml:space="preserve"> yapısı, fonlama kaynakları, likidite durumu, yabancı para pozisyonu, ekonominin değişkenlerinden fiyat ve piyasa dalgalanmalarının sermayede yaratabileceği etkileri de göz önünde bulundurularak, ortaya çıkan sonuçlar Banka’nın risk profiline ve risk iştahına uygun </w:t>
      </w:r>
      <w:proofErr w:type="gramStart"/>
      <w:r w:rsidRPr="006F44AF">
        <w:rPr>
          <w:spacing w:val="-6"/>
        </w:rPr>
        <w:t>olarak  söz</w:t>
      </w:r>
      <w:proofErr w:type="gramEnd"/>
      <w:r w:rsidRPr="006F44AF">
        <w:rPr>
          <w:spacing w:val="-6"/>
        </w:rPr>
        <w:t xml:space="preserve"> konusu sermaye yeterliliğinin belirlenen düzeyde sürdürülmesini sağlamayı amaçlamaktadır.</w:t>
      </w:r>
    </w:p>
    <w:p w14:paraId="1E084D72" w14:textId="77777777" w:rsidR="00B30841" w:rsidRPr="006F44AF" w:rsidRDefault="00B30841" w:rsidP="00B30841">
      <w:pPr>
        <w:jc w:val="both"/>
        <w:rPr>
          <w:sz w:val="6"/>
          <w:szCs w:val="16"/>
        </w:rPr>
      </w:pPr>
    </w:p>
    <w:p w14:paraId="3F8FD66C" w14:textId="22125B12" w:rsidR="00B30841" w:rsidRPr="006F44AF" w:rsidRDefault="00B30841" w:rsidP="00B30841">
      <w:pPr>
        <w:jc w:val="both"/>
      </w:pPr>
      <w:r w:rsidRPr="006F44AF">
        <w:t xml:space="preserve">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w:t>
      </w:r>
      <w:proofErr w:type="gramStart"/>
      <w:r w:rsidRPr="006F44AF">
        <w:t>kar</w:t>
      </w:r>
      <w:proofErr w:type="gramEnd"/>
      <w:r w:rsidRPr="006F44AF">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353C8B45" w14:textId="046513D8" w:rsidR="0054031F" w:rsidRPr="006F44AF" w:rsidRDefault="0054031F" w:rsidP="00B30841">
      <w:pPr>
        <w:jc w:val="both"/>
        <w:rPr>
          <w:sz w:val="6"/>
        </w:rPr>
      </w:pPr>
    </w:p>
    <w:p w14:paraId="0C21B611" w14:textId="67AE1CD2" w:rsidR="00B30841" w:rsidRPr="006F44AF" w:rsidRDefault="00B30841" w:rsidP="00766064">
      <w:pPr>
        <w:pStyle w:val="BodyText"/>
        <w:jc w:val="left"/>
        <w:rPr>
          <w:rFonts w:eastAsia="Arial Unicode MS"/>
          <w:sz w:val="6"/>
          <w:szCs w:val="16"/>
          <w:lang w:eastAsia="en-US"/>
        </w:rPr>
      </w:pPr>
    </w:p>
    <w:p w14:paraId="045272EF" w14:textId="1D13318C" w:rsidR="00E73302" w:rsidRPr="006F44AF" w:rsidRDefault="00526564" w:rsidP="0003633B">
      <w:pPr>
        <w:pStyle w:val="BodyText"/>
        <w:ind w:hanging="567"/>
        <w:jc w:val="left"/>
        <w:rPr>
          <w:rFonts w:eastAsia="Arial Unicode MS"/>
          <w:b/>
        </w:rPr>
      </w:pPr>
      <w:r w:rsidRPr="006F44AF">
        <w:rPr>
          <w:rFonts w:eastAsia="Arial Unicode MS"/>
          <w:b/>
        </w:rPr>
        <w:t>2</w:t>
      </w:r>
      <w:r w:rsidR="00E253C8" w:rsidRPr="006F44AF">
        <w:rPr>
          <w:rFonts w:eastAsia="Arial Unicode MS"/>
          <w:b/>
        </w:rPr>
        <w:t>.</w:t>
      </w:r>
      <w:r w:rsidR="00E253C8" w:rsidRPr="006F44AF">
        <w:rPr>
          <w:rFonts w:eastAsia="Arial Unicode MS"/>
          <w:b/>
        </w:rPr>
        <w:tab/>
        <w:t>Kur riskine ilişkin açıklamalar</w:t>
      </w:r>
    </w:p>
    <w:p w14:paraId="6A0FFC9C" w14:textId="77777777" w:rsidR="00E73302" w:rsidRPr="006F44AF" w:rsidRDefault="00E73302" w:rsidP="00803B6E">
      <w:pPr>
        <w:pStyle w:val="BodyText3"/>
        <w:jc w:val="both"/>
        <w:rPr>
          <w:i w:val="0"/>
          <w:iCs w:val="0"/>
          <w:sz w:val="8"/>
          <w:szCs w:val="16"/>
        </w:rPr>
      </w:pPr>
    </w:p>
    <w:p w14:paraId="025AD8F3" w14:textId="57FEADA5" w:rsidR="000F527F" w:rsidRPr="006F44AF" w:rsidRDefault="000F527F" w:rsidP="000F527F">
      <w:pPr>
        <w:pStyle w:val="BodyText3"/>
        <w:jc w:val="both"/>
        <w:rPr>
          <w:i w:val="0"/>
          <w:iCs w:val="0"/>
          <w:sz w:val="20"/>
        </w:rPr>
      </w:pPr>
      <w:r w:rsidRPr="006F44AF">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00766064" w:rsidRPr="006F44AF">
        <w:rPr>
          <w:i w:val="0"/>
          <w:iCs w:val="0"/>
          <w:color w:val="000000"/>
          <w:sz w:val="20"/>
        </w:rPr>
        <w:t xml:space="preserve"> </w:t>
      </w:r>
      <w:r w:rsidR="00E33AB7" w:rsidRPr="006F44AF">
        <w:rPr>
          <w:i w:val="0"/>
          <w:iCs w:val="0"/>
          <w:color w:val="000000"/>
          <w:sz w:val="20"/>
        </w:rPr>
        <w:t>Banka’nın</w:t>
      </w:r>
      <w:r w:rsidR="00766064" w:rsidRPr="006F44AF">
        <w:rPr>
          <w:i w:val="0"/>
          <w:iCs w:val="0"/>
          <w:color w:val="000000"/>
          <w:sz w:val="20"/>
        </w:rPr>
        <w:t xml:space="preserve">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2E978993" w14:textId="77777777" w:rsidR="00997B21" w:rsidRPr="00FA77D7" w:rsidRDefault="00997B21" w:rsidP="000F527F">
      <w:pPr>
        <w:pStyle w:val="BodyText3"/>
        <w:jc w:val="both"/>
        <w:rPr>
          <w:i w:val="0"/>
          <w:iCs w:val="0"/>
          <w:sz w:val="6"/>
          <w:szCs w:val="16"/>
        </w:rPr>
      </w:pPr>
    </w:p>
    <w:p w14:paraId="560FE1D5" w14:textId="21F77D88" w:rsidR="000F527F" w:rsidRPr="00FA77D7" w:rsidRDefault="000F527F" w:rsidP="000F527F">
      <w:pPr>
        <w:pStyle w:val="BodyText3"/>
        <w:jc w:val="both"/>
        <w:rPr>
          <w:i w:val="0"/>
          <w:iCs w:val="0"/>
          <w:spacing w:val="-6"/>
          <w:sz w:val="20"/>
        </w:rPr>
      </w:pPr>
      <w:r w:rsidRPr="00FA77D7">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3A579D0B" w14:textId="77777777" w:rsidR="00796E0F" w:rsidRPr="00FA77D7" w:rsidRDefault="00796E0F" w:rsidP="008D64A5">
      <w:pPr>
        <w:autoSpaceDE w:val="0"/>
        <w:autoSpaceDN w:val="0"/>
        <w:adjustRightInd w:val="0"/>
        <w:rPr>
          <w:rFonts w:eastAsia="Arial Unicode MS"/>
          <w:b/>
          <w:sz w:val="6"/>
          <w:szCs w:val="16"/>
        </w:rPr>
      </w:pPr>
    </w:p>
    <w:p w14:paraId="4E3081B7" w14:textId="7DD1EB5C" w:rsidR="00E73302" w:rsidRPr="00FA77D7" w:rsidRDefault="00E253C8" w:rsidP="00803B6E">
      <w:pPr>
        <w:autoSpaceDE w:val="0"/>
        <w:autoSpaceDN w:val="0"/>
        <w:adjustRightInd w:val="0"/>
        <w:jc w:val="both"/>
        <w:rPr>
          <w:rFonts w:eastAsia="Arial Unicode MS"/>
        </w:rPr>
      </w:pPr>
      <w:r w:rsidRPr="00FA77D7">
        <w:rPr>
          <w:rFonts w:eastAsia="Arial Unicode MS"/>
        </w:rPr>
        <w:t xml:space="preserve">Banka, </w:t>
      </w:r>
      <w:r w:rsidR="004A773C" w:rsidRPr="00FA77D7">
        <w:t xml:space="preserve">30 </w:t>
      </w:r>
      <w:r w:rsidR="005774FC" w:rsidRPr="00FA77D7">
        <w:t>Eylül</w:t>
      </w:r>
      <w:r w:rsidR="004A773C" w:rsidRPr="00FA77D7">
        <w:t xml:space="preserve"> 2020 </w:t>
      </w:r>
      <w:r w:rsidRPr="00FA77D7">
        <w:rPr>
          <w:rFonts w:eastAsia="Arial Unicode MS"/>
        </w:rPr>
        <w:t xml:space="preserve">tarihi </w:t>
      </w:r>
      <w:r w:rsidR="00CF4F17" w:rsidRPr="00FA77D7">
        <w:rPr>
          <w:rFonts w:eastAsia="Arial Unicode MS"/>
        </w:rPr>
        <w:t>itibarıyla</w:t>
      </w:r>
      <w:r w:rsidRPr="00FA77D7">
        <w:rPr>
          <w:rFonts w:eastAsia="Arial Unicode MS"/>
        </w:rPr>
        <w:t xml:space="preserve"> </w:t>
      </w:r>
      <w:r w:rsidR="00FA77D7" w:rsidRPr="00FA77D7">
        <w:rPr>
          <w:rFonts w:eastAsia="Arial Unicode MS"/>
          <w:color w:val="000000"/>
        </w:rPr>
        <w:t>2</w:t>
      </w:r>
      <w:r w:rsidR="009A6615" w:rsidRPr="00FA77D7">
        <w:rPr>
          <w:rFonts w:eastAsia="Arial Unicode MS"/>
          <w:color w:val="000000"/>
        </w:rPr>
        <w:t>0</w:t>
      </w:r>
      <w:r w:rsidR="00882FFA" w:rsidRPr="00FA77D7">
        <w:rPr>
          <w:rFonts w:eastAsia="Arial Unicode MS"/>
          <w:color w:val="000000"/>
        </w:rPr>
        <w:t>,</w:t>
      </w:r>
      <w:r w:rsidR="009A6615" w:rsidRPr="00FA77D7">
        <w:rPr>
          <w:rFonts w:eastAsia="Arial Unicode MS"/>
          <w:color w:val="000000"/>
        </w:rPr>
        <w:t>6</w:t>
      </w:r>
      <w:r w:rsidR="00FA77D7" w:rsidRPr="00FA77D7">
        <w:rPr>
          <w:rFonts w:eastAsia="Arial Unicode MS"/>
          <w:color w:val="000000"/>
        </w:rPr>
        <w:t>5</w:t>
      </w:r>
      <w:r w:rsidR="009A6615" w:rsidRPr="00FA77D7">
        <w:rPr>
          <w:rFonts w:eastAsia="Arial Unicode MS"/>
          <w:color w:val="000000"/>
        </w:rPr>
        <w:t>7</w:t>
      </w:r>
      <w:r w:rsidR="00882FFA" w:rsidRPr="00FA77D7">
        <w:rPr>
          <w:rFonts w:eastAsia="Arial Unicode MS"/>
          <w:color w:val="000000"/>
        </w:rPr>
        <w:t>,</w:t>
      </w:r>
      <w:r w:rsidR="009A6615" w:rsidRPr="00FA77D7">
        <w:rPr>
          <w:rFonts w:eastAsia="Arial Unicode MS"/>
          <w:color w:val="000000"/>
        </w:rPr>
        <w:t>0</w:t>
      </w:r>
      <w:r w:rsidR="00FA77D7" w:rsidRPr="00FA77D7">
        <w:rPr>
          <w:rFonts w:eastAsia="Arial Unicode MS"/>
          <w:color w:val="000000"/>
        </w:rPr>
        <w:t>9</w:t>
      </w:r>
      <w:r w:rsidR="009A6615" w:rsidRPr="00FA77D7">
        <w:rPr>
          <w:rFonts w:eastAsia="Arial Unicode MS"/>
          <w:color w:val="000000"/>
        </w:rPr>
        <w:t>8</w:t>
      </w:r>
      <w:r w:rsidR="00CB7DBB" w:rsidRPr="00FA77D7">
        <w:rPr>
          <w:rFonts w:eastAsia="Arial Unicode MS"/>
          <w:color w:val="000000"/>
        </w:rPr>
        <w:t xml:space="preserve"> </w:t>
      </w:r>
      <w:r w:rsidRPr="00FA77D7">
        <w:rPr>
          <w:rFonts w:eastAsia="Arial Unicode MS"/>
          <w:color w:val="000000"/>
        </w:rPr>
        <w:t xml:space="preserve">TL bilanço </w:t>
      </w:r>
      <w:r w:rsidR="009A6615" w:rsidRPr="00FA77D7">
        <w:rPr>
          <w:rFonts w:eastAsia="Arial Unicode MS"/>
          <w:color w:val="000000"/>
        </w:rPr>
        <w:t>açık</w:t>
      </w:r>
      <w:r w:rsidR="0090182E" w:rsidRPr="00FA77D7">
        <w:rPr>
          <w:rFonts w:eastAsia="Arial Unicode MS"/>
        </w:rPr>
        <w:t xml:space="preserve"> </w:t>
      </w:r>
      <w:r w:rsidRPr="00FA77D7">
        <w:rPr>
          <w:rFonts w:eastAsia="Arial Unicode MS"/>
        </w:rPr>
        <w:t>pozisyonundan (</w:t>
      </w:r>
      <w:r w:rsidR="00E148EB" w:rsidRPr="00FA77D7">
        <w:rPr>
          <w:rFonts w:eastAsia="Arial Unicode MS"/>
        </w:rPr>
        <w:t xml:space="preserve">31 Aralık </w:t>
      </w:r>
      <w:r w:rsidR="00EA4497" w:rsidRPr="00FA77D7">
        <w:rPr>
          <w:rFonts w:eastAsia="Arial Unicode MS"/>
        </w:rPr>
        <w:t>201</w:t>
      </w:r>
      <w:r w:rsidR="00642512" w:rsidRPr="00FA77D7">
        <w:rPr>
          <w:rFonts w:eastAsia="Arial Unicode MS"/>
        </w:rPr>
        <w:t>9</w:t>
      </w:r>
      <w:r w:rsidR="00F81C32" w:rsidRPr="00FA77D7">
        <w:rPr>
          <w:rFonts w:eastAsia="Arial Unicode MS"/>
        </w:rPr>
        <w:t xml:space="preserve"> </w:t>
      </w:r>
      <w:r w:rsidR="00642512" w:rsidRPr="00FA77D7">
        <w:rPr>
          <w:rFonts w:eastAsia="Arial Unicode MS"/>
        </w:rPr>
        <w:t>–</w:t>
      </w:r>
      <w:r w:rsidRPr="00FA77D7">
        <w:rPr>
          <w:rFonts w:eastAsia="Arial Unicode MS"/>
        </w:rPr>
        <w:t xml:space="preserve"> </w:t>
      </w:r>
      <w:r w:rsidR="00642512" w:rsidRPr="00FA77D7">
        <w:rPr>
          <w:rFonts w:eastAsia="Arial Unicode MS"/>
          <w:color w:val="000000"/>
          <w:spacing w:val="-2"/>
        </w:rPr>
        <w:t xml:space="preserve">8,252,773 </w:t>
      </w:r>
      <w:r w:rsidR="00ED4F9A" w:rsidRPr="00FA77D7">
        <w:rPr>
          <w:rFonts w:eastAsia="Arial Unicode MS"/>
          <w:color w:val="000000"/>
          <w:spacing w:val="-2"/>
        </w:rPr>
        <w:t>TL</w:t>
      </w:r>
      <w:r w:rsidR="00AD7D3D" w:rsidRPr="00FA77D7">
        <w:rPr>
          <w:rFonts w:eastAsia="Arial Unicode MS"/>
        </w:rPr>
        <w:t xml:space="preserve"> </w:t>
      </w:r>
      <w:r w:rsidR="00BF2AE8" w:rsidRPr="00FA77D7">
        <w:rPr>
          <w:rFonts w:eastAsia="Arial Unicode MS"/>
        </w:rPr>
        <w:t>kapalı</w:t>
      </w:r>
      <w:r w:rsidRPr="00FA77D7">
        <w:rPr>
          <w:rFonts w:eastAsia="Arial Unicode MS"/>
        </w:rPr>
        <w:t xml:space="preserve">) ve </w:t>
      </w:r>
      <w:r w:rsidR="00FA77D7" w:rsidRPr="00FA77D7">
        <w:rPr>
          <w:rFonts w:eastAsia="Arial Unicode MS"/>
        </w:rPr>
        <w:t>2</w:t>
      </w:r>
      <w:r w:rsidR="009A6615" w:rsidRPr="00FA77D7">
        <w:rPr>
          <w:rFonts w:eastAsia="Arial Unicode MS"/>
        </w:rPr>
        <w:t>0</w:t>
      </w:r>
      <w:r w:rsidR="00882FFA" w:rsidRPr="00FA77D7">
        <w:rPr>
          <w:rFonts w:eastAsia="Arial Unicode MS"/>
        </w:rPr>
        <w:t>,</w:t>
      </w:r>
      <w:r w:rsidR="00FA77D7" w:rsidRPr="00FA77D7">
        <w:rPr>
          <w:rFonts w:eastAsia="Arial Unicode MS"/>
        </w:rPr>
        <w:t>2</w:t>
      </w:r>
      <w:r w:rsidR="009A6615" w:rsidRPr="00FA77D7">
        <w:rPr>
          <w:rFonts w:eastAsia="Arial Unicode MS"/>
        </w:rPr>
        <w:t>58</w:t>
      </w:r>
      <w:r w:rsidR="00882FFA" w:rsidRPr="00FA77D7">
        <w:rPr>
          <w:rFonts w:eastAsia="Arial Unicode MS"/>
        </w:rPr>
        <w:t>,</w:t>
      </w:r>
      <w:r w:rsidR="00FA77D7" w:rsidRPr="00FA77D7">
        <w:rPr>
          <w:rFonts w:eastAsia="Arial Unicode MS"/>
        </w:rPr>
        <w:t>6</w:t>
      </w:r>
      <w:r w:rsidR="009A6615" w:rsidRPr="00FA77D7">
        <w:rPr>
          <w:rFonts w:eastAsia="Arial Unicode MS"/>
        </w:rPr>
        <w:t>4</w:t>
      </w:r>
      <w:r w:rsidR="00FA77D7" w:rsidRPr="00FA77D7">
        <w:rPr>
          <w:rFonts w:eastAsia="Arial Unicode MS"/>
        </w:rPr>
        <w:t>0</w:t>
      </w:r>
      <w:r w:rsidR="009A6615" w:rsidRPr="00FA77D7">
        <w:rPr>
          <w:rFonts w:eastAsia="Arial Unicode MS"/>
        </w:rPr>
        <w:t xml:space="preserve"> </w:t>
      </w:r>
      <w:r w:rsidRPr="00FA77D7">
        <w:rPr>
          <w:rFonts w:eastAsia="Arial Unicode MS"/>
        </w:rPr>
        <w:t xml:space="preserve">TL bilanço dışı </w:t>
      </w:r>
      <w:r w:rsidR="009A6615" w:rsidRPr="00FA77D7">
        <w:rPr>
          <w:rFonts w:eastAsia="Arial Unicode MS"/>
        </w:rPr>
        <w:t>kapalı</w:t>
      </w:r>
      <w:r w:rsidRPr="00FA77D7">
        <w:rPr>
          <w:rFonts w:eastAsia="Arial Unicode MS"/>
        </w:rPr>
        <w:t xml:space="preserve"> pozisyondan (</w:t>
      </w:r>
      <w:r w:rsidR="00E148EB" w:rsidRPr="00FA77D7">
        <w:rPr>
          <w:rFonts w:eastAsia="Arial Unicode MS"/>
        </w:rPr>
        <w:t xml:space="preserve">31 Aralık </w:t>
      </w:r>
      <w:r w:rsidR="00EA4497" w:rsidRPr="00FA77D7">
        <w:rPr>
          <w:rFonts w:eastAsia="Arial Unicode MS"/>
        </w:rPr>
        <w:t>201</w:t>
      </w:r>
      <w:r w:rsidR="00642512" w:rsidRPr="00FA77D7">
        <w:rPr>
          <w:rFonts w:eastAsia="Arial Unicode MS"/>
        </w:rPr>
        <w:t>9</w:t>
      </w:r>
      <w:r w:rsidRPr="00FA77D7">
        <w:rPr>
          <w:rFonts w:eastAsia="Arial Unicode MS"/>
        </w:rPr>
        <w:t xml:space="preserve"> – </w:t>
      </w:r>
      <w:r w:rsidR="003F47E2" w:rsidRPr="00FA77D7">
        <w:rPr>
          <w:rFonts w:eastAsia="Arial Unicode MS"/>
          <w:color w:val="000000"/>
          <w:spacing w:val="-2"/>
        </w:rPr>
        <w:t>7</w:t>
      </w:r>
      <w:r w:rsidR="00642512" w:rsidRPr="00FA77D7">
        <w:rPr>
          <w:rFonts w:eastAsia="Arial Unicode MS"/>
          <w:color w:val="000000"/>
          <w:spacing w:val="-2"/>
        </w:rPr>
        <w:t>,932,219</w:t>
      </w:r>
      <w:r w:rsidR="00ED4F9A" w:rsidRPr="00FA77D7">
        <w:rPr>
          <w:rFonts w:eastAsia="Arial Unicode MS"/>
          <w:color w:val="000000"/>
          <w:spacing w:val="-2"/>
        </w:rPr>
        <w:t xml:space="preserve"> TL</w:t>
      </w:r>
      <w:r w:rsidR="009F184B" w:rsidRPr="00FA77D7">
        <w:rPr>
          <w:rFonts w:eastAsia="Arial Unicode MS"/>
        </w:rPr>
        <w:t xml:space="preserve"> </w:t>
      </w:r>
      <w:r w:rsidR="00882FFA" w:rsidRPr="00FA77D7">
        <w:rPr>
          <w:rFonts w:eastAsia="Arial Unicode MS"/>
        </w:rPr>
        <w:t>açık</w:t>
      </w:r>
      <w:r w:rsidRPr="00FA77D7">
        <w:rPr>
          <w:rFonts w:eastAsia="Arial Unicode MS"/>
        </w:rPr>
        <w:t xml:space="preserve">) oluşmak üzere </w:t>
      </w:r>
      <w:r w:rsidR="00FA77D7" w:rsidRPr="00FA77D7">
        <w:rPr>
          <w:rFonts w:eastAsia="Arial Unicode MS"/>
        </w:rPr>
        <w:t>39</w:t>
      </w:r>
      <w:r w:rsidR="009A6615" w:rsidRPr="00FA77D7">
        <w:rPr>
          <w:rFonts w:eastAsia="Arial Unicode MS"/>
        </w:rPr>
        <w:t>8</w:t>
      </w:r>
      <w:r w:rsidR="00A35BEA" w:rsidRPr="00FA77D7">
        <w:rPr>
          <w:rFonts w:eastAsia="Arial Unicode MS"/>
        </w:rPr>
        <w:t>,</w:t>
      </w:r>
      <w:r w:rsidR="009A6615" w:rsidRPr="00FA77D7">
        <w:rPr>
          <w:rFonts w:eastAsia="Arial Unicode MS"/>
        </w:rPr>
        <w:t>4</w:t>
      </w:r>
      <w:r w:rsidR="00FA77D7" w:rsidRPr="00FA77D7">
        <w:rPr>
          <w:rFonts w:eastAsia="Arial Unicode MS"/>
        </w:rPr>
        <w:t>58</w:t>
      </w:r>
      <w:r w:rsidR="00D27B5A" w:rsidRPr="00FA77D7">
        <w:rPr>
          <w:rFonts w:eastAsia="Arial Unicode MS"/>
        </w:rPr>
        <w:t xml:space="preserve"> </w:t>
      </w:r>
      <w:r w:rsidRPr="00FA77D7">
        <w:rPr>
          <w:rFonts w:eastAsia="Arial Unicode MS"/>
        </w:rPr>
        <w:t xml:space="preserve">TL </w:t>
      </w:r>
      <w:r w:rsidR="00882FFA" w:rsidRPr="00FA77D7">
        <w:rPr>
          <w:rFonts w:eastAsia="Arial Unicode MS"/>
        </w:rPr>
        <w:t>açık</w:t>
      </w:r>
      <w:r w:rsidRPr="00FA77D7">
        <w:rPr>
          <w:rFonts w:eastAsia="Arial Unicode MS"/>
        </w:rPr>
        <w:t xml:space="preserve"> (</w:t>
      </w:r>
      <w:r w:rsidR="00E148EB" w:rsidRPr="00FA77D7">
        <w:rPr>
          <w:rFonts w:eastAsia="Arial Unicode MS"/>
        </w:rPr>
        <w:t xml:space="preserve">31 Aralık </w:t>
      </w:r>
      <w:r w:rsidR="00EA4497" w:rsidRPr="00FA77D7">
        <w:rPr>
          <w:rFonts w:eastAsia="Arial Unicode MS"/>
        </w:rPr>
        <w:t>201</w:t>
      </w:r>
      <w:r w:rsidR="00642512" w:rsidRPr="00FA77D7">
        <w:rPr>
          <w:rFonts w:eastAsia="Arial Unicode MS"/>
        </w:rPr>
        <w:t>9</w:t>
      </w:r>
      <w:r w:rsidR="00E148EB" w:rsidRPr="00FA77D7">
        <w:rPr>
          <w:rFonts w:eastAsia="Arial Unicode MS"/>
        </w:rPr>
        <w:t xml:space="preserve"> </w:t>
      </w:r>
      <w:r w:rsidRPr="00FA77D7">
        <w:rPr>
          <w:rFonts w:eastAsia="Arial Unicode MS"/>
        </w:rPr>
        <w:t xml:space="preserve">– </w:t>
      </w:r>
      <w:r w:rsidR="003F47E2" w:rsidRPr="00FA77D7">
        <w:rPr>
          <w:rFonts w:eastAsia="Arial Unicode MS"/>
          <w:color w:val="000000"/>
          <w:spacing w:val="-2"/>
        </w:rPr>
        <w:t>3</w:t>
      </w:r>
      <w:r w:rsidR="00642512" w:rsidRPr="00FA77D7">
        <w:rPr>
          <w:rFonts w:eastAsia="Arial Unicode MS"/>
          <w:color w:val="000000"/>
          <w:spacing w:val="-2"/>
        </w:rPr>
        <w:t>20,554</w:t>
      </w:r>
      <w:r w:rsidR="00ED4F9A" w:rsidRPr="00FA77D7">
        <w:rPr>
          <w:rFonts w:eastAsia="Arial Unicode MS"/>
          <w:color w:val="000000"/>
          <w:spacing w:val="-2"/>
        </w:rPr>
        <w:t xml:space="preserve"> TL</w:t>
      </w:r>
      <w:r w:rsidR="00AD7D3D" w:rsidRPr="00FA77D7">
        <w:rPr>
          <w:rFonts w:eastAsia="Arial Unicode MS"/>
        </w:rPr>
        <w:t xml:space="preserve"> </w:t>
      </w:r>
      <w:r w:rsidRPr="00FA77D7">
        <w:rPr>
          <w:rFonts w:eastAsia="Arial Unicode MS"/>
        </w:rPr>
        <w:t xml:space="preserve">kapalı) pozisyon taşımaktadır. </w:t>
      </w:r>
    </w:p>
    <w:p w14:paraId="2B59D7E0" w14:textId="77777777" w:rsidR="0054031F" w:rsidRPr="00FA77D7" w:rsidRDefault="0054031F" w:rsidP="00134A72">
      <w:pPr>
        <w:autoSpaceDE w:val="0"/>
        <w:autoSpaceDN w:val="0"/>
        <w:adjustRightInd w:val="0"/>
        <w:rPr>
          <w:rFonts w:eastAsia="Arial Unicode MS"/>
          <w:sz w:val="8"/>
          <w:szCs w:val="16"/>
        </w:rPr>
      </w:pPr>
    </w:p>
    <w:p w14:paraId="687EAF48" w14:textId="77777777" w:rsidR="005A1EDE" w:rsidRPr="00FA77D7" w:rsidRDefault="00E253C8" w:rsidP="002F3657">
      <w:pPr>
        <w:autoSpaceDE w:val="0"/>
        <w:autoSpaceDN w:val="0"/>
        <w:adjustRightInd w:val="0"/>
        <w:jc w:val="both"/>
        <w:rPr>
          <w:rFonts w:eastAsia="Arial Unicode MS"/>
        </w:rPr>
      </w:pPr>
      <w:r w:rsidRPr="00FA77D7">
        <w:rPr>
          <w:rFonts w:eastAsia="Arial Unicode MS"/>
        </w:rPr>
        <w:t>Banka’nın finansal tablo tarihi ile bu tarihten geriye doğru son beş iş günü kamuya duyurulan belli başlı cari döviz alış kurları (tam TL):</w:t>
      </w:r>
    </w:p>
    <w:p w14:paraId="3E18BF2D" w14:textId="253C9D5C" w:rsidR="00B0481E" w:rsidRPr="00311DAB" w:rsidRDefault="00B0481E" w:rsidP="00535E20">
      <w:pPr>
        <w:autoSpaceDE w:val="0"/>
        <w:autoSpaceDN w:val="0"/>
        <w:adjustRightInd w:val="0"/>
        <w:rPr>
          <w:lang w:eastAsia="en-GB"/>
        </w:rPr>
      </w:pPr>
    </w:p>
    <w:tbl>
      <w:tblPr>
        <w:tblW w:w="9463" w:type="dxa"/>
        <w:tblCellMar>
          <w:left w:w="70" w:type="dxa"/>
          <w:right w:w="70" w:type="dxa"/>
        </w:tblCellMar>
        <w:tblLook w:val="04A0" w:firstRow="1" w:lastRow="0" w:firstColumn="1" w:lastColumn="0" w:noHBand="0" w:noVBand="1"/>
      </w:tblPr>
      <w:tblGrid>
        <w:gridCol w:w="2861"/>
        <w:gridCol w:w="1812"/>
        <w:gridCol w:w="961"/>
        <w:gridCol w:w="961"/>
        <w:gridCol w:w="961"/>
        <w:gridCol w:w="961"/>
        <w:gridCol w:w="946"/>
      </w:tblGrid>
      <w:tr w:rsidR="00B0481E" w:rsidRPr="00B0481E" w14:paraId="48A5D68A" w14:textId="77777777" w:rsidTr="00B0481E">
        <w:trPr>
          <w:divId w:val="81490791"/>
          <w:trHeight w:val="496"/>
        </w:trPr>
        <w:tc>
          <w:tcPr>
            <w:tcW w:w="2884" w:type="dxa"/>
            <w:tcBorders>
              <w:top w:val="single" w:sz="8" w:space="0" w:color="auto"/>
              <w:left w:val="nil"/>
              <w:bottom w:val="single" w:sz="8" w:space="0" w:color="auto"/>
              <w:right w:val="nil"/>
            </w:tcBorders>
            <w:shd w:val="clear" w:color="auto" w:fill="auto"/>
            <w:vAlign w:val="center"/>
            <w:hideMark/>
          </w:tcPr>
          <w:p w14:paraId="699EB34A" w14:textId="32388A27" w:rsidR="00B0481E" w:rsidRPr="00B0481E" w:rsidRDefault="00B0481E" w:rsidP="00B0481E">
            <w:pPr>
              <w:rPr>
                <w:b/>
                <w:bCs/>
                <w:color w:val="000000"/>
                <w:sz w:val="18"/>
                <w:szCs w:val="18"/>
                <w:lang w:eastAsia="tr-TR"/>
              </w:rPr>
            </w:pPr>
            <w:r w:rsidRPr="00B0481E">
              <w:rPr>
                <w:b/>
                <w:bCs/>
                <w:snapToGrid w:val="0"/>
                <w:color w:val="000000"/>
                <w:sz w:val="18"/>
                <w:szCs w:val="18"/>
                <w:lang w:eastAsia="tr-TR"/>
              </w:rPr>
              <w:t> </w:t>
            </w:r>
          </w:p>
        </w:tc>
        <w:tc>
          <w:tcPr>
            <w:tcW w:w="1821" w:type="dxa"/>
            <w:tcBorders>
              <w:top w:val="single" w:sz="8" w:space="0" w:color="auto"/>
              <w:left w:val="nil"/>
              <w:bottom w:val="single" w:sz="8" w:space="0" w:color="auto"/>
              <w:right w:val="nil"/>
            </w:tcBorders>
            <w:shd w:val="clear" w:color="auto" w:fill="auto"/>
            <w:vAlign w:val="center"/>
            <w:hideMark/>
          </w:tcPr>
          <w:p w14:paraId="08511D31" w14:textId="77777777" w:rsidR="00B0481E" w:rsidRPr="00B0481E" w:rsidRDefault="00B0481E" w:rsidP="00B0481E">
            <w:pPr>
              <w:jc w:val="right"/>
              <w:rPr>
                <w:b/>
                <w:bCs/>
                <w:color w:val="000000"/>
                <w:sz w:val="18"/>
                <w:szCs w:val="18"/>
                <w:lang w:eastAsia="tr-TR"/>
              </w:rPr>
            </w:pPr>
            <w:r w:rsidRPr="00B0481E">
              <w:rPr>
                <w:b/>
                <w:bCs/>
                <w:color w:val="000000"/>
                <w:sz w:val="18"/>
                <w:szCs w:val="18"/>
                <w:lang w:eastAsia="tr-TR"/>
              </w:rPr>
              <w:t>23/09/2020</w:t>
            </w:r>
          </w:p>
        </w:tc>
        <w:tc>
          <w:tcPr>
            <w:tcW w:w="953" w:type="dxa"/>
            <w:tcBorders>
              <w:top w:val="single" w:sz="8" w:space="0" w:color="auto"/>
              <w:left w:val="nil"/>
              <w:bottom w:val="single" w:sz="8" w:space="0" w:color="auto"/>
              <w:right w:val="nil"/>
            </w:tcBorders>
            <w:shd w:val="clear" w:color="auto" w:fill="auto"/>
            <w:vAlign w:val="center"/>
            <w:hideMark/>
          </w:tcPr>
          <w:p w14:paraId="2AD98538" w14:textId="77777777" w:rsidR="00B0481E" w:rsidRPr="00B0481E" w:rsidRDefault="00B0481E" w:rsidP="00B0481E">
            <w:pPr>
              <w:jc w:val="right"/>
              <w:rPr>
                <w:b/>
                <w:bCs/>
                <w:color w:val="000000"/>
                <w:sz w:val="18"/>
                <w:szCs w:val="18"/>
                <w:lang w:eastAsia="tr-TR"/>
              </w:rPr>
            </w:pPr>
            <w:r w:rsidRPr="00B0481E">
              <w:rPr>
                <w:b/>
                <w:bCs/>
                <w:color w:val="000000"/>
                <w:sz w:val="18"/>
                <w:szCs w:val="18"/>
                <w:lang w:eastAsia="tr-TR"/>
              </w:rPr>
              <w:t>24/09/2020</w:t>
            </w:r>
          </w:p>
        </w:tc>
        <w:tc>
          <w:tcPr>
            <w:tcW w:w="953" w:type="dxa"/>
            <w:tcBorders>
              <w:top w:val="single" w:sz="8" w:space="0" w:color="auto"/>
              <w:left w:val="nil"/>
              <w:bottom w:val="single" w:sz="8" w:space="0" w:color="auto"/>
              <w:right w:val="nil"/>
            </w:tcBorders>
            <w:shd w:val="clear" w:color="auto" w:fill="auto"/>
            <w:vAlign w:val="center"/>
            <w:hideMark/>
          </w:tcPr>
          <w:p w14:paraId="75D87375" w14:textId="77777777" w:rsidR="00B0481E" w:rsidRPr="00B0481E" w:rsidRDefault="00B0481E" w:rsidP="00B0481E">
            <w:pPr>
              <w:jc w:val="right"/>
              <w:rPr>
                <w:b/>
                <w:bCs/>
                <w:color w:val="000000"/>
                <w:sz w:val="18"/>
                <w:szCs w:val="18"/>
                <w:lang w:eastAsia="tr-TR"/>
              </w:rPr>
            </w:pPr>
            <w:r w:rsidRPr="00B0481E">
              <w:rPr>
                <w:b/>
                <w:bCs/>
                <w:color w:val="000000"/>
                <w:sz w:val="18"/>
                <w:szCs w:val="18"/>
                <w:lang w:eastAsia="tr-TR"/>
              </w:rPr>
              <w:t>25/09/2020</w:t>
            </w:r>
          </w:p>
        </w:tc>
        <w:tc>
          <w:tcPr>
            <w:tcW w:w="953" w:type="dxa"/>
            <w:tcBorders>
              <w:top w:val="single" w:sz="8" w:space="0" w:color="auto"/>
              <w:left w:val="nil"/>
              <w:bottom w:val="single" w:sz="8" w:space="0" w:color="auto"/>
              <w:right w:val="nil"/>
            </w:tcBorders>
            <w:shd w:val="clear" w:color="auto" w:fill="auto"/>
            <w:vAlign w:val="center"/>
            <w:hideMark/>
          </w:tcPr>
          <w:p w14:paraId="0BD23F9A" w14:textId="77777777" w:rsidR="00B0481E" w:rsidRPr="00B0481E" w:rsidRDefault="00B0481E" w:rsidP="00B0481E">
            <w:pPr>
              <w:jc w:val="right"/>
              <w:rPr>
                <w:b/>
                <w:bCs/>
                <w:color w:val="000000"/>
                <w:sz w:val="18"/>
                <w:szCs w:val="18"/>
                <w:lang w:eastAsia="tr-TR"/>
              </w:rPr>
            </w:pPr>
            <w:r w:rsidRPr="00B0481E">
              <w:rPr>
                <w:b/>
                <w:bCs/>
                <w:color w:val="000000"/>
                <w:sz w:val="18"/>
                <w:szCs w:val="18"/>
                <w:lang w:eastAsia="tr-TR"/>
              </w:rPr>
              <w:t>28/09/2020</w:t>
            </w:r>
          </w:p>
        </w:tc>
        <w:tc>
          <w:tcPr>
            <w:tcW w:w="953" w:type="dxa"/>
            <w:tcBorders>
              <w:top w:val="single" w:sz="8" w:space="0" w:color="auto"/>
              <w:left w:val="nil"/>
              <w:bottom w:val="single" w:sz="8" w:space="0" w:color="auto"/>
              <w:right w:val="nil"/>
            </w:tcBorders>
            <w:shd w:val="clear" w:color="auto" w:fill="auto"/>
            <w:vAlign w:val="center"/>
            <w:hideMark/>
          </w:tcPr>
          <w:p w14:paraId="1BDEA03C" w14:textId="77777777" w:rsidR="00B0481E" w:rsidRPr="00B0481E" w:rsidRDefault="00B0481E" w:rsidP="00B0481E">
            <w:pPr>
              <w:jc w:val="right"/>
              <w:rPr>
                <w:b/>
                <w:bCs/>
                <w:color w:val="000000"/>
                <w:sz w:val="18"/>
                <w:szCs w:val="18"/>
                <w:lang w:eastAsia="tr-TR"/>
              </w:rPr>
            </w:pPr>
            <w:r w:rsidRPr="00B0481E">
              <w:rPr>
                <w:b/>
                <w:bCs/>
                <w:color w:val="000000"/>
                <w:sz w:val="18"/>
                <w:szCs w:val="18"/>
                <w:lang w:eastAsia="tr-TR"/>
              </w:rPr>
              <w:t>29/09/2020</w:t>
            </w:r>
          </w:p>
        </w:tc>
        <w:tc>
          <w:tcPr>
            <w:tcW w:w="946" w:type="dxa"/>
            <w:tcBorders>
              <w:top w:val="single" w:sz="8" w:space="0" w:color="auto"/>
              <w:left w:val="nil"/>
              <w:bottom w:val="single" w:sz="8" w:space="0" w:color="auto"/>
              <w:right w:val="nil"/>
            </w:tcBorders>
            <w:shd w:val="clear" w:color="auto" w:fill="auto"/>
            <w:vAlign w:val="center"/>
            <w:hideMark/>
          </w:tcPr>
          <w:p w14:paraId="46B5D47F" w14:textId="77777777" w:rsidR="00B0481E" w:rsidRPr="00B0481E" w:rsidRDefault="00B0481E" w:rsidP="00B0481E">
            <w:pPr>
              <w:jc w:val="right"/>
              <w:rPr>
                <w:b/>
                <w:bCs/>
                <w:color w:val="000000"/>
                <w:sz w:val="18"/>
                <w:szCs w:val="18"/>
                <w:lang w:eastAsia="tr-TR"/>
              </w:rPr>
            </w:pPr>
            <w:r w:rsidRPr="00B0481E">
              <w:rPr>
                <w:b/>
                <w:bCs/>
                <w:color w:val="000000"/>
                <w:sz w:val="18"/>
                <w:szCs w:val="18"/>
                <w:lang w:eastAsia="tr-TR"/>
              </w:rPr>
              <w:t>Bilanço değerleme kuru</w:t>
            </w:r>
          </w:p>
        </w:tc>
      </w:tr>
      <w:tr w:rsidR="00B0481E" w:rsidRPr="00B0481E" w14:paraId="3AE0BC80" w14:textId="77777777" w:rsidTr="00B0481E">
        <w:trPr>
          <w:divId w:val="81490791"/>
          <w:trHeight w:val="202"/>
        </w:trPr>
        <w:tc>
          <w:tcPr>
            <w:tcW w:w="2884" w:type="dxa"/>
            <w:tcBorders>
              <w:top w:val="nil"/>
              <w:left w:val="nil"/>
              <w:bottom w:val="nil"/>
              <w:right w:val="nil"/>
            </w:tcBorders>
            <w:shd w:val="clear" w:color="auto" w:fill="auto"/>
            <w:vAlign w:val="center"/>
            <w:hideMark/>
          </w:tcPr>
          <w:p w14:paraId="1D245423" w14:textId="77777777" w:rsidR="00B0481E" w:rsidRPr="00B0481E" w:rsidRDefault="00B0481E" w:rsidP="00B0481E">
            <w:pPr>
              <w:jc w:val="right"/>
              <w:rPr>
                <w:b/>
                <w:bCs/>
                <w:color w:val="000000"/>
                <w:sz w:val="18"/>
                <w:szCs w:val="18"/>
                <w:lang w:eastAsia="tr-TR"/>
              </w:rPr>
            </w:pPr>
          </w:p>
        </w:tc>
        <w:tc>
          <w:tcPr>
            <w:tcW w:w="1821" w:type="dxa"/>
            <w:tcBorders>
              <w:top w:val="nil"/>
              <w:left w:val="nil"/>
              <w:bottom w:val="nil"/>
              <w:right w:val="nil"/>
            </w:tcBorders>
            <w:shd w:val="clear" w:color="auto" w:fill="auto"/>
            <w:vAlign w:val="center"/>
            <w:hideMark/>
          </w:tcPr>
          <w:p w14:paraId="15BC7AB0" w14:textId="77777777" w:rsidR="00B0481E" w:rsidRPr="00B0481E" w:rsidRDefault="00B0481E" w:rsidP="00B0481E">
            <w:pPr>
              <w:rPr>
                <w:lang w:eastAsia="tr-TR"/>
              </w:rPr>
            </w:pPr>
          </w:p>
        </w:tc>
        <w:tc>
          <w:tcPr>
            <w:tcW w:w="953" w:type="dxa"/>
            <w:tcBorders>
              <w:top w:val="nil"/>
              <w:left w:val="nil"/>
              <w:bottom w:val="nil"/>
              <w:right w:val="nil"/>
            </w:tcBorders>
            <w:shd w:val="clear" w:color="auto" w:fill="auto"/>
            <w:vAlign w:val="center"/>
            <w:hideMark/>
          </w:tcPr>
          <w:p w14:paraId="7ABB7FB6" w14:textId="77777777" w:rsidR="00B0481E" w:rsidRPr="00B0481E" w:rsidRDefault="00B0481E" w:rsidP="00B0481E">
            <w:pPr>
              <w:jc w:val="center"/>
              <w:rPr>
                <w:lang w:eastAsia="tr-TR"/>
              </w:rPr>
            </w:pPr>
          </w:p>
        </w:tc>
        <w:tc>
          <w:tcPr>
            <w:tcW w:w="953" w:type="dxa"/>
            <w:tcBorders>
              <w:top w:val="nil"/>
              <w:left w:val="nil"/>
              <w:bottom w:val="nil"/>
              <w:right w:val="nil"/>
            </w:tcBorders>
            <w:shd w:val="clear" w:color="auto" w:fill="auto"/>
            <w:vAlign w:val="center"/>
            <w:hideMark/>
          </w:tcPr>
          <w:p w14:paraId="061F57CA" w14:textId="77777777" w:rsidR="00B0481E" w:rsidRPr="00B0481E" w:rsidRDefault="00B0481E" w:rsidP="00B0481E">
            <w:pPr>
              <w:jc w:val="center"/>
              <w:rPr>
                <w:lang w:eastAsia="tr-TR"/>
              </w:rPr>
            </w:pPr>
          </w:p>
        </w:tc>
        <w:tc>
          <w:tcPr>
            <w:tcW w:w="953" w:type="dxa"/>
            <w:tcBorders>
              <w:top w:val="nil"/>
              <w:left w:val="nil"/>
              <w:bottom w:val="nil"/>
              <w:right w:val="nil"/>
            </w:tcBorders>
            <w:shd w:val="clear" w:color="auto" w:fill="auto"/>
            <w:vAlign w:val="center"/>
            <w:hideMark/>
          </w:tcPr>
          <w:p w14:paraId="7B779ECB" w14:textId="77777777" w:rsidR="00B0481E" w:rsidRPr="00B0481E" w:rsidRDefault="00B0481E" w:rsidP="00B0481E">
            <w:pPr>
              <w:jc w:val="center"/>
              <w:rPr>
                <w:lang w:eastAsia="tr-TR"/>
              </w:rPr>
            </w:pPr>
          </w:p>
        </w:tc>
        <w:tc>
          <w:tcPr>
            <w:tcW w:w="953" w:type="dxa"/>
            <w:tcBorders>
              <w:top w:val="nil"/>
              <w:left w:val="nil"/>
              <w:bottom w:val="nil"/>
              <w:right w:val="nil"/>
            </w:tcBorders>
            <w:shd w:val="clear" w:color="auto" w:fill="auto"/>
            <w:vAlign w:val="center"/>
            <w:hideMark/>
          </w:tcPr>
          <w:p w14:paraId="3713DDB7" w14:textId="77777777" w:rsidR="00B0481E" w:rsidRPr="00B0481E" w:rsidRDefault="00B0481E" w:rsidP="00B0481E">
            <w:pPr>
              <w:jc w:val="center"/>
              <w:rPr>
                <w:lang w:eastAsia="tr-TR"/>
              </w:rPr>
            </w:pPr>
          </w:p>
        </w:tc>
        <w:tc>
          <w:tcPr>
            <w:tcW w:w="946" w:type="dxa"/>
            <w:tcBorders>
              <w:top w:val="nil"/>
              <w:left w:val="nil"/>
              <w:bottom w:val="nil"/>
              <w:right w:val="nil"/>
            </w:tcBorders>
            <w:shd w:val="clear" w:color="auto" w:fill="auto"/>
            <w:vAlign w:val="center"/>
            <w:hideMark/>
          </w:tcPr>
          <w:p w14:paraId="102D74A6" w14:textId="77777777" w:rsidR="00B0481E" w:rsidRPr="00B0481E" w:rsidRDefault="00B0481E" w:rsidP="00B0481E">
            <w:pPr>
              <w:jc w:val="center"/>
              <w:rPr>
                <w:lang w:eastAsia="tr-TR"/>
              </w:rPr>
            </w:pPr>
          </w:p>
        </w:tc>
      </w:tr>
      <w:tr w:rsidR="00B0481E" w:rsidRPr="00B0481E" w14:paraId="2BD3A678" w14:textId="77777777" w:rsidTr="00B0481E">
        <w:trPr>
          <w:divId w:val="81490791"/>
          <w:trHeight w:val="202"/>
        </w:trPr>
        <w:tc>
          <w:tcPr>
            <w:tcW w:w="2884" w:type="dxa"/>
            <w:tcBorders>
              <w:top w:val="nil"/>
              <w:left w:val="nil"/>
              <w:bottom w:val="nil"/>
              <w:right w:val="nil"/>
            </w:tcBorders>
            <w:shd w:val="clear" w:color="auto" w:fill="auto"/>
            <w:vAlign w:val="center"/>
            <w:hideMark/>
          </w:tcPr>
          <w:p w14:paraId="5AAC5D2E" w14:textId="77777777" w:rsidR="00B0481E" w:rsidRPr="00B0481E" w:rsidRDefault="00B0481E" w:rsidP="00B0481E">
            <w:pPr>
              <w:rPr>
                <w:b/>
                <w:bCs/>
                <w:color w:val="000000"/>
                <w:sz w:val="18"/>
                <w:szCs w:val="18"/>
                <w:lang w:eastAsia="tr-TR"/>
              </w:rPr>
            </w:pPr>
            <w:r w:rsidRPr="00B0481E">
              <w:rPr>
                <w:b/>
                <w:bCs/>
                <w:snapToGrid w:val="0"/>
                <w:color w:val="000000"/>
                <w:sz w:val="18"/>
                <w:szCs w:val="18"/>
                <w:lang w:eastAsia="tr-TR"/>
              </w:rPr>
              <w:t>ABD Doları</w:t>
            </w:r>
          </w:p>
        </w:tc>
        <w:tc>
          <w:tcPr>
            <w:tcW w:w="1821" w:type="dxa"/>
            <w:tcBorders>
              <w:top w:val="nil"/>
              <w:left w:val="nil"/>
              <w:bottom w:val="nil"/>
              <w:right w:val="nil"/>
            </w:tcBorders>
            <w:shd w:val="clear" w:color="auto" w:fill="auto"/>
            <w:vAlign w:val="center"/>
            <w:hideMark/>
          </w:tcPr>
          <w:p w14:paraId="217F9005" w14:textId="77777777" w:rsidR="00B0481E" w:rsidRPr="00B0481E" w:rsidRDefault="00B0481E" w:rsidP="00B0481E">
            <w:pPr>
              <w:jc w:val="right"/>
              <w:rPr>
                <w:color w:val="000000"/>
                <w:sz w:val="18"/>
                <w:szCs w:val="18"/>
                <w:lang w:eastAsia="tr-TR"/>
              </w:rPr>
            </w:pPr>
            <w:r w:rsidRPr="00B0481E">
              <w:rPr>
                <w:color w:val="000000"/>
                <w:sz w:val="18"/>
                <w:szCs w:val="18"/>
                <w:lang w:eastAsia="tr-TR"/>
              </w:rPr>
              <w:t>7.681</w:t>
            </w:r>
          </w:p>
        </w:tc>
        <w:tc>
          <w:tcPr>
            <w:tcW w:w="953" w:type="dxa"/>
            <w:tcBorders>
              <w:top w:val="nil"/>
              <w:left w:val="nil"/>
              <w:bottom w:val="nil"/>
              <w:right w:val="nil"/>
            </w:tcBorders>
            <w:shd w:val="clear" w:color="auto" w:fill="auto"/>
            <w:vAlign w:val="center"/>
            <w:hideMark/>
          </w:tcPr>
          <w:p w14:paraId="35C4CF48" w14:textId="77777777" w:rsidR="00B0481E" w:rsidRPr="00B0481E" w:rsidRDefault="00B0481E" w:rsidP="00B0481E">
            <w:pPr>
              <w:jc w:val="right"/>
              <w:rPr>
                <w:color w:val="000000"/>
                <w:sz w:val="18"/>
                <w:szCs w:val="18"/>
                <w:lang w:eastAsia="tr-TR"/>
              </w:rPr>
            </w:pPr>
            <w:r w:rsidRPr="00B0481E">
              <w:rPr>
                <w:color w:val="000000"/>
                <w:sz w:val="18"/>
                <w:szCs w:val="18"/>
                <w:lang w:eastAsia="tr-TR"/>
              </w:rPr>
              <w:t>7.65277</w:t>
            </w:r>
          </w:p>
        </w:tc>
        <w:tc>
          <w:tcPr>
            <w:tcW w:w="953" w:type="dxa"/>
            <w:tcBorders>
              <w:top w:val="nil"/>
              <w:left w:val="nil"/>
              <w:bottom w:val="nil"/>
              <w:right w:val="nil"/>
            </w:tcBorders>
            <w:shd w:val="clear" w:color="auto" w:fill="auto"/>
            <w:vAlign w:val="center"/>
            <w:hideMark/>
          </w:tcPr>
          <w:p w14:paraId="5A50D139" w14:textId="77777777" w:rsidR="00B0481E" w:rsidRPr="00B0481E" w:rsidRDefault="00B0481E" w:rsidP="00B0481E">
            <w:pPr>
              <w:jc w:val="right"/>
              <w:rPr>
                <w:color w:val="000000"/>
                <w:sz w:val="18"/>
                <w:szCs w:val="18"/>
                <w:lang w:eastAsia="tr-TR"/>
              </w:rPr>
            </w:pPr>
            <w:r w:rsidRPr="00B0481E">
              <w:rPr>
                <w:color w:val="000000"/>
                <w:sz w:val="18"/>
                <w:szCs w:val="18"/>
                <w:lang w:eastAsia="tr-TR"/>
              </w:rPr>
              <w:t>7.58626</w:t>
            </w:r>
          </w:p>
        </w:tc>
        <w:tc>
          <w:tcPr>
            <w:tcW w:w="953" w:type="dxa"/>
            <w:tcBorders>
              <w:top w:val="nil"/>
              <w:left w:val="nil"/>
              <w:bottom w:val="nil"/>
              <w:right w:val="nil"/>
            </w:tcBorders>
            <w:shd w:val="clear" w:color="auto" w:fill="auto"/>
            <w:vAlign w:val="center"/>
            <w:hideMark/>
          </w:tcPr>
          <w:p w14:paraId="69777044" w14:textId="77777777" w:rsidR="00B0481E" w:rsidRPr="00B0481E" w:rsidRDefault="00B0481E" w:rsidP="00B0481E">
            <w:pPr>
              <w:jc w:val="right"/>
              <w:rPr>
                <w:color w:val="000000"/>
                <w:sz w:val="18"/>
                <w:szCs w:val="18"/>
                <w:lang w:eastAsia="tr-TR"/>
              </w:rPr>
            </w:pPr>
            <w:r w:rsidRPr="00B0481E">
              <w:rPr>
                <w:color w:val="000000"/>
                <w:sz w:val="18"/>
                <w:szCs w:val="18"/>
                <w:lang w:eastAsia="tr-TR"/>
              </w:rPr>
              <w:t>7.77289</w:t>
            </w:r>
          </w:p>
        </w:tc>
        <w:tc>
          <w:tcPr>
            <w:tcW w:w="953" w:type="dxa"/>
            <w:tcBorders>
              <w:top w:val="nil"/>
              <w:left w:val="nil"/>
              <w:bottom w:val="nil"/>
              <w:right w:val="nil"/>
            </w:tcBorders>
            <w:shd w:val="clear" w:color="auto" w:fill="auto"/>
            <w:vAlign w:val="center"/>
            <w:hideMark/>
          </w:tcPr>
          <w:p w14:paraId="261AC482" w14:textId="77777777" w:rsidR="00B0481E" w:rsidRPr="00B0481E" w:rsidRDefault="00B0481E" w:rsidP="00B0481E">
            <w:pPr>
              <w:jc w:val="right"/>
              <w:rPr>
                <w:color w:val="000000"/>
                <w:sz w:val="18"/>
                <w:szCs w:val="18"/>
                <w:lang w:eastAsia="tr-TR"/>
              </w:rPr>
            </w:pPr>
            <w:r w:rsidRPr="00B0481E">
              <w:rPr>
                <w:color w:val="000000"/>
                <w:sz w:val="18"/>
                <w:szCs w:val="18"/>
                <w:lang w:eastAsia="tr-TR"/>
              </w:rPr>
              <w:t>7.82037</w:t>
            </w:r>
          </w:p>
        </w:tc>
        <w:tc>
          <w:tcPr>
            <w:tcW w:w="946" w:type="dxa"/>
            <w:tcBorders>
              <w:top w:val="nil"/>
              <w:left w:val="nil"/>
              <w:bottom w:val="nil"/>
              <w:right w:val="nil"/>
            </w:tcBorders>
            <w:shd w:val="clear" w:color="auto" w:fill="auto"/>
            <w:vAlign w:val="center"/>
            <w:hideMark/>
          </w:tcPr>
          <w:p w14:paraId="6BF186F7" w14:textId="77777777" w:rsidR="00B0481E" w:rsidRPr="00B0481E" w:rsidRDefault="00B0481E" w:rsidP="00B0481E">
            <w:pPr>
              <w:jc w:val="right"/>
              <w:rPr>
                <w:color w:val="000000"/>
                <w:sz w:val="18"/>
                <w:szCs w:val="18"/>
                <w:lang w:eastAsia="tr-TR"/>
              </w:rPr>
            </w:pPr>
            <w:r w:rsidRPr="00B0481E">
              <w:rPr>
                <w:color w:val="000000"/>
                <w:sz w:val="18"/>
                <w:szCs w:val="18"/>
                <w:lang w:eastAsia="tr-TR"/>
              </w:rPr>
              <w:t>7.7763</w:t>
            </w:r>
          </w:p>
        </w:tc>
      </w:tr>
      <w:tr w:rsidR="00B0481E" w:rsidRPr="00B0481E" w14:paraId="00CCDC54" w14:textId="77777777" w:rsidTr="00B0481E">
        <w:trPr>
          <w:divId w:val="81490791"/>
          <w:trHeight w:val="202"/>
        </w:trPr>
        <w:tc>
          <w:tcPr>
            <w:tcW w:w="2884" w:type="dxa"/>
            <w:tcBorders>
              <w:top w:val="nil"/>
              <w:left w:val="nil"/>
              <w:bottom w:val="nil"/>
              <w:right w:val="nil"/>
            </w:tcBorders>
            <w:shd w:val="clear" w:color="auto" w:fill="auto"/>
            <w:vAlign w:val="center"/>
            <w:hideMark/>
          </w:tcPr>
          <w:p w14:paraId="71A6236E" w14:textId="77777777" w:rsidR="00B0481E" w:rsidRPr="00B0481E" w:rsidRDefault="00B0481E" w:rsidP="00B0481E">
            <w:pPr>
              <w:rPr>
                <w:b/>
                <w:bCs/>
                <w:color w:val="000000"/>
                <w:sz w:val="18"/>
                <w:szCs w:val="18"/>
                <w:lang w:eastAsia="tr-TR"/>
              </w:rPr>
            </w:pPr>
            <w:r w:rsidRPr="00B0481E">
              <w:rPr>
                <w:b/>
                <w:bCs/>
                <w:snapToGrid w:val="0"/>
                <w:color w:val="000000"/>
                <w:sz w:val="18"/>
                <w:szCs w:val="18"/>
                <w:lang w:eastAsia="tr-TR"/>
              </w:rPr>
              <w:t>Avro</w:t>
            </w:r>
          </w:p>
        </w:tc>
        <w:tc>
          <w:tcPr>
            <w:tcW w:w="1821" w:type="dxa"/>
            <w:tcBorders>
              <w:top w:val="nil"/>
              <w:left w:val="nil"/>
              <w:bottom w:val="nil"/>
              <w:right w:val="nil"/>
            </w:tcBorders>
            <w:shd w:val="clear" w:color="auto" w:fill="auto"/>
            <w:vAlign w:val="center"/>
            <w:hideMark/>
          </w:tcPr>
          <w:p w14:paraId="0DAA2B00" w14:textId="77777777" w:rsidR="00B0481E" w:rsidRPr="00B0481E" w:rsidRDefault="00B0481E" w:rsidP="00B0481E">
            <w:pPr>
              <w:jc w:val="right"/>
              <w:rPr>
                <w:color w:val="000000"/>
                <w:sz w:val="18"/>
                <w:szCs w:val="18"/>
                <w:lang w:eastAsia="tr-TR"/>
              </w:rPr>
            </w:pPr>
            <w:r w:rsidRPr="00B0481E">
              <w:rPr>
                <w:color w:val="000000"/>
                <w:sz w:val="18"/>
                <w:szCs w:val="18"/>
                <w:lang w:eastAsia="tr-TR"/>
              </w:rPr>
              <w:t>8.98232</w:t>
            </w:r>
          </w:p>
        </w:tc>
        <w:tc>
          <w:tcPr>
            <w:tcW w:w="953" w:type="dxa"/>
            <w:tcBorders>
              <w:top w:val="nil"/>
              <w:left w:val="nil"/>
              <w:bottom w:val="nil"/>
              <w:right w:val="nil"/>
            </w:tcBorders>
            <w:shd w:val="clear" w:color="auto" w:fill="auto"/>
            <w:vAlign w:val="center"/>
            <w:hideMark/>
          </w:tcPr>
          <w:p w14:paraId="5440522D" w14:textId="77777777" w:rsidR="00B0481E" w:rsidRPr="00B0481E" w:rsidRDefault="00B0481E" w:rsidP="00B0481E">
            <w:pPr>
              <w:jc w:val="right"/>
              <w:rPr>
                <w:color w:val="000000"/>
                <w:sz w:val="18"/>
                <w:szCs w:val="18"/>
                <w:lang w:eastAsia="tr-TR"/>
              </w:rPr>
            </w:pPr>
            <w:r w:rsidRPr="00B0481E">
              <w:rPr>
                <w:color w:val="000000"/>
                <w:sz w:val="18"/>
                <w:szCs w:val="18"/>
                <w:lang w:eastAsia="tr-TR"/>
              </w:rPr>
              <w:t>8.91378</w:t>
            </w:r>
          </w:p>
        </w:tc>
        <w:tc>
          <w:tcPr>
            <w:tcW w:w="953" w:type="dxa"/>
            <w:tcBorders>
              <w:top w:val="nil"/>
              <w:left w:val="nil"/>
              <w:bottom w:val="nil"/>
              <w:right w:val="nil"/>
            </w:tcBorders>
            <w:shd w:val="clear" w:color="auto" w:fill="auto"/>
            <w:vAlign w:val="center"/>
            <w:hideMark/>
          </w:tcPr>
          <w:p w14:paraId="429D6482" w14:textId="77777777" w:rsidR="00B0481E" w:rsidRPr="00B0481E" w:rsidRDefault="00B0481E" w:rsidP="00B0481E">
            <w:pPr>
              <w:jc w:val="right"/>
              <w:rPr>
                <w:color w:val="000000"/>
                <w:sz w:val="18"/>
                <w:szCs w:val="18"/>
                <w:lang w:eastAsia="tr-TR"/>
              </w:rPr>
            </w:pPr>
            <w:r w:rsidRPr="00B0481E">
              <w:rPr>
                <w:color w:val="000000"/>
                <w:sz w:val="18"/>
                <w:szCs w:val="18"/>
                <w:lang w:eastAsia="tr-TR"/>
              </w:rPr>
              <w:t>8.84042</w:t>
            </w:r>
          </w:p>
        </w:tc>
        <w:tc>
          <w:tcPr>
            <w:tcW w:w="953" w:type="dxa"/>
            <w:tcBorders>
              <w:top w:val="nil"/>
              <w:left w:val="nil"/>
              <w:bottom w:val="nil"/>
              <w:right w:val="nil"/>
            </w:tcBorders>
            <w:shd w:val="clear" w:color="auto" w:fill="auto"/>
            <w:vAlign w:val="center"/>
            <w:hideMark/>
          </w:tcPr>
          <w:p w14:paraId="2B25B91A" w14:textId="77777777" w:rsidR="00B0481E" w:rsidRPr="00B0481E" w:rsidRDefault="00B0481E" w:rsidP="00B0481E">
            <w:pPr>
              <w:jc w:val="right"/>
              <w:rPr>
                <w:color w:val="000000"/>
                <w:sz w:val="18"/>
                <w:szCs w:val="18"/>
                <w:lang w:eastAsia="tr-TR"/>
              </w:rPr>
            </w:pPr>
            <w:r w:rsidRPr="00B0481E">
              <w:rPr>
                <w:color w:val="000000"/>
                <w:sz w:val="18"/>
                <w:szCs w:val="18"/>
                <w:lang w:eastAsia="tr-TR"/>
              </w:rPr>
              <w:t>9.05792</w:t>
            </w:r>
          </w:p>
        </w:tc>
        <w:tc>
          <w:tcPr>
            <w:tcW w:w="953" w:type="dxa"/>
            <w:tcBorders>
              <w:top w:val="nil"/>
              <w:left w:val="nil"/>
              <w:bottom w:val="nil"/>
              <w:right w:val="nil"/>
            </w:tcBorders>
            <w:shd w:val="clear" w:color="auto" w:fill="auto"/>
            <w:vAlign w:val="center"/>
            <w:hideMark/>
          </w:tcPr>
          <w:p w14:paraId="613AE72C" w14:textId="77777777" w:rsidR="00B0481E" w:rsidRPr="00B0481E" w:rsidRDefault="00B0481E" w:rsidP="00B0481E">
            <w:pPr>
              <w:jc w:val="right"/>
              <w:rPr>
                <w:color w:val="000000"/>
                <w:sz w:val="18"/>
                <w:szCs w:val="18"/>
                <w:lang w:eastAsia="tr-TR"/>
              </w:rPr>
            </w:pPr>
            <w:r w:rsidRPr="00B0481E">
              <w:rPr>
                <w:color w:val="000000"/>
                <w:sz w:val="18"/>
                <w:szCs w:val="18"/>
                <w:lang w:eastAsia="tr-TR"/>
              </w:rPr>
              <w:t>9.14489</w:t>
            </w:r>
          </w:p>
        </w:tc>
        <w:tc>
          <w:tcPr>
            <w:tcW w:w="946" w:type="dxa"/>
            <w:tcBorders>
              <w:top w:val="nil"/>
              <w:left w:val="nil"/>
              <w:bottom w:val="nil"/>
              <w:right w:val="nil"/>
            </w:tcBorders>
            <w:shd w:val="clear" w:color="auto" w:fill="auto"/>
            <w:vAlign w:val="center"/>
            <w:hideMark/>
          </w:tcPr>
          <w:p w14:paraId="2BC35CD3" w14:textId="77777777" w:rsidR="00B0481E" w:rsidRPr="00B0481E" w:rsidRDefault="00B0481E" w:rsidP="00B0481E">
            <w:pPr>
              <w:jc w:val="right"/>
              <w:rPr>
                <w:color w:val="000000"/>
                <w:sz w:val="18"/>
                <w:szCs w:val="18"/>
                <w:lang w:eastAsia="tr-TR"/>
              </w:rPr>
            </w:pPr>
            <w:r w:rsidRPr="00B0481E">
              <w:rPr>
                <w:color w:val="000000"/>
                <w:sz w:val="18"/>
                <w:szCs w:val="18"/>
                <w:lang w:eastAsia="tr-TR"/>
              </w:rPr>
              <w:t>9.10906</w:t>
            </w:r>
          </w:p>
        </w:tc>
      </w:tr>
      <w:tr w:rsidR="00B0481E" w:rsidRPr="00B0481E" w14:paraId="6711CC42" w14:textId="77777777" w:rsidTr="00B0481E">
        <w:trPr>
          <w:divId w:val="81490791"/>
          <w:trHeight w:val="202"/>
        </w:trPr>
        <w:tc>
          <w:tcPr>
            <w:tcW w:w="2884" w:type="dxa"/>
            <w:tcBorders>
              <w:top w:val="nil"/>
              <w:left w:val="nil"/>
              <w:bottom w:val="nil"/>
              <w:right w:val="nil"/>
            </w:tcBorders>
            <w:shd w:val="clear" w:color="auto" w:fill="auto"/>
            <w:vAlign w:val="center"/>
            <w:hideMark/>
          </w:tcPr>
          <w:p w14:paraId="4E2D358B" w14:textId="77777777" w:rsidR="00B0481E" w:rsidRPr="00B0481E" w:rsidRDefault="00B0481E" w:rsidP="00B0481E">
            <w:pPr>
              <w:rPr>
                <w:b/>
                <w:bCs/>
                <w:color w:val="000000"/>
                <w:sz w:val="18"/>
                <w:szCs w:val="18"/>
                <w:lang w:eastAsia="tr-TR"/>
              </w:rPr>
            </w:pPr>
            <w:r w:rsidRPr="00B0481E">
              <w:rPr>
                <w:b/>
                <w:bCs/>
                <w:snapToGrid w:val="0"/>
                <w:color w:val="000000"/>
                <w:sz w:val="18"/>
                <w:szCs w:val="18"/>
                <w:lang w:eastAsia="tr-TR"/>
              </w:rPr>
              <w:t>İngiliz Sterlini</w:t>
            </w:r>
          </w:p>
        </w:tc>
        <w:tc>
          <w:tcPr>
            <w:tcW w:w="1821" w:type="dxa"/>
            <w:tcBorders>
              <w:top w:val="nil"/>
              <w:left w:val="nil"/>
              <w:bottom w:val="nil"/>
              <w:right w:val="nil"/>
            </w:tcBorders>
            <w:shd w:val="clear" w:color="auto" w:fill="auto"/>
            <w:vAlign w:val="center"/>
            <w:hideMark/>
          </w:tcPr>
          <w:p w14:paraId="376BE3B9" w14:textId="77777777" w:rsidR="00B0481E" w:rsidRPr="00B0481E" w:rsidRDefault="00B0481E" w:rsidP="00B0481E">
            <w:pPr>
              <w:jc w:val="right"/>
              <w:rPr>
                <w:color w:val="000000"/>
                <w:sz w:val="18"/>
                <w:szCs w:val="18"/>
                <w:lang w:eastAsia="tr-TR"/>
              </w:rPr>
            </w:pPr>
            <w:r w:rsidRPr="00B0481E">
              <w:rPr>
                <w:color w:val="000000"/>
                <w:sz w:val="18"/>
                <w:szCs w:val="18"/>
                <w:lang w:eastAsia="tr-TR"/>
              </w:rPr>
              <w:t>9.76777</w:t>
            </w:r>
          </w:p>
        </w:tc>
        <w:tc>
          <w:tcPr>
            <w:tcW w:w="953" w:type="dxa"/>
            <w:tcBorders>
              <w:top w:val="nil"/>
              <w:left w:val="nil"/>
              <w:bottom w:val="nil"/>
              <w:right w:val="nil"/>
            </w:tcBorders>
            <w:shd w:val="clear" w:color="auto" w:fill="auto"/>
            <w:vAlign w:val="center"/>
            <w:hideMark/>
          </w:tcPr>
          <w:p w14:paraId="410C076C" w14:textId="77777777" w:rsidR="00B0481E" w:rsidRPr="00B0481E" w:rsidRDefault="00B0481E" w:rsidP="00B0481E">
            <w:pPr>
              <w:jc w:val="right"/>
              <w:rPr>
                <w:color w:val="000000"/>
                <w:sz w:val="18"/>
                <w:szCs w:val="18"/>
                <w:lang w:eastAsia="tr-TR"/>
              </w:rPr>
            </w:pPr>
            <w:r w:rsidRPr="00B0481E">
              <w:rPr>
                <w:color w:val="000000"/>
                <w:sz w:val="18"/>
                <w:szCs w:val="18"/>
                <w:lang w:eastAsia="tr-TR"/>
              </w:rPr>
              <w:t>9.74993</w:t>
            </w:r>
          </w:p>
        </w:tc>
        <w:tc>
          <w:tcPr>
            <w:tcW w:w="953" w:type="dxa"/>
            <w:tcBorders>
              <w:top w:val="nil"/>
              <w:left w:val="nil"/>
              <w:bottom w:val="nil"/>
              <w:right w:val="nil"/>
            </w:tcBorders>
            <w:shd w:val="clear" w:color="auto" w:fill="auto"/>
            <w:vAlign w:val="center"/>
            <w:hideMark/>
          </w:tcPr>
          <w:p w14:paraId="0585A490" w14:textId="77777777" w:rsidR="00B0481E" w:rsidRPr="00B0481E" w:rsidRDefault="00B0481E" w:rsidP="00B0481E">
            <w:pPr>
              <w:jc w:val="right"/>
              <w:rPr>
                <w:color w:val="000000"/>
                <w:sz w:val="18"/>
                <w:szCs w:val="18"/>
                <w:lang w:eastAsia="tr-TR"/>
              </w:rPr>
            </w:pPr>
            <w:r w:rsidRPr="00B0481E">
              <w:rPr>
                <w:color w:val="000000"/>
                <w:sz w:val="18"/>
                <w:szCs w:val="18"/>
                <w:lang w:eastAsia="tr-TR"/>
              </w:rPr>
              <w:t>9.67144</w:t>
            </w:r>
          </w:p>
        </w:tc>
        <w:tc>
          <w:tcPr>
            <w:tcW w:w="953" w:type="dxa"/>
            <w:tcBorders>
              <w:top w:val="nil"/>
              <w:left w:val="nil"/>
              <w:bottom w:val="nil"/>
              <w:right w:val="nil"/>
            </w:tcBorders>
            <w:shd w:val="clear" w:color="auto" w:fill="auto"/>
            <w:vAlign w:val="center"/>
            <w:hideMark/>
          </w:tcPr>
          <w:p w14:paraId="7306D21F" w14:textId="77777777" w:rsidR="00B0481E" w:rsidRPr="00B0481E" w:rsidRDefault="00B0481E" w:rsidP="00B0481E">
            <w:pPr>
              <w:jc w:val="right"/>
              <w:rPr>
                <w:color w:val="000000"/>
                <w:sz w:val="18"/>
                <w:szCs w:val="18"/>
                <w:lang w:eastAsia="tr-TR"/>
              </w:rPr>
            </w:pPr>
            <w:r w:rsidRPr="00B0481E">
              <w:rPr>
                <w:color w:val="000000"/>
                <w:sz w:val="18"/>
                <w:szCs w:val="18"/>
                <w:lang w:eastAsia="tr-TR"/>
              </w:rPr>
              <w:t>9.98583</w:t>
            </w:r>
          </w:p>
        </w:tc>
        <w:tc>
          <w:tcPr>
            <w:tcW w:w="953" w:type="dxa"/>
            <w:tcBorders>
              <w:top w:val="nil"/>
              <w:left w:val="nil"/>
              <w:bottom w:val="nil"/>
              <w:right w:val="nil"/>
            </w:tcBorders>
            <w:shd w:val="clear" w:color="auto" w:fill="auto"/>
            <w:vAlign w:val="center"/>
            <w:hideMark/>
          </w:tcPr>
          <w:p w14:paraId="67B7D6BC" w14:textId="77777777" w:rsidR="00B0481E" w:rsidRPr="00B0481E" w:rsidRDefault="00B0481E" w:rsidP="00B0481E">
            <w:pPr>
              <w:jc w:val="right"/>
              <w:rPr>
                <w:color w:val="000000"/>
                <w:sz w:val="18"/>
                <w:szCs w:val="18"/>
                <w:lang w:eastAsia="tr-TR"/>
              </w:rPr>
            </w:pPr>
            <w:r w:rsidRPr="00B0481E">
              <w:rPr>
                <w:color w:val="000000"/>
                <w:sz w:val="18"/>
                <w:szCs w:val="18"/>
                <w:lang w:eastAsia="tr-TR"/>
              </w:rPr>
              <w:t>10.05734</w:t>
            </w:r>
          </w:p>
        </w:tc>
        <w:tc>
          <w:tcPr>
            <w:tcW w:w="946" w:type="dxa"/>
            <w:tcBorders>
              <w:top w:val="nil"/>
              <w:left w:val="nil"/>
              <w:bottom w:val="nil"/>
              <w:right w:val="nil"/>
            </w:tcBorders>
            <w:shd w:val="clear" w:color="auto" w:fill="auto"/>
            <w:vAlign w:val="center"/>
            <w:hideMark/>
          </w:tcPr>
          <w:p w14:paraId="12B5E4A8" w14:textId="77777777" w:rsidR="00B0481E" w:rsidRPr="00B0481E" w:rsidRDefault="00B0481E" w:rsidP="00B0481E">
            <w:pPr>
              <w:jc w:val="right"/>
              <w:rPr>
                <w:color w:val="000000"/>
                <w:sz w:val="18"/>
                <w:szCs w:val="18"/>
                <w:lang w:eastAsia="tr-TR"/>
              </w:rPr>
            </w:pPr>
            <w:r w:rsidRPr="00B0481E">
              <w:rPr>
                <w:color w:val="000000"/>
                <w:sz w:val="18"/>
                <w:szCs w:val="18"/>
                <w:lang w:eastAsia="tr-TR"/>
              </w:rPr>
              <w:t>9.98122</w:t>
            </w:r>
          </w:p>
        </w:tc>
      </w:tr>
      <w:tr w:rsidR="00B0481E" w:rsidRPr="00B0481E" w14:paraId="5AB58818" w14:textId="77777777" w:rsidTr="00B0481E">
        <w:trPr>
          <w:divId w:val="81490791"/>
          <w:trHeight w:val="202"/>
        </w:trPr>
        <w:tc>
          <w:tcPr>
            <w:tcW w:w="2884" w:type="dxa"/>
            <w:tcBorders>
              <w:top w:val="nil"/>
              <w:left w:val="nil"/>
              <w:bottom w:val="nil"/>
              <w:right w:val="nil"/>
            </w:tcBorders>
            <w:shd w:val="clear" w:color="auto" w:fill="auto"/>
            <w:vAlign w:val="center"/>
            <w:hideMark/>
          </w:tcPr>
          <w:p w14:paraId="30D5E7E7" w14:textId="77777777" w:rsidR="00B0481E" w:rsidRPr="00B0481E" w:rsidRDefault="00B0481E" w:rsidP="00B0481E">
            <w:pPr>
              <w:rPr>
                <w:b/>
                <w:bCs/>
                <w:color w:val="000000"/>
                <w:sz w:val="18"/>
                <w:szCs w:val="18"/>
                <w:lang w:eastAsia="tr-TR"/>
              </w:rPr>
            </w:pPr>
            <w:r w:rsidRPr="00B0481E">
              <w:rPr>
                <w:b/>
                <w:bCs/>
                <w:snapToGrid w:val="0"/>
                <w:color w:val="000000"/>
                <w:sz w:val="18"/>
                <w:szCs w:val="18"/>
                <w:lang w:eastAsia="tr-TR"/>
              </w:rPr>
              <w:t>İsviçre Frangı</w:t>
            </w:r>
          </w:p>
        </w:tc>
        <w:tc>
          <w:tcPr>
            <w:tcW w:w="1821" w:type="dxa"/>
            <w:tcBorders>
              <w:top w:val="nil"/>
              <w:left w:val="nil"/>
              <w:bottom w:val="nil"/>
              <w:right w:val="nil"/>
            </w:tcBorders>
            <w:shd w:val="clear" w:color="auto" w:fill="auto"/>
            <w:vAlign w:val="center"/>
            <w:hideMark/>
          </w:tcPr>
          <w:p w14:paraId="192E6049" w14:textId="77777777" w:rsidR="00B0481E" w:rsidRPr="00B0481E" w:rsidRDefault="00B0481E" w:rsidP="00B0481E">
            <w:pPr>
              <w:jc w:val="right"/>
              <w:rPr>
                <w:color w:val="000000"/>
                <w:sz w:val="18"/>
                <w:szCs w:val="18"/>
                <w:lang w:eastAsia="tr-TR"/>
              </w:rPr>
            </w:pPr>
            <w:r w:rsidRPr="00B0481E">
              <w:rPr>
                <w:color w:val="000000"/>
                <w:sz w:val="18"/>
                <w:szCs w:val="18"/>
                <w:lang w:eastAsia="tr-TR"/>
              </w:rPr>
              <w:t>8.3417</w:t>
            </w:r>
          </w:p>
        </w:tc>
        <w:tc>
          <w:tcPr>
            <w:tcW w:w="953" w:type="dxa"/>
            <w:tcBorders>
              <w:top w:val="nil"/>
              <w:left w:val="nil"/>
              <w:bottom w:val="nil"/>
              <w:right w:val="nil"/>
            </w:tcBorders>
            <w:shd w:val="clear" w:color="auto" w:fill="auto"/>
            <w:vAlign w:val="center"/>
            <w:hideMark/>
          </w:tcPr>
          <w:p w14:paraId="2330A26B" w14:textId="77777777" w:rsidR="00B0481E" w:rsidRPr="00B0481E" w:rsidRDefault="00B0481E" w:rsidP="00B0481E">
            <w:pPr>
              <w:jc w:val="right"/>
              <w:rPr>
                <w:color w:val="000000"/>
                <w:sz w:val="18"/>
                <w:szCs w:val="18"/>
                <w:lang w:eastAsia="tr-TR"/>
              </w:rPr>
            </w:pPr>
            <w:r w:rsidRPr="00B0481E">
              <w:rPr>
                <w:color w:val="000000"/>
                <w:sz w:val="18"/>
                <w:szCs w:val="18"/>
                <w:lang w:eastAsia="tr-TR"/>
              </w:rPr>
              <w:t>8.27212</w:t>
            </w:r>
          </w:p>
        </w:tc>
        <w:tc>
          <w:tcPr>
            <w:tcW w:w="953" w:type="dxa"/>
            <w:tcBorders>
              <w:top w:val="nil"/>
              <w:left w:val="nil"/>
              <w:bottom w:val="nil"/>
              <w:right w:val="nil"/>
            </w:tcBorders>
            <w:shd w:val="clear" w:color="auto" w:fill="auto"/>
            <w:vAlign w:val="center"/>
            <w:hideMark/>
          </w:tcPr>
          <w:p w14:paraId="1BD3AACE" w14:textId="77777777" w:rsidR="00B0481E" w:rsidRPr="00B0481E" w:rsidRDefault="00B0481E" w:rsidP="00B0481E">
            <w:pPr>
              <w:jc w:val="right"/>
              <w:rPr>
                <w:color w:val="000000"/>
                <w:sz w:val="18"/>
                <w:szCs w:val="18"/>
                <w:lang w:eastAsia="tr-TR"/>
              </w:rPr>
            </w:pPr>
            <w:r w:rsidRPr="00B0481E">
              <w:rPr>
                <w:color w:val="000000"/>
                <w:sz w:val="18"/>
                <w:szCs w:val="18"/>
                <w:lang w:eastAsia="tr-TR"/>
              </w:rPr>
              <w:t>8.18222</w:t>
            </w:r>
          </w:p>
        </w:tc>
        <w:tc>
          <w:tcPr>
            <w:tcW w:w="953" w:type="dxa"/>
            <w:tcBorders>
              <w:top w:val="nil"/>
              <w:left w:val="nil"/>
              <w:bottom w:val="nil"/>
              <w:right w:val="nil"/>
            </w:tcBorders>
            <w:shd w:val="clear" w:color="auto" w:fill="auto"/>
            <w:vAlign w:val="center"/>
            <w:hideMark/>
          </w:tcPr>
          <w:p w14:paraId="224C62B3" w14:textId="77777777" w:rsidR="00B0481E" w:rsidRPr="00B0481E" w:rsidRDefault="00B0481E" w:rsidP="00B0481E">
            <w:pPr>
              <w:jc w:val="right"/>
              <w:rPr>
                <w:color w:val="000000"/>
                <w:sz w:val="18"/>
                <w:szCs w:val="18"/>
                <w:lang w:eastAsia="tr-TR"/>
              </w:rPr>
            </w:pPr>
            <w:r w:rsidRPr="00B0481E">
              <w:rPr>
                <w:color w:val="000000"/>
                <w:sz w:val="18"/>
                <w:szCs w:val="18"/>
                <w:lang w:eastAsia="tr-TR"/>
              </w:rPr>
              <w:t>8.38174</w:t>
            </w:r>
          </w:p>
        </w:tc>
        <w:tc>
          <w:tcPr>
            <w:tcW w:w="953" w:type="dxa"/>
            <w:tcBorders>
              <w:top w:val="nil"/>
              <w:left w:val="nil"/>
              <w:bottom w:val="nil"/>
              <w:right w:val="nil"/>
            </w:tcBorders>
            <w:shd w:val="clear" w:color="auto" w:fill="auto"/>
            <w:vAlign w:val="center"/>
            <w:hideMark/>
          </w:tcPr>
          <w:p w14:paraId="677339E7" w14:textId="77777777" w:rsidR="00B0481E" w:rsidRPr="00B0481E" w:rsidRDefault="00B0481E" w:rsidP="00B0481E">
            <w:pPr>
              <w:jc w:val="right"/>
              <w:rPr>
                <w:color w:val="000000"/>
                <w:sz w:val="18"/>
                <w:szCs w:val="18"/>
                <w:lang w:eastAsia="tr-TR"/>
              </w:rPr>
            </w:pPr>
            <w:r w:rsidRPr="00B0481E">
              <w:rPr>
                <w:color w:val="000000"/>
                <w:sz w:val="18"/>
                <w:szCs w:val="18"/>
                <w:lang w:eastAsia="tr-TR"/>
              </w:rPr>
              <w:t>8.47536</w:t>
            </w:r>
          </w:p>
        </w:tc>
        <w:tc>
          <w:tcPr>
            <w:tcW w:w="946" w:type="dxa"/>
            <w:tcBorders>
              <w:top w:val="nil"/>
              <w:left w:val="nil"/>
              <w:bottom w:val="nil"/>
              <w:right w:val="nil"/>
            </w:tcBorders>
            <w:shd w:val="clear" w:color="auto" w:fill="auto"/>
            <w:vAlign w:val="center"/>
            <w:hideMark/>
          </w:tcPr>
          <w:p w14:paraId="4A813AB1" w14:textId="77777777" w:rsidR="00B0481E" w:rsidRPr="00B0481E" w:rsidRDefault="00B0481E" w:rsidP="00B0481E">
            <w:pPr>
              <w:jc w:val="right"/>
              <w:rPr>
                <w:color w:val="000000"/>
                <w:sz w:val="18"/>
                <w:szCs w:val="18"/>
                <w:lang w:eastAsia="tr-TR"/>
              </w:rPr>
            </w:pPr>
            <w:r w:rsidRPr="00B0481E">
              <w:rPr>
                <w:color w:val="000000"/>
                <w:sz w:val="18"/>
                <w:szCs w:val="18"/>
                <w:lang w:eastAsia="tr-TR"/>
              </w:rPr>
              <w:t>8.43152</w:t>
            </w:r>
          </w:p>
        </w:tc>
      </w:tr>
      <w:tr w:rsidR="00B0481E" w:rsidRPr="00B0481E" w14:paraId="13A4BECD" w14:textId="77777777" w:rsidTr="00B0481E">
        <w:trPr>
          <w:divId w:val="81490791"/>
          <w:trHeight w:val="202"/>
        </w:trPr>
        <w:tc>
          <w:tcPr>
            <w:tcW w:w="2884" w:type="dxa"/>
            <w:tcBorders>
              <w:top w:val="nil"/>
              <w:left w:val="nil"/>
              <w:bottom w:val="nil"/>
              <w:right w:val="nil"/>
            </w:tcBorders>
            <w:shd w:val="clear" w:color="auto" w:fill="auto"/>
            <w:vAlign w:val="center"/>
            <w:hideMark/>
          </w:tcPr>
          <w:p w14:paraId="0132DADD" w14:textId="77777777" w:rsidR="00B0481E" w:rsidRPr="00B0481E" w:rsidRDefault="00B0481E" w:rsidP="00B0481E">
            <w:pPr>
              <w:rPr>
                <w:b/>
                <w:bCs/>
                <w:color w:val="000000"/>
                <w:sz w:val="18"/>
                <w:szCs w:val="18"/>
                <w:lang w:eastAsia="tr-TR"/>
              </w:rPr>
            </w:pPr>
            <w:r w:rsidRPr="00B0481E">
              <w:rPr>
                <w:b/>
                <w:bCs/>
                <w:snapToGrid w:val="0"/>
                <w:color w:val="000000"/>
                <w:sz w:val="18"/>
                <w:szCs w:val="18"/>
                <w:lang w:eastAsia="tr-TR"/>
              </w:rPr>
              <w:t>Japon Yeni</w:t>
            </w:r>
          </w:p>
        </w:tc>
        <w:tc>
          <w:tcPr>
            <w:tcW w:w="1821" w:type="dxa"/>
            <w:tcBorders>
              <w:top w:val="nil"/>
              <w:left w:val="nil"/>
              <w:bottom w:val="nil"/>
              <w:right w:val="nil"/>
            </w:tcBorders>
            <w:shd w:val="clear" w:color="auto" w:fill="auto"/>
            <w:vAlign w:val="center"/>
            <w:hideMark/>
          </w:tcPr>
          <w:p w14:paraId="1702F11B" w14:textId="77777777" w:rsidR="00B0481E" w:rsidRPr="00B0481E" w:rsidRDefault="00B0481E" w:rsidP="00B0481E">
            <w:pPr>
              <w:jc w:val="right"/>
              <w:rPr>
                <w:color w:val="000000"/>
                <w:sz w:val="18"/>
                <w:szCs w:val="18"/>
                <w:lang w:eastAsia="tr-TR"/>
              </w:rPr>
            </w:pPr>
            <w:r w:rsidRPr="00B0481E">
              <w:rPr>
                <w:color w:val="000000"/>
                <w:sz w:val="18"/>
                <w:szCs w:val="18"/>
                <w:lang w:eastAsia="tr-TR"/>
              </w:rPr>
              <w:t>0.0731</w:t>
            </w:r>
          </w:p>
        </w:tc>
        <w:tc>
          <w:tcPr>
            <w:tcW w:w="953" w:type="dxa"/>
            <w:tcBorders>
              <w:top w:val="nil"/>
              <w:left w:val="nil"/>
              <w:bottom w:val="nil"/>
              <w:right w:val="nil"/>
            </w:tcBorders>
            <w:shd w:val="clear" w:color="auto" w:fill="auto"/>
            <w:vAlign w:val="center"/>
            <w:hideMark/>
          </w:tcPr>
          <w:p w14:paraId="66E861B7" w14:textId="77777777" w:rsidR="00B0481E" w:rsidRPr="00B0481E" w:rsidRDefault="00B0481E" w:rsidP="00B0481E">
            <w:pPr>
              <w:jc w:val="right"/>
              <w:rPr>
                <w:color w:val="000000"/>
                <w:sz w:val="18"/>
                <w:szCs w:val="18"/>
                <w:lang w:eastAsia="tr-TR"/>
              </w:rPr>
            </w:pPr>
            <w:r w:rsidRPr="00B0481E">
              <w:rPr>
                <w:color w:val="000000"/>
                <w:sz w:val="18"/>
                <w:szCs w:val="18"/>
                <w:lang w:eastAsia="tr-TR"/>
              </w:rPr>
              <w:t>0.07261</w:t>
            </w:r>
          </w:p>
        </w:tc>
        <w:tc>
          <w:tcPr>
            <w:tcW w:w="953" w:type="dxa"/>
            <w:tcBorders>
              <w:top w:val="nil"/>
              <w:left w:val="nil"/>
              <w:bottom w:val="nil"/>
              <w:right w:val="nil"/>
            </w:tcBorders>
            <w:shd w:val="clear" w:color="auto" w:fill="auto"/>
            <w:vAlign w:val="center"/>
            <w:hideMark/>
          </w:tcPr>
          <w:p w14:paraId="7BF984B4" w14:textId="77777777" w:rsidR="00B0481E" w:rsidRPr="00B0481E" w:rsidRDefault="00B0481E" w:rsidP="00B0481E">
            <w:pPr>
              <w:jc w:val="right"/>
              <w:rPr>
                <w:color w:val="000000"/>
                <w:sz w:val="18"/>
                <w:szCs w:val="18"/>
                <w:lang w:eastAsia="tr-TR"/>
              </w:rPr>
            </w:pPr>
            <w:r w:rsidRPr="00B0481E">
              <w:rPr>
                <w:color w:val="000000"/>
                <w:sz w:val="18"/>
                <w:szCs w:val="18"/>
                <w:lang w:eastAsia="tr-TR"/>
              </w:rPr>
              <w:t>0.07197</w:t>
            </w:r>
          </w:p>
        </w:tc>
        <w:tc>
          <w:tcPr>
            <w:tcW w:w="953" w:type="dxa"/>
            <w:tcBorders>
              <w:top w:val="nil"/>
              <w:left w:val="nil"/>
              <w:bottom w:val="nil"/>
              <w:right w:val="nil"/>
            </w:tcBorders>
            <w:shd w:val="clear" w:color="auto" w:fill="auto"/>
            <w:vAlign w:val="center"/>
            <w:hideMark/>
          </w:tcPr>
          <w:p w14:paraId="2E64E008" w14:textId="77777777" w:rsidR="00B0481E" w:rsidRPr="00B0481E" w:rsidRDefault="00B0481E" w:rsidP="00B0481E">
            <w:pPr>
              <w:jc w:val="right"/>
              <w:rPr>
                <w:color w:val="000000"/>
                <w:sz w:val="18"/>
                <w:szCs w:val="18"/>
                <w:lang w:eastAsia="tr-TR"/>
              </w:rPr>
            </w:pPr>
            <w:r w:rsidRPr="00B0481E">
              <w:rPr>
                <w:color w:val="000000"/>
                <w:sz w:val="18"/>
                <w:szCs w:val="18"/>
                <w:lang w:eastAsia="tr-TR"/>
              </w:rPr>
              <w:t>0.07376</w:t>
            </w:r>
          </w:p>
        </w:tc>
        <w:tc>
          <w:tcPr>
            <w:tcW w:w="953" w:type="dxa"/>
            <w:tcBorders>
              <w:top w:val="nil"/>
              <w:left w:val="nil"/>
              <w:bottom w:val="nil"/>
              <w:right w:val="nil"/>
            </w:tcBorders>
            <w:shd w:val="clear" w:color="auto" w:fill="auto"/>
            <w:vAlign w:val="center"/>
            <w:hideMark/>
          </w:tcPr>
          <w:p w14:paraId="6EF36972" w14:textId="77777777" w:rsidR="00B0481E" w:rsidRPr="00B0481E" w:rsidRDefault="00B0481E" w:rsidP="00B0481E">
            <w:pPr>
              <w:jc w:val="right"/>
              <w:rPr>
                <w:color w:val="000000"/>
                <w:sz w:val="18"/>
                <w:szCs w:val="18"/>
                <w:lang w:eastAsia="tr-TR"/>
              </w:rPr>
            </w:pPr>
            <w:r w:rsidRPr="00B0481E">
              <w:rPr>
                <w:color w:val="000000"/>
                <w:sz w:val="18"/>
                <w:szCs w:val="18"/>
                <w:lang w:eastAsia="tr-TR"/>
              </w:rPr>
              <w:t>0.07404</w:t>
            </w:r>
          </w:p>
        </w:tc>
        <w:tc>
          <w:tcPr>
            <w:tcW w:w="946" w:type="dxa"/>
            <w:tcBorders>
              <w:top w:val="nil"/>
              <w:left w:val="nil"/>
              <w:bottom w:val="nil"/>
              <w:right w:val="nil"/>
            </w:tcBorders>
            <w:shd w:val="clear" w:color="auto" w:fill="auto"/>
            <w:vAlign w:val="center"/>
            <w:hideMark/>
          </w:tcPr>
          <w:p w14:paraId="0B2132C1" w14:textId="77777777" w:rsidR="00B0481E" w:rsidRPr="00B0481E" w:rsidRDefault="00B0481E" w:rsidP="00B0481E">
            <w:pPr>
              <w:jc w:val="right"/>
              <w:rPr>
                <w:color w:val="000000"/>
                <w:sz w:val="18"/>
                <w:szCs w:val="18"/>
                <w:lang w:eastAsia="tr-TR"/>
              </w:rPr>
            </w:pPr>
            <w:r w:rsidRPr="00B0481E">
              <w:rPr>
                <w:color w:val="000000"/>
                <w:sz w:val="18"/>
                <w:szCs w:val="18"/>
                <w:lang w:eastAsia="tr-TR"/>
              </w:rPr>
              <w:t>0.07361</w:t>
            </w:r>
          </w:p>
        </w:tc>
      </w:tr>
    </w:tbl>
    <w:p w14:paraId="217E3CB4" w14:textId="30AE2E8D" w:rsidR="001E4AC2" w:rsidRPr="00351345" w:rsidRDefault="001E4AC2" w:rsidP="00535E20">
      <w:pPr>
        <w:autoSpaceDE w:val="0"/>
        <w:autoSpaceDN w:val="0"/>
        <w:adjustRightInd w:val="0"/>
        <w:rPr>
          <w:rFonts w:eastAsia="Arial Unicode MS"/>
          <w:sz w:val="8"/>
        </w:rPr>
      </w:pPr>
    </w:p>
    <w:p w14:paraId="32A6C958" w14:textId="78D4B307" w:rsidR="006B4EDA" w:rsidRPr="00351345" w:rsidRDefault="00E253C8" w:rsidP="00955A15">
      <w:pPr>
        <w:pStyle w:val="BodyText"/>
        <w:rPr>
          <w:rFonts w:eastAsia="Arial Unicode MS"/>
        </w:rPr>
      </w:pPr>
      <w:r w:rsidRPr="00351345">
        <w:rPr>
          <w:rFonts w:eastAsia="Arial Unicode MS"/>
        </w:rPr>
        <w:t>Banka’nın belli başlı cari döviz alış kurlarının finansal tablo tarihinden geriye doğru son otuz günlük basit aritmetik ortalama değerleri (tam TL):</w:t>
      </w:r>
    </w:p>
    <w:p w14:paraId="017ACA32" w14:textId="4842406B" w:rsidR="00351345" w:rsidRPr="00311DAB" w:rsidRDefault="00351345" w:rsidP="007E14E3">
      <w:pPr>
        <w:pStyle w:val="BodyText"/>
        <w:rPr>
          <w:lang w:eastAsia="en-GB"/>
        </w:rPr>
      </w:pPr>
    </w:p>
    <w:tbl>
      <w:tblPr>
        <w:tblW w:w="9478" w:type="dxa"/>
        <w:tblCellMar>
          <w:left w:w="70" w:type="dxa"/>
          <w:right w:w="70" w:type="dxa"/>
        </w:tblCellMar>
        <w:tblLook w:val="04A0" w:firstRow="1" w:lastRow="0" w:firstColumn="1" w:lastColumn="0" w:noHBand="0" w:noVBand="1"/>
      </w:tblPr>
      <w:tblGrid>
        <w:gridCol w:w="6665"/>
        <w:gridCol w:w="2813"/>
      </w:tblGrid>
      <w:tr w:rsidR="00351345" w:rsidRPr="00351345" w14:paraId="21DECD25" w14:textId="77777777" w:rsidTr="00FC1F5B">
        <w:trPr>
          <w:divId w:val="1839537179"/>
          <w:trHeight w:val="113"/>
        </w:trPr>
        <w:tc>
          <w:tcPr>
            <w:tcW w:w="6665" w:type="dxa"/>
            <w:tcBorders>
              <w:top w:val="single" w:sz="4" w:space="0" w:color="auto"/>
              <w:left w:val="nil"/>
              <w:bottom w:val="single" w:sz="8" w:space="0" w:color="auto"/>
              <w:right w:val="nil"/>
            </w:tcBorders>
            <w:shd w:val="clear" w:color="auto" w:fill="auto"/>
            <w:vAlign w:val="center"/>
            <w:hideMark/>
          </w:tcPr>
          <w:p w14:paraId="4AA85B85" w14:textId="7A2F3E6D" w:rsidR="00351345" w:rsidRPr="00351345" w:rsidRDefault="00351345" w:rsidP="00351345">
            <w:pPr>
              <w:rPr>
                <w:b/>
                <w:bCs/>
                <w:color w:val="000000"/>
                <w:sz w:val="18"/>
                <w:szCs w:val="18"/>
                <w:lang w:eastAsia="tr-TR"/>
              </w:rPr>
            </w:pPr>
            <w:r w:rsidRPr="00351345">
              <w:rPr>
                <w:b/>
                <w:bCs/>
                <w:color w:val="000000"/>
                <w:sz w:val="18"/>
                <w:szCs w:val="18"/>
                <w:lang w:eastAsia="tr-TR"/>
              </w:rPr>
              <w:t> </w:t>
            </w:r>
          </w:p>
        </w:tc>
        <w:tc>
          <w:tcPr>
            <w:tcW w:w="2813" w:type="dxa"/>
            <w:tcBorders>
              <w:top w:val="single" w:sz="4" w:space="0" w:color="auto"/>
              <w:left w:val="nil"/>
              <w:bottom w:val="single" w:sz="8" w:space="0" w:color="auto"/>
              <w:right w:val="nil"/>
            </w:tcBorders>
            <w:shd w:val="clear" w:color="auto" w:fill="auto"/>
            <w:vAlign w:val="center"/>
            <w:hideMark/>
          </w:tcPr>
          <w:p w14:paraId="37CBD608" w14:textId="77777777" w:rsidR="00351345" w:rsidRPr="00351345" w:rsidRDefault="00351345" w:rsidP="00351345">
            <w:pPr>
              <w:jc w:val="right"/>
              <w:rPr>
                <w:b/>
                <w:bCs/>
                <w:color w:val="000000"/>
                <w:sz w:val="18"/>
                <w:szCs w:val="18"/>
                <w:lang w:eastAsia="tr-TR"/>
              </w:rPr>
            </w:pPr>
            <w:r w:rsidRPr="00351345">
              <w:rPr>
                <w:b/>
                <w:bCs/>
                <w:color w:val="000000"/>
                <w:sz w:val="18"/>
                <w:szCs w:val="18"/>
                <w:lang w:eastAsia="tr-TR"/>
              </w:rPr>
              <w:t>Döviz alış kuru</w:t>
            </w:r>
          </w:p>
        </w:tc>
      </w:tr>
      <w:tr w:rsidR="00351345" w:rsidRPr="00351345" w14:paraId="06E36FE6" w14:textId="77777777" w:rsidTr="00FC1F5B">
        <w:trPr>
          <w:divId w:val="1839537179"/>
          <w:trHeight w:val="113"/>
        </w:trPr>
        <w:tc>
          <w:tcPr>
            <w:tcW w:w="6665" w:type="dxa"/>
            <w:tcBorders>
              <w:top w:val="nil"/>
              <w:left w:val="nil"/>
              <w:bottom w:val="nil"/>
              <w:right w:val="nil"/>
            </w:tcBorders>
            <w:shd w:val="clear" w:color="auto" w:fill="auto"/>
            <w:vAlign w:val="center"/>
            <w:hideMark/>
          </w:tcPr>
          <w:p w14:paraId="7B70CEEB" w14:textId="77777777" w:rsidR="00351345" w:rsidRPr="00351345" w:rsidRDefault="00351345" w:rsidP="00351345">
            <w:pPr>
              <w:jc w:val="right"/>
              <w:rPr>
                <w:b/>
                <w:bCs/>
                <w:color w:val="000000"/>
                <w:sz w:val="18"/>
                <w:szCs w:val="18"/>
                <w:lang w:eastAsia="tr-TR"/>
              </w:rPr>
            </w:pPr>
          </w:p>
        </w:tc>
        <w:tc>
          <w:tcPr>
            <w:tcW w:w="2813" w:type="dxa"/>
            <w:tcBorders>
              <w:top w:val="nil"/>
              <w:left w:val="nil"/>
              <w:bottom w:val="nil"/>
              <w:right w:val="nil"/>
            </w:tcBorders>
            <w:shd w:val="clear" w:color="auto" w:fill="auto"/>
            <w:vAlign w:val="center"/>
            <w:hideMark/>
          </w:tcPr>
          <w:p w14:paraId="31BEFC57" w14:textId="77777777" w:rsidR="00351345" w:rsidRPr="00351345" w:rsidRDefault="00351345" w:rsidP="00351345">
            <w:pPr>
              <w:rPr>
                <w:lang w:eastAsia="tr-TR"/>
              </w:rPr>
            </w:pPr>
          </w:p>
        </w:tc>
      </w:tr>
      <w:tr w:rsidR="00351345" w:rsidRPr="00351345" w14:paraId="6E6F5A0A" w14:textId="77777777" w:rsidTr="00FC1F5B">
        <w:trPr>
          <w:divId w:val="1839537179"/>
          <w:trHeight w:val="113"/>
        </w:trPr>
        <w:tc>
          <w:tcPr>
            <w:tcW w:w="6665" w:type="dxa"/>
            <w:tcBorders>
              <w:top w:val="nil"/>
              <w:left w:val="nil"/>
              <w:bottom w:val="nil"/>
              <w:right w:val="nil"/>
            </w:tcBorders>
            <w:shd w:val="clear" w:color="auto" w:fill="auto"/>
            <w:vAlign w:val="center"/>
            <w:hideMark/>
          </w:tcPr>
          <w:p w14:paraId="5E48794F" w14:textId="77777777" w:rsidR="00351345" w:rsidRPr="00351345" w:rsidRDefault="00351345" w:rsidP="00351345">
            <w:pPr>
              <w:rPr>
                <w:b/>
                <w:bCs/>
                <w:color w:val="000000"/>
                <w:sz w:val="18"/>
                <w:szCs w:val="18"/>
                <w:lang w:eastAsia="tr-TR"/>
              </w:rPr>
            </w:pPr>
            <w:r w:rsidRPr="00351345">
              <w:rPr>
                <w:b/>
                <w:bCs/>
                <w:color w:val="000000"/>
                <w:sz w:val="18"/>
                <w:szCs w:val="18"/>
                <w:lang w:eastAsia="tr-TR"/>
              </w:rPr>
              <w:t>ABD Doları</w:t>
            </w:r>
          </w:p>
        </w:tc>
        <w:tc>
          <w:tcPr>
            <w:tcW w:w="2813" w:type="dxa"/>
            <w:tcBorders>
              <w:top w:val="nil"/>
              <w:left w:val="nil"/>
              <w:bottom w:val="nil"/>
              <w:right w:val="nil"/>
            </w:tcBorders>
            <w:shd w:val="clear" w:color="auto" w:fill="auto"/>
            <w:vAlign w:val="center"/>
            <w:hideMark/>
          </w:tcPr>
          <w:p w14:paraId="1D62B2BA" w14:textId="77777777" w:rsidR="00351345" w:rsidRPr="00351345" w:rsidRDefault="00351345" w:rsidP="00351345">
            <w:pPr>
              <w:jc w:val="right"/>
              <w:rPr>
                <w:color w:val="000000"/>
                <w:sz w:val="18"/>
                <w:szCs w:val="18"/>
                <w:lang w:eastAsia="tr-TR"/>
              </w:rPr>
            </w:pPr>
            <w:r w:rsidRPr="00351345">
              <w:rPr>
                <w:color w:val="000000"/>
                <w:sz w:val="18"/>
                <w:szCs w:val="18"/>
                <w:lang w:eastAsia="tr-TR"/>
              </w:rPr>
              <w:t>7.53738</w:t>
            </w:r>
          </w:p>
        </w:tc>
      </w:tr>
      <w:tr w:rsidR="00351345" w:rsidRPr="00351345" w14:paraId="434EEB2D" w14:textId="77777777" w:rsidTr="00FC1F5B">
        <w:trPr>
          <w:divId w:val="1839537179"/>
          <w:trHeight w:val="113"/>
        </w:trPr>
        <w:tc>
          <w:tcPr>
            <w:tcW w:w="6665" w:type="dxa"/>
            <w:tcBorders>
              <w:top w:val="nil"/>
              <w:left w:val="nil"/>
              <w:bottom w:val="nil"/>
              <w:right w:val="nil"/>
            </w:tcBorders>
            <w:shd w:val="clear" w:color="auto" w:fill="auto"/>
            <w:vAlign w:val="center"/>
            <w:hideMark/>
          </w:tcPr>
          <w:p w14:paraId="40DE34FB" w14:textId="77777777" w:rsidR="00351345" w:rsidRPr="00351345" w:rsidRDefault="00351345" w:rsidP="00351345">
            <w:pPr>
              <w:rPr>
                <w:b/>
                <w:bCs/>
                <w:color w:val="000000"/>
                <w:sz w:val="18"/>
                <w:szCs w:val="18"/>
                <w:lang w:eastAsia="tr-TR"/>
              </w:rPr>
            </w:pPr>
            <w:r w:rsidRPr="00351345">
              <w:rPr>
                <w:b/>
                <w:bCs/>
                <w:color w:val="000000"/>
                <w:sz w:val="18"/>
                <w:szCs w:val="18"/>
                <w:lang w:eastAsia="tr-TR"/>
              </w:rPr>
              <w:t>Avro</w:t>
            </w:r>
          </w:p>
        </w:tc>
        <w:tc>
          <w:tcPr>
            <w:tcW w:w="2813" w:type="dxa"/>
            <w:tcBorders>
              <w:top w:val="nil"/>
              <w:left w:val="nil"/>
              <w:bottom w:val="nil"/>
              <w:right w:val="nil"/>
            </w:tcBorders>
            <w:shd w:val="clear" w:color="auto" w:fill="auto"/>
            <w:vAlign w:val="center"/>
            <w:hideMark/>
          </w:tcPr>
          <w:p w14:paraId="27A36B0F" w14:textId="77777777" w:rsidR="00351345" w:rsidRPr="00351345" w:rsidRDefault="00351345" w:rsidP="00351345">
            <w:pPr>
              <w:jc w:val="right"/>
              <w:rPr>
                <w:color w:val="000000"/>
                <w:sz w:val="18"/>
                <w:szCs w:val="18"/>
                <w:lang w:eastAsia="tr-TR"/>
              </w:rPr>
            </w:pPr>
            <w:r w:rsidRPr="00351345">
              <w:rPr>
                <w:color w:val="000000"/>
                <w:sz w:val="18"/>
                <w:szCs w:val="18"/>
                <w:lang w:eastAsia="tr-TR"/>
              </w:rPr>
              <w:t>8.88932</w:t>
            </w:r>
          </w:p>
        </w:tc>
      </w:tr>
      <w:tr w:rsidR="00351345" w:rsidRPr="00351345" w14:paraId="34851190" w14:textId="77777777" w:rsidTr="00FC1F5B">
        <w:trPr>
          <w:divId w:val="1839537179"/>
          <w:trHeight w:val="113"/>
        </w:trPr>
        <w:tc>
          <w:tcPr>
            <w:tcW w:w="6665" w:type="dxa"/>
            <w:tcBorders>
              <w:top w:val="nil"/>
              <w:left w:val="nil"/>
              <w:bottom w:val="nil"/>
              <w:right w:val="nil"/>
            </w:tcBorders>
            <w:shd w:val="clear" w:color="auto" w:fill="auto"/>
            <w:vAlign w:val="center"/>
            <w:hideMark/>
          </w:tcPr>
          <w:p w14:paraId="45A0F730" w14:textId="77777777" w:rsidR="00351345" w:rsidRPr="00351345" w:rsidRDefault="00351345" w:rsidP="00351345">
            <w:pPr>
              <w:rPr>
                <w:b/>
                <w:bCs/>
                <w:color w:val="000000"/>
                <w:sz w:val="18"/>
                <w:szCs w:val="18"/>
                <w:lang w:eastAsia="tr-TR"/>
              </w:rPr>
            </w:pPr>
            <w:r w:rsidRPr="00351345">
              <w:rPr>
                <w:b/>
                <w:bCs/>
                <w:color w:val="000000"/>
                <w:sz w:val="18"/>
                <w:szCs w:val="18"/>
                <w:lang w:eastAsia="tr-TR"/>
              </w:rPr>
              <w:t>İngiliz Sterlini</w:t>
            </w:r>
          </w:p>
        </w:tc>
        <w:tc>
          <w:tcPr>
            <w:tcW w:w="2813" w:type="dxa"/>
            <w:tcBorders>
              <w:top w:val="nil"/>
              <w:left w:val="nil"/>
              <w:bottom w:val="nil"/>
              <w:right w:val="nil"/>
            </w:tcBorders>
            <w:shd w:val="clear" w:color="auto" w:fill="auto"/>
            <w:vAlign w:val="center"/>
            <w:hideMark/>
          </w:tcPr>
          <w:p w14:paraId="4B37BE1C" w14:textId="77777777" w:rsidR="00351345" w:rsidRPr="00351345" w:rsidRDefault="00351345" w:rsidP="00351345">
            <w:pPr>
              <w:jc w:val="right"/>
              <w:rPr>
                <w:color w:val="000000"/>
                <w:sz w:val="18"/>
                <w:szCs w:val="18"/>
                <w:lang w:eastAsia="tr-TR"/>
              </w:rPr>
            </w:pPr>
            <w:r w:rsidRPr="00351345">
              <w:rPr>
                <w:color w:val="000000"/>
                <w:sz w:val="18"/>
                <w:szCs w:val="18"/>
                <w:lang w:eastAsia="tr-TR"/>
              </w:rPr>
              <w:t>9.77054</w:t>
            </w:r>
          </w:p>
        </w:tc>
      </w:tr>
      <w:tr w:rsidR="00351345" w:rsidRPr="00351345" w14:paraId="3B880C85" w14:textId="77777777" w:rsidTr="00FC1F5B">
        <w:trPr>
          <w:divId w:val="1839537179"/>
          <w:trHeight w:val="113"/>
        </w:trPr>
        <w:tc>
          <w:tcPr>
            <w:tcW w:w="6665" w:type="dxa"/>
            <w:tcBorders>
              <w:top w:val="nil"/>
              <w:left w:val="nil"/>
              <w:right w:val="nil"/>
            </w:tcBorders>
            <w:shd w:val="clear" w:color="auto" w:fill="auto"/>
            <w:vAlign w:val="center"/>
            <w:hideMark/>
          </w:tcPr>
          <w:p w14:paraId="6FFF8F89" w14:textId="77777777" w:rsidR="00351345" w:rsidRPr="00351345" w:rsidRDefault="00351345" w:rsidP="00351345">
            <w:pPr>
              <w:rPr>
                <w:b/>
                <w:bCs/>
                <w:color w:val="000000"/>
                <w:sz w:val="18"/>
                <w:szCs w:val="18"/>
                <w:lang w:eastAsia="tr-TR"/>
              </w:rPr>
            </w:pPr>
            <w:r w:rsidRPr="00351345">
              <w:rPr>
                <w:b/>
                <w:bCs/>
                <w:color w:val="000000"/>
                <w:sz w:val="18"/>
                <w:szCs w:val="18"/>
                <w:lang w:eastAsia="tr-TR"/>
              </w:rPr>
              <w:t>İsviçre Frangı</w:t>
            </w:r>
          </w:p>
        </w:tc>
        <w:tc>
          <w:tcPr>
            <w:tcW w:w="2813" w:type="dxa"/>
            <w:tcBorders>
              <w:top w:val="nil"/>
              <w:left w:val="nil"/>
              <w:right w:val="nil"/>
            </w:tcBorders>
            <w:shd w:val="clear" w:color="auto" w:fill="auto"/>
            <w:vAlign w:val="center"/>
            <w:hideMark/>
          </w:tcPr>
          <w:p w14:paraId="3A326CE3" w14:textId="77777777" w:rsidR="00351345" w:rsidRPr="00351345" w:rsidRDefault="00351345" w:rsidP="00351345">
            <w:pPr>
              <w:jc w:val="right"/>
              <w:rPr>
                <w:color w:val="000000"/>
                <w:sz w:val="18"/>
                <w:szCs w:val="18"/>
                <w:lang w:eastAsia="tr-TR"/>
              </w:rPr>
            </w:pPr>
            <w:r w:rsidRPr="00351345">
              <w:rPr>
                <w:color w:val="000000"/>
                <w:sz w:val="18"/>
                <w:szCs w:val="18"/>
                <w:lang w:eastAsia="tr-TR"/>
              </w:rPr>
              <w:t>8.24205</w:t>
            </w:r>
          </w:p>
        </w:tc>
      </w:tr>
      <w:tr w:rsidR="00351345" w:rsidRPr="00351345" w14:paraId="4BD309E4" w14:textId="77777777" w:rsidTr="00FC1F5B">
        <w:trPr>
          <w:divId w:val="1839537179"/>
          <w:trHeight w:val="113"/>
        </w:trPr>
        <w:tc>
          <w:tcPr>
            <w:tcW w:w="6665" w:type="dxa"/>
            <w:tcBorders>
              <w:top w:val="nil"/>
              <w:left w:val="nil"/>
              <w:bottom w:val="single" w:sz="4" w:space="0" w:color="auto"/>
              <w:right w:val="nil"/>
            </w:tcBorders>
            <w:shd w:val="clear" w:color="auto" w:fill="auto"/>
            <w:vAlign w:val="center"/>
            <w:hideMark/>
          </w:tcPr>
          <w:p w14:paraId="6D550BCD" w14:textId="77777777" w:rsidR="00351345" w:rsidRPr="00351345" w:rsidRDefault="00351345" w:rsidP="00351345">
            <w:pPr>
              <w:rPr>
                <w:b/>
                <w:bCs/>
                <w:color w:val="000000"/>
                <w:sz w:val="18"/>
                <w:szCs w:val="18"/>
                <w:lang w:eastAsia="tr-TR"/>
              </w:rPr>
            </w:pPr>
            <w:r w:rsidRPr="00351345">
              <w:rPr>
                <w:b/>
                <w:bCs/>
                <w:color w:val="000000"/>
                <w:sz w:val="18"/>
                <w:szCs w:val="18"/>
                <w:lang w:eastAsia="tr-TR"/>
              </w:rPr>
              <w:t>Japon Yeni</w:t>
            </w:r>
          </w:p>
        </w:tc>
        <w:tc>
          <w:tcPr>
            <w:tcW w:w="2813" w:type="dxa"/>
            <w:tcBorders>
              <w:top w:val="nil"/>
              <w:left w:val="nil"/>
              <w:bottom w:val="single" w:sz="4" w:space="0" w:color="auto"/>
              <w:right w:val="nil"/>
            </w:tcBorders>
            <w:shd w:val="clear" w:color="auto" w:fill="auto"/>
            <w:vAlign w:val="center"/>
            <w:hideMark/>
          </w:tcPr>
          <w:p w14:paraId="72B2AE3B" w14:textId="77777777" w:rsidR="00351345" w:rsidRPr="00351345" w:rsidRDefault="00351345" w:rsidP="00351345">
            <w:pPr>
              <w:jc w:val="right"/>
              <w:rPr>
                <w:color w:val="000000"/>
                <w:sz w:val="18"/>
                <w:szCs w:val="18"/>
                <w:lang w:eastAsia="tr-TR"/>
              </w:rPr>
            </w:pPr>
            <w:r w:rsidRPr="00351345">
              <w:rPr>
                <w:color w:val="000000"/>
                <w:sz w:val="18"/>
                <w:szCs w:val="18"/>
                <w:lang w:eastAsia="tr-TR"/>
              </w:rPr>
              <w:t>0.07140</w:t>
            </w:r>
          </w:p>
        </w:tc>
      </w:tr>
    </w:tbl>
    <w:p w14:paraId="3BDE08C5" w14:textId="2E7B38E4" w:rsidR="008532E7" w:rsidRPr="00270CE6" w:rsidRDefault="008532E7" w:rsidP="007E14E3">
      <w:pPr>
        <w:pStyle w:val="BodyText"/>
        <w:rPr>
          <w:rFonts w:eastAsia="Arial Unicode MS"/>
          <w:highlight w:val="yellow"/>
        </w:rPr>
      </w:pPr>
    </w:p>
    <w:p w14:paraId="26870D19" w14:textId="77777777" w:rsidR="008532E7" w:rsidRPr="00270CE6" w:rsidRDefault="008532E7" w:rsidP="007E14E3">
      <w:pPr>
        <w:pStyle w:val="BodyText"/>
        <w:rPr>
          <w:rFonts w:eastAsia="Arial Unicode MS"/>
          <w:b/>
          <w:highlight w:val="yellow"/>
        </w:rPr>
      </w:pPr>
    </w:p>
    <w:p w14:paraId="095656DD" w14:textId="77777777" w:rsidR="008532E7" w:rsidRPr="00270CE6" w:rsidRDefault="008532E7" w:rsidP="007E14E3">
      <w:pPr>
        <w:pStyle w:val="BodyText"/>
        <w:rPr>
          <w:rFonts w:eastAsia="Arial Unicode MS"/>
          <w:b/>
          <w:highlight w:val="yellow"/>
        </w:rPr>
      </w:pPr>
    </w:p>
    <w:p w14:paraId="676BF634" w14:textId="77777777" w:rsidR="00FC1F5B" w:rsidRDefault="00FC1F5B">
      <w:pPr>
        <w:rPr>
          <w:rFonts w:eastAsia="Arial Unicode MS"/>
          <w:b/>
          <w:lang w:eastAsia="x-none"/>
        </w:rPr>
      </w:pPr>
      <w:r>
        <w:rPr>
          <w:rFonts w:eastAsia="Arial Unicode MS"/>
          <w:b/>
        </w:rPr>
        <w:br w:type="page"/>
      </w:r>
    </w:p>
    <w:p w14:paraId="21958D59" w14:textId="0BAC2DF6" w:rsidR="00997B21" w:rsidRPr="009543E8" w:rsidRDefault="00E253C8" w:rsidP="007E14E3">
      <w:pPr>
        <w:pStyle w:val="BodyText"/>
        <w:rPr>
          <w:rFonts w:eastAsia="Arial Unicode MS"/>
        </w:rPr>
      </w:pPr>
      <w:r w:rsidRPr="009543E8">
        <w:rPr>
          <w:rFonts w:eastAsia="Arial Unicode MS"/>
          <w:b/>
        </w:rPr>
        <w:lastRenderedPageBreak/>
        <w:t xml:space="preserve">Banka’nın kur riskine ilişkin </w:t>
      </w:r>
      <w:r w:rsidR="00032F11" w:rsidRPr="009543E8">
        <w:rPr>
          <w:rFonts w:eastAsia="Arial Unicode MS"/>
          <w:b/>
        </w:rPr>
        <w:t>bilgiler:</w:t>
      </w:r>
      <w:r w:rsidRPr="009543E8">
        <w:rPr>
          <w:rFonts w:eastAsia="Arial Unicode MS"/>
        </w:rPr>
        <w:t xml:space="preserve"> </w:t>
      </w:r>
    </w:p>
    <w:p w14:paraId="4ABCEF05" w14:textId="5233F643" w:rsidR="00865FDA" w:rsidRPr="00865FDA" w:rsidRDefault="00865FDA" w:rsidP="00865FDA">
      <w:pPr>
        <w:pStyle w:val="BodyText"/>
        <w:rPr>
          <w:rFonts w:eastAsia="Arial Unicode MS"/>
        </w:rPr>
      </w:pPr>
    </w:p>
    <w:tbl>
      <w:tblPr>
        <w:tblW w:w="9449" w:type="dxa"/>
        <w:tblCellMar>
          <w:left w:w="70" w:type="dxa"/>
          <w:right w:w="70" w:type="dxa"/>
        </w:tblCellMar>
        <w:tblLook w:val="04A0" w:firstRow="1" w:lastRow="0" w:firstColumn="1" w:lastColumn="0" w:noHBand="0" w:noVBand="1"/>
      </w:tblPr>
      <w:tblGrid>
        <w:gridCol w:w="4253"/>
        <w:gridCol w:w="1299"/>
        <w:gridCol w:w="1299"/>
        <w:gridCol w:w="1299"/>
        <w:gridCol w:w="1299"/>
      </w:tblGrid>
      <w:tr w:rsidR="00865FDA" w:rsidRPr="00865FDA" w14:paraId="060CEA46" w14:textId="77777777" w:rsidTr="00FC1F5B">
        <w:trPr>
          <w:divId w:val="858160741"/>
          <w:trHeight w:val="213"/>
        </w:trPr>
        <w:tc>
          <w:tcPr>
            <w:tcW w:w="4253" w:type="dxa"/>
            <w:tcBorders>
              <w:top w:val="double" w:sz="6" w:space="0" w:color="auto"/>
              <w:left w:val="nil"/>
              <w:bottom w:val="single" w:sz="8" w:space="0" w:color="auto"/>
              <w:right w:val="nil"/>
            </w:tcBorders>
            <w:shd w:val="clear" w:color="auto" w:fill="auto"/>
            <w:vAlign w:val="center"/>
            <w:hideMark/>
          </w:tcPr>
          <w:p w14:paraId="1BDEF038" w14:textId="068F83B8" w:rsidR="00865FDA" w:rsidRPr="00865FDA" w:rsidRDefault="00865FDA" w:rsidP="00865FDA">
            <w:pPr>
              <w:jc w:val="both"/>
              <w:rPr>
                <w:b/>
                <w:bCs/>
                <w:sz w:val="18"/>
                <w:szCs w:val="18"/>
                <w:lang w:eastAsia="tr-TR"/>
              </w:rPr>
            </w:pPr>
            <w:r w:rsidRPr="00865FDA">
              <w:rPr>
                <w:b/>
                <w:bCs/>
                <w:sz w:val="18"/>
                <w:szCs w:val="18"/>
                <w:lang w:eastAsia="tr-TR"/>
              </w:rPr>
              <w:t>Cari Dönem</w:t>
            </w:r>
          </w:p>
        </w:tc>
        <w:tc>
          <w:tcPr>
            <w:tcW w:w="1299" w:type="dxa"/>
            <w:tcBorders>
              <w:top w:val="double" w:sz="6" w:space="0" w:color="auto"/>
              <w:left w:val="nil"/>
              <w:bottom w:val="single" w:sz="8" w:space="0" w:color="auto"/>
              <w:right w:val="nil"/>
            </w:tcBorders>
            <w:shd w:val="clear" w:color="auto" w:fill="auto"/>
            <w:vAlign w:val="bottom"/>
            <w:hideMark/>
          </w:tcPr>
          <w:p w14:paraId="52B25F32" w14:textId="77777777" w:rsidR="00865FDA" w:rsidRPr="00865FDA" w:rsidRDefault="00865FDA" w:rsidP="00865FDA">
            <w:pPr>
              <w:jc w:val="center"/>
              <w:rPr>
                <w:b/>
                <w:bCs/>
                <w:sz w:val="18"/>
                <w:szCs w:val="18"/>
                <w:lang w:eastAsia="tr-TR"/>
              </w:rPr>
            </w:pPr>
            <w:r w:rsidRPr="00865FDA">
              <w:rPr>
                <w:b/>
                <w:bCs/>
                <w:sz w:val="18"/>
                <w:szCs w:val="18"/>
                <w:lang w:eastAsia="tr-TR"/>
              </w:rPr>
              <w:t>Avro</w:t>
            </w:r>
          </w:p>
        </w:tc>
        <w:tc>
          <w:tcPr>
            <w:tcW w:w="1299" w:type="dxa"/>
            <w:tcBorders>
              <w:top w:val="double" w:sz="6" w:space="0" w:color="auto"/>
              <w:left w:val="nil"/>
              <w:bottom w:val="single" w:sz="8" w:space="0" w:color="auto"/>
              <w:right w:val="nil"/>
            </w:tcBorders>
            <w:shd w:val="clear" w:color="auto" w:fill="auto"/>
            <w:vAlign w:val="bottom"/>
            <w:hideMark/>
          </w:tcPr>
          <w:p w14:paraId="1FFAEC9D" w14:textId="77777777" w:rsidR="00865FDA" w:rsidRPr="00865FDA" w:rsidRDefault="00865FDA" w:rsidP="00865FDA">
            <w:pPr>
              <w:jc w:val="center"/>
              <w:rPr>
                <w:b/>
                <w:bCs/>
                <w:sz w:val="18"/>
                <w:szCs w:val="18"/>
                <w:lang w:eastAsia="tr-TR"/>
              </w:rPr>
            </w:pPr>
            <w:r w:rsidRPr="00865FDA">
              <w:rPr>
                <w:b/>
                <w:bCs/>
                <w:sz w:val="18"/>
                <w:szCs w:val="18"/>
                <w:lang w:eastAsia="tr-TR"/>
              </w:rPr>
              <w:t>ABD Doları</w:t>
            </w:r>
          </w:p>
        </w:tc>
        <w:tc>
          <w:tcPr>
            <w:tcW w:w="1299" w:type="dxa"/>
            <w:tcBorders>
              <w:top w:val="double" w:sz="6" w:space="0" w:color="auto"/>
              <w:left w:val="nil"/>
              <w:bottom w:val="single" w:sz="8" w:space="0" w:color="auto"/>
              <w:right w:val="nil"/>
            </w:tcBorders>
            <w:shd w:val="clear" w:color="auto" w:fill="auto"/>
            <w:vAlign w:val="bottom"/>
            <w:hideMark/>
          </w:tcPr>
          <w:p w14:paraId="785408A4" w14:textId="77777777" w:rsidR="00865FDA" w:rsidRPr="00865FDA" w:rsidRDefault="00865FDA" w:rsidP="00865FDA">
            <w:pPr>
              <w:jc w:val="center"/>
              <w:rPr>
                <w:b/>
                <w:bCs/>
                <w:sz w:val="18"/>
                <w:szCs w:val="18"/>
                <w:lang w:eastAsia="tr-TR"/>
              </w:rPr>
            </w:pPr>
            <w:r w:rsidRPr="00865FDA">
              <w:rPr>
                <w:b/>
                <w:bCs/>
                <w:sz w:val="18"/>
                <w:szCs w:val="18"/>
                <w:lang w:eastAsia="tr-TR"/>
              </w:rPr>
              <w:t>Diğer YP</w:t>
            </w:r>
          </w:p>
        </w:tc>
        <w:tc>
          <w:tcPr>
            <w:tcW w:w="1299" w:type="dxa"/>
            <w:tcBorders>
              <w:top w:val="double" w:sz="6" w:space="0" w:color="auto"/>
              <w:left w:val="nil"/>
              <w:bottom w:val="single" w:sz="8" w:space="0" w:color="auto"/>
              <w:right w:val="nil"/>
            </w:tcBorders>
            <w:shd w:val="clear" w:color="auto" w:fill="auto"/>
            <w:vAlign w:val="bottom"/>
            <w:hideMark/>
          </w:tcPr>
          <w:p w14:paraId="4ADC71F7" w14:textId="77777777" w:rsidR="00865FDA" w:rsidRPr="00865FDA" w:rsidRDefault="00865FDA" w:rsidP="00865FDA">
            <w:pPr>
              <w:jc w:val="center"/>
              <w:rPr>
                <w:b/>
                <w:bCs/>
                <w:sz w:val="18"/>
                <w:szCs w:val="18"/>
                <w:lang w:eastAsia="tr-TR"/>
              </w:rPr>
            </w:pPr>
            <w:r w:rsidRPr="00865FDA">
              <w:rPr>
                <w:b/>
                <w:bCs/>
                <w:sz w:val="18"/>
                <w:szCs w:val="18"/>
                <w:lang w:eastAsia="tr-TR"/>
              </w:rPr>
              <w:t>Toplam</w:t>
            </w:r>
          </w:p>
        </w:tc>
      </w:tr>
      <w:tr w:rsidR="00865FDA" w:rsidRPr="00865FDA" w14:paraId="0B33900A"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3884353B" w14:textId="77777777" w:rsidR="00865FDA" w:rsidRPr="00865FDA" w:rsidRDefault="00865FDA" w:rsidP="00865FDA">
            <w:pPr>
              <w:ind w:firstLineChars="100" w:firstLine="160"/>
              <w:rPr>
                <w:sz w:val="16"/>
                <w:szCs w:val="16"/>
                <w:lang w:eastAsia="tr-TR"/>
              </w:rPr>
            </w:pPr>
            <w:r w:rsidRPr="00865FDA">
              <w:rPr>
                <w:sz w:val="16"/>
                <w:szCs w:val="16"/>
                <w:lang w:eastAsia="tr-TR"/>
              </w:rPr>
              <w:t>Varlıklar</w:t>
            </w:r>
          </w:p>
        </w:tc>
        <w:tc>
          <w:tcPr>
            <w:tcW w:w="1299" w:type="dxa"/>
            <w:tcBorders>
              <w:top w:val="nil"/>
              <w:left w:val="nil"/>
              <w:bottom w:val="nil"/>
              <w:right w:val="nil"/>
            </w:tcBorders>
            <w:shd w:val="clear" w:color="auto" w:fill="auto"/>
            <w:vAlign w:val="bottom"/>
            <w:hideMark/>
          </w:tcPr>
          <w:p w14:paraId="42FADBF2" w14:textId="77777777" w:rsidR="00865FDA" w:rsidRPr="00865FDA" w:rsidRDefault="00865FDA" w:rsidP="00865FDA">
            <w:pPr>
              <w:ind w:firstLineChars="100" w:firstLine="160"/>
              <w:rPr>
                <w:sz w:val="16"/>
                <w:szCs w:val="16"/>
                <w:lang w:eastAsia="tr-TR"/>
              </w:rPr>
            </w:pPr>
          </w:p>
        </w:tc>
        <w:tc>
          <w:tcPr>
            <w:tcW w:w="1299" w:type="dxa"/>
            <w:tcBorders>
              <w:top w:val="nil"/>
              <w:left w:val="nil"/>
              <w:bottom w:val="nil"/>
              <w:right w:val="nil"/>
            </w:tcBorders>
            <w:shd w:val="clear" w:color="auto" w:fill="auto"/>
            <w:vAlign w:val="bottom"/>
            <w:hideMark/>
          </w:tcPr>
          <w:p w14:paraId="2CD49FA4" w14:textId="77777777" w:rsidR="00865FDA" w:rsidRPr="00865FDA" w:rsidRDefault="00865FDA" w:rsidP="00865FDA">
            <w:pPr>
              <w:jc w:val="right"/>
              <w:rPr>
                <w:lang w:eastAsia="tr-TR"/>
              </w:rPr>
            </w:pPr>
          </w:p>
        </w:tc>
        <w:tc>
          <w:tcPr>
            <w:tcW w:w="1299" w:type="dxa"/>
            <w:tcBorders>
              <w:top w:val="nil"/>
              <w:left w:val="nil"/>
              <w:bottom w:val="nil"/>
              <w:right w:val="nil"/>
            </w:tcBorders>
            <w:shd w:val="clear" w:color="auto" w:fill="auto"/>
            <w:vAlign w:val="bottom"/>
            <w:hideMark/>
          </w:tcPr>
          <w:p w14:paraId="73FD306A" w14:textId="77777777" w:rsidR="00865FDA" w:rsidRPr="00865FDA" w:rsidRDefault="00865FDA" w:rsidP="00865FDA">
            <w:pPr>
              <w:jc w:val="right"/>
              <w:rPr>
                <w:lang w:eastAsia="tr-TR"/>
              </w:rPr>
            </w:pPr>
          </w:p>
        </w:tc>
        <w:tc>
          <w:tcPr>
            <w:tcW w:w="1299" w:type="dxa"/>
            <w:tcBorders>
              <w:top w:val="nil"/>
              <w:left w:val="nil"/>
              <w:bottom w:val="nil"/>
              <w:right w:val="nil"/>
            </w:tcBorders>
            <w:shd w:val="clear" w:color="auto" w:fill="auto"/>
            <w:vAlign w:val="bottom"/>
            <w:hideMark/>
          </w:tcPr>
          <w:p w14:paraId="53374A8B" w14:textId="77777777" w:rsidR="00865FDA" w:rsidRPr="00865FDA" w:rsidRDefault="00865FDA" w:rsidP="00865FDA">
            <w:pPr>
              <w:jc w:val="right"/>
              <w:rPr>
                <w:lang w:eastAsia="tr-TR"/>
              </w:rPr>
            </w:pPr>
          </w:p>
        </w:tc>
      </w:tr>
      <w:tr w:rsidR="00865FDA" w:rsidRPr="00865FDA" w14:paraId="417D0007" w14:textId="77777777" w:rsidTr="00FC1F5B">
        <w:trPr>
          <w:divId w:val="858160741"/>
          <w:trHeight w:val="448"/>
        </w:trPr>
        <w:tc>
          <w:tcPr>
            <w:tcW w:w="4253" w:type="dxa"/>
            <w:tcBorders>
              <w:top w:val="nil"/>
              <w:left w:val="nil"/>
              <w:bottom w:val="nil"/>
              <w:right w:val="nil"/>
            </w:tcBorders>
            <w:shd w:val="clear" w:color="auto" w:fill="auto"/>
            <w:vAlign w:val="center"/>
            <w:hideMark/>
          </w:tcPr>
          <w:p w14:paraId="5429856E" w14:textId="77777777" w:rsidR="00865FDA" w:rsidRPr="00865FDA" w:rsidRDefault="00865FDA" w:rsidP="00865FDA">
            <w:pPr>
              <w:ind w:firstLineChars="100" w:firstLine="160"/>
              <w:rPr>
                <w:sz w:val="16"/>
                <w:szCs w:val="16"/>
                <w:lang w:eastAsia="tr-TR"/>
              </w:rPr>
            </w:pPr>
            <w:r w:rsidRPr="00865FDA">
              <w:rPr>
                <w:sz w:val="16"/>
                <w:szCs w:val="16"/>
                <w:lang w:eastAsia="tr-TR"/>
              </w:rPr>
              <w:t xml:space="preserve">Nakit değerler (kasa, efektif deposu, yoldaki paralar, satın alınan çekler) ve T.C. Merkez </w:t>
            </w:r>
            <w:proofErr w:type="spellStart"/>
            <w:r w:rsidRPr="00865FDA">
              <w:rPr>
                <w:sz w:val="16"/>
                <w:szCs w:val="16"/>
                <w:lang w:eastAsia="tr-TR"/>
              </w:rPr>
              <w:t>Bnk</w:t>
            </w:r>
            <w:proofErr w:type="spellEnd"/>
            <w:r w:rsidRPr="00865FDA">
              <w:rPr>
                <w:sz w:val="16"/>
                <w:szCs w:val="16"/>
                <w:lang w:eastAsia="tr-TR"/>
              </w:rPr>
              <w:t>. (****)</w:t>
            </w:r>
          </w:p>
        </w:tc>
        <w:tc>
          <w:tcPr>
            <w:tcW w:w="1299" w:type="dxa"/>
            <w:tcBorders>
              <w:top w:val="nil"/>
              <w:left w:val="nil"/>
              <w:bottom w:val="nil"/>
              <w:right w:val="nil"/>
            </w:tcBorders>
            <w:shd w:val="clear" w:color="auto" w:fill="auto"/>
            <w:vAlign w:val="bottom"/>
            <w:hideMark/>
          </w:tcPr>
          <w:p w14:paraId="57F0B6D5" w14:textId="77777777" w:rsidR="00865FDA" w:rsidRPr="00865FDA" w:rsidRDefault="00865FDA" w:rsidP="00FC1F5B">
            <w:pPr>
              <w:jc w:val="right"/>
              <w:rPr>
                <w:sz w:val="16"/>
                <w:szCs w:val="16"/>
                <w:lang w:eastAsia="tr-TR"/>
              </w:rPr>
            </w:pPr>
            <w:r w:rsidRPr="00865FDA">
              <w:rPr>
                <w:sz w:val="16"/>
                <w:szCs w:val="16"/>
                <w:lang w:eastAsia="tr-TR"/>
              </w:rPr>
              <w:t>6,750,250</w:t>
            </w:r>
          </w:p>
        </w:tc>
        <w:tc>
          <w:tcPr>
            <w:tcW w:w="1299" w:type="dxa"/>
            <w:tcBorders>
              <w:top w:val="nil"/>
              <w:left w:val="nil"/>
              <w:bottom w:val="nil"/>
              <w:right w:val="nil"/>
            </w:tcBorders>
            <w:shd w:val="clear" w:color="auto" w:fill="auto"/>
            <w:vAlign w:val="bottom"/>
            <w:hideMark/>
          </w:tcPr>
          <w:p w14:paraId="48A2FC78" w14:textId="77777777" w:rsidR="00865FDA" w:rsidRPr="00865FDA" w:rsidRDefault="00865FDA" w:rsidP="00FC1F5B">
            <w:pPr>
              <w:jc w:val="right"/>
              <w:rPr>
                <w:sz w:val="16"/>
                <w:szCs w:val="16"/>
                <w:lang w:eastAsia="tr-TR"/>
              </w:rPr>
            </w:pPr>
            <w:r w:rsidRPr="00865FDA">
              <w:rPr>
                <w:sz w:val="16"/>
                <w:szCs w:val="16"/>
                <w:lang w:eastAsia="tr-TR"/>
              </w:rPr>
              <w:t>8,307,025</w:t>
            </w:r>
          </w:p>
        </w:tc>
        <w:tc>
          <w:tcPr>
            <w:tcW w:w="1299" w:type="dxa"/>
            <w:tcBorders>
              <w:top w:val="nil"/>
              <w:left w:val="nil"/>
              <w:bottom w:val="nil"/>
              <w:right w:val="nil"/>
            </w:tcBorders>
            <w:shd w:val="clear" w:color="auto" w:fill="auto"/>
            <w:vAlign w:val="bottom"/>
            <w:hideMark/>
          </w:tcPr>
          <w:p w14:paraId="2FBC616F" w14:textId="77777777" w:rsidR="00865FDA" w:rsidRPr="00865FDA" w:rsidRDefault="00865FDA" w:rsidP="00FC1F5B">
            <w:pPr>
              <w:jc w:val="right"/>
              <w:rPr>
                <w:sz w:val="16"/>
                <w:szCs w:val="16"/>
                <w:lang w:eastAsia="tr-TR"/>
              </w:rPr>
            </w:pPr>
            <w:r w:rsidRPr="00865FDA">
              <w:rPr>
                <w:sz w:val="16"/>
                <w:szCs w:val="16"/>
                <w:lang w:eastAsia="tr-TR"/>
              </w:rPr>
              <w:t>5,486,943</w:t>
            </w:r>
          </w:p>
        </w:tc>
        <w:tc>
          <w:tcPr>
            <w:tcW w:w="1299" w:type="dxa"/>
            <w:tcBorders>
              <w:top w:val="nil"/>
              <w:left w:val="nil"/>
              <w:bottom w:val="nil"/>
              <w:right w:val="nil"/>
            </w:tcBorders>
            <w:shd w:val="clear" w:color="auto" w:fill="auto"/>
            <w:vAlign w:val="bottom"/>
            <w:hideMark/>
          </w:tcPr>
          <w:p w14:paraId="68F2B0FE" w14:textId="77777777" w:rsidR="00865FDA" w:rsidRPr="00865FDA" w:rsidRDefault="00865FDA" w:rsidP="00FC1F5B">
            <w:pPr>
              <w:jc w:val="right"/>
              <w:rPr>
                <w:sz w:val="16"/>
                <w:szCs w:val="16"/>
                <w:lang w:eastAsia="tr-TR"/>
              </w:rPr>
            </w:pPr>
            <w:r w:rsidRPr="00865FDA">
              <w:rPr>
                <w:sz w:val="16"/>
                <w:szCs w:val="16"/>
                <w:lang w:eastAsia="tr-TR"/>
              </w:rPr>
              <w:t>20,544,218</w:t>
            </w:r>
          </w:p>
        </w:tc>
      </w:tr>
      <w:tr w:rsidR="00865FDA" w:rsidRPr="00865FDA" w14:paraId="399D0383"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7376DAC4" w14:textId="77777777" w:rsidR="00865FDA" w:rsidRPr="00865FDA" w:rsidRDefault="00865FDA" w:rsidP="00865FDA">
            <w:pPr>
              <w:ind w:firstLineChars="100" w:firstLine="160"/>
              <w:rPr>
                <w:sz w:val="16"/>
                <w:szCs w:val="16"/>
                <w:lang w:eastAsia="tr-TR"/>
              </w:rPr>
            </w:pPr>
            <w:r w:rsidRPr="00865FDA">
              <w:rPr>
                <w:sz w:val="16"/>
                <w:szCs w:val="16"/>
                <w:lang w:eastAsia="tr-TR"/>
              </w:rPr>
              <w:t>Bankalar (******)</w:t>
            </w:r>
          </w:p>
        </w:tc>
        <w:tc>
          <w:tcPr>
            <w:tcW w:w="1299" w:type="dxa"/>
            <w:tcBorders>
              <w:top w:val="nil"/>
              <w:left w:val="nil"/>
              <w:bottom w:val="nil"/>
              <w:right w:val="nil"/>
            </w:tcBorders>
            <w:shd w:val="clear" w:color="auto" w:fill="auto"/>
            <w:vAlign w:val="bottom"/>
            <w:hideMark/>
          </w:tcPr>
          <w:p w14:paraId="31B38352" w14:textId="77777777" w:rsidR="00865FDA" w:rsidRPr="00865FDA" w:rsidRDefault="00865FDA" w:rsidP="00FC1F5B">
            <w:pPr>
              <w:jc w:val="right"/>
              <w:rPr>
                <w:sz w:val="16"/>
                <w:szCs w:val="16"/>
                <w:lang w:eastAsia="tr-TR"/>
              </w:rPr>
            </w:pPr>
            <w:r w:rsidRPr="00865FDA">
              <w:rPr>
                <w:sz w:val="16"/>
                <w:szCs w:val="16"/>
                <w:lang w:eastAsia="tr-TR"/>
              </w:rPr>
              <w:t>121,055</w:t>
            </w:r>
          </w:p>
        </w:tc>
        <w:tc>
          <w:tcPr>
            <w:tcW w:w="1299" w:type="dxa"/>
            <w:tcBorders>
              <w:top w:val="nil"/>
              <w:left w:val="nil"/>
              <w:bottom w:val="nil"/>
              <w:right w:val="nil"/>
            </w:tcBorders>
            <w:shd w:val="clear" w:color="auto" w:fill="auto"/>
            <w:vAlign w:val="bottom"/>
            <w:hideMark/>
          </w:tcPr>
          <w:p w14:paraId="4EC1ACD7" w14:textId="77777777" w:rsidR="00865FDA" w:rsidRPr="00865FDA" w:rsidRDefault="00865FDA" w:rsidP="00FC1F5B">
            <w:pPr>
              <w:jc w:val="right"/>
              <w:rPr>
                <w:sz w:val="16"/>
                <w:szCs w:val="16"/>
                <w:lang w:eastAsia="tr-TR"/>
              </w:rPr>
            </w:pPr>
            <w:r w:rsidRPr="00865FDA">
              <w:rPr>
                <w:sz w:val="16"/>
                <w:szCs w:val="16"/>
                <w:lang w:eastAsia="tr-TR"/>
              </w:rPr>
              <w:t>293,321</w:t>
            </w:r>
          </w:p>
        </w:tc>
        <w:tc>
          <w:tcPr>
            <w:tcW w:w="1299" w:type="dxa"/>
            <w:tcBorders>
              <w:top w:val="nil"/>
              <w:left w:val="nil"/>
              <w:bottom w:val="nil"/>
              <w:right w:val="nil"/>
            </w:tcBorders>
            <w:shd w:val="clear" w:color="auto" w:fill="auto"/>
            <w:vAlign w:val="bottom"/>
            <w:hideMark/>
          </w:tcPr>
          <w:p w14:paraId="77109BF4" w14:textId="77777777" w:rsidR="00865FDA" w:rsidRPr="00865FDA" w:rsidRDefault="00865FDA" w:rsidP="00FC1F5B">
            <w:pPr>
              <w:jc w:val="right"/>
              <w:rPr>
                <w:sz w:val="16"/>
                <w:szCs w:val="16"/>
                <w:lang w:eastAsia="tr-TR"/>
              </w:rPr>
            </w:pPr>
            <w:r w:rsidRPr="00865FDA">
              <w:rPr>
                <w:sz w:val="16"/>
                <w:szCs w:val="16"/>
                <w:lang w:eastAsia="tr-TR"/>
              </w:rPr>
              <w:t>3,707,119</w:t>
            </w:r>
          </w:p>
        </w:tc>
        <w:tc>
          <w:tcPr>
            <w:tcW w:w="1299" w:type="dxa"/>
            <w:tcBorders>
              <w:top w:val="nil"/>
              <w:left w:val="nil"/>
              <w:bottom w:val="nil"/>
              <w:right w:val="nil"/>
            </w:tcBorders>
            <w:shd w:val="clear" w:color="auto" w:fill="auto"/>
            <w:vAlign w:val="bottom"/>
            <w:hideMark/>
          </w:tcPr>
          <w:p w14:paraId="533BD667" w14:textId="77777777" w:rsidR="00865FDA" w:rsidRPr="00865FDA" w:rsidRDefault="00865FDA" w:rsidP="00FC1F5B">
            <w:pPr>
              <w:jc w:val="right"/>
              <w:rPr>
                <w:sz w:val="16"/>
                <w:szCs w:val="16"/>
                <w:lang w:eastAsia="tr-TR"/>
              </w:rPr>
            </w:pPr>
            <w:r w:rsidRPr="00865FDA">
              <w:rPr>
                <w:sz w:val="16"/>
                <w:szCs w:val="16"/>
                <w:lang w:eastAsia="tr-TR"/>
              </w:rPr>
              <w:t>4,121,495</w:t>
            </w:r>
          </w:p>
        </w:tc>
      </w:tr>
      <w:tr w:rsidR="00865FDA" w:rsidRPr="00865FDA" w14:paraId="354AD5F8"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579C871D" w14:textId="77777777" w:rsidR="00865FDA" w:rsidRPr="00865FDA" w:rsidRDefault="00865FDA" w:rsidP="00865FDA">
            <w:pPr>
              <w:ind w:firstLineChars="100" w:firstLine="160"/>
              <w:rPr>
                <w:sz w:val="16"/>
                <w:szCs w:val="16"/>
                <w:lang w:eastAsia="tr-TR"/>
              </w:rPr>
            </w:pPr>
            <w:r w:rsidRPr="00865FDA">
              <w:rPr>
                <w:sz w:val="16"/>
                <w:szCs w:val="16"/>
                <w:lang w:eastAsia="tr-TR"/>
              </w:rPr>
              <w:t>Gerçeğe uygun değer farkı kar veya zarara yansıtılan finansal varlıklar</w:t>
            </w:r>
          </w:p>
        </w:tc>
        <w:tc>
          <w:tcPr>
            <w:tcW w:w="1299" w:type="dxa"/>
            <w:tcBorders>
              <w:top w:val="nil"/>
              <w:left w:val="nil"/>
              <w:bottom w:val="nil"/>
              <w:right w:val="nil"/>
            </w:tcBorders>
            <w:shd w:val="clear" w:color="auto" w:fill="auto"/>
            <w:vAlign w:val="bottom"/>
            <w:hideMark/>
          </w:tcPr>
          <w:p w14:paraId="2AF84B2A" w14:textId="77777777" w:rsidR="00865FDA" w:rsidRPr="00865FDA" w:rsidRDefault="00865FDA" w:rsidP="00FC1F5B">
            <w:pPr>
              <w:jc w:val="right"/>
              <w:rPr>
                <w:sz w:val="16"/>
                <w:szCs w:val="16"/>
                <w:lang w:eastAsia="tr-TR"/>
              </w:rPr>
            </w:pPr>
            <w:r w:rsidRPr="00865FDA">
              <w:rPr>
                <w:sz w:val="16"/>
                <w:szCs w:val="16"/>
                <w:lang w:eastAsia="tr-TR"/>
              </w:rPr>
              <w:t>283,931</w:t>
            </w:r>
          </w:p>
        </w:tc>
        <w:tc>
          <w:tcPr>
            <w:tcW w:w="1299" w:type="dxa"/>
            <w:tcBorders>
              <w:top w:val="nil"/>
              <w:left w:val="nil"/>
              <w:bottom w:val="nil"/>
              <w:right w:val="nil"/>
            </w:tcBorders>
            <w:shd w:val="clear" w:color="auto" w:fill="auto"/>
            <w:vAlign w:val="bottom"/>
            <w:hideMark/>
          </w:tcPr>
          <w:p w14:paraId="126845C1" w14:textId="77777777" w:rsidR="00865FDA" w:rsidRPr="00865FDA" w:rsidRDefault="00865FDA" w:rsidP="00FC1F5B">
            <w:pPr>
              <w:jc w:val="right"/>
              <w:rPr>
                <w:sz w:val="16"/>
                <w:szCs w:val="16"/>
                <w:lang w:eastAsia="tr-TR"/>
              </w:rPr>
            </w:pPr>
            <w:r w:rsidRPr="00865FDA">
              <w:rPr>
                <w:sz w:val="16"/>
                <w:szCs w:val="16"/>
                <w:lang w:eastAsia="tr-TR"/>
              </w:rPr>
              <w:t>81,798</w:t>
            </w:r>
          </w:p>
        </w:tc>
        <w:tc>
          <w:tcPr>
            <w:tcW w:w="1299" w:type="dxa"/>
            <w:tcBorders>
              <w:top w:val="nil"/>
              <w:left w:val="nil"/>
              <w:bottom w:val="nil"/>
              <w:right w:val="nil"/>
            </w:tcBorders>
            <w:shd w:val="clear" w:color="auto" w:fill="auto"/>
            <w:vAlign w:val="bottom"/>
            <w:hideMark/>
          </w:tcPr>
          <w:p w14:paraId="4548B921" w14:textId="77777777" w:rsidR="00865FDA" w:rsidRPr="00865FDA" w:rsidRDefault="00865FDA" w:rsidP="00FC1F5B">
            <w:pPr>
              <w:jc w:val="right"/>
              <w:rPr>
                <w:sz w:val="16"/>
                <w:szCs w:val="16"/>
                <w:lang w:eastAsia="tr-TR"/>
              </w:rPr>
            </w:pPr>
            <w:r w:rsidRPr="00865FDA">
              <w:rPr>
                <w:sz w:val="16"/>
                <w:szCs w:val="16"/>
                <w:lang w:eastAsia="tr-TR"/>
              </w:rPr>
              <w:t>6,689,586</w:t>
            </w:r>
          </w:p>
        </w:tc>
        <w:tc>
          <w:tcPr>
            <w:tcW w:w="1299" w:type="dxa"/>
            <w:tcBorders>
              <w:top w:val="nil"/>
              <w:left w:val="nil"/>
              <w:bottom w:val="nil"/>
              <w:right w:val="nil"/>
            </w:tcBorders>
            <w:shd w:val="clear" w:color="auto" w:fill="auto"/>
            <w:vAlign w:val="bottom"/>
            <w:hideMark/>
          </w:tcPr>
          <w:p w14:paraId="11F313CA" w14:textId="77777777" w:rsidR="00865FDA" w:rsidRPr="00865FDA" w:rsidRDefault="00865FDA" w:rsidP="00FC1F5B">
            <w:pPr>
              <w:jc w:val="right"/>
              <w:rPr>
                <w:sz w:val="16"/>
                <w:szCs w:val="16"/>
                <w:lang w:eastAsia="tr-TR"/>
              </w:rPr>
            </w:pPr>
            <w:r w:rsidRPr="00865FDA">
              <w:rPr>
                <w:sz w:val="16"/>
                <w:szCs w:val="16"/>
                <w:lang w:eastAsia="tr-TR"/>
              </w:rPr>
              <w:t>7,055,315</w:t>
            </w:r>
          </w:p>
        </w:tc>
      </w:tr>
      <w:tr w:rsidR="00865FDA" w:rsidRPr="00865FDA" w14:paraId="5CA17036"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2FF5DAB" w14:textId="77777777" w:rsidR="00865FDA" w:rsidRPr="00865FDA" w:rsidRDefault="00865FDA" w:rsidP="00865FDA">
            <w:pPr>
              <w:ind w:firstLineChars="100" w:firstLine="160"/>
              <w:rPr>
                <w:sz w:val="16"/>
                <w:szCs w:val="16"/>
                <w:lang w:eastAsia="tr-TR"/>
              </w:rPr>
            </w:pPr>
            <w:r w:rsidRPr="00865FDA">
              <w:rPr>
                <w:sz w:val="16"/>
                <w:szCs w:val="16"/>
                <w:lang w:eastAsia="tr-TR"/>
              </w:rPr>
              <w:t>Para piyasalarından alacaklar</w:t>
            </w:r>
          </w:p>
        </w:tc>
        <w:tc>
          <w:tcPr>
            <w:tcW w:w="1299" w:type="dxa"/>
            <w:tcBorders>
              <w:top w:val="nil"/>
              <w:left w:val="nil"/>
              <w:bottom w:val="nil"/>
              <w:right w:val="nil"/>
            </w:tcBorders>
            <w:shd w:val="clear" w:color="auto" w:fill="auto"/>
            <w:vAlign w:val="bottom"/>
            <w:hideMark/>
          </w:tcPr>
          <w:p w14:paraId="69B9230A"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7E822021"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61178899"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5EE0441A" w14:textId="77777777" w:rsidR="00865FDA" w:rsidRPr="00865FDA" w:rsidRDefault="00865FDA" w:rsidP="00FC1F5B">
            <w:pPr>
              <w:jc w:val="right"/>
              <w:rPr>
                <w:sz w:val="16"/>
                <w:szCs w:val="16"/>
                <w:lang w:eastAsia="tr-TR"/>
              </w:rPr>
            </w:pPr>
            <w:r w:rsidRPr="00865FDA">
              <w:rPr>
                <w:sz w:val="16"/>
                <w:szCs w:val="16"/>
                <w:lang w:eastAsia="tr-TR"/>
              </w:rPr>
              <w:t>-</w:t>
            </w:r>
          </w:p>
        </w:tc>
      </w:tr>
      <w:tr w:rsidR="00865FDA" w:rsidRPr="00865FDA" w14:paraId="3FDCD40B"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385AAE7F" w14:textId="77777777" w:rsidR="00865FDA" w:rsidRPr="00865FDA" w:rsidRDefault="00865FDA" w:rsidP="00865FDA">
            <w:pPr>
              <w:ind w:firstLineChars="100" w:firstLine="160"/>
              <w:rPr>
                <w:sz w:val="16"/>
                <w:szCs w:val="16"/>
                <w:lang w:eastAsia="tr-TR"/>
              </w:rPr>
            </w:pPr>
            <w:r w:rsidRPr="00865FDA">
              <w:rPr>
                <w:sz w:val="16"/>
                <w:szCs w:val="16"/>
                <w:lang w:eastAsia="tr-TR"/>
              </w:rPr>
              <w:t>Gerçeğe uygun değer farkı diğer kapsamlı gelire yansıtılan finansal varlıklar</w:t>
            </w:r>
          </w:p>
        </w:tc>
        <w:tc>
          <w:tcPr>
            <w:tcW w:w="1299" w:type="dxa"/>
            <w:tcBorders>
              <w:top w:val="nil"/>
              <w:left w:val="nil"/>
              <w:bottom w:val="nil"/>
              <w:right w:val="nil"/>
            </w:tcBorders>
            <w:shd w:val="clear" w:color="auto" w:fill="auto"/>
            <w:vAlign w:val="bottom"/>
            <w:hideMark/>
          </w:tcPr>
          <w:p w14:paraId="09E500AD" w14:textId="77777777" w:rsidR="00865FDA" w:rsidRPr="00865FDA" w:rsidRDefault="00865FDA" w:rsidP="00FC1F5B">
            <w:pPr>
              <w:jc w:val="right"/>
              <w:rPr>
                <w:sz w:val="16"/>
                <w:szCs w:val="16"/>
                <w:lang w:eastAsia="tr-TR"/>
              </w:rPr>
            </w:pPr>
            <w:r w:rsidRPr="00865FDA">
              <w:rPr>
                <w:sz w:val="16"/>
                <w:szCs w:val="16"/>
                <w:lang w:eastAsia="tr-TR"/>
              </w:rPr>
              <w:t>2,938,407</w:t>
            </w:r>
          </w:p>
        </w:tc>
        <w:tc>
          <w:tcPr>
            <w:tcW w:w="1299" w:type="dxa"/>
            <w:tcBorders>
              <w:top w:val="nil"/>
              <w:left w:val="nil"/>
              <w:bottom w:val="nil"/>
              <w:right w:val="nil"/>
            </w:tcBorders>
            <w:shd w:val="clear" w:color="auto" w:fill="auto"/>
            <w:vAlign w:val="bottom"/>
            <w:hideMark/>
          </w:tcPr>
          <w:p w14:paraId="3157ABB7" w14:textId="77777777" w:rsidR="00865FDA" w:rsidRPr="00865FDA" w:rsidRDefault="00865FDA" w:rsidP="00FC1F5B">
            <w:pPr>
              <w:jc w:val="right"/>
              <w:rPr>
                <w:sz w:val="16"/>
                <w:szCs w:val="16"/>
                <w:lang w:eastAsia="tr-TR"/>
              </w:rPr>
            </w:pPr>
            <w:r w:rsidRPr="00865FDA">
              <w:rPr>
                <w:sz w:val="16"/>
                <w:szCs w:val="16"/>
                <w:lang w:eastAsia="tr-TR"/>
              </w:rPr>
              <w:t>5,186,227</w:t>
            </w:r>
          </w:p>
        </w:tc>
        <w:tc>
          <w:tcPr>
            <w:tcW w:w="1299" w:type="dxa"/>
            <w:tcBorders>
              <w:top w:val="nil"/>
              <w:left w:val="nil"/>
              <w:bottom w:val="nil"/>
              <w:right w:val="nil"/>
            </w:tcBorders>
            <w:shd w:val="clear" w:color="auto" w:fill="auto"/>
            <w:vAlign w:val="bottom"/>
            <w:hideMark/>
          </w:tcPr>
          <w:p w14:paraId="0B634E2C"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7BBA946B" w14:textId="77777777" w:rsidR="00865FDA" w:rsidRPr="00865FDA" w:rsidRDefault="00865FDA" w:rsidP="00FC1F5B">
            <w:pPr>
              <w:jc w:val="right"/>
              <w:rPr>
                <w:sz w:val="16"/>
                <w:szCs w:val="16"/>
                <w:lang w:eastAsia="tr-TR"/>
              </w:rPr>
            </w:pPr>
            <w:r w:rsidRPr="00865FDA">
              <w:rPr>
                <w:sz w:val="16"/>
                <w:szCs w:val="16"/>
                <w:lang w:eastAsia="tr-TR"/>
              </w:rPr>
              <w:t>8,124,634</w:t>
            </w:r>
          </w:p>
        </w:tc>
      </w:tr>
      <w:tr w:rsidR="00865FDA" w:rsidRPr="00865FDA" w14:paraId="22B1B75C"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5BF778D" w14:textId="77777777" w:rsidR="00865FDA" w:rsidRPr="00865FDA" w:rsidRDefault="00865FDA" w:rsidP="00865FDA">
            <w:pPr>
              <w:ind w:firstLineChars="100" w:firstLine="160"/>
              <w:rPr>
                <w:sz w:val="16"/>
                <w:szCs w:val="16"/>
                <w:lang w:eastAsia="tr-TR"/>
              </w:rPr>
            </w:pPr>
            <w:r w:rsidRPr="00865FDA">
              <w:rPr>
                <w:sz w:val="16"/>
                <w:szCs w:val="16"/>
                <w:lang w:eastAsia="tr-TR"/>
              </w:rPr>
              <w:t>Krediler ve kiralama işlemlerinden alacaklar (*)</w:t>
            </w:r>
          </w:p>
        </w:tc>
        <w:tc>
          <w:tcPr>
            <w:tcW w:w="1299" w:type="dxa"/>
            <w:tcBorders>
              <w:top w:val="nil"/>
              <w:left w:val="nil"/>
              <w:bottom w:val="nil"/>
              <w:right w:val="nil"/>
            </w:tcBorders>
            <w:shd w:val="clear" w:color="auto" w:fill="auto"/>
            <w:vAlign w:val="bottom"/>
            <w:hideMark/>
          </w:tcPr>
          <w:p w14:paraId="6D5A0F9F" w14:textId="77777777" w:rsidR="00865FDA" w:rsidRPr="00865FDA" w:rsidRDefault="00865FDA" w:rsidP="00FC1F5B">
            <w:pPr>
              <w:jc w:val="right"/>
              <w:rPr>
                <w:sz w:val="16"/>
                <w:szCs w:val="16"/>
                <w:lang w:eastAsia="tr-TR"/>
              </w:rPr>
            </w:pPr>
            <w:r w:rsidRPr="00865FDA">
              <w:rPr>
                <w:sz w:val="16"/>
                <w:szCs w:val="16"/>
                <w:lang w:eastAsia="tr-TR"/>
              </w:rPr>
              <w:t>10,596,910</w:t>
            </w:r>
          </w:p>
        </w:tc>
        <w:tc>
          <w:tcPr>
            <w:tcW w:w="1299" w:type="dxa"/>
            <w:tcBorders>
              <w:top w:val="nil"/>
              <w:left w:val="nil"/>
              <w:bottom w:val="nil"/>
              <w:right w:val="nil"/>
            </w:tcBorders>
            <w:shd w:val="clear" w:color="auto" w:fill="auto"/>
            <w:vAlign w:val="bottom"/>
            <w:hideMark/>
          </w:tcPr>
          <w:p w14:paraId="331637D4" w14:textId="77777777" w:rsidR="00865FDA" w:rsidRPr="00865FDA" w:rsidRDefault="00865FDA" w:rsidP="00FC1F5B">
            <w:pPr>
              <w:jc w:val="right"/>
              <w:rPr>
                <w:sz w:val="16"/>
                <w:szCs w:val="16"/>
                <w:lang w:eastAsia="tr-TR"/>
              </w:rPr>
            </w:pPr>
            <w:r w:rsidRPr="00865FDA">
              <w:rPr>
                <w:sz w:val="16"/>
                <w:szCs w:val="16"/>
                <w:lang w:eastAsia="tr-TR"/>
              </w:rPr>
              <w:t>14,941,123</w:t>
            </w:r>
          </w:p>
        </w:tc>
        <w:tc>
          <w:tcPr>
            <w:tcW w:w="1299" w:type="dxa"/>
            <w:tcBorders>
              <w:top w:val="nil"/>
              <w:left w:val="nil"/>
              <w:bottom w:val="nil"/>
              <w:right w:val="nil"/>
            </w:tcBorders>
            <w:shd w:val="clear" w:color="auto" w:fill="auto"/>
            <w:vAlign w:val="bottom"/>
            <w:hideMark/>
          </w:tcPr>
          <w:p w14:paraId="76689D99" w14:textId="77777777" w:rsidR="00865FDA" w:rsidRPr="00865FDA" w:rsidRDefault="00865FDA" w:rsidP="00FC1F5B">
            <w:pPr>
              <w:jc w:val="right"/>
              <w:rPr>
                <w:sz w:val="16"/>
                <w:szCs w:val="16"/>
                <w:lang w:eastAsia="tr-TR"/>
              </w:rPr>
            </w:pPr>
            <w:r w:rsidRPr="00865FDA">
              <w:rPr>
                <w:sz w:val="16"/>
                <w:szCs w:val="16"/>
                <w:lang w:eastAsia="tr-TR"/>
              </w:rPr>
              <w:t>132,422</w:t>
            </w:r>
          </w:p>
        </w:tc>
        <w:tc>
          <w:tcPr>
            <w:tcW w:w="1299" w:type="dxa"/>
            <w:tcBorders>
              <w:top w:val="nil"/>
              <w:left w:val="nil"/>
              <w:bottom w:val="nil"/>
              <w:right w:val="nil"/>
            </w:tcBorders>
            <w:shd w:val="clear" w:color="auto" w:fill="auto"/>
            <w:vAlign w:val="bottom"/>
            <w:hideMark/>
          </w:tcPr>
          <w:p w14:paraId="2672F1C4" w14:textId="77777777" w:rsidR="00865FDA" w:rsidRPr="00865FDA" w:rsidRDefault="00865FDA" w:rsidP="00FC1F5B">
            <w:pPr>
              <w:jc w:val="right"/>
              <w:rPr>
                <w:sz w:val="16"/>
                <w:szCs w:val="16"/>
                <w:lang w:eastAsia="tr-TR"/>
              </w:rPr>
            </w:pPr>
            <w:r w:rsidRPr="00865FDA">
              <w:rPr>
                <w:sz w:val="16"/>
                <w:szCs w:val="16"/>
                <w:lang w:eastAsia="tr-TR"/>
              </w:rPr>
              <w:t>25,670,455</w:t>
            </w:r>
          </w:p>
        </w:tc>
      </w:tr>
      <w:tr w:rsidR="00865FDA" w:rsidRPr="00865FDA" w14:paraId="6BEC310B"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6D3FF05" w14:textId="77777777" w:rsidR="00865FDA" w:rsidRPr="00865FDA" w:rsidRDefault="00865FDA" w:rsidP="00865FDA">
            <w:pPr>
              <w:ind w:firstLineChars="100" w:firstLine="160"/>
              <w:rPr>
                <w:sz w:val="16"/>
                <w:szCs w:val="16"/>
                <w:lang w:eastAsia="tr-TR"/>
              </w:rPr>
            </w:pPr>
            <w:r w:rsidRPr="00865FDA">
              <w:rPr>
                <w:sz w:val="16"/>
                <w:szCs w:val="16"/>
                <w:lang w:eastAsia="tr-TR"/>
              </w:rPr>
              <w:t>İştirak, bağlı ortaklık ve birlikte kontrol edilen ortaklıklar (iş ortaklıkları) (**)</w:t>
            </w:r>
          </w:p>
        </w:tc>
        <w:tc>
          <w:tcPr>
            <w:tcW w:w="1299" w:type="dxa"/>
            <w:tcBorders>
              <w:top w:val="nil"/>
              <w:left w:val="nil"/>
              <w:bottom w:val="nil"/>
              <w:right w:val="nil"/>
            </w:tcBorders>
            <w:shd w:val="clear" w:color="auto" w:fill="auto"/>
            <w:vAlign w:val="bottom"/>
            <w:hideMark/>
          </w:tcPr>
          <w:p w14:paraId="5DEB17F0" w14:textId="77777777" w:rsidR="00865FDA" w:rsidRPr="00865FDA" w:rsidRDefault="00865FDA" w:rsidP="00FC1F5B">
            <w:pPr>
              <w:jc w:val="right"/>
              <w:rPr>
                <w:sz w:val="16"/>
                <w:szCs w:val="16"/>
                <w:lang w:eastAsia="tr-TR"/>
              </w:rPr>
            </w:pPr>
            <w:r w:rsidRPr="00865FDA">
              <w:rPr>
                <w:sz w:val="16"/>
                <w:szCs w:val="16"/>
                <w:lang w:eastAsia="tr-TR"/>
              </w:rPr>
              <w:t>610,120</w:t>
            </w:r>
          </w:p>
        </w:tc>
        <w:tc>
          <w:tcPr>
            <w:tcW w:w="1299" w:type="dxa"/>
            <w:tcBorders>
              <w:top w:val="nil"/>
              <w:left w:val="nil"/>
              <w:bottom w:val="nil"/>
              <w:right w:val="nil"/>
            </w:tcBorders>
            <w:shd w:val="clear" w:color="auto" w:fill="auto"/>
            <w:vAlign w:val="bottom"/>
            <w:hideMark/>
          </w:tcPr>
          <w:p w14:paraId="1F024A13"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35E0865B"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018F2788" w14:textId="77777777" w:rsidR="00865FDA" w:rsidRPr="00865FDA" w:rsidRDefault="00865FDA" w:rsidP="00FC1F5B">
            <w:pPr>
              <w:jc w:val="right"/>
              <w:rPr>
                <w:sz w:val="16"/>
                <w:szCs w:val="16"/>
                <w:lang w:eastAsia="tr-TR"/>
              </w:rPr>
            </w:pPr>
            <w:r w:rsidRPr="00865FDA">
              <w:rPr>
                <w:sz w:val="16"/>
                <w:szCs w:val="16"/>
                <w:lang w:eastAsia="tr-TR"/>
              </w:rPr>
              <w:t>610,120</w:t>
            </w:r>
          </w:p>
        </w:tc>
      </w:tr>
      <w:tr w:rsidR="00865FDA" w:rsidRPr="00865FDA" w14:paraId="3CEBD58F"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5F226C61" w14:textId="77777777" w:rsidR="00865FDA" w:rsidRPr="00865FDA" w:rsidRDefault="00865FDA" w:rsidP="00865FDA">
            <w:pPr>
              <w:ind w:firstLineChars="100" w:firstLine="160"/>
              <w:rPr>
                <w:sz w:val="16"/>
                <w:szCs w:val="16"/>
                <w:lang w:eastAsia="tr-TR"/>
              </w:rPr>
            </w:pPr>
            <w:r w:rsidRPr="00865FDA">
              <w:rPr>
                <w:sz w:val="16"/>
                <w:szCs w:val="16"/>
                <w:lang w:eastAsia="tr-TR"/>
              </w:rPr>
              <w:t>İtfa edilmiş maliyeti ile ölçülen finansal varlıklar</w:t>
            </w:r>
          </w:p>
        </w:tc>
        <w:tc>
          <w:tcPr>
            <w:tcW w:w="1299" w:type="dxa"/>
            <w:tcBorders>
              <w:top w:val="nil"/>
              <w:left w:val="nil"/>
              <w:bottom w:val="nil"/>
              <w:right w:val="nil"/>
            </w:tcBorders>
            <w:shd w:val="clear" w:color="auto" w:fill="auto"/>
            <w:vAlign w:val="bottom"/>
            <w:hideMark/>
          </w:tcPr>
          <w:p w14:paraId="46A4B482" w14:textId="77777777" w:rsidR="00865FDA" w:rsidRPr="00865FDA" w:rsidRDefault="00865FDA" w:rsidP="00FC1F5B">
            <w:pPr>
              <w:jc w:val="right"/>
              <w:rPr>
                <w:sz w:val="16"/>
                <w:szCs w:val="16"/>
                <w:lang w:eastAsia="tr-TR"/>
              </w:rPr>
            </w:pPr>
            <w:r w:rsidRPr="00865FDA">
              <w:rPr>
                <w:sz w:val="16"/>
                <w:szCs w:val="16"/>
                <w:lang w:eastAsia="tr-TR"/>
              </w:rPr>
              <w:t>3,656,286</w:t>
            </w:r>
          </w:p>
        </w:tc>
        <w:tc>
          <w:tcPr>
            <w:tcW w:w="1299" w:type="dxa"/>
            <w:tcBorders>
              <w:top w:val="nil"/>
              <w:left w:val="nil"/>
              <w:bottom w:val="nil"/>
              <w:right w:val="nil"/>
            </w:tcBorders>
            <w:shd w:val="clear" w:color="auto" w:fill="auto"/>
            <w:vAlign w:val="bottom"/>
            <w:hideMark/>
          </w:tcPr>
          <w:p w14:paraId="37ADAEF3" w14:textId="77777777" w:rsidR="00865FDA" w:rsidRPr="00865FDA" w:rsidRDefault="00865FDA" w:rsidP="00FC1F5B">
            <w:pPr>
              <w:jc w:val="right"/>
              <w:rPr>
                <w:sz w:val="16"/>
                <w:szCs w:val="16"/>
                <w:lang w:eastAsia="tr-TR"/>
              </w:rPr>
            </w:pPr>
            <w:r w:rsidRPr="00865FDA">
              <w:rPr>
                <w:sz w:val="16"/>
                <w:szCs w:val="16"/>
                <w:lang w:eastAsia="tr-TR"/>
              </w:rPr>
              <w:t>2,342,895</w:t>
            </w:r>
          </w:p>
        </w:tc>
        <w:tc>
          <w:tcPr>
            <w:tcW w:w="1299" w:type="dxa"/>
            <w:tcBorders>
              <w:top w:val="nil"/>
              <w:left w:val="nil"/>
              <w:bottom w:val="nil"/>
              <w:right w:val="nil"/>
            </w:tcBorders>
            <w:shd w:val="clear" w:color="auto" w:fill="auto"/>
            <w:vAlign w:val="bottom"/>
            <w:hideMark/>
          </w:tcPr>
          <w:p w14:paraId="1D1D844F"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106990FC" w14:textId="77777777" w:rsidR="00865FDA" w:rsidRPr="00865FDA" w:rsidRDefault="00865FDA" w:rsidP="00FC1F5B">
            <w:pPr>
              <w:jc w:val="right"/>
              <w:rPr>
                <w:sz w:val="16"/>
                <w:szCs w:val="16"/>
                <w:lang w:eastAsia="tr-TR"/>
              </w:rPr>
            </w:pPr>
            <w:r w:rsidRPr="00865FDA">
              <w:rPr>
                <w:sz w:val="16"/>
                <w:szCs w:val="16"/>
                <w:lang w:eastAsia="tr-TR"/>
              </w:rPr>
              <w:t>5,999,181</w:t>
            </w:r>
          </w:p>
        </w:tc>
      </w:tr>
      <w:tr w:rsidR="00865FDA" w:rsidRPr="00865FDA" w14:paraId="2465F5CC"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3E6CA9C3" w14:textId="77777777" w:rsidR="00865FDA" w:rsidRPr="00865FDA" w:rsidRDefault="00865FDA" w:rsidP="00865FDA">
            <w:pPr>
              <w:ind w:firstLineChars="100" w:firstLine="160"/>
              <w:rPr>
                <w:sz w:val="16"/>
                <w:szCs w:val="16"/>
                <w:lang w:eastAsia="tr-TR"/>
              </w:rPr>
            </w:pPr>
            <w:r w:rsidRPr="00865FDA">
              <w:rPr>
                <w:sz w:val="16"/>
                <w:szCs w:val="16"/>
                <w:lang w:eastAsia="tr-TR"/>
              </w:rPr>
              <w:t>Riskten korunma amaçlı türev finansal varlıklar</w:t>
            </w:r>
          </w:p>
        </w:tc>
        <w:tc>
          <w:tcPr>
            <w:tcW w:w="1299" w:type="dxa"/>
            <w:tcBorders>
              <w:top w:val="nil"/>
              <w:left w:val="nil"/>
              <w:bottom w:val="nil"/>
              <w:right w:val="nil"/>
            </w:tcBorders>
            <w:shd w:val="clear" w:color="auto" w:fill="auto"/>
            <w:vAlign w:val="bottom"/>
            <w:hideMark/>
          </w:tcPr>
          <w:p w14:paraId="69B97D5F"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0C0B960F"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33886A2F"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135E5169" w14:textId="77777777" w:rsidR="00865FDA" w:rsidRPr="00865FDA" w:rsidRDefault="00865FDA" w:rsidP="00FC1F5B">
            <w:pPr>
              <w:jc w:val="right"/>
              <w:rPr>
                <w:sz w:val="16"/>
                <w:szCs w:val="16"/>
                <w:lang w:eastAsia="tr-TR"/>
              </w:rPr>
            </w:pPr>
            <w:r w:rsidRPr="00865FDA">
              <w:rPr>
                <w:sz w:val="16"/>
                <w:szCs w:val="16"/>
                <w:lang w:eastAsia="tr-TR"/>
              </w:rPr>
              <w:t>-</w:t>
            </w:r>
          </w:p>
        </w:tc>
      </w:tr>
      <w:tr w:rsidR="00865FDA" w:rsidRPr="00865FDA" w14:paraId="5E2A47DF"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769365FA" w14:textId="77777777" w:rsidR="00865FDA" w:rsidRPr="00865FDA" w:rsidRDefault="00865FDA" w:rsidP="00865FDA">
            <w:pPr>
              <w:ind w:firstLineChars="100" w:firstLine="160"/>
              <w:rPr>
                <w:sz w:val="16"/>
                <w:szCs w:val="16"/>
                <w:lang w:eastAsia="tr-TR"/>
              </w:rPr>
            </w:pPr>
            <w:r w:rsidRPr="00865FDA">
              <w:rPr>
                <w:sz w:val="16"/>
                <w:szCs w:val="16"/>
                <w:lang w:eastAsia="tr-TR"/>
              </w:rPr>
              <w:t>Maddi Duran Varlıklar</w:t>
            </w:r>
          </w:p>
        </w:tc>
        <w:tc>
          <w:tcPr>
            <w:tcW w:w="1299" w:type="dxa"/>
            <w:tcBorders>
              <w:top w:val="nil"/>
              <w:left w:val="nil"/>
              <w:bottom w:val="nil"/>
              <w:right w:val="nil"/>
            </w:tcBorders>
            <w:shd w:val="clear" w:color="auto" w:fill="auto"/>
            <w:vAlign w:val="bottom"/>
            <w:hideMark/>
          </w:tcPr>
          <w:p w14:paraId="0FBC23FB"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3FBD06E9" w14:textId="77777777" w:rsidR="00865FDA" w:rsidRPr="00865FDA" w:rsidRDefault="00865FDA" w:rsidP="00FC1F5B">
            <w:pPr>
              <w:jc w:val="right"/>
              <w:rPr>
                <w:sz w:val="16"/>
                <w:szCs w:val="16"/>
                <w:lang w:eastAsia="tr-TR"/>
              </w:rPr>
            </w:pPr>
            <w:r w:rsidRPr="00865FDA">
              <w:rPr>
                <w:sz w:val="16"/>
                <w:szCs w:val="16"/>
                <w:lang w:eastAsia="tr-TR"/>
              </w:rPr>
              <w:t>1,325</w:t>
            </w:r>
          </w:p>
        </w:tc>
        <w:tc>
          <w:tcPr>
            <w:tcW w:w="1299" w:type="dxa"/>
            <w:tcBorders>
              <w:top w:val="nil"/>
              <w:left w:val="nil"/>
              <w:bottom w:val="nil"/>
              <w:right w:val="nil"/>
            </w:tcBorders>
            <w:shd w:val="clear" w:color="auto" w:fill="auto"/>
            <w:vAlign w:val="bottom"/>
            <w:hideMark/>
          </w:tcPr>
          <w:p w14:paraId="51BEF15C"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253E32A9" w14:textId="77777777" w:rsidR="00865FDA" w:rsidRPr="00865FDA" w:rsidRDefault="00865FDA" w:rsidP="00FC1F5B">
            <w:pPr>
              <w:jc w:val="right"/>
              <w:rPr>
                <w:sz w:val="16"/>
                <w:szCs w:val="16"/>
                <w:lang w:eastAsia="tr-TR"/>
              </w:rPr>
            </w:pPr>
            <w:r w:rsidRPr="00865FDA">
              <w:rPr>
                <w:sz w:val="16"/>
                <w:szCs w:val="16"/>
                <w:lang w:eastAsia="tr-TR"/>
              </w:rPr>
              <w:t>1,325</w:t>
            </w:r>
          </w:p>
        </w:tc>
      </w:tr>
      <w:tr w:rsidR="00865FDA" w:rsidRPr="00865FDA" w14:paraId="45AAD755"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71424FC" w14:textId="77777777" w:rsidR="00865FDA" w:rsidRPr="00865FDA" w:rsidRDefault="00865FDA" w:rsidP="00865FDA">
            <w:pPr>
              <w:ind w:firstLineChars="100" w:firstLine="160"/>
              <w:rPr>
                <w:sz w:val="16"/>
                <w:szCs w:val="16"/>
                <w:lang w:eastAsia="tr-TR"/>
              </w:rPr>
            </w:pPr>
            <w:r w:rsidRPr="00865FDA">
              <w:rPr>
                <w:sz w:val="16"/>
                <w:szCs w:val="16"/>
                <w:lang w:eastAsia="tr-TR"/>
              </w:rPr>
              <w:t>Maddi Olmayan Duran Varlıklar</w:t>
            </w:r>
          </w:p>
        </w:tc>
        <w:tc>
          <w:tcPr>
            <w:tcW w:w="1299" w:type="dxa"/>
            <w:tcBorders>
              <w:top w:val="nil"/>
              <w:left w:val="nil"/>
              <w:bottom w:val="nil"/>
              <w:right w:val="nil"/>
            </w:tcBorders>
            <w:shd w:val="clear" w:color="auto" w:fill="auto"/>
            <w:vAlign w:val="bottom"/>
            <w:hideMark/>
          </w:tcPr>
          <w:p w14:paraId="7ADB8B65"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537F9634" w14:textId="77777777" w:rsidR="00865FDA" w:rsidRPr="00865FDA" w:rsidRDefault="00865FDA" w:rsidP="00FC1F5B">
            <w:pPr>
              <w:jc w:val="right"/>
              <w:rPr>
                <w:sz w:val="16"/>
                <w:szCs w:val="16"/>
                <w:lang w:eastAsia="tr-TR"/>
              </w:rPr>
            </w:pPr>
            <w:r w:rsidRPr="00865FDA">
              <w:rPr>
                <w:sz w:val="16"/>
                <w:szCs w:val="16"/>
                <w:lang w:eastAsia="tr-TR"/>
              </w:rPr>
              <w:t>3</w:t>
            </w:r>
          </w:p>
        </w:tc>
        <w:tc>
          <w:tcPr>
            <w:tcW w:w="1299" w:type="dxa"/>
            <w:tcBorders>
              <w:top w:val="nil"/>
              <w:left w:val="nil"/>
              <w:bottom w:val="nil"/>
              <w:right w:val="nil"/>
            </w:tcBorders>
            <w:shd w:val="clear" w:color="auto" w:fill="auto"/>
            <w:vAlign w:val="bottom"/>
            <w:hideMark/>
          </w:tcPr>
          <w:p w14:paraId="60B2341D"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2F86139A" w14:textId="77777777" w:rsidR="00865FDA" w:rsidRPr="00865FDA" w:rsidRDefault="00865FDA" w:rsidP="00FC1F5B">
            <w:pPr>
              <w:jc w:val="right"/>
              <w:rPr>
                <w:sz w:val="16"/>
                <w:szCs w:val="16"/>
                <w:lang w:eastAsia="tr-TR"/>
              </w:rPr>
            </w:pPr>
            <w:r w:rsidRPr="00865FDA">
              <w:rPr>
                <w:sz w:val="16"/>
                <w:szCs w:val="16"/>
                <w:lang w:eastAsia="tr-TR"/>
              </w:rPr>
              <w:t>3</w:t>
            </w:r>
          </w:p>
        </w:tc>
      </w:tr>
      <w:tr w:rsidR="00865FDA" w:rsidRPr="00865FDA" w14:paraId="3420790F"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4613B04B" w14:textId="77777777" w:rsidR="00865FDA" w:rsidRPr="00865FDA" w:rsidRDefault="00865FDA" w:rsidP="00865FDA">
            <w:pPr>
              <w:ind w:firstLineChars="100" w:firstLine="160"/>
              <w:rPr>
                <w:sz w:val="16"/>
                <w:szCs w:val="16"/>
                <w:lang w:eastAsia="tr-TR"/>
              </w:rPr>
            </w:pPr>
            <w:r w:rsidRPr="00865FDA">
              <w:rPr>
                <w:sz w:val="16"/>
                <w:szCs w:val="16"/>
                <w:lang w:eastAsia="tr-TR"/>
              </w:rPr>
              <w:t xml:space="preserve">Diğer Varlıklar </w:t>
            </w:r>
          </w:p>
        </w:tc>
        <w:tc>
          <w:tcPr>
            <w:tcW w:w="1299" w:type="dxa"/>
            <w:tcBorders>
              <w:top w:val="nil"/>
              <w:left w:val="nil"/>
              <w:bottom w:val="nil"/>
              <w:right w:val="nil"/>
            </w:tcBorders>
            <w:shd w:val="clear" w:color="auto" w:fill="auto"/>
            <w:vAlign w:val="bottom"/>
            <w:hideMark/>
          </w:tcPr>
          <w:p w14:paraId="7C5F13F8" w14:textId="77777777" w:rsidR="00865FDA" w:rsidRPr="00865FDA" w:rsidRDefault="00865FDA" w:rsidP="00FC1F5B">
            <w:pPr>
              <w:jc w:val="right"/>
              <w:rPr>
                <w:sz w:val="16"/>
                <w:szCs w:val="16"/>
                <w:lang w:eastAsia="tr-TR"/>
              </w:rPr>
            </w:pPr>
            <w:r w:rsidRPr="00865FDA">
              <w:rPr>
                <w:sz w:val="16"/>
                <w:szCs w:val="16"/>
                <w:lang w:eastAsia="tr-TR"/>
              </w:rPr>
              <w:t>19,005</w:t>
            </w:r>
          </w:p>
        </w:tc>
        <w:tc>
          <w:tcPr>
            <w:tcW w:w="1299" w:type="dxa"/>
            <w:tcBorders>
              <w:top w:val="nil"/>
              <w:left w:val="nil"/>
              <w:bottom w:val="nil"/>
              <w:right w:val="nil"/>
            </w:tcBorders>
            <w:shd w:val="clear" w:color="auto" w:fill="auto"/>
            <w:vAlign w:val="bottom"/>
            <w:hideMark/>
          </w:tcPr>
          <w:p w14:paraId="668E126B" w14:textId="77777777" w:rsidR="00865FDA" w:rsidRPr="00865FDA" w:rsidRDefault="00865FDA" w:rsidP="00FC1F5B">
            <w:pPr>
              <w:jc w:val="right"/>
              <w:rPr>
                <w:sz w:val="16"/>
                <w:szCs w:val="16"/>
                <w:lang w:eastAsia="tr-TR"/>
              </w:rPr>
            </w:pPr>
            <w:r w:rsidRPr="00865FDA">
              <w:rPr>
                <w:sz w:val="16"/>
                <w:szCs w:val="16"/>
                <w:lang w:eastAsia="tr-TR"/>
              </w:rPr>
              <w:t>208,407</w:t>
            </w:r>
          </w:p>
        </w:tc>
        <w:tc>
          <w:tcPr>
            <w:tcW w:w="1299" w:type="dxa"/>
            <w:tcBorders>
              <w:top w:val="nil"/>
              <w:left w:val="nil"/>
              <w:bottom w:val="nil"/>
              <w:right w:val="nil"/>
            </w:tcBorders>
            <w:shd w:val="clear" w:color="auto" w:fill="auto"/>
            <w:vAlign w:val="bottom"/>
            <w:hideMark/>
          </w:tcPr>
          <w:p w14:paraId="7365807D" w14:textId="77777777" w:rsidR="00865FDA" w:rsidRPr="00865FDA" w:rsidRDefault="00865FDA" w:rsidP="00FC1F5B">
            <w:pPr>
              <w:jc w:val="right"/>
              <w:rPr>
                <w:sz w:val="16"/>
                <w:szCs w:val="16"/>
                <w:lang w:eastAsia="tr-TR"/>
              </w:rPr>
            </w:pPr>
            <w:r w:rsidRPr="00865FDA">
              <w:rPr>
                <w:sz w:val="16"/>
                <w:szCs w:val="16"/>
                <w:lang w:eastAsia="tr-TR"/>
              </w:rPr>
              <w:t>84,886</w:t>
            </w:r>
          </w:p>
        </w:tc>
        <w:tc>
          <w:tcPr>
            <w:tcW w:w="1299" w:type="dxa"/>
            <w:tcBorders>
              <w:top w:val="nil"/>
              <w:left w:val="nil"/>
              <w:bottom w:val="nil"/>
              <w:right w:val="nil"/>
            </w:tcBorders>
            <w:shd w:val="clear" w:color="auto" w:fill="auto"/>
            <w:vAlign w:val="bottom"/>
            <w:hideMark/>
          </w:tcPr>
          <w:p w14:paraId="17FF31A6" w14:textId="77777777" w:rsidR="00865FDA" w:rsidRPr="00865FDA" w:rsidRDefault="00865FDA" w:rsidP="00FC1F5B">
            <w:pPr>
              <w:jc w:val="right"/>
              <w:rPr>
                <w:sz w:val="16"/>
                <w:szCs w:val="16"/>
                <w:lang w:eastAsia="tr-TR"/>
              </w:rPr>
            </w:pPr>
            <w:r w:rsidRPr="00865FDA">
              <w:rPr>
                <w:sz w:val="16"/>
                <w:szCs w:val="16"/>
                <w:lang w:eastAsia="tr-TR"/>
              </w:rPr>
              <w:t>312,298</w:t>
            </w:r>
          </w:p>
        </w:tc>
      </w:tr>
      <w:tr w:rsidR="00865FDA" w:rsidRPr="00865FDA" w14:paraId="7FCD0DB0" w14:textId="77777777" w:rsidTr="00FC1F5B">
        <w:trPr>
          <w:divId w:val="858160741"/>
          <w:trHeight w:val="213"/>
        </w:trPr>
        <w:tc>
          <w:tcPr>
            <w:tcW w:w="4253" w:type="dxa"/>
            <w:tcBorders>
              <w:top w:val="single" w:sz="4" w:space="0" w:color="auto"/>
              <w:left w:val="nil"/>
              <w:bottom w:val="single" w:sz="4" w:space="0" w:color="auto"/>
              <w:right w:val="nil"/>
            </w:tcBorders>
            <w:shd w:val="clear" w:color="auto" w:fill="auto"/>
            <w:vAlign w:val="center"/>
            <w:hideMark/>
          </w:tcPr>
          <w:p w14:paraId="5CD1006D" w14:textId="77777777" w:rsidR="00865FDA" w:rsidRPr="00865FDA" w:rsidRDefault="00865FDA" w:rsidP="00865FDA">
            <w:pPr>
              <w:rPr>
                <w:b/>
                <w:bCs/>
                <w:sz w:val="18"/>
                <w:szCs w:val="18"/>
                <w:lang w:eastAsia="tr-TR"/>
              </w:rPr>
            </w:pPr>
            <w:r w:rsidRPr="00865FDA">
              <w:rPr>
                <w:b/>
                <w:bCs/>
                <w:sz w:val="18"/>
                <w:szCs w:val="18"/>
                <w:lang w:eastAsia="tr-TR"/>
              </w:rPr>
              <w:t>Toplam Varlıklar</w:t>
            </w:r>
          </w:p>
        </w:tc>
        <w:tc>
          <w:tcPr>
            <w:tcW w:w="1299" w:type="dxa"/>
            <w:tcBorders>
              <w:top w:val="single" w:sz="4" w:space="0" w:color="auto"/>
              <w:left w:val="nil"/>
              <w:bottom w:val="single" w:sz="4" w:space="0" w:color="auto"/>
              <w:right w:val="nil"/>
            </w:tcBorders>
            <w:shd w:val="clear" w:color="auto" w:fill="auto"/>
            <w:vAlign w:val="bottom"/>
            <w:hideMark/>
          </w:tcPr>
          <w:p w14:paraId="590A367B" w14:textId="77777777" w:rsidR="00865FDA" w:rsidRPr="00865FDA" w:rsidRDefault="00865FDA" w:rsidP="00FC1F5B">
            <w:pPr>
              <w:jc w:val="right"/>
              <w:rPr>
                <w:b/>
                <w:bCs/>
                <w:sz w:val="16"/>
                <w:szCs w:val="16"/>
                <w:lang w:eastAsia="tr-TR"/>
              </w:rPr>
            </w:pPr>
            <w:r w:rsidRPr="00865FDA">
              <w:rPr>
                <w:b/>
                <w:bCs/>
                <w:sz w:val="16"/>
                <w:szCs w:val="16"/>
                <w:lang w:eastAsia="tr-TR"/>
              </w:rPr>
              <w:t>24,975,964</w:t>
            </w:r>
          </w:p>
        </w:tc>
        <w:tc>
          <w:tcPr>
            <w:tcW w:w="1299" w:type="dxa"/>
            <w:tcBorders>
              <w:top w:val="single" w:sz="4" w:space="0" w:color="auto"/>
              <w:left w:val="nil"/>
              <w:bottom w:val="single" w:sz="4" w:space="0" w:color="auto"/>
              <w:right w:val="nil"/>
            </w:tcBorders>
            <w:shd w:val="clear" w:color="auto" w:fill="auto"/>
            <w:vAlign w:val="bottom"/>
            <w:hideMark/>
          </w:tcPr>
          <w:p w14:paraId="77D8E133" w14:textId="77777777" w:rsidR="00865FDA" w:rsidRPr="00865FDA" w:rsidRDefault="00865FDA" w:rsidP="00FC1F5B">
            <w:pPr>
              <w:jc w:val="right"/>
              <w:rPr>
                <w:b/>
                <w:bCs/>
                <w:sz w:val="16"/>
                <w:szCs w:val="16"/>
                <w:lang w:eastAsia="tr-TR"/>
              </w:rPr>
            </w:pPr>
            <w:r w:rsidRPr="00865FDA">
              <w:rPr>
                <w:b/>
                <w:bCs/>
                <w:sz w:val="16"/>
                <w:szCs w:val="16"/>
                <w:lang w:eastAsia="tr-TR"/>
              </w:rPr>
              <w:t>31,362,124</w:t>
            </w:r>
          </w:p>
        </w:tc>
        <w:tc>
          <w:tcPr>
            <w:tcW w:w="1299" w:type="dxa"/>
            <w:tcBorders>
              <w:top w:val="single" w:sz="4" w:space="0" w:color="auto"/>
              <w:left w:val="nil"/>
              <w:bottom w:val="single" w:sz="4" w:space="0" w:color="auto"/>
              <w:right w:val="nil"/>
            </w:tcBorders>
            <w:shd w:val="clear" w:color="auto" w:fill="auto"/>
            <w:vAlign w:val="bottom"/>
            <w:hideMark/>
          </w:tcPr>
          <w:p w14:paraId="56445D88" w14:textId="77777777" w:rsidR="00865FDA" w:rsidRPr="00865FDA" w:rsidRDefault="00865FDA" w:rsidP="00FC1F5B">
            <w:pPr>
              <w:jc w:val="right"/>
              <w:rPr>
                <w:b/>
                <w:bCs/>
                <w:sz w:val="16"/>
                <w:szCs w:val="16"/>
                <w:lang w:eastAsia="tr-TR"/>
              </w:rPr>
            </w:pPr>
            <w:r w:rsidRPr="00865FDA">
              <w:rPr>
                <w:b/>
                <w:bCs/>
                <w:sz w:val="16"/>
                <w:szCs w:val="16"/>
                <w:lang w:eastAsia="tr-TR"/>
              </w:rPr>
              <w:t>16,100,956</w:t>
            </w:r>
          </w:p>
        </w:tc>
        <w:tc>
          <w:tcPr>
            <w:tcW w:w="1299" w:type="dxa"/>
            <w:tcBorders>
              <w:top w:val="single" w:sz="4" w:space="0" w:color="auto"/>
              <w:left w:val="nil"/>
              <w:bottom w:val="single" w:sz="4" w:space="0" w:color="auto"/>
              <w:right w:val="nil"/>
            </w:tcBorders>
            <w:shd w:val="clear" w:color="auto" w:fill="auto"/>
            <w:vAlign w:val="bottom"/>
            <w:hideMark/>
          </w:tcPr>
          <w:p w14:paraId="17C51BED" w14:textId="77777777" w:rsidR="00865FDA" w:rsidRPr="00865FDA" w:rsidRDefault="00865FDA" w:rsidP="00FC1F5B">
            <w:pPr>
              <w:jc w:val="right"/>
              <w:rPr>
                <w:b/>
                <w:bCs/>
                <w:sz w:val="16"/>
                <w:szCs w:val="16"/>
                <w:lang w:eastAsia="tr-TR"/>
              </w:rPr>
            </w:pPr>
            <w:r w:rsidRPr="00865FDA">
              <w:rPr>
                <w:b/>
                <w:bCs/>
                <w:sz w:val="16"/>
                <w:szCs w:val="16"/>
                <w:lang w:eastAsia="tr-TR"/>
              </w:rPr>
              <w:t>72,439,044</w:t>
            </w:r>
          </w:p>
        </w:tc>
      </w:tr>
      <w:tr w:rsidR="00865FDA" w:rsidRPr="00865FDA" w14:paraId="012F92DA"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78931AC9" w14:textId="77777777" w:rsidR="00865FDA" w:rsidRPr="00865FDA" w:rsidRDefault="00865FDA" w:rsidP="00865FDA">
            <w:pPr>
              <w:rPr>
                <w:b/>
                <w:bCs/>
                <w:sz w:val="16"/>
                <w:szCs w:val="16"/>
                <w:lang w:eastAsia="tr-TR"/>
              </w:rPr>
            </w:pPr>
          </w:p>
        </w:tc>
        <w:tc>
          <w:tcPr>
            <w:tcW w:w="1299" w:type="dxa"/>
            <w:tcBorders>
              <w:top w:val="nil"/>
              <w:left w:val="nil"/>
              <w:bottom w:val="nil"/>
              <w:right w:val="nil"/>
            </w:tcBorders>
            <w:shd w:val="clear" w:color="auto" w:fill="auto"/>
            <w:vAlign w:val="bottom"/>
            <w:hideMark/>
          </w:tcPr>
          <w:p w14:paraId="3E7788FB"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0ACED7AF"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3C350787"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596E8D4C" w14:textId="77777777" w:rsidR="00865FDA" w:rsidRPr="00865FDA" w:rsidRDefault="00865FDA" w:rsidP="00FC1F5B">
            <w:pPr>
              <w:jc w:val="right"/>
              <w:rPr>
                <w:lang w:eastAsia="tr-TR"/>
              </w:rPr>
            </w:pPr>
          </w:p>
        </w:tc>
      </w:tr>
      <w:tr w:rsidR="00865FDA" w:rsidRPr="00865FDA" w14:paraId="796B2B34"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9215A70" w14:textId="77777777" w:rsidR="00865FDA" w:rsidRPr="00865FDA" w:rsidRDefault="00865FDA" w:rsidP="00865FDA">
            <w:pPr>
              <w:rPr>
                <w:sz w:val="16"/>
                <w:szCs w:val="16"/>
                <w:lang w:eastAsia="tr-TR"/>
              </w:rPr>
            </w:pPr>
            <w:r w:rsidRPr="00865FDA">
              <w:rPr>
                <w:sz w:val="16"/>
                <w:szCs w:val="16"/>
                <w:lang w:eastAsia="tr-TR"/>
              </w:rPr>
              <w:t>Yükümlülükler</w:t>
            </w:r>
          </w:p>
        </w:tc>
        <w:tc>
          <w:tcPr>
            <w:tcW w:w="1299" w:type="dxa"/>
            <w:tcBorders>
              <w:top w:val="nil"/>
              <w:left w:val="nil"/>
              <w:bottom w:val="nil"/>
              <w:right w:val="nil"/>
            </w:tcBorders>
            <w:shd w:val="clear" w:color="auto" w:fill="auto"/>
            <w:vAlign w:val="bottom"/>
            <w:hideMark/>
          </w:tcPr>
          <w:p w14:paraId="2F9738BB" w14:textId="77777777" w:rsidR="00865FDA" w:rsidRPr="00865FDA" w:rsidRDefault="00865FDA" w:rsidP="00FC1F5B">
            <w:pPr>
              <w:jc w:val="right"/>
              <w:rPr>
                <w:sz w:val="16"/>
                <w:szCs w:val="16"/>
                <w:lang w:eastAsia="tr-TR"/>
              </w:rPr>
            </w:pPr>
          </w:p>
        </w:tc>
        <w:tc>
          <w:tcPr>
            <w:tcW w:w="1299" w:type="dxa"/>
            <w:tcBorders>
              <w:top w:val="nil"/>
              <w:left w:val="nil"/>
              <w:bottom w:val="nil"/>
              <w:right w:val="nil"/>
            </w:tcBorders>
            <w:shd w:val="clear" w:color="auto" w:fill="auto"/>
            <w:vAlign w:val="bottom"/>
            <w:hideMark/>
          </w:tcPr>
          <w:p w14:paraId="57682C32"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52745C95"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55109D30" w14:textId="77777777" w:rsidR="00865FDA" w:rsidRPr="00865FDA" w:rsidRDefault="00865FDA" w:rsidP="00FC1F5B">
            <w:pPr>
              <w:jc w:val="right"/>
              <w:rPr>
                <w:lang w:eastAsia="tr-TR"/>
              </w:rPr>
            </w:pPr>
          </w:p>
        </w:tc>
      </w:tr>
      <w:tr w:rsidR="00865FDA" w:rsidRPr="00865FDA" w14:paraId="43726271"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F6551E5" w14:textId="77777777" w:rsidR="00865FDA" w:rsidRPr="00865FDA" w:rsidRDefault="00865FDA" w:rsidP="00865FDA">
            <w:pPr>
              <w:ind w:firstLineChars="100" w:firstLine="160"/>
              <w:rPr>
                <w:sz w:val="16"/>
                <w:szCs w:val="16"/>
                <w:lang w:eastAsia="tr-TR"/>
              </w:rPr>
            </w:pPr>
            <w:r w:rsidRPr="00865FDA">
              <w:rPr>
                <w:sz w:val="16"/>
                <w:szCs w:val="16"/>
                <w:lang w:eastAsia="tr-TR"/>
              </w:rPr>
              <w:t>Özel cari hesap ve katılma hesapları aracılığı ile bankalardan toplanan fonlar</w:t>
            </w:r>
          </w:p>
        </w:tc>
        <w:tc>
          <w:tcPr>
            <w:tcW w:w="1299" w:type="dxa"/>
            <w:tcBorders>
              <w:top w:val="nil"/>
              <w:left w:val="nil"/>
              <w:bottom w:val="nil"/>
              <w:right w:val="nil"/>
            </w:tcBorders>
            <w:shd w:val="clear" w:color="auto" w:fill="auto"/>
            <w:vAlign w:val="bottom"/>
            <w:hideMark/>
          </w:tcPr>
          <w:p w14:paraId="0D03762B" w14:textId="77777777" w:rsidR="00865FDA" w:rsidRPr="00865FDA" w:rsidRDefault="00865FDA" w:rsidP="00FC1F5B">
            <w:pPr>
              <w:jc w:val="right"/>
              <w:rPr>
                <w:sz w:val="16"/>
                <w:szCs w:val="16"/>
                <w:lang w:eastAsia="tr-TR"/>
              </w:rPr>
            </w:pPr>
            <w:r w:rsidRPr="00865FDA">
              <w:rPr>
                <w:sz w:val="16"/>
                <w:szCs w:val="16"/>
                <w:lang w:eastAsia="tr-TR"/>
              </w:rPr>
              <w:t>10,352</w:t>
            </w:r>
          </w:p>
        </w:tc>
        <w:tc>
          <w:tcPr>
            <w:tcW w:w="1299" w:type="dxa"/>
            <w:tcBorders>
              <w:top w:val="nil"/>
              <w:left w:val="nil"/>
              <w:bottom w:val="nil"/>
              <w:right w:val="nil"/>
            </w:tcBorders>
            <w:shd w:val="clear" w:color="auto" w:fill="auto"/>
            <w:vAlign w:val="bottom"/>
            <w:hideMark/>
          </w:tcPr>
          <w:p w14:paraId="58D8F708" w14:textId="77777777" w:rsidR="00865FDA" w:rsidRPr="00865FDA" w:rsidRDefault="00865FDA" w:rsidP="00FC1F5B">
            <w:pPr>
              <w:jc w:val="right"/>
              <w:rPr>
                <w:sz w:val="16"/>
                <w:szCs w:val="16"/>
                <w:lang w:eastAsia="tr-TR"/>
              </w:rPr>
            </w:pPr>
            <w:r w:rsidRPr="00865FDA">
              <w:rPr>
                <w:sz w:val="16"/>
                <w:szCs w:val="16"/>
                <w:lang w:eastAsia="tr-TR"/>
              </w:rPr>
              <w:t>242,528</w:t>
            </w:r>
          </w:p>
        </w:tc>
        <w:tc>
          <w:tcPr>
            <w:tcW w:w="1299" w:type="dxa"/>
            <w:tcBorders>
              <w:top w:val="nil"/>
              <w:left w:val="nil"/>
              <w:bottom w:val="nil"/>
              <w:right w:val="nil"/>
            </w:tcBorders>
            <w:shd w:val="clear" w:color="auto" w:fill="auto"/>
            <w:vAlign w:val="bottom"/>
            <w:hideMark/>
          </w:tcPr>
          <w:p w14:paraId="1689DC94" w14:textId="77777777" w:rsidR="00865FDA" w:rsidRPr="00865FDA" w:rsidRDefault="00865FDA" w:rsidP="00FC1F5B">
            <w:pPr>
              <w:jc w:val="right"/>
              <w:rPr>
                <w:sz w:val="16"/>
                <w:szCs w:val="16"/>
                <w:lang w:eastAsia="tr-TR"/>
              </w:rPr>
            </w:pPr>
            <w:r w:rsidRPr="00865FDA">
              <w:rPr>
                <w:sz w:val="16"/>
                <w:szCs w:val="16"/>
                <w:lang w:eastAsia="tr-TR"/>
              </w:rPr>
              <w:t>236,516</w:t>
            </w:r>
          </w:p>
        </w:tc>
        <w:tc>
          <w:tcPr>
            <w:tcW w:w="1299" w:type="dxa"/>
            <w:tcBorders>
              <w:top w:val="nil"/>
              <w:left w:val="nil"/>
              <w:bottom w:val="nil"/>
              <w:right w:val="nil"/>
            </w:tcBorders>
            <w:shd w:val="clear" w:color="auto" w:fill="auto"/>
            <w:vAlign w:val="bottom"/>
            <w:hideMark/>
          </w:tcPr>
          <w:p w14:paraId="41DFD81B" w14:textId="77777777" w:rsidR="00865FDA" w:rsidRPr="00865FDA" w:rsidRDefault="00865FDA" w:rsidP="00FC1F5B">
            <w:pPr>
              <w:jc w:val="right"/>
              <w:rPr>
                <w:sz w:val="16"/>
                <w:szCs w:val="16"/>
                <w:lang w:eastAsia="tr-TR"/>
              </w:rPr>
            </w:pPr>
            <w:r w:rsidRPr="00865FDA">
              <w:rPr>
                <w:sz w:val="16"/>
                <w:szCs w:val="16"/>
                <w:lang w:eastAsia="tr-TR"/>
              </w:rPr>
              <w:t>489,396</w:t>
            </w:r>
          </w:p>
        </w:tc>
      </w:tr>
      <w:tr w:rsidR="00865FDA" w:rsidRPr="00865FDA" w14:paraId="6283177D"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63772B4" w14:textId="77777777" w:rsidR="00865FDA" w:rsidRPr="00865FDA" w:rsidRDefault="00865FDA" w:rsidP="00865FDA">
            <w:pPr>
              <w:ind w:firstLineChars="100" w:firstLine="160"/>
              <w:rPr>
                <w:sz w:val="16"/>
                <w:szCs w:val="16"/>
                <w:lang w:eastAsia="tr-TR"/>
              </w:rPr>
            </w:pPr>
            <w:r w:rsidRPr="00865FDA">
              <w:rPr>
                <w:sz w:val="16"/>
                <w:szCs w:val="16"/>
                <w:lang w:eastAsia="tr-TR"/>
              </w:rPr>
              <w:t>Özel cari hesap ve katılma hesapları YP (****)</w:t>
            </w:r>
          </w:p>
        </w:tc>
        <w:tc>
          <w:tcPr>
            <w:tcW w:w="1299" w:type="dxa"/>
            <w:tcBorders>
              <w:top w:val="nil"/>
              <w:left w:val="nil"/>
              <w:bottom w:val="nil"/>
              <w:right w:val="nil"/>
            </w:tcBorders>
            <w:shd w:val="clear" w:color="auto" w:fill="auto"/>
            <w:vAlign w:val="bottom"/>
            <w:hideMark/>
          </w:tcPr>
          <w:p w14:paraId="68381B36" w14:textId="77777777" w:rsidR="00865FDA" w:rsidRPr="00865FDA" w:rsidRDefault="00865FDA" w:rsidP="00FC1F5B">
            <w:pPr>
              <w:jc w:val="right"/>
              <w:rPr>
                <w:sz w:val="16"/>
                <w:szCs w:val="16"/>
                <w:lang w:eastAsia="tr-TR"/>
              </w:rPr>
            </w:pPr>
            <w:r w:rsidRPr="00865FDA">
              <w:rPr>
                <w:sz w:val="16"/>
                <w:szCs w:val="16"/>
                <w:lang w:eastAsia="tr-TR"/>
              </w:rPr>
              <w:t>11,448,452</w:t>
            </w:r>
          </w:p>
        </w:tc>
        <w:tc>
          <w:tcPr>
            <w:tcW w:w="1299" w:type="dxa"/>
            <w:tcBorders>
              <w:top w:val="nil"/>
              <w:left w:val="nil"/>
              <w:bottom w:val="nil"/>
              <w:right w:val="nil"/>
            </w:tcBorders>
            <w:shd w:val="clear" w:color="auto" w:fill="auto"/>
            <w:vAlign w:val="bottom"/>
            <w:hideMark/>
          </w:tcPr>
          <w:p w14:paraId="4B78CCD2" w14:textId="77777777" w:rsidR="00865FDA" w:rsidRPr="00865FDA" w:rsidRDefault="00865FDA" w:rsidP="00FC1F5B">
            <w:pPr>
              <w:jc w:val="right"/>
              <w:rPr>
                <w:sz w:val="16"/>
                <w:szCs w:val="16"/>
                <w:lang w:eastAsia="tr-TR"/>
              </w:rPr>
            </w:pPr>
            <w:r w:rsidRPr="00865FDA">
              <w:rPr>
                <w:sz w:val="16"/>
                <w:szCs w:val="16"/>
                <w:lang w:eastAsia="tr-TR"/>
              </w:rPr>
              <w:t>37,090,256</w:t>
            </w:r>
          </w:p>
        </w:tc>
        <w:tc>
          <w:tcPr>
            <w:tcW w:w="1299" w:type="dxa"/>
            <w:tcBorders>
              <w:top w:val="nil"/>
              <w:left w:val="nil"/>
              <w:bottom w:val="nil"/>
              <w:right w:val="nil"/>
            </w:tcBorders>
            <w:shd w:val="clear" w:color="auto" w:fill="auto"/>
            <w:vAlign w:val="bottom"/>
            <w:hideMark/>
          </w:tcPr>
          <w:p w14:paraId="745664D6" w14:textId="77777777" w:rsidR="00865FDA" w:rsidRPr="00865FDA" w:rsidRDefault="00865FDA" w:rsidP="00FC1F5B">
            <w:pPr>
              <w:jc w:val="right"/>
              <w:rPr>
                <w:sz w:val="16"/>
                <w:szCs w:val="16"/>
                <w:lang w:eastAsia="tr-TR"/>
              </w:rPr>
            </w:pPr>
            <w:r w:rsidRPr="00865FDA">
              <w:rPr>
                <w:sz w:val="16"/>
                <w:szCs w:val="16"/>
                <w:lang w:eastAsia="tr-TR"/>
              </w:rPr>
              <w:t>31,408,800</w:t>
            </w:r>
          </w:p>
        </w:tc>
        <w:tc>
          <w:tcPr>
            <w:tcW w:w="1299" w:type="dxa"/>
            <w:tcBorders>
              <w:top w:val="nil"/>
              <w:left w:val="nil"/>
              <w:bottom w:val="nil"/>
              <w:right w:val="nil"/>
            </w:tcBorders>
            <w:shd w:val="clear" w:color="auto" w:fill="auto"/>
            <w:vAlign w:val="bottom"/>
            <w:hideMark/>
          </w:tcPr>
          <w:p w14:paraId="316749B3" w14:textId="77777777" w:rsidR="00865FDA" w:rsidRPr="00865FDA" w:rsidRDefault="00865FDA" w:rsidP="00FC1F5B">
            <w:pPr>
              <w:jc w:val="right"/>
              <w:rPr>
                <w:sz w:val="16"/>
                <w:szCs w:val="16"/>
                <w:lang w:eastAsia="tr-TR"/>
              </w:rPr>
            </w:pPr>
            <w:r w:rsidRPr="00865FDA">
              <w:rPr>
                <w:sz w:val="16"/>
                <w:szCs w:val="16"/>
                <w:lang w:eastAsia="tr-TR"/>
              </w:rPr>
              <w:t>79,947,508</w:t>
            </w:r>
          </w:p>
        </w:tc>
      </w:tr>
      <w:tr w:rsidR="00865FDA" w:rsidRPr="00865FDA" w14:paraId="76F5108E"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5A2910D7" w14:textId="77777777" w:rsidR="00865FDA" w:rsidRPr="00865FDA" w:rsidRDefault="00865FDA" w:rsidP="00865FDA">
            <w:pPr>
              <w:ind w:firstLineChars="100" w:firstLine="160"/>
              <w:rPr>
                <w:sz w:val="16"/>
                <w:szCs w:val="16"/>
                <w:lang w:eastAsia="tr-TR"/>
              </w:rPr>
            </w:pPr>
            <w:r w:rsidRPr="00865FDA">
              <w:rPr>
                <w:sz w:val="16"/>
                <w:szCs w:val="16"/>
                <w:lang w:eastAsia="tr-TR"/>
              </w:rPr>
              <w:t>Para piyasalarına borçlar</w:t>
            </w:r>
          </w:p>
        </w:tc>
        <w:tc>
          <w:tcPr>
            <w:tcW w:w="1299" w:type="dxa"/>
            <w:tcBorders>
              <w:top w:val="nil"/>
              <w:left w:val="nil"/>
              <w:bottom w:val="nil"/>
              <w:right w:val="nil"/>
            </w:tcBorders>
            <w:shd w:val="clear" w:color="auto" w:fill="auto"/>
            <w:vAlign w:val="bottom"/>
            <w:hideMark/>
          </w:tcPr>
          <w:p w14:paraId="747800AA"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3ABE5D90"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3418350E"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1FB82877" w14:textId="77777777" w:rsidR="00865FDA" w:rsidRPr="00865FDA" w:rsidRDefault="00865FDA" w:rsidP="00FC1F5B">
            <w:pPr>
              <w:jc w:val="right"/>
              <w:rPr>
                <w:sz w:val="16"/>
                <w:szCs w:val="16"/>
                <w:lang w:eastAsia="tr-TR"/>
              </w:rPr>
            </w:pPr>
            <w:r w:rsidRPr="00865FDA">
              <w:rPr>
                <w:sz w:val="16"/>
                <w:szCs w:val="16"/>
                <w:lang w:eastAsia="tr-TR"/>
              </w:rPr>
              <w:t>-</w:t>
            </w:r>
          </w:p>
        </w:tc>
      </w:tr>
      <w:tr w:rsidR="00865FDA" w:rsidRPr="00865FDA" w14:paraId="5B34399C"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328901AF" w14:textId="77777777" w:rsidR="00865FDA" w:rsidRPr="00865FDA" w:rsidRDefault="00865FDA" w:rsidP="00865FDA">
            <w:pPr>
              <w:ind w:firstLineChars="100" w:firstLine="160"/>
              <w:rPr>
                <w:sz w:val="16"/>
                <w:szCs w:val="16"/>
                <w:lang w:eastAsia="tr-TR"/>
              </w:rPr>
            </w:pPr>
            <w:r w:rsidRPr="00865FDA">
              <w:rPr>
                <w:sz w:val="16"/>
                <w:szCs w:val="16"/>
                <w:lang w:eastAsia="tr-TR"/>
              </w:rPr>
              <w:t>Diğer mali kuruluşlardan sağlanan fonlar</w:t>
            </w:r>
          </w:p>
        </w:tc>
        <w:tc>
          <w:tcPr>
            <w:tcW w:w="1299" w:type="dxa"/>
            <w:tcBorders>
              <w:top w:val="nil"/>
              <w:left w:val="nil"/>
              <w:bottom w:val="nil"/>
              <w:right w:val="nil"/>
            </w:tcBorders>
            <w:shd w:val="clear" w:color="auto" w:fill="auto"/>
            <w:vAlign w:val="bottom"/>
            <w:hideMark/>
          </w:tcPr>
          <w:p w14:paraId="4D127835" w14:textId="77777777" w:rsidR="00865FDA" w:rsidRPr="00865FDA" w:rsidRDefault="00865FDA" w:rsidP="00FC1F5B">
            <w:pPr>
              <w:jc w:val="right"/>
              <w:rPr>
                <w:sz w:val="16"/>
                <w:szCs w:val="16"/>
                <w:lang w:eastAsia="tr-TR"/>
              </w:rPr>
            </w:pPr>
            <w:r w:rsidRPr="00865FDA">
              <w:rPr>
                <w:sz w:val="16"/>
                <w:szCs w:val="16"/>
                <w:lang w:eastAsia="tr-TR"/>
              </w:rPr>
              <w:t>262,494</w:t>
            </w:r>
          </w:p>
        </w:tc>
        <w:tc>
          <w:tcPr>
            <w:tcW w:w="1299" w:type="dxa"/>
            <w:tcBorders>
              <w:top w:val="nil"/>
              <w:left w:val="nil"/>
              <w:bottom w:val="nil"/>
              <w:right w:val="nil"/>
            </w:tcBorders>
            <w:shd w:val="clear" w:color="auto" w:fill="auto"/>
            <w:vAlign w:val="bottom"/>
            <w:hideMark/>
          </w:tcPr>
          <w:p w14:paraId="589A56BB" w14:textId="77777777" w:rsidR="00865FDA" w:rsidRPr="00865FDA" w:rsidRDefault="00865FDA" w:rsidP="00FC1F5B">
            <w:pPr>
              <w:jc w:val="right"/>
              <w:rPr>
                <w:sz w:val="16"/>
                <w:szCs w:val="16"/>
                <w:lang w:eastAsia="tr-TR"/>
              </w:rPr>
            </w:pPr>
            <w:r w:rsidRPr="00865FDA">
              <w:rPr>
                <w:sz w:val="16"/>
                <w:szCs w:val="16"/>
                <w:lang w:eastAsia="tr-TR"/>
              </w:rPr>
              <w:t>11,059,246</w:t>
            </w:r>
          </w:p>
        </w:tc>
        <w:tc>
          <w:tcPr>
            <w:tcW w:w="1299" w:type="dxa"/>
            <w:tcBorders>
              <w:top w:val="nil"/>
              <w:left w:val="nil"/>
              <w:bottom w:val="nil"/>
              <w:right w:val="nil"/>
            </w:tcBorders>
            <w:shd w:val="clear" w:color="auto" w:fill="auto"/>
            <w:vAlign w:val="bottom"/>
            <w:hideMark/>
          </w:tcPr>
          <w:p w14:paraId="33FE16BB"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35BAD2C2" w14:textId="77777777" w:rsidR="00865FDA" w:rsidRPr="00865FDA" w:rsidRDefault="00865FDA" w:rsidP="00FC1F5B">
            <w:pPr>
              <w:jc w:val="right"/>
              <w:rPr>
                <w:sz w:val="16"/>
                <w:szCs w:val="16"/>
                <w:lang w:eastAsia="tr-TR"/>
              </w:rPr>
            </w:pPr>
            <w:r w:rsidRPr="00865FDA">
              <w:rPr>
                <w:sz w:val="16"/>
                <w:szCs w:val="16"/>
                <w:lang w:eastAsia="tr-TR"/>
              </w:rPr>
              <w:t>11,321,740</w:t>
            </w:r>
          </w:p>
        </w:tc>
      </w:tr>
      <w:tr w:rsidR="00865FDA" w:rsidRPr="00865FDA" w14:paraId="6F007D27"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7D930D67" w14:textId="77777777" w:rsidR="00865FDA" w:rsidRPr="00865FDA" w:rsidRDefault="00865FDA" w:rsidP="00865FDA">
            <w:pPr>
              <w:ind w:firstLineChars="100" w:firstLine="160"/>
              <w:rPr>
                <w:sz w:val="16"/>
                <w:szCs w:val="16"/>
                <w:lang w:eastAsia="tr-TR"/>
              </w:rPr>
            </w:pPr>
            <w:r w:rsidRPr="00865FDA">
              <w:rPr>
                <w:sz w:val="16"/>
                <w:szCs w:val="16"/>
                <w:lang w:eastAsia="tr-TR"/>
              </w:rPr>
              <w:t>İhraç edilen menkul değerler</w:t>
            </w:r>
          </w:p>
        </w:tc>
        <w:tc>
          <w:tcPr>
            <w:tcW w:w="1299" w:type="dxa"/>
            <w:tcBorders>
              <w:top w:val="nil"/>
              <w:left w:val="nil"/>
              <w:bottom w:val="nil"/>
              <w:right w:val="nil"/>
            </w:tcBorders>
            <w:shd w:val="clear" w:color="auto" w:fill="auto"/>
            <w:vAlign w:val="bottom"/>
            <w:hideMark/>
          </w:tcPr>
          <w:p w14:paraId="0D7632AA"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0A825C2F"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461721EF"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007DA3C5" w14:textId="77777777" w:rsidR="00865FDA" w:rsidRPr="00865FDA" w:rsidRDefault="00865FDA" w:rsidP="00FC1F5B">
            <w:pPr>
              <w:jc w:val="right"/>
              <w:rPr>
                <w:sz w:val="16"/>
                <w:szCs w:val="16"/>
                <w:lang w:eastAsia="tr-TR"/>
              </w:rPr>
            </w:pPr>
            <w:r w:rsidRPr="00865FDA">
              <w:rPr>
                <w:sz w:val="16"/>
                <w:szCs w:val="16"/>
                <w:lang w:eastAsia="tr-TR"/>
              </w:rPr>
              <w:t>-</w:t>
            </w:r>
          </w:p>
        </w:tc>
      </w:tr>
      <w:tr w:rsidR="00865FDA" w:rsidRPr="00865FDA" w14:paraId="19F72067"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00CE310B" w14:textId="77777777" w:rsidR="00865FDA" w:rsidRPr="00865FDA" w:rsidRDefault="00865FDA" w:rsidP="00865FDA">
            <w:pPr>
              <w:ind w:firstLineChars="100" w:firstLine="160"/>
              <w:rPr>
                <w:sz w:val="16"/>
                <w:szCs w:val="16"/>
                <w:lang w:eastAsia="tr-TR"/>
              </w:rPr>
            </w:pPr>
            <w:r w:rsidRPr="00865FDA">
              <w:rPr>
                <w:sz w:val="16"/>
                <w:szCs w:val="16"/>
                <w:lang w:eastAsia="tr-TR"/>
              </w:rPr>
              <w:t>Muhtelif borçlar</w:t>
            </w:r>
          </w:p>
        </w:tc>
        <w:tc>
          <w:tcPr>
            <w:tcW w:w="1299" w:type="dxa"/>
            <w:tcBorders>
              <w:top w:val="nil"/>
              <w:left w:val="nil"/>
              <w:bottom w:val="nil"/>
              <w:right w:val="nil"/>
            </w:tcBorders>
            <w:shd w:val="clear" w:color="auto" w:fill="auto"/>
            <w:vAlign w:val="bottom"/>
            <w:hideMark/>
          </w:tcPr>
          <w:p w14:paraId="013C12FF" w14:textId="77777777" w:rsidR="00865FDA" w:rsidRPr="00865FDA" w:rsidRDefault="00865FDA" w:rsidP="00FC1F5B">
            <w:pPr>
              <w:jc w:val="right"/>
              <w:rPr>
                <w:sz w:val="16"/>
                <w:szCs w:val="16"/>
                <w:lang w:eastAsia="tr-TR"/>
              </w:rPr>
            </w:pPr>
            <w:r w:rsidRPr="00865FDA">
              <w:rPr>
                <w:sz w:val="16"/>
                <w:szCs w:val="16"/>
                <w:lang w:eastAsia="tr-TR"/>
              </w:rPr>
              <w:t>197,410</w:t>
            </w:r>
          </w:p>
        </w:tc>
        <w:tc>
          <w:tcPr>
            <w:tcW w:w="1299" w:type="dxa"/>
            <w:tcBorders>
              <w:top w:val="nil"/>
              <w:left w:val="nil"/>
              <w:bottom w:val="nil"/>
              <w:right w:val="nil"/>
            </w:tcBorders>
            <w:shd w:val="clear" w:color="auto" w:fill="auto"/>
            <w:vAlign w:val="bottom"/>
            <w:hideMark/>
          </w:tcPr>
          <w:p w14:paraId="78B16340" w14:textId="77777777" w:rsidR="00865FDA" w:rsidRPr="00865FDA" w:rsidRDefault="00865FDA" w:rsidP="00FC1F5B">
            <w:pPr>
              <w:jc w:val="right"/>
              <w:rPr>
                <w:sz w:val="16"/>
                <w:szCs w:val="16"/>
                <w:lang w:eastAsia="tr-TR"/>
              </w:rPr>
            </w:pPr>
            <w:r w:rsidRPr="00865FDA">
              <w:rPr>
                <w:sz w:val="16"/>
                <w:szCs w:val="16"/>
                <w:lang w:eastAsia="tr-TR"/>
              </w:rPr>
              <w:t>381,159</w:t>
            </w:r>
          </w:p>
        </w:tc>
        <w:tc>
          <w:tcPr>
            <w:tcW w:w="1299" w:type="dxa"/>
            <w:tcBorders>
              <w:top w:val="nil"/>
              <w:left w:val="nil"/>
              <w:bottom w:val="nil"/>
              <w:right w:val="nil"/>
            </w:tcBorders>
            <w:shd w:val="clear" w:color="auto" w:fill="auto"/>
            <w:vAlign w:val="bottom"/>
            <w:hideMark/>
          </w:tcPr>
          <w:p w14:paraId="483996CE" w14:textId="77777777" w:rsidR="00865FDA" w:rsidRPr="00865FDA" w:rsidRDefault="00865FDA" w:rsidP="00FC1F5B">
            <w:pPr>
              <w:jc w:val="right"/>
              <w:rPr>
                <w:sz w:val="16"/>
                <w:szCs w:val="16"/>
                <w:lang w:eastAsia="tr-TR"/>
              </w:rPr>
            </w:pPr>
            <w:r w:rsidRPr="00865FDA">
              <w:rPr>
                <w:sz w:val="16"/>
                <w:szCs w:val="16"/>
                <w:lang w:eastAsia="tr-TR"/>
              </w:rPr>
              <w:t>11,048</w:t>
            </w:r>
          </w:p>
        </w:tc>
        <w:tc>
          <w:tcPr>
            <w:tcW w:w="1299" w:type="dxa"/>
            <w:tcBorders>
              <w:top w:val="nil"/>
              <w:left w:val="nil"/>
              <w:bottom w:val="nil"/>
              <w:right w:val="nil"/>
            </w:tcBorders>
            <w:shd w:val="clear" w:color="auto" w:fill="auto"/>
            <w:vAlign w:val="bottom"/>
            <w:hideMark/>
          </w:tcPr>
          <w:p w14:paraId="645B346D" w14:textId="77777777" w:rsidR="00865FDA" w:rsidRPr="00865FDA" w:rsidRDefault="00865FDA" w:rsidP="00FC1F5B">
            <w:pPr>
              <w:jc w:val="right"/>
              <w:rPr>
                <w:sz w:val="16"/>
                <w:szCs w:val="16"/>
                <w:lang w:eastAsia="tr-TR"/>
              </w:rPr>
            </w:pPr>
            <w:r w:rsidRPr="00865FDA">
              <w:rPr>
                <w:sz w:val="16"/>
                <w:szCs w:val="16"/>
                <w:lang w:eastAsia="tr-TR"/>
              </w:rPr>
              <w:t>589,617</w:t>
            </w:r>
          </w:p>
        </w:tc>
      </w:tr>
      <w:tr w:rsidR="00865FDA" w:rsidRPr="00865FDA" w14:paraId="7AF4C8E7"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38A2CAFD" w14:textId="77777777" w:rsidR="00865FDA" w:rsidRPr="00865FDA" w:rsidRDefault="00865FDA" w:rsidP="00865FDA">
            <w:pPr>
              <w:ind w:firstLineChars="100" w:firstLine="160"/>
              <w:rPr>
                <w:sz w:val="16"/>
                <w:szCs w:val="16"/>
                <w:lang w:eastAsia="tr-TR"/>
              </w:rPr>
            </w:pPr>
            <w:r w:rsidRPr="00865FDA">
              <w:rPr>
                <w:sz w:val="16"/>
                <w:szCs w:val="16"/>
                <w:lang w:eastAsia="tr-TR"/>
              </w:rPr>
              <w:t>Riskten korunma amaçlı türev finansal borçlar</w:t>
            </w:r>
          </w:p>
        </w:tc>
        <w:tc>
          <w:tcPr>
            <w:tcW w:w="1299" w:type="dxa"/>
            <w:tcBorders>
              <w:top w:val="nil"/>
              <w:left w:val="nil"/>
              <w:bottom w:val="nil"/>
              <w:right w:val="nil"/>
            </w:tcBorders>
            <w:shd w:val="clear" w:color="auto" w:fill="auto"/>
            <w:vAlign w:val="bottom"/>
            <w:hideMark/>
          </w:tcPr>
          <w:p w14:paraId="58520EE5"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5F124FDD"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5C8EC7F8" w14:textId="77777777" w:rsidR="00865FDA" w:rsidRPr="00865FDA" w:rsidRDefault="00865FDA" w:rsidP="00FC1F5B">
            <w:pPr>
              <w:jc w:val="right"/>
              <w:rPr>
                <w:sz w:val="16"/>
                <w:szCs w:val="16"/>
                <w:lang w:eastAsia="tr-TR"/>
              </w:rPr>
            </w:pPr>
            <w:r w:rsidRPr="00865FDA">
              <w:rPr>
                <w:sz w:val="16"/>
                <w:szCs w:val="16"/>
                <w:lang w:eastAsia="tr-TR"/>
              </w:rPr>
              <w:t>-</w:t>
            </w:r>
          </w:p>
        </w:tc>
        <w:tc>
          <w:tcPr>
            <w:tcW w:w="1299" w:type="dxa"/>
            <w:tcBorders>
              <w:top w:val="nil"/>
              <w:left w:val="nil"/>
              <w:bottom w:val="nil"/>
              <w:right w:val="nil"/>
            </w:tcBorders>
            <w:shd w:val="clear" w:color="auto" w:fill="auto"/>
            <w:vAlign w:val="bottom"/>
            <w:hideMark/>
          </w:tcPr>
          <w:p w14:paraId="6C9A6A81" w14:textId="77777777" w:rsidR="00865FDA" w:rsidRPr="00865FDA" w:rsidRDefault="00865FDA" w:rsidP="00FC1F5B">
            <w:pPr>
              <w:jc w:val="right"/>
              <w:rPr>
                <w:sz w:val="16"/>
                <w:szCs w:val="16"/>
                <w:lang w:eastAsia="tr-TR"/>
              </w:rPr>
            </w:pPr>
            <w:r w:rsidRPr="00865FDA">
              <w:rPr>
                <w:sz w:val="16"/>
                <w:szCs w:val="16"/>
                <w:lang w:eastAsia="tr-TR"/>
              </w:rPr>
              <w:t>-</w:t>
            </w:r>
          </w:p>
        </w:tc>
      </w:tr>
      <w:tr w:rsidR="00865FDA" w:rsidRPr="00865FDA" w14:paraId="1D6A6466"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BCC3171" w14:textId="77777777" w:rsidR="00865FDA" w:rsidRPr="00865FDA" w:rsidRDefault="00865FDA" w:rsidP="00865FDA">
            <w:pPr>
              <w:ind w:firstLineChars="100" w:firstLine="160"/>
              <w:rPr>
                <w:sz w:val="16"/>
                <w:szCs w:val="16"/>
                <w:lang w:eastAsia="tr-TR"/>
              </w:rPr>
            </w:pPr>
            <w:r w:rsidRPr="00865FDA">
              <w:rPr>
                <w:sz w:val="16"/>
                <w:szCs w:val="16"/>
                <w:lang w:eastAsia="tr-TR"/>
              </w:rPr>
              <w:t>Diğer yükümlülükler (*****)</w:t>
            </w:r>
          </w:p>
        </w:tc>
        <w:tc>
          <w:tcPr>
            <w:tcW w:w="1299" w:type="dxa"/>
            <w:tcBorders>
              <w:top w:val="nil"/>
              <w:left w:val="nil"/>
              <w:bottom w:val="nil"/>
              <w:right w:val="nil"/>
            </w:tcBorders>
            <w:shd w:val="clear" w:color="auto" w:fill="auto"/>
            <w:vAlign w:val="bottom"/>
            <w:hideMark/>
          </w:tcPr>
          <w:p w14:paraId="039188B5" w14:textId="77777777" w:rsidR="00865FDA" w:rsidRPr="00865FDA" w:rsidRDefault="00865FDA" w:rsidP="00FC1F5B">
            <w:pPr>
              <w:jc w:val="right"/>
              <w:rPr>
                <w:sz w:val="16"/>
                <w:szCs w:val="16"/>
                <w:lang w:eastAsia="tr-TR"/>
              </w:rPr>
            </w:pPr>
            <w:r w:rsidRPr="00865FDA">
              <w:rPr>
                <w:sz w:val="16"/>
                <w:szCs w:val="16"/>
                <w:lang w:eastAsia="tr-TR"/>
              </w:rPr>
              <w:t>215,974</w:t>
            </w:r>
          </w:p>
        </w:tc>
        <w:tc>
          <w:tcPr>
            <w:tcW w:w="1299" w:type="dxa"/>
            <w:tcBorders>
              <w:top w:val="nil"/>
              <w:left w:val="nil"/>
              <w:bottom w:val="nil"/>
              <w:right w:val="nil"/>
            </w:tcBorders>
            <w:shd w:val="clear" w:color="auto" w:fill="auto"/>
            <w:vAlign w:val="bottom"/>
            <w:hideMark/>
          </w:tcPr>
          <w:p w14:paraId="01363444" w14:textId="77777777" w:rsidR="00865FDA" w:rsidRPr="00865FDA" w:rsidRDefault="00865FDA" w:rsidP="00FC1F5B">
            <w:pPr>
              <w:jc w:val="right"/>
              <w:rPr>
                <w:sz w:val="16"/>
                <w:szCs w:val="16"/>
                <w:lang w:eastAsia="tr-TR"/>
              </w:rPr>
            </w:pPr>
            <w:r w:rsidRPr="00865FDA">
              <w:rPr>
                <w:sz w:val="16"/>
                <w:szCs w:val="16"/>
                <w:lang w:eastAsia="tr-TR"/>
              </w:rPr>
              <w:t>501,725</w:t>
            </w:r>
          </w:p>
        </w:tc>
        <w:tc>
          <w:tcPr>
            <w:tcW w:w="1299" w:type="dxa"/>
            <w:tcBorders>
              <w:top w:val="nil"/>
              <w:left w:val="nil"/>
              <w:bottom w:val="nil"/>
              <w:right w:val="nil"/>
            </w:tcBorders>
            <w:shd w:val="clear" w:color="auto" w:fill="auto"/>
            <w:vAlign w:val="bottom"/>
            <w:hideMark/>
          </w:tcPr>
          <w:p w14:paraId="177FC423" w14:textId="77777777" w:rsidR="00865FDA" w:rsidRPr="00865FDA" w:rsidRDefault="00865FDA" w:rsidP="00FC1F5B">
            <w:pPr>
              <w:jc w:val="right"/>
              <w:rPr>
                <w:sz w:val="16"/>
                <w:szCs w:val="16"/>
                <w:lang w:eastAsia="tr-TR"/>
              </w:rPr>
            </w:pPr>
            <w:r w:rsidRPr="00865FDA">
              <w:rPr>
                <w:sz w:val="16"/>
                <w:szCs w:val="16"/>
                <w:lang w:eastAsia="tr-TR"/>
              </w:rPr>
              <w:t>30,182</w:t>
            </w:r>
          </w:p>
        </w:tc>
        <w:tc>
          <w:tcPr>
            <w:tcW w:w="1299" w:type="dxa"/>
            <w:tcBorders>
              <w:top w:val="nil"/>
              <w:left w:val="nil"/>
              <w:bottom w:val="nil"/>
              <w:right w:val="nil"/>
            </w:tcBorders>
            <w:shd w:val="clear" w:color="auto" w:fill="auto"/>
            <w:vAlign w:val="bottom"/>
            <w:hideMark/>
          </w:tcPr>
          <w:p w14:paraId="1B94255F" w14:textId="77777777" w:rsidR="00865FDA" w:rsidRPr="00865FDA" w:rsidRDefault="00865FDA" w:rsidP="00FC1F5B">
            <w:pPr>
              <w:jc w:val="right"/>
              <w:rPr>
                <w:sz w:val="16"/>
                <w:szCs w:val="16"/>
                <w:lang w:eastAsia="tr-TR"/>
              </w:rPr>
            </w:pPr>
            <w:r w:rsidRPr="00865FDA">
              <w:rPr>
                <w:sz w:val="16"/>
                <w:szCs w:val="16"/>
                <w:lang w:eastAsia="tr-TR"/>
              </w:rPr>
              <w:t>747,881</w:t>
            </w:r>
          </w:p>
        </w:tc>
      </w:tr>
      <w:tr w:rsidR="00865FDA" w:rsidRPr="00865FDA" w14:paraId="2282031D" w14:textId="77777777" w:rsidTr="00FC1F5B">
        <w:trPr>
          <w:divId w:val="858160741"/>
          <w:trHeight w:val="213"/>
        </w:trPr>
        <w:tc>
          <w:tcPr>
            <w:tcW w:w="4253" w:type="dxa"/>
            <w:tcBorders>
              <w:top w:val="single" w:sz="4" w:space="0" w:color="auto"/>
              <w:left w:val="nil"/>
              <w:bottom w:val="single" w:sz="4" w:space="0" w:color="auto"/>
              <w:right w:val="nil"/>
            </w:tcBorders>
            <w:shd w:val="clear" w:color="auto" w:fill="auto"/>
            <w:vAlign w:val="center"/>
            <w:hideMark/>
          </w:tcPr>
          <w:p w14:paraId="159A65B3" w14:textId="77777777" w:rsidR="00865FDA" w:rsidRPr="00865FDA" w:rsidRDefault="00865FDA" w:rsidP="00865FDA">
            <w:pPr>
              <w:rPr>
                <w:b/>
                <w:bCs/>
                <w:sz w:val="18"/>
                <w:szCs w:val="18"/>
                <w:lang w:eastAsia="tr-TR"/>
              </w:rPr>
            </w:pPr>
            <w:r w:rsidRPr="00865FDA">
              <w:rPr>
                <w:b/>
                <w:bCs/>
                <w:sz w:val="18"/>
                <w:szCs w:val="18"/>
                <w:lang w:eastAsia="tr-TR"/>
              </w:rPr>
              <w:t>Toplam Yükümlülükler</w:t>
            </w:r>
          </w:p>
        </w:tc>
        <w:tc>
          <w:tcPr>
            <w:tcW w:w="1299" w:type="dxa"/>
            <w:tcBorders>
              <w:top w:val="single" w:sz="4" w:space="0" w:color="auto"/>
              <w:left w:val="nil"/>
              <w:bottom w:val="single" w:sz="4" w:space="0" w:color="auto"/>
              <w:right w:val="nil"/>
            </w:tcBorders>
            <w:shd w:val="clear" w:color="auto" w:fill="auto"/>
            <w:vAlign w:val="bottom"/>
            <w:hideMark/>
          </w:tcPr>
          <w:p w14:paraId="5F3C4E8B" w14:textId="77777777" w:rsidR="00865FDA" w:rsidRPr="00865FDA" w:rsidRDefault="00865FDA" w:rsidP="00FC1F5B">
            <w:pPr>
              <w:jc w:val="right"/>
              <w:rPr>
                <w:b/>
                <w:bCs/>
                <w:sz w:val="16"/>
                <w:szCs w:val="16"/>
                <w:lang w:eastAsia="tr-TR"/>
              </w:rPr>
            </w:pPr>
            <w:r w:rsidRPr="00865FDA">
              <w:rPr>
                <w:b/>
                <w:bCs/>
                <w:sz w:val="16"/>
                <w:szCs w:val="16"/>
                <w:lang w:eastAsia="tr-TR"/>
              </w:rPr>
              <w:t>12,134,682</w:t>
            </w:r>
          </w:p>
        </w:tc>
        <w:tc>
          <w:tcPr>
            <w:tcW w:w="1299" w:type="dxa"/>
            <w:tcBorders>
              <w:top w:val="single" w:sz="4" w:space="0" w:color="auto"/>
              <w:left w:val="nil"/>
              <w:bottom w:val="single" w:sz="4" w:space="0" w:color="auto"/>
              <w:right w:val="nil"/>
            </w:tcBorders>
            <w:shd w:val="clear" w:color="auto" w:fill="auto"/>
            <w:vAlign w:val="bottom"/>
            <w:hideMark/>
          </w:tcPr>
          <w:p w14:paraId="279E09C5" w14:textId="77777777" w:rsidR="00865FDA" w:rsidRPr="00865FDA" w:rsidRDefault="00865FDA" w:rsidP="00FC1F5B">
            <w:pPr>
              <w:jc w:val="right"/>
              <w:rPr>
                <w:b/>
                <w:bCs/>
                <w:sz w:val="16"/>
                <w:szCs w:val="16"/>
                <w:lang w:eastAsia="tr-TR"/>
              </w:rPr>
            </w:pPr>
            <w:r w:rsidRPr="00865FDA">
              <w:rPr>
                <w:b/>
                <w:bCs/>
                <w:sz w:val="16"/>
                <w:szCs w:val="16"/>
                <w:lang w:eastAsia="tr-TR"/>
              </w:rPr>
              <w:t>49,274,914</w:t>
            </w:r>
          </w:p>
        </w:tc>
        <w:tc>
          <w:tcPr>
            <w:tcW w:w="1299" w:type="dxa"/>
            <w:tcBorders>
              <w:top w:val="single" w:sz="4" w:space="0" w:color="auto"/>
              <w:left w:val="nil"/>
              <w:bottom w:val="single" w:sz="4" w:space="0" w:color="auto"/>
              <w:right w:val="nil"/>
            </w:tcBorders>
            <w:shd w:val="clear" w:color="auto" w:fill="auto"/>
            <w:vAlign w:val="bottom"/>
            <w:hideMark/>
          </w:tcPr>
          <w:p w14:paraId="74E98F7F" w14:textId="77777777" w:rsidR="00865FDA" w:rsidRPr="00865FDA" w:rsidRDefault="00865FDA" w:rsidP="00FC1F5B">
            <w:pPr>
              <w:jc w:val="right"/>
              <w:rPr>
                <w:b/>
                <w:bCs/>
                <w:sz w:val="16"/>
                <w:szCs w:val="16"/>
                <w:lang w:eastAsia="tr-TR"/>
              </w:rPr>
            </w:pPr>
            <w:r w:rsidRPr="00865FDA">
              <w:rPr>
                <w:b/>
                <w:bCs/>
                <w:sz w:val="16"/>
                <w:szCs w:val="16"/>
                <w:lang w:eastAsia="tr-TR"/>
              </w:rPr>
              <w:t>31,686,546</w:t>
            </w:r>
          </w:p>
        </w:tc>
        <w:tc>
          <w:tcPr>
            <w:tcW w:w="1299" w:type="dxa"/>
            <w:tcBorders>
              <w:top w:val="single" w:sz="4" w:space="0" w:color="auto"/>
              <w:left w:val="nil"/>
              <w:bottom w:val="single" w:sz="4" w:space="0" w:color="auto"/>
              <w:right w:val="nil"/>
            </w:tcBorders>
            <w:shd w:val="clear" w:color="auto" w:fill="auto"/>
            <w:vAlign w:val="bottom"/>
            <w:hideMark/>
          </w:tcPr>
          <w:p w14:paraId="3F32FF89" w14:textId="77777777" w:rsidR="00865FDA" w:rsidRPr="00865FDA" w:rsidRDefault="00865FDA" w:rsidP="00FC1F5B">
            <w:pPr>
              <w:jc w:val="right"/>
              <w:rPr>
                <w:b/>
                <w:bCs/>
                <w:sz w:val="16"/>
                <w:szCs w:val="16"/>
                <w:lang w:eastAsia="tr-TR"/>
              </w:rPr>
            </w:pPr>
            <w:r w:rsidRPr="00865FDA">
              <w:rPr>
                <w:b/>
                <w:bCs/>
                <w:sz w:val="16"/>
                <w:szCs w:val="16"/>
                <w:lang w:eastAsia="tr-TR"/>
              </w:rPr>
              <w:t>93,096,142</w:t>
            </w:r>
          </w:p>
        </w:tc>
      </w:tr>
      <w:tr w:rsidR="00865FDA" w:rsidRPr="00865FDA" w14:paraId="48FD8898" w14:textId="77777777" w:rsidTr="00FC1F5B">
        <w:trPr>
          <w:divId w:val="858160741"/>
          <w:trHeight w:val="213"/>
        </w:trPr>
        <w:tc>
          <w:tcPr>
            <w:tcW w:w="4253" w:type="dxa"/>
            <w:tcBorders>
              <w:top w:val="nil"/>
              <w:left w:val="nil"/>
              <w:bottom w:val="nil"/>
              <w:right w:val="nil"/>
            </w:tcBorders>
            <w:shd w:val="clear" w:color="auto" w:fill="auto"/>
            <w:vAlign w:val="center"/>
            <w:hideMark/>
          </w:tcPr>
          <w:p w14:paraId="70BE28ED" w14:textId="77777777" w:rsidR="00865FDA" w:rsidRPr="00865FDA" w:rsidRDefault="00865FDA" w:rsidP="00865FDA">
            <w:pPr>
              <w:rPr>
                <w:b/>
                <w:bCs/>
                <w:sz w:val="16"/>
                <w:szCs w:val="16"/>
                <w:lang w:eastAsia="tr-TR"/>
              </w:rPr>
            </w:pPr>
          </w:p>
        </w:tc>
        <w:tc>
          <w:tcPr>
            <w:tcW w:w="1299" w:type="dxa"/>
            <w:tcBorders>
              <w:top w:val="nil"/>
              <w:left w:val="nil"/>
              <w:bottom w:val="nil"/>
              <w:right w:val="nil"/>
            </w:tcBorders>
            <w:shd w:val="clear" w:color="auto" w:fill="auto"/>
            <w:vAlign w:val="bottom"/>
            <w:hideMark/>
          </w:tcPr>
          <w:p w14:paraId="4A35118B"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70EEEEAA"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1946E28D"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4F6DF930" w14:textId="77777777" w:rsidR="00865FDA" w:rsidRPr="00865FDA" w:rsidRDefault="00865FDA" w:rsidP="00FC1F5B">
            <w:pPr>
              <w:jc w:val="right"/>
              <w:rPr>
                <w:lang w:eastAsia="tr-TR"/>
              </w:rPr>
            </w:pPr>
          </w:p>
        </w:tc>
      </w:tr>
      <w:tr w:rsidR="00865FDA" w:rsidRPr="00865FDA" w14:paraId="5BB09053"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416E071C" w14:textId="77777777" w:rsidR="00865FDA" w:rsidRPr="00865FDA" w:rsidRDefault="00865FDA" w:rsidP="00865FDA">
            <w:pPr>
              <w:rPr>
                <w:sz w:val="16"/>
                <w:szCs w:val="16"/>
                <w:lang w:eastAsia="tr-TR"/>
              </w:rPr>
            </w:pPr>
            <w:r w:rsidRPr="00865FDA">
              <w:rPr>
                <w:sz w:val="16"/>
                <w:szCs w:val="16"/>
                <w:lang w:eastAsia="tr-TR"/>
              </w:rPr>
              <w:t>Net bilanço pozisyonu</w:t>
            </w:r>
          </w:p>
        </w:tc>
        <w:tc>
          <w:tcPr>
            <w:tcW w:w="1299" w:type="dxa"/>
            <w:tcBorders>
              <w:top w:val="nil"/>
              <w:left w:val="nil"/>
              <w:bottom w:val="nil"/>
              <w:right w:val="nil"/>
            </w:tcBorders>
            <w:shd w:val="clear" w:color="auto" w:fill="auto"/>
            <w:vAlign w:val="bottom"/>
            <w:hideMark/>
          </w:tcPr>
          <w:p w14:paraId="3513997C" w14:textId="77777777" w:rsidR="00865FDA" w:rsidRPr="00865FDA" w:rsidRDefault="00865FDA" w:rsidP="00FC1F5B">
            <w:pPr>
              <w:jc w:val="right"/>
              <w:rPr>
                <w:sz w:val="16"/>
                <w:szCs w:val="16"/>
                <w:lang w:eastAsia="tr-TR"/>
              </w:rPr>
            </w:pPr>
            <w:r w:rsidRPr="00865FDA">
              <w:rPr>
                <w:sz w:val="16"/>
                <w:szCs w:val="16"/>
                <w:lang w:eastAsia="tr-TR"/>
              </w:rPr>
              <w:t>12,841,282</w:t>
            </w:r>
          </w:p>
        </w:tc>
        <w:tc>
          <w:tcPr>
            <w:tcW w:w="1299" w:type="dxa"/>
            <w:tcBorders>
              <w:top w:val="nil"/>
              <w:left w:val="nil"/>
              <w:bottom w:val="nil"/>
              <w:right w:val="nil"/>
            </w:tcBorders>
            <w:shd w:val="clear" w:color="auto" w:fill="auto"/>
            <w:vAlign w:val="bottom"/>
            <w:hideMark/>
          </w:tcPr>
          <w:p w14:paraId="4BF3FB7E" w14:textId="77777777" w:rsidR="00865FDA" w:rsidRPr="00865FDA" w:rsidRDefault="00865FDA" w:rsidP="00FC1F5B">
            <w:pPr>
              <w:jc w:val="right"/>
              <w:rPr>
                <w:sz w:val="16"/>
                <w:szCs w:val="16"/>
                <w:lang w:eastAsia="tr-TR"/>
              </w:rPr>
            </w:pPr>
            <w:r w:rsidRPr="00865FDA">
              <w:rPr>
                <w:sz w:val="16"/>
                <w:szCs w:val="16"/>
                <w:lang w:eastAsia="tr-TR"/>
              </w:rPr>
              <w:t>(17,912,790)</w:t>
            </w:r>
          </w:p>
        </w:tc>
        <w:tc>
          <w:tcPr>
            <w:tcW w:w="1299" w:type="dxa"/>
            <w:tcBorders>
              <w:top w:val="nil"/>
              <w:left w:val="nil"/>
              <w:bottom w:val="nil"/>
              <w:right w:val="nil"/>
            </w:tcBorders>
            <w:shd w:val="clear" w:color="auto" w:fill="auto"/>
            <w:vAlign w:val="bottom"/>
            <w:hideMark/>
          </w:tcPr>
          <w:p w14:paraId="6A03FB9E" w14:textId="77777777" w:rsidR="00865FDA" w:rsidRPr="00865FDA" w:rsidRDefault="00865FDA" w:rsidP="00FC1F5B">
            <w:pPr>
              <w:jc w:val="right"/>
              <w:rPr>
                <w:sz w:val="16"/>
                <w:szCs w:val="16"/>
                <w:lang w:eastAsia="tr-TR"/>
              </w:rPr>
            </w:pPr>
            <w:r w:rsidRPr="00865FDA">
              <w:rPr>
                <w:sz w:val="16"/>
                <w:szCs w:val="16"/>
                <w:lang w:eastAsia="tr-TR"/>
              </w:rPr>
              <w:t>(15,585,590)</w:t>
            </w:r>
          </w:p>
        </w:tc>
        <w:tc>
          <w:tcPr>
            <w:tcW w:w="1299" w:type="dxa"/>
            <w:tcBorders>
              <w:top w:val="nil"/>
              <w:left w:val="nil"/>
              <w:bottom w:val="nil"/>
              <w:right w:val="nil"/>
            </w:tcBorders>
            <w:shd w:val="clear" w:color="auto" w:fill="auto"/>
            <w:vAlign w:val="bottom"/>
            <w:hideMark/>
          </w:tcPr>
          <w:p w14:paraId="35D8DD5A" w14:textId="77777777" w:rsidR="00865FDA" w:rsidRPr="00865FDA" w:rsidRDefault="00865FDA" w:rsidP="00FC1F5B">
            <w:pPr>
              <w:jc w:val="right"/>
              <w:rPr>
                <w:sz w:val="16"/>
                <w:szCs w:val="16"/>
                <w:lang w:eastAsia="tr-TR"/>
              </w:rPr>
            </w:pPr>
            <w:r w:rsidRPr="00865FDA">
              <w:rPr>
                <w:sz w:val="16"/>
                <w:szCs w:val="16"/>
                <w:lang w:eastAsia="tr-TR"/>
              </w:rPr>
              <w:t>(20,657,098)</w:t>
            </w:r>
          </w:p>
        </w:tc>
      </w:tr>
      <w:tr w:rsidR="00865FDA" w:rsidRPr="00865FDA" w14:paraId="04B0F72A"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F9D96B2" w14:textId="77777777" w:rsidR="00865FDA" w:rsidRPr="00865FDA" w:rsidRDefault="00865FDA" w:rsidP="00865FDA">
            <w:pPr>
              <w:rPr>
                <w:sz w:val="16"/>
                <w:szCs w:val="16"/>
                <w:lang w:eastAsia="tr-TR"/>
              </w:rPr>
            </w:pPr>
            <w:r w:rsidRPr="00865FDA">
              <w:rPr>
                <w:sz w:val="16"/>
                <w:szCs w:val="16"/>
                <w:lang w:eastAsia="tr-TR"/>
              </w:rPr>
              <w:t>Net nazım hesap pozisyonu</w:t>
            </w:r>
          </w:p>
        </w:tc>
        <w:tc>
          <w:tcPr>
            <w:tcW w:w="1299" w:type="dxa"/>
            <w:tcBorders>
              <w:top w:val="nil"/>
              <w:left w:val="nil"/>
              <w:bottom w:val="nil"/>
              <w:right w:val="nil"/>
            </w:tcBorders>
            <w:shd w:val="clear" w:color="auto" w:fill="auto"/>
            <w:vAlign w:val="bottom"/>
            <w:hideMark/>
          </w:tcPr>
          <w:p w14:paraId="7BAAFCA2" w14:textId="77777777" w:rsidR="00865FDA" w:rsidRPr="00865FDA" w:rsidRDefault="00865FDA" w:rsidP="00FC1F5B">
            <w:pPr>
              <w:jc w:val="right"/>
              <w:rPr>
                <w:sz w:val="16"/>
                <w:szCs w:val="16"/>
                <w:lang w:eastAsia="tr-TR"/>
              </w:rPr>
            </w:pPr>
            <w:r w:rsidRPr="00865FDA">
              <w:rPr>
                <w:sz w:val="16"/>
                <w:szCs w:val="16"/>
                <w:lang w:eastAsia="tr-TR"/>
              </w:rPr>
              <w:t>(13,301,845)</w:t>
            </w:r>
          </w:p>
        </w:tc>
        <w:tc>
          <w:tcPr>
            <w:tcW w:w="1299" w:type="dxa"/>
            <w:tcBorders>
              <w:top w:val="nil"/>
              <w:left w:val="nil"/>
              <w:bottom w:val="nil"/>
              <w:right w:val="nil"/>
            </w:tcBorders>
            <w:shd w:val="clear" w:color="auto" w:fill="auto"/>
            <w:vAlign w:val="bottom"/>
            <w:hideMark/>
          </w:tcPr>
          <w:p w14:paraId="69AAC81D" w14:textId="77777777" w:rsidR="00865FDA" w:rsidRPr="00865FDA" w:rsidRDefault="00865FDA" w:rsidP="00FC1F5B">
            <w:pPr>
              <w:jc w:val="right"/>
              <w:rPr>
                <w:sz w:val="16"/>
                <w:szCs w:val="16"/>
                <w:lang w:eastAsia="tr-TR"/>
              </w:rPr>
            </w:pPr>
            <w:r w:rsidRPr="00865FDA">
              <w:rPr>
                <w:sz w:val="16"/>
                <w:szCs w:val="16"/>
                <w:lang w:eastAsia="tr-TR"/>
              </w:rPr>
              <w:t>17,974,376</w:t>
            </w:r>
          </w:p>
        </w:tc>
        <w:tc>
          <w:tcPr>
            <w:tcW w:w="1299" w:type="dxa"/>
            <w:tcBorders>
              <w:top w:val="nil"/>
              <w:left w:val="nil"/>
              <w:bottom w:val="nil"/>
              <w:right w:val="nil"/>
            </w:tcBorders>
            <w:shd w:val="clear" w:color="auto" w:fill="auto"/>
            <w:vAlign w:val="bottom"/>
            <w:hideMark/>
          </w:tcPr>
          <w:p w14:paraId="57CBE4B7" w14:textId="77777777" w:rsidR="00865FDA" w:rsidRPr="00865FDA" w:rsidRDefault="00865FDA" w:rsidP="00FC1F5B">
            <w:pPr>
              <w:jc w:val="right"/>
              <w:rPr>
                <w:sz w:val="16"/>
                <w:szCs w:val="16"/>
                <w:lang w:eastAsia="tr-TR"/>
              </w:rPr>
            </w:pPr>
            <w:r w:rsidRPr="00865FDA">
              <w:rPr>
                <w:sz w:val="16"/>
                <w:szCs w:val="16"/>
                <w:lang w:eastAsia="tr-TR"/>
              </w:rPr>
              <w:t>15,586,109</w:t>
            </w:r>
          </w:p>
        </w:tc>
        <w:tc>
          <w:tcPr>
            <w:tcW w:w="1299" w:type="dxa"/>
            <w:tcBorders>
              <w:top w:val="nil"/>
              <w:left w:val="nil"/>
              <w:bottom w:val="nil"/>
              <w:right w:val="nil"/>
            </w:tcBorders>
            <w:shd w:val="clear" w:color="auto" w:fill="auto"/>
            <w:vAlign w:val="bottom"/>
            <w:hideMark/>
          </w:tcPr>
          <w:p w14:paraId="441214B3" w14:textId="77777777" w:rsidR="00865FDA" w:rsidRPr="00865FDA" w:rsidRDefault="00865FDA" w:rsidP="00FC1F5B">
            <w:pPr>
              <w:jc w:val="right"/>
              <w:rPr>
                <w:sz w:val="16"/>
                <w:szCs w:val="16"/>
                <w:lang w:eastAsia="tr-TR"/>
              </w:rPr>
            </w:pPr>
            <w:r w:rsidRPr="00865FDA">
              <w:rPr>
                <w:sz w:val="16"/>
                <w:szCs w:val="16"/>
                <w:lang w:eastAsia="tr-TR"/>
              </w:rPr>
              <w:t>20,258,640</w:t>
            </w:r>
          </w:p>
        </w:tc>
      </w:tr>
      <w:tr w:rsidR="00865FDA" w:rsidRPr="00865FDA" w14:paraId="52F3FAE6"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406BB76" w14:textId="77777777" w:rsidR="00865FDA" w:rsidRPr="00865FDA" w:rsidRDefault="00865FDA" w:rsidP="00865FDA">
            <w:pPr>
              <w:rPr>
                <w:sz w:val="16"/>
                <w:szCs w:val="16"/>
                <w:lang w:eastAsia="tr-TR"/>
              </w:rPr>
            </w:pPr>
            <w:r w:rsidRPr="00865FDA">
              <w:rPr>
                <w:sz w:val="16"/>
                <w:szCs w:val="16"/>
                <w:lang w:eastAsia="tr-TR"/>
              </w:rPr>
              <w:t>Türev finansal araçlardan alacaklar</w:t>
            </w:r>
          </w:p>
        </w:tc>
        <w:tc>
          <w:tcPr>
            <w:tcW w:w="1299" w:type="dxa"/>
            <w:tcBorders>
              <w:top w:val="nil"/>
              <w:left w:val="nil"/>
              <w:bottom w:val="nil"/>
              <w:right w:val="nil"/>
            </w:tcBorders>
            <w:shd w:val="clear" w:color="auto" w:fill="auto"/>
            <w:vAlign w:val="bottom"/>
            <w:hideMark/>
          </w:tcPr>
          <w:p w14:paraId="61524FFE" w14:textId="77777777" w:rsidR="00865FDA" w:rsidRPr="00865FDA" w:rsidRDefault="00865FDA" w:rsidP="00FC1F5B">
            <w:pPr>
              <w:jc w:val="right"/>
              <w:rPr>
                <w:sz w:val="16"/>
                <w:szCs w:val="16"/>
                <w:lang w:eastAsia="tr-TR"/>
              </w:rPr>
            </w:pPr>
            <w:r w:rsidRPr="00865FDA">
              <w:rPr>
                <w:sz w:val="16"/>
                <w:szCs w:val="16"/>
                <w:lang w:eastAsia="tr-TR"/>
              </w:rPr>
              <w:t>827,584</w:t>
            </w:r>
          </w:p>
        </w:tc>
        <w:tc>
          <w:tcPr>
            <w:tcW w:w="1299" w:type="dxa"/>
            <w:tcBorders>
              <w:top w:val="nil"/>
              <w:left w:val="nil"/>
              <w:bottom w:val="nil"/>
              <w:right w:val="nil"/>
            </w:tcBorders>
            <w:shd w:val="clear" w:color="auto" w:fill="auto"/>
            <w:vAlign w:val="bottom"/>
            <w:hideMark/>
          </w:tcPr>
          <w:p w14:paraId="2DD3B0F8" w14:textId="77777777" w:rsidR="00865FDA" w:rsidRPr="00865FDA" w:rsidRDefault="00865FDA" w:rsidP="00FC1F5B">
            <w:pPr>
              <w:jc w:val="right"/>
              <w:rPr>
                <w:sz w:val="16"/>
                <w:szCs w:val="16"/>
                <w:lang w:eastAsia="tr-TR"/>
              </w:rPr>
            </w:pPr>
            <w:r w:rsidRPr="00865FDA">
              <w:rPr>
                <w:sz w:val="16"/>
                <w:szCs w:val="16"/>
                <w:lang w:eastAsia="tr-TR"/>
              </w:rPr>
              <w:t>25,825,956</w:t>
            </w:r>
          </w:p>
        </w:tc>
        <w:tc>
          <w:tcPr>
            <w:tcW w:w="1299" w:type="dxa"/>
            <w:tcBorders>
              <w:top w:val="nil"/>
              <w:left w:val="nil"/>
              <w:bottom w:val="nil"/>
              <w:right w:val="nil"/>
            </w:tcBorders>
            <w:shd w:val="clear" w:color="auto" w:fill="auto"/>
            <w:vAlign w:val="bottom"/>
            <w:hideMark/>
          </w:tcPr>
          <w:p w14:paraId="2D38F0F0" w14:textId="77777777" w:rsidR="00865FDA" w:rsidRPr="00865FDA" w:rsidRDefault="00865FDA" w:rsidP="00FC1F5B">
            <w:pPr>
              <w:jc w:val="right"/>
              <w:rPr>
                <w:sz w:val="16"/>
                <w:szCs w:val="16"/>
                <w:lang w:eastAsia="tr-TR"/>
              </w:rPr>
            </w:pPr>
            <w:r w:rsidRPr="00865FDA">
              <w:rPr>
                <w:sz w:val="16"/>
                <w:szCs w:val="16"/>
                <w:lang w:eastAsia="tr-TR"/>
              </w:rPr>
              <w:t>17,126,752</w:t>
            </w:r>
          </w:p>
        </w:tc>
        <w:tc>
          <w:tcPr>
            <w:tcW w:w="1299" w:type="dxa"/>
            <w:tcBorders>
              <w:top w:val="nil"/>
              <w:left w:val="nil"/>
              <w:bottom w:val="nil"/>
              <w:right w:val="nil"/>
            </w:tcBorders>
            <w:shd w:val="clear" w:color="auto" w:fill="auto"/>
            <w:vAlign w:val="bottom"/>
            <w:hideMark/>
          </w:tcPr>
          <w:p w14:paraId="7C7FEEAA" w14:textId="77777777" w:rsidR="00865FDA" w:rsidRPr="00865FDA" w:rsidRDefault="00865FDA" w:rsidP="00FC1F5B">
            <w:pPr>
              <w:jc w:val="right"/>
              <w:rPr>
                <w:sz w:val="16"/>
                <w:szCs w:val="16"/>
                <w:lang w:eastAsia="tr-TR"/>
              </w:rPr>
            </w:pPr>
            <w:r w:rsidRPr="00865FDA">
              <w:rPr>
                <w:sz w:val="16"/>
                <w:szCs w:val="16"/>
                <w:lang w:eastAsia="tr-TR"/>
              </w:rPr>
              <w:t>43,780,292</w:t>
            </w:r>
          </w:p>
        </w:tc>
      </w:tr>
      <w:tr w:rsidR="00865FDA" w:rsidRPr="00865FDA" w14:paraId="25A730BA"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74ED2F3B" w14:textId="77777777" w:rsidR="00865FDA" w:rsidRPr="00865FDA" w:rsidRDefault="00865FDA" w:rsidP="00865FDA">
            <w:pPr>
              <w:ind w:firstLineChars="100" w:firstLine="160"/>
              <w:rPr>
                <w:sz w:val="16"/>
                <w:szCs w:val="16"/>
                <w:lang w:eastAsia="tr-TR"/>
              </w:rPr>
            </w:pPr>
            <w:r w:rsidRPr="00865FDA">
              <w:rPr>
                <w:sz w:val="16"/>
                <w:szCs w:val="16"/>
                <w:lang w:eastAsia="tr-TR"/>
              </w:rPr>
              <w:t>Türev finansal araçlardan borçlar</w:t>
            </w:r>
          </w:p>
        </w:tc>
        <w:tc>
          <w:tcPr>
            <w:tcW w:w="1299" w:type="dxa"/>
            <w:tcBorders>
              <w:top w:val="nil"/>
              <w:left w:val="nil"/>
              <w:bottom w:val="nil"/>
              <w:right w:val="nil"/>
            </w:tcBorders>
            <w:shd w:val="clear" w:color="auto" w:fill="auto"/>
            <w:vAlign w:val="bottom"/>
            <w:hideMark/>
          </w:tcPr>
          <w:p w14:paraId="4A39D6EE" w14:textId="77777777" w:rsidR="00865FDA" w:rsidRPr="00865FDA" w:rsidRDefault="00865FDA" w:rsidP="00FC1F5B">
            <w:pPr>
              <w:jc w:val="right"/>
              <w:rPr>
                <w:sz w:val="16"/>
                <w:szCs w:val="16"/>
                <w:lang w:eastAsia="tr-TR"/>
              </w:rPr>
            </w:pPr>
            <w:r w:rsidRPr="00865FDA">
              <w:rPr>
                <w:sz w:val="16"/>
                <w:szCs w:val="16"/>
                <w:lang w:eastAsia="tr-TR"/>
              </w:rPr>
              <w:t>14,129,429</w:t>
            </w:r>
          </w:p>
        </w:tc>
        <w:tc>
          <w:tcPr>
            <w:tcW w:w="1299" w:type="dxa"/>
            <w:tcBorders>
              <w:top w:val="nil"/>
              <w:left w:val="nil"/>
              <w:bottom w:val="nil"/>
              <w:right w:val="nil"/>
            </w:tcBorders>
            <w:shd w:val="clear" w:color="auto" w:fill="auto"/>
            <w:vAlign w:val="bottom"/>
            <w:hideMark/>
          </w:tcPr>
          <w:p w14:paraId="27F742E7" w14:textId="77777777" w:rsidR="00865FDA" w:rsidRPr="00865FDA" w:rsidRDefault="00865FDA" w:rsidP="00FC1F5B">
            <w:pPr>
              <w:jc w:val="right"/>
              <w:rPr>
                <w:sz w:val="16"/>
                <w:szCs w:val="16"/>
                <w:lang w:eastAsia="tr-TR"/>
              </w:rPr>
            </w:pPr>
            <w:r w:rsidRPr="00865FDA">
              <w:rPr>
                <w:sz w:val="16"/>
                <w:szCs w:val="16"/>
                <w:lang w:eastAsia="tr-TR"/>
              </w:rPr>
              <w:t>7,851,580</w:t>
            </w:r>
          </w:p>
        </w:tc>
        <w:tc>
          <w:tcPr>
            <w:tcW w:w="1299" w:type="dxa"/>
            <w:tcBorders>
              <w:top w:val="nil"/>
              <w:left w:val="nil"/>
              <w:bottom w:val="nil"/>
              <w:right w:val="nil"/>
            </w:tcBorders>
            <w:shd w:val="clear" w:color="auto" w:fill="auto"/>
            <w:vAlign w:val="bottom"/>
            <w:hideMark/>
          </w:tcPr>
          <w:p w14:paraId="53CE549C" w14:textId="77777777" w:rsidR="00865FDA" w:rsidRPr="00865FDA" w:rsidRDefault="00865FDA" w:rsidP="00FC1F5B">
            <w:pPr>
              <w:jc w:val="right"/>
              <w:rPr>
                <w:sz w:val="16"/>
                <w:szCs w:val="16"/>
                <w:lang w:eastAsia="tr-TR"/>
              </w:rPr>
            </w:pPr>
            <w:r w:rsidRPr="00865FDA">
              <w:rPr>
                <w:sz w:val="16"/>
                <w:szCs w:val="16"/>
                <w:lang w:eastAsia="tr-TR"/>
              </w:rPr>
              <w:t>1,540,643</w:t>
            </w:r>
          </w:p>
        </w:tc>
        <w:tc>
          <w:tcPr>
            <w:tcW w:w="1299" w:type="dxa"/>
            <w:tcBorders>
              <w:top w:val="nil"/>
              <w:left w:val="nil"/>
              <w:bottom w:val="nil"/>
              <w:right w:val="nil"/>
            </w:tcBorders>
            <w:shd w:val="clear" w:color="auto" w:fill="auto"/>
            <w:vAlign w:val="bottom"/>
            <w:hideMark/>
          </w:tcPr>
          <w:p w14:paraId="2D90C375" w14:textId="77777777" w:rsidR="00865FDA" w:rsidRPr="00865FDA" w:rsidRDefault="00865FDA" w:rsidP="00FC1F5B">
            <w:pPr>
              <w:jc w:val="right"/>
              <w:rPr>
                <w:sz w:val="16"/>
                <w:szCs w:val="16"/>
                <w:lang w:eastAsia="tr-TR"/>
              </w:rPr>
            </w:pPr>
            <w:r w:rsidRPr="00865FDA">
              <w:rPr>
                <w:sz w:val="16"/>
                <w:szCs w:val="16"/>
                <w:lang w:eastAsia="tr-TR"/>
              </w:rPr>
              <w:t>23,521,652</w:t>
            </w:r>
          </w:p>
        </w:tc>
      </w:tr>
      <w:tr w:rsidR="00865FDA" w:rsidRPr="00865FDA" w14:paraId="5824D013"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A052584" w14:textId="77777777" w:rsidR="00865FDA" w:rsidRPr="00865FDA" w:rsidRDefault="00865FDA" w:rsidP="00865FDA">
            <w:pPr>
              <w:ind w:firstLineChars="100" w:firstLine="160"/>
              <w:rPr>
                <w:sz w:val="16"/>
                <w:szCs w:val="16"/>
                <w:lang w:eastAsia="tr-TR"/>
              </w:rPr>
            </w:pPr>
            <w:proofErr w:type="spellStart"/>
            <w:r w:rsidRPr="00865FDA">
              <w:rPr>
                <w:sz w:val="16"/>
                <w:szCs w:val="16"/>
                <w:lang w:eastAsia="tr-TR"/>
              </w:rPr>
              <w:t>Gayrinakdi</w:t>
            </w:r>
            <w:proofErr w:type="spellEnd"/>
            <w:r w:rsidRPr="00865FDA">
              <w:rPr>
                <w:sz w:val="16"/>
                <w:szCs w:val="16"/>
                <w:lang w:eastAsia="tr-TR"/>
              </w:rPr>
              <w:t xml:space="preserve"> krediler (***)</w:t>
            </w:r>
          </w:p>
        </w:tc>
        <w:tc>
          <w:tcPr>
            <w:tcW w:w="1299" w:type="dxa"/>
            <w:tcBorders>
              <w:top w:val="nil"/>
              <w:left w:val="nil"/>
              <w:bottom w:val="nil"/>
              <w:right w:val="nil"/>
            </w:tcBorders>
            <w:shd w:val="clear" w:color="auto" w:fill="auto"/>
            <w:vAlign w:val="bottom"/>
            <w:hideMark/>
          </w:tcPr>
          <w:p w14:paraId="527CF98A" w14:textId="77777777" w:rsidR="00865FDA" w:rsidRPr="00865FDA" w:rsidRDefault="00865FDA" w:rsidP="00FC1F5B">
            <w:pPr>
              <w:jc w:val="right"/>
              <w:rPr>
                <w:sz w:val="16"/>
                <w:szCs w:val="16"/>
                <w:lang w:eastAsia="tr-TR"/>
              </w:rPr>
            </w:pPr>
            <w:r w:rsidRPr="00865FDA">
              <w:rPr>
                <w:sz w:val="16"/>
                <w:szCs w:val="16"/>
                <w:lang w:eastAsia="tr-TR"/>
              </w:rPr>
              <w:t>2,135,761</w:t>
            </w:r>
          </w:p>
        </w:tc>
        <w:tc>
          <w:tcPr>
            <w:tcW w:w="1299" w:type="dxa"/>
            <w:tcBorders>
              <w:top w:val="nil"/>
              <w:left w:val="nil"/>
              <w:bottom w:val="nil"/>
              <w:right w:val="nil"/>
            </w:tcBorders>
            <w:shd w:val="clear" w:color="auto" w:fill="auto"/>
            <w:vAlign w:val="bottom"/>
            <w:hideMark/>
          </w:tcPr>
          <w:p w14:paraId="1F7E1301" w14:textId="77777777" w:rsidR="00865FDA" w:rsidRPr="00865FDA" w:rsidRDefault="00865FDA" w:rsidP="00FC1F5B">
            <w:pPr>
              <w:jc w:val="right"/>
              <w:rPr>
                <w:sz w:val="16"/>
                <w:szCs w:val="16"/>
                <w:lang w:eastAsia="tr-TR"/>
              </w:rPr>
            </w:pPr>
            <w:r w:rsidRPr="00865FDA">
              <w:rPr>
                <w:sz w:val="16"/>
                <w:szCs w:val="16"/>
                <w:lang w:eastAsia="tr-TR"/>
              </w:rPr>
              <w:t>2,447,892</w:t>
            </w:r>
          </w:p>
        </w:tc>
        <w:tc>
          <w:tcPr>
            <w:tcW w:w="1299" w:type="dxa"/>
            <w:tcBorders>
              <w:top w:val="nil"/>
              <w:left w:val="nil"/>
              <w:bottom w:val="nil"/>
              <w:right w:val="nil"/>
            </w:tcBorders>
            <w:shd w:val="clear" w:color="auto" w:fill="auto"/>
            <w:vAlign w:val="bottom"/>
            <w:hideMark/>
          </w:tcPr>
          <w:p w14:paraId="42ABC81B" w14:textId="77777777" w:rsidR="00865FDA" w:rsidRPr="00865FDA" w:rsidRDefault="00865FDA" w:rsidP="00FC1F5B">
            <w:pPr>
              <w:jc w:val="right"/>
              <w:rPr>
                <w:sz w:val="16"/>
                <w:szCs w:val="16"/>
                <w:lang w:eastAsia="tr-TR"/>
              </w:rPr>
            </w:pPr>
            <w:r w:rsidRPr="00865FDA">
              <w:rPr>
                <w:sz w:val="16"/>
                <w:szCs w:val="16"/>
                <w:lang w:eastAsia="tr-TR"/>
              </w:rPr>
              <w:t>655,331</w:t>
            </w:r>
          </w:p>
        </w:tc>
        <w:tc>
          <w:tcPr>
            <w:tcW w:w="1299" w:type="dxa"/>
            <w:tcBorders>
              <w:top w:val="nil"/>
              <w:left w:val="nil"/>
              <w:bottom w:val="nil"/>
              <w:right w:val="nil"/>
            </w:tcBorders>
            <w:shd w:val="clear" w:color="auto" w:fill="auto"/>
            <w:vAlign w:val="bottom"/>
            <w:hideMark/>
          </w:tcPr>
          <w:p w14:paraId="53289D3B" w14:textId="77777777" w:rsidR="00865FDA" w:rsidRPr="00865FDA" w:rsidRDefault="00865FDA" w:rsidP="00FC1F5B">
            <w:pPr>
              <w:jc w:val="right"/>
              <w:rPr>
                <w:sz w:val="16"/>
                <w:szCs w:val="16"/>
                <w:lang w:eastAsia="tr-TR"/>
              </w:rPr>
            </w:pPr>
            <w:r w:rsidRPr="00865FDA">
              <w:rPr>
                <w:sz w:val="16"/>
                <w:szCs w:val="16"/>
                <w:lang w:eastAsia="tr-TR"/>
              </w:rPr>
              <w:t>5,238,984</w:t>
            </w:r>
          </w:p>
        </w:tc>
      </w:tr>
      <w:tr w:rsidR="00865FDA" w:rsidRPr="00865FDA" w14:paraId="15B68608"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74F5B78" w14:textId="77777777" w:rsidR="00865FDA" w:rsidRPr="00865FDA" w:rsidRDefault="00865FDA" w:rsidP="00865FDA">
            <w:pPr>
              <w:rPr>
                <w:sz w:val="16"/>
                <w:szCs w:val="16"/>
                <w:lang w:eastAsia="tr-TR"/>
              </w:rPr>
            </w:pPr>
          </w:p>
        </w:tc>
        <w:tc>
          <w:tcPr>
            <w:tcW w:w="1299" w:type="dxa"/>
            <w:tcBorders>
              <w:top w:val="nil"/>
              <w:left w:val="nil"/>
              <w:bottom w:val="nil"/>
              <w:right w:val="nil"/>
            </w:tcBorders>
            <w:shd w:val="clear" w:color="auto" w:fill="auto"/>
            <w:vAlign w:val="bottom"/>
            <w:hideMark/>
          </w:tcPr>
          <w:p w14:paraId="5A74DA04"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4FDCB9F9"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61D75C39"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1DF9DD96" w14:textId="77777777" w:rsidR="00865FDA" w:rsidRPr="00865FDA" w:rsidRDefault="00865FDA" w:rsidP="00FC1F5B">
            <w:pPr>
              <w:jc w:val="right"/>
              <w:rPr>
                <w:lang w:eastAsia="tr-TR"/>
              </w:rPr>
            </w:pPr>
          </w:p>
        </w:tc>
      </w:tr>
      <w:tr w:rsidR="00865FDA" w:rsidRPr="00865FDA" w14:paraId="1D710583" w14:textId="77777777" w:rsidTr="00FC1F5B">
        <w:trPr>
          <w:divId w:val="858160741"/>
          <w:trHeight w:val="213"/>
        </w:trPr>
        <w:tc>
          <w:tcPr>
            <w:tcW w:w="4253" w:type="dxa"/>
            <w:tcBorders>
              <w:top w:val="nil"/>
              <w:left w:val="nil"/>
              <w:bottom w:val="nil"/>
              <w:right w:val="nil"/>
            </w:tcBorders>
            <w:shd w:val="clear" w:color="auto" w:fill="auto"/>
            <w:vAlign w:val="center"/>
            <w:hideMark/>
          </w:tcPr>
          <w:p w14:paraId="16409FC6" w14:textId="77777777" w:rsidR="00865FDA" w:rsidRPr="00865FDA" w:rsidRDefault="00865FDA" w:rsidP="00865FDA">
            <w:pPr>
              <w:rPr>
                <w:b/>
                <w:bCs/>
                <w:sz w:val="18"/>
                <w:szCs w:val="18"/>
                <w:lang w:eastAsia="tr-TR"/>
              </w:rPr>
            </w:pPr>
            <w:r w:rsidRPr="00865FDA">
              <w:rPr>
                <w:b/>
                <w:bCs/>
                <w:sz w:val="18"/>
                <w:szCs w:val="18"/>
                <w:lang w:eastAsia="tr-TR"/>
              </w:rPr>
              <w:t>Önceki Dönem</w:t>
            </w:r>
          </w:p>
        </w:tc>
        <w:tc>
          <w:tcPr>
            <w:tcW w:w="1299" w:type="dxa"/>
            <w:tcBorders>
              <w:top w:val="nil"/>
              <w:left w:val="nil"/>
              <w:bottom w:val="nil"/>
              <w:right w:val="nil"/>
            </w:tcBorders>
            <w:shd w:val="clear" w:color="auto" w:fill="auto"/>
            <w:vAlign w:val="bottom"/>
            <w:hideMark/>
          </w:tcPr>
          <w:p w14:paraId="483E319E" w14:textId="77777777" w:rsidR="00865FDA" w:rsidRPr="00865FDA" w:rsidRDefault="00865FDA" w:rsidP="00FC1F5B">
            <w:pPr>
              <w:jc w:val="right"/>
              <w:rPr>
                <w:b/>
                <w:bCs/>
                <w:sz w:val="18"/>
                <w:szCs w:val="18"/>
                <w:lang w:eastAsia="tr-TR"/>
              </w:rPr>
            </w:pPr>
          </w:p>
        </w:tc>
        <w:tc>
          <w:tcPr>
            <w:tcW w:w="1299" w:type="dxa"/>
            <w:tcBorders>
              <w:top w:val="nil"/>
              <w:left w:val="nil"/>
              <w:bottom w:val="nil"/>
              <w:right w:val="nil"/>
            </w:tcBorders>
            <w:shd w:val="clear" w:color="auto" w:fill="auto"/>
            <w:vAlign w:val="bottom"/>
            <w:hideMark/>
          </w:tcPr>
          <w:p w14:paraId="15024734"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13725056" w14:textId="77777777" w:rsidR="00865FDA" w:rsidRPr="00865FDA" w:rsidRDefault="00865FDA" w:rsidP="00FC1F5B">
            <w:pPr>
              <w:jc w:val="right"/>
              <w:rPr>
                <w:lang w:eastAsia="tr-TR"/>
              </w:rPr>
            </w:pPr>
          </w:p>
        </w:tc>
        <w:tc>
          <w:tcPr>
            <w:tcW w:w="1299" w:type="dxa"/>
            <w:tcBorders>
              <w:top w:val="nil"/>
              <w:left w:val="nil"/>
              <w:bottom w:val="nil"/>
              <w:right w:val="nil"/>
            </w:tcBorders>
            <w:shd w:val="clear" w:color="auto" w:fill="auto"/>
            <w:vAlign w:val="bottom"/>
            <w:hideMark/>
          </w:tcPr>
          <w:p w14:paraId="2380C0CC" w14:textId="77777777" w:rsidR="00865FDA" w:rsidRPr="00865FDA" w:rsidRDefault="00865FDA" w:rsidP="00FC1F5B">
            <w:pPr>
              <w:jc w:val="right"/>
              <w:rPr>
                <w:lang w:eastAsia="tr-TR"/>
              </w:rPr>
            </w:pPr>
          </w:p>
        </w:tc>
      </w:tr>
      <w:tr w:rsidR="00865FDA" w:rsidRPr="00865FDA" w14:paraId="543FB3BD"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13ED3D4C" w14:textId="77777777" w:rsidR="00865FDA" w:rsidRPr="00865FDA" w:rsidRDefault="00865FDA" w:rsidP="00865FDA">
            <w:pPr>
              <w:ind w:firstLineChars="100" w:firstLine="160"/>
              <w:rPr>
                <w:sz w:val="16"/>
                <w:szCs w:val="16"/>
                <w:lang w:eastAsia="tr-TR"/>
              </w:rPr>
            </w:pPr>
            <w:r w:rsidRPr="00865FDA">
              <w:rPr>
                <w:sz w:val="16"/>
                <w:szCs w:val="16"/>
                <w:lang w:eastAsia="tr-TR"/>
              </w:rPr>
              <w:t xml:space="preserve">Toplam varlıklar </w:t>
            </w:r>
          </w:p>
        </w:tc>
        <w:tc>
          <w:tcPr>
            <w:tcW w:w="1299" w:type="dxa"/>
            <w:tcBorders>
              <w:top w:val="nil"/>
              <w:left w:val="nil"/>
              <w:bottom w:val="nil"/>
              <w:right w:val="nil"/>
            </w:tcBorders>
            <w:shd w:val="clear" w:color="auto" w:fill="auto"/>
            <w:vAlign w:val="bottom"/>
            <w:hideMark/>
          </w:tcPr>
          <w:p w14:paraId="0F5543C3" w14:textId="77777777" w:rsidR="00865FDA" w:rsidRPr="00865FDA" w:rsidRDefault="00865FDA" w:rsidP="00FC1F5B">
            <w:pPr>
              <w:jc w:val="right"/>
              <w:rPr>
                <w:sz w:val="16"/>
                <w:szCs w:val="16"/>
                <w:lang w:eastAsia="tr-TR"/>
              </w:rPr>
            </w:pPr>
            <w:r w:rsidRPr="00865FDA">
              <w:rPr>
                <w:sz w:val="16"/>
                <w:szCs w:val="16"/>
                <w:lang w:eastAsia="tr-TR"/>
              </w:rPr>
              <w:t>29,683,514</w:t>
            </w:r>
          </w:p>
        </w:tc>
        <w:tc>
          <w:tcPr>
            <w:tcW w:w="1299" w:type="dxa"/>
            <w:tcBorders>
              <w:top w:val="nil"/>
              <w:left w:val="nil"/>
              <w:bottom w:val="nil"/>
              <w:right w:val="nil"/>
            </w:tcBorders>
            <w:shd w:val="clear" w:color="auto" w:fill="auto"/>
            <w:vAlign w:val="bottom"/>
            <w:hideMark/>
          </w:tcPr>
          <w:p w14:paraId="55153753" w14:textId="77777777" w:rsidR="00865FDA" w:rsidRPr="00865FDA" w:rsidRDefault="00865FDA" w:rsidP="00FC1F5B">
            <w:pPr>
              <w:jc w:val="right"/>
              <w:rPr>
                <w:sz w:val="16"/>
                <w:szCs w:val="16"/>
                <w:lang w:eastAsia="tr-TR"/>
              </w:rPr>
            </w:pPr>
            <w:r w:rsidRPr="00865FDA">
              <w:rPr>
                <w:sz w:val="16"/>
                <w:szCs w:val="16"/>
                <w:lang w:eastAsia="tr-TR"/>
              </w:rPr>
              <w:t>25,876,253</w:t>
            </w:r>
          </w:p>
        </w:tc>
        <w:tc>
          <w:tcPr>
            <w:tcW w:w="1299" w:type="dxa"/>
            <w:tcBorders>
              <w:top w:val="nil"/>
              <w:left w:val="nil"/>
              <w:bottom w:val="nil"/>
              <w:right w:val="nil"/>
            </w:tcBorders>
            <w:shd w:val="clear" w:color="auto" w:fill="auto"/>
            <w:vAlign w:val="bottom"/>
            <w:hideMark/>
          </w:tcPr>
          <w:p w14:paraId="29F860CB" w14:textId="77777777" w:rsidR="00865FDA" w:rsidRPr="00865FDA" w:rsidRDefault="00865FDA" w:rsidP="00FC1F5B">
            <w:pPr>
              <w:jc w:val="right"/>
              <w:rPr>
                <w:sz w:val="16"/>
                <w:szCs w:val="16"/>
                <w:lang w:eastAsia="tr-TR"/>
              </w:rPr>
            </w:pPr>
            <w:r w:rsidRPr="00865FDA">
              <w:rPr>
                <w:sz w:val="16"/>
                <w:szCs w:val="16"/>
                <w:lang w:eastAsia="tr-TR"/>
              </w:rPr>
              <w:t>11,234,038</w:t>
            </w:r>
          </w:p>
        </w:tc>
        <w:tc>
          <w:tcPr>
            <w:tcW w:w="1299" w:type="dxa"/>
            <w:tcBorders>
              <w:top w:val="nil"/>
              <w:left w:val="nil"/>
              <w:bottom w:val="nil"/>
              <w:right w:val="nil"/>
            </w:tcBorders>
            <w:shd w:val="clear" w:color="auto" w:fill="auto"/>
            <w:vAlign w:val="bottom"/>
            <w:hideMark/>
          </w:tcPr>
          <w:p w14:paraId="38A605F7" w14:textId="77777777" w:rsidR="00865FDA" w:rsidRPr="00865FDA" w:rsidRDefault="00865FDA" w:rsidP="00FC1F5B">
            <w:pPr>
              <w:jc w:val="right"/>
              <w:rPr>
                <w:sz w:val="16"/>
                <w:szCs w:val="16"/>
                <w:lang w:eastAsia="tr-TR"/>
              </w:rPr>
            </w:pPr>
            <w:r w:rsidRPr="00865FDA">
              <w:rPr>
                <w:sz w:val="16"/>
                <w:szCs w:val="16"/>
                <w:lang w:eastAsia="tr-TR"/>
              </w:rPr>
              <w:t>66,793,805</w:t>
            </w:r>
          </w:p>
        </w:tc>
      </w:tr>
      <w:tr w:rsidR="00865FDA" w:rsidRPr="00865FDA" w14:paraId="5A537F29"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2ADF3FCA" w14:textId="77777777" w:rsidR="00865FDA" w:rsidRPr="00865FDA" w:rsidRDefault="00865FDA" w:rsidP="00865FDA">
            <w:pPr>
              <w:ind w:firstLineChars="100" w:firstLine="160"/>
              <w:rPr>
                <w:sz w:val="16"/>
                <w:szCs w:val="16"/>
                <w:lang w:eastAsia="tr-TR"/>
              </w:rPr>
            </w:pPr>
            <w:r w:rsidRPr="00865FDA">
              <w:rPr>
                <w:sz w:val="16"/>
                <w:szCs w:val="16"/>
                <w:lang w:eastAsia="tr-TR"/>
              </w:rPr>
              <w:t xml:space="preserve">Toplam yükümlülükler </w:t>
            </w:r>
          </w:p>
        </w:tc>
        <w:tc>
          <w:tcPr>
            <w:tcW w:w="1299" w:type="dxa"/>
            <w:tcBorders>
              <w:top w:val="nil"/>
              <w:left w:val="nil"/>
              <w:bottom w:val="nil"/>
              <w:right w:val="nil"/>
            </w:tcBorders>
            <w:shd w:val="clear" w:color="auto" w:fill="auto"/>
            <w:vAlign w:val="bottom"/>
            <w:hideMark/>
          </w:tcPr>
          <w:p w14:paraId="519EF1F6" w14:textId="77777777" w:rsidR="00865FDA" w:rsidRPr="00865FDA" w:rsidRDefault="00865FDA" w:rsidP="00FC1F5B">
            <w:pPr>
              <w:jc w:val="right"/>
              <w:rPr>
                <w:sz w:val="16"/>
                <w:szCs w:val="16"/>
                <w:lang w:eastAsia="tr-TR"/>
              </w:rPr>
            </w:pPr>
            <w:r w:rsidRPr="00865FDA">
              <w:rPr>
                <w:sz w:val="16"/>
                <w:szCs w:val="16"/>
                <w:lang w:eastAsia="tr-TR"/>
              </w:rPr>
              <w:t>9,709,954</w:t>
            </w:r>
          </w:p>
        </w:tc>
        <w:tc>
          <w:tcPr>
            <w:tcW w:w="1299" w:type="dxa"/>
            <w:tcBorders>
              <w:top w:val="nil"/>
              <w:left w:val="nil"/>
              <w:bottom w:val="nil"/>
              <w:right w:val="nil"/>
            </w:tcBorders>
            <w:shd w:val="clear" w:color="auto" w:fill="auto"/>
            <w:vAlign w:val="bottom"/>
            <w:hideMark/>
          </w:tcPr>
          <w:p w14:paraId="59B55271" w14:textId="77777777" w:rsidR="00865FDA" w:rsidRPr="00865FDA" w:rsidRDefault="00865FDA" w:rsidP="00FC1F5B">
            <w:pPr>
              <w:jc w:val="right"/>
              <w:rPr>
                <w:sz w:val="16"/>
                <w:szCs w:val="16"/>
                <w:lang w:eastAsia="tr-TR"/>
              </w:rPr>
            </w:pPr>
            <w:r w:rsidRPr="00865FDA">
              <w:rPr>
                <w:sz w:val="16"/>
                <w:szCs w:val="16"/>
                <w:lang w:eastAsia="tr-TR"/>
              </w:rPr>
              <w:t>36,648,855</w:t>
            </w:r>
          </w:p>
        </w:tc>
        <w:tc>
          <w:tcPr>
            <w:tcW w:w="1299" w:type="dxa"/>
            <w:tcBorders>
              <w:top w:val="nil"/>
              <w:left w:val="nil"/>
              <w:bottom w:val="nil"/>
              <w:right w:val="nil"/>
            </w:tcBorders>
            <w:shd w:val="clear" w:color="auto" w:fill="auto"/>
            <w:vAlign w:val="bottom"/>
            <w:hideMark/>
          </w:tcPr>
          <w:p w14:paraId="1C289E5B" w14:textId="77777777" w:rsidR="00865FDA" w:rsidRPr="00865FDA" w:rsidRDefault="00865FDA" w:rsidP="00FC1F5B">
            <w:pPr>
              <w:jc w:val="right"/>
              <w:rPr>
                <w:sz w:val="16"/>
                <w:szCs w:val="16"/>
                <w:lang w:eastAsia="tr-TR"/>
              </w:rPr>
            </w:pPr>
            <w:r w:rsidRPr="00865FDA">
              <w:rPr>
                <w:sz w:val="16"/>
                <w:szCs w:val="16"/>
                <w:lang w:eastAsia="tr-TR"/>
              </w:rPr>
              <w:t>12,182,223</w:t>
            </w:r>
          </w:p>
        </w:tc>
        <w:tc>
          <w:tcPr>
            <w:tcW w:w="1299" w:type="dxa"/>
            <w:tcBorders>
              <w:top w:val="nil"/>
              <w:left w:val="nil"/>
              <w:bottom w:val="nil"/>
              <w:right w:val="nil"/>
            </w:tcBorders>
            <w:shd w:val="clear" w:color="auto" w:fill="auto"/>
            <w:vAlign w:val="bottom"/>
            <w:hideMark/>
          </w:tcPr>
          <w:p w14:paraId="5D4FD2B6" w14:textId="77777777" w:rsidR="00865FDA" w:rsidRPr="00865FDA" w:rsidRDefault="00865FDA" w:rsidP="00FC1F5B">
            <w:pPr>
              <w:jc w:val="right"/>
              <w:rPr>
                <w:sz w:val="16"/>
                <w:szCs w:val="16"/>
                <w:lang w:eastAsia="tr-TR"/>
              </w:rPr>
            </w:pPr>
            <w:r w:rsidRPr="00865FDA">
              <w:rPr>
                <w:sz w:val="16"/>
                <w:szCs w:val="16"/>
                <w:lang w:eastAsia="tr-TR"/>
              </w:rPr>
              <w:t>58,541,032</w:t>
            </w:r>
          </w:p>
        </w:tc>
      </w:tr>
      <w:tr w:rsidR="00865FDA" w:rsidRPr="00865FDA" w14:paraId="1C48DCF6"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50422913" w14:textId="77777777" w:rsidR="00865FDA" w:rsidRPr="00865FDA" w:rsidRDefault="00865FDA" w:rsidP="00865FDA">
            <w:pPr>
              <w:rPr>
                <w:sz w:val="16"/>
                <w:szCs w:val="16"/>
                <w:lang w:eastAsia="tr-TR"/>
              </w:rPr>
            </w:pPr>
            <w:r w:rsidRPr="00865FDA">
              <w:rPr>
                <w:sz w:val="16"/>
                <w:szCs w:val="16"/>
                <w:lang w:eastAsia="tr-TR"/>
              </w:rPr>
              <w:t>Net bilanço pozisyonu</w:t>
            </w:r>
          </w:p>
        </w:tc>
        <w:tc>
          <w:tcPr>
            <w:tcW w:w="1299" w:type="dxa"/>
            <w:tcBorders>
              <w:top w:val="nil"/>
              <w:left w:val="nil"/>
              <w:bottom w:val="nil"/>
              <w:right w:val="nil"/>
            </w:tcBorders>
            <w:shd w:val="clear" w:color="auto" w:fill="auto"/>
            <w:vAlign w:val="bottom"/>
            <w:hideMark/>
          </w:tcPr>
          <w:p w14:paraId="152EAE4C" w14:textId="77777777" w:rsidR="00865FDA" w:rsidRPr="00865FDA" w:rsidRDefault="00865FDA" w:rsidP="00FC1F5B">
            <w:pPr>
              <w:jc w:val="right"/>
              <w:rPr>
                <w:sz w:val="16"/>
                <w:szCs w:val="16"/>
                <w:lang w:eastAsia="tr-TR"/>
              </w:rPr>
            </w:pPr>
            <w:r w:rsidRPr="00865FDA">
              <w:rPr>
                <w:sz w:val="16"/>
                <w:szCs w:val="16"/>
                <w:lang w:eastAsia="tr-TR"/>
              </w:rPr>
              <w:t>19,973,560</w:t>
            </w:r>
          </w:p>
        </w:tc>
        <w:tc>
          <w:tcPr>
            <w:tcW w:w="1299" w:type="dxa"/>
            <w:tcBorders>
              <w:top w:val="nil"/>
              <w:left w:val="nil"/>
              <w:bottom w:val="nil"/>
              <w:right w:val="nil"/>
            </w:tcBorders>
            <w:shd w:val="clear" w:color="auto" w:fill="auto"/>
            <w:vAlign w:val="bottom"/>
            <w:hideMark/>
          </w:tcPr>
          <w:p w14:paraId="3AE15EC5" w14:textId="77777777" w:rsidR="00865FDA" w:rsidRPr="00865FDA" w:rsidRDefault="00865FDA" w:rsidP="00FC1F5B">
            <w:pPr>
              <w:jc w:val="right"/>
              <w:rPr>
                <w:sz w:val="16"/>
                <w:szCs w:val="16"/>
                <w:lang w:eastAsia="tr-TR"/>
              </w:rPr>
            </w:pPr>
            <w:r w:rsidRPr="00865FDA">
              <w:rPr>
                <w:sz w:val="16"/>
                <w:szCs w:val="16"/>
                <w:lang w:eastAsia="tr-TR"/>
              </w:rPr>
              <w:t>(10,772,602)</w:t>
            </w:r>
          </w:p>
        </w:tc>
        <w:tc>
          <w:tcPr>
            <w:tcW w:w="1299" w:type="dxa"/>
            <w:tcBorders>
              <w:top w:val="nil"/>
              <w:left w:val="nil"/>
              <w:bottom w:val="nil"/>
              <w:right w:val="nil"/>
            </w:tcBorders>
            <w:shd w:val="clear" w:color="auto" w:fill="auto"/>
            <w:vAlign w:val="bottom"/>
            <w:hideMark/>
          </w:tcPr>
          <w:p w14:paraId="72FD7824" w14:textId="77777777" w:rsidR="00865FDA" w:rsidRPr="00865FDA" w:rsidRDefault="00865FDA" w:rsidP="00FC1F5B">
            <w:pPr>
              <w:jc w:val="right"/>
              <w:rPr>
                <w:sz w:val="16"/>
                <w:szCs w:val="16"/>
                <w:lang w:eastAsia="tr-TR"/>
              </w:rPr>
            </w:pPr>
            <w:r w:rsidRPr="00865FDA">
              <w:rPr>
                <w:sz w:val="16"/>
                <w:szCs w:val="16"/>
                <w:lang w:eastAsia="tr-TR"/>
              </w:rPr>
              <w:t>(948,185)</w:t>
            </w:r>
          </w:p>
        </w:tc>
        <w:tc>
          <w:tcPr>
            <w:tcW w:w="1299" w:type="dxa"/>
            <w:tcBorders>
              <w:top w:val="nil"/>
              <w:left w:val="nil"/>
              <w:bottom w:val="nil"/>
              <w:right w:val="nil"/>
            </w:tcBorders>
            <w:shd w:val="clear" w:color="auto" w:fill="auto"/>
            <w:vAlign w:val="bottom"/>
            <w:hideMark/>
          </w:tcPr>
          <w:p w14:paraId="00F6EF59" w14:textId="77777777" w:rsidR="00865FDA" w:rsidRPr="00865FDA" w:rsidRDefault="00865FDA" w:rsidP="00FC1F5B">
            <w:pPr>
              <w:jc w:val="right"/>
              <w:rPr>
                <w:sz w:val="16"/>
                <w:szCs w:val="16"/>
                <w:lang w:eastAsia="tr-TR"/>
              </w:rPr>
            </w:pPr>
            <w:r w:rsidRPr="00865FDA">
              <w:rPr>
                <w:sz w:val="16"/>
                <w:szCs w:val="16"/>
                <w:lang w:eastAsia="tr-TR"/>
              </w:rPr>
              <w:t>8,252,773</w:t>
            </w:r>
          </w:p>
        </w:tc>
      </w:tr>
      <w:tr w:rsidR="00865FDA" w:rsidRPr="00865FDA" w14:paraId="74A1A0DA"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3251829D" w14:textId="77777777" w:rsidR="00865FDA" w:rsidRPr="00865FDA" w:rsidRDefault="00865FDA" w:rsidP="00865FDA">
            <w:pPr>
              <w:rPr>
                <w:sz w:val="16"/>
                <w:szCs w:val="16"/>
                <w:lang w:eastAsia="tr-TR"/>
              </w:rPr>
            </w:pPr>
            <w:r w:rsidRPr="00865FDA">
              <w:rPr>
                <w:sz w:val="16"/>
                <w:szCs w:val="16"/>
                <w:lang w:eastAsia="tr-TR"/>
              </w:rPr>
              <w:t>Net bilanço dışı pozisyon</w:t>
            </w:r>
          </w:p>
        </w:tc>
        <w:tc>
          <w:tcPr>
            <w:tcW w:w="1299" w:type="dxa"/>
            <w:tcBorders>
              <w:top w:val="nil"/>
              <w:left w:val="nil"/>
              <w:bottom w:val="nil"/>
              <w:right w:val="nil"/>
            </w:tcBorders>
            <w:shd w:val="clear" w:color="auto" w:fill="auto"/>
            <w:vAlign w:val="bottom"/>
            <w:hideMark/>
          </w:tcPr>
          <w:p w14:paraId="7C0C9DAE" w14:textId="77777777" w:rsidR="00865FDA" w:rsidRPr="00865FDA" w:rsidRDefault="00865FDA" w:rsidP="00FC1F5B">
            <w:pPr>
              <w:jc w:val="right"/>
              <w:rPr>
                <w:sz w:val="16"/>
                <w:szCs w:val="16"/>
                <w:lang w:eastAsia="tr-TR"/>
              </w:rPr>
            </w:pPr>
            <w:r w:rsidRPr="00865FDA">
              <w:rPr>
                <w:sz w:val="16"/>
                <w:szCs w:val="16"/>
                <w:lang w:eastAsia="tr-TR"/>
              </w:rPr>
              <w:t>(20,055,534)</w:t>
            </w:r>
          </w:p>
        </w:tc>
        <w:tc>
          <w:tcPr>
            <w:tcW w:w="1299" w:type="dxa"/>
            <w:tcBorders>
              <w:top w:val="nil"/>
              <w:left w:val="nil"/>
              <w:bottom w:val="nil"/>
              <w:right w:val="nil"/>
            </w:tcBorders>
            <w:shd w:val="clear" w:color="auto" w:fill="auto"/>
            <w:vAlign w:val="bottom"/>
            <w:hideMark/>
          </w:tcPr>
          <w:p w14:paraId="0B0A2033" w14:textId="77777777" w:rsidR="00865FDA" w:rsidRPr="00865FDA" w:rsidRDefault="00865FDA" w:rsidP="00FC1F5B">
            <w:pPr>
              <w:jc w:val="right"/>
              <w:rPr>
                <w:sz w:val="16"/>
                <w:szCs w:val="16"/>
                <w:lang w:eastAsia="tr-TR"/>
              </w:rPr>
            </w:pPr>
            <w:r w:rsidRPr="00865FDA">
              <w:rPr>
                <w:sz w:val="16"/>
                <w:szCs w:val="16"/>
                <w:lang w:eastAsia="tr-TR"/>
              </w:rPr>
              <w:t>11,193,288</w:t>
            </w:r>
          </w:p>
        </w:tc>
        <w:tc>
          <w:tcPr>
            <w:tcW w:w="1299" w:type="dxa"/>
            <w:tcBorders>
              <w:top w:val="nil"/>
              <w:left w:val="nil"/>
              <w:bottom w:val="nil"/>
              <w:right w:val="nil"/>
            </w:tcBorders>
            <w:shd w:val="clear" w:color="auto" w:fill="auto"/>
            <w:vAlign w:val="bottom"/>
            <w:hideMark/>
          </w:tcPr>
          <w:p w14:paraId="1E8209B0" w14:textId="77777777" w:rsidR="00865FDA" w:rsidRPr="00865FDA" w:rsidRDefault="00865FDA" w:rsidP="00FC1F5B">
            <w:pPr>
              <w:jc w:val="right"/>
              <w:rPr>
                <w:sz w:val="16"/>
                <w:szCs w:val="16"/>
                <w:lang w:eastAsia="tr-TR"/>
              </w:rPr>
            </w:pPr>
            <w:r w:rsidRPr="00865FDA">
              <w:rPr>
                <w:sz w:val="16"/>
                <w:szCs w:val="16"/>
                <w:lang w:eastAsia="tr-TR"/>
              </w:rPr>
              <w:t>930,027</w:t>
            </w:r>
          </w:p>
        </w:tc>
        <w:tc>
          <w:tcPr>
            <w:tcW w:w="1299" w:type="dxa"/>
            <w:tcBorders>
              <w:top w:val="nil"/>
              <w:left w:val="nil"/>
              <w:bottom w:val="nil"/>
              <w:right w:val="nil"/>
            </w:tcBorders>
            <w:shd w:val="clear" w:color="auto" w:fill="auto"/>
            <w:vAlign w:val="bottom"/>
            <w:hideMark/>
          </w:tcPr>
          <w:p w14:paraId="7DBA7183" w14:textId="77777777" w:rsidR="00865FDA" w:rsidRPr="00865FDA" w:rsidRDefault="00865FDA" w:rsidP="00FC1F5B">
            <w:pPr>
              <w:jc w:val="right"/>
              <w:rPr>
                <w:sz w:val="16"/>
                <w:szCs w:val="16"/>
                <w:lang w:eastAsia="tr-TR"/>
              </w:rPr>
            </w:pPr>
            <w:r w:rsidRPr="00865FDA">
              <w:rPr>
                <w:sz w:val="16"/>
                <w:szCs w:val="16"/>
                <w:lang w:eastAsia="tr-TR"/>
              </w:rPr>
              <w:t>(7,932,219)</w:t>
            </w:r>
          </w:p>
        </w:tc>
      </w:tr>
      <w:tr w:rsidR="00865FDA" w:rsidRPr="00865FDA" w14:paraId="6658D7D1"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77A4CB8B" w14:textId="77777777" w:rsidR="00865FDA" w:rsidRPr="00865FDA" w:rsidRDefault="00865FDA" w:rsidP="00865FDA">
            <w:pPr>
              <w:ind w:firstLineChars="100" w:firstLine="160"/>
              <w:rPr>
                <w:sz w:val="16"/>
                <w:szCs w:val="16"/>
                <w:lang w:eastAsia="tr-TR"/>
              </w:rPr>
            </w:pPr>
            <w:r w:rsidRPr="00865FDA">
              <w:rPr>
                <w:sz w:val="16"/>
                <w:szCs w:val="16"/>
                <w:lang w:eastAsia="tr-TR"/>
              </w:rPr>
              <w:t>Türev finansal araçlardan alacak,</w:t>
            </w:r>
          </w:p>
        </w:tc>
        <w:tc>
          <w:tcPr>
            <w:tcW w:w="1299" w:type="dxa"/>
            <w:tcBorders>
              <w:top w:val="nil"/>
              <w:left w:val="nil"/>
              <w:bottom w:val="nil"/>
              <w:right w:val="nil"/>
            </w:tcBorders>
            <w:shd w:val="clear" w:color="auto" w:fill="auto"/>
            <w:vAlign w:val="bottom"/>
            <w:hideMark/>
          </w:tcPr>
          <w:p w14:paraId="0821998C" w14:textId="77777777" w:rsidR="00865FDA" w:rsidRPr="00865FDA" w:rsidRDefault="00865FDA" w:rsidP="00FC1F5B">
            <w:pPr>
              <w:jc w:val="right"/>
              <w:rPr>
                <w:sz w:val="16"/>
                <w:szCs w:val="16"/>
                <w:lang w:eastAsia="tr-TR"/>
              </w:rPr>
            </w:pPr>
            <w:r w:rsidRPr="00865FDA">
              <w:rPr>
                <w:sz w:val="16"/>
                <w:szCs w:val="16"/>
                <w:lang w:eastAsia="tr-TR"/>
              </w:rPr>
              <w:t>371,546</w:t>
            </w:r>
          </w:p>
        </w:tc>
        <w:tc>
          <w:tcPr>
            <w:tcW w:w="1299" w:type="dxa"/>
            <w:tcBorders>
              <w:top w:val="nil"/>
              <w:left w:val="nil"/>
              <w:bottom w:val="nil"/>
              <w:right w:val="nil"/>
            </w:tcBorders>
            <w:shd w:val="clear" w:color="auto" w:fill="auto"/>
            <w:vAlign w:val="bottom"/>
            <w:hideMark/>
          </w:tcPr>
          <w:p w14:paraId="0C0C41B1" w14:textId="77777777" w:rsidR="00865FDA" w:rsidRPr="00865FDA" w:rsidRDefault="00865FDA" w:rsidP="00FC1F5B">
            <w:pPr>
              <w:jc w:val="right"/>
              <w:rPr>
                <w:sz w:val="16"/>
                <w:szCs w:val="16"/>
                <w:lang w:eastAsia="tr-TR"/>
              </w:rPr>
            </w:pPr>
            <w:r w:rsidRPr="00865FDA">
              <w:rPr>
                <w:sz w:val="16"/>
                <w:szCs w:val="16"/>
                <w:lang w:eastAsia="tr-TR"/>
              </w:rPr>
              <w:t>19,860,378</w:t>
            </w:r>
          </w:p>
        </w:tc>
        <w:tc>
          <w:tcPr>
            <w:tcW w:w="1299" w:type="dxa"/>
            <w:tcBorders>
              <w:top w:val="nil"/>
              <w:left w:val="nil"/>
              <w:bottom w:val="nil"/>
              <w:right w:val="nil"/>
            </w:tcBorders>
            <w:shd w:val="clear" w:color="auto" w:fill="auto"/>
            <w:vAlign w:val="bottom"/>
            <w:hideMark/>
          </w:tcPr>
          <w:p w14:paraId="4D40CEC2" w14:textId="77777777" w:rsidR="00865FDA" w:rsidRPr="00865FDA" w:rsidRDefault="00865FDA" w:rsidP="00FC1F5B">
            <w:pPr>
              <w:jc w:val="right"/>
              <w:rPr>
                <w:sz w:val="16"/>
                <w:szCs w:val="16"/>
                <w:lang w:eastAsia="tr-TR"/>
              </w:rPr>
            </w:pPr>
            <w:r w:rsidRPr="00865FDA">
              <w:rPr>
                <w:sz w:val="16"/>
                <w:szCs w:val="16"/>
                <w:lang w:eastAsia="tr-TR"/>
              </w:rPr>
              <w:t>1,463,898</w:t>
            </w:r>
          </w:p>
        </w:tc>
        <w:tc>
          <w:tcPr>
            <w:tcW w:w="1299" w:type="dxa"/>
            <w:tcBorders>
              <w:top w:val="nil"/>
              <w:left w:val="nil"/>
              <w:bottom w:val="nil"/>
              <w:right w:val="nil"/>
            </w:tcBorders>
            <w:shd w:val="clear" w:color="auto" w:fill="auto"/>
            <w:vAlign w:val="bottom"/>
            <w:hideMark/>
          </w:tcPr>
          <w:p w14:paraId="4A48CFCD" w14:textId="77777777" w:rsidR="00865FDA" w:rsidRPr="00865FDA" w:rsidRDefault="00865FDA" w:rsidP="00FC1F5B">
            <w:pPr>
              <w:jc w:val="right"/>
              <w:rPr>
                <w:sz w:val="16"/>
                <w:szCs w:val="16"/>
                <w:lang w:eastAsia="tr-TR"/>
              </w:rPr>
            </w:pPr>
            <w:r w:rsidRPr="00865FDA">
              <w:rPr>
                <w:sz w:val="16"/>
                <w:szCs w:val="16"/>
                <w:lang w:eastAsia="tr-TR"/>
              </w:rPr>
              <w:t>21,695,822</w:t>
            </w:r>
          </w:p>
        </w:tc>
      </w:tr>
      <w:tr w:rsidR="00865FDA" w:rsidRPr="00865FDA" w14:paraId="4E64B335"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795C5FCA" w14:textId="77777777" w:rsidR="00865FDA" w:rsidRPr="00865FDA" w:rsidRDefault="00865FDA" w:rsidP="00865FDA">
            <w:pPr>
              <w:ind w:firstLineChars="100" w:firstLine="160"/>
              <w:rPr>
                <w:sz w:val="16"/>
                <w:szCs w:val="16"/>
                <w:lang w:eastAsia="tr-TR"/>
              </w:rPr>
            </w:pPr>
            <w:r w:rsidRPr="00865FDA">
              <w:rPr>
                <w:sz w:val="16"/>
                <w:szCs w:val="16"/>
                <w:lang w:eastAsia="tr-TR"/>
              </w:rPr>
              <w:t>Türev finansal araçlardan borçlar</w:t>
            </w:r>
          </w:p>
        </w:tc>
        <w:tc>
          <w:tcPr>
            <w:tcW w:w="1299" w:type="dxa"/>
            <w:tcBorders>
              <w:top w:val="nil"/>
              <w:left w:val="nil"/>
              <w:bottom w:val="nil"/>
              <w:right w:val="nil"/>
            </w:tcBorders>
            <w:shd w:val="clear" w:color="auto" w:fill="auto"/>
            <w:vAlign w:val="bottom"/>
            <w:hideMark/>
          </w:tcPr>
          <w:p w14:paraId="67D3B3AE" w14:textId="77777777" w:rsidR="00865FDA" w:rsidRPr="00865FDA" w:rsidRDefault="00865FDA" w:rsidP="00FC1F5B">
            <w:pPr>
              <w:jc w:val="right"/>
              <w:rPr>
                <w:sz w:val="16"/>
                <w:szCs w:val="16"/>
                <w:lang w:eastAsia="tr-TR"/>
              </w:rPr>
            </w:pPr>
            <w:r w:rsidRPr="00865FDA">
              <w:rPr>
                <w:sz w:val="16"/>
                <w:szCs w:val="16"/>
                <w:lang w:eastAsia="tr-TR"/>
              </w:rPr>
              <w:t>20,427,080</w:t>
            </w:r>
          </w:p>
        </w:tc>
        <w:tc>
          <w:tcPr>
            <w:tcW w:w="1299" w:type="dxa"/>
            <w:tcBorders>
              <w:top w:val="nil"/>
              <w:left w:val="nil"/>
              <w:bottom w:val="nil"/>
              <w:right w:val="nil"/>
            </w:tcBorders>
            <w:shd w:val="clear" w:color="auto" w:fill="auto"/>
            <w:vAlign w:val="bottom"/>
            <w:hideMark/>
          </w:tcPr>
          <w:p w14:paraId="3FA0F83F" w14:textId="77777777" w:rsidR="00865FDA" w:rsidRPr="00865FDA" w:rsidRDefault="00865FDA" w:rsidP="00FC1F5B">
            <w:pPr>
              <w:jc w:val="right"/>
              <w:rPr>
                <w:sz w:val="16"/>
                <w:szCs w:val="16"/>
                <w:lang w:eastAsia="tr-TR"/>
              </w:rPr>
            </w:pPr>
            <w:r w:rsidRPr="00865FDA">
              <w:rPr>
                <w:sz w:val="16"/>
                <w:szCs w:val="16"/>
                <w:lang w:eastAsia="tr-TR"/>
              </w:rPr>
              <w:t>8,667,090</w:t>
            </w:r>
          </w:p>
        </w:tc>
        <w:tc>
          <w:tcPr>
            <w:tcW w:w="1299" w:type="dxa"/>
            <w:tcBorders>
              <w:top w:val="nil"/>
              <w:left w:val="nil"/>
              <w:bottom w:val="nil"/>
              <w:right w:val="nil"/>
            </w:tcBorders>
            <w:shd w:val="clear" w:color="auto" w:fill="auto"/>
            <w:vAlign w:val="bottom"/>
            <w:hideMark/>
          </w:tcPr>
          <w:p w14:paraId="1D606128" w14:textId="77777777" w:rsidR="00865FDA" w:rsidRPr="00865FDA" w:rsidRDefault="00865FDA" w:rsidP="00FC1F5B">
            <w:pPr>
              <w:jc w:val="right"/>
              <w:rPr>
                <w:sz w:val="16"/>
                <w:szCs w:val="16"/>
                <w:lang w:eastAsia="tr-TR"/>
              </w:rPr>
            </w:pPr>
            <w:r w:rsidRPr="00865FDA">
              <w:rPr>
                <w:sz w:val="16"/>
                <w:szCs w:val="16"/>
                <w:lang w:eastAsia="tr-TR"/>
              </w:rPr>
              <w:t>533,871</w:t>
            </w:r>
          </w:p>
        </w:tc>
        <w:tc>
          <w:tcPr>
            <w:tcW w:w="1299" w:type="dxa"/>
            <w:tcBorders>
              <w:top w:val="nil"/>
              <w:left w:val="nil"/>
              <w:bottom w:val="nil"/>
              <w:right w:val="nil"/>
            </w:tcBorders>
            <w:shd w:val="clear" w:color="auto" w:fill="auto"/>
            <w:vAlign w:val="bottom"/>
            <w:hideMark/>
          </w:tcPr>
          <w:p w14:paraId="157BEDF6" w14:textId="77777777" w:rsidR="00865FDA" w:rsidRPr="00865FDA" w:rsidRDefault="00865FDA" w:rsidP="00FC1F5B">
            <w:pPr>
              <w:jc w:val="right"/>
              <w:rPr>
                <w:sz w:val="16"/>
                <w:szCs w:val="16"/>
                <w:lang w:eastAsia="tr-TR"/>
              </w:rPr>
            </w:pPr>
            <w:r w:rsidRPr="00865FDA">
              <w:rPr>
                <w:sz w:val="16"/>
                <w:szCs w:val="16"/>
                <w:lang w:eastAsia="tr-TR"/>
              </w:rPr>
              <w:t>29,628,041</w:t>
            </w:r>
          </w:p>
        </w:tc>
      </w:tr>
      <w:tr w:rsidR="00865FDA" w:rsidRPr="00865FDA" w14:paraId="02475B8B" w14:textId="77777777" w:rsidTr="00FC1F5B">
        <w:trPr>
          <w:divId w:val="858160741"/>
          <w:trHeight w:val="233"/>
        </w:trPr>
        <w:tc>
          <w:tcPr>
            <w:tcW w:w="4253" w:type="dxa"/>
            <w:tcBorders>
              <w:top w:val="nil"/>
              <w:left w:val="nil"/>
              <w:bottom w:val="nil"/>
              <w:right w:val="nil"/>
            </w:tcBorders>
            <w:shd w:val="clear" w:color="auto" w:fill="auto"/>
            <w:vAlign w:val="center"/>
            <w:hideMark/>
          </w:tcPr>
          <w:p w14:paraId="083BE4FB" w14:textId="77777777" w:rsidR="00865FDA" w:rsidRPr="00865FDA" w:rsidRDefault="00865FDA" w:rsidP="00865FDA">
            <w:pPr>
              <w:ind w:firstLineChars="100" w:firstLine="160"/>
              <w:rPr>
                <w:sz w:val="16"/>
                <w:szCs w:val="16"/>
                <w:lang w:eastAsia="tr-TR"/>
              </w:rPr>
            </w:pPr>
            <w:proofErr w:type="spellStart"/>
            <w:r w:rsidRPr="00865FDA">
              <w:rPr>
                <w:sz w:val="16"/>
                <w:szCs w:val="16"/>
                <w:lang w:eastAsia="tr-TR"/>
              </w:rPr>
              <w:t>Gayrinakdi</w:t>
            </w:r>
            <w:proofErr w:type="spellEnd"/>
            <w:r w:rsidRPr="00865FDA">
              <w:rPr>
                <w:sz w:val="16"/>
                <w:szCs w:val="16"/>
                <w:lang w:eastAsia="tr-TR"/>
              </w:rPr>
              <w:t xml:space="preserve"> krediler (***)</w:t>
            </w:r>
          </w:p>
        </w:tc>
        <w:tc>
          <w:tcPr>
            <w:tcW w:w="1299" w:type="dxa"/>
            <w:tcBorders>
              <w:top w:val="nil"/>
              <w:left w:val="nil"/>
              <w:bottom w:val="nil"/>
              <w:right w:val="nil"/>
            </w:tcBorders>
            <w:shd w:val="clear" w:color="auto" w:fill="auto"/>
            <w:vAlign w:val="bottom"/>
            <w:hideMark/>
          </w:tcPr>
          <w:p w14:paraId="7CCC13CC" w14:textId="77777777" w:rsidR="00865FDA" w:rsidRPr="00865FDA" w:rsidRDefault="00865FDA" w:rsidP="00FC1F5B">
            <w:pPr>
              <w:jc w:val="right"/>
              <w:rPr>
                <w:sz w:val="16"/>
                <w:szCs w:val="16"/>
                <w:lang w:eastAsia="tr-TR"/>
              </w:rPr>
            </w:pPr>
            <w:r w:rsidRPr="00865FDA">
              <w:rPr>
                <w:sz w:val="16"/>
                <w:szCs w:val="16"/>
                <w:lang w:eastAsia="tr-TR"/>
              </w:rPr>
              <w:t>1,882,866</w:t>
            </w:r>
          </w:p>
        </w:tc>
        <w:tc>
          <w:tcPr>
            <w:tcW w:w="1299" w:type="dxa"/>
            <w:tcBorders>
              <w:top w:val="nil"/>
              <w:left w:val="nil"/>
              <w:bottom w:val="nil"/>
              <w:right w:val="nil"/>
            </w:tcBorders>
            <w:shd w:val="clear" w:color="auto" w:fill="auto"/>
            <w:vAlign w:val="bottom"/>
            <w:hideMark/>
          </w:tcPr>
          <w:p w14:paraId="3C20762A" w14:textId="77777777" w:rsidR="00865FDA" w:rsidRPr="00865FDA" w:rsidRDefault="00865FDA" w:rsidP="00FC1F5B">
            <w:pPr>
              <w:jc w:val="right"/>
              <w:rPr>
                <w:sz w:val="16"/>
                <w:szCs w:val="16"/>
                <w:lang w:eastAsia="tr-TR"/>
              </w:rPr>
            </w:pPr>
            <w:r w:rsidRPr="00865FDA">
              <w:rPr>
                <w:sz w:val="16"/>
                <w:szCs w:val="16"/>
                <w:lang w:eastAsia="tr-TR"/>
              </w:rPr>
              <w:t>2,503,577</w:t>
            </w:r>
          </w:p>
        </w:tc>
        <w:tc>
          <w:tcPr>
            <w:tcW w:w="1299" w:type="dxa"/>
            <w:tcBorders>
              <w:top w:val="nil"/>
              <w:left w:val="nil"/>
              <w:bottom w:val="nil"/>
              <w:right w:val="nil"/>
            </w:tcBorders>
            <w:shd w:val="clear" w:color="auto" w:fill="auto"/>
            <w:vAlign w:val="bottom"/>
            <w:hideMark/>
          </w:tcPr>
          <w:p w14:paraId="4462093E" w14:textId="77777777" w:rsidR="00865FDA" w:rsidRPr="00865FDA" w:rsidRDefault="00865FDA" w:rsidP="00FC1F5B">
            <w:pPr>
              <w:jc w:val="right"/>
              <w:rPr>
                <w:sz w:val="16"/>
                <w:szCs w:val="16"/>
                <w:lang w:eastAsia="tr-TR"/>
              </w:rPr>
            </w:pPr>
            <w:r w:rsidRPr="00865FDA">
              <w:rPr>
                <w:sz w:val="16"/>
                <w:szCs w:val="16"/>
                <w:lang w:eastAsia="tr-TR"/>
              </w:rPr>
              <w:t>576,420</w:t>
            </w:r>
          </w:p>
        </w:tc>
        <w:tc>
          <w:tcPr>
            <w:tcW w:w="1299" w:type="dxa"/>
            <w:tcBorders>
              <w:top w:val="nil"/>
              <w:left w:val="nil"/>
              <w:bottom w:val="nil"/>
              <w:right w:val="nil"/>
            </w:tcBorders>
            <w:shd w:val="clear" w:color="auto" w:fill="auto"/>
            <w:vAlign w:val="bottom"/>
            <w:hideMark/>
          </w:tcPr>
          <w:p w14:paraId="00095D27" w14:textId="77777777" w:rsidR="00865FDA" w:rsidRPr="00865FDA" w:rsidRDefault="00865FDA" w:rsidP="00FC1F5B">
            <w:pPr>
              <w:jc w:val="right"/>
              <w:rPr>
                <w:sz w:val="16"/>
                <w:szCs w:val="16"/>
                <w:lang w:eastAsia="tr-TR"/>
              </w:rPr>
            </w:pPr>
            <w:r w:rsidRPr="00865FDA">
              <w:rPr>
                <w:sz w:val="16"/>
                <w:szCs w:val="16"/>
                <w:lang w:eastAsia="tr-TR"/>
              </w:rPr>
              <w:t>4,962,863</w:t>
            </w:r>
          </w:p>
        </w:tc>
      </w:tr>
    </w:tbl>
    <w:p w14:paraId="23072171" w14:textId="77777777" w:rsidR="00FC1F5B" w:rsidRDefault="00FC1F5B" w:rsidP="00FC1F5B">
      <w:pPr>
        <w:autoSpaceDE w:val="0"/>
        <w:autoSpaceDN w:val="0"/>
        <w:adjustRightInd w:val="0"/>
        <w:ind w:left="851" w:hanging="851"/>
        <w:jc w:val="both"/>
        <w:rPr>
          <w:sz w:val="16"/>
          <w:szCs w:val="16"/>
        </w:rPr>
      </w:pPr>
    </w:p>
    <w:p w14:paraId="5B56E8B8" w14:textId="5A9F0EC9" w:rsidR="005557A4" w:rsidRPr="00270CE6" w:rsidRDefault="008D24B1" w:rsidP="00FC1F5B">
      <w:pPr>
        <w:autoSpaceDE w:val="0"/>
        <w:autoSpaceDN w:val="0"/>
        <w:adjustRightInd w:val="0"/>
        <w:ind w:left="851" w:hanging="851"/>
        <w:jc w:val="both"/>
        <w:rPr>
          <w:sz w:val="16"/>
          <w:szCs w:val="16"/>
          <w:highlight w:val="yellow"/>
        </w:rPr>
      </w:pPr>
      <w:r w:rsidRPr="00A37AE5">
        <w:rPr>
          <w:sz w:val="16"/>
          <w:szCs w:val="16"/>
        </w:rPr>
        <w:t>(*)</w:t>
      </w:r>
      <w:r w:rsidRPr="00A37AE5">
        <w:rPr>
          <w:sz w:val="16"/>
          <w:szCs w:val="16"/>
        </w:rPr>
        <w:tab/>
        <w:t xml:space="preserve">Bilançoda TL olarak takip edilen </w:t>
      </w:r>
      <w:r w:rsidR="00E337C5" w:rsidRPr="00A37AE5">
        <w:rPr>
          <w:sz w:val="16"/>
          <w:szCs w:val="16"/>
        </w:rPr>
        <w:t>2,</w:t>
      </w:r>
      <w:r w:rsidR="0001725C" w:rsidRPr="00A37AE5">
        <w:rPr>
          <w:sz w:val="16"/>
          <w:szCs w:val="16"/>
        </w:rPr>
        <w:t>2</w:t>
      </w:r>
      <w:r w:rsidR="00FA77D7" w:rsidRPr="00A37AE5">
        <w:rPr>
          <w:sz w:val="16"/>
          <w:szCs w:val="16"/>
        </w:rPr>
        <w:t>68</w:t>
      </w:r>
      <w:r w:rsidR="00412E5D" w:rsidRPr="00A37AE5">
        <w:rPr>
          <w:sz w:val="16"/>
          <w:szCs w:val="16"/>
        </w:rPr>
        <w:t>,</w:t>
      </w:r>
      <w:r w:rsidR="00FA77D7" w:rsidRPr="00A37AE5">
        <w:rPr>
          <w:sz w:val="16"/>
          <w:szCs w:val="16"/>
        </w:rPr>
        <w:t>491</w:t>
      </w:r>
      <w:r w:rsidRPr="00A37AE5">
        <w:rPr>
          <w:sz w:val="16"/>
          <w:szCs w:val="16"/>
        </w:rPr>
        <w:t xml:space="preserve"> TL (31 Aralık 201</w:t>
      </w:r>
      <w:r w:rsidR="00642512" w:rsidRPr="00A37AE5">
        <w:rPr>
          <w:sz w:val="16"/>
          <w:szCs w:val="16"/>
        </w:rPr>
        <w:t>9</w:t>
      </w:r>
      <w:r w:rsidRPr="00A37AE5">
        <w:rPr>
          <w:sz w:val="16"/>
          <w:szCs w:val="16"/>
        </w:rPr>
        <w:t xml:space="preserve"> </w:t>
      </w:r>
      <w:r w:rsidR="00642512" w:rsidRPr="00A37AE5">
        <w:rPr>
          <w:sz w:val="16"/>
          <w:szCs w:val="16"/>
        </w:rPr>
        <w:t>–</w:t>
      </w:r>
      <w:r w:rsidRPr="00A37AE5">
        <w:rPr>
          <w:sz w:val="16"/>
          <w:szCs w:val="16"/>
        </w:rPr>
        <w:t xml:space="preserve"> </w:t>
      </w:r>
      <w:r w:rsidR="00642512" w:rsidRPr="00A37AE5">
        <w:rPr>
          <w:sz w:val="16"/>
          <w:szCs w:val="16"/>
        </w:rPr>
        <w:t>2,662,329</w:t>
      </w:r>
      <w:r w:rsidRPr="00A37AE5">
        <w:rPr>
          <w:sz w:val="16"/>
          <w:szCs w:val="16"/>
        </w:rPr>
        <w:t xml:space="preserve"> TL) tutarı</w:t>
      </w:r>
      <w:r w:rsidR="005557A4" w:rsidRPr="00A37AE5">
        <w:rPr>
          <w:sz w:val="16"/>
          <w:szCs w:val="16"/>
        </w:rPr>
        <w:t xml:space="preserve">ndaki dövize endeksli kredileri ve </w:t>
      </w:r>
      <w:r w:rsidR="00FA77D7" w:rsidRPr="00A37AE5">
        <w:rPr>
          <w:sz w:val="16"/>
          <w:szCs w:val="16"/>
        </w:rPr>
        <w:t>1,3</w:t>
      </w:r>
      <w:r w:rsidR="00A37AE5" w:rsidRPr="00A37AE5">
        <w:rPr>
          <w:sz w:val="16"/>
          <w:szCs w:val="16"/>
        </w:rPr>
        <w:t>80</w:t>
      </w:r>
      <w:r w:rsidR="00412E5D" w:rsidRPr="00A37AE5">
        <w:rPr>
          <w:sz w:val="16"/>
          <w:szCs w:val="16"/>
        </w:rPr>
        <w:t>,</w:t>
      </w:r>
      <w:r w:rsidR="00A37AE5" w:rsidRPr="00A37AE5">
        <w:rPr>
          <w:sz w:val="16"/>
          <w:szCs w:val="16"/>
        </w:rPr>
        <w:t>429</w:t>
      </w:r>
      <w:r w:rsidR="005557A4" w:rsidRPr="00A37AE5">
        <w:rPr>
          <w:sz w:val="16"/>
          <w:szCs w:val="16"/>
        </w:rPr>
        <w:t xml:space="preserve"> TL tutarındaki beklenen zarar karşılıklarını içermektedir. </w:t>
      </w:r>
    </w:p>
    <w:p w14:paraId="2D46213C" w14:textId="639ABF85" w:rsidR="008D24B1" w:rsidRPr="00A37AE5" w:rsidRDefault="00FC40D9" w:rsidP="00FC1F5B">
      <w:pPr>
        <w:pStyle w:val="BodyTextIndent"/>
        <w:autoSpaceDE/>
        <w:autoSpaceDN/>
        <w:adjustRightInd/>
        <w:ind w:left="851" w:hanging="851"/>
        <w:rPr>
          <w:sz w:val="16"/>
          <w:szCs w:val="16"/>
        </w:rPr>
      </w:pPr>
      <w:r w:rsidRPr="00A37AE5">
        <w:rPr>
          <w:sz w:val="16"/>
          <w:szCs w:val="16"/>
        </w:rPr>
        <w:t>(*</w:t>
      </w:r>
      <w:r w:rsidR="008D24B1" w:rsidRPr="00A37AE5">
        <w:rPr>
          <w:sz w:val="16"/>
          <w:szCs w:val="16"/>
        </w:rPr>
        <w:t>*)</w:t>
      </w:r>
      <w:r w:rsidR="008D24B1" w:rsidRPr="00A37AE5">
        <w:rPr>
          <w:sz w:val="16"/>
          <w:szCs w:val="16"/>
        </w:rPr>
        <w:tab/>
        <w:t>Bil</w:t>
      </w:r>
      <w:r w:rsidR="009D00DB" w:rsidRPr="00A37AE5">
        <w:rPr>
          <w:sz w:val="16"/>
          <w:szCs w:val="16"/>
        </w:rPr>
        <w:t xml:space="preserve">ançoda </w:t>
      </w:r>
      <w:r w:rsidR="0001725C" w:rsidRPr="00A37AE5">
        <w:rPr>
          <w:sz w:val="16"/>
          <w:szCs w:val="16"/>
        </w:rPr>
        <w:t>1,461</w:t>
      </w:r>
      <w:r w:rsidR="00BD6E27" w:rsidRPr="00A37AE5">
        <w:rPr>
          <w:sz w:val="16"/>
          <w:szCs w:val="16"/>
        </w:rPr>
        <w:t>,</w:t>
      </w:r>
      <w:r w:rsidR="0001725C" w:rsidRPr="00A37AE5">
        <w:rPr>
          <w:sz w:val="16"/>
          <w:szCs w:val="16"/>
        </w:rPr>
        <w:t>015</w:t>
      </w:r>
      <w:r w:rsidR="008D24B1" w:rsidRPr="00A37AE5">
        <w:rPr>
          <w:sz w:val="16"/>
          <w:szCs w:val="16"/>
        </w:rPr>
        <w:t xml:space="preserve"> TL tutarındaki bağlı ortaklıkların </w:t>
      </w:r>
      <w:r w:rsidR="00BD6E27" w:rsidRPr="00A37AE5">
        <w:rPr>
          <w:sz w:val="16"/>
          <w:szCs w:val="16"/>
        </w:rPr>
        <w:t>610,120</w:t>
      </w:r>
      <w:r w:rsidR="008D24B1" w:rsidRPr="00A37AE5">
        <w:rPr>
          <w:sz w:val="16"/>
          <w:szCs w:val="16"/>
        </w:rPr>
        <w:t xml:space="preserve"> TL’si (31 Aralık 201</w:t>
      </w:r>
      <w:r w:rsidR="00981941" w:rsidRPr="00A37AE5">
        <w:rPr>
          <w:sz w:val="16"/>
          <w:szCs w:val="16"/>
        </w:rPr>
        <w:t>9</w:t>
      </w:r>
      <w:r w:rsidR="008D24B1" w:rsidRPr="00A37AE5">
        <w:rPr>
          <w:sz w:val="16"/>
          <w:szCs w:val="16"/>
        </w:rPr>
        <w:t xml:space="preserve"> </w:t>
      </w:r>
      <w:r w:rsidR="00981941" w:rsidRPr="00A37AE5">
        <w:rPr>
          <w:sz w:val="16"/>
          <w:szCs w:val="16"/>
        </w:rPr>
        <w:t>–</w:t>
      </w:r>
      <w:r w:rsidR="008D24B1" w:rsidRPr="00A37AE5">
        <w:rPr>
          <w:sz w:val="16"/>
          <w:szCs w:val="16"/>
        </w:rPr>
        <w:t xml:space="preserve"> </w:t>
      </w:r>
      <w:r w:rsidR="00981941" w:rsidRPr="00A37AE5">
        <w:rPr>
          <w:sz w:val="16"/>
          <w:szCs w:val="16"/>
        </w:rPr>
        <w:t>544,853</w:t>
      </w:r>
      <w:r w:rsidR="008D24B1" w:rsidRPr="00A37AE5">
        <w:rPr>
          <w:sz w:val="16"/>
          <w:szCs w:val="16"/>
        </w:rPr>
        <w:t xml:space="preserve"> TL) yurt dışı yabancı para iştiraki ve </w:t>
      </w:r>
      <w:r w:rsidR="00F658A5" w:rsidRPr="00A37AE5">
        <w:rPr>
          <w:sz w:val="16"/>
          <w:szCs w:val="16"/>
        </w:rPr>
        <w:t xml:space="preserve">  </w:t>
      </w:r>
      <w:r w:rsidR="008D24B1" w:rsidRPr="00A37AE5">
        <w:rPr>
          <w:sz w:val="16"/>
          <w:szCs w:val="16"/>
        </w:rPr>
        <w:t>bağlı ortaklığı içermektedir.</w:t>
      </w:r>
    </w:p>
    <w:p w14:paraId="7675B563" w14:textId="42B2387E" w:rsidR="008D24B1" w:rsidRPr="00A37AE5" w:rsidRDefault="008D24B1" w:rsidP="00FC1F5B">
      <w:pPr>
        <w:pStyle w:val="BodyTextIndent"/>
        <w:autoSpaceDE/>
        <w:autoSpaceDN/>
        <w:adjustRightInd/>
        <w:ind w:left="851" w:hanging="851"/>
        <w:rPr>
          <w:sz w:val="16"/>
          <w:szCs w:val="16"/>
        </w:rPr>
      </w:pPr>
      <w:r w:rsidRPr="00A37AE5">
        <w:rPr>
          <w:sz w:val="16"/>
          <w:szCs w:val="16"/>
        </w:rPr>
        <w:t>(***)</w:t>
      </w:r>
      <w:r w:rsidRPr="00A37AE5">
        <w:rPr>
          <w:sz w:val="16"/>
          <w:szCs w:val="16"/>
        </w:rPr>
        <w:tab/>
        <w:t>Net bilanço dışı pozisyona etkisi bulunmamaktadır.</w:t>
      </w:r>
    </w:p>
    <w:p w14:paraId="1CBC98D1" w14:textId="4A2E182F" w:rsidR="008D24B1" w:rsidRPr="00A37AE5" w:rsidRDefault="008D24B1" w:rsidP="00FC1F5B">
      <w:pPr>
        <w:pStyle w:val="BodyTextIndent"/>
        <w:autoSpaceDE/>
        <w:autoSpaceDN/>
        <w:adjustRightInd/>
        <w:ind w:left="851" w:hanging="851"/>
        <w:rPr>
          <w:sz w:val="16"/>
          <w:szCs w:val="16"/>
        </w:rPr>
      </w:pPr>
      <w:r w:rsidRPr="00A37AE5">
        <w:rPr>
          <w:sz w:val="16"/>
          <w:szCs w:val="16"/>
        </w:rPr>
        <w:t>(****)</w:t>
      </w:r>
      <w:r w:rsidRPr="00A37AE5">
        <w:rPr>
          <w:sz w:val="16"/>
          <w:szCs w:val="16"/>
        </w:rPr>
        <w:tab/>
        <w:t>Kıymetli madenler de “Diğer YP” sütununda gösterilmektedir.</w:t>
      </w:r>
    </w:p>
    <w:p w14:paraId="0A3F5B87" w14:textId="656297D1" w:rsidR="008D24B1" w:rsidRPr="00A37AE5" w:rsidRDefault="008D24B1" w:rsidP="00FC1F5B">
      <w:pPr>
        <w:pStyle w:val="BodyTextIndent"/>
        <w:autoSpaceDE/>
        <w:autoSpaceDN/>
        <w:adjustRightInd/>
        <w:ind w:left="851" w:hanging="851"/>
        <w:rPr>
          <w:color w:val="000000"/>
          <w:sz w:val="16"/>
          <w:szCs w:val="16"/>
        </w:rPr>
      </w:pPr>
      <w:r w:rsidRPr="00A37AE5">
        <w:rPr>
          <w:sz w:val="16"/>
          <w:szCs w:val="16"/>
        </w:rPr>
        <w:t>(*****)</w:t>
      </w:r>
      <w:r w:rsidRPr="00A37AE5">
        <w:rPr>
          <w:sz w:val="16"/>
          <w:szCs w:val="16"/>
        </w:rPr>
        <w:tab/>
        <w:t xml:space="preserve">Diğer yükümlülükler rakamı içerisindeki </w:t>
      </w:r>
      <w:r w:rsidR="00A37AE5" w:rsidRPr="00A37AE5">
        <w:rPr>
          <w:sz w:val="16"/>
          <w:szCs w:val="16"/>
        </w:rPr>
        <w:t>4,696</w:t>
      </w:r>
      <w:r w:rsidRPr="00A37AE5">
        <w:rPr>
          <w:sz w:val="16"/>
          <w:szCs w:val="16"/>
        </w:rPr>
        <w:t xml:space="preserve"> TL tutarındaki gerçeğe uygun değer farkı kar/zarara yansıtılan menkul değerler değer </w:t>
      </w:r>
      <w:proofErr w:type="gramStart"/>
      <w:r w:rsidRPr="00A37AE5">
        <w:rPr>
          <w:sz w:val="16"/>
          <w:szCs w:val="16"/>
        </w:rPr>
        <w:t xml:space="preserve">düşüş </w:t>
      </w:r>
      <w:r w:rsidR="00F658A5" w:rsidRPr="00A37AE5">
        <w:rPr>
          <w:sz w:val="16"/>
          <w:szCs w:val="16"/>
        </w:rPr>
        <w:t xml:space="preserve"> </w:t>
      </w:r>
      <w:r w:rsidRPr="00A37AE5">
        <w:rPr>
          <w:sz w:val="16"/>
          <w:szCs w:val="16"/>
        </w:rPr>
        <w:t>karşılığı</w:t>
      </w:r>
      <w:proofErr w:type="gramEnd"/>
      <w:r w:rsidRPr="00A37AE5">
        <w:rPr>
          <w:sz w:val="16"/>
          <w:szCs w:val="16"/>
        </w:rPr>
        <w:t xml:space="preserve"> kur riskine dahil edilmemiştir. Ayrıca </w:t>
      </w:r>
      <w:r w:rsidR="00BD6E27" w:rsidRPr="00A37AE5">
        <w:rPr>
          <w:color w:val="000000"/>
          <w:sz w:val="16"/>
          <w:szCs w:val="16"/>
        </w:rPr>
        <w:t>1</w:t>
      </w:r>
      <w:r w:rsidR="00A37AE5" w:rsidRPr="00A37AE5">
        <w:rPr>
          <w:color w:val="000000"/>
          <w:sz w:val="16"/>
          <w:szCs w:val="16"/>
        </w:rPr>
        <w:t>77</w:t>
      </w:r>
      <w:r w:rsidR="00BD6E27" w:rsidRPr="00A37AE5">
        <w:rPr>
          <w:color w:val="000000"/>
          <w:sz w:val="16"/>
          <w:szCs w:val="16"/>
        </w:rPr>
        <w:t>,</w:t>
      </w:r>
      <w:r w:rsidR="00A37AE5" w:rsidRPr="00A37AE5">
        <w:rPr>
          <w:color w:val="000000"/>
          <w:sz w:val="16"/>
          <w:szCs w:val="16"/>
        </w:rPr>
        <w:t>83</w:t>
      </w:r>
      <w:r w:rsidR="0001725C" w:rsidRPr="00A37AE5">
        <w:rPr>
          <w:color w:val="000000"/>
          <w:sz w:val="16"/>
          <w:szCs w:val="16"/>
        </w:rPr>
        <w:t>5</w:t>
      </w:r>
      <w:r w:rsidR="00AD5F5E" w:rsidRPr="00A37AE5">
        <w:rPr>
          <w:color w:val="000000"/>
          <w:sz w:val="16"/>
          <w:szCs w:val="16"/>
        </w:rPr>
        <w:t xml:space="preserve"> </w:t>
      </w:r>
      <w:r w:rsidRPr="00A37AE5">
        <w:rPr>
          <w:color w:val="000000"/>
          <w:sz w:val="16"/>
          <w:szCs w:val="16"/>
        </w:rPr>
        <w:t>TL tutarında dövize endeksli kredilere ilişkin karşılığı içermektedir.</w:t>
      </w:r>
    </w:p>
    <w:p w14:paraId="76EC5789" w14:textId="7C8BF55C" w:rsidR="00A86989" w:rsidRPr="00A37AE5" w:rsidRDefault="00BB530C" w:rsidP="00FC1F5B">
      <w:pPr>
        <w:pStyle w:val="BodyTextIndent"/>
        <w:autoSpaceDE/>
        <w:autoSpaceDN/>
        <w:adjustRightInd/>
        <w:ind w:left="851" w:hanging="851"/>
        <w:rPr>
          <w:sz w:val="16"/>
          <w:szCs w:val="16"/>
        </w:rPr>
      </w:pPr>
      <w:r w:rsidRPr="00A37AE5">
        <w:rPr>
          <w:sz w:val="16"/>
          <w:szCs w:val="16"/>
        </w:rPr>
        <w:t>(******)</w:t>
      </w:r>
      <w:r w:rsidRPr="00A37AE5">
        <w:rPr>
          <w:sz w:val="16"/>
          <w:szCs w:val="16"/>
        </w:rPr>
        <w:tab/>
        <w:t xml:space="preserve">Bilançoda </w:t>
      </w:r>
      <w:r w:rsidR="00A37AE5" w:rsidRPr="00A37AE5">
        <w:rPr>
          <w:sz w:val="16"/>
          <w:szCs w:val="16"/>
        </w:rPr>
        <w:t>385</w:t>
      </w:r>
      <w:r w:rsidRPr="00A37AE5">
        <w:rPr>
          <w:sz w:val="16"/>
          <w:szCs w:val="16"/>
        </w:rPr>
        <w:t xml:space="preserve"> TL tutarındaki beklenen zarar karşılıklarını içermektedir.</w:t>
      </w:r>
    </w:p>
    <w:p w14:paraId="5122BEE5" w14:textId="77777777" w:rsidR="001D28A0" w:rsidRPr="00270CE6" w:rsidRDefault="001D28A0" w:rsidP="001E4AC2">
      <w:pPr>
        <w:pStyle w:val="BodyTextIndent"/>
        <w:autoSpaceDE/>
        <w:autoSpaceDN/>
        <w:adjustRightInd/>
        <w:rPr>
          <w:sz w:val="16"/>
          <w:szCs w:val="16"/>
          <w:highlight w:val="yellow"/>
        </w:rPr>
      </w:pPr>
    </w:p>
    <w:p w14:paraId="00258978" w14:textId="77777777" w:rsidR="00526564" w:rsidRPr="00270CE6" w:rsidRDefault="00526564" w:rsidP="007D6656">
      <w:pPr>
        <w:pStyle w:val="ListParagraph"/>
        <w:autoSpaceDE w:val="0"/>
        <w:autoSpaceDN w:val="0"/>
        <w:adjustRightInd w:val="0"/>
        <w:ind w:left="0"/>
        <w:jc w:val="both"/>
        <w:rPr>
          <w:spacing w:val="-6"/>
          <w:highlight w:val="yellow"/>
        </w:rPr>
      </w:pPr>
    </w:p>
    <w:p w14:paraId="0BC991D8" w14:textId="1267177A" w:rsidR="00FC1F5B" w:rsidRDefault="00FC1F5B">
      <w:pPr>
        <w:rPr>
          <w:spacing w:val="-6"/>
          <w:highlight w:val="yellow"/>
        </w:rPr>
      </w:pPr>
      <w:r>
        <w:rPr>
          <w:spacing w:val="-6"/>
          <w:highlight w:val="yellow"/>
        </w:rPr>
        <w:br w:type="page"/>
      </w:r>
    </w:p>
    <w:p w14:paraId="0F1CD821" w14:textId="4EECD460" w:rsidR="00033391" w:rsidRPr="00173216" w:rsidRDefault="00E253C8" w:rsidP="007D6656">
      <w:pPr>
        <w:pStyle w:val="ListParagraph"/>
        <w:autoSpaceDE w:val="0"/>
        <w:autoSpaceDN w:val="0"/>
        <w:adjustRightInd w:val="0"/>
        <w:ind w:left="0"/>
        <w:jc w:val="both"/>
        <w:rPr>
          <w:spacing w:val="-6"/>
        </w:rPr>
      </w:pPr>
      <w:r w:rsidRPr="00173216">
        <w:rPr>
          <w:spacing w:val="-6"/>
        </w:rPr>
        <w:lastRenderedPageBreak/>
        <w:t>Yabancı para net genel pozisyon/</w:t>
      </w:r>
      <w:proofErr w:type="spellStart"/>
      <w:r w:rsidRPr="00173216">
        <w:rPr>
          <w:spacing w:val="-6"/>
        </w:rPr>
        <w:t>özkaynak</w:t>
      </w:r>
      <w:proofErr w:type="spellEnd"/>
      <w:r w:rsidRPr="00173216">
        <w:rPr>
          <w:spacing w:val="-6"/>
        </w:rPr>
        <w:t xml:space="preserve"> standart oranının hesaplaması ile ilgili yönetmelik gereği kur riski tablosuna dahil edilmeyen yabancı para tutarlar mali tablolardaki sıralamaya göre açıklanmıştır.</w:t>
      </w:r>
    </w:p>
    <w:p w14:paraId="609C131F" w14:textId="77777777" w:rsidR="00033391" w:rsidRPr="00173216" w:rsidRDefault="00033391">
      <w:pPr>
        <w:pStyle w:val="ListParagraph"/>
        <w:autoSpaceDE w:val="0"/>
        <w:autoSpaceDN w:val="0"/>
        <w:adjustRightInd w:val="0"/>
        <w:ind w:left="0"/>
        <w:rPr>
          <w:sz w:val="16"/>
        </w:rPr>
      </w:pPr>
    </w:p>
    <w:p w14:paraId="5E9681BF" w14:textId="5BE33F23" w:rsidR="00997E02" w:rsidRPr="00B02AD6" w:rsidRDefault="00997E02" w:rsidP="000E2BA1">
      <w:pPr>
        <w:pStyle w:val="ListParagraph"/>
        <w:numPr>
          <w:ilvl w:val="0"/>
          <w:numId w:val="6"/>
        </w:numPr>
        <w:tabs>
          <w:tab w:val="clear" w:pos="360"/>
          <w:tab w:val="num" w:pos="709"/>
        </w:tabs>
        <w:autoSpaceDE w:val="0"/>
        <w:autoSpaceDN w:val="0"/>
        <w:adjustRightInd w:val="0"/>
      </w:pPr>
      <w:r w:rsidRPr="00B02AD6">
        <w:t xml:space="preserve">Alım satım amaçlı türev finansal varlıklar: </w:t>
      </w:r>
      <w:r w:rsidR="00464BA2" w:rsidRPr="00B02AD6">
        <w:t>4</w:t>
      </w:r>
      <w:r w:rsidR="00A37AE5" w:rsidRPr="00B02AD6">
        <w:t>59</w:t>
      </w:r>
      <w:r w:rsidR="00464BA2" w:rsidRPr="00B02AD6">
        <w:t>,</w:t>
      </w:r>
      <w:r w:rsidR="00A37AE5" w:rsidRPr="00B02AD6">
        <w:t>69</w:t>
      </w:r>
      <w:r w:rsidR="00464BA2" w:rsidRPr="00B02AD6">
        <w:t>1</w:t>
      </w:r>
      <w:r w:rsidR="00645EBA" w:rsidRPr="00B02AD6">
        <w:t xml:space="preserve"> </w:t>
      </w:r>
      <w:r w:rsidRPr="00B02AD6">
        <w:t xml:space="preserve">TL (31 Aralık </w:t>
      </w:r>
      <w:r w:rsidR="004E16DC" w:rsidRPr="00B02AD6">
        <w:t>201</w:t>
      </w:r>
      <w:r w:rsidR="00642512" w:rsidRPr="00B02AD6">
        <w:t>9</w:t>
      </w:r>
      <w:r w:rsidRPr="00B02AD6">
        <w:t xml:space="preserve"> – </w:t>
      </w:r>
      <w:r w:rsidR="003F47E2" w:rsidRPr="00B02AD6">
        <w:t>1</w:t>
      </w:r>
      <w:r w:rsidR="00AD5F5E" w:rsidRPr="00B02AD6">
        <w:t>65</w:t>
      </w:r>
      <w:r w:rsidR="00642512" w:rsidRPr="00B02AD6">
        <w:t>,</w:t>
      </w:r>
      <w:r w:rsidR="00AD5F5E" w:rsidRPr="00B02AD6">
        <w:t>177</w:t>
      </w:r>
      <w:r w:rsidR="00FD4129" w:rsidRPr="00B02AD6">
        <w:rPr>
          <w:color w:val="000000"/>
        </w:rPr>
        <w:t xml:space="preserve"> TL</w:t>
      </w:r>
      <w:r w:rsidRPr="00B02AD6">
        <w:t>)</w:t>
      </w:r>
    </w:p>
    <w:p w14:paraId="4EFC7565" w14:textId="460572C3" w:rsidR="00997E02" w:rsidRPr="00B02AD6" w:rsidRDefault="00997E02" w:rsidP="000E2BA1">
      <w:pPr>
        <w:pStyle w:val="ListParagraph"/>
        <w:numPr>
          <w:ilvl w:val="0"/>
          <w:numId w:val="6"/>
        </w:numPr>
        <w:tabs>
          <w:tab w:val="clear" w:pos="360"/>
          <w:tab w:val="left" w:pos="709"/>
        </w:tabs>
        <w:autoSpaceDE w:val="0"/>
        <w:autoSpaceDN w:val="0"/>
        <w:adjustRightInd w:val="0"/>
        <w:ind w:left="357" w:hanging="357"/>
      </w:pPr>
      <w:r w:rsidRPr="00B02AD6">
        <w:t xml:space="preserve">Peşin ödenen giderler: </w:t>
      </w:r>
      <w:r w:rsidR="00A37AE5" w:rsidRPr="00B02AD6">
        <w:t>2,108</w:t>
      </w:r>
      <w:r w:rsidRPr="00B02AD6">
        <w:t xml:space="preserve"> TL (31 Aralık </w:t>
      </w:r>
      <w:r w:rsidR="003C1C86" w:rsidRPr="00B02AD6">
        <w:t>201</w:t>
      </w:r>
      <w:r w:rsidR="00642512" w:rsidRPr="00B02AD6">
        <w:t>9</w:t>
      </w:r>
      <w:r w:rsidRPr="00B02AD6">
        <w:t xml:space="preserve"> </w:t>
      </w:r>
      <w:r w:rsidR="00642512" w:rsidRPr="00B02AD6">
        <w:t>–</w:t>
      </w:r>
      <w:r w:rsidRPr="00B02AD6">
        <w:t xml:space="preserve"> </w:t>
      </w:r>
      <w:r w:rsidR="00642512" w:rsidRPr="00B02AD6">
        <w:rPr>
          <w:color w:val="000000"/>
        </w:rPr>
        <w:t>1,217</w:t>
      </w:r>
      <w:r w:rsidR="00AF7B9B" w:rsidRPr="00B02AD6">
        <w:t xml:space="preserve"> TL</w:t>
      </w:r>
      <w:r w:rsidRPr="00B02AD6">
        <w:t>)</w:t>
      </w:r>
    </w:p>
    <w:p w14:paraId="46308AF1" w14:textId="37FF2CF3" w:rsidR="00997E02" w:rsidRPr="00B02AD6" w:rsidRDefault="00997E02" w:rsidP="000E2BA1">
      <w:pPr>
        <w:pStyle w:val="ListParagraph"/>
        <w:numPr>
          <w:ilvl w:val="0"/>
          <w:numId w:val="6"/>
        </w:numPr>
        <w:tabs>
          <w:tab w:val="clear" w:pos="360"/>
          <w:tab w:val="num" w:pos="709"/>
        </w:tabs>
        <w:autoSpaceDE w:val="0"/>
        <w:autoSpaceDN w:val="0"/>
        <w:adjustRightInd w:val="0"/>
      </w:pPr>
      <w:r w:rsidRPr="00B02AD6">
        <w:t>Alım satım amaçlı türev finansal borçlar</w:t>
      </w:r>
      <w:r w:rsidR="0031365C" w:rsidRPr="00B02AD6">
        <w:t xml:space="preserve">: </w:t>
      </w:r>
      <w:r w:rsidR="00173216" w:rsidRPr="00B02AD6">
        <w:t>331</w:t>
      </w:r>
      <w:r w:rsidR="00464BA2" w:rsidRPr="00B02AD6">
        <w:t>,</w:t>
      </w:r>
      <w:r w:rsidR="00173216" w:rsidRPr="00B02AD6">
        <w:t>376</w:t>
      </w:r>
      <w:r w:rsidRPr="00B02AD6">
        <w:t xml:space="preserve"> TL (31 Aralık </w:t>
      </w:r>
      <w:r w:rsidR="003C1C86" w:rsidRPr="00B02AD6">
        <w:t>201</w:t>
      </w:r>
      <w:r w:rsidR="00642512" w:rsidRPr="00B02AD6">
        <w:t>9</w:t>
      </w:r>
      <w:r w:rsidRPr="00B02AD6">
        <w:t xml:space="preserve"> – </w:t>
      </w:r>
      <w:r w:rsidR="00642512" w:rsidRPr="00B02AD6">
        <w:t>164</w:t>
      </w:r>
      <w:r w:rsidR="003F47E2" w:rsidRPr="00B02AD6">
        <w:t>,</w:t>
      </w:r>
      <w:r w:rsidR="00642512" w:rsidRPr="00B02AD6">
        <w:t>719</w:t>
      </w:r>
      <w:r w:rsidR="003F47E2" w:rsidRPr="00B02AD6">
        <w:t xml:space="preserve"> </w:t>
      </w:r>
      <w:r w:rsidR="00FD4129" w:rsidRPr="00B02AD6">
        <w:rPr>
          <w:color w:val="000000"/>
        </w:rPr>
        <w:t>TL</w:t>
      </w:r>
      <w:r w:rsidRPr="00B02AD6">
        <w:t>)</w:t>
      </w:r>
    </w:p>
    <w:p w14:paraId="4F4F24EE" w14:textId="0C410919" w:rsidR="00AF7B9B" w:rsidRPr="00B02AD6" w:rsidRDefault="00AF7B9B" w:rsidP="000E2BA1">
      <w:pPr>
        <w:pStyle w:val="ListParagraph"/>
        <w:numPr>
          <w:ilvl w:val="0"/>
          <w:numId w:val="6"/>
        </w:numPr>
        <w:tabs>
          <w:tab w:val="clear" w:pos="360"/>
          <w:tab w:val="num" w:pos="709"/>
        </w:tabs>
        <w:autoSpaceDE w:val="0"/>
        <w:autoSpaceDN w:val="0"/>
        <w:adjustRightInd w:val="0"/>
        <w:jc w:val="both"/>
      </w:pPr>
      <w:r w:rsidRPr="00B02AD6">
        <w:t>Yabancı par</w:t>
      </w:r>
      <w:r w:rsidR="00D422B3" w:rsidRPr="00B02AD6">
        <w:t>a</w:t>
      </w:r>
      <w:r w:rsidR="0031365C" w:rsidRPr="00B02AD6">
        <w:t xml:space="preserve"> menkul değerleme farkları: </w:t>
      </w:r>
      <w:r w:rsidR="0001725C" w:rsidRPr="00B02AD6">
        <w:t>(</w:t>
      </w:r>
      <w:r w:rsidR="00173216" w:rsidRPr="00B02AD6">
        <w:t>26</w:t>
      </w:r>
      <w:r w:rsidR="00464BA2" w:rsidRPr="00B02AD6">
        <w:t>,</w:t>
      </w:r>
      <w:r w:rsidR="00B02AD6" w:rsidRPr="00B02AD6">
        <w:t>908</w:t>
      </w:r>
      <w:r w:rsidR="009A6615" w:rsidRPr="00B02AD6">
        <w:t>)</w:t>
      </w:r>
      <w:r w:rsidRPr="00B02AD6">
        <w:t xml:space="preserve"> TL </w:t>
      </w:r>
      <w:proofErr w:type="gramStart"/>
      <w:r w:rsidRPr="00B02AD6">
        <w:t>( 31</w:t>
      </w:r>
      <w:proofErr w:type="gramEnd"/>
      <w:r w:rsidRPr="00B02AD6">
        <w:t xml:space="preserve"> Aralık </w:t>
      </w:r>
      <w:r w:rsidR="00EA4497" w:rsidRPr="00B02AD6">
        <w:t>201</w:t>
      </w:r>
      <w:r w:rsidR="00642512" w:rsidRPr="00B02AD6">
        <w:t>9</w:t>
      </w:r>
      <w:r w:rsidRPr="00B02AD6">
        <w:t xml:space="preserve"> - </w:t>
      </w:r>
      <w:r w:rsidR="003F47E2" w:rsidRPr="00B02AD6">
        <w:t>(</w:t>
      </w:r>
      <w:r w:rsidR="00642512" w:rsidRPr="00B02AD6">
        <w:t>82</w:t>
      </w:r>
      <w:r w:rsidR="003F47E2" w:rsidRPr="00B02AD6">
        <w:t>,</w:t>
      </w:r>
      <w:r w:rsidR="00642512" w:rsidRPr="00B02AD6">
        <w:t>154</w:t>
      </w:r>
      <w:r w:rsidR="003F47E2" w:rsidRPr="00B02AD6">
        <w:t xml:space="preserve">) </w:t>
      </w:r>
      <w:r w:rsidR="00FD4129" w:rsidRPr="00B02AD6">
        <w:rPr>
          <w:color w:val="000000"/>
        </w:rPr>
        <w:t>TL</w:t>
      </w:r>
      <w:r w:rsidRPr="00B02AD6">
        <w:t>)</w:t>
      </w:r>
    </w:p>
    <w:p w14:paraId="2C826019" w14:textId="183D51D5" w:rsidR="00A86989" w:rsidRPr="00B02AD6" w:rsidRDefault="00D57918" w:rsidP="00F658A5">
      <w:pPr>
        <w:pStyle w:val="ListParagraph"/>
        <w:numPr>
          <w:ilvl w:val="0"/>
          <w:numId w:val="6"/>
        </w:numPr>
        <w:tabs>
          <w:tab w:val="clear" w:pos="360"/>
          <w:tab w:val="num" w:pos="709"/>
        </w:tabs>
        <w:autoSpaceDE w:val="0"/>
        <w:autoSpaceDN w:val="0"/>
        <w:adjustRightInd w:val="0"/>
        <w:jc w:val="both"/>
      </w:pPr>
      <w:r w:rsidRPr="00B02AD6">
        <w:t>Riskten korunma amaçl</w:t>
      </w:r>
      <w:r w:rsidR="0031365C" w:rsidRPr="00B02AD6">
        <w:t xml:space="preserve">ı türev finansal borçlar: </w:t>
      </w:r>
      <w:r w:rsidR="00BF48C0">
        <w:t>Bulunmamaktadır.</w:t>
      </w:r>
      <w:r w:rsidR="001859E0" w:rsidRPr="00B02AD6">
        <w:t xml:space="preserve"> (31 Aralık </w:t>
      </w:r>
      <w:proofErr w:type="gramStart"/>
      <w:r w:rsidR="001859E0" w:rsidRPr="00B02AD6">
        <w:t>201</w:t>
      </w:r>
      <w:r w:rsidR="00642512" w:rsidRPr="00B02AD6">
        <w:t>9</w:t>
      </w:r>
      <w:r w:rsidRPr="00B02AD6">
        <w:t xml:space="preserve"> -</w:t>
      </w:r>
      <w:proofErr w:type="gramEnd"/>
      <w:r w:rsidRPr="00B02AD6">
        <w:t xml:space="preserve"> </w:t>
      </w:r>
      <w:r w:rsidR="003F47E2" w:rsidRPr="00B02AD6">
        <w:t>1</w:t>
      </w:r>
      <w:r w:rsidR="00642512" w:rsidRPr="00B02AD6">
        <w:t>29</w:t>
      </w:r>
      <w:r w:rsidR="003F47E2" w:rsidRPr="00B02AD6">
        <w:t>,</w:t>
      </w:r>
      <w:r w:rsidR="00642512" w:rsidRPr="00B02AD6">
        <w:t>728</w:t>
      </w:r>
      <w:r w:rsidR="003F47E2" w:rsidRPr="00B02AD6">
        <w:t xml:space="preserve"> </w:t>
      </w:r>
      <w:r w:rsidR="00FD4129" w:rsidRPr="00B02AD6">
        <w:t>TL</w:t>
      </w:r>
      <w:r w:rsidRPr="00B02AD6">
        <w:t>)</w:t>
      </w:r>
    </w:p>
    <w:p w14:paraId="44BFDA11" w14:textId="77777777" w:rsidR="00A37AE5" w:rsidRPr="00B02AD6" w:rsidRDefault="00A37AE5" w:rsidP="00A86989">
      <w:pPr>
        <w:pStyle w:val="ListParagraph"/>
        <w:tabs>
          <w:tab w:val="num" w:pos="709"/>
        </w:tabs>
        <w:autoSpaceDE w:val="0"/>
        <w:autoSpaceDN w:val="0"/>
        <w:adjustRightInd w:val="0"/>
        <w:ind w:left="0"/>
        <w:jc w:val="both"/>
        <w:rPr>
          <w:spacing w:val="-6"/>
        </w:rPr>
      </w:pPr>
    </w:p>
    <w:p w14:paraId="1A9D5ACD" w14:textId="5A10775C" w:rsidR="006B012C" w:rsidRPr="00B02AD6" w:rsidRDefault="00111A1C" w:rsidP="00A86989">
      <w:pPr>
        <w:pStyle w:val="ListParagraph"/>
        <w:tabs>
          <w:tab w:val="num" w:pos="709"/>
        </w:tabs>
        <w:autoSpaceDE w:val="0"/>
        <w:autoSpaceDN w:val="0"/>
        <w:adjustRightInd w:val="0"/>
        <w:ind w:left="0"/>
        <w:jc w:val="both"/>
        <w:rPr>
          <w:spacing w:val="-6"/>
        </w:rPr>
      </w:pPr>
      <w:r w:rsidRPr="00B02AD6">
        <w:rPr>
          <w:spacing w:val="-6"/>
        </w:rPr>
        <w:t>Türev finansal araçlardan alacaklar/borçlar aşağıda belirtilen tutarlarda yabancı para valörlü döviz alım satım ve vadeli kıymetli maden alım satım işlemlerini de içermektedir.</w:t>
      </w:r>
    </w:p>
    <w:p w14:paraId="06122DCB" w14:textId="65373B29" w:rsidR="00A86989" w:rsidRPr="00B02AD6" w:rsidRDefault="00A86989" w:rsidP="00A86989">
      <w:pPr>
        <w:pStyle w:val="ListParagraph"/>
        <w:tabs>
          <w:tab w:val="num" w:pos="709"/>
        </w:tabs>
        <w:autoSpaceDE w:val="0"/>
        <w:autoSpaceDN w:val="0"/>
        <w:adjustRightInd w:val="0"/>
        <w:ind w:left="0"/>
        <w:jc w:val="both"/>
        <w:rPr>
          <w:spacing w:val="-6"/>
        </w:rPr>
      </w:pPr>
    </w:p>
    <w:p w14:paraId="12E583D7" w14:textId="77777777" w:rsidR="00A86989" w:rsidRPr="00B02AD6" w:rsidRDefault="00A86989" w:rsidP="00A86989">
      <w:pPr>
        <w:pStyle w:val="ListParagraph"/>
        <w:tabs>
          <w:tab w:val="num" w:pos="709"/>
        </w:tabs>
        <w:autoSpaceDE w:val="0"/>
        <w:autoSpaceDN w:val="0"/>
        <w:adjustRightInd w:val="0"/>
        <w:ind w:left="0"/>
        <w:jc w:val="both"/>
      </w:pPr>
    </w:p>
    <w:p w14:paraId="21B124C5" w14:textId="72E7D11D" w:rsidR="00997E02" w:rsidRPr="00B02AD6" w:rsidRDefault="00997E02" w:rsidP="00A86989">
      <w:pPr>
        <w:pStyle w:val="ListParagraph"/>
        <w:numPr>
          <w:ilvl w:val="0"/>
          <w:numId w:val="6"/>
        </w:numPr>
        <w:tabs>
          <w:tab w:val="clear" w:pos="360"/>
          <w:tab w:val="num" w:pos="709"/>
        </w:tabs>
        <w:autoSpaceDE w:val="0"/>
        <w:autoSpaceDN w:val="0"/>
        <w:adjustRightInd w:val="0"/>
        <w:jc w:val="both"/>
      </w:pPr>
      <w:r w:rsidRPr="00B02AD6">
        <w:t xml:space="preserve">Valörlü döviz alım işlemleri: </w:t>
      </w:r>
      <w:r w:rsidR="00B02AD6" w:rsidRPr="00B02AD6">
        <w:t xml:space="preserve">1,161,408 </w:t>
      </w:r>
      <w:r w:rsidRPr="00B02AD6">
        <w:t xml:space="preserve">TL (31 Aralık </w:t>
      </w:r>
      <w:r w:rsidR="00EA4497" w:rsidRPr="00B02AD6">
        <w:t>201</w:t>
      </w:r>
      <w:r w:rsidR="00642512" w:rsidRPr="00B02AD6">
        <w:t>9</w:t>
      </w:r>
      <w:r w:rsidR="009307A1" w:rsidRPr="00B02AD6">
        <w:t xml:space="preserve"> </w:t>
      </w:r>
      <w:r w:rsidR="00642512" w:rsidRPr="00B02AD6">
        <w:t>–</w:t>
      </w:r>
      <w:r w:rsidRPr="00B02AD6">
        <w:t xml:space="preserve"> </w:t>
      </w:r>
      <w:r w:rsidR="00642512" w:rsidRPr="00B02AD6">
        <w:t>907,403</w:t>
      </w:r>
      <w:r w:rsidR="003F47E2" w:rsidRPr="00B02AD6">
        <w:t xml:space="preserve"> </w:t>
      </w:r>
      <w:r w:rsidR="006D4115" w:rsidRPr="00B02AD6">
        <w:t>TL</w:t>
      </w:r>
      <w:r w:rsidR="00645EBA" w:rsidRPr="00B02AD6">
        <w:t>)</w:t>
      </w:r>
    </w:p>
    <w:p w14:paraId="23DC592F" w14:textId="050B187F" w:rsidR="00997E02" w:rsidRPr="00B02AD6" w:rsidRDefault="00997E02" w:rsidP="00A86989">
      <w:pPr>
        <w:pStyle w:val="ListParagraph"/>
        <w:numPr>
          <w:ilvl w:val="0"/>
          <w:numId w:val="6"/>
        </w:numPr>
        <w:tabs>
          <w:tab w:val="clear" w:pos="360"/>
          <w:tab w:val="num" w:pos="709"/>
        </w:tabs>
        <w:autoSpaceDE w:val="0"/>
        <w:autoSpaceDN w:val="0"/>
        <w:adjustRightInd w:val="0"/>
        <w:jc w:val="both"/>
      </w:pPr>
      <w:r w:rsidRPr="00B02AD6">
        <w:t xml:space="preserve">Valörlü döviz satım işlemleri: </w:t>
      </w:r>
      <w:r w:rsidR="009A6615" w:rsidRPr="00B02AD6">
        <w:t>1</w:t>
      </w:r>
      <w:r w:rsidR="00464BA2" w:rsidRPr="00B02AD6">
        <w:t>,</w:t>
      </w:r>
      <w:r w:rsidR="00B02AD6" w:rsidRPr="00B02AD6">
        <w:t>649,144</w:t>
      </w:r>
      <w:r w:rsidR="00424DC2" w:rsidRPr="00B02AD6">
        <w:t xml:space="preserve"> </w:t>
      </w:r>
      <w:r w:rsidRPr="00B02AD6">
        <w:t xml:space="preserve">TL (31 Aralık </w:t>
      </w:r>
      <w:proofErr w:type="gramStart"/>
      <w:r w:rsidR="00EA4497" w:rsidRPr="00B02AD6">
        <w:t>201</w:t>
      </w:r>
      <w:r w:rsidR="00642512" w:rsidRPr="00B02AD6">
        <w:t>9</w:t>
      </w:r>
      <w:r w:rsidR="009307A1" w:rsidRPr="00B02AD6">
        <w:t xml:space="preserve"> -</w:t>
      </w:r>
      <w:proofErr w:type="gramEnd"/>
      <w:r w:rsidRPr="00B02AD6">
        <w:t xml:space="preserve"> </w:t>
      </w:r>
      <w:r w:rsidR="00642512" w:rsidRPr="00B02AD6">
        <w:t>983</w:t>
      </w:r>
      <w:r w:rsidR="003F47E2" w:rsidRPr="00B02AD6">
        <w:t>,</w:t>
      </w:r>
      <w:r w:rsidR="00642512" w:rsidRPr="00B02AD6">
        <w:t>763</w:t>
      </w:r>
      <w:r w:rsidR="003F47E2" w:rsidRPr="00B02AD6">
        <w:t xml:space="preserve"> </w:t>
      </w:r>
      <w:r w:rsidR="00AF7B9B" w:rsidRPr="00B02AD6">
        <w:t>TL</w:t>
      </w:r>
      <w:r w:rsidRPr="00B02AD6">
        <w:t>)</w:t>
      </w:r>
    </w:p>
    <w:p w14:paraId="6D3234AD" w14:textId="6956761C" w:rsidR="009307A1" w:rsidRPr="00B02AD6" w:rsidRDefault="009307A1" w:rsidP="00A86989">
      <w:pPr>
        <w:pStyle w:val="ListParagraph"/>
        <w:numPr>
          <w:ilvl w:val="0"/>
          <w:numId w:val="6"/>
        </w:numPr>
        <w:tabs>
          <w:tab w:val="clear" w:pos="360"/>
          <w:tab w:val="num" w:pos="709"/>
        </w:tabs>
        <w:autoSpaceDE w:val="0"/>
        <w:autoSpaceDN w:val="0"/>
        <w:adjustRightInd w:val="0"/>
        <w:jc w:val="both"/>
      </w:pPr>
      <w:r w:rsidRPr="00B02AD6">
        <w:t xml:space="preserve">Kıymetli maden alım </w:t>
      </w:r>
      <w:proofErr w:type="gramStart"/>
      <w:r w:rsidRPr="00B02AD6">
        <w:t>işlemleri :</w:t>
      </w:r>
      <w:proofErr w:type="gramEnd"/>
      <w:r w:rsidRPr="00B02AD6">
        <w:t xml:space="preserve"> </w:t>
      </w:r>
      <w:r w:rsidR="00B02AD6" w:rsidRPr="00B02AD6">
        <w:t>16,556,317</w:t>
      </w:r>
      <w:r w:rsidRPr="00B02AD6">
        <w:t xml:space="preserve"> TL (31 Aralık 201</w:t>
      </w:r>
      <w:r w:rsidR="00642512" w:rsidRPr="00B02AD6">
        <w:t>9</w:t>
      </w:r>
      <w:r w:rsidRPr="00B02AD6">
        <w:t xml:space="preserve"> - </w:t>
      </w:r>
      <w:r w:rsidR="00642512" w:rsidRPr="00B02AD6">
        <w:t>1</w:t>
      </w:r>
      <w:r w:rsidRPr="00B02AD6">
        <w:t>5,</w:t>
      </w:r>
      <w:r w:rsidR="00642512" w:rsidRPr="00B02AD6">
        <w:t>348</w:t>
      </w:r>
      <w:r w:rsidRPr="00B02AD6">
        <w:t xml:space="preserve"> TL)</w:t>
      </w:r>
    </w:p>
    <w:p w14:paraId="623875A1" w14:textId="6846BFE8" w:rsidR="009307A1" w:rsidRPr="00B02AD6" w:rsidRDefault="009307A1" w:rsidP="00A86989">
      <w:pPr>
        <w:pStyle w:val="ListParagraph"/>
        <w:numPr>
          <w:ilvl w:val="0"/>
          <w:numId w:val="6"/>
        </w:numPr>
        <w:tabs>
          <w:tab w:val="clear" w:pos="360"/>
          <w:tab w:val="num" w:pos="709"/>
        </w:tabs>
        <w:autoSpaceDE w:val="0"/>
        <w:autoSpaceDN w:val="0"/>
        <w:adjustRightInd w:val="0"/>
        <w:jc w:val="both"/>
      </w:pPr>
      <w:r w:rsidRPr="00B02AD6">
        <w:t xml:space="preserve">Kıymetli maden satım </w:t>
      </w:r>
      <w:proofErr w:type="gramStart"/>
      <w:r w:rsidRPr="00B02AD6">
        <w:t>işlemleri :</w:t>
      </w:r>
      <w:proofErr w:type="gramEnd"/>
      <w:r w:rsidRPr="00B02AD6">
        <w:t xml:space="preserve"> </w:t>
      </w:r>
      <w:r w:rsidR="00B02AD6" w:rsidRPr="00B02AD6">
        <w:t>892</w:t>
      </w:r>
      <w:r w:rsidR="00464BA2" w:rsidRPr="00B02AD6">
        <w:t>,</w:t>
      </w:r>
      <w:r w:rsidR="00B02AD6" w:rsidRPr="00B02AD6">
        <w:t>190</w:t>
      </w:r>
      <w:r w:rsidRPr="00B02AD6">
        <w:t xml:space="preserve"> TL (31 Aralık 201</w:t>
      </w:r>
      <w:r w:rsidR="00642512" w:rsidRPr="00B02AD6">
        <w:t>9</w:t>
      </w:r>
      <w:r w:rsidRPr="00B02AD6">
        <w:t xml:space="preserve"> – </w:t>
      </w:r>
      <w:r w:rsidR="00642512" w:rsidRPr="00B02AD6">
        <w:t>322</w:t>
      </w:r>
      <w:r w:rsidRPr="00B02AD6">
        <w:t>,</w:t>
      </w:r>
      <w:r w:rsidR="00642512" w:rsidRPr="00B02AD6">
        <w:t>394</w:t>
      </w:r>
      <w:r w:rsidRPr="00B02AD6">
        <w:t xml:space="preserve"> TL )</w:t>
      </w:r>
    </w:p>
    <w:p w14:paraId="6670E21D" w14:textId="677145A0" w:rsidR="000C282D" w:rsidRPr="00270CE6" w:rsidRDefault="000C282D" w:rsidP="000C282D">
      <w:pPr>
        <w:tabs>
          <w:tab w:val="left" w:pos="709"/>
        </w:tabs>
        <w:autoSpaceDE w:val="0"/>
        <w:autoSpaceDN w:val="0"/>
        <w:adjustRightInd w:val="0"/>
        <w:rPr>
          <w:highlight w:val="yellow"/>
        </w:rPr>
      </w:pPr>
    </w:p>
    <w:p w14:paraId="1B612629" w14:textId="77777777" w:rsidR="00A86989" w:rsidRPr="00270CE6" w:rsidRDefault="00A86989" w:rsidP="000C282D">
      <w:pPr>
        <w:tabs>
          <w:tab w:val="left" w:pos="709"/>
        </w:tabs>
        <w:autoSpaceDE w:val="0"/>
        <w:autoSpaceDN w:val="0"/>
        <w:adjustRightInd w:val="0"/>
        <w:rPr>
          <w:highlight w:val="yellow"/>
        </w:rPr>
      </w:pPr>
    </w:p>
    <w:p w14:paraId="56B8D6FD" w14:textId="6A15CAE9" w:rsidR="000C282D" w:rsidRPr="009543E8" w:rsidRDefault="000C282D" w:rsidP="000C282D">
      <w:pPr>
        <w:rPr>
          <w:rFonts w:eastAsia="Arial Unicode MS"/>
          <w:b/>
        </w:rPr>
      </w:pPr>
      <w:r w:rsidRPr="009543E8">
        <w:rPr>
          <w:rFonts w:eastAsia="Arial Unicode MS"/>
          <w:b/>
        </w:rPr>
        <w:t>Kur riskine duyarlılık</w:t>
      </w:r>
    </w:p>
    <w:p w14:paraId="0C1C9CF4" w14:textId="427EDDED" w:rsidR="000C282D" w:rsidRPr="009543E8" w:rsidRDefault="000C282D" w:rsidP="000C282D">
      <w:pPr>
        <w:rPr>
          <w:rFonts w:eastAsia="Arial Unicode MS"/>
          <w:b/>
          <w:sz w:val="16"/>
          <w:szCs w:val="16"/>
        </w:rPr>
      </w:pPr>
    </w:p>
    <w:p w14:paraId="18149E8C" w14:textId="77777777" w:rsidR="00A86989" w:rsidRPr="009543E8" w:rsidRDefault="00A86989" w:rsidP="000C282D">
      <w:pPr>
        <w:rPr>
          <w:rFonts w:eastAsia="Arial Unicode MS"/>
          <w:b/>
          <w:sz w:val="16"/>
          <w:szCs w:val="16"/>
        </w:rPr>
      </w:pPr>
    </w:p>
    <w:p w14:paraId="40BDE57A" w14:textId="77777777" w:rsidR="000C282D" w:rsidRPr="009543E8" w:rsidRDefault="000C282D" w:rsidP="000C282D">
      <w:pPr>
        <w:rPr>
          <w:rFonts w:eastAsia="Arial Unicode MS"/>
          <w:b/>
          <w:sz w:val="2"/>
        </w:rPr>
      </w:pPr>
    </w:p>
    <w:p w14:paraId="501952EF" w14:textId="77777777" w:rsidR="000C282D" w:rsidRPr="009543E8" w:rsidRDefault="000C282D" w:rsidP="000C282D">
      <w:pPr>
        <w:rPr>
          <w:rFonts w:eastAsia="Arial Unicode MS"/>
        </w:rPr>
      </w:pPr>
      <w:r w:rsidRPr="009543E8">
        <w:rPr>
          <w:rFonts w:eastAsia="Arial Unicode MS"/>
        </w:rPr>
        <w:t>Banka büyük ölçüde Avro, ABD Doları ve Altın cinsinden kur riskine maruz kalmaktadır.</w:t>
      </w:r>
    </w:p>
    <w:p w14:paraId="7351A5C3" w14:textId="2565DF06" w:rsidR="00A86989" w:rsidRPr="009543E8" w:rsidRDefault="00A86989" w:rsidP="000C282D">
      <w:pPr>
        <w:autoSpaceDE w:val="0"/>
        <w:autoSpaceDN w:val="0"/>
        <w:adjustRightInd w:val="0"/>
        <w:jc w:val="both"/>
        <w:rPr>
          <w:rFonts w:eastAsia="Arial Unicode MS"/>
          <w:b/>
          <w:sz w:val="16"/>
          <w:szCs w:val="16"/>
        </w:rPr>
      </w:pPr>
    </w:p>
    <w:p w14:paraId="79DFDF64" w14:textId="77777777" w:rsidR="000C282D" w:rsidRPr="009543E8" w:rsidRDefault="000C282D" w:rsidP="000C282D">
      <w:pPr>
        <w:jc w:val="both"/>
        <w:rPr>
          <w:rFonts w:eastAsia="Arial Unicode MS"/>
        </w:rPr>
      </w:pPr>
      <w:r w:rsidRPr="009543E8">
        <w:rPr>
          <w:rFonts w:eastAsia="Arial Unicode MS"/>
        </w:rPr>
        <w:t xml:space="preserve">Aşağıdaki tablo, Banka’nın ABD Doları, Avro ve Altın kurlarındaki %10’luk artışa olan duyarlılığını göstermektedir. </w:t>
      </w:r>
    </w:p>
    <w:p w14:paraId="604E7A02" w14:textId="77777777" w:rsidR="00A86989" w:rsidRPr="009543E8" w:rsidRDefault="00A86989" w:rsidP="000C282D">
      <w:pPr>
        <w:autoSpaceDE w:val="0"/>
        <w:autoSpaceDN w:val="0"/>
        <w:adjustRightInd w:val="0"/>
        <w:rPr>
          <w:rFonts w:eastAsia="Arial Unicode MS"/>
        </w:rPr>
      </w:pPr>
    </w:p>
    <w:p w14:paraId="1DE3531A" w14:textId="5B5C351C" w:rsidR="00865FDA" w:rsidRPr="00311DAB" w:rsidRDefault="00865FDA" w:rsidP="001F16A5">
      <w:pPr>
        <w:pBdr>
          <w:bar w:val="single" w:sz="4" w:color="auto"/>
        </w:pBdr>
        <w:autoSpaceDE w:val="0"/>
        <w:autoSpaceDN w:val="0"/>
        <w:adjustRightInd w:val="0"/>
        <w:rPr>
          <w:lang w:eastAsia="en-GB"/>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3"/>
        <w:gridCol w:w="2326"/>
        <w:gridCol w:w="1258"/>
        <w:gridCol w:w="1841"/>
        <w:gridCol w:w="1257"/>
        <w:gridCol w:w="1589"/>
      </w:tblGrid>
      <w:tr w:rsidR="00DC5147" w:rsidRPr="00865FDA" w14:paraId="3FC11A07" w14:textId="77777777" w:rsidTr="00FC1F5B">
        <w:trPr>
          <w:divId w:val="82145098"/>
          <w:trHeight w:val="547"/>
        </w:trPr>
        <w:tc>
          <w:tcPr>
            <w:tcW w:w="1213" w:type="dxa"/>
            <w:vMerge w:val="restart"/>
            <w:shd w:val="clear" w:color="auto" w:fill="D0CECE" w:themeFill="background2" w:themeFillShade="E6"/>
            <w:vAlign w:val="center"/>
            <w:hideMark/>
          </w:tcPr>
          <w:p w14:paraId="20B68EB3" w14:textId="77777777" w:rsidR="00DC5147" w:rsidRPr="00865FDA" w:rsidRDefault="00DC5147" w:rsidP="00865FDA">
            <w:pPr>
              <w:pBdr>
                <w:bar w:val="single" w:sz="4" w:color="auto"/>
              </w:pBdr>
              <w:rPr>
                <w:color w:val="000000"/>
                <w:lang w:eastAsia="tr-TR"/>
              </w:rPr>
            </w:pPr>
            <w:r w:rsidRPr="00865FDA">
              <w:rPr>
                <w:color w:val="000000"/>
                <w:lang w:eastAsia="tr-TR"/>
              </w:rPr>
              <w:t> </w:t>
            </w:r>
          </w:p>
          <w:p w14:paraId="174B20C0" w14:textId="168D1F34" w:rsidR="00DC5147" w:rsidRPr="00865FDA" w:rsidRDefault="00DC5147" w:rsidP="00865FDA">
            <w:pPr>
              <w:pBdr>
                <w:bar w:val="single" w:sz="4" w:color="auto"/>
              </w:pBdr>
              <w:rPr>
                <w:color w:val="000000"/>
                <w:lang w:eastAsia="tr-TR"/>
              </w:rPr>
            </w:pPr>
            <w:r w:rsidRPr="00865FDA">
              <w:rPr>
                <w:b/>
                <w:bCs/>
                <w:color w:val="000000"/>
                <w:lang w:eastAsia="tr-TR"/>
              </w:rPr>
              <w:t> </w:t>
            </w:r>
          </w:p>
        </w:tc>
        <w:tc>
          <w:tcPr>
            <w:tcW w:w="2326" w:type="dxa"/>
            <w:shd w:val="clear" w:color="auto" w:fill="auto"/>
            <w:vAlign w:val="center"/>
            <w:hideMark/>
          </w:tcPr>
          <w:p w14:paraId="383436E6" w14:textId="77777777" w:rsidR="00DC5147" w:rsidRPr="00865FDA" w:rsidRDefault="00DC5147" w:rsidP="00865FDA">
            <w:pPr>
              <w:pBdr>
                <w:bar w:val="single" w:sz="4" w:color="auto"/>
              </w:pBdr>
              <w:jc w:val="right"/>
              <w:rPr>
                <w:b/>
                <w:bCs/>
                <w:color w:val="000000"/>
                <w:lang w:eastAsia="tr-TR"/>
              </w:rPr>
            </w:pPr>
            <w:r w:rsidRPr="00865FDA">
              <w:rPr>
                <w:b/>
                <w:bCs/>
                <w:color w:val="000000"/>
                <w:lang w:eastAsia="tr-TR"/>
              </w:rPr>
              <w:t>Döviz kurundaki % değişim</w:t>
            </w:r>
          </w:p>
        </w:tc>
        <w:tc>
          <w:tcPr>
            <w:tcW w:w="3099" w:type="dxa"/>
            <w:gridSpan w:val="2"/>
            <w:shd w:val="clear" w:color="auto" w:fill="auto"/>
            <w:vAlign w:val="center"/>
            <w:hideMark/>
          </w:tcPr>
          <w:p w14:paraId="462AE487" w14:textId="77777777" w:rsidR="00DC5147" w:rsidRPr="00865FDA" w:rsidRDefault="00DC5147" w:rsidP="00865FDA">
            <w:pPr>
              <w:pBdr>
                <w:bar w:val="single" w:sz="4" w:color="auto"/>
              </w:pBdr>
              <w:jc w:val="right"/>
              <w:rPr>
                <w:b/>
                <w:bCs/>
                <w:color w:val="000000"/>
                <w:lang w:eastAsia="tr-TR"/>
              </w:rPr>
            </w:pPr>
            <w:r w:rsidRPr="00865FDA">
              <w:rPr>
                <w:b/>
                <w:bCs/>
                <w:color w:val="000000"/>
                <w:lang w:eastAsia="tr-TR"/>
              </w:rPr>
              <w:t xml:space="preserve">              Kar / Zarar üzerindeki etki</w:t>
            </w:r>
          </w:p>
        </w:tc>
        <w:tc>
          <w:tcPr>
            <w:tcW w:w="2846" w:type="dxa"/>
            <w:gridSpan w:val="2"/>
            <w:shd w:val="clear" w:color="auto" w:fill="auto"/>
            <w:vAlign w:val="center"/>
            <w:hideMark/>
          </w:tcPr>
          <w:p w14:paraId="768DFA1D" w14:textId="77777777" w:rsidR="00DC5147" w:rsidRPr="00865FDA" w:rsidRDefault="00DC5147" w:rsidP="00865FDA">
            <w:pPr>
              <w:pBdr>
                <w:bar w:val="single" w:sz="4" w:color="auto"/>
              </w:pBdr>
              <w:jc w:val="center"/>
              <w:rPr>
                <w:b/>
                <w:bCs/>
                <w:color w:val="000000"/>
                <w:lang w:eastAsia="tr-TR"/>
              </w:rPr>
            </w:pPr>
            <w:r w:rsidRPr="00865FDA">
              <w:rPr>
                <w:b/>
                <w:bCs/>
                <w:color w:val="000000"/>
                <w:lang w:eastAsia="tr-TR"/>
              </w:rPr>
              <w:t xml:space="preserve">    </w:t>
            </w:r>
            <w:proofErr w:type="spellStart"/>
            <w:r w:rsidRPr="00865FDA">
              <w:rPr>
                <w:b/>
                <w:bCs/>
                <w:color w:val="000000"/>
                <w:lang w:eastAsia="tr-TR"/>
              </w:rPr>
              <w:t>Özkaynak</w:t>
            </w:r>
            <w:proofErr w:type="spellEnd"/>
            <w:r w:rsidRPr="00865FDA">
              <w:rPr>
                <w:b/>
                <w:bCs/>
                <w:color w:val="000000"/>
                <w:lang w:eastAsia="tr-TR"/>
              </w:rPr>
              <w:t xml:space="preserve"> üzerindeki etki</w:t>
            </w:r>
          </w:p>
        </w:tc>
      </w:tr>
      <w:tr w:rsidR="00DC5147" w:rsidRPr="00865FDA" w14:paraId="7F130ECB" w14:textId="77777777" w:rsidTr="00FC1F5B">
        <w:trPr>
          <w:divId w:val="82145098"/>
          <w:trHeight w:val="275"/>
        </w:trPr>
        <w:tc>
          <w:tcPr>
            <w:tcW w:w="1213" w:type="dxa"/>
            <w:vMerge/>
            <w:shd w:val="clear" w:color="auto" w:fill="D0CECE" w:themeFill="background2" w:themeFillShade="E6"/>
            <w:vAlign w:val="center"/>
            <w:hideMark/>
          </w:tcPr>
          <w:p w14:paraId="6E10632B" w14:textId="4CC79BF3" w:rsidR="00DC5147" w:rsidRPr="00865FDA" w:rsidRDefault="00DC5147" w:rsidP="00865FDA">
            <w:pPr>
              <w:pBdr>
                <w:bar w:val="single" w:sz="4" w:color="auto"/>
              </w:pBdr>
              <w:rPr>
                <w:b/>
                <w:bCs/>
                <w:color w:val="000000"/>
                <w:lang w:eastAsia="tr-TR"/>
              </w:rPr>
            </w:pPr>
          </w:p>
        </w:tc>
        <w:tc>
          <w:tcPr>
            <w:tcW w:w="2326" w:type="dxa"/>
            <w:shd w:val="clear" w:color="auto" w:fill="D0CECE" w:themeFill="background2" w:themeFillShade="E6"/>
            <w:vAlign w:val="center"/>
            <w:hideMark/>
          </w:tcPr>
          <w:p w14:paraId="05B966A8" w14:textId="77777777" w:rsidR="00DC5147" w:rsidRPr="00865FDA" w:rsidRDefault="00DC5147" w:rsidP="00311DAB">
            <w:pPr>
              <w:pBdr>
                <w:bar w:val="single" w:sz="4" w:color="auto"/>
              </w:pBdr>
              <w:shd w:val="clear" w:color="auto" w:fill="D0CECE" w:themeFill="background2" w:themeFillShade="E6"/>
              <w:jc w:val="right"/>
              <w:rPr>
                <w:b/>
                <w:bCs/>
                <w:color w:val="000000"/>
                <w:lang w:eastAsia="tr-TR"/>
              </w:rPr>
            </w:pPr>
            <w:r w:rsidRPr="00865FDA">
              <w:rPr>
                <w:b/>
                <w:bCs/>
                <w:color w:val="000000"/>
                <w:lang w:eastAsia="tr-TR"/>
              </w:rPr>
              <w:t> </w:t>
            </w:r>
          </w:p>
        </w:tc>
        <w:tc>
          <w:tcPr>
            <w:tcW w:w="1258" w:type="dxa"/>
            <w:shd w:val="clear" w:color="auto" w:fill="auto"/>
            <w:vAlign w:val="center"/>
            <w:hideMark/>
          </w:tcPr>
          <w:p w14:paraId="34A3DC3A" w14:textId="77777777" w:rsidR="00DC5147" w:rsidRPr="00865FDA" w:rsidRDefault="00DC5147" w:rsidP="00865FDA">
            <w:pPr>
              <w:pBdr>
                <w:bar w:val="single" w:sz="4" w:color="auto"/>
              </w:pBdr>
              <w:jc w:val="right"/>
              <w:rPr>
                <w:b/>
                <w:bCs/>
                <w:color w:val="000000"/>
                <w:lang w:eastAsia="tr-TR"/>
              </w:rPr>
            </w:pPr>
            <w:r w:rsidRPr="00865FDA">
              <w:rPr>
                <w:b/>
                <w:bCs/>
                <w:color w:val="000000"/>
                <w:lang w:eastAsia="tr-TR"/>
              </w:rPr>
              <w:t>Cari dönem</w:t>
            </w:r>
          </w:p>
        </w:tc>
        <w:tc>
          <w:tcPr>
            <w:tcW w:w="1841" w:type="dxa"/>
            <w:shd w:val="clear" w:color="auto" w:fill="auto"/>
            <w:vAlign w:val="center"/>
            <w:hideMark/>
          </w:tcPr>
          <w:p w14:paraId="0D446275" w14:textId="77777777" w:rsidR="00DC5147" w:rsidRPr="00865FDA" w:rsidRDefault="00DC5147" w:rsidP="00865FDA">
            <w:pPr>
              <w:pBdr>
                <w:bar w:val="single" w:sz="4" w:color="auto"/>
              </w:pBdr>
              <w:jc w:val="right"/>
              <w:rPr>
                <w:b/>
                <w:bCs/>
                <w:color w:val="000000"/>
                <w:lang w:eastAsia="tr-TR"/>
              </w:rPr>
            </w:pPr>
            <w:r w:rsidRPr="00865FDA">
              <w:rPr>
                <w:b/>
                <w:bCs/>
                <w:color w:val="000000"/>
                <w:lang w:eastAsia="tr-TR"/>
              </w:rPr>
              <w:t>Önceki dönem</w:t>
            </w:r>
          </w:p>
        </w:tc>
        <w:tc>
          <w:tcPr>
            <w:tcW w:w="1257" w:type="dxa"/>
            <w:shd w:val="clear" w:color="auto" w:fill="auto"/>
            <w:vAlign w:val="center"/>
            <w:hideMark/>
          </w:tcPr>
          <w:p w14:paraId="1381DDA0" w14:textId="77777777" w:rsidR="00DC5147" w:rsidRPr="00865FDA" w:rsidRDefault="00DC5147" w:rsidP="00865FDA">
            <w:pPr>
              <w:pBdr>
                <w:bar w:val="single" w:sz="4" w:color="auto"/>
              </w:pBdr>
              <w:jc w:val="right"/>
              <w:rPr>
                <w:b/>
                <w:bCs/>
                <w:color w:val="000000"/>
                <w:lang w:eastAsia="tr-TR"/>
              </w:rPr>
            </w:pPr>
            <w:r w:rsidRPr="00865FDA">
              <w:rPr>
                <w:b/>
                <w:bCs/>
                <w:color w:val="000000"/>
                <w:lang w:eastAsia="tr-TR"/>
              </w:rPr>
              <w:t>Cari dönem</w:t>
            </w:r>
          </w:p>
        </w:tc>
        <w:tc>
          <w:tcPr>
            <w:tcW w:w="1589" w:type="dxa"/>
            <w:shd w:val="clear" w:color="auto" w:fill="auto"/>
            <w:vAlign w:val="center"/>
            <w:hideMark/>
          </w:tcPr>
          <w:p w14:paraId="782002A9" w14:textId="77777777" w:rsidR="00DC5147" w:rsidRPr="00865FDA" w:rsidRDefault="00DC5147" w:rsidP="00865FDA">
            <w:pPr>
              <w:pBdr>
                <w:bar w:val="single" w:sz="4" w:color="auto"/>
              </w:pBdr>
              <w:jc w:val="right"/>
              <w:rPr>
                <w:b/>
                <w:bCs/>
                <w:color w:val="000000"/>
                <w:lang w:eastAsia="tr-TR"/>
              </w:rPr>
            </w:pPr>
            <w:r w:rsidRPr="00865FDA">
              <w:rPr>
                <w:b/>
                <w:bCs/>
                <w:color w:val="000000"/>
                <w:lang w:eastAsia="tr-TR"/>
              </w:rPr>
              <w:t>Önceki dönem</w:t>
            </w:r>
          </w:p>
        </w:tc>
      </w:tr>
      <w:tr w:rsidR="00865FDA" w:rsidRPr="00865FDA" w14:paraId="69A853C9" w14:textId="77777777" w:rsidTr="00FC1F5B">
        <w:trPr>
          <w:divId w:val="82145098"/>
          <w:trHeight w:val="268"/>
        </w:trPr>
        <w:tc>
          <w:tcPr>
            <w:tcW w:w="1213" w:type="dxa"/>
            <w:shd w:val="clear" w:color="auto" w:fill="auto"/>
            <w:vAlign w:val="center"/>
            <w:hideMark/>
          </w:tcPr>
          <w:p w14:paraId="192B7643" w14:textId="77777777" w:rsidR="00865FDA" w:rsidRPr="00865FDA" w:rsidRDefault="00865FDA" w:rsidP="00865FDA">
            <w:pPr>
              <w:pBdr>
                <w:bar w:val="single" w:sz="4" w:color="auto"/>
              </w:pBdr>
              <w:rPr>
                <w:color w:val="000000"/>
                <w:lang w:eastAsia="tr-TR"/>
              </w:rPr>
            </w:pPr>
            <w:r w:rsidRPr="00865FDA">
              <w:rPr>
                <w:color w:val="000000"/>
                <w:lang w:eastAsia="tr-TR"/>
              </w:rPr>
              <w:t>ABD Doları</w:t>
            </w:r>
          </w:p>
        </w:tc>
        <w:tc>
          <w:tcPr>
            <w:tcW w:w="2326" w:type="dxa"/>
            <w:shd w:val="clear" w:color="auto" w:fill="auto"/>
            <w:vAlign w:val="center"/>
            <w:hideMark/>
          </w:tcPr>
          <w:p w14:paraId="3364AD33" w14:textId="77777777" w:rsidR="00865FDA" w:rsidRPr="00865FDA" w:rsidRDefault="00865FDA" w:rsidP="00865FDA">
            <w:pPr>
              <w:pBdr>
                <w:bar w:val="single" w:sz="4" w:color="auto"/>
              </w:pBdr>
              <w:jc w:val="right"/>
              <w:rPr>
                <w:color w:val="000000"/>
                <w:lang w:eastAsia="tr-TR"/>
              </w:rPr>
            </w:pPr>
            <w:r w:rsidRPr="00865FDA">
              <w:rPr>
                <w:color w:val="000000"/>
                <w:lang w:eastAsia="tr-TR"/>
              </w:rPr>
              <w:t>10%</w:t>
            </w:r>
          </w:p>
        </w:tc>
        <w:tc>
          <w:tcPr>
            <w:tcW w:w="1258" w:type="dxa"/>
            <w:shd w:val="clear" w:color="auto" w:fill="auto"/>
            <w:vAlign w:val="center"/>
            <w:hideMark/>
          </w:tcPr>
          <w:p w14:paraId="38555498" w14:textId="77777777" w:rsidR="00865FDA" w:rsidRPr="00865FDA" w:rsidRDefault="00865FDA" w:rsidP="00865FDA">
            <w:pPr>
              <w:pBdr>
                <w:bar w:val="single" w:sz="4" w:color="auto"/>
              </w:pBdr>
              <w:jc w:val="right"/>
              <w:rPr>
                <w:color w:val="000000"/>
                <w:lang w:eastAsia="tr-TR"/>
              </w:rPr>
            </w:pPr>
            <w:r w:rsidRPr="00865FDA">
              <w:rPr>
                <w:color w:val="000000"/>
                <w:lang w:eastAsia="tr-TR"/>
              </w:rPr>
              <w:t>6,159</w:t>
            </w:r>
          </w:p>
        </w:tc>
        <w:tc>
          <w:tcPr>
            <w:tcW w:w="1841" w:type="dxa"/>
            <w:shd w:val="clear" w:color="auto" w:fill="auto"/>
            <w:vAlign w:val="center"/>
            <w:hideMark/>
          </w:tcPr>
          <w:p w14:paraId="3C9B279B" w14:textId="77777777" w:rsidR="00865FDA" w:rsidRPr="00865FDA" w:rsidRDefault="00865FDA" w:rsidP="00865FDA">
            <w:pPr>
              <w:pBdr>
                <w:bar w:val="single" w:sz="4" w:color="auto"/>
              </w:pBdr>
              <w:jc w:val="right"/>
              <w:rPr>
                <w:color w:val="000000"/>
                <w:lang w:eastAsia="tr-TR"/>
              </w:rPr>
            </w:pPr>
            <w:r w:rsidRPr="00865FDA">
              <w:rPr>
                <w:color w:val="000000"/>
                <w:lang w:eastAsia="tr-TR"/>
              </w:rPr>
              <w:t>42,069</w:t>
            </w:r>
          </w:p>
        </w:tc>
        <w:tc>
          <w:tcPr>
            <w:tcW w:w="1257" w:type="dxa"/>
            <w:shd w:val="clear" w:color="auto" w:fill="auto"/>
            <w:vAlign w:val="center"/>
            <w:hideMark/>
          </w:tcPr>
          <w:p w14:paraId="274B3DBA" w14:textId="77777777" w:rsidR="00865FDA" w:rsidRPr="00865FDA" w:rsidRDefault="00865FDA" w:rsidP="00865FDA">
            <w:pPr>
              <w:pBdr>
                <w:bar w:val="single" w:sz="4" w:color="auto"/>
              </w:pBdr>
              <w:jc w:val="right"/>
              <w:rPr>
                <w:color w:val="000000"/>
                <w:lang w:eastAsia="tr-TR"/>
              </w:rPr>
            </w:pPr>
            <w:r w:rsidRPr="00865FDA">
              <w:rPr>
                <w:color w:val="000000"/>
                <w:lang w:eastAsia="tr-TR"/>
              </w:rPr>
              <w:t>6,159</w:t>
            </w:r>
          </w:p>
        </w:tc>
        <w:tc>
          <w:tcPr>
            <w:tcW w:w="1589" w:type="dxa"/>
            <w:shd w:val="clear" w:color="auto" w:fill="auto"/>
            <w:vAlign w:val="center"/>
            <w:hideMark/>
          </w:tcPr>
          <w:p w14:paraId="0C8BC8F0" w14:textId="77777777" w:rsidR="00865FDA" w:rsidRPr="00865FDA" w:rsidRDefault="00865FDA" w:rsidP="00865FDA">
            <w:pPr>
              <w:pBdr>
                <w:bar w:val="single" w:sz="4" w:color="auto"/>
              </w:pBdr>
              <w:jc w:val="right"/>
              <w:rPr>
                <w:color w:val="000000"/>
                <w:lang w:eastAsia="tr-TR"/>
              </w:rPr>
            </w:pPr>
            <w:r w:rsidRPr="00865FDA">
              <w:rPr>
                <w:color w:val="000000"/>
                <w:lang w:eastAsia="tr-TR"/>
              </w:rPr>
              <w:t>50,284</w:t>
            </w:r>
          </w:p>
        </w:tc>
      </w:tr>
      <w:tr w:rsidR="00865FDA" w:rsidRPr="00865FDA" w14:paraId="6B2C8D32" w14:textId="77777777" w:rsidTr="00FC1F5B">
        <w:trPr>
          <w:divId w:val="82145098"/>
          <w:trHeight w:val="157"/>
        </w:trPr>
        <w:tc>
          <w:tcPr>
            <w:tcW w:w="1213" w:type="dxa"/>
            <w:shd w:val="clear" w:color="auto" w:fill="auto"/>
            <w:vAlign w:val="center"/>
            <w:hideMark/>
          </w:tcPr>
          <w:p w14:paraId="79A3337D" w14:textId="77777777" w:rsidR="00865FDA" w:rsidRPr="00865FDA" w:rsidRDefault="00865FDA" w:rsidP="00865FDA">
            <w:pPr>
              <w:pBdr>
                <w:bar w:val="single" w:sz="4" w:color="auto"/>
              </w:pBdr>
              <w:rPr>
                <w:color w:val="000000"/>
                <w:lang w:eastAsia="tr-TR"/>
              </w:rPr>
            </w:pPr>
            <w:r w:rsidRPr="00865FDA">
              <w:rPr>
                <w:color w:val="000000"/>
                <w:lang w:eastAsia="tr-TR"/>
              </w:rPr>
              <w:t>Avro</w:t>
            </w:r>
          </w:p>
        </w:tc>
        <w:tc>
          <w:tcPr>
            <w:tcW w:w="2326" w:type="dxa"/>
            <w:shd w:val="clear" w:color="auto" w:fill="auto"/>
            <w:vAlign w:val="center"/>
            <w:hideMark/>
          </w:tcPr>
          <w:p w14:paraId="04FB2AB7" w14:textId="77777777" w:rsidR="00865FDA" w:rsidRPr="00865FDA" w:rsidRDefault="00865FDA" w:rsidP="00865FDA">
            <w:pPr>
              <w:pBdr>
                <w:bar w:val="single" w:sz="4" w:color="auto"/>
              </w:pBdr>
              <w:jc w:val="right"/>
              <w:rPr>
                <w:color w:val="000000"/>
                <w:lang w:eastAsia="tr-TR"/>
              </w:rPr>
            </w:pPr>
            <w:r w:rsidRPr="00865FDA">
              <w:rPr>
                <w:color w:val="000000"/>
                <w:lang w:eastAsia="tr-TR"/>
              </w:rPr>
              <w:t>10%</w:t>
            </w:r>
          </w:p>
        </w:tc>
        <w:tc>
          <w:tcPr>
            <w:tcW w:w="1258" w:type="dxa"/>
            <w:shd w:val="clear" w:color="auto" w:fill="auto"/>
            <w:vAlign w:val="center"/>
            <w:hideMark/>
          </w:tcPr>
          <w:p w14:paraId="32A25BF7" w14:textId="77777777" w:rsidR="00865FDA" w:rsidRPr="00865FDA" w:rsidRDefault="00865FDA" w:rsidP="00865FDA">
            <w:pPr>
              <w:pBdr>
                <w:bar w:val="single" w:sz="4" w:color="auto"/>
              </w:pBdr>
              <w:jc w:val="right"/>
              <w:rPr>
                <w:color w:val="000000"/>
                <w:lang w:eastAsia="tr-TR"/>
              </w:rPr>
            </w:pPr>
            <w:r w:rsidRPr="00865FDA">
              <w:rPr>
                <w:color w:val="000000"/>
                <w:lang w:eastAsia="tr-TR"/>
              </w:rPr>
              <w:t>(46,056)</w:t>
            </w:r>
          </w:p>
        </w:tc>
        <w:tc>
          <w:tcPr>
            <w:tcW w:w="1841" w:type="dxa"/>
            <w:shd w:val="clear" w:color="auto" w:fill="auto"/>
            <w:vAlign w:val="center"/>
            <w:hideMark/>
          </w:tcPr>
          <w:p w14:paraId="19AED006" w14:textId="77777777" w:rsidR="00865FDA" w:rsidRPr="00865FDA" w:rsidRDefault="00865FDA" w:rsidP="00865FDA">
            <w:pPr>
              <w:pBdr>
                <w:bar w:val="single" w:sz="4" w:color="auto"/>
              </w:pBdr>
              <w:jc w:val="right"/>
              <w:rPr>
                <w:color w:val="000000"/>
                <w:lang w:eastAsia="tr-TR"/>
              </w:rPr>
            </w:pPr>
            <w:r w:rsidRPr="00865FDA">
              <w:rPr>
                <w:color w:val="000000"/>
                <w:lang w:eastAsia="tr-TR"/>
              </w:rPr>
              <w:t>(8,197)</w:t>
            </w:r>
          </w:p>
        </w:tc>
        <w:tc>
          <w:tcPr>
            <w:tcW w:w="1257" w:type="dxa"/>
            <w:shd w:val="clear" w:color="auto" w:fill="auto"/>
            <w:vAlign w:val="center"/>
            <w:hideMark/>
          </w:tcPr>
          <w:p w14:paraId="626F3FFB" w14:textId="77777777" w:rsidR="00865FDA" w:rsidRPr="00865FDA" w:rsidRDefault="00865FDA" w:rsidP="00865FDA">
            <w:pPr>
              <w:pBdr>
                <w:bar w:val="single" w:sz="4" w:color="auto"/>
              </w:pBdr>
              <w:jc w:val="right"/>
              <w:rPr>
                <w:color w:val="000000"/>
                <w:lang w:eastAsia="tr-TR"/>
              </w:rPr>
            </w:pPr>
            <w:r w:rsidRPr="00865FDA">
              <w:rPr>
                <w:color w:val="000000"/>
                <w:lang w:eastAsia="tr-TR"/>
              </w:rPr>
              <w:t>(46,056)</w:t>
            </w:r>
          </w:p>
        </w:tc>
        <w:tc>
          <w:tcPr>
            <w:tcW w:w="1589" w:type="dxa"/>
            <w:shd w:val="clear" w:color="auto" w:fill="auto"/>
            <w:vAlign w:val="center"/>
            <w:hideMark/>
          </w:tcPr>
          <w:p w14:paraId="60F67D2A" w14:textId="77777777" w:rsidR="00865FDA" w:rsidRPr="00865FDA" w:rsidRDefault="00865FDA" w:rsidP="00865FDA">
            <w:pPr>
              <w:pBdr>
                <w:bar w:val="single" w:sz="4" w:color="auto"/>
              </w:pBdr>
              <w:jc w:val="right"/>
              <w:rPr>
                <w:color w:val="000000"/>
                <w:lang w:eastAsia="tr-TR"/>
              </w:rPr>
            </w:pPr>
            <w:r w:rsidRPr="00865FDA">
              <w:rPr>
                <w:color w:val="000000"/>
                <w:lang w:eastAsia="tr-TR"/>
              </w:rPr>
              <w:t>(8,197)</w:t>
            </w:r>
          </w:p>
        </w:tc>
      </w:tr>
      <w:tr w:rsidR="00865FDA" w:rsidRPr="00865FDA" w14:paraId="7E01F730" w14:textId="77777777" w:rsidTr="00FC1F5B">
        <w:trPr>
          <w:divId w:val="82145098"/>
          <w:trHeight w:val="157"/>
        </w:trPr>
        <w:tc>
          <w:tcPr>
            <w:tcW w:w="1213" w:type="dxa"/>
            <w:shd w:val="clear" w:color="auto" w:fill="auto"/>
            <w:vAlign w:val="center"/>
            <w:hideMark/>
          </w:tcPr>
          <w:p w14:paraId="2731A84F" w14:textId="77777777" w:rsidR="00865FDA" w:rsidRPr="00865FDA" w:rsidRDefault="00865FDA" w:rsidP="00865FDA">
            <w:pPr>
              <w:pBdr>
                <w:bar w:val="single" w:sz="4" w:color="auto"/>
              </w:pBdr>
              <w:rPr>
                <w:color w:val="000000"/>
                <w:lang w:eastAsia="tr-TR"/>
              </w:rPr>
            </w:pPr>
            <w:r w:rsidRPr="00865FDA">
              <w:rPr>
                <w:color w:val="000000"/>
                <w:lang w:eastAsia="tr-TR"/>
              </w:rPr>
              <w:t>Altın</w:t>
            </w:r>
          </w:p>
        </w:tc>
        <w:tc>
          <w:tcPr>
            <w:tcW w:w="2326" w:type="dxa"/>
            <w:shd w:val="clear" w:color="auto" w:fill="auto"/>
            <w:vAlign w:val="center"/>
            <w:hideMark/>
          </w:tcPr>
          <w:p w14:paraId="37129CF7" w14:textId="77777777" w:rsidR="00865FDA" w:rsidRPr="00865FDA" w:rsidRDefault="00865FDA" w:rsidP="00865FDA">
            <w:pPr>
              <w:pBdr>
                <w:bar w:val="single" w:sz="4" w:color="auto"/>
              </w:pBdr>
              <w:jc w:val="right"/>
              <w:rPr>
                <w:color w:val="000000"/>
                <w:lang w:eastAsia="tr-TR"/>
              </w:rPr>
            </w:pPr>
            <w:r w:rsidRPr="00865FDA">
              <w:rPr>
                <w:color w:val="000000"/>
                <w:lang w:eastAsia="tr-TR"/>
              </w:rPr>
              <w:t>10%</w:t>
            </w:r>
          </w:p>
        </w:tc>
        <w:tc>
          <w:tcPr>
            <w:tcW w:w="1258" w:type="dxa"/>
            <w:shd w:val="clear" w:color="auto" w:fill="auto"/>
            <w:vAlign w:val="center"/>
            <w:hideMark/>
          </w:tcPr>
          <w:p w14:paraId="601C8765" w14:textId="77777777" w:rsidR="00865FDA" w:rsidRPr="00865FDA" w:rsidRDefault="00865FDA" w:rsidP="00865FDA">
            <w:pPr>
              <w:pBdr>
                <w:bar w:val="single" w:sz="4" w:color="auto"/>
              </w:pBdr>
              <w:jc w:val="right"/>
              <w:rPr>
                <w:color w:val="000000"/>
                <w:lang w:eastAsia="tr-TR"/>
              </w:rPr>
            </w:pPr>
            <w:r w:rsidRPr="00865FDA">
              <w:rPr>
                <w:color w:val="000000"/>
                <w:lang w:eastAsia="tr-TR"/>
              </w:rPr>
              <w:t>10,448</w:t>
            </w:r>
          </w:p>
        </w:tc>
        <w:tc>
          <w:tcPr>
            <w:tcW w:w="1841" w:type="dxa"/>
            <w:shd w:val="clear" w:color="auto" w:fill="auto"/>
            <w:vAlign w:val="center"/>
            <w:hideMark/>
          </w:tcPr>
          <w:p w14:paraId="41831B76" w14:textId="77777777" w:rsidR="00865FDA" w:rsidRPr="00865FDA" w:rsidRDefault="00865FDA" w:rsidP="00865FDA">
            <w:pPr>
              <w:pBdr>
                <w:bar w:val="single" w:sz="4" w:color="auto"/>
              </w:pBdr>
              <w:jc w:val="right"/>
              <w:rPr>
                <w:color w:val="000000"/>
                <w:lang w:eastAsia="tr-TR"/>
              </w:rPr>
            </w:pPr>
            <w:r w:rsidRPr="00865FDA">
              <w:rPr>
                <w:color w:val="000000"/>
                <w:lang w:eastAsia="tr-TR"/>
              </w:rPr>
              <w:t>3,545</w:t>
            </w:r>
          </w:p>
        </w:tc>
        <w:tc>
          <w:tcPr>
            <w:tcW w:w="1257" w:type="dxa"/>
            <w:shd w:val="clear" w:color="auto" w:fill="auto"/>
            <w:vAlign w:val="center"/>
            <w:hideMark/>
          </w:tcPr>
          <w:p w14:paraId="5DC15BAD" w14:textId="77777777" w:rsidR="00865FDA" w:rsidRPr="00865FDA" w:rsidRDefault="00865FDA" w:rsidP="00865FDA">
            <w:pPr>
              <w:pBdr>
                <w:bar w:val="single" w:sz="4" w:color="auto"/>
              </w:pBdr>
              <w:jc w:val="right"/>
              <w:rPr>
                <w:color w:val="000000"/>
                <w:lang w:eastAsia="tr-TR"/>
              </w:rPr>
            </w:pPr>
            <w:r w:rsidRPr="00865FDA">
              <w:rPr>
                <w:color w:val="000000"/>
                <w:lang w:eastAsia="tr-TR"/>
              </w:rPr>
              <w:t>10,448</w:t>
            </w:r>
          </w:p>
        </w:tc>
        <w:tc>
          <w:tcPr>
            <w:tcW w:w="1589" w:type="dxa"/>
            <w:shd w:val="clear" w:color="auto" w:fill="auto"/>
            <w:vAlign w:val="center"/>
            <w:hideMark/>
          </w:tcPr>
          <w:p w14:paraId="5DE6E592" w14:textId="77777777" w:rsidR="00865FDA" w:rsidRPr="00865FDA" w:rsidRDefault="00865FDA" w:rsidP="00865FDA">
            <w:pPr>
              <w:pBdr>
                <w:bar w:val="single" w:sz="4" w:color="auto"/>
              </w:pBdr>
              <w:jc w:val="right"/>
              <w:rPr>
                <w:color w:val="000000"/>
                <w:lang w:eastAsia="tr-TR"/>
              </w:rPr>
            </w:pPr>
            <w:r w:rsidRPr="00865FDA">
              <w:rPr>
                <w:color w:val="000000"/>
                <w:lang w:eastAsia="tr-TR"/>
              </w:rPr>
              <w:t>3,545</w:t>
            </w:r>
          </w:p>
        </w:tc>
      </w:tr>
    </w:tbl>
    <w:p w14:paraId="6DFCF860" w14:textId="719424FF" w:rsidR="00A86989" w:rsidRPr="009543E8" w:rsidRDefault="00A86989" w:rsidP="001F16A5">
      <w:pPr>
        <w:pBdr>
          <w:bar w:val="single" w:sz="4" w:color="auto"/>
        </w:pBdr>
        <w:autoSpaceDE w:val="0"/>
        <w:autoSpaceDN w:val="0"/>
        <w:adjustRightInd w:val="0"/>
        <w:rPr>
          <w:rFonts w:eastAsia="Arial Unicode MS"/>
        </w:rPr>
      </w:pPr>
    </w:p>
    <w:p w14:paraId="0FA764B9" w14:textId="77777777" w:rsidR="00A86989" w:rsidRPr="009543E8" w:rsidRDefault="00A86989" w:rsidP="000C282D">
      <w:pPr>
        <w:autoSpaceDE w:val="0"/>
        <w:autoSpaceDN w:val="0"/>
        <w:adjustRightInd w:val="0"/>
        <w:rPr>
          <w:rFonts w:eastAsia="Arial Unicode MS"/>
        </w:rPr>
      </w:pPr>
    </w:p>
    <w:p w14:paraId="1D5E1EE7" w14:textId="19FB2EC9" w:rsidR="000C282D" w:rsidRPr="009543E8" w:rsidRDefault="000C282D" w:rsidP="000C282D">
      <w:pPr>
        <w:autoSpaceDE w:val="0"/>
        <w:autoSpaceDN w:val="0"/>
        <w:adjustRightInd w:val="0"/>
        <w:rPr>
          <w:rFonts w:eastAsia="Arial Unicode MS"/>
          <w:b/>
          <w:sz w:val="10"/>
          <w:szCs w:val="10"/>
        </w:rPr>
      </w:pPr>
    </w:p>
    <w:p w14:paraId="1AFA46A1" w14:textId="6507EA35" w:rsidR="000C282D" w:rsidRPr="009543E8" w:rsidRDefault="000C282D" w:rsidP="001E0527">
      <w:pPr>
        <w:pStyle w:val="ListParagraph"/>
        <w:tabs>
          <w:tab w:val="left" w:pos="709"/>
        </w:tabs>
        <w:autoSpaceDE w:val="0"/>
        <w:autoSpaceDN w:val="0"/>
        <w:adjustRightInd w:val="0"/>
        <w:ind w:left="357"/>
      </w:pPr>
    </w:p>
    <w:p w14:paraId="7BB0DBC7" w14:textId="1B849D38" w:rsidR="00A86989" w:rsidRPr="009543E8" w:rsidRDefault="00A86989" w:rsidP="001E0527">
      <w:pPr>
        <w:pStyle w:val="ListParagraph"/>
        <w:tabs>
          <w:tab w:val="left" w:pos="709"/>
        </w:tabs>
        <w:autoSpaceDE w:val="0"/>
        <w:autoSpaceDN w:val="0"/>
        <w:adjustRightInd w:val="0"/>
        <w:ind w:left="357"/>
      </w:pPr>
    </w:p>
    <w:p w14:paraId="49901AE6" w14:textId="3E0D4FB5" w:rsidR="00A86989" w:rsidRPr="00270CE6" w:rsidRDefault="00A86989" w:rsidP="001E0527">
      <w:pPr>
        <w:pStyle w:val="ListParagraph"/>
        <w:tabs>
          <w:tab w:val="left" w:pos="709"/>
        </w:tabs>
        <w:autoSpaceDE w:val="0"/>
        <w:autoSpaceDN w:val="0"/>
        <w:adjustRightInd w:val="0"/>
        <w:ind w:left="357"/>
        <w:rPr>
          <w:highlight w:val="yellow"/>
        </w:rPr>
      </w:pPr>
    </w:p>
    <w:p w14:paraId="1FB7AE78" w14:textId="7CCF24A0" w:rsidR="00A86989" w:rsidRPr="00270CE6" w:rsidRDefault="00A86989" w:rsidP="001E0527">
      <w:pPr>
        <w:pStyle w:val="ListParagraph"/>
        <w:tabs>
          <w:tab w:val="left" w:pos="709"/>
        </w:tabs>
        <w:autoSpaceDE w:val="0"/>
        <w:autoSpaceDN w:val="0"/>
        <w:adjustRightInd w:val="0"/>
        <w:ind w:left="357"/>
        <w:rPr>
          <w:highlight w:val="yellow"/>
        </w:rPr>
      </w:pPr>
    </w:p>
    <w:p w14:paraId="31BD1BD1" w14:textId="2AE8FE3A" w:rsidR="00A86989" w:rsidRPr="00270CE6" w:rsidRDefault="00A86989" w:rsidP="001E0527">
      <w:pPr>
        <w:pStyle w:val="ListParagraph"/>
        <w:tabs>
          <w:tab w:val="left" w:pos="709"/>
        </w:tabs>
        <w:autoSpaceDE w:val="0"/>
        <w:autoSpaceDN w:val="0"/>
        <w:adjustRightInd w:val="0"/>
        <w:ind w:left="357"/>
        <w:rPr>
          <w:highlight w:val="yellow"/>
        </w:rPr>
      </w:pPr>
    </w:p>
    <w:p w14:paraId="476DBC14" w14:textId="5FA51995" w:rsidR="00A86989" w:rsidRPr="00270CE6" w:rsidRDefault="00A86989" w:rsidP="001E0527">
      <w:pPr>
        <w:pStyle w:val="ListParagraph"/>
        <w:tabs>
          <w:tab w:val="left" w:pos="709"/>
        </w:tabs>
        <w:autoSpaceDE w:val="0"/>
        <w:autoSpaceDN w:val="0"/>
        <w:adjustRightInd w:val="0"/>
        <w:ind w:left="357"/>
        <w:rPr>
          <w:highlight w:val="yellow"/>
        </w:rPr>
      </w:pPr>
    </w:p>
    <w:p w14:paraId="5BD3449D" w14:textId="5C9C50B4" w:rsidR="00A86989" w:rsidRPr="00270CE6" w:rsidRDefault="00A86989" w:rsidP="001E0527">
      <w:pPr>
        <w:pStyle w:val="ListParagraph"/>
        <w:tabs>
          <w:tab w:val="left" w:pos="709"/>
        </w:tabs>
        <w:autoSpaceDE w:val="0"/>
        <w:autoSpaceDN w:val="0"/>
        <w:adjustRightInd w:val="0"/>
        <w:ind w:left="357"/>
        <w:rPr>
          <w:highlight w:val="yellow"/>
        </w:rPr>
      </w:pPr>
    </w:p>
    <w:p w14:paraId="73D0EC98" w14:textId="4C88E01C" w:rsidR="00A86989" w:rsidRPr="00270CE6" w:rsidRDefault="00A86989" w:rsidP="001E0527">
      <w:pPr>
        <w:pStyle w:val="ListParagraph"/>
        <w:tabs>
          <w:tab w:val="left" w:pos="709"/>
        </w:tabs>
        <w:autoSpaceDE w:val="0"/>
        <w:autoSpaceDN w:val="0"/>
        <w:adjustRightInd w:val="0"/>
        <w:ind w:left="357"/>
        <w:rPr>
          <w:highlight w:val="yellow"/>
        </w:rPr>
      </w:pPr>
    </w:p>
    <w:p w14:paraId="3A0A5FF3" w14:textId="619D4FA2" w:rsidR="00A86989" w:rsidRPr="00270CE6" w:rsidRDefault="00A86989" w:rsidP="001E0527">
      <w:pPr>
        <w:pStyle w:val="ListParagraph"/>
        <w:tabs>
          <w:tab w:val="left" w:pos="709"/>
        </w:tabs>
        <w:autoSpaceDE w:val="0"/>
        <w:autoSpaceDN w:val="0"/>
        <w:adjustRightInd w:val="0"/>
        <w:ind w:left="357"/>
        <w:rPr>
          <w:highlight w:val="yellow"/>
        </w:rPr>
      </w:pPr>
    </w:p>
    <w:p w14:paraId="6B04D855" w14:textId="7DF50B28" w:rsidR="002546D4" w:rsidRPr="00270CE6" w:rsidRDefault="002546D4" w:rsidP="001E0527">
      <w:pPr>
        <w:pStyle w:val="ListParagraph"/>
        <w:tabs>
          <w:tab w:val="left" w:pos="709"/>
        </w:tabs>
        <w:autoSpaceDE w:val="0"/>
        <w:autoSpaceDN w:val="0"/>
        <w:adjustRightInd w:val="0"/>
        <w:ind w:left="357"/>
        <w:rPr>
          <w:highlight w:val="yellow"/>
        </w:rPr>
      </w:pPr>
    </w:p>
    <w:p w14:paraId="3CB9E635" w14:textId="6378132F" w:rsidR="002546D4" w:rsidRPr="00270CE6" w:rsidRDefault="002546D4" w:rsidP="001E0527">
      <w:pPr>
        <w:pStyle w:val="ListParagraph"/>
        <w:tabs>
          <w:tab w:val="left" w:pos="709"/>
        </w:tabs>
        <w:autoSpaceDE w:val="0"/>
        <w:autoSpaceDN w:val="0"/>
        <w:adjustRightInd w:val="0"/>
        <w:ind w:left="357"/>
        <w:rPr>
          <w:highlight w:val="yellow"/>
        </w:rPr>
      </w:pPr>
    </w:p>
    <w:p w14:paraId="1084E624" w14:textId="48D59F2D" w:rsidR="002546D4" w:rsidRPr="00270CE6" w:rsidRDefault="002546D4" w:rsidP="001E0527">
      <w:pPr>
        <w:pStyle w:val="ListParagraph"/>
        <w:tabs>
          <w:tab w:val="left" w:pos="709"/>
        </w:tabs>
        <w:autoSpaceDE w:val="0"/>
        <w:autoSpaceDN w:val="0"/>
        <w:adjustRightInd w:val="0"/>
        <w:ind w:left="357"/>
        <w:rPr>
          <w:highlight w:val="yellow"/>
        </w:rPr>
      </w:pPr>
    </w:p>
    <w:p w14:paraId="464855DE" w14:textId="475315A3" w:rsidR="002546D4" w:rsidRPr="00270CE6" w:rsidRDefault="002546D4" w:rsidP="001E0527">
      <w:pPr>
        <w:pStyle w:val="ListParagraph"/>
        <w:tabs>
          <w:tab w:val="left" w:pos="709"/>
        </w:tabs>
        <w:autoSpaceDE w:val="0"/>
        <w:autoSpaceDN w:val="0"/>
        <w:adjustRightInd w:val="0"/>
        <w:ind w:left="357"/>
        <w:rPr>
          <w:highlight w:val="yellow"/>
        </w:rPr>
      </w:pPr>
    </w:p>
    <w:p w14:paraId="5971E415" w14:textId="6EC624DC" w:rsidR="002546D4" w:rsidRPr="00270CE6" w:rsidRDefault="002546D4" w:rsidP="001E0527">
      <w:pPr>
        <w:pStyle w:val="ListParagraph"/>
        <w:tabs>
          <w:tab w:val="left" w:pos="709"/>
        </w:tabs>
        <w:autoSpaceDE w:val="0"/>
        <w:autoSpaceDN w:val="0"/>
        <w:adjustRightInd w:val="0"/>
        <w:ind w:left="357"/>
        <w:rPr>
          <w:highlight w:val="yellow"/>
        </w:rPr>
      </w:pPr>
    </w:p>
    <w:p w14:paraId="4280EE87" w14:textId="5D7B748D" w:rsidR="002546D4" w:rsidRDefault="002546D4" w:rsidP="001E0527">
      <w:pPr>
        <w:pStyle w:val="ListParagraph"/>
        <w:tabs>
          <w:tab w:val="left" w:pos="709"/>
        </w:tabs>
        <w:autoSpaceDE w:val="0"/>
        <w:autoSpaceDN w:val="0"/>
        <w:adjustRightInd w:val="0"/>
        <w:ind w:left="357"/>
        <w:rPr>
          <w:highlight w:val="yellow"/>
        </w:rPr>
      </w:pPr>
    </w:p>
    <w:p w14:paraId="643321AF" w14:textId="77777777" w:rsidR="009543E8" w:rsidRPr="00270CE6" w:rsidRDefault="009543E8" w:rsidP="001E0527">
      <w:pPr>
        <w:pStyle w:val="ListParagraph"/>
        <w:tabs>
          <w:tab w:val="left" w:pos="709"/>
        </w:tabs>
        <w:autoSpaceDE w:val="0"/>
        <w:autoSpaceDN w:val="0"/>
        <w:adjustRightInd w:val="0"/>
        <w:ind w:left="357"/>
        <w:rPr>
          <w:highlight w:val="yellow"/>
        </w:rPr>
      </w:pPr>
    </w:p>
    <w:p w14:paraId="0CAAA046" w14:textId="08D35328" w:rsidR="00FF739C" w:rsidRPr="00270CE6" w:rsidRDefault="00FF739C" w:rsidP="001E0527">
      <w:pPr>
        <w:pStyle w:val="ListParagraph"/>
        <w:tabs>
          <w:tab w:val="left" w:pos="709"/>
        </w:tabs>
        <w:autoSpaceDE w:val="0"/>
        <w:autoSpaceDN w:val="0"/>
        <w:adjustRightInd w:val="0"/>
        <w:ind w:left="357"/>
        <w:rPr>
          <w:highlight w:val="yellow"/>
        </w:rPr>
      </w:pPr>
    </w:p>
    <w:p w14:paraId="706A323A" w14:textId="10E713CA" w:rsidR="00A86989" w:rsidRPr="00270CE6" w:rsidRDefault="00A86989" w:rsidP="001E0527">
      <w:pPr>
        <w:pStyle w:val="ListParagraph"/>
        <w:tabs>
          <w:tab w:val="left" w:pos="709"/>
        </w:tabs>
        <w:autoSpaceDE w:val="0"/>
        <w:autoSpaceDN w:val="0"/>
        <w:adjustRightInd w:val="0"/>
        <w:ind w:left="357"/>
        <w:rPr>
          <w:highlight w:val="yellow"/>
        </w:rPr>
      </w:pPr>
    </w:p>
    <w:p w14:paraId="0BEEF01F" w14:textId="7FC873F2" w:rsidR="00A86989" w:rsidRPr="00270CE6" w:rsidRDefault="00A86989" w:rsidP="001E0527">
      <w:pPr>
        <w:pStyle w:val="ListParagraph"/>
        <w:tabs>
          <w:tab w:val="left" w:pos="709"/>
        </w:tabs>
        <w:autoSpaceDE w:val="0"/>
        <w:autoSpaceDN w:val="0"/>
        <w:adjustRightInd w:val="0"/>
        <w:ind w:left="357"/>
        <w:rPr>
          <w:highlight w:val="yellow"/>
        </w:rPr>
      </w:pPr>
    </w:p>
    <w:p w14:paraId="481504BF" w14:textId="04607FD6" w:rsidR="00A86989" w:rsidRPr="00270CE6" w:rsidRDefault="00A86989" w:rsidP="001E0527">
      <w:pPr>
        <w:pStyle w:val="ListParagraph"/>
        <w:tabs>
          <w:tab w:val="left" w:pos="709"/>
        </w:tabs>
        <w:autoSpaceDE w:val="0"/>
        <w:autoSpaceDN w:val="0"/>
        <w:adjustRightInd w:val="0"/>
        <w:ind w:left="357"/>
        <w:rPr>
          <w:highlight w:val="yellow"/>
        </w:rPr>
      </w:pPr>
    </w:p>
    <w:p w14:paraId="0514DC29" w14:textId="0C4EB2D7" w:rsidR="00526564" w:rsidRPr="00270CE6" w:rsidRDefault="00526564" w:rsidP="001E0527">
      <w:pPr>
        <w:pStyle w:val="ListParagraph"/>
        <w:tabs>
          <w:tab w:val="left" w:pos="709"/>
        </w:tabs>
        <w:autoSpaceDE w:val="0"/>
        <w:autoSpaceDN w:val="0"/>
        <w:adjustRightInd w:val="0"/>
        <w:ind w:left="357"/>
        <w:rPr>
          <w:highlight w:val="yellow"/>
        </w:rPr>
      </w:pPr>
    </w:p>
    <w:p w14:paraId="422FA072" w14:textId="7AC54BFF" w:rsidR="00FC1F5B" w:rsidRDefault="00FC1F5B">
      <w:pPr>
        <w:rPr>
          <w:highlight w:val="yellow"/>
        </w:rPr>
      </w:pPr>
      <w:r>
        <w:rPr>
          <w:highlight w:val="yellow"/>
        </w:rPr>
        <w:br w:type="page"/>
      </w:r>
    </w:p>
    <w:p w14:paraId="1D722BCD" w14:textId="752B8A31" w:rsidR="00ED339C" w:rsidRPr="006F44AF" w:rsidRDefault="00526564" w:rsidP="0003633B">
      <w:pPr>
        <w:tabs>
          <w:tab w:val="left" w:pos="709"/>
        </w:tabs>
        <w:ind w:hanging="567"/>
        <w:rPr>
          <w:b/>
        </w:rPr>
      </w:pPr>
      <w:r w:rsidRPr="006F44AF">
        <w:rPr>
          <w:rFonts w:eastAsia="Arial Unicode MS"/>
          <w:b/>
        </w:rPr>
        <w:lastRenderedPageBreak/>
        <w:t>3</w:t>
      </w:r>
      <w:r w:rsidR="00ED339C" w:rsidRPr="006F44AF">
        <w:rPr>
          <w:b/>
        </w:rPr>
        <w:t>.</w:t>
      </w:r>
      <w:r w:rsidR="00ED339C" w:rsidRPr="006F44AF">
        <w:rPr>
          <w:b/>
        </w:rPr>
        <w:tab/>
      </w:r>
      <w:r w:rsidR="00243A0C" w:rsidRPr="006F44AF">
        <w:rPr>
          <w:b/>
        </w:rPr>
        <w:t>H</w:t>
      </w:r>
      <w:r w:rsidR="00ED339C" w:rsidRPr="006F44AF">
        <w:rPr>
          <w:b/>
        </w:rPr>
        <w:t>isse senedi pozisyon riski</w:t>
      </w:r>
      <w:r w:rsidR="00243A0C" w:rsidRPr="006F44AF">
        <w:rPr>
          <w:b/>
        </w:rPr>
        <w:t>ne ilişkin açıklamalar</w:t>
      </w:r>
    </w:p>
    <w:p w14:paraId="400715AA" w14:textId="77777777" w:rsidR="00ED339C" w:rsidRPr="006F44AF" w:rsidRDefault="00ED339C" w:rsidP="00ED339C">
      <w:pPr>
        <w:rPr>
          <w:b/>
          <w:sz w:val="16"/>
          <w:szCs w:val="16"/>
        </w:rPr>
      </w:pPr>
    </w:p>
    <w:p w14:paraId="6AD6EB74" w14:textId="0C98B7E5" w:rsidR="00ED339C" w:rsidRPr="006F44AF" w:rsidRDefault="00526564" w:rsidP="0003633B">
      <w:pPr>
        <w:ind w:hanging="567"/>
        <w:jc w:val="both"/>
        <w:rPr>
          <w:rFonts w:eastAsia="Arial Unicode MS"/>
        </w:rPr>
      </w:pPr>
      <w:proofErr w:type="gramStart"/>
      <w:r w:rsidRPr="006F44AF">
        <w:rPr>
          <w:rFonts w:eastAsia="Arial Unicode MS"/>
          <w:b/>
        </w:rPr>
        <w:t>3</w:t>
      </w:r>
      <w:r w:rsidR="0010698B" w:rsidRPr="006F44AF">
        <w:rPr>
          <w:rFonts w:eastAsia="Arial Unicode MS"/>
          <w:b/>
        </w:rPr>
        <w:t xml:space="preserve">.1 </w:t>
      </w:r>
      <w:r w:rsidR="00ED339C" w:rsidRPr="006F44AF">
        <w:rPr>
          <w:rFonts w:eastAsia="Arial Unicode MS"/>
          <w:b/>
        </w:rPr>
        <w:t xml:space="preserve"> </w:t>
      </w:r>
      <w:r w:rsidR="0003633B" w:rsidRPr="006F44AF">
        <w:rPr>
          <w:rFonts w:eastAsia="Arial Unicode MS"/>
          <w:b/>
        </w:rPr>
        <w:tab/>
      </w:r>
      <w:proofErr w:type="gramEnd"/>
      <w:r w:rsidR="00ED339C" w:rsidRPr="006F44AF">
        <w:rPr>
          <w:rFonts w:eastAsia="Arial Unicode MS"/>
          <w:b/>
        </w:rPr>
        <w:t xml:space="preserve">Risklerin </w:t>
      </w:r>
      <w:proofErr w:type="spellStart"/>
      <w:r w:rsidR="00ED339C" w:rsidRPr="006F44AF">
        <w:rPr>
          <w:rFonts w:eastAsia="Arial Unicode MS"/>
          <w:b/>
        </w:rPr>
        <w:t>özkaynaklarda</w:t>
      </w:r>
      <w:proofErr w:type="spellEnd"/>
      <w:r w:rsidR="00ED339C" w:rsidRPr="006F44AF">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00ED339C" w:rsidRPr="006F44AF">
        <w:rPr>
          <w:rFonts w:eastAsia="Arial Unicode MS"/>
        </w:rPr>
        <w:t xml:space="preserve">: </w:t>
      </w:r>
    </w:p>
    <w:p w14:paraId="5213B308" w14:textId="77777777" w:rsidR="00D73CB8" w:rsidRPr="006F44AF" w:rsidRDefault="00D73CB8" w:rsidP="00ED339C">
      <w:pPr>
        <w:jc w:val="both"/>
        <w:rPr>
          <w:rFonts w:eastAsia="Arial Unicode MS"/>
          <w:sz w:val="16"/>
          <w:szCs w:val="16"/>
        </w:rPr>
      </w:pPr>
    </w:p>
    <w:p w14:paraId="58C81757" w14:textId="77777777" w:rsidR="00ED339C" w:rsidRPr="006F44AF" w:rsidRDefault="00D73CB8" w:rsidP="00ED339C">
      <w:pPr>
        <w:jc w:val="both"/>
        <w:rPr>
          <w:bCs/>
          <w:lang w:eastAsia="tr-TR"/>
        </w:rPr>
      </w:pPr>
      <w:r w:rsidRPr="006F44AF">
        <w:rPr>
          <w:bCs/>
          <w:lang w:eastAsia="tr-TR"/>
        </w:rPr>
        <w:t>Banka’nın borsada işlem görmeyen hisse senetleri gerçeğe uygun değeri ile muhasebeleştirilmekle birlikte, gerçeğe uygun değerinin güvenilir bir şekilde ölçülemediği durumda da maliy</w:t>
      </w:r>
      <w:r w:rsidR="00A72F02" w:rsidRPr="006F44AF">
        <w:rPr>
          <w:bCs/>
          <w:lang w:eastAsia="tr-TR"/>
        </w:rPr>
        <w:t>et değeri ile kaydedilmektedir.</w:t>
      </w:r>
    </w:p>
    <w:p w14:paraId="0F3451DB" w14:textId="77777777" w:rsidR="00D73CB8" w:rsidRPr="006F44AF" w:rsidRDefault="00D73CB8" w:rsidP="00ED339C">
      <w:pPr>
        <w:jc w:val="both"/>
        <w:rPr>
          <w:rFonts w:eastAsia="Arial Unicode MS"/>
          <w:b/>
        </w:rPr>
      </w:pPr>
    </w:p>
    <w:p w14:paraId="6534EB97" w14:textId="22F7E7BC" w:rsidR="00ED339C" w:rsidRPr="009543E8" w:rsidRDefault="00526564" w:rsidP="0003633B">
      <w:pPr>
        <w:ind w:hanging="567"/>
        <w:jc w:val="both"/>
        <w:rPr>
          <w:rFonts w:eastAsia="Arial Unicode MS"/>
          <w:b/>
        </w:rPr>
      </w:pPr>
      <w:proofErr w:type="gramStart"/>
      <w:r w:rsidRPr="006F44AF">
        <w:rPr>
          <w:rFonts w:eastAsia="Arial Unicode MS"/>
          <w:b/>
        </w:rPr>
        <w:t>3</w:t>
      </w:r>
      <w:r w:rsidR="0010698B" w:rsidRPr="006F44AF">
        <w:rPr>
          <w:rFonts w:eastAsia="Arial Unicode MS"/>
          <w:b/>
        </w:rPr>
        <w:t>.2</w:t>
      </w:r>
      <w:r w:rsidR="00ED339C" w:rsidRPr="006F44AF">
        <w:rPr>
          <w:rFonts w:eastAsia="Arial Unicode MS"/>
          <w:b/>
        </w:rPr>
        <w:t xml:space="preserve"> </w:t>
      </w:r>
      <w:r w:rsidR="0010698B" w:rsidRPr="006F44AF">
        <w:rPr>
          <w:rFonts w:eastAsia="Arial Unicode MS"/>
          <w:b/>
        </w:rPr>
        <w:t xml:space="preserve"> </w:t>
      </w:r>
      <w:r w:rsidR="0003633B" w:rsidRPr="006F44AF">
        <w:rPr>
          <w:rFonts w:eastAsia="Arial Unicode MS"/>
          <w:b/>
        </w:rPr>
        <w:tab/>
      </w:r>
      <w:proofErr w:type="gramEnd"/>
      <w:r w:rsidR="00ED339C" w:rsidRPr="006F44AF">
        <w:rPr>
          <w:rFonts w:eastAsia="Arial Unicode MS"/>
          <w:b/>
        </w:rPr>
        <w:t xml:space="preserve">Hisse senedi yatırımlarının bilanço değeri, gerçeğe uygun değer ve borsada işlem görenler için, piyasa değeri </w:t>
      </w:r>
      <w:r w:rsidR="00ED339C" w:rsidRPr="009543E8">
        <w:rPr>
          <w:rFonts w:eastAsia="Arial Unicode MS"/>
          <w:b/>
        </w:rPr>
        <w:t>gerçeğe uygun değerden önemli oranda farklı ise piyasa fiyatıyla yapılan karşılaştırma:</w:t>
      </w:r>
    </w:p>
    <w:p w14:paraId="706FD528" w14:textId="18BEFA47" w:rsidR="00865FDA" w:rsidRPr="00311DAB" w:rsidRDefault="00865FDA" w:rsidP="00FE5057">
      <w:pPr>
        <w:jc w:val="both"/>
        <w:rPr>
          <w:lang w:eastAsia="en-GB"/>
        </w:rPr>
      </w:pPr>
    </w:p>
    <w:tbl>
      <w:tblPr>
        <w:tblW w:w="9565" w:type="dxa"/>
        <w:tblCellMar>
          <w:left w:w="70" w:type="dxa"/>
          <w:right w:w="70" w:type="dxa"/>
        </w:tblCellMar>
        <w:tblLook w:val="04A0" w:firstRow="1" w:lastRow="0" w:firstColumn="1" w:lastColumn="0" w:noHBand="0" w:noVBand="1"/>
      </w:tblPr>
      <w:tblGrid>
        <w:gridCol w:w="5726"/>
        <w:gridCol w:w="1126"/>
        <w:gridCol w:w="1663"/>
        <w:gridCol w:w="1050"/>
      </w:tblGrid>
      <w:tr w:rsidR="00865FDA" w:rsidRPr="00865FDA" w14:paraId="01D0A603" w14:textId="77777777" w:rsidTr="00865FDA">
        <w:trPr>
          <w:divId w:val="689530536"/>
          <w:trHeight w:val="247"/>
        </w:trPr>
        <w:tc>
          <w:tcPr>
            <w:tcW w:w="5726" w:type="dxa"/>
            <w:vMerge w:val="restart"/>
            <w:tcBorders>
              <w:top w:val="nil"/>
              <w:left w:val="nil"/>
              <w:bottom w:val="single" w:sz="8" w:space="0" w:color="000000"/>
              <w:right w:val="nil"/>
            </w:tcBorders>
            <w:shd w:val="clear" w:color="auto" w:fill="auto"/>
            <w:vAlign w:val="center"/>
            <w:hideMark/>
          </w:tcPr>
          <w:p w14:paraId="6A7FD2DE" w14:textId="31ADB7C5" w:rsidR="00865FDA" w:rsidRPr="00865FDA" w:rsidRDefault="00865FDA" w:rsidP="00865FDA">
            <w:pPr>
              <w:rPr>
                <w:b/>
                <w:bCs/>
                <w:color w:val="000000"/>
                <w:sz w:val="18"/>
                <w:szCs w:val="18"/>
                <w:lang w:eastAsia="tr-TR"/>
              </w:rPr>
            </w:pPr>
            <w:r w:rsidRPr="00865FDA">
              <w:rPr>
                <w:b/>
                <w:bCs/>
                <w:color w:val="000000"/>
                <w:sz w:val="18"/>
                <w:szCs w:val="18"/>
                <w:lang w:eastAsia="zh-CN"/>
              </w:rPr>
              <w:t>Cari dönem</w:t>
            </w:r>
          </w:p>
        </w:tc>
        <w:tc>
          <w:tcPr>
            <w:tcW w:w="3839" w:type="dxa"/>
            <w:gridSpan w:val="3"/>
            <w:tcBorders>
              <w:top w:val="nil"/>
              <w:left w:val="nil"/>
              <w:bottom w:val="nil"/>
              <w:right w:val="nil"/>
            </w:tcBorders>
            <w:shd w:val="clear" w:color="auto" w:fill="auto"/>
            <w:noWrap/>
            <w:vAlign w:val="center"/>
            <w:hideMark/>
          </w:tcPr>
          <w:p w14:paraId="44C983C3" w14:textId="77777777" w:rsidR="00865FDA" w:rsidRPr="00865FDA" w:rsidRDefault="00865FDA" w:rsidP="00865FDA">
            <w:pPr>
              <w:rPr>
                <w:b/>
                <w:bCs/>
                <w:color w:val="000000"/>
                <w:sz w:val="18"/>
                <w:szCs w:val="18"/>
                <w:lang w:eastAsia="tr-TR"/>
              </w:rPr>
            </w:pPr>
          </w:p>
        </w:tc>
      </w:tr>
      <w:tr w:rsidR="00865FDA" w:rsidRPr="00865FDA" w14:paraId="2D47011C" w14:textId="77777777" w:rsidTr="00865FDA">
        <w:trPr>
          <w:divId w:val="689530536"/>
          <w:trHeight w:val="259"/>
        </w:trPr>
        <w:tc>
          <w:tcPr>
            <w:tcW w:w="5726" w:type="dxa"/>
            <w:vMerge/>
            <w:tcBorders>
              <w:top w:val="nil"/>
              <w:left w:val="nil"/>
              <w:bottom w:val="single" w:sz="8" w:space="0" w:color="000000"/>
              <w:right w:val="nil"/>
            </w:tcBorders>
            <w:vAlign w:val="center"/>
            <w:hideMark/>
          </w:tcPr>
          <w:p w14:paraId="3C7D7038" w14:textId="77777777" w:rsidR="00865FDA" w:rsidRPr="00865FDA" w:rsidRDefault="00865FDA" w:rsidP="00865FDA">
            <w:pPr>
              <w:rPr>
                <w:b/>
                <w:bCs/>
                <w:color w:val="000000"/>
                <w:sz w:val="18"/>
                <w:szCs w:val="18"/>
                <w:lang w:eastAsia="tr-TR"/>
              </w:rPr>
            </w:pPr>
          </w:p>
        </w:tc>
        <w:tc>
          <w:tcPr>
            <w:tcW w:w="1126" w:type="dxa"/>
            <w:tcBorders>
              <w:top w:val="nil"/>
              <w:left w:val="nil"/>
              <w:bottom w:val="single" w:sz="8" w:space="0" w:color="auto"/>
              <w:right w:val="nil"/>
            </w:tcBorders>
            <w:shd w:val="clear" w:color="auto" w:fill="auto"/>
            <w:vAlign w:val="center"/>
            <w:hideMark/>
          </w:tcPr>
          <w:p w14:paraId="3346F7DA" w14:textId="77777777" w:rsidR="00865FDA" w:rsidRPr="00865FDA" w:rsidRDefault="00865FDA" w:rsidP="00865FDA">
            <w:pPr>
              <w:jc w:val="center"/>
              <w:rPr>
                <w:b/>
                <w:bCs/>
                <w:color w:val="000000"/>
                <w:sz w:val="18"/>
                <w:szCs w:val="18"/>
                <w:lang w:eastAsia="tr-TR"/>
              </w:rPr>
            </w:pPr>
            <w:r w:rsidRPr="00865FDA">
              <w:rPr>
                <w:b/>
                <w:bCs/>
                <w:color w:val="000000"/>
                <w:sz w:val="18"/>
                <w:szCs w:val="18"/>
                <w:lang w:eastAsia="zh-CN"/>
              </w:rPr>
              <w:t> </w:t>
            </w:r>
          </w:p>
        </w:tc>
        <w:tc>
          <w:tcPr>
            <w:tcW w:w="1663" w:type="dxa"/>
            <w:tcBorders>
              <w:top w:val="nil"/>
              <w:left w:val="nil"/>
              <w:bottom w:val="single" w:sz="8" w:space="0" w:color="auto"/>
              <w:right w:val="nil"/>
            </w:tcBorders>
            <w:shd w:val="clear" w:color="auto" w:fill="auto"/>
            <w:vAlign w:val="center"/>
            <w:hideMark/>
          </w:tcPr>
          <w:p w14:paraId="449F3911" w14:textId="77777777" w:rsidR="00865FDA" w:rsidRPr="00865FDA" w:rsidRDefault="00865FDA" w:rsidP="00865FDA">
            <w:pPr>
              <w:jc w:val="center"/>
              <w:rPr>
                <w:b/>
                <w:bCs/>
                <w:color w:val="000000"/>
                <w:sz w:val="18"/>
                <w:szCs w:val="18"/>
                <w:lang w:eastAsia="tr-TR"/>
              </w:rPr>
            </w:pPr>
            <w:r w:rsidRPr="00865FDA">
              <w:rPr>
                <w:b/>
                <w:bCs/>
                <w:color w:val="000000"/>
                <w:sz w:val="18"/>
                <w:szCs w:val="18"/>
                <w:lang w:eastAsia="zh-CN"/>
              </w:rPr>
              <w:t>Karşılaştırma</w:t>
            </w:r>
          </w:p>
        </w:tc>
        <w:tc>
          <w:tcPr>
            <w:tcW w:w="1050" w:type="dxa"/>
            <w:tcBorders>
              <w:top w:val="nil"/>
              <w:left w:val="nil"/>
              <w:bottom w:val="single" w:sz="8" w:space="0" w:color="auto"/>
              <w:right w:val="nil"/>
            </w:tcBorders>
            <w:shd w:val="clear" w:color="auto" w:fill="auto"/>
            <w:vAlign w:val="center"/>
            <w:hideMark/>
          </w:tcPr>
          <w:p w14:paraId="2B5D16F8" w14:textId="77777777" w:rsidR="00865FDA" w:rsidRPr="00865FDA" w:rsidRDefault="00865FDA" w:rsidP="00865FDA">
            <w:pPr>
              <w:jc w:val="center"/>
              <w:rPr>
                <w:b/>
                <w:bCs/>
                <w:color w:val="000000"/>
                <w:sz w:val="18"/>
                <w:szCs w:val="18"/>
                <w:lang w:eastAsia="tr-TR"/>
              </w:rPr>
            </w:pPr>
            <w:r w:rsidRPr="00865FDA">
              <w:rPr>
                <w:b/>
                <w:bCs/>
                <w:color w:val="000000"/>
                <w:sz w:val="18"/>
                <w:szCs w:val="18"/>
                <w:lang w:eastAsia="zh-CN"/>
              </w:rPr>
              <w:t> </w:t>
            </w:r>
          </w:p>
        </w:tc>
      </w:tr>
      <w:tr w:rsidR="00865FDA" w:rsidRPr="00865FDA" w14:paraId="5091634B" w14:textId="77777777" w:rsidTr="00865FDA">
        <w:trPr>
          <w:divId w:val="689530536"/>
          <w:trHeight w:val="259"/>
        </w:trPr>
        <w:tc>
          <w:tcPr>
            <w:tcW w:w="5726" w:type="dxa"/>
            <w:tcBorders>
              <w:top w:val="nil"/>
              <w:left w:val="nil"/>
              <w:bottom w:val="nil"/>
              <w:right w:val="nil"/>
            </w:tcBorders>
            <w:shd w:val="clear" w:color="auto" w:fill="auto"/>
            <w:noWrap/>
            <w:vAlign w:val="center"/>
            <w:hideMark/>
          </w:tcPr>
          <w:p w14:paraId="180260EC" w14:textId="71E063BC" w:rsidR="00865FDA" w:rsidRPr="00865FDA" w:rsidRDefault="00865FDA" w:rsidP="00865FDA">
            <w:pPr>
              <w:rPr>
                <w:b/>
                <w:bCs/>
                <w:color w:val="000000"/>
                <w:sz w:val="18"/>
                <w:szCs w:val="18"/>
                <w:lang w:eastAsia="tr-TR"/>
              </w:rPr>
            </w:pPr>
            <w:r w:rsidRPr="00865FDA">
              <w:rPr>
                <w:b/>
                <w:bCs/>
                <w:color w:val="000000"/>
                <w:sz w:val="18"/>
                <w:szCs w:val="18"/>
                <w:lang w:eastAsia="zh-CN"/>
              </w:rPr>
              <w:t xml:space="preserve">Hisse Senedi Yatırımları </w:t>
            </w:r>
          </w:p>
        </w:tc>
        <w:tc>
          <w:tcPr>
            <w:tcW w:w="1126" w:type="dxa"/>
            <w:tcBorders>
              <w:top w:val="nil"/>
              <w:left w:val="nil"/>
              <w:bottom w:val="nil"/>
              <w:right w:val="nil"/>
            </w:tcBorders>
            <w:shd w:val="clear" w:color="auto" w:fill="auto"/>
            <w:noWrap/>
            <w:vAlign w:val="center"/>
            <w:hideMark/>
          </w:tcPr>
          <w:p w14:paraId="2E4CF7BB"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zh-CN"/>
              </w:rPr>
              <w:t>Bilanço Değeri</w:t>
            </w:r>
          </w:p>
        </w:tc>
        <w:tc>
          <w:tcPr>
            <w:tcW w:w="1663" w:type="dxa"/>
            <w:tcBorders>
              <w:top w:val="nil"/>
              <w:left w:val="nil"/>
              <w:bottom w:val="nil"/>
              <w:right w:val="nil"/>
            </w:tcBorders>
            <w:shd w:val="clear" w:color="auto" w:fill="auto"/>
            <w:noWrap/>
            <w:vAlign w:val="center"/>
            <w:hideMark/>
          </w:tcPr>
          <w:p w14:paraId="59C88B09"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zh-CN"/>
              </w:rPr>
              <w:t>Gerçeğe Uygun Değer</w:t>
            </w:r>
          </w:p>
        </w:tc>
        <w:tc>
          <w:tcPr>
            <w:tcW w:w="1050" w:type="dxa"/>
            <w:tcBorders>
              <w:top w:val="nil"/>
              <w:left w:val="nil"/>
              <w:bottom w:val="nil"/>
              <w:right w:val="nil"/>
            </w:tcBorders>
            <w:shd w:val="clear" w:color="auto" w:fill="auto"/>
            <w:noWrap/>
            <w:vAlign w:val="center"/>
            <w:hideMark/>
          </w:tcPr>
          <w:p w14:paraId="7D8ACAC2"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zh-CN"/>
              </w:rPr>
              <w:t>Piyasa Değeri</w:t>
            </w:r>
          </w:p>
        </w:tc>
      </w:tr>
      <w:tr w:rsidR="00865FDA" w:rsidRPr="00865FDA" w14:paraId="087CAAD2" w14:textId="77777777" w:rsidTr="00865FDA">
        <w:trPr>
          <w:divId w:val="689530536"/>
          <w:trHeight w:val="247"/>
        </w:trPr>
        <w:tc>
          <w:tcPr>
            <w:tcW w:w="5726" w:type="dxa"/>
            <w:tcBorders>
              <w:top w:val="single" w:sz="8" w:space="0" w:color="auto"/>
              <w:left w:val="nil"/>
              <w:bottom w:val="nil"/>
              <w:right w:val="nil"/>
            </w:tcBorders>
            <w:shd w:val="clear" w:color="auto" w:fill="auto"/>
            <w:noWrap/>
            <w:vAlign w:val="center"/>
            <w:hideMark/>
          </w:tcPr>
          <w:p w14:paraId="749B26F5" w14:textId="77777777" w:rsidR="00865FDA" w:rsidRPr="00865FDA" w:rsidRDefault="00865FDA" w:rsidP="00865FDA">
            <w:pPr>
              <w:rPr>
                <w:b/>
                <w:bCs/>
                <w:color w:val="000000"/>
                <w:sz w:val="18"/>
                <w:szCs w:val="18"/>
                <w:lang w:eastAsia="tr-TR"/>
              </w:rPr>
            </w:pPr>
            <w:r w:rsidRPr="00865FDA">
              <w:rPr>
                <w:b/>
                <w:bCs/>
                <w:color w:val="000000"/>
                <w:sz w:val="18"/>
                <w:szCs w:val="18"/>
                <w:lang w:eastAsia="zh-CN"/>
              </w:rPr>
              <w:t> </w:t>
            </w:r>
          </w:p>
        </w:tc>
        <w:tc>
          <w:tcPr>
            <w:tcW w:w="1126" w:type="dxa"/>
            <w:tcBorders>
              <w:top w:val="single" w:sz="8" w:space="0" w:color="auto"/>
              <w:left w:val="nil"/>
              <w:bottom w:val="nil"/>
              <w:right w:val="nil"/>
            </w:tcBorders>
            <w:shd w:val="clear" w:color="auto" w:fill="auto"/>
            <w:noWrap/>
            <w:vAlign w:val="center"/>
            <w:hideMark/>
          </w:tcPr>
          <w:p w14:paraId="7F3288B9"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 </w:t>
            </w:r>
          </w:p>
        </w:tc>
        <w:tc>
          <w:tcPr>
            <w:tcW w:w="1663" w:type="dxa"/>
            <w:tcBorders>
              <w:top w:val="single" w:sz="8" w:space="0" w:color="auto"/>
              <w:left w:val="nil"/>
              <w:bottom w:val="nil"/>
              <w:right w:val="nil"/>
            </w:tcBorders>
            <w:shd w:val="clear" w:color="auto" w:fill="auto"/>
            <w:noWrap/>
            <w:vAlign w:val="center"/>
            <w:hideMark/>
          </w:tcPr>
          <w:p w14:paraId="50B42DFF"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 </w:t>
            </w:r>
          </w:p>
        </w:tc>
        <w:tc>
          <w:tcPr>
            <w:tcW w:w="1050" w:type="dxa"/>
            <w:tcBorders>
              <w:top w:val="single" w:sz="8" w:space="0" w:color="auto"/>
              <w:left w:val="nil"/>
              <w:bottom w:val="nil"/>
              <w:right w:val="nil"/>
            </w:tcBorders>
            <w:shd w:val="clear" w:color="auto" w:fill="auto"/>
            <w:noWrap/>
            <w:vAlign w:val="center"/>
            <w:hideMark/>
          </w:tcPr>
          <w:p w14:paraId="2B55752B"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 </w:t>
            </w:r>
          </w:p>
        </w:tc>
      </w:tr>
      <w:tr w:rsidR="00865FDA" w:rsidRPr="00865FDA" w14:paraId="51E48D41"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31B1F69C" w14:textId="77777777" w:rsidR="00865FDA" w:rsidRPr="00865FDA" w:rsidRDefault="00865FDA" w:rsidP="00865FDA">
            <w:pPr>
              <w:rPr>
                <w:b/>
                <w:bCs/>
                <w:color w:val="000000"/>
                <w:sz w:val="18"/>
                <w:szCs w:val="18"/>
                <w:lang w:eastAsia="tr-TR"/>
              </w:rPr>
            </w:pPr>
            <w:r w:rsidRPr="00865FDA">
              <w:rPr>
                <w:b/>
                <w:bCs/>
                <w:color w:val="000000"/>
                <w:sz w:val="18"/>
                <w:szCs w:val="18"/>
                <w:lang w:eastAsia="zh-CN"/>
              </w:rPr>
              <w:t>Gerçeğe uygun değer farkı diğer kapsamlı gelire yansıtılan finansal varlıklar</w:t>
            </w:r>
          </w:p>
        </w:tc>
        <w:tc>
          <w:tcPr>
            <w:tcW w:w="1126" w:type="dxa"/>
            <w:tcBorders>
              <w:top w:val="nil"/>
              <w:left w:val="nil"/>
              <w:bottom w:val="nil"/>
              <w:right w:val="nil"/>
            </w:tcBorders>
            <w:shd w:val="clear" w:color="auto" w:fill="auto"/>
            <w:noWrap/>
            <w:vAlign w:val="center"/>
            <w:hideMark/>
          </w:tcPr>
          <w:p w14:paraId="134E7A9E"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26,716</w:t>
            </w:r>
          </w:p>
        </w:tc>
        <w:tc>
          <w:tcPr>
            <w:tcW w:w="1663" w:type="dxa"/>
            <w:tcBorders>
              <w:top w:val="nil"/>
              <w:left w:val="nil"/>
              <w:bottom w:val="nil"/>
              <w:right w:val="nil"/>
            </w:tcBorders>
            <w:shd w:val="clear" w:color="auto" w:fill="auto"/>
            <w:noWrap/>
            <w:vAlign w:val="center"/>
            <w:hideMark/>
          </w:tcPr>
          <w:p w14:paraId="44C2BEDD"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7E20F85A"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w:t>
            </w:r>
          </w:p>
        </w:tc>
      </w:tr>
      <w:tr w:rsidR="00865FDA" w:rsidRPr="00865FDA" w14:paraId="5388E4D8"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480BDA7E" w14:textId="77777777" w:rsidR="00865FDA" w:rsidRPr="00865FDA" w:rsidRDefault="00865FDA" w:rsidP="00865FDA">
            <w:pPr>
              <w:rPr>
                <w:color w:val="000000"/>
                <w:sz w:val="18"/>
                <w:szCs w:val="18"/>
                <w:lang w:eastAsia="tr-TR"/>
              </w:rPr>
            </w:pPr>
            <w:r w:rsidRPr="00865FDA">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09C9F27D"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2368494E"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72D0E909"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r>
      <w:tr w:rsidR="00865FDA" w:rsidRPr="00865FDA" w14:paraId="4B54BC56"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45C025EF" w14:textId="77777777" w:rsidR="00865FDA" w:rsidRPr="00865FDA" w:rsidRDefault="00865FDA" w:rsidP="00865FDA">
            <w:pPr>
              <w:rPr>
                <w:b/>
                <w:bCs/>
                <w:color w:val="000000"/>
                <w:sz w:val="18"/>
                <w:szCs w:val="18"/>
                <w:lang w:eastAsia="tr-TR"/>
              </w:rPr>
            </w:pPr>
            <w:r w:rsidRPr="00865FDA">
              <w:rPr>
                <w:b/>
                <w:bCs/>
                <w:color w:val="000000"/>
                <w:sz w:val="18"/>
                <w:szCs w:val="18"/>
                <w:lang w:eastAsia="zh-CN"/>
              </w:rPr>
              <w:t>İştirakler</w:t>
            </w:r>
          </w:p>
        </w:tc>
        <w:tc>
          <w:tcPr>
            <w:tcW w:w="1126" w:type="dxa"/>
            <w:tcBorders>
              <w:top w:val="nil"/>
              <w:left w:val="nil"/>
              <w:bottom w:val="nil"/>
              <w:right w:val="nil"/>
            </w:tcBorders>
            <w:shd w:val="clear" w:color="auto" w:fill="auto"/>
            <w:noWrap/>
            <w:vAlign w:val="center"/>
            <w:hideMark/>
          </w:tcPr>
          <w:p w14:paraId="777C1823"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6EB70081"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7D9B5690"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r>
      <w:tr w:rsidR="00865FDA" w:rsidRPr="00865FDA" w14:paraId="4F974445"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0CCA09FC" w14:textId="77777777" w:rsidR="00865FDA" w:rsidRPr="00865FDA" w:rsidRDefault="00865FDA" w:rsidP="00865FDA">
            <w:pPr>
              <w:rPr>
                <w:color w:val="000000"/>
                <w:sz w:val="18"/>
                <w:szCs w:val="18"/>
                <w:lang w:eastAsia="tr-TR"/>
              </w:rPr>
            </w:pPr>
            <w:r w:rsidRPr="00865FDA">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3DEDBAC0"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6422260C"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0D1A9372"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r>
      <w:tr w:rsidR="00865FDA" w:rsidRPr="00865FDA" w14:paraId="5F643B86"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7922EC52" w14:textId="77777777" w:rsidR="00865FDA" w:rsidRPr="00865FDA" w:rsidRDefault="00865FDA" w:rsidP="00865FDA">
            <w:pPr>
              <w:rPr>
                <w:b/>
                <w:bCs/>
                <w:color w:val="000000"/>
                <w:sz w:val="18"/>
                <w:szCs w:val="18"/>
                <w:lang w:eastAsia="tr-TR"/>
              </w:rPr>
            </w:pPr>
            <w:r w:rsidRPr="00865FDA">
              <w:rPr>
                <w:b/>
                <w:bCs/>
                <w:color w:val="000000"/>
                <w:sz w:val="18"/>
                <w:szCs w:val="18"/>
                <w:lang w:eastAsia="zh-CN"/>
              </w:rPr>
              <w:t>Bağlı ortaklıklar</w:t>
            </w:r>
          </w:p>
        </w:tc>
        <w:tc>
          <w:tcPr>
            <w:tcW w:w="1126" w:type="dxa"/>
            <w:tcBorders>
              <w:top w:val="nil"/>
              <w:left w:val="nil"/>
              <w:bottom w:val="nil"/>
              <w:right w:val="nil"/>
            </w:tcBorders>
            <w:shd w:val="clear" w:color="auto" w:fill="auto"/>
            <w:noWrap/>
            <w:vAlign w:val="center"/>
            <w:hideMark/>
          </w:tcPr>
          <w:p w14:paraId="4BD0FD26"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1,461,015</w:t>
            </w:r>
          </w:p>
        </w:tc>
        <w:tc>
          <w:tcPr>
            <w:tcW w:w="1663" w:type="dxa"/>
            <w:tcBorders>
              <w:top w:val="nil"/>
              <w:left w:val="nil"/>
              <w:bottom w:val="nil"/>
              <w:right w:val="nil"/>
            </w:tcBorders>
            <w:shd w:val="clear" w:color="auto" w:fill="auto"/>
            <w:noWrap/>
            <w:vAlign w:val="center"/>
            <w:hideMark/>
          </w:tcPr>
          <w:p w14:paraId="2B8C8248"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486ED813"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341,220</w:t>
            </w:r>
          </w:p>
        </w:tc>
      </w:tr>
      <w:tr w:rsidR="00865FDA" w:rsidRPr="00865FDA" w14:paraId="61199A05"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234C6FBA" w14:textId="77777777" w:rsidR="00865FDA" w:rsidRPr="00865FDA" w:rsidRDefault="00865FDA" w:rsidP="00865FDA">
            <w:pPr>
              <w:rPr>
                <w:color w:val="000000"/>
                <w:sz w:val="18"/>
                <w:szCs w:val="18"/>
                <w:lang w:eastAsia="tr-TR"/>
              </w:rPr>
            </w:pPr>
            <w:r w:rsidRPr="00865FDA">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46670990" w14:textId="77777777" w:rsidR="00865FDA" w:rsidRPr="00865FDA" w:rsidRDefault="00865FDA" w:rsidP="00865FDA">
            <w:pPr>
              <w:jc w:val="right"/>
              <w:rPr>
                <w:color w:val="000000"/>
                <w:sz w:val="18"/>
                <w:szCs w:val="18"/>
                <w:lang w:eastAsia="tr-TR"/>
              </w:rPr>
            </w:pPr>
            <w:r w:rsidRPr="00865FDA">
              <w:rPr>
                <w:color w:val="000000"/>
                <w:sz w:val="18"/>
                <w:szCs w:val="18"/>
                <w:lang w:eastAsia="tr-TR"/>
              </w:rPr>
              <w:t>53,418</w:t>
            </w:r>
          </w:p>
        </w:tc>
        <w:tc>
          <w:tcPr>
            <w:tcW w:w="1663" w:type="dxa"/>
            <w:tcBorders>
              <w:top w:val="nil"/>
              <w:left w:val="nil"/>
              <w:bottom w:val="nil"/>
              <w:right w:val="nil"/>
            </w:tcBorders>
            <w:shd w:val="clear" w:color="auto" w:fill="auto"/>
            <w:noWrap/>
            <w:vAlign w:val="center"/>
            <w:hideMark/>
          </w:tcPr>
          <w:p w14:paraId="79E6AEBA"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21CA1879" w14:textId="77777777" w:rsidR="00865FDA" w:rsidRPr="00865FDA" w:rsidRDefault="00865FDA" w:rsidP="00865FDA">
            <w:pPr>
              <w:jc w:val="right"/>
              <w:rPr>
                <w:color w:val="000000"/>
                <w:sz w:val="18"/>
                <w:szCs w:val="18"/>
                <w:lang w:eastAsia="tr-TR"/>
              </w:rPr>
            </w:pPr>
            <w:r w:rsidRPr="00865FDA">
              <w:rPr>
                <w:color w:val="000000"/>
                <w:sz w:val="18"/>
                <w:szCs w:val="18"/>
                <w:lang w:eastAsia="tr-TR"/>
              </w:rPr>
              <w:t>341,220</w:t>
            </w:r>
          </w:p>
        </w:tc>
      </w:tr>
      <w:tr w:rsidR="00865FDA" w:rsidRPr="00865FDA" w14:paraId="596F510C"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2E369745" w14:textId="77777777" w:rsidR="00865FDA" w:rsidRPr="00865FDA" w:rsidRDefault="00865FDA" w:rsidP="00865FDA">
            <w:pPr>
              <w:rPr>
                <w:b/>
                <w:bCs/>
                <w:color w:val="000000"/>
                <w:sz w:val="18"/>
                <w:szCs w:val="18"/>
                <w:lang w:eastAsia="tr-TR"/>
              </w:rPr>
            </w:pPr>
            <w:r w:rsidRPr="00865FDA">
              <w:rPr>
                <w:b/>
                <w:bCs/>
                <w:color w:val="000000"/>
                <w:sz w:val="18"/>
                <w:szCs w:val="18"/>
                <w:lang w:eastAsia="zh-CN"/>
              </w:rPr>
              <w:t>Diğer</w:t>
            </w:r>
          </w:p>
        </w:tc>
        <w:tc>
          <w:tcPr>
            <w:tcW w:w="1126" w:type="dxa"/>
            <w:tcBorders>
              <w:top w:val="nil"/>
              <w:left w:val="nil"/>
              <w:bottom w:val="nil"/>
              <w:right w:val="nil"/>
            </w:tcBorders>
            <w:shd w:val="clear" w:color="auto" w:fill="auto"/>
            <w:noWrap/>
            <w:vAlign w:val="center"/>
            <w:hideMark/>
          </w:tcPr>
          <w:p w14:paraId="7F5609A7"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20,000</w:t>
            </w:r>
          </w:p>
        </w:tc>
        <w:tc>
          <w:tcPr>
            <w:tcW w:w="1663" w:type="dxa"/>
            <w:tcBorders>
              <w:top w:val="nil"/>
              <w:left w:val="nil"/>
              <w:bottom w:val="nil"/>
              <w:right w:val="nil"/>
            </w:tcBorders>
            <w:shd w:val="clear" w:color="auto" w:fill="auto"/>
            <w:noWrap/>
            <w:vAlign w:val="center"/>
            <w:hideMark/>
          </w:tcPr>
          <w:p w14:paraId="22BD58D6"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5505C54F"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w:t>
            </w:r>
          </w:p>
        </w:tc>
      </w:tr>
      <w:tr w:rsidR="00865FDA" w:rsidRPr="00865FDA" w14:paraId="7DFBF343"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1E852209" w14:textId="77777777" w:rsidR="00865FDA" w:rsidRPr="00865FDA" w:rsidRDefault="00865FDA" w:rsidP="00865FDA">
            <w:pPr>
              <w:rPr>
                <w:color w:val="000000"/>
                <w:sz w:val="18"/>
                <w:szCs w:val="18"/>
                <w:lang w:eastAsia="tr-TR"/>
              </w:rPr>
            </w:pPr>
            <w:r w:rsidRPr="00865FDA">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74778397"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28002D45"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29D57BD2"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r>
      <w:tr w:rsidR="00865FDA" w:rsidRPr="00865FDA" w14:paraId="67513311"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45B05896" w14:textId="77777777" w:rsidR="00865FDA" w:rsidRPr="00865FDA" w:rsidRDefault="00865FDA" w:rsidP="00865FDA">
            <w:pPr>
              <w:jc w:val="right"/>
              <w:rPr>
                <w:color w:val="000000"/>
                <w:sz w:val="18"/>
                <w:szCs w:val="18"/>
                <w:lang w:eastAsia="tr-TR"/>
              </w:rPr>
            </w:pPr>
          </w:p>
        </w:tc>
        <w:tc>
          <w:tcPr>
            <w:tcW w:w="1126" w:type="dxa"/>
            <w:tcBorders>
              <w:top w:val="nil"/>
              <w:left w:val="nil"/>
              <w:bottom w:val="nil"/>
              <w:right w:val="nil"/>
            </w:tcBorders>
            <w:shd w:val="clear" w:color="auto" w:fill="auto"/>
            <w:noWrap/>
            <w:vAlign w:val="center"/>
            <w:hideMark/>
          </w:tcPr>
          <w:p w14:paraId="19434717" w14:textId="77777777" w:rsidR="00865FDA" w:rsidRPr="00865FDA" w:rsidRDefault="00865FDA" w:rsidP="00865FDA">
            <w:pPr>
              <w:rPr>
                <w:lang w:eastAsia="tr-TR"/>
              </w:rPr>
            </w:pPr>
          </w:p>
        </w:tc>
        <w:tc>
          <w:tcPr>
            <w:tcW w:w="1663" w:type="dxa"/>
            <w:tcBorders>
              <w:top w:val="nil"/>
              <w:left w:val="nil"/>
              <w:bottom w:val="nil"/>
              <w:right w:val="nil"/>
            </w:tcBorders>
            <w:shd w:val="clear" w:color="auto" w:fill="auto"/>
            <w:noWrap/>
            <w:vAlign w:val="center"/>
            <w:hideMark/>
          </w:tcPr>
          <w:p w14:paraId="450AF39B" w14:textId="77777777" w:rsidR="00865FDA" w:rsidRPr="00865FDA" w:rsidRDefault="00865FDA" w:rsidP="00865FDA">
            <w:pPr>
              <w:jc w:val="right"/>
              <w:rPr>
                <w:lang w:eastAsia="tr-TR"/>
              </w:rPr>
            </w:pPr>
          </w:p>
        </w:tc>
        <w:tc>
          <w:tcPr>
            <w:tcW w:w="1050" w:type="dxa"/>
            <w:tcBorders>
              <w:top w:val="nil"/>
              <w:left w:val="nil"/>
              <w:bottom w:val="nil"/>
              <w:right w:val="nil"/>
            </w:tcBorders>
            <w:shd w:val="clear" w:color="auto" w:fill="auto"/>
            <w:noWrap/>
            <w:vAlign w:val="center"/>
            <w:hideMark/>
          </w:tcPr>
          <w:p w14:paraId="50304844" w14:textId="77777777" w:rsidR="00865FDA" w:rsidRPr="00865FDA" w:rsidRDefault="00865FDA" w:rsidP="00865FDA">
            <w:pPr>
              <w:jc w:val="right"/>
              <w:rPr>
                <w:lang w:eastAsia="tr-TR"/>
              </w:rPr>
            </w:pPr>
          </w:p>
        </w:tc>
      </w:tr>
      <w:tr w:rsidR="00865FDA" w:rsidRPr="00865FDA" w14:paraId="44EBA809" w14:textId="77777777" w:rsidTr="00865FDA">
        <w:trPr>
          <w:divId w:val="689530536"/>
          <w:trHeight w:val="259"/>
        </w:trPr>
        <w:tc>
          <w:tcPr>
            <w:tcW w:w="5726" w:type="dxa"/>
            <w:tcBorders>
              <w:top w:val="nil"/>
              <w:left w:val="nil"/>
              <w:bottom w:val="single" w:sz="8" w:space="0" w:color="auto"/>
              <w:right w:val="nil"/>
            </w:tcBorders>
            <w:shd w:val="clear" w:color="auto" w:fill="auto"/>
            <w:vAlign w:val="center"/>
            <w:hideMark/>
          </w:tcPr>
          <w:p w14:paraId="3120EF44" w14:textId="77777777" w:rsidR="00865FDA" w:rsidRPr="00865FDA" w:rsidRDefault="00865FDA" w:rsidP="00865FDA">
            <w:pPr>
              <w:rPr>
                <w:b/>
                <w:bCs/>
                <w:color w:val="000000"/>
                <w:sz w:val="18"/>
                <w:szCs w:val="18"/>
                <w:lang w:eastAsia="tr-TR"/>
              </w:rPr>
            </w:pPr>
            <w:r w:rsidRPr="00865FDA">
              <w:rPr>
                <w:b/>
                <w:bCs/>
                <w:color w:val="000000"/>
                <w:sz w:val="18"/>
                <w:szCs w:val="18"/>
                <w:lang w:eastAsia="zh-CN"/>
              </w:rPr>
              <w:t>Önceki Dönem</w:t>
            </w:r>
          </w:p>
        </w:tc>
        <w:tc>
          <w:tcPr>
            <w:tcW w:w="1126" w:type="dxa"/>
            <w:tcBorders>
              <w:top w:val="nil"/>
              <w:left w:val="nil"/>
              <w:bottom w:val="single" w:sz="8" w:space="0" w:color="auto"/>
              <w:right w:val="nil"/>
            </w:tcBorders>
            <w:shd w:val="clear" w:color="auto" w:fill="auto"/>
            <w:vAlign w:val="center"/>
            <w:hideMark/>
          </w:tcPr>
          <w:p w14:paraId="5787C03E" w14:textId="77777777" w:rsidR="00865FDA" w:rsidRPr="00865FDA" w:rsidRDefault="00865FDA" w:rsidP="00865FDA">
            <w:pPr>
              <w:jc w:val="center"/>
              <w:rPr>
                <w:b/>
                <w:bCs/>
                <w:color w:val="000000"/>
                <w:sz w:val="18"/>
                <w:szCs w:val="18"/>
                <w:lang w:eastAsia="tr-TR"/>
              </w:rPr>
            </w:pPr>
            <w:r w:rsidRPr="00865FDA">
              <w:rPr>
                <w:b/>
                <w:bCs/>
                <w:color w:val="000000"/>
                <w:sz w:val="18"/>
                <w:szCs w:val="18"/>
                <w:lang w:eastAsia="zh-CN"/>
              </w:rPr>
              <w:t> </w:t>
            </w:r>
          </w:p>
        </w:tc>
        <w:tc>
          <w:tcPr>
            <w:tcW w:w="1663" w:type="dxa"/>
            <w:tcBorders>
              <w:top w:val="nil"/>
              <w:left w:val="nil"/>
              <w:bottom w:val="single" w:sz="8" w:space="0" w:color="auto"/>
              <w:right w:val="nil"/>
            </w:tcBorders>
            <w:shd w:val="clear" w:color="auto" w:fill="auto"/>
            <w:vAlign w:val="center"/>
            <w:hideMark/>
          </w:tcPr>
          <w:p w14:paraId="0DE701BD" w14:textId="77777777" w:rsidR="00865FDA" w:rsidRPr="00865FDA" w:rsidRDefault="00865FDA" w:rsidP="00865FDA">
            <w:pPr>
              <w:jc w:val="center"/>
              <w:rPr>
                <w:b/>
                <w:bCs/>
                <w:color w:val="000000"/>
                <w:sz w:val="18"/>
                <w:szCs w:val="18"/>
                <w:lang w:eastAsia="tr-TR"/>
              </w:rPr>
            </w:pPr>
            <w:r w:rsidRPr="00865FDA">
              <w:rPr>
                <w:b/>
                <w:bCs/>
                <w:color w:val="000000"/>
                <w:sz w:val="18"/>
                <w:szCs w:val="18"/>
                <w:lang w:eastAsia="zh-CN"/>
              </w:rPr>
              <w:t>Karşılaştırma</w:t>
            </w:r>
          </w:p>
        </w:tc>
        <w:tc>
          <w:tcPr>
            <w:tcW w:w="1050" w:type="dxa"/>
            <w:tcBorders>
              <w:top w:val="nil"/>
              <w:left w:val="nil"/>
              <w:bottom w:val="single" w:sz="8" w:space="0" w:color="auto"/>
              <w:right w:val="nil"/>
            </w:tcBorders>
            <w:shd w:val="clear" w:color="auto" w:fill="auto"/>
            <w:vAlign w:val="center"/>
            <w:hideMark/>
          </w:tcPr>
          <w:p w14:paraId="723A62C2" w14:textId="77777777" w:rsidR="00865FDA" w:rsidRPr="00865FDA" w:rsidRDefault="00865FDA" w:rsidP="00865FDA">
            <w:pPr>
              <w:jc w:val="center"/>
              <w:rPr>
                <w:b/>
                <w:bCs/>
                <w:color w:val="000000"/>
                <w:sz w:val="18"/>
                <w:szCs w:val="18"/>
                <w:lang w:eastAsia="tr-TR"/>
              </w:rPr>
            </w:pPr>
            <w:r w:rsidRPr="00865FDA">
              <w:rPr>
                <w:b/>
                <w:bCs/>
                <w:color w:val="000000"/>
                <w:sz w:val="18"/>
                <w:szCs w:val="18"/>
                <w:lang w:eastAsia="zh-CN"/>
              </w:rPr>
              <w:t> </w:t>
            </w:r>
          </w:p>
        </w:tc>
      </w:tr>
      <w:tr w:rsidR="00865FDA" w:rsidRPr="00865FDA" w14:paraId="487E1D35" w14:textId="77777777" w:rsidTr="00865FDA">
        <w:trPr>
          <w:divId w:val="689530536"/>
          <w:trHeight w:val="259"/>
        </w:trPr>
        <w:tc>
          <w:tcPr>
            <w:tcW w:w="5726" w:type="dxa"/>
            <w:tcBorders>
              <w:top w:val="nil"/>
              <w:left w:val="nil"/>
              <w:bottom w:val="nil"/>
              <w:right w:val="nil"/>
            </w:tcBorders>
            <w:shd w:val="clear" w:color="auto" w:fill="auto"/>
            <w:noWrap/>
            <w:vAlign w:val="center"/>
            <w:hideMark/>
          </w:tcPr>
          <w:p w14:paraId="1F9A28FA" w14:textId="7FC0120E" w:rsidR="00865FDA" w:rsidRPr="00865FDA" w:rsidRDefault="00865FDA" w:rsidP="00865FDA">
            <w:pPr>
              <w:rPr>
                <w:b/>
                <w:bCs/>
                <w:color w:val="000000"/>
                <w:sz w:val="18"/>
                <w:szCs w:val="18"/>
                <w:lang w:eastAsia="tr-TR"/>
              </w:rPr>
            </w:pPr>
            <w:r w:rsidRPr="00865FDA">
              <w:rPr>
                <w:b/>
                <w:bCs/>
                <w:color w:val="000000"/>
                <w:sz w:val="18"/>
                <w:szCs w:val="18"/>
                <w:lang w:eastAsia="zh-CN"/>
              </w:rPr>
              <w:t xml:space="preserve">Hisse Senedi Yatırımları </w:t>
            </w:r>
          </w:p>
        </w:tc>
        <w:tc>
          <w:tcPr>
            <w:tcW w:w="1126" w:type="dxa"/>
            <w:tcBorders>
              <w:top w:val="nil"/>
              <w:left w:val="nil"/>
              <w:bottom w:val="nil"/>
              <w:right w:val="nil"/>
            </w:tcBorders>
            <w:shd w:val="clear" w:color="auto" w:fill="auto"/>
            <w:noWrap/>
            <w:vAlign w:val="center"/>
            <w:hideMark/>
          </w:tcPr>
          <w:p w14:paraId="7822D223"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zh-CN"/>
              </w:rPr>
              <w:t>Bilanço Değeri</w:t>
            </w:r>
          </w:p>
        </w:tc>
        <w:tc>
          <w:tcPr>
            <w:tcW w:w="1663" w:type="dxa"/>
            <w:tcBorders>
              <w:top w:val="nil"/>
              <w:left w:val="nil"/>
              <w:bottom w:val="nil"/>
              <w:right w:val="nil"/>
            </w:tcBorders>
            <w:shd w:val="clear" w:color="auto" w:fill="auto"/>
            <w:noWrap/>
            <w:vAlign w:val="center"/>
            <w:hideMark/>
          </w:tcPr>
          <w:p w14:paraId="6AE48851"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zh-CN"/>
              </w:rPr>
              <w:t>Gerçeğe Uygun Değer</w:t>
            </w:r>
          </w:p>
        </w:tc>
        <w:tc>
          <w:tcPr>
            <w:tcW w:w="1050" w:type="dxa"/>
            <w:tcBorders>
              <w:top w:val="nil"/>
              <w:left w:val="nil"/>
              <w:bottom w:val="nil"/>
              <w:right w:val="nil"/>
            </w:tcBorders>
            <w:shd w:val="clear" w:color="auto" w:fill="auto"/>
            <w:noWrap/>
            <w:vAlign w:val="center"/>
            <w:hideMark/>
          </w:tcPr>
          <w:p w14:paraId="5C4E7227"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zh-CN"/>
              </w:rPr>
              <w:t>Piyasa Değeri</w:t>
            </w:r>
          </w:p>
        </w:tc>
      </w:tr>
      <w:tr w:rsidR="00865FDA" w:rsidRPr="00865FDA" w14:paraId="286D895C" w14:textId="77777777" w:rsidTr="00865FDA">
        <w:trPr>
          <w:divId w:val="689530536"/>
          <w:trHeight w:val="247"/>
        </w:trPr>
        <w:tc>
          <w:tcPr>
            <w:tcW w:w="5726" w:type="dxa"/>
            <w:tcBorders>
              <w:top w:val="single" w:sz="8" w:space="0" w:color="auto"/>
              <w:left w:val="nil"/>
              <w:bottom w:val="nil"/>
              <w:right w:val="nil"/>
            </w:tcBorders>
            <w:shd w:val="clear" w:color="auto" w:fill="auto"/>
            <w:noWrap/>
            <w:vAlign w:val="center"/>
            <w:hideMark/>
          </w:tcPr>
          <w:p w14:paraId="29334855" w14:textId="77777777" w:rsidR="00865FDA" w:rsidRPr="00865FDA" w:rsidRDefault="00865FDA" w:rsidP="00865FDA">
            <w:pPr>
              <w:rPr>
                <w:b/>
                <w:bCs/>
                <w:color w:val="000000"/>
                <w:sz w:val="18"/>
                <w:szCs w:val="18"/>
                <w:lang w:eastAsia="tr-TR"/>
              </w:rPr>
            </w:pPr>
            <w:r w:rsidRPr="00865FDA">
              <w:rPr>
                <w:b/>
                <w:bCs/>
                <w:color w:val="000000"/>
                <w:sz w:val="18"/>
                <w:szCs w:val="18"/>
                <w:lang w:eastAsia="zh-CN"/>
              </w:rPr>
              <w:t> </w:t>
            </w:r>
          </w:p>
        </w:tc>
        <w:tc>
          <w:tcPr>
            <w:tcW w:w="1126" w:type="dxa"/>
            <w:tcBorders>
              <w:top w:val="single" w:sz="8" w:space="0" w:color="auto"/>
              <w:left w:val="nil"/>
              <w:bottom w:val="nil"/>
              <w:right w:val="nil"/>
            </w:tcBorders>
            <w:shd w:val="clear" w:color="auto" w:fill="auto"/>
            <w:noWrap/>
            <w:vAlign w:val="center"/>
            <w:hideMark/>
          </w:tcPr>
          <w:p w14:paraId="2F6AA2B2"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 </w:t>
            </w:r>
          </w:p>
        </w:tc>
        <w:tc>
          <w:tcPr>
            <w:tcW w:w="1663" w:type="dxa"/>
            <w:tcBorders>
              <w:top w:val="single" w:sz="8" w:space="0" w:color="auto"/>
              <w:left w:val="nil"/>
              <w:bottom w:val="nil"/>
              <w:right w:val="nil"/>
            </w:tcBorders>
            <w:shd w:val="clear" w:color="auto" w:fill="auto"/>
            <w:noWrap/>
            <w:vAlign w:val="center"/>
            <w:hideMark/>
          </w:tcPr>
          <w:p w14:paraId="28F05AE3"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 </w:t>
            </w:r>
          </w:p>
        </w:tc>
        <w:tc>
          <w:tcPr>
            <w:tcW w:w="1050" w:type="dxa"/>
            <w:tcBorders>
              <w:top w:val="single" w:sz="8" w:space="0" w:color="auto"/>
              <w:left w:val="nil"/>
              <w:bottom w:val="nil"/>
              <w:right w:val="nil"/>
            </w:tcBorders>
            <w:shd w:val="clear" w:color="auto" w:fill="auto"/>
            <w:noWrap/>
            <w:vAlign w:val="center"/>
            <w:hideMark/>
          </w:tcPr>
          <w:p w14:paraId="27DB703D"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 </w:t>
            </w:r>
          </w:p>
        </w:tc>
      </w:tr>
      <w:tr w:rsidR="00865FDA" w:rsidRPr="00865FDA" w14:paraId="4F583DE8"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0D3B66EA" w14:textId="77777777" w:rsidR="00865FDA" w:rsidRPr="00865FDA" w:rsidRDefault="00865FDA" w:rsidP="00865FDA">
            <w:pPr>
              <w:rPr>
                <w:b/>
                <w:bCs/>
                <w:color w:val="000000"/>
                <w:sz w:val="18"/>
                <w:szCs w:val="18"/>
                <w:lang w:eastAsia="tr-TR"/>
              </w:rPr>
            </w:pPr>
            <w:r w:rsidRPr="00865FDA">
              <w:rPr>
                <w:b/>
                <w:bCs/>
                <w:color w:val="000000"/>
                <w:sz w:val="18"/>
                <w:szCs w:val="18"/>
                <w:lang w:eastAsia="zh-CN"/>
              </w:rPr>
              <w:t>Gerçeğe uygun değer</w:t>
            </w:r>
            <w:r w:rsidRPr="00865FDA">
              <w:rPr>
                <w:b/>
                <w:bCs/>
                <w:color w:val="000000"/>
                <w:sz w:val="18"/>
                <w:szCs w:val="18"/>
                <w:lang w:eastAsia="tr-TR"/>
              </w:rPr>
              <w:t xml:space="preserve"> farkı diğer kapsamlı gelire yansıtılan finansal varlıklar</w:t>
            </w:r>
          </w:p>
        </w:tc>
        <w:tc>
          <w:tcPr>
            <w:tcW w:w="1126" w:type="dxa"/>
            <w:tcBorders>
              <w:top w:val="nil"/>
              <w:left w:val="nil"/>
              <w:bottom w:val="nil"/>
              <w:right w:val="nil"/>
            </w:tcBorders>
            <w:shd w:val="clear" w:color="auto" w:fill="auto"/>
            <w:noWrap/>
            <w:vAlign w:val="center"/>
            <w:hideMark/>
          </w:tcPr>
          <w:p w14:paraId="3AE7E657"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38,583</w:t>
            </w:r>
          </w:p>
        </w:tc>
        <w:tc>
          <w:tcPr>
            <w:tcW w:w="1663" w:type="dxa"/>
            <w:tcBorders>
              <w:top w:val="nil"/>
              <w:left w:val="nil"/>
              <w:bottom w:val="nil"/>
              <w:right w:val="nil"/>
            </w:tcBorders>
            <w:shd w:val="clear" w:color="auto" w:fill="auto"/>
            <w:noWrap/>
            <w:vAlign w:val="center"/>
            <w:hideMark/>
          </w:tcPr>
          <w:p w14:paraId="6D7C6E72"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59A5F942"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w:t>
            </w:r>
          </w:p>
        </w:tc>
      </w:tr>
      <w:tr w:rsidR="00865FDA" w:rsidRPr="00865FDA" w14:paraId="0D812AA6"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074BBA76" w14:textId="77777777" w:rsidR="00865FDA" w:rsidRPr="00865FDA" w:rsidRDefault="00865FDA" w:rsidP="00865FDA">
            <w:pPr>
              <w:rPr>
                <w:color w:val="000000"/>
                <w:sz w:val="18"/>
                <w:szCs w:val="18"/>
                <w:lang w:eastAsia="tr-TR"/>
              </w:rPr>
            </w:pPr>
            <w:r w:rsidRPr="00865FDA">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7F3CF7C9"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60FADFB1"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136464F1"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r>
      <w:tr w:rsidR="00865FDA" w:rsidRPr="00865FDA" w14:paraId="5CD3FA77"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2F4DE584" w14:textId="77777777" w:rsidR="00865FDA" w:rsidRPr="00865FDA" w:rsidRDefault="00865FDA" w:rsidP="00865FDA">
            <w:pPr>
              <w:rPr>
                <w:b/>
                <w:bCs/>
                <w:color w:val="000000"/>
                <w:sz w:val="18"/>
                <w:szCs w:val="18"/>
                <w:lang w:eastAsia="tr-TR"/>
              </w:rPr>
            </w:pPr>
            <w:r w:rsidRPr="00865FDA">
              <w:rPr>
                <w:b/>
                <w:bCs/>
                <w:color w:val="000000"/>
                <w:sz w:val="18"/>
                <w:szCs w:val="18"/>
                <w:lang w:eastAsia="zh-CN"/>
              </w:rPr>
              <w:t>İştirakler</w:t>
            </w:r>
          </w:p>
        </w:tc>
        <w:tc>
          <w:tcPr>
            <w:tcW w:w="1126" w:type="dxa"/>
            <w:tcBorders>
              <w:top w:val="nil"/>
              <w:left w:val="nil"/>
              <w:bottom w:val="nil"/>
              <w:right w:val="nil"/>
            </w:tcBorders>
            <w:shd w:val="clear" w:color="auto" w:fill="auto"/>
            <w:noWrap/>
            <w:vAlign w:val="center"/>
            <w:hideMark/>
          </w:tcPr>
          <w:p w14:paraId="5A6AD02B"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4EC0EBF2"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5A287316"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r>
      <w:tr w:rsidR="00865FDA" w:rsidRPr="00865FDA" w14:paraId="75F9F2E8"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4B3CA183" w14:textId="77777777" w:rsidR="00865FDA" w:rsidRPr="00865FDA" w:rsidRDefault="00865FDA" w:rsidP="00865FDA">
            <w:pPr>
              <w:rPr>
                <w:color w:val="000000"/>
                <w:sz w:val="18"/>
                <w:szCs w:val="18"/>
                <w:lang w:eastAsia="tr-TR"/>
              </w:rPr>
            </w:pPr>
            <w:r w:rsidRPr="00865FDA">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700D0936"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3F2748AA"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611B78E6"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r>
      <w:tr w:rsidR="00865FDA" w:rsidRPr="00865FDA" w14:paraId="52CCB4D4"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10E8A8F1" w14:textId="77777777" w:rsidR="00865FDA" w:rsidRPr="00865FDA" w:rsidRDefault="00865FDA" w:rsidP="00865FDA">
            <w:pPr>
              <w:rPr>
                <w:b/>
                <w:bCs/>
                <w:color w:val="000000"/>
                <w:sz w:val="18"/>
                <w:szCs w:val="18"/>
                <w:lang w:eastAsia="tr-TR"/>
              </w:rPr>
            </w:pPr>
            <w:r w:rsidRPr="00865FDA">
              <w:rPr>
                <w:b/>
                <w:bCs/>
                <w:color w:val="000000"/>
                <w:sz w:val="18"/>
                <w:szCs w:val="18"/>
                <w:lang w:eastAsia="zh-CN"/>
              </w:rPr>
              <w:t>Bağlı ortaklıklar</w:t>
            </w:r>
          </w:p>
        </w:tc>
        <w:tc>
          <w:tcPr>
            <w:tcW w:w="1126" w:type="dxa"/>
            <w:tcBorders>
              <w:top w:val="nil"/>
              <w:left w:val="nil"/>
              <w:bottom w:val="nil"/>
              <w:right w:val="nil"/>
            </w:tcBorders>
            <w:shd w:val="clear" w:color="auto" w:fill="auto"/>
            <w:noWrap/>
            <w:vAlign w:val="center"/>
            <w:hideMark/>
          </w:tcPr>
          <w:p w14:paraId="48A5E65D"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544,853</w:t>
            </w:r>
          </w:p>
        </w:tc>
        <w:tc>
          <w:tcPr>
            <w:tcW w:w="1663" w:type="dxa"/>
            <w:tcBorders>
              <w:top w:val="nil"/>
              <w:left w:val="nil"/>
              <w:bottom w:val="nil"/>
              <w:right w:val="nil"/>
            </w:tcBorders>
            <w:shd w:val="clear" w:color="auto" w:fill="auto"/>
            <w:noWrap/>
            <w:vAlign w:val="center"/>
            <w:hideMark/>
          </w:tcPr>
          <w:p w14:paraId="1F835C32"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0D74BEE9"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157,740</w:t>
            </w:r>
          </w:p>
        </w:tc>
      </w:tr>
      <w:tr w:rsidR="00865FDA" w:rsidRPr="00865FDA" w14:paraId="4A7CF1FD"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12420E19" w14:textId="77777777" w:rsidR="00865FDA" w:rsidRPr="00865FDA" w:rsidRDefault="00865FDA" w:rsidP="00865FDA">
            <w:pPr>
              <w:rPr>
                <w:color w:val="000000"/>
                <w:sz w:val="18"/>
                <w:szCs w:val="18"/>
                <w:lang w:eastAsia="tr-TR"/>
              </w:rPr>
            </w:pPr>
            <w:r w:rsidRPr="00865FDA">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0B2389D6" w14:textId="77777777" w:rsidR="00865FDA" w:rsidRPr="00865FDA" w:rsidRDefault="00865FDA" w:rsidP="00865FDA">
            <w:pPr>
              <w:jc w:val="right"/>
              <w:rPr>
                <w:color w:val="000000"/>
                <w:sz w:val="18"/>
                <w:szCs w:val="18"/>
                <w:lang w:eastAsia="tr-TR"/>
              </w:rPr>
            </w:pPr>
            <w:r w:rsidRPr="00865FDA">
              <w:rPr>
                <w:color w:val="000000"/>
                <w:sz w:val="18"/>
                <w:szCs w:val="18"/>
                <w:lang w:eastAsia="tr-TR"/>
              </w:rPr>
              <w:t>53,418</w:t>
            </w:r>
          </w:p>
        </w:tc>
        <w:tc>
          <w:tcPr>
            <w:tcW w:w="1663" w:type="dxa"/>
            <w:tcBorders>
              <w:top w:val="nil"/>
              <w:left w:val="nil"/>
              <w:bottom w:val="nil"/>
              <w:right w:val="nil"/>
            </w:tcBorders>
            <w:shd w:val="clear" w:color="auto" w:fill="auto"/>
            <w:noWrap/>
            <w:vAlign w:val="center"/>
            <w:hideMark/>
          </w:tcPr>
          <w:p w14:paraId="6D6B856C"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50EA604B" w14:textId="77777777" w:rsidR="00865FDA" w:rsidRPr="00865FDA" w:rsidRDefault="00865FDA" w:rsidP="00865FDA">
            <w:pPr>
              <w:jc w:val="right"/>
              <w:rPr>
                <w:color w:val="000000"/>
                <w:sz w:val="18"/>
                <w:szCs w:val="18"/>
                <w:lang w:eastAsia="tr-TR"/>
              </w:rPr>
            </w:pPr>
            <w:r w:rsidRPr="00865FDA">
              <w:rPr>
                <w:color w:val="000000"/>
                <w:sz w:val="18"/>
                <w:szCs w:val="18"/>
                <w:lang w:eastAsia="tr-TR"/>
              </w:rPr>
              <w:t>157,740</w:t>
            </w:r>
          </w:p>
        </w:tc>
      </w:tr>
      <w:tr w:rsidR="00865FDA" w:rsidRPr="00865FDA" w14:paraId="644B16BB"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365C6176" w14:textId="77777777" w:rsidR="00865FDA" w:rsidRPr="00865FDA" w:rsidRDefault="00865FDA" w:rsidP="00865FDA">
            <w:pPr>
              <w:rPr>
                <w:b/>
                <w:bCs/>
                <w:color w:val="000000"/>
                <w:sz w:val="18"/>
                <w:szCs w:val="18"/>
                <w:lang w:eastAsia="tr-TR"/>
              </w:rPr>
            </w:pPr>
            <w:r w:rsidRPr="00865FDA">
              <w:rPr>
                <w:b/>
                <w:bCs/>
                <w:color w:val="000000"/>
                <w:sz w:val="18"/>
                <w:szCs w:val="18"/>
                <w:lang w:eastAsia="zh-CN"/>
              </w:rPr>
              <w:t>Diğer</w:t>
            </w:r>
          </w:p>
        </w:tc>
        <w:tc>
          <w:tcPr>
            <w:tcW w:w="1126" w:type="dxa"/>
            <w:tcBorders>
              <w:top w:val="nil"/>
              <w:left w:val="nil"/>
              <w:bottom w:val="nil"/>
              <w:right w:val="nil"/>
            </w:tcBorders>
            <w:shd w:val="clear" w:color="auto" w:fill="auto"/>
            <w:noWrap/>
            <w:vAlign w:val="center"/>
            <w:hideMark/>
          </w:tcPr>
          <w:p w14:paraId="1113AA96"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20,000</w:t>
            </w:r>
          </w:p>
        </w:tc>
        <w:tc>
          <w:tcPr>
            <w:tcW w:w="1663" w:type="dxa"/>
            <w:tcBorders>
              <w:top w:val="nil"/>
              <w:left w:val="nil"/>
              <w:bottom w:val="nil"/>
              <w:right w:val="nil"/>
            </w:tcBorders>
            <w:shd w:val="clear" w:color="auto" w:fill="auto"/>
            <w:noWrap/>
            <w:vAlign w:val="center"/>
            <w:hideMark/>
          </w:tcPr>
          <w:p w14:paraId="3A83F13E"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72CAAC90" w14:textId="77777777" w:rsidR="00865FDA" w:rsidRPr="00865FDA" w:rsidRDefault="00865FDA" w:rsidP="00865FDA">
            <w:pPr>
              <w:jc w:val="right"/>
              <w:rPr>
                <w:b/>
                <w:bCs/>
                <w:color w:val="000000"/>
                <w:sz w:val="18"/>
                <w:szCs w:val="18"/>
                <w:lang w:eastAsia="tr-TR"/>
              </w:rPr>
            </w:pPr>
            <w:r w:rsidRPr="00865FDA">
              <w:rPr>
                <w:b/>
                <w:bCs/>
                <w:color w:val="000000"/>
                <w:sz w:val="18"/>
                <w:szCs w:val="18"/>
                <w:lang w:eastAsia="tr-TR"/>
              </w:rPr>
              <w:t>-</w:t>
            </w:r>
          </w:p>
        </w:tc>
      </w:tr>
      <w:tr w:rsidR="00865FDA" w:rsidRPr="00865FDA" w14:paraId="1B1C8F2F" w14:textId="77777777" w:rsidTr="00865FDA">
        <w:trPr>
          <w:divId w:val="689530536"/>
          <w:trHeight w:val="247"/>
        </w:trPr>
        <w:tc>
          <w:tcPr>
            <w:tcW w:w="5726" w:type="dxa"/>
            <w:tcBorders>
              <w:top w:val="nil"/>
              <w:left w:val="nil"/>
              <w:bottom w:val="nil"/>
              <w:right w:val="nil"/>
            </w:tcBorders>
            <w:shd w:val="clear" w:color="auto" w:fill="auto"/>
            <w:noWrap/>
            <w:vAlign w:val="center"/>
            <w:hideMark/>
          </w:tcPr>
          <w:p w14:paraId="2FB3FF0B" w14:textId="77777777" w:rsidR="00865FDA" w:rsidRPr="00865FDA" w:rsidRDefault="00865FDA" w:rsidP="00865FDA">
            <w:pPr>
              <w:rPr>
                <w:color w:val="000000"/>
                <w:sz w:val="18"/>
                <w:szCs w:val="18"/>
                <w:lang w:eastAsia="tr-TR"/>
              </w:rPr>
            </w:pPr>
            <w:r w:rsidRPr="00865FDA">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274C0D2F"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2BA282CA"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14805A80" w14:textId="77777777" w:rsidR="00865FDA" w:rsidRPr="00865FDA" w:rsidRDefault="00865FDA" w:rsidP="00865FDA">
            <w:pPr>
              <w:jc w:val="right"/>
              <w:rPr>
                <w:color w:val="000000"/>
                <w:sz w:val="18"/>
                <w:szCs w:val="18"/>
                <w:lang w:eastAsia="tr-TR"/>
              </w:rPr>
            </w:pPr>
            <w:r w:rsidRPr="00865FDA">
              <w:rPr>
                <w:color w:val="000000"/>
                <w:sz w:val="18"/>
                <w:szCs w:val="18"/>
                <w:lang w:eastAsia="tr-TR"/>
              </w:rPr>
              <w:t>-</w:t>
            </w:r>
          </w:p>
        </w:tc>
      </w:tr>
    </w:tbl>
    <w:p w14:paraId="4F19354E" w14:textId="199B0AB1" w:rsidR="00ED339C" w:rsidRPr="00270CE6" w:rsidRDefault="00ED339C" w:rsidP="00ED339C">
      <w:pPr>
        <w:jc w:val="both"/>
        <w:rPr>
          <w:rFonts w:eastAsia="Arial Unicode MS"/>
          <w:b/>
          <w:sz w:val="16"/>
          <w:szCs w:val="16"/>
          <w:highlight w:val="yellow"/>
        </w:rPr>
      </w:pPr>
    </w:p>
    <w:p w14:paraId="6BF5D628" w14:textId="77777777" w:rsidR="005D12C4" w:rsidRPr="006F44AF" w:rsidRDefault="005D12C4" w:rsidP="00ED339C">
      <w:pPr>
        <w:jc w:val="both"/>
        <w:rPr>
          <w:rFonts w:eastAsia="Arial Unicode MS"/>
          <w:b/>
          <w:sz w:val="16"/>
          <w:szCs w:val="16"/>
        </w:rPr>
      </w:pPr>
    </w:p>
    <w:p w14:paraId="151EC09D" w14:textId="5E18F66B" w:rsidR="00ED339C" w:rsidRPr="006F44AF" w:rsidRDefault="00526564" w:rsidP="00E86BAA">
      <w:pPr>
        <w:autoSpaceDE w:val="0"/>
        <w:autoSpaceDN w:val="0"/>
        <w:adjustRightInd w:val="0"/>
        <w:ind w:hanging="567"/>
        <w:jc w:val="both"/>
        <w:rPr>
          <w:rFonts w:eastAsia="Arial Unicode MS"/>
          <w:b/>
        </w:rPr>
      </w:pPr>
      <w:r w:rsidRPr="006F44AF">
        <w:rPr>
          <w:rFonts w:eastAsia="Arial Unicode MS"/>
          <w:b/>
        </w:rPr>
        <w:t>3</w:t>
      </w:r>
      <w:r w:rsidR="0010698B" w:rsidRPr="006F44AF">
        <w:rPr>
          <w:rFonts w:eastAsia="Arial Unicode MS"/>
          <w:b/>
        </w:rPr>
        <w:t>.3</w:t>
      </w:r>
      <w:r w:rsidR="00ED339C" w:rsidRPr="006F44AF">
        <w:rPr>
          <w:rFonts w:eastAsia="Arial Unicode MS"/>
          <w:b/>
        </w:rPr>
        <w:t xml:space="preserve"> </w:t>
      </w:r>
      <w:r w:rsidR="0003633B" w:rsidRPr="006F44AF">
        <w:rPr>
          <w:rFonts w:eastAsia="Arial Unicode MS"/>
          <w:b/>
        </w:rPr>
        <w:tab/>
      </w:r>
      <w:r w:rsidR="00ED339C" w:rsidRPr="006F44AF">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6F44AF" w:rsidRDefault="00E86BAA" w:rsidP="0003633B">
      <w:pPr>
        <w:autoSpaceDE w:val="0"/>
        <w:autoSpaceDN w:val="0"/>
        <w:adjustRightInd w:val="0"/>
        <w:ind w:hanging="567"/>
        <w:jc w:val="both"/>
        <w:rPr>
          <w:rFonts w:eastAsia="Arial Unicode MS"/>
          <w:b/>
          <w:sz w:val="16"/>
          <w:szCs w:val="16"/>
        </w:rPr>
      </w:pPr>
    </w:p>
    <w:p w14:paraId="61CCF99F" w14:textId="77777777" w:rsidR="00BF79FD" w:rsidRPr="006F44AF" w:rsidRDefault="00796E0F" w:rsidP="00DC2638">
      <w:pPr>
        <w:tabs>
          <w:tab w:val="left" w:pos="709"/>
        </w:tabs>
        <w:autoSpaceDE w:val="0"/>
        <w:autoSpaceDN w:val="0"/>
        <w:adjustRightInd w:val="0"/>
        <w:rPr>
          <w:rFonts w:eastAsia="Arial Unicode MS"/>
        </w:rPr>
      </w:pPr>
      <w:r w:rsidRPr="006F44AF">
        <w:rPr>
          <w:rFonts w:eastAsia="Arial Unicode MS"/>
        </w:rPr>
        <w:t xml:space="preserve">Bulunmamaktadır. </w:t>
      </w:r>
    </w:p>
    <w:p w14:paraId="0F912EE4" w14:textId="197D1FDE" w:rsidR="008B2215" w:rsidRPr="006F44AF" w:rsidRDefault="00C47A3E" w:rsidP="0003633B">
      <w:pPr>
        <w:tabs>
          <w:tab w:val="left" w:pos="709"/>
        </w:tabs>
        <w:autoSpaceDE w:val="0"/>
        <w:autoSpaceDN w:val="0"/>
        <w:adjustRightInd w:val="0"/>
        <w:ind w:hanging="567"/>
        <w:rPr>
          <w:rFonts w:eastAsia="Arial Unicode MS"/>
          <w:b/>
        </w:rPr>
      </w:pPr>
      <w:r w:rsidRPr="00270CE6">
        <w:rPr>
          <w:rFonts w:eastAsia="Arial Unicode MS"/>
          <w:b/>
          <w:highlight w:val="yellow"/>
        </w:rPr>
        <w:br w:type="page"/>
      </w:r>
      <w:r w:rsidR="00526564" w:rsidRPr="006F44AF">
        <w:rPr>
          <w:rFonts w:eastAsia="Arial Unicode MS"/>
          <w:b/>
        </w:rPr>
        <w:lastRenderedPageBreak/>
        <w:t>4</w:t>
      </w:r>
      <w:r w:rsidR="0067330F" w:rsidRPr="006F44AF">
        <w:rPr>
          <w:b/>
          <w:color w:val="000000"/>
        </w:rPr>
        <w:t xml:space="preserve">.   </w:t>
      </w:r>
      <w:r w:rsidR="0061429A" w:rsidRPr="006F44AF">
        <w:rPr>
          <w:b/>
          <w:color w:val="000000"/>
        </w:rPr>
        <w:t xml:space="preserve">  </w:t>
      </w:r>
      <w:r w:rsidR="0003633B" w:rsidRPr="006F44AF">
        <w:rPr>
          <w:b/>
          <w:color w:val="000000"/>
        </w:rPr>
        <w:tab/>
      </w:r>
      <w:r w:rsidR="0067330F" w:rsidRPr="006F44AF">
        <w:rPr>
          <w:b/>
          <w:color w:val="000000"/>
        </w:rPr>
        <w:t>Likidite riski yönetimi</w:t>
      </w:r>
      <w:r w:rsidR="00D91FD2" w:rsidRPr="006F44AF">
        <w:rPr>
          <w:b/>
          <w:color w:val="000000"/>
        </w:rPr>
        <w:t>ne</w:t>
      </w:r>
      <w:r w:rsidR="0067330F" w:rsidRPr="006F44AF">
        <w:rPr>
          <w:b/>
          <w:color w:val="000000"/>
        </w:rPr>
        <w:t xml:space="preserve"> ve likidite karşılama oranına ilişkin açıklamalar</w:t>
      </w:r>
    </w:p>
    <w:p w14:paraId="4FC0AA68" w14:textId="77777777" w:rsidR="005A1EDE" w:rsidRPr="006F44AF" w:rsidRDefault="005A1EDE" w:rsidP="00134A72">
      <w:pPr>
        <w:autoSpaceDE w:val="0"/>
        <w:autoSpaceDN w:val="0"/>
        <w:adjustRightInd w:val="0"/>
        <w:ind w:left="-540"/>
        <w:rPr>
          <w:rFonts w:eastAsia="Arial Unicode MS"/>
          <w:sz w:val="16"/>
          <w:szCs w:val="16"/>
        </w:rPr>
      </w:pPr>
    </w:p>
    <w:p w14:paraId="6A35DFFE" w14:textId="77777777" w:rsidR="001D28A0" w:rsidRPr="006F44AF" w:rsidRDefault="001D28A0" w:rsidP="001D28A0">
      <w:pPr>
        <w:jc w:val="both"/>
        <w:rPr>
          <w:rFonts w:eastAsia="Arial Unicode MS"/>
          <w:spacing w:val="-6"/>
        </w:rPr>
      </w:pPr>
      <w:r w:rsidRPr="006F44AF">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2FDF13A0" w14:textId="77777777" w:rsidR="001D28A0" w:rsidRPr="006F44AF" w:rsidRDefault="001D28A0" w:rsidP="001D28A0">
      <w:pPr>
        <w:jc w:val="both"/>
        <w:rPr>
          <w:rFonts w:eastAsia="Arial Unicode MS"/>
        </w:rPr>
      </w:pPr>
      <w:r w:rsidRPr="006F44AF">
        <w:rPr>
          <w:rFonts w:eastAsia="Arial Unicode MS"/>
          <w:sz w:val="16"/>
          <w:szCs w:val="16"/>
        </w:rPr>
        <w:br/>
      </w:r>
      <w:r w:rsidRPr="006F44AF">
        <w:rPr>
          <w:rFonts w:eastAsia="Arial Unicode MS"/>
        </w:rPr>
        <w:t>Fonlama likiditesi riski: Herhangi bir beklenmedik kayba maruz kalmadan ve temerrüde düşmeden borçlarını ve yükümlülüklerini karşılayamama riskidir.</w:t>
      </w:r>
    </w:p>
    <w:p w14:paraId="1C00C0BC" w14:textId="77777777" w:rsidR="001D28A0" w:rsidRPr="006F44AF" w:rsidRDefault="001D28A0" w:rsidP="001D28A0">
      <w:pPr>
        <w:jc w:val="both"/>
        <w:rPr>
          <w:rFonts w:eastAsia="Arial Unicode MS"/>
          <w:spacing w:val="-6"/>
        </w:rPr>
      </w:pPr>
      <w:r w:rsidRPr="006F44AF">
        <w:rPr>
          <w:rFonts w:eastAsia="Arial Unicode MS"/>
          <w:sz w:val="16"/>
          <w:szCs w:val="16"/>
        </w:rPr>
        <w:br/>
      </w:r>
      <w:r w:rsidRPr="006F44AF">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63EEBD71" w14:textId="77777777" w:rsidR="001D28A0" w:rsidRPr="006F44AF" w:rsidRDefault="001D28A0" w:rsidP="001D28A0">
      <w:pPr>
        <w:jc w:val="both"/>
        <w:rPr>
          <w:rFonts w:eastAsia="Arial Unicode MS"/>
          <w:spacing w:val="-6"/>
        </w:rPr>
      </w:pPr>
    </w:p>
    <w:p w14:paraId="58E68D63" w14:textId="77777777" w:rsidR="001D28A0" w:rsidRPr="006F44AF" w:rsidRDefault="001D28A0" w:rsidP="001D28A0">
      <w:pPr>
        <w:jc w:val="both"/>
        <w:rPr>
          <w:rFonts w:eastAsia="Arial Unicode MS"/>
          <w:spacing w:val="-6"/>
        </w:rPr>
      </w:pPr>
      <w:bookmarkStart w:id="11" w:name="_Hlk40732946"/>
      <w:r w:rsidRPr="006F44AF">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1FCAFA0A" w14:textId="77777777" w:rsidR="001D28A0" w:rsidRPr="006F44AF" w:rsidRDefault="001D28A0" w:rsidP="001D28A0">
      <w:pPr>
        <w:jc w:val="both"/>
        <w:rPr>
          <w:rFonts w:eastAsia="Arial Unicode MS"/>
          <w:spacing w:val="-6"/>
        </w:rPr>
      </w:pPr>
    </w:p>
    <w:p w14:paraId="48E71AC3" w14:textId="3B1084B6" w:rsidR="001D28A0" w:rsidRPr="006F44AF" w:rsidRDefault="001D28A0" w:rsidP="001D28A0">
      <w:pPr>
        <w:jc w:val="both"/>
        <w:rPr>
          <w:rFonts w:eastAsia="Arial Unicode MS"/>
          <w:spacing w:val="-6"/>
        </w:rPr>
      </w:pPr>
      <w:r w:rsidRPr="006F44AF">
        <w:rPr>
          <w:rFonts w:eastAsia="Arial Unicode MS"/>
          <w:spacing w:val="-6"/>
        </w:rPr>
        <w:t xml:space="preserve">Bankanın likidite riskine ilişkin </w:t>
      </w:r>
      <w:proofErr w:type="spellStart"/>
      <w:r w:rsidRPr="006F44AF">
        <w:rPr>
          <w:rFonts w:eastAsia="Arial Unicode MS"/>
          <w:spacing w:val="-6"/>
        </w:rPr>
        <w:t>rasyoları</w:t>
      </w:r>
      <w:proofErr w:type="spellEnd"/>
      <w:r w:rsidRPr="006F44AF">
        <w:rPr>
          <w:rFonts w:eastAsia="Arial Unicode MS"/>
          <w:spacing w:val="-6"/>
        </w:rPr>
        <w:t xml:space="preserve">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11"/>
      <w:r w:rsidR="00BF48C0">
        <w:rPr>
          <w:rFonts w:eastAsia="Arial Unicode MS"/>
          <w:spacing w:val="-6"/>
        </w:rPr>
        <w:t>değerlendirilmiştir.</w:t>
      </w:r>
    </w:p>
    <w:p w14:paraId="5C50F23B" w14:textId="77777777" w:rsidR="0079371B" w:rsidRPr="006F44AF" w:rsidRDefault="0079371B" w:rsidP="0079371B">
      <w:pPr>
        <w:jc w:val="both"/>
        <w:rPr>
          <w:rFonts w:eastAsia="Arial Unicode MS"/>
          <w:sz w:val="16"/>
          <w:szCs w:val="16"/>
        </w:rPr>
      </w:pPr>
    </w:p>
    <w:p w14:paraId="2869A29E" w14:textId="4EDA976D" w:rsidR="0079371B" w:rsidRPr="006F44AF" w:rsidRDefault="00526564" w:rsidP="0003633B">
      <w:pPr>
        <w:ind w:hanging="567"/>
        <w:jc w:val="both"/>
        <w:rPr>
          <w:rFonts w:eastAsia="Arial Unicode MS"/>
          <w:b/>
          <w:color w:val="000000"/>
        </w:rPr>
      </w:pPr>
      <w:r w:rsidRPr="006F44AF">
        <w:rPr>
          <w:rFonts w:eastAsia="Arial Unicode MS"/>
          <w:b/>
          <w:color w:val="000000"/>
        </w:rPr>
        <w:t>4</w:t>
      </w:r>
      <w:r w:rsidR="0010698B" w:rsidRPr="006F44AF">
        <w:rPr>
          <w:rFonts w:eastAsia="Arial Unicode MS"/>
          <w:b/>
          <w:color w:val="000000"/>
        </w:rPr>
        <w:t>.1</w:t>
      </w:r>
      <w:r w:rsidR="0079371B" w:rsidRPr="006F44AF">
        <w:rPr>
          <w:rFonts w:eastAsia="Arial Unicode MS"/>
          <w:b/>
          <w:color w:val="000000"/>
        </w:rPr>
        <w:t xml:space="preserve"> </w:t>
      </w:r>
      <w:r w:rsidR="0010698B" w:rsidRPr="006F44AF">
        <w:rPr>
          <w:rFonts w:eastAsia="Arial Unicode MS"/>
          <w:b/>
          <w:color w:val="000000"/>
        </w:rPr>
        <w:t xml:space="preserve"> </w:t>
      </w:r>
      <w:r w:rsidR="0003633B" w:rsidRPr="006F44AF">
        <w:rPr>
          <w:rFonts w:eastAsia="Arial Unicode MS"/>
          <w:b/>
          <w:color w:val="000000"/>
        </w:rPr>
        <w:t xml:space="preserve"> </w:t>
      </w:r>
      <w:r w:rsidR="0003633B" w:rsidRPr="006F44AF">
        <w:rPr>
          <w:rFonts w:eastAsia="Arial Unicode MS"/>
          <w:b/>
          <w:color w:val="000000"/>
        </w:rPr>
        <w:tab/>
      </w:r>
      <w:r w:rsidR="00E33AB7" w:rsidRPr="006F44AF">
        <w:rPr>
          <w:rFonts w:eastAsia="Arial Unicode MS"/>
          <w:b/>
          <w:color w:val="000000"/>
        </w:rPr>
        <w:t>Banka’nın</w:t>
      </w:r>
      <w:r w:rsidR="0079371B" w:rsidRPr="006F44AF">
        <w:rPr>
          <w:rFonts w:eastAsia="Arial Unicode MS"/>
          <w:b/>
          <w:color w:val="000000"/>
        </w:rPr>
        <w:t xml:space="preserve">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790516D" w14:textId="77777777" w:rsidR="0067330F" w:rsidRPr="006F44AF" w:rsidRDefault="0067330F" w:rsidP="001B64F0">
      <w:pPr>
        <w:ind w:firstLine="720"/>
        <w:jc w:val="both"/>
        <w:rPr>
          <w:rFonts w:eastAsia="Arial Unicode MS"/>
          <w:sz w:val="16"/>
          <w:szCs w:val="16"/>
        </w:rPr>
      </w:pPr>
    </w:p>
    <w:p w14:paraId="1E507529" w14:textId="77777777" w:rsidR="001D28A0" w:rsidRPr="006F44AF" w:rsidRDefault="001D28A0" w:rsidP="001D28A0">
      <w:pPr>
        <w:jc w:val="both"/>
        <w:rPr>
          <w:rFonts w:eastAsia="Arial Unicode MS"/>
        </w:rPr>
      </w:pPr>
      <w:r w:rsidRPr="006F44AF">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0FAB5E2B" w14:textId="77777777" w:rsidR="001D28A0" w:rsidRPr="006F44AF" w:rsidRDefault="001D28A0" w:rsidP="001D28A0">
      <w:pPr>
        <w:jc w:val="both"/>
        <w:rPr>
          <w:rFonts w:eastAsia="Arial Unicode MS"/>
        </w:rPr>
      </w:pPr>
      <w:r w:rsidRPr="006F44AF">
        <w:rPr>
          <w:rFonts w:eastAsia="Arial Unicode MS"/>
          <w:sz w:val="16"/>
          <w:szCs w:val="16"/>
        </w:rPr>
        <w:br/>
      </w:r>
      <w:r w:rsidRPr="006F44AF">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3C485AE8" w14:textId="77777777" w:rsidR="001D28A0" w:rsidRPr="006F44AF" w:rsidRDefault="001D28A0" w:rsidP="001D28A0">
      <w:pPr>
        <w:jc w:val="both"/>
        <w:rPr>
          <w:rFonts w:eastAsia="Arial Unicode MS"/>
          <w:sz w:val="16"/>
          <w:szCs w:val="16"/>
        </w:rPr>
      </w:pPr>
    </w:p>
    <w:p w14:paraId="3ED45477" w14:textId="77777777" w:rsidR="001D28A0" w:rsidRPr="006F44AF" w:rsidRDefault="001D28A0" w:rsidP="001D28A0">
      <w:pPr>
        <w:jc w:val="both"/>
        <w:rPr>
          <w:rFonts w:eastAsia="Arial Unicode MS"/>
          <w:spacing w:val="-6"/>
        </w:rPr>
      </w:pPr>
      <w:r w:rsidRPr="006F44AF">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2B93F6E" w14:textId="77777777" w:rsidR="001D28A0" w:rsidRPr="006F44AF" w:rsidRDefault="001D28A0" w:rsidP="001D28A0">
      <w:pPr>
        <w:jc w:val="both"/>
        <w:rPr>
          <w:rFonts w:eastAsia="Arial Unicode MS"/>
          <w:sz w:val="16"/>
          <w:szCs w:val="16"/>
        </w:rPr>
      </w:pPr>
    </w:p>
    <w:p w14:paraId="47C355DF" w14:textId="77777777" w:rsidR="001D28A0" w:rsidRPr="006F44AF" w:rsidRDefault="001D28A0" w:rsidP="001D28A0">
      <w:pPr>
        <w:jc w:val="both"/>
        <w:rPr>
          <w:rFonts w:eastAsia="Arial Unicode MS"/>
        </w:rPr>
      </w:pPr>
      <w:r w:rsidRPr="006F44AF">
        <w:rPr>
          <w:rFonts w:eastAsia="Arial Unicode MS"/>
        </w:rPr>
        <w:t xml:space="preserve">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w:t>
      </w:r>
    </w:p>
    <w:p w14:paraId="2BC2300B" w14:textId="73F7344A" w:rsidR="001D28A0" w:rsidRPr="006F44AF" w:rsidRDefault="001D28A0" w:rsidP="001D28A0">
      <w:pPr>
        <w:jc w:val="both"/>
        <w:rPr>
          <w:rFonts w:eastAsia="Arial Unicode MS"/>
        </w:rPr>
      </w:pPr>
      <w:r w:rsidRPr="006F44AF">
        <w:rPr>
          <w:rFonts w:eastAsia="Arial Unicode MS"/>
        </w:rPr>
        <w:t>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6D9DFF34" w14:textId="615465B3" w:rsidR="001D28A0" w:rsidRPr="00270CE6" w:rsidRDefault="001D28A0" w:rsidP="001D28A0">
      <w:pPr>
        <w:jc w:val="both"/>
        <w:rPr>
          <w:rFonts w:eastAsia="Arial Unicode MS"/>
          <w:highlight w:val="yellow"/>
        </w:rPr>
      </w:pPr>
    </w:p>
    <w:p w14:paraId="7DCE6EF2" w14:textId="738341D5" w:rsidR="001D28A0" w:rsidRPr="00270CE6" w:rsidRDefault="001D28A0" w:rsidP="001D28A0">
      <w:pPr>
        <w:jc w:val="both"/>
        <w:rPr>
          <w:rFonts w:eastAsia="Arial Unicode MS"/>
          <w:highlight w:val="yellow"/>
        </w:rPr>
      </w:pPr>
    </w:p>
    <w:p w14:paraId="0D817567" w14:textId="3A81AEFC" w:rsidR="001D28A0" w:rsidRPr="00270CE6" w:rsidRDefault="001D28A0" w:rsidP="001D28A0">
      <w:pPr>
        <w:jc w:val="both"/>
        <w:rPr>
          <w:rFonts w:eastAsia="Arial Unicode MS"/>
          <w:highlight w:val="yellow"/>
        </w:rPr>
      </w:pPr>
    </w:p>
    <w:p w14:paraId="1C22C6BA" w14:textId="184953E8" w:rsidR="00FC1F5B" w:rsidRDefault="00FC1F5B">
      <w:pPr>
        <w:rPr>
          <w:rFonts w:eastAsia="Arial Unicode MS"/>
          <w:highlight w:val="yellow"/>
        </w:rPr>
      </w:pPr>
      <w:r>
        <w:rPr>
          <w:rFonts w:eastAsia="Arial Unicode MS"/>
          <w:highlight w:val="yellow"/>
        </w:rPr>
        <w:br w:type="page"/>
      </w:r>
    </w:p>
    <w:p w14:paraId="31B3EC3A" w14:textId="3187BFF4" w:rsidR="0079371B" w:rsidRPr="006F44AF" w:rsidRDefault="00526564" w:rsidP="0003633B">
      <w:pPr>
        <w:ind w:hanging="567"/>
        <w:jc w:val="both"/>
        <w:rPr>
          <w:rFonts w:eastAsia="Arial Unicode MS"/>
          <w:b/>
          <w:spacing w:val="-6"/>
        </w:rPr>
      </w:pPr>
      <w:r w:rsidRPr="006F44AF">
        <w:rPr>
          <w:rFonts w:eastAsia="Arial Unicode MS"/>
          <w:b/>
          <w:spacing w:val="-6"/>
        </w:rPr>
        <w:lastRenderedPageBreak/>
        <w:t>4</w:t>
      </w:r>
      <w:r w:rsidR="0010698B" w:rsidRPr="006F44AF">
        <w:rPr>
          <w:rFonts w:eastAsia="Arial Unicode MS"/>
          <w:b/>
          <w:spacing w:val="-6"/>
        </w:rPr>
        <w:t xml:space="preserve">.2 </w:t>
      </w:r>
      <w:r w:rsidR="0003633B" w:rsidRPr="006F44AF">
        <w:rPr>
          <w:rFonts w:eastAsia="Arial Unicode MS"/>
          <w:b/>
          <w:spacing w:val="-6"/>
        </w:rPr>
        <w:t xml:space="preserve">  </w:t>
      </w:r>
      <w:r w:rsidR="001B64F0" w:rsidRPr="006F44AF">
        <w:rPr>
          <w:rFonts w:eastAsia="Arial Unicode MS"/>
          <w:b/>
          <w:spacing w:val="-6"/>
        </w:rPr>
        <w:tab/>
      </w:r>
      <w:r w:rsidR="0079371B" w:rsidRPr="006F44AF">
        <w:rPr>
          <w:rFonts w:eastAsia="Arial Unicode MS"/>
          <w:b/>
          <w:spacing w:val="-6"/>
        </w:rPr>
        <w:t xml:space="preserve">Likidite yönetiminin ve fonlama stratejisinin merkezileşme derecesi ile banka ve </w:t>
      </w:r>
      <w:r w:rsidR="00E33AB7" w:rsidRPr="006F44AF">
        <w:rPr>
          <w:rFonts w:eastAsia="Arial Unicode MS"/>
          <w:b/>
          <w:spacing w:val="-6"/>
        </w:rPr>
        <w:t>Banka’nın</w:t>
      </w:r>
      <w:r w:rsidR="0079371B" w:rsidRPr="006F44AF">
        <w:rPr>
          <w:rFonts w:eastAsia="Arial Unicode MS"/>
          <w:b/>
          <w:spacing w:val="-6"/>
        </w:rPr>
        <w:t xml:space="preserve"> ortaklıkları arasındaki işleyişi hakkında bilgiler:</w:t>
      </w:r>
    </w:p>
    <w:p w14:paraId="5E7A4A48" w14:textId="77777777" w:rsidR="0079371B" w:rsidRPr="006F44AF" w:rsidRDefault="0079371B" w:rsidP="0079371B">
      <w:pPr>
        <w:jc w:val="both"/>
        <w:rPr>
          <w:rFonts w:eastAsia="Arial Unicode MS"/>
          <w:sz w:val="16"/>
          <w:szCs w:val="16"/>
        </w:rPr>
      </w:pPr>
    </w:p>
    <w:p w14:paraId="14808480" w14:textId="77777777" w:rsidR="0079371B" w:rsidRPr="006F44AF" w:rsidRDefault="0079371B" w:rsidP="0079371B">
      <w:pPr>
        <w:jc w:val="both"/>
        <w:rPr>
          <w:rFonts w:eastAsia="Arial Unicode MS"/>
        </w:rPr>
      </w:pPr>
      <w:r w:rsidRPr="006F44AF">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2167DBE6" w14:textId="77777777" w:rsidR="0079371B" w:rsidRPr="006F44AF" w:rsidRDefault="0079371B" w:rsidP="0079371B">
      <w:pPr>
        <w:jc w:val="both"/>
        <w:rPr>
          <w:rFonts w:eastAsia="Arial Unicode MS"/>
          <w:spacing w:val="-6"/>
          <w:sz w:val="16"/>
          <w:szCs w:val="16"/>
        </w:rPr>
      </w:pPr>
    </w:p>
    <w:p w14:paraId="286BBF47" w14:textId="6EA8D661" w:rsidR="0079371B" w:rsidRPr="006F44AF" w:rsidRDefault="00526564" w:rsidP="0003633B">
      <w:pPr>
        <w:ind w:hanging="567"/>
        <w:jc w:val="both"/>
        <w:rPr>
          <w:rFonts w:eastAsia="Arial Unicode MS"/>
          <w:b/>
          <w:spacing w:val="-6"/>
        </w:rPr>
      </w:pPr>
      <w:r w:rsidRPr="006F44AF">
        <w:rPr>
          <w:rFonts w:eastAsia="Arial Unicode MS"/>
          <w:b/>
          <w:spacing w:val="-6"/>
        </w:rPr>
        <w:t>4</w:t>
      </w:r>
      <w:r w:rsidR="0010698B" w:rsidRPr="006F44AF">
        <w:rPr>
          <w:rFonts w:eastAsia="Arial Unicode MS"/>
          <w:b/>
          <w:spacing w:val="-6"/>
        </w:rPr>
        <w:t>.3</w:t>
      </w:r>
      <w:r w:rsidR="0079371B" w:rsidRPr="006F44AF">
        <w:rPr>
          <w:rFonts w:eastAsia="Arial Unicode MS"/>
          <w:b/>
          <w:spacing w:val="-6"/>
        </w:rPr>
        <w:t xml:space="preserve"> </w:t>
      </w:r>
      <w:r w:rsidR="0010698B" w:rsidRPr="006F44AF">
        <w:rPr>
          <w:rFonts w:eastAsia="Arial Unicode MS"/>
          <w:b/>
          <w:spacing w:val="-6"/>
        </w:rPr>
        <w:t xml:space="preserve"> </w:t>
      </w:r>
      <w:r w:rsidR="006D0ADC" w:rsidRPr="006F44AF">
        <w:rPr>
          <w:rFonts w:eastAsia="Arial Unicode MS"/>
          <w:b/>
          <w:spacing w:val="-6"/>
        </w:rPr>
        <w:t xml:space="preserve">   </w:t>
      </w:r>
      <w:r w:rsidR="006D0ADC" w:rsidRPr="006F44AF">
        <w:rPr>
          <w:rFonts w:eastAsia="Arial Unicode MS"/>
          <w:b/>
          <w:spacing w:val="-6"/>
        </w:rPr>
        <w:tab/>
      </w:r>
      <w:r w:rsidR="0079371B" w:rsidRPr="006F44AF">
        <w:rPr>
          <w:rFonts w:eastAsia="Arial Unicode MS"/>
          <w:b/>
          <w:spacing w:val="-6"/>
        </w:rPr>
        <w:t xml:space="preserve">Fon kaynaklarının ve sürelerinin çeşitliliğine ilişkin politikalar dahil olmak üzere </w:t>
      </w:r>
      <w:r w:rsidR="00E33AB7" w:rsidRPr="006F44AF">
        <w:rPr>
          <w:rFonts w:eastAsia="Arial Unicode MS"/>
          <w:b/>
          <w:spacing w:val="-6"/>
        </w:rPr>
        <w:t>Banka’nın</w:t>
      </w:r>
      <w:r w:rsidR="0079371B" w:rsidRPr="006F44AF">
        <w:rPr>
          <w:rFonts w:eastAsia="Arial Unicode MS"/>
          <w:b/>
          <w:spacing w:val="-6"/>
        </w:rPr>
        <w:t xml:space="preserve"> fonlama stratejisine ilişkin bilgi:</w:t>
      </w:r>
    </w:p>
    <w:p w14:paraId="4895CD86" w14:textId="77777777" w:rsidR="0079371B" w:rsidRPr="006F44AF" w:rsidRDefault="0079371B" w:rsidP="0079371B">
      <w:pPr>
        <w:jc w:val="both"/>
        <w:rPr>
          <w:rFonts w:eastAsia="Arial Unicode MS"/>
          <w:sz w:val="16"/>
          <w:szCs w:val="16"/>
        </w:rPr>
      </w:pPr>
    </w:p>
    <w:p w14:paraId="65140BF3" w14:textId="476523A0" w:rsidR="0079371B" w:rsidRPr="006F44AF" w:rsidRDefault="0079371B" w:rsidP="0079371B">
      <w:pPr>
        <w:jc w:val="both"/>
        <w:rPr>
          <w:rFonts w:eastAsia="Arial Unicode MS"/>
          <w:spacing w:val="-6"/>
        </w:rPr>
      </w:pPr>
      <w:r w:rsidRPr="006F44AF">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0E149828" w14:textId="471DE0A4" w:rsidR="001D28A0" w:rsidRPr="006F44AF" w:rsidRDefault="001D28A0" w:rsidP="0079371B">
      <w:pPr>
        <w:jc w:val="both"/>
        <w:rPr>
          <w:rFonts w:eastAsia="Arial Unicode MS"/>
        </w:rPr>
      </w:pPr>
    </w:p>
    <w:p w14:paraId="4D1B4B0F" w14:textId="3A3C8BAB" w:rsidR="0079371B" w:rsidRPr="006F44AF" w:rsidRDefault="00526564" w:rsidP="006D0ADC">
      <w:pPr>
        <w:ind w:hanging="567"/>
        <w:jc w:val="both"/>
        <w:rPr>
          <w:rFonts w:eastAsia="Arial Unicode MS"/>
          <w:b/>
        </w:rPr>
      </w:pPr>
      <w:r w:rsidRPr="006F44AF">
        <w:rPr>
          <w:rFonts w:eastAsia="Arial Unicode MS"/>
          <w:b/>
        </w:rPr>
        <w:t>4</w:t>
      </w:r>
      <w:r w:rsidR="0010698B" w:rsidRPr="006F44AF">
        <w:rPr>
          <w:rFonts w:eastAsia="Arial Unicode MS"/>
          <w:b/>
        </w:rPr>
        <w:t>.4</w:t>
      </w:r>
      <w:r w:rsidR="0079371B" w:rsidRPr="006F44AF">
        <w:rPr>
          <w:rFonts w:eastAsia="Arial Unicode MS"/>
          <w:b/>
        </w:rPr>
        <w:t xml:space="preserve"> </w:t>
      </w:r>
      <w:r w:rsidR="0010698B" w:rsidRPr="006F44AF">
        <w:rPr>
          <w:rFonts w:eastAsia="Arial Unicode MS"/>
          <w:b/>
        </w:rPr>
        <w:t xml:space="preserve">  </w:t>
      </w:r>
      <w:r w:rsidR="006D0ADC" w:rsidRPr="006F44AF">
        <w:rPr>
          <w:rFonts w:eastAsia="Arial Unicode MS"/>
          <w:b/>
        </w:rPr>
        <w:t xml:space="preserve">  </w:t>
      </w:r>
      <w:r w:rsidR="00E33AB7" w:rsidRPr="006F44AF">
        <w:rPr>
          <w:rFonts w:eastAsia="Arial Unicode MS"/>
          <w:b/>
        </w:rPr>
        <w:t>Banka’nın</w:t>
      </w:r>
      <w:r w:rsidR="0079371B" w:rsidRPr="006F44AF">
        <w:rPr>
          <w:rFonts w:eastAsia="Arial Unicode MS"/>
          <w:b/>
        </w:rPr>
        <w:t xml:space="preserve"> toplam yükümlülüklerinin asgari yüzde beşini oluşturan para birimleri bazında likidite </w:t>
      </w:r>
      <w:proofErr w:type="gramStart"/>
      <w:r w:rsidR="0079371B" w:rsidRPr="006F44AF">
        <w:rPr>
          <w:rFonts w:eastAsia="Arial Unicode MS"/>
          <w:b/>
        </w:rPr>
        <w:t xml:space="preserve">yönetimine </w:t>
      </w:r>
      <w:r w:rsidR="0010698B" w:rsidRPr="006F44AF">
        <w:rPr>
          <w:rFonts w:eastAsia="Arial Unicode MS"/>
          <w:b/>
        </w:rPr>
        <w:t xml:space="preserve"> </w:t>
      </w:r>
      <w:r w:rsidR="0079371B" w:rsidRPr="006F44AF">
        <w:rPr>
          <w:rFonts w:eastAsia="Arial Unicode MS"/>
          <w:b/>
        </w:rPr>
        <w:t>ilişkin</w:t>
      </w:r>
      <w:proofErr w:type="gramEnd"/>
      <w:r w:rsidR="0079371B" w:rsidRPr="006F44AF">
        <w:rPr>
          <w:rFonts w:eastAsia="Arial Unicode MS"/>
          <w:b/>
        </w:rPr>
        <w:t xml:space="preserve"> bilgi:</w:t>
      </w:r>
    </w:p>
    <w:p w14:paraId="2B1B59DD" w14:textId="77777777" w:rsidR="0079371B" w:rsidRPr="006F44AF" w:rsidRDefault="0079371B" w:rsidP="0079371B">
      <w:pPr>
        <w:jc w:val="both"/>
        <w:rPr>
          <w:rFonts w:eastAsia="Arial Unicode MS"/>
          <w:sz w:val="16"/>
          <w:szCs w:val="16"/>
        </w:rPr>
      </w:pPr>
    </w:p>
    <w:p w14:paraId="53533DD7" w14:textId="77777777" w:rsidR="0079371B" w:rsidRPr="006F44AF" w:rsidRDefault="0079371B" w:rsidP="0079371B">
      <w:pPr>
        <w:jc w:val="both"/>
        <w:rPr>
          <w:rFonts w:eastAsia="Arial Unicode MS"/>
        </w:rPr>
      </w:pPr>
      <w:r w:rsidRPr="006F44AF">
        <w:rPr>
          <w:rFonts w:eastAsia="Arial Unicode MS"/>
        </w:rPr>
        <w:t xml:space="preserve">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6F44AF">
        <w:rPr>
          <w:rFonts w:eastAsia="Arial Unicode MS"/>
        </w:rPr>
        <w:t>sukuklar</w:t>
      </w:r>
      <w:proofErr w:type="spellEnd"/>
      <w:r w:rsidRPr="006F44AF">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3B7830AE" w14:textId="77777777" w:rsidR="0079371B" w:rsidRPr="006F44AF" w:rsidRDefault="0079371B" w:rsidP="0079371B">
      <w:pPr>
        <w:jc w:val="both"/>
        <w:rPr>
          <w:rFonts w:eastAsia="Arial Unicode MS"/>
          <w:sz w:val="16"/>
          <w:szCs w:val="16"/>
        </w:rPr>
      </w:pPr>
    </w:p>
    <w:p w14:paraId="0CF0594F" w14:textId="4C8986B9" w:rsidR="0079371B" w:rsidRPr="006F44AF" w:rsidRDefault="00526564" w:rsidP="006D0ADC">
      <w:pPr>
        <w:ind w:hanging="567"/>
        <w:jc w:val="both"/>
        <w:rPr>
          <w:rFonts w:eastAsia="Arial Unicode MS"/>
          <w:b/>
        </w:rPr>
      </w:pPr>
      <w:r w:rsidRPr="006F44AF">
        <w:rPr>
          <w:rFonts w:eastAsia="Arial Unicode MS"/>
          <w:b/>
        </w:rPr>
        <w:t>4</w:t>
      </w:r>
      <w:r w:rsidR="0010698B" w:rsidRPr="006F44AF">
        <w:rPr>
          <w:rFonts w:eastAsia="Arial Unicode MS"/>
          <w:b/>
        </w:rPr>
        <w:t>.5</w:t>
      </w:r>
      <w:r w:rsidR="0079371B" w:rsidRPr="006F44AF">
        <w:rPr>
          <w:rFonts w:eastAsia="Arial Unicode MS"/>
          <w:b/>
        </w:rPr>
        <w:t xml:space="preserve"> </w:t>
      </w:r>
      <w:r w:rsidR="0010698B" w:rsidRPr="006F44AF">
        <w:rPr>
          <w:rFonts w:eastAsia="Arial Unicode MS"/>
          <w:b/>
        </w:rPr>
        <w:t xml:space="preserve">  </w:t>
      </w:r>
      <w:r w:rsidR="006D0ADC" w:rsidRPr="006F44AF">
        <w:rPr>
          <w:rFonts w:eastAsia="Arial Unicode MS"/>
          <w:b/>
        </w:rPr>
        <w:t xml:space="preserve">   </w:t>
      </w:r>
      <w:r w:rsidR="0079371B" w:rsidRPr="006F44AF">
        <w:rPr>
          <w:rFonts w:eastAsia="Arial Unicode MS"/>
          <w:b/>
        </w:rPr>
        <w:t xml:space="preserve">Kullanılan likidite riski </w:t>
      </w:r>
      <w:proofErr w:type="spellStart"/>
      <w:r w:rsidR="0079371B" w:rsidRPr="006F44AF">
        <w:rPr>
          <w:rFonts w:eastAsia="Arial Unicode MS"/>
          <w:b/>
        </w:rPr>
        <w:t>azaltım</w:t>
      </w:r>
      <w:proofErr w:type="spellEnd"/>
      <w:r w:rsidR="0079371B" w:rsidRPr="006F44AF">
        <w:rPr>
          <w:rFonts w:eastAsia="Arial Unicode MS"/>
          <w:b/>
        </w:rPr>
        <w:t xml:space="preserve"> tekniklerine ilişkin bilgi:</w:t>
      </w:r>
    </w:p>
    <w:p w14:paraId="7B9ED3DC" w14:textId="77777777" w:rsidR="0079371B" w:rsidRPr="006F44AF" w:rsidRDefault="0079371B" w:rsidP="0079371B">
      <w:pPr>
        <w:jc w:val="both"/>
        <w:rPr>
          <w:rFonts w:eastAsia="Arial Unicode MS"/>
          <w:sz w:val="16"/>
          <w:szCs w:val="16"/>
        </w:rPr>
      </w:pPr>
    </w:p>
    <w:p w14:paraId="1732868D" w14:textId="77777777" w:rsidR="0079371B" w:rsidRPr="006F44AF" w:rsidRDefault="0079371B" w:rsidP="0079371B">
      <w:pPr>
        <w:jc w:val="both"/>
        <w:rPr>
          <w:rFonts w:eastAsia="Arial Unicode MS"/>
        </w:rPr>
      </w:pPr>
      <w:r w:rsidRPr="006F44AF">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6F44AF">
        <w:rPr>
          <w:rFonts w:eastAsia="Arial Unicode MS"/>
        </w:rPr>
        <w:t>azaltım</w:t>
      </w:r>
      <w:proofErr w:type="spellEnd"/>
      <w:r w:rsidRPr="006F44AF">
        <w:rPr>
          <w:rFonts w:eastAsia="Arial Unicode MS"/>
        </w:rPr>
        <w:t xml:space="preserve"> teknikleri yürütülmektedir. Ayrıca çekirdek mevduat analizi yapılmakta ve toplanan fonlardaki yoğunlaşma yakından takip edilmektedir. </w:t>
      </w:r>
    </w:p>
    <w:p w14:paraId="08608ACB" w14:textId="77777777" w:rsidR="0079371B" w:rsidRPr="006F44AF" w:rsidRDefault="0079371B" w:rsidP="0079371B">
      <w:pPr>
        <w:jc w:val="both"/>
        <w:rPr>
          <w:rFonts w:eastAsia="Arial Unicode MS"/>
          <w:sz w:val="16"/>
          <w:szCs w:val="16"/>
        </w:rPr>
      </w:pPr>
    </w:p>
    <w:p w14:paraId="7AB950BB" w14:textId="1A4986BB" w:rsidR="0079371B" w:rsidRPr="006F44AF" w:rsidRDefault="00526564" w:rsidP="006D0ADC">
      <w:pPr>
        <w:ind w:hanging="567"/>
        <w:jc w:val="both"/>
        <w:rPr>
          <w:rFonts w:eastAsia="Arial Unicode MS"/>
          <w:b/>
        </w:rPr>
      </w:pPr>
      <w:r w:rsidRPr="006F44AF">
        <w:rPr>
          <w:rFonts w:eastAsia="Arial Unicode MS"/>
          <w:b/>
        </w:rPr>
        <w:t>4</w:t>
      </w:r>
      <w:r w:rsidR="0010698B" w:rsidRPr="006F44AF">
        <w:rPr>
          <w:rFonts w:eastAsia="Arial Unicode MS"/>
          <w:b/>
        </w:rPr>
        <w:t>.6</w:t>
      </w:r>
      <w:r w:rsidR="0079371B" w:rsidRPr="006F44AF">
        <w:rPr>
          <w:rFonts w:eastAsia="Arial Unicode MS"/>
          <w:b/>
        </w:rPr>
        <w:t xml:space="preserve"> </w:t>
      </w:r>
      <w:r w:rsidR="0010698B" w:rsidRPr="006F44AF">
        <w:rPr>
          <w:rFonts w:eastAsia="Arial Unicode MS"/>
          <w:b/>
        </w:rPr>
        <w:t xml:space="preserve"> </w:t>
      </w:r>
      <w:r w:rsidR="006D0ADC" w:rsidRPr="006F44AF">
        <w:rPr>
          <w:rFonts w:eastAsia="Arial Unicode MS"/>
          <w:b/>
        </w:rPr>
        <w:t xml:space="preserve">    </w:t>
      </w:r>
      <w:r w:rsidR="0079371B" w:rsidRPr="006F44AF">
        <w:rPr>
          <w:rFonts w:eastAsia="Arial Unicode MS"/>
          <w:b/>
        </w:rPr>
        <w:t>Stres testinin kullanımına ilişkin açıklama:</w:t>
      </w:r>
    </w:p>
    <w:p w14:paraId="325AFE9C" w14:textId="77777777" w:rsidR="0079371B" w:rsidRPr="006F44AF" w:rsidRDefault="0079371B" w:rsidP="0079371B">
      <w:pPr>
        <w:jc w:val="both"/>
        <w:rPr>
          <w:rFonts w:eastAsia="Arial Unicode MS"/>
          <w:sz w:val="16"/>
          <w:szCs w:val="16"/>
        </w:rPr>
      </w:pPr>
    </w:p>
    <w:p w14:paraId="67E67711" w14:textId="77777777" w:rsidR="0079371B" w:rsidRPr="006F44AF" w:rsidRDefault="0079371B" w:rsidP="0079371B">
      <w:pPr>
        <w:jc w:val="both"/>
        <w:rPr>
          <w:rFonts w:eastAsia="Arial Unicode MS"/>
          <w:spacing w:val="-6"/>
        </w:rPr>
      </w:pPr>
      <w:r w:rsidRPr="006F44AF">
        <w:rPr>
          <w:rFonts w:eastAsia="Arial Unicode MS"/>
          <w:spacing w:val="-6"/>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0F72C38F" w14:textId="77777777" w:rsidR="0079371B" w:rsidRPr="006F44AF" w:rsidRDefault="0079371B" w:rsidP="0079371B">
      <w:pPr>
        <w:jc w:val="both"/>
        <w:rPr>
          <w:rFonts w:eastAsia="Arial Unicode MS"/>
          <w:sz w:val="16"/>
          <w:szCs w:val="16"/>
        </w:rPr>
      </w:pPr>
    </w:p>
    <w:p w14:paraId="40C50C82" w14:textId="0716056E" w:rsidR="0079371B" w:rsidRPr="006F44AF" w:rsidRDefault="00526564" w:rsidP="006D0ADC">
      <w:pPr>
        <w:ind w:hanging="567"/>
        <w:jc w:val="both"/>
        <w:rPr>
          <w:rFonts w:eastAsia="Arial Unicode MS"/>
          <w:b/>
        </w:rPr>
      </w:pPr>
      <w:r w:rsidRPr="006F44AF">
        <w:rPr>
          <w:rFonts w:eastAsia="Arial Unicode MS"/>
          <w:b/>
        </w:rPr>
        <w:t>4</w:t>
      </w:r>
      <w:r w:rsidR="0010698B" w:rsidRPr="006F44AF">
        <w:rPr>
          <w:rFonts w:eastAsia="Arial Unicode MS"/>
          <w:b/>
        </w:rPr>
        <w:t>.7</w:t>
      </w:r>
      <w:r w:rsidR="0079371B" w:rsidRPr="006F44AF">
        <w:rPr>
          <w:rFonts w:eastAsia="Arial Unicode MS"/>
          <w:b/>
        </w:rPr>
        <w:t xml:space="preserve"> </w:t>
      </w:r>
      <w:r w:rsidR="0010698B" w:rsidRPr="006F44AF">
        <w:rPr>
          <w:rFonts w:eastAsia="Arial Unicode MS"/>
          <w:b/>
        </w:rPr>
        <w:t xml:space="preserve">  </w:t>
      </w:r>
      <w:r w:rsidR="006D0ADC" w:rsidRPr="006F44AF">
        <w:rPr>
          <w:rFonts w:eastAsia="Arial Unicode MS"/>
          <w:b/>
        </w:rPr>
        <w:t xml:space="preserve">   </w:t>
      </w:r>
      <w:r w:rsidR="00A30E2F" w:rsidRPr="006F44AF">
        <w:rPr>
          <w:rFonts w:eastAsia="Arial Unicode MS"/>
          <w:b/>
        </w:rPr>
        <w:t>Acil Durum Fonlama P</w:t>
      </w:r>
      <w:r w:rsidR="0079371B" w:rsidRPr="006F44AF">
        <w:rPr>
          <w:rFonts w:eastAsia="Arial Unicode MS"/>
          <w:b/>
        </w:rPr>
        <w:t>lanına ilişkin genel bilgi:</w:t>
      </w:r>
    </w:p>
    <w:p w14:paraId="627D9C9C" w14:textId="77777777" w:rsidR="0079371B" w:rsidRPr="006F44AF" w:rsidRDefault="0079371B" w:rsidP="0079371B">
      <w:pPr>
        <w:jc w:val="both"/>
        <w:rPr>
          <w:rFonts w:eastAsia="Arial Unicode MS"/>
          <w:sz w:val="16"/>
          <w:szCs w:val="16"/>
        </w:rPr>
      </w:pPr>
    </w:p>
    <w:p w14:paraId="07EDEE28" w14:textId="6BFD6F17" w:rsidR="0079371B" w:rsidRPr="006F44AF" w:rsidRDefault="0079371B" w:rsidP="0079371B">
      <w:pPr>
        <w:jc w:val="both"/>
        <w:rPr>
          <w:rFonts w:eastAsia="Arial Unicode MS"/>
        </w:rPr>
      </w:pPr>
      <w:r w:rsidRPr="006F44AF">
        <w:rPr>
          <w:rFonts w:eastAsia="Arial Unicode MS"/>
        </w:rPr>
        <w:t xml:space="preserve">Muhtemel ciddi likidite sorunlarının tanımlanması ve yönetilmesi için gereken esasların oluşturulması amacıyla </w:t>
      </w:r>
      <w:r w:rsidR="00A30E2F" w:rsidRPr="006F44AF">
        <w:rPr>
          <w:rFonts w:eastAsia="Arial Unicode MS"/>
        </w:rPr>
        <w:t>Acil Durum Fonlama Planı</w:t>
      </w:r>
      <w:r w:rsidRPr="006F44AF">
        <w:rPr>
          <w:rFonts w:eastAsia="Arial Unicode MS"/>
        </w:rPr>
        <w:t xml:space="preserve"> oluşturulmuş ve Yönetim Kurulu tarafından onaylanmıştır. Plan nihai olarak cari ve katılma hesap sahiplerini, alacaklıları ve sermayedarları korumayı hedefler. </w:t>
      </w:r>
      <w:r w:rsidR="00A30E2F" w:rsidRPr="006F44AF">
        <w:rPr>
          <w:rFonts w:eastAsia="Arial Unicode MS"/>
        </w:rPr>
        <w:t>Acil Durum Fonlama Planının</w:t>
      </w:r>
      <w:r w:rsidRPr="006F44AF">
        <w:rPr>
          <w:rFonts w:eastAsia="Arial Unicode MS"/>
        </w:rPr>
        <w:t xml:space="preserve"> temel göstergeler belirlenmiştir, likidite vaziyetinde beklenmedik gelişmeler olması ya da diğer göstergelerin tetiklenmesi durumunda plan uygulamaya alınmaktadır. Planın uygulanmasından Aktif Pasif Komitesi sorumludur.</w:t>
      </w:r>
    </w:p>
    <w:p w14:paraId="2D987194" w14:textId="599A6F5F" w:rsidR="0067330F" w:rsidRPr="006F44AF" w:rsidRDefault="0067330F" w:rsidP="00DC2638">
      <w:pPr>
        <w:pStyle w:val="BodyText"/>
        <w:rPr>
          <w:rFonts w:eastAsia="Arial Unicode MS"/>
          <w:b/>
        </w:rPr>
      </w:pPr>
    </w:p>
    <w:p w14:paraId="1468D175" w14:textId="55CF4451" w:rsidR="00FF739C" w:rsidRPr="006F44AF" w:rsidRDefault="00526564" w:rsidP="00FF739C">
      <w:pPr>
        <w:ind w:hanging="567"/>
        <w:jc w:val="both"/>
        <w:rPr>
          <w:rFonts w:eastAsia="Arial Unicode MS"/>
          <w:b/>
        </w:rPr>
      </w:pPr>
      <w:r w:rsidRPr="006F44AF">
        <w:rPr>
          <w:rFonts w:eastAsia="Arial Unicode MS"/>
          <w:b/>
        </w:rPr>
        <w:t>4</w:t>
      </w:r>
      <w:r w:rsidR="00FF739C" w:rsidRPr="006F44AF">
        <w:rPr>
          <w:rFonts w:eastAsia="Arial Unicode MS"/>
          <w:b/>
        </w:rPr>
        <w:t>.8      Finansal yükümlülüklerin sözleşmeye bağlanmış kalan vadelerine göre gösterimi</w:t>
      </w:r>
    </w:p>
    <w:p w14:paraId="3667E074" w14:textId="77777777" w:rsidR="00136962" w:rsidRPr="006F44AF" w:rsidRDefault="00136962" w:rsidP="00100A1B">
      <w:pPr>
        <w:pStyle w:val="BodyText"/>
        <w:jc w:val="left"/>
        <w:rPr>
          <w:b/>
        </w:rPr>
      </w:pPr>
    </w:p>
    <w:p w14:paraId="4D4BEB88" w14:textId="118CC0E1" w:rsidR="00FF739C" w:rsidRPr="006F44AF" w:rsidRDefault="00FF739C" w:rsidP="00FF739C">
      <w:pPr>
        <w:jc w:val="both"/>
      </w:pPr>
      <w:r w:rsidRPr="006F44AF">
        <w:t xml:space="preserve">Bankalarca Kamuya Açıklanacak Finansal Tablolar ile Bunlara İlişkin Açıklama ve Dipnotlar </w:t>
      </w:r>
      <w:proofErr w:type="spellStart"/>
      <w:r w:rsidRPr="006F44AF">
        <w:t>Hakınnda</w:t>
      </w:r>
      <w:proofErr w:type="spellEnd"/>
      <w:r w:rsidRPr="006F44AF">
        <w:t xml:space="preserve"> Tebliğ’in</w:t>
      </w:r>
      <w:r w:rsidR="005774FC" w:rsidRPr="006F44AF">
        <w:t xml:space="preserve"> </w:t>
      </w:r>
      <w:r w:rsidRPr="006F44AF">
        <w:t>25’inci maddesi uyarınca ara dönemde hazırlanmamıştır.</w:t>
      </w:r>
    </w:p>
    <w:p w14:paraId="668872A7" w14:textId="77777777" w:rsidR="00136962" w:rsidRPr="00270CE6" w:rsidRDefault="00136962" w:rsidP="00100A1B">
      <w:pPr>
        <w:pStyle w:val="BodyText"/>
        <w:jc w:val="left"/>
        <w:rPr>
          <w:b/>
          <w:highlight w:val="yellow"/>
        </w:rPr>
      </w:pPr>
    </w:p>
    <w:p w14:paraId="62F828B0" w14:textId="77777777" w:rsidR="00136962" w:rsidRPr="00270CE6" w:rsidRDefault="00136962" w:rsidP="00100A1B">
      <w:pPr>
        <w:pStyle w:val="BodyText"/>
        <w:jc w:val="left"/>
        <w:rPr>
          <w:b/>
          <w:highlight w:val="yellow"/>
        </w:rPr>
      </w:pPr>
    </w:p>
    <w:p w14:paraId="120849E0" w14:textId="77777777" w:rsidR="00136962" w:rsidRPr="00270CE6" w:rsidRDefault="00136962" w:rsidP="00100A1B">
      <w:pPr>
        <w:pStyle w:val="BodyText"/>
        <w:jc w:val="left"/>
        <w:rPr>
          <w:b/>
          <w:highlight w:val="yellow"/>
        </w:rPr>
      </w:pPr>
    </w:p>
    <w:p w14:paraId="17C7F2DE" w14:textId="77777777" w:rsidR="00136962" w:rsidRPr="00270CE6" w:rsidRDefault="00136962" w:rsidP="00100A1B">
      <w:pPr>
        <w:pStyle w:val="BodyText"/>
        <w:jc w:val="left"/>
        <w:rPr>
          <w:b/>
          <w:highlight w:val="yellow"/>
        </w:rPr>
      </w:pPr>
    </w:p>
    <w:p w14:paraId="2843D461" w14:textId="77777777" w:rsidR="00136962" w:rsidRPr="00270CE6" w:rsidRDefault="00136962" w:rsidP="00100A1B">
      <w:pPr>
        <w:pStyle w:val="BodyText"/>
        <w:jc w:val="left"/>
        <w:rPr>
          <w:b/>
          <w:highlight w:val="yellow"/>
        </w:rPr>
      </w:pPr>
    </w:p>
    <w:p w14:paraId="61633CF8" w14:textId="77777777" w:rsidR="00136962" w:rsidRPr="00270CE6" w:rsidRDefault="00136962" w:rsidP="00100A1B">
      <w:pPr>
        <w:pStyle w:val="BodyText"/>
        <w:jc w:val="left"/>
        <w:rPr>
          <w:b/>
          <w:highlight w:val="yellow"/>
        </w:rPr>
      </w:pPr>
    </w:p>
    <w:p w14:paraId="1C13D08E" w14:textId="77777777" w:rsidR="00136962" w:rsidRPr="00270CE6" w:rsidRDefault="00136962" w:rsidP="00100A1B">
      <w:pPr>
        <w:pStyle w:val="BodyText"/>
        <w:jc w:val="left"/>
        <w:rPr>
          <w:b/>
          <w:highlight w:val="yellow"/>
        </w:rPr>
      </w:pPr>
    </w:p>
    <w:p w14:paraId="5FFDFD01" w14:textId="2BE4DC5E" w:rsidR="00FC1F5B" w:rsidRDefault="00FC1F5B">
      <w:pPr>
        <w:rPr>
          <w:b/>
          <w:highlight w:val="yellow"/>
          <w:lang w:eastAsia="x-none"/>
        </w:rPr>
      </w:pPr>
      <w:r>
        <w:rPr>
          <w:b/>
          <w:highlight w:val="yellow"/>
        </w:rPr>
        <w:br w:type="page"/>
      </w:r>
    </w:p>
    <w:p w14:paraId="0F556950" w14:textId="3F3499D3" w:rsidR="0067330F" w:rsidRPr="00B02AD6" w:rsidRDefault="0067330F" w:rsidP="00100A1B">
      <w:pPr>
        <w:pStyle w:val="BodyText"/>
        <w:jc w:val="left"/>
        <w:rPr>
          <w:rFonts w:eastAsia="Arial Unicode MS"/>
          <w:b/>
        </w:rPr>
      </w:pPr>
      <w:r w:rsidRPr="00B02AD6">
        <w:rPr>
          <w:b/>
        </w:rPr>
        <w:lastRenderedPageBreak/>
        <w:t>Likidite karşılama oranı</w:t>
      </w:r>
    </w:p>
    <w:p w14:paraId="19B23C77" w14:textId="7A1FE478" w:rsidR="00B02AD6" w:rsidRPr="00B02AD6" w:rsidRDefault="00B02AD6" w:rsidP="00C35E6D">
      <w:pPr>
        <w:autoSpaceDE w:val="0"/>
        <w:autoSpaceDN w:val="0"/>
        <w:adjustRightInd w:val="0"/>
        <w:rPr>
          <w:lang w:val="en-GB" w:eastAsia="en-GB"/>
        </w:rPr>
      </w:pPr>
    </w:p>
    <w:tbl>
      <w:tblPr>
        <w:tblW w:w="9442" w:type="dxa"/>
        <w:tblCellMar>
          <w:left w:w="70" w:type="dxa"/>
          <w:right w:w="70" w:type="dxa"/>
        </w:tblCellMar>
        <w:tblLook w:val="04A0" w:firstRow="1" w:lastRow="0" w:firstColumn="1" w:lastColumn="0" w:noHBand="0" w:noVBand="1"/>
      </w:tblPr>
      <w:tblGrid>
        <w:gridCol w:w="357"/>
        <w:gridCol w:w="3989"/>
        <w:gridCol w:w="1086"/>
        <w:gridCol w:w="1018"/>
        <w:gridCol w:w="1022"/>
        <w:gridCol w:w="1020"/>
        <w:gridCol w:w="950"/>
      </w:tblGrid>
      <w:tr w:rsidR="00B02AD6" w:rsidRPr="00FC1F5B" w14:paraId="7EB09AFB" w14:textId="77777777" w:rsidTr="006B1072">
        <w:trPr>
          <w:divId w:val="1935673154"/>
          <w:trHeight w:val="253"/>
        </w:trPr>
        <w:tc>
          <w:tcPr>
            <w:tcW w:w="543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6F1A1" w14:textId="11A24809" w:rsidR="00B02AD6" w:rsidRPr="00FC1F5B" w:rsidRDefault="00B02AD6" w:rsidP="00B02AD6">
            <w:pPr>
              <w:jc w:val="center"/>
              <w:rPr>
                <w:b/>
                <w:bCs/>
                <w:i/>
                <w:iCs/>
                <w:color w:val="000000"/>
                <w:sz w:val="18"/>
                <w:szCs w:val="18"/>
                <w:lang w:eastAsia="tr-TR"/>
              </w:rPr>
            </w:pPr>
            <w:r w:rsidRPr="00FC1F5B">
              <w:rPr>
                <w:b/>
                <w:bCs/>
                <w:i/>
                <w:iCs/>
                <w:color w:val="000000"/>
                <w:sz w:val="18"/>
                <w:szCs w:val="18"/>
                <w:lang w:eastAsia="tr-TR"/>
              </w:rPr>
              <w:t>Cari Dönem</w:t>
            </w:r>
          </w:p>
        </w:tc>
        <w:tc>
          <w:tcPr>
            <w:tcW w:w="20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9906396"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 xml:space="preserve">Dikkate Alınma Oranı Uygulanmamış Toplam </w:t>
            </w:r>
            <w:proofErr w:type="gramStart"/>
            <w:r w:rsidRPr="00FC1F5B">
              <w:rPr>
                <w:b/>
                <w:bCs/>
                <w:color w:val="000000"/>
                <w:sz w:val="18"/>
                <w:szCs w:val="18"/>
                <w:lang w:eastAsia="tr-TR"/>
              </w:rPr>
              <w:t>Değer(</w:t>
            </w:r>
            <w:proofErr w:type="gramEnd"/>
            <w:r w:rsidRPr="00FC1F5B">
              <w:rPr>
                <w:b/>
                <w:bCs/>
                <w:color w:val="000000"/>
                <w:sz w:val="18"/>
                <w:szCs w:val="18"/>
                <w:lang w:eastAsia="tr-TR"/>
              </w:rPr>
              <w:t>*)</w:t>
            </w:r>
          </w:p>
        </w:tc>
        <w:tc>
          <w:tcPr>
            <w:tcW w:w="19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34950E2"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 xml:space="preserve">Dikkate Alınma Oranı Uygulanmış Toplam </w:t>
            </w:r>
            <w:proofErr w:type="gramStart"/>
            <w:r w:rsidRPr="00FC1F5B">
              <w:rPr>
                <w:b/>
                <w:bCs/>
                <w:color w:val="000000"/>
                <w:sz w:val="18"/>
                <w:szCs w:val="18"/>
                <w:lang w:eastAsia="tr-TR"/>
              </w:rPr>
              <w:t>Değer(</w:t>
            </w:r>
            <w:proofErr w:type="gramEnd"/>
            <w:r w:rsidRPr="00FC1F5B">
              <w:rPr>
                <w:b/>
                <w:bCs/>
                <w:color w:val="000000"/>
                <w:sz w:val="18"/>
                <w:szCs w:val="18"/>
                <w:lang w:eastAsia="tr-TR"/>
              </w:rPr>
              <w:t>*)</w:t>
            </w:r>
          </w:p>
        </w:tc>
      </w:tr>
      <w:tr w:rsidR="00B02AD6" w:rsidRPr="00FC1F5B" w14:paraId="114D8FD7" w14:textId="77777777" w:rsidTr="006B1072">
        <w:trPr>
          <w:divId w:val="1935673154"/>
          <w:trHeight w:val="242"/>
        </w:trPr>
        <w:tc>
          <w:tcPr>
            <w:tcW w:w="5431" w:type="dxa"/>
            <w:gridSpan w:val="3"/>
            <w:vMerge/>
            <w:tcBorders>
              <w:top w:val="single" w:sz="4" w:space="0" w:color="auto"/>
              <w:left w:val="single" w:sz="4" w:space="0" w:color="auto"/>
              <w:bottom w:val="single" w:sz="4" w:space="0" w:color="auto"/>
              <w:right w:val="single" w:sz="4" w:space="0" w:color="auto"/>
            </w:tcBorders>
            <w:vAlign w:val="center"/>
            <w:hideMark/>
          </w:tcPr>
          <w:p w14:paraId="583687D1" w14:textId="77777777" w:rsidR="00B02AD6" w:rsidRPr="00FC1F5B" w:rsidRDefault="00B02AD6" w:rsidP="00B02AD6">
            <w:pPr>
              <w:rPr>
                <w:b/>
                <w:bCs/>
                <w:i/>
                <w:iCs/>
                <w:color w:val="000000"/>
                <w:sz w:val="18"/>
                <w:szCs w:val="18"/>
                <w:lang w:eastAsia="tr-TR"/>
              </w:rPr>
            </w:pPr>
          </w:p>
        </w:tc>
        <w:tc>
          <w:tcPr>
            <w:tcW w:w="2046" w:type="dxa"/>
            <w:gridSpan w:val="2"/>
            <w:vMerge/>
            <w:tcBorders>
              <w:top w:val="single" w:sz="4" w:space="0" w:color="auto"/>
              <w:left w:val="single" w:sz="4" w:space="0" w:color="auto"/>
              <w:bottom w:val="single" w:sz="4" w:space="0" w:color="auto"/>
              <w:right w:val="single" w:sz="4" w:space="0" w:color="auto"/>
            </w:tcBorders>
            <w:vAlign w:val="center"/>
            <w:hideMark/>
          </w:tcPr>
          <w:p w14:paraId="3F0547D9" w14:textId="77777777" w:rsidR="00B02AD6" w:rsidRPr="00FC1F5B" w:rsidRDefault="00B02AD6" w:rsidP="00B02AD6">
            <w:pPr>
              <w:rPr>
                <w:b/>
                <w:bCs/>
                <w:color w:val="000000"/>
                <w:sz w:val="18"/>
                <w:szCs w:val="18"/>
                <w:lang w:eastAsia="tr-TR"/>
              </w:rPr>
            </w:pPr>
          </w:p>
        </w:tc>
        <w:tc>
          <w:tcPr>
            <w:tcW w:w="1965" w:type="dxa"/>
            <w:gridSpan w:val="2"/>
            <w:vMerge/>
            <w:tcBorders>
              <w:top w:val="single" w:sz="4" w:space="0" w:color="auto"/>
              <w:left w:val="single" w:sz="4" w:space="0" w:color="auto"/>
              <w:bottom w:val="single" w:sz="4" w:space="0" w:color="auto"/>
              <w:right w:val="single" w:sz="4" w:space="0" w:color="auto"/>
            </w:tcBorders>
            <w:vAlign w:val="center"/>
            <w:hideMark/>
          </w:tcPr>
          <w:p w14:paraId="48A23163" w14:textId="77777777" w:rsidR="00B02AD6" w:rsidRPr="00FC1F5B" w:rsidRDefault="00B02AD6" w:rsidP="00B02AD6">
            <w:pPr>
              <w:rPr>
                <w:b/>
                <w:bCs/>
                <w:color w:val="000000"/>
                <w:sz w:val="18"/>
                <w:szCs w:val="18"/>
                <w:lang w:eastAsia="tr-TR"/>
              </w:rPr>
            </w:pPr>
          </w:p>
        </w:tc>
      </w:tr>
      <w:tr w:rsidR="00B02AD6" w:rsidRPr="00FC1F5B" w14:paraId="5223C49A" w14:textId="77777777" w:rsidTr="006B1072">
        <w:trPr>
          <w:divId w:val="1935673154"/>
          <w:trHeight w:val="242"/>
        </w:trPr>
        <w:tc>
          <w:tcPr>
            <w:tcW w:w="5431" w:type="dxa"/>
            <w:gridSpan w:val="3"/>
            <w:vMerge/>
            <w:tcBorders>
              <w:top w:val="single" w:sz="4" w:space="0" w:color="auto"/>
              <w:left w:val="single" w:sz="4" w:space="0" w:color="auto"/>
              <w:bottom w:val="single" w:sz="4" w:space="0" w:color="auto"/>
              <w:right w:val="single" w:sz="4" w:space="0" w:color="auto"/>
            </w:tcBorders>
            <w:vAlign w:val="center"/>
            <w:hideMark/>
          </w:tcPr>
          <w:p w14:paraId="6793DBA8" w14:textId="77777777" w:rsidR="00B02AD6" w:rsidRPr="00FC1F5B" w:rsidRDefault="00B02AD6" w:rsidP="00B02AD6">
            <w:pPr>
              <w:rPr>
                <w:b/>
                <w:bCs/>
                <w:i/>
                <w:iCs/>
                <w:color w:val="000000"/>
                <w:sz w:val="18"/>
                <w:szCs w:val="18"/>
                <w:lang w:eastAsia="tr-TR"/>
              </w:rPr>
            </w:pPr>
          </w:p>
        </w:tc>
        <w:tc>
          <w:tcPr>
            <w:tcW w:w="2046" w:type="dxa"/>
            <w:gridSpan w:val="2"/>
            <w:vMerge/>
            <w:tcBorders>
              <w:top w:val="single" w:sz="4" w:space="0" w:color="auto"/>
              <w:left w:val="single" w:sz="4" w:space="0" w:color="auto"/>
              <w:bottom w:val="single" w:sz="4" w:space="0" w:color="auto"/>
              <w:right w:val="single" w:sz="4" w:space="0" w:color="auto"/>
            </w:tcBorders>
            <w:vAlign w:val="center"/>
            <w:hideMark/>
          </w:tcPr>
          <w:p w14:paraId="2E5EB0D9" w14:textId="77777777" w:rsidR="00B02AD6" w:rsidRPr="00FC1F5B" w:rsidRDefault="00B02AD6" w:rsidP="00B02AD6">
            <w:pPr>
              <w:rPr>
                <w:b/>
                <w:bCs/>
                <w:color w:val="000000"/>
                <w:sz w:val="18"/>
                <w:szCs w:val="18"/>
                <w:lang w:eastAsia="tr-TR"/>
              </w:rPr>
            </w:pPr>
          </w:p>
        </w:tc>
        <w:tc>
          <w:tcPr>
            <w:tcW w:w="1965" w:type="dxa"/>
            <w:gridSpan w:val="2"/>
            <w:vMerge/>
            <w:tcBorders>
              <w:top w:val="single" w:sz="4" w:space="0" w:color="auto"/>
              <w:left w:val="single" w:sz="4" w:space="0" w:color="auto"/>
              <w:bottom w:val="single" w:sz="4" w:space="0" w:color="auto"/>
              <w:right w:val="single" w:sz="4" w:space="0" w:color="auto"/>
            </w:tcBorders>
            <w:vAlign w:val="center"/>
            <w:hideMark/>
          </w:tcPr>
          <w:p w14:paraId="01B32F21" w14:textId="77777777" w:rsidR="00B02AD6" w:rsidRPr="00FC1F5B" w:rsidRDefault="00B02AD6" w:rsidP="00B02AD6">
            <w:pPr>
              <w:rPr>
                <w:b/>
                <w:bCs/>
                <w:color w:val="000000"/>
                <w:sz w:val="18"/>
                <w:szCs w:val="18"/>
                <w:lang w:eastAsia="tr-TR"/>
              </w:rPr>
            </w:pPr>
          </w:p>
        </w:tc>
      </w:tr>
      <w:tr w:rsidR="00B02AD6" w:rsidRPr="00FC1F5B" w14:paraId="254E0510" w14:textId="77777777" w:rsidTr="006B1072">
        <w:trPr>
          <w:divId w:val="1935673154"/>
          <w:trHeight w:val="231"/>
        </w:trPr>
        <w:tc>
          <w:tcPr>
            <w:tcW w:w="5431" w:type="dxa"/>
            <w:gridSpan w:val="3"/>
            <w:vMerge/>
            <w:tcBorders>
              <w:top w:val="single" w:sz="4" w:space="0" w:color="auto"/>
              <w:left w:val="single" w:sz="4" w:space="0" w:color="auto"/>
              <w:bottom w:val="single" w:sz="4" w:space="0" w:color="auto"/>
              <w:right w:val="single" w:sz="4" w:space="0" w:color="auto"/>
            </w:tcBorders>
            <w:vAlign w:val="center"/>
            <w:hideMark/>
          </w:tcPr>
          <w:p w14:paraId="413A29F4" w14:textId="77777777" w:rsidR="00B02AD6" w:rsidRPr="00FC1F5B" w:rsidRDefault="00B02AD6" w:rsidP="00B02AD6">
            <w:pPr>
              <w:rPr>
                <w:b/>
                <w:bCs/>
                <w:i/>
                <w:iCs/>
                <w:color w:val="000000"/>
                <w:sz w:val="18"/>
                <w:szCs w:val="18"/>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85698"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TP+YP</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F0713"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YP</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F0F22"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TP+YP</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48424"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YP</w:t>
            </w:r>
          </w:p>
        </w:tc>
      </w:tr>
      <w:tr w:rsidR="00B02AD6" w:rsidRPr="00FC1F5B" w14:paraId="1EB904A5" w14:textId="77777777" w:rsidTr="006B1072">
        <w:trPr>
          <w:divId w:val="1935673154"/>
          <w:trHeight w:val="231"/>
        </w:trPr>
        <w:tc>
          <w:tcPr>
            <w:tcW w:w="4345" w:type="dxa"/>
            <w:gridSpan w:val="2"/>
            <w:tcBorders>
              <w:top w:val="single" w:sz="4" w:space="0" w:color="auto"/>
              <w:left w:val="single" w:sz="4" w:space="0" w:color="auto"/>
              <w:bottom w:val="single" w:sz="4" w:space="0" w:color="auto"/>
            </w:tcBorders>
            <w:shd w:val="clear" w:color="auto" w:fill="auto"/>
            <w:noWrap/>
            <w:vAlign w:val="bottom"/>
            <w:hideMark/>
          </w:tcPr>
          <w:p w14:paraId="3D250231"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YÜKSEK KALİTELİ LİKİT VARLIKLAR</w:t>
            </w:r>
          </w:p>
        </w:tc>
        <w:tc>
          <w:tcPr>
            <w:tcW w:w="1086" w:type="dxa"/>
            <w:tcBorders>
              <w:bottom w:val="single" w:sz="4" w:space="0" w:color="auto"/>
              <w:right w:val="single" w:sz="4" w:space="0" w:color="auto"/>
            </w:tcBorders>
            <w:shd w:val="clear" w:color="auto" w:fill="auto"/>
            <w:noWrap/>
            <w:vAlign w:val="bottom"/>
            <w:hideMark/>
          </w:tcPr>
          <w:p w14:paraId="4FD1ECCD" w14:textId="77777777" w:rsidR="00B02AD6" w:rsidRPr="00FC1F5B" w:rsidRDefault="00B02AD6" w:rsidP="00B02AD6">
            <w:pPr>
              <w:rPr>
                <w:b/>
                <w:bCs/>
                <w:color w:val="000000"/>
                <w:sz w:val="18"/>
                <w:szCs w:val="18"/>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3765248"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D3F7DE2"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7CD05E3"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94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F67DDEA"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r>
      <w:tr w:rsidR="00B02AD6" w:rsidRPr="00FC1F5B" w14:paraId="5D19D322"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F3EEFB" w14:textId="77777777" w:rsidR="00B02AD6" w:rsidRPr="00FC1F5B" w:rsidRDefault="00B02AD6" w:rsidP="00B02AD6">
            <w:pPr>
              <w:jc w:val="right"/>
              <w:rPr>
                <w:color w:val="000000"/>
                <w:sz w:val="18"/>
                <w:szCs w:val="18"/>
                <w:lang w:eastAsia="tr-TR"/>
              </w:rPr>
            </w:pPr>
            <w:r w:rsidRPr="00FC1F5B">
              <w:rPr>
                <w:color w:val="000000"/>
                <w:sz w:val="18"/>
                <w:szCs w:val="18"/>
                <w:lang w:eastAsia="tr-TR"/>
              </w:rPr>
              <w:t>1</w:t>
            </w:r>
          </w:p>
        </w:tc>
        <w:tc>
          <w:tcPr>
            <w:tcW w:w="3988" w:type="dxa"/>
            <w:tcBorders>
              <w:top w:val="single" w:sz="4" w:space="0" w:color="auto"/>
              <w:left w:val="single" w:sz="4" w:space="0" w:color="auto"/>
              <w:bottom w:val="single" w:sz="4" w:space="0" w:color="auto"/>
            </w:tcBorders>
            <w:shd w:val="clear" w:color="auto" w:fill="auto"/>
            <w:noWrap/>
            <w:vAlign w:val="bottom"/>
            <w:hideMark/>
          </w:tcPr>
          <w:p w14:paraId="3B23E023" w14:textId="77777777" w:rsidR="00B02AD6" w:rsidRPr="00FC1F5B" w:rsidRDefault="00B02AD6" w:rsidP="00B02AD6">
            <w:pPr>
              <w:rPr>
                <w:color w:val="000000"/>
                <w:sz w:val="18"/>
                <w:szCs w:val="18"/>
                <w:lang w:eastAsia="tr-TR"/>
              </w:rPr>
            </w:pPr>
            <w:r w:rsidRPr="00FC1F5B">
              <w:rPr>
                <w:color w:val="000000"/>
                <w:sz w:val="18"/>
                <w:szCs w:val="18"/>
                <w:lang w:eastAsia="tr-TR"/>
              </w:rPr>
              <w:t>Yüksek kaliteli likit varlıklar</w:t>
            </w:r>
          </w:p>
        </w:tc>
        <w:tc>
          <w:tcPr>
            <w:tcW w:w="1086" w:type="dxa"/>
            <w:tcBorders>
              <w:bottom w:val="single" w:sz="4" w:space="0" w:color="auto"/>
              <w:right w:val="single" w:sz="4" w:space="0" w:color="auto"/>
            </w:tcBorders>
            <w:shd w:val="clear" w:color="auto" w:fill="auto"/>
            <w:noWrap/>
            <w:vAlign w:val="bottom"/>
            <w:hideMark/>
          </w:tcPr>
          <w:p w14:paraId="6A5A6718" w14:textId="77777777" w:rsidR="00B02AD6" w:rsidRPr="00FC1F5B" w:rsidRDefault="00B02AD6" w:rsidP="00B02AD6">
            <w:pPr>
              <w:rPr>
                <w:color w:val="000000"/>
                <w:sz w:val="18"/>
                <w:szCs w:val="18"/>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1EF64" w14:textId="77777777" w:rsidR="00B02AD6" w:rsidRPr="00FC1F5B" w:rsidRDefault="00B02AD6" w:rsidP="00B02AD6">
            <w:pPr>
              <w:jc w:val="right"/>
              <w:rPr>
                <w:color w:val="000000"/>
                <w:sz w:val="18"/>
                <w:szCs w:val="18"/>
                <w:lang w:eastAsia="tr-TR"/>
              </w:rPr>
            </w:pPr>
            <w:r w:rsidRPr="00FC1F5B">
              <w:rPr>
                <w:color w:val="000000"/>
                <w:sz w:val="18"/>
                <w:szCs w:val="18"/>
                <w:lang w:eastAsia="tr-TR"/>
              </w:rPr>
              <w:t>33,448,272</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B9A9D7" w14:textId="77777777" w:rsidR="00B02AD6" w:rsidRPr="00FC1F5B" w:rsidRDefault="00B02AD6" w:rsidP="00B02AD6">
            <w:pPr>
              <w:jc w:val="right"/>
              <w:rPr>
                <w:color w:val="000000"/>
                <w:sz w:val="18"/>
                <w:szCs w:val="18"/>
                <w:lang w:eastAsia="tr-TR"/>
              </w:rPr>
            </w:pPr>
            <w:r w:rsidRPr="00FC1F5B">
              <w:rPr>
                <w:color w:val="000000"/>
                <w:sz w:val="18"/>
                <w:szCs w:val="18"/>
                <w:lang w:eastAsia="tr-TR"/>
              </w:rPr>
              <w:t>19,148,006</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58722" w14:textId="77777777" w:rsidR="00B02AD6" w:rsidRPr="00FC1F5B" w:rsidRDefault="00B02AD6" w:rsidP="00B02AD6">
            <w:pPr>
              <w:jc w:val="right"/>
              <w:rPr>
                <w:color w:val="000000"/>
                <w:sz w:val="18"/>
                <w:szCs w:val="18"/>
                <w:lang w:eastAsia="tr-TR"/>
              </w:rPr>
            </w:pPr>
            <w:r w:rsidRPr="00FC1F5B">
              <w:rPr>
                <w:color w:val="000000"/>
                <w:sz w:val="18"/>
                <w:szCs w:val="18"/>
                <w:lang w:eastAsia="tr-TR"/>
              </w:rPr>
              <w:t>31,202,074</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DD7B9" w14:textId="77777777" w:rsidR="00B02AD6" w:rsidRPr="00FC1F5B" w:rsidRDefault="00B02AD6" w:rsidP="00B02AD6">
            <w:pPr>
              <w:jc w:val="right"/>
              <w:rPr>
                <w:color w:val="000000"/>
                <w:sz w:val="18"/>
                <w:szCs w:val="18"/>
                <w:lang w:eastAsia="tr-TR"/>
              </w:rPr>
            </w:pPr>
            <w:r w:rsidRPr="00FC1F5B">
              <w:rPr>
                <w:color w:val="000000"/>
                <w:sz w:val="18"/>
                <w:szCs w:val="18"/>
                <w:lang w:eastAsia="tr-TR"/>
              </w:rPr>
              <w:t>16,901,808</w:t>
            </w:r>
          </w:p>
        </w:tc>
      </w:tr>
      <w:tr w:rsidR="00B02AD6" w:rsidRPr="00FC1F5B" w14:paraId="753A05A2" w14:textId="77777777" w:rsidTr="006B1072">
        <w:trPr>
          <w:divId w:val="1935673154"/>
          <w:trHeight w:val="231"/>
        </w:trPr>
        <w:tc>
          <w:tcPr>
            <w:tcW w:w="4345" w:type="dxa"/>
            <w:gridSpan w:val="2"/>
            <w:tcBorders>
              <w:top w:val="single" w:sz="4" w:space="0" w:color="auto"/>
              <w:left w:val="single" w:sz="4" w:space="0" w:color="auto"/>
              <w:bottom w:val="single" w:sz="4" w:space="0" w:color="auto"/>
            </w:tcBorders>
            <w:shd w:val="clear" w:color="auto" w:fill="auto"/>
            <w:noWrap/>
            <w:vAlign w:val="bottom"/>
            <w:hideMark/>
          </w:tcPr>
          <w:p w14:paraId="42C5B42A"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NAKİT ÇIKIŞLARI</w:t>
            </w:r>
          </w:p>
        </w:tc>
        <w:tc>
          <w:tcPr>
            <w:tcW w:w="1086" w:type="dxa"/>
            <w:tcBorders>
              <w:right w:val="single" w:sz="4" w:space="0" w:color="auto"/>
            </w:tcBorders>
            <w:shd w:val="clear" w:color="auto" w:fill="auto"/>
            <w:noWrap/>
            <w:vAlign w:val="bottom"/>
            <w:hideMark/>
          </w:tcPr>
          <w:p w14:paraId="359D8FEB" w14:textId="77777777" w:rsidR="00B02AD6" w:rsidRPr="00FC1F5B" w:rsidRDefault="00B02AD6" w:rsidP="00B02AD6">
            <w:pPr>
              <w:rPr>
                <w:b/>
                <w:bCs/>
                <w:color w:val="000000"/>
                <w:sz w:val="18"/>
                <w:szCs w:val="18"/>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8A6E9FB"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66B4A8E"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D17F38A"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94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AE6D9B0"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r>
      <w:tr w:rsidR="00B02AD6" w:rsidRPr="00FC1F5B" w14:paraId="4D93ADDF"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F709BE" w14:textId="77777777" w:rsidR="00B02AD6" w:rsidRPr="00FC1F5B" w:rsidRDefault="00B02AD6" w:rsidP="00B02AD6">
            <w:pPr>
              <w:jc w:val="right"/>
              <w:rPr>
                <w:color w:val="000000"/>
                <w:sz w:val="18"/>
                <w:szCs w:val="18"/>
                <w:lang w:eastAsia="tr-TR"/>
              </w:rPr>
            </w:pPr>
            <w:r w:rsidRPr="00FC1F5B">
              <w:rPr>
                <w:color w:val="000000"/>
                <w:sz w:val="18"/>
                <w:szCs w:val="18"/>
                <w:lang w:eastAsia="tr-TR"/>
              </w:rPr>
              <w:t>2</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3D9B76" w14:textId="77777777" w:rsidR="00B02AD6" w:rsidRPr="00FC1F5B" w:rsidRDefault="00B02AD6" w:rsidP="00B02AD6">
            <w:pPr>
              <w:rPr>
                <w:color w:val="000000"/>
                <w:sz w:val="18"/>
                <w:szCs w:val="18"/>
                <w:lang w:eastAsia="tr-TR"/>
              </w:rPr>
            </w:pPr>
            <w:r w:rsidRPr="00FC1F5B">
              <w:rPr>
                <w:color w:val="000000"/>
                <w:sz w:val="18"/>
                <w:szCs w:val="18"/>
                <w:lang w:eastAsia="tr-TR"/>
              </w:rPr>
              <w:t>Gerçek kişi mevduat ve perakende mevduat</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1C4BF" w14:textId="77777777" w:rsidR="00B02AD6" w:rsidRPr="00FC1F5B" w:rsidRDefault="00B02AD6" w:rsidP="00B02AD6">
            <w:pPr>
              <w:jc w:val="right"/>
              <w:rPr>
                <w:color w:val="000000"/>
                <w:sz w:val="18"/>
                <w:szCs w:val="18"/>
                <w:lang w:eastAsia="tr-TR"/>
              </w:rPr>
            </w:pPr>
            <w:r w:rsidRPr="00FC1F5B">
              <w:rPr>
                <w:color w:val="000000"/>
                <w:sz w:val="18"/>
                <w:szCs w:val="18"/>
                <w:lang w:eastAsia="tr-TR"/>
              </w:rPr>
              <w:t>57,652,230</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5CD25" w14:textId="77777777" w:rsidR="00B02AD6" w:rsidRPr="00FC1F5B" w:rsidRDefault="00B02AD6" w:rsidP="00B02AD6">
            <w:pPr>
              <w:jc w:val="right"/>
              <w:rPr>
                <w:color w:val="000000"/>
                <w:sz w:val="18"/>
                <w:szCs w:val="18"/>
                <w:lang w:eastAsia="tr-TR"/>
              </w:rPr>
            </w:pPr>
            <w:r w:rsidRPr="00FC1F5B">
              <w:rPr>
                <w:color w:val="000000"/>
                <w:sz w:val="18"/>
                <w:szCs w:val="18"/>
                <w:lang w:eastAsia="tr-TR"/>
              </w:rPr>
              <w:t>13,473,775</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BE4BA" w14:textId="77777777" w:rsidR="00B02AD6" w:rsidRPr="00FC1F5B" w:rsidRDefault="00B02AD6" w:rsidP="00B02AD6">
            <w:pPr>
              <w:jc w:val="right"/>
              <w:rPr>
                <w:color w:val="000000"/>
                <w:sz w:val="18"/>
                <w:szCs w:val="18"/>
                <w:lang w:eastAsia="tr-TR"/>
              </w:rPr>
            </w:pPr>
            <w:r w:rsidRPr="00FC1F5B">
              <w:rPr>
                <w:color w:val="000000"/>
                <w:sz w:val="18"/>
                <w:szCs w:val="18"/>
                <w:lang w:eastAsia="tr-TR"/>
              </w:rPr>
              <w:t>5,078,025</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276C7" w14:textId="77777777" w:rsidR="00B02AD6" w:rsidRPr="00FC1F5B" w:rsidRDefault="00B02AD6" w:rsidP="00B02AD6">
            <w:pPr>
              <w:jc w:val="right"/>
              <w:rPr>
                <w:color w:val="000000"/>
                <w:sz w:val="18"/>
                <w:szCs w:val="18"/>
                <w:lang w:eastAsia="tr-TR"/>
              </w:rPr>
            </w:pPr>
            <w:r w:rsidRPr="00FC1F5B">
              <w:rPr>
                <w:color w:val="000000"/>
                <w:sz w:val="18"/>
                <w:szCs w:val="18"/>
                <w:lang w:eastAsia="tr-TR"/>
              </w:rPr>
              <w:t>1,347,377</w:t>
            </w:r>
          </w:p>
        </w:tc>
      </w:tr>
      <w:tr w:rsidR="00B02AD6" w:rsidRPr="00FC1F5B" w14:paraId="1DE034AB"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22E56" w14:textId="77777777" w:rsidR="00B02AD6" w:rsidRPr="00FC1F5B" w:rsidRDefault="00B02AD6" w:rsidP="00B02AD6">
            <w:pPr>
              <w:jc w:val="right"/>
              <w:rPr>
                <w:color w:val="000000"/>
                <w:sz w:val="18"/>
                <w:szCs w:val="18"/>
                <w:lang w:eastAsia="tr-TR"/>
              </w:rPr>
            </w:pPr>
            <w:r w:rsidRPr="00FC1F5B">
              <w:rPr>
                <w:color w:val="000000"/>
                <w:sz w:val="18"/>
                <w:szCs w:val="18"/>
                <w:lang w:eastAsia="tr-TR"/>
              </w:rPr>
              <w:t>3</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38696A"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İstikrarlı mevduat</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0EEFC" w14:textId="77777777" w:rsidR="00B02AD6" w:rsidRPr="00FC1F5B" w:rsidRDefault="00B02AD6" w:rsidP="00B02AD6">
            <w:pPr>
              <w:jc w:val="right"/>
              <w:rPr>
                <w:color w:val="000000"/>
                <w:sz w:val="18"/>
                <w:szCs w:val="18"/>
                <w:lang w:eastAsia="tr-TR"/>
              </w:rPr>
            </w:pPr>
            <w:r w:rsidRPr="00FC1F5B">
              <w:rPr>
                <w:color w:val="000000"/>
                <w:sz w:val="18"/>
                <w:szCs w:val="18"/>
                <w:lang w:eastAsia="tr-TR"/>
              </w:rPr>
              <w:t>13,743,947</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D0D78"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A78DA" w14:textId="77777777" w:rsidR="00B02AD6" w:rsidRPr="00FC1F5B" w:rsidRDefault="00B02AD6" w:rsidP="00B02AD6">
            <w:pPr>
              <w:jc w:val="right"/>
              <w:rPr>
                <w:color w:val="000000"/>
                <w:sz w:val="18"/>
                <w:szCs w:val="18"/>
                <w:lang w:eastAsia="tr-TR"/>
              </w:rPr>
            </w:pPr>
            <w:r w:rsidRPr="00FC1F5B">
              <w:rPr>
                <w:color w:val="000000"/>
                <w:sz w:val="18"/>
                <w:szCs w:val="18"/>
                <w:lang w:eastAsia="tr-TR"/>
              </w:rPr>
              <w:t>687,197</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B2F3E"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r>
      <w:tr w:rsidR="00B02AD6" w:rsidRPr="00FC1F5B" w14:paraId="03B619CF"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51411D" w14:textId="77777777" w:rsidR="00B02AD6" w:rsidRPr="00FC1F5B" w:rsidRDefault="00B02AD6" w:rsidP="00B02AD6">
            <w:pPr>
              <w:jc w:val="right"/>
              <w:rPr>
                <w:color w:val="000000"/>
                <w:sz w:val="18"/>
                <w:szCs w:val="18"/>
                <w:lang w:eastAsia="tr-TR"/>
              </w:rPr>
            </w:pPr>
            <w:r w:rsidRPr="00FC1F5B">
              <w:rPr>
                <w:color w:val="000000"/>
                <w:sz w:val="18"/>
                <w:szCs w:val="18"/>
                <w:lang w:eastAsia="tr-TR"/>
              </w:rPr>
              <w:t>4</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3BC9D4"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Düşük istikrarlı mevduat</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AB11F" w14:textId="77777777" w:rsidR="00B02AD6" w:rsidRPr="00FC1F5B" w:rsidRDefault="00B02AD6" w:rsidP="00B02AD6">
            <w:pPr>
              <w:jc w:val="right"/>
              <w:rPr>
                <w:color w:val="000000"/>
                <w:sz w:val="18"/>
                <w:szCs w:val="18"/>
                <w:lang w:eastAsia="tr-TR"/>
              </w:rPr>
            </w:pPr>
            <w:r w:rsidRPr="00FC1F5B">
              <w:rPr>
                <w:color w:val="000000"/>
                <w:sz w:val="18"/>
                <w:szCs w:val="18"/>
                <w:lang w:eastAsia="tr-TR"/>
              </w:rPr>
              <w:t>43,908,283</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9A358" w14:textId="77777777" w:rsidR="00B02AD6" w:rsidRPr="00FC1F5B" w:rsidRDefault="00B02AD6" w:rsidP="00B02AD6">
            <w:pPr>
              <w:jc w:val="right"/>
              <w:rPr>
                <w:color w:val="000000"/>
                <w:sz w:val="18"/>
                <w:szCs w:val="18"/>
                <w:lang w:eastAsia="tr-TR"/>
              </w:rPr>
            </w:pPr>
            <w:r w:rsidRPr="00FC1F5B">
              <w:rPr>
                <w:color w:val="000000"/>
                <w:sz w:val="18"/>
                <w:szCs w:val="18"/>
                <w:lang w:eastAsia="tr-TR"/>
              </w:rPr>
              <w:t>13,473,775</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C1979" w14:textId="77777777" w:rsidR="00B02AD6" w:rsidRPr="00FC1F5B" w:rsidRDefault="00B02AD6" w:rsidP="00B02AD6">
            <w:pPr>
              <w:jc w:val="right"/>
              <w:rPr>
                <w:color w:val="000000"/>
                <w:sz w:val="18"/>
                <w:szCs w:val="18"/>
                <w:lang w:eastAsia="tr-TR"/>
              </w:rPr>
            </w:pPr>
            <w:r w:rsidRPr="00FC1F5B">
              <w:rPr>
                <w:color w:val="000000"/>
                <w:sz w:val="18"/>
                <w:szCs w:val="18"/>
                <w:lang w:eastAsia="tr-TR"/>
              </w:rPr>
              <w:t>4,390,828</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9FAC4" w14:textId="77777777" w:rsidR="00B02AD6" w:rsidRPr="00FC1F5B" w:rsidRDefault="00B02AD6" w:rsidP="00B02AD6">
            <w:pPr>
              <w:jc w:val="right"/>
              <w:rPr>
                <w:color w:val="000000"/>
                <w:sz w:val="18"/>
                <w:szCs w:val="18"/>
                <w:lang w:eastAsia="tr-TR"/>
              </w:rPr>
            </w:pPr>
            <w:r w:rsidRPr="00FC1F5B">
              <w:rPr>
                <w:color w:val="000000"/>
                <w:sz w:val="18"/>
                <w:szCs w:val="18"/>
                <w:lang w:eastAsia="tr-TR"/>
              </w:rPr>
              <w:t>1,347,377</w:t>
            </w:r>
          </w:p>
        </w:tc>
      </w:tr>
      <w:tr w:rsidR="00B02AD6" w:rsidRPr="00FC1F5B" w14:paraId="716B4AD7" w14:textId="77777777" w:rsidTr="00FC1F5B">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8BD30" w14:textId="77777777" w:rsidR="00B02AD6" w:rsidRPr="00FC1F5B" w:rsidRDefault="00B02AD6" w:rsidP="00B02AD6">
            <w:pPr>
              <w:jc w:val="right"/>
              <w:rPr>
                <w:color w:val="000000"/>
                <w:sz w:val="18"/>
                <w:szCs w:val="18"/>
                <w:lang w:eastAsia="tr-TR"/>
              </w:rPr>
            </w:pPr>
            <w:r w:rsidRPr="00FC1F5B">
              <w:rPr>
                <w:color w:val="000000"/>
                <w:sz w:val="18"/>
                <w:szCs w:val="18"/>
                <w:lang w:eastAsia="tr-TR"/>
              </w:rPr>
              <w:t>5</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4ED3F8" w14:textId="77777777" w:rsidR="00B02AD6" w:rsidRPr="00FC1F5B" w:rsidRDefault="00B02AD6" w:rsidP="00B02AD6">
            <w:pPr>
              <w:rPr>
                <w:color w:val="000000"/>
                <w:sz w:val="18"/>
                <w:szCs w:val="18"/>
                <w:lang w:eastAsia="tr-TR"/>
              </w:rPr>
            </w:pPr>
            <w:r w:rsidRPr="00FC1F5B">
              <w:rPr>
                <w:color w:val="000000"/>
                <w:sz w:val="18"/>
                <w:szCs w:val="18"/>
                <w:lang w:eastAsia="tr-TR"/>
              </w:rPr>
              <w:t>Gerçek kişi mevduat ve perakende mevduat dışında kalan teminatsız borçlar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26C2E9" w14:textId="77777777" w:rsidR="00B02AD6" w:rsidRPr="00FC1F5B" w:rsidRDefault="00B02AD6" w:rsidP="00FC1F5B">
            <w:pPr>
              <w:jc w:val="right"/>
              <w:rPr>
                <w:color w:val="000000"/>
                <w:sz w:val="18"/>
                <w:szCs w:val="18"/>
                <w:lang w:eastAsia="tr-TR"/>
              </w:rPr>
            </w:pPr>
            <w:r w:rsidRPr="00FC1F5B">
              <w:rPr>
                <w:color w:val="000000"/>
                <w:sz w:val="18"/>
                <w:szCs w:val="18"/>
                <w:lang w:eastAsia="tr-TR"/>
              </w:rPr>
              <w:t>19,498,255</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103B2F" w14:textId="77777777" w:rsidR="00B02AD6" w:rsidRPr="00FC1F5B" w:rsidRDefault="00B02AD6" w:rsidP="00FC1F5B">
            <w:pPr>
              <w:jc w:val="right"/>
              <w:rPr>
                <w:color w:val="000000"/>
                <w:sz w:val="18"/>
                <w:szCs w:val="18"/>
                <w:lang w:eastAsia="tr-TR"/>
              </w:rPr>
            </w:pPr>
            <w:r w:rsidRPr="00FC1F5B">
              <w:rPr>
                <w:color w:val="000000"/>
                <w:sz w:val="18"/>
                <w:szCs w:val="18"/>
                <w:lang w:eastAsia="tr-TR"/>
              </w:rPr>
              <w:t>12,304,342</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BB7268" w14:textId="77777777" w:rsidR="00B02AD6" w:rsidRPr="00FC1F5B" w:rsidRDefault="00B02AD6" w:rsidP="00FC1F5B">
            <w:pPr>
              <w:jc w:val="right"/>
              <w:rPr>
                <w:color w:val="000000"/>
                <w:sz w:val="18"/>
                <w:szCs w:val="18"/>
                <w:lang w:eastAsia="tr-TR"/>
              </w:rPr>
            </w:pPr>
            <w:r w:rsidRPr="00FC1F5B">
              <w:rPr>
                <w:color w:val="000000"/>
                <w:sz w:val="18"/>
                <w:szCs w:val="18"/>
                <w:lang w:eastAsia="tr-TR"/>
              </w:rPr>
              <w:t>9,371,757</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20F532" w14:textId="77777777" w:rsidR="00B02AD6" w:rsidRPr="00FC1F5B" w:rsidRDefault="00B02AD6" w:rsidP="00FC1F5B">
            <w:pPr>
              <w:jc w:val="right"/>
              <w:rPr>
                <w:color w:val="000000"/>
                <w:sz w:val="18"/>
                <w:szCs w:val="18"/>
                <w:lang w:eastAsia="tr-TR"/>
              </w:rPr>
            </w:pPr>
            <w:r w:rsidRPr="00FC1F5B">
              <w:rPr>
                <w:color w:val="000000"/>
                <w:sz w:val="18"/>
                <w:szCs w:val="18"/>
                <w:lang w:eastAsia="tr-TR"/>
              </w:rPr>
              <w:t>5,695,367</w:t>
            </w:r>
          </w:p>
        </w:tc>
      </w:tr>
      <w:tr w:rsidR="00B02AD6" w:rsidRPr="00FC1F5B" w14:paraId="4F8961EE"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3057A" w14:textId="77777777" w:rsidR="00B02AD6" w:rsidRPr="00FC1F5B" w:rsidRDefault="00B02AD6" w:rsidP="00B02AD6">
            <w:pPr>
              <w:jc w:val="right"/>
              <w:rPr>
                <w:color w:val="000000"/>
                <w:sz w:val="18"/>
                <w:szCs w:val="18"/>
                <w:lang w:eastAsia="tr-TR"/>
              </w:rPr>
            </w:pPr>
            <w:r w:rsidRPr="00FC1F5B">
              <w:rPr>
                <w:color w:val="000000"/>
                <w:sz w:val="18"/>
                <w:szCs w:val="18"/>
                <w:lang w:eastAsia="tr-TR"/>
              </w:rPr>
              <w:t>6</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95FE67"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Operasyonel mevduat</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4D6A2A"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EC8AB"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501D2"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38386"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r>
      <w:tr w:rsidR="00B02AD6" w:rsidRPr="00FC1F5B" w14:paraId="33BE8101"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EC56B" w14:textId="77777777" w:rsidR="00B02AD6" w:rsidRPr="00FC1F5B" w:rsidRDefault="00B02AD6" w:rsidP="00B02AD6">
            <w:pPr>
              <w:jc w:val="right"/>
              <w:rPr>
                <w:color w:val="000000"/>
                <w:sz w:val="18"/>
                <w:szCs w:val="18"/>
                <w:lang w:eastAsia="tr-TR"/>
              </w:rPr>
            </w:pPr>
            <w:r w:rsidRPr="00FC1F5B">
              <w:rPr>
                <w:color w:val="000000"/>
                <w:sz w:val="18"/>
                <w:szCs w:val="18"/>
                <w:lang w:eastAsia="tr-TR"/>
              </w:rPr>
              <w:t>7</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689187"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Operasyonel olmayan mevduat</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3EB51" w14:textId="77777777" w:rsidR="00B02AD6" w:rsidRPr="00FC1F5B" w:rsidRDefault="00B02AD6" w:rsidP="00B02AD6">
            <w:pPr>
              <w:jc w:val="right"/>
              <w:rPr>
                <w:color w:val="000000"/>
                <w:sz w:val="18"/>
                <w:szCs w:val="18"/>
                <w:lang w:eastAsia="tr-TR"/>
              </w:rPr>
            </w:pPr>
            <w:r w:rsidRPr="00FC1F5B">
              <w:rPr>
                <w:color w:val="000000"/>
                <w:sz w:val="18"/>
                <w:szCs w:val="18"/>
                <w:lang w:eastAsia="tr-TR"/>
              </w:rPr>
              <w:t>17,970,622</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76541" w14:textId="77777777" w:rsidR="00B02AD6" w:rsidRPr="00FC1F5B" w:rsidRDefault="00B02AD6" w:rsidP="00B02AD6">
            <w:pPr>
              <w:jc w:val="right"/>
              <w:rPr>
                <w:color w:val="000000"/>
                <w:sz w:val="18"/>
                <w:szCs w:val="18"/>
                <w:lang w:eastAsia="tr-TR"/>
              </w:rPr>
            </w:pPr>
            <w:r w:rsidRPr="00FC1F5B">
              <w:rPr>
                <w:color w:val="000000"/>
                <w:sz w:val="18"/>
                <w:szCs w:val="18"/>
                <w:lang w:eastAsia="tr-TR"/>
              </w:rPr>
              <w:t>11,655,207</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45EDC" w14:textId="77777777" w:rsidR="00B02AD6" w:rsidRPr="00FC1F5B" w:rsidRDefault="00B02AD6" w:rsidP="00B02AD6">
            <w:pPr>
              <w:jc w:val="right"/>
              <w:rPr>
                <w:color w:val="000000"/>
                <w:sz w:val="18"/>
                <w:szCs w:val="18"/>
                <w:lang w:eastAsia="tr-TR"/>
              </w:rPr>
            </w:pPr>
            <w:r w:rsidRPr="00FC1F5B">
              <w:rPr>
                <w:color w:val="000000"/>
                <w:sz w:val="18"/>
                <w:szCs w:val="18"/>
                <w:lang w:eastAsia="tr-TR"/>
              </w:rPr>
              <w:t>7,844,124</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7D54A" w14:textId="77777777" w:rsidR="00B02AD6" w:rsidRPr="00FC1F5B" w:rsidRDefault="00B02AD6" w:rsidP="00B02AD6">
            <w:pPr>
              <w:jc w:val="right"/>
              <w:rPr>
                <w:color w:val="000000"/>
                <w:sz w:val="18"/>
                <w:szCs w:val="18"/>
                <w:lang w:eastAsia="tr-TR"/>
              </w:rPr>
            </w:pPr>
            <w:r w:rsidRPr="00FC1F5B">
              <w:rPr>
                <w:color w:val="000000"/>
                <w:sz w:val="18"/>
                <w:szCs w:val="18"/>
                <w:lang w:eastAsia="tr-TR"/>
              </w:rPr>
              <w:t>5,046,232</w:t>
            </w:r>
          </w:p>
        </w:tc>
      </w:tr>
      <w:tr w:rsidR="00B02AD6" w:rsidRPr="00FC1F5B" w14:paraId="4B11B35E"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7C66D" w14:textId="77777777" w:rsidR="00B02AD6" w:rsidRPr="00FC1F5B" w:rsidRDefault="00B02AD6" w:rsidP="00B02AD6">
            <w:pPr>
              <w:jc w:val="right"/>
              <w:rPr>
                <w:color w:val="000000"/>
                <w:sz w:val="18"/>
                <w:szCs w:val="18"/>
                <w:lang w:eastAsia="tr-TR"/>
              </w:rPr>
            </w:pPr>
            <w:r w:rsidRPr="00FC1F5B">
              <w:rPr>
                <w:color w:val="000000"/>
                <w:sz w:val="18"/>
                <w:szCs w:val="18"/>
                <w:lang w:eastAsia="tr-TR"/>
              </w:rPr>
              <w:t>8</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340CE0"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Diğer teminatsız borçlar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EDFF2" w14:textId="77777777" w:rsidR="00B02AD6" w:rsidRPr="00FC1F5B" w:rsidRDefault="00B02AD6" w:rsidP="00B02AD6">
            <w:pPr>
              <w:jc w:val="right"/>
              <w:rPr>
                <w:color w:val="000000"/>
                <w:sz w:val="18"/>
                <w:szCs w:val="18"/>
                <w:lang w:eastAsia="tr-TR"/>
              </w:rPr>
            </w:pPr>
            <w:r w:rsidRPr="00FC1F5B">
              <w:rPr>
                <w:color w:val="000000"/>
                <w:sz w:val="18"/>
                <w:szCs w:val="18"/>
                <w:lang w:eastAsia="tr-TR"/>
              </w:rPr>
              <w:t>1,527,633</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1EFFA" w14:textId="77777777" w:rsidR="00B02AD6" w:rsidRPr="00FC1F5B" w:rsidRDefault="00B02AD6" w:rsidP="00B02AD6">
            <w:pPr>
              <w:jc w:val="right"/>
              <w:rPr>
                <w:color w:val="000000"/>
                <w:sz w:val="18"/>
                <w:szCs w:val="18"/>
                <w:lang w:eastAsia="tr-TR"/>
              </w:rPr>
            </w:pPr>
            <w:r w:rsidRPr="00FC1F5B">
              <w:rPr>
                <w:color w:val="000000"/>
                <w:sz w:val="18"/>
                <w:szCs w:val="18"/>
                <w:lang w:eastAsia="tr-TR"/>
              </w:rPr>
              <w:t>649,135</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011FB" w14:textId="77777777" w:rsidR="00B02AD6" w:rsidRPr="00FC1F5B" w:rsidRDefault="00B02AD6" w:rsidP="00B02AD6">
            <w:pPr>
              <w:jc w:val="right"/>
              <w:rPr>
                <w:color w:val="000000"/>
                <w:sz w:val="18"/>
                <w:szCs w:val="18"/>
                <w:lang w:eastAsia="tr-TR"/>
              </w:rPr>
            </w:pPr>
            <w:r w:rsidRPr="00FC1F5B">
              <w:rPr>
                <w:color w:val="000000"/>
                <w:sz w:val="18"/>
                <w:szCs w:val="18"/>
                <w:lang w:eastAsia="tr-TR"/>
              </w:rPr>
              <w:t>1,527,633</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E7A97" w14:textId="77777777" w:rsidR="00B02AD6" w:rsidRPr="00FC1F5B" w:rsidRDefault="00B02AD6" w:rsidP="00B02AD6">
            <w:pPr>
              <w:jc w:val="right"/>
              <w:rPr>
                <w:color w:val="000000"/>
                <w:sz w:val="18"/>
                <w:szCs w:val="18"/>
                <w:lang w:eastAsia="tr-TR"/>
              </w:rPr>
            </w:pPr>
            <w:r w:rsidRPr="00FC1F5B">
              <w:rPr>
                <w:color w:val="000000"/>
                <w:sz w:val="18"/>
                <w:szCs w:val="18"/>
                <w:lang w:eastAsia="tr-TR"/>
              </w:rPr>
              <w:t>649,135</w:t>
            </w:r>
          </w:p>
        </w:tc>
      </w:tr>
      <w:tr w:rsidR="00B02AD6" w:rsidRPr="00FC1F5B" w14:paraId="3567A8F2"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B060D" w14:textId="77777777" w:rsidR="00B02AD6" w:rsidRPr="00FC1F5B" w:rsidRDefault="00B02AD6" w:rsidP="00B02AD6">
            <w:pPr>
              <w:jc w:val="right"/>
              <w:rPr>
                <w:color w:val="000000"/>
                <w:sz w:val="18"/>
                <w:szCs w:val="18"/>
                <w:lang w:eastAsia="tr-TR"/>
              </w:rPr>
            </w:pPr>
            <w:r w:rsidRPr="00FC1F5B">
              <w:rPr>
                <w:color w:val="000000"/>
                <w:sz w:val="18"/>
                <w:szCs w:val="18"/>
                <w:lang w:eastAsia="tr-TR"/>
              </w:rPr>
              <w:t>9</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C3DF97" w14:textId="77777777" w:rsidR="00B02AD6" w:rsidRPr="00FC1F5B" w:rsidRDefault="00B02AD6" w:rsidP="00B02AD6">
            <w:pPr>
              <w:rPr>
                <w:color w:val="000000"/>
                <w:sz w:val="18"/>
                <w:szCs w:val="18"/>
                <w:lang w:eastAsia="tr-TR"/>
              </w:rPr>
            </w:pPr>
            <w:r w:rsidRPr="00FC1F5B">
              <w:rPr>
                <w:color w:val="000000"/>
                <w:sz w:val="18"/>
                <w:szCs w:val="18"/>
                <w:lang w:eastAsia="tr-TR"/>
              </w:rPr>
              <w:t>Teminatlı borçlar</w:t>
            </w: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965668A"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1BBACB"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9E599"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9EF21"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r>
      <w:tr w:rsidR="00B02AD6" w:rsidRPr="00FC1F5B" w14:paraId="0544A533"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90B3A" w14:textId="77777777" w:rsidR="00B02AD6" w:rsidRPr="00FC1F5B" w:rsidRDefault="00B02AD6" w:rsidP="00B02AD6">
            <w:pPr>
              <w:jc w:val="right"/>
              <w:rPr>
                <w:color w:val="000000"/>
                <w:sz w:val="18"/>
                <w:szCs w:val="18"/>
                <w:lang w:eastAsia="tr-TR"/>
              </w:rPr>
            </w:pPr>
            <w:r w:rsidRPr="00FC1F5B">
              <w:rPr>
                <w:color w:val="000000"/>
                <w:sz w:val="18"/>
                <w:szCs w:val="18"/>
                <w:lang w:eastAsia="tr-TR"/>
              </w:rPr>
              <w:t>10</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C09C92" w14:textId="77777777" w:rsidR="00B02AD6" w:rsidRPr="00FC1F5B" w:rsidRDefault="00B02AD6" w:rsidP="00B02AD6">
            <w:pPr>
              <w:rPr>
                <w:color w:val="000000"/>
                <w:sz w:val="18"/>
                <w:szCs w:val="18"/>
                <w:lang w:eastAsia="tr-TR"/>
              </w:rPr>
            </w:pPr>
            <w:r w:rsidRPr="00FC1F5B">
              <w:rPr>
                <w:color w:val="000000"/>
                <w:sz w:val="18"/>
                <w:szCs w:val="18"/>
                <w:lang w:eastAsia="tr-TR"/>
              </w:rPr>
              <w:t>Diğer nakit çıkışları</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3411D" w14:textId="77777777" w:rsidR="00B02AD6" w:rsidRPr="00FC1F5B" w:rsidRDefault="00B02AD6" w:rsidP="00B02AD6">
            <w:pPr>
              <w:jc w:val="right"/>
              <w:rPr>
                <w:color w:val="000000"/>
                <w:sz w:val="18"/>
                <w:szCs w:val="18"/>
                <w:lang w:eastAsia="tr-TR"/>
              </w:rPr>
            </w:pPr>
            <w:r w:rsidRPr="00FC1F5B">
              <w:rPr>
                <w:color w:val="000000"/>
                <w:sz w:val="18"/>
                <w:szCs w:val="18"/>
                <w:lang w:eastAsia="tr-TR"/>
              </w:rPr>
              <w:t>21,698,930</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5D898" w14:textId="77777777" w:rsidR="00B02AD6" w:rsidRPr="00FC1F5B" w:rsidRDefault="00B02AD6" w:rsidP="00B02AD6">
            <w:pPr>
              <w:jc w:val="right"/>
              <w:rPr>
                <w:color w:val="000000"/>
                <w:sz w:val="18"/>
                <w:szCs w:val="18"/>
                <w:lang w:eastAsia="tr-TR"/>
              </w:rPr>
            </w:pPr>
            <w:r w:rsidRPr="00FC1F5B">
              <w:rPr>
                <w:color w:val="000000"/>
                <w:sz w:val="18"/>
                <w:szCs w:val="18"/>
                <w:lang w:eastAsia="tr-TR"/>
              </w:rPr>
              <w:t>13,681,276</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2F7CA" w14:textId="77777777" w:rsidR="00B02AD6" w:rsidRPr="00FC1F5B" w:rsidRDefault="00B02AD6" w:rsidP="00B02AD6">
            <w:pPr>
              <w:jc w:val="right"/>
              <w:rPr>
                <w:color w:val="000000"/>
                <w:sz w:val="18"/>
                <w:szCs w:val="18"/>
                <w:lang w:eastAsia="tr-TR"/>
              </w:rPr>
            </w:pPr>
            <w:r w:rsidRPr="00FC1F5B">
              <w:rPr>
                <w:color w:val="000000"/>
                <w:sz w:val="18"/>
                <w:szCs w:val="18"/>
                <w:lang w:eastAsia="tr-TR"/>
              </w:rPr>
              <w:t>21,698,930</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8DF8A" w14:textId="77777777" w:rsidR="00B02AD6" w:rsidRPr="00FC1F5B" w:rsidRDefault="00B02AD6" w:rsidP="00B02AD6">
            <w:pPr>
              <w:jc w:val="right"/>
              <w:rPr>
                <w:color w:val="000000"/>
                <w:sz w:val="18"/>
                <w:szCs w:val="18"/>
                <w:lang w:eastAsia="tr-TR"/>
              </w:rPr>
            </w:pPr>
            <w:r w:rsidRPr="00FC1F5B">
              <w:rPr>
                <w:color w:val="000000"/>
                <w:sz w:val="18"/>
                <w:szCs w:val="18"/>
                <w:lang w:eastAsia="tr-TR"/>
              </w:rPr>
              <w:t>13,681,276</w:t>
            </w:r>
          </w:p>
        </w:tc>
      </w:tr>
      <w:tr w:rsidR="00B02AD6" w:rsidRPr="00FC1F5B" w14:paraId="67759612"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256F1" w14:textId="77777777" w:rsidR="00B02AD6" w:rsidRPr="00FC1F5B" w:rsidRDefault="00B02AD6" w:rsidP="00B02AD6">
            <w:pPr>
              <w:jc w:val="right"/>
              <w:rPr>
                <w:color w:val="000000"/>
                <w:sz w:val="18"/>
                <w:szCs w:val="18"/>
                <w:lang w:eastAsia="tr-TR"/>
              </w:rPr>
            </w:pPr>
            <w:r w:rsidRPr="00FC1F5B">
              <w:rPr>
                <w:color w:val="000000"/>
                <w:sz w:val="18"/>
                <w:szCs w:val="18"/>
                <w:lang w:eastAsia="tr-TR"/>
              </w:rPr>
              <w:t>11</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4E24FB"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Türev yükümlülükler ve teminat tamamlama yükümlülükleri</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D8B53" w14:textId="77777777" w:rsidR="00B02AD6" w:rsidRPr="00FC1F5B" w:rsidRDefault="00B02AD6" w:rsidP="00B02AD6">
            <w:pPr>
              <w:jc w:val="right"/>
              <w:rPr>
                <w:color w:val="000000"/>
                <w:sz w:val="18"/>
                <w:szCs w:val="18"/>
                <w:lang w:eastAsia="tr-TR"/>
              </w:rPr>
            </w:pPr>
            <w:r w:rsidRPr="00FC1F5B">
              <w:rPr>
                <w:color w:val="000000"/>
                <w:sz w:val="18"/>
                <w:szCs w:val="18"/>
                <w:lang w:eastAsia="tr-TR"/>
              </w:rPr>
              <w:t>21,175,456</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6B656" w14:textId="77777777" w:rsidR="00B02AD6" w:rsidRPr="00FC1F5B" w:rsidRDefault="00B02AD6" w:rsidP="00B02AD6">
            <w:pPr>
              <w:jc w:val="right"/>
              <w:rPr>
                <w:color w:val="000000"/>
                <w:sz w:val="18"/>
                <w:szCs w:val="18"/>
                <w:lang w:eastAsia="tr-TR"/>
              </w:rPr>
            </w:pPr>
            <w:r w:rsidRPr="00FC1F5B">
              <w:rPr>
                <w:color w:val="000000"/>
                <w:sz w:val="18"/>
                <w:szCs w:val="18"/>
                <w:lang w:eastAsia="tr-TR"/>
              </w:rPr>
              <w:t>13,608,831</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DCA26" w14:textId="77777777" w:rsidR="00B02AD6" w:rsidRPr="00FC1F5B" w:rsidRDefault="00B02AD6" w:rsidP="00B02AD6">
            <w:pPr>
              <w:jc w:val="right"/>
              <w:rPr>
                <w:color w:val="000000"/>
                <w:sz w:val="18"/>
                <w:szCs w:val="18"/>
                <w:lang w:eastAsia="tr-TR"/>
              </w:rPr>
            </w:pPr>
            <w:r w:rsidRPr="00FC1F5B">
              <w:rPr>
                <w:color w:val="000000"/>
                <w:sz w:val="18"/>
                <w:szCs w:val="18"/>
                <w:lang w:eastAsia="tr-TR"/>
              </w:rPr>
              <w:t>21,175,456</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0E388" w14:textId="77777777" w:rsidR="00B02AD6" w:rsidRPr="00FC1F5B" w:rsidRDefault="00B02AD6" w:rsidP="00B02AD6">
            <w:pPr>
              <w:jc w:val="right"/>
              <w:rPr>
                <w:color w:val="000000"/>
                <w:sz w:val="18"/>
                <w:szCs w:val="18"/>
                <w:lang w:eastAsia="tr-TR"/>
              </w:rPr>
            </w:pPr>
            <w:r w:rsidRPr="00FC1F5B">
              <w:rPr>
                <w:color w:val="000000"/>
                <w:sz w:val="18"/>
                <w:szCs w:val="18"/>
                <w:lang w:eastAsia="tr-TR"/>
              </w:rPr>
              <w:t>13,608,831</w:t>
            </w:r>
          </w:p>
        </w:tc>
      </w:tr>
      <w:tr w:rsidR="00B02AD6" w:rsidRPr="00FC1F5B" w14:paraId="2013427D"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0B1D30" w14:textId="77777777" w:rsidR="00B02AD6" w:rsidRPr="00FC1F5B" w:rsidRDefault="00B02AD6" w:rsidP="00B02AD6">
            <w:pPr>
              <w:jc w:val="right"/>
              <w:rPr>
                <w:color w:val="000000"/>
                <w:sz w:val="18"/>
                <w:szCs w:val="18"/>
                <w:lang w:eastAsia="tr-TR"/>
              </w:rPr>
            </w:pPr>
            <w:r w:rsidRPr="00FC1F5B">
              <w:rPr>
                <w:color w:val="000000"/>
                <w:sz w:val="18"/>
                <w:szCs w:val="18"/>
                <w:lang w:eastAsia="tr-TR"/>
              </w:rPr>
              <w:t>12</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6B7C73"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Yapılandırılmış finansal araçlardan borçlar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22297" w14:textId="77777777" w:rsidR="00B02AD6" w:rsidRPr="00FC1F5B" w:rsidRDefault="00B02AD6" w:rsidP="00B02AD6">
            <w:pPr>
              <w:jc w:val="right"/>
              <w:rPr>
                <w:color w:val="000000"/>
                <w:sz w:val="18"/>
                <w:szCs w:val="18"/>
                <w:lang w:eastAsia="tr-TR"/>
              </w:rPr>
            </w:pPr>
            <w:r w:rsidRPr="00FC1F5B">
              <w:rPr>
                <w:color w:val="000000"/>
                <w:sz w:val="18"/>
                <w:szCs w:val="18"/>
                <w:lang w:eastAsia="tr-TR"/>
              </w:rPr>
              <w:t>523,474</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5DA65" w14:textId="77777777" w:rsidR="00B02AD6" w:rsidRPr="00FC1F5B" w:rsidRDefault="00B02AD6" w:rsidP="00B02AD6">
            <w:pPr>
              <w:jc w:val="right"/>
              <w:rPr>
                <w:color w:val="000000"/>
                <w:sz w:val="18"/>
                <w:szCs w:val="18"/>
                <w:lang w:eastAsia="tr-TR"/>
              </w:rPr>
            </w:pPr>
            <w:r w:rsidRPr="00FC1F5B">
              <w:rPr>
                <w:color w:val="000000"/>
                <w:sz w:val="18"/>
                <w:szCs w:val="18"/>
                <w:lang w:eastAsia="tr-TR"/>
              </w:rPr>
              <w:t>72,445</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7F881" w14:textId="77777777" w:rsidR="00B02AD6" w:rsidRPr="00FC1F5B" w:rsidRDefault="00B02AD6" w:rsidP="00B02AD6">
            <w:pPr>
              <w:jc w:val="right"/>
              <w:rPr>
                <w:color w:val="000000"/>
                <w:sz w:val="18"/>
                <w:szCs w:val="18"/>
                <w:lang w:eastAsia="tr-TR"/>
              </w:rPr>
            </w:pPr>
            <w:r w:rsidRPr="00FC1F5B">
              <w:rPr>
                <w:color w:val="000000"/>
                <w:sz w:val="18"/>
                <w:szCs w:val="18"/>
                <w:lang w:eastAsia="tr-TR"/>
              </w:rPr>
              <w:t>523,474</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56652" w14:textId="77777777" w:rsidR="00B02AD6" w:rsidRPr="00FC1F5B" w:rsidRDefault="00B02AD6" w:rsidP="00B02AD6">
            <w:pPr>
              <w:jc w:val="right"/>
              <w:rPr>
                <w:color w:val="000000"/>
                <w:sz w:val="18"/>
                <w:szCs w:val="18"/>
                <w:lang w:eastAsia="tr-TR"/>
              </w:rPr>
            </w:pPr>
            <w:r w:rsidRPr="00FC1F5B">
              <w:rPr>
                <w:color w:val="000000"/>
                <w:sz w:val="18"/>
                <w:szCs w:val="18"/>
                <w:lang w:eastAsia="tr-TR"/>
              </w:rPr>
              <w:t>72,445</w:t>
            </w:r>
          </w:p>
        </w:tc>
      </w:tr>
      <w:tr w:rsidR="00B02AD6" w:rsidRPr="00FC1F5B" w14:paraId="7A1DCA2E" w14:textId="77777777" w:rsidTr="00FC1F5B">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A8210" w14:textId="77777777" w:rsidR="00B02AD6" w:rsidRPr="00FC1F5B" w:rsidRDefault="00B02AD6" w:rsidP="00B02AD6">
            <w:pPr>
              <w:jc w:val="right"/>
              <w:rPr>
                <w:color w:val="000000"/>
                <w:sz w:val="18"/>
                <w:szCs w:val="18"/>
                <w:lang w:eastAsia="tr-TR"/>
              </w:rPr>
            </w:pPr>
            <w:r w:rsidRPr="00FC1F5B">
              <w:rPr>
                <w:color w:val="000000"/>
                <w:sz w:val="18"/>
                <w:szCs w:val="18"/>
                <w:lang w:eastAsia="tr-TR"/>
              </w:rPr>
              <w:t>13</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8C72AF" w14:textId="77777777" w:rsidR="00B02AD6" w:rsidRPr="00FC1F5B" w:rsidRDefault="00B02AD6" w:rsidP="00B02AD6">
            <w:pPr>
              <w:rPr>
                <w:color w:val="000000"/>
                <w:sz w:val="18"/>
                <w:szCs w:val="18"/>
                <w:lang w:eastAsia="tr-TR"/>
              </w:rPr>
            </w:pPr>
            <w:r w:rsidRPr="00FC1F5B">
              <w:rPr>
                <w:color w:val="000000"/>
                <w:sz w:val="18"/>
                <w:szCs w:val="18"/>
                <w:lang w:eastAsia="tr-TR"/>
              </w:rPr>
              <w:t>Finansal piyasalara olan borçlar için verilen ödeme taahhütleri ile diğer bilanço dışı yükümlülükler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18795E"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F4E429"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E1F101"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E793CC"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r>
      <w:tr w:rsidR="00B02AD6" w:rsidRPr="00FC1F5B" w14:paraId="7137B33D" w14:textId="77777777" w:rsidTr="00FC1F5B">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23514" w14:textId="77777777" w:rsidR="00B02AD6" w:rsidRPr="00FC1F5B" w:rsidRDefault="00B02AD6" w:rsidP="00B02AD6">
            <w:pPr>
              <w:jc w:val="right"/>
              <w:rPr>
                <w:color w:val="000000"/>
                <w:sz w:val="18"/>
                <w:szCs w:val="18"/>
                <w:lang w:eastAsia="tr-TR"/>
              </w:rPr>
            </w:pPr>
            <w:r w:rsidRPr="00FC1F5B">
              <w:rPr>
                <w:color w:val="000000"/>
                <w:sz w:val="18"/>
                <w:szCs w:val="18"/>
                <w:lang w:eastAsia="tr-TR"/>
              </w:rPr>
              <w:t>14</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1B2F88" w14:textId="77777777" w:rsidR="00B02AD6" w:rsidRPr="00FC1F5B" w:rsidRDefault="00B02AD6" w:rsidP="00B02AD6">
            <w:pPr>
              <w:rPr>
                <w:color w:val="000000"/>
                <w:sz w:val="18"/>
                <w:szCs w:val="18"/>
                <w:lang w:eastAsia="tr-TR"/>
              </w:rPr>
            </w:pPr>
            <w:r w:rsidRPr="00FC1F5B">
              <w:rPr>
                <w:color w:val="000000"/>
                <w:sz w:val="18"/>
                <w:szCs w:val="18"/>
                <w:lang w:eastAsia="tr-TR"/>
              </w:rPr>
              <w:t>Herhangi bir şarta bağlı olmaksızın cayılabilir bilanço dışı diğer yükümlülükler ile sözleşmeye dayalı diğer yükümlülükler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FB6A7E"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3147CD"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9C701E"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861746"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r>
      <w:tr w:rsidR="00B02AD6" w:rsidRPr="00FC1F5B" w14:paraId="13D31200" w14:textId="77777777" w:rsidTr="00FC1F5B">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E43110" w14:textId="77777777" w:rsidR="00B02AD6" w:rsidRPr="00FC1F5B" w:rsidRDefault="00B02AD6" w:rsidP="00B02AD6">
            <w:pPr>
              <w:jc w:val="right"/>
              <w:rPr>
                <w:color w:val="000000"/>
                <w:sz w:val="18"/>
                <w:szCs w:val="18"/>
                <w:lang w:eastAsia="tr-TR"/>
              </w:rPr>
            </w:pPr>
            <w:r w:rsidRPr="00FC1F5B">
              <w:rPr>
                <w:color w:val="000000"/>
                <w:sz w:val="18"/>
                <w:szCs w:val="18"/>
                <w:lang w:eastAsia="tr-TR"/>
              </w:rPr>
              <w:t>15</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3AD6B4" w14:textId="77777777" w:rsidR="00B02AD6" w:rsidRPr="00FC1F5B" w:rsidRDefault="00B02AD6" w:rsidP="00B02AD6">
            <w:pPr>
              <w:rPr>
                <w:color w:val="000000"/>
                <w:sz w:val="18"/>
                <w:szCs w:val="18"/>
                <w:lang w:eastAsia="tr-TR"/>
              </w:rPr>
            </w:pPr>
            <w:r w:rsidRPr="00FC1F5B">
              <w:rPr>
                <w:color w:val="000000"/>
                <w:sz w:val="18"/>
                <w:szCs w:val="18"/>
                <w:lang w:eastAsia="tr-TR"/>
              </w:rPr>
              <w:t>Diğer cayılamaz veya şartı bağlı olarak cayılabilir bilanço dışı borçlar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4B9174" w14:textId="77777777" w:rsidR="00B02AD6" w:rsidRPr="00FC1F5B" w:rsidRDefault="00B02AD6" w:rsidP="00FC1F5B">
            <w:pPr>
              <w:jc w:val="right"/>
              <w:rPr>
                <w:color w:val="000000"/>
                <w:sz w:val="18"/>
                <w:szCs w:val="18"/>
                <w:lang w:eastAsia="tr-TR"/>
              </w:rPr>
            </w:pPr>
            <w:r w:rsidRPr="00FC1F5B">
              <w:rPr>
                <w:color w:val="000000"/>
                <w:sz w:val="18"/>
                <w:szCs w:val="18"/>
                <w:lang w:eastAsia="tr-TR"/>
              </w:rPr>
              <w:t>17,409,914</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18012F" w14:textId="77777777" w:rsidR="00B02AD6" w:rsidRPr="00FC1F5B" w:rsidRDefault="00B02AD6" w:rsidP="00FC1F5B">
            <w:pPr>
              <w:jc w:val="right"/>
              <w:rPr>
                <w:color w:val="000000"/>
                <w:sz w:val="18"/>
                <w:szCs w:val="18"/>
                <w:lang w:eastAsia="tr-TR"/>
              </w:rPr>
            </w:pPr>
            <w:r w:rsidRPr="00FC1F5B">
              <w:rPr>
                <w:color w:val="000000"/>
                <w:sz w:val="18"/>
                <w:szCs w:val="18"/>
                <w:lang w:eastAsia="tr-TR"/>
              </w:rPr>
              <w:t>5,139,502</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F22D15" w14:textId="77777777" w:rsidR="00B02AD6" w:rsidRPr="00FC1F5B" w:rsidRDefault="00B02AD6" w:rsidP="00FC1F5B">
            <w:pPr>
              <w:jc w:val="right"/>
              <w:rPr>
                <w:color w:val="000000"/>
                <w:sz w:val="18"/>
                <w:szCs w:val="18"/>
                <w:lang w:eastAsia="tr-TR"/>
              </w:rPr>
            </w:pPr>
            <w:r w:rsidRPr="00FC1F5B">
              <w:rPr>
                <w:color w:val="000000"/>
                <w:sz w:val="18"/>
                <w:szCs w:val="18"/>
                <w:lang w:eastAsia="tr-TR"/>
              </w:rPr>
              <w:t>1,419,776</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B863A2" w14:textId="77777777" w:rsidR="00B02AD6" w:rsidRPr="00FC1F5B" w:rsidRDefault="00B02AD6" w:rsidP="00FC1F5B">
            <w:pPr>
              <w:jc w:val="right"/>
              <w:rPr>
                <w:color w:val="000000"/>
                <w:sz w:val="18"/>
                <w:szCs w:val="18"/>
                <w:lang w:eastAsia="tr-TR"/>
              </w:rPr>
            </w:pPr>
            <w:r w:rsidRPr="00FC1F5B">
              <w:rPr>
                <w:color w:val="000000"/>
                <w:sz w:val="18"/>
                <w:szCs w:val="18"/>
                <w:lang w:eastAsia="tr-TR"/>
              </w:rPr>
              <w:t>281,906</w:t>
            </w:r>
          </w:p>
        </w:tc>
      </w:tr>
      <w:tr w:rsidR="00B02AD6" w:rsidRPr="00FC1F5B" w14:paraId="75AFD1A8"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663CCE" w14:textId="77777777" w:rsidR="00B02AD6" w:rsidRPr="00FC1F5B" w:rsidRDefault="00B02AD6" w:rsidP="00B02AD6">
            <w:pPr>
              <w:rPr>
                <w:bCs/>
                <w:color w:val="000000"/>
                <w:sz w:val="18"/>
                <w:szCs w:val="18"/>
                <w:lang w:eastAsia="tr-TR"/>
              </w:rPr>
            </w:pPr>
            <w:r w:rsidRPr="00FC1F5B">
              <w:rPr>
                <w:bCs/>
                <w:color w:val="000000"/>
                <w:sz w:val="18"/>
                <w:szCs w:val="18"/>
                <w:lang w:eastAsia="tr-TR"/>
              </w:rPr>
              <w:t>16</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376428"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TOPLAM NAKİT ÇIKIŞLARI</w:t>
            </w: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C0A2AA5"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D12ED29"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21030E" w14:textId="77777777" w:rsidR="00B02AD6" w:rsidRPr="00FC1F5B" w:rsidRDefault="00B02AD6" w:rsidP="00B02AD6">
            <w:pPr>
              <w:jc w:val="right"/>
              <w:rPr>
                <w:color w:val="000000"/>
                <w:sz w:val="18"/>
                <w:szCs w:val="18"/>
                <w:lang w:eastAsia="tr-TR"/>
              </w:rPr>
            </w:pPr>
            <w:r w:rsidRPr="00FC1F5B">
              <w:rPr>
                <w:color w:val="000000"/>
                <w:sz w:val="18"/>
                <w:szCs w:val="18"/>
                <w:lang w:eastAsia="tr-TR"/>
              </w:rPr>
              <w:t>37,568,488</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EFCA9" w14:textId="77777777" w:rsidR="00B02AD6" w:rsidRPr="00FC1F5B" w:rsidRDefault="00B02AD6" w:rsidP="00B02AD6">
            <w:pPr>
              <w:jc w:val="right"/>
              <w:rPr>
                <w:color w:val="000000"/>
                <w:sz w:val="18"/>
                <w:szCs w:val="18"/>
                <w:lang w:eastAsia="tr-TR"/>
              </w:rPr>
            </w:pPr>
            <w:r w:rsidRPr="00FC1F5B">
              <w:rPr>
                <w:color w:val="000000"/>
                <w:sz w:val="18"/>
                <w:szCs w:val="18"/>
                <w:lang w:eastAsia="tr-TR"/>
              </w:rPr>
              <w:t>21,005,926</w:t>
            </w:r>
          </w:p>
        </w:tc>
      </w:tr>
      <w:tr w:rsidR="00B02AD6" w:rsidRPr="00FC1F5B" w14:paraId="5595F2B0" w14:textId="77777777" w:rsidTr="006B1072">
        <w:trPr>
          <w:divId w:val="1935673154"/>
          <w:trHeight w:val="231"/>
        </w:trPr>
        <w:tc>
          <w:tcPr>
            <w:tcW w:w="4345" w:type="dxa"/>
            <w:gridSpan w:val="2"/>
            <w:tcBorders>
              <w:top w:val="single" w:sz="4" w:space="0" w:color="auto"/>
              <w:left w:val="single" w:sz="4" w:space="0" w:color="auto"/>
              <w:bottom w:val="single" w:sz="4" w:space="0" w:color="auto"/>
            </w:tcBorders>
            <w:shd w:val="clear" w:color="auto" w:fill="auto"/>
            <w:noWrap/>
            <w:vAlign w:val="bottom"/>
            <w:hideMark/>
          </w:tcPr>
          <w:p w14:paraId="750B1A61"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NAKİT GİRİŞLERİ</w:t>
            </w:r>
          </w:p>
        </w:tc>
        <w:tc>
          <w:tcPr>
            <w:tcW w:w="1086" w:type="dxa"/>
            <w:tcBorders>
              <w:right w:val="single" w:sz="4" w:space="0" w:color="auto"/>
            </w:tcBorders>
            <w:shd w:val="clear" w:color="auto" w:fill="auto"/>
            <w:noWrap/>
            <w:vAlign w:val="bottom"/>
            <w:hideMark/>
          </w:tcPr>
          <w:p w14:paraId="46000149" w14:textId="77777777" w:rsidR="00B02AD6" w:rsidRPr="00FC1F5B" w:rsidRDefault="00B02AD6" w:rsidP="00B02AD6">
            <w:pPr>
              <w:rPr>
                <w:b/>
                <w:bCs/>
                <w:color w:val="000000"/>
                <w:sz w:val="18"/>
                <w:szCs w:val="18"/>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93E25B7"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03988F1"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A474684"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94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B68FBF1"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r>
      <w:tr w:rsidR="00B02AD6" w:rsidRPr="00FC1F5B" w14:paraId="217AF20A"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C353B" w14:textId="77777777" w:rsidR="00B02AD6" w:rsidRPr="00FC1F5B" w:rsidRDefault="00B02AD6" w:rsidP="00B02AD6">
            <w:pPr>
              <w:jc w:val="right"/>
              <w:rPr>
                <w:color w:val="000000"/>
                <w:sz w:val="18"/>
                <w:szCs w:val="18"/>
                <w:lang w:eastAsia="tr-TR"/>
              </w:rPr>
            </w:pPr>
            <w:r w:rsidRPr="00FC1F5B">
              <w:rPr>
                <w:color w:val="000000"/>
                <w:sz w:val="18"/>
                <w:szCs w:val="18"/>
                <w:lang w:eastAsia="tr-TR"/>
              </w:rPr>
              <w:t>17</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E31CD5" w14:textId="77777777" w:rsidR="00B02AD6" w:rsidRPr="00FC1F5B" w:rsidRDefault="00B02AD6" w:rsidP="00B02AD6">
            <w:pPr>
              <w:rPr>
                <w:color w:val="000000"/>
                <w:sz w:val="18"/>
                <w:szCs w:val="18"/>
                <w:lang w:eastAsia="tr-TR"/>
              </w:rPr>
            </w:pPr>
            <w:r w:rsidRPr="00FC1F5B">
              <w:rPr>
                <w:color w:val="000000"/>
                <w:sz w:val="18"/>
                <w:szCs w:val="18"/>
                <w:lang w:eastAsia="tr-TR"/>
              </w:rPr>
              <w:t>Teminatlı alacaklar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5EFB8"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A459A"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D0408"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06DA3"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r>
      <w:tr w:rsidR="00B02AD6" w:rsidRPr="00FC1F5B" w14:paraId="22F29E20"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42BCC" w14:textId="77777777" w:rsidR="00B02AD6" w:rsidRPr="00FC1F5B" w:rsidRDefault="00B02AD6" w:rsidP="00B02AD6">
            <w:pPr>
              <w:jc w:val="right"/>
              <w:rPr>
                <w:color w:val="000000"/>
                <w:sz w:val="18"/>
                <w:szCs w:val="18"/>
                <w:lang w:eastAsia="tr-TR"/>
              </w:rPr>
            </w:pPr>
            <w:r w:rsidRPr="00FC1F5B">
              <w:rPr>
                <w:color w:val="000000"/>
                <w:sz w:val="18"/>
                <w:szCs w:val="18"/>
                <w:lang w:eastAsia="tr-TR"/>
              </w:rPr>
              <w:t>18</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30F37F" w14:textId="77777777" w:rsidR="00B02AD6" w:rsidRPr="00FC1F5B" w:rsidRDefault="00B02AD6" w:rsidP="00B02AD6">
            <w:pPr>
              <w:rPr>
                <w:color w:val="000000"/>
                <w:sz w:val="18"/>
                <w:szCs w:val="18"/>
                <w:lang w:eastAsia="tr-TR"/>
              </w:rPr>
            </w:pPr>
            <w:r w:rsidRPr="00FC1F5B">
              <w:rPr>
                <w:color w:val="000000"/>
                <w:sz w:val="18"/>
                <w:szCs w:val="18"/>
                <w:lang w:eastAsia="tr-TR"/>
              </w:rPr>
              <w:t>Teminatsız alacaklar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A266D" w14:textId="77777777" w:rsidR="00B02AD6" w:rsidRPr="00FC1F5B" w:rsidRDefault="00B02AD6" w:rsidP="00B02AD6">
            <w:pPr>
              <w:jc w:val="right"/>
              <w:rPr>
                <w:color w:val="000000"/>
                <w:sz w:val="18"/>
                <w:szCs w:val="18"/>
                <w:lang w:eastAsia="tr-TR"/>
              </w:rPr>
            </w:pPr>
            <w:r w:rsidRPr="00FC1F5B">
              <w:rPr>
                <w:color w:val="000000"/>
                <w:sz w:val="18"/>
                <w:szCs w:val="18"/>
                <w:lang w:eastAsia="tr-TR"/>
              </w:rPr>
              <w:t>11,359,293</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114E3" w14:textId="77777777" w:rsidR="00B02AD6" w:rsidRPr="00FC1F5B" w:rsidRDefault="00B02AD6" w:rsidP="00B02AD6">
            <w:pPr>
              <w:jc w:val="right"/>
              <w:rPr>
                <w:color w:val="000000"/>
                <w:sz w:val="18"/>
                <w:szCs w:val="18"/>
                <w:lang w:eastAsia="tr-TR"/>
              </w:rPr>
            </w:pPr>
            <w:r w:rsidRPr="00FC1F5B">
              <w:rPr>
                <w:color w:val="000000"/>
                <w:sz w:val="18"/>
                <w:szCs w:val="18"/>
                <w:lang w:eastAsia="tr-TR"/>
              </w:rPr>
              <w:t>8,301,223</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B3AE1" w14:textId="77777777" w:rsidR="00B02AD6" w:rsidRPr="00FC1F5B" w:rsidRDefault="00B02AD6" w:rsidP="00B02AD6">
            <w:pPr>
              <w:jc w:val="right"/>
              <w:rPr>
                <w:color w:val="000000"/>
                <w:sz w:val="18"/>
                <w:szCs w:val="18"/>
                <w:lang w:eastAsia="tr-TR"/>
              </w:rPr>
            </w:pPr>
            <w:r w:rsidRPr="00FC1F5B">
              <w:rPr>
                <w:color w:val="000000"/>
                <w:sz w:val="18"/>
                <w:szCs w:val="18"/>
                <w:lang w:eastAsia="tr-TR"/>
              </w:rPr>
              <w:t>9,521,805</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EB1AB" w14:textId="77777777" w:rsidR="00B02AD6" w:rsidRPr="00FC1F5B" w:rsidRDefault="00B02AD6" w:rsidP="00B02AD6">
            <w:pPr>
              <w:jc w:val="right"/>
              <w:rPr>
                <w:color w:val="000000"/>
                <w:sz w:val="18"/>
                <w:szCs w:val="18"/>
                <w:lang w:eastAsia="tr-TR"/>
              </w:rPr>
            </w:pPr>
            <w:r w:rsidRPr="00FC1F5B">
              <w:rPr>
                <w:color w:val="000000"/>
                <w:sz w:val="18"/>
                <w:szCs w:val="18"/>
                <w:lang w:eastAsia="tr-TR"/>
              </w:rPr>
              <w:t>7,804,149</w:t>
            </w:r>
          </w:p>
        </w:tc>
      </w:tr>
      <w:tr w:rsidR="00B02AD6" w:rsidRPr="00FC1F5B" w14:paraId="111C232E"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90386" w14:textId="77777777" w:rsidR="00B02AD6" w:rsidRPr="00FC1F5B" w:rsidRDefault="00B02AD6" w:rsidP="00B02AD6">
            <w:pPr>
              <w:jc w:val="right"/>
              <w:rPr>
                <w:color w:val="000000"/>
                <w:sz w:val="18"/>
                <w:szCs w:val="18"/>
                <w:lang w:eastAsia="tr-TR"/>
              </w:rPr>
            </w:pPr>
            <w:r w:rsidRPr="00FC1F5B">
              <w:rPr>
                <w:color w:val="000000"/>
                <w:sz w:val="18"/>
                <w:szCs w:val="18"/>
                <w:lang w:eastAsia="tr-TR"/>
              </w:rPr>
              <w:t>19</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F90A9C" w14:textId="77777777" w:rsidR="00B02AD6" w:rsidRPr="00FC1F5B" w:rsidRDefault="00B02AD6" w:rsidP="00B02AD6">
            <w:pPr>
              <w:rPr>
                <w:color w:val="000000"/>
                <w:sz w:val="18"/>
                <w:szCs w:val="18"/>
                <w:lang w:eastAsia="tr-TR"/>
              </w:rPr>
            </w:pPr>
            <w:r w:rsidRPr="00FC1F5B">
              <w:rPr>
                <w:color w:val="000000"/>
                <w:sz w:val="18"/>
                <w:szCs w:val="18"/>
                <w:lang w:eastAsia="tr-TR"/>
              </w:rPr>
              <w:t>Diğer nakit girişleri</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90832" w14:textId="77777777" w:rsidR="00B02AD6" w:rsidRPr="00FC1F5B" w:rsidRDefault="00B02AD6" w:rsidP="00B02AD6">
            <w:pPr>
              <w:jc w:val="right"/>
              <w:rPr>
                <w:color w:val="000000"/>
                <w:sz w:val="18"/>
                <w:szCs w:val="18"/>
                <w:lang w:eastAsia="tr-TR"/>
              </w:rPr>
            </w:pPr>
            <w:r w:rsidRPr="00FC1F5B">
              <w:rPr>
                <w:color w:val="000000"/>
                <w:sz w:val="18"/>
                <w:szCs w:val="18"/>
                <w:lang w:eastAsia="tr-TR"/>
              </w:rPr>
              <w:t>21,239,974</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C3403" w14:textId="77777777" w:rsidR="00B02AD6" w:rsidRPr="00FC1F5B" w:rsidRDefault="00B02AD6" w:rsidP="00B02AD6">
            <w:pPr>
              <w:jc w:val="right"/>
              <w:rPr>
                <w:color w:val="000000"/>
                <w:sz w:val="18"/>
                <w:szCs w:val="18"/>
                <w:lang w:eastAsia="tr-TR"/>
              </w:rPr>
            </w:pPr>
            <w:r w:rsidRPr="00FC1F5B">
              <w:rPr>
                <w:color w:val="000000"/>
                <w:sz w:val="18"/>
                <w:szCs w:val="18"/>
                <w:lang w:eastAsia="tr-TR"/>
              </w:rPr>
              <w:t>20,771,669</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44CBB" w14:textId="77777777" w:rsidR="00B02AD6" w:rsidRPr="00FC1F5B" w:rsidRDefault="00B02AD6" w:rsidP="00B02AD6">
            <w:pPr>
              <w:jc w:val="right"/>
              <w:rPr>
                <w:color w:val="000000"/>
                <w:sz w:val="18"/>
                <w:szCs w:val="18"/>
                <w:lang w:eastAsia="tr-TR"/>
              </w:rPr>
            </w:pPr>
            <w:r w:rsidRPr="00FC1F5B">
              <w:rPr>
                <w:color w:val="000000"/>
                <w:sz w:val="18"/>
                <w:szCs w:val="18"/>
                <w:lang w:eastAsia="tr-TR"/>
              </w:rPr>
              <w:t>21,239,974</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05C28" w14:textId="77777777" w:rsidR="00B02AD6" w:rsidRPr="00FC1F5B" w:rsidRDefault="00B02AD6" w:rsidP="00B02AD6">
            <w:pPr>
              <w:jc w:val="right"/>
              <w:rPr>
                <w:color w:val="000000"/>
                <w:sz w:val="18"/>
                <w:szCs w:val="18"/>
                <w:lang w:eastAsia="tr-TR"/>
              </w:rPr>
            </w:pPr>
            <w:r w:rsidRPr="00FC1F5B">
              <w:rPr>
                <w:color w:val="000000"/>
                <w:sz w:val="18"/>
                <w:szCs w:val="18"/>
                <w:lang w:eastAsia="tr-TR"/>
              </w:rPr>
              <w:t>20,771,669</w:t>
            </w:r>
          </w:p>
        </w:tc>
      </w:tr>
      <w:tr w:rsidR="00B02AD6" w:rsidRPr="00FC1F5B" w14:paraId="09FC8C01"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E5B79" w14:textId="77777777" w:rsidR="00B02AD6" w:rsidRPr="00FC1F5B" w:rsidRDefault="00B02AD6" w:rsidP="00B02AD6">
            <w:pPr>
              <w:jc w:val="right"/>
              <w:rPr>
                <w:color w:val="000000"/>
                <w:sz w:val="18"/>
                <w:szCs w:val="18"/>
                <w:lang w:eastAsia="tr-TR"/>
              </w:rPr>
            </w:pPr>
            <w:r w:rsidRPr="00FC1F5B">
              <w:rPr>
                <w:color w:val="000000"/>
                <w:sz w:val="18"/>
                <w:szCs w:val="18"/>
                <w:lang w:eastAsia="tr-TR"/>
              </w:rPr>
              <w:t>20</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8820E7"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TOPLAM NAKİT GİRİŞLERİ</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62FFC7"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32,599,267</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B6889"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29,072,892</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6112F"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30,761,779</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E0182"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28,575,818</w:t>
            </w:r>
          </w:p>
        </w:tc>
      </w:tr>
      <w:tr w:rsidR="00B02AD6" w:rsidRPr="00FC1F5B" w14:paraId="63494CC1"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3893C98C" w14:textId="77777777" w:rsidR="00B02AD6" w:rsidRPr="00FC1F5B" w:rsidRDefault="00B02AD6" w:rsidP="00B02AD6">
            <w:pPr>
              <w:rPr>
                <w:color w:val="7F7F7F" w:themeColor="text1" w:themeTint="80"/>
                <w:sz w:val="18"/>
                <w:szCs w:val="18"/>
                <w:lang w:eastAsia="tr-TR"/>
              </w:rPr>
            </w:pPr>
            <w:r w:rsidRPr="00FC1F5B">
              <w:rPr>
                <w:color w:val="7F7F7F" w:themeColor="text1" w:themeTint="80"/>
                <w:sz w:val="18"/>
                <w:szCs w:val="18"/>
                <w:lang w:eastAsia="tr-TR"/>
              </w:rPr>
              <w:t> </w:t>
            </w:r>
          </w:p>
        </w:tc>
        <w:tc>
          <w:tcPr>
            <w:tcW w:w="3988" w:type="dxa"/>
            <w:tcBorders>
              <w:top w:val="single" w:sz="4" w:space="0" w:color="auto"/>
              <w:left w:val="single" w:sz="4" w:space="0" w:color="auto"/>
              <w:bottom w:val="single" w:sz="4" w:space="0" w:color="auto"/>
            </w:tcBorders>
            <w:shd w:val="clear" w:color="auto" w:fill="D0CECE" w:themeFill="background2" w:themeFillShade="E6"/>
            <w:vAlign w:val="center"/>
            <w:hideMark/>
          </w:tcPr>
          <w:p w14:paraId="18A7C8C4" w14:textId="77777777" w:rsidR="00B02AD6" w:rsidRPr="00FC1F5B" w:rsidRDefault="00B02AD6" w:rsidP="00B02AD6">
            <w:pPr>
              <w:rPr>
                <w:color w:val="7F7F7F" w:themeColor="text1" w:themeTint="80"/>
                <w:sz w:val="18"/>
                <w:szCs w:val="18"/>
                <w:lang w:eastAsia="tr-TR"/>
              </w:rPr>
            </w:pPr>
            <w:r w:rsidRPr="00FC1F5B">
              <w:rPr>
                <w:color w:val="7F7F7F" w:themeColor="text1" w:themeTint="80"/>
                <w:sz w:val="18"/>
                <w:szCs w:val="18"/>
                <w:lang w:eastAsia="tr-TR"/>
              </w:rPr>
              <w:t> </w:t>
            </w:r>
          </w:p>
        </w:tc>
        <w:tc>
          <w:tcPr>
            <w:tcW w:w="1086" w:type="dxa"/>
            <w:tcBorders>
              <w:top w:val="single" w:sz="4" w:space="0" w:color="auto"/>
              <w:bottom w:val="single" w:sz="4" w:space="0" w:color="auto"/>
              <w:right w:val="single" w:sz="4" w:space="0" w:color="auto"/>
            </w:tcBorders>
            <w:shd w:val="clear" w:color="auto" w:fill="D0CECE" w:themeFill="background2" w:themeFillShade="E6"/>
            <w:noWrap/>
            <w:vAlign w:val="bottom"/>
            <w:hideMark/>
          </w:tcPr>
          <w:p w14:paraId="77CDD6EC" w14:textId="77777777" w:rsidR="00B02AD6" w:rsidRPr="00FC1F5B" w:rsidRDefault="00B02AD6" w:rsidP="00B02AD6">
            <w:pPr>
              <w:rPr>
                <w:color w:val="7F7F7F" w:themeColor="text1" w:themeTint="80"/>
                <w:sz w:val="18"/>
                <w:szCs w:val="18"/>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BB2621" w14:textId="77777777" w:rsidR="00B02AD6" w:rsidRPr="00FC1F5B" w:rsidRDefault="00B02AD6" w:rsidP="00B02AD6">
            <w:pPr>
              <w:jc w:val="right"/>
              <w:rPr>
                <w:b/>
                <w:bCs/>
                <w:color w:val="7F7F7F" w:themeColor="text1" w:themeTint="80"/>
                <w:sz w:val="18"/>
                <w:szCs w:val="18"/>
                <w:lang w:eastAsia="tr-TR"/>
              </w:rPr>
            </w:pPr>
            <w:r w:rsidRPr="00FC1F5B">
              <w:rPr>
                <w:b/>
                <w:bCs/>
                <w:color w:val="7F7F7F" w:themeColor="text1" w:themeTint="8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CB28658"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 </w:t>
            </w:r>
          </w:p>
        </w:tc>
        <w:tc>
          <w:tcPr>
            <w:tcW w:w="19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D8CD50"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Üst Sınır Uygulanmış Değer</w:t>
            </w:r>
          </w:p>
        </w:tc>
      </w:tr>
      <w:tr w:rsidR="00B02AD6" w:rsidRPr="00FC1F5B" w14:paraId="472245FD"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126806" w14:textId="77777777" w:rsidR="00B02AD6" w:rsidRPr="00FC1F5B" w:rsidRDefault="00B02AD6" w:rsidP="00B02AD6">
            <w:pPr>
              <w:jc w:val="right"/>
              <w:rPr>
                <w:color w:val="000000"/>
                <w:sz w:val="18"/>
                <w:szCs w:val="18"/>
                <w:lang w:eastAsia="tr-TR"/>
              </w:rPr>
            </w:pPr>
            <w:r w:rsidRPr="00FC1F5B">
              <w:rPr>
                <w:color w:val="000000"/>
                <w:sz w:val="18"/>
                <w:szCs w:val="18"/>
                <w:lang w:eastAsia="tr-TR"/>
              </w:rPr>
              <w:t>21</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2D74D6"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TOPLAM YKLV STOKU</w:t>
            </w: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E81A99"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05125F1"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295788"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31,202,074</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FD319"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16,901,808</w:t>
            </w:r>
          </w:p>
        </w:tc>
      </w:tr>
      <w:tr w:rsidR="00B02AD6" w:rsidRPr="00FC1F5B" w14:paraId="436EF689"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3E7EF" w14:textId="77777777" w:rsidR="00B02AD6" w:rsidRPr="00FC1F5B" w:rsidRDefault="00B02AD6" w:rsidP="00B02AD6">
            <w:pPr>
              <w:jc w:val="right"/>
              <w:rPr>
                <w:color w:val="000000"/>
                <w:sz w:val="18"/>
                <w:szCs w:val="18"/>
                <w:lang w:eastAsia="tr-TR"/>
              </w:rPr>
            </w:pPr>
            <w:r w:rsidRPr="00FC1F5B">
              <w:rPr>
                <w:color w:val="000000"/>
                <w:sz w:val="18"/>
                <w:szCs w:val="18"/>
                <w:lang w:eastAsia="tr-TR"/>
              </w:rPr>
              <w:t>22</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457A51"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TOPLAM NET NAKİT ÇIKIŞLARI</w:t>
            </w: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6723BA2"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7669743"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59DEA"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9,392,122</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7D2CE"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5,251,482</w:t>
            </w:r>
          </w:p>
        </w:tc>
      </w:tr>
      <w:tr w:rsidR="00B02AD6" w:rsidRPr="00FC1F5B" w14:paraId="2F735B0E" w14:textId="77777777" w:rsidTr="006B1072">
        <w:trPr>
          <w:divId w:val="1935673154"/>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4CD79" w14:textId="77777777" w:rsidR="00B02AD6" w:rsidRPr="00FC1F5B" w:rsidRDefault="00B02AD6" w:rsidP="00B02AD6">
            <w:pPr>
              <w:jc w:val="right"/>
              <w:rPr>
                <w:color w:val="000000"/>
                <w:sz w:val="18"/>
                <w:szCs w:val="18"/>
                <w:lang w:eastAsia="tr-TR"/>
              </w:rPr>
            </w:pPr>
            <w:r w:rsidRPr="00FC1F5B">
              <w:rPr>
                <w:color w:val="000000"/>
                <w:sz w:val="18"/>
                <w:szCs w:val="18"/>
                <w:lang w:eastAsia="tr-TR"/>
              </w:rPr>
              <w:t>23</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7B5D6B"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LİKİDİTE KARŞILAMA ORANI (%)</w:t>
            </w: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BBB022"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A60CF2A"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82452"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332.22</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6421E"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321.85</w:t>
            </w:r>
          </w:p>
        </w:tc>
      </w:tr>
    </w:tbl>
    <w:p w14:paraId="0FE9A6BE" w14:textId="0F383397" w:rsidR="00712DD0" w:rsidRPr="00B02AD6" w:rsidRDefault="00712DD0" w:rsidP="00C35E6D">
      <w:pPr>
        <w:autoSpaceDE w:val="0"/>
        <w:autoSpaceDN w:val="0"/>
        <w:adjustRightInd w:val="0"/>
        <w:rPr>
          <w:bCs/>
          <w:snapToGrid w:val="0"/>
          <w:sz w:val="16"/>
          <w:szCs w:val="16"/>
        </w:rPr>
      </w:pPr>
    </w:p>
    <w:p w14:paraId="11AE6DB1" w14:textId="77777777" w:rsidR="0067330F" w:rsidRPr="00B02AD6" w:rsidRDefault="0067330F" w:rsidP="00C35E6D">
      <w:pPr>
        <w:autoSpaceDE w:val="0"/>
        <w:autoSpaceDN w:val="0"/>
        <w:adjustRightInd w:val="0"/>
        <w:rPr>
          <w:bCs/>
          <w:snapToGrid w:val="0"/>
          <w:sz w:val="16"/>
          <w:szCs w:val="16"/>
        </w:rPr>
      </w:pPr>
      <w:r w:rsidRPr="00B02AD6">
        <w:rPr>
          <w:bCs/>
          <w:snapToGrid w:val="0"/>
          <w:sz w:val="16"/>
          <w:szCs w:val="16"/>
        </w:rPr>
        <w:t>(*)</w:t>
      </w:r>
      <w:r w:rsidR="00434B1F" w:rsidRPr="00B02AD6">
        <w:rPr>
          <w:bCs/>
          <w:snapToGrid w:val="0"/>
          <w:sz w:val="16"/>
          <w:szCs w:val="16"/>
        </w:rPr>
        <w:t xml:space="preserve"> </w:t>
      </w:r>
      <w:r w:rsidR="00892430" w:rsidRPr="00B02AD6">
        <w:rPr>
          <w:bCs/>
          <w:snapToGrid w:val="0"/>
          <w:sz w:val="16"/>
          <w:szCs w:val="16"/>
        </w:rPr>
        <w:t>Aylık</w:t>
      </w:r>
      <w:r w:rsidR="00C35E6D" w:rsidRPr="00B02AD6">
        <w:rPr>
          <w:bCs/>
          <w:snapToGrid w:val="0"/>
          <w:sz w:val="16"/>
          <w:szCs w:val="16"/>
        </w:rPr>
        <w:t xml:space="preserve"> basit aritmetik ortalama alınmak suretiyle hesaplanan değerlerin son üç ay için hesaplanan basit aritmetik ortalaması.</w:t>
      </w:r>
      <w:r w:rsidRPr="00B02AD6">
        <w:rPr>
          <w:bCs/>
          <w:snapToGrid w:val="0"/>
          <w:sz w:val="16"/>
          <w:szCs w:val="16"/>
        </w:rPr>
        <w:t xml:space="preserve"> </w:t>
      </w:r>
    </w:p>
    <w:p w14:paraId="6BB2C849" w14:textId="77777777" w:rsidR="00712DD0" w:rsidRPr="00B02AD6" w:rsidRDefault="00712DD0" w:rsidP="00C35E6D">
      <w:pPr>
        <w:autoSpaceDE w:val="0"/>
        <w:autoSpaceDN w:val="0"/>
        <w:adjustRightInd w:val="0"/>
        <w:rPr>
          <w:sz w:val="16"/>
          <w:szCs w:val="16"/>
          <w:lang w:eastAsia="tr-TR"/>
        </w:rPr>
      </w:pPr>
    </w:p>
    <w:p w14:paraId="44BA8012" w14:textId="53864714" w:rsidR="0067330F" w:rsidRPr="00B02AD6" w:rsidRDefault="005C3D51" w:rsidP="00712DD0">
      <w:pPr>
        <w:jc w:val="both"/>
      </w:pPr>
      <w:r w:rsidRPr="00B02AD6">
        <w:rPr>
          <w:bCs/>
          <w:snapToGrid w:val="0"/>
        </w:rPr>
        <w:t xml:space="preserve">1 Ocak </w:t>
      </w:r>
      <w:r w:rsidR="008A4F00" w:rsidRPr="00B02AD6">
        <w:rPr>
          <w:bCs/>
          <w:snapToGrid w:val="0"/>
        </w:rPr>
        <w:t>–</w:t>
      </w:r>
      <w:r w:rsidRPr="00B02AD6">
        <w:rPr>
          <w:bCs/>
          <w:snapToGrid w:val="0"/>
        </w:rPr>
        <w:t xml:space="preserve"> </w:t>
      </w:r>
      <w:r w:rsidR="005774FC" w:rsidRPr="00B02AD6">
        <w:t>30 Eylül 2020</w:t>
      </w:r>
      <w:r w:rsidR="00674CA4" w:rsidRPr="00B02AD6">
        <w:rPr>
          <w:rFonts w:eastAsia="Arial Unicode MS"/>
        </w:rPr>
        <w:t xml:space="preserve"> </w:t>
      </w:r>
      <w:r w:rsidR="00450AEB" w:rsidRPr="00B02AD6">
        <w:t>dönemin</w:t>
      </w:r>
      <w:r w:rsidR="008815B8" w:rsidRPr="00B02AD6">
        <w:t xml:space="preserve">de haftalık periyotlar ile hesaplanan </w:t>
      </w:r>
      <w:r w:rsidR="0067330F" w:rsidRPr="00B02AD6">
        <w:t>e</w:t>
      </w:r>
      <w:r w:rsidR="00984B6A" w:rsidRPr="00B02AD6">
        <w:t>n düşük, en yüksek ve ortalama likidite karşılama o</w:t>
      </w:r>
      <w:r w:rsidR="0067330F" w:rsidRPr="00B02AD6">
        <w:t>ranları aşağıdaki tabloda yer almaktadır.</w:t>
      </w:r>
    </w:p>
    <w:p w14:paraId="007E6529" w14:textId="49FDA4F5" w:rsidR="00B02AD6" w:rsidRPr="00311DAB" w:rsidRDefault="00B02AD6" w:rsidP="0067330F">
      <w:pPr>
        <w:rPr>
          <w:lang w:eastAsia="en-GB"/>
        </w:rPr>
      </w:pPr>
    </w:p>
    <w:tbl>
      <w:tblPr>
        <w:tblW w:w="9434" w:type="dxa"/>
        <w:tblCellMar>
          <w:left w:w="70" w:type="dxa"/>
          <w:right w:w="70" w:type="dxa"/>
        </w:tblCellMar>
        <w:tblLook w:val="04A0" w:firstRow="1" w:lastRow="0" w:firstColumn="1" w:lastColumn="0" w:noHBand="0" w:noVBand="1"/>
      </w:tblPr>
      <w:tblGrid>
        <w:gridCol w:w="3431"/>
        <w:gridCol w:w="1310"/>
        <w:gridCol w:w="1317"/>
        <w:gridCol w:w="1103"/>
        <w:gridCol w:w="1118"/>
        <w:gridCol w:w="1155"/>
      </w:tblGrid>
      <w:tr w:rsidR="00B02AD6" w:rsidRPr="00B02AD6" w14:paraId="28CBF038" w14:textId="77777777" w:rsidTr="006B1072">
        <w:trPr>
          <w:divId w:val="1679306325"/>
          <w:trHeight w:val="267"/>
        </w:trPr>
        <w:tc>
          <w:tcPr>
            <w:tcW w:w="3431" w:type="dxa"/>
            <w:tcBorders>
              <w:top w:val="single" w:sz="8" w:space="0" w:color="000000"/>
              <w:left w:val="single" w:sz="8" w:space="0" w:color="000000"/>
              <w:bottom w:val="dotted" w:sz="4" w:space="0" w:color="000000"/>
              <w:right w:val="dotted" w:sz="4" w:space="0" w:color="000000"/>
            </w:tcBorders>
            <w:shd w:val="clear" w:color="auto" w:fill="D0CECE" w:themeFill="background2" w:themeFillShade="E6"/>
            <w:vAlign w:val="center"/>
            <w:hideMark/>
          </w:tcPr>
          <w:p w14:paraId="0EABCDC6" w14:textId="2E515032" w:rsidR="00B02AD6" w:rsidRPr="00B02AD6" w:rsidRDefault="00B02AD6" w:rsidP="00B02AD6">
            <w:pPr>
              <w:rPr>
                <w:color w:val="000000"/>
                <w:lang w:eastAsia="tr-TR"/>
              </w:rPr>
            </w:pPr>
            <w:r w:rsidRPr="00B02AD6">
              <w:rPr>
                <w:color w:val="000000"/>
                <w:lang w:eastAsia="tr-TR"/>
              </w:rPr>
              <w:t> </w:t>
            </w:r>
          </w:p>
        </w:tc>
        <w:tc>
          <w:tcPr>
            <w:tcW w:w="1310" w:type="dxa"/>
            <w:tcBorders>
              <w:top w:val="single" w:sz="8" w:space="0" w:color="000000"/>
              <w:left w:val="nil"/>
              <w:bottom w:val="dotted" w:sz="4" w:space="0" w:color="000000"/>
              <w:right w:val="dotted" w:sz="4" w:space="0" w:color="000000"/>
            </w:tcBorders>
            <w:shd w:val="clear" w:color="auto" w:fill="auto"/>
            <w:vAlign w:val="center"/>
            <w:hideMark/>
          </w:tcPr>
          <w:p w14:paraId="7001E331" w14:textId="77777777" w:rsidR="00B02AD6" w:rsidRPr="00B02AD6" w:rsidRDefault="00B02AD6" w:rsidP="00B02AD6">
            <w:pPr>
              <w:jc w:val="right"/>
              <w:rPr>
                <w:b/>
                <w:bCs/>
                <w:color w:val="000000"/>
                <w:sz w:val="18"/>
                <w:szCs w:val="18"/>
                <w:lang w:eastAsia="tr-TR"/>
              </w:rPr>
            </w:pPr>
            <w:r w:rsidRPr="00B02AD6">
              <w:rPr>
                <w:b/>
                <w:bCs/>
                <w:color w:val="000000"/>
                <w:sz w:val="18"/>
                <w:szCs w:val="18"/>
                <w:lang w:eastAsia="tr-TR"/>
              </w:rPr>
              <w:t>En Yüksek</w:t>
            </w:r>
          </w:p>
        </w:tc>
        <w:tc>
          <w:tcPr>
            <w:tcW w:w="1317" w:type="dxa"/>
            <w:tcBorders>
              <w:top w:val="single" w:sz="8" w:space="0" w:color="000000"/>
              <w:left w:val="nil"/>
              <w:bottom w:val="dotted" w:sz="4" w:space="0" w:color="000000"/>
              <w:right w:val="dotted" w:sz="4" w:space="0" w:color="000000"/>
            </w:tcBorders>
            <w:shd w:val="clear" w:color="auto" w:fill="auto"/>
            <w:vAlign w:val="center"/>
            <w:hideMark/>
          </w:tcPr>
          <w:p w14:paraId="1375CCD5" w14:textId="77777777" w:rsidR="00B02AD6" w:rsidRPr="00B02AD6" w:rsidRDefault="00B02AD6" w:rsidP="00B02AD6">
            <w:pPr>
              <w:jc w:val="right"/>
              <w:rPr>
                <w:b/>
                <w:bCs/>
                <w:color w:val="000000"/>
                <w:sz w:val="18"/>
                <w:szCs w:val="18"/>
                <w:lang w:eastAsia="tr-TR"/>
              </w:rPr>
            </w:pPr>
            <w:r w:rsidRPr="00B02AD6">
              <w:rPr>
                <w:b/>
                <w:bCs/>
                <w:color w:val="000000"/>
                <w:sz w:val="18"/>
                <w:szCs w:val="18"/>
                <w:lang w:eastAsia="tr-TR"/>
              </w:rPr>
              <w:t>Tarih</w:t>
            </w:r>
          </w:p>
        </w:tc>
        <w:tc>
          <w:tcPr>
            <w:tcW w:w="1103" w:type="dxa"/>
            <w:tcBorders>
              <w:top w:val="single" w:sz="8" w:space="0" w:color="000000"/>
              <w:left w:val="nil"/>
              <w:bottom w:val="dotted" w:sz="4" w:space="0" w:color="000000"/>
              <w:right w:val="dotted" w:sz="4" w:space="0" w:color="000000"/>
            </w:tcBorders>
            <w:shd w:val="clear" w:color="auto" w:fill="auto"/>
            <w:vAlign w:val="center"/>
            <w:hideMark/>
          </w:tcPr>
          <w:p w14:paraId="293FCEF0" w14:textId="77777777" w:rsidR="00B02AD6" w:rsidRPr="00B02AD6" w:rsidRDefault="00B02AD6" w:rsidP="00B02AD6">
            <w:pPr>
              <w:jc w:val="right"/>
              <w:rPr>
                <w:b/>
                <w:bCs/>
                <w:color w:val="000000"/>
                <w:sz w:val="18"/>
                <w:szCs w:val="18"/>
                <w:lang w:eastAsia="tr-TR"/>
              </w:rPr>
            </w:pPr>
            <w:r w:rsidRPr="00B02AD6">
              <w:rPr>
                <w:b/>
                <w:bCs/>
                <w:color w:val="000000"/>
                <w:sz w:val="18"/>
                <w:szCs w:val="18"/>
                <w:lang w:eastAsia="tr-TR"/>
              </w:rPr>
              <w:t>En Düşük</w:t>
            </w:r>
          </w:p>
        </w:tc>
        <w:tc>
          <w:tcPr>
            <w:tcW w:w="1118" w:type="dxa"/>
            <w:tcBorders>
              <w:top w:val="single" w:sz="8" w:space="0" w:color="000000"/>
              <w:left w:val="nil"/>
              <w:bottom w:val="dotted" w:sz="4" w:space="0" w:color="000000"/>
              <w:right w:val="dotted" w:sz="4" w:space="0" w:color="000000"/>
            </w:tcBorders>
            <w:shd w:val="clear" w:color="auto" w:fill="auto"/>
            <w:vAlign w:val="center"/>
            <w:hideMark/>
          </w:tcPr>
          <w:p w14:paraId="0FF29293" w14:textId="77777777" w:rsidR="00B02AD6" w:rsidRPr="00B02AD6" w:rsidRDefault="00B02AD6" w:rsidP="00B02AD6">
            <w:pPr>
              <w:jc w:val="right"/>
              <w:rPr>
                <w:b/>
                <w:bCs/>
                <w:color w:val="000000"/>
                <w:sz w:val="18"/>
                <w:szCs w:val="18"/>
                <w:lang w:eastAsia="tr-TR"/>
              </w:rPr>
            </w:pPr>
            <w:r w:rsidRPr="00B02AD6">
              <w:rPr>
                <w:b/>
                <w:bCs/>
                <w:color w:val="000000"/>
                <w:sz w:val="18"/>
                <w:szCs w:val="18"/>
                <w:lang w:eastAsia="tr-TR"/>
              </w:rPr>
              <w:t>Tarih</w:t>
            </w:r>
          </w:p>
        </w:tc>
        <w:tc>
          <w:tcPr>
            <w:tcW w:w="1155" w:type="dxa"/>
            <w:tcBorders>
              <w:top w:val="single" w:sz="8" w:space="0" w:color="000000"/>
              <w:left w:val="nil"/>
              <w:bottom w:val="dotted" w:sz="4" w:space="0" w:color="000000"/>
              <w:right w:val="single" w:sz="8" w:space="0" w:color="000000"/>
            </w:tcBorders>
            <w:shd w:val="clear" w:color="auto" w:fill="auto"/>
            <w:vAlign w:val="center"/>
            <w:hideMark/>
          </w:tcPr>
          <w:p w14:paraId="67EDCC85" w14:textId="77777777" w:rsidR="00B02AD6" w:rsidRPr="00B02AD6" w:rsidRDefault="00B02AD6" w:rsidP="00B02AD6">
            <w:pPr>
              <w:jc w:val="right"/>
              <w:rPr>
                <w:b/>
                <w:bCs/>
                <w:color w:val="000000"/>
                <w:sz w:val="18"/>
                <w:szCs w:val="18"/>
                <w:lang w:eastAsia="tr-TR"/>
              </w:rPr>
            </w:pPr>
            <w:r w:rsidRPr="00B02AD6">
              <w:rPr>
                <w:b/>
                <w:bCs/>
                <w:color w:val="000000"/>
                <w:sz w:val="18"/>
                <w:szCs w:val="18"/>
                <w:lang w:eastAsia="tr-TR"/>
              </w:rPr>
              <w:t>Ortalama</w:t>
            </w:r>
          </w:p>
        </w:tc>
      </w:tr>
      <w:tr w:rsidR="00B02AD6" w:rsidRPr="00B02AD6" w14:paraId="4EF0DD2D" w14:textId="77777777" w:rsidTr="006B1072">
        <w:trPr>
          <w:divId w:val="1679306325"/>
          <w:trHeight w:val="267"/>
        </w:trPr>
        <w:tc>
          <w:tcPr>
            <w:tcW w:w="3431" w:type="dxa"/>
            <w:tcBorders>
              <w:top w:val="nil"/>
              <w:left w:val="single" w:sz="8" w:space="0" w:color="000000"/>
              <w:bottom w:val="dotted" w:sz="4" w:space="0" w:color="000000"/>
              <w:right w:val="dotted" w:sz="4" w:space="0" w:color="000000"/>
            </w:tcBorders>
            <w:shd w:val="clear" w:color="auto" w:fill="auto"/>
            <w:vAlign w:val="center"/>
            <w:hideMark/>
          </w:tcPr>
          <w:p w14:paraId="32CB6F62" w14:textId="77777777" w:rsidR="00B02AD6" w:rsidRPr="00B02AD6" w:rsidRDefault="00B02AD6" w:rsidP="00B02AD6">
            <w:pPr>
              <w:rPr>
                <w:color w:val="000000"/>
                <w:sz w:val="18"/>
                <w:szCs w:val="18"/>
                <w:lang w:eastAsia="tr-TR"/>
              </w:rPr>
            </w:pPr>
            <w:r w:rsidRPr="00B02AD6">
              <w:rPr>
                <w:bCs/>
                <w:color w:val="000000"/>
                <w:sz w:val="18"/>
                <w:szCs w:val="18"/>
                <w:lang w:eastAsia="tr-TR"/>
              </w:rPr>
              <w:t>TP+YP</w:t>
            </w:r>
          </w:p>
        </w:tc>
        <w:tc>
          <w:tcPr>
            <w:tcW w:w="1310" w:type="dxa"/>
            <w:tcBorders>
              <w:top w:val="nil"/>
              <w:left w:val="nil"/>
              <w:bottom w:val="dotted" w:sz="4" w:space="0" w:color="000000"/>
              <w:right w:val="dotted" w:sz="4" w:space="0" w:color="000000"/>
            </w:tcBorders>
            <w:shd w:val="clear" w:color="auto" w:fill="auto"/>
            <w:vAlign w:val="center"/>
            <w:hideMark/>
          </w:tcPr>
          <w:p w14:paraId="417CD0AD" w14:textId="77777777" w:rsidR="00B02AD6" w:rsidRPr="00B02AD6" w:rsidRDefault="00B02AD6" w:rsidP="00B02AD6">
            <w:pPr>
              <w:jc w:val="right"/>
              <w:rPr>
                <w:color w:val="000000"/>
                <w:sz w:val="18"/>
                <w:szCs w:val="22"/>
                <w:lang w:eastAsia="tr-TR"/>
              </w:rPr>
            </w:pPr>
            <w:r w:rsidRPr="00B02AD6">
              <w:rPr>
                <w:color w:val="000000"/>
                <w:sz w:val="18"/>
                <w:szCs w:val="22"/>
                <w:lang w:eastAsia="tr-TR"/>
              </w:rPr>
              <w:t>422.95</w:t>
            </w:r>
          </w:p>
        </w:tc>
        <w:tc>
          <w:tcPr>
            <w:tcW w:w="1317" w:type="dxa"/>
            <w:tcBorders>
              <w:top w:val="nil"/>
              <w:left w:val="nil"/>
              <w:bottom w:val="dotted" w:sz="4" w:space="0" w:color="000000"/>
              <w:right w:val="dotted" w:sz="4" w:space="0" w:color="000000"/>
            </w:tcBorders>
            <w:shd w:val="clear" w:color="auto" w:fill="auto"/>
            <w:vAlign w:val="center"/>
            <w:hideMark/>
          </w:tcPr>
          <w:p w14:paraId="6C5E6106" w14:textId="77777777" w:rsidR="00B02AD6" w:rsidRPr="00B02AD6" w:rsidRDefault="00B02AD6" w:rsidP="00B02AD6">
            <w:pPr>
              <w:jc w:val="right"/>
              <w:rPr>
                <w:color w:val="000000"/>
                <w:sz w:val="18"/>
                <w:szCs w:val="22"/>
                <w:lang w:eastAsia="tr-TR"/>
              </w:rPr>
            </w:pPr>
            <w:r w:rsidRPr="00B02AD6">
              <w:rPr>
                <w:color w:val="000000"/>
                <w:sz w:val="18"/>
                <w:szCs w:val="22"/>
                <w:lang w:eastAsia="tr-TR"/>
              </w:rPr>
              <w:t>29/05/2020</w:t>
            </w:r>
          </w:p>
        </w:tc>
        <w:tc>
          <w:tcPr>
            <w:tcW w:w="1103" w:type="dxa"/>
            <w:tcBorders>
              <w:top w:val="nil"/>
              <w:left w:val="nil"/>
              <w:bottom w:val="dotted" w:sz="4" w:space="0" w:color="000000"/>
              <w:right w:val="dotted" w:sz="4" w:space="0" w:color="000000"/>
            </w:tcBorders>
            <w:shd w:val="clear" w:color="auto" w:fill="auto"/>
            <w:vAlign w:val="center"/>
            <w:hideMark/>
          </w:tcPr>
          <w:p w14:paraId="7BBD1DC2" w14:textId="77777777" w:rsidR="00B02AD6" w:rsidRPr="00B02AD6" w:rsidRDefault="00B02AD6" w:rsidP="00B02AD6">
            <w:pPr>
              <w:jc w:val="right"/>
              <w:rPr>
                <w:color w:val="000000"/>
                <w:sz w:val="18"/>
                <w:szCs w:val="22"/>
                <w:lang w:eastAsia="tr-TR"/>
              </w:rPr>
            </w:pPr>
            <w:r w:rsidRPr="00B02AD6">
              <w:rPr>
                <w:color w:val="000000"/>
                <w:sz w:val="18"/>
                <w:szCs w:val="22"/>
                <w:lang w:eastAsia="tr-TR"/>
              </w:rPr>
              <w:t>260.25</w:t>
            </w:r>
          </w:p>
        </w:tc>
        <w:tc>
          <w:tcPr>
            <w:tcW w:w="1118" w:type="dxa"/>
            <w:tcBorders>
              <w:top w:val="nil"/>
              <w:left w:val="nil"/>
              <w:bottom w:val="dotted" w:sz="4" w:space="0" w:color="000000"/>
              <w:right w:val="dotted" w:sz="4" w:space="0" w:color="000000"/>
            </w:tcBorders>
            <w:shd w:val="clear" w:color="auto" w:fill="auto"/>
            <w:vAlign w:val="center"/>
            <w:hideMark/>
          </w:tcPr>
          <w:p w14:paraId="212BA1FA" w14:textId="77777777" w:rsidR="00B02AD6" w:rsidRPr="00B02AD6" w:rsidRDefault="00B02AD6" w:rsidP="00B02AD6">
            <w:pPr>
              <w:jc w:val="right"/>
              <w:rPr>
                <w:color w:val="000000"/>
                <w:sz w:val="18"/>
                <w:szCs w:val="22"/>
                <w:lang w:eastAsia="tr-TR"/>
              </w:rPr>
            </w:pPr>
            <w:r w:rsidRPr="00B02AD6">
              <w:rPr>
                <w:color w:val="000000"/>
                <w:sz w:val="18"/>
                <w:szCs w:val="22"/>
                <w:lang w:eastAsia="tr-TR"/>
              </w:rPr>
              <w:t>17/04/2020</w:t>
            </w:r>
          </w:p>
        </w:tc>
        <w:tc>
          <w:tcPr>
            <w:tcW w:w="1155" w:type="dxa"/>
            <w:tcBorders>
              <w:top w:val="nil"/>
              <w:left w:val="nil"/>
              <w:bottom w:val="dotted" w:sz="4" w:space="0" w:color="000000"/>
              <w:right w:val="single" w:sz="8" w:space="0" w:color="000000"/>
            </w:tcBorders>
            <w:shd w:val="clear" w:color="auto" w:fill="auto"/>
            <w:vAlign w:val="center"/>
            <w:hideMark/>
          </w:tcPr>
          <w:p w14:paraId="21F1A919" w14:textId="77777777" w:rsidR="00B02AD6" w:rsidRPr="00B02AD6" w:rsidRDefault="00B02AD6" w:rsidP="00B02AD6">
            <w:pPr>
              <w:jc w:val="right"/>
              <w:rPr>
                <w:color w:val="000000"/>
                <w:sz w:val="18"/>
                <w:szCs w:val="22"/>
                <w:lang w:eastAsia="tr-TR"/>
              </w:rPr>
            </w:pPr>
            <w:r w:rsidRPr="00B02AD6">
              <w:rPr>
                <w:color w:val="000000"/>
                <w:sz w:val="18"/>
                <w:szCs w:val="22"/>
                <w:lang w:eastAsia="tr-TR"/>
              </w:rPr>
              <w:t>343.92</w:t>
            </w:r>
          </w:p>
        </w:tc>
      </w:tr>
      <w:tr w:rsidR="00B02AD6" w:rsidRPr="00B02AD6" w14:paraId="524EA65E" w14:textId="77777777" w:rsidTr="006B1072">
        <w:trPr>
          <w:divId w:val="1679306325"/>
          <w:trHeight w:val="280"/>
        </w:trPr>
        <w:tc>
          <w:tcPr>
            <w:tcW w:w="3431" w:type="dxa"/>
            <w:tcBorders>
              <w:top w:val="nil"/>
              <w:left w:val="single" w:sz="8" w:space="0" w:color="000000"/>
              <w:bottom w:val="single" w:sz="8" w:space="0" w:color="000000"/>
              <w:right w:val="dotted" w:sz="4" w:space="0" w:color="000000"/>
            </w:tcBorders>
            <w:shd w:val="clear" w:color="auto" w:fill="auto"/>
            <w:vAlign w:val="center"/>
            <w:hideMark/>
          </w:tcPr>
          <w:p w14:paraId="0961F0ED" w14:textId="77777777" w:rsidR="00B02AD6" w:rsidRPr="00B02AD6" w:rsidRDefault="00B02AD6" w:rsidP="00B02AD6">
            <w:pPr>
              <w:rPr>
                <w:color w:val="000000"/>
                <w:sz w:val="18"/>
                <w:szCs w:val="18"/>
                <w:lang w:eastAsia="tr-TR"/>
              </w:rPr>
            </w:pPr>
            <w:r w:rsidRPr="00B02AD6">
              <w:rPr>
                <w:bCs/>
                <w:color w:val="000000"/>
                <w:sz w:val="18"/>
                <w:szCs w:val="18"/>
                <w:lang w:eastAsia="tr-TR"/>
              </w:rPr>
              <w:t>YP</w:t>
            </w:r>
          </w:p>
        </w:tc>
        <w:tc>
          <w:tcPr>
            <w:tcW w:w="1310" w:type="dxa"/>
            <w:tcBorders>
              <w:top w:val="nil"/>
              <w:left w:val="nil"/>
              <w:bottom w:val="single" w:sz="8" w:space="0" w:color="000000"/>
              <w:right w:val="dotted" w:sz="4" w:space="0" w:color="000000"/>
            </w:tcBorders>
            <w:shd w:val="clear" w:color="auto" w:fill="auto"/>
            <w:vAlign w:val="center"/>
            <w:hideMark/>
          </w:tcPr>
          <w:p w14:paraId="0D6464F4" w14:textId="77777777" w:rsidR="00B02AD6" w:rsidRPr="00B02AD6" w:rsidRDefault="00B02AD6" w:rsidP="00B02AD6">
            <w:pPr>
              <w:jc w:val="right"/>
              <w:rPr>
                <w:color w:val="000000"/>
                <w:sz w:val="18"/>
                <w:szCs w:val="22"/>
                <w:lang w:eastAsia="tr-TR"/>
              </w:rPr>
            </w:pPr>
            <w:r w:rsidRPr="00B02AD6">
              <w:rPr>
                <w:color w:val="000000"/>
                <w:sz w:val="18"/>
                <w:szCs w:val="22"/>
                <w:lang w:eastAsia="tr-TR"/>
              </w:rPr>
              <w:t>508.85</w:t>
            </w:r>
          </w:p>
        </w:tc>
        <w:tc>
          <w:tcPr>
            <w:tcW w:w="1317" w:type="dxa"/>
            <w:tcBorders>
              <w:top w:val="nil"/>
              <w:left w:val="nil"/>
              <w:bottom w:val="single" w:sz="8" w:space="0" w:color="000000"/>
              <w:right w:val="dotted" w:sz="4" w:space="0" w:color="000000"/>
            </w:tcBorders>
            <w:shd w:val="clear" w:color="auto" w:fill="auto"/>
            <w:vAlign w:val="center"/>
            <w:hideMark/>
          </w:tcPr>
          <w:p w14:paraId="5F81A899" w14:textId="77777777" w:rsidR="00B02AD6" w:rsidRPr="00B02AD6" w:rsidRDefault="00B02AD6" w:rsidP="00B02AD6">
            <w:pPr>
              <w:jc w:val="right"/>
              <w:rPr>
                <w:color w:val="000000"/>
                <w:sz w:val="18"/>
                <w:szCs w:val="22"/>
                <w:lang w:eastAsia="tr-TR"/>
              </w:rPr>
            </w:pPr>
            <w:r w:rsidRPr="00B02AD6">
              <w:rPr>
                <w:color w:val="000000"/>
                <w:sz w:val="18"/>
                <w:szCs w:val="22"/>
                <w:lang w:eastAsia="tr-TR"/>
              </w:rPr>
              <w:t>21/02/2020</w:t>
            </w:r>
          </w:p>
        </w:tc>
        <w:tc>
          <w:tcPr>
            <w:tcW w:w="1103" w:type="dxa"/>
            <w:tcBorders>
              <w:top w:val="nil"/>
              <w:left w:val="nil"/>
              <w:bottom w:val="single" w:sz="8" w:space="0" w:color="000000"/>
              <w:right w:val="dotted" w:sz="4" w:space="0" w:color="000000"/>
            </w:tcBorders>
            <w:shd w:val="clear" w:color="auto" w:fill="auto"/>
            <w:vAlign w:val="center"/>
            <w:hideMark/>
          </w:tcPr>
          <w:p w14:paraId="0C2DEC1F" w14:textId="77777777" w:rsidR="00B02AD6" w:rsidRPr="00B02AD6" w:rsidRDefault="00B02AD6" w:rsidP="00B02AD6">
            <w:pPr>
              <w:jc w:val="right"/>
              <w:rPr>
                <w:color w:val="000000"/>
                <w:sz w:val="18"/>
                <w:szCs w:val="22"/>
                <w:lang w:eastAsia="tr-TR"/>
              </w:rPr>
            </w:pPr>
            <w:r w:rsidRPr="00B02AD6">
              <w:rPr>
                <w:color w:val="000000"/>
                <w:sz w:val="18"/>
                <w:szCs w:val="22"/>
                <w:lang w:eastAsia="tr-TR"/>
              </w:rPr>
              <w:t>211.65</w:t>
            </w:r>
          </w:p>
        </w:tc>
        <w:tc>
          <w:tcPr>
            <w:tcW w:w="1118" w:type="dxa"/>
            <w:tcBorders>
              <w:top w:val="nil"/>
              <w:left w:val="nil"/>
              <w:bottom w:val="single" w:sz="8" w:space="0" w:color="000000"/>
              <w:right w:val="dotted" w:sz="4" w:space="0" w:color="000000"/>
            </w:tcBorders>
            <w:shd w:val="clear" w:color="auto" w:fill="auto"/>
            <w:vAlign w:val="center"/>
            <w:hideMark/>
          </w:tcPr>
          <w:p w14:paraId="58C82260" w14:textId="77777777" w:rsidR="00B02AD6" w:rsidRPr="00B02AD6" w:rsidRDefault="00B02AD6" w:rsidP="00B02AD6">
            <w:pPr>
              <w:jc w:val="right"/>
              <w:rPr>
                <w:color w:val="000000"/>
                <w:sz w:val="18"/>
                <w:szCs w:val="22"/>
                <w:lang w:eastAsia="tr-TR"/>
              </w:rPr>
            </w:pPr>
            <w:r w:rsidRPr="00B02AD6">
              <w:rPr>
                <w:color w:val="000000"/>
                <w:sz w:val="18"/>
                <w:szCs w:val="22"/>
                <w:lang w:eastAsia="tr-TR"/>
              </w:rPr>
              <w:t>01/05/2020</w:t>
            </w:r>
          </w:p>
        </w:tc>
        <w:tc>
          <w:tcPr>
            <w:tcW w:w="1155" w:type="dxa"/>
            <w:tcBorders>
              <w:top w:val="nil"/>
              <w:left w:val="nil"/>
              <w:bottom w:val="single" w:sz="8" w:space="0" w:color="000000"/>
              <w:right w:val="single" w:sz="8" w:space="0" w:color="000000"/>
            </w:tcBorders>
            <w:shd w:val="clear" w:color="auto" w:fill="auto"/>
            <w:vAlign w:val="center"/>
            <w:hideMark/>
          </w:tcPr>
          <w:p w14:paraId="10DB90CC" w14:textId="77777777" w:rsidR="00B02AD6" w:rsidRPr="00B02AD6" w:rsidRDefault="00B02AD6" w:rsidP="00B02AD6">
            <w:pPr>
              <w:jc w:val="right"/>
              <w:rPr>
                <w:color w:val="000000"/>
                <w:sz w:val="18"/>
                <w:szCs w:val="22"/>
                <w:lang w:eastAsia="tr-TR"/>
              </w:rPr>
            </w:pPr>
            <w:r w:rsidRPr="00B02AD6">
              <w:rPr>
                <w:color w:val="000000"/>
                <w:sz w:val="18"/>
                <w:szCs w:val="22"/>
                <w:lang w:eastAsia="tr-TR"/>
              </w:rPr>
              <w:t>338.13</w:t>
            </w:r>
          </w:p>
        </w:tc>
      </w:tr>
    </w:tbl>
    <w:p w14:paraId="33F02D21" w14:textId="6C6B922B" w:rsidR="0067330F" w:rsidRPr="00B02AD6" w:rsidRDefault="0067330F" w:rsidP="0067330F">
      <w:pPr>
        <w:rPr>
          <w:b/>
        </w:rPr>
      </w:pPr>
    </w:p>
    <w:p w14:paraId="6E91BA1E" w14:textId="36AB8073" w:rsidR="0080080D" w:rsidRPr="00B02AD6" w:rsidRDefault="00692276" w:rsidP="0080080D">
      <w:pPr>
        <w:autoSpaceDE w:val="0"/>
        <w:autoSpaceDN w:val="0"/>
        <w:jc w:val="both"/>
      </w:pPr>
      <w:r w:rsidRPr="00B02AD6">
        <w:rPr>
          <w:rFonts w:ascii="DINPro-Light" w:hAnsi="DINPro-Light"/>
          <w:sz w:val="18"/>
          <w:szCs w:val="18"/>
        </w:rPr>
        <w:t xml:space="preserve">Likidite karşılama oranı, </w:t>
      </w:r>
      <w:r w:rsidR="00E33AB7" w:rsidRPr="00B02AD6">
        <w:rPr>
          <w:rFonts w:ascii="DINPro-Light" w:hAnsi="DINPro-Light"/>
          <w:sz w:val="18"/>
          <w:szCs w:val="18"/>
        </w:rPr>
        <w:t>Banka’nın</w:t>
      </w:r>
      <w:r w:rsidRPr="00B02AD6">
        <w:rPr>
          <w:rFonts w:ascii="DINPro-Light" w:hAnsi="DINPro-Light"/>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B02AD6">
        <w:rPr>
          <w:rFonts w:ascii="DINPro-Light" w:hAnsi="DINPro-Light"/>
          <w:sz w:val="18"/>
          <w:szCs w:val="18"/>
        </w:rPr>
        <w:t>tutarsal</w:t>
      </w:r>
      <w:proofErr w:type="spellEnd"/>
      <w:r w:rsidRPr="00B02AD6">
        <w:rPr>
          <w:rFonts w:ascii="DINPro-Light" w:hAnsi="DINPro-Light"/>
          <w:sz w:val="18"/>
          <w:szCs w:val="18"/>
        </w:rPr>
        <w:t xml:space="preserve"> olarak yüksek paya sahip olmaları, dikkate alınma oranlarının yüksek olması ve zaman içinde değişkenlik gösterebilmeleri nedeniyle likidite karşılama oranına etkileri diğer kalemlere oranla fazladır.</w:t>
      </w:r>
      <w:r w:rsidR="0082748A" w:rsidRPr="00B02AD6">
        <w:t xml:space="preserve"> </w:t>
      </w:r>
    </w:p>
    <w:p w14:paraId="265E48AF" w14:textId="61879CF4" w:rsidR="00FC1F5B" w:rsidRDefault="00FC1F5B">
      <w:pPr>
        <w:rPr>
          <w:lang w:eastAsia="en-GB"/>
        </w:rPr>
      </w:pPr>
      <w:r>
        <w:rPr>
          <w:lang w:eastAsia="en-GB"/>
        </w:rPr>
        <w:br w:type="page"/>
      </w:r>
    </w:p>
    <w:p w14:paraId="2A9D2E9C" w14:textId="77777777" w:rsidR="00B02AD6" w:rsidRPr="00311DAB" w:rsidRDefault="00B02AD6" w:rsidP="00C32C75">
      <w:pPr>
        <w:rPr>
          <w:lang w:eastAsia="en-GB"/>
        </w:rPr>
      </w:pPr>
    </w:p>
    <w:tbl>
      <w:tblPr>
        <w:tblW w:w="9405" w:type="dxa"/>
        <w:tblCellMar>
          <w:left w:w="70" w:type="dxa"/>
          <w:right w:w="70" w:type="dxa"/>
        </w:tblCellMar>
        <w:tblLook w:val="04A0" w:firstRow="1" w:lastRow="0" w:firstColumn="1" w:lastColumn="0" w:noHBand="0" w:noVBand="1"/>
      </w:tblPr>
      <w:tblGrid>
        <w:gridCol w:w="357"/>
        <w:gridCol w:w="3972"/>
        <w:gridCol w:w="1083"/>
        <w:gridCol w:w="1013"/>
        <w:gridCol w:w="1016"/>
        <w:gridCol w:w="1014"/>
        <w:gridCol w:w="950"/>
      </w:tblGrid>
      <w:tr w:rsidR="00B02AD6" w:rsidRPr="00FC1F5B" w14:paraId="47EDBDC9" w14:textId="77777777" w:rsidTr="006B1072">
        <w:trPr>
          <w:divId w:val="1837845868"/>
          <w:trHeight w:val="257"/>
        </w:trPr>
        <w:tc>
          <w:tcPr>
            <w:tcW w:w="541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1409E" w14:textId="35BCC856" w:rsidR="00B02AD6" w:rsidRPr="00FC1F5B" w:rsidRDefault="00B02AD6" w:rsidP="00B02AD6">
            <w:pPr>
              <w:jc w:val="center"/>
              <w:rPr>
                <w:b/>
                <w:bCs/>
                <w:i/>
                <w:iCs/>
                <w:color w:val="000000"/>
                <w:sz w:val="18"/>
                <w:szCs w:val="18"/>
                <w:lang w:eastAsia="tr-TR"/>
              </w:rPr>
            </w:pPr>
            <w:r w:rsidRPr="00FC1F5B">
              <w:rPr>
                <w:b/>
                <w:bCs/>
                <w:i/>
                <w:iCs/>
                <w:color w:val="000000"/>
                <w:sz w:val="18"/>
                <w:szCs w:val="18"/>
                <w:lang w:eastAsia="tr-TR"/>
              </w:rPr>
              <w:t>Önceki Dönem</w:t>
            </w:r>
          </w:p>
        </w:tc>
        <w:tc>
          <w:tcPr>
            <w:tcW w:w="20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728C7EA"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 xml:space="preserve">Dikkate Alınma Oranı Uygulanmamış Toplam </w:t>
            </w:r>
            <w:proofErr w:type="gramStart"/>
            <w:r w:rsidRPr="00FC1F5B">
              <w:rPr>
                <w:b/>
                <w:bCs/>
                <w:color w:val="000000"/>
                <w:sz w:val="18"/>
                <w:szCs w:val="18"/>
                <w:lang w:eastAsia="tr-TR"/>
              </w:rPr>
              <w:t>Değer(</w:t>
            </w:r>
            <w:proofErr w:type="gramEnd"/>
            <w:r w:rsidRPr="00FC1F5B">
              <w:rPr>
                <w:b/>
                <w:bCs/>
                <w:color w:val="000000"/>
                <w:sz w:val="18"/>
                <w:szCs w:val="18"/>
                <w:lang w:eastAsia="tr-TR"/>
              </w:rPr>
              <w:t>*)</w:t>
            </w:r>
          </w:p>
        </w:tc>
        <w:tc>
          <w:tcPr>
            <w:tcW w:w="19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28A1FAB"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 xml:space="preserve">Dikkate Alınma Oranı Uygulanmış Toplam </w:t>
            </w:r>
            <w:proofErr w:type="gramStart"/>
            <w:r w:rsidRPr="00FC1F5B">
              <w:rPr>
                <w:b/>
                <w:bCs/>
                <w:color w:val="000000"/>
                <w:sz w:val="18"/>
                <w:szCs w:val="18"/>
                <w:lang w:eastAsia="tr-TR"/>
              </w:rPr>
              <w:t>Değer(</w:t>
            </w:r>
            <w:proofErr w:type="gramEnd"/>
            <w:r w:rsidRPr="00FC1F5B">
              <w:rPr>
                <w:b/>
                <w:bCs/>
                <w:color w:val="000000"/>
                <w:sz w:val="18"/>
                <w:szCs w:val="18"/>
                <w:lang w:eastAsia="tr-TR"/>
              </w:rPr>
              <w:t>*)</w:t>
            </w:r>
          </w:p>
        </w:tc>
      </w:tr>
      <w:tr w:rsidR="00B02AD6" w:rsidRPr="00FC1F5B" w14:paraId="731BCE97" w14:textId="77777777" w:rsidTr="006B1072">
        <w:trPr>
          <w:divId w:val="1837845868"/>
          <w:trHeight w:val="257"/>
        </w:trPr>
        <w:tc>
          <w:tcPr>
            <w:tcW w:w="5411" w:type="dxa"/>
            <w:gridSpan w:val="3"/>
            <w:vMerge/>
            <w:tcBorders>
              <w:top w:val="single" w:sz="4" w:space="0" w:color="auto"/>
              <w:left w:val="single" w:sz="4" w:space="0" w:color="auto"/>
              <w:bottom w:val="single" w:sz="4" w:space="0" w:color="auto"/>
              <w:right w:val="single" w:sz="4" w:space="0" w:color="auto"/>
            </w:tcBorders>
            <w:vAlign w:val="center"/>
            <w:hideMark/>
          </w:tcPr>
          <w:p w14:paraId="0696999F" w14:textId="77777777" w:rsidR="00B02AD6" w:rsidRPr="00FC1F5B" w:rsidRDefault="00B02AD6" w:rsidP="00B02AD6">
            <w:pPr>
              <w:rPr>
                <w:b/>
                <w:bCs/>
                <w:i/>
                <w:iCs/>
                <w:color w:val="000000"/>
                <w:sz w:val="18"/>
                <w:szCs w:val="18"/>
                <w:lang w:eastAsia="tr-TR"/>
              </w:rPr>
            </w:pPr>
          </w:p>
        </w:tc>
        <w:tc>
          <w:tcPr>
            <w:tcW w:w="2035" w:type="dxa"/>
            <w:gridSpan w:val="2"/>
            <w:vMerge/>
            <w:tcBorders>
              <w:top w:val="single" w:sz="4" w:space="0" w:color="auto"/>
              <w:left w:val="single" w:sz="4" w:space="0" w:color="auto"/>
              <w:bottom w:val="single" w:sz="4" w:space="0" w:color="auto"/>
              <w:right w:val="single" w:sz="4" w:space="0" w:color="auto"/>
            </w:tcBorders>
            <w:vAlign w:val="center"/>
            <w:hideMark/>
          </w:tcPr>
          <w:p w14:paraId="5A9014D1" w14:textId="77777777" w:rsidR="00B02AD6" w:rsidRPr="00FC1F5B" w:rsidRDefault="00B02AD6" w:rsidP="00B02AD6">
            <w:pPr>
              <w:rPr>
                <w:b/>
                <w:bCs/>
                <w:color w:val="000000"/>
                <w:sz w:val="18"/>
                <w:szCs w:val="18"/>
                <w:lang w:eastAsia="tr-TR"/>
              </w:rPr>
            </w:pPr>
          </w:p>
        </w:tc>
        <w:tc>
          <w:tcPr>
            <w:tcW w:w="1959" w:type="dxa"/>
            <w:gridSpan w:val="2"/>
            <w:vMerge/>
            <w:tcBorders>
              <w:top w:val="single" w:sz="4" w:space="0" w:color="auto"/>
              <w:left w:val="single" w:sz="4" w:space="0" w:color="auto"/>
              <w:bottom w:val="single" w:sz="4" w:space="0" w:color="auto"/>
              <w:right w:val="single" w:sz="4" w:space="0" w:color="auto"/>
            </w:tcBorders>
            <w:vAlign w:val="center"/>
            <w:hideMark/>
          </w:tcPr>
          <w:p w14:paraId="647B8EA2" w14:textId="77777777" w:rsidR="00B02AD6" w:rsidRPr="00FC1F5B" w:rsidRDefault="00B02AD6" w:rsidP="00B02AD6">
            <w:pPr>
              <w:rPr>
                <w:b/>
                <w:bCs/>
                <w:color w:val="000000"/>
                <w:sz w:val="18"/>
                <w:szCs w:val="18"/>
                <w:lang w:eastAsia="tr-TR"/>
              </w:rPr>
            </w:pPr>
          </w:p>
        </w:tc>
      </w:tr>
      <w:tr w:rsidR="00B02AD6" w:rsidRPr="00FC1F5B" w14:paraId="37C874CE" w14:textId="77777777" w:rsidTr="006B1072">
        <w:trPr>
          <w:divId w:val="1837845868"/>
          <w:trHeight w:val="257"/>
        </w:trPr>
        <w:tc>
          <w:tcPr>
            <w:tcW w:w="5411" w:type="dxa"/>
            <w:gridSpan w:val="3"/>
            <w:vMerge/>
            <w:tcBorders>
              <w:top w:val="single" w:sz="4" w:space="0" w:color="auto"/>
              <w:left w:val="single" w:sz="4" w:space="0" w:color="auto"/>
              <w:bottom w:val="single" w:sz="4" w:space="0" w:color="auto"/>
              <w:right w:val="single" w:sz="4" w:space="0" w:color="auto"/>
            </w:tcBorders>
            <w:vAlign w:val="center"/>
            <w:hideMark/>
          </w:tcPr>
          <w:p w14:paraId="0CD16CB9" w14:textId="77777777" w:rsidR="00B02AD6" w:rsidRPr="00FC1F5B" w:rsidRDefault="00B02AD6" w:rsidP="00B02AD6">
            <w:pPr>
              <w:rPr>
                <w:b/>
                <w:bCs/>
                <w:i/>
                <w:iCs/>
                <w:color w:val="000000"/>
                <w:sz w:val="18"/>
                <w:szCs w:val="18"/>
                <w:lang w:eastAsia="tr-TR"/>
              </w:rPr>
            </w:pPr>
          </w:p>
        </w:tc>
        <w:tc>
          <w:tcPr>
            <w:tcW w:w="2035" w:type="dxa"/>
            <w:gridSpan w:val="2"/>
            <w:vMerge/>
            <w:tcBorders>
              <w:top w:val="single" w:sz="4" w:space="0" w:color="auto"/>
              <w:left w:val="single" w:sz="4" w:space="0" w:color="auto"/>
              <w:bottom w:val="single" w:sz="4" w:space="0" w:color="auto"/>
              <w:right w:val="single" w:sz="4" w:space="0" w:color="auto"/>
            </w:tcBorders>
            <w:vAlign w:val="center"/>
            <w:hideMark/>
          </w:tcPr>
          <w:p w14:paraId="59449E0B" w14:textId="77777777" w:rsidR="00B02AD6" w:rsidRPr="00FC1F5B" w:rsidRDefault="00B02AD6" w:rsidP="00B02AD6">
            <w:pPr>
              <w:rPr>
                <w:b/>
                <w:bCs/>
                <w:color w:val="000000"/>
                <w:sz w:val="18"/>
                <w:szCs w:val="18"/>
                <w:lang w:eastAsia="tr-TR"/>
              </w:rPr>
            </w:pPr>
          </w:p>
        </w:tc>
        <w:tc>
          <w:tcPr>
            <w:tcW w:w="1959" w:type="dxa"/>
            <w:gridSpan w:val="2"/>
            <w:vMerge/>
            <w:tcBorders>
              <w:top w:val="single" w:sz="4" w:space="0" w:color="auto"/>
              <w:left w:val="single" w:sz="4" w:space="0" w:color="auto"/>
              <w:bottom w:val="single" w:sz="4" w:space="0" w:color="auto"/>
              <w:right w:val="single" w:sz="4" w:space="0" w:color="auto"/>
            </w:tcBorders>
            <w:vAlign w:val="center"/>
            <w:hideMark/>
          </w:tcPr>
          <w:p w14:paraId="386FE59C" w14:textId="77777777" w:rsidR="00B02AD6" w:rsidRPr="00FC1F5B" w:rsidRDefault="00B02AD6" w:rsidP="00B02AD6">
            <w:pPr>
              <w:rPr>
                <w:b/>
                <w:bCs/>
                <w:color w:val="000000"/>
                <w:sz w:val="18"/>
                <w:szCs w:val="18"/>
                <w:lang w:eastAsia="tr-TR"/>
              </w:rPr>
            </w:pPr>
          </w:p>
        </w:tc>
      </w:tr>
      <w:tr w:rsidR="00B02AD6" w:rsidRPr="00FC1F5B" w14:paraId="52DC0B57" w14:textId="77777777" w:rsidTr="006B1072">
        <w:trPr>
          <w:divId w:val="1837845868"/>
          <w:trHeight w:val="246"/>
        </w:trPr>
        <w:tc>
          <w:tcPr>
            <w:tcW w:w="5411" w:type="dxa"/>
            <w:gridSpan w:val="3"/>
            <w:vMerge/>
            <w:tcBorders>
              <w:top w:val="single" w:sz="4" w:space="0" w:color="auto"/>
              <w:left w:val="single" w:sz="4" w:space="0" w:color="auto"/>
              <w:bottom w:val="single" w:sz="4" w:space="0" w:color="auto"/>
              <w:right w:val="single" w:sz="4" w:space="0" w:color="auto"/>
            </w:tcBorders>
            <w:vAlign w:val="center"/>
            <w:hideMark/>
          </w:tcPr>
          <w:p w14:paraId="2035C23A" w14:textId="77777777" w:rsidR="00B02AD6" w:rsidRPr="00FC1F5B" w:rsidRDefault="00B02AD6" w:rsidP="00B02AD6">
            <w:pPr>
              <w:rPr>
                <w:b/>
                <w:bCs/>
                <w:i/>
                <w:iCs/>
                <w:color w:val="000000"/>
                <w:sz w:val="18"/>
                <w:szCs w:val="18"/>
                <w:lang w:eastAsia="tr-TR"/>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8F82C"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TP+YP</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5864D"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YP</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E1B66"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TP+YP</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E19AF"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YP</w:t>
            </w:r>
          </w:p>
        </w:tc>
      </w:tr>
      <w:tr w:rsidR="00B02AD6" w:rsidRPr="00FC1F5B" w14:paraId="01B62968" w14:textId="77777777" w:rsidTr="006B1072">
        <w:trPr>
          <w:divId w:val="1837845868"/>
          <w:trHeight w:val="246"/>
        </w:trPr>
        <w:tc>
          <w:tcPr>
            <w:tcW w:w="4328" w:type="dxa"/>
            <w:gridSpan w:val="2"/>
            <w:tcBorders>
              <w:top w:val="single" w:sz="4" w:space="0" w:color="auto"/>
              <w:left w:val="single" w:sz="4" w:space="0" w:color="auto"/>
              <w:bottom w:val="single" w:sz="4" w:space="0" w:color="auto"/>
            </w:tcBorders>
            <w:shd w:val="clear" w:color="auto" w:fill="auto"/>
            <w:noWrap/>
            <w:vAlign w:val="bottom"/>
            <w:hideMark/>
          </w:tcPr>
          <w:p w14:paraId="5EABEE5B"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YÜKSEK KALİTELİ LİKİT VARLIKLAR</w:t>
            </w:r>
          </w:p>
        </w:tc>
        <w:tc>
          <w:tcPr>
            <w:tcW w:w="1083" w:type="dxa"/>
            <w:tcBorders>
              <w:bottom w:val="single" w:sz="4" w:space="0" w:color="auto"/>
              <w:right w:val="single" w:sz="4" w:space="0" w:color="auto"/>
            </w:tcBorders>
            <w:shd w:val="clear" w:color="auto" w:fill="auto"/>
            <w:noWrap/>
            <w:vAlign w:val="bottom"/>
            <w:hideMark/>
          </w:tcPr>
          <w:p w14:paraId="04E40C87" w14:textId="77777777" w:rsidR="00B02AD6" w:rsidRPr="00FC1F5B" w:rsidRDefault="00B02AD6" w:rsidP="00B02AD6">
            <w:pPr>
              <w:rPr>
                <w:b/>
                <w:bCs/>
                <w:color w:val="000000"/>
                <w:sz w:val="18"/>
                <w:szCs w:val="18"/>
                <w:lang w:eastAsia="tr-TR"/>
              </w:rPr>
            </w:pP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BC146FF"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0CD8812"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1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E9CF70"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94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FC7DEAC"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r>
      <w:tr w:rsidR="00B02AD6" w:rsidRPr="00FC1F5B" w14:paraId="636DC503" w14:textId="77777777" w:rsidTr="006B1072">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5F21BE" w14:textId="77777777" w:rsidR="00B02AD6" w:rsidRPr="00FC1F5B" w:rsidRDefault="00B02AD6" w:rsidP="00B02AD6">
            <w:pPr>
              <w:jc w:val="right"/>
              <w:rPr>
                <w:color w:val="000000"/>
                <w:sz w:val="18"/>
                <w:szCs w:val="18"/>
                <w:lang w:eastAsia="tr-TR"/>
              </w:rPr>
            </w:pPr>
            <w:r w:rsidRPr="00FC1F5B">
              <w:rPr>
                <w:color w:val="000000"/>
                <w:sz w:val="18"/>
                <w:szCs w:val="18"/>
                <w:lang w:eastAsia="tr-TR"/>
              </w:rPr>
              <w:t>1</w:t>
            </w:r>
          </w:p>
        </w:tc>
        <w:tc>
          <w:tcPr>
            <w:tcW w:w="3971" w:type="dxa"/>
            <w:tcBorders>
              <w:top w:val="single" w:sz="4" w:space="0" w:color="auto"/>
              <w:left w:val="single" w:sz="4" w:space="0" w:color="auto"/>
              <w:bottom w:val="single" w:sz="4" w:space="0" w:color="auto"/>
            </w:tcBorders>
            <w:shd w:val="clear" w:color="auto" w:fill="auto"/>
            <w:noWrap/>
            <w:vAlign w:val="bottom"/>
            <w:hideMark/>
          </w:tcPr>
          <w:p w14:paraId="109E6140" w14:textId="77777777" w:rsidR="00B02AD6" w:rsidRPr="00FC1F5B" w:rsidRDefault="00B02AD6" w:rsidP="00B02AD6">
            <w:pPr>
              <w:rPr>
                <w:color w:val="000000"/>
                <w:sz w:val="18"/>
                <w:szCs w:val="18"/>
                <w:lang w:eastAsia="tr-TR"/>
              </w:rPr>
            </w:pPr>
            <w:r w:rsidRPr="00FC1F5B">
              <w:rPr>
                <w:color w:val="000000"/>
                <w:sz w:val="18"/>
                <w:szCs w:val="18"/>
                <w:lang w:eastAsia="tr-TR"/>
              </w:rPr>
              <w:t>Yüksek kaliteli likit varlıklar</w:t>
            </w:r>
          </w:p>
        </w:tc>
        <w:tc>
          <w:tcPr>
            <w:tcW w:w="1083" w:type="dxa"/>
            <w:tcBorders>
              <w:bottom w:val="single" w:sz="4" w:space="0" w:color="auto"/>
              <w:right w:val="single" w:sz="4" w:space="0" w:color="auto"/>
            </w:tcBorders>
            <w:shd w:val="clear" w:color="auto" w:fill="auto"/>
            <w:noWrap/>
            <w:vAlign w:val="bottom"/>
            <w:hideMark/>
          </w:tcPr>
          <w:p w14:paraId="27059BF5" w14:textId="77777777" w:rsidR="00B02AD6" w:rsidRPr="00FC1F5B" w:rsidRDefault="00B02AD6" w:rsidP="00B02AD6">
            <w:pPr>
              <w:rPr>
                <w:color w:val="000000"/>
                <w:sz w:val="18"/>
                <w:szCs w:val="18"/>
                <w:lang w:eastAsia="tr-TR"/>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CD954" w14:textId="77777777" w:rsidR="00B02AD6" w:rsidRPr="00FC1F5B" w:rsidRDefault="00B02AD6" w:rsidP="00B02AD6">
            <w:pPr>
              <w:jc w:val="right"/>
              <w:rPr>
                <w:color w:val="000000"/>
                <w:sz w:val="18"/>
                <w:szCs w:val="18"/>
                <w:lang w:eastAsia="tr-TR"/>
              </w:rPr>
            </w:pPr>
            <w:r w:rsidRPr="00FC1F5B">
              <w:rPr>
                <w:color w:val="000000"/>
                <w:sz w:val="18"/>
                <w:szCs w:val="18"/>
                <w:lang w:eastAsia="tr-TR"/>
              </w:rPr>
              <w:t>24,714,648</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A1E64" w14:textId="77777777" w:rsidR="00B02AD6" w:rsidRPr="00FC1F5B" w:rsidRDefault="00B02AD6" w:rsidP="00B02AD6">
            <w:pPr>
              <w:jc w:val="right"/>
              <w:rPr>
                <w:color w:val="000000"/>
                <w:sz w:val="18"/>
                <w:szCs w:val="18"/>
                <w:lang w:eastAsia="tr-TR"/>
              </w:rPr>
            </w:pPr>
            <w:r w:rsidRPr="00FC1F5B">
              <w:rPr>
                <w:color w:val="000000"/>
                <w:sz w:val="18"/>
                <w:szCs w:val="18"/>
                <w:lang w:eastAsia="tr-TR"/>
              </w:rPr>
              <w:t>21,462,978</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CC8FA" w14:textId="77777777" w:rsidR="00B02AD6" w:rsidRPr="00FC1F5B" w:rsidRDefault="00B02AD6" w:rsidP="00B02AD6">
            <w:pPr>
              <w:jc w:val="right"/>
              <w:rPr>
                <w:color w:val="000000"/>
                <w:sz w:val="18"/>
                <w:szCs w:val="18"/>
                <w:lang w:eastAsia="tr-TR"/>
              </w:rPr>
            </w:pPr>
            <w:r w:rsidRPr="00FC1F5B">
              <w:rPr>
                <w:color w:val="000000"/>
                <w:sz w:val="18"/>
                <w:szCs w:val="18"/>
                <w:lang w:eastAsia="tr-TR"/>
              </w:rPr>
              <w:t>22,675,028</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7192D" w14:textId="77777777" w:rsidR="00B02AD6" w:rsidRPr="00FC1F5B" w:rsidRDefault="00B02AD6" w:rsidP="00B02AD6">
            <w:pPr>
              <w:jc w:val="right"/>
              <w:rPr>
                <w:color w:val="000000"/>
                <w:sz w:val="18"/>
                <w:szCs w:val="18"/>
                <w:lang w:eastAsia="tr-TR"/>
              </w:rPr>
            </w:pPr>
            <w:r w:rsidRPr="00FC1F5B">
              <w:rPr>
                <w:color w:val="000000"/>
                <w:sz w:val="18"/>
                <w:szCs w:val="18"/>
                <w:lang w:eastAsia="tr-TR"/>
              </w:rPr>
              <w:t>19,423,358</w:t>
            </w:r>
          </w:p>
        </w:tc>
      </w:tr>
      <w:tr w:rsidR="00B02AD6" w:rsidRPr="00FC1F5B" w14:paraId="07A6265F" w14:textId="77777777" w:rsidTr="006B1072">
        <w:trPr>
          <w:divId w:val="1837845868"/>
          <w:trHeight w:val="246"/>
        </w:trPr>
        <w:tc>
          <w:tcPr>
            <w:tcW w:w="4328" w:type="dxa"/>
            <w:gridSpan w:val="2"/>
            <w:tcBorders>
              <w:top w:val="single" w:sz="4" w:space="0" w:color="auto"/>
              <w:left w:val="single" w:sz="4" w:space="0" w:color="auto"/>
              <w:bottom w:val="single" w:sz="4" w:space="0" w:color="auto"/>
            </w:tcBorders>
            <w:shd w:val="clear" w:color="auto" w:fill="auto"/>
            <w:noWrap/>
            <w:vAlign w:val="bottom"/>
            <w:hideMark/>
          </w:tcPr>
          <w:p w14:paraId="052BF310"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NAKİT ÇIKIŞLARI</w:t>
            </w:r>
          </w:p>
        </w:tc>
        <w:tc>
          <w:tcPr>
            <w:tcW w:w="1083" w:type="dxa"/>
            <w:tcBorders>
              <w:right w:val="single" w:sz="4" w:space="0" w:color="auto"/>
            </w:tcBorders>
            <w:shd w:val="clear" w:color="auto" w:fill="auto"/>
            <w:noWrap/>
            <w:vAlign w:val="bottom"/>
            <w:hideMark/>
          </w:tcPr>
          <w:p w14:paraId="021860AB" w14:textId="77777777" w:rsidR="00B02AD6" w:rsidRPr="00FC1F5B" w:rsidRDefault="00B02AD6" w:rsidP="00B02AD6">
            <w:pPr>
              <w:rPr>
                <w:b/>
                <w:bCs/>
                <w:color w:val="000000"/>
                <w:sz w:val="18"/>
                <w:szCs w:val="18"/>
                <w:lang w:eastAsia="tr-TR"/>
              </w:rPr>
            </w:pP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C4127E8"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AA4DA6E"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1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5C9523"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94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D23E1F"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r>
      <w:tr w:rsidR="00B02AD6" w:rsidRPr="00FC1F5B" w14:paraId="1C518866" w14:textId="77777777" w:rsidTr="006B1072">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ACEB3" w14:textId="77777777" w:rsidR="00B02AD6" w:rsidRPr="00FC1F5B" w:rsidRDefault="00B02AD6" w:rsidP="00B02AD6">
            <w:pPr>
              <w:jc w:val="right"/>
              <w:rPr>
                <w:color w:val="000000"/>
                <w:sz w:val="18"/>
                <w:szCs w:val="18"/>
                <w:lang w:eastAsia="tr-TR"/>
              </w:rPr>
            </w:pPr>
            <w:r w:rsidRPr="00FC1F5B">
              <w:rPr>
                <w:color w:val="000000"/>
                <w:sz w:val="18"/>
                <w:szCs w:val="18"/>
                <w:lang w:eastAsia="tr-TR"/>
              </w:rPr>
              <w:t>2</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7867BD" w14:textId="77777777" w:rsidR="00B02AD6" w:rsidRPr="00FC1F5B" w:rsidRDefault="00B02AD6" w:rsidP="00B02AD6">
            <w:pPr>
              <w:rPr>
                <w:color w:val="000000"/>
                <w:sz w:val="18"/>
                <w:szCs w:val="18"/>
                <w:lang w:eastAsia="tr-TR"/>
              </w:rPr>
            </w:pPr>
            <w:r w:rsidRPr="00FC1F5B">
              <w:rPr>
                <w:color w:val="000000"/>
                <w:sz w:val="18"/>
                <w:szCs w:val="18"/>
                <w:lang w:eastAsia="tr-TR"/>
              </w:rPr>
              <w:t>Gerçek kişi mevduat ve perakende mevduat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0BF23" w14:textId="77777777" w:rsidR="00B02AD6" w:rsidRPr="00FC1F5B" w:rsidRDefault="00B02AD6" w:rsidP="00B02AD6">
            <w:pPr>
              <w:jc w:val="right"/>
              <w:rPr>
                <w:color w:val="000000"/>
                <w:sz w:val="18"/>
                <w:szCs w:val="18"/>
                <w:lang w:eastAsia="tr-TR"/>
              </w:rPr>
            </w:pPr>
            <w:r w:rsidRPr="00FC1F5B">
              <w:rPr>
                <w:color w:val="000000"/>
                <w:sz w:val="18"/>
                <w:szCs w:val="18"/>
                <w:lang w:eastAsia="tr-TR"/>
              </w:rPr>
              <w:t>46,313,166</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2176C2" w14:textId="77777777" w:rsidR="00B02AD6" w:rsidRPr="00FC1F5B" w:rsidRDefault="00B02AD6" w:rsidP="00B02AD6">
            <w:pPr>
              <w:jc w:val="right"/>
              <w:rPr>
                <w:color w:val="000000"/>
                <w:sz w:val="18"/>
                <w:szCs w:val="18"/>
                <w:lang w:eastAsia="tr-TR"/>
              </w:rPr>
            </w:pPr>
            <w:r w:rsidRPr="00FC1F5B">
              <w:rPr>
                <w:color w:val="000000"/>
                <w:sz w:val="18"/>
                <w:szCs w:val="18"/>
                <w:lang w:eastAsia="tr-TR"/>
              </w:rPr>
              <w:t>14,182,057</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5D08A" w14:textId="77777777" w:rsidR="00B02AD6" w:rsidRPr="00FC1F5B" w:rsidRDefault="00B02AD6" w:rsidP="00B02AD6">
            <w:pPr>
              <w:jc w:val="right"/>
              <w:rPr>
                <w:color w:val="000000"/>
                <w:sz w:val="18"/>
                <w:szCs w:val="18"/>
                <w:lang w:eastAsia="tr-TR"/>
              </w:rPr>
            </w:pPr>
            <w:r w:rsidRPr="00FC1F5B">
              <w:rPr>
                <w:color w:val="000000"/>
                <w:sz w:val="18"/>
                <w:szCs w:val="18"/>
                <w:lang w:eastAsia="tr-TR"/>
              </w:rPr>
              <w:t>4,066,738</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DEC5E" w14:textId="77777777" w:rsidR="00B02AD6" w:rsidRPr="00FC1F5B" w:rsidRDefault="00B02AD6" w:rsidP="00B02AD6">
            <w:pPr>
              <w:jc w:val="right"/>
              <w:rPr>
                <w:color w:val="000000"/>
                <w:sz w:val="18"/>
                <w:szCs w:val="18"/>
                <w:lang w:eastAsia="tr-TR"/>
              </w:rPr>
            </w:pPr>
            <w:r w:rsidRPr="00FC1F5B">
              <w:rPr>
                <w:color w:val="000000"/>
                <w:sz w:val="18"/>
                <w:szCs w:val="18"/>
                <w:lang w:eastAsia="tr-TR"/>
              </w:rPr>
              <w:t>1,418,206</w:t>
            </w:r>
          </w:p>
        </w:tc>
      </w:tr>
      <w:tr w:rsidR="00B02AD6" w:rsidRPr="00FC1F5B" w14:paraId="6E622514" w14:textId="77777777" w:rsidTr="006B1072">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A8382" w14:textId="77777777" w:rsidR="00B02AD6" w:rsidRPr="00FC1F5B" w:rsidRDefault="00B02AD6" w:rsidP="00B02AD6">
            <w:pPr>
              <w:jc w:val="right"/>
              <w:rPr>
                <w:color w:val="000000"/>
                <w:sz w:val="18"/>
                <w:szCs w:val="18"/>
                <w:lang w:eastAsia="tr-TR"/>
              </w:rPr>
            </w:pPr>
            <w:r w:rsidRPr="00FC1F5B">
              <w:rPr>
                <w:color w:val="000000"/>
                <w:sz w:val="18"/>
                <w:szCs w:val="18"/>
                <w:lang w:eastAsia="tr-TR"/>
              </w:rPr>
              <w:t>3</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C4219B"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İstikrarlı mevduat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9ED7B" w14:textId="77777777" w:rsidR="00B02AD6" w:rsidRPr="00FC1F5B" w:rsidRDefault="00B02AD6" w:rsidP="00B02AD6">
            <w:pPr>
              <w:jc w:val="right"/>
              <w:rPr>
                <w:color w:val="000000"/>
                <w:sz w:val="18"/>
                <w:szCs w:val="18"/>
                <w:lang w:eastAsia="tr-TR"/>
              </w:rPr>
            </w:pPr>
            <w:r w:rsidRPr="00FC1F5B">
              <w:rPr>
                <w:color w:val="000000"/>
                <w:sz w:val="18"/>
                <w:szCs w:val="18"/>
                <w:lang w:eastAsia="tr-TR"/>
              </w:rPr>
              <w:t>11,291,580</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86E09"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22DC2" w14:textId="77777777" w:rsidR="00B02AD6" w:rsidRPr="00FC1F5B" w:rsidRDefault="00B02AD6" w:rsidP="00B02AD6">
            <w:pPr>
              <w:jc w:val="right"/>
              <w:rPr>
                <w:color w:val="000000"/>
                <w:sz w:val="18"/>
                <w:szCs w:val="18"/>
                <w:lang w:eastAsia="tr-TR"/>
              </w:rPr>
            </w:pPr>
            <w:r w:rsidRPr="00FC1F5B">
              <w:rPr>
                <w:color w:val="000000"/>
                <w:sz w:val="18"/>
                <w:szCs w:val="18"/>
                <w:lang w:eastAsia="tr-TR"/>
              </w:rPr>
              <w:t>564,579</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220D4"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r>
      <w:tr w:rsidR="00B02AD6" w:rsidRPr="00FC1F5B" w14:paraId="6DA112A2" w14:textId="77777777" w:rsidTr="006B1072">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555B8" w14:textId="77777777" w:rsidR="00B02AD6" w:rsidRPr="00FC1F5B" w:rsidRDefault="00B02AD6" w:rsidP="00B02AD6">
            <w:pPr>
              <w:jc w:val="right"/>
              <w:rPr>
                <w:color w:val="000000"/>
                <w:sz w:val="18"/>
                <w:szCs w:val="18"/>
                <w:lang w:eastAsia="tr-TR"/>
              </w:rPr>
            </w:pPr>
            <w:r w:rsidRPr="00FC1F5B">
              <w:rPr>
                <w:color w:val="000000"/>
                <w:sz w:val="18"/>
                <w:szCs w:val="18"/>
                <w:lang w:eastAsia="tr-TR"/>
              </w:rPr>
              <w:t>4</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264B97"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Düşük istikrarlı mevduat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E87DE" w14:textId="77777777" w:rsidR="00B02AD6" w:rsidRPr="00FC1F5B" w:rsidRDefault="00B02AD6" w:rsidP="00B02AD6">
            <w:pPr>
              <w:jc w:val="right"/>
              <w:rPr>
                <w:color w:val="000000"/>
                <w:sz w:val="18"/>
                <w:szCs w:val="18"/>
                <w:lang w:eastAsia="tr-TR"/>
              </w:rPr>
            </w:pPr>
            <w:r w:rsidRPr="00FC1F5B">
              <w:rPr>
                <w:color w:val="000000"/>
                <w:sz w:val="18"/>
                <w:szCs w:val="18"/>
                <w:lang w:eastAsia="tr-TR"/>
              </w:rPr>
              <w:t>35,021,586</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F2957" w14:textId="77777777" w:rsidR="00B02AD6" w:rsidRPr="00FC1F5B" w:rsidRDefault="00B02AD6" w:rsidP="00B02AD6">
            <w:pPr>
              <w:jc w:val="right"/>
              <w:rPr>
                <w:color w:val="000000"/>
                <w:sz w:val="18"/>
                <w:szCs w:val="18"/>
                <w:lang w:eastAsia="tr-TR"/>
              </w:rPr>
            </w:pPr>
            <w:r w:rsidRPr="00FC1F5B">
              <w:rPr>
                <w:color w:val="000000"/>
                <w:sz w:val="18"/>
                <w:szCs w:val="18"/>
                <w:lang w:eastAsia="tr-TR"/>
              </w:rPr>
              <w:t>14,182,057</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81B257" w14:textId="77777777" w:rsidR="00B02AD6" w:rsidRPr="00FC1F5B" w:rsidRDefault="00B02AD6" w:rsidP="00B02AD6">
            <w:pPr>
              <w:jc w:val="right"/>
              <w:rPr>
                <w:color w:val="000000"/>
                <w:sz w:val="18"/>
                <w:szCs w:val="18"/>
                <w:lang w:eastAsia="tr-TR"/>
              </w:rPr>
            </w:pPr>
            <w:r w:rsidRPr="00FC1F5B">
              <w:rPr>
                <w:color w:val="000000"/>
                <w:sz w:val="18"/>
                <w:szCs w:val="18"/>
                <w:lang w:eastAsia="tr-TR"/>
              </w:rPr>
              <w:t>3,502,159</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3953D" w14:textId="77777777" w:rsidR="00B02AD6" w:rsidRPr="00FC1F5B" w:rsidRDefault="00B02AD6" w:rsidP="00B02AD6">
            <w:pPr>
              <w:jc w:val="right"/>
              <w:rPr>
                <w:color w:val="000000"/>
                <w:sz w:val="18"/>
                <w:szCs w:val="18"/>
                <w:lang w:eastAsia="tr-TR"/>
              </w:rPr>
            </w:pPr>
            <w:r w:rsidRPr="00FC1F5B">
              <w:rPr>
                <w:color w:val="000000"/>
                <w:sz w:val="18"/>
                <w:szCs w:val="18"/>
                <w:lang w:eastAsia="tr-TR"/>
              </w:rPr>
              <w:t>1,418,206</w:t>
            </w:r>
          </w:p>
        </w:tc>
      </w:tr>
      <w:tr w:rsidR="00B02AD6" w:rsidRPr="00FC1F5B" w14:paraId="780A46BD" w14:textId="77777777" w:rsidTr="00FC1F5B">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54CA02" w14:textId="77777777" w:rsidR="00B02AD6" w:rsidRPr="00FC1F5B" w:rsidRDefault="00B02AD6" w:rsidP="00B02AD6">
            <w:pPr>
              <w:jc w:val="right"/>
              <w:rPr>
                <w:color w:val="000000"/>
                <w:sz w:val="18"/>
                <w:szCs w:val="18"/>
                <w:lang w:eastAsia="tr-TR"/>
              </w:rPr>
            </w:pPr>
            <w:r w:rsidRPr="00FC1F5B">
              <w:rPr>
                <w:color w:val="000000"/>
                <w:sz w:val="18"/>
                <w:szCs w:val="18"/>
                <w:lang w:eastAsia="tr-TR"/>
              </w:rPr>
              <w:t>5</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6A3FD" w14:textId="77777777" w:rsidR="00B02AD6" w:rsidRPr="00FC1F5B" w:rsidRDefault="00B02AD6" w:rsidP="00B02AD6">
            <w:pPr>
              <w:rPr>
                <w:color w:val="000000"/>
                <w:sz w:val="18"/>
                <w:szCs w:val="18"/>
                <w:lang w:eastAsia="tr-TR"/>
              </w:rPr>
            </w:pPr>
            <w:r w:rsidRPr="00FC1F5B">
              <w:rPr>
                <w:color w:val="000000"/>
                <w:sz w:val="18"/>
                <w:szCs w:val="18"/>
                <w:lang w:eastAsia="tr-TR"/>
              </w:rPr>
              <w:t>Gerçek kişi mevduat ve perakende mevduat dışında kalan teminatsız borçlar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5E0504" w14:textId="77777777" w:rsidR="00B02AD6" w:rsidRPr="00FC1F5B" w:rsidRDefault="00B02AD6" w:rsidP="00FC1F5B">
            <w:pPr>
              <w:jc w:val="right"/>
              <w:rPr>
                <w:color w:val="000000"/>
                <w:sz w:val="18"/>
                <w:szCs w:val="18"/>
                <w:lang w:eastAsia="tr-TR"/>
              </w:rPr>
            </w:pPr>
            <w:r w:rsidRPr="00FC1F5B">
              <w:rPr>
                <w:color w:val="000000"/>
                <w:sz w:val="18"/>
                <w:szCs w:val="18"/>
                <w:lang w:eastAsia="tr-TR"/>
              </w:rPr>
              <w:t>14,184,533</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F337B3" w14:textId="77777777" w:rsidR="00B02AD6" w:rsidRPr="00FC1F5B" w:rsidRDefault="00B02AD6" w:rsidP="00FC1F5B">
            <w:pPr>
              <w:jc w:val="right"/>
              <w:rPr>
                <w:color w:val="000000"/>
                <w:sz w:val="18"/>
                <w:szCs w:val="18"/>
                <w:lang w:eastAsia="tr-TR"/>
              </w:rPr>
            </w:pPr>
            <w:r w:rsidRPr="00FC1F5B">
              <w:rPr>
                <w:color w:val="000000"/>
                <w:sz w:val="18"/>
                <w:szCs w:val="18"/>
                <w:lang w:eastAsia="tr-TR"/>
              </w:rPr>
              <w:t>8,940,750</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ACD8A6" w14:textId="77777777" w:rsidR="00B02AD6" w:rsidRPr="00FC1F5B" w:rsidRDefault="00B02AD6" w:rsidP="00FC1F5B">
            <w:pPr>
              <w:jc w:val="right"/>
              <w:rPr>
                <w:color w:val="000000"/>
                <w:sz w:val="18"/>
                <w:szCs w:val="18"/>
                <w:lang w:eastAsia="tr-TR"/>
              </w:rPr>
            </w:pPr>
            <w:r w:rsidRPr="00FC1F5B">
              <w:rPr>
                <w:color w:val="000000"/>
                <w:sz w:val="18"/>
                <w:szCs w:val="18"/>
                <w:lang w:eastAsia="tr-TR"/>
              </w:rPr>
              <w:t>6,812,216</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000D48" w14:textId="77777777" w:rsidR="00B02AD6" w:rsidRPr="00FC1F5B" w:rsidRDefault="00B02AD6" w:rsidP="00FC1F5B">
            <w:pPr>
              <w:jc w:val="right"/>
              <w:rPr>
                <w:color w:val="000000"/>
                <w:sz w:val="18"/>
                <w:szCs w:val="18"/>
                <w:lang w:eastAsia="tr-TR"/>
              </w:rPr>
            </w:pPr>
            <w:r w:rsidRPr="00FC1F5B">
              <w:rPr>
                <w:color w:val="000000"/>
                <w:sz w:val="18"/>
                <w:szCs w:val="18"/>
                <w:lang w:eastAsia="tr-TR"/>
              </w:rPr>
              <w:t>4,156,714</w:t>
            </w:r>
          </w:p>
        </w:tc>
      </w:tr>
      <w:tr w:rsidR="00B02AD6" w:rsidRPr="00FC1F5B" w14:paraId="6F332411" w14:textId="77777777" w:rsidTr="00FC1F5B">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48BAB8" w14:textId="77777777" w:rsidR="00B02AD6" w:rsidRPr="00FC1F5B" w:rsidRDefault="00B02AD6" w:rsidP="00B02AD6">
            <w:pPr>
              <w:jc w:val="right"/>
              <w:rPr>
                <w:color w:val="000000"/>
                <w:sz w:val="18"/>
                <w:szCs w:val="18"/>
                <w:lang w:eastAsia="tr-TR"/>
              </w:rPr>
            </w:pPr>
            <w:r w:rsidRPr="00FC1F5B">
              <w:rPr>
                <w:color w:val="000000"/>
                <w:sz w:val="18"/>
                <w:szCs w:val="18"/>
                <w:lang w:eastAsia="tr-TR"/>
              </w:rPr>
              <w:t>6</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2FFAA3"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Operasyonel mevduat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AF183C"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41612F"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3A0212"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6E36A5"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r>
      <w:tr w:rsidR="00B02AD6" w:rsidRPr="00FC1F5B" w14:paraId="51B1A0CA" w14:textId="77777777" w:rsidTr="00FC1F5B">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FB8EFF" w14:textId="77777777" w:rsidR="00B02AD6" w:rsidRPr="00FC1F5B" w:rsidRDefault="00B02AD6" w:rsidP="00B02AD6">
            <w:pPr>
              <w:jc w:val="right"/>
              <w:rPr>
                <w:color w:val="000000"/>
                <w:sz w:val="18"/>
                <w:szCs w:val="18"/>
                <w:lang w:eastAsia="tr-TR"/>
              </w:rPr>
            </w:pPr>
            <w:r w:rsidRPr="00FC1F5B">
              <w:rPr>
                <w:color w:val="000000"/>
                <w:sz w:val="18"/>
                <w:szCs w:val="18"/>
                <w:lang w:eastAsia="tr-TR"/>
              </w:rPr>
              <w:t>7</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A998FE"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Operasyonel olmayan mevduat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5EFF46" w14:textId="77777777" w:rsidR="00B02AD6" w:rsidRPr="00FC1F5B" w:rsidRDefault="00B02AD6" w:rsidP="00FC1F5B">
            <w:pPr>
              <w:jc w:val="right"/>
              <w:rPr>
                <w:color w:val="000000"/>
                <w:sz w:val="18"/>
                <w:szCs w:val="18"/>
                <w:lang w:eastAsia="tr-TR"/>
              </w:rPr>
            </w:pPr>
            <w:r w:rsidRPr="00FC1F5B">
              <w:rPr>
                <w:color w:val="000000"/>
                <w:sz w:val="18"/>
                <w:szCs w:val="18"/>
                <w:lang w:eastAsia="tr-TR"/>
              </w:rPr>
              <w:t>13,348,175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73E059" w14:textId="77777777" w:rsidR="00B02AD6" w:rsidRPr="00FC1F5B" w:rsidRDefault="00B02AD6" w:rsidP="00FC1F5B">
            <w:pPr>
              <w:jc w:val="right"/>
              <w:rPr>
                <w:color w:val="000000"/>
                <w:sz w:val="18"/>
                <w:szCs w:val="18"/>
                <w:lang w:eastAsia="tr-TR"/>
              </w:rPr>
            </w:pPr>
            <w:r w:rsidRPr="00FC1F5B">
              <w:rPr>
                <w:color w:val="000000"/>
                <w:sz w:val="18"/>
                <w:szCs w:val="18"/>
                <w:lang w:eastAsia="tr-TR"/>
              </w:rPr>
              <w:t>8,708,260</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72677C" w14:textId="77777777" w:rsidR="00B02AD6" w:rsidRPr="00FC1F5B" w:rsidRDefault="00B02AD6" w:rsidP="00FC1F5B">
            <w:pPr>
              <w:jc w:val="right"/>
              <w:rPr>
                <w:color w:val="000000"/>
                <w:sz w:val="18"/>
                <w:szCs w:val="18"/>
                <w:lang w:eastAsia="tr-TR"/>
              </w:rPr>
            </w:pPr>
            <w:r w:rsidRPr="00FC1F5B">
              <w:rPr>
                <w:color w:val="000000"/>
                <w:sz w:val="18"/>
                <w:szCs w:val="18"/>
                <w:lang w:eastAsia="tr-TR"/>
              </w:rPr>
              <w:t>5,975,858</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F8DFE1" w14:textId="77777777" w:rsidR="00B02AD6" w:rsidRPr="00FC1F5B" w:rsidRDefault="00B02AD6" w:rsidP="00FC1F5B">
            <w:pPr>
              <w:jc w:val="right"/>
              <w:rPr>
                <w:color w:val="000000"/>
                <w:sz w:val="18"/>
                <w:szCs w:val="18"/>
                <w:lang w:eastAsia="tr-TR"/>
              </w:rPr>
            </w:pPr>
            <w:r w:rsidRPr="00FC1F5B">
              <w:rPr>
                <w:color w:val="000000"/>
                <w:sz w:val="18"/>
                <w:szCs w:val="18"/>
                <w:lang w:eastAsia="tr-TR"/>
              </w:rPr>
              <w:t>3,924,224</w:t>
            </w:r>
          </w:p>
        </w:tc>
      </w:tr>
      <w:tr w:rsidR="00B02AD6" w:rsidRPr="00FC1F5B" w14:paraId="23562404" w14:textId="77777777" w:rsidTr="00FC1F5B">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24E5C" w14:textId="77777777" w:rsidR="00B02AD6" w:rsidRPr="00FC1F5B" w:rsidRDefault="00B02AD6" w:rsidP="00B02AD6">
            <w:pPr>
              <w:jc w:val="right"/>
              <w:rPr>
                <w:color w:val="000000"/>
                <w:sz w:val="18"/>
                <w:szCs w:val="18"/>
                <w:lang w:eastAsia="tr-TR"/>
              </w:rPr>
            </w:pPr>
            <w:r w:rsidRPr="00FC1F5B">
              <w:rPr>
                <w:color w:val="000000"/>
                <w:sz w:val="18"/>
                <w:szCs w:val="18"/>
                <w:lang w:eastAsia="tr-TR"/>
              </w:rPr>
              <w:t>8</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34E542"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Diğer teminatsız borçlar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4BD38B" w14:textId="77777777" w:rsidR="00B02AD6" w:rsidRPr="00FC1F5B" w:rsidRDefault="00B02AD6" w:rsidP="00FC1F5B">
            <w:pPr>
              <w:jc w:val="right"/>
              <w:rPr>
                <w:color w:val="000000"/>
                <w:sz w:val="18"/>
                <w:szCs w:val="18"/>
                <w:lang w:eastAsia="tr-TR"/>
              </w:rPr>
            </w:pPr>
            <w:r w:rsidRPr="00FC1F5B">
              <w:rPr>
                <w:color w:val="000000"/>
                <w:sz w:val="18"/>
                <w:szCs w:val="18"/>
                <w:lang w:eastAsia="tr-TR"/>
              </w:rPr>
              <w:t>836,358</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FF48AC" w14:textId="77777777" w:rsidR="00B02AD6" w:rsidRPr="00FC1F5B" w:rsidRDefault="00B02AD6" w:rsidP="00FC1F5B">
            <w:pPr>
              <w:jc w:val="right"/>
              <w:rPr>
                <w:color w:val="000000"/>
                <w:sz w:val="18"/>
                <w:szCs w:val="18"/>
                <w:lang w:eastAsia="tr-TR"/>
              </w:rPr>
            </w:pPr>
            <w:r w:rsidRPr="00FC1F5B">
              <w:rPr>
                <w:color w:val="000000"/>
                <w:sz w:val="18"/>
                <w:szCs w:val="18"/>
                <w:lang w:eastAsia="tr-TR"/>
              </w:rPr>
              <w:t>232,490</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93CBC6" w14:textId="77777777" w:rsidR="00B02AD6" w:rsidRPr="00FC1F5B" w:rsidRDefault="00B02AD6" w:rsidP="00FC1F5B">
            <w:pPr>
              <w:jc w:val="right"/>
              <w:rPr>
                <w:color w:val="000000"/>
                <w:sz w:val="18"/>
                <w:szCs w:val="18"/>
                <w:lang w:eastAsia="tr-TR"/>
              </w:rPr>
            </w:pPr>
            <w:r w:rsidRPr="00FC1F5B">
              <w:rPr>
                <w:color w:val="000000"/>
                <w:sz w:val="18"/>
                <w:szCs w:val="18"/>
                <w:lang w:eastAsia="tr-TR"/>
              </w:rPr>
              <w:t>836,358</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FD23DF" w14:textId="77777777" w:rsidR="00B02AD6" w:rsidRPr="00FC1F5B" w:rsidRDefault="00B02AD6" w:rsidP="00FC1F5B">
            <w:pPr>
              <w:jc w:val="right"/>
              <w:rPr>
                <w:color w:val="000000"/>
                <w:sz w:val="18"/>
                <w:szCs w:val="18"/>
                <w:lang w:eastAsia="tr-TR"/>
              </w:rPr>
            </w:pPr>
            <w:r w:rsidRPr="00FC1F5B">
              <w:rPr>
                <w:color w:val="000000"/>
                <w:sz w:val="18"/>
                <w:szCs w:val="18"/>
                <w:lang w:eastAsia="tr-TR"/>
              </w:rPr>
              <w:t>232,490</w:t>
            </w:r>
          </w:p>
        </w:tc>
      </w:tr>
      <w:tr w:rsidR="00B02AD6" w:rsidRPr="00FC1F5B" w14:paraId="439CEB3A" w14:textId="77777777" w:rsidTr="00FC1F5B">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066A0" w14:textId="77777777" w:rsidR="00B02AD6" w:rsidRPr="00FC1F5B" w:rsidRDefault="00B02AD6" w:rsidP="00B02AD6">
            <w:pPr>
              <w:jc w:val="right"/>
              <w:rPr>
                <w:color w:val="000000"/>
                <w:sz w:val="18"/>
                <w:szCs w:val="18"/>
                <w:lang w:eastAsia="tr-TR"/>
              </w:rPr>
            </w:pPr>
            <w:r w:rsidRPr="00FC1F5B">
              <w:rPr>
                <w:color w:val="000000"/>
                <w:sz w:val="18"/>
                <w:szCs w:val="18"/>
                <w:lang w:eastAsia="tr-TR"/>
              </w:rPr>
              <w:t>9</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5DD24E" w14:textId="77777777" w:rsidR="00B02AD6" w:rsidRPr="00FC1F5B" w:rsidRDefault="00B02AD6" w:rsidP="00B02AD6">
            <w:pPr>
              <w:rPr>
                <w:color w:val="000000"/>
                <w:sz w:val="18"/>
                <w:szCs w:val="18"/>
                <w:lang w:eastAsia="tr-TR"/>
              </w:rPr>
            </w:pPr>
            <w:r w:rsidRPr="00FC1F5B">
              <w:rPr>
                <w:color w:val="000000"/>
                <w:sz w:val="18"/>
                <w:szCs w:val="18"/>
                <w:lang w:eastAsia="tr-TR"/>
              </w:rPr>
              <w:t>Teminatlı borçlar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59CD6E"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2ADFA9"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D3230B"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F4563C"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r>
      <w:tr w:rsidR="00B02AD6" w:rsidRPr="00FC1F5B" w14:paraId="5DF8C5AB" w14:textId="77777777" w:rsidTr="00FC1F5B">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8E915" w14:textId="77777777" w:rsidR="00B02AD6" w:rsidRPr="00FC1F5B" w:rsidRDefault="00B02AD6" w:rsidP="00B02AD6">
            <w:pPr>
              <w:jc w:val="right"/>
              <w:rPr>
                <w:color w:val="000000"/>
                <w:sz w:val="18"/>
                <w:szCs w:val="18"/>
                <w:lang w:eastAsia="tr-TR"/>
              </w:rPr>
            </w:pPr>
            <w:r w:rsidRPr="00FC1F5B">
              <w:rPr>
                <w:color w:val="000000"/>
                <w:sz w:val="18"/>
                <w:szCs w:val="18"/>
                <w:lang w:eastAsia="tr-TR"/>
              </w:rPr>
              <w:t>10</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12C2BD" w14:textId="77777777" w:rsidR="00B02AD6" w:rsidRPr="00FC1F5B" w:rsidRDefault="00B02AD6" w:rsidP="00B02AD6">
            <w:pPr>
              <w:rPr>
                <w:color w:val="000000"/>
                <w:sz w:val="18"/>
                <w:szCs w:val="18"/>
                <w:lang w:eastAsia="tr-TR"/>
              </w:rPr>
            </w:pPr>
            <w:r w:rsidRPr="00FC1F5B">
              <w:rPr>
                <w:color w:val="000000"/>
                <w:sz w:val="18"/>
                <w:szCs w:val="18"/>
                <w:lang w:eastAsia="tr-TR"/>
              </w:rPr>
              <w:t>Diğer nakit çıkışları</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C5AD19" w14:textId="77777777" w:rsidR="00B02AD6" w:rsidRPr="00FC1F5B" w:rsidRDefault="00B02AD6" w:rsidP="00FC1F5B">
            <w:pPr>
              <w:jc w:val="right"/>
              <w:rPr>
                <w:color w:val="000000"/>
                <w:sz w:val="18"/>
                <w:szCs w:val="18"/>
                <w:lang w:eastAsia="tr-TR"/>
              </w:rPr>
            </w:pPr>
            <w:r w:rsidRPr="00FC1F5B">
              <w:rPr>
                <w:color w:val="000000"/>
                <w:sz w:val="18"/>
                <w:szCs w:val="18"/>
                <w:lang w:eastAsia="tr-TR"/>
              </w:rPr>
              <w:t>13,204,966</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8E42CB" w14:textId="77777777" w:rsidR="00B02AD6" w:rsidRPr="00FC1F5B" w:rsidRDefault="00B02AD6" w:rsidP="00FC1F5B">
            <w:pPr>
              <w:jc w:val="right"/>
              <w:rPr>
                <w:color w:val="000000"/>
                <w:sz w:val="18"/>
                <w:szCs w:val="18"/>
                <w:lang w:eastAsia="tr-TR"/>
              </w:rPr>
            </w:pPr>
            <w:r w:rsidRPr="00FC1F5B">
              <w:rPr>
                <w:color w:val="000000"/>
                <w:sz w:val="18"/>
                <w:szCs w:val="18"/>
                <w:lang w:eastAsia="tr-TR"/>
              </w:rPr>
              <w:t>12,239,063</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A52DC1" w14:textId="77777777" w:rsidR="00B02AD6" w:rsidRPr="00FC1F5B" w:rsidRDefault="00B02AD6" w:rsidP="00FC1F5B">
            <w:pPr>
              <w:jc w:val="right"/>
              <w:rPr>
                <w:color w:val="000000"/>
                <w:sz w:val="18"/>
                <w:szCs w:val="18"/>
                <w:lang w:eastAsia="tr-TR"/>
              </w:rPr>
            </w:pPr>
            <w:r w:rsidRPr="00FC1F5B">
              <w:rPr>
                <w:color w:val="000000"/>
                <w:sz w:val="18"/>
                <w:szCs w:val="18"/>
                <w:lang w:eastAsia="tr-TR"/>
              </w:rPr>
              <w:t>13,204,966</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D90DF1" w14:textId="77777777" w:rsidR="00B02AD6" w:rsidRPr="00FC1F5B" w:rsidRDefault="00B02AD6" w:rsidP="00FC1F5B">
            <w:pPr>
              <w:jc w:val="right"/>
              <w:rPr>
                <w:color w:val="000000"/>
                <w:sz w:val="18"/>
                <w:szCs w:val="18"/>
                <w:lang w:eastAsia="tr-TR"/>
              </w:rPr>
            </w:pPr>
            <w:r w:rsidRPr="00FC1F5B">
              <w:rPr>
                <w:color w:val="000000"/>
                <w:sz w:val="18"/>
                <w:szCs w:val="18"/>
                <w:lang w:eastAsia="tr-TR"/>
              </w:rPr>
              <w:t>12,239,063</w:t>
            </w:r>
          </w:p>
        </w:tc>
      </w:tr>
      <w:tr w:rsidR="00B02AD6" w:rsidRPr="00FC1F5B" w14:paraId="443E17ED" w14:textId="77777777" w:rsidTr="00FC1F5B">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41959" w14:textId="77777777" w:rsidR="00B02AD6" w:rsidRPr="00FC1F5B" w:rsidRDefault="00B02AD6" w:rsidP="00B02AD6">
            <w:pPr>
              <w:jc w:val="right"/>
              <w:rPr>
                <w:color w:val="000000"/>
                <w:sz w:val="18"/>
                <w:szCs w:val="18"/>
                <w:lang w:eastAsia="tr-TR"/>
              </w:rPr>
            </w:pPr>
            <w:r w:rsidRPr="00FC1F5B">
              <w:rPr>
                <w:color w:val="000000"/>
                <w:sz w:val="18"/>
                <w:szCs w:val="18"/>
                <w:lang w:eastAsia="tr-TR"/>
              </w:rPr>
              <w:t>11</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0D3836"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Türev yükümlülükler ve teminat tamamlama yükümlülükleri</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323108" w14:textId="77777777" w:rsidR="00B02AD6" w:rsidRPr="00FC1F5B" w:rsidRDefault="00B02AD6" w:rsidP="00FC1F5B">
            <w:pPr>
              <w:jc w:val="right"/>
              <w:rPr>
                <w:color w:val="000000"/>
                <w:sz w:val="18"/>
                <w:szCs w:val="18"/>
                <w:lang w:eastAsia="tr-TR"/>
              </w:rPr>
            </w:pPr>
            <w:r w:rsidRPr="00FC1F5B">
              <w:rPr>
                <w:color w:val="000000"/>
                <w:sz w:val="18"/>
                <w:szCs w:val="18"/>
                <w:lang w:eastAsia="tr-TR"/>
              </w:rPr>
              <w:t>12,609,289</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8FC956" w14:textId="77777777" w:rsidR="00B02AD6" w:rsidRPr="00FC1F5B" w:rsidRDefault="00B02AD6" w:rsidP="00FC1F5B">
            <w:pPr>
              <w:jc w:val="right"/>
              <w:rPr>
                <w:color w:val="000000"/>
                <w:sz w:val="18"/>
                <w:szCs w:val="18"/>
                <w:lang w:eastAsia="tr-TR"/>
              </w:rPr>
            </w:pPr>
            <w:r w:rsidRPr="00FC1F5B">
              <w:rPr>
                <w:color w:val="000000"/>
                <w:sz w:val="18"/>
                <w:szCs w:val="18"/>
                <w:lang w:eastAsia="tr-TR"/>
              </w:rPr>
              <w:t>12,239,063</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2BC262" w14:textId="77777777" w:rsidR="00B02AD6" w:rsidRPr="00FC1F5B" w:rsidRDefault="00B02AD6" w:rsidP="00FC1F5B">
            <w:pPr>
              <w:jc w:val="right"/>
              <w:rPr>
                <w:color w:val="000000"/>
                <w:sz w:val="18"/>
                <w:szCs w:val="18"/>
                <w:lang w:eastAsia="tr-TR"/>
              </w:rPr>
            </w:pPr>
            <w:r w:rsidRPr="00FC1F5B">
              <w:rPr>
                <w:color w:val="000000"/>
                <w:sz w:val="18"/>
                <w:szCs w:val="18"/>
                <w:lang w:eastAsia="tr-TR"/>
              </w:rPr>
              <w:t>12,609,289</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CCF0C9" w14:textId="77777777" w:rsidR="00B02AD6" w:rsidRPr="00FC1F5B" w:rsidRDefault="00B02AD6" w:rsidP="00FC1F5B">
            <w:pPr>
              <w:jc w:val="right"/>
              <w:rPr>
                <w:color w:val="000000"/>
                <w:sz w:val="18"/>
                <w:szCs w:val="18"/>
                <w:lang w:eastAsia="tr-TR"/>
              </w:rPr>
            </w:pPr>
            <w:r w:rsidRPr="00FC1F5B">
              <w:rPr>
                <w:color w:val="000000"/>
                <w:sz w:val="18"/>
                <w:szCs w:val="18"/>
                <w:lang w:eastAsia="tr-TR"/>
              </w:rPr>
              <w:t>12,239,063</w:t>
            </w:r>
          </w:p>
        </w:tc>
      </w:tr>
      <w:tr w:rsidR="00B02AD6" w:rsidRPr="00FC1F5B" w14:paraId="07CEC2D6" w14:textId="77777777" w:rsidTr="00FC1F5B">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8AED3" w14:textId="77777777" w:rsidR="00B02AD6" w:rsidRPr="00FC1F5B" w:rsidRDefault="00B02AD6" w:rsidP="00B02AD6">
            <w:pPr>
              <w:jc w:val="right"/>
              <w:rPr>
                <w:color w:val="000000"/>
                <w:sz w:val="18"/>
                <w:szCs w:val="18"/>
                <w:lang w:eastAsia="tr-TR"/>
              </w:rPr>
            </w:pPr>
            <w:r w:rsidRPr="00FC1F5B">
              <w:rPr>
                <w:color w:val="000000"/>
                <w:sz w:val="18"/>
                <w:szCs w:val="18"/>
                <w:lang w:eastAsia="tr-TR"/>
              </w:rPr>
              <w:t>12</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C79252" w14:textId="77777777" w:rsidR="00B02AD6" w:rsidRPr="00FC1F5B" w:rsidRDefault="00B02AD6" w:rsidP="00B02AD6">
            <w:pPr>
              <w:rPr>
                <w:color w:val="000000"/>
                <w:sz w:val="18"/>
                <w:szCs w:val="18"/>
                <w:lang w:eastAsia="tr-TR"/>
              </w:rPr>
            </w:pPr>
            <w:r w:rsidRPr="00FC1F5B">
              <w:rPr>
                <w:color w:val="000000"/>
                <w:sz w:val="18"/>
                <w:szCs w:val="18"/>
                <w:lang w:eastAsia="tr-TR"/>
              </w:rPr>
              <w:t xml:space="preserve">       Yapılandırılmış finansal araçlardan borçlar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451A12" w14:textId="77777777" w:rsidR="00B02AD6" w:rsidRPr="00FC1F5B" w:rsidRDefault="00B02AD6" w:rsidP="00FC1F5B">
            <w:pPr>
              <w:jc w:val="right"/>
              <w:rPr>
                <w:color w:val="000000"/>
                <w:sz w:val="18"/>
                <w:szCs w:val="18"/>
                <w:lang w:eastAsia="tr-TR"/>
              </w:rPr>
            </w:pPr>
            <w:r w:rsidRPr="00FC1F5B">
              <w:rPr>
                <w:color w:val="000000"/>
                <w:sz w:val="18"/>
                <w:szCs w:val="18"/>
                <w:lang w:eastAsia="tr-TR"/>
              </w:rPr>
              <w:t>595,677</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060CEA"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2A47D2" w14:textId="77777777" w:rsidR="00B02AD6" w:rsidRPr="00FC1F5B" w:rsidRDefault="00B02AD6" w:rsidP="00FC1F5B">
            <w:pPr>
              <w:jc w:val="right"/>
              <w:rPr>
                <w:color w:val="000000"/>
                <w:sz w:val="18"/>
                <w:szCs w:val="18"/>
                <w:lang w:eastAsia="tr-TR"/>
              </w:rPr>
            </w:pPr>
            <w:r w:rsidRPr="00FC1F5B">
              <w:rPr>
                <w:color w:val="000000"/>
                <w:sz w:val="18"/>
                <w:szCs w:val="18"/>
                <w:lang w:eastAsia="tr-TR"/>
              </w:rPr>
              <w:t>595,677</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1222D3"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r>
      <w:tr w:rsidR="00B02AD6" w:rsidRPr="00FC1F5B" w14:paraId="761026CF" w14:textId="77777777" w:rsidTr="00FC1F5B">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5387A" w14:textId="77777777" w:rsidR="00B02AD6" w:rsidRPr="00FC1F5B" w:rsidRDefault="00B02AD6" w:rsidP="00B02AD6">
            <w:pPr>
              <w:jc w:val="right"/>
              <w:rPr>
                <w:color w:val="000000"/>
                <w:sz w:val="18"/>
                <w:szCs w:val="18"/>
                <w:lang w:eastAsia="tr-TR"/>
              </w:rPr>
            </w:pPr>
            <w:r w:rsidRPr="00FC1F5B">
              <w:rPr>
                <w:color w:val="000000"/>
                <w:sz w:val="18"/>
                <w:szCs w:val="18"/>
                <w:lang w:eastAsia="tr-TR"/>
              </w:rPr>
              <w:t>13</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2464A8" w14:textId="77777777" w:rsidR="00B02AD6" w:rsidRPr="00FC1F5B" w:rsidRDefault="00B02AD6" w:rsidP="00B02AD6">
            <w:pPr>
              <w:rPr>
                <w:color w:val="000000"/>
                <w:sz w:val="18"/>
                <w:szCs w:val="18"/>
                <w:lang w:eastAsia="tr-TR"/>
              </w:rPr>
            </w:pPr>
            <w:r w:rsidRPr="00FC1F5B">
              <w:rPr>
                <w:color w:val="000000"/>
                <w:sz w:val="18"/>
                <w:szCs w:val="18"/>
                <w:lang w:eastAsia="tr-TR"/>
              </w:rPr>
              <w:t>Finansal piyasalara olan borçlar için verilen ödeme taahhütleri ile diğer bilanço dışı yükümlülükler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364DAF"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F0572"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90BC34"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911645"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r>
      <w:tr w:rsidR="00B02AD6" w:rsidRPr="00FC1F5B" w14:paraId="7ECC3AD9" w14:textId="77777777" w:rsidTr="00FC1F5B">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DD9EB" w14:textId="77777777" w:rsidR="00B02AD6" w:rsidRPr="00FC1F5B" w:rsidRDefault="00B02AD6" w:rsidP="00B02AD6">
            <w:pPr>
              <w:jc w:val="right"/>
              <w:rPr>
                <w:color w:val="000000"/>
                <w:sz w:val="18"/>
                <w:szCs w:val="18"/>
                <w:lang w:eastAsia="tr-TR"/>
              </w:rPr>
            </w:pPr>
            <w:r w:rsidRPr="00FC1F5B">
              <w:rPr>
                <w:color w:val="000000"/>
                <w:sz w:val="18"/>
                <w:szCs w:val="18"/>
                <w:lang w:eastAsia="tr-TR"/>
              </w:rPr>
              <w:t>14</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DFCFC" w14:textId="77777777" w:rsidR="00B02AD6" w:rsidRPr="00FC1F5B" w:rsidRDefault="00B02AD6" w:rsidP="00B02AD6">
            <w:pPr>
              <w:rPr>
                <w:color w:val="000000"/>
                <w:sz w:val="18"/>
                <w:szCs w:val="18"/>
                <w:lang w:eastAsia="tr-TR"/>
              </w:rPr>
            </w:pPr>
            <w:r w:rsidRPr="00FC1F5B">
              <w:rPr>
                <w:color w:val="000000"/>
                <w:sz w:val="18"/>
                <w:szCs w:val="18"/>
                <w:lang w:eastAsia="tr-TR"/>
              </w:rPr>
              <w:t>Herhangi bir şarta bağlı olmaksızın cayılabilir bilanço dışı diğer yükümlülükler ile sözleşmeye dayalı diğer yükümlülükler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2F4FF9"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1BEA2F"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F3E81C"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1C6E9D" w14:textId="77777777" w:rsidR="00B02AD6" w:rsidRPr="00FC1F5B" w:rsidRDefault="00B02AD6" w:rsidP="00FC1F5B">
            <w:pPr>
              <w:jc w:val="right"/>
              <w:rPr>
                <w:color w:val="000000"/>
                <w:sz w:val="18"/>
                <w:szCs w:val="18"/>
                <w:lang w:eastAsia="tr-TR"/>
              </w:rPr>
            </w:pPr>
            <w:r w:rsidRPr="00FC1F5B">
              <w:rPr>
                <w:color w:val="000000"/>
                <w:sz w:val="18"/>
                <w:szCs w:val="18"/>
                <w:lang w:eastAsia="tr-TR"/>
              </w:rPr>
              <w:t>-</w:t>
            </w:r>
          </w:p>
        </w:tc>
      </w:tr>
      <w:tr w:rsidR="00B02AD6" w:rsidRPr="00FC1F5B" w14:paraId="7D3F83C7" w14:textId="77777777" w:rsidTr="00FC1F5B">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FA9169" w14:textId="77777777" w:rsidR="00B02AD6" w:rsidRPr="00FC1F5B" w:rsidRDefault="00B02AD6" w:rsidP="00B02AD6">
            <w:pPr>
              <w:jc w:val="right"/>
              <w:rPr>
                <w:color w:val="000000"/>
                <w:sz w:val="18"/>
                <w:szCs w:val="18"/>
                <w:lang w:eastAsia="tr-TR"/>
              </w:rPr>
            </w:pPr>
            <w:r w:rsidRPr="00FC1F5B">
              <w:rPr>
                <w:color w:val="000000"/>
                <w:sz w:val="18"/>
                <w:szCs w:val="18"/>
                <w:lang w:eastAsia="tr-TR"/>
              </w:rPr>
              <w:t>15</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A96FA4" w14:textId="77777777" w:rsidR="00B02AD6" w:rsidRPr="00FC1F5B" w:rsidRDefault="00B02AD6" w:rsidP="00B02AD6">
            <w:pPr>
              <w:rPr>
                <w:color w:val="000000"/>
                <w:sz w:val="18"/>
                <w:szCs w:val="18"/>
                <w:lang w:eastAsia="tr-TR"/>
              </w:rPr>
            </w:pPr>
            <w:r w:rsidRPr="00FC1F5B">
              <w:rPr>
                <w:color w:val="000000"/>
                <w:sz w:val="18"/>
                <w:szCs w:val="18"/>
                <w:lang w:eastAsia="tr-TR"/>
              </w:rPr>
              <w:t>Diğer cayılamaz veya şartı bağlı olarak cayılabilir bilanço dışı borçlar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2CC237" w14:textId="77777777" w:rsidR="00B02AD6" w:rsidRPr="00FC1F5B" w:rsidRDefault="00B02AD6" w:rsidP="00FC1F5B">
            <w:pPr>
              <w:jc w:val="right"/>
              <w:rPr>
                <w:color w:val="000000"/>
                <w:sz w:val="18"/>
                <w:szCs w:val="18"/>
                <w:lang w:eastAsia="tr-TR"/>
              </w:rPr>
            </w:pPr>
            <w:r w:rsidRPr="00FC1F5B">
              <w:rPr>
                <w:color w:val="000000"/>
                <w:sz w:val="18"/>
                <w:szCs w:val="18"/>
                <w:lang w:eastAsia="tr-TR"/>
              </w:rPr>
              <w:t>16,222,620</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239770" w14:textId="77777777" w:rsidR="00B02AD6" w:rsidRPr="00FC1F5B" w:rsidRDefault="00B02AD6" w:rsidP="00FC1F5B">
            <w:pPr>
              <w:jc w:val="right"/>
              <w:rPr>
                <w:color w:val="000000"/>
                <w:sz w:val="18"/>
                <w:szCs w:val="18"/>
                <w:lang w:eastAsia="tr-TR"/>
              </w:rPr>
            </w:pPr>
            <w:r w:rsidRPr="00FC1F5B">
              <w:rPr>
                <w:color w:val="000000"/>
                <w:sz w:val="18"/>
                <w:szCs w:val="18"/>
                <w:lang w:eastAsia="tr-TR"/>
              </w:rPr>
              <w:t>4,987,076</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758D42" w14:textId="77777777" w:rsidR="00B02AD6" w:rsidRPr="00FC1F5B" w:rsidRDefault="00B02AD6" w:rsidP="00FC1F5B">
            <w:pPr>
              <w:jc w:val="right"/>
              <w:rPr>
                <w:color w:val="000000"/>
                <w:sz w:val="18"/>
                <w:szCs w:val="18"/>
                <w:lang w:eastAsia="tr-TR"/>
              </w:rPr>
            </w:pPr>
            <w:r w:rsidRPr="00FC1F5B">
              <w:rPr>
                <w:color w:val="000000"/>
                <w:sz w:val="18"/>
                <w:szCs w:val="18"/>
                <w:lang w:eastAsia="tr-TR"/>
              </w:rPr>
              <w:t>1,162,427</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B91AA1" w14:textId="77777777" w:rsidR="00B02AD6" w:rsidRPr="00FC1F5B" w:rsidRDefault="00B02AD6" w:rsidP="00FC1F5B">
            <w:pPr>
              <w:jc w:val="right"/>
              <w:rPr>
                <w:color w:val="000000"/>
                <w:sz w:val="18"/>
                <w:szCs w:val="18"/>
                <w:lang w:eastAsia="tr-TR"/>
              </w:rPr>
            </w:pPr>
            <w:r w:rsidRPr="00FC1F5B">
              <w:rPr>
                <w:color w:val="000000"/>
                <w:sz w:val="18"/>
                <w:szCs w:val="18"/>
                <w:lang w:eastAsia="tr-TR"/>
              </w:rPr>
              <w:t>274,128</w:t>
            </w:r>
          </w:p>
        </w:tc>
      </w:tr>
      <w:tr w:rsidR="00B02AD6" w:rsidRPr="00FC1F5B" w14:paraId="5F22C323" w14:textId="77777777" w:rsidTr="00FC1F5B">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F5BB6" w14:textId="77777777" w:rsidR="00B02AD6" w:rsidRPr="00FC1F5B" w:rsidRDefault="00B02AD6" w:rsidP="00B02AD6">
            <w:pPr>
              <w:jc w:val="right"/>
              <w:rPr>
                <w:b/>
                <w:color w:val="000000"/>
                <w:sz w:val="18"/>
                <w:szCs w:val="18"/>
                <w:lang w:eastAsia="tr-TR"/>
              </w:rPr>
            </w:pPr>
            <w:r w:rsidRPr="00FC1F5B">
              <w:rPr>
                <w:b/>
                <w:color w:val="000000"/>
                <w:sz w:val="18"/>
                <w:szCs w:val="18"/>
                <w:lang w:eastAsia="tr-TR"/>
              </w:rPr>
              <w:t>16</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5E16AE" w14:textId="77777777" w:rsidR="00B02AD6" w:rsidRPr="00FC1F5B" w:rsidRDefault="00B02AD6" w:rsidP="00B02AD6">
            <w:pPr>
              <w:rPr>
                <w:b/>
                <w:color w:val="000000"/>
                <w:sz w:val="18"/>
                <w:szCs w:val="18"/>
                <w:lang w:eastAsia="tr-TR"/>
              </w:rPr>
            </w:pPr>
            <w:r w:rsidRPr="00FC1F5B">
              <w:rPr>
                <w:b/>
                <w:color w:val="000000"/>
                <w:sz w:val="18"/>
                <w:szCs w:val="18"/>
                <w:lang w:eastAsia="tr-TR"/>
              </w:rPr>
              <w:t>TOPLAM NAKİT ÇIKIŞLARI</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98E895" w14:textId="77777777" w:rsidR="00B02AD6" w:rsidRPr="00FC1F5B" w:rsidRDefault="00B02AD6" w:rsidP="00FC1F5B">
            <w:pPr>
              <w:jc w:val="right"/>
              <w:rPr>
                <w:b/>
                <w:color w:val="000000"/>
                <w:sz w:val="18"/>
                <w:szCs w:val="18"/>
                <w:lang w:eastAsia="tr-TR"/>
              </w:rPr>
            </w:pPr>
            <w:r w:rsidRPr="00FC1F5B">
              <w:rPr>
                <w:b/>
                <w:color w:val="000000"/>
                <w:sz w:val="18"/>
                <w:szCs w:val="18"/>
                <w:lang w:eastAsia="tr-TR"/>
              </w:rPr>
              <w: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1F47AB" w14:textId="77777777" w:rsidR="00B02AD6" w:rsidRPr="00FC1F5B" w:rsidRDefault="00B02AD6" w:rsidP="00FC1F5B">
            <w:pPr>
              <w:jc w:val="right"/>
              <w:rPr>
                <w:b/>
                <w:color w:val="000000"/>
                <w:sz w:val="18"/>
                <w:szCs w:val="18"/>
                <w:lang w:eastAsia="tr-TR"/>
              </w:rPr>
            </w:pPr>
            <w:r w:rsidRPr="00FC1F5B">
              <w:rPr>
                <w:b/>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0D0CB0" w14:textId="77777777" w:rsidR="00B02AD6" w:rsidRPr="00FC1F5B" w:rsidRDefault="00B02AD6" w:rsidP="00FC1F5B">
            <w:pPr>
              <w:jc w:val="right"/>
              <w:rPr>
                <w:b/>
                <w:color w:val="000000"/>
                <w:sz w:val="18"/>
                <w:szCs w:val="18"/>
                <w:lang w:eastAsia="tr-TR"/>
              </w:rPr>
            </w:pPr>
            <w:r w:rsidRPr="00FC1F5B">
              <w:rPr>
                <w:b/>
                <w:color w:val="000000"/>
                <w:sz w:val="18"/>
                <w:szCs w:val="18"/>
                <w:lang w:eastAsia="tr-TR"/>
              </w:rPr>
              <w:t>25,246,347</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ACA42B" w14:textId="77777777" w:rsidR="00B02AD6" w:rsidRPr="00FC1F5B" w:rsidRDefault="00B02AD6" w:rsidP="00FC1F5B">
            <w:pPr>
              <w:jc w:val="right"/>
              <w:rPr>
                <w:b/>
                <w:color w:val="000000"/>
                <w:sz w:val="18"/>
                <w:szCs w:val="18"/>
                <w:lang w:eastAsia="tr-TR"/>
              </w:rPr>
            </w:pPr>
            <w:r w:rsidRPr="00FC1F5B">
              <w:rPr>
                <w:b/>
                <w:color w:val="000000"/>
                <w:sz w:val="18"/>
                <w:szCs w:val="18"/>
                <w:lang w:eastAsia="tr-TR"/>
              </w:rPr>
              <w:t>18,088,111</w:t>
            </w:r>
          </w:p>
        </w:tc>
      </w:tr>
      <w:tr w:rsidR="00B02AD6" w:rsidRPr="00FC1F5B" w14:paraId="3D3537A2" w14:textId="77777777" w:rsidTr="006B1072">
        <w:trPr>
          <w:divId w:val="1837845868"/>
          <w:trHeight w:val="246"/>
        </w:trPr>
        <w:tc>
          <w:tcPr>
            <w:tcW w:w="4328" w:type="dxa"/>
            <w:gridSpan w:val="2"/>
            <w:tcBorders>
              <w:top w:val="single" w:sz="4" w:space="0" w:color="auto"/>
              <w:left w:val="single" w:sz="4" w:space="0" w:color="auto"/>
              <w:bottom w:val="single" w:sz="4" w:space="0" w:color="auto"/>
            </w:tcBorders>
            <w:shd w:val="clear" w:color="auto" w:fill="auto"/>
            <w:noWrap/>
            <w:vAlign w:val="bottom"/>
            <w:hideMark/>
          </w:tcPr>
          <w:p w14:paraId="53A4F46C"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NAKİT GİRİŞLERİ</w:t>
            </w:r>
          </w:p>
        </w:tc>
        <w:tc>
          <w:tcPr>
            <w:tcW w:w="1083" w:type="dxa"/>
            <w:tcBorders>
              <w:right w:val="single" w:sz="4" w:space="0" w:color="auto"/>
            </w:tcBorders>
            <w:shd w:val="clear" w:color="auto" w:fill="auto"/>
            <w:noWrap/>
            <w:vAlign w:val="bottom"/>
            <w:hideMark/>
          </w:tcPr>
          <w:p w14:paraId="7A41C3D9" w14:textId="77777777" w:rsidR="00B02AD6" w:rsidRPr="00FC1F5B" w:rsidRDefault="00B02AD6" w:rsidP="00B02AD6">
            <w:pPr>
              <w:rPr>
                <w:b/>
                <w:bCs/>
                <w:color w:val="000000"/>
                <w:sz w:val="18"/>
                <w:szCs w:val="18"/>
                <w:lang w:eastAsia="tr-TR"/>
              </w:rPr>
            </w:pP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8035C42"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3F736B4"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1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DFA725A"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94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C01D42B"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r>
      <w:tr w:rsidR="00B02AD6" w:rsidRPr="00FC1F5B" w14:paraId="365C4E8A" w14:textId="77777777" w:rsidTr="006B1072">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A41CAA" w14:textId="77777777" w:rsidR="00B02AD6" w:rsidRPr="00FC1F5B" w:rsidRDefault="00B02AD6" w:rsidP="00B02AD6">
            <w:pPr>
              <w:jc w:val="right"/>
              <w:rPr>
                <w:color w:val="000000"/>
                <w:sz w:val="18"/>
                <w:szCs w:val="18"/>
                <w:lang w:eastAsia="tr-TR"/>
              </w:rPr>
            </w:pPr>
            <w:r w:rsidRPr="00FC1F5B">
              <w:rPr>
                <w:color w:val="000000"/>
                <w:sz w:val="18"/>
                <w:szCs w:val="18"/>
                <w:lang w:eastAsia="tr-TR"/>
              </w:rPr>
              <w:t>17</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EC854A" w14:textId="77777777" w:rsidR="00B02AD6" w:rsidRPr="00FC1F5B" w:rsidRDefault="00B02AD6" w:rsidP="00B02AD6">
            <w:pPr>
              <w:rPr>
                <w:color w:val="000000"/>
                <w:sz w:val="18"/>
                <w:szCs w:val="18"/>
                <w:lang w:eastAsia="tr-TR"/>
              </w:rPr>
            </w:pPr>
            <w:r w:rsidRPr="00FC1F5B">
              <w:rPr>
                <w:color w:val="000000"/>
                <w:sz w:val="18"/>
                <w:szCs w:val="18"/>
                <w:lang w:eastAsia="tr-TR"/>
              </w:rPr>
              <w:t>Teminatlı alacaklar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2586D"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720B2"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E1100"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EF9A6" w14:textId="77777777" w:rsidR="00B02AD6" w:rsidRPr="00FC1F5B" w:rsidRDefault="00B02AD6" w:rsidP="00B02AD6">
            <w:pPr>
              <w:jc w:val="right"/>
              <w:rPr>
                <w:color w:val="000000"/>
                <w:sz w:val="18"/>
                <w:szCs w:val="18"/>
                <w:lang w:eastAsia="tr-TR"/>
              </w:rPr>
            </w:pPr>
            <w:r w:rsidRPr="00FC1F5B">
              <w:rPr>
                <w:color w:val="000000"/>
                <w:sz w:val="18"/>
                <w:szCs w:val="18"/>
                <w:lang w:eastAsia="tr-TR"/>
              </w:rPr>
              <w:t>-</w:t>
            </w:r>
          </w:p>
        </w:tc>
      </w:tr>
      <w:tr w:rsidR="00B02AD6" w:rsidRPr="00FC1F5B" w14:paraId="1F80CD6D" w14:textId="77777777" w:rsidTr="006B1072">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DD9EE" w14:textId="77777777" w:rsidR="00B02AD6" w:rsidRPr="00FC1F5B" w:rsidRDefault="00B02AD6" w:rsidP="00B02AD6">
            <w:pPr>
              <w:jc w:val="right"/>
              <w:rPr>
                <w:color w:val="000000"/>
                <w:sz w:val="18"/>
                <w:szCs w:val="18"/>
                <w:lang w:eastAsia="tr-TR"/>
              </w:rPr>
            </w:pPr>
            <w:r w:rsidRPr="00FC1F5B">
              <w:rPr>
                <w:color w:val="000000"/>
                <w:sz w:val="18"/>
                <w:szCs w:val="18"/>
                <w:lang w:eastAsia="tr-TR"/>
              </w:rPr>
              <w:t>18</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DE321C" w14:textId="77777777" w:rsidR="00B02AD6" w:rsidRPr="00FC1F5B" w:rsidRDefault="00B02AD6" w:rsidP="00B02AD6">
            <w:pPr>
              <w:rPr>
                <w:color w:val="000000"/>
                <w:sz w:val="18"/>
                <w:szCs w:val="18"/>
                <w:lang w:eastAsia="tr-TR"/>
              </w:rPr>
            </w:pPr>
            <w:r w:rsidRPr="00FC1F5B">
              <w:rPr>
                <w:color w:val="000000"/>
                <w:sz w:val="18"/>
                <w:szCs w:val="18"/>
                <w:lang w:eastAsia="tr-TR"/>
              </w:rPr>
              <w:t>Teminatsız alacaklar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55448" w14:textId="77777777" w:rsidR="00B02AD6" w:rsidRPr="00FC1F5B" w:rsidRDefault="00B02AD6" w:rsidP="00B02AD6">
            <w:pPr>
              <w:jc w:val="right"/>
              <w:rPr>
                <w:color w:val="000000"/>
                <w:sz w:val="18"/>
                <w:szCs w:val="18"/>
                <w:lang w:eastAsia="tr-TR"/>
              </w:rPr>
            </w:pPr>
            <w:r w:rsidRPr="00FC1F5B">
              <w:rPr>
                <w:color w:val="000000"/>
                <w:sz w:val="18"/>
                <w:szCs w:val="18"/>
                <w:lang w:eastAsia="tr-TR"/>
              </w:rPr>
              <w:t>15,883,591</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F2E96" w14:textId="77777777" w:rsidR="00B02AD6" w:rsidRPr="00FC1F5B" w:rsidRDefault="00B02AD6" w:rsidP="00B02AD6">
            <w:pPr>
              <w:jc w:val="right"/>
              <w:rPr>
                <w:color w:val="000000"/>
                <w:sz w:val="18"/>
                <w:szCs w:val="18"/>
                <w:lang w:eastAsia="tr-TR"/>
              </w:rPr>
            </w:pPr>
            <w:r w:rsidRPr="00FC1F5B">
              <w:rPr>
                <w:color w:val="000000"/>
                <w:sz w:val="18"/>
                <w:szCs w:val="18"/>
                <w:lang w:eastAsia="tr-TR"/>
              </w:rPr>
              <w:t>12,061,329</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B27ED" w14:textId="77777777" w:rsidR="00B02AD6" w:rsidRPr="00FC1F5B" w:rsidRDefault="00B02AD6" w:rsidP="00B02AD6">
            <w:pPr>
              <w:jc w:val="right"/>
              <w:rPr>
                <w:color w:val="000000"/>
                <w:sz w:val="18"/>
                <w:szCs w:val="18"/>
                <w:lang w:eastAsia="tr-TR"/>
              </w:rPr>
            </w:pPr>
            <w:r w:rsidRPr="00FC1F5B">
              <w:rPr>
                <w:color w:val="000000"/>
                <w:sz w:val="18"/>
                <w:szCs w:val="18"/>
                <w:lang w:eastAsia="tr-TR"/>
              </w:rPr>
              <w:t>13,990,336</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79D78" w14:textId="77777777" w:rsidR="00B02AD6" w:rsidRPr="00FC1F5B" w:rsidRDefault="00B02AD6" w:rsidP="00B02AD6">
            <w:pPr>
              <w:jc w:val="right"/>
              <w:rPr>
                <w:color w:val="000000"/>
                <w:sz w:val="18"/>
                <w:szCs w:val="18"/>
                <w:lang w:eastAsia="tr-TR"/>
              </w:rPr>
            </w:pPr>
            <w:r w:rsidRPr="00FC1F5B">
              <w:rPr>
                <w:color w:val="000000"/>
                <w:sz w:val="18"/>
                <w:szCs w:val="18"/>
                <w:lang w:eastAsia="tr-TR"/>
              </w:rPr>
              <w:t>11,443,387</w:t>
            </w:r>
          </w:p>
        </w:tc>
      </w:tr>
      <w:tr w:rsidR="00B02AD6" w:rsidRPr="00FC1F5B" w14:paraId="23C057F8" w14:textId="77777777" w:rsidTr="006B1072">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55975B" w14:textId="77777777" w:rsidR="00B02AD6" w:rsidRPr="00FC1F5B" w:rsidRDefault="00B02AD6" w:rsidP="00B02AD6">
            <w:pPr>
              <w:jc w:val="right"/>
              <w:rPr>
                <w:color w:val="000000"/>
                <w:sz w:val="18"/>
                <w:szCs w:val="18"/>
                <w:lang w:eastAsia="tr-TR"/>
              </w:rPr>
            </w:pPr>
            <w:r w:rsidRPr="00FC1F5B">
              <w:rPr>
                <w:color w:val="000000"/>
                <w:sz w:val="18"/>
                <w:szCs w:val="18"/>
                <w:lang w:eastAsia="tr-TR"/>
              </w:rPr>
              <w:t>19</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9C3FD9" w14:textId="77777777" w:rsidR="00B02AD6" w:rsidRPr="00FC1F5B" w:rsidRDefault="00B02AD6" w:rsidP="00B02AD6">
            <w:pPr>
              <w:rPr>
                <w:color w:val="000000"/>
                <w:sz w:val="18"/>
                <w:szCs w:val="18"/>
                <w:lang w:eastAsia="tr-TR"/>
              </w:rPr>
            </w:pPr>
            <w:r w:rsidRPr="00FC1F5B">
              <w:rPr>
                <w:color w:val="000000"/>
                <w:sz w:val="18"/>
                <w:szCs w:val="18"/>
                <w:lang w:eastAsia="tr-TR"/>
              </w:rPr>
              <w:t>Diğer nakit girişleri</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A2DBE" w14:textId="77777777" w:rsidR="00B02AD6" w:rsidRPr="00FC1F5B" w:rsidRDefault="00B02AD6" w:rsidP="00B02AD6">
            <w:pPr>
              <w:jc w:val="right"/>
              <w:rPr>
                <w:color w:val="000000"/>
                <w:sz w:val="18"/>
                <w:szCs w:val="18"/>
                <w:lang w:eastAsia="tr-TR"/>
              </w:rPr>
            </w:pPr>
            <w:r w:rsidRPr="00FC1F5B">
              <w:rPr>
                <w:color w:val="000000"/>
                <w:sz w:val="18"/>
                <w:szCs w:val="18"/>
                <w:lang w:eastAsia="tr-TR"/>
              </w:rPr>
              <w:t>12,845,603</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9978F" w14:textId="77777777" w:rsidR="00B02AD6" w:rsidRPr="00FC1F5B" w:rsidRDefault="00B02AD6" w:rsidP="00B02AD6">
            <w:pPr>
              <w:jc w:val="right"/>
              <w:rPr>
                <w:color w:val="000000"/>
                <w:sz w:val="18"/>
                <w:szCs w:val="18"/>
                <w:lang w:eastAsia="tr-TR"/>
              </w:rPr>
            </w:pPr>
            <w:r w:rsidRPr="00FC1F5B">
              <w:rPr>
                <w:color w:val="000000"/>
                <w:sz w:val="18"/>
                <w:szCs w:val="18"/>
                <w:lang w:eastAsia="tr-TR"/>
              </w:rPr>
              <w:t>6,880,189</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81201" w14:textId="77777777" w:rsidR="00B02AD6" w:rsidRPr="00FC1F5B" w:rsidRDefault="00B02AD6" w:rsidP="00B02AD6">
            <w:pPr>
              <w:jc w:val="right"/>
              <w:rPr>
                <w:color w:val="000000"/>
                <w:sz w:val="18"/>
                <w:szCs w:val="18"/>
                <w:lang w:eastAsia="tr-TR"/>
              </w:rPr>
            </w:pPr>
            <w:r w:rsidRPr="00FC1F5B">
              <w:rPr>
                <w:color w:val="000000"/>
                <w:sz w:val="18"/>
                <w:szCs w:val="18"/>
                <w:lang w:eastAsia="tr-TR"/>
              </w:rPr>
              <w:t>12,845,603</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78E06" w14:textId="77777777" w:rsidR="00B02AD6" w:rsidRPr="00FC1F5B" w:rsidRDefault="00B02AD6" w:rsidP="00B02AD6">
            <w:pPr>
              <w:jc w:val="right"/>
              <w:rPr>
                <w:color w:val="000000"/>
                <w:sz w:val="18"/>
                <w:szCs w:val="18"/>
                <w:lang w:eastAsia="tr-TR"/>
              </w:rPr>
            </w:pPr>
            <w:r w:rsidRPr="00FC1F5B">
              <w:rPr>
                <w:color w:val="000000"/>
                <w:sz w:val="18"/>
                <w:szCs w:val="18"/>
                <w:lang w:eastAsia="tr-TR"/>
              </w:rPr>
              <w:t>6,880,189</w:t>
            </w:r>
          </w:p>
        </w:tc>
      </w:tr>
      <w:tr w:rsidR="00B02AD6" w:rsidRPr="00FC1F5B" w14:paraId="125A56D2" w14:textId="77777777" w:rsidTr="006B1072">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FB8C21" w14:textId="77777777" w:rsidR="00B02AD6" w:rsidRPr="00FC1F5B" w:rsidRDefault="00B02AD6" w:rsidP="00B02AD6">
            <w:pPr>
              <w:jc w:val="right"/>
              <w:rPr>
                <w:color w:val="000000"/>
                <w:sz w:val="18"/>
                <w:szCs w:val="18"/>
                <w:lang w:eastAsia="tr-TR"/>
              </w:rPr>
            </w:pPr>
            <w:r w:rsidRPr="00FC1F5B">
              <w:rPr>
                <w:color w:val="000000"/>
                <w:sz w:val="18"/>
                <w:szCs w:val="18"/>
                <w:lang w:eastAsia="tr-TR"/>
              </w:rPr>
              <w:t>20</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3B88F5"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TOPLAM NAKİT GİRİŞLERİ</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1F6F8"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28,729,194</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C6B60"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18,941,518</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00F33"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26,835,939</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402C1"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18,323,576</w:t>
            </w:r>
          </w:p>
        </w:tc>
      </w:tr>
      <w:tr w:rsidR="00B02AD6" w:rsidRPr="00FC1F5B" w14:paraId="5E3B21A3" w14:textId="77777777" w:rsidTr="006B1072">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2EC16C50" w14:textId="77777777" w:rsidR="00B02AD6" w:rsidRPr="00FC1F5B" w:rsidRDefault="00B02AD6" w:rsidP="00B02AD6">
            <w:pPr>
              <w:rPr>
                <w:color w:val="000000"/>
                <w:sz w:val="18"/>
                <w:szCs w:val="18"/>
                <w:lang w:eastAsia="tr-TR"/>
              </w:rPr>
            </w:pPr>
            <w:r w:rsidRPr="00FC1F5B">
              <w:rPr>
                <w:color w:val="000000"/>
                <w:sz w:val="18"/>
                <w:szCs w:val="18"/>
                <w:lang w:eastAsia="tr-TR"/>
              </w:rPr>
              <w:t> </w:t>
            </w:r>
          </w:p>
        </w:tc>
        <w:tc>
          <w:tcPr>
            <w:tcW w:w="3971" w:type="dxa"/>
            <w:tcBorders>
              <w:top w:val="single" w:sz="4" w:space="0" w:color="auto"/>
              <w:left w:val="single" w:sz="4" w:space="0" w:color="auto"/>
              <w:bottom w:val="single" w:sz="4" w:space="0" w:color="auto"/>
            </w:tcBorders>
            <w:shd w:val="clear" w:color="auto" w:fill="D0CECE" w:themeFill="background2" w:themeFillShade="E6"/>
            <w:vAlign w:val="center"/>
            <w:hideMark/>
          </w:tcPr>
          <w:p w14:paraId="4D65117A" w14:textId="77777777" w:rsidR="00B02AD6" w:rsidRPr="00FC1F5B" w:rsidRDefault="00B02AD6" w:rsidP="00B02AD6">
            <w:pPr>
              <w:rPr>
                <w:color w:val="000000"/>
                <w:sz w:val="18"/>
                <w:szCs w:val="18"/>
                <w:lang w:eastAsia="tr-TR"/>
              </w:rPr>
            </w:pPr>
            <w:r w:rsidRPr="00FC1F5B">
              <w:rPr>
                <w:color w:val="000000"/>
                <w:sz w:val="18"/>
                <w:szCs w:val="18"/>
                <w:lang w:eastAsia="tr-TR"/>
              </w:rPr>
              <w:t> </w:t>
            </w:r>
          </w:p>
        </w:tc>
        <w:tc>
          <w:tcPr>
            <w:tcW w:w="1083" w:type="dxa"/>
            <w:tcBorders>
              <w:right w:val="single" w:sz="4" w:space="0" w:color="auto"/>
            </w:tcBorders>
            <w:shd w:val="clear" w:color="auto" w:fill="D0CECE" w:themeFill="background2" w:themeFillShade="E6"/>
            <w:noWrap/>
            <w:vAlign w:val="bottom"/>
            <w:hideMark/>
          </w:tcPr>
          <w:p w14:paraId="395C5C0C" w14:textId="77777777" w:rsidR="00B02AD6" w:rsidRPr="00FC1F5B" w:rsidRDefault="00B02AD6" w:rsidP="00B02AD6">
            <w:pPr>
              <w:rPr>
                <w:color w:val="000000"/>
                <w:sz w:val="18"/>
                <w:szCs w:val="18"/>
                <w:lang w:eastAsia="tr-TR"/>
              </w:rPr>
            </w:pP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7441353"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A61E42"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 </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E3B246" w14:textId="77777777" w:rsidR="00B02AD6" w:rsidRPr="00FC1F5B" w:rsidRDefault="00B02AD6" w:rsidP="00B02AD6">
            <w:pPr>
              <w:jc w:val="center"/>
              <w:rPr>
                <w:b/>
                <w:bCs/>
                <w:color w:val="000000"/>
                <w:sz w:val="18"/>
                <w:szCs w:val="18"/>
                <w:lang w:eastAsia="tr-TR"/>
              </w:rPr>
            </w:pPr>
            <w:r w:rsidRPr="00FC1F5B">
              <w:rPr>
                <w:b/>
                <w:bCs/>
                <w:color w:val="000000"/>
                <w:sz w:val="18"/>
                <w:szCs w:val="18"/>
                <w:lang w:eastAsia="tr-TR"/>
              </w:rPr>
              <w:t>Üst Sınır Uygulanmış Değer</w:t>
            </w:r>
          </w:p>
        </w:tc>
      </w:tr>
      <w:tr w:rsidR="00B02AD6" w:rsidRPr="00FC1F5B" w14:paraId="1F342201" w14:textId="77777777" w:rsidTr="006B1072">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864DF2" w14:textId="77777777" w:rsidR="00B02AD6" w:rsidRPr="00FC1F5B" w:rsidRDefault="00B02AD6" w:rsidP="00B02AD6">
            <w:pPr>
              <w:jc w:val="right"/>
              <w:rPr>
                <w:color w:val="000000"/>
                <w:sz w:val="18"/>
                <w:szCs w:val="18"/>
                <w:lang w:eastAsia="tr-TR"/>
              </w:rPr>
            </w:pPr>
            <w:r w:rsidRPr="00FC1F5B">
              <w:rPr>
                <w:color w:val="000000"/>
                <w:sz w:val="18"/>
                <w:szCs w:val="18"/>
                <w:lang w:eastAsia="tr-TR"/>
              </w:rPr>
              <w:t>21</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690DB0"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TOPLAM YKLV STOKU</w:t>
            </w: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D3EEB70"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1DADAA4"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28CD7"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22,675,028</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1BD9D"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19,423,358</w:t>
            </w:r>
          </w:p>
        </w:tc>
      </w:tr>
      <w:tr w:rsidR="00B02AD6" w:rsidRPr="00FC1F5B" w14:paraId="2D0D5E2D" w14:textId="77777777" w:rsidTr="006B1072">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93E7B" w14:textId="77777777" w:rsidR="00B02AD6" w:rsidRPr="00FC1F5B" w:rsidRDefault="00B02AD6" w:rsidP="00B02AD6">
            <w:pPr>
              <w:jc w:val="right"/>
              <w:rPr>
                <w:color w:val="000000"/>
                <w:sz w:val="18"/>
                <w:szCs w:val="18"/>
                <w:lang w:eastAsia="tr-TR"/>
              </w:rPr>
            </w:pPr>
            <w:r w:rsidRPr="00FC1F5B">
              <w:rPr>
                <w:color w:val="000000"/>
                <w:sz w:val="18"/>
                <w:szCs w:val="18"/>
                <w:lang w:eastAsia="tr-TR"/>
              </w:rPr>
              <w:t>22</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AEBE6A"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TOPLAM NET NAKİT ÇIKIŞLARI</w:t>
            </w: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CBB828"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F64B398"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A98A0"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6,311,587</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DF3C3"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4,522,028</w:t>
            </w:r>
          </w:p>
        </w:tc>
      </w:tr>
      <w:tr w:rsidR="00B02AD6" w:rsidRPr="00FC1F5B" w14:paraId="7E02996E" w14:textId="77777777" w:rsidTr="006B1072">
        <w:trPr>
          <w:divId w:val="1837845868"/>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2B21F" w14:textId="77777777" w:rsidR="00B02AD6" w:rsidRPr="00FC1F5B" w:rsidRDefault="00B02AD6" w:rsidP="00B02AD6">
            <w:pPr>
              <w:jc w:val="right"/>
              <w:rPr>
                <w:color w:val="000000"/>
                <w:sz w:val="18"/>
                <w:szCs w:val="18"/>
                <w:lang w:eastAsia="tr-TR"/>
              </w:rPr>
            </w:pPr>
            <w:r w:rsidRPr="00FC1F5B">
              <w:rPr>
                <w:color w:val="000000"/>
                <w:sz w:val="18"/>
                <w:szCs w:val="18"/>
                <w:lang w:eastAsia="tr-TR"/>
              </w:rPr>
              <w:t>23</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D83DEE" w14:textId="77777777" w:rsidR="00B02AD6" w:rsidRPr="00FC1F5B" w:rsidRDefault="00B02AD6" w:rsidP="00B02AD6">
            <w:pPr>
              <w:rPr>
                <w:b/>
                <w:bCs/>
                <w:color w:val="000000"/>
                <w:sz w:val="18"/>
                <w:szCs w:val="18"/>
                <w:lang w:eastAsia="tr-TR"/>
              </w:rPr>
            </w:pPr>
            <w:r w:rsidRPr="00FC1F5B">
              <w:rPr>
                <w:b/>
                <w:bCs/>
                <w:color w:val="000000"/>
                <w:sz w:val="18"/>
                <w:szCs w:val="18"/>
                <w:lang w:eastAsia="tr-TR"/>
              </w:rPr>
              <w:t>LİKİDİTE KARŞILAMA ORANI (%)</w:t>
            </w: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DCCB83C"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C4E1C4" w14:textId="77777777" w:rsidR="00B02AD6" w:rsidRPr="00FC1F5B" w:rsidRDefault="00B02AD6" w:rsidP="00B02AD6">
            <w:pPr>
              <w:jc w:val="right"/>
              <w:rPr>
                <w:color w:val="000000"/>
                <w:sz w:val="18"/>
                <w:szCs w:val="18"/>
                <w:lang w:eastAsia="tr-TR"/>
              </w:rPr>
            </w:pPr>
            <w:r w:rsidRPr="00FC1F5B">
              <w:rPr>
                <w:color w:val="000000"/>
                <w:sz w:val="18"/>
                <w:szCs w:val="18"/>
                <w:lang w:eastAsia="tr-TR"/>
              </w:rPr>
              <w:t>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5DB5E"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359.26</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D83B6" w14:textId="77777777" w:rsidR="00B02AD6" w:rsidRPr="00FC1F5B" w:rsidRDefault="00B02AD6" w:rsidP="00B02AD6">
            <w:pPr>
              <w:jc w:val="right"/>
              <w:rPr>
                <w:b/>
                <w:bCs/>
                <w:color w:val="000000"/>
                <w:sz w:val="18"/>
                <w:szCs w:val="18"/>
                <w:lang w:eastAsia="tr-TR"/>
              </w:rPr>
            </w:pPr>
            <w:r w:rsidRPr="00FC1F5B">
              <w:rPr>
                <w:b/>
                <w:bCs/>
                <w:color w:val="000000"/>
                <w:sz w:val="18"/>
                <w:szCs w:val="18"/>
                <w:lang w:eastAsia="tr-TR"/>
              </w:rPr>
              <w:t>429.53</w:t>
            </w:r>
          </w:p>
        </w:tc>
      </w:tr>
    </w:tbl>
    <w:p w14:paraId="7F605707" w14:textId="45146277" w:rsidR="00712DD0" w:rsidRPr="00B02AD6" w:rsidRDefault="00712DD0" w:rsidP="00C32C75">
      <w:pPr>
        <w:rPr>
          <w:b/>
          <w:u w:val="single"/>
        </w:rPr>
      </w:pPr>
    </w:p>
    <w:p w14:paraId="2DF7B23D" w14:textId="77777777" w:rsidR="0067330F" w:rsidRPr="00B02AD6" w:rsidRDefault="0067330F" w:rsidP="00712DD0">
      <w:pPr>
        <w:jc w:val="both"/>
        <w:rPr>
          <w:bCs/>
          <w:snapToGrid w:val="0"/>
          <w:sz w:val="18"/>
        </w:rPr>
      </w:pPr>
      <w:r w:rsidRPr="00B02AD6">
        <w:rPr>
          <w:bCs/>
          <w:snapToGrid w:val="0"/>
          <w:sz w:val="18"/>
        </w:rPr>
        <w:t xml:space="preserve">(*) Aylık basit aritmetik ortalama alınmak suretiyle hesaplanan likidite karşılama oranının son üç ay için hesaplanan ortalaması, </w:t>
      </w:r>
    </w:p>
    <w:p w14:paraId="127D8A08" w14:textId="77777777" w:rsidR="00712DD0" w:rsidRPr="00B02AD6" w:rsidRDefault="00712DD0" w:rsidP="00712DD0">
      <w:pPr>
        <w:jc w:val="both"/>
        <w:rPr>
          <w:sz w:val="16"/>
          <w:szCs w:val="16"/>
        </w:rPr>
      </w:pPr>
    </w:p>
    <w:p w14:paraId="75250D66" w14:textId="137725AC" w:rsidR="0067330F" w:rsidRPr="00B02AD6" w:rsidRDefault="00D55EFD" w:rsidP="00712DD0">
      <w:pPr>
        <w:jc w:val="both"/>
      </w:pPr>
      <w:r w:rsidRPr="00B02AD6">
        <w:t>31 Aralık 201</w:t>
      </w:r>
      <w:r w:rsidR="001F16A5" w:rsidRPr="00B02AD6">
        <w:t>9</w:t>
      </w:r>
      <w:r w:rsidR="0067330F" w:rsidRPr="00B02AD6">
        <w:t xml:space="preserve"> tarihli e</w:t>
      </w:r>
      <w:r w:rsidR="000C101D" w:rsidRPr="00B02AD6">
        <w:t>n düşük, en yüksek ve ortalama l</w:t>
      </w:r>
      <w:r w:rsidR="0067330F" w:rsidRPr="00B02AD6">
        <w:t>ikidit</w:t>
      </w:r>
      <w:r w:rsidR="000C101D" w:rsidRPr="00B02AD6">
        <w:t>e karşılama o</w:t>
      </w:r>
      <w:r w:rsidR="0067330F" w:rsidRPr="00B02AD6">
        <w:t>ranları aşağıdaki tabloda yer almaktadır.</w:t>
      </w:r>
    </w:p>
    <w:p w14:paraId="2980009C" w14:textId="77777777" w:rsidR="00712DD0" w:rsidRPr="00B02AD6" w:rsidRDefault="00712DD0" w:rsidP="00712DD0">
      <w:pPr>
        <w:jc w:val="both"/>
        <w:rPr>
          <w:b/>
          <w:sz w:val="16"/>
          <w:szCs w:val="16"/>
        </w:rPr>
      </w:pPr>
    </w:p>
    <w:p w14:paraId="2EA43292" w14:textId="77777777" w:rsidR="0067330F" w:rsidRPr="00B02AD6" w:rsidRDefault="0067330F" w:rsidP="00712DD0">
      <w:pPr>
        <w:jc w:val="both"/>
        <w:rPr>
          <w:b/>
          <w:sz w:val="18"/>
          <w:szCs w:val="18"/>
        </w:rPr>
      </w:pPr>
      <w:r w:rsidRPr="00B02AD6">
        <w:rPr>
          <w:b/>
          <w:sz w:val="18"/>
          <w:szCs w:val="18"/>
        </w:rPr>
        <w:t>Önceki Dönem</w:t>
      </w:r>
    </w:p>
    <w:p w14:paraId="294013D0" w14:textId="2FF42AA2" w:rsidR="00B02AD6" w:rsidRPr="00B02AD6" w:rsidRDefault="00B02AD6" w:rsidP="00A404AA">
      <w:pPr>
        <w:autoSpaceDE w:val="0"/>
        <w:autoSpaceDN w:val="0"/>
        <w:jc w:val="both"/>
        <w:rPr>
          <w:lang w:val="en-GB" w:eastAsia="en-GB"/>
        </w:rPr>
      </w:pPr>
    </w:p>
    <w:tbl>
      <w:tblPr>
        <w:tblW w:w="9340" w:type="dxa"/>
        <w:tblCellMar>
          <w:left w:w="70" w:type="dxa"/>
          <w:right w:w="70" w:type="dxa"/>
        </w:tblCellMar>
        <w:tblLook w:val="04A0" w:firstRow="1" w:lastRow="0" w:firstColumn="1" w:lastColumn="0" w:noHBand="0" w:noVBand="1"/>
      </w:tblPr>
      <w:tblGrid>
        <w:gridCol w:w="3446"/>
        <w:gridCol w:w="1306"/>
        <w:gridCol w:w="1306"/>
        <w:gridCol w:w="1099"/>
        <w:gridCol w:w="1035"/>
        <w:gridCol w:w="1148"/>
      </w:tblGrid>
      <w:tr w:rsidR="00B02AD6" w:rsidRPr="00B02AD6" w14:paraId="4C668353" w14:textId="77777777" w:rsidTr="006B1072">
        <w:trPr>
          <w:divId w:val="507328982"/>
          <w:trHeight w:val="267"/>
        </w:trPr>
        <w:tc>
          <w:tcPr>
            <w:tcW w:w="3446" w:type="dxa"/>
            <w:tcBorders>
              <w:top w:val="single" w:sz="8" w:space="0" w:color="000000"/>
              <w:left w:val="single" w:sz="8" w:space="0" w:color="000000"/>
              <w:bottom w:val="dotted" w:sz="4" w:space="0" w:color="000000"/>
              <w:right w:val="dotted" w:sz="4" w:space="0" w:color="000000"/>
            </w:tcBorders>
            <w:shd w:val="clear" w:color="auto" w:fill="D0CECE" w:themeFill="background2" w:themeFillShade="E6"/>
            <w:vAlign w:val="center"/>
            <w:hideMark/>
          </w:tcPr>
          <w:p w14:paraId="63A1E65E" w14:textId="47F55163" w:rsidR="00B02AD6" w:rsidRPr="00B02AD6" w:rsidRDefault="00B02AD6" w:rsidP="00B02AD6">
            <w:pPr>
              <w:rPr>
                <w:color w:val="000000"/>
                <w:lang w:eastAsia="tr-TR"/>
              </w:rPr>
            </w:pPr>
            <w:r w:rsidRPr="00B02AD6">
              <w:rPr>
                <w:color w:val="000000"/>
                <w:lang w:eastAsia="tr-TR"/>
              </w:rPr>
              <w:t> </w:t>
            </w:r>
          </w:p>
        </w:tc>
        <w:tc>
          <w:tcPr>
            <w:tcW w:w="1306" w:type="dxa"/>
            <w:tcBorders>
              <w:top w:val="single" w:sz="8" w:space="0" w:color="000000"/>
              <w:left w:val="nil"/>
              <w:bottom w:val="dotted" w:sz="4" w:space="0" w:color="000000"/>
              <w:right w:val="dotted" w:sz="4" w:space="0" w:color="000000"/>
            </w:tcBorders>
            <w:shd w:val="clear" w:color="auto" w:fill="auto"/>
            <w:vAlign w:val="center"/>
            <w:hideMark/>
          </w:tcPr>
          <w:p w14:paraId="550F9789" w14:textId="77777777" w:rsidR="00B02AD6" w:rsidRPr="00B02AD6" w:rsidRDefault="00B02AD6" w:rsidP="00B02AD6">
            <w:pPr>
              <w:jc w:val="right"/>
              <w:rPr>
                <w:b/>
                <w:bCs/>
                <w:color w:val="000000"/>
                <w:sz w:val="18"/>
                <w:szCs w:val="18"/>
                <w:lang w:eastAsia="tr-TR"/>
              </w:rPr>
            </w:pPr>
            <w:r w:rsidRPr="00B02AD6">
              <w:rPr>
                <w:b/>
                <w:bCs/>
                <w:color w:val="000000"/>
                <w:sz w:val="18"/>
                <w:szCs w:val="18"/>
                <w:lang w:eastAsia="tr-TR"/>
              </w:rPr>
              <w:t xml:space="preserve">    En Yüksek</w:t>
            </w:r>
          </w:p>
        </w:tc>
        <w:tc>
          <w:tcPr>
            <w:tcW w:w="1306" w:type="dxa"/>
            <w:tcBorders>
              <w:top w:val="single" w:sz="8" w:space="0" w:color="000000"/>
              <w:left w:val="nil"/>
              <w:bottom w:val="dotted" w:sz="4" w:space="0" w:color="000000"/>
              <w:right w:val="dotted" w:sz="4" w:space="0" w:color="000000"/>
            </w:tcBorders>
            <w:shd w:val="clear" w:color="auto" w:fill="auto"/>
            <w:vAlign w:val="center"/>
            <w:hideMark/>
          </w:tcPr>
          <w:p w14:paraId="5235587B" w14:textId="77777777" w:rsidR="00B02AD6" w:rsidRPr="00B02AD6" w:rsidRDefault="00B02AD6" w:rsidP="00B02AD6">
            <w:pPr>
              <w:jc w:val="right"/>
              <w:rPr>
                <w:b/>
                <w:bCs/>
                <w:color w:val="000000"/>
                <w:sz w:val="18"/>
                <w:szCs w:val="18"/>
                <w:lang w:eastAsia="tr-TR"/>
              </w:rPr>
            </w:pPr>
            <w:r w:rsidRPr="00B02AD6">
              <w:rPr>
                <w:b/>
                <w:bCs/>
                <w:color w:val="000000"/>
                <w:sz w:val="18"/>
                <w:szCs w:val="18"/>
                <w:lang w:eastAsia="tr-TR"/>
              </w:rPr>
              <w:t>Tarih</w:t>
            </w:r>
          </w:p>
        </w:tc>
        <w:tc>
          <w:tcPr>
            <w:tcW w:w="1099" w:type="dxa"/>
            <w:tcBorders>
              <w:top w:val="single" w:sz="8" w:space="0" w:color="000000"/>
              <w:left w:val="nil"/>
              <w:bottom w:val="dotted" w:sz="4" w:space="0" w:color="000000"/>
              <w:right w:val="dotted" w:sz="4" w:space="0" w:color="000000"/>
            </w:tcBorders>
            <w:shd w:val="clear" w:color="auto" w:fill="auto"/>
            <w:vAlign w:val="center"/>
            <w:hideMark/>
          </w:tcPr>
          <w:p w14:paraId="63904E3C" w14:textId="77777777" w:rsidR="00B02AD6" w:rsidRPr="00B02AD6" w:rsidRDefault="00B02AD6" w:rsidP="00B02AD6">
            <w:pPr>
              <w:jc w:val="right"/>
              <w:rPr>
                <w:b/>
                <w:bCs/>
                <w:color w:val="000000"/>
                <w:sz w:val="18"/>
                <w:szCs w:val="18"/>
                <w:lang w:eastAsia="tr-TR"/>
              </w:rPr>
            </w:pPr>
            <w:r w:rsidRPr="00B02AD6">
              <w:rPr>
                <w:b/>
                <w:bCs/>
                <w:color w:val="000000"/>
                <w:sz w:val="18"/>
                <w:szCs w:val="18"/>
                <w:lang w:eastAsia="tr-TR"/>
              </w:rPr>
              <w:t>En Düşük</w:t>
            </w:r>
          </w:p>
        </w:tc>
        <w:tc>
          <w:tcPr>
            <w:tcW w:w="1035" w:type="dxa"/>
            <w:tcBorders>
              <w:top w:val="single" w:sz="8" w:space="0" w:color="000000"/>
              <w:left w:val="nil"/>
              <w:bottom w:val="dotted" w:sz="4" w:space="0" w:color="000000"/>
              <w:right w:val="dotted" w:sz="4" w:space="0" w:color="000000"/>
            </w:tcBorders>
            <w:shd w:val="clear" w:color="auto" w:fill="auto"/>
            <w:vAlign w:val="center"/>
            <w:hideMark/>
          </w:tcPr>
          <w:p w14:paraId="32162EB0" w14:textId="77777777" w:rsidR="00B02AD6" w:rsidRPr="00B02AD6" w:rsidRDefault="00B02AD6" w:rsidP="00B02AD6">
            <w:pPr>
              <w:jc w:val="right"/>
              <w:rPr>
                <w:b/>
                <w:bCs/>
                <w:color w:val="000000"/>
                <w:sz w:val="18"/>
                <w:szCs w:val="18"/>
                <w:lang w:eastAsia="tr-TR"/>
              </w:rPr>
            </w:pPr>
            <w:r w:rsidRPr="00B02AD6">
              <w:rPr>
                <w:b/>
                <w:bCs/>
                <w:color w:val="000000"/>
                <w:sz w:val="18"/>
                <w:szCs w:val="18"/>
                <w:lang w:eastAsia="tr-TR"/>
              </w:rPr>
              <w:t>Tarih</w:t>
            </w:r>
          </w:p>
        </w:tc>
        <w:tc>
          <w:tcPr>
            <w:tcW w:w="1148" w:type="dxa"/>
            <w:tcBorders>
              <w:top w:val="single" w:sz="8" w:space="0" w:color="000000"/>
              <w:left w:val="nil"/>
              <w:bottom w:val="dotted" w:sz="4" w:space="0" w:color="000000"/>
              <w:right w:val="single" w:sz="8" w:space="0" w:color="000000"/>
            </w:tcBorders>
            <w:shd w:val="clear" w:color="auto" w:fill="auto"/>
            <w:vAlign w:val="center"/>
            <w:hideMark/>
          </w:tcPr>
          <w:p w14:paraId="1809D614" w14:textId="77777777" w:rsidR="00B02AD6" w:rsidRPr="00B02AD6" w:rsidRDefault="00B02AD6" w:rsidP="00B02AD6">
            <w:pPr>
              <w:jc w:val="right"/>
              <w:rPr>
                <w:b/>
                <w:bCs/>
                <w:color w:val="000000"/>
                <w:sz w:val="18"/>
                <w:szCs w:val="18"/>
                <w:lang w:eastAsia="tr-TR"/>
              </w:rPr>
            </w:pPr>
            <w:r w:rsidRPr="00B02AD6">
              <w:rPr>
                <w:b/>
                <w:bCs/>
                <w:color w:val="000000"/>
                <w:sz w:val="18"/>
                <w:szCs w:val="18"/>
                <w:lang w:eastAsia="tr-TR"/>
              </w:rPr>
              <w:t>Ortalama</w:t>
            </w:r>
          </w:p>
        </w:tc>
      </w:tr>
      <w:tr w:rsidR="00B02AD6" w:rsidRPr="00B02AD6" w14:paraId="3F5193EC" w14:textId="77777777" w:rsidTr="006B1072">
        <w:trPr>
          <w:divId w:val="507328982"/>
          <w:trHeight w:val="267"/>
        </w:trPr>
        <w:tc>
          <w:tcPr>
            <w:tcW w:w="3446" w:type="dxa"/>
            <w:tcBorders>
              <w:top w:val="nil"/>
              <w:left w:val="single" w:sz="8" w:space="0" w:color="000000"/>
              <w:bottom w:val="dotted" w:sz="4" w:space="0" w:color="000000"/>
              <w:right w:val="dotted" w:sz="4" w:space="0" w:color="000000"/>
            </w:tcBorders>
            <w:shd w:val="clear" w:color="auto" w:fill="auto"/>
            <w:vAlign w:val="center"/>
            <w:hideMark/>
          </w:tcPr>
          <w:p w14:paraId="13C8DAA0" w14:textId="77777777" w:rsidR="00B02AD6" w:rsidRPr="00B02AD6" w:rsidRDefault="00B02AD6" w:rsidP="00B02AD6">
            <w:pPr>
              <w:rPr>
                <w:color w:val="000000"/>
                <w:sz w:val="18"/>
                <w:szCs w:val="18"/>
                <w:lang w:eastAsia="tr-TR"/>
              </w:rPr>
            </w:pPr>
            <w:r w:rsidRPr="00B02AD6">
              <w:rPr>
                <w:bCs/>
                <w:color w:val="000000"/>
                <w:sz w:val="18"/>
                <w:szCs w:val="18"/>
                <w:lang w:eastAsia="tr-TR"/>
              </w:rPr>
              <w:t>TP+YP</w:t>
            </w:r>
          </w:p>
        </w:tc>
        <w:tc>
          <w:tcPr>
            <w:tcW w:w="1306" w:type="dxa"/>
            <w:tcBorders>
              <w:top w:val="nil"/>
              <w:left w:val="nil"/>
              <w:bottom w:val="dotted" w:sz="4" w:space="0" w:color="000000"/>
              <w:right w:val="dotted" w:sz="4" w:space="0" w:color="000000"/>
            </w:tcBorders>
            <w:shd w:val="clear" w:color="auto" w:fill="auto"/>
            <w:vAlign w:val="center"/>
            <w:hideMark/>
          </w:tcPr>
          <w:p w14:paraId="1B77ECF1" w14:textId="77777777" w:rsidR="00B02AD6" w:rsidRPr="00B02AD6" w:rsidRDefault="00B02AD6" w:rsidP="00B02AD6">
            <w:pPr>
              <w:jc w:val="right"/>
              <w:rPr>
                <w:color w:val="000000"/>
                <w:sz w:val="18"/>
                <w:szCs w:val="18"/>
                <w:lang w:eastAsia="tr-TR"/>
              </w:rPr>
            </w:pPr>
            <w:r w:rsidRPr="00B02AD6">
              <w:rPr>
                <w:color w:val="000000"/>
                <w:sz w:val="18"/>
                <w:szCs w:val="18"/>
                <w:lang w:eastAsia="tr-TR"/>
              </w:rPr>
              <w:t>395.83</w:t>
            </w:r>
          </w:p>
        </w:tc>
        <w:tc>
          <w:tcPr>
            <w:tcW w:w="1306" w:type="dxa"/>
            <w:tcBorders>
              <w:top w:val="nil"/>
              <w:left w:val="nil"/>
              <w:bottom w:val="dotted" w:sz="4" w:space="0" w:color="000000"/>
              <w:right w:val="dotted" w:sz="4" w:space="0" w:color="000000"/>
            </w:tcBorders>
            <w:shd w:val="clear" w:color="auto" w:fill="auto"/>
            <w:vAlign w:val="center"/>
            <w:hideMark/>
          </w:tcPr>
          <w:p w14:paraId="62C99198" w14:textId="77777777" w:rsidR="00B02AD6" w:rsidRPr="00B02AD6" w:rsidRDefault="00B02AD6" w:rsidP="00B02AD6">
            <w:pPr>
              <w:jc w:val="right"/>
              <w:rPr>
                <w:color w:val="000000"/>
                <w:sz w:val="18"/>
                <w:szCs w:val="18"/>
                <w:lang w:eastAsia="tr-TR"/>
              </w:rPr>
            </w:pPr>
            <w:r w:rsidRPr="00B02AD6">
              <w:rPr>
                <w:color w:val="000000"/>
                <w:sz w:val="18"/>
                <w:szCs w:val="18"/>
                <w:lang w:eastAsia="tr-TR"/>
              </w:rPr>
              <w:t>19/07/2019</w:t>
            </w:r>
          </w:p>
        </w:tc>
        <w:tc>
          <w:tcPr>
            <w:tcW w:w="1099" w:type="dxa"/>
            <w:tcBorders>
              <w:top w:val="nil"/>
              <w:left w:val="nil"/>
              <w:bottom w:val="dotted" w:sz="4" w:space="0" w:color="000000"/>
              <w:right w:val="dotted" w:sz="4" w:space="0" w:color="000000"/>
            </w:tcBorders>
            <w:shd w:val="clear" w:color="auto" w:fill="auto"/>
            <w:vAlign w:val="center"/>
            <w:hideMark/>
          </w:tcPr>
          <w:p w14:paraId="69E36F53" w14:textId="77777777" w:rsidR="00B02AD6" w:rsidRPr="00B02AD6" w:rsidRDefault="00B02AD6" w:rsidP="00B02AD6">
            <w:pPr>
              <w:jc w:val="right"/>
              <w:rPr>
                <w:color w:val="000000"/>
                <w:sz w:val="18"/>
                <w:szCs w:val="18"/>
                <w:lang w:eastAsia="tr-TR"/>
              </w:rPr>
            </w:pPr>
            <w:r w:rsidRPr="00B02AD6">
              <w:rPr>
                <w:color w:val="000000"/>
                <w:sz w:val="18"/>
                <w:szCs w:val="18"/>
                <w:lang w:eastAsia="tr-TR"/>
              </w:rPr>
              <w:t>200.76</w:t>
            </w:r>
          </w:p>
        </w:tc>
        <w:tc>
          <w:tcPr>
            <w:tcW w:w="1035" w:type="dxa"/>
            <w:tcBorders>
              <w:top w:val="nil"/>
              <w:left w:val="nil"/>
              <w:bottom w:val="dotted" w:sz="4" w:space="0" w:color="000000"/>
              <w:right w:val="dotted" w:sz="4" w:space="0" w:color="000000"/>
            </w:tcBorders>
            <w:shd w:val="clear" w:color="auto" w:fill="auto"/>
            <w:vAlign w:val="center"/>
            <w:hideMark/>
          </w:tcPr>
          <w:p w14:paraId="5532ADB3" w14:textId="77777777" w:rsidR="00B02AD6" w:rsidRPr="00B02AD6" w:rsidRDefault="00B02AD6" w:rsidP="00B02AD6">
            <w:pPr>
              <w:jc w:val="right"/>
              <w:rPr>
                <w:color w:val="000000"/>
                <w:sz w:val="18"/>
                <w:szCs w:val="18"/>
                <w:lang w:eastAsia="tr-TR"/>
              </w:rPr>
            </w:pPr>
            <w:r w:rsidRPr="00B02AD6">
              <w:rPr>
                <w:color w:val="000000"/>
                <w:sz w:val="18"/>
                <w:szCs w:val="18"/>
                <w:lang w:eastAsia="tr-TR"/>
              </w:rPr>
              <w:t>16/08/2019</w:t>
            </w:r>
          </w:p>
        </w:tc>
        <w:tc>
          <w:tcPr>
            <w:tcW w:w="1148" w:type="dxa"/>
            <w:tcBorders>
              <w:top w:val="nil"/>
              <w:left w:val="nil"/>
              <w:bottom w:val="dotted" w:sz="4" w:space="0" w:color="000000"/>
              <w:right w:val="single" w:sz="8" w:space="0" w:color="000000"/>
            </w:tcBorders>
            <w:shd w:val="clear" w:color="auto" w:fill="auto"/>
            <w:vAlign w:val="center"/>
            <w:hideMark/>
          </w:tcPr>
          <w:p w14:paraId="143E911C" w14:textId="77777777" w:rsidR="00B02AD6" w:rsidRPr="00B02AD6" w:rsidRDefault="00B02AD6" w:rsidP="00B02AD6">
            <w:pPr>
              <w:jc w:val="right"/>
              <w:rPr>
                <w:color w:val="000000"/>
                <w:sz w:val="18"/>
                <w:szCs w:val="18"/>
                <w:lang w:eastAsia="tr-TR"/>
              </w:rPr>
            </w:pPr>
            <w:r w:rsidRPr="00B02AD6">
              <w:rPr>
                <w:color w:val="000000"/>
                <w:sz w:val="18"/>
                <w:szCs w:val="18"/>
                <w:lang w:eastAsia="tr-TR"/>
              </w:rPr>
              <w:t>319.35</w:t>
            </w:r>
          </w:p>
        </w:tc>
      </w:tr>
      <w:tr w:rsidR="00B02AD6" w:rsidRPr="00B02AD6" w14:paraId="1CECEAB8" w14:textId="77777777" w:rsidTr="006B1072">
        <w:trPr>
          <w:divId w:val="507328982"/>
          <w:trHeight w:val="280"/>
        </w:trPr>
        <w:tc>
          <w:tcPr>
            <w:tcW w:w="3446" w:type="dxa"/>
            <w:tcBorders>
              <w:top w:val="nil"/>
              <w:left w:val="single" w:sz="8" w:space="0" w:color="000000"/>
              <w:bottom w:val="single" w:sz="8" w:space="0" w:color="000000"/>
              <w:right w:val="dotted" w:sz="4" w:space="0" w:color="000000"/>
            </w:tcBorders>
            <w:shd w:val="clear" w:color="auto" w:fill="auto"/>
            <w:vAlign w:val="center"/>
            <w:hideMark/>
          </w:tcPr>
          <w:p w14:paraId="37A499C7" w14:textId="77777777" w:rsidR="00B02AD6" w:rsidRPr="00B02AD6" w:rsidRDefault="00B02AD6" w:rsidP="00B02AD6">
            <w:pPr>
              <w:rPr>
                <w:color w:val="000000"/>
                <w:sz w:val="18"/>
                <w:szCs w:val="18"/>
                <w:lang w:eastAsia="tr-TR"/>
              </w:rPr>
            </w:pPr>
            <w:r w:rsidRPr="00B02AD6">
              <w:rPr>
                <w:bCs/>
                <w:color w:val="000000"/>
                <w:sz w:val="18"/>
                <w:szCs w:val="18"/>
                <w:lang w:eastAsia="tr-TR"/>
              </w:rPr>
              <w:t>YP</w:t>
            </w:r>
          </w:p>
        </w:tc>
        <w:tc>
          <w:tcPr>
            <w:tcW w:w="1306" w:type="dxa"/>
            <w:tcBorders>
              <w:top w:val="nil"/>
              <w:left w:val="nil"/>
              <w:bottom w:val="single" w:sz="8" w:space="0" w:color="000000"/>
              <w:right w:val="dotted" w:sz="4" w:space="0" w:color="000000"/>
            </w:tcBorders>
            <w:shd w:val="clear" w:color="auto" w:fill="auto"/>
            <w:vAlign w:val="center"/>
            <w:hideMark/>
          </w:tcPr>
          <w:p w14:paraId="40AC475A" w14:textId="77777777" w:rsidR="00B02AD6" w:rsidRPr="00B02AD6" w:rsidRDefault="00B02AD6" w:rsidP="00B02AD6">
            <w:pPr>
              <w:jc w:val="right"/>
              <w:rPr>
                <w:color w:val="000000"/>
                <w:sz w:val="18"/>
                <w:szCs w:val="18"/>
                <w:lang w:eastAsia="tr-TR"/>
              </w:rPr>
            </w:pPr>
            <w:r w:rsidRPr="00B02AD6">
              <w:rPr>
                <w:color w:val="000000"/>
                <w:sz w:val="18"/>
                <w:szCs w:val="18"/>
                <w:lang w:eastAsia="tr-TR"/>
              </w:rPr>
              <w:t>469.13</w:t>
            </w:r>
          </w:p>
        </w:tc>
        <w:tc>
          <w:tcPr>
            <w:tcW w:w="1306" w:type="dxa"/>
            <w:tcBorders>
              <w:top w:val="nil"/>
              <w:left w:val="nil"/>
              <w:bottom w:val="single" w:sz="8" w:space="0" w:color="000000"/>
              <w:right w:val="dotted" w:sz="4" w:space="0" w:color="000000"/>
            </w:tcBorders>
            <w:shd w:val="clear" w:color="auto" w:fill="auto"/>
            <w:vAlign w:val="center"/>
            <w:hideMark/>
          </w:tcPr>
          <w:p w14:paraId="2C3A1C4A" w14:textId="77777777" w:rsidR="00B02AD6" w:rsidRPr="00B02AD6" w:rsidRDefault="00B02AD6" w:rsidP="00B02AD6">
            <w:pPr>
              <w:jc w:val="right"/>
              <w:rPr>
                <w:color w:val="000000"/>
                <w:sz w:val="18"/>
                <w:szCs w:val="18"/>
                <w:lang w:eastAsia="tr-TR"/>
              </w:rPr>
            </w:pPr>
            <w:r w:rsidRPr="00B02AD6">
              <w:rPr>
                <w:color w:val="000000"/>
                <w:sz w:val="18"/>
                <w:szCs w:val="18"/>
                <w:lang w:eastAsia="tr-TR"/>
              </w:rPr>
              <w:t>19/07/2019</w:t>
            </w:r>
          </w:p>
        </w:tc>
        <w:tc>
          <w:tcPr>
            <w:tcW w:w="1099" w:type="dxa"/>
            <w:tcBorders>
              <w:top w:val="nil"/>
              <w:left w:val="nil"/>
              <w:bottom w:val="single" w:sz="8" w:space="0" w:color="000000"/>
              <w:right w:val="dotted" w:sz="4" w:space="0" w:color="000000"/>
            </w:tcBorders>
            <w:shd w:val="clear" w:color="auto" w:fill="auto"/>
            <w:vAlign w:val="center"/>
            <w:hideMark/>
          </w:tcPr>
          <w:p w14:paraId="4C5C1F7E" w14:textId="77777777" w:rsidR="00B02AD6" w:rsidRPr="00B02AD6" w:rsidRDefault="00B02AD6" w:rsidP="00B02AD6">
            <w:pPr>
              <w:jc w:val="right"/>
              <w:rPr>
                <w:color w:val="000000"/>
                <w:sz w:val="18"/>
                <w:szCs w:val="18"/>
                <w:lang w:eastAsia="tr-TR"/>
              </w:rPr>
            </w:pPr>
            <w:r w:rsidRPr="00B02AD6">
              <w:rPr>
                <w:color w:val="000000"/>
                <w:sz w:val="18"/>
                <w:szCs w:val="18"/>
                <w:lang w:eastAsia="tr-TR"/>
              </w:rPr>
              <w:t>226.06</w:t>
            </w:r>
          </w:p>
        </w:tc>
        <w:tc>
          <w:tcPr>
            <w:tcW w:w="1035" w:type="dxa"/>
            <w:tcBorders>
              <w:top w:val="nil"/>
              <w:left w:val="nil"/>
              <w:bottom w:val="single" w:sz="8" w:space="0" w:color="000000"/>
              <w:right w:val="dotted" w:sz="4" w:space="0" w:color="000000"/>
            </w:tcBorders>
            <w:shd w:val="clear" w:color="auto" w:fill="auto"/>
            <w:vAlign w:val="center"/>
            <w:hideMark/>
          </w:tcPr>
          <w:p w14:paraId="05311219" w14:textId="77777777" w:rsidR="00B02AD6" w:rsidRPr="00B02AD6" w:rsidRDefault="00B02AD6" w:rsidP="00B02AD6">
            <w:pPr>
              <w:jc w:val="right"/>
              <w:rPr>
                <w:color w:val="000000"/>
                <w:sz w:val="18"/>
                <w:szCs w:val="18"/>
                <w:lang w:eastAsia="tr-TR"/>
              </w:rPr>
            </w:pPr>
            <w:r w:rsidRPr="00B02AD6">
              <w:rPr>
                <w:color w:val="000000"/>
                <w:sz w:val="18"/>
                <w:szCs w:val="18"/>
                <w:lang w:eastAsia="tr-TR"/>
              </w:rPr>
              <w:t>16/08/2019</w:t>
            </w:r>
          </w:p>
        </w:tc>
        <w:tc>
          <w:tcPr>
            <w:tcW w:w="1148" w:type="dxa"/>
            <w:tcBorders>
              <w:top w:val="nil"/>
              <w:left w:val="nil"/>
              <w:bottom w:val="single" w:sz="8" w:space="0" w:color="000000"/>
              <w:right w:val="single" w:sz="8" w:space="0" w:color="000000"/>
            </w:tcBorders>
            <w:shd w:val="clear" w:color="auto" w:fill="auto"/>
            <w:vAlign w:val="center"/>
            <w:hideMark/>
          </w:tcPr>
          <w:p w14:paraId="468FFD15" w14:textId="77777777" w:rsidR="00B02AD6" w:rsidRPr="00B02AD6" w:rsidRDefault="00B02AD6" w:rsidP="00B02AD6">
            <w:pPr>
              <w:jc w:val="right"/>
              <w:rPr>
                <w:color w:val="000000"/>
                <w:sz w:val="18"/>
                <w:szCs w:val="18"/>
                <w:lang w:eastAsia="tr-TR"/>
              </w:rPr>
            </w:pPr>
            <w:r w:rsidRPr="00B02AD6">
              <w:rPr>
                <w:color w:val="000000"/>
                <w:sz w:val="18"/>
                <w:szCs w:val="18"/>
                <w:lang w:eastAsia="tr-TR"/>
              </w:rPr>
              <w:t>372.93</w:t>
            </w:r>
          </w:p>
        </w:tc>
      </w:tr>
    </w:tbl>
    <w:p w14:paraId="147280B2" w14:textId="14E8543B" w:rsidR="00A404AA" w:rsidRPr="00B02AD6" w:rsidRDefault="00A404AA" w:rsidP="00A404AA">
      <w:pPr>
        <w:autoSpaceDE w:val="0"/>
        <w:autoSpaceDN w:val="0"/>
        <w:jc w:val="both"/>
        <w:rPr>
          <w:sz w:val="18"/>
          <w:szCs w:val="18"/>
        </w:rPr>
      </w:pPr>
    </w:p>
    <w:p w14:paraId="677C7172" w14:textId="0E3A3BC5" w:rsidR="0067330F" w:rsidRPr="00B02AD6" w:rsidRDefault="00A404AA" w:rsidP="00B95DDC">
      <w:pPr>
        <w:autoSpaceDE w:val="0"/>
        <w:autoSpaceDN w:val="0"/>
        <w:jc w:val="both"/>
        <w:rPr>
          <w:rFonts w:eastAsia="Arial Unicode MS"/>
          <w:b/>
        </w:rPr>
      </w:pPr>
      <w:r w:rsidRPr="00B02AD6">
        <w:rPr>
          <w:sz w:val="18"/>
          <w:szCs w:val="18"/>
        </w:rPr>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B02AD6">
        <w:rPr>
          <w:sz w:val="18"/>
          <w:szCs w:val="18"/>
        </w:rPr>
        <w:t>tutarsal</w:t>
      </w:r>
      <w:proofErr w:type="spellEnd"/>
      <w:r w:rsidRPr="00B02AD6">
        <w:rPr>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2C1912A8" w14:textId="77777777" w:rsidR="000803D2" w:rsidRPr="00B02AD6" w:rsidRDefault="00C723AF" w:rsidP="002D0BD6">
      <w:pPr>
        <w:pStyle w:val="BodyText"/>
        <w:rPr>
          <w:rFonts w:eastAsia="Arial Unicode MS"/>
          <w:b/>
        </w:rPr>
      </w:pPr>
      <w:r w:rsidRPr="00270CE6">
        <w:rPr>
          <w:rFonts w:eastAsia="Arial Unicode MS"/>
          <w:b/>
          <w:highlight w:val="yellow"/>
        </w:rPr>
        <w:br w:type="page"/>
      </w:r>
      <w:r w:rsidR="00E253C8" w:rsidRPr="00B02AD6">
        <w:rPr>
          <w:rFonts w:eastAsia="Arial Unicode MS"/>
          <w:b/>
        </w:rPr>
        <w:lastRenderedPageBreak/>
        <w:t xml:space="preserve">Aktif ve pasif kalemlerin kalan vadelerine göre </w:t>
      </w:r>
      <w:r w:rsidR="00032F11" w:rsidRPr="00B02AD6">
        <w:rPr>
          <w:rFonts w:eastAsia="Arial Unicode MS"/>
          <w:b/>
        </w:rPr>
        <w:t>gösterimi:</w:t>
      </w:r>
    </w:p>
    <w:p w14:paraId="31DDAF1F" w14:textId="0D3066E7" w:rsidR="00B26875" w:rsidRDefault="00B26875" w:rsidP="0064124D">
      <w:pPr>
        <w:pStyle w:val="BodyText"/>
        <w:jc w:val="left"/>
        <w:rPr>
          <w:lang w:val="en-GB" w:eastAsia="en-GB"/>
        </w:rPr>
      </w:pPr>
    </w:p>
    <w:tbl>
      <w:tblPr>
        <w:tblW w:w="9486" w:type="dxa"/>
        <w:tblCellMar>
          <w:left w:w="70" w:type="dxa"/>
          <w:right w:w="70" w:type="dxa"/>
        </w:tblCellMar>
        <w:tblLook w:val="04A0" w:firstRow="1" w:lastRow="0" w:firstColumn="1" w:lastColumn="0" w:noHBand="0" w:noVBand="1"/>
      </w:tblPr>
      <w:tblGrid>
        <w:gridCol w:w="3062"/>
        <w:gridCol w:w="864"/>
        <w:gridCol w:w="864"/>
        <w:gridCol w:w="770"/>
        <w:gridCol w:w="770"/>
        <w:gridCol w:w="770"/>
        <w:gridCol w:w="700"/>
        <w:gridCol w:w="1019"/>
        <w:gridCol w:w="840"/>
      </w:tblGrid>
      <w:tr w:rsidR="00B26875" w:rsidRPr="00B26875" w14:paraId="16EC7D9F" w14:textId="77777777" w:rsidTr="00B26875">
        <w:trPr>
          <w:divId w:val="945768336"/>
          <w:trHeight w:val="284"/>
        </w:trPr>
        <w:tc>
          <w:tcPr>
            <w:tcW w:w="3062" w:type="dxa"/>
            <w:tcBorders>
              <w:top w:val="double" w:sz="6" w:space="0" w:color="auto"/>
              <w:left w:val="nil"/>
              <w:bottom w:val="single" w:sz="8" w:space="0" w:color="auto"/>
              <w:right w:val="nil"/>
            </w:tcBorders>
            <w:shd w:val="clear" w:color="auto" w:fill="auto"/>
            <w:vAlign w:val="center"/>
            <w:hideMark/>
          </w:tcPr>
          <w:p w14:paraId="00D50E81" w14:textId="3A88EC4A" w:rsidR="00B26875" w:rsidRPr="00B26875" w:rsidRDefault="00B26875" w:rsidP="00B26875">
            <w:pPr>
              <w:jc w:val="both"/>
              <w:rPr>
                <w:b/>
                <w:bCs/>
                <w:sz w:val="14"/>
                <w:szCs w:val="14"/>
                <w:lang w:eastAsia="tr-TR"/>
              </w:rPr>
            </w:pPr>
            <w:r w:rsidRPr="00B26875">
              <w:rPr>
                <w:b/>
                <w:bCs/>
                <w:sz w:val="14"/>
                <w:szCs w:val="14"/>
                <w:lang w:eastAsia="tr-TR"/>
              </w:rPr>
              <w:t>Cari Dönem Sonu</w:t>
            </w:r>
          </w:p>
        </w:tc>
        <w:tc>
          <w:tcPr>
            <w:tcW w:w="841" w:type="dxa"/>
            <w:tcBorders>
              <w:top w:val="double" w:sz="6" w:space="0" w:color="auto"/>
              <w:left w:val="nil"/>
              <w:bottom w:val="single" w:sz="8" w:space="0" w:color="auto"/>
              <w:right w:val="nil"/>
            </w:tcBorders>
            <w:shd w:val="clear" w:color="auto" w:fill="auto"/>
            <w:vAlign w:val="center"/>
            <w:hideMark/>
          </w:tcPr>
          <w:p w14:paraId="089A2456" w14:textId="77777777" w:rsidR="00B26875" w:rsidRPr="00B26875" w:rsidRDefault="00B26875" w:rsidP="00B26875">
            <w:pPr>
              <w:jc w:val="right"/>
              <w:rPr>
                <w:b/>
                <w:bCs/>
                <w:sz w:val="14"/>
                <w:szCs w:val="14"/>
                <w:lang w:eastAsia="tr-TR"/>
              </w:rPr>
            </w:pPr>
            <w:r w:rsidRPr="00B26875">
              <w:rPr>
                <w:b/>
                <w:bCs/>
                <w:sz w:val="14"/>
                <w:szCs w:val="14"/>
                <w:lang w:eastAsia="tr-TR"/>
              </w:rPr>
              <w:t>Vadesiz</w:t>
            </w:r>
          </w:p>
        </w:tc>
        <w:tc>
          <w:tcPr>
            <w:tcW w:w="841" w:type="dxa"/>
            <w:tcBorders>
              <w:top w:val="double" w:sz="6" w:space="0" w:color="auto"/>
              <w:left w:val="nil"/>
              <w:bottom w:val="single" w:sz="8" w:space="0" w:color="auto"/>
              <w:right w:val="nil"/>
            </w:tcBorders>
            <w:shd w:val="clear" w:color="auto" w:fill="auto"/>
            <w:vAlign w:val="center"/>
            <w:hideMark/>
          </w:tcPr>
          <w:p w14:paraId="1C70B6EF" w14:textId="77777777" w:rsidR="00B26875" w:rsidRPr="00B26875" w:rsidRDefault="00B26875" w:rsidP="00B26875">
            <w:pPr>
              <w:jc w:val="right"/>
              <w:rPr>
                <w:b/>
                <w:bCs/>
                <w:sz w:val="14"/>
                <w:szCs w:val="14"/>
                <w:lang w:eastAsia="tr-TR"/>
              </w:rPr>
            </w:pPr>
            <w:r w:rsidRPr="00B26875">
              <w:rPr>
                <w:b/>
                <w:bCs/>
                <w:sz w:val="14"/>
                <w:szCs w:val="14"/>
                <w:lang w:eastAsia="tr-TR"/>
              </w:rPr>
              <w:t>1 aya kadar</w:t>
            </w:r>
          </w:p>
        </w:tc>
        <w:tc>
          <w:tcPr>
            <w:tcW w:w="750" w:type="dxa"/>
            <w:tcBorders>
              <w:top w:val="double" w:sz="6" w:space="0" w:color="auto"/>
              <w:left w:val="nil"/>
              <w:bottom w:val="single" w:sz="8" w:space="0" w:color="auto"/>
              <w:right w:val="nil"/>
            </w:tcBorders>
            <w:shd w:val="clear" w:color="auto" w:fill="auto"/>
            <w:vAlign w:val="center"/>
            <w:hideMark/>
          </w:tcPr>
          <w:p w14:paraId="2B26BCF0" w14:textId="77777777" w:rsidR="00B26875" w:rsidRPr="00B26875" w:rsidRDefault="00B26875" w:rsidP="00B26875">
            <w:pPr>
              <w:jc w:val="right"/>
              <w:rPr>
                <w:b/>
                <w:bCs/>
                <w:sz w:val="14"/>
                <w:szCs w:val="14"/>
                <w:lang w:eastAsia="tr-TR"/>
              </w:rPr>
            </w:pPr>
            <w:r w:rsidRPr="00B26875">
              <w:rPr>
                <w:b/>
                <w:bCs/>
                <w:sz w:val="14"/>
                <w:szCs w:val="14"/>
                <w:lang w:eastAsia="tr-TR"/>
              </w:rPr>
              <w:t>1-3 Ay</w:t>
            </w:r>
          </w:p>
        </w:tc>
        <w:tc>
          <w:tcPr>
            <w:tcW w:w="750" w:type="dxa"/>
            <w:tcBorders>
              <w:top w:val="double" w:sz="6" w:space="0" w:color="auto"/>
              <w:left w:val="nil"/>
              <w:bottom w:val="single" w:sz="8" w:space="0" w:color="auto"/>
              <w:right w:val="nil"/>
            </w:tcBorders>
            <w:shd w:val="clear" w:color="auto" w:fill="auto"/>
            <w:vAlign w:val="center"/>
            <w:hideMark/>
          </w:tcPr>
          <w:p w14:paraId="082B17AC" w14:textId="77777777" w:rsidR="00B26875" w:rsidRPr="00B26875" w:rsidRDefault="00B26875" w:rsidP="00B26875">
            <w:pPr>
              <w:jc w:val="right"/>
              <w:rPr>
                <w:b/>
                <w:bCs/>
                <w:sz w:val="14"/>
                <w:szCs w:val="14"/>
                <w:lang w:eastAsia="tr-TR"/>
              </w:rPr>
            </w:pPr>
            <w:r w:rsidRPr="00B26875">
              <w:rPr>
                <w:b/>
                <w:bCs/>
                <w:sz w:val="14"/>
                <w:szCs w:val="14"/>
                <w:lang w:eastAsia="tr-TR"/>
              </w:rPr>
              <w:t>3-12 Ay</w:t>
            </w:r>
          </w:p>
        </w:tc>
        <w:tc>
          <w:tcPr>
            <w:tcW w:w="750" w:type="dxa"/>
            <w:tcBorders>
              <w:top w:val="double" w:sz="6" w:space="0" w:color="auto"/>
              <w:left w:val="nil"/>
              <w:bottom w:val="single" w:sz="8" w:space="0" w:color="auto"/>
              <w:right w:val="nil"/>
            </w:tcBorders>
            <w:shd w:val="clear" w:color="auto" w:fill="auto"/>
            <w:vAlign w:val="center"/>
            <w:hideMark/>
          </w:tcPr>
          <w:p w14:paraId="7837E075" w14:textId="77777777" w:rsidR="00B26875" w:rsidRPr="00B26875" w:rsidRDefault="00B26875" w:rsidP="00B26875">
            <w:pPr>
              <w:jc w:val="right"/>
              <w:rPr>
                <w:b/>
                <w:bCs/>
                <w:sz w:val="14"/>
                <w:szCs w:val="14"/>
                <w:lang w:eastAsia="tr-TR"/>
              </w:rPr>
            </w:pPr>
            <w:r w:rsidRPr="00B26875">
              <w:rPr>
                <w:b/>
                <w:bCs/>
                <w:sz w:val="14"/>
                <w:szCs w:val="14"/>
                <w:lang w:eastAsia="tr-TR"/>
              </w:rPr>
              <w:t>1-5 Yıl</w:t>
            </w:r>
          </w:p>
        </w:tc>
        <w:tc>
          <w:tcPr>
            <w:tcW w:w="683" w:type="dxa"/>
            <w:tcBorders>
              <w:top w:val="double" w:sz="6" w:space="0" w:color="auto"/>
              <w:left w:val="nil"/>
              <w:bottom w:val="single" w:sz="8" w:space="0" w:color="auto"/>
              <w:right w:val="nil"/>
            </w:tcBorders>
            <w:shd w:val="clear" w:color="auto" w:fill="auto"/>
            <w:vAlign w:val="center"/>
            <w:hideMark/>
          </w:tcPr>
          <w:p w14:paraId="12AAEF31" w14:textId="77777777" w:rsidR="00B26875" w:rsidRPr="00B26875" w:rsidRDefault="00B26875" w:rsidP="00B26875">
            <w:pPr>
              <w:jc w:val="right"/>
              <w:rPr>
                <w:b/>
                <w:bCs/>
                <w:sz w:val="14"/>
                <w:szCs w:val="14"/>
                <w:lang w:eastAsia="tr-TR"/>
              </w:rPr>
            </w:pPr>
            <w:r w:rsidRPr="00B26875">
              <w:rPr>
                <w:b/>
                <w:bCs/>
                <w:sz w:val="14"/>
                <w:szCs w:val="14"/>
                <w:lang w:eastAsia="tr-TR"/>
              </w:rPr>
              <w:t>5 Yıl ve Üzeri</w:t>
            </w:r>
          </w:p>
        </w:tc>
        <w:tc>
          <w:tcPr>
            <w:tcW w:w="991" w:type="dxa"/>
            <w:tcBorders>
              <w:top w:val="double" w:sz="6" w:space="0" w:color="auto"/>
              <w:left w:val="nil"/>
              <w:bottom w:val="single" w:sz="8" w:space="0" w:color="auto"/>
              <w:right w:val="nil"/>
            </w:tcBorders>
            <w:shd w:val="clear" w:color="auto" w:fill="auto"/>
            <w:vAlign w:val="center"/>
            <w:hideMark/>
          </w:tcPr>
          <w:p w14:paraId="42A6DE47" w14:textId="77777777" w:rsidR="00B26875" w:rsidRPr="00B26875" w:rsidRDefault="00B26875" w:rsidP="00B26875">
            <w:pPr>
              <w:jc w:val="right"/>
              <w:rPr>
                <w:b/>
                <w:bCs/>
                <w:sz w:val="14"/>
                <w:szCs w:val="14"/>
                <w:lang w:eastAsia="tr-TR"/>
              </w:rPr>
            </w:pPr>
            <w:r w:rsidRPr="00B26875">
              <w:rPr>
                <w:b/>
                <w:bCs/>
                <w:sz w:val="14"/>
                <w:szCs w:val="14"/>
                <w:lang w:eastAsia="tr-TR"/>
              </w:rPr>
              <w:t>Dağıtılamayan (***)</w:t>
            </w:r>
          </w:p>
        </w:tc>
        <w:tc>
          <w:tcPr>
            <w:tcW w:w="818" w:type="dxa"/>
            <w:tcBorders>
              <w:top w:val="double" w:sz="6" w:space="0" w:color="auto"/>
              <w:left w:val="nil"/>
              <w:bottom w:val="single" w:sz="8" w:space="0" w:color="auto"/>
              <w:right w:val="nil"/>
            </w:tcBorders>
            <w:shd w:val="clear" w:color="auto" w:fill="auto"/>
            <w:vAlign w:val="center"/>
            <w:hideMark/>
          </w:tcPr>
          <w:p w14:paraId="16AA1B78" w14:textId="77777777" w:rsidR="00B26875" w:rsidRPr="00B26875" w:rsidRDefault="00B26875" w:rsidP="00B26875">
            <w:pPr>
              <w:jc w:val="right"/>
              <w:rPr>
                <w:b/>
                <w:bCs/>
                <w:sz w:val="14"/>
                <w:szCs w:val="14"/>
                <w:lang w:eastAsia="tr-TR"/>
              </w:rPr>
            </w:pPr>
            <w:r w:rsidRPr="00B26875">
              <w:rPr>
                <w:b/>
                <w:bCs/>
                <w:sz w:val="14"/>
                <w:szCs w:val="14"/>
                <w:lang w:eastAsia="tr-TR"/>
              </w:rPr>
              <w:t>Toplam</w:t>
            </w:r>
          </w:p>
        </w:tc>
      </w:tr>
      <w:tr w:rsidR="00B26875" w:rsidRPr="00B26875" w14:paraId="0CCA0030" w14:textId="77777777" w:rsidTr="00B26875">
        <w:trPr>
          <w:divId w:val="945768336"/>
          <w:trHeight w:val="234"/>
        </w:trPr>
        <w:tc>
          <w:tcPr>
            <w:tcW w:w="3062" w:type="dxa"/>
            <w:tcBorders>
              <w:top w:val="nil"/>
              <w:left w:val="nil"/>
              <w:bottom w:val="nil"/>
              <w:right w:val="nil"/>
            </w:tcBorders>
            <w:shd w:val="clear" w:color="auto" w:fill="auto"/>
            <w:noWrap/>
            <w:vAlign w:val="bottom"/>
            <w:hideMark/>
          </w:tcPr>
          <w:p w14:paraId="099C0AFE" w14:textId="77777777" w:rsidR="00B26875" w:rsidRPr="00B26875" w:rsidRDefault="00B26875" w:rsidP="00B26875">
            <w:pPr>
              <w:rPr>
                <w:sz w:val="14"/>
                <w:szCs w:val="14"/>
                <w:lang w:eastAsia="tr-TR"/>
              </w:rPr>
            </w:pPr>
            <w:r w:rsidRPr="00B26875">
              <w:rPr>
                <w:sz w:val="14"/>
                <w:szCs w:val="14"/>
                <w:lang w:eastAsia="tr-TR"/>
              </w:rPr>
              <w:t>Varlıklar</w:t>
            </w:r>
          </w:p>
        </w:tc>
        <w:tc>
          <w:tcPr>
            <w:tcW w:w="841" w:type="dxa"/>
            <w:tcBorders>
              <w:top w:val="nil"/>
              <w:left w:val="nil"/>
              <w:bottom w:val="nil"/>
              <w:right w:val="nil"/>
            </w:tcBorders>
            <w:shd w:val="clear" w:color="auto" w:fill="auto"/>
            <w:vAlign w:val="bottom"/>
            <w:hideMark/>
          </w:tcPr>
          <w:p w14:paraId="425E57AA" w14:textId="77777777" w:rsidR="00B26875" w:rsidRPr="00B26875" w:rsidRDefault="00B26875" w:rsidP="00B26875">
            <w:pPr>
              <w:rPr>
                <w:sz w:val="14"/>
                <w:szCs w:val="14"/>
                <w:lang w:eastAsia="tr-TR"/>
              </w:rPr>
            </w:pPr>
          </w:p>
        </w:tc>
        <w:tc>
          <w:tcPr>
            <w:tcW w:w="841" w:type="dxa"/>
            <w:tcBorders>
              <w:top w:val="nil"/>
              <w:left w:val="nil"/>
              <w:bottom w:val="nil"/>
              <w:right w:val="nil"/>
            </w:tcBorders>
            <w:shd w:val="clear" w:color="auto" w:fill="auto"/>
            <w:vAlign w:val="bottom"/>
            <w:hideMark/>
          </w:tcPr>
          <w:p w14:paraId="3855E0BC" w14:textId="77777777" w:rsidR="00B26875" w:rsidRPr="00B26875" w:rsidRDefault="00B26875" w:rsidP="00B26875">
            <w:pPr>
              <w:rPr>
                <w:lang w:eastAsia="tr-TR"/>
              </w:rPr>
            </w:pPr>
          </w:p>
        </w:tc>
        <w:tc>
          <w:tcPr>
            <w:tcW w:w="750" w:type="dxa"/>
            <w:tcBorders>
              <w:top w:val="nil"/>
              <w:left w:val="nil"/>
              <w:bottom w:val="nil"/>
              <w:right w:val="nil"/>
            </w:tcBorders>
            <w:shd w:val="clear" w:color="auto" w:fill="auto"/>
            <w:vAlign w:val="bottom"/>
            <w:hideMark/>
          </w:tcPr>
          <w:p w14:paraId="519B6D2E" w14:textId="77777777" w:rsidR="00B26875" w:rsidRPr="00B26875" w:rsidRDefault="00B26875" w:rsidP="00B26875">
            <w:pPr>
              <w:rPr>
                <w:lang w:eastAsia="tr-TR"/>
              </w:rPr>
            </w:pPr>
          </w:p>
        </w:tc>
        <w:tc>
          <w:tcPr>
            <w:tcW w:w="750" w:type="dxa"/>
            <w:tcBorders>
              <w:top w:val="nil"/>
              <w:left w:val="nil"/>
              <w:bottom w:val="nil"/>
              <w:right w:val="nil"/>
            </w:tcBorders>
            <w:shd w:val="clear" w:color="auto" w:fill="auto"/>
            <w:vAlign w:val="bottom"/>
            <w:hideMark/>
          </w:tcPr>
          <w:p w14:paraId="52B8523B" w14:textId="77777777" w:rsidR="00B26875" w:rsidRPr="00B26875" w:rsidRDefault="00B26875" w:rsidP="00B26875">
            <w:pPr>
              <w:rPr>
                <w:lang w:eastAsia="tr-TR"/>
              </w:rPr>
            </w:pPr>
          </w:p>
        </w:tc>
        <w:tc>
          <w:tcPr>
            <w:tcW w:w="750" w:type="dxa"/>
            <w:tcBorders>
              <w:top w:val="nil"/>
              <w:left w:val="nil"/>
              <w:bottom w:val="nil"/>
              <w:right w:val="nil"/>
            </w:tcBorders>
            <w:shd w:val="clear" w:color="auto" w:fill="auto"/>
            <w:vAlign w:val="bottom"/>
            <w:hideMark/>
          </w:tcPr>
          <w:p w14:paraId="04377715" w14:textId="77777777" w:rsidR="00B26875" w:rsidRPr="00B26875" w:rsidRDefault="00B26875" w:rsidP="00B26875">
            <w:pPr>
              <w:rPr>
                <w:lang w:eastAsia="tr-TR"/>
              </w:rPr>
            </w:pPr>
          </w:p>
        </w:tc>
        <w:tc>
          <w:tcPr>
            <w:tcW w:w="683" w:type="dxa"/>
            <w:tcBorders>
              <w:top w:val="nil"/>
              <w:left w:val="nil"/>
              <w:bottom w:val="nil"/>
              <w:right w:val="nil"/>
            </w:tcBorders>
            <w:shd w:val="clear" w:color="auto" w:fill="auto"/>
            <w:vAlign w:val="bottom"/>
            <w:hideMark/>
          </w:tcPr>
          <w:p w14:paraId="5EE00558" w14:textId="77777777" w:rsidR="00B26875" w:rsidRPr="00B26875" w:rsidRDefault="00B26875" w:rsidP="00B26875">
            <w:pPr>
              <w:rPr>
                <w:lang w:eastAsia="tr-TR"/>
              </w:rPr>
            </w:pPr>
          </w:p>
        </w:tc>
        <w:tc>
          <w:tcPr>
            <w:tcW w:w="991" w:type="dxa"/>
            <w:tcBorders>
              <w:top w:val="nil"/>
              <w:left w:val="nil"/>
              <w:bottom w:val="nil"/>
              <w:right w:val="nil"/>
            </w:tcBorders>
            <w:shd w:val="clear" w:color="auto" w:fill="auto"/>
            <w:vAlign w:val="bottom"/>
            <w:hideMark/>
          </w:tcPr>
          <w:p w14:paraId="5339DAF5" w14:textId="77777777" w:rsidR="00B26875" w:rsidRPr="00B26875" w:rsidRDefault="00B26875" w:rsidP="00B26875">
            <w:pPr>
              <w:rPr>
                <w:lang w:eastAsia="tr-TR"/>
              </w:rPr>
            </w:pPr>
          </w:p>
        </w:tc>
        <w:tc>
          <w:tcPr>
            <w:tcW w:w="818" w:type="dxa"/>
            <w:tcBorders>
              <w:top w:val="nil"/>
              <w:left w:val="nil"/>
              <w:bottom w:val="nil"/>
              <w:right w:val="nil"/>
            </w:tcBorders>
            <w:shd w:val="clear" w:color="auto" w:fill="auto"/>
            <w:vAlign w:val="bottom"/>
            <w:hideMark/>
          </w:tcPr>
          <w:p w14:paraId="6D91C89C" w14:textId="77777777" w:rsidR="00B26875" w:rsidRPr="00B26875" w:rsidRDefault="00B26875" w:rsidP="00B26875">
            <w:pPr>
              <w:rPr>
                <w:lang w:eastAsia="tr-TR"/>
              </w:rPr>
            </w:pPr>
          </w:p>
        </w:tc>
      </w:tr>
      <w:tr w:rsidR="00B26875" w:rsidRPr="00B26875" w14:paraId="2785067A"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3C75DA20" w14:textId="77777777" w:rsidR="00B26875" w:rsidRPr="00B26875" w:rsidRDefault="00B26875" w:rsidP="00B26875">
            <w:pPr>
              <w:rPr>
                <w:sz w:val="14"/>
                <w:szCs w:val="14"/>
                <w:lang w:eastAsia="tr-TR"/>
              </w:rPr>
            </w:pPr>
            <w:r w:rsidRPr="00B26875">
              <w:rPr>
                <w:sz w:val="14"/>
                <w:szCs w:val="14"/>
                <w:lang w:eastAsia="tr-TR"/>
              </w:rPr>
              <w:t>Nakit değerler (kasa, efektif deposu, yoldaki paralar, satın alınan çekler) ve TCMB</w:t>
            </w:r>
          </w:p>
        </w:tc>
        <w:tc>
          <w:tcPr>
            <w:tcW w:w="841" w:type="dxa"/>
            <w:tcBorders>
              <w:top w:val="nil"/>
              <w:left w:val="nil"/>
              <w:bottom w:val="nil"/>
              <w:right w:val="nil"/>
            </w:tcBorders>
            <w:shd w:val="clear" w:color="auto" w:fill="auto"/>
            <w:vAlign w:val="bottom"/>
            <w:hideMark/>
          </w:tcPr>
          <w:p w14:paraId="103DC94E" w14:textId="77777777" w:rsidR="00B26875" w:rsidRPr="00B26875" w:rsidRDefault="00B26875" w:rsidP="00FC1F5B">
            <w:pPr>
              <w:jc w:val="right"/>
              <w:rPr>
                <w:sz w:val="14"/>
                <w:szCs w:val="14"/>
                <w:lang w:eastAsia="tr-TR"/>
              </w:rPr>
            </w:pPr>
            <w:r w:rsidRPr="00B26875">
              <w:rPr>
                <w:sz w:val="14"/>
                <w:szCs w:val="14"/>
                <w:lang w:eastAsia="tr-TR"/>
              </w:rPr>
              <w:t>4,889,791</w:t>
            </w:r>
          </w:p>
        </w:tc>
        <w:tc>
          <w:tcPr>
            <w:tcW w:w="841" w:type="dxa"/>
            <w:tcBorders>
              <w:top w:val="nil"/>
              <w:left w:val="nil"/>
              <w:bottom w:val="nil"/>
              <w:right w:val="nil"/>
            </w:tcBorders>
            <w:shd w:val="clear" w:color="auto" w:fill="auto"/>
            <w:vAlign w:val="bottom"/>
            <w:hideMark/>
          </w:tcPr>
          <w:p w14:paraId="2D607A59" w14:textId="77777777" w:rsidR="00B26875" w:rsidRPr="00B26875" w:rsidRDefault="00B26875" w:rsidP="00FC1F5B">
            <w:pPr>
              <w:jc w:val="right"/>
              <w:rPr>
                <w:sz w:val="14"/>
                <w:szCs w:val="14"/>
                <w:lang w:eastAsia="tr-TR"/>
              </w:rPr>
            </w:pPr>
            <w:r w:rsidRPr="00B26875">
              <w:rPr>
                <w:sz w:val="14"/>
                <w:szCs w:val="14"/>
                <w:lang w:eastAsia="tr-TR"/>
              </w:rPr>
              <w:t>16,930,883</w:t>
            </w:r>
          </w:p>
        </w:tc>
        <w:tc>
          <w:tcPr>
            <w:tcW w:w="750" w:type="dxa"/>
            <w:tcBorders>
              <w:top w:val="nil"/>
              <w:left w:val="nil"/>
              <w:bottom w:val="nil"/>
              <w:right w:val="nil"/>
            </w:tcBorders>
            <w:shd w:val="clear" w:color="auto" w:fill="auto"/>
            <w:vAlign w:val="bottom"/>
            <w:hideMark/>
          </w:tcPr>
          <w:p w14:paraId="694266F8"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3375329A"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3223171C" w14:textId="77777777" w:rsidR="00B26875" w:rsidRPr="00B26875" w:rsidRDefault="00B26875" w:rsidP="00FC1F5B">
            <w:pPr>
              <w:jc w:val="right"/>
              <w:rPr>
                <w:sz w:val="14"/>
                <w:szCs w:val="14"/>
                <w:lang w:eastAsia="tr-TR"/>
              </w:rPr>
            </w:pPr>
            <w:r w:rsidRPr="00B26875">
              <w:rPr>
                <w:sz w:val="14"/>
                <w:szCs w:val="14"/>
                <w:lang w:eastAsia="tr-TR"/>
              </w:rPr>
              <w:t>-</w:t>
            </w:r>
          </w:p>
        </w:tc>
        <w:tc>
          <w:tcPr>
            <w:tcW w:w="683" w:type="dxa"/>
            <w:tcBorders>
              <w:top w:val="nil"/>
              <w:left w:val="nil"/>
              <w:bottom w:val="nil"/>
              <w:right w:val="nil"/>
            </w:tcBorders>
            <w:shd w:val="clear" w:color="auto" w:fill="auto"/>
            <w:vAlign w:val="bottom"/>
            <w:hideMark/>
          </w:tcPr>
          <w:p w14:paraId="073A6CDC" w14:textId="77777777" w:rsidR="00B26875" w:rsidRPr="00B26875" w:rsidRDefault="00B26875" w:rsidP="00FC1F5B">
            <w:pPr>
              <w:jc w:val="right"/>
              <w:rPr>
                <w:sz w:val="14"/>
                <w:szCs w:val="14"/>
                <w:lang w:eastAsia="tr-TR"/>
              </w:rPr>
            </w:pPr>
            <w:r w:rsidRPr="00B26875">
              <w:rPr>
                <w:sz w:val="14"/>
                <w:szCs w:val="14"/>
                <w:lang w:eastAsia="tr-TR"/>
              </w:rPr>
              <w:t>-</w:t>
            </w:r>
          </w:p>
        </w:tc>
        <w:tc>
          <w:tcPr>
            <w:tcW w:w="991" w:type="dxa"/>
            <w:tcBorders>
              <w:top w:val="nil"/>
              <w:left w:val="nil"/>
              <w:bottom w:val="nil"/>
              <w:right w:val="nil"/>
            </w:tcBorders>
            <w:shd w:val="clear" w:color="auto" w:fill="auto"/>
            <w:vAlign w:val="bottom"/>
            <w:hideMark/>
          </w:tcPr>
          <w:p w14:paraId="676EE5AC" w14:textId="77777777" w:rsidR="00B26875" w:rsidRPr="00B26875" w:rsidRDefault="00B26875" w:rsidP="00FC1F5B">
            <w:pPr>
              <w:jc w:val="right"/>
              <w:rPr>
                <w:sz w:val="14"/>
                <w:szCs w:val="14"/>
                <w:lang w:eastAsia="tr-TR"/>
              </w:rPr>
            </w:pPr>
            <w:r w:rsidRPr="00B26875">
              <w:rPr>
                <w:sz w:val="14"/>
                <w:szCs w:val="14"/>
                <w:lang w:eastAsia="tr-TR"/>
              </w:rPr>
              <w:t>-</w:t>
            </w:r>
          </w:p>
        </w:tc>
        <w:tc>
          <w:tcPr>
            <w:tcW w:w="818" w:type="dxa"/>
            <w:tcBorders>
              <w:top w:val="nil"/>
              <w:left w:val="nil"/>
              <w:bottom w:val="nil"/>
              <w:right w:val="nil"/>
            </w:tcBorders>
            <w:shd w:val="clear" w:color="auto" w:fill="auto"/>
            <w:vAlign w:val="bottom"/>
            <w:hideMark/>
          </w:tcPr>
          <w:p w14:paraId="246DE8B4" w14:textId="77777777" w:rsidR="00B26875" w:rsidRPr="00B26875" w:rsidRDefault="00B26875" w:rsidP="00FC1F5B">
            <w:pPr>
              <w:jc w:val="right"/>
              <w:rPr>
                <w:sz w:val="14"/>
                <w:szCs w:val="14"/>
                <w:lang w:eastAsia="tr-TR"/>
              </w:rPr>
            </w:pPr>
            <w:r w:rsidRPr="00B26875">
              <w:rPr>
                <w:sz w:val="14"/>
                <w:szCs w:val="14"/>
                <w:lang w:eastAsia="tr-TR"/>
              </w:rPr>
              <w:t>21,820,674</w:t>
            </w:r>
          </w:p>
        </w:tc>
      </w:tr>
      <w:tr w:rsidR="00B26875" w:rsidRPr="00B26875" w14:paraId="588D2855"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35563BEE" w14:textId="77777777" w:rsidR="00B26875" w:rsidRPr="00B26875" w:rsidRDefault="00B26875" w:rsidP="00B26875">
            <w:pPr>
              <w:rPr>
                <w:sz w:val="14"/>
                <w:szCs w:val="14"/>
                <w:lang w:eastAsia="tr-TR"/>
              </w:rPr>
            </w:pPr>
            <w:proofErr w:type="gramStart"/>
            <w:r w:rsidRPr="00B26875">
              <w:rPr>
                <w:sz w:val="14"/>
                <w:szCs w:val="14"/>
                <w:lang w:eastAsia="tr-TR"/>
              </w:rPr>
              <w:t>Bankalar(</w:t>
            </w:r>
            <w:proofErr w:type="gramEnd"/>
            <w:r w:rsidRPr="00B26875">
              <w:rPr>
                <w:sz w:val="14"/>
                <w:szCs w:val="14"/>
                <w:lang w:eastAsia="tr-TR"/>
              </w:rPr>
              <w:t>*)</w:t>
            </w:r>
          </w:p>
        </w:tc>
        <w:tc>
          <w:tcPr>
            <w:tcW w:w="841" w:type="dxa"/>
            <w:tcBorders>
              <w:top w:val="nil"/>
              <w:left w:val="nil"/>
              <w:bottom w:val="nil"/>
              <w:right w:val="nil"/>
            </w:tcBorders>
            <w:shd w:val="clear" w:color="auto" w:fill="auto"/>
            <w:vAlign w:val="bottom"/>
            <w:hideMark/>
          </w:tcPr>
          <w:p w14:paraId="4845E97C" w14:textId="77777777" w:rsidR="00B26875" w:rsidRPr="00B26875" w:rsidRDefault="00B26875" w:rsidP="00FC1F5B">
            <w:pPr>
              <w:jc w:val="right"/>
              <w:rPr>
                <w:sz w:val="14"/>
                <w:szCs w:val="14"/>
                <w:lang w:eastAsia="tr-TR"/>
              </w:rPr>
            </w:pPr>
            <w:r w:rsidRPr="00B26875">
              <w:rPr>
                <w:sz w:val="14"/>
                <w:szCs w:val="14"/>
                <w:lang w:eastAsia="tr-TR"/>
              </w:rPr>
              <w:t>4,146,119</w:t>
            </w:r>
          </w:p>
        </w:tc>
        <w:tc>
          <w:tcPr>
            <w:tcW w:w="841" w:type="dxa"/>
            <w:tcBorders>
              <w:top w:val="nil"/>
              <w:left w:val="nil"/>
              <w:bottom w:val="nil"/>
              <w:right w:val="nil"/>
            </w:tcBorders>
            <w:shd w:val="clear" w:color="auto" w:fill="auto"/>
            <w:vAlign w:val="bottom"/>
            <w:hideMark/>
          </w:tcPr>
          <w:p w14:paraId="3D1B1396"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52CB3DA7"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5A09198A"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2A25B639" w14:textId="77777777" w:rsidR="00B26875" w:rsidRPr="00B26875" w:rsidRDefault="00B26875" w:rsidP="00FC1F5B">
            <w:pPr>
              <w:jc w:val="right"/>
              <w:rPr>
                <w:sz w:val="14"/>
                <w:szCs w:val="14"/>
                <w:lang w:eastAsia="tr-TR"/>
              </w:rPr>
            </w:pPr>
            <w:r w:rsidRPr="00B26875">
              <w:rPr>
                <w:sz w:val="14"/>
                <w:szCs w:val="14"/>
                <w:lang w:eastAsia="tr-TR"/>
              </w:rPr>
              <w:t>-</w:t>
            </w:r>
          </w:p>
        </w:tc>
        <w:tc>
          <w:tcPr>
            <w:tcW w:w="683" w:type="dxa"/>
            <w:tcBorders>
              <w:top w:val="nil"/>
              <w:left w:val="nil"/>
              <w:bottom w:val="nil"/>
              <w:right w:val="nil"/>
            </w:tcBorders>
            <w:shd w:val="clear" w:color="auto" w:fill="auto"/>
            <w:vAlign w:val="bottom"/>
            <w:hideMark/>
          </w:tcPr>
          <w:p w14:paraId="03CC828D" w14:textId="77777777" w:rsidR="00B26875" w:rsidRPr="00B26875" w:rsidRDefault="00B26875" w:rsidP="00FC1F5B">
            <w:pPr>
              <w:jc w:val="right"/>
              <w:rPr>
                <w:sz w:val="14"/>
                <w:szCs w:val="14"/>
                <w:lang w:eastAsia="tr-TR"/>
              </w:rPr>
            </w:pPr>
            <w:r w:rsidRPr="00B26875">
              <w:rPr>
                <w:sz w:val="14"/>
                <w:szCs w:val="14"/>
                <w:lang w:eastAsia="tr-TR"/>
              </w:rPr>
              <w:t>-</w:t>
            </w:r>
          </w:p>
        </w:tc>
        <w:tc>
          <w:tcPr>
            <w:tcW w:w="991" w:type="dxa"/>
            <w:tcBorders>
              <w:top w:val="nil"/>
              <w:left w:val="nil"/>
              <w:bottom w:val="nil"/>
              <w:right w:val="nil"/>
            </w:tcBorders>
            <w:shd w:val="clear" w:color="auto" w:fill="auto"/>
            <w:vAlign w:val="bottom"/>
            <w:hideMark/>
          </w:tcPr>
          <w:p w14:paraId="57B90688" w14:textId="77777777" w:rsidR="00B26875" w:rsidRPr="00B26875" w:rsidRDefault="00B26875" w:rsidP="00FC1F5B">
            <w:pPr>
              <w:jc w:val="right"/>
              <w:rPr>
                <w:sz w:val="14"/>
                <w:szCs w:val="14"/>
                <w:lang w:eastAsia="tr-TR"/>
              </w:rPr>
            </w:pPr>
            <w:r w:rsidRPr="00B26875">
              <w:rPr>
                <w:sz w:val="14"/>
                <w:szCs w:val="14"/>
                <w:lang w:eastAsia="tr-TR"/>
              </w:rPr>
              <w:t>-</w:t>
            </w:r>
          </w:p>
        </w:tc>
        <w:tc>
          <w:tcPr>
            <w:tcW w:w="818" w:type="dxa"/>
            <w:tcBorders>
              <w:top w:val="nil"/>
              <w:left w:val="nil"/>
              <w:bottom w:val="nil"/>
              <w:right w:val="nil"/>
            </w:tcBorders>
            <w:shd w:val="clear" w:color="auto" w:fill="auto"/>
            <w:vAlign w:val="bottom"/>
            <w:hideMark/>
          </w:tcPr>
          <w:p w14:paraId="703C68CB" w14:textId="77777777" w:rsidR="00B26875" w:rsidRPr="00B26875" w:rsidRDefault="00B26875" w:rsidP="00FC1F5B">
            <w:pPr>
              <w:jc w:val="right"/>
              <w:rPr>
                <w:sz w:val="14"/>
                <w:szCs w:val="14"/>
                <w:lang w:eastAsia="tr-TR"/>
              </w:rPr>
            </w:pPr>
            <w:r w:rsidRPr="00B26875">
              <w:rPr>
                <w:sz w:val="14"/>
                <w:szCs w:val="14"/>
                <w:lang w:eastAsia="tr-TR"/>
              </w:rPr>
              <w:t>4,146,119</w:t>
            </w:r>
          </w:p>
        </w:tc>
      </w:tr>
      <w:tr w:rsidR="00B26875" w:rsidRPr="00B26875" w14:paraId="0EAF35ED"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3A5136FF" w14:textId="77777777" w:rsidR="00B26875" w:rsidRPr="00B26875" w:rsidRDefault="00B26875" w:rsidP="00B26875">
            <w:pPr>
              <w:rPr>
                <w:sz w:val="14"/>
                <w:szCs w:val="14"/>
                <w:lang w:eastAsia="tr-TR"/>
              </w:rPr>
            </w:pPr>
            <w:r w:rsidRPr="00B26875">
              <w:rPr>
                <w:sz w:val="14"/>
                <w:szCs w:val="14"/>
                <w:lang w:eastAsia="tr-TR"/>
              </w:rPr>
              <w:t>Gerçeğe uygun değer farkı kar veya zarara yansıtılan menkul değerler</w:t>
            </w:r>
          </w:p>
        </w:tc>
        <w:tc>
          <w:tcPr>
            <w:tcW w:w="841" w:type="dxa"/>
            <w:tcBorders>
              <w:top w:val="nil"/>
              <w:left w:val="nil"/>
              <w:bottom w:val="nil"/>
              <w:right w:val="nil"/>
            </w:tcBorders>
            <w:shd w:val="clear" w:color="auto" w:fill="auto"/>
            <w:vAlign w:val="bottom"/>
            <w:hideMark/>
          </w:tcPr>
          <w:p w14:paraId="58B7A09D" w14:textId="77777777" w:rsidR="00B26875" w:rsidRPr="00B26875" w:rsidRDefault="00B26875" w:rsidP="00FC1F5B">
            <w:pPr>
              <w:jc w:val="right"/>
              <w:rPr>
                <w:sz w:val="14"/>
                <w:szCs w:val="14"/>
                <w:lang w:eastAsia="tr-TR"/>
              </w:rPr>
            </w:pPr>
            <w:r w:rsidRPr="00B26875">
              <w:rPr>
                <w:sz w:val="14"/>
                <w:szCs w:val="14"/>
                <w:lang w:eastAsia="tr-TR"/>
              </w:rPr>
              <w:t>-</w:t>
            </w:r>
          </w:p>
        </w:tc>
        <w:tc>
          <w:tcPr>
            <w:tcW w:w="841" w:type="dxa"/>
            <w:tcBorders>
              <w:top w:val="nil"/>
              <w:left w:val="nil"/>
              <w:bottom w:val="nil"/>
              <w:right w:val="nil"/>
            </w:tcBorders>
            <w:shd w:val="clear" w:color="auto" w:fill="auto"/>
            <w:vAlign w:val="bottom"/>
            <w:hideMark/>
          </w:tcPr>
          <w:p w14:paraId="179987EC" w14:textId="77777777" w:rsidR="00B26875" w:rsidRPr="00B26875" w:rsidRDefault="00B26875" w:rsidP="00FC1F5B">
            <w:pPr>
              <w:jc w:val="right"/>
              <w:rPr>
                <w:sz w:val="14"/>
                <w:szCs w:val="14"/>
                <w:lang w:eastAsia="tr-TR"/>
              </w:rPr>
            </w:pPr>
            <w:r w:rsidRPr="00B26875">
              <w:rPr>
                <w:sz w:val="14"/>
                <w:szCs w:val="14"/>
                <w:lang w:eastAsia="tr-TR"/>
              </w:rPr>
              <w:t>808,922</w:t>
            </w:r>
          </w:p>
        </w:tc>
        <w:tc>
          <w:tcPr>
            <w:tcW w:w="750" w:type="dxa"/>
            <w:tcBorders>
              <w:top w:val="nil"/>
              <w:left w:val="nil"/>
              <w:bottom w:val="nil"/>
              <w:right w:val="nil"/>
            </w:tcBorders>
            <w:shd w:val="clear" w:color="auto" w:fill="auto"/>
            <w:vAlign w:val="bottom"/>
            <w:hideMark/>
          </w:tcPr>
          <w:p w14:paraId="780016E3" w14:textId="77777777" w:rsidR="00B26875" w:rsidRPr="00B26875" w:rsidRDefault="00B26875" w:rsidP="00FC1F5B">
            <w:pPr>
              <w:jc w:val="right"/>
              <w:rPr>
                <w:sz w:val="14"/>
                <w:szCs w:val="14"/>
                <w:lang w:eastAsia="tr-TR"/>
              </w:rPr>
            </w:pPr>
            <w:r w:rsidRPr="00B26875">
              <w:rPr>
                <w:sz w:val="14"/>
                <w:szCs w:val="14"/>
                <w:lang w:eastAsia="tr-TR"/>
              </w:rPr>
              <w:t>573,253</w:t>
            </w:r>
          </w:p>
        </w:tc>
        <w:tc>
          <w:tcPr>
            <w:tcW w:w="750" w:type="dxa"/>
            <w:tcBorders>
              <w:top w:val="nil"/>
              <w:left w:val="nil"/>
              <w:bottom w:val="nil"/>
              <w:right w:val="nil"/>
            </w:tcBorders>
            <w:shd w:val="clear" w:color="auto" w:fill="auto"/>
            <w:vAlign w:val="bottom"/>
            <w:hideMark/>
          </w:tcPr>
          <w:p w14:paraId="367AFE79" w14:textId="77777777" w:rsidR="00B26875" w:rsidRPr="00B26875" w:rsidRDefault="00B26875" w:rsidP="00FC1F5B">
            <w:pPr>
              <w:jc w:val="right"/>
              <w:rPr>
                <w:sz w:val="14"/>
                <w:szCs w:val="14"/>
                <w:lang w:eastAsia="tr-TR"/>
              </w:rPr>
            </w:pPr>
            <w:r w:rsidRPr="00B26875">
              <w:rPr>
                <w:sz w:val="14"/>
                <w:szCs w:val="14"/>
                <w:lang w:eastAsia="tr-TR"/>
              </w:rPr>
              <w:t>6,418,709</w:t>
            </w:r>
          </w:p>
        </w:tc>
        <w:tc>
          <w:tcPr>
            <w:tcW w:w="750" w:type="dxa"/>
            <w:tcBorders>
              <w:top w:val="nil"/>
              <w:left w:val="nil"/>
              <w:bottom w:val="nil"/>
              <w:right w:val="nil"/>
            </w:tcBorders>
            <w:shd w:val="clear" w:color="auto" w:fill="auto"/>
            <w:vAlign w:val="bottom"/>
            <w:hideMark/>
          </w:tcPr>
          <w:p w14:paraId="2781331D" w14:textId="77777777" w:rsidR="00B26875" w:rsidRPr="00B26875" w:rsidRDefault="00B26875" w:rsidP="00FC1F5B">
            <w:pPr>
              <w:jc w:val="right"/>
              <w:rPr>
                <w:sz w:val="14"/>
                <w:szCs w:val="14"/>
                <w:lang w:eastAsia="tr-TR"/>
              </w:rPr>
            </w:pPr>
            <w:r w:rsidRPr="00B26875">
              <w:rPr>
                <w:sz w:val="14"/>
                <w:szCs w:val="14"/>
                <w:lang w:eastAsia="tr-TR"/>
              </w:rPr>
              <w:t>224,478</w:t>
            </w:r>
          </w:p>
        </w:tc>
        <w:tc>
          <w:tcPr>
            <w:tcW w:w="683" w:type="dxa"/>
            <w:tcBorders>
              <w:top w:val="nil"/>
              <w:left w:val="nil"/>
              <w:bottom w:val="nil"/>
              <w:right w:val="nil"/>
            </w:tcBorders>
            <w:shd w:val="clear" w:color="auto" w:fill="auto"/>
            <w:vAlign w:val="bottom"/>
            <w:hideMark/>
          </w:tcPr>
          <w:p w14:paraId="22929A22" w14:textId="77777777" w:rsidR="00B26875" w:rsidRPr="00B26875" w:rsidRDefault="00B26875" w:rsidP="00FC1F5B">
            <w:pPr>
              <w:jc w:val="right"/>
              <w:rPr>
                <w:sz w:val="14"/>
                <w:szCs w:val="14"/>
                <w:lang w:eastAsia="tr-TR"/>
              </w:rPr>
            </w:pPr>
            <w:r w:rsidRPr="00B26875">
              <w:rPr>
                <w:sz w:val="14"/>
                <w:szCs w:val="14"/>
                <w:lang w:eastAsia="tr-TR"/>
              </w:rPr>
              <w:t>-</w:t>
            </w:r>
          </w:p>
        </w:tc>
        <w:tc>
          <w:tcPr>
            <w:tcW w:w="991" w:type="dxa"/>
            <w:tcBorders>
              <w:top w:val="nil"/>
              <w:left w:val="nil"/>
              <w:bottom w:val="nil"/>
              <w:right w:val="nil"/>
            </w:tcBorders>
            <w:shd w:val="clear" w:color="auto" w:fill="auto"/>
            <w:vAlign w:val="bottom"/>
            <w:hideMark/>
          </w:tcPr>
          <w:p w14:paraId="6D2FBF79" w14:textId="77777777" w:rsidR="00B26875" w:rsidRPr="00B26875" w:rsidRDefault="00B26875" w:rsidP="00FC1F5B">
            <w:pPr>
              <w:jc w:val="right"/>
              <w:rPr>
                <w:sz w:val="14"/>
                <w:szCs w:val="14"/>
                <w:lang w:eastAsia="tr-TR"/>
              </w:rPr>
            </w:pPr>
            <w:r w:rsidRPr="00B26875">
              <w:rPr>
                <w:sz w:val="14"/>
                <w:szCs w:val="14"/>
                <w:lang w:eastAsia="tr-TR"/>
              </w:rPr>
              <w:t>19,394</w:t>
            </w:r>
          </w:p>
        </w:tc>
        <w:tc>
          <w:tcPr>
            <w:tcW w:w="818" w:type="dxa"/>
            <w:tcBorders>
              <w:top w:val="nil"/>
              <w:left w:val="nil"/>
              <w:bottom w:val="nil"/>
              <w:right w:val="nil"/>
            </w:tcBorders>
            <w:shd w:val="clear" w:color="auto" w:fill="auto"/>
            <w:vAlign w:val="bottom"/>
            <w:hideMark/>
          </w:tcPr>
          <w:p w14:paraId="5BD17CD7" w14:textId="77777777" w:rsidR="00B26875" w:rsidRPr="00B26875" w:rsidRDefault="00B26875" w:rsidP="00FC1F5B">
            <w:pPr>
              <w:jc w:val="right"/>
              <w:rPr>
                <w:sz w:val="14"/>
                <w:szCs w:val="14"/>
                <w:lang w:eastAsia="tr-TR"/>
              </w:rPr>
            </w:pPr>
            <w:r w:rsidRPr="00B26875">
              <w:rPr>
                <w:sz w:val="14"/>
                <w:szCs w:val="14"/>
                <w:lang w:eastAsia="tr-TR"/>
              </w:rPr>
              <w:t>8,044,756</w:t>
            </w:r>
          </w:p>
        </w:tc>
      </w:tr>
      <w:tr w:rsidR="00B26875" w:rsidRPr="00B26875" w14:paraId="2CD237FC"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72B47533" w14:textId="77777777" w:rsidR="00B26875" w:rsidRPr="00B26875" w:rsidRDefault="00B26875" w:rsidP="00B26875">
            <w:pPr>
              <w:rPr>
                <w:sz w:val="14"/>
                <w:szCs w:val="14"/>
                <w:lang w:eastAsia="tr-TR"/>
              </w:rPr>
            </w:pPr>
            <w:r w:rsidRPr="00B26875">
              <w:rPr>
                <w:sz w:val="14"/>
                <w:szCs w:val="14"/>
                <w:lang w:eastAsia="tr-TR"/>
              </w:rPr>
              <w:t>Para piyasalarından alacaklar</w:t>
            </w:r>
          </w:p>
        </w:tc>
        <w:tc>
          <w:tcPr>
            <w:tcW w:w="841" w:type="dxa"/>
            <w:tcBorders>
              <w:top w:val="nil"/>
              <w:left w:val="nil"/>
              <w:bottom w:val="nil"/>
              <w:right w:val="nil"/>
            </w:tcBorders>
            <w:shd w:val="clear" w:color="auto" w:fill="auto"/>
            <w:vAlign w:val="bottom"/>
            <w:hideMark/>
          </w:tcPr>
          <w:p w14:paraId="100116E6" w14:textId="77777777" w:rsidR="00B26875" w:rsidRPr="00B26875" w:rsidRDefault="00B26875" w:rsidP="00FC1F5B">
            <w:pPr>
              <w:jc w:val="right"/>
              <w:rPr>
                <w:sz w:val="14"/>
                <w:szCs w:val="14"/>
                <w:lang w:eastAsia="tr-TR"/>
              </w:rPr>
            </w:pPr>
            <w:r w:rsidRPr="00B26875">
              <w:rPr>
                <w:sz w:val="14"/>
                <w:szCs w:val="14"/>
                <w:lang w:eastAsia="tr-TR"/>
              </w:rPr>
              <w:t>-</w:t>
            </w:r>
          </w:p>
        </w:tc>
        <w:tc>
          <w:tcPr>
            <w:tcW w:w="841" w:type="dxa"/>
            <w:tcBorders>
              <w:top w:val="nil"/>
              <w:left w:val="nil"/>
              <w:bottom w:val="nil"/>
              <w:right w:val="nil"/>
            </w:tcBorders>
            <w:shd w:val="clear" w:color="auto" w:fill="auto"/>
            <w:vAlign w:val="bottom"/>
            <w:hideMark/>
          </w:tcPr>
          <w:p w14:paraId="14D8224A"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42A83538"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4A0E71FF"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27381682" w14:textId="77777777" w:rsidR="00B26875" w:rsidRPr="00B26875" w:rsidRDefault="00B26875" w:rsidP="00FC1F5B">
            <w:pPr>
              <w:jc w:val="right"/>
              <w:rPr>
                <w:sz w:val="14"/>
                <w:szCs w:val="14"/>
                <w:lang w:eastAsia="tr-TR"/>
              </w:rPr>
            </w:pPr>
            <w:r w:rsidRPr="00B26875">
              <w:rPr>
                <w:sz w:val="14"/>
                <w:szCs w:val="14"/>
                <w:lang w:eastAsia="tr-TR"/>
              </w:rPr>
              <w:t>-</w:t>
            </w:r>
          </w:p>
        </w:tc>
        <w:tc>
          <w:tcPr>
            <w:tcW w:w="683" w:type="dxa"/>
            <w:tcBorders>
              <w:top w:val="nil"/>
              <w:left w:val="nil"/>
              <w:bottom w:val="nil"/>
              <w:right w:val="nil"/>
            </w:tcBorders>
            <w:shd w:val="clear" w:color="auto" w:fill="auto"/>
            <w:vAlign w:val="bottom"/>
            <w:hideMark/>
          </w:tcPr>
          <w:p w14:paraId="2DC44F05" w14:textId="77777777" w:rsidR="00B26875" w:rsidRPr="00B26875" w:rsidRDefault="00B26875" w:rsidP="00FC1F5B">
            <w:pPr>
              <w:jc w:val="right"/>
              <w:rPr>
                <w:sz w:val="14"/>
                <w:szCs w:val="14"/>
                <w:lang w:eastAsia="tr-TR"/>
              </w:rPr>
            </w:pPr>
            <w:r w:rsidRPr="00B26875">
              <w:rPr>
                <w:sz w:val="14"/>
                <w:szCs w:val="14"/>
                <w:lang w:eastAsia="tr-TR"/>
              </w:rPr>
              <w:t>-</w:t>
            </w:r>
          </w:p>
        </w:tc>
        <w:tc>
          <w:tcPr>
            <w:tcW w:w="991" w:type="dxa"/>
            <w:tcBorders>
              <w:top w:val="nil"/>
              <w:left w:val="nil"/>
              <w:bottom w:val="nil"/>
              <w:right w:val="nil"/>
            </w:tcBorders>
            <w:shd w:val="clear" w:color="auto" w:fill="auto"/>
            <w:vAlign w:val="bottom"/>
            <w:hideMark/>
          </w:tcPr>
          <w:p w14:paraId="5F184BD4" w14:textId="77777777" w:rsidR="00B26875" w:rsidRPr="00B26875" w:rsidRDefault="00B26875" w:rsidP="00FC1F5B">
            <w:pPr>
              <w:jc w:val="right"/>
              <w:rPr>
                <w:sz w:val="14"/>
                <w:szCs w:val="14"/>
                <w:lang w:eastAsia="tr-TR"/>
              </w:rPr>
            </w:pPr>
            <w:r w:rsidRPr="00B26875">
              <w:rPr>
                <w:sz w:val="14"/>
                <w:szCs w:val="14"/>
                <w:lang w:eastAsia="tr-TR"/>
              </w:rPr>
              <w:t>-</w:t>
            </w:r>
          </w:p>
        </w:tc>
        <w:tc>
          <w:tcPr>
            <w:tcW w:w="818" w:type="dxa"/>
            <w:tcBorders>
              <w:top w:val="nil"/>
              <w:left w:val="nil"/>
              <w:bottom w:val="nil"/>
              <w:right w:val="nil"/>
            </w:tcBorders>
            <w:shd w:val="clear" w:color="auto" w:fill="auto"/>
            <w:vAlign w:val="bottom"/>
            <w:hideMark/>
          </w:tcPr>
          <w:p w14:paraId="4221FC20" w14:textId="77777777" w:rsidR="00B26875" w:rsidRPr="00B26875" w:rsidRDefault="00B26875" w:rsidP="00FC1F5B">
            <w:pPr>
              <w:jc w:val="right"/>
              <w:rPr>
                <w:sz w:val="14"/>
                <w:szCs w:val="14"/>
                <w:lang w:eastAsia="tr-TR"/>
              </w:rPr>
            </w:pPr>
            <w:r w:rsidRPr="00B26875">
              <w:rPr>
                <w:sz w:val="14"/>
                <w:szCs w:val="14"/>
                <w:lang w:eastAsia="tr-TR"/>
              </w:rPr>
              <w:t>-</w:t>
            </w:r>
          </w:p>
        </w:tc>
      </w:tr>
      <w:tr w:rsidR="00B26875" w:rsidRPr="00B26875" w14:paraId="05E8C92F"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17BA88A7" w14:textId="77777777" w:rsidR="00B26875" w:rsidRPr="00B26875" w:rsidRDefault="00B26875" w:rsidP="00B26875">
            <w:pPr>
              <w:rPr>
                <w:sz w:val="14"/>
                <w:szCs w:val="14"/>
                <w:lang w:eastAsia="tr-TR"/>
              </w:rPr>
            </w:pPr>
            <w:r w:rsidRPr="00B26875">
              <w:rPr>
                <w:sz w:val="14"/>
                <w:szCs w:val="14"/>
                <w:lang w:eastAsia="tr-TR"/>
              </w:rPr>
              <w:t>Gerçeğe uygun değer farkı diğer kapsamlı gelire yansıtılan finansal varlıklar</w:t>
            </w:r>
          </w:p>
        </w:tc>
        <w:tc>
          <w:tcPr>
            <w:tcW w:w="841" w:type="dxa"/>
            <w:tcBorders>
              <w:top w:val="nil"/>
              <w:left w:val="nil"/>
              <w:bottom w:val="nil"/>
              <w:right w:val="nil"/>
            </w:tcBorders>
            <w:shd w:val="clear" w:color="auto" w:fill="auto"/>
            <w:vAlign w:val="bottom"/>
            <w:hideMark/>
          </w:tcPr>
          <w:p w14:paraId="6A193ACB" w14:textId="77777777" w:rsidR="00B26875" w:rsidRPr="00B26875" w:rsidRDefault="00B26875" w:rsidP="00FC1F5B">
            <w:pPr>
              <w:jc w:val="right"/>
              <w:rPr>
                <w:sz w:val="14"/>
                <w:szCs w:val="14"/>
                <w:lang w:eastAsia="tr-TR"/>
              </w:rPr>
            </w:pPr>
            <w:r w:rsidRPr="00B26875">
              <w:rPr>
                <w:sz w:val="14"/>
                <w:szCs w:val="14"/>
                <w:lang w:eastAsia="tr-TR"/>
              </w:rPr>
              <w:t>-</w:t>
            </w:r>
          </w:p>
        </w:tc>
        <w:tc>
          <w:tcPr>
            <w:tcW w:w="841" w:type="dxa"/>
            <w:tcBorders>
              <w:top w:val="nil"/>
              <w:left w:val="nil"/>
              <w:bottom w:val="nil"/>
              <w:right w:val="nil"/>
            </w:tcBorders>
            <w:shd w:val="clear" w:color="auto" w:fill="auto"/>
            <w:vAlign w:val="bottom"/>
            <w:hideMark/>
          </w:tcPr>
          <w:p w14:paraId="64F16C90" w14:textId="77777777" w:rsidR="00B26875" w:rsidRPr="00B26875" w:rsidRDefault="00B26875" w:rsidP="00FC1F5B">
            <w:pPr>
              <w:jc w:val="right"/>
              <w:rPr>
                <w:sz w:val="14"/>
                <w:szCs w:val="14"/>
                <w:lang w:eastAsia="tr-TR"/>
              </w:rPr>
            </w:pPr>
            <w:r w:rsidRPr="00B26875">
              <w:rPr>
                <w:sz w:val="14"/>
                <w:szCs w:val="14"/>
                <w:lang w:eastAsia="tr-TR"/>
              </w:rPr>
              <w:t>11,212,393</w:t>
            </w:r>
          </w:p>
        </w:tc>
        <w:tc>
          <w:tcPr>
            <w:tcW w:w="750" w:type="dxa"/>
            <w:tcBorders>
              <w:top w:val="nil"/>
              <w:left w:val="nil"/>
              <w:bottom w:val="nil"/>
              <w:right w:val="nil"/>
            </w:tcBorders>
            <w:shd w:val="clear" w:color="auto" w:fill="auto"/>
            <w:vAlign w:val="bottom"/>
            <w:hideMark/>
          </w:tcPr>
          <w:p w14:paraId="1CDEC2F5" w14:textId="77777777" w:rsidR="00B26875" w:rsidRPr="00B26875" w:rsidRDefault="00B26875" w:rsidP="00FC1F5B">
            <w:pPr>
              <w:jc w:val="right"/>
              <w:rPr>
                <w:sz w:val="14"/>
                <w:szCs w:val="14"/>
                <w:lang w:eastAsia="tr-TR"/>
              </w:rPr>
            </w:pPr>
            <w:r w:rsidRPr="00B26875">
              <w:rPr>
                <w:sz w:val="14"/>
                <w:szCs w:val="14"/>
                <w:lang w:eastAsia="tr-TR"/>
              </w:rPr>
              <w:t>3,925,608</w:t>
            </w:r>
          </w:p>
        </w:tc>
        <w:tc>
          <w:tcPr>
            <w:tcW w:w="750" w:type="dxa"/>
            <w:tcBorders>
              <w:top w:val="nil"/>
              <w:left w:val="nil"/>
              <w:bottom w:val="nil"/>
              <w:right w:val="nil"/>
            </w:tcBorders>
            <w:shd w:val="clear" w:color="auto" w:fill="auto"/>
            <w:vAlign w:val="bottom"/>
            <w:hideMark/>
          </w:tcPr>
          <w:p w14:paraId="28E9E109" w14:textId="77777777" w:rsidR="00B26875" w:rsidRPr="00B26875" w:rsidRDefault="00B26875" w:rsidP="00FC1F5B">
            <w:pPr>
              <w:jc w:val="right"/>
              <w:rPr>
                <w:sz w:val="14"/>
                <w:szCs w:val="14"/>
                <w:lang w:eastAsia="tr-TR"/>
              </w:rPr>
            </w:pPr>
            <w:r w:rsidRPr="00B26875">
              <w:rPr>
                <w:sz w:val="14"/>
                <w:szCs w:val="14"/>
                <w:lang w:eastAsia="tr-TR"/>
              </w:rPr>
              <w:t>3,744,614</w:t>
            </w:r>
          </w:p>
        </w:tc>
        <w:tc>
          <w:tcPr>
            <w:tcW w:w="750" w:type="dxa"/>
            <w:tcBorders>
              <w:top w:val="nil"/>
              <w:left w:val="nil"/>
              <w:bottom w:val="nil"/>
              <w:right w:val="nil"/>
            </w:tcBorders>
            <w:shd w:val="clear" w:color="auto" w:fill="auto"/>
            <w:vAlign w:val="bottom"/>
            <w:hideMark/>
          </w:tcPr>
          <w:p w14:paraId="2F6ADA4E" w14:textId="77777777" w:rsidR="00B26875" w:rsidRPr="00B26875" w:rsidRDefault="00B26875" w:rsidP="00FC1F5B">
            <w:pPr>
              <w:jc w:val="right"/>
              <w:rPr>
                <w:sz w:val="14"/>
                <w:szCs w:val="14"/>
                <w:lang w:eastAsia="tr-TR"/>
              </w:rPr>
            </w:pPr>
            <w:r w:rsidRPr="00B26875">
              <w:rPr>
                <w:sz w:val="14"/>
                <w:szCs w:val="14"/>
                <w:lang w:eastAsia="tr-TR"/>
              </w:rPr>
              <w:t>13,562,109</w:t>
            </w:r>
          </w:p>
        </w:tc>
        <w:tc>
          <w:tcPr>
            <w:tcW w:w="683" w:type="dxa"/>
            <w:tcBorders>
              <w:top w:val="nil"/>
              <w:left w:val="nil"/>
              <w:bottom w:val="nil"/>
              <w:right w:val="nil"/>
            </w:tcBorders>
            <w:shd w:val="clear" w:color="auto" w:fill="auto"/>
            <w:vAlign w:val="bottom"/>
            <w:hideMark/>
          </w:tcPr>
          <w:p w14:paraId="3145B97B" w14:textId="77777777" w:rsidR="00B26875" w:rsidRPr="00B26875" w:rsidRDefault="00B26875" w:rsidP="00FC1F5B">
            <w:pPr>
              <w:jc w:val="right"/>
              <w:rPr>
                <w:sz w:val="14"/>
                <w:szCs w:val="14"/>
                <w:lang w:eastAsia="tr-TR"/>
              </w:rPr>
            </w:pPr>
            <w:r w:rsidRPr="00B26875">
              <w:rPr>
                <w:sz w:val="14"/>
                <w:szCs w:val="14"/>
                <w:lang w:eastAsia="tr-TR"/>
              </w:rPr>
              <w:t>-</w:t>
            </w:r>
          </w:p>
        </w:tc>
        <w:tc>
          <w:tcPr>
            <w:tcW w:w="991" w:type="dxa"/>
            <w:tcBorders>
              <w:top w:val="nil"/>
              <w:left w:val="nil"/>
              <w:bottom w:val="nil"/>
              <w:right w:val="nil"/>
            </w:tcBorders>
            <w:shd w:val="clear" w:color="auto" w:fill="auto"/>
            <w:vAlign w:val="bottom"/>
            <w:hideMark/>
          </w:tcPr>
          <w:p w14:paraId="5AE960AD" w14:textId="77777777" w:rsidR="00B26875" w:rsidRPr="00B26875" w:rsidRDefault="00B26875" w:rsidP="00FC1F5B">
            <w:pPr>
              <w:jc w:val="right"/>
              <w:rPr>
                <w:sz w:val="14"/>
                <w:szCs w:val="14"/>
                <w:lang w:eastAsia="tr-TR"/>
              </w:rPr>
            </w:pPr>
            <w:r w:rsidRPr="00B26875">
              <w:rPr>
                <w:sz w:val="14"/>
                <w:szCs w:val="14"/>
                <w:lang w:eastAsia="tr-TR"/>
              </w:rPr>
              <w:t>129,093</w:t>
            </w:r>
          </w:p>
        </w:tc>
        <w:tc>
          <w:tcPr>
            <w:tcW w:w="818" w:type="dxa"/>
            <w:tcBorders>
              <w:top w:val="nil"/>
              <w:left w:val="nil"/>
              <w:bottom w:val="nil"/>
              <w:right w:val="nil"/>
            </w:tcBorders>
            <w:shd w:val="clear" w:color="auto" w:fill="auto"/>
            <w:vAlign w:val="bottom"/>
            <w:hideMark/>
          </w:tcPr>
          <w:p w14:paraId="462EA124" w14:textId="77777777" w:rsidR="00B26875" w:rsidRPr="00B26875" w:rsidRDefault="00B26875" w:rsidP="00FC1F5B">
            <w:pPr>
              <w:jc w:val="right"/>
              <w:rPr>
                <w:sz w:val="14"/>
                <w:szCs w:val="14"/>
                <w:lang w:eastAsia="tr-TR"/>
              </w:rPr>
            </w:pPr>
            <w:r w:rsidRPr="00B26875">
              <w:rPr>
                <w:sz w:val="14"/>
                <w:szCs w:val="14"/>
                <w:lang w:eastAsia="tr-TR"/>
              </w:rPr>
              <w:t>32,573,817</w:t>
            </w:r>
          </w:p>
        </w:tc>
      </w:tr>
      <w:tr w:rsidR="00B26875" w:rsidRPr="00B26875" w14:paraId="5E80F94F"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4E7AC127" w14:textId="77777777" w:rsidR="00B26875" w:rsidRPr="00B26875" w:rsidRDefault="00B26875" w:rsidP="00B26875">
            <w:pPr>
              <w:rPr>
                <w:sz w:val="14"/>
                <w:szCs w:val="14"/>
                <w:lang w:eastAsia="tr-TR"/>
              </w:rPr>
            </w:pPr>
            <w:r w:rsidRPr="00B26875">
              <w:rPr>
                <w:sz w:val="14"/>
                <w:szCs w:val="14"/>
                <w:lang w:eastAsia="tr-TR"/>
              </w:rPr>
              <w:t>Verilen krediler (**)</w:t>
            </w:r>
          </w:p>
        </w:tc>
        <w:tc>
          <w:tcPr>
            <w:tcW w:w="841" w:type="dxa"/>
            <w:tcBorders>
              <w:top w:val="nil"/>
              <w:left w:val="nil"/>
              <w:bottom w:val="nil"/>
              <w:right w:val="nil"/>
            </w:tcBorders>
            <w:shd w:val="clear" w:color="auto" w:fill="auto"/>
            <w:vAlign w:val="bottom"/>
            <w:hideMark/>
          </w:tcPr>
          <w:p w14:paraId="5650CE08" w14:textId="77777777" w:rsidR="00B26875" w:rsidRPr="00B26875" w:rsidRDefault="00B26875" w:rsidP="00FC1F5B">
            <w:pPr>
              <w:jc w:val="right"/>
              <w:rPr>
                <w:sz w:val="14"/>
                <w:szCs w:val="14"/>
                <w:lang w:eastAsia="tr-TR"/>
              </w:rPr>
            </w:pPr>
            <w:r w:rsidRPr="00B26875">
              <w:rPr>
                <w:sz w:val="14"/>
                <w:szCs w:val="14"/>
                <w:lang w:eastAsia="tr-TR"/>
              </w:rPr>
              <w:t>-</w:t>
            </w:r>
          </w:p>
        </w:tc>
        <w:tc>
          <w:tcPr>
            <w:tcW w:w="841" w:type="dxa"/>
            <w:tcBorders>
              <w:top w:val="nil"/>
              <w:left w:val="nil"/>
              <w:bottom w:val="nil"/>
              <w:right w:val="nil"/>
            </w:tcBorders>
            <w:shd w:val="clear" w:color="auto" w:fill="auto"/>
            <w:vAlign w:val="bottom"/>
            <w:hideMark/>
          </w:tcPr>
          <w:p w14:paraId="74FCF314" w14:textId="77777777" w:rsidR="00B26875" w:rsidRPr="00B26875" w:rsidRDefault="00B26875" w:rsidP="00FC1F5B">
            <w:pPr>
              <w:jc w:val="right"/>
              <w:rPr>
                <w:sz w:val="14"/>
                <w:szCs w:val="14"/>
                <w:lang w:eastAsia="tr-TR"/>
              </w:rPr>
            </w:pPr>
            <w:r w:rsidRPr="00B26875">
              <w:rPr>
                <w:sz w:val="14"/>
                <w:szCs w:val="14"/>
                <w:lang w:eastAsia="tr-TR"/>
              </w:rPr>
              <w:t>9,866,816</w:t>
            </w:r>
          </w:p>
        </w:tc>
        <w:tc>
          <w:tcPr>
            <w:tcW w:w="750" w:type="dxa"/>
            <w:tcBorders>
              <w:top w:val="nil"/>
              <w:left w:val="nil"/>
              <w:bottom w:val="nil"/>
              <w:right w:val="nil"/>
            </w:tcBorders>
            <w:shd w:val="clear" w:color="auto" w:fill="auto"/>
            <w:vAlign w:val="bottom"/>
            <w:hideMark/>
          </w:tcPr>
          <w:p w14:paraId="27062EDE" w14:textId="77777777" w:rsidR="00B26875" w:rsidRPr="00B26875" w:rsidRDefault="00B26875" w:rsidP="00FC1F5B">
            <w:pPr>
              <w:jc w:val="right"/>
              <w:rPr>
                <w:sz w:val="14"/>
                <w:szCs w:val="14"/>
                <w:lang w:eastAsia="tr-TR"/>
              </w:rPr>
            </w:pPr>
            <w:r w:rsidRPr="00B26875">
              <w:rPr>
                <w:sz w:val="14"/>
                <w:szCs w:val="14"/>
                <w:lang w:eastAsia="tr-TR"/>
              </w:rPr>
              <w:t>8,068,757</w:t>
            </w:r>
          </w:p>
        </w:tc>
        <w:tc>
          <w:tcPr>
            <w:tcW w:w="750" w:type="dxa"/>
            <w:tcBorders>
              <w:top w:val="nil"/>
              <w:left w:val="nil"/>
              <w:bottom w:val="nil"/>
              <w:right w:val="nil"/>
            </w:tcBorders>
            <w:shd w:val="clear" w:color="auto" w:fill="auto"/>
            <w:vAlign w:val="bottom"/>
            <w:hideMark/>
          </w:tcPr>
          <w:p w14:paraId="3340C401" w14:textId="77777777" w:rsidR="00B26875" w:rsidRPr="00B26875" w:rsidRDefault="00B26875" w:rsidP="00FC1F5B">
            <w:pPr>
              <w:jc w:val="right"/>
              <w:rPr>
                <w:sz w:val="14"/>
                <w:szCs w:val="14"/>
                <w:lang w:eastAsia="tr-TR"/>
              </w:rPr>
            </w:pPr>
            <w:r w:rsidRPr="00B26875">
              <w:rPr>
                <w:sz w:val="14"/>
                <w:szCs w:val="14"/>
                <w:lang w:eastAsia="tr-TR"/>
              </w:rPr>
              <w:t>26,602,074</w:t>
            </w:r>
          </w:p>
        </w:tc>
        <w:tc>
          <w:tcPr>
            <w:tcW w:w="750" w:type="dxa"/>
            <w:tcBorders>
              <w:top w:val="nil"/>
              <w:left w:val="nil"/>
              <w:bottom w:val="nil"/>
              <w:right w:val="nil"/>
            </w:tcBorders>
            <w:shd w:val="clear" w:color="auto" w:fill="auto"/>
            <w:vAlign w:val="bottom"/>
            <w:hideMark/>
          </w:tcPr>
          <w:p w14:paraId="56AC2D88" w14:textId="77777777" w:rsidR="00B26875" w:rsidRPr="00B26875" w:rsidRDefault="00B26875" w:rsidP="00FC1F5B">
            <w:pPr>
              <w:jc w:val="right"/>
              <w:rPr>
                <w:sz w:val="14"/>
                <w:szCs w:val="14"/>
                <w:lang w:eastAsia="tr-TR"/>
              </w:rPr>
            </w:pPr>
            <w:r w:rsidRPr="00B26875">
              <w:rPr>
                <w:sz w:val="14"/>
                <w:szCs w:val="14"/>
                <w:lang w:eastAsia="tr-TR"/>
              </w:rPr>
              <w:t>27,554,901</w:t>
            </w:r>
          </w:p>
        </w:tc>
        <w:tc>
          <w:tcPr>
            <w:tcW w:w="683" w:type="dxa"/>
            <w:tcBorders>
              <w:top w:val="nil"/>
              <w:left w:val="nil"/>
              <w:bottom w:val="nil"/>
              <w:right w:val="nil"/>
            </w:tcBorders>
            <w:shd w:val="clear" w:color="auto" w:fill="auto"/>
            <w:vAlign w:val="bottom"/>
            <w:hideMark/>
          </w:tcPr>
          <w:p w14:paraId="265BAC13" w14:textId="77777777" w:rsidR="00B26875" w:rsidRPr="00B26875" w:rsidRDefault="00B26875" w:rsidP="00FC1F5B">
            <w:pPr>
              <w:jc w:val="right"/>
              <w:rPr>
                <w:sz w:val="14"/>
                <w:szCs w:val="14"/>
                <w:lang w:eastAsia="tr-TR"/>
              </w:rPr>
            </w:pPr>
            <w:r w:rsidRPr="00B26875">
              <w:rPr>
                <w:sz w:val="14"/>
                <w:szCs w:val="14"/>
                <w:lang w:eastAsia="tr-TR"/>
              </w:rPr>
              <w:t>4,263,257</w:t>
            </w:r>
          </w:p>
        </w:tc>
        <w:tc>
          <w:tcPr>
            <w:tcW w:w="991" w:type="dxa"/>
            <w:tcBorders>
              <w:top w:val="nil"/>
              <w:left w:val="nil"/>
              <w:bottom w:val="nil"/>
              <w:right w:val="nil"/>
            </w:tcBorders>
            <w:shd w:val="clear" w:color="auto" w:fill="auto"/>
            <w:vAlign w:val="bottom"/>
            <w:hideMark/>
          </w:tcPr>
          <w:p w14:paraId="25E51D6F" w14:textId="77777777" w:rsidR="00B26875" w:rsidRPr="00B26875" w:rsidRDefault="00B26875" w:rsidP="00FC1F5B">
            <w:pPr>
              <w:jc w:val="right"/>
              <w:rPr>
                <w:sz w:val="14"/>
                <w:szCs w:val="14"/>
                <w:lang w:eastAsia="tr-TR"/>
              </w:rPr>
            </w:pPr>
            <w:r w:rsidRPr="00B26875">
              <w:rPr>
                <w:sz w:val="14"/>
                <w:szCs w:val="14"/>
                <w:lang w:eastAsia="tr-TR"/>
              </w:rPr>
              <w:t>(2,654,813)</w:t>
            </w:r>
          </w:p>
        </w:tc>
        <w:tc>
          <w:tcPr>
            <w:tcW w:w="818" w:type="dxa"/>
            <w:tcBorders>
              <w:top w:val="nil"/>
              <w:left w:val="nil"/>
              <w:bottom w:val="nil"/>
              <w:right w:val="nil"/>
            </w:tcBorders>
            <w:shd w:val="clear" w:color="auto" w:fill="auto"/>
            <w:vAlign w:val="bottom"/>
            <w:hideMark/>
          </w:tcPr>
          <w:p w14:paraId="61A6FE91" w14:textId="77777777" w:rsidR="00B26875" w:rsidRPr="00B26875" w:rsidRDefault="00B26875" w:rsidP="00FC1F5B">
            <w:pPr>
              <w:jc w:val="right"/>
              <w:rPr>
                <w:sz w:val="14"/>
                <w:szCs w:val="14"/>
                <w:lang w:eastAsia="tr-TR"/>
              </w:rPr>
            </w:pPr>
            <w:r w:rsidRPr="00B26875">
              <w:rPr>
                <w:sz w:val="14"/>
                <w:szCs w:val="14"/>
                <w:lang w:eastAsia="tr-TR"/>
              </w:rPr>
              <w:t>73,700,992</w:t>
            </w:r>
          </w:p>
        </w:tc>
      </w:tr>
      <w:tr w:rsidR="00B26875" w:rsidRPr="00B26875" w14:paraId="0984A251"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14E9367A" w14:textId="77777777" w:rsidR="00B26875" w:rsidRPr="00B26875" w:rsidRDefault="00B26875" w:rsidP="00B26875">
            <w:pPr>
              <w:rPr>
                <w:sz w:val="14"/>
                <w:szCs w:val="14"/>
                <w:lang w:eastAsia="tr-TR"/>
              </w:rPr>
            </w:pPr>
            <w:r w:rsidRPr="00B26875">
              <w:rPr>
                <w:sz w:val="14"/>
                <w:szCs w:val="14"/>
                <w:lang w:eastAsia="tr-TR"/>
              </w:rPr>
              <w:t>İtfa edilmiş maliyeti ile değerlenen finansal varlıklar</w:t>
            </w:r>
          </w:p>
        </w:tc>
        <w:tc>
          <w:tcPr>
            <w:tcW w:w="841" w:type="dxa"/>
            <w:tcBorders>
              <w:top w:val="nil"/>
              <w:left w:val="nil"/>
              <w:bottom w:val="nil"/>
              <w:right w:val="nil"/>
            </w:tcBorders>
            <w:shd w:val="clear" w:color="auto" w:fill="auto"/>
            <w:vAlign w:val="bottom"/>
            <w:hideMark/>
          </w:tcPr>
          <w:p w14:paraId="51DB9394" w14:textId="77777777" w:rsidR="00B26875" w:rsidRPr="00B26875" w:rsidRDefault="00B26875" w:rsidP="00FC1F5B">
            <w:pPr>
              <w:jc w:val="right"/>
              <w:rPr>
                <w:sz w:val="14"/>
                <w:szCs w:val="14"/>
                <w:lang w:eastAsia="tr-TR"/>
              </w:rPr>
            </w:pPr>
            <w:r w:rsidRPr="00B26875">
              <w:rPr>
                <w:sz w:val="14"/>
                <w:szCs w:val="14"/>
                <w:lang w:eastAsia="tr-TR"/>
              </w:rPr>
              <w:t>-</w:t>
            </w:r>
          </w:p>
        </w:tc>
        <w:tc>
          <w:tcPr>
            <w:tcW w:w="841" w:type="dxa"/>
            <w:tcBorders>
              <w:top w:val="nil"/>
              <w:left w:val="nil"/>
              <w:bottom w:val="nil"/>
              <w:right w:val="nil"/>
            </w:tcBorders>
            <w:shd w:val="clear" w:color="auto" w:fill="auto"/>
            <w:vAlign w:val="bottom"/>
            <w:hideMark/>
          </w:tcPr>
          <w:p w14:paraId="6FB96383"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362B951F"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41049BE8" w14:textId="77777777" w:rsidR="00B26875" w:rsidRPr="00B26875" w:rsidRDefault="00B26875" w:rsidP="00FC1F5B">
            <w:pPr>
              <w:jc w:val="right"/>
              <w:rPr>
                <w:sz w:val="14"/>
                <w:szCs w:val="14"/>
                <w:lang w:eastAsia="tr-TR"/>
              </w:rPr>
            </w:pPr>
            <w:r w:rsidRPr="00B26875">
              <w:rPr>
                <w:sz w:val="14"/>
                <w:szCs w:val="14"/>
                <w:lang w:eastAsia="tr-TR"/>
              </w:rPr>
              <w:t>3,656,288</w:t>
            </w:r>
          </w:p>
        </w:tc>
        <w:tc>
          <w:tcPr>
            <w:tcW w:w="750" w:type="dxa"/>
            <w:tcBorders>
              <w:top w:val="nil"/>
              <w:left w:val="nil"/>
              <w:bottom w:val="nil"/>
              <w:right w:val="nil"/>
            </w:tcBorders>
            <w:shd w:val="clear" w:color="auto" w:fill="auto"/>
            <w:vAlign w:val="bottom"/>
            <w:hideMark/>
          </w:tcPr>
          <w:p w14:paraId="68DDDE5B" w14:textId="77777777" w:rsidR="00B26875" w:rsidRPr="00B26875" w:rsidRDefault="00B26875" w:rsidP="00FC1F5B">
            <w:pPr>
              <w:jc w:val="right"/>
              <w:rPr>
                <w:sz w:val="14"/>
                <w:szCs w:val="14"/>
                <w:lang w:eastAsia="tr-TR"/>
              </w:rPr>
            </w:pPr>
            <w:r w:rsidRPr="00B26875">
              <w:rPr>
                <w:sz w:val="14"/>
                <w:szCs w:val="14"/>
                <w:lang w:eastAsia="tr-TR"/>
              </w:rPr>
              <w:t>2,342,893</w:t>
            </w:r>
          </w:p>
        </w:tc>
        <w:tc>
          <w:tcPr>
            <w:tcW w:w="683" w:type="dxa"/>
            <w:tcBorders>
              <w:top w:val="nil"/>
              <w:left w:val="nil"/>
              <w:bottom w:val="nil"/>
              <w:right w:val="nil"/>
            </w:tcBorders>
            <w:shd w:val="clear" w:color="auto" w:fill="auto"/>
            <w:vAlign w:val="bottom"/>
            <w:hideMark/>
          </w:tcPr>
          <w:p w14:paraId="22A8496A" w14:textId="77777777" w:rsidR="00B26875" w:rsidRPr="00B26875" w:rsidRDefault="00B26875" w:rsidP="00FC1F5B">
            <w:pPr>
              <w:jc w:val="right"/>
              <w:rPr>
                <w:sz w:val="14"/>
                <w:szCs w:val="14"/>
                <w:lang w:eastAsia="tr-TR"/>
              </w:rPr>
            </w:pPr>
            <w:r w:rsidRPr="00B26875">
              <w:rPr>
                <w:sz w:val="14"/>
                <w:szCs w:val="14"/>
                <w:lang w:eastAsia="tr-TR"/>
              </w:rPr>
              <w:t>-</w:t>
            </w:r>
          </w:p>
        </w:tc>
        <w:tc>
          <w:tcPr>
            <w:tcW w:w="991" w:type="dxa"/>
            <w:tcBorders>
              <w:top w:val="nil"/>
              <w:left w:val="nil"/>
              <w:bottom w:val="nil"/>
              <w:right w:val="nil"/>
            </w:tcBorders>
            <w:shd w:val="clear" w:color="auto" w:fill="auto"/>
            <w:vAlign w:val="bottom"/>
            <w:hideMark/>
          </w:tcPr>
          <w:p w14:paraId="2D1520C1" w14:textId="77777777" w:rsidR="00B26875" w:rsidRPr="00B26875" w:rsidRDefault="00B26875" w:rsidP="00FC1F5B">
            <w:pPr>
              <w:jc w:val="right"/>
              <w:rPr>
                <w:sz w:val="14"/>
                <w:szCs w:val="14"/>
                <w:lang w:eastAsia="tr-TR"/>
              </w:rPr>
            </w:pPr>
            <w:r w:rsidRPr="00B26875">
              <w:rPr>
                <w:sz w:val="14"/>
                <w:szCs w:val="14"/>
                <w:lang w:eastAsia="tr-TR"/>
              </w:rPr>
              <w:t>-</w:t>
            </w:r>
          </w:p>
        </w:tc>
        <w:tc>
          <w:tcPr>
            <w:tcW w:w="818" w:type="dxa"/>
            <w:tcBorders>
              <w:top w:val="nil"/>
              <w:left w:val="nil"/>
              <w:bottom w:val="nil"/>
              <w:right w:val="nil"/>
            </w:tcBorders>
            <w:shd w:val="clear" w:color="auto" w:fill="auto"/>
            <w:vAlign w:val="bottom"/>
            <w:hideMark/>
          </w:tcPr>
          <w:p w14:paraId="1E965D43" w14:textId="77777777" w:rsidR="00B26875" w:rsidRPr="00B26875" w:rsidRDefault="00B26875" w:rsidP="00FC1F5B">
            <w:pPr>
              <w:jc w:val="right"/>
              <w:rPr>
                <w:sz w:val="14"/>
                <w:szCs w:val="14"/>
                <w:lang w:eastAsia="tr-TR"/>
              </w:rPr>
            </w:pPr>
            <w:r w:rsidRPr="00B26875">
              <w:rPr>
                <w:sz w:val="14"/>
                <w:szCs w:val="14"/>
                <w:lang w:eastAsia="tr-TR"/>
              </w:rPr>
              <w:t>5,999,181</w:t>
            </w:r>
          </w:p>
        </w:tc>
      </w:tr>
      <w:tr w:rsidR="00B26875" w:rsidRPr="00B26875" w14:paraId="35AB92D0" w14:textId="77777777" w:rsidTr="00FC1F5B">
        <w:trPr>
          <w:divId w:val="945768336"/>
          <w:trHeight w:val="234"/>
        </w:trPr>
        <w:tc>
          <w:tcPr>
            <w:tcW w:w="3062" w:type="dxa"/>
            <w:tcBorders>
              <w:top w:val="nil"/>
              <w:left w:val="nil"/>
              <w:bottom w:val="single" w:sz="8" w:space="0" w:color="auto"/>
              <w:right w:val="nil"/>
            </w:tcBorders>
            <w:shd w:val="clear" w:color="auto" w:fill="auto"/>
            <w:noWrap/>
            <w:vAlign w:val="bottom"/>
            <w:hideMark/>
          </w:tcPr>
          <w:p w14:paraId="4053C223" w14:textId="77777777" w:rsidR="00B26875" w:rsidRPr="00B26875" w:rsidRDefault="00B26875" w:rsidP="00B26875">
            <w:pPr>
              <w:rPr>
                <w:sz w:val="14"/>
                <w:szCs w:val="14"/>
                <w:lang w:eastAsia="tr-TR"/>
              </w:rPr>
            </w:pPr>
            <w:r w:rsidRPr="00B26875">
              <w:rPr>
                <w:sz w:val="14"/>
                <w:szCs w:val="14"/>
                <w:lang w:eastAsia="tr-TR"/>
              </w:rPr>
              <w:t>Diğer varlıklar (***)</w:t>
            </w:r>
          </w:p>
        </w:tc>
        <w:tc>
          <w:tcPr>
            <w:tcW w:w="841" w:type="dxa"/>
            <w:tcBorders>
              <w:top w:val="nil"/>
              <w:left w:val="nil"/>
              <w:bottom w:val="single" w:sz="8" w:space="0" w:color="auto"/>
              <w:right w:val="nil"/>
            </w:tcBorders>
            <w:shd w:val="clear" w:color="auto" w:fill="auto"/>
            <w:vAlign w:val="bottom"/>
            <w:hideMark/>
          </w:tcPr>
          <w:p w14:paraId="684B81D8" w14:textId="77777777" w:rsidR="00B26875" w:rsidRPr="00B26875" w:rsidRDefault="00B26875" w:rsidP="00FC1F5B">
            <w:pPr>
              <w:jc w:val="right"/>
              <w:rPr>
                <w:sz w:val="14"/>
                <w:szCs w:val="14"/>
                <w:lang w:eastAsia="tr-TR"/>
              </w:rPr>
            </w:pPr>
            <w:r w:rsidRPr="00B26875">
              <w:rPr>
                <w:sz w:val="14"/>
                <w:szCs w:val="14"/>
                <w:lang w:eastAsia="tr-TR"/>
              </w:rPr>
              <w:t>287,457</w:t>
            </w:r>
          </w:p>
        </w:tc>
        <w:tc>
          <w:tcPr>
            <w:tcW w:w="841" w:type="dxa"/>
            <w:tcBorders>
              <w:top w:val="nil"/>
              <w:left w:val="nil"/>
              <w:bottom w:val="single" w:sz="8" w:space="0" w:color="auto"/>
              <w:right w:val="nil"/>
            </w:tcBorders>
            <w:shd w:val="clear" w:color="auto" w:fill="auto"/>
            <w:vAlign w:val="bottom"/>
            <w:hideMark/>
          </w:tcPr>
          <w:p w14:paraId="33C12019" w14:textId="77777777" w:rsidR="00B26875" w:rsidRPr="00B26875" w:rsidRDefault="00B26875" w:rsidP="00FC1F5B">
            <w:pPr>
              <w:jc w:val="right"/>
              <w:rPr>
                <w:sz w:val="14"/>
                <w:szCs w:val="14"/>
                <w:lang w:eastAsia="tr-TR"/>
              </w:rPr>
            </w:pPr>
            <w:r w:rsidRPr="00B26875">
              <w:rPr>
                <w:sz w:val="14"/>
                <w:szCs w:val="14"/>
                <w:lang w:eastAsia="tr-TR"/>
              </w:rPr>
              <w:t>1,005,517</w:t>
            </w:r>
          </w:p>
        </w:tc>
        <w:tc>
          <w:tcPr>
            <w:tcW w:w="750" w:type="dxa"/>
            <w:tcBorders>
              <w:top w:val="nil"/>
              <w:left w:val="nil"/>
              <w:bottom w:val="single" w:sz="8" w:space="0" w:color="auto"/>
              <w:right w:val="nil"/>
            </w:tcBorders>
            <w:shd w:val="clear" w:color="auto" w:fill="auto"/>
            <w:vAlign w:val="bottom"/>
            <w:hideMark/>
          </w:tcPr>
          <w:p w14:paraId="12F936C0" w14:textId="77777777" w:rsidR="00B26875" w:rsidRPr="00B26875" w:rsidRDefault="00B26875" w:rsidP="00FC1F5B">
            <w:pPr>
              <w:jc w:val="right"/>
              <w:rPr>
                <w:sz w:val="14"/>
                <w:szCs w:val="14"/>
                <w:lang w:eastAsia="tr-TR"/>
              </w:rPr>
            </w:pPr>
            <w:r w:rsidRPr="00B26875">
              <w:rPr>
                <w:sz w:val="14"/>
                <w:szCs w:val="14"/>
                <w:lang w:eastAsia="tr-TR"/>
              </w:rPr>
              <w:t>5,431</w:t>
            </w:r>
          </w:p>
        </w:tc>
        <w:tc>
          <w:tcPr>
            <w:tcW w:w="750" w:type="dxa"/>
            <w:tcBorders>
              <w:top w:val="nil"/>
              <w:left w:val="nil"/>
              <w:bottom w:val="single" w:sz="8" w:space="0" w:color="auto"/>
              <w:right w:val="nil"/>
            </w:tcBorders>
            <w:shd w:val="clear" w:color="auto" w:fill="auto"/>
            <w:vAlign w:val="bottom"/>
            <w:hideMark/>
          </w:tcPr>
          <w:p w14:paraId="7DB62B27"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single" w:sz="8" w:space="0" w:color="auto"/>
              <w:right w:val="nil"/>
            </w:tcBorders>
            <w:shd w:val="clear" w:color="auto" w:fill="auto"/>
            <w:vAlign w:val="bottom"/>
            <w:hideMark/>
          </w:tcPr>
          <w:p w14:paraId="50A27B57" w14:textId="77777777" w:rsidR="00B26875" w:rsidRPr="00B26875" w:rsidRDefault="00B26875" w:rsidP="00FC1F5B">
            <w:pPr>
              <w:jc w:val="right"/>
              <w:rPr>
                <w:sz w:val="14"/>
                <w:szCs w:val="14"/>
                <w:lang w:eastAsia="tr-TR"/>
              </w:rPr>
            </w:pPr>
            <w:r w:rsidRPr="00B26875">
              <w:rPr>
                <w:sz w:val="14"/>
                <w:szCs w:val="14"/>
                <w:lang w:eastAsia="tr-TR"/>
              </w:rPr>
              <w:t>594,759</w:t>
            </w:r>
          </w:p>
        </w:tc>
        <w:tc>
          <w:tcPr>
            <w:tcW w:w="683" w:type="dxa"/>
            <w:tcBorders>
              <w:top w:val="nil"/>
              <w:left w:val="nil"/>
              <w:bottom w:val="single" w:sz="8" w:space="0" w:color="auto"/>
              <w:right w:val="nil"/>
            </w:tcBorders>
            <w:shd w:val="clear" w:color="auto" w:fill="auto"/>
            <w:vAlign w:val="bottom"/>
            <w:hideMark/>
          </w:tcPr>
          <w:p w14:paraId="0462A255" w14:textId="77777777" w:rsidR="00B26875" w:rsidRPr="00B26875" w:rsidRDefault="00B26875" w:rsidP="00FC1F5B">
            <w:pPr>
              <w:jc w:val="right"/>
              <w:rPr>
                <w:sz w:val="14"/>
                <w:szCs w:val="14"/>
                <w:lang w:eastAsia="tr-TR"/>
              </w:rPr>
            </w:pPr>
            <w:r w:rsidRPr="00B26875">
              <w:rPr>
                <w:sz w:val="14"/>
                <w:szCs w:val="14"/>
                <w:lang w:eastAsia="tr-TR"/>
              </w:rPr>
              <w:t>-</w:t>
            </w:r>
          </w:p>
        </w:tc>
        <w:tc>
          <w:tcPr>
            <w:tcW w:w="991" w:type="dxa"/>
            <w:tcBorders>
              <w:top w:val="nil"/>
              <w:left w:val="nil"/>
              <w:bottom w:val="single" w:sz="8" w:space="0" w:color="auto"/>
              <w:right w:val="nil"/>
            </w:tcBorders>
            <w:shd w:val="clear" w:color="auto" w:fill="auto"/>
            <w:vAlign w:val="bottom"/>
            <w:hideMark/>
          </w:tcPr>
          <w:p w14:paraId="56FA55AB" w14:textId="77777777" w:rsidR="00B26875" w:rsidRPr="00B26875" w:rsidRDefault="00B26875" w:rsidP="00FC1F5B">
            <w:pPr>
              <w:jc w:val="right"/>
              <w:rPr>
                <w:sz w:val="14"/>
                <w:szCs w:val="14"/>
                <w:lang w:eastAsia="tr-TR"/>
              </w:rPr>
            </w:pPr>
            <w:r w:rsidRPr="00B26875">
              <w:rPr>
                <w:sz w:val="14"/>
                <w:szCs w:val="14"/>
                <w:lang w:eastAsia="tr-TR"/>
              </w:rPr>
              <w:t>4,941,017</w:t>
            </w:r>
          </w:p>
        </w:tc>
        <w:tc>
          <w:tcPr>
            <w:tcW w:w="818" w:type="dxa"/>
            <w:tcBorders>
              <w:top w:val="nil"/>
              <w:left w:val="nil"/>
              <w:bottom w:val="single" w:sz="8" w:space="0" w:color="auto"/>
              <w:right w:val="nil"/>
            </w:tcBorders>
            <w:shd w:val="clear" w:color="auto" w:fill="auto"/>
            <w:vAlign w:val="bottom"/>
            <w:hideMark/>
          </w:tcPr>
          <w:p w14:paraId="5CB56333" w14:textId="77777777" w:rsidR="00B26875" w:rsidRPr="00B26875" w:rsidRDefault="00B26875" w:rsidP="00FC1F5B">
            <w:pPr>
              <w:jc w:val="right"/>
              <w:rPr>
                <w:sz w:val="14"/>
                <w:szCs w:val="14"/>
                <w:lang w:eastAsia="tr-TR"/>
              </w:rPr>
            </w:pPr>
            <w:r w:rsidRPr="00B26875">
              <w:rPr>
                <w:sz w:val="14"/>
                <w:szCs w:val="14"/>
                <w:lang w:eastAsia="tr-TR"/>
              </w:rPr>
              <w:t>6,834,181</w:t>
            </w:r>
          </w:p>
        </w:tc>
      </w:tr>
      <w:tr w:rsidR="00B26875" w:rsidRPr="00B26875" w14:paraId="30024BE2" w14:textId="77777777" w:rsidTr="00B26875">
        <w:trPr>
          <w:divId w:val="945768336"/>
          <w:trHeight w:val="234"/>
        </w:trPr>
        <w:tc>
          <w:tcPr>
            <w:tcW w:w="3062" w:type="dxa"/>
            <w:tcBorders>
              <w:top w:val="nil"/>
              <w:left w:val="nil"/>
              <w:bottom w:val="single" w:sz="8" w:space="0" w:color="auto"/>
              <w:right w:val="nil"/>
            </w:tcBorders>
            <w:shd w:val="clear" w:color="auto" w:fill="auto"/>
            <w:vAlign w:val="center"/>
            <w:hideMark/>
          </w:tcPr>
          <w:p w14:paraId="122C1600" w14:textId="77777777" w:rsidR="00B26875" w:rsidRPr="00B26875" w:rsidRDefault="00B26875" w:rsidP="00B26875">
            <w:pPr>
              <w:jc w:val="both"/>
              <w:rPr>
                <w:b/>
                <w:bCs/>
                <w:sz w:val="14"/>
                <w:szCs w:val="14"/>
                <w:lang w:eastAsia="tr-TR"/>
              </w:rPr>
            </w:pPr>
            <w:r w:rsidRPr="00B26875">
              <w:rPr>
                <w:b/>
                <w:bCs/>
                <w:sz w:val="14"/>
                <w:szCs w:val="14"/>
                <w:lang w:eastAsia="tr-TR"/>
              </w:rPr>
              <w:t>Toplam Varlıklar</w:t>
            </w:r>
          </w:p>
        </w:tc>
        <w:tc>
          <w:tcPr>
            <w:tcW w:w="841" w:type="dxa"/>
            <w:tcBorders>
              <w:top w:val="nil"/>
              <w:left w:val="nil"/>
              <w:bottom w:val="single" w:sz="8" w:space="0" w:color="auto"/>
              <w:right w:val="nil"/>
            </w:tcBorders>
            <w:shd w:val="clear" w:color="auto" w:fill="auto"/>
            <w:vAlign w:val="center"/>
            <w:hideMark/>
          </w:tcPr>
          <w:p w14:paraId="4054A8B6" w14:textId="77777777" w:rsidR="00B26875" w:rsidRPr="00B26875" w:rsidRDefault="00B26875" w:rsidP="00B26875">
            <w:pPr>
              <w:jc w:val="right"/>
              <w:rPr>
                <w:b/>
                <w:bCs/>
                <w:sz w:val="14"/>
                <w:szCs w:val="14"/>
                <w:lang w:eastAsia="tr-TR"/>
              </w:rPr>
            </w:pPr>
            <w:r w:rsidRPr="00B26875">
              <w:rPr>
                <w:b/>
                <w:bCs/>
                <w:sz w:val="14"/>
                <w:szCs w:val="14"/>
                <w:lang w:eastAsia="tr-TR"/>
              </w:rPr>
              <w:t>9,323,367</w:t>
            </w:r>
          </w:p>
        </w:tc>
        <w:tc>
          <w:tcPr>
            <w:tcW w:w="841" w:type="dxa"/>
            <w:tcBorders>
              <w:top w:val="nil"/>
              <w:left w:val="nil"/>
              <w:bottom w:val="single" w:sz="8" w:space="0" w:color="auto"/>
              <w:right w:val="nil"/>
            </w:tcBorders>
            <w:shd w:val="clear" w:color="auto" w:fill="auto"/>
            <w:vAlign w:val="center"/>
            <w:hideMark/>
          </w:tcPr>
          <w:p w14:paraId="0AD91620" w14:textId="77777777" w:rsidR="00B26875" w:rsidRPr="00B26875" w:rsidRDefault="00B26875" w:rsidP="00B26875">
            <w:pPr>
              <w:jc w:val="right"/>
              <w:rPr>
                <w:b/>
                <w:bCs/>
                <w:sz w:val="14"/>
                <w:szCs w:val="14"/>
                <w:lang w:eastAsia="tr-TR"/>
              </w:rPr>
            </w:pPr>
            <w:r w:rsidRPr="00B26875">
              <w:rPr>
                <w:b/>
                <w:bCs/>
                <w:sz w:val="14"/>
                <w:szCs w:val="14"/>
                <w:lang w:eastAsia="tr-TR"/>
              </w:rPr>
              <w:t>39,824,531</w:t>
            </w:r>
          </w:p>
        </w:tc>
        <w:tc>
          <w:tcPr>
            <w:tcW w:w="750" w:type="dxa"/>
            <w:tcBorders>
              <w:top w:val="nil"/>
              <w:left w:val="nil"/>
              <w:bottom w:val="single" w:sz="8" w:space="0" w:color="auto"/>
              <w:right w:val="nil"/>
            </w:tcBorders>
            <w:shd w:val="clear" w:color="auto" w:fill="auto"/>
            <w:vAlign w:val="center"/>
            <w:hideMark/>
          </w:tcPr>
          <w:p w14:paraId="45329275" w14:textId="77777777" w:rsidR="00B26875" w:rsidRPr="00B26875" w:rsidRDefault="00B26875" w:rsidP="00B26875">
            <w:pPr>
              <w:jc w:val="right"/>
              <w:rPr>
                <w:b/>
                <w:bCs/>
                <w:sz w:val="14"/>
                <w:szCs w:val="14"/>
                <w:lang w:eastAsia="tr-TR"/>
              </w:rPr>
            </w:pPr>
            <w:r w:rsidRPr="00B26875">
              <w:rPr>
                <w:b/>
                <w:bCs/>
                <w:sz w:val="14"/>
                <w:szCs w:val="14"/>
                <w:lang w:eastAsia="tr-TR"/>
              </w:rPr>
              <w:t>12,573,049</w:t>
            </w:r>
          </w:p>
        </w:tc>
        <w:tc>
          <w:tcPr>
            <w:tcW w:w="750" w:type="dxa"/>
            <w:tcBorders>
              <w:top w:val="nil"/>
              <w:left w:val="nil"/>
              <w:bottom w:val="single" w:sz="8" w:space="0" w:color="auto"/>
              <w:right w:val="nil"/>
            </w:tcBorders>
            <w:shd w:val="clear" w:color="auto" w:fill="auto"/>
            <w:vAlign w:val="center"/>
            <w:hideMark/>
          </w:tcPr>
          <w:p w14:paraId="40295B42" w14:textId="77777777" w:rsidR="00B26875" w:rsidRPr="00B26875" w:rsidRDefault="00B26875" w:rsidP="00B26875">
            <w:pPr>
              <w:jc w:val="right"/>
              <w:rPr>
                <w:b/>
                <w:bCs/>
                <w:sz w:val="14"/>
                <w:szCs w:val="14"/>
                <w:lang w:eastAsia="tr-TR"/>
              </w:rPr>
            </w:pPr>
            <w:r w:rsidRPr="00B26875">
              <w:rPr>
                <w:b/>
                <w:bCs/>
                <w:sz w:val="14"/>
                <w:szCs w:val="14"/>
                <w:lang w:eastAsia="tr-TR"/>
              </w:rPr>
              <w:t>40,421,685</w:t>
            </w:r>
          </w:p>
        </w:tc>
        <w:tc>
          <w:tcPr>
            <w:tcW w:w="750" w:type="dxa"/>
            <w:tcBorders>
              <w:top w:val="nil"/>
              <w:left w:val="nil"/>
              <w:bottom w:val="single" w:sz="8" w:space="0" w:color="auto"/>
              <w:right w:val="nil"/>
            </w:tcBorders>
            <w:shd w:val="clear" w:color="auto" w:fill="auto"/>
            <w:vAlign w:val="center"/>
            <w:hideMark/>
          </w:tcPr>
          <w:p w14:paraId="0D9EDB21" w14:textId="77777777" w:rsidR="00B26875" w:rsidRPr="00B26875" w:rsidRDefault="00B26875" w:rsidP="00B26875">
            <w:pPr>
              <w:jc w:val="right"/>
              <w:rPr>
                <w:b/>
                <w:bCs/>
                <w:sz w:val="14"/>
                <w:szCs w:val="14"/>
                <w:lang w:eastAsia="tr-TR"/>
              </w:rPr>
            </w:pPr>
            <w:r w:rsidRPr="00B26875">
              <w:rPr>
                <w:b/>
                <w:bCs/>
                <w:sz w:val="14"/>
                <w:szCs w:val="14"/>
                <w:lang w:eastAsia="tr-TR"/>
              </w:rPr>
              <w:t>44,279,140</w:t>
            </w:r>
          </w:p>
        </w:tc>
        <w:tc>
          <w:tcPr>
            <w:tcW w:w="683" w:type="dxa"/>
            <w:tcBorders>
              <w:top w:val="nil"/>
              <w:left w:val="nil"/>
              <w:bottom w:val="single" w:sz="8" w:space="0" w:color="auto"/>
              <w:right w:val="nil"/>
            </w:tcBorders>
            <w:shd w:val="clear" w:color="auto" w:fill="auto"/>
            <w:vAlign w:val="center"/>
            <w:hideMark/>
          </w:tcPr>
          <w:p w14:paraId="224946E6" w14:textId="77777777" w:rsidR="00B26875" w:rsidRPr="00B26875" w:rsidRDefault="00B26875" w:rsidP="00B26875">
            <w:pPr>
              <w:jc w:val="right"/>
              <w:rPr>
                <w:b/>
                <w:bCs/>
                <w:sz w:val="14"/>
                <w:szCs w:val="14"/>
                <w:lang w:eastAsia="tr-TR"/>
              </w:rPr>
            </w:pPr>
            <w:r w:rsidRPr="00B26875">
              <w:rPr>
                <w:b/>
                <w:bCs/>
                <w:sz w:val="14"/>
                <w:szCs w:val="14"/>
                <w:lang w:eastAsia="tr-TR"/>
              </w:rPr>
              <w:t>4,263,257</w:t>
            </w:r>
          </w:p>
        </w:tc>
        <w:tc>
          <w:tcPr>
            <w:tcW w:w="991" w:type="dxa"/>
            <w:tcBorders>
              <w:top w:val="nil"/>
              <w:left w:val="nil"/>
              <w:bottom w:val="single" w:sz="8" w:space="0" w:color="auto"/>
              <w:right w:val="nil"/>
            </w:tcBorders>
            <w:shd w:val="clear" w:color="auto" w:fill="auto"/>
            <w:vAlign w:val="center"/>
            <w:hideMark/>
          </w:tcPr>
          <w:p w14:paraId="7031AB16" w14:textId="77777777" w:rsidR="00B26875" w:rsidRPr="00B26875" w:rsidRDefault="00B26875" w:rsidP="00B26875">
            <w:pPr>
              <w:jc w:val="right"/>
              <w:rPr>
                <w:b/>
                <w:bCs/>
                <w:sz w:val="14"/>
                <w:szCs w:val="14"/>
                <w:lang w:eastAsia="tr-TR"/>
              </w:rPr>
            </w:pPr>
            <w:r w:rsidRPr="00B26875">
              <w:rPr>
                <w:b/>
                <w:bCs/>
                <w:sz w:val="14"/>
                <w:szCs w:val="14"/>
                <w:lang w:eastAsia="tr-TR"/>
              </w:rPr>
              <w:t>2,434,691</w:t>
            </w:r>
          </w:p>
        </w:tc>
        <w:tc>
          <w:tcPr>
            <w:tcW w:w="818" w:type="dxa"/>
            <w:tcBorders>
              <w:top w:val="nil"/>
              <w:left w:val="nil"/>
              <w:bottom w:val="single" w:sz="8" w:space="0" w:color="auto"/>
              <w:right w:val="nil"/>
            </w:tcBorders>
            <w:shd w:val="clear" w:color="auto" w:fill="auto"/>
            <w:vAlign w:val="center"/>
            <w:hideMark/>
          </w:tcPr>
          <w:p w14:paraId="3C7D5A69" w14:textId="77777777" w:rsidR="00B26875" w:rsidRPr="00B26875" w:rsidRDefault="00B26875" w:rsidP="00B26875">
            <w:pPr>
              <w:jc w:val="right"/>
              <w:rPr>
                <w:b/>
                <w:bCs/>
                <w:sz w:val="14"/>
                <w:szCs w:val="14"/>
                <w:lang w:eastAsia="tr-TR"/>
              </w:rPr>
            </w:pPr>
            <w:r w:rsidRPr="00B26875">
              <w:rPr>
                <w:b/>
                <w:bCs/>
                <w:sz w:val="14"/>
                <w:szCs w:val="14"/>
                <w:lang w:eastAsia="tr-TR"/>
              </w:rPr>
              <w:t>153,119,720</w:t>
            </w:r>
          </w:p>
        </w:tc>
      </w:tr>
      <w:tr w:rsidR="00B26875" w:rsidRPr="00B26875" w14:paraId="0FF51985" w14:textId="77777777" w:rsidTr="00FC1F5B">
        <w:trPr>
          <w:divId w:val="945768336"/>
          <w:trHeight w:val="234"/>
        </w:trPr>
        <w:tc>
          <w:tcPr>
            <w:tcW w:w="3062" w:type="dxa"/>
            <w:tcBorders>
              <w:top w:val="nil"/>
              <w:left w:val="nil"/>
              <w:bottom w:val="nil"/>
              <w:right w:val="nil"/>
            </w:tcBorders>
            <w:shd w:val="clear" w:color="auto" w:fill="auto"/>
            <w:noWrap/>
            <w:vAlign w:val="center"/>
            <w:hideMark/>
          </w:tcPr>
          <w:p w14:paraId="6325D97E" w14:textId="77777777" w:rsidR="00B26875" w:rsidRPr="00B26875" w:rsidRDefault="00B26875" w:rsidP="00B26875">
            <w:pPr>
              <w:jc w:val="both"/>
              <w:rPr>
                <w:sz w:val="14"/>
                <w:szCs w:val="14"/>
                <w:lang w:eastAsia="tr-TR"/>
              </w:rPr>
            </w:pPr>
            <w:r w:rsidRPr="00B26875">
              <w:rPr>
                <w:sz w:val="14"/>
                <w:szCs w:val="14"/>
                <w:lang w:eastAsia="tr-TR"/>
              </w:rPr>
              <w:t>Yükümlülükler</w:t>
            </w:r>
          </w:p>
        </w:tc>
        <w:tc>
          <w:tcPr>
            <w:tcW w:w="841" w:type="dxa"/>
            <w:tcBorders>
              <w:top w:val="nil"/>
              <w:left w:val="nil"/>
              <w:bottom w:val="nil"/>
              <w:right w:val="nil"/>
            </w:tcBorders>
            <w:shd w:val="clear" w:color="auto" w:fill="auto"/>
            <w:vAlign w:val="bottom"/>
            <w:hideMark/>
          </w:tcPr>
          <w:p w14:paraId="3E15A00C" w14:textId="77777777" w:rsidR="00B26875" w:rsidRPr="00B26875" w:rsidRDefault="00B26875" w:rsidP="00FC1F5B">
            <w:pPr>
              <w:jc w:val="right"/>
              <w:rPr>
                <w:b/>
                <w:sz w:val="14"/>
                <w:szCs w:val="14"/>
                <w:lang w:eastAsia="tr-TR"/>
              </w:rPr>
            </w:pPr>
            <w:r w:rsidRPr="00B26875">
              <w:rPr>
                <w:b/>
                <w:sz w:val="14"/>
                <w:szCs w:val="14"/>
                <w:lang w:eastAsia="tr-TR"/>
              </w:rPr>
              <w:t>-</w:t>
            </w:r>
          </w:p>
        </w:tc>
        <w:tc>
          <w:tcPr>
            <w:tcW w:w="841" w:type="dxa"/>
            <w:tcBorders>
              <w:top w:val="nil"/>
              <w:left w:val="nil"/>
              <w:bottom w:val="nil"/>
              <w:right w:val="nil"/>
            </w:tcBorders>
            <w:shd w:val="clear" w:color="auto" w:fill="auto"/>
            <w:vAlign w:val="bottom"/>
            <w:hideMark/>
          </w:tcPr>
          <w:p w14:paraId="5EA9CE10" w14:textId="77777777" w:rsidR="00B26875" w:rsidRPr="00B26875" w:rsidRDefault="00B26875" w:rsidP="00FC1F5B">
            <w:pPr>
              <w:jc w:val="right"/>
              <w:rPr>
                <w:b/>
                <w:sz w:val="14"/>
                <w:szCs w:val="14"/>
                <w:lang w:eastAsia="tr-TR"/>
              </w:rPr>
            </w:pPr>
            <w:r w:rsidRPr="00B26875">
              <w:rPr>
                <w:b/>
                <w:lang w:eastAsia="tr-TR"/>
              </w:rPr>
              <w:t>-</w:t>
            </w:r>
          </w:p>
        </w:tc>
        <w:tc>
          <w:tcPr>
            <w:tcW w:w="750" w:type="dxa"/>
            <w:tcBorders>
              <w:top w:val="nil"/>
              <w:left w:val="nil"/>
              <w:bottom w:val="nil"/>
              <w:right w:val="nil"/>
            </w:tcBorders>
            <w:shd w:val="clear" w:color="auto" w:fill="auto"/>
            <w:vAlign w:val="bottom"/>
            <w:hideMark/>
          </w:tcPr>
          <w:p w14:paraId="3353369F" w14:textId="77777777" w:rsidR="00B26875" w:rsidRPr="00B26875" w:rsidRDefault="00B26875" w:rsidP="00FC1F5B">
            <w:pPr>
              <w:jc w:val="right"/>
              <w:rPr>
                <w:b/>
                <w:sz w:val="14"/>
                <w:szCs w:val="14"/>
                <w:lang w:eastAsia="tr-TR"/>
              </w:rPr>
            </w:pPr>
            <w:r w:rsidRPr="00B26875">
              <w:rPr>
                <w:b/>
                <w:lang w:eastAsia="tr-TR"/>
              </w:rPr>
              <w:t>-</w:t>
            </w:r>
          </w:p>
        </w:tc>
        <w:tc>
          <w:tcPr>
            <w:tcW w:w="750" w:type="dxa"/>
            <w:tcBorders>
              <w:top w:val="nil"/>
              <w:left w:val="nil"/>
              <w:bottom w:val="nil"/>
              <w:right w:val="nil"/>
            </w:tcBorders>
            <w:shd w:val="clear" w:color="auto" w:fill="auto"/>
            <w:vAlign w:val="bottom"/>
            <w:hideMark/>
          </w:tcPr>
          <w:p w14:paraId="1A634070" w14:textId="77777777" w:rsidR="00B26875" w:rsidRPr="00B26875" w:rsidRDefault="00B26875" w:rsidP="00FC1F5B">
            <w:pPr>
              <w:jc w:val="right"/>
              <w:rPr>
                <w:b/>
                <w:sz w:val="14"/>
                <w:szCs w:val="14"/>
                <w:lang w:eastAsia="tr-TR"/>
              </w:rPr>
            </w:pPr>
            <w:r w:rsidRPr="00B26875">
              <w:rPr>
                <w:b/>
                <w:lang w:eastAsia="tr-TR"/>
              </w:rPr>
              <w:t>-</w:t>
            </w:r>
          </w:p>
        </w:tc>
        <w:tc>
          <w:tcPr>
            <w:tcW w:w="750" w:type="dxa"/>
            <w:tcBorders>
              <w:top w:val="nil"/>
              <w:left w:val="nil"/>
              <w:bottom w:val="nil"/>
              <w:right w:val="nil"/>
            </w:tcBorders>
            <w:shd w:val="clear" w:color="auto" w:fill="auto"/>
            <w:vAlign w:val="bottom"/>
            <w:hideMark/>
          </w:tcPr>
          <w:p w14:paraId="6CABD7E2" w14:textId="77777777" w:rsidR="00B26875" w:rsidRPr="00B26875" w:rsidRDefault="00B26875" w:rsidP="00FC1F5B">
            <w:pPr>
              <w:jc w:val="right"/>
              <w:rPr>
                <w:b/>
                <w:sz w:val="14"/>
                <w:szCs w:val="14"/>
                <w:lang w:eastAsia="tr-TR"/>
              </w:rPr>
            </w:pPr>
            <w:r w:rsidRPr="00B26875">
              <w:rPr>
                <w:b/>
                <w:lang w:eastAsia="tr-TR"/>
              </w:rPr>
              <w:t>-</w:t>
            </w:r>
          </w:p>
        </w:tc>
        <w:tc>
          <w:tcPr>
            <w:tcW w:w="683" w:type="dxa"/>
            <w:tcBorders>
              <w:top w:val="nil"/>
              <w:left w:val="nil"/>
              <w:bottom w:val="nil"/>
              <w:right w:val="nil"/>
            </w:tcBorders>
            <w:shd w:val="clear" w:color="auto" w:fill="auto"/>
            <w:vAlign w:val="bottom"/>
            <w:hideMark/>
          </w:tcPr>
          <w:p w14:paraId="1785F915" w14:textId="77777777" w:rsidR="00B26875" w:rsidRPr="00B26875" w:rsidRDefault="00B26875" w:rsidP="00FC1F5B">
            <w:pPr>
              <w:jc w:val="right"/>
              <w:rPr>
                <w:b/>
                <w:sz w:val="14"/>
                <w:szCs w:val="14"/>
                <w:lang w:eastAsia="tr-TR"/>
              </w:rPr>
            </w:pPr>
            <w:r w:rsidRPr="00B26875">
              <w:rPr>
                <w:b/>
                <w:lang w:eastAsia="tr-TR"/>
              </w:rPr>
              <w:t>-</w:t>
            </w:r>
          </w:p>
        </w:tc>
        <w:tc>
          <w:tcPr>
            <w:tcW w:w="991" w:type="dxa"/>
            <w:tcBorders>
              <w:top w:val="nil"/>
              <w:left w:val="nil"/>
              <w:bottom w:val="nil"/>
              <w:right w:val="nil"/>
            </w:tcBorders>
            <w:shd w:val="clear" w:color="auto" w:fill="auto"/>
            <w:vAlign w:val="bottom"/>
            <w:hideMark/>
          </w:tcPr>
          <w:p w14:paraId="09B15766" w14:textId="77777777" w:rsidR="00B26875" w:rsidRPr="00B26875" w:rsidRDefault="00B26875" w:rsidP="00FC1F5B">
            <w:pPr>
              <w:jc w:val="right"/>
              <w:rPr>
                <w:b/>
                <w:sz w:val="14"/>
                <w:szCs w:val="14"/>
                <w:lang w:eastAsia="tr-TR"/>
              </w:rPr>
            </w:pPr>
            <w:r w:rsidRPr="00B26875">
              <w:rPr>
                <w:b/>
                <w:lang w:eastAsia="tr-TR"/>
              </w:rPr>
              <w:t>-</w:t>
            </w:r>
          </w:p>
        </w:tc>
        <w:tc>
          <w:tcPr>
            <w:tcW w:w="818" w:type="dxa"/>
            <w:tcBorders>
              <w:top w:val="nil"/>
              <w:left w:val="nil"/>
              <w:bottom w:val="nil"/>
              <w:right w:val="nil"/>
            </w:tcBorders>
            <w:shd w:val="clear" w:color="auto" w:fill="auto"/>
            <w:vAlign w:val="bottom"/>
            <w:hideMark/>
          </w:tcPr>
          <w:p w14:paraId="7372A371" w14:textId="77777777" w:rsidR="00B26875" w:rsidRPr="00B26875" w:rsidRDefault="00B26875" w:rsidP="00FC1F5B">
            <w:pPr>
              <w:jc w:val="right"/>
              <w:rPr>
                <w:b/>
                <w:sz w:val="14"/>
                <w:szCs w:val="14"/>
                <w:lang w:eastAsia="tr-TR"/>
              </w:rPr>
            </w:pPr>
            <w:r w:rsidRPr="00B26875">
              <w:rPr>
                <w:b/>
                <w:lang w:eastAsia="tr-TR"/>
              </w:rPr>
              <w:t>-</w:t>
            </w:r>
          </w:p>
        </w:tc>
      </w:tr>
      <w:tr w:rsidR="00B26875" w:rsidRPr="00B26875" w14:paraId="285562FE"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48E0B358" w14:textId="77777777" w:rsidR="00B26875" w:rsidRPr="00B26875" w:rsidRDefault="00B26875" w:rsidP="00B26875">
            <w:pPr>
              <w:rPr>
                <w:sz w:val="14"/>
                <w:szCs w:val="14"/>
                <w:lang w:eastAsia="tr-TR"/>
              </w:rPr>
            </w:pPr>
            <w:r w:rsidRPr="00B26875">
              <w:rPr>
                <w:sz w:val="14"/>
                <w:szCs w:val="14"/>
                <w:lang w:eastAsia="tr-TR"/>
              </w:rPr>
              <w:t>Özel cari hesap ve katılma hesapları aracılığı ile bankalardan toplanan fonlar</w:t>
            </w:r>
          </w:p>
        </w:tc>
        <w:tc>
          <w:tcPr>
            <w:tcW w:w="841" w:type="dxa"/>
            <w:tcBorders>
              <w:top w:val="nil"/>
              <w:left w:val="nil"/>
              <w:bottom w:val="nil"/>
              <w:right w:val="nil"/>
            </w:tcBorders>
            <w:shd w:val="clear" w:color="auto" w:fill="auto"/>
            <w:vAlign w:val="bottom"/>
            <w:hideMark/>
          </w:tcPr>
          <w:p w14:paraId="6F4D215D" w14:textId="77777777" w:rsidR="00B26875" w:rsidRPr="00B26875" w:rsidRDefault="00B26875" w:rsidP="00FC1F5B">
            <w:pPr>
              <w:jc w:val="right"/>
              <w:rPr>
                <w:sz w:val="14"/>
                <w:szCs w:val="14"/>
                <w:lang w:eastAsia="tr-TR"/>
              </w:rPr>
            </w:pPr>
            <w:r w:rsidRPr="00B26875">
              <w:rPr>
                <w:sz w:val="14"/>
                <w:szCs w:val="14"/>
                <w:lang w:eastAsia="tr-TR"/>
              </w:rPr>
              <w:t>503,937</w:t>
            </w:r>
          </w:p>
        </w:tc>
        <w:tc>
          <w:tcPr>
            <w:tcW w:w="841" w:type="dxa"/>
            <w:tcBorders>
              <w:top w:val="nil"/>
              <w:left w:val="nil"/>
              <w:bottom w:val="nil"/>
              <w:right w:val="nil"/>
            </w:tcBorders>
            <w:shd w:val="clear" w:color="auto" w:fill="auto"/>
            <w:vAlign w:val="bottom"/>
            <w:hideMark/>
          </w:tcPr>
          <w:p w14:paraId="7D05EA49" w14:textId="77777777" w:rsidR="00B26875" w:rsidRPr="00B26875" w:rsidRDefault="00B26875" w:rsidP="00FC1F5B">
            <w:pPr>
              <w:jc w:val="right"/>
              <w:rPr>
                <w:sz w:val="14"/>
                <w:szCs w:val="14"/>
                <w:lang w:eastAsia="tr-TR"/>
              </w:rPr>
            </w:pPr>
            <w:r w:rsidRPr="00B26875">
              <w:rPr>
                <w:sz w:val="14"/>
                <w:szCs w:val="14"/>
                <w:lang w:eastAsia="tr-TR"/>
              </w:rPr>
              <w:t>10,141</w:t>
            </w:r>
          </w:p>
        </w:tc>
        <w:tc>
          <w:tcPr>
            <w:tcW w:w="750" w:type="dxa"/>
            <w:tcBorders>
              <w:top w:val="nil"/>
              <w:left w:val="nil"/>
              <w:bottom w:val="nil"/>
              <w:right w:val="nil"/>
            </w:tcBorders>
            <w:shd w:val="clear" w:color="auto" w:fill="auto"/>
            <w:vAlign w:val="bottom"/>
            <w:hideMark/>
          </w:tcPr>
          <w:p w14:paraId="66F9FC50"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1F516467"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10858702" w14:textId="77777777" w:rsidR="00B26875" w:rsidRPr="00B26875" w:rsidRDefault="00B26875" w:rsidP="00FC1F5B">
            <w:pPr>
              <w:jc w:val="right"/>
              <w:rPr>
                <w:sz w:val="14"/>
                <w:szCs w:val="14"/>
                <w:lang w:eastAsia="tr-TR"/>
              </w:rPr>
            </w:pPr>
            <w:r w:rsidRPr="00B26875">
              <w:rPr>
                <w:sz w:val="14"/>
                <w:szCs w:val="14"/>
                <w:lang w:eastAsia="tr-TR"/>
              </w:rPr>
              <w:t>-</w:t>
            </w:r>
          </w:p>
        </w:tc>
        <w:tc>
          <w:tcPr>
            <w:tcW w:w="683" w:type="dxa"/>
            <w:tcBorders>
              <w:top w:val="nil"/>
              <w:left w:val="nil"/>
              <w:bottom w:val="nil"/>
              <w:right w:val="nil"/>
            </w:tcBorders>
            <w:shd w:val="clear" w:color="auto" w:fill="auto"/>
            <w:vAlign w:val="bottom"/>
            <w:hideMark/>
          </w:tcPr>
          <w:p w14:paraId="6D99050E" w14:textId="77777777" w:rsidR="00B26875" w:rsidRPr="00B26875" w:rsidRDefault="00B26875" w:rsidP="00FC1F5B">
            <w:pPr>
              <w:jc w:val="right"/>
              <w:rPr>
                <w:sz w:val="14"/>
                <w:szCs w:val="14"/>
                <w:lang w:eastAsia="tr-TR"/>
              </w:rPr>
            </w:pPr>
            <w:r w:rsidRPr="00B26875">
              <w:rPr>
                <w:sz w:val="14"/>
                <w:szCs w:val="14"/>
                <w:lang w:eastAsia="tr-TR"/>
              </w:rPr>
              <w:t>-</w:t>
            </w:r>
          </w:p>
        </w:tc>
        <w:tc>
          <w:tcPr>
            <w:tcW w:w="991" w:type="dxa"/>
            <w:tcBorders>
              <w:top w:val="nil"/>
              <w:left w:val="nil"/>
              <w:bottom w:val="nil"/>
              <w:right w:val="nil"/>
            </w:tcBorders>
            <w:shd w:val="clear" w:color="auto" w:fill="auto"/>
            <w:vAlign w:val="bottom"/>
            <w:hideMark/>
          </w:tcPr>
          <w:p w14:paraId="2263E62B" w14:textId="77777777" w:rsidR="00B26875" w:rsidRPr="00B26875" w:rsidRDefault="00B26875" w:rsidP="00FC1F5B">
            <w:pPr>
              <w:jc w:val="right"/>
              <w:rPr>
                <w:sz w:val="14"/>
                <w:szCs w:val="14"/>
                <w:lang w:eastAsia="tr-TR"/>
              </w:rPr>
            </w:pPr>
            <w:r w:rsidRPr="00B26875">
              <w:rPr>
                <w:sz w:val="14"/>
                <w:szCs w:val="14"/>
                <w:lang w:eastAsia="tr-TR"/>
              </w:rPr>
              <w:t>-</w:t>
            </w:r>
          </w:p>
        </w:tc>
        <w:tc>
          <w:tcPr>
            <w:tcW w:w="818" w:type="dxa"/>
            <w:tcBorders>
              <w:top w:val="nil"/>
              <w:left w:val="nil"/>
              <w:bottom w:val="nil"/>
              <w:right w:val="nil"/>
            </w:tcBorders>
            <w:shd w:val="clear" w:color="auto" w:fill="auto"/>
            <w:vAlign w:val="bottom"/>
            <w:hideMark/>
          </w:tcPr>
          <w:p w14:paraId="6D81D1AA" w14:textId="77777777" w:rsidR="00B26875" w:rsidRPr="00B26875" w:rsidRDefault="00B26875" w:rsidP="00FC1F5B">
            <w:pPr>
              <w:jc w:val="right"/>
              <w:rPr>
                <w:sz w:val="14"/>
                <w:szCs w:val="14"/>
                <w:lang w:eastAsia="tr-TR"/>
              </w:rPr>
            </w:pPr>
            <w:r w:rsidRPr="00B26875">
              <w:rPr>
                <w:sz w:val="14"/>
                <w:szCs w:val="14"/>
                <w:lang w:eastAsia="tr-TR"/>
              </w:rPr>
              <w:t>514,078</w:t>
            </w:r>
          </w:p>
        </w:tc>
      </w:tr>
      <w:tr w:rsidR="00B26875" w:rsidRPr="00B26875" w14:paraId="4C18EA64"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6EC3640A" w14:textId="77777777" w:rsidR="00B26875" w:rsidRPr="00B26875" w:rsidRDefault="00B26875" w:rsidP="00B26875">
            <w:pPr>
              <w:rPr>
                <w:sz w:val="14"/>
                <w:szCs w:val="14"/>
                <w:lang w:eastAsia="tr-TR"/>
              </w:rPr>
            </w:pPr>
            <w:r w:rsidRPr="00B26875">
              <w:rPr>
                <w:sz w:val="14"/>
                <w:szCs w:val="14"/>
                <w:lang w:eastAsia="tr-TR"/>
              </w:rPr>
              <w:t>Diğer özel cari hesap ve katılma hesapları</w:t>
            </w:r>
          </w:p>
        </w:tc>
        <w:tc>
          <w:tcPr>
            <w:tcW w:w="841" w:type="dxa"/>
            <w:tcBorders>
              <w:top w:val="nil"/>
              <w:left w:val="nil"/>
              <w:bottom w:val="nil"/>
              <w:right w:val="nil"/>
            </w:tcBorders>
            <w:shd w:val="clear" w:color="auto" w:fill="auto"/>
            <w:vAlign w:val="bottom"/>
            <w:hideMark/>
          </w:tcPr>
          <w:p w14:paraId="58E1D58F" w14:textId="77777777" w:rsidR="00B26875" w:rsidRPr="00B26875" w:rsidRDefault="00B26875" w:rsidP="00FC1F5B">
            <w:pPr>
              <w:jc w:val="right"/>
              <w:rPr>
                <w:sz w:val="14"/>
                <w:szCs w:val="14"/>
                <w:lang w:eastAsia="tr-TR"/>
              </w:rPr>
            </w:pPr>
            <w:r w:rsidRPr="00B26875">
              <w:rPr>
                <w:sz w:val="14"/>
                <w:szCs w:val="14"/>
                <w:lang w:eastAsia="tr-TR"/>
              </w:rPr>
              <w:t>67,060,087</w:t>
            </w:r>
          </w:p>
        </w:tc>
        <w:tc>
          <w:tcPr>
            <w:tcW w:w="841" w:type="dxa"/>
            <w:tcBorders>
              <w:top w:val="nil"/>
              <w:left w:val="nil"/>
              <w:bottom w:val="nil"/>
              <w:right w:val="nil"/>
            </w:tcBorders>
            <w:shd w:val="clear" w:color="auto" w:fill="auto"/>
            <w:vAlign w:val="bottom"/>
            <w:hideMark/>
          </w:tcPr>
          <w:p w14:paraId="6ACAA796" w14:textId="77777777" w:rsidR="00B26875" w:rsidRPr="00B26875" w:rsidRDefault="00B26875" w:rsidP="00FC1F5B">
            <w:pPr>
              <w:jc w:val="right"/>
              <w:rPr>
                <w:sz w:val="14"/>
                <w:szCs w:val="14"/>
                <w:lang w:eastAsia="tr-TR"/>
              </w:rPr>
            </w:pPr>
            <w:r w:rsidRPr="00B26875">
              <w:rPr>
                <w:sz w:val="14"/>
                <w:szCs w:val="14"/>
                <w:lang w:eastAsia="tr-TR"/>
              </w:rPr>
              <w:t>40,091,973</w:t>
            </w:r>
          </w:p>
        </w:tc>
        <w:tc>
          <w:tcPr>
            <w:tcW w:w="750" w:type="dxa"/>
            <w:tcBorders>
              <w:top w:val="nil"/>
              <w:left w:val="nil"/>
              <w:bottom w:val="nil"/>
              <w:right w:val="nil"/>
            </w:tcBorders>
            <w:shd w:val="clear" w:color="auto" w:fill="auto"/>
            <w:vAlign w:val="bottom"/>
            <w:hideMark/>
          </w:tcPr>
          <w:p w14:paraId="7B8C211F" w14:textId="77777777" w:rsidR="00B26875" w:rsidRPr="00B26875" w:rsidRDefault="00B26875" w:rsidP="00FC1F5B">
            <w:pPr>
              <w:jc w:val="right"/>
              <w:rPr>
                <w:sz w:val="14"/>
                <w:szCs w:val="14"/>
                <w:lang w:eastAsia="tr-TR"/>
              </w:rPr>
            </w:pPr>
            <w:r w:rsidRPr="00B26875">
              <w:rPr>
                <w:sz w:val="14"/>
                <w:szCs w:val="14"/>
                <w:lang w:eastAsia="tr-TR"/>
              </w:rPr>
              <w:t>7,316,741</w:t>
            </w:r>
          </w:p>
        </w:tc>
        <w:tc>
          <w:tcPr>
            <w:tcW w:w="750" w:type="dxa"/>
            <w:tcBorders>
              <w:top w:val="nil"/>
              <w:left w:val="nil"/>
              <w:bottom w:val="nil"/>
              <w:right w:val="nil"/>
            </w:tcBorders>
            <w:shd w:val="clear" w:color="auto" w:fill="auto"/>
            <w:vAlign w:val="bottom"/>
            <w:hideMark/>
          </w:tcPr>
          <w:p w14:paraId="49DF9760" w14:textId="77777777" w:rsidR="00B26875" w:rsidRPr="00B26875" w:rsidRDefault="00B26875" w:rsidP="00FC1F5B">
            <w:pPr>
              <w:jc w:val="right"/>
              <w:rPr>
                <w:sz w:val="14"/>
                <w:szCs w:val="14"/>
                <w:lang w:eastAsia="tr-TR"/>
              </w:rPr>
            </w:pPr>
            <w:r w:rsidRPr="00B26875">
              <w:rPr>
                <w:sz w:val="14"/>
                <w:szCs w:val="14"/>
                <w:lang w:eastAsia="tr-TR"/>
              </w:rPr>
              <w:t>4,247,401</w:t>
            </w:r>
          </w:p>
        </w:tc>
        <w:tc>
          <w:tcPr>
            <w:tcW w:w="750" w:type="dxa"/>
            <w:tcBorders>
              <w:top w:val="nil"/>
              <w:left w:val="nil"/>
              <w:bottom w:val="nil"/>
              <w:right w:val="nil"/>
            </w:tcBorders>
            <w:shd w:val="clear" w:color="auto" w:fill="auto"/>
            <w:vAlign w:val="bottom"/>
            <w:hideMark/>
          </w:tcPr>
          <w:p w14:paraId="21BF141F" w14:textId="77777777" w:rsidR="00B26875" w:rsidRPr="00B26875" w:rsidRDefault="00B26875" w:rsidP="00FC1F5B">
            <w:pPr>
              <w:jc w:val="right"/>
              <w:rPr>
                <w:sz w:val="14"/>
                <w:szCs w:val="14"/>
                <w:lang w:eastAsia="tr-TR"/>
              </w:rPr>
            </w:pPr>
            <w:r w:rsidRPr="00B26875">
              <w:rPr>
                <w:sz w:val="14"/>
                <w:szCs w:val="14"/>
                <w:lang w:eastAsia="tr-TR"/>
              </w:rPr>
              <w:t>108,009</w:t>
            </w:r>
          </w:p>
        </w:tc>
        <w:tc>
          <w:tcPr>
            <w:tcW w:w="683" w:type="dxa"/>
            <w:tcBorders>
              <w:top w:val="nil"/>
              <w:left w:val="nil"/>
              <w:bottom w:val="nil"/>
              <w:right w:val="nil"/>
            </w:tcBorders>
            <w:shd w:val="clear" w:color="auto" w:fill="auto"/>
            <w:vAlign w:val="bottom"/>
            <w:hideMark/>
          </w:tcPr>
          <w:p w14:paraId="3A739F5C" w14:textId="77777777" w:rsidR="00B26875" w:rsidRPr="00B26875" w:rsidRDefault="00B26875" w:rsidP="00FC1F5B">
            <w:pPr>
              <w:jc w:val="right"/>
              <w:rPr>
                <w:sz w:val="14"/>
                <w:szCs w:val="14"/>
                <w:lang w:eastAsia="tr-TR"/>
              </w:rPr>
            </w:pPr>
            <w:r w:rsidRPr="00B26875">
              <w:rPr>
                <w:sz w:val="14"/>
                <w:szCs w:val="14"/>
                <w:lang w:eastAsia="tr-TR"/>
              </w:rPr>
              <w:t>1,860</w:t>
            </w:r>
          </w:p>
        </w:tc>
        <w:tc>
          <w:tcPr>
            <w:tcW w:w="991" w:type="dxa"/>
            <w:tcBorders>
              <w:top w:val="nil"/>
              <w:left w:val="nil"/>
              <w:bottom w:val="nil"/>
              <w:right w:val="nil"/>
            </w:tcBorders>
            <w:shd w:val="clear" w:color="auto" w:fill="auto"/>
            <w:vAlign w:val="bottom"/>
            <w:hideMark/>
          </w:tcPr>
          <w:p w14:paraId="00B56BCF" w14:textId="77777777" w:rsidR="00B26875" w:rsidRPr="00B26875" w:rsidRDefault="00B26875" w:rsidP="00FC1F5B">
            <w:pPr>
              <w:jc w:val="right"/>
              <w:rPr>
                <w:sz w:val="14"/>
                <w:szCs w:val="14"/>
                <w:lang w:eastAsia="tr-TR"/>
              </w:rPr>
            </w:pPr>
            <w:r w:rsidRPr="00B26875">
              <w:rPr>
                <w:sz w:val="14"/>
                <w:szCs w:val="14"/>
                <w:lang w:eastAsia="tr-TR"/>
              </w:rPr>
              <w:t>-</w:t>
            </w:r>
          </w:p>
        </w:tc>
        <w:tc>
          <w:tcPr>
            <w:tcW w:w="818" w:type="dxa"/>
            <w:tcBorders>
              <w:top w:val="nil"/>
              <w:left w:val="nil"/>
              <w:bottom w:val="nil"/>
              <w:right w:val="nil"/>
            </w:tcBorders>
            <w:shd w:val="clear" w:color="auto" w:fill="auto"/>
            <w:vAlign w:val="bottom"/>
            <w:hideMark/>
          </w:tcPr>
          <w:p w14:paraId="4AF5A071" w14:textId="77777777" w:rsidR="00B26875" w:rsidRPr="00B26875" w:rsidRDefault="00B26875" w:rsidP="00FC1F5B">
            <w:pPr>
              <w:jc w:val="right"/>
              <w:rPr>
                <w:sz w:val="14"/>
                <w:szCs w:val="14"/>
                <w:lang w:eastAsia="tr-TR"/>
              </w:rPr>
            </w:pPr>
            <w:r w:rsidRPr="00B26875">
              <w:rPr>
                <w:sz w:val="14"/>
                <w:szCs w:val="14"/>
                <w:lang w:eastAsia="tr-TR"/>
              </w:rPr>
              <w:t>118,826,071</w:t>
            </w:r>
          </w:p>
        </w:tc>
      </w:tr>
      <w:tr w:rsidR="00B26875" w:rsidRPr="00B26875" w14:paraId="7E1128F2"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72E4CD60" w14:textId="77777777" w:rsidR="00B26875" w:rsidRPr="00B26875" w:rsidRDefault="00B26875" w:rsidP="00B26875">
            <w:pPr>
              <w:rPr>
                <w:sz w:val="14"/>
                <w:szCs w:val="14"/>
                <w:lang w:eastAsia="tr-TR"/>
              </w:rPr>
            </w:pPr>
            <w:r w:rsidRPr="00B26875">
              <w:rPr>
                <w:sz w:val="14"/>
                <w:szCs w:val="14"/>
                <w:lang w:eastAsia="tr-TR"/>
              </w:rPr>
              <w:t>Diğer mali kuruluşlardan sağlanan fonlar</w:t>
            </w:r>
          </w:p>
        </w:tc>
        <w:tc>
          <w:tcPr>
            <w:tcW w:w="841" w:type="dxa"/>
            <w:tcBorders>
              <w:top w:val="nil"/>
              <w:left w:val="nil"/>
              <w:bottom w:val="nil"/>
              <w:right w:val="nil"/>
            </w:tcBorders>
            <w:shd w:val="clear" w:color="auto" w:fill="auto"/>
            <w:vAlign w:val="bottom"/>
            <w:hideMark/>
          </w:tcPr>
          <w:p w14:paraId="4EA7CDEA" w14:textId="77777777" w:rsidR="00B26875" w:rsidRPr="00B26875" w:rsidRDefault="00B26875" w:rsidP="00FC1F5B">
            <w:pPr>
              <w:jc w:val="right"/>
              <w:rPr>
                <w:sz w:val="14"/>
                <w:szCs w:val="14"/>
                <w:lang w:eastAsia="tr-TR"/>
              </w:rPr>
            </w:pPr>
            <w:r w:rsidRPr="00B26875">
              <w:rPr>
                <w:sz w:val="14"/>
                <w:szCs w:val="14"/>
                <w:lang w:eastAsia="tr-TR"/>
              </w:rPr>
              <w:t>-</w:t>
            </w:r>
          </w:p>
        </w:tc>
        <w:tc>
          <w:tcPr>
            <w:tcW w:w="841" w:type="dxa"/>
            <w:tcBorders>
              <w:top w:val="nil"/>
              <w:left w:val="nil"/>
              <w:bottom w:val="nil"/>
              <w:right w:val="nil"/>
            </w:tcBorders>
            <w:shd w:val="clear" w:color="auto" w:fill="auto"/>
            <w:vAlign w:val="bottom"/>
            <w:hideMark/>
          </w:tcPr>
          <w:p w14:paraId="16937588" w14:textId="77777777" w:rsidR="00B26875" w:rsidRPr="00B26875" w:rsidRDefault="00B26875" w:rsidP="00FC1F5B">
            <w:pPr>
              <w:jc w:val="right"/>
              <w:rPr>
                <w:sz w:val="14"/>
                <w:szCs w:val="14"/>
                <w:lang w:eastAsia="tr-TR"/>
              </w:rPr>
            </w:pPr>
            <w:r w:rsidRPr="00B26875">
              <w:rPr>
                <w:sz w:val="14"/>
                <w:szCs w:val="14"/>
                <w:lang w:eastAsia="tr-TR"/>
              </w:rPr>
              <w:t>1,116,204</w:t>
            </w:r>
          </w:p>
        </w:tc>
        <w:tc>
          <w:tcPr>
            <w:tcW w:w="750" w:type="dxa"/>
            <w:tcBorders>
              <w:top w:val="nil"/>
              <w:left w:val="nil"/>
              <w:bottom w:val="nil"/>
              <w:right w:val="nil"/>
            </w:tcBorders>
            <w:shd w:val="clear" w:color="auto" w:fill="auto"/>
            <w:vAlign w:val="bottom"/>
            <w:hideMark/>
          </w:tcPr>
          <w:p w14:paraId="3210AEFC" w14:textId="77777777" w:rsidR="00B26875" w:rsidRPr="00B26875" w:rsidRDefault="00B26875" w:rsidP="00FC1F5B">
            <w:pPr>
              <w:jc w:val="right"/>
              <w:rPr>
                <w:sz w:val="14"/>
                <w:szCs w:val="14"/>
                <w:lang w:eastAsia="tr-TR"/>
              </w:rPr>
            </w:pPr>
            <w:r w:rsidRPr="00B26875">
              <w:rPr>
                <w:sz w:val="14"/>
                <w:szCs w:val="14"/>
                <w:lang w:eastAsia="tr-TR"/>
              </w:rPr>
              <w:t>586,090</w:t>
            </w:r>
          </w:p>
        </w:tc>
        <w:tc>
          <w:tcPr>
            <w:tcW w:w="750" w:type="dxa"/>
            <w:tcBorders>
              <w:top w:val="nil"/>
              <w:left w:val="nil"/>
              <w:bottom w:val="nil"/>
              <w:right w:val="nil"/>
            </w:tcBorders>
            <w:shd w:val="clear" w:color="auto" w:fill="auto"/>
            <w:vAlign w:val="bottom"/>
            <w:hideMark/>
          </w:tcPr>
          <w:p w14:paraId="4515C573" w14:textId="77777777" w:rsidR="00B26875" w:rsidRPr="00B26875" w:rsidRDefault="00B26875" w:rsidP="00FC1F5B">
            <w:pPr>
              <w:jc w:val="right"/>
              <w:rPr>
                <w:sz w:val="14"/>
                <w:szCs w:val="14"/>
                <w:lang w:eastAsia="tr-TR"/>
              </w:rPr>
            </w:pPr>
            <w:r w:rsidRPr="00B26875">
              <w:rPr>
                <w:sz w:val="14"/>
                <w:szCs w:val="14"/>
                <w:lang w:eastAsia="tr-TR"/>
              </w:rPr>
              <w:t>3,369,759</w:t>
            </w:r>
          </w:p>
        </w:tc>
        <w:tc>
          <w:tcPr>
            <w:tcW w:w="750" w:type="dxa"/>
            <w:tcBorders>
              <w:top w:val="nil"/>
              <w:left w:val="nil"/>
              <w:bottom w:val="nil"/>
              <w:right w:val="nil"/>
            </w:tcBorders>
            <w:shd w:val="clear" w:color="auto" w:fill="auto"/>
            <w:vAlign w:val="bottom"/>
            <w:hideMark/>
          </w:tcPr>
          <w:p w14:paraId="6F44A6B0" w14:textId="77777777" w:rsidR="00B26875" w:rsidRPr="00B26875" w:rsidRDefault="00B26875" w:rsidP="00FC1F5B">
            <w:pPr>
              <w:jc w:val="right"/>
              <w:rPr>
                <w:sz w:val="14"/>
                <w:szCs w:val="14"/>
                <w:lang w:eastAsia="tr-TR"/>
              </w:rPr>
            </w:pPr>
            <w:r w:rsidRPr="00B26875">
              <w:rPr>
                <w:sz w:val="14"/>
                <w:szCs w:val="14"/>
                <w:lang w:eastAsia="tr-TR"/>
              </w:rPr>
              <w:t>5,749,722</w:t>
            </w:r>
          </w:p>
        </w:tc>
        <w:tc>
          <w:tcPr>
            <w:tcW w:w="683" w:type="dxa"/>
            <w:tcBorders>
              <w:top w:val="nil"/>
              <w:left w:val="nil"/>
              <w:bottom w:val="nil"/>
              <w:right w:val="nil"/>
            </w:tcBorders>
            <w:shd w:val="clear" w:color="auto" w:fill="auto"/>
            <w:vAlign w:val="bottom"/>
            <w:hideMark/>
          </w:tcPr>
          <w:p w14:paraId="37BBACF1" w14:textId="77777777" w:rsidR="00B26875" w:rsidRPr="00B26875" w:rsidRDefault="00B26875" w:rsidP="00FC1F5B">
            <w:pPr>
              <w:jc w:val="right"/>
              <w:rPr>
                <w:sz w:val="14"/>
                <w:szCs w:val="14"/>
                <w:lang w:eastAsia="tr-TR"/>
              </w:rPr>
            </w:pPr>
            <w:r w:rsidRPr="00B26875">
              <w:rPr>
                <w:sz w:val="14"/>
                <w:szCs w:val="14"/>
                <w:lang w:eastAsia="tr-TR"/>
              </w:rPr>
              <w:t>3,164,030</w:t>
            </w:r>
          </w:p>
        </w:tc>
        <w:tc>
          <w:tcPr>
            <w:tcW w:w="991" w:type="dxa"/>
            <w:tcBorders>
              <w:top w:val="nil"/>
              <w:left w:val="nil"/>
              <w:bottom w:val="nil"/>
              <w:right w:val="nil"/>
            </w:tcBorders>
            <w:shd w:val="clear" w:color="auto" w:fill="auto"/>
            <w:vAlign w:val="bottom"/>
            <w:hideMark/>
          </w:tcPr>
          <w:p w14:paraId="35E66EE5" w14:textId="77777777" w:rsidR="00B26875" w:rsidRPr="00B26875" w:rsidRDefault="00B26875" w:rsidP="00FC1F5B">
            <w:pPr>
              <w:jc w:val="right"/>
              <w:rPr>
                <w:sz w:val="14"/>
                <w:szCs w:val="14"/>
                <w:lang w:eastAsia="tr-TR"/>
              </w:rPr>
            </w:pPr>
            <w:r w:rsidRPr="00B26875">
              <w:rPr>
                <w:sz w:val="14"/>
                <w:szCs w:val="14"/>
                <w:lang w:eastAsia="tr-TR"/>
              </w:rPr>
              <w:t>-</w:t>
            </w:r>
          </w:p>
        </w:tc>
        <w:tc>
          <w:tcPr>
            <w:tcW w:w="818" w:type="dxa"/>
            <w:tcBorders>
              <w:top w:val="nil"/>
              <w:left w:val="nil"/>
              <w:bottom w:val="nil"/>
              <w:right w:val="nil"/>
            </w:tcBorders>
            <w:shd w:val="clear" w:color="auto" w:fill="auto"/>
            <w:vAlign w:val="bottom"/>
            <w:hideMark/>
          </w:tcPr>
          <w:p w14:paraId="64391CC2" w14:textId="77777777" w:rsidR="00B26875" w:rsidRPr="00B26875" w:rsidRDefault="00B26875" w:rsidP="00FC1F5B">
            <w:pPr>
              <w:jc w:val="right"/>
              <w:rPr>
                <w:sz w:val="14"/>
                <w:szCs w:val="14"/>
                <w:lang w:eastAsia="tr-TR"/>
              </w:rPr>
            </w:pPr>
            <w:r w:rsidRPr="00B26875">
              <w:rPr>
                <w:sz w:val="14"/>
                <w:szCs w:val="14"/>
                <w:lang w:eastAsia="tr-TR"/>
              </w:rPr>
              <w:t>13,985,805</w:t>
            </w:r>
          </w:p>
        </w:tc>
      </w:tr>
      <w:tr w:rsidR="00B26875" w:rsidRPr="00B26875" w14:paraId="76572AEA"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735CD062" w14:textId="77777777" w:rsidR="00B26875" w:rsidRPr="00B26875" w:rsidRDefault="00B26875" w:rsidP="00B26875">
            <w:pPr>
              <w:rPr>
                <w:sz w:val="14"/>
                <w:szCs w:val="14"/>
                <w:lang w:eastAsia="tr-TR"/>
              </w:rPr>
            </w:pPr>
            <w:r w:rsidRPr="00B26875">
              <w:rPr>
                <w:sz w:val="14"/>
                <w:szCs w:val="14"/>
                <w:lang w:eastAsia="tr-TR"/>
              </w:rPr>
              <w:t>Para piyasalarına borçlar</w:t>
            </w:r>
          </w:p>
        </w:tc>
        <w:tc>
          <w:tcPr>
            <w:tcW w:w="841" w:type="dxa"/>
            <w:tcBorders>
              <w:top w:val="nil"/>
              <w:left w:val="nil"/>
              <w:bottom w:val="nil"/>
              <w:right w:val="nil"/>
            </w:tcBorders>
            <w:shd w:val="clear" w:color="auto" w:fill="auto"/>
            <w:vAlign w:val="bottom"/>
            <w:hideMark/>
          </w:tcPr>
          <w:p w14:paraId="4AB34533" w14:textId="77777777" w:rsidR="00B26875" w:rsidRPr="00B26875" w:rsidRDefault="00B26875" w:rsidP="00FC1F5B">
            <w:pPr>
              <w:jc w:val="right"/>
              <w:rPr>
                <w:sz w:val="14"/>
                <w:szCs w:val="14"/>
                <w:lang w:eastAsia="tr-TR"/>
              </w:rPr>
            </w:pPr>
            <w:r w:rsidRPr="00B26875">
              <w:rPr>
                <w:sz w:val="14"/>
                <w:szCs w:val="14"/>
                <w:lang w:eastAsia="tr-TR"/>
              </w:rPr>
              <w:t>-</w:t>
            </w:r>
          </w:p>
        </w:tc>
        <w:tc>
          <w:tcPr>
            <w:tcW w:w="841" w:type="dxa"/>
            <w:tcBorders>
              <w:top w:val="nil"/>
              <w:left w:val="nil"/>
              <w:bottom w:val="nil"/>
              <w:right w:val="nil"/>
            </w:tcBorders>
            <w:shd w:val="clear" w:color="auto" w:fill="auto"/>
            <w:vAlign w:val="bottom"/>
            <w:hideMark/>
          </w:tcPr>
          <w:p w14:paraId="5A728A45" w14:textId="77777777" w:rsidR="00B26875" w:rsidRPr="00B26875" w:rsidRDefault="00B26875" w:rsidP="00FC1F5B">
            <w:pPr>
              <w:jc w:val="right"/>
              <w:rPr>
                <w:sz w:val="14"/>
                <w:szCs w:val="14"/>
                <w:lang w:eastAsia="tr-TR"/>
              </w:rPr>
            </w:pPr>
            <w:r w:rsidRPr="00B26875">
              <w:rPr>
                <w:sz w:val="14"/>
                <w:szCs w:val="14"/>
                <w:lang w:eastAsia="tr-TR"/>
              </w:rPr>
              <w:t>8,224,602</w:t>
            </w:r>
          </w:p>
        </w:tc>
        <w:tc>
          <w:tcPr>
            <w:tcW w:w="750" w:type="dxa"/>
            <w:tcBorders>
              <w:top w:val="nil"/>
              <w:left w:val="nil"/>
              <w:bottom w:val="nil"/>
              <w:right w:val="nil"/>
            </w:tcBorders>
            <w:shd w:val="clear" w:color="auto" w:fill="auto"/>
            <w:vAlign w:val="bottom"/>
            <w:hideMark/>
          </w:tcPr>
          <w:p w14:paraId="772F639D"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700D631C"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4CA02AB9" w14:textId="77777777" w:rsidR="00B26875" w:rsidRPr="00B26875" w:rsidRDefault="00B26875" w:rsidP="00FC1F5B">
            <w:pPr>
              <w:jc w:val="right"/>
              <w:rPr>
                <w:sz w:val="14"/>
                <w:szCs w:val="14"/>
                <w:lang w:eastAsia="tr-TR"/>
              </w:rPr>
            </w:pPr>
            <w:r w:rsidRPr="00B26875">
              <w:rPr>
                <w:sz w:val="14"/>
                <w:szCs w:val="14"/>
                <w:lang w:eastAsia="tr-TR"/>
              </w:rPr>
              <w:t>-</w:t>
            </w:r>
          </w:p>
        </w:tc>
        <w:tc>
          <w:tcPr>
            <w:tcW w:w="683" w:type="dxa"/>
            <w:tcBorders>
              <w:top w:val="nil"/>
              <w:left w:val="nil"/>
              <w:bottom w:val="nil"/>
              <w:right w:val="nil"/>
            </w:tcBorders>
            <w:shd w:val="clear" w:color="auto" w:fill="auto"/>
            <w:vAlign w:val="bottom"/>
            <w:hideMark/>
          </w:tcPr>
          <w:p w14:paraId="3793D74B" w14:textId="77777777" w:rsidR="00B26875" w:rsidRPr="00B26875" w:rsidRDefault="00B26875" w:rsidP="00FC1F5B">
            <w:pPr>
              <w:jc w:val="right"/>
              <w:rPr>
                <w:sz w:val="14"/>
                <w:szCs w:val="14"/>
                <w:lang w:eastAsia="tr-TR"/>
              </w:rPr>
            </w:pPr>
            <w:r w:rsidRPr="00B26875">
              <w:rPr>
                <w:sz w:val="14"/>
                <w:szCs w:val="14"/>
                <w:lang w:eastAsia="tr-TR"/>
              </w:rPr>
              <w:t>-</w:t>
            </w:r>
          </w:p>
        </w:tc>
        <w:tc>
          <w:tcPr>
            <w:tcW w:w="991" w:type="dxa"/>
            <w:tcBorders>
              <w:top w:val="nil"/>
              <w:left w:val="nil"/>
              <w:bottom w:val="nil"/>
              <w:right w:val="nil"/>
            </w:tcBorders>
            <w:shd w:val="clear" w:color="auto" w:fill="auto"/>
            <w:vAlign w:val="bottom"/>
            <w:hideMark/>
          </w:tcPr>
          <w:p w14:paraId="3DB73B27" w14:textId="77777777" w:rsidR="00B26875" w:rsidRPr="00B26875" w:rsidRDefault="00B26875" w:rsidP="00FC1F5B">
            <w:pPr>
              <w:jc w:val="right"/>
              <w:rPr>
                <w:sz w:val="14"/>
                <w:szCs w:val="14"/>
                <w:lang w:eastAsia="tr-TR"/>
              </w:rPr>
            </w:pPr>
            <w:r w:rsidRPr="00B26875">
              <w:rPr>
                <w:sz w:val="14"/>
                <w:szCs w:val="14"/>
                <w:lang w:eastAsia="tr-TR"/>
              </w:rPr>
              <w:t>-</w:t>
            </w:r>
          </w:p>
        </w:tc>
        <w:tc>
          <w:tcPr>
            <w:tcW w:w="818" w:type="dxa"/>
            <w:tcBorders>
              <w:top w:val="nil"/>
              <w:left w:val="nil"/>
              <w:bottom w:val="nil"/>
              <w:right w:val="nil"/>
            </w:tcBorders>
            <w:shd w:val="clear" w:color="auto" w:fill="auto"/>
            <w:vAlign w:val="bottom"/>
            <w:hideMark/>
          </w:tcPr>
          <w:p w14:paraId="39651804" w14:textId="77777777" w:rsidR="00B26875" w:rsidRPr="00B26875" w:rsidRDefault="00B26875" w:rsidP="00FC1F5B">
            <w:pPr>
              <w:jc w:val="right"/>
              <w:rPr>
                <w:sz w:val="14"/>
                <w:szCs w:val="14"/>
                <w:lang w:eastAsia="tr-TR"/>
              </w:rPr>
            </w:pPr>
            <w:r w:rsidRPr="00B26875">
              <w:rPr>
                <w:sz w:val="14"/>
                <w:szCs w:val="14"/>
                <w:lang w:eastAsia="tr-TR"/>
              </w:rPr>
              <w:t>8,224,602</w:t>
            </w:r>
          </w:p>
        </w:tc>
      </w:tr>
      <w:tr w:rsidR="00B26875" w:rsidRPr="00B26875" w14:paraId="20BEF967"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09164E91" w14:textId="77777777" w:rsidR="00B26875" w:rsidRPr="00B26875" w:rsidRDefault="00B26875" w:rsidP="00B26875">
            <w:pPr>
              <w:rPr>
                <w:sz w:val="14"/>
                <w:szCs w:val="14"/>
                <w:lang w:eastAsia="tr-TR"/>
              </w:rPr>
            </w:pPr>
            <w:r w:rsidRPr="00B26875">
              <w:rPr>
                <w:sz w:val="14"/>
                <w:szCs w:val="14"/>
                <w:lang w:eastAsia="tr-TR"/>
              </w:rPr>
              <w:t>İhraç edilen menkul değerler</w:t>
            </w:r>
          </w:p>
        </w:tc>
        <w:tc>
          <w:tcPr>
            <w:tcW w:w="841" w:type="dxa"/>
            <w:tcBorders>
              <w:top w:val="nil"/>
              <w:left w:val="nil"/>
              <w:bottom w:val="nil"/>
              <w:right w:val="nil"/>
            </w:tcBorders>
            <w:shd w:val="clear" w:color="auto" w:fill="auto"/>
            <w:vAlign w:val="bottom"/>
            <w:hideMark/>
          </w:tcPr>
          <w:p w14:paraId="37D0D862" w14:textId="77777777" w:rsidR="00B26875" w:rsidRPr="00B26875" w:rsidRDefault="00B26875" w:rsidP="00FC1F5B">
            <w:pPr>
              <w:jc w:val="right"/>
              <w:rPr>
                <w:sz w:val="14"/>
                <w:szCs w:val="14"/>
                <w:lang w:eastAsia="tr-TR"/>
              </w:rPr>
            </w:pPr>
            <w:r w:rsidRPr="00B26875">
              <w:rPr>
                <w:sz w:val="14"/>
                <w:szCs w:val="14"/>
                <w:lang w:eastAsia="tr-TR"/>
              </w:rPr>
              <w:t>-</w:t>
            </w:r>
          </w:p>
        </w:tc>
        <w:tc>
          <w:tcPr>
            <w:tcW w:w="841" w:type="dxa"/>
            <w:tcBorders>
              <w:top w:val="nil"/>
              <w:left w:val="nil"/>
              <w:bottom w:val="nil"/>
              <w:right w:val="nil"/>
            </w:tcBorders>
            <w:shd w:val="clear" w:color="auto" w:fill="auto"/>
            <w:vAlign w:val="bottom"/>
            <w:hideMark/>
          </w:tcPr>
          <w:p w14:paraId="6209FAEC"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33EC08FA"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01211F1D"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6EB3492A" w14:textId="77777777" w:rsidR="00B26875" w:rsidRPr="00B26875" w:rsidRDefault="00B26875" w:rsidP="00FC1F5B">
            <w:pPr>
              <w:jc w:val="right"/>
              <w:rPr>
                <w:sz w:val="14"/>
                <w:szCs w:val="14"/>
                <w:lang w:eastAsia="tr-TR"/>
              </w:rPr>
            </w:pPr>
            <w:r w:rsidRPr="00B26875">
              <w:rPr>
                <w:sz w:val="14"/>
                <w:szCs w:val="14"/>
                <w:lang w:eastAsia="tr-TR"/>
              </w:rPr>
              <w:t>-</w:t>
            </w:r>
          </w:p>
        </w:tc>
        <w:tc>
          <w:tcPr>
            <w:tcW w:w="683" w:type="dxa"/>
            <w:tcBorders>
              <w:top w:val="nil"/>
              <w:left w:val="nil"/>
              <w:bottom w:val="nil"/>
              <w:right w:val="nil"/>
            </w:tcBorders>
            <w:shd w:val="clear" w:color="auto" w:fill="auto"/>
            <w:vAlign w:val="bottom"/>
            <w:hideMark/>
          </w:tcPr>
          <w:p w14:paraId="6F0AC1D9" w14:textId="77777777" w:rsidR="00B26875" w:rsidRPr="00B26875" w:rsidRDefault="00B26875" w:rsidP="00FC1F5B">
            <w:pPr>
              <w:jc w:val="right"/>
              <w:rPr>
                <w:sz w:val="14"/>
                <w:szCs w:val="14"/>
                <w:lang w:eastAsia="tr-TR"/>
              </w:rPr>
            </w:pPr>
            <w:r w:rsidRPr="00B26875">
              <w:rPr>
                <w:sz w:val="14"/>
                <w:szCs w:val="14"/>
                <w:lang w:eastAsia="tr-TR"/>
              </w:rPr>
              <w:t>-</w:t>
            </w:r>
          </w:p>
        </w:tc>
        <w:tc>
          <w:tcPr>
            <w:tcW w:w="991" w:type="dxa"/>
            <w:tcBorders>
              <w:top w:val="nil"/>
              <w:left w:val="nil"/>
              <w:bottom w:val="nil"/>
              <w:right w:val="nil"/>
            </w:tcBorders>
            <w:shd w:val="clear" w:color="auto" w:fill="auto"/>
            <w:vAlign w:val="bottom"/>
            <w:hideMark/>
          </w:tcPr>
          <w:p w14:paraId="0ABB954D" w14:textId="77777777" w:rsidR="00B26875" w:rsidRPr="00B26875" w:rsidRDefault="00B26875" w:rsidP="00FC1F5B">
            <w:pPr>
              <w:jc w:val="right"/>
              <w:rPr>
                <w:sz w:val="14"/>
                <w:szCs w:val="14"/>
                <w:lang w:eastAsia="tr-TR"/>
              </w:rPr>
            </w:pPr>
            <w:r w:rsidRPr="00B26875">
              <w:rPr>
                <w:sz w:val="14"/>
                <w:szCs w:val="14"/>
                <w:lang w:eastAsia="tr-TR"/>
              </w:rPr>
              <w:t>-</w:t>
            </w:r>
          </w:p>
        </w:tc>
        <w:tc>
          <w:tcPr>
            <w:tcW w:w="818" w:type="dxa"/>
            <w:tcBorders>
              <w:top w:val="nil"/>
              <w:left w:val="nil"/>
              <w:bottom w:val="nil"/>
              <w:right w:val="nil"/>
            </w:tcBorders>
            <w:shd w:val="clear" w:color="auto" w:fill="auto"/>
            <w:vAlign w:val="bottom"/>
            <w:hideMark/>
          </w:tcPr>
          <w:p w14:paraId="595B5B00" w14:textId="77777777" w:rsidR="00B26875" w:rsidRPr="00B26875" w:rsidRDefault="00B26875" w:rsidP="00FC1F5B">
            <w:pPr>
              <w:jc w:val="right"/>
              <w:rPr>
                <w:sz w:val="14"/>
                <w:szCs w:val="14"/>
                <w:lang w:eastAsia="tr-TR"/>
              </w:rPr>
            </w:pPr>
            <w:r w:rsidRPr="00B26875">
              <w:rPr>
                <w:sz w:val="14"/>
                <w:szCs w:val="14"/>
                <w:lang w:eastAsia="tr-TR"/>
              </w:rPr>
              <w:t>-</w:t>
            </w:r>
          </w:p>
        </w:tc>
      </w:tr>
      <w:tr w:rsidR="00B26875" w:rsidRPr="00B26875" w14:paraId="49F0B661"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59729532" w14:textId="77777777" w:rsidR="00B26875" w:rsidRPr="00B26875" w:rsidRDefault="00B26875" w:rsidP="00B26875">
            <w:pPr>
              <w:rPr>
                <w:sz w:val="14"/>
                <w:szCs w:val="14"/>
                <w:lang w:eastAsia="tr-TR"/>
              </w:rPr>
            </w:pPr>
            <w:r w:rsidRPr="00B26875">
              <w:rPr>
                <w:sz w:val="14"/>
                <w:szCs w:val="14"/>
                <w:lang w:eastAsia="tr-TR"/>
              </w:rPr>
              <w:t>Muhtelif borçlar</w:t>
            </w:r>
          </w:p>
        </w:tc>
        <w:tc>
          <w:tcPr>
            <w:tcW w:w="841" w:type="dxa"/>
            <w:tcBorders>
              <w:top w:val="nil"/>
              <w:left w:val="nil"/>
              <w:bottom w:val="nil"/>
              <w:right w:val="nil"/>
            </w:tcBorders>
            <w:shd w:val="clear" w:color="auto" w:fill="auto"/>
            <w:vAlign w:val="bottom"/>
            <w:hideMark/>
          </w:tcPr>
          <w:p w14:paraId="1BD28286" w14:textId="77777777" w:rsidR="00B26875" w:rsidRPr="00B26875" w:rsidRDefault="00B26875" w:rsidP="00FC1F5B">
            <w:pPr>
              <w:jc w:val="right"/>
              <w:rPr>
                <w:sz w:val="14"/>
                <w:szCs w:val="14"/>
                <w:lang w:eastAsia="tr-TR"/>
              </w:rPr>
            </w:pPr>
            <w:r w:rsidRPr="00B26875">
              <w:rPr>
                <w:sz w:val="14"/>
                <w:szCs w:val="14"/>
                <w:lang w:eastAsia="tr-TR"/>
              </w:rPr>
              <w:t>767,824</w:t>
            </w:r>
          </w:p>
        </w:tc>
        <w:tc>
          <w:tcPr>
            <w:tcW w:w="841" w:type="dxa"/>
            <w:tcBorders>
              <w:top w:val="nil"/>
              <w:left w:val="nil"/>
              <w:bottom w:val="nil"/>
              <w:right w:val="nil"/>
            </w:tcBorders>
            <w:shd w:val="clear" w:color="auto" w:fill="auto"/>
            <w:vAlign w:val="bottom"/>
            <w:hideMark/>
          </w:tcPr>
          <w:p w14:paraId="75E5FC9C" w14:textId="77777777" w:rsidR="00B26875" w:rsidRPr="00B26875" w:rsidRDefault="00B26875" w:rsidP="00FC1F5B">
            <w:pPr>
              <w:jc w:val="right"/>
              <w:rPr>
                <w:sz w:val="14"/>
                <w:szCs w:val="14"/>
                <w:lang w:eastAsia="tr-TR"/>
              </w:rPr>
            </w:pPr>
            <w:r w:rsidRPr="00B26875">
              <w:rPr>
                <w:sz w:val="14"/>
                <w:szCs w:val="14"/>
                <w:lang w:eastAsia="tr-TR"/>
              </w:rPr>
              <w:t>180,106</w:t>
            </w:r>
          </w:p>
        </w:tc>
        <w:tc>
          <w:tcPr>
            <w:tcW w:w="750" w:type="dxa"/>
            <w:tcBorders>
              <w:top w:val="nil"/>
              <w:left w:val="nil"/>
              <w:bottom w:val="nil"/>
              <w:right w:val="nil"/>
            </w:tcBorders>
            <w:shd w:val="clear" w:color="auto" w:fill="auto"/>
            <w:vAlign w:val="bottom"/>
            <w:hideMark/>
          </w:tcPr>
          <w:p w14:paraId="1318D3C7"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3A812A5F" w14:textId="77777777" w:rsidR="00B26875" w:rsidRPr="00B26875" w:rsidRDefault="00B26875" w:rsidP="00FC1F5B">
            <w:pPr>
              <w:jc w:val="right"/>
              <w:rPr>
                <w:sz w:val="14"/>
                <w:szCs w:val="14"/>
                <w:lang w:eastAsia="tr-TR"/>
              </w:rPr>
            </w:pPr>
            <w:r w:rsidRPr="00B26875">
              <w:rPr>
                <w:sz w:val="14"/>
                <w:szCs w:val="14"/>
                <w:lang w:eastAsia="tr-TR"/>
              </w:rPr>
              <w:t>-</w:t>
            </w:r>
          </w:p>
        </w:tc>
        <w:tc>
          <w:tcPr>
            <w:tcW w:w="750" w:type="dxa"/>
            <w:tcBorders>
              <w:top w:val="nil"/>
              <w:left w:val="nil"/>
              <w:bottom w:val="nil"/>
              <w:right w:val="nil"/>
            </w:tcBorders>
            <w:shd w:val="clear" w:color="auto" w:fill="auto"/>
            <w:vAlign w:val="bottom"/>
            <w:hideMark/>
          </w:tcPr>
          <w:p w14:paraId="08435761" w14:textId="77777777" w:rsidR="00B26875" w:rsidRPr="00B26875" w:rsidRDefault="00B26875" w:rsidP="00FC1F5B">
            <w:pPr>
              <w:jc w:val="right"/>
              <w:rPr>
                <w:sz w:val="14"/>
                <w:szCs w:val="14"/>
                <w:lang w:eastAsia="tr-TR"/>
              </w:rPr>
            </w:pPr>
            <w:r w:rsidRPr="00B26875">
              <w:rPr>
                <w:sz w:val="14"/>
                <w:szCs w:val="14"/>
                <w:lang w:eastAsia="tr-TR"/>
              </w:rPr>
              <w:t>-</w:t>
            </w:r>
          </w:p>
        </w:tc>
        <w:tc>
          <w:tcPr>
            <w:tcW w:w="683" w:type="dxa"/>
            <w:tcBorders>
              <w:top w:val="nil"/>
              <w:left w:val="nil"/>
              <w:bottom w:val="nil"/>
              <w:right w:val="nil"/>
            </w:tcBorders>
            <w:shd w:val="clear" w:color="auto" w:fill="auto"/>
            <w:vAlign w:val="bottom"/>
            <w:hideMark/>
          </w:tcPr>
          <w:p w14:paraId="1A7BE80D" w14:textId="77777777" w:rsidR="00B26875" w:rsidRPr="00B26875" w:rsidRDefault="00B26875" w:rsidP="00FC1F5B">
            <w:pPr>
              <w:jc w:val="right"/>
              <w:rPr>
                <w:sz w:val="14"/>
                <w:szCs w:val="14"/>
                <w:lang w:eastAsia="tr-TR"/>
              </w:rPr>
            </w:pPr>
            <w:r w:rsidRPr="00B26875">
              <w:rPr>
                <w:sz w:val="14"/>
                <w:szCs w:val="14"/>
                <w:lang w:eastAsia="tr-TR"/>
              </w:rPr>
              <w:t>-</w:t>
            </w:r>
          </w:p>
        </w:tc>
        <w:tc>
          <w:tcPr>
            <w:tcW w:w="991" w:type="dxa"/>
            <w:tcBorders>
              <w:top w:val="nil"/>
              <w:left w:val="nil"/>
              <w:bottom w:val="nil"/>
              <w:right w:val="nil"/>
            </w:tcBorders>
            <w:shd w:val="clear" w:color="auto" w:fill="auto"/>
            <w:vAlign w:val="bottom"/>
            <w:hideMark/>
          </w:tcPr>
          <w:p w14:paraId="1E81FCF6" w14:textId="77777777" w:rsidR="00B26875" w:rsidRPr="00B26875" w:rsidRDefault="00B26875" w:rsidP="00FC1F5B">
            <w:pPr>
              <w:jc w:val="right"/>
              <w:rPr>
                <w:sz w:val="14"/>
                <w:szCs w:val="14"/>
                <w:lang w:eastAsia="tr-TR"/>
              </w:rPr>
            </w:pPr>
            <w:r w:rsidRPr="00B26875">
              <w:rPr>
                <w:sz w:val="14"/>
                <w:szCs w:val="14"/>
                <w:lang w:eastAsia="tr-TR"/>
              </w:rPr>
              <w:t>-</w:t>
            </w:r>
          </w:p>
        </w:tc>
        <w:tc>
          <w:tcPr>
            <w:tcW w:w="818" w:type="dxa"/>
            <w:tcBorders>
              <w:top w:val="nil"/>
              <w:left w:val="nil"/>
              <w:bottom w:val="nil"/>
              <w:right w:val="nil"/>
            </w:tcBorders>
            <w:shd w:val="clear" w:color="auto" w:fill="auto"/>
            <w:vAlign w:val="bottom"/>
            <w:hideMark/>
          </w:tcPr>
          <w:p w14:paraId="7BD232B8" w14:textId="77777777" w:rsidR="00B26875" w:rsidRPr="00B26875" w:rsidRDefault="00B26875" w:rsidP="00FC1F5B">
            <w:pPr>
              <w:jc w:val="right"/>
              <w:rPr>
                <w:sz w:val="14"/>
                <w:szCs w:val="14"/>
                <w:lang w:eastAsia="tr-TR"/>
              </w:rPr>
            </w:pPr>
            <w:r w:rsidRPr="00B26875">
              <w:rPr>
                <w:sz w:val="14"/>
                <w:szCs w:val="14"/>
                <w:lang w:eastAsia="tr-TR"/>
              </w:rPr>
              <w:t>947,930</w:t>
            </w:r>
          </w:p>
        </w:tc>
      </w:tr>
      <w:tr w:rsidR="00B26875" w:rsidRPr="00B26875" w14:paraId="2DD0E02A" w14:textId="77777777" w:rsidTr="00FC1F5B">
        <w:trPr>
          <w:divId w:val="945768336"/>
          <w:trHeight w:val="234"/>
        </w:trPr>
        <w:tc>
          <w:tcPr>
            <w:tcW w:w="3062" w:type="dxa"/>
            <w:tcBorders>
              <w:top w:val="nil"/>
              <w:left w:val="nil"/>
              <w:bottom w:val="single" w:sz="8" w:space="0" w:color="auto"/>
              <w:right w:val="nil"/>
            </w:tcBorders>
            <w:shd w:val="clear" w:color="auto" w:fill="auto"/>
            <w:noWrap/>
            <w:vAlign w:val="center"/>
            <w:hideMark/>
          </w:tcPr>
          <w:p w14:paraId="329172B1" w14:textId="77777777" w:rsidR="00B26875" w:rsidRPr="00B26875" w:rsidRDefault="00B26875" w:rsidP="00B26875">
            <w:pPr>
              <w:rPr>
                <w:sz w:val="14"/>
                <w:szCs w:val="14"/>
                <w:lang w:eastAsia="tr-TR"/>
              </w:rPr>
            </w:pPr>
            <w:r w:rsidRPr="00B26875">
              <w:rPr>
                <w:sz w:val="14"/>
                <w:szCs w:val="14"/>
                <w:lang w:eastAsia="tr-TR"/>
              </w:rPr>
              <w:t>Diğer yükümlülükler (****)</w:t>
            </w:r>
          </w:p>
        </w:tc>
        <w:tc>
          <w:tcPr>
            <w:tcW w:w="841" w:type="dxa"/>
            <w:tcBorders>
              <w:top w:val="nil"/>
              <w:left w:val="nil"/>
              <w:bottom w:val="single" w:sz="8" w:space="0" w:color="auto"/>
              <w:right w:val="nil"/>
            </w:tcBorders>
            <w:shd w:val="clear" w:color="auto" w:fill="auto"/>
            <w:vAlign w:val="bottom"/>
            <w:hideMark/>
          </w:tcPr>
          <w:p w14:paraId="10E9C6C5" w14:textId="77777777" w:rsidR="00B26875" w:rsidRPr="00B26875" w:rsidRDefault="00B26875" w:rsidP="00FC1F5B">
            <w:pPr>
              <w:jc w:val="right"/>
              <w:rPr>
                <w:sz w:val="14"/>
                <w:szCs w:val="14"/>
                <w:lang w:eastAsia="tr-TR"/>
              </w:rPr>
            </w:pPr>
            <w:r w:rsidRPr="00B26875">
              <w:rPr>
                <w:sz w:val="14"/>
                <w:szCs w:val="14"/>
                <w:lang w:eastAsia="tr-TR"/>
              </w:rPr>
              <w:t>-</w:t>
            </w:r>
          </w:p>
        </w:tc>
        <w:tc>
          <w:tcPr>
            <w:tcW w:w="841" w:type="dxa"/>
            <w:tcBorders>
              <w:top w:val="nil"/>
              <w:left w:val="nil"/>
              <w:bottom w:val="single" w:sz="8" w:space="0" w:color="auto"/>
              <w:right w:val="nil"/>
            </w:tcBorders>
            <w:shd w:val="clear" w:color="auto" w:fill="auto"/>
            <w:vAlign w:val="bottom"/>
            <w:hideMark/>
          </w:tcPr>
          <w:p w14:paraId="737B3E91" w14:textId="77777777" w:rsidR="00B26875" w:rsidRPr="00B26875" w:rsidRDefault="00B26875" w:rsidP="00FC1F5B">
            <w:pPr>
              <w:jc w:val="right"/>
              <w:rPr>
                <w:sz w:val="14"/>
                <w:szCs w:val="14"/>
                <w:lang w:eastAsia="tr-TR"/>
              </w:rPr>
            </w:pPr>
            <w:r w:rsidRPr="00B26875">
              <w:rPr>
                <w:sz w:val="14"/>
                <w:szCs w:val="14"/>
                <w:lang w:eastAsia="tr-TR"/>
              </w:rPr>
              <w:t>1,427,551</w:t>
            </w:r>
          </w:p>
        </w:tc>
        <w:tc>
          <w:tcPr>
            <w:tcW w:w="750" w:type="dxa"/>
            <w:tcBorders>
              <w:top w:val="nil"/>
              <w:left w:val="nil"/>
              <w:bottom w:val="single" w:sz="8" w:space="0" w:color="auto"/>
              <w:right w:val="nil"/>
            </w:tcBorders>
            <w:shd w:val="clear" w:color="auto" w:fill="auto"/>
            <w:vAlign w:val="bottom"/>
            <w:hideMark/>
          </w:tcPr>
          <w:p w14:paraId="5A1C3A0F" w14:textId="77777777" w:rsidR="00B26875" w:rsidRPr="00B26875" w:rsidRDefault="00B26875" w:rsidP="00FC1F5B">
            <w:pPr>
              <w:jc w:val="right"/>
              <w:rPr>
                <w:sz w:val="14"/>
                <w:szCs w:val="14"/>
                <w:lang w:eastAsia="tr-TR"/>
              </w:rPr>
            </w:pPr>
            <w:r w:rsidRPr="00B26875">
              <w:rPr>
                <w:sz w:val="14"/>
                <w:szCs w:val="14"/>
                <w:lang w:eastAsia="tr-TR"/>
              </w:rPr>
              <w:t>238,976</w:t>
            </w:r>
          </w:p>
        </w:tc>
        <w:tc>
          <w:tcPr>
            <w:tcW w:w="750" w:type="dxa"/>
            <w:tcBorders>
              <w:top w:val="nil"/>
              <w:left w:val="nil"/>
              <w:bottom w:val="single" w:sz="8" w:space="0" w:color="auto"/>
              <w:right w:val="nil"/>
            </w:tcBorders>
            <w:shd w:val="clear" w:color="auto" w:fill="auto"/>
            <w:vAlign w:val="bottom"/>
            <w:hideMark/>
          </w:tcPr>
          <w:p w14:paraId="07EC352F" w14:textId="77777777" w:rsidR="00B26875" w:rsidRPr="00B26875" w:rsidRDefault="00B26875" w:rsidP="00FC1F5B">
            <w:pPr>
              <w:jc w:val="right"/>
              <w:rPr>
                <w:sz w:val="14"/>
                <w:szCs w:val="14"/>
                <w:lang w:eastAsia="tr-TR"/>
              </w:rPr>
            </w:pPr>
            <w:r w:rsidRPr="00B26875">
              <w:rPr>
                <w:sz w:val="14"/>
                <w:szCs w:val="14"/>
                <w:lang w:eastAsia="tr-TR"/>
              </w:rPr>
              <w:t>3,652</w:t>
            </w:r>
          </w:p>
        </w:tc>
        <w:tc>
          <w:tcPr>
            <w:tcW w:w="750" w:type="dxa"/>
            <w:tcBorders>
              <w:top w:val="nil"/>
              <w:left w:val="nil"/>
              <w:bottom w:val="single" w:sz="8" w:space="0" w:color="auto"/>
              <w:right w:val="nil"/>
            </w:tcBorders>
            <w:shd w:val="clear" w:color="auto" w:fill="auto"/>
            <w:vAlign w:val="bottom"/>
            <w:hideMark/>
          </w:tcPr>
          <w:p w14:paraId="0BC0F67D" w14:textId="77777777" w:rsidR="00B26875" w:rsidRPr="00B26875" w:rsidRDefault="00B26875" w:rsidP="00FC1F5B">
            <w:pPr>
              <w:jc w:val="right"/>
              <w:rPr>
                <w:sz w:val="14"/>
                <w:szCs w:val="14"/>
                <w:lang w:eastAsia="tr-TR"/>
              </w:rPr>
            </w:pPr>
            <w:r w:rsidRPr="00B26875">
              <w:rPr>
                <w:sz w:val="14"/>
                <w:szCs w:val="14"/>
                <w:lang w:eastAsia="tr-TR"/>
              </w:rPr>
              <w:t>-</w:t>
            </w:r>
          </w:p>
        </w:tc>
        <w:tc>
          <w:tcPr>
            <w:tcW w:w="683" w:type="dxa"/>
            <w:tcBorders>
              <w:top w:val="nil"/>
              <w:left w:val="nil"/>
              <w:bottom w:val="single" w:sz="8" w:space="0" w:color="auto"/>
              <w:right w:val="nil"/>
            </w:tcBorders>
            <w:shd w:val="clear" w:color="auto" w:fill="auto"/>
            <w:vAlign w:val="bottom"/>
            <w:hideMark/>
          </w:tcPr>
          <w:p w14:paraId="04BCC58C" w14:textId="77777777" w:rsidR="00B26875" w:rsidRPr="00B26875" w:rsidRDefault="00B26875" w:rsidP="00FC1F5B">
            <w:pPr>
              <w:jc w:val="right"/>
              <w:rPr>
                <w:sz w:val="14"/>
                <w:szCs w:val="14"/>
                <w:lang w:eastAsia="tr-TR"/>
              </w:rPr>
            </w:pPr>
            <w:r w:rsidRPr="00B26875">
              <w:rPr>
                <w:sz w:val="14"/>
                <w:szCs w:val="14"/>
                <w:lang w:eastAsia="tr-TR"/>
              </w:rPr>
              <w:t>-</w:t>
            </w:r>
          </w:p>
        </w:tc>
        <w:tc>
          <w:tcPr>
            <w:tcW w:w="991" w:type="dxa"/>
            <w:tcBorders>
              <w:top w:val="nil"/>
              <w:left w:val="nil"/>
              <w:bottom w:val="single" w:sz="8" w:space="0" w:color="auto"/>
              <w:right w:val="nil"/>
            </w:tcBorders>
            <w:shd w:val="clear" w:color="auto" w:fill="auto"/>
            <w:vAlign w:val="bottom"/>
            <w:hideMark/>
          </w:tcPr>
          <w:p w14:paraId="58F33ECF" w14:textId="77777777" w:rsidR="00B26875" w:rsidRPr="00B26875" w:rsidRDefault="00B26875" w:rsidP="00FC1F5B">
            <w:pPr>
              <w:jc w:val="right"/>
              <w:rPr>
                <w:sz w:val="14"/>
                <w:szCs w:val="14"/>
                <w:lang w:eastAsia="tr-TR"/>
              </w:rPr>
            </w:pPr>
            <w:r w:rsidRPr="00B26875">
              <w:rPr>
                <w:sz w:val="14"/>
                <w:szCs w:val="14"/>
                <w:lang w:eastAsia="tr-TR"/>
              </w:rPr>
              <w:t>8,951,055</w:t>
            </w:r>
          </w:p>
        </w:tc>
        <w:tc>
          <w:tcPr>
            <w:tcW w:w="818" w:type="dxa"/>
            <w:tcBorders>
              <w:top w:val="nil"/>
              <w:left w:val="nil"/>
              <w:bottom w:val="single" w:sz="8" w:space="0" w:color="auto"/>
              <w:right w:val="nil"/>
            </w:tcBorders>
            <w:shd w:val="clear" w:color="auto" w:fill="auto"/>
            <w:vAlign w:val="bottom"/>
            <w:hideMark/>
          </w:tcPr>
          <w:p w14:paraId="06BD78D3" w14:textId="77777777" w:rsidR="00B26875" w:rsidRPr="00B26875" w:rsidRDefault="00B26875" w:rsidP="00FC1F5B">
            <w:pPr>
              <w:jc w:val="right"/>
              <w:rPr>
                <w:sz w:val="14"/>
                <w:szCs w:val="14"/>
                <w:lang w:eastAsia="tr-TR"/>
              </w:rPr>
            </w:pPr>
            <w:r w:rsidRPr="00B26875">
              <w:rPr>
                <w:sz w:val="14"/>
                <w:szCs w:val="14"/>
                <w:lang w:eastAsia="tr-TR"/>
              </w:rPr>
              <w:t>10,621,234</w:t>
            </w:r>
          </w:p>
        </w:tc>
      </w:tr>
      <w:tr w:rsidR="00B26875" w:rsidRPr="00B26875" w14:paraId="3281274C" w14:textId="77777777" w:rsidTr="00B26875">
        <w:trPr>
          <w:divId w:val="945768336"/>
          <w:trHeight w:val="234"/>
        </w:trPr>
        <w:tc>
          <w:tcPr>
            <w:tcW w:w="3062" w:type="dxa"/>
            <w:tcBorders>
              <w:top w:val="nil"/>
              <w:left w:val="nil"/>
              <w:bottom w:val="single" w:sz="8" w:space="0" w:color="auto"/>
              <w:right w:val="nil"/>
            </w:tcBorders>
            <w:shd w:val="clear" w:color="auto" w:fill="auto"/>
            <w:vAlign w:val="center"/>
            <w:hideMark/>
          </w:tcPr>
          <w:p w14:paraId="413476DC" w14:textId="77777777" w:rsidR="00B26875" w:rsidRPr="00B26875" w:rsidRDefault="00B26875" w:rsidP="00B26875">
            <w:pPr>
              <w:jc w:val="both"/>
              <w:rPr>
                <w:b/>
                <w:bCs/>
                <w:sz w:val="14"/>
                <w:szCs w:val="14"/>
                <w:lang w:eastAsia="tr-TR"/>
              </w:rPr>
            </w:pPr>
            <w:r w:rsidRPr="00B26875">
              <w:rPr>
                <w:b/>
                <w:bCs/>
                <w:sz w:val="14"/>
                <w:szCs w:val="14"/>
                <w:lang w:eastAsia="tr-TR"/>
              </w:rPr>
              <w:t>Toplam Yükümlülükler</w:t>
            </w:r>
          </w:p>
        </w:tc>
        <w:tc>
          <w:tcPr>
            <w:tcW w:w="841" w:type="dxa"/>
            <w:tcBorders>
              <w:top w:val="nil"/>
              <w:left w:val="nil"/>
              <w:bottom w:val="single" w:sz="8" w:space="0" w:color="auto"/>
              <w:right w:val="nil"/>
            </w:tcBorders>
            <w:shd w:val="clear" w:color="auto" w:fill="auto"/>
            <w:vAlign w:val="center"/>
            <w:hideMark/>
          </w:tcPr>
          <w:p w14:paraId="14C0BA54" w14:textId="77777777" w:rsidR="00B26875" w:rsidRPr="00B26875" w:rsidRDefault="00B26875" w:rsidP="00B26875">
            <w:pPr>
              <w:jc w:val="right"/>
              <w:rPr>
                <w:b/>
                <w:bCs/>
                <w:sz w:val="14"/>
                <w:szCs w:val="14"/>
                <w:lang w:eastAsia="tr-TR"/>
              </w:rPr>
            </w:pPr>
            <w:r w:rsidRPr="00B26875">
              <w:rPr>
                <w:b/>
                <w:bCs/>
                <w:sz w:val="14"/>
                <w:szCs w:val="14"/>
                <w:lang w:eastAsia="tr-TR"/>
              </w:rPr>
              <w:t>68,331,848</w:t>
            </w:r>
          </w:p>
        </w:tc>
        <w:tc>
          <w:tcPr>
            <w:tcW w:w="841" w:type="dxa"/>
            <w:tcBorders>
              <w:top w:val="nil"/>
              <w:left w:val="nil"/>
              <w:bottom w:val="single" w:sz="8" w:space="0" w:color="auto"/>
              <w:right w:val="nil"/>
            </w:tcBorders>
            <w:shd w:val="clear" w:color="auto" w:fill="auto"/>
            <w:vAlign w:val="center"/>
            <w:hideMark/>
          </w:tcPr>
          <w:p w14:paraId="40B8EB47" w14:textId="77777777" w:rsidR="00B26875" w:rsidRPr="00B26875" w:rsidRDefault="00B26875" w:rsidP="00B26875">
            <w:pPr>
              <w:jc w:val="right"/>
              <w:rPr>
                <w:b/>
                <w:bCs/>
                <w:sz w:val="14"/>
                <w:szCs w:val="14"/>
                <w:lang w:eastAsia="tr-TR"/>
              </w:rPr>
            </w:pPr>
            <w:r w:rsidRPr="00B26875">
              <w:rPr>
                <w:b/>
                <w:bCs/>
                <w:sz w:val="14"/>
                <w:szCs w:val="14"/>
                <w:lang w:eastAsia="tr-TR"/>
              </w:rPr>
              <w:t>51,050,577</w:t>
            </w:r>
          </w:p>
        </w:tc>
        <w:tc>
          <w:tcPr>
            <w:tcW w:w="750" w:type="dxa"/>
            <w:tcBorders>
              <w:top w:val="nil"/>
              <w:left w:val="nil"/>
              <w:bottom w:val="single" w:sz="8" w:space="0" w:color="auto"/>
              <w:right w:val="nil"/>
            </w:tcBorders>
            <w:shd w:val="clear" w:color="auto" w:fill="auto"/>
            <w:vAlign w:val="center"/>
            <w:hideMark/>
          </w:tcPr>
          <w:p w14:paraId="1126D691" w14:textId="77777777" w:rsidR="00B26875" w:rsidRPr="00B26875" w:rsidRDefault="00B26875" w:rsidP="00B26875">
            <w:pPr>
              <w:jc w:val="right"/>
              <w:rPr>
                <w:b/>
                <w:bCs/>
                <w:sz w:val="14"/>
                <w:szCs w:val="14"/>
                <w:lang w:eastAsia="tr-TR"/>
              </w:rPr>
            </w:pPr>
            <w:r w:rsidRPr="00B26875">
              <w:rPr>
                <w:b/>
                <w:bCs/>
                <w:sz w:val="14"/>
                <w:szCs w:val="14"/>
                <w:lang w:eastAsia="tr-TR"/>
              </w:rPr>
              <w:t>8,141,807</w:t>
            </w:r>
          </w:p>
        </w:tc>
        <w:tc>
          <w:tcPr>
            <w:tcW w:w="750" w:type="dxa"/>
            <w:tcBorders>
              <w:top w:val="nil"/>
              <w:left w:val="nil"/>
              <w:bottom w:val="single" w:sz="8" w:space="0" w:color="auto"/>
              <w:right w:val="nil"/>
            </w:tcBorders>
            <w:shd w:val="clear" w:color="auto" w:fill="auto"/>
            <w:vAlign w:val="center"/>
            <w:hideMark/>
          </w:tcPr>
          <w:p w14:paraId="1A022F00" w14:textId="77777777" w:rsidR="00B26875" w:rsidRPr="00B26875" w:rsidRDefault="00B26875" w:rsidP="00B26875">
            <w:pPr>
              <w:jc w:val="right"/>
              <w:rPr>
                <w:b/>
                <w:bCs/>
                <w:sz w:val="14"/>
                <w:szCs w:val="14"/>
                <w:lang w:eastAsia="tr-TR"/>
              </w:rPr>
            </w:pPr>
            <w:r w:rsidRPr="00B26875">
              <w:rPr>
                <w:b/>
                <w:bCs/>
                <w:sz w:val="14"/>
                <w:szCs w:val="14"/>
                <w:lang w:eastAsia="tr-TR"/>
              </w:rPr>
              <w:t>7,620,812</w:t>
            </w:r>
          </w:p>
        </w:tc>
        <w:tc>
          <w:tcPr>
            <w:tcW w:w="750" w:type="dxa"/>
            <w:tcBorders>
              <w:top w:val="nil"/>
              <w:left w:val="nil"/>
              <w:bottom w:val="single" w:sz="8" w:space="0" w:color="auto"/>
              <w:right w:val="nil"/>
            </w:tcBorders>
            <w:shd w:val="clear" w:color="auto" w:fill="auto"/>
            <w:vAlign w:val="center"/>
            <w:hideMark/>
          </w:tcPr>
          <w:p w14:paraId="60D1E0EC" w14:textId="77777777" w:rsidR="00B26875" w:rsidRPr="00B26875" w:rsidRDefault="00B26875" w:rsidP="00B26875">
            <w:pPr>
              <w:jc w:val="right"/>
              <w:rPr>
                <w:b/>
                <w:bCs/>
                <w:sz w:val="14"/>
                <w:szCs w:val="14"/>
                <w:lang w:eastAsia="tr-TR"/>
              </w:rPr>
            </w:pPr>
            <w:r w:rsidRPr="00B26875">
              <w:rPr>
                <w:b/>
                <w:bCs/>
                <w:sz w:val="14"/>
                <w:szCs w:val="14"/>
                <w:lang w:eastAsia="tr-TR"/>
              </w:rPr>
              <w:t>5,857,731</w:t>
            </w:r>
          </w:p>
        </w:tc>
        <w:tc>
          <w:tcPr>
            <w:tcW w:w="683" w:type="dxa"/>
            <w:tcBorders>
              <w:top w:val="nil"/>
              <w:left w:val="nil"/>
              <w:bottom w:val="single" w:sz="8" w:space="0" w:color="auto"/>
              <w:right w:val="nil"/>
            </w:tcBorders>
            <w:shd w:val="clear" w:color="auto" w:fill="auto"/>
            <w:vAlign w:val="center"/>
            <w:hideMark/>
          </w:tcPr>
          <w:p w14:paraId="6EAEBA56" w14:textId="77777777" w:rsidR="00B26875" w:rsidRPr="00B26875" w:rsidRDefault="00B26875" w:rsidP="00B26875">
            <w:pPr>
              <w:jc w:val="right"/>
              <w:rPr>
                <w:b/>
                <w:bCs/>
                <w:sz w:val="14"/>
                <w:szCs w:val="14"/>
                <w:lang w:eastAsia="tr-TR"/>
              </w:rPr>
            </w:pPr>
            <w:r w:rsidRPr="00B26875">
              <w:rPr>
                <w:b/>
                <w:bCs/>
                <w:sz w:val="14"/>
                <w:szCs w:val="14"/>
                <w:lang w:eastAsia="tr-TR"/>
              </w:rPr>
              <w:t>3,165,890</w:t>
            </w:r>
          </w:p>
        </w:tc>
        <w:tc>
          <w:tcPr>
            <w:tcW w:w="991" w:type="dxa"/>
            <w:tcBorders>
              <w:top w:val="nil"/>
              <w:left w:val="nil"/>
              <w:bottom w:val="single" w:sz="8" w:space="0" w:color="auto"/>
              <w:right w:val="nil"/>
            </w:tcBorders>
            <w:shd w:val="clear" w:color="auto" w:fill="auto"/>
            <w:vAlign w:val="center"/>
            <w:hideMark/>
          </w:tcPr>
          <w:p w14:paraId="402F7811" w14:textId="77777777" w:rsidR="00B26875" w:rsidRPr="00B26875" w:rsidRDefault="00B26875" w:rsidP="00B26875">
            <w:pPr>
              <w:jc w:val="right"/>
              <w:rPr>
                <w:b/>
                <w:bCs/>
                <w:sz w:val="14"/>
                <w:szCs w:val="14"/>
                <w:lang w:eastAsia="tr-TR"/>
              </w:rPr>
            </w:pPr>
            <w:r w:rsidRPr="00B26875">
              <w:rPr>
                <w:b/>
                <w:bCs/>
                <w:sz w:val="14"/>
                <w:szCs w:val="14"/>
                <w:lang w:eastAsia="tr-TR"/>
              </w:rPr>
              <w:t>8,951,055</w:t>
            </w:r>
          </w:p>
        </w:tc>
        <w:tc>
          <w:tcPr>
            <w:tcW w:w="818" w:type="dxa"/>
            <w:tcBorders>
              <w:top w:val="nil"/>
              <w:left w:val="nil"/>
              <w:bottom w:val="single" w:sz="8" w:space="0" w:color="auto"/>
              <w:right w:val="nil"/>
            </w:tcBorders>
            <w:shd w:val="clear" w:color="auto" w:fill="auto"/>
            <w:vAlign w:val="center"/>
            <w:hideMark/>
          </w:tcPr>
          <w:p w14:paraId="781E03B5" w14:textId="77777777" w:rsidR="00B26875" w:rsidRPr="00B26875" w:rsidRDefault="00B26875" w:rsidP="00B26875">
            <w:pPr>
              <w:jc w:val="right"/>
              <w:rPr>
                <w:b/>
                <w:bCs/>
                <w:sz w:val="14"/>
                <w:szCs w:val="14"/>
                <w:lang w:eastAsia="tr-TR"/>
              </w:rPr>
            </w:pPr>
            <w:r w:rsidRPr="00B26875">
              <w:rPr>
                <w:b/>
                <w:bCs/>
                <w:sz w:val="14"/>
                <w:szCs w:val="14"/>
                <w:lang w:eastAsia="tr-TR"/>
              </w:rPr>
              <w:t>153,119,720</w:t>
            </w:r>
          </w:p>
        </w:tc>
      </w:tr>
      <w:tr w:rsidR="00B26875" w:rsidRPr="00B26875" w14:paraId="3457BCE2" w14:textId="77777777" w:rsidTr="00FC1F5B">
        <w:trPr>
          <w:divId w:val="945768336"/>
          <w:trHeight w:val="216"/>
        </w:trPr>
        <w:tc>
          <w:tcPr>
            <w:tcW w:w="3062" w:type="dxa"/>
            <w:tcBorders>
              <w:top w:val="nil"/>
              <w:left w:val="nil"/>
              <w:bottom w:val="nil"/>
              <w:right w:val="nil"/>
            </w:tcBorders>
            <w:shd w:val="clear" w:color="auto" w:fill="auto"/>
            <w:noWrap/>
            <w:vAlign w:val="bottom"/>
            <w:hideMark/>
          </w:tcPr>
          <w:p w14:paraId="1FCD61DB" w14:textId="77777777" w:rsidR="00B26875" w:rsidRPr="00B26875" w:rsidRDefault="00B26875" w:rsidP="00B26875">
            <w:pPr>
              <w:rPr>
                <w:sz w:val="14"/>
                <w:szCs w:val="14"/>
                <w:lang w:eastAsia="tr-TR"/>
              </w:rPr>
            </w:pPr>
            <w:r w:rsidRPr="00B26875">
              <w:rPr>
                <w:sz w:val="14"/>
                <w:szCs w:val="14"/>
                <w:lang w:eastAsia="tr-TR"/>
              </w:rPr>
              <w:t>Likidite Açığı</w:t>
            </w:r>
          </w:p>
        </w:tc>
        <w:tc>
          <w:tcPr>
            <w:tcW w:w="841" w:type="dxa"/>
            <w:tcBorders>
              <w:top w:val="nil"/>
              <w:left w:val="nil"/>
              <w:bottom w:val="nil"/>
              <w:right w:val="nil"/>
            </w:tcBorders>
            <w:shd w:val="clear" w:color="auto" w:fill="auto"/>
            <w:vAlign w:val="bottom"/>
            <w:hideMark/>
          </w:tcPr>
          <w:p w14:paraId="252FE0D5" w14:textId="77777777" w:rsidR="00B26875" w:rsidRPr="00B26875" w:rsidRDefault="00B26875" w:rsidP="00FC1F5B">
            <w:pPr>
              <w:jc w:val="right"/>
              <w:rPr>
                <w:sz w:val="14"/>
                <w:szCs w:val="14"/>
                <w:lang w:eastAsia="tr-TR"/>
              </w:rPr>
            </w:pPr>
            <w:r w:rsidRPr="00B26875">
              <w:rPr>
                <w:sz w:val="14"/>
                <w:szCs w:val="14"/>
                <w:lang w:eastAsia="tr-TR"/>
              </w:rPr>
              <w:t>(59,008,481)</w:t>
            </w:r>
          </w:p>
        </w:tc>
        <w:tc>
          <w:tcPr>
            <w:tcW w:w="841" w:type="dxa"/>
            <w:tcBorders>
              <w:top w:val="nil"/>
              <w:left w:val="nil"/>
              <w:bottom w:val="nil"/>
              <w:right w:val="nil"/>
            </w:tcBorders>
            <w:shd w:val="clear" w:color="auto" w:fill="auto"/>
            <w:vAlign w:val="bottom"/>
            <w:hideMark/>
          </w:tcPr>
          <w:p w14:paraId="38D10FCA" w14:textId="77777777" w:rsidR="00B26875" w:rsidRPr="00B26875" w:rsidRDefault="00B26875" w:rsidP="00FC1F5B">
            <w:pPr>
              <w:jc w:val="right"/>
              <w:rPr>
                <w:sz w:val="14"/>
                <w:szCs w:val="14"/>
                <w:lang w:eastAsia="tr-TR"/>
              </w:rPr>
            </w:pPr>
            <w:r w:rsidRPr="00B26875">
              <w:rPr>
                <w:sz w:val="14"/>
                <w:szCs w:val="14"/>
                <w:lang w:eastAsia="tr-TR"/>
              </w:rPr>
              <w:t>(11,226,046)</w:t>
            </w:r>
          </w:p>
        </w:tc>
        <w:tc>
          <w:tcPr>
            <w:tcW w:w="750" w:type="dxa"/>
            <w:tcBorders>
              <w:top w:val="nil"/>
              <w:left w:val="nil"/>
              <w:bottom w:val="nil"/>
              <w:right w:val="nil"/>
            </w:tcBorders>
            <w:shd w:val="clear" w:color="auto" w:fill="auto"/>
            <w:vAlign w:val="bottom"/>
            <w:hideMark/>
          </w:tcPr>
          <w:p w14:paraId="47578C01" w14:textId="77777777" w:rsidR="00B26875" w:rsidRPr="00B26875" w:rsidRDefault="00B26875" w:rsidP="00FC1F5B">
            <w:pPr>
              <w:jc w:val="right"/>
              <w:rPr>
                <w:sz w:val="14"/>
                <w:szCs w:val="14"/>
                <w:lang w:eastAsia="tr-TR"/>
              </w:rPr>
            </w:pPr>
            <w:r w:rsidRPr="00B26875">
              <w:rPr>
                <w:sz w:val="14"/>
                <w:szCs w:val="14"/>
                <w:lang w:eastAsia="tr-TR"/>
              </w:rPr>
              <w:t>4,431,242</w:t>
            </w:r>
          </w:p>
        </w:tc>
        <w:tc>
          <w:tcPr>
            <w:tcW w:w="750" w:type="dxa"/>
            <w:tcBorders>
              <w:top w:val="nil"/>
              <w:left w:val="nil"/>
              <w:bottom w:val="nil"/>
              <w:right w:val="nil"/>
            </w:tcBorders>
            <w:shd w:val="clear" w:color="auto" w:fill="auto"/>
            <w:vAlign w:val="bottom"/>
            <w:hideMark/>
          </w:tcPr>
          <w:p w14:paraId="04A2D11E" w14:textId="77777777" w:rsidR="00B26875" w:rsidRPr="00B26875" w:rsidRDefault="00B26875" w:rsidP="00FC1F5B">
            <w:pPr>
              <w:jc w:val="right"/>
              <w:rPr>
                <w:sz w:val="14"/>
                <w:szCs w:val="14"/>
                <w:lang w:eastAsia="tr-TR"/>
              </w:rPr>
            </w:pPr>
            <w:r w:rsidRPr="00B26875">
              <w:rPr>
                <w:sz w:val="14"/>
                <w:szCs w:val="14"/>
                <w:lang w:eastAsia="tr-TR"/>
              </w:rPr>
              <w:t>32,800,873</w:t>
            </w:r>
          </w:p>
        </w:tc>
        <w:tc>
          <w:tcPr>
            <w:tcW w:w="750" w:type="dxa"/>
            <w:tcBorders>
              <w:top w:val="nil"/>
              <w:left w:val="nil"/>
              <w:bottom w:val="nil"/>
              <w:right w:val="nil"/>
            </w:tcBorders>
            <w:shd w:val="clear" w:color="auto" w:fill="auto"/>
            <w:vAlign w:val="bottom"/>
            <w:hideMark/>
          </w:tcPr>
          <w:p w14:paraId="753D1BB3" w14:textId="77777777" w:rsidR="00B26875" w:rsidRPr="00B26875" w:rsidRDefault="00B26875" w:rsidP="00FC1F5B">
            <w:pPr>
              <w:jc w:val="right"/>
              <w:rPr>
                <w:sz w:val="14"/>
                <w:szCs w:val="14"/>
                <w:lang w:eastAsia="tr-TR"/>
              </w:rPr>
            </w:pPr>
            <w:r w:rsidRPr="00B26875">
              <w:rPr>
                <w:sz w:val="14"/>
                <w:szCs w:val="14"/>
                <w:lang w:eastAsia="tr-TR"/>
              </w:rPr>
              <w:t>38,421,409</w:t>
            </w:r>
          </w:p>
        </w:tc>
        <w:tc>
          <w:tcPr>
            <w:tcW w:w="683" w:type="dxa"/>
            <w:tcBorders>
              <w:top w:val="nil"/>
              <w:left w:val="nil"/>
              <w:bottom w:val="nil"/>
              <w:right w:val="nil"/>
            </w:tcBorders>
            <w:shd w:val="clear" w:color="auto" w:fill="auto"/>
            <w:vAlign w:val="bottom"/>
            <w:hideMark/>
          </w:tcPr>
          <w:p w14:paraId="445C9DE2" w14:textId="77777777" w:rsidR="00B26875" w:rsidRPr="00B26875" w:rsidRDefault="00B26875" w:rsidP="00FC1F5B">
            <w:pPr>
              <w:jc w:val="right"/>
              <w:rPr>
                <w:sz w:val="14"/>
                <w:szCs w:val="14"/>
                <w:lang w:eastAsia="tr-TR"/>
              </w:rPr>
            </w:pPr>
            <w:r w:rsidRPr="00B26875">
              <w:rPr>
                <w:sz w:val="14"/>
                <w:szCs w:val="14"/>
                <w:lang w:eastAsia="tr-TR"/>
              </w:rPr>
              <w:t>1,097,367</w:t>
            </w:r>
          </w:p>
        </w:tc>
        <w:tc>
          <w:tcPr>
            <w:tcW w:w="991" w:type="dxa"/>
            <w:tcBorders>
              <w:top w:val="nil"/>
              <w:left w:val="nil"/>
              <w:bottom w:val="nil"/>
              <w:right w:val="nil"/>
            </w:tcBorders>
            <w:shd w:val="clear" w:color="auto" w:fill="auto"/>
            <w:vAlign w:val="bottom"/>
            <w:hideMark/>
          </w:tcPr>
          <w:p w14:paraId="3021CAAF" w14:textId="77777777" w:rsidR="00B26875" w:rsidRPr="00B26875" w:rsidRDefault="00B26875" w:rsidP="00FC1F5B">
            <w:pPr>
              <w:jc w:val="right"/>
              <w:rPr>
                <w:sz w:val="14"/>
                <w:szCs w:val="14"/>
                <w:lang w:eastAsia="tr-TR"/>
              </w:rPr>
            </w:pPr>
            <w:r w:rsidRPr="00B26875">
              <w:rPr>
                <w:sz w:val="14"/>
                <w:szCs w:val="14"/>
                <w:lang w:eastAsia="tr-TR"/>
              </w:rPr>
              <w:t>(6,516,364)</w:t>
            </w:r>
          </w:p>
        </w:tc>
        <w:tc>
          <w:tcPr>
            <w:tcW w:w="818" w:type="dxa"/>
            <w:tcBorders>
              <w:top w:val="nil"/>
              <w:left w:val="nil"/>
              <w:bottom w:val="nil"/>
              <w:right w:val="nil"/>
            </w:tcBorders>
            <w:shd w:val="clear" w:color="auto" w:fill="auto"/>
            <w:vAlign w:val="bottom"/>
            <w:hideMark/>
          </w:tcPr>
          <w:p w14:paraId="1B695E6A" w14:textId="77777777" w:rsidR="00B26875" w:rsidRPr="00B26875" w:rsidRDefault="00B26875" w:rsidP="00FC1F5B">
            <w:pPr>
              <w:jc w:val="right"/>
              <w:rPr>
                <w:sz w:val="14"/>
                <w:szCs w:val="14"/>
                <w:lang w:eastAsia="tr-TR"/>
              </w:rPr>
            </w:pPr>
            <w:r w:rsidRPr="00B26875">
              <w:rPr>
                <w:sz w:val="14"/>
                <w:szCs w:val="14"/>
                <w:lang w:eastAsia="tr-TR"/>
              </w:rPr>
              <w:t>-</w:t>
            </w:r>
          </w:p>
        </w:tc>
      </w:tr>
      <w:tr w:rsidR="00B26875" w:rsidRPr="00B26875" w14:paraId="3417C545"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24F602AB" w14:textId="77777777" w:rsidR="00B26875" w:rsidRPr="00B26875" w:rsidRDefault="00B26875" w:rsidP="00B26875">
            <w:pPr>
              <w:rPr>
                <w:b/>
                <w:bCs/>
                <w:sz w:val="14"/>
                <w:szCs w:val="14"/>
                <w:lang w:eastAsia="tr-TR"/>
              </w:rPr>
            </w:pPr>
            <w:r w:rsidRPr="00B26875">
              <w:rPr>
                <w:b/>
                <w:bCs/>
                <w:sz w:val="14"/>
                <w:szCs w:val="14"/>
                <w:lang w:eastAsia="tr-TR"/>
              </w:rPr>
              <w:t>Önceki Dönem</w:t>
            </w:r>
          </w:p>
        </w:tc>
        <w:tc>
          <w:tcPr>
            <w:tcW w:w="841" w:type="dxa"/>
            <w:tcBorders>
              <w:top w:val="nil"/>
              <w:left w:val="nil"/>
              <w:bottom w:val="nil"/>
              <w:right w:val="nil"/>
            </w:tcBorders>
            <w:shd w:val="clear" w:color="auto" w:fill="auto"/>
            <w:vAlign w:val="bottom"/>
            <w:hideMark/>
          </w:tcPr>
          <w:p w14:paraId="0CD1286D" w14:textId="77777777" w:rsidR="00B26875" w:rsidRPr="00B26875" w:rsidRDefault="00B26875" w:rsidP="00FC1F5B">
            <w:pPr>
              <w:jc w:val="right"/>
              <w:rPr>
                <w:b/>
                <w:bCs/>
                <w:sz w:val="14"/>
                <w:szCs w:val="14"/>
                <w:lang w:eastAsia="tr-TR"/>
              </w:rPr>
            </w:pPr>
          </w:p>
        </w:tc>
        <w:tc>
          <w:tcPr>
            <w:tcW w:w="841" w:type="dxa"/>
            <w:tcBorders>
              <w:top w:val="nil"/>
              <w:left w:val="nil"/>
              <w:bottom w:val="nil"/>
              <w:right w:val="nil"/>
            </w:tcBorders>
            <w:shd w:val="clear" w:color="auto" w:fill="auto"/>
            <w:vAlign w:val="bottom"/>
            <w:hideMark/>
          </w:tcPr>
          <w:p w14:paraId="4F0889F4" w14:textId="77777777" w:rsidR="00B26875" w:rsidRPr="00B26875" w:rsidRDefault="00B26875" w:rsidP="00FC1F5B">
            <w:pPr>
              <w:jc w:val="right"/>
              <w:rPr>
                <w:b/>
                <w:bCs/>
                <w:sz w:val="14"/>
                <w:szCs w:val="14"/>
                <w:lang w:eastAsia="tr-TR"/>
              </w:rPr>
            </w:pPr>
          </w:p>
        </w:tc>
        <w:tc>
          <w:tcPr>
            <w:tcW w:w="750" w:type="dxa"/>
            <w:tcBorders>
              <w:top w:val="nil"/>
              <w:left w:val="nil"/>
              <w:bottom w:val="nil"/>
              <w:right w:val="nil"/>
            </w:tcBorders>
            <w:shd w:val="clear" w:color="auto" w:fill="auto"/>
            <w:vAlign w:val="bottom"/>
            <w:hideMark/>
          </w:tcPr>
          <w:p w14:paraId="15A143DD" w14:textId="77777777" w:rsidR="00B26875" w:rsidRPr="00B26875" w:rsidRDefault="00B26875" w:rsidP="00FC1F5B">
            <w:pPr>
              <w:jc w:val="right"/>
              <w:rPr>
                <w:b/>
                <w:bCs/>
                <w:sz w:val="14"/>
                <w:szCs w:val="14"/>
                <w:lang w:eastAsia="tr-TR"/>
              </w:rPr>
            </w:pPr>
          </w:p>
        </w:tc>
        <w:tc>
          <w:tcPr>
            <w:tcW w:w="750" w:type="dxa"/>
            <w:tcBorders>
              <w:top w:val="nil"/>
              <w:left w:val="nil"/>
              <w:bottom w:val="nil"/>
              <w:right w:val="nil"/>
            </w:tcBorders>
            <w:shd w:val="clear" w:color="auto" w:fill="auto"/>
            <w:vAlign w:val="bottom"/>
            <w:hideMark/>
          </w:tcPr>
          <w:p w14:paraId="66B5302D" w14:textId="77777777" w:rsidR="00B26875" w:rsidRPr="00B26875" w:rsidRDefault="00B26875" w:rsidP="00FC1F5B">
            <w:pPr>
              <w:jc w:val="right"/>
              <w:rPr>
                <w:b/>
                <w:bCs/>
                <w:sz w:val="14"/>
                <w:szCs w:val="14"/>
                <w:lang w:eastAsia="tr-TR"/>
              </w:rPr>
            </w:pPr>
          </w:p>
        </w:tc>
        <w:tc>
          <w:tcPr>
            <w:tcW w:w="750" w:type="dxa"/>
            <w:tcBorders>
              <w:top w:val="nil"/>
              <w:left w:val="nil"/>
              <w:bottom w:val="nil"/>
              <w:right w:val="nil"/>
            </w:tcBorders>
            <w:shd w:val="clear" w:color="auto" w:fill="auto"/>
            <w:vAlign w:val="bottom"/>
            <w:hideMark/>
          </w:tcPr>
          <w:p w14:paraId="500625B5" w14:textId="77777777" w:rsidR="00B26875" w:rsidRPr="00B26875" w:rsidRDefault="00B26875" w:rsidP="00FC1F5B">
            <w:pPr>
              <w:jc w:val="right"/>
              <w:rPr>
                <w:b/>
                <w:bCs/>
                <w:sz w:val="14"/>
                <w:szCs w:val="14"/>
                <w:lang w:eastAsia="tr-TR"/>
              </w:rPr>
            </w:pPr>
          </w:p>
        </w:tc>
        <w:tc>
          <w:tcPr>
            <w:tcW w:w="683" w:type="dxa"/>
            <w:tcBorders>
              <w:top w:val="nil"/>
              <w:left w:val="nil"/>
              <w:bottom w:val="nil"/>
              <w:right w:val="nil"/>
            </w:tcBorders>
            <w:shd w:val="clear" w:color="auto" w:fill="auto"/>
            <w:vAlign w:val="bottom"/>
            <w:hideMark/>
          </w:tcPr>
          <w:p w14:paraId="16E17828" w14:textId="77777777" w:rsidR="00B26875" w:rsidRPr="00B26875" w:rsidRDefault="00B26875" w:rsidP="00FC1F5B">
            <w:pPr>
              <w:jc w:val="right"/>
              <w:rPr>
                <w:b/>
                <w:bCs/>
                <w:sz w:val="14"/>
                <w:szCs w:val="14"/>
                <w:lang w:eastAsia="tr-TR"/>
              </w:rPr>
            </w:pPr>
          </w:p>
        </w:tc>
        <w:tc>
          <w:tcPr>
            <w:tcW w:w="991" w:type="dxa"/>
            <w:tcBorders>
              <w:top w:val="nil"/>
              <w:left w:val="nil"/>
              <w:bottom w:val="nil"/>
              <w:right w:val="nil"/>
            </w:tcBorders>
            <w:shd w:val="clear" w:color="auto" w:fill="auto"/>
            <w:vAlign w:val="bottom"/>
            <w:hideMark/>
          </w:tcPr>
          <w:p w14:paraId="62CB637B" w14:textId="77777777" w:rsidR="00B26875" w:rsidRPr="00B26875" w:rsidRDefault="00B26875" w:rsidP="00FC1F5B">
            <w:pPr>
              <w:jc w:val="right"/>
              <w:rPr>
                <w:b/>
                <w:bCs/>
                <w:sz w:val="14"/>
                <w:szCs w:val="14"/>
                <w:lang w:eastAsia="tr-TR"/>
              </w:rPr>
            </w:pPr>
          </w:p>
        </w:tc>
        <w:tc>
          <w:tcPr>
            <w:tcW w:w="818" w:type="dxa"/>
            <w:tcBorders>
              <w:top w:val="nil"/>
              <w:left w:val="nil"/>
              <w:bottom w:val="nil"/>
              <w:right w:val="nil"/>
            </w:tcBorders>
            <w:shd w:val="clear" w:color="auto" w:fill="auto"/>
            <w:vAlign w:val="bottom"/>
            <w:hideMark/>
          </w:tcPr>
          <w:p w14:paraId="2FB4546E" w14:textId="77777777" w:rsidR="00B26875" w:rsidRPr="00B26875" w:rsidRDefault="00B26875" w:rsidP="00FC1F5B">
            <w:pPr>
              <w:jc w:val="right"/>
              <w:rPr>
                <w:b/>
                <w:bCs/>
                <w:sz w:val="14"/>
                <w:szCs w:val="14"/>
                <w:lang w:eastAsia="tr-TR"/>
              </w:rPr>
            </w:pPr>
          </w:p>
        </w:tc>
      </w:tr>
      <w:tr w:rsidR="00B26875" w:rsidRPr="00B26875" w14:paraId="3F281A2B"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0EF7C295" w14:textId="77777777" w:rsidR="00B26875" w:rsidRPr="00B26875" w:rsidRDefault="00B26875" w:rsidP="00B26875">
            <w:pPr>
              <w:rPr>
                <w:sz w:val="14"/>
                <w:szCs w:val="14"/>
                <w:lang w:eastAsia="tr-TR"/>
              </w:rPr>
            </w:pPr>
            <w:r w:rsidRPr="00B26875">
              <w:rPr>
                <w:sz w:val="14"/>
                <w:szCs w:val="14"/>
                <w:lang w:eastAsia="tr-TR"/>
              </w:rPr>
              <w:t xml:space="preserve">Toplam </w:t>
            </w:r>
            <w:proofErr w:type="spellStart"/>
            <w:r w:rsidRPr="00B26875">
              <w:rPr>
                <w:sz w:val="14"/>
                <w:szCs w:val="14"/>
                <w:lang w:eastAsia="tr-TR"/>
              </w:rPr>
              <w:t>Aktfiler</w:t>
            </w:r>
            <w:proofErr w:type="spellEnd"/>
          </w:p>
        </w:tc>
        <w:tc>
          <w:tcPr>
            <w:tcW w:w="841" w:type="dxa"/>
            <w:tcBorders>
              <w:top w:val="nil"/>
              <w:left w:val="nil"/>
              <w:bottom w:val="nil"/>
              <w:right w:val="nil"/>
            </w:tcBorders>
            <w:shd w:val="clear" w:color="auto" w:fill="auto"/>
            <w:vAlign w:val="bottom"/>
            <w:hideMark/>
          </w:tcPr>
          <w:p w14:paraId="51F091CA" w14:textId="77777777" w:rsidR="00B26875" w:rsidRPr="00B26875" w:rsidRDefault="00B26875" w:rsidP="00FC1F5B">
            <w:pPr>
              <w:jc w:val="right"/>
              <w:rPr>
                <w:sz w:val="14"/>
                <w:szCs w:val="14"/>
                <w:lang w:eastAsia="tr-TR"/>
              </w:rPr>
            </w:pPr>
            <w:r w:rsidRPr="00B26875">
              <w:rPr>
                <w:sz w:val="14"/>
                <w:szCs w:val="14"/>
                <w:lang w:eastAsia="tr-TR"/>
              </w:rPr>
              <w:t>14,684,003</w:t>
            </w:r>
          </w:p>
        </w:tc>
        <w:tc>
          <w:tcPr>
            <w:tcW w:w="841" w:type="dxa"/>
            <w:tcBorders>
              <w:top w:val="nil"/>
              <w:left w:val="nil"/>
              <w:bottom w:val="nil"/>
              <w:right w:val="nil"/>
            </w:tcBorders>
            <w:shd w:val="clear" w:color="auto" w:fill="auto"/>
            <w:vAlign w:val="bottom"/>
            <w:hideMark/>
          </w:tcPr>
          <w:p w14:paraId="1515CD0D" w14:textId="77777777" w:rsidR="00B26875" w:rsidRPr="00B26875" w:rsidRDefault="00B26875" w:rsidP="00FC1F5B">
            <w:pPr>
              <w:jc w:val="right"/>
              <w:rPr>
                <w:sz w:val="14"/>
                <w:szCs w:val="14"/>
                <w:lang w:eastAsia="tr-TR"/>
              </w:rPr>
            </w:pPr>
            <w:r w:rsidRPr="00B26875">
              <w:rPr>
                <w:sz w:val="14"/>
                <w:szCs w:val="14"/>
                <w:lang w:eastAsia="tr-TR"/>
              </w:rPr>
              <w:t>25,120,662</w:t>
            </w:r>
          </w:p>
        </w:tc>
        <w:tc>
          <w:tcPr>
            <w:tcW w:w="750" w:type="dxa"/>
            <w:tcBorders>
              <w:top w:val="nil"/>
              <w:left w:val="nil"/>
              <w:bottom w:val="nil"/>
              <w:right w:val="nil"/>
            </w:tcBorders>
            <w:shd w:val="clear" w:color="auto" w:fill="auto"/>
            <w:vAlign w:val="bottom"/>
            <w:hideMark/>
          </w:tcPr>
          <w:p w14:paraId="006816F6" w14:textId="77777777" w:rsidR="00B26875" w:rsidRPr="00B26875" w:rsidRDefault="00B26875" w:rsidP="00FC1F5B">
            <w:pPr>
              <w:jc w:val="right"/>
              <w:rPr>
                <w:sz w:val="14"/>
                <w:szCs w:val="14"/>
                <w:lang w:eastAsia="tr-TR"/>
              </w:rPr>
            </w:pPr>
            <w:r w:rsidRPr="00B26875">
              <w:rPr>
                <w:sz w:val="14"/>
                <w:szCs w:val="14"/>
                <w:lang w:eastAsia="tr-TR"/>
              </w:rPr>
              <w:t>8,099,186</w:t>
            </w:r>
          </w:p>
        </w:tc>
        <w:tc>
          <w:tcPr>
            <w:tcW w:w="750" w:type="dxa"/>
            <w:tcBorders>
              <w:top w:val="nil"/>
              <w:left w:val="nil"/>
              <w:bottom w:val="nil"/>
              <w:right w:val="nil"/>
            </w:tcBorders>
            <w:shd w:val="clear" w:color="auto" w:fill="auto"/>
            <w:vAlign w:val="bottom"/>
            <w:hideMark/>
          </w:tcPr>
          <w:p w14:paraId="3445876D" w14:textId="77777777" w:rsidR="00B26875" w:rsidRPr="00B26875" w:rsidRDefault="00B26875" w:rsidP="00FC1F5B">
            <w:pPr>
              <w:jc w:val="right"/>
              <w:rPr>
                <w:sz w:val="14"/>
                <w:szCs w:val="14"/>
                <w:lang w:eastAsia="tr-TR"/>
              </w:rPr>
            </w:pPr>
            <w:r w:rsidRPr="00B26875">
              <w:rPr>
                <w:sz w:val="14"/>
                <w:szCs w:val="14"/>
                <w:lang w:eastAsia="tr-TR"/>
              </w:rPr>
              <w:t>21,014,456</w:t>
            </w:r>
          </w:p>
        </w:tc>
        <w:tc>
          <w:tcPr>
            <w:tcW w:w="750" w:type="dxa"/>
            <w:tcBorders>
              <w:top w:val="nil"/>
              <w:left w:val="nil"/>
              <w:bottom w:val="nil"/>
              <w:right w:val="nil"/>
            </w:tcBorders>
            <w:shd w:val="clear" w:color="auto" w:fill="auto"/>
            <w:vAlign w:val="bottom"/>
            <w:hideMark/>
          </w:tcPr>
          <w:p w14:paraId="6A6932F1" w14:textId="77777777" w:rsidR="00B26875" w:rsidRPr="00B26875" w:rsidRDefault="00B26875" w:rsidP="00FC1F5B">
            <w:pPr>
              <w:jc w:val="right"/>
              <w:rPr>
                <w:sz w:val="14"/>
                <w:szCs w:val="14"/>
                <w:lang w:eastAsia="tr-TR"/>
              </w:rPr>
            </w:pPr>
            <w:r w:rsidRPr="00B26875">
              <w:rPr>
                <w:sz w:val="14"/>
                <w:szCs w:val="14"/>
                <w:lang w:eastAsia="tr-TR"/>
              </w:rPr>
              <w:t>31,667,444</w:t>
            </w:r>
          </w:p>
        </w:tc>
        <w:tc>
          <w:tcPr>
            <w:tcW w:w="683" w:type="dxa"/>
            <w:tcBorders>
              <w:top w:val="nil"/>
              <w:left w:val="nil"/>
              <w:bottom w:val="nil"/>
              <w:right w:val="nil"/>
            </w:tcBorders>
            <w:shd w:val="clear" w:color="auto" w:fill="auto"/>
            <w:vAlign w:val="bottom"/>
            <w:hideMark/>
          </w:tcPr>
          <w:p w14:paraId="60D447AD" w14:textId="77777777" w:rsidR="00B26875" w:rsidRPr="00B26875" w:rsidRDefault="00B26875" w:rsidP="00FC1F5B">
            <w:pPr>
              <w:jc w:val="right"/>
              <w:rPr>
                <w:sz w:val="14"/>
                <w:szCs w:val="14"/>
                <w:lang w:eastAsia="tr-TR"/>
              </w:rPr>
            </w:pPr>
            <w:r w:rsidRPr="00B26875">
              <w:rPr>
                <w:sz w:val="14"/>
                <w:szCs w:val="14"/>
                <w:lang w:eastAsia="tr-TR"/>
              </w:rPr>
              <w:t>2,380,485</w:t>
            </w:r>
          </w:p>
        </w:tc>
        <w:tc>
          <w:tcPr>
            <w:tcW w:w="991" w:type="dxa"/>
            <w:tcBorders>
              <w:top w:val="nil"/>
              <w:left w:val="nil"/>
              <w:bottom w:val="nil"/>
              <w:right w:val="nil"/>
            </w:tcBorders>
            <w:shd w:val="clear" w:color="auto" w:fill="auto"/>
            <w:vAlign w:val="bottom"/>
            <w:hideMark/>
          </w:tcPr>
          <w:p w14:paraId="4ACEA8EA" w14:textId="77777777" w:rsidR="00B26875" w:rsidRPr="00B26875" w:rsidRDefault="00B26875" w:rsidP="00FC1F5B">
            <w:pPr>
              <w:jc w:val="right"/>
              <w:rPr>
                <w:sz w:val="14"/>
                <w:szCs w:val="14"/>
                <w:lang w:eastAsia="tr-TR"/>
              </w:rPr>
            </w:pPr>
            <w:r w:rsidRPr="00B26875">
              <w:rPr>
                <w:sz w:val="14"/>
                <w:szCs w:val="14"/>
                <w:lang w:eastAsia="tr-TR"/>
              </w:rPr>
              <w:t>1,473,109</w:t>
            </w:r>
          </w:p>
        </w:tc>
        <w:tc>
          <w:tcPr>
            <w:tcW w:w="818" w:type="dxa"/>
            <w:tcBorders>
              <w:top w:val="nil"/>
              <w:left w:val="nil"/>
              <w:bottom w:val="nil"/>
              <w:right w:val="nil"/>
            </w:tcBorders>
            <w:shd w:val="clear" w:color="auto" w:fill="auto"/>
            <w:vAlign w:val="bottom"/>
            <w:hideMark/>
          </w:tcPr>
          <w:p w14:paraId="7532F684" w14:textId="77777777" w:rsidR="00B26875" w:rsidRPr="00B26875" w:rsidRDefault="00B26875" w:rsidP="00FC1F5B">
            <w:pPr>
              <w:jc w:val="right"/>
              <w:rPr>
                <w:sz w:val="14"/>
                <w:szCs w:val="14"/>
                <w:lang w:eastAsia="tr-TR"/>
              </w:rPr>
            </w:pPr>
            <w:r w:rsidRPr="00B26875">
              <w:rPr>
                <w:sz w:val="14"/>
                <w:szCs w:val="14"/>
                <w:lang w:eastAsia="tr-TR"/>
              </w:rPr>
              <w:t>104,439,345</w:t>
            </w:r>
          </w:p>
        </w:tc>
      </w:tr>
      <w:tr w:rsidR="00B26875" w:rsidRPr="00B26875" w14:paraId="2FCDA005"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0080B2F9" w14:textId="77777777" w:rsidR="00B26875" w:rsidRPr="00B26875" w:rsidRDefault="00B26875" w:rsidP="00B26875">
            <w:pPr>
              <w:rPr>
                <w:sz w:val="14"/>
                <w:szCs w:val="14"/>
                <w:lang w:eastAsia="tr-TR"/>
              </w:rPr>
            </w:pPr>
            <w:r w:rsidRPr="00B26875">
              <w:rPr>
                <w:sz w:val="14"/>
                <w:szCs w:val="14"/>
                <w:lang w:eastAsia="tr-TR"/>
              </w:rPr>
              <w:t>Toplam yükümlülükler</w:t>
            </w:r>
          </w:p>
        </w:tc>
        <w:tc>
          <w:tcPr>
            <w:tcW w:w="841" w:type="dxa"/>
            <w:tcBorders>
              <w:top w:val="nil"/>
              <w:left w:val="nil"/>
              <w:bottom w:val="nil"/>
              <w:right w:val="nil"/>
            </w:tcBorders>
            <w:shd w:val="clear" w:color="auto" w:fill="auto"/>
            <w:vAlign w:val="bottom"/>
            <w:hideMark/>
          </w:tcPr>
          <w:p w14:paraId="645EBBA5" w14:textId="77777777" w:rsidR="00B26875" w:rsidRPr="00B26875" w:rsidRDefault="00B26875" w:rsidP="00FC1F5B">
            <w:pPr>
              <w:jc w:val="right"/>
              <w:rPr>
                <w:sz w:val="14"/>
                <w:szCs w:val="14"/>
                <w:lang w:eastAsia="tr-TR"/>
              </w:rPr>
            </w:pPr>
            <w:r w:rsidRPr="00B26875">
              <w:rPr>
                <w:sz w:val="14"/>
                <w:szCs w:val="14"/>
                <w:lang w:eastAsia="tr-TR"/>
              </w:rPr>
              <w:t>35,938,126</w:t>
            </w:r>
          </w:p>
        </w:tc>
        <w:tc>
          <w:tcPr>
            <w:tcW w:w="841" w:type="dxa"/>
            <w:tcBorders>
              <w:top w:val="nil"/>
              <w:left w:val="nil"/>
              <w:bottom w:val="nil"/>
              <w:right w:val="nil"/>
            </w:tcBorders>
            <w:shd w:val="clear" w:color="auto" w:fill="auto"/>
            <w:vAlign w:val="bottom"/>
            <w:hideMark/>
          </w:tcPr>
          <w:p w14:paraId="215183D5" w14:textId="77777777" w:rsidR="00B26875" w:rsidRPr="00B26875" w:rsidRDefault="00B26875" w:rsidP="00FC1F5B">
            <w:pPr>
              <w:jc w:val="right"/>
              <w:rPr>
                <w:sz w:val="14"/>
                <w:szCs w:val="14"/>
                <w:lang w:eastAsia="tr-TR"/>
              </w:rPr>
            </w:pPr>
            <w:r w:rsidRPr="00B26875">
              <w:rPr>
                <w:sz w:val="14"/>
                <w:szCs w:val="14"/>
                <w:lang w:eastAsia="tr-TR"/>
              </w:rPr>
              <w:t>42,875,472</w:t>
            </w:r>
          </w:p>
        </w:tc>
        <w:tc>
          <w:tcPr>
            <w:tcW w:w="750" w:type="dxa"/>
            <w:tcBorders>
              <w:top w:val="nil"/>
              <w:left w:val="nil"/>
              <w:bottom w:val="nil"/>
              <w:right w:val="nil"/>
            </w:tcBorders>
            <w:shd w:val="clear" w:color="auto" w:fill="auto"/>
            <w:vAlign w:val="bottom"/>
            <w:hideMark/>
          </w:tcPr>
          <w:p w14:paraId="4F3B4DFB" w14:textId="77777777" w:rsidR="00B26875" w:rsidRPr="00B26875" w:rsidRDefault="00B26875" w:rsidP="00FC1F5B">
            <w:pPr>
              <w:jc w:val="right"/>
              <w:rPr>
                <w:sz w:val="14"/>
                <w:szCs w:val="14"/>
                <w:lang w:eastAsia="tr-TR"/>
              </w:rPr>
            </w:pPr>
            <w:r w:rsidRPr="00B26875">
              <w:rPr>
                <w:sz w:val="14"/>
                <w:szCs w:val="14"/>
                <w:lang w:eastAsia="tr-TR"/>
              </w:rPr>
              <w:t>6,417,401</w:t>
            </w:r>
          </w:p>
        </w:tc>
        <w:tc>
          <w:tcPr>
            <w:tcW w:w="750" w:type="dxa"/>
            <w:tcBorders>
              <w:top w:val="nil"/>
              <w:left w:val="nil"/>
              <w:bottom w:val="nil"/>
              <w:right w:val="nil"/>
            </w:tcBorders>
            <w:shd w:val="clear" w:color="auto" w:fill="auto"/>
            <w:vAlign w:val="bottom"/>
            <w:hideMark/>
          </w:tcPr>
          <w:p w14:paraId="312B7A97" w14:textId="77777777" w:rsidR="00B26875" w:rsidRPr="00B26875" w:rsidRDefault="00B26875" w:rsidP="00FC1F5B">
            <w:pPr>
              <w:jc w:val="right"/>
              <w:rPr>
                <w:sz w:val="14"/>
                <w:szCs w:val="14"/>
                <w:lang w:eastAsia="tr-TR"/>
              </w:rPr>
            </w:pPr>
            <w:r w:rsidRPr="00B26875">
              <w:rPr>
                <w:sz w:val="14"/>
                <w:szCs w:val="14"/>
                <w:lang w:eastAsia="tr-TR"/>
              </w:rPr>
              <w:t>4,576,822</w:t>
            </w:r>
          </w:p>
        </w:tc>
        <w:tc>
          <w:tcPr>
            <w:tcW w:w="750" w:type="dxa"/>
            <w:tcBorders>
              <w:top w:val="nil"/>
              <w:left w:val="nil"/>
              <w:bottom w:val="nil"/>
              <w:right w:val="nil"/>
            </w:tcBorders>
            <w:shd w:val="clear" w:color="auto" w:fill="auto"/>
            <w:vAlign w:val="bottom"/>
            <w:hideMark/>
          </w:tcPr>
          <w:p w14:paraId="6C0AB59D" w14:textId="77777777" w:rsidR="00B26875" w:rsidRPr="00B26875" w:rsidRDefault="00B26875" w:rsidP="00FC1F5B">
            <w:pPr>
              <w:jc w:val="right"/>
              <w:rPr>
                <w:sz w:val="14"/>
                <w:szCs w:val="14"/>
                <w:lang w:eastAsia="tr-TR"/>
              </w:rPr>
            </w:pPr>
            <w:r w:rsidRPr="00B26875">
              <w:rPr>
                <w:sz w:val="14"/>
                <w:szCs w:val="14"/>
                <w:lang w:eastAsia="tr-TR"/>
              </w:rPr>
              <w:t>4,471,165</w:t>
            </w:r>
          </w:p>
        </w:tc>
        <w:tc>
          <w:tcPr>
            <w:tcW w:w="683" w:type="dxa"/>
            <w:tcBorders>
              <w:top w:val="nil"/>
              <w:left w:val="nil"/>
              <w:bottom w:val="nil"/>
              <w:right w:val="nil"/>
            </w:tcBorders>
            <w:shd w:val="clear" w:color="auto" w:fill="auto"/>
            <w:vAlign w:val="bottom"/>
            <w:hideMark/>
          </w:tcPr>
          <w:p w14:paraId="71E6422A" w14:textId="77777777" w:rsidR="00B26875" w:rsidRPr="00B26875" w:rsidRDefault="00B26875" w:rsidP="00FC1F5B">
            <w:pPr>
              <w:jc w:val="right"/>
              <w:rPr>
                <w:sz w:val="14"/>
                <w:szCs w:val="14"/>
                <w:lang w:eastAsia="tr-TR"/>
              </w:rPr>
            </w:pPr>
            <w:r w:rsidRPr="00B26875">
              <w:rPr>
                <w:sz w:val="14"/>
                <w:szCs w:val="14"/>
                <w:lang w:eastAsia="tr-TR"/>
              </w:rPr>
              <w:t>2,239,399</w:t>
            </w:r>
          </w:p>
        </w:tc>
        <w:tc>
          <w:tcPr>
            <w:tcW w:w="991" w:type="dxa"/>
            <w:tcBorders>
              <w:top w:val="nil"/>
              <w:left w:val="nil"/>
              <w:bottom w:val="nil"/>
              <w:right w:val="nil"/>
            </w:tcBorders>
            <w:shd w:val="clear" w:color="auto" w:fill="auto"/>
            <w:vAlign w:val="bottom"/>
            <w:hideMark/>
          </w:tcPr>
          <w:p w14:paraId="29854875" w14:textId="77777777" w:rsidR="00B26875" w:rsidRPr="00B26875" w:rsidRDefault="00B26875" w:rsidP="00FC1F5B">
            <w:pPr>
              <w:jc w:val="right"/>
              <w:rPr>
                <w:sz w:val="14"/>
                <w:szCs w:val="14"/>
                <w:lang w:eastAsia="tr-TR"/>
              </w:rPr>
            </w:pPr>
            <w:r w:rsidRPr="00B26875">
              <w:rPr>
                <w:sz w:val="14"/>
                <w:szCs w:val="14"/>
                <w:lang w:eastAsia="tr-TR"/>
              </w:rPr>
              <w:t>7,920,960</w:t>
            </w:r>
          </w:p>
        </w:tc>
        <w:tc>
          <w:tcPr>
            <w:tcW w:w="818" w:type="dxa"/>
            <w:tcBorders>
              <w:top w:val="nil"/>
              <w:left w:val="nil"/>
              <w:bottom w:val="nil"/>
              <w:right w:val="nil"/>
            </w:tcBorders>
            <w:shd w:val="clear" w:color="auto" w:fill="auto"/>
            <w:vAlign w:val="bottom"/>
            <w:hideMark/>
          </w:tcPr>
          <w:p w14:paraId="79398C70" w14:textId="77777777" w:rsidR="00B26875" w:rsidRPr="00B26875" w:rsidRDefault="00B26875" w:rsidP="00FC1F5B">
            <w:pPr>
              <w:jc w:val="right"/>
              <w:rPr>
                <w:sz w:val="14"/>
                <w:szCs w:val="14"/>
                <w:lang w:eastAsia="tr-TR"/>
              </w:rPr>
            </w:pPr>
            <w:r w:rsidRPr="00B26875">
              <w:rPr>
                <w:sz w:val="14"/>
                <w:szCs w:val="14"/>
                <w:lang w:eastAsia="tr-TR"/>
              </w:rPr>
              <w:t>104,439,345</w:t>
            </w:r>
          </w:p>
        </w:tc>
      </w:tr>
      <w:tr w:rsidR="00B26875" w:rsidRPr="00B26875" w14:paraId="78ADB1BF" w14:textId="77777777" w:rsidTr="00FC1F5B">
        <w:trPr>
          <w:divId w:val="945768336"/>
          <w:trHeight w:val="234"/>
        </w:trPr>
        <w:tc>
          <w:tcPr>
            <w:tcW w:w="3062" w:type="dxa"/>
            <w:tcBorders>
              <w:top w:val="nil"/>
              <w:left w:val="nil"/>
              <w:bottom w:val="nil"/>
              <w:right w:val="nil"/>
            </w:tcBorders>
            <w:shd w:val="clear" w:color="auto" w:fill="auto"/>
            <w:noWrap/>
            <w:vAlign w:val="bottom"/>
            <w:hideMark/>
          </w:tcPr>
          <w:p w14:paraId="7E80B90D" w14:textId="77777777" w:rsidR="00B26875" w:rsidRPr="00B26875" w:rsidRDefault="00B26875" w:rsidP="00B26875">
            <w:pPr>
              <w:rPr>
                <w:sz w:val="14"/>
                <w:szCs w:val="14"/>
                <w:lang w:eastAsia="tr-TR"/>
              </w:rPr>
            </w:pPr>
            <w:r w:rsidRPr="00B26875">
              <w:rPr>
                <w:sz w:val="14"/>
                <w:szCs w:val="14"/>
                <w:lang w:eastAsia="tr-TR"/>
              </w:rPr>
              <w:t>Likidite Açığı</w:t>
            </w:r>
          </w:p>
        </w:tc>
        <w:tc>
          <w:tcPr>
            <w:tcW w:w="841" w:type="dxa"/>
            <w:tcBorders>
              <w:top w:val="nil"/>
              <w:left w:val="nil"/>
              <w:bottom w:val="nil"/>
              <w:right w:val="nil"/>
            </w:tcBorders>
            <w:shd w:val="clear" w:color="auto" w:fill="auto"/>
            <w:vAlign w:val="bottom"/>
            <w:hideMark/>
          </w:tcPr>
          <w:p w14:paraId="2B4834BD" w14:textId="77777777" w:rsidR="00B26875" w:rsidRPr="00B26875" w:rsidRDefault="00B26875" w:rsidP="00FC1F5B">
            <w:pPr>
              <w:jc w:val="right"/>
              <w:rPr>
                <w:sz w:val="14"/>
                <w:szCs w:val="14"/>
                <w:lang w:eastAsia="tr-TR"/>
              </w:rPr>
            </w:pPr>
            <w:r w:rsidRPr="00B26875">
              <w:rPr>
                <w:sz w:val="14"/>
                <w:szCs w:val="14"/>
                <w:lang w:eastAsia="tr-TR"/>
              </w:rPr>
              <w:t>(21,254,123)</w:t>
            </w:r>
          </w:p>
        </w:tc>
        <w:tc>
          <w:tcPr>
            <w:tcW w:w="841" w:type="dxa"/>
            <w:tcBorders>
              <w:top w:val="nil"/>
              <w:left w:val="nil"/>
              <w:bottom w:val="nil"/>
              <w:right w:val="nil"/>
            </w:tcBorders>
            <w:shd w:val="clear" w:color="auto" w:fill="auto"/>
            <w:vAlign w:val="bottom"/>
            <w:hideMark/>
          </w:tcPr>
          <w:p w14:paraId="0C1C0ACF" w14:textId="77777777" w:rsidR="00B26875" w:rsidRPr="00B26875" w:rsidRDefault="00B26875" w:rsidP="00FC1F5B">
            <w:pPr>
              <w:jc w:val="right"/>
              <w:rPr>
                <w:sz w:val="14"/>
                <w:szCs w:val="14"/>
                <w:lang w:eastAsia="tr-TR"/>
              </w:rPr>
            </w:pPr>
            <w:r w:rsidRPr="00B26875">
              <w:rPr>
                <w:sz w:val="14"/>
                <w:szCs w:val="14"/>
                <w:lang w:eastAsia="tr-TR"/>
              </w:rPr>
              <w:t>(17,754,810)</w:t>
            </w:r>
          </w:p>
        </w:tc>
        <w:tc>
          <w:tcPr>
            <w:tcW w:w="750" w:type="dxa"/>
            <w:tcBorders>
              <w:top w:val="nil"/>
              <w:left w:val="nil"/>
              <w:bottom w:val="nil"/>
              <w:right w:val="nil"/>
            </w:tcBorders>
            <w:shd w:val="clear" w:color="auto" w:fill="auto"/>
            <w:vAlign w:val="bottom"/>
            <w:hideMark/>
          </w:tcPr>
          <w:p w14:paraId="2AD75A01" w14:textId="77777777" w:rsidR="00B26875" w:rsidRPr="00B26875" w:rsidRDefault="00B26875" w:rsidP="00FC1F5B">
            <w:pPr>
              <w:jc w:val="right"/>
              <w:rPr>
                <w:sz w:val="14"/>
                <w:szCs w:val="14"/>
                <w:lang w:eastAsia="tr-TR"/>
              </w:rPr>
            </w:pPr>
            <w:r w:rsidRPr="00B26875">
              <w:rPr>
                <w:sz w:val="14"/>
                <w:szCs w:val="14"/>
                <w:lang w:eastAsia="tr-TR"/>
              </w:rPr>
              <w:t>1,681,785</w:t>
            </w:r>
          </w:p>
        </w:tc>
        <w:tc>
          <w:tcPr>
            <w:tcW w:w="750" w:type="dxa"/>
            <w:tcBorders>
              <w:top w:val="nil"/>
              <w:left w:val="nil"/>
              <w:bottom w:val="nil"/>
              <w:right w:val="nil"/>
            </w:tcBorders>
            <w:shd w:val="clear" w:color="auto" w:fill="auto"/>
            <w:vAlign w:val="bottom"/>
            <w:hideMark/>
          </w:tcPr>
          <w:p w14:paraId="22A491AF" w14:textId="77777777" w:rsidR="00B26875" w:rsidRPr="00B26875" w:rsidRDefault="00B26875" w:rsidP="00FC1F5B">
            <w:pPr>
              <w:jc w:val="right"/>
              <w:rPr>
                <w:sz w:val="14"/>
                <w:szCs w:val="14"/>
                <w:lang w:eastAsia="tr-TR"/>
              </w:rPr>
            </w:pPr>
            <w:r w:rsidRPr="00B26875">
              <w:rPr>
                <w:sz w:val="14"/>
                <w:szCs w:val="14"/>
                <w:lang w:eastAsia="tr-TR"/>
              </w:rPr>
              <w:t>16,437,634</w:t>
            </w:r>
          </w:p>
        </w:tc>
        <w:tc>
          <w:tcPr>
            <w:tcW w:w="750" w:type="dxa"/>
            <w:tcBorders>
              <w:top w:val="nil"/>
              <w:left w:val="nil"/>
              <w:bottom w:val="nil"/>
              <w:right w:val="nil"/>
            </w:tcBorders>
            <w:shd w:val="clear" w:color="auto" w:fill="auto"/>
            <w:vAlign w:val="bottom"/>
            <w:hideMark/>
          </w:tcPr>
          <w:p w14:paraId="1E75BEB1" w14:textId="77777777" w:rsidR="00B26875" w:rsidRPr="00B26875" w:rsidRDefault="00B26875" w:rsidP="00FC1F5B">
            <w:pPr>
              <w:jc w:val="right"/>
              <w:rPr>
                <w:sz w:val="14"/>
                <w:szCs w:val="14"/>
                <w:lang w:eastAsia="tr-TR"/>
              </w:rPr>
            </w:pPr>
            <w:r w:rsidRPr="00B26875">
              <w:rPr>
                <w:sz w:val="14"/>
                <w:szCs w:val="14"/>
                <w:lang w:eastAsia="tr-TR"/>
              </w:rPr>
              <w:t>27,196,279</w:t>
            </w:r>
          </w:p>
        </w:tc>
        <w:tc>
          <w:tcPr>
            <w:tcW w:w="683" w:type="dxa"/>
            <w:tcBorders>
              <w:top w:val="nil"/>
              <w:left w:val="nil"/>
              <w:bottom w:val="nil"/>
              <w:right w:val="nil"/>
            </w:tcBorders>
            <w:shd w:val="clear" w:color="auto" w:fill="auto"/>
            <w:vAlign w:val="bottom"/>
            <w:hideMark/>
          </w:tcPr>
          <w:p w14:paraId="26215728" w14:textId="77777777" w:rsidR="00B26875" w:rsidRPr="00B26875" w:rsidRDefault="00B26875" w:rsidP="00FC1F5B">
            <w:pPr>
              <w:jc w:val="right"/>
              <w:rPr>
                <w:sz w:val="14"/>
                <w:szCs w:val="14"/>
                <w:lang w:eastAsia="tr-TR"/>
              </w:rPr>
            </w:pPr>
            <w:r w:rsidRPr="00B26875">
              <w:rPr>
                <w:sz w:val="14"/>
                <w:szCs w:val="14"/>
                <w:lang w:eastAsia="tr-TR"/>
              </w:rPr>
              <w:t>141,086</w:t>
            </w:r>
          </w:p>
        </w:tc>
        <w:tc>
          <w:tcPr>
            <w:tcW w:w="991" w:type="dxa"/>
            <w:tcBorders>
              <w:top w:val="nil"/>
              <w:left w:val="nil"/>
              <w:bottom w:val="nil"/>
              <w:right w:val="nil"/>
            </w:tcBorders>
            <w:shd w:val="clear" w:color="auto" w:fill="auto"/>
            <w:vAlign w:val="bottom"/>
            <w:hideMark/>
          </w:tcPr>
          <w:p w14:paraId="68195E9D" w14:textId="77777777" w:rsidR="00B26875" w:rsidRPr="00B26875" w:rsidRDefault="00B26875" w:rsidP="00FC1F5B">
            <w:pPr>
              <w:jc w:val="right"/>
              <w:rPr>
                <w:sz w:val="14"/>
                <w:szCs w:val="14"/>
                <w:lang w:eastAsia="tr-TR"/>
              </w:rPr>
            </w:pPr>
            <w:r w:rsidRPr="00B26875">
              <w:rPr>
                <w:sz w:val="14"/>
                <w:szCs w:val="14"/>
                <w:lang w:eastAsia="tr-TR"/>
              </w:rPr>
              <w:t>(6,447,851)</w:t>
            </w:r>
          </w:p>
        </w:tc>
        <w:tc>
          <w:tcPr>
            <w:tcW w:w="818" w:type="dxa"/>
            <w:tcBorders>
              <w:top w:val="nil"/>
              <w:left w:val="nil"/>
              <w:bottom w:val="nil"/>
              <w:right w:val="nil"/>
            </w:tcBorders>
            <w:shd w:val="clear" w:color="auto" w:fill="auto"/>
            <w:vAlign w:val="bottom"/>
            <w:hideMark/>
          </w:tcPr>
          <w:p w14:paraId="304F9902" w14:textId="77777777" w:rsidR="00B26875" w:rsidRPr="00B26875" w:rsidRDefault="00B26875" w:rsidP="00FC1F5B">
            <w:pPr>
              <w:jc w:val="right"/>
              <w:rPr>
                <w:sz w:val="14"/>
                <w:szCs w:val="14"/>
                <w:lang w:eastAsia="tr-TR"/>
              </w:rPr>
            </w:pPr>
            <w:r w:rsidRPr="00B26875">
              <w:rPr>
                <w:sz w:val="14"/>
                <w:szCs w:val="14"/>
                <w:lang w:eastAsia="tr-TR"/>
              </w:rPr>
              <w:t>-</w:t>
            </w:r>
          </w:p>
        </w:tc>
      </w:tr>
    </w:tbl>
    <w:p w14:paraId="3AFEA73A" w14:textId="456D4D04" w:rsidR="0080080D" w:rsidRPr="00B02AD6" w:rsidRDefault="0080080D" w:rsidP="0064124D">
      <w:pPr>
        <w:pStyle w:val="BodyText"/>
        <w:jc w:val="left"/>
        <w:rPr>
          <w:lang w:val="en-GB" w:eastAsia="en-GB"/>
        </w:rPr>
      </w:pPr>
    </w:p>
    <w:p w14:paraId="65974C8E" w14:textId="7CBB2C31" w:rsidR="0077007B" w:rsidRPr="00B02AD6" w:rsidRDefault="00D35A9A" w:rsidP="00FC1F5B">
      <w:pPr>
        <w:pStyle w:val="BodyText"/>
        <w:ind w:left="567" w:hanging="567"/>
        <w:jc w:val="left"/>
        <w:rPr>
          <w:rFonts w:eastAsia="Arial Unicode MS"/>
          <w:sz w:val="13"/>
          <w:szCs w:val="13"/>
        </w:rPr>
      </w:pPr>
      <w:r w:rsidRPr="00B02AD6">
        <w:rPr>
          <w:rFonts w:eastAsia="Arial Unicode MS"/>
          <w:sz w:val="14"/>
          <w:szCs w:val="14"/>
        </w:rPr>
        <w:t>(*)</w:t>
      </w:r>
      <w:r w:rsidR="00B410A9" w:rsidRPr="00B02AD6">
        <w:rPr>
          <w:rFonts w:eastAsia="Arial Unicode MS"/>
          <w:sz w:val="13"/>
          <w:szCs w:val="13"/>
        </w:rPr>
        <w:t xml:space="preserve">   </w:t>
      </w:r>
      <w:r w:rsidR="00FC1F5B">
        <w:rPr>
          <w:rFonts w:eastAsia="Arial Unicode MS"/>
          <w:sz w:val="13"/>
          <w:szCs w:val="13"/>
        </w:rPr>
        <w:tab/>
      </w:r>
      <w:r w:rsidR="00D846E4" w:rsidRPr="00B02AD6">
        <w:rPr>
          <w:rFonts w:eastAsia="Arial Unicode MS"/>
          <w:sz w:val="13"/>
          <w:szCs w:val="13"/>
        </w:rPr>
        <w:t>B</w:t>
      </w:r>
      <w:r w:rsidR="00083D04" w:rsidRPr="00B02AD6">
        <w:rPr>
          <w:rFonts w:eastAsia="Arial Unicode MS"/>
          <w:sz w:val="13"/>
          <w:szCs w:val="13"/>
        </w:rPr>
        <w:t>eklenen zarar karşılıkl</w:t>
      </w:r>
      <w:r w:rsidR="00B95DDC" w:rsidRPr="00B02AD6">
        <w:rPr>
          <w:rFonts w:eastAsia="Arial Unicode MS"/>
          <w:sz w:val="13"/>
          <w:szCs w:val="13"/>
        </w:rPr>
        <w:t>a</w:t>
      </w:r>
      <w:r w:rsidR="00083D04" w:rsidRPr="00B02AD6">
        <w:rPr>
          <w:rFonts w:eastAsia="Arial Unicode MS"/>
          <w:sz w:val="13"/>
          <w:szCs w:val="13"/>
        </w:rPr>
        <w:t xml:space="preserve">rı ile </w:t>
      </w:r>
      <w:proofErr w:type="spellStart"/>
      <w:r w:rsidR="00083D04" w:rsidRPr="00B02AD6">
        <w:rPr>
          <w:rFonts w:eastAsia="Arial Unicode MS"/>
          <w:sz w:val="13"/>
          <w:szCs w:val="13"/>
        </w:rPr>
        <w:t>netlenerek</w:t>
      </w:r>
      <w:proofErr w:type="spellEnd"/>
      <w:r w:rsidR="00083D04" w:rsidRPr="00B02AD6">
        <w:rPr>
          <w:rFonts w:eastAsia="Arial Unicode MS"/>
          <w:sz w:val="13"/>
          <w:szCs w:val="13"/>
        </w:rPr>
        <w:t xml:space="preserve"> sunulmuştur.</w:t>
      </w:r>
    </w:p>
    <w:p w14:paraId="7860C19E" w14:textId="5D28EEC4" w:rsidR="00C925F3" w:rsidRPr="00B02AD6" w:rsidRDefault="0077007B" w:rsidP="004C4FA7">
      <w:pPr>
        <w:pStyle w:val="BodyText"/>
        <w:ind w:left="539" w:hanging="539"/>
        <w:rPr>
          <w:rFonts w:eastAsia="Arial Unicode MS"/>
          <w:sz w:val="13"/>
          <w:szCs w:val="13"/>
        </w:rPr>
      </w:pPr>
      <w:r w:rsidRPr="00B02AD6">
        <w:rPr>
          <w:rFonts w:eastAsia="Arial Unicode MS"/>
          <w:sz w:val="14"/>
          <w:szCs w:val="14"/>
        </w:rPr>
        <w:t>(**)</w:t>
      </w:r>
      <w:r w:rsidRPr="00B02AD6">
        <w:rPr>
          <w:rFonts w:eastAsia="Arial Unicode MS"/>
          <w:sz w:val="14"/>
          <w:szCs w:val="14"/>
        </w:rPr>
        <w:tab/>
      </w:r>
      <w:r w:rsidR="00D846E4" w:rsidRPr="00B02AD6">
        <w:rPr>
          <w:rFonts w:eastAsia="Arial Unicode MS"/>
          <w:sz w:val="13"/>
          <w:szCs w:val="13"/>
        </w:rPr>
        <w:t xml:space="preserve">Kiralama işlemlerinden alacakları da içermekte ve beklenen zarar karşılıkları ile </w:t>
      </w:r>
      <w:proofErr w:type="spellStart"/>
      <w:r w:rsidR="00D846E4" w:rsidRPr="00B02AD6">
        <w:rPr>
          <w:rFonts w:eastAsia="Arial Unicode MS"/>
          <w:sz w:val="13"/>
          <w:szCs w:val="13"/>
        </w:rPr>
        <w:t>netlenerek</w:t>
      </w:r>
      <w:proofErr w:type="spellEnd"/>
      <w:r w:rsidR="00D846E4" w:rsidRPr="00B02AD6">
        <w:rPr>
          <w:rFonts w:eastAsia="Arial Unicode MS"/>
          <w:sz w:val="13"/>
          <w:szCs w:val="13"/>
        </w:rPr>
        <w:t xml:space="preserve"> sunulmuştur.</w:t>
      </w:r>
      <w:r w:rsidR="00D35A9A" w:rsidRPr="00B02AD6">
        <w:rPr>
          <w:rFonts w:eastAsia="Arial Unicode MS"/>
          <w:sz w:val="13"/>
          <w:szCs w:val="13"/>
        </w:rPr>
        <w:t xml:space="preserve"> </w:t>
      </w:r>
    </w:p>
    <w:p w14:paraId="32F0C907" w14:textId="6D12B6A0" w:rsidR="00E83CFD" w:rsidRPr="00B02AD6" w:rsidRDefault="00C925F3" w:rsidP="00D846E4">
      <w:pPr>
        <w:pStyle w:val="BodyText"/>
        <w:ind w:left="539" w:hanging="539"/>
        <w:rPr>
          <w:rFonts w:eastAsia="Arial Unicode MS"/>
          <w:sz w:val="13"/>
          <w:szCs w:val="13"/>
        </w:rPr>
      </w:pPr>
      <w:r w:rsidRPr="00B02AD6">
        <w:rPr>
          <w:rFonts w:eastAsia="Arial Unicode MS"/>
          <w:sz w:val="14"/>
          <w:szCs w:val="16"/>
        </w:rPr>
        <w:t>(</w:t>
      </w:r>
      <w:r w:rsidR="00D846E4" w:rsidRPr="00B02AD6">
        <w:rPr>
          <w:rFonts w:eastAsia="Arial Unicode MS"/>
          <w:sz w:val="14"/>
          <w:szCs w:val="16"/>
        </w:rPr>
        <w:t>*</w:t>
      </w:r>
      <w:r w:rsidRPr="00B02AD6">
        <w:rPr>
          <w:rFonts w:eastAsia="Arial Unicode MS"/>
          <w:sz w:val="14"/>
          <w:szCs w:val="16"/>
        </w:rPr>
        <w:t>**)</w:t>
      </w:r>
      <w:r w:rsidRPr="00B02AD6">
        <w:rPr>
          <w:rFonts w:eastAsia="Arial Unicode MS"/>
          <w:sz w:val="13"/>
          <w:szCs w:val="13"/>
        </w:rPr>
        <w:tab/>
      </w:r>
      <w:r w:rsidR="00D846E4" w:rsidRPr="00B02AD6">
        <w:rPr>
          <w:rFonts w:eastAsia="Arial Unicode MS"/>
          <w:sz w:val="13"/>
          <w:szCs w:val="13"/>
        </w:rPr>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6E4EBA0D" w14:textId="610C1189" w:rsidR="00D846E4" w:rsidRPr="00B02AD6" w:rsidRDefault="00D846E4" w:rsidP="00D846E4">
      <w:pPr>
        <w:pStyle w:val="BodyText"/>
        <w:ind w:left="539" w:hanging="539"/>
        <w:rPr>
          <w:rFonts w:eastAsia="Arial Unicode MS"/>
          <w:sz w:val="13"/>
          <w:szCs w:val="13"/>
        </w:rPr>
      </w:pPr>
      <w:r w:rsidRPr="00B02AD6">
        <w:rPr>
          <w:rFonts w:eastAsia="Arial Unicode MS"/>
          <w:sz w:val="14"/>
          <w:szCs w:val="16"/>
        </w:rPr>
        <w:t>(****)</w:t>
      </w:r>
      <w:r w:rsidRPr="00B02AD6">
        <w:rPr>
          <w:rFonts w:eastAsia="Arial Unicode MS"/>
          <w:sz w:val="13"/>
          <w:szCs w:val="13"/>
        </w:rPr>
        <w:tab/>
        <w:t xml:space="preserve">Dağıtılamayan diğer yükümlülükler kolonu esas itibarıyla </w:t>
      </w:r>
      <w:proofErr w:type="spellStart"/>
      <w:r w:rsidRPr="00B02AD6">
        <w:rPr>
          <w:rFonts w:eastAsia="Arial Unicode MS"/>
          <w:sz w:val="13"/>
          <w:szCs w:val="13"/>
        </w:rPr>
        <w:t>özkaynak</w:t>
      </w:r>
      <w:proofErr w:type="spellEnd"/>
      <w:r w:rsidRPr="00B02AD6">
        <w:rPr>
          <w:rFonts w:eastAsia="Arial Unicode MS"/>
          <w:sz w:val="13"/>
          <w:szCs w:val="13"/>
        </w:rPr>
        <w:t xml:space="preserve"> ve karşılık bakiyelerinden oluşmaktadır.</w:t>
      </w:r>
    </w:p>
    <w:p w14:paraId="7031A436" w14:textId="77777777" w:rsidR="00D846E4" w:rsidRPr="00270CE6" w:rsidRDefault="00D846E4" w:rsidP="004C4FA7">
      <w:pPr>
        <w:pStyle w:val="BodyText"/>
        <w:ind w:left="539" w:hanging="539"/>
        <w:rPr>
          <w:rFonts w:eastAsia="Arial Unicode MS"/>
          <w:sz w:val="13"/>
          <w:szCs w:val="13"/>
          <w:highlight w:val="yellow"/>
        </w:rPr>
      </w:pPr>
    </w:p>
    <w:p w14:paraId="5A5CEA7B" w14:textId="77777777" w:rsidR="00826DA7" w:rsidRPr="00270CE6" w:rsidRDefault="00826DA7" w:rsidP="0067330F">
      <w:pPr>
        <w:pStyle w:val="BodyText"/>
        <w:tabs>
          <w:tab w:val="left" w:pos="709"/>
        </w:tabs>
        <w:ind w:left="709" w:hanging="709"/>
        <w:rPr>
          <w:rFonts w:eastAsia="Arial Unicode MS"/>
          <w:sz w:val="14"/>
          <w:szCs w:val="14"/>
          <w:highlight w:val="yellow"/>
        </w:rPr>
      </w:pPr>
    </w:p>
    <w:p w14:paraId="399C61D3" w14:textId="4B2A7E0C" w:rsidR="000A24A4" w:rsidRPr="002F6D46" w:rsidRDefault="00C47A3E" w:rsidP="006D0ADC">
      <w:pPr>
        <w:pStyle w:val="BodyText"/>
        <w:ind w:hanging="567"/>
        <w:rPr>
          <w:b/>
          <w:color w:val="000000"/>
        </w:rPr>
      </w:pPr>
      <w:r w:rsidRPr="00270CE6">
        <w:rPr>
          <w:rFonts w:eastAsia="Arial Unicode MS"/>
          <w:sz w:val="14"/>
          <w:szCs w:val="14"/>
          <w:highlight w:val="yellow"/>
        </w:rPr>
        <w:br w:type="page"/>
      </w:r>
      <w:r w:rsidR="00526564" w:rsidRPr="002F6D46">
        <w:rPr>
          <w:b/>
          <w:color w:val="000000"/>
        </w:rPr>
        <w:lastRenderedPageBreak/>
        <w:t>5</w:t>
      </w:r>
      <w:r w:rsidR="0067330F" w:rsidRPr="002F6D46">
        <w:rPr>
          <w:b/>
          <w:color w:val="000000"/>
        </w:rPr>
        <w:t xml:space="preserve">.    </w:t>
      </w:r>
      <w:r w:rsidR="00924E1D" w:rsidRPr="002F6D46">
        <w:rPr>
          <w:b/>
          <w:color w:val="000000"/>
        </w:rPr>
        <w:t xml:space="preserve"> </w:t>
      </w:r>
      <w:r w:rsidR="006D0ADC" w:rsidRPr="002F6D46">
        <w:rPr>
          <w:b/>
          <w:color w:val="000000"/>
        </w:rPr>
        <w:t xml:space="preserve">   </w:t>
      </w:r>
      <w:r w:rsidR="0067330F" w:rsidRPr="002F6D46">
        <w:rPr>
          <w:b/>
          <w:color w:val="000000"/>
        </w:rPr>
        <w:t>Kaldı</w:t>
      </w:r>
      <w:r w:rsidR="00CD4650" w:rsidRPr="002F6D46">
        <w:rPr>
          <w:b/>
          <w:color w:val="000000"/>
        </w:rPr>
        <w:t>raç oranına ilişkin açıklamalar</w:t>
      </w:r>
    </w:p>
    <w:p w14:paraId="3F61C022" w14:textId="77777777" w:rsidR="0037725A" w:rsidRPr="002F6D46" w:rsidRDefault="0037725A" w:rsidP="0037725A">
      <w:pPr>
        <w:rPr>
          <w:b/>
          <w:sz w:val="16"/>
          <w:szCs w:val="16"/>
        </w:rPr>
      </w:pPr>
    </w:p>
    <w:p w14:paraId="2414A215" w14:textId="77777777" w:rsidR="00EE24EC" w:rsidRPr="002F6D46" w:rsidRDefault="00EE24EC" w:rsidP="0037725A">
      <w:pPr>
        <w:rPr>
          <w:b/>
        </w:rPr>
      </w:pPr>
      <w:r w:rsidRPr="002F6D46">
        <w:rPr>
          <w:b/>
          <w:color w:val="000000"/>
        </w:rPr>
        <w:t>Kaldıraç oranı kamuya açıklama şablonu:</w:t>
      </w:r>
    </w:p>
    <w:p w14:paraId="469ACF47" w14:textId="77777777" w:rsidR="00EE24EC" w:rsidRPr="002F6D46" w:rsidRDefault="00EE24EC" w:rsidP="0037725A">
      <w:pPr>
        <w:rPr>
          <w:b/>
          <w:sz w:val="16"/>
          <w:szCs w:val="16"/>
        </w:rPr>
      </w:pPr>
    </w:p>
    <w:p w14:paraId="3C0EB3DB" w14:textId="77777777" w:rsidR="0037725A" w:rsidRPr="002F6D46" w:rsidRDefault="0037725A" w:rsidP="0037725A">
      <w:pPr>
        <w:ind w:right="-2"/>
        <w:jc w:val="both"/>
      </w:pPr>
      <w:r w:rsidRPr="002F6D46">
        <w:t xml:space="preserve">5 Kasım 2013 tarihli ve 28812 sayılı Resmî </w:t>
      </w:r>
      <w:proofErr w:type="spellStart"/>
      <w:r w:rsidRPr="002F6D46">
        <w:t>Gazete’de</w:t>
      </w:r>
      <w:proofErr w:type="spellEnd"/>
      <w:r w:rsidRPr="002F6D46">
        <w:t xml:space="preserve"> yayımlanan “Bankaların Kaldıraç Düzeyinin Ölçülmesine ve Değerlendirilmesine İlişkin Yönetmelik” uyarınca hesaplanan kaldıraç oranına ilişkin tablo aşağıda yer almaktadır.</w:t>
      </w:r>
    </w:p>
    <w:p w14:paraId="653C3810" w14:textId="7543DCD5" w:rsidR="002828A5" w:rsidRPr="00311DAB" w:rsidRDefault="002828A5" w:rsidP="0037725A">
      <w:pPr>
        <w:rPr>
          <w:lang w:eastAsia="en-GB"/>
        </w:rPr>
      </w:pPr>
    </w:p>
    <w:tbl>
      <w:tblPr>
        <w:tblW w:w="9435" w:type="dxa"/>
        <w:tblCellMar>
          <w:left w:w="70" w:type="dxa"/>
          <w:right w:w="70" w:type="dxa"/>
        </w:tblCellMar>
        <w:tblLook w:val="04A0" w:firstRow="1" w:lastRow="0" w:firstColumn="1" w:lastColumn="0" w:noHBand="0" w:noVBand="1"/>
      </w:tblPr>
      <w:tblGrid>
        <w:gridCol w:w="481"/>
        <w:gridCol w:w="6172"/>
        <w:gridCol w:w="1275"/>
        <w:gridCol w:w="1507"/>
      </w:tblGrid>
      <w:tr w:rsidR="002828A5" w:rsidRPr="002828A5" w14:paraId="16436BCD" w14:textId="77777777" w:rsidTr="00FC1F5B">
        <w:trPr>
          <w:divId w:val="900139528"/>
          <w:trHeight w:val="183"/>
        </w:trPr>
        <w:tc>
          <w:tcPr>
            <w:tcW w:w="6653" w:type="dxa"/>
            <w:gridSpan w:val="2"/>
            <w:tcBorders>
              <w:top w:val="single" w:sz="8" w:space="0" w:color="auto"/>
              <w:left w:val="single" w:sz="8" w:space="0" w:color="auto"/>
              <w:bottom w:val="dotted" w:sz="4" w:space="0" w:color="auto"/>
              <w:right w:val="nil"/>
            </w:tcBorders>
            <w:shd w:val="clear" w:color="auto" w:fill="auto"/>
            <w:vAlign w:val="center"/>
            <w:hideMark/>
          </w:tcPr>
          <w:p w14:paraId="69DE5850" w14:textId="5B83AACC" w:rsidR="002828A5" w:rsidRPr="002828A5" w:rsidRDefault="002828A5" w:rsidP="002828A5">
            <w:pPr>
              <w:jc w:val="center"/>
              <w:rPr>
                <w:b/>
                <w:bCs/>
                <w:color w:val="000000"/>
                <w:sz w:val="18"/>
                <w:szCs w:val="18"/>
                <w:lang w:eastAsia="tr-TR"/>
              </w:rPr>
            </w:pPr>
            <w:r w:rsidRPr="002828A5">
              <w:rPr>
                <w:b/>
                <w:bCs/>
                <w:color w:val="000000"/>
                <w:sz w:val="18"/>
                <w:szCs w:val="18"/>
                <w:lang w:eastAsia="tr-TR"/>
              </w:rPr>
              <w:t>Bilanço içi varlıklar (*)</w:t>
            </w:r>
          </w:p>
        </w:tc>
        <w:tc>
          <w:tcPr>
            <w:tcW w:w="1275"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11EED81F" w14:textId="77777777" w:rsidR="002828A5" w:rsidRPr="002828A5" w:rsidRDefault="002828A5" w:rsidP="002828A5">
            <w:pPr>
              <w:jc w:val="right"/>
              <w:rPr>
                <w:b/>
                <w:bCs/>
                <w:i/>
                <w:iCs/>
                <w:color w:val="000000"/>
                <w:sz w:val="18"/>
                <w:szCs w:val="18"/>
                <w:lang w:eastAsia="tr-TR"/>
              </w:rPr>
            </w:pPr>
            <w:r w:rsidRPr="002828A5">
              <w:rPr>
                <w:b/>
                <w:bCs/>
                <w:i/>
                <w:iCs/>
                <w:color w:val="000000"/>
                <w:sz w:val="18"/>
                <w:szCs w:val="18"/>
                <w:lang w:eastAsia="tr-TR"/>
              </w:rPr>
              <w:t xml:space="preserve">Cari Dönem </w:t>
            </w:r>
          </w:p>
        </w:tc>
        <w:tc>
          <w:tcPr>
            <w:tcW w:w="1507" w:type="dxa"/>
            <w:tcBorders>
              <w:top w:val="single" w:sz="8" w:space="0" w:color="auto"/>
              <w:left w:val="nil"/>
              <w:bottom w:val="dotted" w:sz="4" w:space="0" w:color="auto"/>
              <w:right w:val="single" w:sz="8" w:space="0" w:color="auto"/>
            </w:tcBorders>
            <w:shd w:val="clear" w:color="auto" w:fill="auto"/>
            <w:vAlign w:val="center"/>
            <w:hideMark/>
          </w:tcPr>
          <w:p w14:paraId="12E5D5B0" w14:textId="77777777" w:rsidR="002828A5" w:rsidRPr="002828A5" w:rsidRDefault="002828A5" w:rsidP="002828A5">
            <w:pPr>
              <w:jc w:val="right"/>
              <w:rPr>
                <w:b/>
                <w:bCs/>
                <w:i/>
                <w:iCs/>
                <w:color w:val="000000"/>
                <w:sz w:val="18"/>
                <w:szCs w:val="18"/>
                <w:lang w:eastAsia="tr-TR"/>
              </w:rPr>
            </w:pPr>
            <w:r w:rsidRPr="002828A5">
              <w:rPr>
                <w:b/>
                <w:bCs/>
                <w:i/>
                <w:iCs/>
                <w:color w:val="000000"/>
                <w:sz w:val="18"/>
                <w:szCs w:val="18"/>
                <w:lang w:eastAsia="tr-TR"/>
              </w:rPr>
              <w:t xml:space="preserve">Önceki Dönem </w:t>
            </w:r>
          </w:p>
        </w:tc>
      </w:tr>
      <w:tr w:rsidR="002828A5" w:rsidRPr="002828A5" w14:paraId="0768905D" w14:textId="77777777" w:rsidTr="00FC1F5B">
        <w:trPr>
          <w:divId w:val="900139528"/>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38B470E" w14:textId="77777777" w:rsidR="002828A5" w:rsidRPr="002828A5" w:rsidRDefault="002828A5" w:rsidP="002828A5">
            <w:pPr>
              <w:jc w:val="center"/>
              <w:rPr>
                <w:color w:val="000000"/>
                <w:sz w:val="18"/>
                <w:szCs w:val="18"/>
                <w:lang w:eastAsia="tr-TR"/>
              </w:rPr>
            </w:pPr>
            <w:r w:rsidRPr="002828A5">
              <w:rPr>
                <w:color w:val="000000"/>
                <w:sz w:val="18"/>
                <w:szCs w:val="18"/>
                <w:lang w:eastAsia="tr-TR"/>
              </w:rPr>
              <w:t>1</w:t>
            </w:r>
          </w:p>
        </w:tc>
        <w:tc>
          <w:tcPr>
            <w:tcW w:w="6172" w:type="dxa"/>
            <w:tcBorders>
              <w:top w:val="nil"/>
              <w:left w:val="nil"/>
              <w:bottom w:val="dotted" w:sz="4" w:space="0" w:color="auto"/>
              <w:right w:val="nil"/>
            </w:tcBorders>
            <w:shd w:val="clear" w:color="auto" w:fill="auto"/>
            <w:vAlign w:val="center"/>
            <w:hideMark/>
          </w:tcPr>
          <w:p w14:paraId="0131A4AE" w14:textId="77777777" w:rsidR="002828A5" w:rsidRPr="002828A5" w:rsidRDefault="002828A5" w:rsidP="002828A5">
            <w:pPr>
              <w:rPr>
                <w:color w:val="000000"/>
                <w:sz w:val="18"/>
                <w:szCs w:val="18"/>
                <w:lang w:eastAsia="tr-TR"/>
              </w:rPr>
            </w:pPr>
            <w:r w:rsidRPr="002828A5">
              <w:rPr>
                <w:color w:val="000000"/>
                <w:sz w:val="18"/>
                <w:szCs w:val="18"/>
                <w:lang w:eastAsia="tr-TR"/>
              </w:rPr>
              <w:t>Bilanço içi varlıklar (Türev finansal araçlar ile kredi türevleri hariç, teminatlar dahil)</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68874A5A" w14:textId="77777777" w:rsidR="002828A5" w:rsidRPr="002828A5" w:rsidRDefault="002828A5" w:rsidP="002828A5">
            <w:pPr>
              <w:jc w:val="right"/>
              <w:rPr>
                <w:color w:val="000000"/>
                <w:sz w:val="18"/>
                <w:szCs w:val="18"/>
                <w:lang w:eastAsia="tr-TR"/>
              </w:rPr>
            </w:pPr>
            <w:r w:rsidRPr="002828A5">
              <w:rPr>
                <w:color w:val="000000"/>
                <w:sz w:val="18"/>
                <w:szCs w:val="18"/>
                <w:lang w:eastAsia="tr-TR"/>
              </w:rPr>
              <w:t>147,193,809</w:t>
            </w:r>
          </w:p>
        </w:tc>
        <w:tc>
          <w:tcPr>
            <w:tcW w:w="1507" w:type="dxa"/>
            <w:tcBorders>
              <w:top w:val="nil"/>
              <w:left w:val="nil"/>
              <w:bottom w:val="dotted" w:sz="4" w:space="0" w:color="auto"/>
              <w:right w:val="single" w:sz="8" w:space="0" w:color="auto"/>
            </w:tcBorders>
            <w:shd w:val="clear" w:color="auto" w:fill="auto"/>
            <w:vAlign w:val="center"/>
            <w:hideMark/>
          </w:tcPr>
          <w:p w14:paraId="293C3FCE" w14:textId="77777777" w:rsidR="002828A5" w:rsidRPr="002828A5" w:rsidRDefault="002828A5" w:rsidP="002828A5">
            <w:pPr>
              <w:jc w:val="right"/>
              <w:rPr>
                <w:color w:val="000000"/>
                <w:sz w:val="18"/>
                <w:szCs w:val="18"/>
                <w:lang w:eastAsia="tr-TR"/>
              </w:rPr>
            </w:pPr>
            <w:r w:rsidRPr="002828A5">
              <w:rPr>
                <w:color w:val="000000"/>
                <w:sz w:val="18"/>
                <w:szCs w:val="18"/>
                <w:lang w:eastAsia="tr-TR"/>
              </w:rPr>
              <w:t>100,598,884</w:t>
            </w:r>
          </w:p>
        </w:tc>
      </w:tr>
      <w:tr w:rsidR="002828A5" w:rsidRPr="002828A5" w14:paraId="13CBA94C" w14:textId="77777777" w:rsidTr="00FC1F5B">
        <w:trPr>
          <w:divId w:val="900139528"/>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177010C" w14:textId="77777777" w:rsidR="002828A5" w:rsidRPr="002828A5" w:rsidRDefault="002828A5" w:rsidP="002828A5">
            <w:pPr>
              <w:jc w:val="center"/>
              <w:rPr>
                <w:color w:val="000000"/>
                <w:sz w:val="18"/>
                <w:szCs w:val="18"/>
                <w:lang w:eastAsia="tr-TR"/>
              </w:rPr>
            </w:pPr>
            <w:r w:rsidRPr="002828A5">
              <w:rPr>
                <w:color w:val="000000"/>
                <w:sz w:val="18"/>
                <w:szCs w:val="18"/>
                <w:lang w:eastAsia="tr-TR"/>
              </w:rPr>
              <w:t>2</w:t>
            </w:r>
          </w:p>
        </w:tc>
        <w:tc>
          <w:tcPr>
            <w:tcW w:w="6172" w:type="dxa"/>
            <w:tcBorders>
              <w:top w:val="nil"/>
              <w:left w:val="nil"/>
              <w:bottom w:val="dotted" w:sz="4" w:space="0" w:color="auto"/>
              <w:right w:val="nil"/>
            </w:tcBorders>
            <w:shd w:val="clear" w:color="auto" w:fill="auto"/>
            <w:vAlign w:val="center"/>
            <w:hideMark/>
          </w:tcPr>
          <w:p w14:paraId="5D700B37" w14:textId="77777777" w:rsidR="002828A5" w:rsidRPr="002828A5" w:rsidRDefault="002828A5" w:rsidP="002828A5">
            <w:pPr>
              <w:rPr>
                <w:color w:val="000000"/>
                <w:sz w:val="18"/>
                <w:szCs w:val="18"/>
                <w:lang w:eastAsia="tr-TR"/>
              </w:rPr>
            </w:pPr>
            <w:r w:rsidRPr="002828A5">
              <w:rPr>
                <w:color w:val="000000"/>
                <w:sz w:val="18"/>
                <w:szCs w:val="18"/>
                <w:lang w:eastAsia="tr-TR"/>
              </w:rPr>
              <w:t>(Ana sermayeden indirilen varlıklar)</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2E6B1F5D" w14:textId="77777777" w:rsidR="002828A5" w:rsidRPr="002828A5" w:rsidRDefault="002828A5" w:rsidP="002828A5">
            <w:pPr>
              <w:jc w:val="right"/>
              <w:rPr>
                <w:color w:val="000000"/>
                <w:sz w:val="18"/>
                <w:szCs w:val="18"/>
                <w:lang w:eastAsia="tr-TR"/>
              </w:rPr>
            </w:pPr>
            <w:r w:rsidRPr="002828A5">
              <w:rPr>
                <w:color w:val="000000"/>
                <w:sz w:val="18"/>
                <w:szCs w:val="18"/>
                <w:lang w:eastAsia="tr-TR"/>
              </w:rPr>
              <w:t>(312,374)</w:t>
            </w:r>
          </w:p>
        </w:tc>
        <w:tc>
          <w:tcPr>
            <w:tcW w:w="1507" w:type="dxa"/>
            <w:tcBorders>
              <w:top w:val="nil"/>
              <w:left w:val="nil"/>
              <w:bottom w:val="dotted" w:sz="4" w:space="0" w:color="auto"/>
              <w:right w:val="single" w:sz="8" w:space="0" w:color="auto"/>
            </w:tcBorders>
            <w:shd w:val="clear" w:color="auto" w:fill="auto"/>
            <w:vAlign w:val="center"/>
            <w:hideMark/>
          </w:tcPr>
          <w:p w14:paraId="5E9EF937" w14:textId="77777777" w:rsidR="002828A5" w:rsidRPr="002828A5" w:rsidRDefault="002828A5" w:rsidP="002828A5">
            <w:pPr>
              <w:jc w:val="right"/>
              <w:rPr>
                <w:color w:val="000000"/>
                <w:sz w:val="18"/>
                <w:szCs w:val="18"/>
                <w:lang w:eastAsia="tr-TR"/>
              </w:rPr>
            </w:pPr>
            <w:r w:rsidRPr="002828A5">
              <w:rPr>
                <w:color w:val="000000"/>
                <w:sz w:val="18"/>
                <w:szCs w:val="18"/>
                <w:lang w:eastAsia="tr-TR"/>
              </w:rPr>
              <w:t>(209,873)</w:t>
            </w:r>
          </w:p>
        </w:tc>
      </w:tr>
      <w:tr w:rsidR="002828A5" w:rsidRPr="002828A5" w14:paraId="2CBEF2DF" w14:textId="77777777" w:rsidTr="00FC1F5B">
        <w:trPr>
          <w:divId w:val="900139528"/>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72A74D2" w14:textId="77777777" w:rsidR="002828A5" w:rsidRPr="002828A5" w:rsidRDefault="002828A5" w:rsidP="002828A5">
            <w:pPr>
              <w:jc w:val="center"/>
              <w:rPr>
                <w:color w:val="000000"/>
                <w:sz w:val="18"/>
                <w:szCs w:val="18"/>
                <w:lang w:eastAsia="tr-TR"/>
              </w:rPr>
            </w:pPr>
            <w:r w:rsidRPr="002828A5">
              <w:rPr>
                <w:color w:val="000000"/>
                <w:sz w:val="18"/>
                <w:szCs w:val="18"/>
                <w:lang w:eastAsia="tr-TR"/>
              </w:rPr>
              <w:t>3</w:t>
            </w:r>
          </w:p>
        </w:tc>
        <w:tc>
          <w:tcPr>
            <w:tcW w:w="6172" w:type="dxa"/>
            <w:tcBorders>
              <w:top w:val="nil"/>
              <w:left w:val="nil"/>
              <w:bottom w:val="dotted" w:sz="4" w:space="0" w:color="auto"/>
              <w:right w:val="nil"/>
            </w:tcBorders>
            <w:shd w:val="clear" w:color="auto" w:fill="auto"/>
            <w:vAlign w:val="center"/>
            <w:hideMark/>
          </w:tcPr>
          <w:p w14:paraId="02D05636" w14:textId="77777777" w:rsidR="002828A5" w:rsidRPr="002828A5" w:rsidRDefault="002828A5" w:rsidP="002828A5">
            <w:pPr>
              <w:rPr>
                <w:color w:val="000000"/>
                <w:sz w:val="18"/>
                <w:szCs w:val="18"/>
                <w:lang w:eastAsia="tr-TR"/>
              </w:rPr>
            </w:pPr>
            <w:r w:rsidRPr="002828A5">
              <w:rPr>
                <w:color w:val="000000"/>
                <w:sz w:val="18"/>
                <w:szCs w:val="18"/>
                <w:lang w:eastAsia="tr-TR"/>
              </w:rPr>
              <w:t xml:space="preserve">Bilanço içi varlıklara ilişkin toplam risk tutarı (1 ve </w:t>
            </w:r>
            <w:proofErr w:type="gramStart"/>
            <w:r w:rsidRPr="002828A5">
              <w:rPr>
                <w:color w:val="000000"/>
                <w:sz w:val="18"/>
                <w:szCs w:val="18"/>
                <w:lang w:eastAsia="tr-TR"/>
              </w:rPr>
              <w:t xml:space="preserve">2 </w:t>
            </w:r>
            <w:proofErr w:type="spellStart"/>
            <w:r w:rsidRPr="002828A5">
              <w:rPr>
                <w:color w:val="000000"/>
                <w:sz w:val="18"/>
                <w:szCs w:val="18"/>
                <w:lang w:eastAsia="tr-TR"/>
              </w:rPr>
              <w:t>nci</w:t>
            </w:r>
            <w:proofErr w:type="spellEnd"/>
            <w:proofErr w:type="gramEnd"/>
            <w:r w:rsidRPr="002828A5">
              <w:rPr>
                <w:color w:val="000000"/>
                <w:sz w:val="18"/>
                <w:szCs w:val="18"/>
                <w:lang w:eastAsia="tr-TR"/>
              </w:rPr>
              <w:t xml:space="preserve"> satırların toplamı)</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0D8818C2" w14:textId="77777777" w:rsidR="002828A5" w:rsidRPr="002828A5" w:rsidRDefault="002828A5" w:rsidP="002828A5">
            <w:pPr>
              <w:jc w:val="right"/>
              <w:rPr>
                <w:color w:val="000000"/>
                <w:sz w:val="18"/>
                <w:szCs w:val="18"/>
                <w:lang w:eastAsia="tr-TR"/>
              </w:rPr>
            </w:pPr>
            <w:r w:rsidRPr="002828A5">
              <w:rPr>
                <w:color w:val="000000"/>
                <w:sz w:val="18"/>
                <w:szCs w:val="18"/>
                <w:lang w:eastAsia="tr-TR"/>
              </w:rPr>
              <w:t>146,881,435</w:t>
            </w:r>
          </w:p>
        </w:tc>
        <w:tc>
          <w:tcPr>
            <w:tcW w:w="1507" w:type="dxa"/>
            <w:tcBorders>
              <w:top w:val="nil"/>
              <w:left w:val="nil"/>
              <w:bottom w:val="dotted" w:sz="4" w:space="0" w:color="auto"/>
              <w:right w:val="single" w:sz="8" w:space="0" w:color="auto"/>
            </w:tcBorders>
            <w:shd w:val="clear" w:color="auto" w:fill="auto"/>
            <w:vAlign w:val="center"/>
            <w:hideMark/>
          </w:tcPr>
          <w:p w14:paraId="392A745D" w14:textId="77777777" w:rsidR="002828A5" w:rsidRPr="002828A5" w:rsidRDefault="002828A5" w:rsidP="002828A5">
            <w:pPr>
              <w:jc w:val="right"/>
              <w:rPr>
                <w:color w:val="000000"/>
                <w:sz w:val="18"/>
                <w:szCs w:val="18"/>
                <w:lang w:eastAsia="tr-TR"/>
              </w:rPr>
            </w:pPr>
            <w:r w:rsidRPr="002828A5">
              <w:rPr>
                <w:color w:val="000000"/>
                <w:sz w:val="18"/>
                <w:szCs w:val="18"/>
                <w:lang w:eastAsia="tr-TR"/>
              </w:rPr>
              <w:t>100,389,011</w:t>
            </w:r>
          </w:p>
        </w:tc>
      </w:tr>
      <w:tr w:rsidR="002828A5" w:rsidRPr="002828A5" w14:paraId="6F5B7D52" w14:textId="77777777" w:rsidTr="00FC1F5B">
        <w:trPr>
          <w:divId w:val="900139528"/>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4781BBF" w14:textId="77777777" w:rsidR="002828A5" w:rsidRPr="002828A5" w:rsidRDefault="002828A5" w:rsidP="002828A5">
            <w:pPr>
              <w:jc w:val="center"/>
              <w:rPr>
                <w:color w:val="000000"/>
                <w:sz w:val="18"/>
                <w:szCs w:val="18"/>
                <w:lang w:eastAsia="tr-TR"/>
              </w:rPr>
            </w:pPr>
            <w:r w:rsidRPr="002828A5">
              <w:rPr>
                <w:color w:val="000000"/>
                <w:sz w:val="18"/>
                <w:szCs w:val="18"/>
                <w:lang w:eastAsia="tr-TR"/>
              </w:rPr>
              <w:t> </w:t>
            </w:r>
          </w:p>
        </w:tc>
        <w:tc>
          <w:tcPr>
            <w:tcW w:w="6172" w:type="dxa"/>
            <w:tcBorders>
              <w:top w:val="nil"/>
              <w:left w:val="nil"/>
              <w:bottom w:val="dotted" w:sz="4" w:space="0" w:color="auto"/>
              <w:right w:val="nil"/>
            </w:tcBorders>
            <w:shd w:val="clear" w:color="auto" w:fill="auto"/>
            <w:vAlign w:val="center"/>
            <w:hideMark/>
          </w:tcPr>
          <w:p w14:paraId="7ECD33D7" w14:textId="77777777" w:rsidR="002828A5" w:rsidRPr="002828A5" w:rsidRDefault="002828A5" w:rsidP="002828A5">
            <w:pPr>
              <w:jc w:val="center"/>
              <w:rPr>
                <w:b/>
                <w:bCs/>
                <w:color w:val="000000"/>
                <w:sz w:val="18"/>
                <w:szCs w:val="18"/>
                <w:lang w:eastAsia="tr-TR"/>
              </w:rPr>
            </w:pPr>
            <w:r w:rsidRPr="002828A5">
              <w:rPr>
                <w:b/>
                <w:bCs/>
                <w:color w:val="000000"/>
                <w:sz w:val="18"/>
                <w:szCs w:val="18"/>
                <w:lang w:eastAsia="tr-TR"/>
              </w:rPr>
              <w:t>Türev finansal araçlar ile kredi türevleri</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214ACDEC" w14:textId="77777777" w:rsidR="002828A5" w:rsidRPr="002828A5" w:rsidRDefault="002828A5" w:rsidP="002828A5">
            <w:pPr>
              <w:rPr>
                <w:color w:val="000000"/>
                <w:sz w:val="18"/>
                <w:szCs w:val="18"/>
                <w:lang w:eastAsia="tr-TR"/>
              </w:rPr>
            </w:pPr>
            <w:r w:rsidRPr="002828A5">
              <w:rPr>
                <w:color w:val="000000"/>
                <w:sz w:val="18"/>
                <w:szCs w:val="18"/>
                <w:lang w:eastAsia="tr-TR"/>
              </w:rPr>
              <w:t> </w:t>
            </w:r>
          </w:p>
        </w:tc>
        <w:tc>
          <w:tcPr>
            <w:tcW w:w="1507" w:type="dxa"/>
            <w:tcBorders>
              <w:top w:val="nil"/>
              <w:left w:val="nil"/>
              <w:bottom w:val="dotted" w:sz="4" w:space="0" w:color="auto"/>
              <w:right w:val="single" w:sz="8" w:space="0" w:color="auto"/>
            </w:tcBorders>
            <w:shd w:val="clear" w:color="auto" w:fill="auto"/>
            <w:vAlign w:val="center"/>
            <w:hideMark/>
          </w:tcPr>
          <w:p w14:paraId="4DCA924D" w14:textId="77777777" w:rsidR="002828A5" w:rsidRPr="002828A5" w:rsidRDefault="002828A5" w:rsidP="002828A5">
            <w:pPr>
              <w:rPr>
                <w:color w:val="000000"/>
                <w:sz w:val="18"/>
                <w:szCs w:val="18"/>
                <w:lang w:eastAsia="tr-TR"/>
              </w:rPr>
            </w:pPr>
            <w:r w:rsidRPr="002828A5">
              <w:rPr>
                <w:color w:val="000000"/>
                <w:sz w:val="18"/>
                <w:szCs w:val="18"/>
                <w:lang w:eastAsia="tr-TR"/>
              </w:rPr>
              <w:t> </w:t>
            </w:r>
          </w:p>
        </w:tc>
      </w:tr>
      <w:tr w:rsidR="002828A5" w:rsidRPr="002828A5" w14:paraId="1B01C868" w14:textId="77777777" w:rsidTr="00FC1F5B">
        <w:trPr>
          <w:divId w:val="900139528"/>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3E39B77" w14:textId="77777777" w:rsidR="002828A5" w:rsidRPr="002828A5" w:rsidRDefault="002828A5" w:rsidP="002828A5">
            <w:pPr>
              <w:jc w:val="center"/>
              <w:rPr>
                <w:color w:val="000000"/>
                <w:sz w:val="18"/>
                <w:szCs w:val="18"/>
                <w:lang w:eastAsia="tr-TR"/>
              </w:rPr>
            </w:pPr>
            <w:r w:rsidRPr="002828A5">
              <w:rPr>
                <w:color w:val="000000"/>
                <w:sz w:val="18"/>
                <w:szCs w:val="18"/>
                <w:lang w:eastAsia="tr-TR"/>
              </w:rPr>
              <w:t>4</w:t>
            </w:r>
          </w:p>
        </w:tc>
        <w:tc>
          <w:tcPr>
            <w:tcW w:w="6172" w:type="dxa"/>
            <w:tcBorders>
              <w:top w:val="nil"/>
              <w:left w:val="nil"/>
              <w:bottom w:val="dotted" w:sz="4" w:space="0" w:color="auto"/>
              <w:right w:val="nil"/>
            </w:tcBorders>
            <w:shd w:val="clear" w:color="auto" w:fill="auto"/>
            <w:vAlign w:val="center"/>
            <w:hideMark/>
          </w:tcPr>
          <w:p w14:paraId="6DCFF4A0" w14:textId="77777777" w:rsidR="002828A5" w:rsidRPr="002828A5" w:rsidRDefault="002828A5" w:rsidP="002828A5">
            <w:pPr>
              <w:rPr>
                <w:color w:val="000000"/>
                <w:sz w:val="18"/>
                <w:szCs w:val="18"/>
                <w:lang w:eastAsia="tr-TR"/>
              </w:rPr>
            </w:pPr>
            <w:r w:rsidRPr="002828A5">
              <w:rPr>
                <w:color w:val="000000"/>
                <w:sz w:val="18"/>
                <w:szCs w:val="18"/>
                <w:lang w:eastAsia="tr-TR"/>
              </w:rPr>
              <w:t>Türev finansal araçlar ile kredi türevlerinin yenileme maliyeti</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5DE89A81" w14:textId="77777777" w:rsidR="002828A5" w:rsidRPr="002828A5" w:rsidRDefault="002828A5" w:rsidP="002828A5">
            <w:pPr>
              <w:jc w:val="right"/>
              <w:rPr>
                <w:color w:val="000000"/>
                <w:sz w:val="18"/>
                <w:szCs w:val="18"/>
                <w:lang w:eastAsia="tr-TR"/>
              </w:rPr>
            </w:pPr>
            <w:r w:rsidRPr="002828A5">
              <w:rPr>
                <w:color w:val="000000"/>
                <w:sz w:val="18"/>
                <w:szCs w:val="18"/>
                <w:lang w:eastAsia="tr-TR"/>
              </w:rPr>
              <w:t>946,692</w:t>
            </w:r>
          </w:p>
        </w:tc>
        <w:tc>
          <w:tcPr>
            <w:tcW w:w="1507" w:type="dxa"/>
            <w:tcBorders>
              <w:top w:val="nil"/>
              <w:left w:val="nil"/>
              <w:bottom w:val="dotted" w:sz="4" w:space="0" w:color="auto"/>
              <w:right w:val="single" w:sz="8" w:space="0" w:color="auto"/>
            </w:tcBorders>
            <w:shd w:val="clear" w:color="auto" w:fill="auto"/>
            <w:vAlign w:val="center"/>
            <w:hideMark/>
          </w:tcPr>
          <w:p w14:paraId="3F7C34C9" w14:textId="77777777" w:rsidR="002828A5" w:rsidRPr="002828A5" w:rsidRDefault="002828A5" w:rsidP="002828A5">
            <w:pPr>
              <w:jc w:val="right"/>
              <w:rPr>
                <w:color w:val="000000"/>
                <w:sz w:val="18"/>
                <w:szCs w:val="18"/>
                <w:lang w:eastAsia="tr-TR"/>
              </w:rPr>
            </w:pPr>
            <w:r w:rsidRPr="002828A5">
              <w:rPr>
                <w:color w:val="000000"/>
                <w:sz w:val="18"/>
                <w:szCs w:val="18"/>
                <w:lang w:eastAsia="tr-TR"/>
              </w:rPr>
              <w:t>288,592</w:t>
            </w:r>
          </w:p>
        </w:tc>
      </w:tr>
      <w:tr w:rsidR="002828A5" w:rsidRPr="002828A5" w14:paraId="00C1A339" w14:textId="77777777" w:rsidTr="00FC1F5B">
        <w:trPr>
          <w:divId w:val="900139528"/>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E71F8E7" w14:textId="77777777" w:rsidR="002828A5" w:rsidRPr="002828A5" w:rsidRDefault="002828A5" w:rsidP="002828A5">
            <w:pPr>
              <w:jc w:val="center"/>
              <w:rPr>
                <w:color w:val="000000"/>
                <w:sz w:val="18"/>
                <w:szCs w:val="18"/>
                <w:lang w:eastAsia="tr-TR"/>
              </w:rPr>
            </w:pPr>
            <w:r w:rsidRPr="002828A5">
              <w:rPr>
                <w:color w:val="000000"/>
                <w:sz w:val="18"/>
                <w:szCs w:val="18"/>
                <w:lang w:eastAsia="tr-TR"/>
              </w:rPr>
              <w:t>5</w:t>
            </w:r>
          </w:p>
        </w:tc>
        <w:tc>
          <w:tcPr>
            <w:tcW w:w="6172" w:type="dxa"/>
            <w:tcBorders>
              <w:top w:val="nil"/>
              <w:left w:val="nil"/>
              <w:bottom w:val="dotted" w:sz="4" w:space="0" w:color="auto"/>
              <w:right w:val="nil"/>
            </w:tcBorders>
            <w:shd w:val="clear" w:color="auto" w:fill="auto"/>
            <w:vAlign w:val="center"/>
            <w:hideMark/>
          </w:tcPr>
          <w:p w14:paraId="65667575" w14:textId="77777777" w:rsidR="002828A5" w:rsidRPr="002828A5" w:rsidRDefault="002828A5" w:rsidP="002828A5">
            <w:pPr>
              <w:rPr>
                <w:color w:val="000000"/>
                <w:sz w:val="18"/>
                <w:szCs w:val="18"/>
                <w:lang w:eastAsia="tr-TR"/>
              </w:rPr>
            </w:pPr>
            <w:r w:rsidRPr="002828A5">
              <w:rPr>
                <w:color w:val="000000"/>
                <w:sz w:val="18"/>
                <w:szCs w:val="18"/>
                <w:lang w:eastAsia="tr-TR"/>
              </w:rPr>
              <w:t>Türev finansal araçlar ile kredi türevlerinin potansiyel kredi riski tutarı</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26B4E48B" w14:textId="77777777" w:rsidR="002828A5" w:rsidRPr="002828A5" w:rsidRDefault="002828A5" w:rsidP="002828A5">
            <w:pPr>
              <w:jc w:val="right"/>
              <w:rPr>
                <w:color w:val="000000"/>
                <w:sz w:val="18"/>
                <w:szCs w:val="18"/>
                <w:lang w:eastAsia="tr-TR"/>
              </w:rPr>
            </w:pPr>
            <w:r w:rsidRPr="002828A5">
              <w:rPr>
                <w:color w:val="000000"/>
                <w:sz w:val="18"/>
                <w:szCs w:val="18"/>
                <w:lang w:eastAsia="tr-TR"/>
              </w:rPr>
              <w:t>387,809</w:t>
            </w:r>
          </w:p>
        </w:tc>
        <w:tc>
          <w:tcPr>
            <w:tcW w:w="1507" w:type="dxa"/>
            <w:tcBorders>
              <w:top w:val="nil"/>
              <w:left w:val="nil"/>
              <w:bottom w:val="dotted" w:sz="4" w:space="0" w:color="auto"/>
              <w:right w:val="single" w:sz="8" w:space="0" w:color="auto"/>
            </w:tcBorders>
            <w:shd w:val="clear" w:color="auto" w:fill="auto"/>
            <w:vAlign w:val="center"/>
            <w:hideMark/>
          </w:tcPr>
          <w:p w14:paraId="04B07693" w14:textId="77777777" w:rsidR="002828A5" w:rsidRPr="002828A5" w:rsidRDefault="002828A5" w:rsidP="002828A5">
            <w:pPr>
              <w:jc w:val="right"/>
              <w:rPr>
                <w:color w:val="000000"/>
                <w:sz w:val="18"/>
                <w:szCs w:val="18"/>
                <w:lang w:eastAsia="tr-TR"/>
              </w:rPr>
            </w:pPr>
            <w:r w:rsidRPr="002828A5">
              <w:rPr>
                <w:color w:val="000000"/>
                <w:sz w:val="18"/>
                <w:szCs w:val="18"/>
                <w:lang w:eastAsia="tr-TR"/>
              </w:rPr>
              <w:t>390,743</w:t>
            </w:r>
          </w:p>
        </w:tc>
      </w:tr>
      <w:tr w:rsidR="002828A5" w:rsidRPr="002828A5" w14:paraId="6D20D8AC" w14:textId="77777777" w:rsidTr="00FC1F5B">
        <w:trPr>
          <w:divId w:val="900139528"/>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F9F6F91" w14:textId="77777777" w:rsidR="002828A5" w:rsidRPr="002828A5" w:rsidRDefault="002828A5" w:rsidP="002828A5">
            <w:pPr>
              <w:jc w:val="center"/>
              <w:rPr>
                <w:color w:val="000000"/>
                <w:sz w:val="18"/>
                <w:szCs w:val="18"/>
                <w:lang w:eastAsia="tr-TR"/>
              </w:rPr>
            </w:pPr>
            <w:r w:rsidRPr="002828A5">
              <w:rPr>
                <w:color w:val="000000"/>
                <w:sz w:val="18"/>
                <w:szCs w:val="18"/>
                <w:lang w:eastAsia="tr-TR"/>
              </w:rPr>
              <w:t>6</w:t>
            </w:r>
          </w:p>
        </w:tc>
        <w:tc>
          <w:tcPr>
            <w:tcW w:w="6172" w:type="dxa"/>
            <w:tcBorders>
              <w:top w:val="nil"/>
              <w:left w:val="nil"/>
              <w:bottom w:val="dotted" w:sz="4" w:space="0" w:color="auto"/>
              <w:right w:val="nil"/>
            </w:tcBorders>
            <w:shd w:val="clear" w:color="auto" w:fill="auto"/>
            <w:vAlign w:val="center"/>
            <w:hideMark/>
          </w:tcPr>
          <w:p w14:paraId="4287C772" w14:textId="77777777" w:rsidR="002828A5" w:rsidRPr="002828A5" w:rsidRDefault="002828A5" w:rsidP="002828A5">
            <w:pPr>
              <w:rPr>
                <w:color w:val="000000"/>
                <w:sz w:val="18"/>
                <w:szCs w:val="18"/>
                <w:lang w:eastAsia="tr-TR"/>
              </w:rPr>
            </w:pPr>
            <w:r w:rsidRPr="002828A5">
              <w:rPr>
                <w:color w:val="000000"/>
                <w:sz w:val="18"/>
                <w:szCs w:val="18"/>
                <w:lang w:eastAsia="tr-TR"/>
              </w:rPr>
              <w:t>Türev finansal araçlar ile kredi türevlerine ilişkin toplam risk tutarı (4 ve 5 inci satırların toplamı)</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6DFB477A" w14:textId="77777777" w:rsidR="002828A5" w:rsidRPr="002828A5" w:rsidRDefault="002828A5" w:rsidP="002828A5">
            <w:pPr>
              <w:jc w:val="right"/>
              <w:rPr>
                <w:color w:val="000000"/>
                <w:sz w:val="18"/>
                <w:szCs w:val="18"/>
                <w:lang w:eastAsia="tr-TR"/>
              </w:rPr>
            </w:pPr>
            <w:r w:rsidRPr="002828A5">
              <w:rPr>
                <w:color w:val="000000"/>
                <w:sz w:val="18"/>
                <w:szCs w:val="18"/>
                <w:lang w:eastAsia="tr-TR"/>
              </w:rPr>
              <w:t>1,334,501</w:t>
            </w:r>
          </w:p>
        </w:tc>
        <w:tc>
          <w:tcPr>
            <w:tcW w:w="1507" w:type="dxa"/>
            <w:tcBorders>
              <w:top w:val="nil"/>
              <w:left w:val="nil"/>
              <w:bottom w:val="dotted" w:sz="4" w:space="0" w:color="auto"/>
              <w:right w:val="single" w:sz="8" w:space="0" w:color="auto"/>
            </w:tcBorders>
            <w:shd w:val="clear" w:color="auto" w:fill="auto"/>
            <w:vAlign w:val="center"/>
            <w:hideMark/>
          </w:tcPr>
          <w:p w14:paraId="5BF1FA6C" w14:textId="77777777" w:rsidR="002828A5" w:rsidRPr="002828A5" w:rsidRDefault="002828A5" w:rsidP="002828A5">
            <w:pPr>
              <w:jc w:val="right"/>
              <w:rPr>
                <w:color w:val="000000"/>
                <w:sz w:val="18"/>
                <w:szCs w:val="18"/>
                <w:lang w:eastAsia="tr-TR"/>
              </w:rPr>
            </w:pPr>
            <w:r w:rsidRPr="002828A5">
              <w:rPr>
                <w:color w:val="000000"/>
                <w:sz w:val="18"/>
                <w:szCs w:val="18"/>
                <w:lang w:eastAsia="tr-TR"/>
              </w:rPr>
              <w:t>679,335</w:t>
            </w:r>
          </w:p>
        </w:tc>
      </w:tr>
      <w:tr w:rsidR="002828A5" w:rsidRPr="002828A5" w14:paraId="3962FCFF" w14:textId="77777777" w:rsidTr="00FC1F5B">
        <w:trPr>
          <w:divId w:val="900139528"/>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0253DB7" w14:textId="77777777" w:rsidR="002828A5" w:rsidRPr="002828A5" w:rsidRDefault="002828A5" w:rsidP="002828A5">
            <w:pPr>
              <w:jc w:val="center"/>
              <w:rPr>
                <w:color w:val="000000"/>
                <w:sz w:val="18"/>
                <w:szCs w:val="18"/>
                <w:lang w:eastAsia="tr-TR"/>
              </w:rPr>
            </w:pPr>
            <w:r w:rsidRPr="002828A5">
              <w:rPr>
                <w:color w:val="000000"/>
                <w:sz w:val="18"/>
                <w:szCs w:val="18"/>
                <w:lang w:eastAsia="tr-TR"/>
              </w:rPr>
              <w:t> </w:t>
            </w:r>
          </w:p>
        </w:tc>
        <w:tc>
          <w:tcPr>
            <w:tcW w:w="6172" w:type="dxa"/>
            <w:tcBorders>
              <w:top w:val="nil"/>
              <w:left w:val="nil"/>
              <w:bottom w:val="dotted" w:sz="4" w:space="0" w:color="auto"/>
              <w:right w:val="nil"/>
            </w:tcBorders>
            <w:shd w:val="clear" w:color="auto" w:fill="auto"/>
            <w:vAlign w:val="center"/>
            <w:hideMark/>
          </w:tcPr>
          <w:p w14:paraId="4FBD5971" w14:textId="77777777" w:rsidR="002828A5" w:rsidRPr="002828A5" w:rsidRDefault="002828A5" w:rsidP="002828A5">
            <w:pPr>
              <w:jc w:val="center"/>
              <w:rPr>
                <w:b/>
                <w:bCs/>
                <w:color w:val="000000"/>
                <w:sz w:val="18"/>
                <w:szCs w:val="18"/>
                <w:lang w:eastAsia="tr-TR"/>
              </w:rPr>
            </w:pPr>
            <w:r w:rsidRPr="002828A5">
              <w:rPr>
                <w:b/>
                <w:bCs/>
                <w:color w:val="000000"/>
                <w:sz w:val="18"/>
                <w:szCs w:val="18"/>
                <w:lang w:eastAsia="tr-TR"/>
              </w:rPr>
              <w:t>Menkul kıymet ve emtia teminatlı finansman işlemleri</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2E1D143A" w14:textId="77777777" w:rsidR="002828A5" w:rsidRPr="002828A5" w:rsidRDefault="002828A5" w:rsidP="002828A5">
            <w:pPr>
              <w:rPr>
                <w:color w:val="000000"/>
                <w:sz w:val="18"/>
                <w:szCs w:val="18"/>
                <w:lang w:eastAsia="tr-TR"/>
              </w:rPr>
            </w:pPr>
            <w:r w:rsidRPr="002828A5">
              <w:rPr>
                <w:color w:val="000000"/>
                <w:sz w:val="18"/>
                <w:szCs w:val="18"/>
                <w:lang w:eastAsia="tr-TR"/>
              </w:rPr>
              <w:t> </w:t>
            </w:r>
          </w:p>
        </w:tc>
        <w:tc>
          <w:tcPr>
            <w:tcW w:w="1507" w:type="dxa"/>
            <w:tcBorders>
              <w:top w:val="nil"/>
              <w:left w:val="nil"/>
              <w:bottom w:val="dotted" w:sz="4" w:space="0" w:color="auto"/>
              <w:right w:val="single" w:sz="8" w:space="0" w:color="auto"/>
            </w:tcBorders>
            <w:shd w:val="clear" w:color="auto" w:fill="auto"/>
            <w:vAlign w:val="center"/>
            <w:hideMark/>
          </w:tcPr>
          <w:p w14:paraId="2C9DB62F" w14:textId="77777777" w:rsidR="002828A5" w:rsidRPr="002828A5" w:rsidRDefault="002828A5" w:rsidP="002828A5">
            <w:pPr>
              <w:rPr>
                <w:color w:val="000000"/>
                <w:sz w:val="18"/>
                <w:szCs w:val="18"/>
                <w:lang w:eastAsia="tr-TR"/>
              </w:rPr>
            </w:pPr>
            <w:r w:rsidRPr="002828A5">
              <w:rPr>
                <w:color w:val="000000"/>
                <w:sz w:val="18"/>
                <w:szCs w:val="18"/>
                <w:lang w:eastAsia="tr-TR"/>
              </w:rPr>
              <w:t> </w:t>
            </w:r>
          </w:p>
        </w:tc>
      </w:tr>
      <w:tr w:rsidR="002828A5" w:rsidRPr="002828A5" w14:paraId="41A6DA07" w14:textId="77777777" w:rsidTr="00FC1F5B">
        <w:trPr>
          <w:divId w:val="900139528"/>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59086E6" w14:textId="77777777" w:rsidR="002828A5" w:rsidRPr="002828A5" w:rsidRDefault="002828A5" w:rsidP="002828A5">
            <w:pPr>
              <w:jc w:val="center"/>
              <w:rPr>
                <w:color w:val="000000"/>
                <w:sz w:val="18"/>
                <w:szCs w:val="18"/>
                <w:lang w:eastAsia="tr-TR"/>
              </w:rPr>
            </w:pPr>
            <w:r w:rsidRPr="002828A5">
              <w:rPr>
                <w:color w:val="000000"/>
                <w:sz w:val="18"/>
                <w:szCs w:val="18"/>
                <w:lang w:eastAsia="tr-TR"/>
              </w:rPr>
              <w:t>7</w:t>
            </w:r>
          </w:p>
        </w:tc>
        <w:tc>
          <w:tcPr>
            <w:tcW w:w="6172" w:type="dxa"/>
            <w:tcBorders>
              <w:top w:val="nil"/>
              <w:left w:val="nil"/>
              <w:bottom w:val="dotted" w:sz="4" w:space="0" w:color="auto"/>
              <w:right w:val="nil"/>
            </w:tcBorders>
            <w:shd w:val="clear" w:color="auto" w:fill="auto"/>
            <w:vAlign w:val="center"/>
            <w:hideMark/>
          </w:tcPr>
          <w:p w14:paraId="3493EB3D" w14:textId="77777777" w:rsidR="002828A5" w:rsidRPr="002828A5" w:rsidRDefault="002828A5" w:rsidP="002828A5">
            <w:pPr>
              <w:rPr>
                <w:color w:val="000000"/>
                <w:sz w:val="18"/>
                <w:szCs w:val="18"/>
                <w:lang w:eastAsia="tr-TR"/>
              </w:rPr>
            </w:pPr>
            <w:r w:rsidRPr="002828A5">
              <w:rPr>
                <w:color w:val="000000"/>
                <w:sz w:val="18"/>
                <w:szCs w:val="18"/>
                <w:lang w:eastAsia="tr-TR"/>
              </w:rPr>
              <w:t>Menkul kıymetleştirme ve emtia teminatlı finansman işlemlerinin menkul kıymet ve emtia teminatlı finansman işlemlerinin risk tutarı (Bilanço içi hariç)</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29B45A27" w14:textId="77777777" w:rsidR="002828A5" w:rsidRPr="002828A5" w:rsidRDefault="002828A5" w:rsidP="002828A5">
            <w:pPr>
              <w:jc w:val="right"/>
              <w:rPr>
                <w:color w:val="000000"/>
                <w:sz w:val="18"/>
                <w:szCs w:val="18"/>
                <w:lang w:eastAsia="tr-TR"/>
              </w:rPr>
            </w:pPr>
            <w:r w:rsidRPr="002828A5">
              <w:rPr>
                <w:color w:val="000000"/>
                <w:sz w:val="18"/>
                <w:szCs w:val="18"/>
                <w:lang w:eastAsia="tr-TR"/>
              </w:rPr>
              <w:t>1,652,136</w:t>
            </w:r>
          </w:p>
        </w:tc>
        <w:tc>
          <w:tcPr>
            <w:tcW w:w="1507" w:type="dxa"/>
            <w:tcBorders>
              <w:top w:val="nil"/>
              <w:left w:val="nil"/>
              <w:bottom w:val="dotted" w:sz="4" w:space="0" w:color="auto"/>
              <w:right w:val="single" w:sz="8" w:space="0" w:color="auto"/>
            </w:tcBorders>
            <w:shd w:val="clear" w:color="auto" w:fill="auto"/>
            <w:vAlign w:val="center"/>
            <w:hideMark/>
          </w:tcPr>
          <w:p w14:paraId="06F35F97" w14:textId="77777777" w:rsidR="002828A5" w:rsidRPr="002828A5" w:rsidRDefault="002828A5" w:rsidP="002828A5">
            <w:pPr>
              <w:jc w:val="right"/>
              <w:rPr>
                <w:color w:val="000000"/>
                <w:sz w:val="18"/>
                <w:szCs w:val="18"/>
                <w:lang w:eastAsia="tr-TR"/>
              </w:rPr>
            </w:pPr>
            <w:r w:rsidRPr="002828A5">
              <w:rPr>
                <w:color w:val="000000"/>
                <w:sz w:val="18"/>
                <w:szCs w:val="18"/>
                <w:lang w:eastAsia="tr-TR"/>
              </w:rPr>
              <w:t>572,070</w:t>
            </w:r>
          </w:p>
        </w:tc>
      </w:tr>
      <w:tr w:rsidR="002828A5" w:rsidRPr="002828A5" w14:paraId="4A1B2354" w14:textId="77777777" w:rsidTr="00FC1F5B">
        <w:trPr>
          <w:divId w:val="900139528"/>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90724E5" w14:textId="77777777" w:rsidR="002828A5" w:rsidRPr="002828A5" w:rsidRDefault="002828A5" w:rsidP="002828A5">
            <w:pPr>
              <w:jc w:val="center"/>
              <w:rPr>
                <w:color w:val="000000"/>
                <w:sz w:val="18"/>
                <w:szCs w:val="18"/>
                <w:lang w:eastAsia="tr-TR"/>
              </w:rPr>
            </w:pPr>
            <w:r w:rsidRPr="002828A5">
              <w:rPr>
                <w:color w:val="000000"/>
                <w:sz w:val="18"/>
                <w:szCs w:val="18"/>
                <w:lang w:eastAsia="tr-TR"/>
              </w:rPr>
              <w:t>8</w:t>
            </w:r>
          </w:p>
        </w:tc>
        <w:tc>
          <w:tcPr>
            <w:tcW w:w="6172" w:type="dxa"/>
            <w:tcBorders>
              <w:top w:val="nil"/>
              <w:left w:val="nil"/>
              <w:bottom w:val="dotted" w:sz="4" w:space="0" w:color="auto"/>
              <w:right w:val="nil"/>
            </w:tcBorders>
            <w:shd w:val="clear" w:color="auto" w:fill="auto"/>
            <w:vAlign w:val="center"/>
            <w:hideMark/>
          </w:tcPr>
          <w:p w14:paraId="621F43AD" w14:textId="77777777" w:rsidR="002828A5" w:rsidRPr="002828A5" w:rsidRDefault="002828A5" w:rsidP="002828A5">
            <w:pPr>
              <w:rPr>
                <w:color w:val="000000"/>
                <w:sz w:val="18"/>
                <w:szCs w:val="18"/>
                <w:lang w:eastAsia="tr-TR"/>
              </w:rPr>
            </w:pPr>
            <w:r w:rsidRPr="002828A5">
              <w:rPr>
                <w:color w:val="000000"/>
                <w:sz w:val="18"/>
                <w:szCs w:val="18"/>
                <w:lang w:eastAsia="tr-TR"/>
              </w:rPr>
              <w:t>Aracılık edilen işlemlerden kaynaklanan risk tutarı</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64741F8F" w14:textId="77777777" w:rsidR="002828A5" w:rsidRPr="002828A5" w:rsidRDefault="002828A5" w:rsidP="002828A5">
            <w:pPr>
              <w:jc w:val="right"/>
              <w:rPr>
                <w:color w:val="000000"/>
                <w:sz w:val="18"/>
                <w:szCs w:val="18"/>
                <w:lang w:eastAsia="tr-TR"/>
              </w:rPr>
            </w:pPr>
            <w:r w:rsidRPr="002828A5">
              <w:rPr>
                <w:color w:val="000000"/>
                <w:sz w:val="18"/>
                <w:szCs w:val="18"/>
                <w:lang w:eastAsia="tr-TR"/>
              </w:rPr>
              <w:t>-</w:t>
            </w:r>
          </w:p>
        </w:tc>
        <w:tc>
          <w:tcPr>
            <w:tcW w:w="1507" w:type="dxa"/>
            <w:tcBorders>
              <w:top w:val="nil"/>
              <w:left w:val="nil"/>
              <w:bottom w:val="dotted" w:sz="4" w:space="0" w:color="auto"/>
              <w:right w:val="single" w:sz="8" w:space="0" w:color="auto"/>
            </w:tcBorders>
            <w:shd w:val="clear" w:color="auto" w:fill="auto"/>
            <w:vAlign w:val="center"/>
            <w:hideMark/>
          </w:tcPr>
          <w:p w14:paraId="55EB9760" w14:textId="77777777" w:rsidR="002828A5" w:rsidRPr="002828A5" w:rsidRDefault="002828A5" w:rsidP="002828A5">
            <w:pPr>
              <w:jc w:val="right"/>
              <w:rPr>
                <w:color w:val="000000"/>
                <w:sz w:val="18"/>
                <w:szCs w:val="18"/>
                <w:lang w:eastAsia="tr-TR"/>
              </w:rPr>
            </w:pPr>
            <w:r w:rsidRPr="002828A5">
              <w:rPr>
                <w:color w:val="000000"/>
                <w:sz w:val="18"/>
                <w:szCs w:val="18"/>
                <w:lang w:eastAsia="tr-TR"/>
              </w:rPr>
              <w:t>-</w:t>
            </w:r>
          </w:p>
        </w:tc>
      </w:tr>
      <w:tr w:rsidR="002828A5" w:rsidRPr="002828A5" w14:paraId="4927CFEC" w14:textId="77777777" w:rsidTr="00FC1F5B">
        <w:trPr>
          <w:divId w:val="900139528"/>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E27251C" w14:textId="77777777" w:rsidR="002828A5" w:rsidRPr="002828A5" w:rsidRDefault="002828A5" w:rsidP="002828A5">
            <w:pPr>
              <w:jc w:val="center"/>
              <w:rPr>
                <w:color w:val="000000"/>
                <w:sz w:val="18"/>
                <w:szCs w:val="18"/>
                <w:lang w:eastAsia="tr-TR"/>
              </w:rPr>
            </w:pPr>
            <w:r w:rsidRPr="002828A5">
              <w:rPr>
                <w:color w:val="000000"/>
                <w:sz w:val="18"/>
                <w:szCs w:val="18"/>
                <w:lang w:eastAsia="tr-TR"/>
              </w:rPr>
              <w:t>9</w:t>
            </w:r>
          </w:p>
        </w:tc>
        <w:tc>
          <w:tcPr>
            <w:tcW w:w="6172" w:type="dxa"/>
            <w:tcBorders>
              <w:top w:val="nil"/>
              <w:left w:val="nil"/>
              <w:bottom w:val="dotted" w:sz="4" w:space="0" w:color="auto"/>
              <w:right w:val="nil"/>
            </w:tcBorders>
            <w:shd w:val="clear" w:color="auto" w:fill="auto"/>
            <w:vAlign w:val="center"/>
            <w:hideMark/>
          </w:tcPr>
          <w:p w14:paraId="0EC7639D" w14:textId="77777777" w:rsidR="002828A5" w:rsidRPr="002828A5" w:rsidRDefault="002828A5" w:rsidP="002828A5">
            <w:pPr>
              <w:rPr>
                <w:color w:val="000000"/>
                <w:sz w:val="18"/>
                <w:szCs w:val="18"/>
                <w:lang w:eastAsia="tr-TR"/>
              </w:rPr>
            </w:pPr>
            <w:r w:rsidRPr="002828A5">
              <w:rPr>
                <w:color w:val="000000"/>
                <w:sz w:val="18"/>
                <w:szCs w:val="18"/>
                <w:lang w:eastAsia="tr-TR"/>
              </w:rPr>
              <w:t>Menkul kıymetleştirme ve emtia teminatlı finansman işlemlerine ilişkin toplam risk tutarı (7 ve 8 inci satırların toplamı)</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1245399B" w14:textId="77777777" w:rsidR="002828A5" w:rsidRPr="002828A5" w:rsidRDefault="002828A5" w:rsidP="002828A5">
            <w:pPr>
              <w:jc w:val="right"/>
              <w:rPr>
                <w:color w:val="000000"/>
                <w:sz w:val="18"/>
                <w:szCs w:val="18"/>
                <w:lang w:eastAsia="tr-TR"/>
              </w:rPr>
            </w:pPr>
            <w:r w:rsidRPr="002828A5">
              <w:rPr>
                <w:color w:val="000000"/>
                <w:sz w:val="18"/>
                <w:szCs w:val="18"/>
                <w:lang w:eastAsia="tr-TR"/>
              </w:rPr>
              <w:t>1,652,136</w:t>
            </w:r>
          </w:p>
        </w:tc>
        <w:tc>
          <w:tcPr>
            <w:tcW w:w="1507" w:type="dxa"/>
            <w:tcBorders>
              <w:top w:val="nil"/>
              <w:left w:val="nil"/>
              <w:bottom w:val="dotted" w:sz="4" w:space="0" w:color="auto"/>
              <w:right w:val="single" w:sz="8" w:space="0" w:color="auto"/>
            </w:tcBorders>
            <w:shd w:val="clear" w:color="auto" w:fill="auto"/>
            <w:vAlign w:val="center"/>
            <w:hideMark/>
          </w:tcPr>
          <w:p w14:paraId="04BFB24C" w14:textId="77777777" w:rsidR="002828A5" w:rsidRPr="002828A5" w:rsidRDefault="002828A5" w:rsidP="002828A5">
            <w:pPr>
              <w:jc w:val="right"/>
              <w:rPr>
                <w:color w:val="000000"/>
                <w:sz w:val="18"/>
                <w:szCs w:val="18"/>
                <w:lang w:eastAsia="tr-TR"/>
              </w:rPr>
            </w:pPr>
            <w:r w:rsidRPr="002828A5">
              <w:rPr>
                <w:color w:val="000000"/>
                <w:sz w:val="18"/>
                <w:szCs w:val="18"/>
                <w:lang w:eastAsia="tr-TR"/>
              </w:rPr>
              <w:t>572,070</w:t>
            </w:r>
          </w:p>
        </w:tc>
      </w:tr>
      <w:tr w:rsidR="002828A5" w:rsidRPr="002828A5" w14:paraId="1B019DDA" w14:textId="77777777" w:rsidTr="00FC1F5B">
        <w:trPr>
          <w:divId w:val="900139528"/>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760610F" w14:textId="77777777" w:rsidR="002828A5" w:rsidRPr="002828A5" w:rsidRDefault="002828A5" w:rsidP="002828A5">
            <w:pPr>
              <w:jc w:val="center"/>
              <w:rPr>
                <w:color w:val="000000"/>
                <w:sz w:val="18"/>
                <w:szCs w:val="18"/>
                <w:lang w:eastAsia="tr-TR"/>
              </w:rPr>
            </w:pPr>
            <w:r w:rsidRPr="002828A5">
              <w:rPr>
                <w:color w:val="000000"/>
                <w:sz w:val="18"/>
                <w:szCs w:val="18"/>
                <w:lang w:eastAsia="tr-TR"/>
              </w:rPr>
              <w:t> </w:t>
            </w:r>
          </w:p>
        </w:tc>
        <w:tc>
          <w:tcPr>
            <w:tcW w:w="6172" w:type="dxa"/>
            <w:tcBorders>
              <w:top w:val="nil"/>
              <w:left w:val="nil"/>
              <w:bottom w:val="dotted" w:sz="4" w:space="0" w:color="auto"/>
              <w:right w:val="nil"/>
            </w:tcBorders>
            <w:shd w:val="clear" w:color="auto" w:fill="auto"/>
            <w:vAlign w:val="center"/>
            <w:hideMark/>
          </w:tcPr>
          <w:p w14:paraId="67784B7F" w14:textId="77777777" w:rsidR="002828A5" w:rsidRPr="002828A5" w:rsidRDefault="002828A5" w:rsidP="002828A5">
            <w:pPr>
              <w:jc w:val="center"/>
              <w:rPr>
                <w:b/>
                <w:bCs/>
                <w:color w:val="000000"/>
                <w:sz w:val="18"/>
                <w:szCs w:val="18"/>
                <w:lang w:eastAsia="tr-TR"/>
              </w:rPr>
            </w:pPr>
            <w:r w:rsidRPr="002828A5">
              <w:rPr>
                <w:b/>
                <w:bCs/>
                <w:color w:val="000000"/>
                <w:sz w:val="18"/>
                <w:szCs w:val="18"/>
                <w:lang w:eastAsia="tr-TR"/>
              </w:rPr>
              <w:t>Bilanço dışı işlemler</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0CF5392E" w14:textId="77777777" w:rsidR="002828A5" w:rsidRPr="002828A5" w:rsidRDefault="002828A5" w:rsidP="002828A5">
            <w:pPr>
              <w:rPr>
                <w:color w:val="000000"/>
                <w:sz w:val="18"/>
                <w:szCs w:val="18"/>
                <w:lang w:eastAsia="tr-TR"/>
              </w:rPr>
            </w:pPr>
            <w:r w:rsidRPr="002828A5">
              <w:rPr>
                <w:color w:val="000000"/>
                <w:sz w:val="18"/>
                <w:szCs w:val="18"/>
                <w:lang w:eastAsia="tr-TR"/>
              </w:rPr>
              <w:t> </w:t>
            </w:r>
          </w:p>
        </w:tc>
        <w:tc>
          <w:tcPr>
            <w:tcW w:w="1507" w:type="dxa"/>
            <w:tcBorders>
              <w:top w:val="nil"/>
              <w:left w:val="nil"/>
              <w:bottom w:val="dotted" w:sz="4" w:space="0" w:color="auto"/>
              <w:right w:val="single" w:sz="8" w:space="0" w:color="auto"/>
            </w:tcBorders>
            <w:shd w:val="clear" w:color="auto" w:fill="auto"/>
            <w:vAlign w:val="center"/>
            <w:hideMark/>
          </w:tcPr>
          <w:p w14:paraId="369F5EB9" w14:textId="77777777" w:rsidR="002828A5" w:rsidRPr="002828A5" w:rsidRDefault="002828A5" w:rsidP="002828A5">
            <w:pPr>
              <w:rPr>
                <w:color w:val="000000"/>
                <w:sz w:val="18"/>
                <w:szCs w:val="18"/>
                <w:lang w:eastAsia="tr-TR"/>
              </w:rPr>
            </w:pPr>
            <w:r w:rsidRPr="002828A5">
              <w:rPr>
                <w:color w:val="000000"/>
                <w:sz w:val="18"/>
                <w:szCs w:val="18"/>
                <w:lang w:eastAsia="tr-TR"/>
              </w:rPr>
              <w:t> </w:t>
            </w:r>
          </w:p>
        </w:tc>
      </w:tr>
      <w:tr w:rsidR="002828A5" w:rsidRPr="002828A5" w14:paraId="4B003613" w14:textId="77777777" w:rsidTr="00FC1F5B">
        <w:trPr>
          <w:divId w:val="900139528"/>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81161FA" w14:textId="77777777" w:rsidR="002828A5" w:rsidRPr="002828A5" w:rsidRDefault="002828A5" w:rsidP="002828A5">
            <w:pPr>
              <w:jc w:val="center"/>
              <w:rPr>
                <w:color w:val="000000"/>
                <w:sz w:val="18"/>
                <w:szCs w:val="18"/>
                <w:lang w:eastAsia="tr-TR"/>
              </w:rPr>
            </w:pPr>
            <w:r w:rsidRPr="002828A5">
              <w:rPr>
                <w:color w:val="000000"/>
                <w:sz w:val="18"/>
                <w:szCs w:val="18"/>
                <w:lang w:eastAsia="tr-TR"/>
              </w:rPr>
              <w:t>10</w:t>
            </w:r>
          </w:p>
        </w:tc>
        <w:tc>
          <w:tcPr>
            <w:tcW w:w="6172" w:type="dxa"/>
            <w:tcBorders>
              <w:top w:val="nil"/>
              <w:left w:val="nil"/>
              <w:bottom w:val="dotted" w:sz="4" w:space="0" w:color="auto"/>
              <w:right w:val="nil"/>
            </w:tcBorders>
            <w:shd w:val="clear" w:color="auto" w:fill="auto"/>
            <w:vAlign w:val="center"/>
            <w:hideMark/>
          </w:tcPr>
          <w:p w14:paraId="3DE88CFC" w14:textId="77777777" w:rsidR="002828A5" w:rsidRPr="002828A5" w:rsidRDefault="002828A5" w:rsidP="002828A5">
            <w:pPr>
              <w:jc w:val="both"/>
              <w:rPr>
                <w:color w:val="000000"/>
                <w:sz w:val="18"/>
                <w:szCs w:val="18"/>
                <w:lang w:eastAsia="tr-TR"/>
              </w:rPr>
            </w:pPr>
            <w:r w:rsidRPr="002828A5">
              <w:rPr>
                <w:color w:val="000000"/>
                <w:sz w:val="18"/>
                <w:szCs w:val="18"/>
                <w:lang w:eastAsia="tr-TR"/>
              </w:rPr>
              <w:t>Bilanço dışı işlemlerin brüt nominal tutarı</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1D757F3C" w14:textId="77777777" w:rsidR="002828A5" w:rsidRPr="002828A5" w:rsidRDefault="002828A5" w:rsidP="002828A5">
            <w:pPr>
              <w:jc w:val="right"/>
              <w:rPr>
                <w:color w:val="000000"/>
                <w:sz w:val="18"/>
                <w:szCs w:val="18"/>
                <w:lang w:eastAsia="tr-TR"/>
              </w:rPr>
            </w:pPr>
            <w:r w:rsidRPr="002828A5">
              <w:rPr>
                <w:color w:val="000000"/>
                <w:sz w:val="18"/>
                <w:szCs w:val="18"/>
                <w:lang w:eastAsia="tr-TR"/>
              </w:rPr>
              <w:t>68,388,862</w:t>
            </w:r>
          </w:p>
        </w:tc>
        <w:tc>
          <w:tcPr>
            <w:tcW w:w="1507" w:type="dxa"/>
            <w:tcBorders>
              <w:top w:val="nil"/>
              <w:left w:val="nil"/>
              <w:bottom w:val="dotted" w:sz="4" w:space="0" w:color="auto"/>
              <w:right w:val="single" w:sz="8" w:space="0" w:color="auto"/>
            </w:tcBorders>
            <w:shd w:val="clear" w:color="auto" w:fill="auto"/>
            <w:vAlign w:val="center"/>
            <w:hideMark/>
          </w:tcPr>
          <w:p w14:paraId="3F9ED28D" w14:textId="77777777" w:rsidR="002828A5" w:rsidRPr="002828A5" w:rsidRDefault="002828A5" w:rsidP="002828A5">
            <w:pPr>
              <w:jc w:val="right"/>
              <w:rPr>
                <w:color w:val="000000"/>
                <w:sz w:val="18"/>
                <w:szCs w:val="18"/>
                <w:lang w:eastAsia="tr-TR"/>
              </w:rPr>
            </w:pPr>
            <w:r w:rsidRPr="002828A5">
              <w:rPr>
                <w:color w:val="000000"/>
                <w:sz w:val="18"/>
                <w:szCs w:val="18"/>
                <w:lang w:eastAsia="tr-TR"/>
              </w:rPr>
              <w:t>65,619,596</w:t>
            </w:r>
          </w:p>
        </w:tc>
      </w:tr>
      <w:tr w:rsidR="002828A5" w:rsidRPr="002828A5" w14:paraId="704F5F87" w14:textId="77777777" w:rsidTr="00FC1F5B">
        <w:trPr>
          <w:divId w:val="900139528"/>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2276259" w14:textId="77777777" w:rsidR="002828A5" w:rsidRPr="002828A5" w:rsidRDefault="002828A5" w:rsidP="002828A5">
            <w:pPr>
              <w:jc w:val="center"/>
              <w:rPr>
                <w:color w:val="000000"/>
                <w:sz w:val="18"/>
                <w:szCs w:val="18"/>
                <w:lang w:eastAsia="tr-TR"/>
              </w:rPr>
            </w:pPr>
            <w:r w:rsidRPr="002828A5">
              <w:rPr>
                <w:color w:val="000000"/>
                <w:sz w:val="18"/>
                <w:szCs w:val="18"/>
                <w:lang w:eastAsia="tr-TR"/>
              </w:rPr>
              <w:t>11</w:t>
            </w:r>
          </w:p>
        </w:tc>
        <w:tc>
          <w:tcPr>
            <w:tcW w:w="6172" w:type="dxa"/>
            <w:tcBorders>
              <w:top w:val="nil"/>
              <w:left w:val="nil"/>
              <w:bottom w:val="dotted" w:sz="4" w:space="0" w:color="auto"/>
              <w:right w:val="nil"/>
            </w:tcBorders>
            <w:shd w:val="clear" w:color="auto" w:fill="auto"/>
            <w:vAlign w:val="center"/>
            <w:hideMark/>
          </w:tcPr>
          <w:p w14:paraId="1BF4DC4E" w14:textId="77777777" w:rsidR="002828A5" w:rsidRPr="002828A5" w:rsidRDefault="002828A5" w:rsidP="002828A5">
            <w:pPr>
              <w:rPr>
                <w:color w:val="000000"/>
                <w:sz w:val="18"/>
                <w:szCs w:val="18"/>
                <w:lang w:eastAsia="tr-TR"/>
              </w:rPr>
            </w:pPr>
            <w:r w:rsidRPr="002828A5">
              <w:rPr>
                <w:color w:val="000000"/>
                <w:sz w:val="18"/>
                <w:szCs w:val="18"/>
                <w:lang w:eastAsia="tr-TR"/>
              </w:rPr>
              <w:t>(Krediye dönüştürme oranları ile çarpımından kaynaklanan düzeltme tutarı)</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1BB46C5D" w14:textId="77777777" w:rsidR="002828A5" w:rsidRPr="002828A5" w:rsidRDefault="002828A5" w:rsidP="002828A5">
            <w:pPr>
              <w:jc w:val="right"/>
              <w:rPr>
                <w:color w:val="000000"/>
                <w:sz w:val="18"/>
                <w:szCs w:val="18"/>
                <w:lang w:eastAsia="tr-TR"/>
              </w:rPr>
            </w:pPr>
            <w:r w:rsidRPr="002828A5">
              <w:rPr>
                <w:color w:val="000000"/>
                <w:sz w:val="18"/>
                <w:szCs w:val="18"/>
                <w:lang w:eastAsia="tr-TR"/>
              </w:rPr>
              <w:t>(42,905,808)</w:t>
            </w:r>
          </w:p>
        </w:tc>
        <w:tc>
          <w:tcPr>
            <w:tcW w:w="1507" w:type="dxa"/>
            <w:tcBorders>
              <w:top w:val="nil"/>
              <w:left w:val="nil"/>
              <w:bottom w:val="dotted" w:sz="4" w:space="0" w:color="auto"/>
              <w:right w:val="single" w:sz="8" w:space="0" w:color="auto"/>
            </w:tcBorders>
            <w:shd w:val="clear" w:color="auto" w:fill="auto"/>
            <w:vAlign w:val="center"/>
            <w:hideMark/>
          </w:tcPr>
          <w:p w14:paraId="73ADDEF5" w14:textId="77777777" w:rsidR="002828A5" w:rsidRPr="002828A5" w:rsidRDefault="002828A5" w:rsidP="002828A5">
            <w:pPr>
              <w:jc w:val="right"/>
              <w:rPr>
                <w:color w:val="000000"/>
                <w:sz w:val="18"/>
                <w:szCs w:val="18"/>
                <w:lang w:eastAsia="tr-TR"/>
              </w:rPr>
            </w:pPr>
            <w:r w:rsidRPr="002828A5">
              <w:rPr>
                <w:color w:val="000000"/>
                <w:sz w:val="18"/>
                <w:szCs w:val="18"/>
                <w:lang w:eastAsia="tr-TR"/>
              </w:rPr>
              <w:t>(42,603,597)</w:t>
            </w:r>
          </w:p>
        </w:tc>
      </w:tr>
      <w:tr w:rsidR="002828A5" w:rsidRPr="002828A5" w14:paraId="433E441D" w14:textId="77777777" w:rsidTr="00FC1F5B">
        <w:trPr>
          <w:divId w:val="900139528"/>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010A811" w14:textId="77777777" w:rsidR="002828A5" w:rsidRPr="002828A5" w:rsidRDefault="002828A5" w:rsidP="002828A5">
            <w:pPr>
              <w:jc w:val="center"/>
              <w:rPr>
                <w:color w:val="000000"/>
                <w:sz w:val="18"/>
                <w:szCs w:val="18"/>
                <w:lang w:eastAsia="tr-TR"/>
              </w:rPr>
            </w:pPr>
            <w:r w:rsidRPr="002828A5">
              <w:rPr>
                <w:color w:val="000000"/>
                <w:sz w:val="18"/>
                <w:szCs w:val="18"/>
                <w:lang w:eastAsia="tr-TR"/>
              </w:rPr>
              <w:t>12</w:t>
            </w:r>
          </w:p>
        </w:tc>
        <w:tc>
          <w:tcPr>
            <w:tcW w:w="6172" w:type="dxa"/>
            <w:tcBorders>
              <w:top w:val="nil"/>
              <w:left w:val="nil"/>
              <w:bottom w:val="dotted" w:sz="4" w:space="0" w:color="auto"/>
              <w:right w:val="nil"/>
            </w:tcBorders>
            <w:shd w:val="clear" w:color="auto" w:fill="auto"/>
            <w:vAlign w:val="center"/>
            <w:hideMark/>
          </w:tcPr>
          <w:p w14:paraId="0A0C6EEB" w14:textId="77777777" w:rsidR="002828A5" w:rsidRPr="002828A5" w:rsidRDefault="002828A5" w:rsidP="002828A5">
            <w:pPr>
              <w:rPr>
                <w:color w:val="000000"/>
                <w:sz w:val="18"/>
                <w:szCs w:val="18"/>
                <w:lang w:eastAsia="tr-TR"/>
              </w:rPr>
            </w:pPr>
            <w:r w:rsidRPr="002828A5">
              <w:rPr>
                <w:color w:val="000000"/>
                <w:sz w:val="18"/>
                <w:szCs w:val="18"/>
                <w:lang w:eastAsia="tr-TR"/>
              </w:rPr>
              <w:t>Bilanço dışı işlemlere ilişkin toplam risk tutarı (10 ve 11 inci satırların toplamı)</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1A07DF93" w14:textId="77777777" w:rsidR="002828A5" w:rsidRPr="002828A5" w:rsidRDefault="002828A5" w:rsidP="002828A5">
            <w:pPr>
              <w:jc w:val="right"/>
              <w:rPr>
                <w:color w:val="000000"/>
                <w:sz w:val="18"/>
                <w:szCs w:val="18"/>
                <w:lang w:eastAsia="tr-TR"/>
              </w:rPr>
            </w:pPr>
            <w:r w:rsidRPr="002828A5">
              <w:rPr>
                <w:color w:val="000000"/>
                <w:sz w:val="18"/>
                <w:szCs w:val="18"/>
                <w:lang w:eastAsia="tr-TR"/>
              </w:rPr>
              <w:t>25,483,054</w:t>
            </w:r>
          </w:p>
        </w:tc>
        <w:tc>
          <w:tcPr>
            <w:tcW w:w="1507" w:type="dxa"/>
            <w:tcBorders>
              <w:top w:val="nil"/>
              <w:left w:val="nil"/>
              <w:bottom w:val="dotted" w:sz="4" w:space="0" w:color="auto"/>
              <w:right w:val="single" w:sz="8" w:space="0" w:color="auto"/>
            </w:tcBorders>
            <w:shd w:val="clear" w:color="auto" w:fill="auto"/>
            <w:vAlign w:val="center"/>
            <w:hideMark/>
          </w:tcPr>
          <w:p w14:paraId="3B18D8B4" w14:textId="77777777" w:rsidR="002828A5" w:rsidRPr="002828A5" w:rsidRDefault="002828A5" w:rsidP="002828A5">
            <w:pPr>
              <w:jc w:val="right"/>
              <w:rPr>
                <w:color w:val="000000"/>
                <w:sz w:val="18"/>
                <w:szCs w:val="18"/>
                <w:lang w:eastAsia="tr-TR"/>
              </w:rPr>
            </w:pPr>
            <w:r w:rsidRPr="002828A5">
              <w:rPr>
                <w:color w:val="000000"/>
                <w:sz w:val="18"/>
                <w:szCs w:val="18"/>
                <w:lang w:eastAsia="tr-TR"/>
              </w:rPr>
              <w:t>23,015,999</w:t>
            </w:r>
          </w:p>
        </w:tc>
      </w:tr>
      <w:tr w:rsidR="002828A5" w:rsidRPr="002828A5" w14:paraId="1C70FA63" w14:textId="77777777" w:rsidTr="00FC1F5B">
        <w:trPr>
          <w:divId w:val="900139528"/>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6C7D464" w14:textId="77777777" w:rsidR="002828A5" w:rsidRPr="002828A5" w:rsidRDefault="002828A5" w:rsidP="002828A5">
            <w:pPr>
              <w:jc w:val="center"/>
              <w:rPr>
                <w:color w:val="000000"/>
                <w:sz w:val="18"/>
                <w:szCs w:val="18"/>
                <w:lang w:eastAsia="tr-TR"/>
              </w:rPr>
            </w:pPr>
            <w:r w:rsidRPr="002828A5">
              <w:rPr>
                <w:color w:val="000000"/>
                <w:sz w:val="18"/>
                <w:szCs w:val="18"/>
                <w:lang w:eastAsia="tr-TR"/>
              </w:rPr>
              <w:t> </w:t>
            </w:r>
          </w:p>
        </w:tc>
        <w:tc>
          <w:tcPr>
            <w:tcW w:w="6172" w:type="dxa"/>
            <w:tcBorders>
              <w:top w:val="nil"/>
              <w:left w:val="nil"/>
              <w:bottom w:val="dotted" w:sz="4" w:space="0" w:color="auto"/>
              <w:right w:val="nil"/>
            </w:tcBorders>
            <w:shd w:val="clear" w:color="auto" w:fill="auto"/>
            <w:vAlign w:val="center"/>
            <w:hideMark/>
          </w:tcPr>
          <w:p w14:paraId="7B2BE195" w14:textId="77777777" w:rsidR="002828A5" w:rsidRPr="002828A5" w:rsidRDefault="002828A5" w:rsidP="002828A5">
            <w:pPr>
              <w:jc w:val="center"/>
              <w:rPr>
                <w:b/>
                <w:bCs/>
                <w:color w:val="000000"/>
                <w:sz w:val="18"/>
                <w:szCs w:val="18"/>
                <w:lang w:eastAsia="tr-TR"/>
              </w:rPr>
            </w:pPr>
            <w:r w:rsidRPr="002828A5">
              <w:rPr>
                <w:b/>
                <w:bCs/>
                <w:color w:val="000000"/>
                <w:sz w:val="18"/>
                <w:szCs w:val="18"/>
                <w:lang w:eastAsia="tr-TR"/>
              </w:rPr>
              <w:t>Sermaye ve toplam risk</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5D7A087D" w14:textId="77777777" w:rsidR="002828A5" w:rsidRPr="002828A5" w:rsidRDefault="002828A5" w:rsidP="002828A5">
            <w:pPr>
              <w:rPr>
                <w:color w:val="000000"/>
                <w:sz w:val="18"/>
                <w:szCs w:val="18"/>
                <w:lang w:eastAsia="tr-TR"/>
              </w:rPr>
            </w:pPr>
            <w:r w:rsidRPr="002828A5">
              <w:rPr>
                <w:color w:val="000000"/>
                <w:sz w:val="18"/>
                <w:szCs w:val="18"/>
                <w:lang w:eastAsia="tr-TR"/>
              </w:rPr>
              <w:t> </w:t>
            </w:r>
          </w:p>
        </w:tc>
        <w:tc>
          <w:tcPr>
            <w:tcW w:w="1507" w:type="dxa"/>
            <w:tcBorders>
              <w:top w:val="nil"/>
              <w:left w:val="nil"/>
              <w:bottom w:val="dotted" w:sz="4" w:space="0" w:color="auto"/>
              <w:right w:val="single" w:sz="8" w:space="0" w:color="auto"/>
            </w:tcBorders>
            <w:shd w:val="clear" w:color="auto" w:fill="auto"/>
            <w:vAlign w:val="center"/>
            <w:hideMark/>
          </w:tcPr>
          <w:p w14:paraId="2DA48AE3" w14:textId="77777777" w:rsidR="002828A5" w:rsidRPr="002828A5" w:rsidRDefault="002828A5" w:rsidP="002828A5">
            <w:pPr>
              <w:rPr>
                <w:color w:val="000000"/>
                <w:sz w:val="18"/>
                <w:szCs w:val="18"/>
                <w:lang w:eastAsia="tr-TR"/>
              </w:rPr>
            </w:pPr>
            <w:r w:rsidRPr="002828A5">
              <w:rPr>
                <w:color w:val="000000"/>
                <w:sz w:val="18"/>
                <w:szCs w:val="18"/>
                <w:lang w:eastAsia="tr-TR"/>
              </w:rPr>
              <w:t> </w:t>
            </w:r>
          </w:p>
        </w:tc>
      </w:tr>
      <w:tr w:rsidR="002828A5" w:rsidRPr="002828A5" w14:paraId="59A7DF9B" w14:textId="77777777" w:rsidTr="00FC1F5B">
        <w:trPr>
          <w:divId w:val="900139528"/>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5426C3A" w14:textId="77777777" w:rsidR="002828A5" w:rsidRPr="002828A5" w:rsidRDefault="002828A5" w:rsidP="002828A5">
            <w:pPr>
              <w:jc w:val="center"/>
              <w:rPr>
                <w:color w:val="000000"/>
                <w:sz w:val="18"/>
                <w:szCs w:val="18"/>
                <w:lang w:eastAsia="tr-TR"/>
              </w:rPr>
            </w:pPr>
            <w:r w:rsidRPr="002828A5">
              <w:rPr>
                <w:color w:val="000000"/>
                <w:sz w:val="18"/>
                <w:szCs w:val="18"/>
                <w:lang w:eastAsia="tr-TR"/>
              </w:rPr>
              <w:t>13</w:t>
            </w:r>
          </w:p>
        </w:tc>
        <w:tc>
          <w:tcPr>
            <w:tcW w:w="6172" w:type="dxa"/>
            <w:tcBorders>
              <w:top w:val="nil"/>
              <w:left w:val="nil"/>
              <w:bottom w:val="dotted" w:sz="4" w:space="0" w:color="auto"/>
              <w:right w:val="nil"/>
            </w:tcBorders>
            <w:shd w:val="clear" w:color="auto" w:fill="auto"/>
            <w:vAlign w:val="center"/>
            <w:hideMark/>
          </w:tcPr>
          <w:p w14:paraId="503EB2C1" w14:textId="77777777" w:rsidR="002828A5" w:rsidRPr="002828A5" w:rsidRDefault="002828A5" w:rsidP="002828A5">
            <w:pPr>
              <w:rPr>
                <w:color w:val="000000"/>
                <w:sz w:val="18"/>
                <w:szCs w:val="18"/>
                <w:lang w:eastAsia="tr-TR"/>
              </w:rPr>
            </w:pPr>
            <w:r w:rsidRPr="002828A5">
              <w:rPr>
                <w:color w:val="000000"/>
                <w:sz w:val="18"/>
                <w:szCs w:val="18"/>
                <w:lang w:eastAsia="tr-TR"/>
              </w:rPr>
              <w:t>Ana sermaye</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105C6D1C" w14:textId="77777777" w:rsidR="002828A5" w:rsidRPr="002828A5" w:rsidRDefault="002828A5" w:rsidP="002828A5">
            <w:pPr>
              <w:jc w:val="right"/>
              <w:rPr>
                <w:color w:val="000000"/>
                <w:sz w:val="18"/>
                <w:szCs w:val="18"/>
                <w:lang w:eastAsia="tr-TR"/>
              </w:rPr>
            </w:pPr>
            <w:r w:rsidRPr="002828A5">
              <w:rPr>
                <w:color w:val="000000"/>
                <w:sz w:val="18"/>
                <w:szCs w:val="18"/>
                <w:lang w:eastAsia="tr-TR"/>
              </w:rPr>
              <w:t>9,242,258</w:t>
            </w:r>
          </w:p>
        </w:tc>
        <w:tc>
          <w:tcPr>
            <w:tcW w:w="1507" w:type="dxa"/>
            <w:tcBorders>
              <w:top w:val="nil"/>
              <w:left w:val="nil"/>
              <w:bottom w:val="dotted" w:sz="4" w:space="0" w:color="auto"/>
              <w:right w:val="single" w:sz="8" w:space="0" w:color="auto"/>
            </w:tcBorders>
            <w:shd w:val="clear" w:color="auto" w:fill="auto"/>
            <w:vAlign w:val="center"/>
            <w:hideMark/>
          </w:tcPr>
          <w:p w14:paraId="44D27A3A" w14:textId="77777777" w:rsidR="002828A5" w:rsidRPr="002828A5" w:rsidRDefault="002828A5" w:rsidP="002828A5">
            <w:pPr>
              <w:jc w:val="right"/>
              <w:rPr>
                <w:color w:val="000000"/>
                <w:sz w:val="18"/>
                <w:szCs w:val="18"/>
                <w:lang w:eastAsia="tr-TR"/>
              </w:rPr>
            </w:pPr>
            <w:r w:rsidRPr="002828A5">
              <w:rPr>
                <w:color w:val="000000"/>
                <w:sz w:val="18"/>
                <w:szCs w:val="18"/>
                <w:lang w:eastAsia="tr-TR"/>
              </w:rPr>
              <w:t>7,708,462</w:t>
            </w:r>
          </w:p>
        </w:tc>
      </w:tr>
      <w:tr w:rsidR="002828A5" w:rsidRPr="002828A5" w14:paraId="21BDFD59" w14:textId="77777777" w:rsidTr="00FC1F5B">
        <w:trPr>
          <w:divId w:val="900139528"/>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83A23AA" w14:textId="77777777" w:rsidR="002828A5" w:rsidRPr="002828A5" w:rsidRDefault="002828A5" w:rsidP="002828A5">
            <w:pPr>
              <w:jc w:val="center"/>
              <w:rPr>
                <w:color w:val="000000"/>
                <w:sz w:val="18"/>
                <w:szCs w:val="18"/>
                <w:lang w:eastAsia="tr-TR"/>
              </w:rPr>
            </w:pPr>
            <w:r w:rsidRPr="002828A5">
              <w:rPr>
                <w:color w:val="000000"/>
                <w:sz w:val="18"/>
                <w:szCs w:val="18"/>
                <w:lang w:eastAsia="tr-TR"/>
              </w:rPr>
              <w:t>14</w:t>
            </w:r>
          </w:p>
        </w:tc>
        <w:tc>
          <w:tcPr>
            <w:tcW w:w="6172" w:type="dxa"/>
            <w:tcBorders>
              <w:top w:val="nil"/>
              <w:left w:val="nil"/>
              <w:bottom w:val="dotted" w:sz="4" w:space="0" w:color="auto"/>
              <w:right w:val="nil"/>
            </w:tcBorders>
            <w:shd w:val="clear" w:color="auto" w:fill="auto"/>
            <w:vAlign w:val="center"/>
            <w:hideMark/>
          </w:tcPr>
          <w:p w14:paraId="0976E8E2" w14:textId="77777777" w:rsidR="002828A5" w:rsidRPr="002828A5" w:rsidRDefault="002828A5" w:rsidP="002828A5">
            <w:pPr>
              <w:rPr>
                <w:color w:val="000000"/>
                <w:sz w:val="18"/>
                <w:szCs w:val="18"/>
                <w:lang w:eastAsia="tr-TR"/>
              </w:rPr>
            </w:pPr>
            <w:r w:rsidRPr="002828A5">
              <w:rPr>
                <w:color w:val="000000"/>
                <w:sz w:val="18"/>
                <w:szCs w:val="18"/>
                <w:lang w:eastAsia="tr-TR"/>
              </w:rPr>
              <w:t>Toplam risk tutarı (3, 6, 9 ve 12 inci satırların toplamı)</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31D0DB74" w14:textId="77777777" w:rsidR="002828A5" w:rsidRPr="002828A5" w:rsidRDefault="002828A5" w:rsidP="002828A5">
            <w:pPr>
              <w:jc w:val="right"/>
              <w:rPr>
                <w:color w:val="000000"/>
                <w:sz w:val="18"/>
                <w:szCs w:val="18"/>
                <w:lang w:eastAsia="tr-TR"/>
              </w:rPr>
            </w:pPr>
            <w:r w:rsidRPr="002828A5">
              <w:rPr>
                <w:color w:val="000000"/>
                <w:sz w:val="18"/>
                <w:szCs w:val="18"/>
                <w:lang w:eastAsia="tr-TR"/>
              </w:rPr>
              <w:t>175,351,126</w:t>
            </w:r>
          </w:p>
        </w:tc>
        <w:tc>
          <w:tcPr>
            <w:tcW w:w="1507" w:type="dxa"/>
            <w:tcBorders>
              <w:top w:val="nil"/>
              <w:left w:val="nil"/>
              <w:bottom w:val="dotted" w:sz="4" w:space="0" w:color="auto"/>
              <w:right w:val="single" w:sz="8" w:space="0" w:color="auto"/>
            </w:tcBorders>
            <w:shd w:val="clear" w:color="auto" w:fill="auto"/>
            <w:vAlign w:val="center"/>
            <w:hideMark/>
          </w:tcPr>
          <w:p w14:paraId="347FB135" w14:textId="77777777" w:rsidR="002828A5" w:rsidRPr="002828A5" w:rsidRDefault="002828A5" w:rsidP="002828A5">
            <w:pPr>
              <w:jc w:val="right"/>
              <w:rPr>
                <w:color w:val="000000"/>
                <w:sz w:val="18"/>
                <w:szCs w:val="18"/>
                <w:lang w:eastAsia="tr-TR"/>
              </w:rPr>
            </w:pPr>
            <w:r w:rsidRPr="002828A5">
              <w:rPr>
                <w:color w:val="000000"/>
                <w:sz w:val="18"/>
                <w:szCs w:val="18"/>
                <w:lang w:eastAsia="tr-TR"/>
              </w:rPr>
              <w:t>124,656,415</w:t>
            </w:r>
          </w:p>
        </w:tc>
      </w:tr>
      <w:tr w:rsidR="002828A5" w:rsidRPr="002828A5" w14:paraId="35BE95A0" w14:textId="77777777" w:rsidTr="00FC1F5B">
        <w:trPr>
          <w:divId w:val="900139528"/>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0ACF090" w14:textId="77777777" w:rsidR="002828A5" w:rsidRPr="002828A5" w:rsidRDefault="002828A5" w:rsidP="002828A5">
            <w:pPr>
              <w:jc w:val="center"/>
              <w:rPr>
                <w:color w:val="000000"/>
                <w:sz w:val="18"/>
                <w:szCs w:val="18"/>
                <w:lang w:eastAsia="tr-TR"/>
              </w:rPr>
            </w:pPr>
            <w:r w:rsidRPr="002828A5">
              <w:rPr>
                <w:color w:val="000000"/>
                <w:sz w:val="18"/>
                <w:szCs w:val="18"/>
                <w:lang w:eastAsia="tr-TR"/>
              </w:rPr>
              <w:t> </w:t>
            </w:r>
          </w:p>
        </w:tc>
        <w:tc>
          <w:tcPr>
            <w:tcW w:w="6172" w:type="dxa"/>
            <w:tcBorders>
              <w:top w:val="nil"/>
              <w:left w:val="nil"/>
              <w:bottom w:val="dotted" w:sz="4" w:space="0" w:color="auto"/>
              <w:right w:val="nil"/>
            </w:tcBorders>
            <w:shd w:val="clear" w:color="auto" w:fill="auto"/>
            <w:vAlign w:val="center"/>
            <w:hideMark/>
          </w:tcPr>
          <w:p w14:paraId="559584C0" w14:textId="77777777" w:rsidR="002828A5" w:rsidRPr="002828A5" w:rsidRDefault="002828A5" w:rsidP="002828A5">
            <w:pPr>
              <w:jc w:val="center"/>
              <w:rPr>
                <w:b/>
                <w:bCs/>
                <w:color w:val="000000"/>
                <w:sz w:val="18"/>
                <w:szCs w:val="18"/>
                <w:lang w:eastAsia="tr-TR"/>
              </w:rPr>
            </w:pPr>
            <w:r w:rsidRPr="002828A5">
              <w:rPr>
                <w:b/>
                <w:bCs/>
                <w:color w:val="000000"/>
                <w:sz w:val="18"/>
                <w:szCs w:val="18"/>
                <w:lang w:eastAsia="tr-TR"/>
              </w:rPr>
              <w:t>Kaldıraç oranı</w:t>
            </w:r>
          </w:p>
        </w:tc>
        <w:tc>
          <w:tcPr>
            <w:tcW w:w="1275" w:type="dxa"/>
            <w:tcBorders>
              <w:top w:val="nil"/>
              <w:left w:val="single" w:sz="8" w:space="0" w:color="auto"/>
              <w:bottom w:val="dotted" w:sz="4" w:space="0" w:color="auto"/>
              <w:right w:val="dotted" w:sz="4" w:space="0" w:color="auto"/>
            </w:tcBorders>
            <w:shd w:val="clear" w:color="auto" w:fill="auto"/>
            <w:vAlign w:val="center"/>
            <w:hideMark/>
          </w:tcPr>
          <w:p w14:paraId="64129BAE" w14:textId="77777777" w:rsidR="002828A5" w:rsidRPr="002828A5" w:rsidRDefault="002828A5" w:rsidP="002828A5">
            <w:pPr>
              <w:rPr>
                <w:color w:val="000000"/>
                <w:sz w:val="18"/>
                <w:szCs w:val="18"/>
                <w:lang w:eastAsia="tr-TR"/>
              </w:rPr>
            </w:pPr>
            <w:r w:rsidRPr="002828A5">
              <w:rPr>
                <w:color w:val="000000"/>
                <w:sz w:val="18"/>
                <w:szCs w:val="18"/>
                <w:lang w:eastAsia="tr-TR"/>
              </w:rPr>
              <w:t> </w:t>
            </w:r>
          </w:p>
        </w:tc>
        <w:tc>
          <w:tcPr>
            <w:tcW w:w="1507" w:type="dxa"/>
            <w:tcBorders>
              <w:top w:val="nil"/>
              <w:left w:val="nil"/>
              <w:bottom w:val="dotted" w:sz="4" w:space="0" w:color="auto"/>
              <w:right w:val="single" w:sz="8" w:space="0" w:color="auto"/>
            </w:tcBorders>
            <w:shd w:val="clear" w:color="auto" w:fill="auto"/>
            <w:vAlign w:val="center"/>
            <w:hideMark/>
          </w:tcPr>
          <w:p w14:paraId="38EB4B90" w14:textId="77777777" w:rsidR="002828A5" w:rsidRPr="002828A5" w:rsidRDefault="002828A5" w:rsidP="002828A5">
            <w:pPr>
              <w:rPr>
                <w:color w:val="000000"/>
                <w:sz w:val="18"/>
                <w:szCs w:val="18"/>
                <w:lang w:eastAsia="tr-TR"/>
              </w:rPr>
            </w:pPr>
            <w:r w:rsidRPr="002828A5">
              <w:rPr>
                <w:color w:val="000000"/>
                <w:sz w:val="18"/>
                <w:szCs w:val="18"/>
                <w:lang w:eastAsia="tr-TR"/>
              </w:rPr>
              <w:t> </w:t>
            </w:r>
          </w:p>
        </w:tc>
      </w:tr>
      <w:tr w:rsidR="002828A5" w:rsidRPr="002828A5" w14:paraId="5E681F3F" w14:textId="77777777" w:rsidTr="00FC1F5B">
        <w:trPr>
          <w:divId w:val="900139528"/>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6B7EEB72" w14:textId="77777777" w:rsidR="002828A5" w:rsidRPr="002828A5" w:rsidRDefault="002828A5" w:rsidP="002828A5">
            <w:pPr>
              <w:jc w:val="center"/>
              <w:rPr>
                <w:color w:val="000000"/>
                <w:sz w:val="18"/>
                <w:szCs w:val="18"/>
                <w:lang w:eastAsia="tr-TR"/>
              </w:rPr>
            </w:pPr>
            <w:r w:rsidRPr="002828A5">
              <w:rPr>
                <w:color w:val="000000"/>
                <w:sz w:val="18"/>
                <w:szCs w:val="18"/>
                <w:lang w:eastAsia="tr-TR"/>
              </w:rPr>
              <w:t>15</w:t>
            </w:r>
          </w:p>
        </w:tc>
        <w:tc>
          <w:tcPr>
            <w:tcW w:w="6172" w:type="dxa"/>
            <w:tcBorders>
              <w:top w:val="nil"/>
              <w:left w:val="nil"/>
              <w:bottom w:val="single" w:sz="8" w:space="0" w:color="auto"/>
              <w:right w:val="nil"/>
            </w:tcBorders>
            <w:shd w:val="clear" w:color="auto" w:fill="auto"/>
            <w:vAlign w:val="center"/>
            <w:hideMark/>
          </w:tcPr>
          <w:p w14:paraId="7F1B69D3" w14:textId="77777777" w:rsidR="002828A5" w:rsidRPr="002828A5" w:rsidRDefault="002828A5" w:rsidP="002828A5">
            <w:pPr>
              <w:rPr>
                <w:color w:val="000000"/>
                <w:sz w:val="18"/>
                <w:szCs w:val="18"/>
                <w:lang w:eastAsia="tr-TR"/>
              </w:rPr>
            </w:pPr>
            <w:r w:rsidRPr="002828A5">
              <w:rPr>
                <w:color w:val="000000"/>
                <w:sz w:val="18"/>
                <w:szCs w:val="18"/>
                <w:lang w:eastAsia="tr-TR"/>
              </w:rPr>
              <w:t>Kaldıraç oranı</w:t>
            </w:r>
          </w:p>
        </w:tc>
        <w:tc>
          <w:tcPr>
            <w:tcW w:w="1275" w:type="dxa"/>
            <w:tcBorders>
              <w:top w:val="nil"/>
              <w:left w:val="single" w:sz="8" w:space="0" w:color="auto"/>
              <w:bottom w:val="single" w:sz="8" w:space="0" w:color="auto"/>
              <w:right w:val="dotted" w:sz="4" w:space="0" w:color="auto"/>
            </w:tcBorders>
            <w:shd w:val="clear" w:color="auto" w:fill="auto"/>
            <w:vAlign w:val="center"/>
            <w:hideMark/>
          </w:tcPr>
          <w:p w14:paraId="59B7B5C4" w14:textId="2BBE3D3E" w:rsidR="002828A5" w:rsidRPr="002828A5" w:rsidRDefault="002828A5" w:rsidP="002828A5">
            <w:pPr>
              <w:jc w:val="right"/>
              <w:rPr>
                <w:color w:val="000000"/>
                <w:sz w:val="18"/>
                <w:szCs w:val="18"/>
                <w:lang w:eastAsia="tr-TR"/>
              </w:rPr>
            </w:pPr>
            <w:r w:rsidRPr="002828A5">
              <w:rPr>
                <w:color w:val="000000"/>
                <w:sz w:val="18"/>
                <w:szCs w:val="18"/>
                <w:lang w:eastAsia="tr-TR"/>
              </w:rPr>
              <w:t xml:space="preserve">5.27    </w:t>
            </w:r>
          </w:p>
        </w:tc>
        <w:tc>
          <w:tcPr>
            <w:tcW w:w="1507" w:type="dxa"/>
            <w:tcBorders>
              <w:top w:val="nil"/>
              <w:left w:val="nil"/>
              <w:bottom w:val="single" w:sz="8" w:space="0" w:color="auto"/>
              <w:right w:val="single" w:sz="8" w:space="0" w:color="auto"/>
            </w:tcBorders>
            <w:shd w:val="clear" w:color="auto" w:fill="auto"/>
            <w:vAlign w:val="center"/>
            <w:hideMark/>
          </w:tcPr>
          <w:p w14:paraId="77C5129E" w14:textId="77777777" w:rsidR="002828A5" w:rsidRPr="002828A5" w:rsidRDefault="002828A5" w:rsidP="002828A5">
            <w:pPr>
              <w:jc w:val="right"/>
              <w:rPr>
                <w:color w:val="000000"/>
                <w:sz w:val="18"/>
                <w:szCs w:val="18"/>
                <w:lang w:eastAsia="tr-TR"/>
              </w:rPr>
            </w:pPr>
            <w:r w:rsidRPr="002828A5">
              <w:rPr>
                <w:color w:val="000000"/>
                <w:sz w:val="18"/>
                <w:szCs w:val="18"/>
                <w:lang w:eastAsia="tr-TR"/>
              </w:rPr>
              <w:t xml:space="preserve">                   6.18    </w:t>
            </w:r>
          </w:p>
        </w:tc>
      </w:tr>
    </w:tbl>
    <w:p w14:paraId="57828F05" w14:textId="6074A569" w:rsidR="0037725A" w:rsidRPr="002F6D46" w:rsidRDefault="0037725A" w:rsidP="0037725A">
      <w:pPr>
        <w:rPr>
          <w:b/>
          <w:sz w:val="16"/>
          <w:szCs w:val="16"/>
        </w:rPr>
      </w:pPr>
    </w:p>
    <w:p w14:paraId="46B5AA1A" w14:textId="77777777" w:rsidR="0037725A" w:rsidRPr="002F6D46" w:rsidRDefault="0037725A" w:rsidP="0037725A">
      <w:pPr>
        <w:ind w:right="-2"/>
        <w:jc w:val="both"/>
        <w:rPr>
          <w:sz w:val="16"/>
          <w:szCs w:val="16"/>
        </w:rPr>
      </w:pPr>
      <w:r w:rsidRPr="002F6D46">
        <w:rPr>
          <w:sz w:val="16"/>
          <w:szCs w:val="16"/>
        </w:rPr>
        <w:t>(*) Tabloda yer alan tutarlar üç aylık ortalamaları ifade etmektedir.</w:t>
      </w:r>
    </w:p>
    <w:p w14:paraId="0E272DCE" w14:textId="4111BC61" w:rsidR="00D94B87" w:rsidRPr="002F6D46" w:rsidRDefault="00D94B87" w:rsidP="00694C23">
      <w:pPr>
        <w:jc w:val="both"/>
        <w:rPr>
          <w:lang w:val="en-GB" w:eastAsia="en-GB"/>
        </w:rPr>
      </w:pPr>
    </w:p>
    <w:p w14:paraId="17F580AA" w14:textId="11E5A034" w:rsidR="00D94B87" w:rsidRPr="002F6D46" w:rsidRDefault="00D94B87" w:rsidP="00D94B87">
      <w:pPr>
        <w:jc w:val="both"/>
        <w:rPr>
          <w:color w:val="000000"/>
          <w:lang w:eastAsia="tr-TR"/>
        </w:rPr>
      </w:pPr>
      <w:r w:rsidRPr="002F6D46">
        <w:rPr>
          <w:color w:val="000000"/>
          <w:lang w:eastAsia="tr-TR"/>
        </w:rPr>
        <w:t>Banka’nın solo bazda bilanço tarihi itibari ile geçmiş üç aylık dönemde ay sonları itibari ile bulunan değerlerin aritmetik ortalaması baz alınarak hesaplanan kaldıraç oranı %</w:t>
      </w:r>
      <w:r w:rsidR="001A6967" w:rsidRPr="002F6D46">
        <w:rPr>
          <w:color w:val="000000"/>
          <w:lang w:eastAsia="tr-TR"/>
        </w:rPr>
        <w:t>5.</w:t>
      </w:r>
      <w:r w:rsidR="002F6D46" w:rsidRPr="002F6D46">
        <w:rPr>
          <w:color w:val="000000"/>
          <w:lang w:eastAsia="tr-TR"/>
        </w:rPr>
        <w:t>27</w:t>
      </w:r>
      <w:r w:rsidRPr="002F6D46">
        <w:rPr>
          <w:color w:val="000000"/>
          <w:lang w:eastAsia="tr-TR"/>
        </w:rPr>
        <w:t xml:space="preserve"> (31 Aralık </w:t>
      </w:r>
      <w:proofErr w:type="gramStart"/>
      <w:r w:rsidRPr="002F6D46">
        <w:rPr>
          <w:color w:val="000000"/>
          <w:lang w:eastAsia="tr-TR"/>
        </w:rPr>
        <w:t>201</w:t>
      </w:r>
      <w:r w:rsidR="001F16A5" w:rsidRPr="002F6D46">
        <w:rPr>
          <w:color w:val="000000"/>
          <w:lang w:eastAsia="tr-TR"/>
        </w:rPr>
        <w:t>9</w:t>
      </w:r>
      <w:r w:rsidRPr="002F6D46">
        <w:rPr>
          <w:color w:val="000000"/>
          <w:lang w:eastAsia="tr-TR"/>
        </w:rPr>
        <w:t xml:space="preserve"> -</w:t>
      </w:r>
      <w:proofErr w:type="gramEnd"/>
      <w:r w:rsidRPr="002F6D46">
        <w:rPr>
          <w:color w:val="000000"/>
          <w:lang w:eastAsia="tr-TR"/>
        </w:rPr>
        <w:t xml:space="preserve"> %</w:t>
      </w:r>
      <w:r w:rsidR="001F16A5" w:rsidRPr="002F6D46">
        <w:rPr>
          <w:color w:val="000000"/>
          <w:lang w:eastAsia="tr-TR"/>
        </w:rPr>
        <w:t>6</w:t>
      </w:r>
      <w:r w:rsidRPr="002F6D46">
        <w:rPr>
          <w:color w:val="000000"/>
          <w:lang w:eastAsia="tr-TR"/>
        </w:rPr>
        <w:t>.</w:t>
      </w:r>
      <w:r w:rsidR="001F16A5" w:rsidRPr="002F6D46">
        <w:rPr>
          <w:color w:val="000000"/>
          <w:lang w:eastAsia="tr-TR"/>
        </w:rPr>
        <w:t>18</w:t>
      </w:r>
      <w:r w:rsidRPr="002F6D46">
        <w:rPr>
          <w:color w:val="000000"/>
          <w:lang w:eastAsia="tr-TR"/>
        </w:rPr>
        <w:t xml:space="preserve">) olarak </w:t>
      </w:r>
      <w:proofErr w:type="spellStart"/>
      <w:r w:rsidRPr="002F6D46">
        <w:rPr>
          <w:color w:val="000000"/>
          <w:lang w:eastAsia="tr-TR"/>
        </w:rPr>
        <w:t>gerçekleşmiştir.Önceki</w:t>
      </w:r>
      <w:proofErr w:type="spellEnd"/>
      <w:r w:rsidRPr="002F6D46">
        <w:rPr>
          <w:color w:val="000000"/>
          <w:lang w:eastAsia="tr-TR"/>
        </w:rPr>
        <w:t xml:space="preserve"> döneme göre değişimin başlıca sebebi türev finansal araçlar ile kredi türevleri kalemindeki artışın diğer kalemlere nazaran daha yüksek olmasıdır. Buna göre, ana sermaye dönem karı kaynaklı %</w:t>
      </w:r>
      <w:r w:rsidR="002F6D46" w:rsidRPr="002F6D46">
        <w:rPr>
          <w:color w:val="000000"/>
          <w:lang w:eastAsia="tr-TR"/>
        </w:rPr>
        <w:t>20</w:t>
      </w:r>
      <w:r w:rsidRPr="002F6D46">
        <w:rPr>
          <w:color w:val="000000"/>
          <w:lang w:eastAsia="tr-TR"/>
        </w:rPr>
        <w:t xml:space="preserve"> artarken, ve bilanço içi risk tutarı %</w:t>
      </w:r>
      <w:r w:rsidR="002F6D46" w:rsidRPr="002F6D46">
        <w:rPr>
          <w:color w:val="000000"/>
          <w:lang w:eastAsia="tr-TR"/>
        </w:rPr>
        <w:t>46</w:t>
      </w:r>
      <w:r w:rsidRPr="002F6D46">
        <w:rPr>
          <w:color w:val="000000"/>
          <w:lang w:eastAsia="tr-TR"/>
        </w:rPr>
        <w:t xml:space="preserve"> </w:t>
      </w:r>
      <w:proofErr w:type="spellStart"/>
      <w:proofErr w:type="gramStart"/>
      <w:r w:rsidRPr="002F6D46">
        <w:rPr>
          <w:color w:val="000000"/>
          <w:lang w:eastAsia="tr-TR"/>
        </w:rPr>
        <w:t>artarken,bilanço</w:t>
      </w:r>
      <w:proofErr w:type="spellEnd"/>
      <w:proofErr w:type="gramEnd"/>
      <w:r w:rsidRPr="002F6D46">
        <w:rPr>
          <w:color w:val="000000"/>
          <w:lang w:eastAsia="tr-TR"/>
        </w:rPr>
        <w:t xml:space="preserve"> dışı kalemler %</w:t>
      </w:r>
      <w:r w:rsidR="00E42CBA" w:rsidRPr="002F6D46">
        <w:rPr>
          <w:color w:val="000000"/>
          <w:lang w:eastAsia="tr-TR"/>
        </w:rPr>
        <w:t>1</w:t>
      </w:r>
      <w:r w:rsidR="002F6D46" w:rsidRPr="002F6D46">
        <w:rPr>
          <w:color w:val="000000"/>
          <w:lang w:eastAsia="tr-TR"/>
        </w:rPr>
        <w:t>1</w:t>
      </w:r>
      <w:r w:rsidRPr="002F6D46">
        <w:rPr>
          <w:color w:val="000000"/>
          <w:lang w:eastAsia="tr-TR"/>
        </w:rPr>
        <w:t xml:space="preserve"> artış göstermiştir. Buna bağlı olarak, cari dönem kaldıraç oranında önceki döneme nazaran </w:t>
      </w:r>
      <w:r w:rsidR="002F6D46" w:rsidRPr="002F6D46">
        <w:rPr>
          <w:color w:val="000000"/>
          <w:lang w:eastAsia="tr-TR"/>
        </w:rPr>
        <w:t>91</w:t>
      </w:r>
      <w:r w:rsidRPr="002F6D46">
        <w:rPr>
          <w:color w:val="000000"/>
          <w:lang w:eastAsia="tr-TR"/>
        </w:rPr>
        <w:t xml:space="preserve"> baz puanlık bir a</w:t>
      </w:r>
      <w:r w:rsidR="00615204" w:rsidRPr="002F6D46">
        <w:rPr>
          <w:color w:val="000000"/>
          <w:lang w:eastAsia="tr-TR"/>
        </w:rPr>
        <w:t>zalış</w:t>
      </w:r>
      <w:r w:rsidRPr="002F6D46">
        <w:rPr>
          <w:color w:val="000000"/>
          <w:lang w:eastAsia="tr-TR"/>
        </w:rPr>
        <w:t xml:space="preserve"> görülmektedir.</w:t>
      </w:r>
    </w:p>
    <w:p w14:paraId="6C3B5A91" w14:textId="34411D67" w:rsidR="001B7BC7" w:rsidRPr="00270CE6" w:rsidRDefault="001B7BC7" w:rsidP="00D94B87">
      <w:pPr>
        <w:jc w:val="both"/>
        <w:rPr>
          <w:color w:val="000000"/>
          <w:spacing w:val="-6"/>
          <w:highlight w:val="yellow"/>
        </w:rPr>
      </w:pPr>
    </w:p>
    <w:p w14:paraId="3C0E5BDF" w14:textId="77777777" w:rsidR="001B7BC7" w:rsidRPr="00270CE6" w:rsidRDefault="001B7BC7" w:rsidP="00694C23">
      <w:pPr>
        <w:jc w:val="both"/>
        <w:rPr>
          <w:color w:val="000000"/>
          <w:spacing w:val="-6"/>
          <w:highlight w:val="yellow"/>
        </w:rPr>
      </w:pPr>
    </w:p>
    <w:p w14:paraId="0DE742C5" w14:textId="77777777" w:rsidR="001B7BC7" w:rsidRPr="00270CE6" w:rsidRDefault="001B7BC7" w:rsidP="00694C23">
      <w:pPr>
        <w:jc w:val="both"/>
        <w:rPr>
          <w:color w:val="000000"/>
          <w:spacing w:val="-6"/>
          <w:highlight w:val="yellow"/>
        </w:rPr>
      </w:pPr>
    </w:p>
    <w:p w14:paraId="7BF9415A" w14:textId="77777777" w:rsidR="001B7BC7" w:rsidRPr="00270CE6" w:rsidRDefault="001B7BC7" w:rsidP="00694C23">
      <w:pPr>
        <w:jc w:val="both"/>
        <w:rPr>
          <w:color w:val="000000"/>
          <w:spacing w:val="-6"/>
          <w:highlight w:val="yellow"/>
        </w:rPr>
      </w:pPr>
    </w:p>
    <w:p w14:paraId="244D05F8" w14:textId="77777777" w:rsidR="001B7BC7" w:rsidRPr="00270CE6" w:rsidRDefault="001B7BC7" w:rsidP="00694C23">
      <w:pPr>
        <w:jc w:val="both"/>
        <w:rPr>
          <w:color w:val="000000"/>
          <w:spacing w:val="-6"/>
          <w:highlight w:val="yellow"/>
        </w:rPr>
      </w:pPr>
    </w:p>
    <w:p w14:paraId="39EAC0B4" w14:textId="77777777" w:rsidR="001B7BC7" w:rsidRPr="00270CE6" w:rsidRDefault="001B7BC7" w:rsidP="00694C23">
      <w:pPr>
        <w:jc w:val="both"/>
        <w:rPr>
          <w:color w:val="000000"/>
          <w:spacing w:val="-6"/>
          <w:highlight w:val="yellow"/>
        </w:rPr>
      </w:pPr>
    </w:p>
    <w:p w14:paraId="7DEF8969" w14:textId="77777777" w:rsidR="001B7BC7" w:rsidRPr="00270CE6" w:rsidRDefault="001B7BC7" w:rsidP="00694C23">
      <w:pPr>
        <w:jc w:val="both"/>
        <w:rPr>
          <w:color w:val="000000"/>
          <w:spacing w:val="-6"/>
          <w:highlight w:val="yellow"/>
        </w:rPr>
      </w:pPr>
    </w:p>
    <w:p w14:paraId="6977810C" w14:textId="77777777" w:rsidR="001B7BC7" w:rsidRPr="00270CE6" w:rsidRDefault="001B7BC7" w:rsidP="00694C23">
      <w:pPr>
        <w:jc w:val="both"/>
        <w:rPr>
          <w:color w:val="000000"/>
          <w:spacing w:val="-6"/>
          <w:highlight w:val="yellow"/>
        </w:rPr>
      </w:pPr>
    </w:p>
    <w:p w14:paraId="289E8599" w14:textId="77777777" w:rsidR="001B7BC7" w:rsidRPr="00270CE6" w:rsidRDefault="001B7BC7" w:rsidP="00694C23">
      <w:pPr>
        <w:jc w:val="both"/>
        <w:rPr>
          <w:color w:val="000000"/>
          <w:spacing w:val="-6"/>
          <w:highlight w:val="yellow"/>
        </w:rPr>
      </w:pPr>
    </w:p>
    <w:p w14:paraId="6478090F" w14:textId="77777777" w:rsidR="001B7BC7" w:rsidRPr="00270CE6" w:rsidRDefault="001B7BC7" w:rsidP="00694C23">
      <w:pPr>
        <w:jc w:val="both"/>
        <w:rPr>
          <w:color w:val="000000"/>
          <w:spacing w:val="-6"/>
          <w:highlight w:val="yellow"/>
        </w:rPr>
      </w:pPr>
    </w:p>
    <w:p w14:paraId="6C00736A" w14:textId="77777777" w:rsidR="001B7BC7" w:rsidRPr="00270CE6" w:rsidRDefault="001B7BC7" w:rsidP="00694C23">
      <w:pPr>
        <w:jc w:val="both"/>
        <w:rPr>
          <w:color w:val="000000"/>
          <w:spacing w:val="-6"/>
          <w:highlight w:val="yellow"/>
        </w:rPr>
      </w:pPr>
    </w:p>
    <w:p w14:paraId="6858AA15" w14:textId="77777777" w:rsidR="001B7BC7" w:rsidRPr="00270CE6" w:rsidRDefault="001B7BC7" w:rsidP="00694C23">
      <w:pPr>
        <w:jc w:val="both"/>
        <w:rPr>
          <w:color w:val="000000"/>
          <w:spacing w:val="-6"/>
          <w:highlight w:val="yellow"/>
        </w:rPr>
      </w:pPr>
    </w:p>
    <w:p w14:paraId="2C81DC25" w14:textId="77777777" w:rsidR="001B7BC7" w:rsidRPr="00270CE6" w:rsidRDefault="001B7BC7" w:rsidP="00694C23">
      <w:pPr>
        <w:jc w:val="both"/>
        <w:rPr>
          <w:color w:val="000000"/>
          <w:spacing w:val="-6"/>
          <w:highlight w:val="yellow"/>
        </w:rPr>
      </w:pPr>
    </w:p>
    <w:p w14:paraId="5D314B45" w14:textId="09B0F1B7" w:rsidR="00C26593" w:rsidRPr="00270CE6" w:rsidRDefault="00C26593" w:rsidP="00694C23">
      <w:pPr>
        <w:jc w:val="both"/>
        <w:rPr>
          <w:color w:val="000000"/>
          <w:spacing w:val="-6"/>
          <w:highlight w:val="yellow"/>
        </w:rPr>
      </w:pPr>
    </w:p>
    <w:p w14:paraId="083B4D9A" w14:textId="77777777" w:rsidR="00FC1F5B" w:rsidRDefault="00FC1F5B">
      <w:pPr>
        <w:rPr>
          <w:b/>
        </w:rPr>
      </w:pPr>
      <w:r>
        <w:rPr>
          <w:b/>
        </w:rPr>
        <w:br w:type="page"/>
      </w:r>
    </w:p>
    <w:p w14:paraId="3E6236DA" w14:textId="3C404246" w:rsidR="00C26593" w:rsidRPr="002F6D46" w:rsidRDefault="00526564" w:rsidP="00C26593">
      <w:pPr>
        <w:spacing w:line="240" w:lineRule="exact"/>
        <w:ind w:hanging="567"/>
        <w:outlineLvl w:val="1"/>
        <w:rPr>
          <w:b/>
        </w:rPr>
      </w:pPr>
      <w:r w:rsidRPr="002F6D46">
        <w:rPr>
          <w:b/>
        </w:rPr>
        <w:lastRenderedPageBreak/>
        <w:t>6</w:t>
      </w:r>
      <w:r w:rsidR="00C26593" w:rsidRPr="002F6D46">
        <w:rPr>
          <w:b/>
        </w:rPr>
        <w:t xml:space="preserve">.     </w:t>
      </w:r>
      <w:r w:rsidR="00C26593" w:rsidRPr="002F6D46">
        <w:rPr>
          <w:b/>
        </w:rPr>
        <w:tab/>
        <w:t>Finansal varlık ve borçların gerçeğe uygun değeri ile gösterilmesine ilişkin açıklamalar</w:t>
      </w:r>
    </w:p>
    <w:p w14:paraId="58DF1971" w14:textId="77777777" w:rsidR="00C26593" w:rsidRPr="002F6D46" w:rsidRDefault="00C26593" w:rsidP="00C26593">
      <w:pPr>
        <w:jc w:val="both"/>
        <w:rPr>
          <w:sz w:val="16"/>
          <w:szCs w:val="16"/>
        </w:rPr>
      </w:pPr>
    </w:p>
    <w:p w14:paraId="7F6E12CC" w14:textId="2BECBDFB" w:rsidR="005377A4" w:rsidRPr="002F6D46" w:rsidRDefault="00136962" w:rsidP="00C26593">
      <w:pPr>
        <w:jc w:val="both"/>
        <w:rPr>
          <w:spacing w:val="-2"/>
        </w:rPr>
      </w:pPr>
      <w:r w:rsidRPr="002F6D46">
        <w:rPr>
          <w:spacing w:val="-2"/>
        </w:rPr>
        <w:t>Bankalarca Kamuya Açıklanacak Finansal Tablolar ile Bunlara İlişkin Açıklama ve Dipnotlar Hakkında Tebliğ’in 25’inci maddesi uyarınca ara dönemde hazırlanmamıştır.</w:t>
      </w:r>
    </w:p>
    <w:p w14:paraId="49D5AB1E" w14:textId="47FC0F88" w:rsidR="00C26593" w:rsidRPr="002F6D46" w:rsidRDefault="00C26593" w:rsidP="0014022D">
      <w:pPr>
        <w:jc w:val="both"/>
        <w:rPr>
          <w:rFonts w:eastAsia="Arial Unicode MS"/>
          <w:b/>
          <w:sz w:val="16"/>
          <w:szCs w:val="16"/>
        </w:rPr>
      </w:pPr>
    </w:p>
    <w:p w14:paraId="25128168" w14:textId="37B9067F" w:rsidR="00C26593" w:rsidRPr="002F6D46" w:rsidRDefault="00526564" w:rsidP="00C26593">
      <w:pPr>
        <w:tabs>
          <w:tab w:val="left" w:pos="709"/>
        </w:tabs>
        <w:ind w:hanging="567"/>
        <w:rPr>
          <w:rFonts w:eastAsia="Arial Unicode MS"/>
          <w:b/>
        </w:rPr>
      </w:pPr>
      <w:r w:rsidRPr="002F6D46">
        <w:rPr>
          <w:b/>
        </w:rPr>
        <w:t>7</w:t>
      </w:r>
      <w:r w:rsidR="00C26593" w:rsidRPr="002F6D46">
        <w:rPr>
          <w:b/>
        </w:rPr>
        <w:t>.</w:t>
      </w:r>
      <w:r w:rsidR="00C26593" w:rsidRPr="002F6D46">
        <w:rPr>
          <w:b/>
        </w:rPr>
        <w:tab/>
        <w:t>Başkaları nam ve hesabına yapılan işlemler, inanca dayalı işlemlere ilişkin açıklamalar:</w:t>
      </w:r>
    </w:p>
    <w:p w14:paraId="51FB2EA6" w14:textId="77777777" w:rsidR="00C26593" w:rsidRPr="002F6D46" w:rsidRDefault="00C26593" w:rsidP="00C26593">
      <w:pPr>
        <w:autoSpaceDE w:val="0"/>
        <w:autoSpaceDN w:val="0"/>
        <w:adjustRightInd w:val="0"/>
        <w:spacing w:line="216" w:lineRule="auto"/>
        <w:ind w:hanging="720"/>
        <w:rPr>
          <w:b/>
          <w:sz w:val="16"/>
          <w:szCs w:val="16"/>
        </w:rPr>
      </w:pPr>
    </w:p>
    <w:p w14:paraId="3A771290" w14:textId="73203295" w:rsidR="00C26593" w:rsidRPr="002F6D46" w:rsidRDefault="00C26593" w:rsidP="0014022D">
      <w:pPr>
        <w:autoSpaceDE w:val="0"/>
        <w:autoSpaceDN w:val="0"/>
        <w:adjustRightInd w:val="0"/>
        <w:spacing w:line="216" w:lineRule="auto"/>
        <w:ind w:hanging="567"/>
        <w:jc w:val="both"/>
        <w:rPr>
          <w:color w:val="000000"/>
          <w:spacing w:val="-6"/>
        </w:rPr>
      </w:pPr>
      <w:r w:rsidRPr="002F6D46">
        <w:rPr>
          <w:b/>
        </w:rPr>
        <w:t xml:space="preserve">           </w:t>
      </w:r>
      <w:r w:rsidR="0014022D" w:rsidRPr="002F6D46">
        <w:rPr>
          <w:spacing w:val="-2"/>
        </w:rPr>
        <w:t>Bankalarca Kamuya Açıklanacak Finansal Tablolar ile Bunlara İlişkin Açıklama ve Dipnotlar Hakkında Tebliğ’in 25’inci maddesi uyarınca ara dönemde hazırlanmamıştır</w:t>
      </w:r>
    </w:p>
    <w:p w14:paraId="25EC768C" w14:textId="1E0423F6" w:rsidR="00C26593" w:rsidRPr="00270CE6" w:rsidRDefault="00C26593" w:rsidP="00694C23">
      <w:pPr>
        <w:jc w:val="both"/>
        <w:rPr>
          <w:color w:val="000000"/>
          <w:spacing w:val="-6"/>
          <w:highlight w:val="yellow"/>
        </w:rPr>
      </w:pPr>
    </w:p>
    <w:p w14:paraId="3DE3A3F4" w14:textId="0459A193" w:rsidR="00584A8B" w:rsidRPr="00753D80" w:rsidRDefault="00526564" w:rsidP="001D6C98">
      <w:pPr>
        <w:pStyle w:val="BodyText"/>
        <w:tabs>
          <w:tab w:val="left" w:pos="709"/>
        </w:tabs>
        <w:ind w:hanging="567"/>
        <w:rPr>
          <w:b/>
        </w:rPr>
      </w:pPr>
      <w:r w:rsidRPr="00753D80">
        <w:rPr>
          <w:b/>
          <w:color w:val="000000"/>
        </w:rPr>
        <w:t>8</w:t>
      </w:r>
      <w:r w:rsidR="00EE24EC" w:rsidRPr="00753D80">
        <w:rPr>
          <w:b/>
          <w:color w:val="000000"/>
        </w:rPr>
        <w:t xml:space="preserve">.   </w:t>
      </w:r>
      <w:r w:rsidR="00290686" w:rsidRPr="00753D80">
        <w:rPr>
          <w:b/>
          <w:color w:val="000000"/>
        </w:rPr>
        <w:t xml:space="preserve"> </w:t>
      </w:r>
      <w:r w:rsidR="00543AEA" w:rsidRPr="00753D80">
        <w:rPr>
          <w:b/>
          <w:color w:val="000000"/>
        </w:rPr>
        <w:tab/>
      </w:r>
      <w:r w:rsidR="00584A8B" w:rsidRPr="00753D80">
        <w:rPr>
          <w:b/>
          <w:color w:val="000000"/>
        </w:rPr>
        <w:t xml:space="preserve">Riskten </w:t>
      </w:r>
      <w:r w:rsidR="000839D8" w:rsidRPr="00753D80">
        <w:rPr>
          <w:b/>
          <w:color w:val="000000"/>
        </w:rPr>
        <w:t>korunma muhasebesi uygulamalarına ilişkin açıklamalar</w:t>
      </w:r>
    </w:p>
    <w:p w14:paraId="61158CE0" w14:textId="77777777" w:rsidR="00584A8B" w:rsidRPr="00753D80" w:rsidRDefault="00584A8B" w:rsidP="00584A8B">
      <w:pPr>
        <w:pStyle w:val="BodyText"/>
        <w:tabs>
          <w:tab w:val="left" w:pos="567"/>
        </w:tabs>
        <w:rPr>
          <w:b/>
        </w:rPr>
      </w:pPr>
    </w:p>
    <w:p w14:paraId="12CA4C63" w14:textId="09CF4947" w:rsidR="00584A8B" w:rsidRPr="00753D80" w:rsidRDefault="00584A8B" w:rsidP="00584A8B">
      <w:pPr>
        <w:pStyle w:val="default0"/>
        <w:jc w:val="both"/>
        <w:rPr>
          <w:sz w:val="20"/>
          <w:szCs w:val="20"/>
        </w:rPr>
      </w:pPr>
      <w:r w:rsidRPr="00753D80">
        <w:rPr>
          <w:sz w:val="20"/>
          <w:szCs w:val="20"/>
        </w:rPr>
        <w:t xml:space="preserve">TFRS 9, muhasebe politikası seçiminde TFRS 9'un finansal riskten korunma muhasebesinin kabulünü erteleme ve TMS 39’un finansal riskten korunma muhasebesine devam etme seçeneği sunmaktadır. Banka bu kapsamda riskten korunma muhasebesi için TMS 39 standardını uygulamaya </w:t>
      </w:r>
      <w:r w:rsidR="00E549EE">
        <w:rPr>
          <w:sz w:val="20"/>
          <w:szCs w:val="20"/>
        </w:rPr>
        <w:t xml:space="preserve">devam etmekte iken </w:t>
      </w:r>
      <w:r w:rsidR="00FD74CE">
        <w:rPr>
          <w:sz w:val="20"/>
          <w:szCs w:val="20"/>
        </w:rPr>
        <w:t>30 Eylül 2020 tarihi itibarıyla Nakit Akış Riskinden Korunma (“NARK”) muhasebesi sonlanmıştır.</w:t>
      </w:r>
    </w:p>
    <w:p w14:paraId="65AA35D0" w14:textId="59EF9FA5" w:rsidR="00584A8B" w:rsidRPr="00753D80" w:rsidRDefault="00584A8B" w:rsidP="00584A8B">
      <w:pPr>
        <w:pStyle w:val="default0"/>
        <w:jc w:val="both"/>
        <w:rPr>
          <w:sz w:val="20"/>
          <w:szCs w:val="20"/>
        </w:rPr>
      </w:pPr>
    </w:p>
    <w:p w14:paraId="4DDF5FCD" w14:textId="37541064" w:rsidR="00584A8B" w:rsidRPr="00753D80" w:rsidRDefault="00DF1328" w:rsidP="00584A8B">
      <w:pPr>
        <w:pStyle w:val="default0"/>
        <w:jc w:val="both"/>
        <w:rPr>
          <w:sz w:val="20"/>
          <w:szCs w:val="20"/>
        </w:rPr>
      </w:pPr>
      <w:r w:rsidRPr="00753D80">
        <w:rPr>
          <w:rFonts w:eastAsia="Arial Unicode MS"/>
          <w:sz w:val="20"/>
        </w:rPr>
        <w:t>3</w:t>
      </w:r>
      <w:r w:rsidR="007D26F8" w:rsidRPr="00753D80">
        <w:rPr>
          <w:rFonts w:eastAsia="Arial Unicode MS"/>
          <w:sz w:val="20"/>
        </w:rPr>
        <w:t>0</w:t>
      </w:r>
      <w:r w:rsidRPr="00753D80">
        <w:rPr>
          <w:rFonts w:eastAsia="Arial Unicode MS"/>
          <w:sz w:val="20"/>
        </w:rPr>
        <w:t xml:space="preserve"> </w:t>
      </w:r>
      <w:r w:rsidR="002B681F" w:rsidRPr="00753D80">
        <w:rPr>
          <w:rFonts w:eastAsia="Arial Unicode MS"/>
          <w:sz w:val="20"/>
        </w:rPr>
        <w:t>Eylül</w:t>
      </w:r>
      <w:r w:rsidRPr="00753D80">
        <w:rPr>
          <w:rFonts w:eastAsia="Arial Unicode MS"/>
          <w:sz w:val="20"/>
        </w:rPr>
        <w:t xml:space="preserve"> 2020</w:t>
      </w:r>
      <w:r w:rsidR="00584A8B" w:rsidRPr="00753D80">
        <w:rPr>
          <w:sz w:val="20"/>
          <w:szCs w:val="20"/>
        </w:rPr>
        <w:t xml:space="preserve"> itibarıyla türev finansal araçların sözleşme tutarları ve bilançoda taşınan net gerçeğe uygun değerleri aşağıdaki tabloda özetlenmiştir:</w:t>
      </w:r>
    </w:p>
    <w:p w14:paraId="1467F1AF" w14:textId="671C692F" w:rsidR="00310AF7" w:rsidRPr="00311DAB" w:rsidRDefault="00310AF7" w:rsidP="00584A8B">
      <w:pPr>
        <w:pStyle w:val="default0"/>
        <w:jc w:val="both"/>
        <w:rPr>
          <w:rFonts w:eastAsia="Times New Roman"/>
          <w:color w:val="auto"/>
          <w:sz w:val="20"/>
          <w:szCs w:val="20"/>
          <w:lang w:eastAsia="en-GB"/>
        </w:rPr>
      </w:pPr>
    </w:p>
    <w:tbl>
      <w:tblPr>
        <w:tblW w:w="9383" w:type="dxa"/>
        <w:tblCellMar>
          <w:left w:w="70" w:type="dxa"/>
          <w:right w:w="70" w:type="dxa"/>
        </w:tblCellMar>
        <w:tblLook w:val="04A0" w:firstRow="1" w:lastRow="0" w:firstColumn="1" w:lastColumn="0" w:noHBand="0" w:noVBand="1"/>
      </w:tblPr>
      <w:tblGrid>
        <w:gridCol w:w="1151"/>
        <w:gridCol w:w="1151"/>
        <w:gridCol w:w="1151"/>
        <w:gridCol w:w="1151"/>
        <w:gridCol w:w="983"/>
        <w:gridCol w:w="984"/>
        <w:gridCol w:w="1060"/>
        <w:gridCol w:w="891"/>
        <w:gridCol w:w="861"/>
      </w:tblGrid>
      <w:tr w:rsidR="00310AF7" w:rsidRPr="00753D80" w14:paraId="6B66A15F" w14:textId="77777777" w:rsidTr="00310AF7">
        <w:trPr>
          <w:divId w:val="26225700"/>
          <w:trHeight w:val="255"/>
        </w:trPr>
        <w:tc>
          <w:tcPr>
            <w:tcW w:w="1151" w:type="dxa"/>
            <w:tcBorders>
              <w:top w:val="single" w:sz="4" w:space="0" w:color="auto"/>
              <w:left w:val="single" w:sz="4" w:space="0" w:color="auto"/>
              <w:bottom w:val="single" w:sz="4" w:space="0" w:color="auto"/>
              <w:right w:val="nil"/>
            </w:tcBorders>
            <w:shd w:val="clear" w:color="auto" w:fill="D0CECE" w:themeFill="background2" w:themeFillShade="E6"/>
            <w:noWrap/>
            <w:vAlign w:val="bottom"/>
            <w:hideMark/>
          </w:tcPr>
          <w:p w14:paraId="6E0346AF" w14:textId="1D8F1010" w:rsidR="00310AF7" w:rsidRPr="00753D80" w:rsidRDefault="00310AF7" w:rsidP="00310AF7">
            <w:pPr>
              <w:rPr>
                <w:color w:val="000000"/>
                <w:szCs w:val="22"/>
                <w:lang w:eastAsia="tr-TR"/>
              </w:rPr>
            </w:pPr>
            <w:r w:rsidRPr="00753D80">
              <w:rPr>
                <w:color w:val="000000"/>
                <w:szCs w:val="22"/>
                <w:lang w:eastAsia="tr-TR"/>
              </w:rPr>
              <w:t> </w:t>
            </w:r>
          </w:p>
        </w:tc>
        <w:tc>
          <w:tcPr>
            <w:tcW w:w="1151" w:type="dxa"/>
            <w:tcBorders>
              <w:top w:val="single" w:sz="4" w:space="0" w:color="auto"/>
              <w:left w:val="nil"/>
              <w:bottom w:val="single" w:sz="4" w:space="0" w:color="auto"/>
              <w:right w:val="nil"/>
            </w:tcBorders>
            <w:shd w:val="clear" w:color="auto" w:fill="D0CECE" w:themeFill="background2" w:themeFillShade="E6"/>
            <w:noWrap/>
            <w:vAlign w:val="bottom"/>
            <w:hideMark/>
          </w:tcPr>
          <w:p w14:paraId="0EBB8DAB" w14:textId="77777777" w:rsidR="00310AF7" w:rsidRPr="00753D80" w:rsidRDefault="00310AF7" w:rsidP="00310AF7">
            <w:pPr>
              <w:rPr>
                <w:color w:val="000000"/>
                <w:szCs w:val="22"/>
                <w:lang w:eastAsia="tr-TR"/>
              </w:rPr>
            </w:pPr>
            <w:r w:rsidRPr="00753D80">
              <w:rPr>
                <w:color w:val="000000"/>
                <w:szCs w:val="22"/>
                <w:lang w:eastAsia="tr-TR"/>
              </w:rPr>
              <w:t> </w:t>
            </w:r>
          </w:p>
        </w:tc>
        <w:tc>
          <w:tcPr>
            <w:tcW w:w="1151"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4C368C26" w14:textId="77777777" w:rsidR="00310AF7" w:rsidRPr="00753D80" w:rsidRDefault="00310AF7" w:rsidP="00310AF7">
            <w:pPr>
              <w:rPr>
                <w:color w:val="000000"/>
                <w:szCs w:val="22"/>
                <w:lang w:eastAsia="tr-TR"/>
              </w:rPr>
            </w:pPr>
            <w:r w:rsidRPr="00753D80">
              <w:rPr>
                <w:color w:val="000000"/>
                <w:szCs w:val="22"/>
                <w:lang w:eastAsia="tr-TR"/>
              </w:rPr>
              <w:t> </w:t>
            </w:r>
          </w:p>
        </w:tc>
        <w:tc>
          <w:tcPr>
            <w:tcW w:w="3118"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AB5C07" w14:textId="77777777" w:rsidR="00310AF7" w:rsidRPr="00753D80" w:rsidRDefault="00310AF7" w:rsidP="00310AF7">
            <w:pPr>
              <w:jc w:val="center"/>
              <w:rPr>
                <w:color w:val="000000"/>
                <w:szCs w:val="22"/>
                <w:lang w:eastAsia="tr-TR"/>
              </w:rPr>
            </w:pPr>
            <w:r w:rsidRPr="00753D80">
              <w:rPr>
                <w:color w:val="000000"/>
                <w:szCs w:val="22"/>
                <w:lang w:eastAsia="tr-TR"/>
              </w:rPr>
              <w:t>Cari Dönem</w:t>
            </w:r>
          </w:p>
        </w:tc>
        <w:tc>
          <w:tcPr>
            <w:tcW w:w="2812"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F66AA9" w14:textId="77777777" w:rsidR="00310AF7" w:rsidRPr="00753D80" w:rsidRDefault="00310AF7" w:rsidP="00310AF7">
            <w:pPr>
              <w:jc w:val="center"/>
              <w:rPr>
                <w:color w:val="000000"/>
                <w:szCs w:val="22"/>
                <w:lang w:eastAsia="tr-TR"/>
              </w:rPr>
            </w:pPr>
            <w:r w:rsidRPr="00753D80">
              <w:rPr>
                <w:color w:val="000000"/>
                <w:szCs w:val="22"/>
                <w:lang w:eastAsia="tr-TR"/>
              </w:rPr>
              <w:t>Önceki Dönem</w:t>
            </w:r>
          </w:p>
        </w:tc>
      </w:tr>
      <w:tr w:rsidR="00310AF7" w:rsidRPr="00753D80" w14:paraId="15F8B21C" w14:textId="77777777" w:rsidTr="00310AF7">
        <w:trPr>
          <w:divId w:val="26225700"/>
          <w:trHeight w:val="255"/>
        </w:trPr>
        <w:tc>
          <w:tcPr>
            <w:tcW w:w="1151" w:type="dxa"/>
            <w:tcBorders>
              <w:top w:val="nil"/>
              <w:left w:val="single" w:sz="4" w:space="0" w:color="auto"/>
              <w:bottom w:val="single" w:sz="4" w:space="0" w:color="auto"/>
              <w:right w:val="nil"/>
            </w:tcBorders>
            <w:shd w:val="clear" w:color="auto" w:fill="D0CECE" w:themeFill="background2" w:themeFillShade="E6"/>
            <w:noWrap/>
            <w:vAlign w:val="bottom"/>
            <w:hideMark/>
          </w:tcPr>
          <w:p w14:paraId="5B499A65" w14:textId="77777777" w:rsidR="00310AF7" w:rsidRPr="00753D80" w:rsidRDefault="00310AF7" w:rsidP="00310AF7">
            <w:pPr>
              <w:rPr>
                <w:color w:val="000000"/>
                <w:szCs w:val="22"/>
                <w:lang w:eastAsia="tr-TR"/>
              </w:rPr>
            </w:pPr>
            <w:r w:rsidRPr="00753D80">
              <w:rPr>
                <w:color w:val="000000"/>
                <w:szCs w:val="22"/>
                <w:lang w:eastAsia="tr-TR"/>
              </w:rPr>
              <w:t> </w:t>
            </w:r>
          </w:p>
        </w:tc>
        <w:tc>
          <w:tcPr>
            <w:tcW w:w="1151" w:type="dxa"/>
            <w:tcBorders>
              <w:top w:val="nil"/>
              <w:left w:val="nil"/>
              <w:bottom w:val="single" w:sz="4" w:space="0" w:color="auto"/>
              <w:right w:val="nil"/>
            </w:tcBorders>
            <w:shd w:val="clear" w:color="auto" w:fill="D0CECE" w:themeFill="background2" w:themeFillShade="E6"/>
            <w:noWrap/>
            <w:vAlign w:val="bottom"/>
            <w:hideMark/>
          </w:tcPr>
          <w:p w14:paraId="31B4E949" w14:textId="77777777" w:rsidR="00310AF7" w:rsidRPr="00753D80" w:rsidRDefault="00310AF7" w:rsidP="00310AF7">
            <w:pPr>
              <w:rPr>
                <w:color w:val="000000"/>
                <w:szCs w:val="22"/>
                <w:lang w:eastAsia="tr-TR"/>
              </w:rPr>
            </w:pPr>
            <w:r w:rsidRPr="00753D80">
              <w:rPr>
                <w:color w:val="000000"/>
                <w:szCs w:val="22"/>
                <w:lang w:eastAsia="tr-TR"/>
              </w:rPr>
              <w:t> </w:t>
            </w:r>
          </w:p>
        </w:tc>
        <w:tc>
          <w:tcPr>
            <w:tcW w:w="1151" w:type="dxa"/>
            <w:tcBorders>
              <w:top w:val="nil"/>
              <w:left w:val="nil"/>
              <w:bottom w:val="single" w:sz="4" w:space="0" w:color="auto"/>
              <w:right w:val="single" w:sz="4" w:space="0" w:color="auto"/>
            </w:tcBorders>
            <w:shd w:val="clear" w:color="auto" w:fill="D0CECE" w:themeFill="background2" w:themeFillShade="E6"/>
            <w:noWrap/>
            <w:vAlign w:val="bottom"/>
            <w:hideMark/>
          </w:tcPr>
          <w:p w14:paraId="04667223" w14:textId="77777777" w:rsidR="00310AF7" w:rsidRPr="00753D80" w:rsidRDefault="00310AF7" w:rsidP="00310AF7">
            <w:pPr>
              <w:rPr>
                <w:color w:val="000000"/>
                <w:szCs w:val="22"/>
                <w:lang w:eastAsia="tr-TR"/>
              </w:rPr>
            </w:pPr>
            <w:r w:rsidRPr="00753D80">
              <w:rPr>
                <w:color w:val="000000"/>
                <w:szCs w:val="22"/>
                <w:lang w:eastAsia="tr-TR"/>
              </w:rPr>
              <w:t> </w:t>
            </w:r>
          </w:p>
        </w:tc>
        <w:tc>
          <w:tcPr>
            <w:tcW w:w="1151" w:type="dxa"/>
            <w:tcBorders>
              <w:top w:val="nil"/>
              <w:left w:val="nil"/>
              <w:bottom w:val="single" w:sz="4" w:space="0" w:color="auto"/>
              <w:right w:val="single" w:sz="4" w:space="0" w:color="auto"/>
            </w:tcBorders>
            <w:shd w:val="clear" w:color="auto" w:fill="auto"/>
            <w:noWrap/>
            <w:vAlign w:val="bottom"/>
            <w:hideMark/>
          </w:tcPr>
          <w:p w14:paraId="6935494E" w14:textId="77777777" w:rsidR="00310AF7" w:rsidRPr="00753D80" w:rsidRDefault="00310AF7" w:rsidP="00310AF7">
            <w:pPr>
              <w:rPr>
                <w:color w:val="000000"/>
                <w:szCs w:val="22"/>
                <w:lang w:eastAsia="tr-TR"/>
              </w:rPr>
            </w:pPr>
            <w:proofErr w:type="gramStart"/>
            <w:r w:rsidRPr="00753D80">
              <w:rPr>
                <w:color w:val="000000"/>
                <w:szCs w:val="22"/>
                <w:lang w:eastAsia="tr-TR"/>
              </w:rPr>
              <w:t>Anapara(</w:t>
            </w:r>
            <w:proofErr w:type="gramEnd"/>
            <w:r w:rsidRPr="00753D80">
              <w:rPr>
                <w:color w:val="000000"/>
                <w:szCs w:val="22"/>
                <w:lang w:eastAsia="tr-TR"/>
              </w:rPr>
              <w:t>*)</w:t>
            </w:r>
          </w:p>
        </w:tc>
        <w:tc>
          <w:tcPr>
            <w:tcW w:w="983" w:type="dxa"/>
            <w:tcBorders>
              <w:top w:val="nil"/>
              <w:left w:val="nil"/>
              <w:bottom w:val="single" w:sz="4" w:space="0" w:color="auto"/>
              <w:right w:val="single" w:sz="4" w:space="0" w:color="auto"/>
            </w:tcBorders>
            <w:shd w:val="clear" w:color="auto" w:fill="auto"/>
            <w:noWrap/>
            <w:vAlign w:val="bottom"/>
            <w:hideMark/>
          </w:tcPr>
          <w:p w14:paraId="3C4A3610" w14:textId="77777777" w:rsidR="00310AF7" w:rsidRPr="00753D80" w:rsidRDefault="00310AF7" w:rsidP="00310AF7">
            <w:pPr>
              <w:rPr>
                <w:color w:val="000000"/>
                <w:szCs w:val="22"/>
                <w:lang w:eastAsia="tr-TR"/>
              </w:rPr>
            </w:pPr>
            <w:r w:rsidRPr="00753D80">
              <w:rPr>
                <w:color w:val="000000"/>
                <w:szCs w:val="22"/>
                <w:lang w:eastAsia="tr-TR"/>
              </w:rPr>
              <w:t>Aktif</w:t>
            </w:r>
          </w:p>
        </w:tc>
        <w:tc>
          <w:tcPr>
            <w:tcW w:w="983" w:type="dxa"/>
            <w:tcBorders>
              <w:top w:val="nil"/>
              <w:left w:val="nil"/>
              <w:bottom w:val="single" w:sz="4" w:space="0" w:color="auto"/>
              <w:right w:val="single" w:sz="4" w:space="0" w:color="auto"/>
            </w:tcBorders>
            <w:shd w:val="clear" w:color="auto" w:fill="auto"/>
            <w:noWrap/>
            <w:vAlign w:val="bottom"/>
            <w:hideMark/>
          </w:tcPr>
          <w:p w14:paraId="0608DFE7" w14:textId="77777777" w:rsidR="00310AF7" w:rsidRPr="00753D80" w:rsidRDefault="00310AF7" w:rsidP="00310AF7">
            <w:pPr>
              <w:rPr>
                <w:color w:val="000000"/>
                <w:szCs w:val="22"/>
                <w:lang w:eastAsia="tr-TR"/>
              </w:rPr>
            </w:pPr>
            <w:r w:rsidRPr="00753D80">
              <w:rPr>
                <w:color w:val="000000"/>
                <w:szCs w:val="22"/>
                <w:lang w:eastAsia="tr-TR"/>
              </w:rPr>
              <w:t>Pasif</w:t>
            </w:r>
          </w:p>
        </w:tc>
        <w:tc>
          <w:tcPr>
            <w:tcW w:w="1060" w:type="dxa"/>
            <w:tcBorders>
              <w:top w:val="nil"/>
              <w:left w:val="nil"/>
              <w:bottom w:val="single" w:sz="4" w:space="0" w:color="auto"/>
              <w:right w:val="single" w:sz="4" w:space="0" w:color="auto"/>
            </w:tcBorders>
            <w:shd w:val="clear" w:color="auto" w:fill="auto"/>
            <w:noWrap/>
            <w:vAlign w:val="bottom"/>
            <w:hideMark/>
          </w:tcPr>
          <w:p w14:paraId="1D825D76" w14:textId="77777777" w:rsidR="00310AF7" w:rsidRPr="00753D80" w:rsidRDefault="00310AF7" w:rsidP="00310AF7">
            <w:pPr>
              <w:rPr>
                <w:color w:val="000000"/>
                <w:szCs w:val="22"/>
                <w:lang w:eastAsia="tr-TR"/>
              </w:rPr>
            </w:pPr>
            <w:proofErr w:type="gramStart"/>
            <w:r w:rsidRPr="00753D80">
              <w:rPr>
                <w:color w:val="000000"/>
                <w:szCs w:val="22"/>
                <w:lang w:eastAsia="tr-TR"/>
              </w:rPr>
              <w:t>Anapara(</w:t>
            </w:r>
            <w:proofErr w:type="gramEnd"/>
            <w:r w:rsidRPr="00753D80">
              <w:rPr>
                <w:color w:val="000000"/>
                <w:szCs w:val="22"/>
                <w:lang w:eastAsia="tr-TR"/>
              </w:rPr>
              <w:t>*)</w:t>
            </w:r>
          </w:p>
        </w:tc>
        <w:tc>
          <w:tcPr>
            <w:tcW w:w="891" w:type="dxa"/>
            <w:tcBorders>
              <w:top w:val="nil"/>
              <w:left w:val="nil"/>
              <w:bottom w:val="single" w:sz="4" w:space="0" w:color="auto"/>
              <w:right w:val="single" w:sz="4" w:space="0" w:color="auto"/>
            </w:tcBorders>
            <w:shd w:val="clear" w:color="auto" w:fill="auto"/>
            <w:noWrap/>
            <w:vAlign w:val="bottom"/>
            <w:hideMark/>
          </w:tcPr>
          <w:p w14:paraId="2D4848B7" w14:textId="77777777" w:rsidR="00310AF7" w:rsidRPr="00753D80" w:rsidRDefault="00310AF7" w:rsidP="00310AF7">
            <w:pPr>
              <w:rPr>
                <w:color w:val="000000"/>
                <w:szCs w:val="22"/>
                <w:lang w:eastAsia="tr-TR"/>
              </w:rPr>
            </w:pPr>
            <w:r w:rsidRPr="00753D80">
              <w:rPr>
                <w:color w:val="000000"/>
                <w:szCs w:val="22"/>
                <w:lang w:eastAsia="tr-TR"/>
              </w:rPr>
              <w:t>Aktif</w:t>
            </w:r>
          </w:p>
        </w:tc>
        <w:tc>
          <w:tcPr>
            <w:tcW w:w="861" w:type="dxa"/>
            <w:tcBorders>
              <w:top w:val="nil"/>
              <w:left w:val="nil"/>
              <w:bottom w:val="single" w:sz="4" w:space="0" w:color="auto"/>
              <w:right w:val="single" w:sz="4" w:space="0" w:color="auto"/>
            </w:tcBorders>
            <w:shd w:val="clear" w:color="auto" w:fill="auto"/>
            <w:noWrap/>
            <w:vAlign w:val="bottom"/>
            <w:hideMark/>
          </w:tcPr>
          <w:p w14:paraId="491A6DF2" w14:textId="77777777" w:rsidR="00310AF7" w:rsidRPr="00753D80" w:rsidRDefault="00310AF7" w:rsidP="00310AF7">
            <w:pPr>
              <w:rPr>
                <w:color w:val="000000"/>
                <w:szCs w:val="22"/>
                <w:lang w:eastAsia="tr-TR"/>
              </w:rPr>
            </w:pPr>
            <w:r w:rsidRPr="00753D80">
              <w:rPr>
                <w:color w:val="000000"/>
                <w:szCs w:val="22"/>
                <w:lang w:eastAsia="tr-TR"/>
              </w:rPr>
              <w:t>Pasif</w:t>
            </w:r>
          </w:p>
        </w:tc>
      </w:tr>
      <w:tr w:rsidR="00310AF7" w:rsidRPr="00753D80" w14:paraId="59A57FDB" w14:textId="77777777" w:rsidTr="00310AF7">
        <w:trPr>
          <w:divId w:val="26225700"/>
          <w:trHeight w:val="255"/>
        </w:trPr>
        <w:tc>
          <w:tcPr>
            <w:tcW w:w="3453" w:type="dxa"/>
            <w:gridSpan w:val="3"/>
            <w:tcBorders>
              <w:top w:val="nil"/>
              <w:left w:val="single" w:sz="4" w:space="0" w:color="auto"/>
              <w:bottom w:val="single" w:sz="4" w:space="0" w:color="auto"/>
              <w:right w:val="single" w:sz="4" w:space="0" w:color="auto"/>
            </w:tcBorders>
            <w:shd w:val="clear" w:color="auto" w:fill="auto"/>
            <w:noWrap/>
            <w:vAlign w:val="bottom"/>
            <w:hideMark/>
          </w:tcPr>
          <w:p w14:paraId="00D5A3CF" w14:textId="77777777" w:rsidR="00310AF7" w:rsidRPr="00753D80" w:rsidRDefault="00310AF7" w:rsidP="00310AF7">
            <w:pPr>
              <w:rPr>
                <w:color w:val="000000"/>
                <w:szCs w:val="22"/>
                <w:lang w:eastAsia="tr-TR"/>
              </w:rPr>
            </w:pPr>
            <w:r w:rsidRPr="00753D80">
              <w:rPr>
                <w:color w:val="000000"/>
                <w:szCs w:val="22"/>
                <w:lang w:eastAsia="tr-TR"/>
              </w:rPr>
              <w:t>Türev Finansal Araçlar</w:t>
            </w:r>
          </w:p>
        </w:tc>
        <w:tc>
          <w:tcPr>
            <w:tcW w:w="1151" w:type="dxa"/>
            <w:tcBorders>
              <w:top w:val="nil"/>
              <w:left w:val="nil"/>
              <w:bottom w:val="single" w:sz="4" w:space="0" w:color="auto"/>
              <w:right w:val="single" w:sz="4" w:space="0" w:color="auto"/>
            </w:tcBorders>
            <w:shd w:val="clear" w:color="auto" w:fill="auto"/>
            <w:noWrap/>
            <w:vAlign w:val="bottom"/>
            <w:hideMark/>
          </w:tcPr>
          <w:p w14:paraId="1EF9E231" w14:textId="77777777" w:rsidR="00310AF7" w:rsidRPr="00753D80" w:rsidRDefault="00310AF7" w:rsidP="00310AF7">
            <w:pPr>
              <w:rPr>
                <w:color w:val="000000"/>
                <w:szCs w:val="22"/>
                <w:lang w:eastAsia="tr-TR"/>
              </w:rPr>
            </w:pPr>
            <w:r w:rsidRPr="00753D80">
              <w:rPr>
                <w:color w:val="000000"/>
                <w:szCs w:val="22"/>
                <w:lang w:eastAsia="tr-TR"/>
              </w:rPr>
              <w:t> </w:t>
            </w:r>
          </w:p>
        </w:tc>
        <w:tc>
          <w:tcPr>
            <w:tcW w:w="983" w:type="dxa"/>
            <w:tcBorders>
              <w:top w:val="nil"/>
              <w:left w:val="nil"/>
              <w:bottom w:val="single" w:sz="4" w:space="0" w:color="auto"/>
              <w:right w:val="single" w:sz="4" w:space="0" w:color="auto"/>
            </w:tcBorders>
            <w:shd w:val="clear" w:color="auto" w:fill="auto"/>
            <w:noWrap/>
            <w:vAlign w:val="bottom"/>
            <w:hideMark/>
          </w:tcPr>
          <w:p w14:paraId="736728CC" w14:textId="77777777" w:rsidR="00310AF7" w:rsidRPr="00753D80" w:rsidRDefault="00310AF7" w:rsidP="00310AF7">
            <w:pPr>
              <w:rPr>
                <w:color w:val="000000"/>
                <w:szCs w:val="22"/>
                <w:lang w:eastAsia="tr-TR"/>
              </w:rPr>
            </w:pPr>
            <w:r w:rsidRPr="00753D80">
              <w:rPr>
                <w:color w:val="000000"/>
                <w:szCs w:val="22"/>
                <w:lang w:eastAsia="tr-TR"/>
              </w:rPr>
              <w:t> </w:t>
            </w:r>
          </w:p>
        </w:tc>
        <w:tc>
          <w:tcPr>
            <w:tcW w:w="983" w:type="dxa"/>
            <w:tcBorders>
              <w:top w:val="nil"/>
              <w:left w:val="nil"/>
              <w:bottom w:val="single" w:sz="4" w:space="0" w:color="auto"/>
              <w:right w:val="single" w:sz="4" w:space="0" w:color="auto"/>
            </w:tcBorders>
            <w:shd w:val="clear" w:color="auto" w:fill="auto"/>
            <w:noWrap/>
            <w:vAlign w:val="bottom"/>
            <w:hideMark/>
          </w:tcPr>
          <w:p w14:paraId="57950BE3" w14:textId="77777777" w:rsidR="00310AF7" w:rsidRPr="00753D80" w:rsidRDefault="00310AF7" w:rsidP="00310AF7">
            <w:pPr>
              <w:rPr>
                <w:color w:val="000000"/>
                <w:szCs w:val="22"/>
                <w:lang w:eastAsia="tr-TR"/>
              </w:rPr>
            </w:pPr>
            <w:r w:rsidRPr="00753D80">
              <w:rPr>
                <w:color w:val="000000"/>
                <w:szCs w:val="22"/>
                <w:lang w:eastAsia="tr-TR"/>
              </w:rPr>
              <w:t> </w:t>
            </w:r>
          </w:p>
        </w:tc>
        <w:tc>
          <w:tcPr>
            <w:tcW w:w="1060" w:type="dxa"/>
            <w:tcBorders>
              <w:top w:val="nil"/>
              <w:left w:val="nil"/>
              <w:bottom w:val="single" w:sz="4" w:space="0" w:color="auto"/>
              <w:right w:val="single" w:sz="4" w:space="0" w:color="auto"/>
            </w:tcBorders>
            <w:shd w:val="clear" w:color="auto" w:fill="auto"/>
            <w:noWrap/>
            <w:vAlign w:val="bottom"/>
            <w:hideMark/>
          </w:tcPr>
          <w:p w14:paraId="0BF5E9BF" w14:textId="77777777" w:rsidR="00310AF7" w:rsidRPr="00753D80" w:rsidRDefault="00310AF7" w:rsidP="00310AF7">
            <w:pPr>
              <w:rPr>
                <w:color w:val="000000"/>
                <w:szCs w:val="22"/>
                <w:lang w:eastAsia="tr-TR"/>
              </w:rPr>
            </w:pPr>
            <w:r w:rsidRPr="00753D80">
              <w:rPr>
                <w:color w:val="000000"/>
                <w:szCs w:val="22"/>
                <w:lang w:eastAsia="tr-TR"/>
              </w:rPr>
              <w:t> </w:t>
            </w:r>
          </w:p>
        </w:tc>
        <w:tc>
          <w:tcPr>
            <w:tcW w:w="891" w:type="dxa"/>
            <w:tcBorders>
              <w:top w:val="nil"/>
              <w:left w:val="nil"/>
              <w:bottom w:val="single" w:sz="4" w:space="0" w:color="auto"/>
              <w:right w:val="single" w:sz="4" w:space="0" w:color="auto"/>
            </w:tcBorders>
            <w:shd w:val="clear" w:color="auto" w:fill="auto"/>
            <w:noWrap/>
            <w:vAlign w:val="bottom"/>
            <w:hideMark/>
          </w:tcPr>
          <w:p w14:paraId="7414F589" w14:textId="77777777" w:rsidR="00310AF7" w:rsidRPr="00753D80" w:rsidRDefault="00310AF7" w:rsidP="00310AF7">
            <w:pPr>
              <w:rPr>
                <w:color w:val="000000"/>
                <w:szCs w:val="22"/>
                <w:lang w:eastAsia="tr-TR"/>
              </w:rPr>
            </w:pPr>
            <w:r w:rsidRPr="00753D80">
              <w:rPr>
                <w:color w:val="000000"/>
                <w:szCs w:val="22"/>
                <w:lang w:eastAsia="tr-TR"/>
              </w:rPr>
              <w:t> </w:t>
            </w:r>
          </w:p>
        </w:tc>
        <w:tc>
          <w:tcPr>
            <w:tcW w:w="861" w:type="dxa"/>
            <w:tcBorders>
              <w:top w:val="nil"/>
              <w:left w:val="nil"/>
              <w:bottom w:val="single" w:sz="4" w:space="0" w:color="auto"/>
              <w:right w:val="single" w:sz="4" w:space="0" w:color="auto"/>
            </w:tcBorders>
            <w:shd w:val="clear" w:color="auto" w:fill="auto"/>
            <w:noWrap/>
            <w:vAlign w:val="bottom"/>
            <w:hideMark/>
          </w:tcPr>
          <w:p w14:paraId="631C8EF7" w14:textId="77777777" w:rsidR="00310AF7" w:rsidRPr="00753D80" w:rsidRDefault="00310AF7" w:rsidP="00310AF7">
            <w:pPr>
              <w:rPr>
                <w:color w:val="000000"/>
                <w:szCs w:val="22"/>
                <w:lang w:eastAsia="tr-TR"/>
              </w:rPr>
            </w:pPr>
            <w:r w:rsidRPr="00753D80">
              <w:rPr>
                <w:color w:val="000000"/>
                <w:szCs w:val="22"/>
                <w:lang w:eastAsia="tr-TR"/>
              </w:rPr>
              <w:t> </w:t>
            </w:r>
          </w:p>
        </w:tc>
      </w:tr>
      <w:tr w:rsidR="00310AF7" w:rsidRPr="00753D80" w14:paraId="5FE0DA16" w14:textId="77777777" w:rsidTr="00310AF7">
        <w:trPr>
          <w:divId w:val="26225700"/>
          <w:trHeight w:val="255"/>
        </w:trPr>
        <w:tc>
          <w:tcPr>
            <w:tcW w:w="345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6E481" w14:textId="77777777" w:rsidR="00310AF7" w:rsidRPr="00753D80" w:rsidRDefault="00310AF7" w:rsidP="00310AF7">
            <w:pPr>
              <w:rPr>
                <w:color w:val="000000"/>
                <w:szCs w:val="22"/>
                <w:lang w:eastAsia="tr-TR"/>
              </w:rPr>
            </w:pPr>
            <w:proofErr w:type="spellStart"/>
            <w:r w:rsidRPr="00753D80">
              <w:rPr>
                <w:color w:val="000000"/>
                <w:szCs w:val="22"/>
                <w:lang w:eastAsia="tr-TR"/>
              </w:rPr>
              <w:t>Çarpraz</w:t>
            </w:r>
            <w:proofErr w:type="spellEnd"/>
            <w:r w:rsidRPr="00753D80">
              <w:rPr>
                <w:color w:val="000000"/>
                <w:szCs w:val="22"/>
                <w:lang w:eastAsia="tr-TR"/>
              </w:rPr>
              <w:t xml:space="preserve"> para swap işlemleri (NARK)</w:t>
            </w:r>
          </w:p>
        </w:tc>
        <w:tc>
          <w:tcPr>
            <w:tcW w:w="1151" w:type="dxa"/>
            <w:tcBorders>
              <w:top w:val="nil"/>
              <w:left w:val="nil"/>
              <w:bottom w:val="single" w:sz="4" w:space="0" w:color="auto"/>
              <w:right w:val="single" w:sz="4" w:space="0" w:color="auto"/>
            </w:tcBorders>
            <w:shd w:val="clear" w:color="auto" w:fill="auto"/>
            <w:vAlign w:val="bottom"/>
            <w:hideMark/>
          </w:tcPr>
          <w:p w14:paraId="1818EA94" w14:textId="77777777" w:rsidR="00310AF7" w:rsidRPr="00753D80" w:rsidRDefault="00310AF7" w:rsidP="00310AF7">
            <w:pPr>
              <w:jc w:val="right"/>
              <w:rPr>
                <w:szCs w:val="14"/>
                <w:lang w:eastAsia="tr-TR"/>
              </w:rPr>
            </w:pPr>
            <w:r w:rsidRPr="00753D80">
              <w:rPr>
                <w:szCs w:val="14"/>
                <w:lang w:eastAsia="tr-TR"/>
              </w:rPr>
              <w:t>-</w:t>
            </w:r>
          </w:p>
        </w:tc>
        <w:tc>
          <w:tcPr>
            <w:tcW w:w="983" w:type="dxa"/>
            <w:tcBorders>
              <w:top w:val="nil"/>
              <w:left w:val="nil"/>
              <w:bottom w:val="single" w:sz="4" w:space="0" w:color="auto"/>
              <w:right w:val="single" w:sz="4" w:space="0" w:color="auto"/>
            </w:tcBorders>
            <w:shd w:val="clear" w:color="auto" w:fill="auto"/>
            <w:vAlign w:val="bottom"/>
            <w:hideMark/>
          </w:tcPr>
          <w:p w14:paraId="0EEBEEB5" w14:textId="77777777" w:rsidR="00310AF7" w:rsidRPr="00753D80" w:rsidRDefault="00310AF7" w:rsidP="00310AF7">
            <w:pPr>
              <w:jc w:val="right"/>
              <w:rPr>
                <w:szCs w:val="14"/>
                <w:lang w:eastAsia="tr-TR"/>
              </w:rPr>
            </w:pPr>
            <w:r w:rsidRPr="00753D80">
              <w:rPr>
                <w:szCs w:val="14"/>
                <w:lang w:eastAsia="tr-TR"/>
              </w:rPr>
              <w:t>-</w:t>
            </w:r>
          </w:p>
        </w:tc>
        <w:tc>
          <w:tcPr>
            <w:tcW w:w="983" w:type="dxa"/>
            <w:tcBorders>
              <w:top w:val="nil"/>
              <w:left w:val="nil"/>
              <w:bottom w:val="single" w:sz="4" w:space="0" w:color="auto"/>
              <w:right w:val="single" w:sz="4" w:space="0" w:color="auto"/>
            </w:tcBorders>
            <w:shd w:val="clear" w:color="auto" w:fill="auto"/>
            <w:vAlign w:val="bottom"/>
            <w:hideMark/>
          </w:tcPr>
          <w:p w14:paraId="0C315F69" w14:textId="77777777" w:rsidR="00310AF7" w:rsidRPr="00753D80" w:rsidRDefault="00310AF7" w:rsidP="00310AF7">
            <w:pPr>
              <w:jc w:val="right"/>
              <w:rPr>
                <w:szCs w:val="14"/>
                <w:lang w:eastAsia="tr-TR"/>
              </w:rPr>
            </w:pPr>
            <w:r w:rsidRPr="00753D80">
              <w:rPr>
                <w:szCs w:val="14"/>
                <w:lang w:eastAsia="tr-TR"/>
              </w:rPr>
              <w:t>-</w:t>
            </w:r>
          </w:p>
        </w:tc>
        <w:tc>
          <w:tcPr>
            <w:tcW w:w="1060" w:type="dxa"/>
            <w:tcBorders>
              <w:top w:val="nil"/>
              <w:left w:val="nil"/>
              <w:bottom w:val="single" w:sz="4" w:space="0" w:color="auto"/>
              <w:right w:val="single" w:sz="4" w:space="0" w:color="auto"/>
            </w:tcBorders>
            <w:shd w:val="clear" w:color="auto" w:fill="auto"/>
            <w:vAlign w:val="bottom"/>
            <w:hideMark/>
          </w:tcPr>
          <w:p w14:paraId="5D2607D3" w14:textId="77777777" w:rsidR="00310AF7" w:rsidRPr="00753D80" w:rsidRDefault="00310AF7" w:rsidP="00310AF7">
            <w:pPr>
              <w:jc w:val="right"/>
              <w:rPr>
                <w:szCs w:val="14"/>
                <w:lang w:eastAsia="tr-TR"/>
              </w:rPr>
            </w:pPr>
            <w:r w:rsidRPr="00753D80">
              <w:rPr>
                <w:szCs w:val="14"/>
                <w:lang w:eastAsia="tr-TR"/>
              </w:rPr>
              <w:t>1,289,330</w:t>
            </w:r>
          </w:p>
        </w:tc>
        <w:tc>
          <w:tcPr>
            <w:tcW w:w="891" w:type="dxa"/>
            <w:tcBorders>
              <w:top w:val="nil"/>
              <w:left w:val="nil"/>
              <w:bottom w:val="single" w:sz="4" w:space="0" w:color="auto"/>
              <w:right w:val="single" w:sz="4" w:space="0" w:color="auto"/>
            </w:tcBorders>
            <w:shd w:val="clear" w:color="auto" w:fill="auto"/>
            <w:vAlign w:val="bottom"/>
            <w:hideMark/>
          </w:tcPr>
          <w:p w14:paraId="17070AD6" w14:textId="77777777" w:rsidR="00310AF7" w:rsidRPr="00753D80" w:rsidRDefault="00310AF7" w:rsidP="00310AF7">
            <w:pPr>
              <w:jc w:val="right"/>
              <w:rPr>
                <w:szCs w:val="14"/>
                <w:lang w:eastAsia="tr-TR"/>
              </w:rPr>
            </w:pPr>
            <w:r w:rsidRPr="00753D80">
              <w:rPr>
                <w:szCs w:val="14"/>
                <w:lang w:eastAsia="tr-TR"/>
              </w:rPr>
              <w:t>-</w:t>
            </w:r>
          </w:p>
        </w:tc>
        <w:tc>
          <w:tcPr>
            <w:tcW w:w="861" w:type="dxa"/>
            <w:tcBorders>
              <w:top w:val="nil"/>
              <w:left w:val="nil"/>
              <w:bottom w:val="single" w:sz="4" w:space="0" w:color="auto"/>
              <w:right w:val="single" w:sz="4" w:space="0" w:color="auto"/>
            </w:tcBorders>
            <w:shd w:val="clear" w:color="auto" w:fill="auto"/>
            <w:vAlign w:val="bottom"/>
            <w:hideMark/>
          </w:tcPr>
          <w:p w14:paraId="04377DC6" w14:textId="77777777" w:rsidR="00310AF7" w:rsidRPr="00753D80" w:rsidRDefault="00310AF7" w:rsidP="00310AF7">
            <w:pPr>
              <w:jc w:val="right"/>
              <w:rPr>
                <w:szCs w:val="14"/>
                <w:lang w:eastAsia="tr-TR"/>
              </w:rPr>
            </w:pPr>
            <w:r w:rsidRPr="00753D80">
              <w:rPr>
                <w:szCs w:val="14"/>
                <w:lang w:eastAsia="tr-TR"/>
              </w:rPr>
              <w:t>129,728</w:t>
            </w:r>
          </w:p>
        </w:tc>
      </w:tr>
      <w:tr w:rsidR="00310AF7" w:rsidRPr="00753D80" w14:paraId="79D939E5" w14:textId="77777777" w:rsidTr="00310AF7">
        <w:trPr>
          <w:divId w:val="26225700"/>
          <w:trHeight w:val="255"/>
        </w:trPr>
        <w:tc>
          <w:tcPr>
            <w:tcW w:w="345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1B70EE" w14:textId="77777777" w:rsidR="00310AF7" w:rsidRPr="00753D80" w:rsidRDefault="00310AF7" w:rsidP="00310AF7">
            <w:pPr>
              <w:rPr>
                <w:color w:val="000000"/>
                <w:szCs w:val="22"/>
                <w:lang w:eastAsia="tr-TR"/>
              </w:rPr>
            </w:pPr>
            <w:r w:rsidRPr="00753D80">
              <w:rPr>
                <w:color w:val="000000"/>
                <w:szCs w:val="22"/>
                <w:lang w:eastAsia="tr-TR"/>
              </w:rPr>
              <w:t>Toplam</w:t>
            </w:r>
          </w:p>
        </w:tc>
        <w:tc>
          <w:tcPr>
            <w:tcW w:w="1151" w:type="dxa"/>
            <w:tcBorders>
              <w:top w:val="nil"/>
              <w:left w:val="nil"/>
              <w:bottom w:val="single" w:sz="4" w:space="0" w:color="auto"/>
              <w:right w:val="single" w:sz="4" w:space="0" w:color="auto"/>
            </w:tcBorders>
            <w:shd w:val="clear" w:color="auto" w:fill="auto"/>
            <w:vAlign w:val="bottom"/>
            <w:hideMark/>
          </w:tcPr>
          <w:p w14:paraId="47C84CBA" w14:textId="77777777" w:rsidR="00310AF7" w:rsidRPr="00753D80" w:rsidRDefault="00310AF7" w:rsidP="00310AF7">
            <w:pPr>
              <w:jc w:val="right"/>
              <w:rPr>
                <w:szCs w:val="14"/>
                <w:lang w:eastAsia="tr-TR"/>
              </w:rPr>
            </w:pPr>
            <w:r w:rsidRPr="00753D80">
              <w:rPr>
                <w:szCs w:val="14"/>
                <w:lang w:eastAsia="tr-TR"/>
              </w:rPr>
              <w:t>-</w:t>
            </w:r>
          </w:p>
        </w:tc>
        <w:tc>
          <w:tcPr>
            <w:tcW w:w="983" w:type="dxa"/>
            <w:tcBorders>
              <w:top w:val="nil"/>
              <w:left w:val="nil"/>
              <w:bottom w:val="single" w:sz="4" w:space="0" w:color="auto"/>
              <w:right w:val="single" w:sz="4" w:space="0" w:color="auto"/>
            </w:tcBorders>
            <w:shd w:val="clear" w:color="auto" w:fill="auto"/>
            <w:vAlign w:val="bottom"/>
            <w:hideMark/>
          </w:tcPr>
          <w:p w14:paraId="6A34557B" w14:textId="77777777" w:rsidR="00310AF7" w:rsidRPr="00753D80" w:rsidRDefault="00310AF7" w:rsidP="00310AF7">
            <w:pPr>
              <w:jc w:val="right"/>
              <w:rPr>
                <w:szCs w:val="14"/>
                <w:lang w:eastAsia="tr-TR"/>
              </w:rPr>
            </w:pPr>
            <w:r w:rsidRPr="00753D80">
              <w:rPr>
                <w:szCs w:val="14"/>
                <w:lang w:eastAsia="tr-TR"/>
              </w:rPr>
              <w:t>-</w:t>
            </w:r>
          </w:p>
        </w:tc>
        <w:tc>
          <w:tcPr>
            <w:tcW w:w="983" w:type="dxa"/>
            <w:tcBorders>
              <w:top w:val="nil"/>
              <w:left w:val="nil"/>
              <w:bottom w:val="single" w:sz="4" w:space="0" w:color="auto"/>
              <w:right w:val="single" w:sz="4" w:space="0" w:color="auto"/>
            </w:tcBorders>
            <w:shd w:val="clear" w:color="auto" w:fill="auto"/>
            <w:vAlign w:val="bottom"/>
            <w:hideMark/>
          </w:tcPr>
          <w:p w14:paraId="74C04EAF" w14:textId="77777777" w:rsidR="00310AF7" w:rsidRPr="00753D80" w:rsidRDefault="00310AF7" w:rsidP="00310AF7">
            <w:pPr>
              <w:jc w:val="right"/>
              <w:rPr>
                <w:szCs w:val="14"/>
                <w:lang w:eastAsia="tr-TR"/>
              </w:rPr>
            </w:pPr>
            <w:r w:rsidRPr="00753D80">
              <w:rPr>
                <w:szCs w:val="14"/>
                <w:lang w:eastAsia="tr-TR"/>
              </w:rPr>
              <w:t>-</w:t>
            </w:r>
          </w:p>
        </w:tc>
        <w:tc>
          <w:tcPr>
            <w:tcW w:w="1060" w:type="dxa"/>
            <w:tcBorders>
              <w:top w:val="nil"/>
              <w:left w:val="nil"/>
              <w:bottom w:val="single" w:sz="4" w:space="0" w:color="auto"/>
              <w:right w:val="single" w:sz="4" w:space="0" w:color="auto"/>
            </w:tcBorders>
            <w:shd w:val="clear" w:color="auto" w:fill="auto"/>
            <w:vAlign w:val="bottom"/>
            <w:hideMark/>
          </w:tcPr>
          <w:p w14:paraId="10978B36" w14:textId="77777777" w:rsidR="00310AF7" w:rsidRPr="00753D80" w:rsidRDefault="00310AF7" w:rsidP="00310AF7">
            <w:pPr>
              <w:jc w:val="right"/>
              <w:rPr>
                <w:szCs w:val="14"/>
                <w:lang w:eastAsia="tr-TR"/>
              </w:rPr>
            </w:pPr>
            <w:r w:rsidRPr="00753D80">
              <w:rPr>
                <w:szCs w:val="14"/>
                <w:lang w:eastAsia="tr-TR"/>
              </w:rPr>
              <w:t>1,289,330</w:t>
            </w:r>
          </w:p>
        </w:tc>
        <w:tc>
          <w:tcPr>
            <w:tcW w:w="891" w:type="dxa"/>
            <w:tcBorders>
              <w:top w:val="nil"/>
              <w:left w:val="nil"/>
              <w:bottom w:val="single" w:sz="4" w:space="0" w:color="auto"/>
              <w:right w:val="single" w:sz="4" w:space="0" w:color="auto"/>
            </w:tcBorders>
            <w:shd w:val="clear" w:color="auto" w:fill="auto"/>
            <w:vAlign w:val="bottom"/>
            <w:hideMark/>
          </w:tcPr>
          <w:p w14:paraId="20C43F01" w14:textId="77777777" w:rsidR="00310AF7" w:rsidRPr="00753D80" w:rsidRDefault="00310AF7" w:rsidP="00310AF7">
            <w:pPr>
              <w:jc w:val="right"/>
              <w:rPr>
                <w:szCs w:val="14"/>
                <w:lang w:eastAsia="tr-TR"/>
              </w:rPr>
            </w:pPr>
            <w:r w:rsidRPr="00753D80">
              <w:rPr>
                <w:szCs w:val="14"/>
                <w:lang w:eastAsia="tr-TR"/>
              </w:rPr>
              <w:t>-</w:t>
            </w:r>
          </w:p>
        </w:tc>
        <w:tc>
          <w:tcPr>
            <w:tcW w:w="861" w:type="dxa"/>
            <w:tcBorders>
              <w:top w:val="nil"/>
              <w:left w:val="nil"/>
              <w:bottom w:val="single" w:sz="4" w:space="0" w:color="auto"/>
              <w:right w:val="single" w:sz="4" w:space="0" w:color="auto"/>
            </w:tcBorders>
            <w:shd w:val="clear" w:color="auto" w:fill="auto"/>
            <w:vAlign w:val="bottom"/>
            <w:hideMark/>
          </w:tcPr>
          <w:p w14:paraId="23B1DF88" w14:textId="77777777" w:rsidR="00310AF7" w:rsidRPr="00753D80" w:rsidRDefault="00310AF7" w:rsidP="00310AF7">
            <w:pPr>
              <w:jc w:val="right"/>
              <w:rPr>
                <w:szCs w:val="14"/>
                <w:lang w:eastAsia="tr-TR"/>
              </w:rPr>
            </w:pPr>
            <w:r w:rsidRPr="00753D80">
              <w:rPr>
                <w:szCs w:val="14"/>
                <w:lang w:eastAsia="tr-TR"/>
              </w:rPr>
              <w:t>129,728</w:t>
            </w:r>
          </w:p>
        </w:tc>
      </w:tr>
    </w:tbl>
    <w:p w14:paraId="3504CB5E" w14:textId="042052FD" w:rsidR="005377A4" w:rsidRPr="00753D80" w:rsidRDefault="005377A4" w:rsidP="00584A8B">
      <w:pPr>
        <w:pStyle w:val="default0"/>
        <w:jc w:val="both"/>
        <w:rPr>
          <w:rFonts w:eastAsia="Times New Roman"/>
          <w:color w:val="auto"/>
          <w:sz w:val="20"/>
          <w:szCs w:val="20"/>
          <w:lang w:val="en-GB" w:eastAsia="en-GB"/>
        </w:rPr>
      </w:pPr>
    </w:p>
    <w:p w14:paraId="7E6A26A1" w14:textId="661CBC13" w:rsidR="00584A8B" w:rsidRPr="00753D80" w:rsidRDefault="00584A8B">
      <w:pPr>
        <w:pStyle w:val="default0"/>
        <w:jc w:val="both"/>
        <w:rPr>
          <w:sz w:val="20"/>
          <w:szCs w:val="20"/>
        </w:rPr>
      </w:pPr>
      <w:r w:rsidRPr="00753D80">
        <w:rPr>
          <w:sz w:val="20"/>
          <w:szCs w:val="20"/>
        </w:rPr>
        <w:t xml:space="preserve">(*) İlgili türev finansal araçların sadece “satım” bacakları gösterilmiştir. </w:t>
      </w:r>
      <w:r w:rsidR="00FF5B26">
        <w:rPr>
          <w:sz w:val="20"/>
          <w:szCs w:val="20"/>
        </w:rPr>
        <w:t xml:space="preserve">Bu türev işlemlere dair 30 Eylül 2020 itibarıyla Nazım Hesaplar </w:t>
      </w:r>
      <w:proofErr w:type="spellStart"/>
      <w:r w:rsidR="00FF5B26">
        <w:rPr>
          <w:sz w:val="20"/>
          <w:szCs w:val="20"/>
        </w:rPr>
        <w:t>Tablosu’nda</w:t>
      </w:r>
      <w:proofErr w:type="spellEnd"/>
      <w:r w:rsidR="00FF5B26">
        <w:rPr>
          <w:sz w:val="20"/>
          <w:szCs w:val="20"/>
        </w:rPr>
        <w:t xml:space="preserve"> bir bakiye </w:t>
      </w:r>
      <w:proofErr w:type="spellStart"/>
      <w:r w:rsidR="00FF5B26">
        <w:rPr>
          <w:sz w:val="20"/>
          <w:szCs w:val="20"/>
        </w:rPr>
        <w:t>bulunmamaklatır</w:t>
      </w:r>
      <w:proofErr w:type="spellEnd"/>
      <w:r w:rsidR="00FF5B26">
        <w:rPr>
          <w:sz w:val="20"/>
          <w:szCs w:val="20"/>
        </w:rPr>
        <w:t>. (</w:t>
      </w:r>
      <w:r w:rsidRPr="00753D80">
        <w:rPr>
          <w:sz w:val="20"/>
          <w:szCs w:val="20"/>
        </w:rPr>
        <w:t>Bu türev işlemlerin 31 Aralık 201</w:t>
      </w:r>
      <w:r w:rsidR="00E30DB0" w:rsidRPr="00753D80">
        <w:rPr>
          <w:sz w:val="20"/>
          <w:szCs w:val="20"/>
        </w:rPr>
        <w:t>9</w:t>
      </w:r>
      <w:r w:rsidR="00FF5B26">
        <w:rPr>
          <w:sz w:val="20"/>
          <w:szCs w:val="20"/>
        </w:rPr>
        <w:t xml:space="preserve"> tarihindeki</w:t>
      </w:r>
      <w:r w:rsidRPr="00753D80">
        <w:rPr>
          <w:sz w:val="20"/>
          <w:szCs w:val="20"/>
        </w:rPr>
        <w:t xml:space="preserve"> 1,</w:t>
      </w:r>
      <w:r w:rsidR="00E30DB0" w:rsidRPr="00753D80">
        <w:rPr>
          <w:sz w:val="20"/>
          <w:szCs w:val="20"/>
        </w:rPr>
        <w:t>162,576</w:t>
      </w:r>
      <w:r w:rsidRPr="00753D80">
        <w:rPr>
          <w:sz w:val="20"/>
          <w:szCs w:val="20"/>
        </w:rPr>
        <w:t xml:space="preserve"> TL “alım” bacakları da dahil edildiğinde oluşan toplam </w:t>
      </w:r>
      <w:r w:rsidR="00675FDD" w:rsidRPr="00753D80">
        <w:rPr>
          <w:sz w:val="20"/>
          <w:szCs w:val="20"/>
        </w:rPr>
        <w:t>2,</w:t>
      </w:r>
      <w:r w:rsidR="00E30DB0" w:rsidRPr="00753D80">
        <w:rPr>
          <w:sz w:val="20"/>
          <w:szCs w:val="20"/>
        </w:rPr>
        <w:t>451,906</w:t>
      </w:r>
      <w:r w:rsidRPr="00753D80">
        <w:rPr>
          <w:sz w:val="20"/>
          <w:szCs w:val="20"/>
        </w:rPr>
        <w:t xml:space="preserve"> TL türev finansal araç anapara toplamı, Nazım Hesaplar </w:t>
      </w:r>
      <w:proofErr w:type="spellStart"/>
      <w:r w:rsidRPr="00753D80">
        <w:rPr>
          <w:sz w:val="20"/>
          <w:szCs w:val="20"/>
        </w:rPr>
        <w:t>Tablosu’nda</w:t>
      </w:r>
      <w:proofErr w:type="spellEnd"/>
      <w:r w:rsidRPr="00753D80">
        <w:rPr>
          <w:sz w:val="20"/>
          <w:szCs w:val="20"/>
        </w:rPr>
        <w:t xml:space="preserve"> “Riskten Korunma Amaçlı Türev Finansal Araçlar” satırında yer almaktadır.</w:t>
      </w:r>
      <w:r w:rsidR="00FF5B26">
        <w:rPr>
          <w:sz w:val="20"/>
          <w:szCs w:val="20"/>
        </w:rPr>
        <w:t>)</w:t>
      </w:r>
      <w:r w:rsidRPr="00753D80">
        <w:rPr>
          <w:sz w:val="20"/>
          <w:szCs w:val="20"/>
        </w:rPr>
        <w:t xml:space="preserve"> </w:t>
      </w:r>
    </w:p>
    <w:p w14:paraId="4958FC67" w14:textId="77777777" w:rsidR="00584A8B" w:rsidRPr="00753D80" w:rsidRDefault="00584A8B" w:rsidP="00584A8B">
      <w:pPr>
        <w:pStyle w:val="default0"/>
        <w:jc w:val="both"/>
        <w:rPr>
          <w:sz w:val="20"/>
          <w:szCs w:val="20"/>
        </w:rPr>
      </w:pPr>
      <w:r w:rsidRPr="00753D80">
        <w:rPr>
          <w:sz w:val="20"/>
          <w:szCs w:val="20"/>
        </w:rPr>
        <w:t xml:space="preserve"> </w:t>
      </w:r>
    </w:p>
    <w:p w14:paraId="75D7D674" w14:textId="77777777" w:rsidR="00584A8B" w:rsidRPr="00753D80" w:rsidRDefault="00584A8B" w:rsidP="00584A8B">
      <w:pPr>
        <w:pStyle w:val="default0"/>
        <w:jc w:val="both"/>
        <w:rPr>
          <w:sz w:val="20"/>
          <w:szCs w:val="20"/>
        </w:rPr>
      </w:pPr>
      <w:r w:rsidRPr="00753D80">
        <w:rPr>
          <w:sz w:val="20"/>
          <w:szCs w:val="20"/>
        </w:rPr>
        <w:t xml:space="preserve">Riskten korunma aracının sona ermesi, gerçekleşmesi, satılması, riskten korunma muhasebesinin sonlandırılması veya etkinlik testinin etkin olmaması nedeniyle riskten korunma muhasebesinin devam etmemesi durumunda; </w:t>
      </w:r>
    </w:p>
    <w:p w14:paraId="744B1494" w14:textId="77777777" w:rsidR="00584A8B" w:rsidRPr="00753D80" w:rsidRDefault="00584A8B" w:rsidP="00584A8B">
      <w:pPr>
        <w:pStyle w:val="default0"/>
        <w:jc w:val="both"/>
        <w:rPr>
          <w:sz w:val="20"/>
          <w:szCs w:val="20"/>
        </w:rPr>
      </w:pPr>
      <w:r w:rsidRPr="00753D80">
        <w:rPr>
          <w:sz w:val="20"/>
          <w:szCs w:val="20"/>
        </w:rPr>
        <w:t xml:space="preserve"> </w:t>
      </w:r>
    </w:p>
    <w:p w14:paraId="7F615617" w14:textId="279D8279" w:rsidR="00584A8B" w:rsidRPr="00753D80" w:rsidRDefault="00584A8B" w:rsidP="00584A8B">
      <w:pPr>
        <w:pStyle w:val="default0"/>
        <w:jc w:val="both"/>
        <w:rPr>
          <w:sz w:val="20"/>
          <w:szCs w:val="20"/>
        </w:rPr>
      </w:pPr>
      <w:r w:rsidRPr="00753D80">
        <w:rPr>
          <w:sz w:val="20"/>
          <w:szCs w:val="20"/>
        </w:rPr>
        <w:t xml:space="preserve">Nakit akış riskinden korunma muhasebesi kapsamında önceden </w:t>
      </w:r>
      <w:proofErr w:type="spellStart"/>
      <w:r w:rsidRPr="00753D80">
        <w:rPr>
          <w:sz w:val="20"/>
          <w:szCs w:val="20"/>
        </w:rPr>
        <w:t>özkaynaklar</w:t>
      </w:r>
      <w:proofErr w:type="spellEnd"/>
      <w:r w:rsidRPr="00753D80">
        <w:rPr>
          <w:sz w:val="20"/>
          <w:szCs w:val="20"/>
        </w:rPr>
        <w:t xml:space="preserve"> altında muhasebeleştirilen kazanç ya da kayıplar, riskten korunma konusu kaleme ilişkin nakit akışları gerçekleştikçe, </w:t>
      </w:r>
    </w:p>
    <w:p w14:paraId="5430B8F3" w14:textId="77777777" w:rsidR="00584A8B" w:rsidRPr="00753D80" w:rsidRDefault="00584A8B" w:rsidP="00584A8B">
      <w:pPr>
        <w:pStyle w:val="default0"/>
        <w:jc w:val="both"/>
        <w:rPr>
          <w:sz w:val="20"/>
          <w:szCs w:val="20"/>
        </w:rPr>
      </w:pPr>
      <w:r w:rsidRPr="00753D80">
        <w:rPr>
          <w:sz w:val="20"/>
          <w:szCs w:val="20"/>
        </w:rPr>
        <w:t xml:space="preserve"> </w:t>
      </w:r>
    </w:p>
    <w:p w14:paraId="6C342136" w14:textId="77777777" w:rsidR="00584A8B" w:rsidRPr="00753D80" w:rsidRDefault="00584A8B" w:rsidP="00584A8B">
      <w:pPr>
        <w:pStyle w:val="default0"/>
        <w:jc w:val="both"/>
        <w:rPr>
          <w:sz w:val="20"/>
          <w:szCs w:val="20"/>
        </w:rPr>
      </w:pPr>
      <w:r w:rsidRPr="00753D80">
        <w:rPr>
          <w:sz w:val="20"/>
          <w:szCs w:val="20"/>
        </w:rPr>
        <w:t xml:space="preserve">Riskten korunan kalemin bilanço dışı bırakılması durumunda riskten korunma muhasebesi sona ermekte ve gerçeğe uygun değer riskinden korunma muhasebesi kapsamında riskten korunan kalemin değerine yapılan düzeltmeler gelir tablosunda muhasebeleştirilmektedir. </w:t>
      </w:r>
    </w:p>
    <w:p w14:paraId="26EAF3C7" w14:textId="77777777" w:rsidR="00584A8B" w:rsidRPr="00753D80" w:rsidRDefault="00584A8B" w:rsidP="00584A8B">
      <w:pPr>
        <w:pStyle w:val="default0"/>
        <w:jc w:val="both"/>
        <w:rPr>
          <w:sz w:val="20"/>
          <w:szCs w:val="20"/>
        </w:rPr>
      </w:pPr>
      <w:r w:rsidRPr="00753D80">
        <w:rPr>
          <w:sz w:val="20"/>
          <w:szCs w:val="20"/>
        </w:rPr>
        <w:t xml:space="preserve"> </w:t>
      </w:r>
    </w:p>
    <w:p w14:paraId="1E96E725" w14:textId="77777777" w:rsidR="00584A8B" w:rsidRPr="00753D80" w:rsidRDefault="00584A8B" w:rsidP="00584A8B">
      <w:pPr>
        <w:pStyle w:val="default0"/>
        <w:jc w:val="both"/>
        <w:rPr>
          <w:sz w:val="20"/>
          <w:szCs w:val="20"/>
        </w:rPr>
      </w:pPr>
      <w:r w:rsidRPr="00753D80">
        <w:rPr>
          <w:sz w:val="20"/>
          <w:szCs w:val="20"/>
        </w:rPr>
        <w:t>TMS uyarınca finansal riskten korunma stratejisinin bir parçası olması durumunda bir finansal riskten korunma aracının yenilenmesi veya bir başka finansal riskten korunma aracına aktarılması, riskten korunma ilişkisini ortadan kaldırmamaktadır.</w:t>
      </w:r>
    </w:p>
    <w:p w14:paraId="1E2E45B8" w14:textId="77777777" w:rsidR="00584A8B" w:rsidRPr="00753D80" w:rsidRDefault="00584A8B" w:rsidP="00584A8B">
      <w:pPr>
        <w:pStyle w:val="default0"/>
        <w:jc w:val="both"/>
        <w:rPr>
          <w:sz w:val="20"/>
          <w:szCs w:val="20"/>
        </w:rPr>
      </w:pPr>
    </w:p>
    <w:p w14:paraId="70355E0F" w14:textId="77777777" w:rsidR="001B7BC7" w:rsidRPr="00753D80" w:rsidRDefault="001B7BC7" w:rsidP="00584A8B">
      <w:pPr>
        <w:pStyle w:val="default0"/>
        <w:jc w:val="both"/>
        <w:rPr>
          <w:rFonts w:eastAsia="Times New Roman"/>
          <w:b/>
          <w:sz w:val="20"/>
          <w:szCs w:val="20"/>
          <w:lang w:eastAsia="x-none"/>
        </w:rPr>
      </w:pPr>
    </w:p>
    <w:p w14:paraId="07E9EC3D" w14:textId="79FE94DD" w:rsidR="004468FC" w:rsidRPr="00270CE6" w:rsidRDefault="004468FC" w:rsidP="00584A8B">
      <w:pPr>
        <w:pStyle w:val="default0"/>
        <w:jc w:val="both"/>
        <w:rPr>
          <w:rFonts w:eastAsia="Times New Roman"/>
          <w:b/>
          <w:sz w:val="20"/>
          <w:szCs w:val="20"/>
          <w:highlight w:val="yellow"/>
          <w:lang w:eastAsia="x-none"/>
        </w:rPr>
      </w:pPr>
    </w:p>
    <w:p w14:paraId="36A1EDA7" w14:textId="77777777" w:rsidR="00152238" w:rsidRPr="00270CE6" w:rsidRDefault="00152238" w:rsidP="00584A8B">
      <w:pPr>
        <w:pStyle w:val="default0"/>
        <w:jc w:val="both"/>
        <w:rPr>
          <w:rFonts w:eastAsia="Times New Roman"/>
          <w:b/>
          <w:sz w:val="20"/>
          <w:szCs w:val="20"/>
          <w:highlight w:val="yellow"/>
          <w:lang w:eastAsia="x-none"/>
        </w:rPr>
      </w:pPr>
    </w:p>
    <w:p w14:paraId="3B2D3FA9" w14:textId="6A0ECE12" w:rsidR="00DC5147" w:rsidRDefault="00DC5147" w:rsidP="00584A8B">
      <w:pPr>
        <w:pStyle w:val="default0"/>
        <w:jc w:val="both"/>
        <w:rPr>
          <w:rFonts w:eastAsia="Times New Roman"/>
          <w:b/>
          <w:sz w:val="20"/>
          <w:szCs w:val="20"/>
          <w:highlight w:val="yellow"/>
          <w:lang w:eastAsia="x-none"/>
        </w:rPr>
      </w:pPr>
      <w:r>
        <w:rPr>
          <w:rFonts w:eastAsia="Times New Roman"/>
          <w:b/>
          <w:sz w:val="20"/>
          <w:szCs w:val="20"/>
          <w:highlight w:val="yellow"/>
          <w:lang w:eastAsia="x-none"/>
        </w:rPr>
        <w:br w:type="page"/>
      </w:r>
    </w:p>
    <w:p w14:paraId="51F01BEC" w14:textId="77777777" w:rsidR="00584A8B" w:rsidRPr="00BF48C0" w:rsidRDefault="00584A8B" w:rsidP="00584A8B">
      <w:pPr>
        <w:pStyle w:val="default0"/>
        <w:jc w:val="both"/>
        <w:rPr>
          <w:rFonts w:eastAsia="Times New Roman"/>
          <w:b/>
          <w:sz w:val="20"/>
          <w:szCs w:val="20"/>
          <w:lang w:eastAsia="x-none"/>
        </w:rPr>
      </w:pPr>
      <w:r w:rsidRPr="00BF48C0">
        <w:rPr>
          <w:rFonts w:eastAsia="Times New Roman"/>
          <w:b/>
          <w:sz w:val="20"/>
          <w:szCs w:val="20"/>
          <w:lang w:eastAsia="x-none"/>
        </w:rPr>
        <w:lastRenderedPageBreak/>
        <w:t xml:space="preserve">Nakit akış riskinden korunma: </w:t>
      </w:r>
    </w:p>
    <w:p w14:paraId="036C0B4C" w14:textId="77777777" w:rsidR="00584A8B" w:rsidRPr="00BF48C0" w:rsidRDefault="00584A8B" w:rsidP="00584A8B">
      <w:pPr>
        <w:pStyle w:val="default0"/>
        <w:jc w:val="both"/>
        <w:rPr>
          <w:sz w:val="20"/>
          <w:szCs w:val="20"/>
        </w:rPr>
      </w:pPr>
      <w:r w:rsidRPr="00BF48C0">
        <w:rPr>
          <w:sz w:val="20"/>
          <w:szCs w:val="20"/>
        </w:rPr>
        <w:t xml:space="preserve"> </w:t>
      </w:r>
    </w:p>
    <w:p w14:paraId="5A69A870" w14:textId="7FFF0FBF" w:rsidR="00307B57" w:rsidRDefault="00FF5B26" w:rsidP="00307B57">
      <w:pPr>
        <w:pStyle w:val="default0"/>
        <w:jc w:val="both"/>
        <w:rPr>
          <w:sz w:val="20"/>
          <w:szCs w:val="20"/>
        </w:rPr>
      </w:pPr>
      <w:r>
        <w:rPr>
          <w:sz w:val="20"/>
          <w:szCs w:val="20"/>
        </w:rPr>
        <w:t xml:space="preserve">31 Aralık 2019 itibarıyla </w:t>
      </w:r>
      <w:r w:rsidR="00675FDD" w:rsidRPr="00BF48C0">
        <w:rPr>
          <w:sz w:val="20"/>
          <w:szCs w:val="20"/>
        </w:rPr>
        <w:t>Banka</w:t>
      </w:r>
      <w:r w:rsidR="00584A8B" w:rsidRPr="00BF48C0">
        <w:rPr>
          <w:sz w:val="20"/>
          <w:szCs w:val="20"/>
        </w:rPr>
        <w:t xml:space="preserve">, Malezya </w:t>
      </w:r>
      <w:proofErr w:type="spellStart"/>
      <w:r w:rsidR="00584A8B" w:rsidRPr="00BF48C0">
        <w:rPr>
          <w:sz w:val="20"/>
          <w:szCs w:val="20"/>
        </w:rPr>
        <w:t>Ringiti</w:t>
      </w:r>
      <w:proofErr w:type="spellEnd"/>
      <w:r w:rsidR="00584A8B" w:rsidRPr="00BF48C0">
        <w:rPr>
          <w:sz w:val="20"/>
          <w:szCs w:val="20"/>
        </w:rPr>
        <w:t xml:space="preserve"> </w:t>
      </w:r>
      <w:r w:rsidR="00675FDD" w:rsidRPr="00BF48C0">
        <w:rPr>
          <w:sz w:val="20"/>
          <w:szCs w:val="20"/>
        </w:rPr>
        <w:t xml:space="preserve">(“MYR”) cinsinden ihraç edilen </w:t>
      </w:r>
      <w:r w:rsidR="00BF48C0" w:rsidRPr="00BF48C0">
        <w:rPr>
          <w:sz w:val="20"/>
          <w:szCs w:val="20"/>
        </w:rPr>
        <w:t>800,000 MYR</w:t>
      </w:r>
      <w:r>
        <w:rPr>
          <w:sz w:val="20"/>
          <w:szCs w:val="20"/>
        </w:rPr>
        <w:t xml:space="preserve"> </w:t>
      </w:r>
      <w:r w:rsidR="00584A8B" w:rsidRPr="00BF48C0">
        <w:rPr>
          <w:sz w:val="20"/>
          <w:szCs w:val="20"/>
        </w:rPr>
        <w:t xml:space="preserve">tutarındaki alınan kredilerini, çapraz para swap işlemi ile ABD doları borçlanmaya çevirmekte ve bu fonu ABD doları cinsinden </w:t>
      </w:r>
      <w:proofErr w:type="gramStart"/>
      <w:r w:rsidR="00584A8B" w:rsidRPr="00BF48C0">
        <w:rPr>
          <w:sz w:val="20"/>
          <w:szCs w:val="20"/>
        </w:rPr>
        <w:t>kar</w:t>
      </w:r>
      <w:proofErr w:type="gramEnd"/>
      <w:r w:rsidR="00584A8B" w:rsidRPr="00BF48C0">
        <w:rPr>
          <w:sz w:val="20"/>
          <w:szCs w:val="20"/>
        </w:rPr>
        <w:t xml:space="preserve"> payı getirili aktiflerde </w:t>
      </w:r>
      <w:r>
        <w:rPr>
          <w:sz w:val="20"/>
          <w:szCs w:val="20"/>
        </w:rPr>
        <w:t>değerlendirmekte idi</w:t>
      </w:r>
      <w:r w:rsidR="00584A8B" w:rsidRPr="00BF48C0">
        <w:rPr>
          <w:sz w:val="20"/>
          <w:szCs w:val="20"/>
        </w:rPr>
        <w:t xml:space="preserve">. Bu kapsamda MYR/TL döviz kuru değişimleri nedeniyle alınan kredilerde oluşacak nakit akış riski ile TL/ABD doları döviz kuru değişimleri nedeniyle </w:t>
      </w:r>
      <w:proofErr w:type="gramStart"/>
      <w:r w:rsidR="00584A8B" w:rsidRPr="00BF48C0">
        <w:rPr>
          <w:sz w:val="20"/>
          <w:szCs w:val="20"/>
        </w:rPr>
        <w:t>kar</w:t>
      </w:r>
      <w:proofErr w:type="gramEnd"/>
      <w:r w:rsidR="00584A8B" w:rsidRPr="00BF48C0">
        <w:rPr>
          <w:sz w:val="20"/>
          <w:szCs w:val="20"/>
        </w:rPr>
        <w:t xml:space="preserve"> payı getirili varlıklarda oluşacak nakit akış riskine karşı, çapraz para swap işlemi ile korunma sağlamak amacıyla 1 Ağustos 2014 tarihinden başlamak üzere nakit akış riskinden korunma (NARK) muhasebesi uygulama kararı almıştır.</w:t>
      </w:r>
      <w:r>
        <w:rPr>
          <w:sz w:val="20"/>
          <w:szCs w:val="20"/>
        </w:rPr>
        <w:t xml:space="preserve"> </w:t>
      </w:r>
      <w:r w:rsidR="00584A8B" w:rsidRPr="00BF48C0">
        <w:rPr>
          <w:sz w:val="20"/>
          <w:szCs w:val="20"/>
        </w:rPr>
        <w:t xml:space="preserve">Bu uygulama kapsamında, riskten korunma aracı olarak belirlenen türev finansal araçlar, çapraz para swap işlemleri olup alınan krediler ve </w:t>
      </w:r>
      <w:proofErr w:type="gramStart"/>
      <w:r w:rsidR="00584A8B" w:rsidRPr="00BF48C0">
        <w:rPr>
          <w:sz w:val="20"/>
          <w:szCs w:val="20"/>
        </w:rPr>
        <w:t>kar</w:t>
      </w:r>
      <w:proofErr w:type="gramEnd"/>
      <w:r w:rsidR="00584A8B" w:rsidRPr="00BF48C0">
        <w:rPr>
          <w:sz w:val="20"/>
          <w:szCs w:val="20"/>
        </w:rPr>
        <w:t xml:space="preserve"> payı getirili varlıklar ise riskten korunma konusu kalemler olarak belirlenmiştir. </w:t>
      </w:r>
      <w:r w:rsidR="00307B57">
        <w:rPr>
          <w:sz w:val="20"/>
          <w:szCs w:val="20"/>
        </w:rPr>
        <w:t>Bununla birlikte,</w:t>
      </w:r>
      <w:r w:rsidR="00307B57" w:rsidRPr="00BF48C0">
        <w:rPr>
          <w:sz w:val="20"/>
          <w:szCs w:val="20"/>
        </w:rPr>
        <w:t xml:space="preserve"> </w:t>
      </w:r>
      <w:r w:rsidR="00307B57" w:rsidRPr="00753D80">
        <w:rPr>
          <w:sz w:val="20"/>
          <w:szCs w:val="20"/>
        </w:rPr>
        <w:t>Banka</w:t>
      </w:r>
      <w:r w:rsidR="00307B57">
        <w:rPr>
          <w:sz w:val="20"/>
          <w:szCs w:val="20"/>
        </w:rPr>
        <w:t xml:space="preserve">’nın uygulamakta olduğu </w:t>
      </w:r>
      <w:r w:rsidR="00307B57" w:rsidRPr="00753D80">
        <w:rPr>
          <w:sz w:val="20"/>
          <w:szCs w:val="20"/>
        </w:rPr>
        <w:t>NARK</w:t>
      </w:r>
      <w:r w:rsidR="00307B57">
        <w:rPr>
          <w:sz w:val="20"/>
          <w:szCs w:val="20"/>
        </w:rPr>
        <w:t xml:space="preserve"> </w:t>
      </w:r>
      <w:r w:rsidR="00307B57" w:rsidRPr="00753D80">
        <w:rPr>
          <w:sz w:val="20"/>
          <w:szCs w:val="20"/>
        </w:rPr>
        <w:t>muhasebesi</w:t>
      </w:r>
      <w:r w:rsidR="00307B57">
        <w:rPr>
          <w:sz w:val="20"/>
          <w:szCs w:val="20"/>
        </w:rPr>
        <w:t>, 30 Eylül 2020 itibarıyla sona ermiştir.</w:t>
      </w:r>
    </w:p>
    <w:p w14:paraId="3474661C" w14:textId="77777777" w:rsidR="00307B57" w:rsidRDefault="00307B57" w:rsidP="00307B57">
      <w:pPr>
        <w:pStyle w:val="default0"/>
        <w:jc w:val="both"/>
        <w:rPr>
          <w:sz w:val="20"/>
          <w:szCs w:val="20"/>
        </w:rPr>
      </w:pPr>
    </w:p>
    <w:p w14:paraId="6B5CF13E" w14:textId="2D91A988" w:rsidR="00584A8B" w:rsidRPr="00BF48C0" w:rsidRDefault="00584A8B">
      <w:pPr>
        <w:pStyle w:val="default0"/>
        <w:jc w:val="both"/>
        <w:rPr>
          <w:sz w:val="20"/>
          <w:szCs w:val="20"/>
        </w:rPr>
      </w:pPr>
      <w:r w:rsidRPr="00BF48C0">
        <w:rPr>
          <w:sz w:val="20"/>
          <w:szCs w:val="20"/>
        </w:rPr>
        <w:t xml:space="preserve">Aşağıdaki tabloda, NARK muhasebesinin etkisi </w:t>
      </w:r>
      <w:r w:rsidR="00307B57">
        <w:rPr>
          <w:sz w:val="20"/>
          <w:szCs w:val="20"/>
        </w:rPr>
        <w:t xml:space="preserve">(cari ve önceki dönem olmak üzere) </w:t>
      </w:r>
      <w:r w:rsidRPr="00BF48C0">
        <w:rPr>
          <w:sz w:val="20"/>
          <w:szCs w:val="20"/>
        </w:rPr>
        <w:t>özetlenmiştir:</w:t>
      </w:r>
    </w:p>
    <w:p w14:paraId="4EDA82EC" w14:textId="763C43D5" w:rsidR="00BF48C0" w:rsidRPr="00311DAB" w:rsidRDefault="00BF48C0" w:rsidP="00584A8B">
      <w:pPr>
        <w:pStyle w:val="default0"/>
        <w:jc w:val="both"/>
        <w:rPr>
          <w:rFonts w:eastAsia="Times New Roman"/>
          <w:color w:val="auto"/>
          <w:sz w:val="20"/>
          <w:szCs w:val="20"/>
          <w:lang w:eastAsia="en-GB"/>
        </w:rPr>
      </w:pPr>
    </w:p>
    <w:tbl>
      <w:tblPr>
        <w:tblW w:w="9482" w:type="dxa"/>
        <w:tblCellMar>
          <w:left w:w="70" w:type="dxa"/>
          <w:right w:w="70" w:type="dxa"/>
        </w:tblCellMar>
        <w:tblLook w:val="04A0" w:firstRow="1" w:lastRow="0" w:firstColumn="1" w:lastColumn="0" w:noHBand="0" w:noVBand="1"/>
      </w:tblPr>
      <w:tblGrid>
        <w:gridCol w:w="1413"/>
        <w:gridCol w:w="2445"/>
        <w:gridCol w:w="1778"/>
        <w:gridCol w:w="760"/>
        <w:gridCol w:w="1317"/>
        <w:gridCol w:w="1769"/>
      </w:tblGrid>
      <w:tr w:rsidR="00BF48C0" w:rsidRPr="00BF48C0" w14:paraId="7E4836CD" w14:textId="77777777" w:rsidTr="00BF48C0">
        <w:trPr>
          <w:divId w:val="951285731"/>
          <w:trHeight w:val="226"/>
        </w:trPr>
        <w:tc>
          <w:tcPr>
            <w:tcW w:w="94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5075C" w14:textId="48285891" w:rsidR="00BF48C0" w:rsidRPr="00BF48C0" w:rsidRDefault="00BF48C0" w:rsidP="00BF48C0">
            <w:pPr>
              <w:rPr>
                <w:color w:val="000000"/>
                <w:sz w:val="14"/>
                <w:szCs w:val="14"/>
                <w:lang w:eastAsia="tr-TR"/>
              </w:rPr>
            </w:pPr>
            <w:r w:rsidRPr="00BF48C0">
              <w:rPr>
                <w:color w:val="000000"/>
                <w:sz w:val="14"/>
                <w:szCs w:val="14"/>
                <w:lang w:eastAsia="tr-TR"/>
              </w:rPr>
              <w:t>Cari Dönem</w:t>
            </w:r>
          </w:p>
        </w:tc>
      </w:tr>
      <w:tr w:rsidR="00BF48C0" w:rsidRPr="00BF48C0" w14:paraId="62856E44" w14:textId="77777777" w:rsidTr="00BF48C0">
        <w:trPr>
          <w:divId w:val="951285731"/>
          <w:trHeight w:val="487"/>
        </w:trPr>
        <w:tc>
          <w:tcPr>
            <w:tcW w:w="1413" w:type="dxa"/>
            <w:vMerge w:val="restart"/>
            <w:tcBorders>
              <w:top w:val="nil"/>
              <w:left w:val="single" w:sz="4" w:space="0" w:color="auto"/>
              <w:bottom w:val="single" w:sz="4" w:space="0" w:color="auto"/>
              <w:right w:val="single" w:sz="4" w:space="0" w:color="auto"/>
            </w:tcBorders>
            <w:shd w:val="clear" w:color="auto" w:fill="auto"/>
            <w:vAlign w:val="center"/>
            <w:hideMark/>
          </w:tcPr>
          <w:p w14:paraId="336B4345" w14:textId="77777777" w:rsidR="00BF48C0" w:rsidRPr="00BF48C0" w:rsidRDefault="00BF48C0" w:rsidP="00BF48C0">
            <w:pPr>
              <w:jc w:val="center"/>
              <w:rPr>
                <w:color w:val="000000"/>
                <w:sz w:val="14"/>
                <w:szCs w:val="14"/>
                <w:lang w:eastAsia="tr-TR"/>
              </w:rPr>
            </w:pPr>
            <w:r w:rsidRPr="00BF48C0">
              <w:rPr>
                <w:color w:val="000000"/>
                <w:sz w:val="14"/>
                <w:szCs w:val="14"/>
                <w:lang w:eastAsia="tr-TR"/>
              </w:rPr>
              <w:t>Finansal riskten korunma aracı</w:t>
            </w:r>
          </w:p>
        </w:tc>
        <w:tc>
          <w:tcPr>
            <w:tcW w:w="2445" w:type="dxa"/>
            <w:vMerge w:val="restart"/>
            <w:tcBorders>
              <w:top w:val="nil"/>
              <w:left w:val="single" w:sz="4" w:space="0" w:color="auto"/>
              <w:bottom w:val="single" w:sz="4" w:space="0" w:color="auto"/>
              <w:right w:val="single" w:sz="4" w:space="0" w:color="auto"/>
            </w:tcBorders>
            <w:shd w:val="clear" w:color="auto" w:fill="auto"/>
            <w:vAlign w:val="center"/>
            <w:hideMark/>
          </w:tcPr>
          <w:p w14:paraId="35007E04" w14:textId="77777777" w:rsidR="00BF48C0" w:rsidRPr="00BF48C0" w:rsidRDefault="00BF48C0" w:rsidP="00BF48C0">
            <w:pPr>
              <w:jc w:val="center"/>
              <w:rPr>
                <w:color w:val="000000"/>
                <w:sz w:val="14"/>
                <w:szCs w:val="14"/>
                <w:lang w:eastAsia="tr-TR"/>
              </w:rPr>
            </w:pPr>
            <w:r w:rsidRPr="00BF48C0">
              <w:rPr>
                <w:color w:val="000000"/>
                <w:sz w:val="14"/>
                <w:szCs w:val="14"/>
                <w:lang w:eastAsia="tr-TR"/>
              </w:rPr>
              <w:t>Finansal riskten korunan varlık ve yükümlülükler</w:t>
            </w:r>
          </w:p>
        </w:tc>
        <w:tc>
          <w:tcPr>
            <w:tcW w:w="1778" w:type="dxa"/>
            <w:vMerge w:val="restart"/>
            <w:tcBorders>
              <w:top w:val="nil"/>
              <w:left w:val="single" w:sz="4" w:space="0" w:color="auto"/>
              <w:bottom w:val="single" w:sz="4" w:space="0" w:color="auto"/>
              <w:right w:val="single" w:sz="4" w:space="0" w:color="auto"/>
            </w:tcBorders>
            <w:shd w:val="clear" w:color="auto" w:fill="auto"/>
            <w:vAlign w:val="center"/>
            <w:hideMark/>
          </w:tcPr>
          <w:p w14:paraId="6EEF3206" w14:textId="77777777" w:rsidR="00BF48C0" w:rsidRPr="00BF48C0" w:rsidRDefault="00BF48C0" w:rsidP="00BF48C0">
            <w:pPr>
              <w:jc w:val="center"/>
              <w:rPr>
                <w:color w:val="000000"/>
                <w:sz w:val="14"/>
                <w:szCs w:val="14"/>
                <w:lang w:eastAsia="tr-TR"/>
              </w:rPr>
            </w:pPr>
            <w:proofErr w:type="spellStart"/>
            <w:r w:rsidRPr="00BF48C0">
              <w:rPr>
                <w:color w:val="000000"/>
                <w:sz w:val="14"/>
                <w:szCs w:val="14"/>
                <w:lang w:eastAsia="tr-TR"/>
              </w:rPr>
              <w:t>Korunulan</w:t>
            </w:r>
            <w:proofErr w:type="spellEnd"/>
            <w:r w:rsidRPr="00BF48C0">
              <w:rPr>
                <w:color w:val="000000"/>
                <w:sz w:val="14"/>
                <w:szCs w:val="14"/>
                <w:lang w:eastAsia="tr-TR"/>
              </w:rPr>
              <w:t xml:space="preserve"> riskler</w:t>
            </w:r>
          </w:p>
        </w:tc>
        <w:tc>
          <w:tcPr>
            <w:tcW w:w="20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5EF076" w14:textId="77777777" w:rsidR="00BF48C0" w:rsidRPr="00BF48C0" w:rsidRDefault="00BF48C0" w:rsidP="00BF48C0">
            <w:pPr>
              <w:jc w:val="center"/>
              <w:rPr>
                <w:color w:val="000000"/>
                <w:sz w:val="14"/>
                <w:szCs w:val="14"/>
                <w:lang w:eastAsia="tr-TR"/>
              </w:rPr>
            </w:pPr>
            <w:r w:rsidRPr="00BF48C0">
              <w:rPr>
                <w:color w:val="000000"/>
                <w:sz w:val="14"/>
                <w:szCs w:val="14"/>
                <w:lang w:eastAsia="tr-TR"/>
              </w:rPr>
              <w:t>Korunma aracının net gerçeğe uygun değeri</w:t>
            </w:r>
          </w:p>
        </w:tc>
        <w:tc>
          <w:tcPr>
            <w:tcW w:w="1769" w:type="dxa"/>
            <w:vMerge w:val="restart"/>
            <w:tcBorders>
              <w:top w:val="nil"/>
              <w:left w:val="single" w:sz="4" w:space="0" w:color="auto"/>
              <w:bottom w:val="single" w:sz="4" w:space="0" w:color="auto"/>
              <w:right w:val="single" w:sz="4" w:space="0" w:color="auto"/>
            </w:tcBorders>
            <w:shd w:val="clear" w:color="auto" w:fill="auto"/>
            <w:vAlign w:val="center"/>
            <w:hideMark/>
          </w:tcPr>
          <w:p w14:paraId="7A3BC870" w14:textId="77777777" w:rsidR="00BF48C0" w:rsidRPr="00BF48C0" w:rsidRDefault="00BF48C0" w:rsidP="00BF48C0">
            <w:pPr>
              <w:jc w:val="center"/>
              <w:rPr>
                <w:color w:val="000000"/>
                <w:sz w:val="14"/>
                <w:szCs w:val="14"/>
                <w:lang w:eastAsia="tr-TR"/>
              </w:rPr>
            </w:pPr>
            <w:r w:rsidRPr="00BF48C0">
              <w:rPr>
                <w:color w:val="000000"/>
                <w:sz w:val="14"/>
                <w:szCs w:val="14"/>
                <w:lang w:eastAsia="tr-TR"/>
              </w:rPr>
              <w:t xml:space="preserve">Riskten korunma fonlarındaki </w:t>
            </w:r>
            <w:proofErr w:type="gramStart"/>
            <w:r w:rsidRPr="00BF48C0">
              <w:rPr>
                <w:color w:val="000000"/>
                <w:sz w:val="14"/>
                <w:szCs w:val="14"/>
                <w:lang w:eastAsia="tr-TR"/>
              </w:rPr>
              <w:t>tutar(</w:t>
            </w:r>
            <w:proofErr w:type="gramEnd"/>
            <w:r w:rsidRPr="00BF48C0">
              <w:rPr>
                <w:color w:val="000000"/>
                <w:sz w:val="14"/>
                <w:szCs w:val="14"/>
                <w:lang w:eastAsia="tr-TR"/>
              </w:rPr>
              <w:t>*)</w:t>
            </w:r>
          </w:p>
        </w:tc>
      </w:tr>
      <w:tr w:rsidR="00BF48C0" w:rsidRPr="00BF48C0" w14:paraId="3932091B" w14:textId="77777777" w:rsidTr="00BF48C0">
        <w:trPr>
          <w:divId w:val="951285731"/>
          <w:trHeight w:val="230"/>
        </w:trPr>
        <w:tc>
          <w:tcPr>
            <w:tcW w:w="1413" w:type="dxa"/>
            <w:vMerge/>
            <w:tcBorders>
              <w:top w:val="nil"/>
              <w:left w:val="single" w:sz="4" w:space="0" w:color="auto"/>
              <w:bottom w:val="single" w:sz="4" w:space="0" w:color="auto"/>
              <w:right w:val="single" w:sz="4" w:space="0" w:color="auto"/>
            </w:tcBorders>
            <w:vAlign w:val="center"/>
            <w:hideMark/>
          </w:tcPr>
          <w:p w14:paraId="33E41107" w14:textId="77777777" w:rsidR="00BF48C0" w:rsidRPr="00BF48C0" w:rsidRDefault="00BF48C0" w:rsidP="00BF48C0">
            <w:pPr>
              <w:rPr>
                <w:color w:val="000000"/>
                <w:sz w:val="14"/>
                <w:szCs w:val="14"/>
                <w:lang w:eastAsia="tr-TR"/>
              </w:rPr>
            </w:pPr>
          </w:p>
        </w:tc>
        <w:tc>
          <w:tcPr>
            <w:tcW w:w="2445" w:type="dxa"/>
            <w:vMerge/>
            <w:tcBorders>
              <w:top w:val="nil"/>
              <w:left w:val="single" w:sz="4" w:space="0" w:color="auto"/>
              <w:bottom w:val="single" w:sz="4" w:space="0" w:color="auto"/>
              <w:right w:val="single" w:sz="4" w:space="0" w:color="auto"/>
            </w:tcBorders>
            <w:vAlign w:val="center"/>
            <w:hideMark/>
          </w:tcPr>
          <w:p w14:paraId="4F6E09B7" w14:textId="77777777" w:rsidR="00BF48C0" w:rsidRPr="00BF48C0" w:rsidRDefault="00BF48C0" w:rsidP="00BF48C0">
            <w:pPr>
              <w:rPr>
                <w:color w:val="000000"/>
                <w:sz w:val="14"/>
                <w:szCs w:val="14"/>
                <w:lang w:eastAsia="tr-TR"/>
              </w:rPr>
            </w:pPr>
          </w:p>
        </w:tc>
        <w:tc>
          <w:tcPr>
            <w:tcW w:w="1778" w:type="dxa"/>
            <w:vMerge/>
            <w:tcBorders>
              <w:top w:val="nil"/>
              <w:left w:val="single" w:sz="4" w:space="0" w:color="auto"/>
              <w:bottom w:val="single" w:sz="4" w:space="0" w:color="auto"/>
              <w:right w:val="single" w:sz="4" w:space="0" w:color="auto"/>
            </w:tcBorders>
            <w:vAlign w:val="center"/>
            <w:hideMark/>
          </w:tcPr>
          <w:p w14:paraId="4B7798F5" w14:textId="77777777" w:rsidR="00BF48C0" w:rsidRPr="00BF48C0" w:rsidRDefault="00BF48C0" w:rsidP="00BF48C0">
            <w:pPr>
              <w:rPr>
                <w:color w:val="000000"/>
                <w:sz w:val="14"/>
                <w:szCs w:val="14"/>
                <w:lang w:eastAsia="tr-TR"/>
              </w:rPr>
            </w:pPr>
          </w:p>
        </w:tc>
        <w:tc>
          <w:tcPr>
            <w:tcW w:w="2077" w:type="dxa"/>
            <w:gridSpan w:val="2"/>
            <w:vMerge/>
            <w:tcBorders>
              <w:top w:val="single" w:sz="4" w:space="0" w:color="auto"/>
              <w:left w:val="single" w:sz="4" w:space="0" w:color="auto"/>
              <w:bottom w:val="single" w:sz="4" w:space="0" w:color="auto"/>
              <w:right w:val="single" w:sz="4" w:space="0" w:color="auto"/>
            </w:tcBorders>
            <w:vAlign w:val="center"/>
            <w:hideMark/>
          </w:tcPr>
          <w:p w14:paraId="4633C2EC" w14:textId="77777777" w:rsidR="00BF48C0" w:rsidRPr="00BF48C0" w:rsidRDefault="00BF48C0" w:rsidP="00BF48C0">
            <w:pPr>
              <w:rPr>
                <w:color w:val="000000"/>
                <w:sz w:val="14"/>
                <w:szCs w:val="14"/>
                <w:lang w:eastAsia="tr-TR"/>
              </w:rPr>
            </w:pPr>
          </w:p>
        </w:tc>
        <w:tc>
          <w:tcPr>
            <w:tcW w:w="1769" w:type="dxa"/>
            <w:vMerge/>
            <w:tcBorders>
              <w:top w:val="nil"/>
              <w:left w:val="single" w:sz="4" w:space="0" w:color="auto"/>
              <w:bottom w:val="single" w:sz="4" w:space="0" w:color="auto"/>
              <w:right w:val="single" w:sz="4" w:space="0" w:color="auto"/>
            </w:tcBorders>
            <w:vAlign w:val="center"/>
            <w:hideMark/>
          </w:tcPr>
          <w:p w14:paraId="4AC9C25B" w14:textId="77777777" w:rsidR="00BF48C0" w:rsidRPr="00BF48C0" w:rsidRDefault="00BF48C0" w:rsidP="00BF48C0">
            <w:pPr>
              <w:rPr>
                <w:color w:val="000000"/>
                <w:sz w:val="14"/>
                <w:szCs w:val="14"/>
                <w:lang w:eastAsia="tr-TR"/>
              </w:rPr>
            </w:pPr>
          </w:p>
        </w:tc>
      </w:tr>
      <w:tr w:rsidR="00BF48C0" w:rsidRPr="00BF48C0" w14:paraId="3FF1E289" w14:textId="77777777" w:rsidTr="00311DAB">
        <w:trPr>
          <w:divId w:val="951285731"/>
          <w:trHeight w:val="230"/>
        </w:trPr>
        <w:tc>
          <w:tcPr>
            <w:tcW w:w="1413" w:type="dxa"/>
            <w:vMerge/>
            <w:tcBorders>
              <w:top w:val="nil"/>
              <w:left w:val="single" w:sz="4" w:space="0" w:color="auto"/>
              <w:bottom w:val="single" w:sz="4" w:space="0" w:color="auto"/>
              <w:right w:val="single" w:sz="4" w:space="0" w:color="auto"/>
            </w:tcBorders>
            <w:vAlign w:val="center"/>
            <w:hideMark/>
          </w:tcPr>
          <w:p w14:paraId="4F9427CD" w14:textId="77777777" w:rsidR="00BF48C0" w:rsidRPr="00BF48C0" w:rsidRDefault="00BF48C0" w:rsidP="00BF48C0">
            <w:pPr>
              <w:rPr>
                <w:color w:val="000000"/>
                <w:sz w:val="14"/>
                <w:szCs w:val="14"/>
                <w:lang w:eastAsia="tr-TR"/>
              </w:rPr>
            </w:pPr>
          </w:p>
        </w:tc>
        <w:tc>
          <w:tcPr>
            <w:tcW w:w="2445" w:type="dxa"/>
            <w:vMerge/>
            <w:tcBorders>
              <w:top w:val="nil"/>
              <w:left w:val="single" w:sz="4" w:space="0" w:color="auto"/>
              <w:bottom w:val="single" w:sz="4" w:space="0" w:color="auto"/>
              <w:right w:val="single" w:sz="4" w:space="0" w:color="auto"/>
            </w:tcBorders>
            <w:vAlign w:val="center"/>
            <w:hideMark/>
          </w:tcPr>
          <w:p w14:paraId="01C7B8E5" w14:textId="77777777" w:rsidR="00BF48C0" w:rsidRPr="00BF48C0" w:rsidRDefault="00BF48C0" w:rsidP="00BF48C0">
            <w:pPr>
              <w:rPr>
                <w:color w:val="000000"/>
                <w:sz w:val="14"/>
                <w:szCs w:val="14"/>
                <w:lang w:eastAsia="tr-TR"/>
              </w:rPr>
            </w:pPr>
          </w:p>
        </w:tc>
        <w:tc>
          <w:tcPr>
            <w:tcW w:w="1778" w:type="dxa"/>
            <w:vMerge/>
            <w:tcBorders>
              <w:top w:val="nil"/>
              <w:left w:val="single" w:sz="4" w:space="0" w:color="auto"/>
              <w:bottom w:val="single" w:sz="4" w:space="0" w:color="auto"/>
              <w:right w:val="single" w:sz="4" w:space="0" w:color="auto"/>
            </w:tcBorders>
            <w:vAlign w:val="center"/>
            <w:hideMark/>
          </w:tcPr>
          <w:p w14:paraId="660CDF5D" w14:textId="77777777" w:rsidR="00BF48C0" w:rsidRPr="00BF48C0" w:rsidRDefault="00BF48C0" w:rsidP="00BF48C0">
            <w:pPr>
              <w:rPr>
                <w:color w:val="000000"/>
                <w:sz w:val="14"/>
                <w:szCs w:val="14"/>
                <w:lang w:eastAsia="tr-TR"/>
              </w:rPr>
            </w:pPr>
          </w:p>
        </w:tc>
        <w:tc>
          <w:tcPr>
            <w:tcW w:w="2077" w:type="dxa"/>
            <w:gridSpan w:val="2"/>
            <w:vMerge/>
            <w:tcBorders>
              <w:top w:val="single" w:sz="4" w:space="0" w:color="auto"/>
              <w:left w:val="single" w:sz="4" w:space="0" w:color="auto"/>
              <w:bottom w:val="single" w:sz="4" w:space="0" w:color="auto"/>
              <w:right w:val="single" w:sz="4" w:space="0" w:color="auto"/>
            </w:tcBorders>
            <w:vAlign w:val="center"/>
            <w:hideMark/>
          </w:tcPr>
          <w:p w14:paraId="16E1D924" w14:textId="77777777" w:rsidR="00BF48C0" w:rsidRPr="00BF48C0" w:rsidRDefault="00BF48C0" w:rsidP="00BF48C0">
            <w:pPr>
              <w:rPr>
                <w:color w:val="000000"/>
                <w:sz w:val="14"/>
                <w:szCs w:val="14"/>
                <w:lang w:eastAsia="tr-TR"/>
              </w:rPr>
            </w:pPr>
          </w:p>
        </w:tc>
        <w:tc>
          <w:tcPr>
            <w:tcW w:w="1769" w:type="dxa"/>
            <w:vMerge/>
            <w:tcBorders>
              <w:top w:val="nil"/>
              <w:left w:val="single" w:sz="4" w:space="0" w:color="auto"/>
              <w:bottom w:val="single" w:sz="4" w:space="0" w:color="auto"/>
              <w:right w:val="single" w:sz="4" w:space="0" w:color="auto"/>
            </w:tcBorders>
            <w:vAlign w:val="center"/>
            <w:hideMark/>
          </w:tcPr>
          <w:p w14:paraId="71540933" w14:textId="77777777" w:rsidR="00BF48C0" w:rsidRPr="00BF48C0" w:rsidRDefault="00BF48C0" w:rsidP="00BF48C0">
            <w:pPr>
              <w:rPr>
                <w:color w:val="000000"/>
                <w:sz w:val="14"/>
                <w:szCs w:val="14"/>
                <w:lang w:eastAsia="tr-TR"/>
              </w:rPr>
            </w:pPr>
          </w:p>
        </w:tc>
      </w:tr>
      <w:tr w:rsidR="00BF48C0" w:rsidRPr="00BF48C0" w14:paraId="659CF66E" w14:textId="77777777" w:rsidTr="00BF48C0">
        <w:trPr>
          <w:divId w:val="951285731"/>
          <w:trHeight w:val="226"/>
        </w:trPr>
        <w:tc>
          <w:tcPr>
            <w:tcW w:w="1413" w:type="dxa"/>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14:paraId="3D8C8919" w14:textId="77777777" w:rsidR="00BF48C0" w:rsidRPr="00BF48C0" w:rsidRDefault="00BF48C0" w:rsidP="00BF48C0">
            <w:pPr>
              <w:jc w:val="center"/>
              <w:rPr>
                <w:color w:val="000000"/>
                <w:sz w:val="14"/>
                <w:szCs w:val="14"/>
                <w:lang w:eastAsia="tr-TR"/>
              </w:rPr>
            </w:pPr>
            <w:r w:rsidRPr="00BF48C0">
              <w:rPr>
                <w:color w:val="000000"/>
                <w:sz w:val="14"/>
                <w:szCs w:val="14"/>
                <w:lang w:eastAsia="tr-TR"/>
              </w:rPr>
              <w:t> </w:t>
            </w:r>
          </w:p>
        </w:tc>
        <w:tc>
          <w:tcPr>
            <w:tcW w:w="2445" w:type="dxa"/>
            <w:tcBorders>
              <w:top w:val="nil"/>
              <w:left w:val="nil"/>
              <w:bottom w:val="single" w:sz="4" w:space="0" w:color="auto"/>
              <w:right w:val="single" w:sz="4" w:space="0" w:color="auto"/>
            </w:tcBorders>
            <w:shd w:val="clear" w:color="auto" w:fill="D0CECE" w:themeFill="background2" w:themeFillShade="E6"/>
            <w:noWrap/>
            <w:vAlign w:val="center"/>
            <w:hideMark/>
          </w:tcPr>
          <w:p w14:paraId="53744A10" w14:textId="77777777" w:rsidR="00BF48C0" w:rsidRPr="00BF48C0" w:rsidRDefault="00BF48C0" w:rsidP="00BF48C0">
            <w:pPr>
              <w:jc w:val="center"/>
              <w:rPr>
                <w:color w:val="000000"/>
                <w:sz w:val="14"/>
                <w:szCs w:val="14"/>
                <w:lang w:eastAsia="tr-TR"/>
              </w:rPr>
            </w:pPr>
            <w:r w:rsidRPr="00BF48C0">
              <w:rPr>
                <w:color w:val="000000"/>
                <w:sz w:val="14"/>
                <w:szCs w:val="14"/>
                <w:lang w:eastAsia="tr-TR"/>
              </w:rPr>
              <w:t> </w:t>
            </w:r>
          </w:p>
        </w:tc>
        <w:tc>
          <w:tcPr>
            <w:tcW w:w="1778" w:type="dxa"/>
            <w:tcBorders>
              <w:top w:val="nil"/>
              <w:left w:val="nil"/>
              <w:bottom w:val="single" w:sz="4" w:space="0" w:color="auto"/>
              <w:right w:val="single" w:sz="4" w:space="0" w:color="auto"/>
            </w:tcBorders>
            <w:shd w:val="clear" w:color="auto" w:fill="D0CECE" w:themeFill="background2" w:themeFillShade="E6"/>
            <w:noWrap/>
            <w:vAlign w:val="center"/>
            <w:hideMark/>
          </w:tcPr>
          <w:p w14:paraId="2F4A3AAE" w14:textId="77777777" w:rsidR="00BF48C0" w:rsidRPr="00BF48C0" w:rsidRDefault="00BF48C0" w:rsidP="00BF48C0">
            <w:pPr>
              <w:jc w:val="center"/>
              <w:rPr>
                <w:color w:val="000000"/>
                <w:sz w:val="14"/>
                <w:szCs w:val="14"/>
                <w:lang w:eastAsia="tr-TR"/>
              </w:rPr>
            </w:pPr>
            <w:r w:rsidRPr="00BF48C0">
              <w:rPr>
                <w:color w:val="000000"/>
                <w:sz w:val="14"/>
                <w:szCs w:val="14"/>
                <w:lang w:eastAsia="tr-TR"/>
              </w:rPr>
              <w:t> </w:t>
            </w:r>
          </w:p>
        </w:tc>
        <w:tc>
          <w:tcPr>
            <w:tcW w:w="760" w:type="dxa"/>
            <w:tcBorders>
              <w:top w:val="nil"/>
              <w:left w:val="nil"/>
              <w:bottom w:val="single" w:sz="4" w:space="0" w:color="auto"/>
              <w:right w:val="single" w:sz="4" w:space="0" w:color="auto"/>
            </w:tcBorders>
            <w:shd w:val="clear" w:color="auto" w:fill="auto"/>
            <w:noWrap/>
            <w:vAlign w:val="center"/>
            <w:hideMark/>
          </w:tcPr>
          <w:p w14:paraId="4DB9EA25" w14:textId="77777777" w:rsidR="00BF48C0" w:rsidRPr="00BF48C0" w:rsidRDefault="00BF48C0" w:rsidP="00BF48C0">
            <w:pPr>
              <w:jc w:val="center"/>
              <w:rPr>
                <w:color w:val="000000"/>
                <w:sz w:val="14"/>
                <w:szCs w:val="14"/>
                <w:lang w:eastAsia="tr-TR"/>
              </w:rPr>
            </w:pPr>
            <w:r w:rsidRPr="00BF48C0">
              <w:rPr>
                <w:color w:val="000000"/>
                <w:sz w:val="14"/>
                <w:szCs w:val="14"/>
                <w:lang w:eastAsia="tr-TR"/>
              </w:rPr>
              <w:t xml:space="preserve"> Aktif </w:t>
            </w:r>
          </w:p>
        </w:tc>
        <w:tc>
          <w:tcPr>
            <w:tcW w:w="1317" w:type="dxa"/>
            <w:tcBorders>
              <w:top w:val="nil"/>
              <w:left w:val="nil"/>
              <w:bottom w:val="single" w:sz="4" w:space="0" w:color="auto"/>
              <w:right w:val="single" w:sz="4" w:space="0" w:color="auto"/>
            </w:tcBorders>
            <w:shd w:val="clear" w:color="auto" w:fill="auto"/>
            <w:noWrap/>
            <w:vAlign w:val="center"/>
            <w:hideMark/>
          </w:tcPr>
          <w:p w14:paraId="70586B79" w14:textId="77777777" w:rsidR="00BF48C0" w:rsidRPr="00BF48C0" w:rsidRDefault="00BF48C0" w:rsidP="00BF48C0">
            <w:pPr>
              <w:jc w:val="center"/>
              <w:rPr>
                <w:color w:val="000000"/>
                <w:sz w:val="14"/>
                <w:szCs w:val="14"/>
                <w:lang w:eastAsia="tr-TR"/>
              </w:rPr>
            </w:pPr>
            <w:r w:rsidRPr="00BF48C0">
              <w:rPr>
                <w:color w:val="000000"/>
                <w:sz w:val="14"/>
                <w:szCs w:val="14"/>
                <w:lang w:eastAsia="tr-TR"/>
              </w:rPr>
              <w:t>Pasif</w:t>
            </w:r>
          </w:p>
        </w:tc>
        <w:tc>
          <w:tcPr>
            <w:tcW w:w="1769" w:type="dxa"/>
            <w:tcBorders>
              <w:top w:val="nil"/>
              <w:left w:val="nil"/>
              <w:bottom w:val="single" w:sz="4" w:space="0" w:color="auto"/>
              <w:right w:val="single" w:sz="4" w:space="0" w:color="auto"/>
            </w:tcBorders>
            <w:shd w:val="clear" w:color="auto" w:fill="D0CECE" w:themeFill="background2" w:themeFillShade="E6"/>
            <w:noWrap/>
            <w:vAlign w:val="center"/>
            <w:hideMark/>
          </w:tcPr>
          <w:p w14:paraId="0B1FFF97" w14:textId="77777777" w:rsidR="00BF48C0" w:rsidRPr="00BF48C0" w:rsidRDefault="00BF48C0" w:rsidP="00BF48C0">
            <w:pPr>
              <w:jc w:val="center"/>
              <w:rPr>
                <w:color w:val="000000"/>
                <w:sz w:val="14"/>
                <w:szCs w:val="14"/>
                <w:lang w:eastAsia="tr-TR"/>
              </w:rPr>
            </w:pPr>
            <w:r w:rsidRPr="00BF48C0">
              <w:rPr>
                <w:color w:val="000000"/>
                <w:sz w:val="14"/>
                <w:szCs w:val="14"/>
                <w:lang w:eastAsia="tr-TR"/>
              </w:rPr>
              <w:t> </w:t>
            </w:r>
          </w:p>
        </w:tc>
      </w:tr>
      <w:tr w:rsidR="00BF48C0" w:rsidRPr="00BF48C0" w14:paraId="62ED570B" w14:textId="77777777" w:rsidTr="00BF48C0">
        <w:trPr>
          <w:divId w:val="951285731"/>
          <w:trHeight w:val="230"/>
        </w:trPr>
        <w:tc>
          <w:tcPr>
            <w:tcW w:w="1413" w:type="dxa"/>
            <w:vMerge w:val="restart"/>
            <w:tcBorders>
              <w:top w:val="nil"/>
              <w:left w:val="single" w:sz="4" w:space="0" w:color="auto"/>
              <w:bottom w:val="single" w:sz="4" w:space="0" w:color="auto"/>
              <w:right w:val="single" w:sz="4" w:space="0" w:color="auto"/>
            </w:tcBorders>
            <w:shd w:val="clear" w:color="auto" w:fill="auto"/>
            <w:vAlign w:val="center"/>
            <w:hideMark/>
          </w:tcPr>
          <w:p w14:paraId="51A6CB1A" w14:textId="77777777" w:rsidR="00BF48C0" w:rsidRPr="00BF48C0" w:rsidRDefault="00BF48C0" w:rsidP="00BF48C0">
            <w:pPr>
              <w:rPr>
                <w:color w:val="000000"/>
                <w:sz w:val="14"/>
                <w:szCs w:val="14"/>
                <w:lang w:eastAsia="tr-TR"/>
              </w:rPr>
            </w:pPr>
            <w:r w:rsidRPr="00BF48C0">
              <w:rPr>
                <w:color w:val="000000"/>
                <w:sz w:val="14"/>
                <w:szCs w:val="14"/>
                <w:lang w:eastAsia="tr-TR"/>
              </w:rPr>
              <w:t xml:space="preserve"> Swap para işlemi</w:t>
            </w:r>
          </w:p>
        </w:tc>
        <w:tc>
          <w:tcPr>
            <w:tcW w:w="2445" w:type="dxa"/>
            <w:vMerge w:val="restart"/>
            <w:tcBorders>
              <w:top w:val="nil"/>
              <w:left w:val="single" w:sz="4" w:space="0" w:color="auto"/>
              <w:bottom w:val="single" w:sz="4" w:space="0" w:color="auto"/>
              <w:right w:val="single" w:sz="4" w:space="0" w:color="auto"/>
            </w:tcBorders>
            <w:shd w:val="clear" w:color="auto" w:fill="auto"/>
            <w:vAlign w:val="center"/>
            <w:hideMark/>
          </w:tcPr>
          <w:p w14:paraId="06CA88EE" w14:textId="77777777" w:rsidR="00BF48C0" w:rsidRPr="00BF48C0" w:rsidRDefault="00BF48C0" w:rsidP="00BF48C0">
            <w:pPr>
              <w:rPr>
                <w:color w:val="000000"/>
                <w:sz w:val="14"/>
                <w:szCs w:val="14"/>
                <w:lang w:eastAsia="tr-TR"/>
              </w:rPr>
            </w:pPr>
            <w:r w:rsidRPr="00BF48C0">
              <w:rPr>
                <w:color w:val="000000"/>
                <w:sz w:val="14"/>
                <w:szCs w:val="14"/>
                <w:lang w:eastAsia="tr-TR"/>
              </w:rPr>
              <w:t xml:space="preserve">Alınan krediler ve </w:t>
            </w:r>
            <w:proofErr w:type="gramStart"/>
            <w:r w:rsidRPr="00BF48C0">
              <w:rPr>
                <w:color w:val="000000"/>
                <w:sz w:val="14"/>
                <w:szCs w:val="14"/>
                <w:lang w:eastAsia="tr-TR"/>
              </w:rPr>
              <w:t>kar</w:t>
            </w:r>
            <w:proofErr w:type="gramEnd"/>
            <w:r w:rsidRPr="00BF48C0">
              <w:rPr>
                <w:color w:val="000000"/>
                <w:sz w:val="14"/>
                <w:szCs w:val="14"/>
                <w:lang w:eastAsia="tr-TR"/>
              </w:rPr>
              <w:t xml:space="preserve"> payı getirili varlıklar</w:t>
            </w:r>
          </w:p>
        </w:tc>
        <w:tc>
          <w:tcPr>
            <w:tcW w:w="1778" w:type="dxa"/>
            <w:vMerge w:val="restart"/>
            <w:tcBorders>
              <w:top w:val="nil"/>
              <w:left w:val="single" w:sz="4" w:space="0" w:color="auto"/>
              <w:bottom w:val="single" w:sz="4" w:space="0" w:color="auto"/>
              <w:right w:val="single" w:sz="4" w:space="0" w:color="auto"/>
            </w:tcBorders>
            <w:shd w:val="clear" w:color="auto" w:fill="auto"/>
            <w:vAlign w:val="center"/>
            <w:hideMark/>
          </w:tcPr>
          <w:p w14:paraId="22F3B5D4" w14:textId="77777777" w:rsidR="00BF48C0" w:rsidRPr="00BF48C0" w:rsidRDefault="00BF48C0" w:rsidP="00BF48C0">
            <w:pPr>
              <w:rPr>
                <w:color w:val="000000"/>
                <w:sz w:val="14"/>
                <w:szCs w:val="14"/>
                <w:lang w:eastAsia="tr-TR"/>
              </w:rPr>
            </w:pPr>
            <w:r w:rsidRPr="00BF48C0">
              <w:rPr>
                <w:color w:val="000000"/>
                <w:sz w:val="14"/>
                <w:szCs w:val="14"/>
                <w:lang w:eastAsia="tr-TR"/>
              </w:rPr>
              <w:t>Döviz kurundaki değişimlerin nakit akış riski</w:t>
            </w:r>
          </w:p>
        </w:tc>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9355A9" w14:textId="77777777" w:rsidR="00BF48C0" w:rsidRPr="00BF48C0" w:rsidRDefault="00BF48C0" w:rsidP="00BF48C0">
            <w:pPr>
              <w:jc w:val="center"/>
              <w:rPr>
                <w:color w:val="000000"/>
                <w:sz w:val="14"/>
                <w:szCs w:val="14"/>
                <w:lang w:eastAsia="tr-TR"/>
              </w:rPr>
            </w:pPr>
            <w:r w:rsidRPr="00BF48C0">
              <w:rPr>
                <w:color w:val="000000"/>
                <w:sz w:val="14"/>
                <w:szCs w:val="14"/>
                <w:lang w:eastAsia="tr-TR"/>
              </w:rPr>
              <w:t>-</w:t>
            </w:r>
          </w:p>
        </w:tc>
        <w:tc>
          <w:tcPr>
            <w:tcW w:w="1317" w:type="dxa"/>
            <w:vMerge w:val="restart"/>
            <w:tcBorders>
              <w:top w:val="nil"/>
              <w:left w:val="single" w:sz="4" w:space="0" w:color="auto"/>
              <w:bottom w:val="single" w:sz="4" w:space="0" w:color="auto"/>
              <w:right w:val="single" w:sz="4" w:space="0" w:color="auto"/>
            </w:tcBorders>
            <w:shd w:val="clear" w:color="auto" w:fill="auto"/>
            <w:vAlign w:val="center"/>
            <w:hideMark/>
          </w:tcPr>
          <w:p w14:paraId="014A37D3" w14:textId="77777777" w:rsidR="00BF48C0" w:rsidRPr="00BF48C0" w:rsidRDefault="00BF48C0" w:rsidP="00BF48C0">
            <w:pPr>
              <w:jc w:val="right"/>
              <w:rPr>
                <w:color w:val="000000"/>
                <w:sz w:val="14"/>
                <w:szCs w:val="14"/>
                <w:lang w:eastAsia="tr-TR"/>
              </w:rPr>
            </w:pPr>
            <w:r w:rsidRPr="00BF48C0">
              <w:rPr>
                <w:color w:val="000000"/>
                <w:sz w:val="14"/>
                <w:szCs w:val="14"/>
                <w:lang w:eastAsia="tr-TR"/>
              </w:rPr>
              <w:t xml:space="preserve">                           - </w:t>
            </w:r>
          </w:p>
        </w:tc>
        <w:tc>
          <w:tcPr>
            <w:tcW w:w="1769" w:type="dxa"/>
            <w:vMerge w:val="restart"/>
            <w:tcBorders>
              <w:top w:val="nil"/>
              <w:left w:val="single" w:sz="4" w:space="0" w:color="auto"/>
              <w:bottom w:val="single" w:sz="4" w:space="0" w:color="auto"/>
              <w:right w:val="single" w:sz="4" w:space="0" w:color="auto"/>
            </w:tcBorders>
            <w:shd w:val="clear" w:color="auto" w:fill="auto"/>
            <w:vAlign w:val="center"/>
            <w:hideMark/>
          </w:tcPr>
          <w:p w14:paraId="174C3DD8" w14:textId="77777777" w:rsidR="00BF48C0" w:rsidRPr="00BF48C0" w:rsidRDefault="00BF48C0" w:rsidP="00BF48C0">
            <w:pPr>
              <w:jc w:val="right"/>
              <w:rPr>
                <w:color w:val="000000"/>
                <w:sz w:val="14"/>
                <w:szCs w:val="14"/>
                <w:lang w:eastAsia="tr-TR"/>
              </w:rPr>
            </w:pPr>
            <w:r w:rsidRPr="00BF48C0">
              <w:rPr>
                <w:color w:val="000000"/>
                <w:sz w:val="14"/>
                <w:szCs w:val="14"/>
                <w:lang w:eastAsia="tr-TR"/>
              </w:rPr>
              <w:t>-</w:t>
            </w:r>
          </w:p>
        </w:tc>
      </w:tr>
      <w:tr w:rsidR="00BF48C0" w:rsidRPr="00BF48C0" w14:paraId="293E2C84" w14:textId="77777777" w:rsidTr="00BF48C0">
        <w:trPr>
          <w:divId w:val="951285731"/>
          <w:trHeight w:val="230"/>
        </w:trPr>
        <w:tc>
          <w:tcPr>
            <w:tcW w:w="1413" w:type="dxa"/>
            <w:vMerge/>
            <w:tcBorders>
              <w:top w:val="nil"/>
              <w:left w:val="single" w:sz="4" w:space="0" w:color="auto"/>
              <w:bottom w:val="single" w:sz="4" w:space="0" w:color="auto"/>
              <w:right w:val="single" w:sz="4" w:space="0" w:color="auto"/>
            </w:tcBorders>
            <w:vAlign w:val="center"/>
            <w:hideMark/>
          </w:tcPr>
          <w:p w14:paraId="46312297" w14:textId="77777777" w:rsidR="00BF48C0" w:rsidRPr="00BF48C0" w:rsidRDefault="00BF48C0" w:rsidP="00BF48C0">
            <w:pPr>
              <w:rPr>
                <w:color w:val="000000"/>
                <w:sz w:val="14"/>
                <w:szCs w:val="14"/>
                <w:lang w:eastAsia="tr-TR"/>
              </w:rPr>
            </w:pPr>
          </w:p>
        </w:tc>
        <w:tc>
          <w:tcPr>
            <w:tcW w:w="2445" w:type="dxa"/>
            <w:vMerge/>
            <w:tcBorders>
              <w:top w:val="nil"/>
              <w:left w:val="single" w:sz="4" w:space="0" w:color="auto"/>
              <w:bottom w:val="single" w:sz="4" w:space="0" w:color="auto"/>
              <w:right w:val="single" w:sz="4" w:space="0" w:color="auto"/>
            </w:tcBorders>
            <w:vAlign w:val="center"/>
            <w:hideMark/>
          </w:tcPr>
          <w:p w14:paraId="6608D810" w14:textId="77777777" w:rsidR="00BF48C0" w:rsidRPr="00BF48C0" w:rsidRDefault="00BF48C0" w:rsidP="00BF48C0">
            <w:pPr>
              <w:rPr>
                <w:color w:val="000000"/>
                <w:sz w:val="14"/>
                <w:szCs w:val="14"/>
                <w:lang w:eastAsia="tr-TR"/>
              </w:rPr>
            </w:pPr>
          </w:p>
        </w:tc>
        <w:tc>
          <w:tcPr>
            <w:tcW w:w="1778" w:type="dxa"/>
            <w:vMerge/>
            <w:tcBorders>
              <w:top w:val="nil"/>
              <w:left w:val="single" w:sz="4" w:space="0" w:color="auto"/>
              <w:bottom w:val="single" w:sz="4" w:space="0" w:color="auto"/>
              <w:right w:val="single" w:sz="4" w:space="0" w:color="auto"/>
            </w:tcBorders>
            <w:vAlign w:val="center"/>
            <w:hideMark/>
          </w:tcPr>
          <w:p w14:paraId="7C55DC83" w14:textId="77777777" w:rsidR="00BF48C0" w:rsidRPr="00BF48C0" w:rsidRDefault="00BF48C0" w:rsidP="00BF48C0">
            <w:pPr>
              <w:rPr>
                <w:color w:val="000000"/>
                <w:sz w:val="14"/>
                <w:szCs w:val="14"/>
                <w:lang w:eastAsia="tr-TR"/>
              </w:rPr>
            </w:pPr>
          </w:p>
        </w:tc>
        <w:tc>
          <w:tcPr>
            <w:tcW w:w="760" w:type="dxa"/>
            <w:vMerge/>
            <w:tcBorders>
              <w:top w:val="nil"/>
              <w:left w:val="single" w:sz="4" w:space="0" w:color="auto"/>
              <w:bottom w:val="single" w:sz="4" w:space="0" w:color="auto"/>
              <w:right w:val="single" w:sz="4" w:space="0" w:color="auto"/>
            </w:tcBorders>
            <w:vAlign w:val="center"/>
            <w:hideMark/>
          </w:tcPr>
          <w:p w14:paraId="04F993B7" w14:textId="77777777" w:rsidR="00BF48C0" w:rsidRPr="00BF48C0" w:rsidRDefault="00BF48C0" w:rsidP="00BF48C0">
            <w:pPr>
              <w:rPr>
                <w:color w:val="000000"/>
                <w:sz w:val="14"/>
                <w:szCs w:val="14"/>
                <w:lang w:eastAsia="tr-TR"/>
              </w:rPr>
            </w:pPr>
          </w:p>
        </w:tc>
        <w:tc>
          <w:tcPr>
            <w:tcW w:w="1317" w:type="dxa"/>
            <w:vMerge/>
            <w:tcBorders>
              <w:top w:val="nil"/>
              <w:left w:val="single" w:sz="4" w:space="0" w:color="auto"/>
              <w:bottom w:val="single" w:sz="4" w:space="0" w:color="auto"/>
              <w:right w:val="single" w:sz="4" w:space="0" w:color="auto"/>
            </w:tcBorders>
            <w:vAlign w:val="center"/>
            <w:hideMark/>
          </w:tcPr>
          <w:p w14:paraId="75A48C59" w14:textId="77777777" w:rsidR="00BF48C0" w:rsidRPr="00BF48C0" w:rsidRDefault="00BF48C0" w:rsidP="00BF48C0">
            <w:pPr>
              <w:rPr>
                <w:color w:val="000000"/>
                <w:sz w:val="14"/>
                <w:szCs w:val="14"/>
                <w:lang w:eastAsia="tr-TR"/>
              </w:rPr>
            </w:pPr>
          </w:p>
        </w:tc>
        <w:tc>
          <w:tcPr>
            <w:tcW w:w="1769" w:type="dxa"/>
            <w:vMerge/>
            <w:tcBorders>
              <w:top w:val="nil"/>
              <w:left w:val="single" w:sz="4" w:space="0" w:color="auto"/>
              <w:bottom w:val="single" w:sz="4" w:space="0" w:color="auto"/>
              <w:right w:val="single" w:sz="4" w:space="0" w:color="auto"/>
            </w:tcBorders>
            <w:vAlign w:val="center"/>
            <w:hideMark/>
          </w:tcPr>
          <w:p w14:paraId="44A92D5D" w14:textId="77777777" w:rsidR="00BF48C0" w:rsidRPr="00BF48C0" w:rsidRDefault="00BF48C0" w:rsidP="00BF48C0">
            <w:pPr>
              <w:rPr>
                <w:color w:val="000000"/>
                <w:sz w:val="14"/>
                <w:szCs w:val="14"/>
                <w:lang w:eastAsia="tr-TR"/>
              </w:rPr>
            </w:pPr>
          </w:p>
        </w:tc>
      </w:tr>
      <w:tr w:rsidR="00BF48C0" w:rsidRPr="00BF48C0" w14:paraId="7B13F845" w14:textId="77777777" w:rsidTr="00BF48C0">
        <w:trPr>
          <w:divId w:val="951285731"/>
          <w:trHeight w:val="230"/>
        </w:trPr>
        <w:tc>
          <w:tcPr>
            <w:tcW w:w="1413" w:type="dxa"/>
            <w:vMerge/>
            <w:tcBorders>
              <w:top w:val="nil"/>
              <w:left w:val="single" w:sz="4" w:space="0" w:color="auto"/>
              <w:bottom w:val="single" w:sz="4" w:space="0" w:color="auto"/>
              <w:right w:val="single" w:sz="4" w:space="0" w:color="auto"/>
            </w:tcBorders>
            <w:vAlign w:val="center"/>
            <w:hideMark/>
          </w:tcPr>
          <w:p w14:paraId="513E94BA" w14:textId="77777777" w:rsidR="00BF48C0" w:rsidRPr="00BF48C0" w:rsidRDefault="00BF48C0" w:rsidP="00BF48C0">
            <w:pPr>
              <w:rPr>
                <w:color w:val="000000"/>
                <w:sz w:val="14"/>
                <w:szCs w:val="14"/>
                <w:lang w:eastAsia="tr-TR"/>
              </w:rPr>
            </w:pPr>
          </w:p>
        </w:tc>
        <w:tc>
          <w:tcPr>
            <w:tcW w:w="2445" w:type="dxa"/>
            <w:vMerge/>
            <w:tcBorders>
              <w:top w:val="nil"/>
              <w:left w:val="single" w:sz="4" w:space="0" w:color="auto"/>
              <w:bottom w:val="single" w:sz="4" w:space="0" w:color="auto"/>
              <w:right w:val="single" w:sz="4" w:space="0" w:color="auto"/>
            </w:tcBorders>
            <w:vAlign w:val="center"/>
            <w:hideMark/>
          </w:tcPr>
          <w:p w14:paraId="68DC7610" w14:textId="77777777" w:rsidR="00BF48C0" w:rsidRPr="00BF48C0" w:rsidRDefault="00BF48C0" w:rsidP="00BF48C0">
            <w:pPr>
              <w:rPr>
                <w:color w:val="000000"/>
                <w:sz w:val="14"/>
                <w:szCs w:val="14"/>
                <w:lang w:eastAsia="tr-TR"/>
              </w:rPr>
            </w:pPr>
          </w:p>
        </w:tc>
        <w:tc>
          <w:tcPr>
            <w:tcW w:w="1778" w:type="dxa"/>
            <w:vMerge/>
            <w:tcBorders>
              <w:top w:val="nil"/>
              <w:left w:val="single" w:sz="4" w:space="0" w:color="auto"/>
              <w:bottom w:val="single" w:sz="4" w:space="0" w:color="auto"/>
              <w:right w:val="single" w:sz="4" w:space="0" w:color="auto"/>
            </w:tcBorders>
            <w:vAlign w:val="center"/>
            <w:hideMark/>
          </w:tcPr>
          <w:p w14:paraId="6CAA437D" w14:textId="77777777" w:rsidR="00BF48C0" w:rsidRPr="00BF48C0" w:rsidRDefault="00BF48C0" w:rsidP="00BF48C0">
            <w:pPr>
              <w:rPr>
                <w:color w:val="000000"/>
                <w:sz w:val="14"/>
                <w:szCs w:val="14"/>
                <w:lang w:eastAsia="tr-TR"/>
              </w:rPr>
            </w:pPr>
          </w:p>
        </w:tc>
        <w:tc>
          <w:tcPr>
            <w:tcW w:w="760" w:type="dxa"/>
            <w:vMerge/>
            <w:tcBorders>
              <w:top w:val="nil"/>
              <w:left w:val="single" w:sz="4" w:space="0" w:color="auto"/>
              <w:bottom w:val="single" w:sz="4" w:space="0" w:color="auto"/>
              <w:right w:val="single" w:sz="4" w:space="0" w:color="auto"/>
            </w:tcBorders>
            <w:vAlign w:val="center"/>
            <w:hideMark/>
          </w:tcPr>
          <w:p w14:paraId="5AEC0007" w14:textId="77777777" w:rsidR="00BF48C0" w:rsidRPr="00BF48C0" w:rsidRDefault="00BF48C0" w:rsidP="00BF48C0">
            <w:pPr>
              <w:rPr>
                <w:color w:val="000000"/>
                <w:sz w:val="14"/>
                <w:szCs w:val="14"/>
                <w:lang w:eastAsia="tr-TR"/>
              </w:rPr>
            </w:pPr>
          </w:p>
        </w:tc>
        <w:tc>
          <w:tcPr>
            <w:tcW w:w="1317" w:type="dxa"/>
            <w:vMerge/>
            <w:tcBorders>
              <w:top w:val="nil"/>
              <w:left w:val="single" w:sz="4" w:space="0" w:color="auto"/>
              <w:bottom w:val="single" w:sz="4" w:space="0" w:color="auto"/>
              <w:right w:val="single" w:sz="4" w:space="0" w:color="auto"/>
            </w:tcBorders>
            <w:vAlign w:val="center"/>
            <w:hideMark/>
          </w:tcPr>
          <w:p w14:paraId="2ACA02DB" w14:textId="77777777" w:rsidR="00BF48C0" w:rsidRPr="00BF48C0" w:rsidRDefault="00BF48C0" w:rsidP="00BF48C0">
            <w:pPr>
              <w:rPr>
                <w:color w:val="000000"/>
                <w:sz w:val="14"/>
                <w:szCs w:val="14"/>
                <w:lang w:eastAsia="tr-TR"/>
              </w:rPr>
            </w:pPr>
          </w:p>
        </w:tc>
        <w:tc>
          <w:tcPr>
            <w:tcW w:w="1769" w:type="dxa"/>
            <w:vMerge/>
            <w:tcBorders>
              <w:top w:val="nil"/>
              <w:left w:val="single" w:sz="4" w:space="0" w:color="auto"/>
              <w:bottom w:val="single" w:sz="4" w:space="0" w:color="auto"/>
              <w:right w:val="single" w:sz="4" w:space="0" w:color="auto"/>
            </w:tcBorders>
            <w:vAlign w:val="center"/>
            <w:hideMark/>
          </w:tcPr>
          <w:p w14:paraId="22DC5E22" w14:textId="77777777" w:rsidR="00BF48C0" w:rsidRPr="00BF48C0" w:rsidRDefault="00BF48C0" w:rsidP="00BF48C0">
            <w:pPr>
              <w:rPr>
                <w:color w:val="000000"/>
                <w:sz w:val="14"/>
                <w:szCs w:val="14"/>
                <w:lang w:eastAsia="tr-TR"/>
              </w:rPr>
            </w:pPr>
          </w:p>
        </w:tc>
      </w:tr>
    </w:tbl>
    <w:p w14:paraId="0814B94B" w14:textId="347B38BC" w:rsidR="00584A8B" w:rsidRPr="00BF48C0" w:rsidRDefault="00584A8B" w:rsidP="00584A8B">
      <w:pPr>
        <w:pStyle w:val="default0"/>
        <w:jc w:val="both"/>
        <w:rPr>
          <w:sz w:val="20"/>
          <w:szCs w:val="20"/>
        </w:rPr>
      </w:pPr>
    </w:p>
    <w:p w14:paraId="1E1516E3" w14:textId="556288A3" w:rsidR="00BE1951" w:rsidRPr="00BF48C0" w:rsidRDefault="00584A8B" w:rsidP="00584A8B">
      <w:pPr>
        <w:pStyle w:val="default0"/>
        <w:jc w:val="both"/>
        <w:rPr>
          <w:sz w:val="14"/>
          <w:szCs w:val="14"/>
        </w:rPr>
      </w:pPr>
      <w:r w:rsidRPr="00BF48C0">
        <w:rPr>
          <w:sz w:val="14"/>
          <w:szCs w:val="14"/>
        </w:rPr>
        <w:t xml:space="preserve">(*) Ertelenmiş vergi etkisini içermektedir. Cari dönem ertelenmiş vergi etkisi </w:t>
      </w:r>
      <w:r w:rsidR="00BF48C0" w:rsidRPr="00BF48C0">
        <w:rPr>
          <w:sz w:val="14"/>
          <w:szCs w:val="14"/>
        </w:rPr>
        <w:t>bulunmamaktadır</w:t>
      </w:r>
      <w:r w:rsidRPr="00BF48C0">
        <w:rPr>
          <w:sz w:val="14"/>
          <w:szCs w:val="14"/>
        </w:rPr>
        <w:t xml:space="preserve">. </w:t>
      </w:r>
    </w:p>
    <w:p w14:paraId="08D9D9C8" w14:textId="77777777" w:rsidR="00584A8B" w:rsidRPr="00BF48C0" w:rsidRDefault="00584A8B" w:rsidP="00584A8B">
      <w:pPr>
        <w:pStyle w:val="default0"/>
        <w:jc w:val="both"/>
        <w:rPr>
          <w:sz w:val="20"/>
          <w:szCs w:val="20"/>
        </w:rPr>
      </w:pPr>
    </w:p>
    <w:p w14:paraId="45E18FF5" w14:textId="072BC041" w:rsidR="00C34D22" w:rsidRPr="00311DAB" w:rsidRDefault="00C34D22" w:rsidP="00584A8B">
      <w:pPr>
        <w:pStyle w:val="default0"/>
        <w:jc w:val="both"/>
        <w:rPr>
          <w:rFonts w:eastAsia="Times New Roman"/>
          <w:color w:val="auto"/>
          <w:sz w:val="20"/>
          <w:szCs w:val="20"/>
          <w:lang w:eastAsia="en-GB"/>
        </w:rPr>
      </w:pPr>
    </w:p>
    <w:tbl>
      <w:tblPr>
        <w:tblW w:w="9500" w:type="dxa"/>
        <w:tblCellMar>
          <w:left w:w="70" w:type="dxa"/>
          <w:right w:w="70" w:type="dxa"/>
        </w:tblCellMar>
        <w:tblLook w:val="04A0" w:firstRow="1" w:lastRow="0" w:firstColumn="1" w:lastColumn="0" w:noHBand="0" w:noVBand="1"/>
      </w:tblPr>
      <w:tblGrid>
        <w:gridCol w:w="1417"/>
        <w:gridCol w:w="2416"/>
        <w:gridCol w:w="1818"/>
        <w:gridCol w:w="769"/>
        <w:gridCol w:w="1288"/>
        <w:gridCol w:w="1792"/>
      </w:tblGrid>
      <w:tr w:rsidR="00C34D22" w:rsidRPr="00BF48C0" w14:paraId="366CDDCA" w14:textId="77777777" w:rsidTr="00FC1F5B">
        <w:trPr>
          <w:divId w:val="1073314437"/>
          <w:trHeight w:val="222"/>
        </w:trPr>
        <w:tc>
          <w:tcPr>
            <w:tcW w:w="95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916CE" w14:textId="30A85C16" w:rsidR="00C34D22" w:rsidRPr="00BF48C0" w:rsidRDefault="00C34D22" w:rsidP="00C34D22">
            <w:pPr>
              <w:rPr>
                <w:color w:val="000000"/>
                <w:sz w:val="14"/>
                <w:szCs w:val="14"/>
                <w:lang w:eastAsia="tr-TR"/>
              </w:rPr>
            </w:pPr>
            <w:proofErr w:type="gramStart"/>
            <w:r w:rsidRPr="00BF48C0">
              <w:rPr>
                <w:color w:val="000000"/>
                <w:sz w:val="14"/>
                <w:szCs w:val="14"/>
                <w:lang w:eastAsia="tr-TR"/>
              </w:rPr>
              <w:t>Önceki  Dönem</w:t>
            </w:r>
            <w:proofErr w:type="gramEnd"/>
          </w:p>
        </w:tc>
      </w:tr>
      <w:tr w:rsidR="00C34D22" w:rsidRPr="00BF48C0" w14:paraId="557482AC" w14:textId="77777777" w:rsidTr="00FC1F5B">
        <w:trPr>
          <w:divId w:val="1073314437"/>
          <w:trHeight w:val="480"/>
        </w:trPr>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09855917" w14:textId="77777777" w:rsidR="00C34D22" w:rsidRPr="00BF48C0" w:rsidRDefault="00C34D22" w:rsidP="00C34D22">
            <w:pPr>
              <w:jc w:val="center"/>
              <w:rPr>
                <w:color w:val="000000"/>
                <w:sz w:val="14"/>
                <w:szCs w:val="14"/>
                <w:lang w:eastAsia="tr-TR"/>
              </w:rPr>
            </w:pPr>
            <w:r w:rsidRPr="00BF48C0">
              <w:rPr>
                <w:color w:val="000000"/>
                <w:sz w:val="14"/>
                <w:szCs w:val="14"/>
                <w:lang w:eastAsia="tr-TR"/>
              </w:rPr>
              <w:t>Finansal riskten korunma aracı</w:t>
            </w:r>
          </w:p>
        </w:tc>
        <w:tc>
          <w:tcPr>
            <w:tcW w:w="2416" w:type="dxa"/>
            <w:vMerge w:val="restart"/>
            <w:tcBorders>
              <w:top w:val="nil"/>
              <w:left w:val="single" w:sz="4" w:space="0" w:color="auto"/>
              <w:bottom w:val="single" w:sz="4" w:space="0" w:color="auto"/>
              <w:right w:val="single" w:sz="4" w:space="0" w:color="auto"/>
            </w:tcBorders>
            <w:shd w:val="clear" w:color="auto" w:fill="auto"/>
            <w:vAlign w:val="center"/>
            <w:hideMark/>
          </w:tcPr>
          <w:p w14:paraId="5BB77E80" w14:textId="77777777" w:rsidR="00C34D22" w:rsidRPr="00BF48C0" w:rsidRDefault="00C34D22" w:rsidP="00C34D22">
            <w:pPr>
              <w:jc w:val="center"/>
              <w:rPr>
                <w:color w:val="000000"/>
                <w:sz w:val="14"/>
                <w:szCs w:val="14"/>
                <w:lang w:eastAsia="tr-TR"/>
              </w:rPr>
            </w:pPr>
            <w:r w:rsidRPr="00BF48C0">
              <w:rPr>
                <w:color w:val="000000"/>
                <w:sz w:val="14"/>
                <w:szCs w:val="14"/>
                <w:lang w:eastAsia="tr-TR"/>
              </w:rPr>
              <w:t xml:space="preserve">Finansal riskten korunan varlık ve </w:t>
            </w:r>
            <w:proofErr w:type="gramStart"/>
            <w:r w:rsidRPr="00BF48C0">
              <w:rPr>
                <w:color w:val="000000"/>
                <w:sz w:val="14"/>
                <w:szCs w:val="14"/>
                <w:lang w:eastAsia="tr-TR"/>
              </w:rPr>
              <w:t>yükümlülükler(</w:t>
            </w:r>
            <w:proofErr w:type="gramEnd"/>
            <w:r w:rsidRPr="00BF48C0">
              <w:rPr>
                <w:color w:val="000000"/>
                <w:sz w:val="14"/>
                <w:szCs w:val="14"/>
                <w:lang w:eastAsia="tr-TR"/>
              </w:rPr>
              <w:t>**)</w:t>
            </w:r>
          </w:p>
        </w:tc>
        <w:tc>
          <w:tcPr>
            <w:tcW w:w="1818" w:type="dxa"/>
            <w:vMerge w:val="restart"/>
            <w:tcBorders>
              <w:top w:val="nil"/>
              <w:left w:val="single" w:sz="4" w:space="0" w:color="auto"/>
              <w:bottom w:val="single" w:sz="4" w:space="0" w:color="auto"/>
              <w:right w:val="single" w:sz="4" w:space="0" w:color="auto"/>
            </w:tcBorders>
            <w:shd w:val="clear" w:color="auto" w:fill="auto"/>
            <w:vAlign w:val="center"/>
            <w:hideMark/>
          </w:tcPr>
          <w:p w14:paraId="297CE8B7" w14:textId="77777777" w:rsidR="00C34D22" w:rsidRPr="00BF48C0" w:rsidRDefault="00C34D22" w:rsidP="00C34D22">
            <w:pPr>
              <w:jc w:val="center"/>
              <w:rPr>
                <w:color w:val="000000"/>
                <w:sz w:val="14"/>
                <w:szCs w:val="14"/>
                <w:lang w:eastAsia="tr-TR"/>
              </w:rPr>
            </w:pPr>
            <w:proofErr w:type="spellStart"/>
            <w:r w:rsidRPr="00BF48C0">
              <w:rPr>
                <w:color w:val="000000"/>
                <w:sz w:val="14"/>
                <w:szCs w:val="14"/>
                <w:lang w:eastAsia="tr-TR"/>
              </w:rPr>
              <w:t>Korunulan</w:t>
            </w:r>
            <w:proofErr w:type="spellEnd"/>
            <w:r w:rsidRPr="00BF48C0">
              <w:rPr>
                <w:color w:val="000000"/>
                <w:sz w:val="14"/>
                <w:szCs w:val="14"/>
                <w:lang w:eastAsia="tr-TR"/>
              </w:rPr>
              <w:t xml:space="preserve"> riskler</w:t>
            </w:r>
          </w:p>
        </w:tc>
        <w:tc>
          <w:tcPr>
            <w:tcW w:w="20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F883C1" w14:textId="77777777" w:rsidR="00C34D22" w:rsidRPr="00BF48C0" w:rsidRDefault="00C34D22" w:rsidP="00C34D22">
            <w:pPr>
              <w:jc w:val="center"/>
              <w:rPr>
                <w:color w:val="000000"/>
                <w:sz w:val="14"/>
                <w:szCs w:val="14"/>
                <w:lang w:eastAsia="tr-TR"/>
              </w:rPr>
            </w:pPr>
            <w:r w:rsidRPr="00BF48C0">
              <w:rPr>
                <w:color w:val="000000"/>
                <w:sz w:val="14"/>
                <w:szCs w:val="14"/>
                <w:lang w:eastAsia="tr-TR"/>
              </w:rPr>
              <w:t>Korunma aracının net gerçeğe uygun değeri</w:t>
            </w:r>
          </w:p>
        </w:tc>
        <w:tc>
          <w:tcPr>
            <w:tcW w:w="1792" w:type="dxa"/>
            <w:vMerge w:val="restart"/>
            <w:tcBorders>
              <w:top w:val="nil"/>
              <w:left w:val="single" w:sz="4" w:space="0" w:color="auto"/>
              <w:bottom w:val="single" w:sz="4" w:space="0" w:color="auto"/>
              <w:right w:val="single" w:sz="4" w:space="0" w:color="auto"/>
            </w:tcBorders>
            <w:shd w:val="clear" w:color="auto" w:fill="auto"/>
            <w:vAlign w:val="center"/>
            <w:hideMark/>
          </w:tcPr>
          <w:p w14:paraId="53E363B2" w14:textId="77777777" w:rsidR="00C34D22" w:rsidRPr="00BF48C0" w:rsidRDefault="00C34D22" w:rsidP="00C34D22">
            <w:pPr>
              <w:jc w:val="center"/>
              <w:rPr>
                <w:color w:val="000000"/>
                <w:sz w:val="14"/>
                <w:szCs w:val="14"/>
                <w:lang w:eastAsia="tr-TR"/>
              </w:rPr>
            </w:pPr>
            <w:r w:rsidRPr="00BF48C0">
              <w:rPr>
                <w:color w:val="000000"/>
                <w:sz w:val="14"/>
                <w:szCs w:val="14"/>
                <w:lang w:eastAsia="tr-TR"/>
              </w:rPr>
              <w:t xml:space="preserve">Riskten korunma fonlarındaki </w:t>
            </w:r>
            <w:proofErr w:type="gramStart"/>
            <w:r w:rsidRPr="00BF48C0">
              <w:rPr>
                <w:color w:val="000000"/>
                <w:sz w:val="14"/>
                <w:szCs w:val="14"/>
                <w:lang w:eastAsia="tr-TR"/>
              </w:rPr>
              <w:t>tutar(</w:t>
            </w:r>
            <w:proofErr w:type="gramEnd"/>
            <w:r w:rsidRPr="00BF48C0">
              <w:rPr>
                <w:color w:val="000000"/>
                <w:sz w:val="14"/>
                <w:szCs w:val="14"/>
                <w:lang w:eastAsia="tr-TR"/>
              </w:rPr>
              <w:t>*)</w:t>
            </w:r>
          </w:p>
        </w:tc>
      </w:tr>
      <w:tr w:rsidR="00C34D22" w:rsidRPr="00BF48C0" w14:paraId="5D6184E8" w14:textId="77777777" w:rsidTr="00FC1F5B">
        <w:trPr>
          <w:divId w:val="1073314437"/>
          <w:trHeight w:val="230"/>
        </w:trPr>
        <w:tc>
          <w:tcPr>
            <w:tcW w:w="1417" w:type="dxa"/>
            <w:vMerge/>
            <w:tcBorders>
              <w:top w:val="nil"/>
              <w:left w:val="single" w:sz="4" w:space="0" w:color="auto"/>
              <w:bottom w:val="single" w:sz="4" w:space="0" w:color="auto"/>
              <w:right w:val="single" w:sz="4" w:space="0" w:color="auto"/>
            </w:tcBorders>
            <w:vAlign w:val="center"/>
            <w:hideMark/>
          </w:tcPr>
          <w:p w14:paraId="71C5E69C" w14:textId="77777777" w:rsidR="00C34D22" w:rsidRPr="00BF48C0" w:rsidRDefault="00C34D22" w:rsidP="00C34D22">
            <w:pPr>
              <w:rPr>
                <w:color w:val="000000"/>
                <w:sz w:val="14"/>
                <w:szCs w:val="14"/>
                <w:lang w:eastAsia="tr-TR"/>
              </w:rPr>
            </w:pPr>
          </w:p>
        </w:tc>
        <w:tc>
          <w:tcPr>
            <w:tcW w:w="2416" w:type="dxa"/>
            <w:vMerge/>
            <w:tcBorders>
              <w:top w:val="nil"/>
              <w:left w:val="single" w:sz="4" w:space="0" w:color="auto"/>
              <w:bottom w:val="single" w:sz="4" w:space="0" w:color="auto"/>
              <w:right w:val="single" w:sz="4" w:space="0" w:color="auto"/>
            </w:tcBorders>
            <w:vAlign w:val="center"/>
            <w:hideMark/>
          </w:tcPr>
          <w:p w14:paraId="502CDE9D" w14:textId="77777777" w:rsidR="00C34D22" w:rsidRPr="00BF48C0" w:rsidRDefault="00C34D22" w:rsidP="00C34D22">
            <w:pPr>
              <w:rPr>
                <w:color w:val="000000"/>
                <w:sz w:val="14"/>
                <w:szCs w:val="14"/>
                <w:lang w:eastAsia="tr-TR"/>
              </w:rPr>
            </w:pPr>
          </w:p>
        </w:tc>
        <w:tc>
          <w:tcPr>
            <w:tcW w:w="1818" w:type="dxa"/>
            <w:vMerge/>
            <w:tcBorders>
              <w:top w:val="nil"/>
              <w:left w:val="single" w:sz="4" w:space="0" w:color="auto"/>
              <w:bottom w:val="single" w:sz="4" w:space="0" w:color="auto"/>
              <w:right w:val="single" w:sz="4" w:space="0" w:color="auto"/>
            </w:tcBorders>
            <w:vAlign w:val="center"/>
            <w:hideMark/>
          </w:tcPr>
          <w:p w14:paraId="64651542" w14:textId="77777777" w:rsidR="00C34D22" w:rsidRPr="00BF48C0" w:rsidRDefault="00C34D22" w:rsidP="00C34D22">
            <w:pPr>
              <w:rPr>
                <w:color w:val="000000"/>
                <w:sz w:val="14"/>
                <w:szCs w:val="14"/>
                <w:lang w:eastAsia="tr-TR"/>
              </w:rPr>
            </w:pPr>
          </w:p>
        </w:tc>
        <w:tc>
          <w:tcPr>
            <w:tcW w:w="2057" w:type="dxa"/>
            <w:gridSpan w:val="2"/>
            <w:vMerge/>
            <w:tcBorders>
              <w:top w:val="single" w:sz="4" w:space="0" w:color="auto"/>
              <w:left w:val="single" w:sz="4" w:space="0" w:color="auto"/>
              <w:bottom w:val="single" w:sz="4" w:space="0" w:color="auto"/>
              <w:right w:val="single" w:sz="4" w:space="0" w:color="auto"/>
            </w:tcBorders>
            <w:vAlign w:val="center"/>
            <w:hideMark/>
          </w:tcPr>
          <w:p w14:paraId="14ED7838" w14:textId="77777777" w:rsidR="00C34D22" w:rsidRPr="00BF48C0" w:rsidRDefault="00C34D22" w:rsidP="00C34D22">
            <w:pPr>
              <w:rPr>
                <w:color w:val="000000"/>
                <w:sz w:val="14"/>
                <w:szCs w:val="14"/>
                <w:lang w:eastAsia="tr-TR"/>
              </w:rPr>
            </w:pPr>
          </w:p>
        </w:tc>
        <w:tc>
          <w:tcPr>
            <w:tcW w:w="1792" w:type="dxa"/>
            <w:vMerge/>
            <w:tcBorders>
              <w:top w:val="nil"/>
              <w:left w:val="single" w:sz="4" w:space="0" w:color="auto"/>
              <w:bottom w:val="single" w:sz="4" w:space="0" w:color="auto"/>
              <w:right w:val="single" w:sz="4" w:space="0" w:color="auto"/>
            </w:tcBorders>
            <w:vAlign w:val="center"/>
            <w:hideMark/>
          </w:tcPr>
          <w:p w14:paraId="7529BDC1" w14:textId="77777777" w:rsidR="00C34D22" w:rsidRPr="00BF48C0" w:rsidRDefault="00C34D22" w:rsidP="00C34D22">
            <w:pPr>
              <w:rPr>
                <w:color w:val="000000"/>
                <w:sz w:val="14"/>
                <w:szCs w:val="14"/>
                <w:lang w:eastAsia="tr-TR"/>
              </w:rPr>
            </w:pPr>
          </w:p>
        </w:tc>
      </w:tr>
      <w:tr w:rsidR="00C34D22" w:rsidRPr="00BF48C0" w14:paraId="50193479" w14:textId="77777777" w:rsidTr="00FC1F5B">
        <w:trPr>
          <w:divId w:val="1073314437"/>
          <w:trHeight w:val="230"/>
        </w:trPr>
        <w:tc>
          <w:tcPr>
            <w:tcW w:w="1417" w:type="dxa"/>
            <w:vMerge/>
            <w:tcBorders>
              <w:top w:val="nil"/>
              <w:left w:val="single" w:sz="4" w:space="0" w:color="auto"/>
              <w:bottom w:val="single" w:sz="4" w:space="0" w:color="auto"/>
              <w:right w:val="single" w:sz="4" w:space="0" w:color="auto"/>
            </w:tcBorders>
            <w:vAlign w:val="center"/>
            <w:hideMark/>
          </w:tcPr>
          <w:p w14:paraId="0134926D" w14:textId="77777777" w:rsidR="00C34D22" w:rsidRPr="00BF48C0" w:rsidRDefault="00C34D22" w:rsidP="00C34D22">
            <w:pPr>
              <w:rPr>
                <w:color w:val="000000"/>
                <w:sz w:val="14"/>
                <w:szCs w:val="14"/>
                <w:lang w:eastAsia="tr-TR"/>
              </w:rPr>
            </w:pPr>
          </w:p>
        </w:tc>
        <w:tc>
          <w:tcPr>
            <w:tcW w:w="2416" w:type="dxa"/>
            <w:vMerge/>
            <w:tcBorders>
              <w:top w:val="nil"/>
              <w:left w:val="single" w:sz="4" w:space="0" w:color="auto"/>
              <w:bottom w:val="single" w:sz="4" w:space="0" w:color="auto"/>
              <w:right w:val="single" w:sz="4" w:space="0" w:color="auto"/>
            </w:tcBorders>
            <w:vAlign w:val="center"/>
            <w:hideMark/>
          </w:tcPr>
          <w:p w14:paraId="58E2006A" w14:textId="77777777" w:rsidR="00C34D22" w:rsidRPr="00BF48C0" w:rsidRDefault="00C34D22" w:rsidP="00C34D22">
            <w:pPr>
              <w:rPr>
                <w:color w:val="000000"/>
                <w:sz w:val="14"/>
                <w:szCs w:val="14"/>
                <w:lang w:eastAsia="tr-TR"/>
              </w:rPr>
            </w:pPr>
          </w:p>
        </w:tc>
        <w:tc>
          <w:tcPr>
            <w:tcW w:w="1818" w:type="dxa"/>
            <w:vMerge/>
            <w:tcBorders>
              <w:top w:val="nil"/>
              <w:left w:val="single" w:sz="4" w:space="0" w:color="auto"/>
              <w:bottom w:val="single" w:sz="4" w:space="0" w:color="auto"/>
              <w:right w:val="single" w:sz="4" w:space="0" w:color="auto"/>
            </w:tcBorders>
            <w:vAlign w:val="center"/>
            <w:hideMark/>
          </w:tcPr>
          <w:p w14:paraId="7136D1C6" w14:textId="77777777" w:rsidR="00C34D22" w:rsidRPr="00BF48C0" w:rsidRDefault="00C34D22" w:rsidP="00C34D22">
            <w:pPr>
              <w:rPr>
                <w:color w:val="000000"/>
                <w:sz w:val="14"/>
                <w:szCs w:val="14"/>
                <w:lang w:eastAsia="tr-TR"/>
              </w:rPr>
            </w:pPr>
          </w:p>
        </w:tc>
        <w:tc>
          <w:tcPr>
            <w:tcW w:w="2057" w:type="dxa"/>
            <w:gridSpan w:val="2"/>
            <w:vMerge/>
            <w:tcBorders>
              <w:top w:val="single" w:sz="4" w:space="0" w:color="auto"/>
              <w:left w:val="single" w:sz="4" w:space="0" w:color="auto"/>
              <w:bottom w:val="single" w:sz="4" w:space="0" w:color="auto"/>
              <w:right w:val="single" w:sz="4" w:space="0" w:color="auto"/>
            </w:tcBorders>
            <w:vAlign w:val="center"/>
            <w:hideMark/>
          </w:tcPr>
          <w:p w14:paraId="5F1A9A7B" w14:textId="77777777" w:rsidR="00C34D22" w:rsidRPr="00BF48C0" w:rsidRDefault="00C34D22" w:rsidP="00C34D22">
            <w:pPr>
              <w:rPr>
                <w:color w:val="000000"/>
                <w:sz w:val="14"/>
                <w:szCs w:val="14"/>
                <w:lang w:eastAsia="tr-TR"/>
              </w:rPr>
            </w:pPr>
          </w:p>
        </w:tc>
        <w:tc>
          <w:tcPr>
            <w:tcW w:w="1792" w:type="dxa"/>
            <w:vMerge/>
            <w:tcBorders>
              <w:top w:val="nil"/>
              <w:left w:val="single" w:sz="4" w:space="0" w:color="auto"/>
              <w:bottom w:val="single" w:sz="4" w:space="0" w:color="auto"/>
              <w:right w:val="single" w:sz="4" w:space="0" w:color="auto"/>
            </w:tcBorders>
            <w:vAlign w:val="center"/>
            <w:hideMark/>
          </w:tcPr>
          <w:p w14:paraId="1AA53CC6" w14:textId="77777777" w:rsidR="00C34D22" w:rsidRPr="00BF48C0" w:rsidRDefault="00C34D22" w:rsidP="00C34D22">
            <w:pPr>
              <w:rPr>
                <w:color w:val="000000"/>
                <w:sz w:val="14"/>
                <w:szCs w:val="14"/>
                <w:lang w:eastAsia="tr-TR"/>
              </w:rPr>
            </w:pPr>
          </w:p>
        </w:tc>
      </w:tr>
      <w:tr w:rsidR="00C34D22" w:rsidRPr="00BF48C0" w14:paraId="14103F60" w14:textId="77777777" w:rsidTr="00FC1F5B">
        <w:trPr>
          <w:divId w:val="1073314437"/>
          <w:trHeight w:val="222"/>
        </w:trPr>
        <w:tc>
          <w:tcPr>
            <w:tcW w:w="1417" w:type="dxa"/>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14:paraId="71FED6CD" w14:textId="77777777" w:rsidR="00C34D22" w:rsidRPr="00BF48C0" w:rsidRDefault="00C34D22" w:rsidP="00C34D22">
            <w:pPr>
              <w:jc w:val="center"/>
              <w:rPr>
                <w:color w:val="000000"/>
                <w:sz w:val="14"/>
                <w:szCs w:val="14"/>
                <w:lang w:eastAsia="tr-TR"/>
              </w:rPr>
            </w:pPr>
            <w:r w:rsidRPr="00BF48C0">
              <w:rPr>
                <w:color w:val="000000"/>
                <w:sz w:val="14"/>
                <w:szCs w:val="14"/>
                <w:lang w:eastAsia="tr-TR"/>
              </w:rPr>
              <w:t> </w:t>
            </w:r>
          </w:p>
        </w:tc>
        <w:tc>
          <w:tcPr>
            <w:tcW w:w="2416" w:type="dxa"/>
            <w:tcBorders>
              <w:top w:val="nil"/>
              <w:left w:val="nil"/>
              <w:bottom w:val="single" w:sz="4" w:space="0" w:color="auto"/>
              <w:right w:val="single" w:sz="4" w:space="0" w:color="auto"/>
            </w:tcBorders>
            <w:shd w:val="clear" w:color="auto" w:fill="D0CECE" w:themeFill="background2" w:themeFillShade="E6"/>
            <w:noWrap/>
            <w:vAlign w:val="center"/>
            <w:hideMark/>
          </w:tcPr>
          <w:p w14:paraId="5883764D" w14:textId="77777777" w:rsidR="00C34D22" w:rsidRPr="00BF48C0" w:rsidRDefault="00C34D22" w:rsidP="00C34D22">
            <w:pPr>
              <w:jc w:val="center"/>
              <w:rPr>
                <w:color w:val="000000"/>
                <w:sz w:val="14"/>
                <w:szCs w:val="14"/>
                <w:lang w:eastAsia="tr-TR"/>
              </w:rPr>
            </w:pPr>
            <w:r w:rsidRPr="00BF48C0">
              <w:rPr>
                <w:color w:val="000000"/>
                <w:sz w:val="14"/>
                <w:szCs w:val="14"/>
                <w:lang w:eastAsia="tr-TR"/>
              </w:rPr>
              <w:t> </w:t>
            </w:r>
          </w:p>
        </w:tc>
        <w:tc>
          <w:tcPr>
            <w:tcW w:w="1818" w:type="dxa"/>
            <w:tcBorders>
              <w:top w:val="nil"/>
              <w:left w:val="nil"/>
              <w:bottom w:val="single" w:sz="4" w:space="0" w:color="auto"/>
              <w:right w:val="single" w:sz="4" w:space="0" w:color="auto"/>
            </w:tcBorders>
            <w:shd w:val="clear" w:color="auto" w:fill="D0CECE" w:themeFill="background2" w:themeFillShade="E6"/>
            <w:noWrap/>
            <w:vAlign w:val="center"/>
            <w:hideMark/>
          </w:tcPr>
          <w:p w14:paraId="465E3D51" w14:textId="77777777" w:rsidR="00C34D22" w:rsidRPr="00BF48C0" w:rsidRDefault="00C34D22" w:rsidP="00C34D22">
            <w:pPr>
              <w:jc w:val="center"/>
              <w:rPr>
                <w:color w:val="000000"/>
                <w:sz w:val="14"/>
                <w:szCs w:val="14"/>
                <w:lang w:eastAsia="tr-TR"/>
              </w:rPr>
            </w:pPr>
            <w:r w:rsidRPr="00BF48C0">
              <w:rPr>
                <w:color w:val="000000"/>
                <w:sz w:val="14"/>
                <w:szCs w:val="14"/>
                <w:lang w:eastAsia="tr-TR"/>
              </w:rPr>
              <w:t> </w:t>
            </w:r>
          </w:p>
        </w:tc>
        <w:tc>
          <w:tcPr>
            <w:tcW w:w="769" w:type="dxa"/>
            <w:tcBorders>
              <w:top w:val="nil"/>
              <w:left w:val="nil"/>
              <w:bottom w:val="single" w:sz="4" w:space="0" w:color="auto"/>
              <w:right w:val="single" w:sz="4" w:space="0" w:color="auto"/>
            </w:tcBorders>
            <w:shd w:val="clear" w:color="auto" w:fill="auto"/>
            <w:noWrap/>
            <w:vAlign w:val="center"/>
            <w:hideMark/>
          </w:tcPr>
          <w:p w14:paraId="286321FF" w14:textId="77777777" w:rsidR="00C34D22" w:rsidRPr="00BF48C0" w:rsidRDefault="00C34D22" w:rsidP="00C34D22">
            <w:pPr>
              <w:jc w:val="center"/>
              <w:rPr>
                <w:color w:val="000000"/>
                <w:sz w:val="14"/>
                <w:szCs w:val="14"/>
                <w:lang w:eastAsia="tr-TR"/>
              </w:rPr>
            </w:pPr>
            <w:r w:rsidRPr="00BF48C0">
              <w:rPr>
                <w:color w:val="000000"/>
                <w:sz w:val="14"/>
                <w:szCs w:val="14"/>
                <w:lang w:eastAsia="tr-TR"/>
              </w:rPr>
              <w:t xml:space="preserve"> Aktif </w:t>
            </w:r>
          </w:p>
        </w:tc>
        <w:tc>
          <w:tcPr>
            <w:tcW w:w="1288" w:type="dxa"/>
            <w:tcBorders>
              <w:top w:val="nil"/>
              <w:left w:val="nil"/>
              <w:bottom w:val="single" w:sz="4" w:space="0" w:color="auto"/>
              <w:right w:val="single" w:sz="4" w:space="0" w:color="auto"/>
            </w:tcBorders>
            <w:shd w:val="clear" w:color="auto" w:fill="auto"/>
            <w:noWrap/>
            <w:vAlign w:val="center"/>
            <w:hideMark/>
          </w:tcPr>
          <w:p w14:paraId="7E1BF7BE" w14:textId="77777777" w:rsidR="00C34D22" w:rsidRPr="00BF48C0" w:rsidRDefault="00C34D22" w:rsidP="00C34D22">
            <w:pPr>
              <w:jc w:val="center"/>
              <w:rPr>
                <w:color w:val="000000"/>
                <w:sz w:val="14"/>
                <w:szCs w:val="14"/>
                <w:lang w:eastAsia="tr-TR"/>
              </w:rPr>
            </w:pPr>
            <w:r w:rsidRPr="00BF48C0">
              <w:rPr>
                <w:color w:val="000000"/>
                <w:sz w:val="14"/>
                <w:szCs w:val="14"/>
                <w:lang w:eastAsia="tr-TR"/>
              </w:rPr>
              <w:t>Pasif</w:t>
            </w:r>
          </w:p>
        </w:tc>
        <w:tc>
          <w:tcPr>
            <w:tcW w:w="1792" w:type="dxa"/>
            <w:tcBorders>
              <w:top w:val="nil"/>
              <w:left w:val="nil"/>
              <w:bottom w:val="single" w:sz="4" w:space="0" w:color="auto"/>
              <w:right w:val="single" w:sz="4" w:space="0" w:color="auto"/>
            </w:tcBorders>
            <w:shd w:val="clear" w:color="auto" w:fill="D0CECE" w:themeFill="background2" w:themeFillShade="E6"/>
            <w:noWrap/>
            <w:vAlign w:val="center"/>
            <w:hideMark/>
          </w:tcPr>
          <w:p w14:paraId="11FC3880" w14:textId="77777777" w:rsidR="00C34D22" w:rsidRPr="00BF48C0" w:rsidRDefault="00C34D22" w:rsidP="00C34D22">
            <w:pPr>
              <w:jc w:val="center"/>
              <w:rPr>
                <w:color w:val="000000"/>
                <w:sz w:val="14"/>
                <w:szCs w:val="14"/>
                <w:lang w:eastAsia="tr-TR"/>
              </w:rPr>
            </w:pPr>
            <w:r w:rsidRPr="00BF48C0">
              <w:rPr>
                <w:color w:val="000000"/>
                <w:sz w:val="14"/>
                <w:szCs w:val="14"/>
                <w:lang w:eastAsia="tr-TR"/>
              </w:rPr>
              <w:t> </w:t>
            </w:r>
          </w:p>
        </w:tc>
      </w:tr>
      <w:tr w:rsidR="00C34D22" w:rsidRPr="00BF48C0" w14:paraId="2491B761" w14:textId="77777777" w:rsidTr="00FC1F5B">
        <w:trPr>
          <w:divId w:val="1073314437"/>
          <w:trHeight w:val="230"/>
        </w:trPr>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4E5BF42E" w14:textId="77777777" w:rsidR="00C34D22" w:rsidRPr="00BF48C0" w:rsidRDefault="00C34D22" w:rsidP="00C34D22">
            <w:pPr>
              <w:rPr>
                <w:color w:val="000000"/>
                <w:sz w:val="14"/>
                <w:szCs w:val="14"/>
                <w:lang w:eastAsia="tr-TR"/>
              </w:rPr>
            </w:pPr>
            <w:r w:rsidRPr="00BF48C0">
              <w:rPr>
                <w:color w:val="000000"/>
                <w:sz w:val="14"/>
                <w:szCs w:val="14"/>
                <w:lang w:eastAsia="tr-TR"/>
              </w:rPr>
              <w:t xml:space="preserve"> Swap para işlemi</w:t>
            </w:r>
          </w:p>
        </w:tc>
        <w:tc>
          <w:tcPr>
            <w:tcW w:w="2416" w:type="dxa"/>
            <w:vMerge w:val="restart"/>
            <w:tcBorders>
              <w:top w:val="nil"/>
              <w:left w:val="single" w:sz="4" w:space="0" w:color="auto"/>
              <w:bottom w:val="single" w:sz="4" w:space="0" w:color="auto"/>
              <w:right w:val="single" w:sz="4" w:space="0" w:color="auto"/>
            </w:tcBorders>
            <w:shd w:val="clear" w:color="auto" w:fill="auto"/>
            <w:vAlign w:val="center"/>
            <w:hideMark/>
          </w:tcPr>
          <w:p w14:paraId="38B36C4B" w14:textId="77777777" w:rsidR="00C34D22" w:rsidRPr="00BF48C0" w:rsidRDefault="00C34D22" w:rsidP="00C34D22">
            <w:pPr>
              <w:rPr>
                <w:color w:val="000000"/>
                <w:sz w:val="14"/>
                <w:szCs w:val="14"/>
                <w:lang w:eastAsia="tr-TR"/>
              </w:rPr>
            </w:pPr>
            <w:r w:rsidRPr="00BF48C0">
              <w:rPr>
                <w:color w:val="000000"/>
                <w:sz w:val="14"/>
                <w:szCs w:val="14"/>
                <w:lang w:eastAsia="tr-TR"/>
              </w:rPr>
              <w:t xml:space="preserve">Alınan krediler ve </w:t>
            </w:r>
            <w:proofErr w:type="gramStart"/>
            <w:r w:rsidRPr="00BF48C0">
              <w:rPr>
                <w:color w:val="000000"/>
                <w:sz w:val="14"/>
                <w:szCs w:val="14"/>
                <w:lang w:eastAsia="tr-TR"/>
              </w:rPr>
              <w:t>kar</w:t>
            </w:r>
            <w:proofErr w:type="gramEnd"/>
            <w:r w:rsidRPr="00BF48C0">
              <w:rPr>
                <w:color w:val="000000"/>
                <w:sz w:val="14"/>
                <w:szCs w:val="14"/>
                <w:lang w:eastAsia="tr-TR"/>
              </w:rPr>
              <w:t xml:space="preserve"> payı getirili varlıklar</w:t>
            </w:r>
          </w:p>
        </w:tc>
        <w:tc>
          <w:tcPr>
            <w:tcW w:w="1818" w:type="dxa"/>
            <w:vMerge w:val="restart"/>
            <w:tcBorders>
              <w:top w:val="nil"/>
              <w:left w:val="single" w:sz="4" w:space="0" w:color="auto"/>
              <w:bottom w:val="single" w:sz="4" w:space="0" w:color="auto"/>
              <w:right w:val="single" w:sz="4" w:space="0" w:color="auto"/>
            </w:tcBorders>
            <w:shd w:val="clear" w:color="auto" w:fill="auto"/>
            <w:vAlign w:val="center"/>
            <w:hideMark/>
          </w:tcPr>
          <w:p w14:paraId="564E3C15" w14:textId="77777777" w:rsidR="00C34D22" w:rsidRPr="00BF48C0" w:rsidRDefault="00C34D22" w:rsidP="00C34D22">
            <w:pPr>
              <w:rPr>
                <w:color w:val="000000"/>
                <w:sz w:val="14"/>
                <w:szCs w:val="14"/>
                <w:lang w:eastAsia="tr-TR"/>
              </w:rPr>
            </w:pPr>
            <w:r w:rsidRPr="00BF48C0">
              <w:rPr>
                <w:color w:val="000000"/>
                <w:sz w:val="14"/>
                <w:szCs w:val="14"/>
                <w:lang w:eastAsia="tr-TR"/>
              </w:rPr>
              <w:t>Döviz kurundaki değişimlerin nakit akış riski</w:t>
            </w:r>
          </w:p>
        </w:tc>
        <w:tc>
          <w:tcPr>
            <w:tcW w:w="7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63CC5F" w14:textId="77777777" w:rsidR="00C34D22" w:rsidRPr="00BF48C0" w:rsidRDefault="00C34D22" w:rsidP="00C34D22">
            <w:pPr>
              <w:jc w:val="center"/>
              <w:rPr>
                <w:color w:val="000000"/>
                <w:sz w:val="14"/>
                <w:szCs w:val="14"/>
                <w:lang w:eastAsia="tr-TR"/>
              </w:rPr>
            </w:pPr>
            <w:r w:rsidRPr="00BF48C0">
              <w:rPr>
                <w:color w:val="000000"/>
                <w:sz w:val="14"/>
                <w:szCs w:val="14"/>
                <w:lang w:eastAsia="tr-TR"/>
              </w:rPr>
              <w:t>-</w:t>
            </w:r>
          </w:p>
        </w:tc>
        <w:tc>
          <w:tcPr>
            <w:tcW w:w="1288" w:type="dxa"/>
            <w:vMerge w:val="restart"/>
            <w:tcBorders>
              <w:top w:val="nil"/>
              <w:left w:val="single" w:sz="4" w:space="0" w:color="auto"/>
              <w:bottom w:val="single" w:sz="4" w:space="0" w:color="auto"/>
              <w:right w:val="single" w:sz="4" w:space="0" w:color="auto"/>
            </w:tcBorders>
            <w:shd w:val="clear" w:color="auto" w:fill="auto"/>
            <w:vAlign w:val="center"/>
            <w:hideMark/>
          </w:tcPr>
          <w:p w14:paraId="19A40AB7" w14:textId="77777777" w:rsidR="00C34D22" w:rsidRPr="00BF48C0" w:rsidRDefault="00C34D22" w:rsidP="00C34D22">
            <w:pPr>
              <w:jc w:val="right"/>
              <w:rPr>
                <w:color w:val="000000"/>
                <w:sz w:val="14"/>
                <w:szCs w:val="14"/>
                <w:lang w:eastAsia="tr-TR"/>
              </w:rPr>
            </w:pPr>
            <w:r w:rsidRPr="00BF48C0">
              <w:rPr>
                <w:color w:val="000000"/>
                <w:sz w:val="14"/>
                <w:szCs w:val="14"/>
                <w:lang w:eastAsia="tr-TR"/>
              </w:rPr>
              <w:t>1,162,576</w:t>
            </w:r>
          </w:p>
        </w:tc>
        <w:tc>
          <w:tcPr>
            <w:tcW w:w="17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3BDCC8" w14:textId="77777777" w:rsidR="00C34D22" w:rsidRPr="00BF48C0" w:rsidRDefault="00C34D22" w:rsidP="00C34D22">
            <w:pPr>
              <w:jc w:val="right"/>
              <w:rPr>
                <w:color w:val="000000"/>
                <w:sz w:val="14"/>
                <w:szCs w:val="14"/>
                <w:lang w:eastAsia="tr-TR"/>
              </w:rPr>
            </w:pPr>
            <w:r w:rsidRPr="00BF48C0">
              <w:rPr>
                <w:color w:val="000000"/>
                <w:sz w:val="14"/>
                <w:szCs w:val="14"/>
                <w:lang w:eastAsia="tr-TR"/>
              </w:rPr>
              <w:t>(11,514) </w:t>
            </w:r>
          </w:p>
        </w:tc>
      </w:tr>
      <w:tr w:rsidR="00C34D22" w:rsidRPr="00BF48C0" w14:paraId="0F5CD322" w14:textId="77777777" w:rsidTr="00FC1F5B">
        <w:trPr>
          <w:divId w:val="1073314437"/>
          <w:trHeight w:val="230"/>
        </w:trPr>
        <w:tc>
          <w:tcPr>
            <w:tcW w:w="1417" w:type="dxa"/>
            <w:vMerge/>
            <w:tcBorders>
              <w:top w:val="nil"/>
              <w:left w:val="single" w:sz="4" w:space="0" w:color="auto"/>
              <w:bottom w:val="single" w:sz="4" w:space="0" w:color="auto"/>
              <w:right w:val="single" w:sz="4" w:space="0" w:color="auto"/>
            </w:tcBorders>
            <w:vAlign w:val="center"/>
            <w:hideMark/>
          </w:tcPr>
          <w:p w14:paraId="0534CC19" w14:textId="77777777" w:rsidR="00C34D22" w:rsidRPr="00BF48C0" w:rsidRDefault="00C34D22" w:rsidP="00C34D22">
            <w:pPr>
              <w:rPr>
                <w:color w:val="000000"/>
                <w:sz w:val="14"/>
                <w:szCs w:val="14"/>
                <w:lang w:eastAsia="tr-TR"/>
              </w:rPr>
            </w:pPr>
          </w:p>
        </w:tc>
        <w:tc>
          <w:tcPr>
            <w:tcW w:w="2416" w:type="dxa"/>
            <w:vMerge/>
            <w:tcBorders>
              <w:top w:val="nil"/>
              <w:left w:val="single" w:sz="4" w:space="0" w:color="auto"/>
              <w:bottom w:val="single" w:sz="4" w:space="0" w:color="auto"/>
              <w:right w:val="single" w:sz="4" w:space="0" w:color="auto"/>
            </w:tcBorders>
            <w:vAlign w:val="center"/>
            <w:hideMark/>
          </w:tcPr>
          <w:p w14:paraId="558695FA" w14:textId="77777777" w:rsidR="00C34D22" w:rsidRPr="00BF48C0" w:rsidRDefault="00C34D22" w:rsidP="00C34D22">
            <w:pPr>
              <w:rPr>
                <w:color w:val="000000"/>
                <w:sz w:val="14"/>
                <w:szCs w:val="14"/>
                <w:lang w:eastAsia="tr-TR"/>
              </w:rPr>
            </w:pPr>
          </w:p>
        </w:tc>
        <w:tc>
          <w:tcPr>
            <w:tcW w:w="1818" w:type="dxa"/>
            <w:vMerge/>
            <w:tcBorders>
              <w:top w:val="nil"/>
              <w:left w:val="single" w:sz="4" w:space="0" w:color="auto"/>
              <w:bottom w:val="single" w:sz="4" w:space="0" w:color="auto"/>
              <w:right w:val="single" w:sz="4" w:space="0" w:color="auto"/>
            </w:tcBorders>
            <w:vAlign w:val="center"/>
            <w:hideMark/>
          </w:tcPr>
          <w:p w14:paraId="273468D2" w14:textId="77777777" w:rsidR="00C34D22" w:rsidRPr="00BF48C0" w:rsidRDefault="00C34D22" w:rsidP="00C34D22">
            <w:pPr>
              <w:rPr>
                <w:color w:val="000000"/>
                <w:sz w:val="14"/>
                <w:szCs w:val="14"/>
                <w:lang w:eastAsia="tr-TR"/>
              </w:rPr>
            </w:pPr>
          </w:p>
        </w:tc>
        <w:tc>
          <w:tcPr>
            <w:tcW w:w="769" w:type="dxa"/>
            <w:vMerge/>
            <w:tcBorders>
              <w:top w:val="nil"/>
              <w:left w:val="single" w:sz="4" w:space="0" w:color="auto"/>
              <w:bottom w:val="single" w:sz="4" w:space="0" w:color="auto"/>
              <w:right w:val="single" w:sz="4" w:space="0" w:color="auto"/>
            </w:tcBorders>
            <w:vAlign w:val="center"/>
            <w:hideMark/>
          </w:tcPr>
          <w:p w14:paraId="20A60154" w14:textId="77777777" w:rsidR="00C34D22" w:rsidRPr="00BF48C0" w:rsidRDefault="00C34D22" w:rsidP="00C34D22">
            <w:pPr>
              <w:rPr>
                <w:color w:val="000000"/>
                <w:sz w:val="14"/>
                <w:szCs w:val="14"/>
                <w:lang w:eastAsia="tr-TR"/>
              </w:rPr>
            </w:pPr>
          </w:p>
        </w:tc>
        <w:tc>
          <w:tcPr>
            <w:tcW w:w="1288" w:type="dxa"/>
            <w:vMerge/>
            <w:tcBorders>
              <w:top w:val="nil"/>
              <w:left w:val="single" w:sz="4" w:space="0" w:color="auto"/>
              <w:bottom w:val="single" w:sz="4" w:space="0" w:color="auto"/>
              <w:right w:val="single" w:sz="4" w:space="0" w:color="auto"/>
            </w:tcBorders>
            <w:vAlign w:val="center"/>
            <w:hideMark/>
          </w:tcPr>
          <w:p w14:paraId="1B8DC078" w14:textId="77777777" w:rsidR="00C34D22" w:rsidRPr="00BF48C0" w:rsidRDefault="00C34D22" w:rsidP="00C34D22">
            <w:pPr>
              <w:rPr>
                <w:color w:val="000000"/>
                <w:sz w:val="14"/>
                <w:szCs w:val="14"/>
                <w:lang w:eastAsia="tr-TR"/>
              </w:rPr>
            </w:pPr>
          </w:p>
        </w:tc>
        <w:tc>
          <w:tcPr>
            <w:tcW w:w="1792" w:type="dxa"/>
            <w:vMerge/>
            <w:tcBorders>
              <w:top w:val="nil"/>
              <w:left w:val="single" w:sz="4" w:space="0" w:color="auto"/>
              <w:bottom w:val="single" w:sz="4" w:space="0" w:color="auto"/>
              <w:right w:val="single" w:sz="4" w:space="0" w:color="auto"/>
            </w:tcBorders>
            <w:vAlign w:val="center"/>
            <w:hideMark/>
          </w:tcPr>
          <w:p w14:paraId="281D83FA" w14:textId="77777777" w:rsidR="00C34D22" w:rsidRPr="00BF48C0" w:rsidRDefault="00C34D22" w:rsidP="00C34D22">
            <w:pPr>
              <w:rPr>
                <w:color w:val="000000"/>
                <w:sz w:val="14"/>
                <w:szCs w:val="14"/>
                <w:lang w:eastAsia="tr-TR"/>
              </w:rPr>
            </w:pPr>
          </w:p>
        </w:tc>
      </w:tr>
      <w:tr w:rsidR="00C34D22" w:rsidRPr="00BF48C0" w14:paraId="5D6617B5" w14:textId="77777777" w:rsidTr="00FC1F5B">
        <w:trPr>
          <w:divId w:val="1073314437"/>
          <w:trHeight w:val="230"/>
        </w:trPr>
        <w:tc>
          <w:tcPr>
            <w:tcW w:w="1417" w:type="dxa"/>
            <w:vMerge/>
            <w:tcBorders>
              <w:top w:val="nil"/>
              <w:left w:val="single" w:sz="4" w:space="0" w:color="auto"/>
              <w:bottom w:val="single" w:sz="4" w:space="0" w:color="auto"/>
              <w:right w:val="single" w:sz="4" w:space="0" w:color="auto"/>
            </w:tcBorders>
            <w:vAlign w:val="center"/>
            <w:hideMark/>
          </w:tcPr>
          <w:p w14:paraId="771C7380" w14:textId="77777777" w:rsidR="00C34D22" w:rsidRPr="00BF48C0" w:rsidRDefault="00C34D22" w:rsidP="00C34D22">
            <w:pPr>
              <w:rPr>
                <w:color w:val="000000"/>
                <w:sz w:val="14"/>
                <w:szCs w:val="14"/>
                <w:lang w:eastAsia="tr-TR"/>
              </w:rPr>
            </w:pPr>
          </w:p>
        </w:tc>
        <w:tc>
          <w:tcPr>
            <w:tcW w:w="2416" w:type="dxa"/>
            <w:vMerge/>
            <w:tcBorders>
              <w:top w:val="nil"/>
              <w:left w:val="single" w:sz="4" w:space="0" w:color="auto"/>
              <w:bottom w:val="single" w:sz="4" w:space="0" w:color="auto"/>
              <w:right w:val="single" w:sz="4" w:space="0" w:color="auto"/>
            </w:tcBorders>
            <w:vAlign w:val="center"/>
            <w:hideMark/>
          </w:tcPr>
          <w:p w14:paraId="1987DF87" w14:textId="77777777" w:rsidR="00C34D22" w:rsidRPr="00BF48C0" w:rsidRDefault="00C34D22" w:rsidP="00C34D22">
            <w:pPr>
              <w:rPr>
                <w:color w:val="000000"/>
                <w:sz w:val="14"/>
                <w:szCs w:val="14"/>
                <w:lang w:eastAsia="tr-TR"/>
              </w:rPr>
            </w:pPr>
          </w:p>
        </w:tc>
        <w:tc>
          <w:tcPr>
            <w:tcW w:w="1818" w:type="dxa"/>
            <w:vMerge/>
            <w:tcBorders>
              <w:top w:val="nil"/>
              <w:left w:val="single" w:sz="4" w:space="0" w:color="auto"/>
              <w:bottom w:val="single" w:sz="4" w:space="0" w:color="auto"/>
              <w:right w:val="single" w:sz="4" w:space="0" w:color="auto"/>
            </w:tcBorders>
            <w:vAlign w:val="center"/>
            <w:hideMark/>
          </w:tcPr>
          <w:p w14:paraId="0C96F26C" w14:textId="77777777" w:rsidR="00C34D22" w:rsidRPr="00BF48C0" w:rsidRDefault="00C34D22" w:rsidP="00C34D22">
            <w:pPr>
              <w:rPr>
                <w:color w:val="000000"/>
                <w:sz w:val="14"/>
                <w:szCs w:val="14"/>
                <w:lang w:eastAsia="tr-TR"/>
              </w:rPr>
            </w:pPr>
          </w:p>
        </w:tc>
        <w:tc>
          <w:tcPr>
            <w:tcW w:w="769" w:type="dxa"/>
            <w:vMerge/>
            <w:tcBorders>
              <w:top w:val="nil"/>
              <w:left w:val="single" w:sz="4" w:space="0" w:color="auto"/>
              <w:bottom w:val="single" w:sz="4" w:space="0" w:color="auto"/>
              <w:right w:val="single" w:sz="4" w:space="0" w:color="auto"/>
            </w:tcBorders>
            <w:vAlign w:val="center"/>
            <w:hideMark/>
          </w:tcPr>
          <w:p w14:paraId="15DECB70" w14:textId="77777777" w:rsidR="00C34D22" w:rsidRPr="00BF48C0" w:rsidRDefault="00C34D22" w:rsidP="00C34D22">
            <w:pPr>
              <w:rPr>
                <w:color w:val="000000"/>
                <w:sz w:val="14"/>
                <w:szCs w:val="14"/>
                <w:lang w:eastAsia="tr-TR"/>
              </w:rPr>
            </w:pPr>
          </w:p>
        </w:tc>
        <w:tc>
          <w:tcPr>
            <w:tcW w:w="1288" w:type="dxa"/>
            <w:vMerge/>
            <w:tcBorders>
              <w:top w:val="nil"/>
              <w:left w:val="single" w:sz="4" w:space="0" w:color="auto"/>
              <w:bottom w:val="single" w:sz="4" w:space="0" w:color="auto"/>
              <w:right w:val="single" w:sz="4" w:space="0" w:color="auto"/>
            </w:tcBorders>
            <w:vAlign w:val="center"/>
            <w:hideMark/>
          </w:tcPr>
          <w:p w14:paraId="1F2F55FD" w14:textId="77777777" w:rsidR="00C34D22" w:rsidRPr="00BF48C0" w:rsidRDefault="00C34D22" w:rsidP="00C34D22">
            <w:pPr>
              <w:rPr>
                <w:color w:val="000000"/>
                <w:sz w:val="14"/>
                <w:szCs w:val="14"/>
                <w:lang w:eastAsia="tr-TR"/>
              </w:rPr>
            </w:pPr>
          </w:p>
        </w:tc>
        <w:tc>
          <w:tcPr>
            <w:tcW w:w="1792" w:type="dxa"/>
            <w:vMerge/>
            <w:tcBorders>
              <w:top w:val="nil"/>
              <w:left w:val="single" w:sz="4" w:space="0" w:color="auto"/>
              <w:bottom w:val="single" w:sz="4" w:space="0" w:color="auto"/>
              <w:right w:val="single" w:sz="4" w:space="0" w:color="auto"/>
            </w:tcBorders>
            <w:vAlign w:val="center"/>
            <w:hideMark/>
          </w:tcPr>
          <w:p w14:paraId="76029DA1" w14:textId="77777777" w:rsidR="00C34D22" w:rsidRPr="00BF48C0" w:rsidRDefault="00C34D22" w:rsidP="00C34D22">
            <w:pPr>
              <w:rPr>
                <w:color w:val="000000"/>
                <w:sz w:val="14"/>
                <w:szCs w:val="14"/>
                <w:lang w:eastAsia="tr-TR"/>
              </w:rPr>
            </w:pPr>
          </w:p>
        </w:tc>
      </w:tr>
    </w:tbl>
    <w:p w14:paraId="7D9B7111" w14:textId="2F55BC76" w:rsidR="00584A8B" w:rsidRPr="00BF48C0" w:rsidRDefault="00584A8B" w:rsidP="00584A8B">
      <w:pPr>
        <w:pStyle w:val="default0"/>
        <w:jc w:val="both"/>
        <w:rPr>
          <w:sz w:val="20"/>
          <w:szCs w:val="20"/>
        </w:rPr>
      </w:pPr>
    </w:p>
    <w:p w14:paraId="4F4DA045" w14:textId="43AE0B9B" w:rsidR="00BE1951" w:rsidRPr="00BF48C0" w:rsidRDefault="00584A8B" w:rsidP="00584A8B">
      <w:pPr>
        <w:pStyle w:val="default0"/>
        <w:jc w:val="both"/>
        <w:rPr>
          <w:sz w:val="14"/>
          <w:szCs w:val="14"/>
        </w:rPr>
      </w:pPr>
      <w:r w:rsidRPr="00BF48C0">
        <w:rPr>
          <w:sz w:val="14"/>
          <w:szCs w:val="14"/>
        </w:rPr>
        <w:t xml:space="preserve">(*) Ertelenmiş vergi etkisini içermektedir. Önceki dönem ertelenmiş vergi etkisi </w:t>
      </w:r>
      <w:r w:rsidR="00932FED" w:rsidRPr="00BF48C0">
        <w:rPr>
          <w:sz w:val="14"/>
          <w:szCs w:val="14"/>
        </w:rPr>
        <w:t>2</w:t>
      </w:r>
      <w:r w:rsidR="00BE1951" w:rsidRPr="00BF48C0">
        <w:rPr>
          <w:sz w:val="14"/>
          <w:szCs w:val="14"/>
        </w:rPr>
        <w:t>,</w:t>
      </w:r>
      <w:r w:rsidR="00706B08" w:rsidRPr="00BF48C0">
        <w:rPr>
          <w:sz w:val="14"/>
          <w:szCs w:val="14"/>
        </w:rPr>
        <w:t>5</w:t>
      </w:r>
      <w:r w:rsidR="00932FED" w:rsidRPr="00BF48C0">
        <w:rPr>
          <w:sz w:val="14"/>
          <w:szCs w:val="14"/>
        </w:rPr>
        <w:t>3</w:t>
      </w:r>
      <w:r w:rsidR="00706B08" w:rsidRPr="00BF48C0">
        <w:rPr>
          <w:sz w:val="14"/>
          <w:szCs w:val="14"/>
        </w:rPr>
        <w:t>3</w:t>
      </w:r>
      <w:r w:rsidR="00BE1951" w:rsidRPr="00BF48C0">
        <w:rPr>
          <w:sz w:val="14"/>
          <w:szCs w:val="14"/>
        </w:rPr>
        <w:t xml:space="preserve"> TL’dir. </w:t>
      </w:r>
    </w:p>
    <w:p w14:paraId="700A6416" w14:textId="77777777" w:rsidR="00584A8B" w:rsidRPr="00BF48C0" w:rsidRDefault="00BE1951" w:rsidP="00584A8B">
      <w:pPr>
        <w:pStyle w:val="default0"/>
        <w:jc w:val="both"/>
        <w:rPr>
          <w:sz w:val="14"/>
          <w:szCs w:val="14"/>
        </w:rPr>
      </w:pPr>
      <w:r w:rsidRPr="00BF48C0">
        <w:rPr>
          <w:sz w:val="14"/>
          <w:szCs w:val="14"/>
        </w:rPr>
        <w:t>(**) Banka</w:t>
      </w:r>
      <w:r w:rsidR="00584A8B" w:rsidRPr="00BF48C0">
        <w:rPr>
          <w:sz w:val="14"/>
          <w:szCs w:val="14"/>
        </w:rPr>
        <w:t xml:space="preserve">'nın bağlı ortaklığı </w:t>
      </w:r>
      <w:r w:rsidRPr="00BF48C0">
        <w:rPr>
          <w:sz w:val="14"/>
          <w:szCs w:val="14"/>
        </w:rPr>
        <w:t xml:space="preserve">KT Kira Sertifikaları A.Ş. </w:t>
      </w:r>
      <w:r w:rsidR="00584A8B" w:rsidRPr="00BF48C0">
        <w:rPr>
          <w:sz w:val="14"/>
          <w:szCs w:val="14"/>
        </w:rPr>
        <w:t>tarafından ihraç edilen menkul kıymet olup, finansal tablolarda "alınan krediler" satırında gösterilmiştir</w:t>
      </w:r>
      <w:r w:rsidRPr="00BF48C0">
        <w:rPr>
          <w:sz w:val="14"/>
          <w:szCs w:val="14"/>
        </w:rPr>
        <w:t>.</w:t>
      </w:r>
    </w:p>
    <w:p w14:paraId="59AE84D8" w14:textId="77777777" w:rsidR="00BE1951" w:rsidRPr="00BF48C0" w:rsidRDefault="00BE1951" w:rsidP="00584A8B">
      <w:pPr>
        <w:pStyle w:val="default0"/>
        <w:jc w:val="both"/>
        <w:rPr>
          <w:sz w:val="20"/>
          <w:szCs w:val="20"/>
        </w:rPr>
      </w:pPr>
    </w:p>
    <w:p w14:paraId="172B3F31" w14:textId="77777777" w:rsidR="00584A8B" w:rsidRPr="00BF48C0" w:rsidRDefault="00BE1951" w:rsidP="00584A8B">
      <w:pPr>
        <w:pStyle w:val="default0"/>
        <w:jc w:val="both"/>
        <w:rPr>
          <w:sz w:val="20"/>
          <w:szCs w:val="20"/>
        </w:rPr>
      </w:pPr>
      <w:r w:rsidRPr="00BF48C0">
        <w:rPr>
          <w:sz w:val="20"/>
          <w:szCs w:val="20"/>
        </w:rPr>
        <w:t>Banka</w:t>
      </w:r>
      <w:r w:rsidR="00584A8B" w:rsidRPr="00BF48C0">
        <w:rPr>
          <w:sz w:val="20"/>
          <w:szCs w:val="20"/>
        </w:rPr>
        <w:t>, TMS 39 ve kendi risk politikaları çerçevesinde NARK uygulamaları için gerekli şartları ve kuralları yazılı olarak süreç haline getirmiştir. Her yeni riskten korunma ilişkisi bu çerçevede değerlendirilip ilgili onay sürecinden geçirilmekte ve belgelenmektedir. Etk</w:t>
      </w:r>
      <w:r w:rsidRPr="00BF48C0">
        <w:rPr>
          <w:sz w:val="20"/>
          <w:szCs w:val="20"/>
        </w:rPr>
        <w:t>inlik testleri de Banka</w:t>
      </w:r>
      <w:r w:rsidR="00584A8B" w:rsidRPr="00BF48C0">
        <w:rPr>
          <w:sz w:val="20"/>
          <w:szCs w:val="20"/>
        </w:rPr>
        <w:t xml:space="preserve">’nın risk stratejilerine uygun olarak TMS 39 kapsamında izin verilen yöntemler içerisinden seçilmiştir. Yine söz konusu süreç dahilinde, her ay sonu itibarıyla etkinlik testleri gerçekleştirilmekte ve risk ilişkilerinin etkinliği ölçülmektedir.  </w:t>
      </w:r>
    </w:p>
    <w:p w14:paraId="712403C7" w14:textId="77777777" w:rsidR="00584A8B" w:rsidRPr="00BF48C0" w:rsidRDefault="00584A8B" w:rsidP="00584A8B">
      <w:pPr>
        <w:pStyle w:val="default0"/>
        <w:jc w:val="both"/>
        <w:rPr>
          <w:sz w:val="20"/>
          <w:szCs w:val="20"/>
        </w:rPr>
      </w:pPr>
      <w:r w:rsidRPr="00BF48C0">
        <w:rPr>
          <w:sz w:val="20"/>
          <w:szCs w:val="20"/>
        </w:rPr>
        <w:t xml:space="preserve"> </w:t>
      </w:r>
    </w:p>
    <w:p w14:paraId="0DB1E65A" w14:textId="33DC4704" w:rsidR="00584A8B" w:rsidRPr="00BF48C0" w:rsidRDefault="002B681F" w:rsidP="00584A8B">
      <w:pPr>
        <w:pStyle w:val="BodyText"/>
        <w:tabs>
          <w:tab w:val="left" w:pos="709"/>
        </w:tabs>
      </w:pPr>
      <w:r w:rsidRPr="00BF48C0">
        <w:t>30 Eylül 2020</w:t>
      </w:r>
      <w:r w:rsidR="00674CA4" w:rsidRPr="00BF48C0">
        <w:t xml:space="preserve"> </w:t>
      </w:r>
      <w:r w:rsidR="00584A8B" w:rsidRPr="00BF48C0">
        <w:t xml:space="preserve">itibarıyla </w:t>
      </w:r>
      <w:r w:rsidR="00BF48C0" w:rsidRPr="00BF48C0">
        <w:t>Banka’nın</w:t>
      </w:r>
      <w:r w:rsidR="00584A8B" w:rsidRPr="00BF48C0">
        <w:t xml:space="preserve"> nakit akış riskinden korunma </w:t>
      </w:r>
      <w:r w:rsidR="00BF48C0" w:rsidRPr="00BF48C0">
        <w:t>işlemi bulunmamaktadır</w:t>
      </w:r>
      <w:r w:rsidR="00584A8B" w:rsidRPr="00BF48C0">
        <w:t>.</w:t>
      </w:r>
    </w:p>
    <w:p w14:paraId="7CDEC450" w14:textId="77777777" w:rsidR="001D6C98" w:rsidRPr="00270CE6" w:rsidRDefault="001D6C98" w:rsidP="00584A8B">
      <w:pPr>
        <w:pStyle w:val="BodyText"/>
        <w:tabs>
          <w:tab w:val="left" w:pos="709"/>
        </w:tabs>
        <w:rPr>
          <w:highlight w:val="yellow"/>
        </w:rPr>
      </w:pPr>
    </w:p>
    <w:p w14:paraId="091E250E" w14:textId="77777777" w:rsidR="00674CA4" w:rsidRPr="00270CE6" w:rsidRDefault="00674CA4" w:rsidP="00584A8B">
      <w:pPr>
        <w:pStyle w:val="BodyText"/>
        <w:tabs>
          <w:tab w:val="left" w:pos="709"/>
        </w:tabs>
        <w:rPr>
          <w:highlight w:val="yellow"/>
        </w:rPr>
      </w:pPr>
    </w:p>
    <w:p w14:paraId="64804474" w14:textId="77777777" w:rsidR="001D6C98" w:rsidRPr="00270CE6" w:rsidRDefault="001D6C98" w:rsidP="00584A8B">
      <w:pPr>
        <w:pStyle w:val="BodyText"/>
        <w:tabs>
          <w:tab w:val="left" w:pos="709"/>
        </w:tabs>
        <w:rPr>
          <w:highlight w:val="yellow"/>
        </w:rPr>
      </w:pPr>
    </w:p>
    <w:p w14:paraId="27CF0317" w14:textId="4E253156" w:rsidR="001D6C98" w:rsidRPr="00270CE6" w:rsidRDefault="001D6C98" w:rsidP="00584A8B">
      <w:pPr>
        <w:pStyle w:val="BodyText"/>
        <w:tabs>
          <w:tab w:val="left" w:pos="709"/>
        </w:tabs>
        <w:rPr>
          <w:highlight w:val="yellow"/>
        </w:rPr>
      </w:pPr>
    </w:p>
    <w:p w14:paraId="03E2A176" w14:textId="2858F0F4" w:rsidR="00D60A1B" w:rsidRPr="00270CE6" w:rsidRDefault="00D60A1B" w:rsidP="00584A8B">
      <w:pPr>
        <w:pStyle w:val="BodyText"/>
        <w:tabs>
          <w:tab w:val="left" w:pos="709"/>
        </w:tabs>
        <w:rPr>
          <w:highlight w:val="yellow"/>
        </w:rPr>
      </w:pPr>
    </w:p>
    <w:p w14:paraId="7720863F" w14:textId="77777777" w:rsidR="00D60A1B" w:rsidRPr="00270CE6" w:rsidRDefault="00D60A1B" w:rsidP="00584A8B">
      <w:pPr>
        <w:pStyle w:val="BodyText"/>
        <w:tabs>
          <w:tab w:val="left" w:pos="709"/>
        </w:tabs>
        <w:rPr>
          <w:highlight w:val="yellow"/>
        </w:rPr>
      </w:pPr>
    </w:p>
    <w:p w14:paraId="4BB640E0" w14:textId="77777777" w:rsidR="001D6C98" w:rsidRPr="00270CE6" w:rsidRDefault="001D6C98" w:rsidP="00584A8B">
      <w:pPr>
        <w:pStyle w:val="BodyText"/>
        <w:tabs>
          <w:tab w:val="left" w:pos="709"/>
        </w:tabs>
        <w:rPr>
          <w:highlight w:val="yellow"/>
        </w:rPr>
      </w:pPr>
    </w:p>
    <w:p w14:paraId="29E3C212" w14:textId="2FDD862E" w:rsidR="001D6C98" w:rsidRDefault="001D6C98" w:rsidP="00584A8B">
      <w:pPr>
        <w:pStyle w:val="BodyText"/>
        <w:tabs>
          <w:tab w:val="left" w:pos="709"/>
        </w:tabs>
        <w:rPr>
          <w:highlight w:val="yellow"/>
        </w:rPr>
      </w:pPr>
    </w:p>
    <w:p w14:paraId="60716282" w14:textId="77777777" w:rsidR="00BF48C0" w:rsidRPr="00270CE6" w:rsidRDefault="00BF48C0" w:rsidP="00584A8B">
      <w:pPr>
        <w:pStyle w:val="BodyText"/>
        <w:tabs>
          <w:tab w:val="left" w:pos="709"/>
        </w:tabs>
        <w:rPr>
          <w:highlight w:val="yellow"/>
        </w:rPr>
      </w:pPr>
    </w:p>
    <w:p w14:paraId="68A9AEFB" w14:textId="635C5596" w:rsidR="00FC1F5B" w:rsidRDefault="00FC1F5B">
      <w:pPr>
        <w:rPr>
          <w:highlight w:val="yellow"/>
          <w:lang w:eastAsia="x-none"/>
        </w:rPr>
      </w:pPr>
      <w:r>
        <w:rPr>
          <w:highlight w:val="yellow"/>
        </w:rPr>
        <w:br w:type="page"/>
      </w:r>
    </w:p>
    <w:p w14:paraId="2216F3B7" w14:textId="18B26589" w:rsidR="001D6C98" w:rsidRPr="002B34EE" w:rsidRDefault="00526564" w:rsidP="001D6C98">
      <w:pPr>
        <w:pStyle w:val="BodyText"/>
        <w:tabs>
          <w:tab w:val="left" w:pos="709"/>
        </w:tabs>
        <w:ind w:hanging="567"/>
        <w:rPr>
          <w:b/>
        </w:rPr>
      </w:pPr>
      <w:bookmarkStart w:id="12" w:name="_Hlk46745927"/>
      <w:r w:rsidRPr="002B34EE">
        <w:rPr>
          <w:b/>
          <w:color w:val="000000"/>
        </w:rPr>
        <w:lastRenderedPageBreak/>
        <w:t>9</w:t>
      </w:r>
      <w:r w:rsidR="001D6C98" w:rsidRPr="002B34EE">
        <w:rPr>
          <w:b/>
          <w:color w:val="000000"/>
        </w:rPr>
        <w:t xml:space="preserve">.    </w:t>
      </w:r>
      <w:r w:rsidR="001D6C98" w:rsidRPr="002B34EE">
        <w:rPr>
          <w:b/>
          <w:color w:val="000000"/>
        </w:rPr>
        <w:tab/>
        <w:t>Risk yönetimine ilişkin açıklamalar</w:t>
      </w:r>
    </w:p>
    <w:p w14:paraId="65908440" w14:textId="77777777" w:rsidR="001D6C98" w:rsidRPr="002B34EE" w:rsidRDefault="001D6C98" w:rsidP="001D6C98">
      <w:pPr>
        <w:pStyle w:val="default0"/>
        <w:jc w:val="both"/>
        <w:rPr>
          <w:sz w:val="16"/>
          <w:szCs w:val="16"/>
        </w:rPr>
      </w:pPr>
    </w:p>
    <w:p w14:paraId="742E841B" w14:textId="77777777" w:rsidR="001D6C98" w:rsidRPr="002B34EE" w:rsidRDefault="001D6C98" w:rsidP="001D6C98">
      <w:pPr>
        <w:pStyle w:val="default0"/>
        <w:jc w:val="both"/>
        <w:rPr>
          <w:sz w:val="20"/>
          <w:szCs w:val="20"/>
        </w:rPr>
      </w:pPr>
      <w:r w:rsidRPr="002B34EE">
        <w:rPr>
          <w:sz w:val="20"/>
          <w:szCs w:val="20"/>
        </w:rPr>
        <w:t>Risk Yönetim Sistemi, Banka’nın maruz bulunduğu risklerin sistemli yönetilmesi amacıyla oluşturulan; Yönetim Kurulu, Denetim Komitesi, İç Sistemler Komitesi, Aktif-Pasif Komitesi ve Risk Yönetim Başkanlığı (“RYB”)’</w:t>
      </w:r>
      <w:proofErr w:type="spellStart"/>
      <w:r w:rsidRPr="002B34EE">
        <w:rPr>
          <w:sz w:val="20"/>
          <w:szCs w:val="20"/>
        </w:rPr>
        <w:t>nı</w:t>
      </w:r>
      <w:proofErr w:type="spellEnd"/>
      <w:r w:rsidRPr="002B34EE">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77777777" w:rsidR="00056354" w:rsidRPr="002B34EE" w:rsidRDefault="00056354" w:rsidP="001D6C98">
      <w:pPr>
        <w:pStyle w:val="default0"/>
        <w:jc w:val="both"/>
        <w:rPr>
          <w:sz w:val="20"/>
          <w:szCs w:val="20"/>
        </w:rPr>
      </w:pPr>
    </w:p>
    <w:p w14:paraId="75C97D0E" w14:textId="4719E7B1" w:rsidR="00693EBE" w:rsidRPr="002B34EE" w:rsidRDefault="00693EBE" w:rsidP="00056354">
      <w:pPr>
        <w:ind w:hanging="567"/>
        <w:jc w:val="both"/>
        <w:rPr>
          <w:b/>
          <w:color w:val="000000"/>
          <w:sz w:val="8"/>
        </w:rPr>
      </w:pPr>
    </w:p>
    <w:p w14:paraId="5173A4D1" w14:textId="52DF9EEC" w:rsidR="009B6F68" w:rsidRPr="002B34EE" w:rsidRDefault="00526564" w:rsidP="009B6F68">
      <w:pPr>
        <w:ind w:hanging="567"/>
        <w:jc w:val="both"/>
        <w:rPr>
          <w:b/>
          <w:color w:val="000000"/>
        </w:rPr>
      </w:pPr>
      <w:proofErr w:type="gramStart"/>
      <w:r w:rsidRPr="002B34EE">
        <w:rPr>
          <w:b/>
          <w:color w:val="000000"/>
        </w:rPr>
        <w:t>9</w:t>
      </w:r>
      <w:r w:rsidR="009B6F68" w:rsidRPr="002B34EE">
        <w:rPr>
          <w:b/>
          <w:color w:val="000000"/>
        </w:rPr>
        <w:t xml:space="preserve">.1.  </w:t>
      </w:r>
      <w:r w:rsidR="00FC1F5B">
        <w:rPr>
          <w:b/>
          <w:color w:val="000000"/>
        </w:rPr>
        <w:tab/>
      </w:r>
      <w:proofErr w:type="gramEnd"/>
      <w:r w:rsidR="009B6F68" w:rsidRPr="002B34EE">
        <w:rPr>
          <w:b/>
          <w:color w:val="000000"/>
        </w:rPr>
        <w:t>Risk Yönetimi ve Risk Ağırlıklı Tutarlara İlişkin Açıklamalar:</w:t>
      </w:r>
    </w:p>
    <w:p w14:paraId="323238E2" w14:textId="093D4267" w:rsidR="009B6F68" w:rsidRPr="002B34EE" w:rsidRDefault="009B6F68" w:rsidP="009B6F68">
      <w:pPr>
        <w:ind w:hanging="567"/>
        <w:jc w:val="both"/>
        <w:rPr>
          <w:b/>
          <w:color w:val="000000"/>
        </w:rPr>
      </w:pPr>
    </w:p>
    <w:p w14:paraId="335D623E" w14:textId="50216F1D" w:rsidR="00056354" w:rsidRPr="002B34EE" w:rsidRDefault="00526564" w:rsidP="00056354">
      <w:pPr>
        <w:ind w:hanging="567"/>
        <w:jc w:val="both"/>
        <w:rPr>
          <w:b/>
          <w:color w:val="000000"/>
        </w:rPr>
      </w:pPr>
      <w:proofErr w:type="gramStart"/>
      <w:r w:rsidRPr="002B34EE">
        <w:rPr>
          <w:b/>
          <w:color w:val="000000"/>
        </w:rPr>
        <w:t>9</w:t>
      </w:r>
      <w:r w:rsidR="00056354" w:rsidRPr="002B34EE">
        <w:rPr>
          <w:b/>
          <w:color w:val="000000"/>
        </w:rPr>
        <w:t>.1</w:t>
      </w:r>
      <w:r w:rsidR="009B6F68" w:rsidRPr="002B34EE">
        <w:rPr>
          <w:b/>
          <w:color w:val="000000"/>
        </w:rPr>
        <w:t>.1</w:t>
      </w:r>
      <w:r w:rsidR="00056354" w:rsidRPr="002B34EE">
        <w:rPr>
          <w:b/>
          <w:color w:val="000000"/>
        </w:rPr>
        <w:t xml:space="preserve">.  </w:t>
      </w:r>
      <w:r w:rsidR="00693EBE" w:rsidRPr="002B34EE">
        <w:rPr>
          <w:b/>
          <w:color w:val="000000"/>
        </w:rPr>
        <w:t>GB</w:t>
      </w:r>
      <w:proofErr w:type="gramEnd"/>
      <w:r w:rsidR="00693EBE" w:rsidRPr="002B34EE">
        <w:rPr>
          <w:b/>
          <w:color w:val="000000"/>
        </w:rPr>
        <w:t xml:space="preserve">1 - </w:t>
      </w:r>
      <w:r w:rsidR="00056354" w:rsidRPr="002B34EE">
        <w:rPr>
          <w:b/>
          <w:color w:val="000000"/>
        </w:rPr>
        <w:t>Risk ağırlıklı tutarlara genel bakış:</w:t>
      </w:r>
    </w:p>
    <w:p w14:paraId="4D2C6DA7" w14:textId="0944CC13" w:rsidR="002B34EE" w:rsidRPr="002B34EE" w:rsidRDefault="002B34EE" w:rsidP="00F35F4E">
      <w:pPr>
        <w:pStyle w:val="BodyText"/>
        <w:tabs>
          <w:tab w:val="left" w:pos="709"/>
        </w:tabs>
        <w:rPr>
          <w:lang w:val="en-GB" w:eastAsia="en-GB"/>
        </w:rPr>
      </w:pPr>
    </w:p>
    <w:tbl>
      <w:tblPr>
        <w:tblW w:w="9365" w:type="dxa"/>
        <w:tblCellMar>
          <w:left w:w="70" w:type="dxa"/>
          <w:right w:w="70" w:type="dxa"/>
        </w:tblCellMar>
        <w:tblLook w:val="04A0" w:firstRow="1" w:lastRow="0" w:firstColumn="1" w:lastColumn="0" w:noHBand="0" w:noVBand="1"/>
      </w:tblPr>
      <w:tblGrid>
        <w:gridCol w:w="320"/>
        <w:gridCol w:w="5651"/>
        <w:gridCol w:w="951"/>
        <w:gridCol w:w="1203"/>
        <w:gridCol w:w="1240"/>
      </w:tblGrid>
      <w:tr w:rsidR="002B34EE" w:rsidRPr="002B34EE" w14:paraId="3F8D821A" w14:textId="77777777" w:rsidTr="006B1072">
        <w:trPr>
          <w:divId w:val="21905092"/>
          <w:trHeight w:val="220"/>
        </w:trPr>
        <w:tc>
          <w:tcPr>
            <w:tcW w:w="320" w:type="dxa"/>
            <w:vMerge w:val="restart"/>
            <w:tcBorders>
              <w:top w:val="single" w:sz="4" w:space="0" w:color="auto"/>
              <w:left w:val="single" w:sz="4" w:space="0" w:color="auto"/>
              <w:bottom w:val="nil"/>
              <w:right w:val="nil"/>
            </w:tcBorders>
            <w:shd w:val="clear" w:color="auto" w:fill="D0CECE" w:themeFill="background2" w:themeFillShade="E6"/>
            <w:vAlign w:val="center"/>
            <w:hideMark/>
          </w:tcPr>
          <w:p w14:paraId="0E0E83C7" w14:textId="47421500" w:rsidR="002B34EE" w:rsidRPr="002B34EE" w:rsidRDefault="002B34EE" w:rsidP="002B34EE">
            <w:pPr>
              <w:jc w:val="both"/>
              <w:rPr>
                <w:color w:val="404040"/>
                <w:sz w:val="16"/>
                <w:szCs w:val="16"/>
                <w:lang w:eastAsia="tr-TR"/>
              </w:rPr>
            </w:pPr>
            <w:r w:rsidRPr="002B34EE">
              <w:rPr>
                <w:color w:val="404040"/>
                <w:sz w:val="16"/>
                <w:szCs w:val="16"/>
                <w:lang w:eastAsia="tr-TR"/>
              </w:rPr>
              <w:t> </w:t>
            </w:r>
          </w:p>
        </w:tc>
        <w:tc>
          <w:tcPr>
            <w:tcW w:w="5651" w:type="dxa"/>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5DE233EC" w14:textId="77777777" w:rsidR="002B34EE" w:rsidRPr="002B34EE" w:rsidRDefault="002B34EE" w:rsidP="002B34EE">
            <w:pPr>
              <w:jc w:val="both"/>
              <w:rPr>
                <w:sz w:val="16"/>
                <w:szCs w:val="16"/>
                <w:lang w:eastAsia="tr-TR"/>
              </w:rPr>
            </w:pPr>
            <w:r w:rsidRPr="002B34EE">
              <w:rPr>
                <w:sz w:val="16"/>
                <w:szCs w:val="16"/>
                <w:lang w:eastAsia="tr-TR"/>
              </w:rPr>
              <w:t> </w:t>
            </w:r>
          </w:p>
        </w:tc>
        <w:tc>
          <w:tcPr>
            <w:tcW w:w="2154" w:type="dxa"/>
            <w:gridSpan w:val="2"/>
            <w:tcBorders>
              <w:top w:val="single" w:sz="4" w:space="0" w:color="auto"/>
              <w:left w:val="nil"/>
              <w:bottom w:val="nil"/>
              <w:right w:val="single" w:sz="4" w:space="0" w:color="000000"/>
            </w:tcBorders>
            <w:shd w:val="clear" w:color="auto" w:fill="auto"/>
            <w:vAlign w:val="bottom"/>
            <w:hideMark/>
          </w:tcPr>
          <w:p w14:paraId="49EEBB47" w14:textId="77777777" w:rsidR="002B34EE" w:rsidRPr="002B34EE" w:rsidRDefault="002B34EE" w:rsidP="002B34EE">
            <w:pPr>
              <w:jc w:val="center"/>
              <w:rPr>
                <w:b/>
                <w:bCs/>
                <w:sz w:val="16"/>
                <w:szCs w:val="16"/>
                <w:lang w:eastAsia="tr-TR"/>
              </w:rPr>
            </w:pPr>
            <w:r w:rsidRPr="002B34EE">
              <w:rPr>
                <w:b/>
                <w:bCs/>
                <w:sz w:val="16"/>
                <w:szCs w:val="16"/>
                <w:lang w:eastAsia="tr-TR"/>
              </w:rPr>
              <w:t xml:space="preserve">Risk Ağırlıklı </w:t>
            </w:r>
          </w:p>
        </w:tc>
        <w:tc>
          <w:tcPr>
            <w:tcW w:w="124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669364C3" w14:textId="77777777" w:rsidR="002B34EE" w:rsidRPr="002B34EE" w:rsidRDefault="002B34EE" w:rsidP="002B34EE">
            <w:pPr>
              <w:jc w:val="center"/>
              <w:rPr>
                <w:b/>
                <w:bCs/>
                <w:sz w:val="16"/>
                <w:szCs w:val="16"/>
                <w:lang w:eastAsia="tr-TR"/>
              </w:rPr>
            </w:pPr>
            <w:r w:rsidRPr="002B34EE">
              <w:rPr>
                <w:b/>
                <w:bCs/>
                <w:sz w:val="16"/>
                <w:szCs w:val="16"/>
                <w:lang w:eastAsia="tr-TR"/>
              </w:rPr>
              <w:t>Asgari Sermaye Yükümlülüğü</w:t>
            </w:r>
          </w:p>
        </w:tc>
      </w:tr>
      <w:tr w:rsidR="002B34EE" w:rsidRPr="002B34EE" w14:paraId="052373DA" w14:textId="77777777" w:rsidTr="006B1072">
        <w:trPr>
          <w:divId w:val="21905092"/>
          <w:trHeight w:val="220"/>
        </w:trPr>
        <w:tc>
          <w:tcPr>
            <w:tcW w:w="320" w:type="dxa"/>
            <w:vMerge/>
            <w:tcBorders>
              <w:top w:val="single" w:sz="4" w:space="0" w:color="auto"/>
              <w:left w:val="single" w:sz="4" w:space="0" w:color="auto"/>
              <w:bottom w:val="nil"/>
              <w:right w:val="nil"/>
            </w:tcBorders>
            <w:shd w:val="clear" w:color="auto" w:fill="D0CECE" w:themeFill="background2" w:themeFillShade="E6"/>
            <w:vAlign w:val="center"/>
            <w:hideMark/>
          </w:tcPr>
          <w:p w14:paraId="32C5038D" w14:textId="77777777" w:rsidR="002B34EE" w:rsidRPr="002B34EE" w:rsidRDefault="002B34EE" w:rsidP="002B34EE">
            <w:pPr>
              <w:rPr>
                <w:color w:val="404040"/>
                <w:sz w:val="16"/>
                <w:szCs w:val="16"/>
                <w:lang w:eastAsia="tr-TR"/>
              </w:rPr>
            </w:pPr>
          </w:p>
        </w:tc>
        <w:tc>
          <w:tcPr>
            <w:tcW w:w="5651" w:type="dxa"/>
            <w:vMerge/>
            <w:tcBorders>
              <w:top w:val="single" w:sz="4" w:space="0" w:color="auto"/>
              <w:left w:val="nil"/>
              <w:bottom w:val="nil"/>
              <w:right w:val="single" w:sz="4" w:space="0" w:color="auto"/>
            </w:tcBorders>
            <w:shd w:val="clear" w:color="auto" w:fill="D0CECE" w:themeFill="background2" w:themeFillShade="E6"/>
            <w:vAlign w:val="center"/>
            <w:hideMark/>
          </w:tcPr>
          <w:p w14:paraId="4B260579" w14:textId="77777777" w:rsidR="002B34EE" w:rsidRPr="002B34EE" w:rsidRDefault="002B34EE" w:rsidP="002B34EE">
            <w:pPr>
              <w:rPr>
                <w:sz w:val="16"/>
                <w:szCs w:val="16"/>
                <w:lang w:eastAsia="tr-TR"/>
              </w:rPr>
            </w:pPr>
          </w:p>
        </w:tc>
        <w:tc>
          <w:tcPr>
            <w:tcW w:w="2154" w:type="dxa"/>
            <w:gridSpan w:val="2"/>
            <w:tcBorders>
              <w:top w:val="nil"/>
              <w:left w:val="nil"/>
              <w:bottom w:val="single" w:sz="4" w:space="0" w:color="auto"/>
              <w:right w:val="single" w:sz="4" w:space="0" w:color="000000"/>
            </w:tcBorders>
            <w:shd w:val="clear" w:color="auto" w:fill="auto"/>
            <w:vAlign w:val="bottom"/>
            <w:hideMark/>
          </w:tcPr>
          <w:p w14:paraId="0CACD737" w14:textId="77777777" w:rsidR="002B34EE" w:rsidRPr="002B34EE" w:rsidRDefault="002B34EE" w:rsidP="002B34EE">
            <w:pPr>
              <w:jc w:val="center"/>
              <w:rPr>
                <w:b/>
                <w:bCs/>
                <w:sz w:val="16"/>
                <w:szCs w:val="16"/>
                <w:lang w:eastAsia="tr-TR"/>
              </w:rPr>
            </w:pPr>
            <w:r w:rsidRPr="002B34EE">
              <w:rPr>
                <w:b/>
                <w:bCs/>
                <w:sz w:val="16"/>
                <w:szCs w:val="16"/>
                <w:lang w:eastAsia="tr-TR"/>
              </w:rPr>
              <w:t>Tutarlar</w:t>
            </w:r>
          </w:p>
        </w:tc>
        <w:tc>
          <w:tcPr>
            <w:tcW w:w="1240" w:type="dxa"/>
            <w:vMerge/>
            <w:tcBorders>
              <w:top w:val="single" w:sz="4" w:space="0" w:color="auto"/>
              <w:left w:val="single" w:sz="4" w:space="0" w:color="auto"/>
              <w:bottom w:val="single" w:sz="4" w:space="0" w:color="000000"/>
              <w:right w:val="single" w:sz="4" w:space="0" w:color="auto"/>
            </w:tcBorders>
            <w:vAlign w:val="center"/>
            <w:hideMark/>
          </w:tcPr>
          <w:p w14:paraId="5DC90DCE" w14:textId="77777777" w:rsidR="002B34EE" w:rsidRPr="002B34EE" w:rsidRDefault="002B34EE" w:rsidP="002B34EE">
            <w:pPr>
              <w:rPr>
                <w:b/>
                <w:bCs/>
                <w:sz w:val="16"/>
                <w:szCs w:val="16"/>
                <w:lang w:eastAsia="tr-TR"/>
              </w:rPr>
            </w:pPr>
          </w:p>
        </w:tc>
      </w:tr>
      <w:tr w:rsidR="002B34EE" w:rsidRPr="002B34EE" w14:paraId="54E0769E" w14:textId="77777777" w:rsidTr="006B1072">
        <w:trPr>
          <w:divId w:val="21905092"/>
          <w:trHeight w:val="487"/>
        </w:trPr>
        <w:tc>
          <w:tcPr>
            <w:tcW w:w="320" w:type="dxa"/>
            <w:tcBorders>
              <w:top w:val="nil"/>
              <w:left w:val="single" w:sz="4" w:space="0" w:color="auto"/>
              <w:bottom w:val="single" w:sz="4" w:space="0" w:color="auto"/>
              <w:right w:val="nil"/>
            </w:tcBorders>
            <w:shd w:val="clear" w:color="auto" w:fill="D0CECE" w:themeFill="background2" w:themeFillShade="E6"/>
            <w:vAlign w:val="center"/>
            <w:hideMark/>
          </w:tcPr>
          <w:p w14:paraId="3C2027C5" w14:textId="77777777" w:rsidR="002B34EE" w:rsidRPr="002B34EE" w:rsidRDefault="002B34EE" w:rsidP="002B34EE">
            <w:pPr>
              <w:jc w:val="right"/>
              <w:rPr>
                <w:color w:val="404040"/>
                <w:sz w:val="16"/>
                <w:szCs w:val="16"/>
                <w:lang w:eastAsia="tr-TR"/>
              </w:rPr>
            </w:pPr>
            <w:r w:rsidRPr="002B34EE">
              <w:rPr>
                <w:color w:val="404040"/>
                <w:sz w:val="16"/>
                <w:szCs w:val="16"/>
                <w:lang w:eastAsia="tr-TR"/>
              </w:rPr>
              <w:t> </w:t>
            </w:r>
          </w:p>
        </w:tc>
        <w:tc>
          <w:tcPr>
            <w:tcW w:w="5651" w:type="dxa"/>
            <w:tcBorders>
              <w:top w:val="nil"/>
              <w:left w:val="nil"/>
              <w:bottom w:val="single" w:sz="4" w:space="0" w:color="auto"/>
              <w:right w:val="single" w:sz="4" w:space="0" w:color="auto"/>
            </w:tcBorders>
            <w:shd w:val="clear" w:color="auto" w:fill="D0CECE" w:themeFill="background2" w:themeFillShade="E6"/>
            <w:vAlign w:val="center"/>
            <w:hideMark/>
          </w:tcPr>
          <w:p w14:paraId="38A28589" w14:textId="77777777" w:rsidR="002B34EE" w:rsidRPr="002B34EE" w:rsidRDefault="002B34EE" w:rsidP="002B34EE">
            <w:pPr>
              <w:jc w:val="both"/>
              <w:rPr>
                <w:sz w:val="16"/>
                <w:szCs w:val="16"/>
                <w:lang w:eastAsia="tr-TR"/>
              </w:rPr>
            </w:pPr>
            <w:r w:rsidRPr="002B34EE">
              <w:rPr>
                <w:sz w:val="16"/>
                <w:szCs w:val="16"/>
                <w:lang w:eastAsia="tr-TR"/>
              </w:rPr>
              <w:t> </w:t>
            </w:r>
          </w:p>
        </w:tc>
        <w:tc>
          <w:tcPr>
            <w:tcW w:w="951" w:type="dxa"/>
            <w:tcBorders>
              <w:top w:val="nil"/>
              <w:left w:val="nil"/>
              <w:bottom w:val="nil"/>
              <w:right w:val="single" w:sz="4" w:space="0" w:color="auto"/>
            </w:tcBorders>
            <w:shd w:val="clear" w:color="auto" w:fill="auto"/>
            <w:vAlign w:val="bottom"/>
            <w:hideMark/>
          </w:tcPr>
          <w:p w14:paraId="4DE9B1DC" w14:textId="77777777" w:rsidR="002B34EE" w:rsidRPr="002B34EE" w:rsidRDefault="002B34EE" w:rsidP="002B34EE">
            <w:pPr>
              <w:jc w:val="center"/>
              <w:rPr>
                <w:b/>
                <w:bCs/>
                <w:sz w:val="16"/>
                <w:szCs w:val="16"/>
                <w:lang w:eastAsia="tr-TR"/>
              </w:rPr>
            </w:pPr>
            <w:r w:rsidRPr="002B34EE">
              <w:rPr>
                <w:b/>
                <w:bCs/>
                <w:sz w:val="16"/>
                <w:szCs w:val="16"/>
                <w:lang w:eastAsia="tr-TR"/>
              </w:rPr>
              <w:t>Cari Dönem 30/09/2020</w:t>
            </w:r>
          </w:p>
        </w:tc>
        <w:tc>
          <w:tcPr>
            <w:tcW w:w="1203" w:type="dxa"/>
            <w:tcBorders>
              <w:top w:val="nil"/>
              <w:left w:val="nil"/>
              <w:bottom w:val="nil"/>
              <w:right w:val="single" w:sz="4" w:space="0" w:color="auto"/>
            </w:tcBorders>
            <w:shd w:val="clear" w:color="auto" w:fill="auto"/>
            <w:vAlign w:val="bottom"/>
            <w:hideMark/>
          </w:tcPr>
          <w:p w14:paraId="19591DA4" w14:textId="77777777" w:rsidR="002B34EE" w:rsidRPr="002B34EE" w:rsidRDefault="002B34EE" w:rsidP="002B34EE">
            <w:pPr>
              <w:jc w:val="center"/>
              <w:rPr>
                <w:b/>
                <w:bCs/>
                <w:sz w:val="16"/>
                <w:szCs w:val="16"/>
                <w:lang w:eastAsia="tr-TR"/>
              </w:rPr>
            </w:pPr>
            <w:r w:rsidRPr="002B34EE">
              <w:rPr>
                <w:b/>
                <w:bCs/>
                <w:sz w:val="16"/>
                <w:szCs w:val="16"/>
                <w:lang w:eastAsia="tr-TR"/>
              </w:rPr>
              <w:t>Önceki Dönem 31/12/2019</w:t>
            </w:r>
          </w:p>
        </w:tc>
        <w:tc>
          <w:tcPr>
            <w:tcW w:w="1240" w:type="dxa"/>
            <w:tcBorders>
              <w:top w:val="nil"/>
              <w:left w:val="nil"/>
              <w:bottom w:val="nil"/>
              <w:right w:val="single" w:sz="4" w:space="0" w:color="auto"/>
            </w:tcBorders>
            <w:shd w:val="clear" w:color="auto" w:fill="auto"/>
            <w:vAlign w:val="bottom"/>
            <w:hideMark/>
          </w:tcPr>
          <w:p w14:paraId="0AD2D275" w14:textId="77777777" w:rsidR="002B34EE" w:rsidRPr="002B34EE" w:rsidRDefault="002B34EE" w:rsidP="002B34EE">
            <w:pPr>
              <w:jc w:val="center"/>
              <w:rPr>
                <w:b/>
                <w:bCs/>
                <w:sz w:val="16"/>
                <w:szCs w:val="16"/>
                <w:lang w:eastAsia="tr-TR"/>
              </w:rPr>
            </w:pPr>
            <w:r w:rsidRPr="002B34EE">
              <w:rPr>
                <w:b/>
                <w:bCs/>
                <w:sz w:val="16"/>
                <w:szCs w:val="16"/>
                <w:lang w:eastAsia="tr-TR"/>
              </w:rPr>
              <w:t>Cari Dönem 30/09/2020</w:t>
            </w:r>
          </w:p>
        </w:tc>
      </w:tr>
      <w:tr w:rsidR="002B34EE" w:rsidRPr="002B34EE" w14:paraId="726AEDD5"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42337A5E" w14:textId="77777777" w:rsidR="002B34EE" w:rsidRPr="002B34EE" w:rsidRDefault="002B34EE" w:rsidP="002B34EE">
            <w:pPr>
              <w:jc w:val="right"/>
              <w:rPr>
                <w:color w:val="404040"/>
                <w:sz w:val="16"/>
                <w:szCs w:val="16"/>
                <w:lang w:eastAsia="tr-TR"/>
              </w:rPr>
            </w:pPr>
            <w:r w:rsidRPr="002B34EE">
              <w:rPr>
                <w:color w:val="404040"/>
                <w:sz w:val="16"/>
                <w:szCs w:val="16"/>
                <w:lang w:eastAsia="tr-TR"/>
              </w:rPr>
              <w:t>1</w:t>
            </w:r>
          </w:p>
        </w:tc>
        <w:tc>
          <w:tcPr>
            <w:tcW w:w="5651" w:type="dxa"/>
            <w:tcBorders>
              <w:top w:val="nil"/>
              <w:left w:val="nil"/>
              <w:bottom w:val="dotted" w:sz="4" w:space="0" w:color="auto"/>
              <w:right w:val="dotted" w:sz="4" w:space="0" w:color="auto"/>
            </w:tcBorders>
            <w:shd w:val="clear" w:color="auto" w:fill="auto"/>
            <w:vAlign w:val="center"/>
            <w:hideMark/>
          </w:tcPr>
          <w:p w14:paraId="4BEA425D" w14:textId="77777777" w:rsidR="002B34EE" w:rsidRPr="002B34EE" w:rsidRDefault="002B34EE" w:rsidP="002B34EE">
            <w:pPr>
              <w:rPr>
                <w:sz w:val="18"/>
                <w:szCs w:val="18"/>
                <w:lang w:eastAsia="tr-TR"/>
              </w:rPr>
            </w:pPr>
            <w:r w:rsidRPr="002B34EE">
              <w:rPr>
                <w:sz w:val="18"/>
                <w:szCs w:val="18"/>
                <w:lang w:eastAsia="tr-TR"/>
              </w:rPr>
              <w:t>Kredi riski (karşı taraf kredi riski hariç)</w:t>
            </w:r>
          </w:p>
        </w:tc>
        <w:tc>
          <w:tcPr>
            <w:tcW w:w="9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00B7EF" w14:textId="77777777" w:rsidR="002B34EE" w:rsidRPr="002B34EE" w:rsidRDefault="002B34EE" w:rsidP="002B34EE">
            <w:pPr>
              <w:jc w:val="right"/>
              <w:rPr>
                <w:sz w:val="16"/>
                <w:szCs w:val="16"/>
                <w:lang w:eastAsia="tr-TR"/>
              </w:rPr>
            </w:pPr>
            <w:r w:rsidRPr="002B34EE">
              <w:rPr>
                <w:sz w:val="16"/>
                <w:szCs w:val="16"/>
                <w:lang w:eastAsia="tr-TR"/>
              </w:rPr>
              <w:t>44,903,199</w:t>
            </w:r>
          </w:p>
        </w:tc>
        <w:tc>
          <w:tcPr>
            <w:tcW w:w="1203" w:type="dxa"/>
            <w:tcBorders>
              <w:top w:val="single" w:sz="4" w:space="0" w:color="auto"/>
              <w:left w:val="nil"/>
              <w:bottom w:val="single" w:sz="4" w:space="0" w:color="auto"/>
              <w:right w:val="single" w:sz="4" w:space="0" w:color="auto"/>
            </w:tcBorders>
            <w:shd w:val="clear" w:color="auto" w:fill="auto"/>
            <w:vAlign w:val="bottom"/>
            <w:hideMark/>
          </w:tcPr>
          <w:p w14:paraId="379D36F9" w14:textId="77777777" w:rsidR="002B34EE" w:rsidRPr="002B34EE" w:rsidRDefault="002B34EE" w:rsidP="002B34EE">
            <w:pPr>
              <w:jc w:val="right"/>
              <w:rPr>
                <w:sz w:val="16"/>
                <w:szCs w:val="16"/>
                <w:lang w:eastAsia="tr-TR"/>
              </w:rPr>
            </w:pPr>
            <w:r w:rsidRPr="002B34EE">
              <w:rPr>
                <w:sz w:val="16"/>
                <w:szCs w:val="16"/>
                <w:lang w:eastAsia="tr-TR"/>
              </w:rPr>
              <w:t>44,998,563</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2552BEB5" w14:textId="77777777" w:rsidR="002B34EE" w:rsidRPr="002B34EE" w:rsidRDefault="002B34EE" w:rsidP="002B34EE">
            <w:pPr>
              <w:jc w:val="right"/>
              <w:rPr>
                <w:sz w:val="16"/>
                <w:szCs w:val="16"/>
                <w:lang w:eastAsia="tr-TR"/>
              </w:rPr>
            </w:pPr>
            <w:r w:rsidRPr="002B34EE">
              <w:rPr>
                <w:sz w:val="16"/>
                <w:szCs w:val="16"/>
                <w:lang w:eastAsia="tr-TR"/>
              </w:rPr>
              <w:t>3,592,256</w:t>
            </w:r>
          </w:p>
        </w:tc>
      </w:tr>
      <w:tr w:rsidR="002B34EE" w:rsidRPr="002B34EE" w14:paraId="465470DA"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0B32FA8B" w14:textId="77777777" w:rsidR="002B34EE" w:rsidRPr="002B34EE" w:rsidRDefault="002B34EE" w:rsidP="002B34EE">
            <w:pPr>
              <w:jc w:val="right"/>
              <w:rPr>
                <w:color w:val="404040"/>
                <w:sz w:val="16"/>
                <w:szCs w:val="16"/>
                <w:lang w:eastAsia="tr-TR"/>
              </w:rPr>
            </w:pPr>
            <w:r w:rsidRPr="002B34EE">
              <w:rPr>
                <w:color w:val="404040"/>
                <w:sz w:val="16"/>
                <w:szCs w:val="16"/>
                <w:lang w:eastAsia="tr-TR"/>
              </w:rPr>
              <w:t>2</w:t>
            </w:r>
          </w:p>
        </w:tc>
        <w:tc>
          <w:tcPr>
            <w:tcW w:w="5651" w:type="dxa"/>
            <w:tcBorders>
              <w:top w:val="nil"/>
              <w:left w:val="nil"/>
              <w:bottom w:val="dotted" w:sz="4" w:space="0" w:color="auto"/>
              <w:right w:val="dotted" w:sz="4" w:space="0" w:color="auto"/>
            </w:tcBorders>
            <w:shd w:val="clear" w:color="auto" w:fill="auto"/>
            <w:vAlign w:val="center"/>
            <w:hideMark/>
          </w:tcPr>
          <w:p w14:paraId="3DC26B35" w14:textId="77777777" w:rsidR="002B34EE" w:rsidRPr="002B34EE" w:rsidRDefault="002B34EE" w:rsidP="002B34EE">
            <w:pPr>
              <w:rPr>
                <w:sz w:val="18"/>
                <w:szCs w:val="18"/>
                <w:lang w:eastAsia="tr-TR"/>
              </w:rPr>
            </w:pPr>
            <w:r w:rsidRPr="002B34EE">
              <w:rPr>
                <w:sz w:val="18"/>
                <w:szCs w:val="18"/>
                <w:lang w:eastAsia="tr-TR"/>
              </w:rPr>
              <w:t>Standart yaklaşım</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66979962" w14:textId="77777777" w:rsidR="002B34EE" w:rsidRPr="002B34EE" w:rsidRDefault="002B34EE" w:rsidP="002B34EE">
            <w:pPr>
              <w:jc w:val="right"/>
              <w:rPr>
                <w:sz w:val="16"/>
                <w:szCs w:val="16"/>
                <w:lang w:eastAsia="tr-TR"/>
              </w:rPr>
            </w:pPr>
            <w:r w:rsidRPr="002B34EE">
              <w:rPr>
                <w:sz w:val="16"/>
                <w:szCs w:val="16"/>
                <w:lang w:eastAsia="tr-TR"/>
              </w:rPr>
              <w:t>44,925,405</w:t>
            </w:r>
          </w:p>
        </w:tc>
        <w:tc>
          <w:tcPr>
            <w:tcW w:w="1203" w:type="dxa"/>
            <w:tcBorders>
              <w:top w:val="nil"/>
              <w:left w:val="nil"/>
              <w:bottom w:val="single" w:sz="4" w:space="0" w:color="auto"/>
              <w:right w:val="single" w:sz="4" w:space="0" w:color="auto"/>
            </w:tcBorders>
            <w:shd w:val="clear" w:color="auto" w:fill="auto"/>
            <w:vAlign w:val="bottom"/>
            <w:hideMark/>
          </w:tcPr>
          <w:p w14:paraId="60E4293B" w14:textId="77777777" w:rsidR="002B34EE" w:rsidRPr="002B34EE" w:rsidRDefault="002B34EE" w:rsidP="002B34EE">
            <w:pPr>
              <w:jc w:val="right"/>
              <w:rPr>
                <w:sz w:val="16"/>
                <w:szCs w:val="16"/>
                <w:lang w:eastAsia="tr-TR"/>
              </w:rPr>
            </w:pPr>
            <w:r w:rsidRPr="002B34EE">
              <w:rPr>
                <w:sz w:val="16"/>
                <w:szCs w:val="16"/>
                <w:lang w:eastAsia="tr-TR"/>
              </w:rPr>
              <w:t>45,023,161</w:t>
            </w:r>
          </w:p>
        </w:tc>
        <w:tc>
          <w:tcPr>
            <w:tcW w:w="1240" w:type="dxa"/>
            <w:tcBorders>
              <w:top w:val="nil"/>
              <w:left w:val="nil"/>
              <w:bottom w:val="single" w:sz="4" w:space="0" w:color="auto"/>
              <w:right w:val="single" w:sz="4" w:space="0" w:color="auto"/>
            </w:tcBorders>
            <w:shd w:val="clear" w:color="auto" w:fill="auto"/>
            <w:vAlign w:val="bottom"/>
            <w:hideMark/>
          </w:tcPr>
          <w:p w14:paraId="2C0E941A" w14:textId="77777777" w:rsidR="002B34EE" w:rsidRPr="002B34EE" w:rsidRDefault="002B34EE" w:rsidP="002B34EE">
            <w:pPr>
              <w:jc w:val="right"/>
              <w:rPr>
                <w:sz w:val="16"/>
                <w:szCs w:val="16"/>
                <w:lang w:eastAsia="tr-TR"/>
              </w:rPr>
            </w:pPr>
            <w:r w:rsidRPr="002B34EE">
              <w:rPr>
                <w:sz w:val="16"/>
                <w:szCs w:val="16"/>
                <w:lang w:eastAsia="tr-TR"/>
              </w:rPr>
              <w:t>3,594,032</w:t>
            </w:r>
          </w:p>
        </w:tc>
      </w:tr>
      <w:tr w:rsidR="002B34EE" w:rsidRPr="002B34EE" w14:paraId="4FBB8461"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307A3902" w14:textId="77777777" w:rsidR="002B34EE" w:rsidRPr="002B34EE" w:rsidRDefault="002B34EE" w:rsidP="002B34EE">
            <w:pPr>
              <w:jc w:val="right"/>
              <w:rPr>
                <w:color w:val="404040"/>
                <w:sz w:val="16"/>
                <w:szCs w:val="16"/>
                <w:lang w:eastAsia="tr-TR"/>
              </w:rPr>
            </w:pPr>
            <w:r w:rsidRPr="002B34EE">
              <w:rPr>
                <w:color w:val="404040"/>
                <w:sz w:val="16"/>
                <w:szCs w:val="16"/>
                <w:lang w:eastAsia="tr-TR"/>
              </w:rPr>
              <w:t>3</w:t>
            </w:r>
          </w:p>
        </w:tc>
        <w:tc>
          <w:tcPr>
            <w:tcW w:w="5651" w:type="dxa"/>
            <w:tcBorders>
              <w:top w:val="nil"/>
              <w:left w:val="nil"/>
              <w:bottom w:val="dotted" w:sz="4" w:space="0" w:color="auto"/>
              <w:right w:val="dotted" w:sz="4" w:space="0" w:color="auto"/>
            </w:tcBorders>
            <w:shd w:val="clear" w:color="auto" w:fill="auto"/>
            <w:vAlign w:val="center"/>
            <w:hideMark/>
          </w:tcPr>
          <w:p w14:paraId="5BE9C516" w14:textId="77777777" w:rsidR="002B34EE" w:rsidRPr="002B34EE" w:rsidRDefault="002B34EE" w:rsidP="002B34EE">
            <w:pPr>
              <w:rPr>
                <w:sz w:val="18"/>
                <w:szCs w:val="18"/>
                <w:lang w:eastAsia="tr-TR"/>
              </w:rPr>
            </w:pPr>
            <w:r w:rsidRPr="002B34EE">
              <w:rPr>
                <w:sz w:val="18"/>
                <w:szCs w:val="18"/>
                <w:lang w:eastAsia="tr-TR"/>
              </w:rPr>
              <w:t>İçsel derecelendirmeye dayalı yaklaşım</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323AC226" w14:textId="77777777" w:rsidR="002B34EE" w:rsidRPr="002B34EE" w:rsidRDefault="002B34EE" w:rsidP="002B34EE">
            <w:pPr>
              <w:jc w:val="right"/>
              <w:rPr>
                <w:sz w:val="16"/>
                <w:szCs w:val="16"/>
                <w:lang w:eastAsia="tr-TR"/>
              </w:rPr>
            </w:pPr>
            <w:r w:rsidRPr="002B34EE">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1336E787" w14:textId="77777777" w:rsidR="002B34EE" w:rsidRPr="002B34EE" w:rsidRDefault="002B34EE" w:rsidP="002B34EE">
            <w:pPr>
              <w:jc w:val="right"/>
              <w:rPr>
                <w:sz w:val="16"/>
                <w:szCs w:val="16"/>
                <w:lang w:eastAsia="tr-TR"/>
              </w:rPr>
            </w:pPr>
            <w:r w:rsidRPr="002B34EE">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3C5CD09A" w14:textId="77777777" w:rsidR="002B34EE" w:rsidRPr="002B34EE" w:rsidRDefault="002B34EE" w:rsidP="002B34EE">
            <w:pPr>
              <w:jc w:val="right"/>
              <w:rPr>
                <w:sz w:val="16"/>
                <w:szCs w:val="16"/>
                <w:lang w:eastAsia="tr-TR"/>
              </w:rPr>
            </w:pPr>
            <w:r w:rsidRPr="002B34EE">
              <w:rPr>
                <w:sz w:val="16"/>
                <w:szCs w:val="16"/>
                <w:lang w:eastAsia="tr-TR"/>
              </w:rPr>
              <w:t>-</w:t>
            </w:r>
          </w:p>
        </w:tc>
      </w:tr>
      <w:tr w:rsidR="002B34EE" w:rsidRPr="002B34EE" w14:paraId="1FE4AE78"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67D24E4F" w14:textId="77777777" w:rsidR="002B34EE" w:rsidRPr="002B34EE" w:rsidRDefault="002B34EE" w:rsidP="002B34EE">
            <w:pPr>
              <w:jc w:val="right"/>
              <w:rPr>
                <w:color w:val="404040"/>
                <w:sz w:val="16"/>
                <w:szCs w:val="16"/>
                <w:lang w:eastAsia="tr-TR"/>
              </w:rPr>
            </w:pPr>
            <w:r w:rsidRPr="002B34EE">
              <w:rPr>
                <w:color w:val="404040"/>
                <w:sz w:val="16"/>
                <w:szCs w:val="16"/>
                <w:lang w:eastAsia="tr-TR"/>
              </w:rPr>
              <w:t>4</w:t>
            </w:r>
          </w:p>
        </w:tc>
        <w:tc>
          <w:tcPr>
            <w:tcW w:w="5651" w:type="dxa"/>
            <w:tcBorders>
              <w:top w:val="nil"/>
              <w:left w:val="nil"/>
              <w:bottom w:val="dotted" w:sz="4" w:space="0" w:color="auto"/>
              <w:right w:val="dotted" w:sz="4" w:space="0" w:color="auto"/>
            </w:tcBorders>
            <w:shd w:val="clear" w:color="auto" w:fill="auto"/>
            <w:vAlign w:val="center"/>
            <w:hideMark/>
          </w:tcPr>
          <w:p w14:paraId="0A131B12" w14:textId="77777777" w:rsidR="002B34EE" w:rsidRPr="002B34EE" w:rsidRDefault="002B34EE" w:rsidP="002B34EE">
            <w:pPr>
              <w:rPr>
                <w:sz w:val="18"/>
                <w:szCs w:val="18"/>
                <w:lang w:eastAsia="tr-TR"/>
              </w:rPr>
            </w:pPr>
            <w:r w:rsidRPr="002B34EE">
              <w:rPr>
                <w:sz w:val="18"/>
                <w:szCs w:val="18"/>
                <w:lang w:eastAsia="tr-TR"/>
              </w:rPr>
              <w:t>Karşı taraf kredi riski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1A024A5F" w14:textId="77777777" w:rsidR="002B34EE" w:rsidRPr="002B34EE" w:rsidRDefault="002B34EE" w:rsidP="002B34EE">
            <w:pPr>
              <w:jc w:val="right"/>
              <w:rPr>
                <w:sz w:val="16"/>
                <w:szCs w:val="16"/>
                <w:lang w:eastAsia="tr-TR"/>
              </w:rPr>
            </w:pPr>
            <w:r w:rsidRPr="002B34EE">
              <w:rPr>
                <w:sz w:val="16"/>
                <w:szCs w:val="16"/>
                <w:lang w:eastAsia="tr-TR"/>
              </w:rPr>
              <w:t>215,331</w:t>
            </w:r>
          </w:p>
        </w:tc>
        <w:tc>
          <w:tcPr>
            <w:tcW w:w="1203" w:type="dxa"/>
            <w:tcBorders>
              <w:top w:val="nil"/>
              <w:left w:val="nil"/>
              <w:bottom w:val="single" w:sz="4" w:space="0" w:color="auto"/>
              <w:right w:val="single" w:sz="4" w:space="0" w:color="auto"/>
            </w:tcBorders>
            <w:shd w:val="clear" w:color="auto" w:fill="auto"/>
            <w:vAlign w:val="bottom"/>
            <w:hideMark/>
          </w:tcPr>
          <w:p w14:paraId="64EBE744" w14:textId="77777777" w:rsidR="002B34EE" w:rsidRPr="002B34EE" w:rsidRDefault="002B34EE" w:rsidP="002B34EE">
            <w:pPr>
              <w:jc w:val="right"/>
              <w:rPr>
                <w:sz w:val="16"/>
                <w:szCs w:val="16"/>
                <w:lang w:eastAsia="tr-TR"/>
              </w:rPr>
            </w:pPr>
            <w:r w:rsidRPr="002B34EE">
              <w:rPr>
                <w:sz w:val="16"/>
                <w:szCs w:val="16"/>
                <w:lang w:eastAsia="tr-TR"/>
              </w:rPr>
              <w:t>198,727</w:t>
            </w:r>
          </w:p>
        </w:tc>
        <w:tc>
          <w:tcPr>
            <w:tcW w:w="1240" w:type="dxa"/>
            <w:tcBorders>
              <w:top w:val="nil"/>
              <w:left w:val="nil"/>
              <w:bottom w:val="single" w:sz="4" w:space="0" w:color="auto"/>
              <w:right w:val="single" w:sz="4" w:space="0" w:color="auto"/>
            </w:tcBorders>
            <w:shd w:val="clear" w:color="auto" w:fill="auto"/>
            <w:vAlign w:val="bottom"/>
            <w:hideMark/>
          </w:tcPr>
          <w:p w14:paraId="491403DA" w14:textId="77777777" w:rsidR="002B34EE" w:rsidRPr="002B34EE" w:rsidRDefault="002B34EE" w:rsidP="002B34EE">
            <w:pPr>
              <w:jc w:val="right"/>
              <w:rPr>
                <w:sz w:val="16"/>
                <w:szCs w:val="16"/>
                <w:lang w:eastAsia="tr-TR"/>
              </w:rPr>
            </w:pPr>
            <w:r w:rsidRPr="002B34EE">
              <w:rPr>
                <w:sz w:val="16"/>
                <w:szCs w:val="16"/>
                <w:lang w:eastAsia="tr-TR"/>
              </w:rPr>
              <w:t>17,226</w:t>
            </w:r>
          </w:p>
        </w:tc>
      </w:tr>
      <w:tr w:rsidR="002B34EE" w:rsidRPr="002B34EE" w14:paraId="0A8B3B20"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2305F721" w14:textId="77777777" w:rsidR="002B34EE" w:rsidRPr="002B34EE" w:rsidRDefault="002B34EE" w:rsidP="002B34EE">
            <w:pPr>
              <w:jc w:val="right"/>
              <w:rPr>
                <w:color w:val="404040"/>
                <w:sz w:val="16"/>
                <w:szCs w:val="16"/>
                <w:lang w:eastAsia="tr-TR"/>
              </w:rPr>
            </w:pPr>
            <w:r w:rsidRPr="002B34EE">
              <w:rPr>
                <w:color w:val="404040"/>
                <w:sz w:val="16"/>
                <w:szCs w:val="16"/>
                <w:lang w:eastAsia="tr-TR"/>
              </w:rPr>
              <w:t>5</w:t>
            </w:r>
          </w:p>
        </w:tc>
        <w:tc>
          <w:tcPr>
            <w:tcW w:w="5651" w:type="dxa"/>
            <w:tcBorders>
              <w:top w:val="nil"/>
              <w:left w:val="nil"/>
              <w:bottom w:val="dotted" w:sz="4" w:space="0" w:color="auto"/>
              <w:right w:val="dotted" w:sz="4" w:space="0" w:color="auto"/>
            </w:tcBorders>
            <w:shd w:val="clear" w:color="auto" w:fill="auto"/>
            <w:vAlign w:val="center"/>
            <w:hideMark/>
          </w:tcPr>
          <w:p w14:paraId="36E6760B" w14:textId="77777777" w:rsidR="002B34EE" w:rsidRPr="002B34EE" w:rsidRDefault="002B34EE" w:rsidP="002B34EE">
            <w:pPr>
              <w:rPr>
                <w:sz w:val="18"/>
                <w:szCs w:val="18"/>
                <w:lang w:eastAsia="tr-TR"/>
              </w:rPr>
            </w:pPr>
            <w:r w:rsidRPr="002B34EE">
              <w:rPr>
                <w:sz w:val="18"/>
                <w:szCs w:val="18"/>
                <w:lang w:eastAsia="tr-TR"/>
              </w:rPr>
              <w:t>Karşı taraf kredi riski için standart yaklaşım</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424B61A8" w14:textId="77777777" w:rsidR="002B34EE" w:rsidRPr="002B34EE" w:rsidRDefault="002B34EE" w:rsidP="002B34EE">
            <w:pPr>
              <w:jc w:val="right"/>
              <w:rPr>
                <w:sz w:val="16"/>
                <w:szCs w:val="16"/>
                <w:lang w:eastAsia="tr-TR"/>
              </w:rPr>
            </w:pPr>
            <w:r w:rsidRPr="002B34EE">
              <w:rPr>
                <w:sz w:val="16"/>
                <w:szCs w:val="16"/>
                <w:lang w:eastAsia="tr-TR"/>
              </w:rPr>
              <w:t>215,331</w:t>
            </w:r>
          </w:p>
        </w:tc>
        <w:tc>
          <w:tcPr>
            <w:tcW w:w="1203" w:type="dxa"/>
            <w:tcBorders>
              <w:top w:val="nil"/>
              <w:left w:val="nil"/>
              <w:bottom w:val="single" w:sz="4" w:space="0" w:color="auto"/>
              <w:right w:val="single" w:sz="4" w:space="0" w:color="auto"/>
            </w:tcBorders>
            <w:shd w:val="clear" w:color="auto" w:fill="auto"/>
            <w:vAlign w:val="bottom"/>
            <w:hideMark/>
          </w:tcPr>
          <w:p w14:paraId="60EE45D1" w14:textId="77777777" w:rsidR="002B34EE" w:rsidRPr="002B34EE" w:rsidRDefault="002B34EE" w:rsidP="002B34EE">
            <w:pPr>
              <w:jc w:val="right"/>
              <w:rPr>
                <w:sz w:val="16"/>
                <w:szCs w:val="16"/>
                <w:lang w:eastAsia="tr-TR"/>
              </w:rPr>
            </w:pPr>
            <w:r w:rsidRPr="002B34EE">
              <w:rPr>
                <w:sz w:val="16"/>
                <w:szCs w:val="16"/>
                <w:lang w:eastAsia="tr-TR"/>
              </w:rPr>
              <w:t>198,727</w:t>
            </w:r>
          </w:p>
        </w:tc>
        <w:tc>
          <w:tcPr>
            <w:tcW w:w="1240" w:type="dxa"/>
            <w:tcBorders>
              <w:top w:val="nil"/>
              <w:left w:val="nil"/>
              <w:bottom w:val="single" w:sz="4" w:space="0" w:color="auto"/>
              <w:right w:val="single" w:sz="4" w:space="0" w:color="auto"/>
            </w:tcBorders>
            <w:shd w:val="clear" w:color="auto" w:fill="auto"/>
            <w:vAlign w:val="bottom"/>
            <w:hideMark/>
          </w:tcPr>
          <w:p w14:paraId="2FF95053" w14:textId="77777777" w:rsidR="002B34EE" w:rsidRPr="002B34EE" w:rsidRDefault="002B34EE" w:rsidP="002B34EE">
            <w:pPr>
              <w:jc w:val="right"/>
              <w:rPr>
                <w:sz w:val="16"/>
                <w:szCs w:val="16"/>
                <w:lang w:eastAsia="tr-TR"/>
              </w:rPr>
            </w:pPr>
            <w:r w:rsidRPr="002B34EE">
              <w:rPr>
                <w:sz w:val="16"/>
                <w:szCs w:val="16"/>
                <w:lang w:eastAsia="tr-TR"/>
              </w:rPr>
              <w:t>17,226</w:t>
            </w:r>
          </w:p>
        </w:tc>
      </w:tr>
      <w:tr w:rsidR="002B34EE" w:rsidRPr="002B34EE" w14:paraId="001DF26B"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1A67EC3B" w14:textId="77777777" w:rsidR="002B34EE" w:rsidRPr="002B34EE" w:rsidRDefault="002B34EE" w:rsidP="002B34EE">
            <w:pPr>
              <w:jc w:val="right"/>
              <w:rPr>
                <w:color w:val="404040"/>
                <w:sz w:val="16"/>
                <w:szCs w:val="16"/>
                <w:lang w:eastAsia="tr-TR"/>
              </w:rPr>
            </w:pPr>
            <w:r w:rsidRPr="002B34EE">
              <w:rPr>
                <w:color w:val="404040"/>
                <w:sz w:val="16"/>
                <w:szCs w:val="16"/>
                <w:lang w:eastAsia="tr-TR"/>
              </w:rPr>
              <w:t>6</w:t>
            </w:r>
          </w:p>
        </w:tc>
        <w:tc>
          <w:tcPr>
            <w:tcW w:w="5651" w:type="dxa"/>
            <w:tcBorders>
              <w:top w:val="nil"/>
              <w:left w:val="nil"/>
              <w:bottom w:val="dotted" w:sz="4" w:space="0" w:color="auto"/>
              <w:right w:val="dotted" w:sz="4" w:space="0" w:color="auto"/>
            </w:tcBorders>
            <w:shd w:val="clear" w:color="auto" w:fill="auto"/>
            <w:vAlign w:val="center"/>
            <w:hideMark/>
          </w:tcPr>
          <w:p w14:paraId="1FDE505A" w14:textId="77777777" w:rsidR="002B34EE" w:rsidRPr="002B34EE" w:rsidRDefault="002B34EE" w:rsidP="002B34EE">
            <w:pPr>
              <w:rPr>
                <w:sz w:val="18"/>
                <w:szCs w:val="18"/>
                <w:lang w:eastAsia="tr-TR"/>
              </w:rPr>
            </w:pPr>
            <w:r w:rsidRPr="002B34EE">
              <w:rPr>
                <w:sz w:val="18"/>
                <w:szCs w:val="18"/>
                <w:lang w:eastAsia="tr-TR"/>
              </w:rPr>
              <w:t>İçsel model yöntemi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2EBD5A06" w14:textId="77777777" w:rsidR="002B34EE" w:rsidRPr="002B34EE" w:rsidRDefault="002B34EE" w:rsidP="002B34EE">
            <w:pPr>
              <w:jc w:val="right"/>
              <w:rPr>
                <w:sz w:val="16"/>
                <w:szCs w:val="16"/>
                <w:lang w:eastAsia="tr-TR"/>
              </w:rPr>
            </w:pPr>
            <w:r w:rsidRPr="002B34EE">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31335D0A" w14:textId="77777777" w:rsidR="002B34EE" w:rsidRPr="002B34EE" w:rsidRDefault="002B34EE" w:rsidP="002B34EE">
            <w:pPr>
              <w:jc w:val="right"/>
              <w:rPr>
                <w:sz w:val="16"/>
                <w:szCs w:val="16"/>
                <w:lang w:eastAsia="tr-TR"/>
              </w:rPr>
            </w:pPr>
            <w:r w:rsidRPr="002B34EE">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1A851FB4" w14:textId="77777777" w:rsidR="002B34EE" w:rsidRPr="002B34EE" w:rsidRDefault="002B34EE" w:rsidP="002B34EE">
            <w:pPr>
              <w:jc w:val="right"/>
              <w:rPr>
                <w:sz w:val="16"/>
                <w:szCs w:val="16"/>
                <w:lang w:eastAsia="tr-TR"/>
              </w:rPr>
            </w:pPr>
            <w:r w:rsidRPr="002B34EE">
              <w:rPr>
                <w:sz w:val="16"/>
                <w:szCs w:val="16"/>
                <w:lang w:eastAsia="tr-TR"/>
              </w:rPr>
              <w:t>-</w:t>
            </w:r>
          </w:p>
        </w:tc>
      </w:tr>
      <w:tr w:rsidR="002B34EE" w:rsidRPr="002B34EE" w14:paraId="42FC716C" w14:textId="77777777" w:rsidTr="006B1072">
        <w:trPr>
          <w:divId w:val="21905092"/>
          <w:trHeight w:val="498"/>
        </w:trPr>
        <w:tc>
          <w:tcPr>
            <w:tcW w:w="320" w:type="dxa"/>
            <w:tcBorders>
              <w:top w:val="nil"/>
              <w:left w:val="single" w:sz="4" w:space="0" w:color="auto"/>
              <w:bottom w:val="nil"/>
              <w:right w:val="single" w:sz="4" w:space="0" w:color="auto"/>
            </w:tcBorders>
            <w:shd w:val="clear" w:color="auto" w:fill="auto"/>
            <w:vAlign w:val="center"/>
            <w:hideMark/>
          </w:tcPr>
          <w:p w14:paraId="17E9A4ED" w14:textId="77777777" w:rsidR="002B34EE" w:rsidRPr="002B34EE" w:rsidRDefault="002B34EE" w:rsidP="002B34EE">
            <w:pPr>
              <w:jc w:val="right"/>
              <w:rPr>
                <w:color w:val="404040"/>
                <w:sz w:val="16"/>
                <w:szCs w:val="16"/>
                <w:lang w:eastAsia="tr-TR"/>
              </w:rPr>
            </w:pPr>
            <w:r w:rsidRPr="002B34EE">
              <w:rPr>
                <w:color w:val="404040"/>
                <w:sz w:val="16"/>
                <w:szCs w:val="16"/>
                <w:lang w:eastAsia="tr-TR"/>
              </w:rPr>
              <w:t>7</w:t>
            </w:r>
          </w:p>
        </w:tc>
        <w:tc>
          <w:tcPr>
            <w:tcW w:w="5651" w:type="dxa"/>
            <w:tcBorders>
              <w:top w:val="nil"/>
              <w:left w:val="nil"/>
              <w:bottom w:val="dotted" w:sz="4" w:space="0" w:color="auto"/>
              <w:right w:val="dotted" w:sz="4" w:space="0" w:color="auto"/>
            </w:tcBorders>
            <w:shd w:val="clear" w:color="auto" w:fill="auto"/>
            <w:vAlign w:val="center"/>
            <w:hideMark/>
          </w:tcPr>
          <w:p w14:paraId="7968D876" w14:textId="77777777" w:rsidR="002B34EE" w:rsidRPr="002B34EE" w:rsidRDefault="002B34EE" w:rsidP="002B34EE">
            <w:pPr>
              <w:rPr>
                <w:sz w:val="18"/>
                <w:szCs w:val="18"/>
                <w:lang w:eastAsia="tr-TR"/>
              </w:rPr>
            </w:pPr>
            <w:r w:rsidRPr="002B34EE">
              <w:rPr>
                <w:sz w:val="18"/>
                <w:szCs w:val="18"/>
                <w:lang w:eastAsia="tr-TR"/>
              </w:rPr>
              <w:t>Basit risk ağırlığı yaklaşımı veya içsel modeller yaklaşımında bankacılık hesabındaki hisse senedi pozisyonları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46451033" w14:textId="77777777" w:rsidR="002B34EE" w:rsidRPr="002B34EE" w:rsidRDefault="002B34EE" w:rsidP="002B34EE">
            <w:pPr>
              <w:jc w:val="right"/>
              <w:rPr>
                <w:sz w:val="16"/>
                <w:szCs w:val="16"/>
                <w:lang w:eastAsia="tr-TR"/>
              </w:rPr>
            </w:pPr>
            <w:r w:rsidRPr="002B34EE">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628B3EC8" w14:textId="77777777" w:rsidR="002B34EE" w:rsidRPr="002B34EE" w:rsidRDefault="002B34EE" w:rsidP="002B34EE">
            <w:pPr>
              <w:jc w:val="right"/>
              <w:rPr>
                <w:sz w:val="16"/>
                <w:szCs w:val="16"/>
                <w:lang w:eastAsia="tr-TR"/>
              </w:rPr>
            </w:pPr>
            <w:r w:rsidRPr="002B34EE">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12F458B9" w14:textId="77777777" w:rsidR="002B34EE" w:rsidRPr="002B34EE" w:rsidRDefault="002B34EE" w:rsidP="002B34EE">
            <w:pPr>
              <w:jc w:val="right"/>
              <w:rPr>
                <w:sz w:val="16"/>
                <w:szCs w:val="16"/>
                <w:lang w:eastAsia="tr-TR"/>
              </w:rPr>
            </w:pPr>
            <w:r w:rsidRPr="002B34EE">
              <w:rPr>
                <w:sz w:val="16"/>
                <w:szCs w:val="16"/>
                <w:lang w:eastAsia="tr-TR"/>
              </w:rPr>
              <w:t>-</w:t>
            </w:r>
          </w:p>
        </w:tc>
      </w:tr>
      <w:tr w:rsidR="002B34EE" w:rsidRPr="002B34EE" w14:paraId="46F9A798"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69980942" w14:textId="77777777" w:rsidR="002B34EE" w:rsidRPr="002B34EE" w:rsidRDefault="002B34EE" w:rsidP="002B34EE">
            <w:pPr>
              <w:jc w:val="right"/>
              <w:rPr>
                <w:color w:val="404040"/>
                <w:sz w:val="16"/>
                <w:szCs w:val="16"/>
                <w:lang w:eastAsia="tr-TR"/>
              </w:rPr>
            </w:pPr>
            <w:r w:rsidRPr="002B34EE">
              <w:rPr>
                <w:color w:val="404040"/>
                <w:sz w:val="16"/>
                <w:szCs w:val="16"/>
                <w:lang w:eastAsia="tr-TR"/>
              </w:rPr>
              <w:t>8</w:t>
            </w:r>
          </w:p>
        </w:tc>
        <w:tc>
          <w:tcPr>
            <w:tcW w:w="5651" w:type="dxa"/>
            <w:tcBorders>
              <w:top w:val="nil"/>
              <w:left w:val="nil"/>
              <w:bottom w:val="dotted" w:sz="4" w:space="0" w:color="auto"/>
              <w:right w:val="dotted" w:sz="4" w:space="0" w:color="auto"/>
            </w:tcBorders>
            <w:shd w:val="clear" w:color="auto" w:fill="auto"/>
            <w:vAlign w:val="center"/>
            <w:hideMark/>
          </w:tcPr>
          <w:p w14:paraId="08A81EB1" w14:textId="77777777" w:rsidR="002B34EE" w:rsidRPr="002B34EE" w:rsidRDefault="002B34EE" w:rsidP="002B34EE">
            <w:pPr>
              <w:rPr>
                <w:sz w:val="18"/>
                <w:szCs w:val="18"/>
                <w:lang w:eastAsia="tr-TR"/>
              </w:rPr>
            </w:pPr>
            <w:proofErr w:type="spellStart"/>
            <w:r w:rsidRPr="002B34EE">
              <w:rPr>
                <w:sz w:val="18"/>
                <w:szCs w:val="18"/>
                <w:lang w:eastAsia="tr-TR"/>
              </w:rPr>
              <w:t>KYK'ya</w:t>
            </w:r>
            <w:proofErr w:type="spellEnd"/>
            <w:r w:rsidRPr="002B34EE">
              <w:rPr>
                <w:sz w:val="18"/>
                <w:szCs w:val="18"/>
                <w:lang w:eastAsia="tr-TR"/>
              </w:rPr>
              <w:t xml:space="preserve"> yapılan yatırımlar-içerik yöntemi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34AE2D7D" w14:textId="77777777" w:rsidR="002B34EE" w:rsidRPr="002B34EE" w:rsidRDefault="002B34EE" w:rsidP="002B34EE">
            <w:pPr>
              <w:jc w:val="right"/>
              <w:rPr>
                <w:sz w:val="16"/>
                <w:szCs w:val="16"/>
                <w:lang w:eastAsia="tr-TR"/>
              </w:rPr>
            </w:pPr>
            <w:r w:rsidRPr="002B34EE">
              <w:rPr>
                <w:sz w:val="16"/>
                <w:szCs w:val="16"/>
                <w:lang w:eastAsia="tr-TR"/>
              </w:rPr>
              <w:t>22,206</w:t>
            </w:r>
          </w:p>
        </w:tc>
        <w:tc>
          <w:tcPr>
            <w:tcW w:w="1203" w:type="dxa"/>
            <w:tcBorders>
              <w:top w:val="nil"/>
              <w:left w:val="nil"/>
              <w:bottom w:val="single" w:sz="4" w:space="0" w:color="auto"/>
              <w:right w:val="single" w:sz="4" w:space="0" w:color="auto"/>
            </w:tcBorders>
            <w:shd w:val="clear" w:color="auto" w:fill="auto"/>
            <w:vAlign w:val="bottom"/>
            <w:hideMark/>
          </w:tcPr>
          <w:p w14:paraId="1913EF4D" w14:textId="77777777" w:rsidR="002B34EE" w:rsidRPr="002B34EE" w:rsidRDefault="002B34EE" w:rsidP="002B34EE">
            <w:pPr>
              <w:jc w:val="right"/>
              <w:rPr>
                <w:sz w:val="16"/>
                <w:szCs w:val="16"/>
                <w:lang w:eastAsia="tr-TR"/>
              </w:rPr>
            </w:pPr>
            <w:r w:rsidRPr="002B34EE">
              <w:rPr>
                <w:sz w:val="16"/>
                <w:szCs w:val="16"/>
                <w:lang w:eastAsia="tr-TR"/>
              </w:rPr>
              <w:t>24,598</w:t>
            </w:r>
          </w:p>
        </w:tc>
        <w:tc>
          <w:tcPr>
            <w:tcW w:w="1240" w:type="dxa"/>
            <w:tcBorders>
              <w:top w:val="nil"/>
              <w:left w:val="nil"/>
              <w:bottom w:val="single" w:sz="4" w:space="0" w:color="auto"/>
              <w:right w:val="single" w:sz="4" w:space="0" w:color="auto"/>
            </w:tcBorders>
            <w:shd w:val="clear" w:color="auto" w:fill="auto"/>
            <w:vAlign w:val="bottom"/>
            <w:hideMark/>
          </w:tcPr>
          <w:p w14:paraId="2CD01D1D" w14:textId="77777777" w:rsidR="002B34EE" w:rsidRPr="002B34EE" w:rsidRDefault="002B34EE" w:rsidP="002B34EE">
            <w:pPr>
              <w:jc w:val="right"/>
              <w:rPr>
                <w:sz w:val="16"/>
                <w:szCs w:val="16"/>
                <w:lang w:eastAsia="tr-TR"/>
              </w:rPr>
            </w:pPr>
            <w:r w:rsidRPr="002B34EE">
              <w:rPr>
                <w:sz w:val="16"/>
                <w:szCs w:val="16"/>
                <w:lang w:eastAsia="tr-TR"/>
              </w:rPr>
              <w:t>1,776</w:t>
            </w:r>
          </w:p>
        </w:tc>
      </w:tr>
      <w:tr w:rsidR="002B34EE" w:rsidRPr="002B34EE" w14:paraId="713A7C0B"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729F45B0" w14:textId="77777777" w:rsidR="002B34EE" w:rsidRPr="002B34EE" w:rsidRDefault="002B34EE" w:rsidP="002B34EE">
            <w:pPr>
              <w:jc w:val="right"/>
              <w:rPr>
                <w:color w:val="404040"/>
                <w:sz w:val="16"/>
                <w:szCs w:val="16"/>
                <w:lang w:eastAsia="tr-TR"/>
              </w:rPr>
            </w:pPr>
            <w:r w:rsidRPr="002B34EE">
              <w:rPr>
                <w:color w:val="404040"/>
                <w:sz w:val="16"/>
                <w:szCs w:val="16"/>
                <w:lang w:eastAsia="tr-TR"/>
              </w:rPr>
              <w:t>9</w:t>
            </w:r>
          </w:p>
        </w:tc>
        <w:tc>
          <w:tcPr>
            <w:tcW w:w="5651" w:type="dxa"/>
            <w:tcBorders>
              <w:top w:val="nil"/>
              <w:left w:val="nil"/>
              <w:bottom w:val="dotted" w:sz="4" w:space="0" w:color="auto"/>
              <w:right w:val="dotted" w:sz="4" w:space="0" w:color="auto"/>
            </w:tcBorders>
            <w:shd w:val="clear" w:color="auto" w:fill="auto"/>
            <w:vAlign w:val="center"/>
            <w:hideMark/>
          </w:tcPr>
          <w:p w14:paraId="6341581D" w14:textId="77777777" w:rsidR="002B34EE" w:rsidRPr="002B34EE" w:rsidRDefault="002B34EE" w:rsidP="002B34EE">
            <w:pPr>
              <w:rPr>
                <w:sz w:val="18"/>
                <w:szCs w:val="18"/>
                <w:lang w:eastAsia="tr-TR"/>
              </w:rPr>
            </w:pPr>
            <w:proofErr w:type="spellStart"/>
            <w:r w:rsidRPr="002B34EE">
              <w:rPr>
                <w:sz w:val="18"/>
                <w:szCs w:val="18"/>
                <w:lang w:eastAsia="tr-TR"/>
              </w:rPr>
              <w:t>KYK'ya</w:t>
            </w:r>
            <w:proofErr w:type="spellEnd"/>
            <w:r w:rsidRPr="002B34EE">
              <w:rPr>
                <w:sz w:val="18"/>
                <w:szCs w:val="18"/>
                <w:lang w:eastAsia="tr-TR"/>
              </w:rPr>
              <w:t xml:space="preserve"> yapılan yatırımlar-</w:t>
            </w:r>
            <w:proofErr w:type="spellStart"/>
            <w:r w:rsidRPr="002B34EE">
              <w:rPr>
                <w:sz w:val="18"/>
                <w:szCs w:val="18"/>
                <w:lang w:eastAsia="tr-TR"/>
              </w:rPr>
              <w:t>izahname</w:t>
            </w:r>
            <w:proofErr w:type="spellEnd"/>
            <w:r w:rsidRPr="002B34EE">
              <w:rPr>
                <w:sz w:val="18"/>
                <w:szCs w:val="18"/>
                <w:lang w:eastAsia="tr-TR"/>
              </w:rPr>
              <w:t xml:space="preserve"> yöntemi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5CDE2F05" w14:textId="77777777" w:rsidR="002B34EE" w:rsidRPr="002B34EE" w:rsidRDefault="002B34EE" w:rsidP="002B34EE">
            <w:pPr>
              <w:jc w:val="right"/>
              <w:rPr>
                <w:sz w:val="16"/>
                <w:szCs w:val="16"/>
                <w:lang w:eastAsia="tr-TR"/>
              </w:rPr>
            </w:pPr>
            <w:r w:rsidRPr="002B34EE">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52BEAE87" w14:textId="77777777" w:rsidR="002B34EE" w:rsidRPr="002B34EE" w:rsidRDefault="002B34EE" w:rsidP="002B34EE">
            <w:pPr>
              <w:jc w:val="right"/>
              <w:rPr>
                <w:sz w:val="16"/>
                <w:szCs w:val="16"/>
                <w:lang w:eastAsia="tr-TR"/>
              </w:rPr>
            </w:pPr>
            <w:r w:rsidRPr="002B34EE">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783A5778" w14:textId="77777777" w:rsidR="002B34EE" w:rsidRPr="002B34EE" w:rsidRDefault="002B34EE" w:rsidP="002B34EE">
            <w:pPr>
              <w:jc w:val="right"/>
              <w:rPr>
                <w:sz w:val="16"/>
                <w:szCs w:val="16"/>
                <w:lang w:eastAsia="tr-TR"/>
              </w:rPr>
            </w:pPr>
            <w:r w:rsidRPr="002B34EE">
              <w:rPr>
                <w:sz w:val="16"/>
                <w:szCs w:val="16"/>
                <w:lang w:eastAsia="tr-TR"/>
              </w:rPr>
              <w:t>-</w:t>
            </w:r>
          </w:p>
        </w:tc>
      </w:tr>
      <w:tr w:rsidR="002B34EE" w:rsidRPr="002B34EE" w14:paraId="33DCF827"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6BB5B019" w14:textId="77777777" w:rsidR="002B34EE" w:rsidRPr="002B34EE" w:rsidRDefault="002B34EE" w:rsidP="002B34EE">
            <w:pPr>
              <w:jc w:val="right"/>
              <w:rPr>
                <w:color w:val="404040"/>
                <w:sz w:val="16"/>
                <w:szCs w:val="16"/>
                <w:lang w:eastAsia="tr-TR"/>
              </w:rPr>
            </w:pPr>
            <w:r w:rsidRPr="002B34EE">
              <w:rPr>
                <w:color w:val="404040"/>
                <w:sz w:val="16"/>
                <w:szCs w:val="16"/>
                <w:lang w:eastAsia="tr-TR"/>
              </w:rPr>
              <w:t>10</w:t>
            </w:r>
          </w:p>
        </w:tc>
        <w:tc>
          <w:tcPr>
            <w:tcW w:w="5651" w:type="dxa"/>
            <w:tcBorders>
              <w:top w:val="nil"/>
              <w:left w:val="nil"/>
              <w:bottom w:val="dotted" w:sz="4" w:space="0" w:color="auto"/>
              <w:right w:val="dotted" w:sz="4" w:space="0" w:color="auto"/>
            </w:tcBorders>
            <w:shd w:val="clear" w:color="auto" w:fill="auto"/>
            <w:vAlign w:val="center"/>
            <w:hideMark/>
          </w:tcPr>
          <w:p w14:paraId="3431A3E5" w14:textId="77777777" w:rsidR="002B34EE" w:rsidRPr="002B34EE" w:rsidRDefault="002B34EE" w:rsidP="002B34EE">
            <w:pPr>
              <w:rPr>
                <w:sz w:val="18"/>
                <w:szCs w:val="18"/>
                <w:lang w:eastAsia="tr-TR"/>
              </w:rPr>
            </w:pPr>
            <w:proofErr w:type="spellStart"/>
            <w:r w:rsidRPr="002B34EE">
              <w:rPr>
                <w:sz w:val="18"/>
                <w:szCs w:val="18"/>
                <w:lang w:eastAsia="tr-TR"/>
              </w:rPr>
              <w:t>KYK'ya</w:t>
            </w:r>
            <w:proofErr w:type="spellEnd"/>
            <w:r w:rsidRPr="002B34EE">
              <w:rPr>
                <w:sz w:val="18"/>
                <w:szCs w:val="18"/>
                <w:lang w:eastAsia="tr-TR"/>
              </w:rPr>
              <w:t xml:space="preserve"> yapılan yatırımlar-</w:t>
            </w:r>
            <w:proofErr w:type="gramStart"/>
            <w:r w:rsidRPr="002B34EE">
              <w:rPr>
                <w:sz w:val="18"/>
                <w:szCs w:val="18"/>
                <w:lang w:eastAsia="tr-TR"/>
              </w:rPr>
              <w:t>% 1250</w:t>
            </w:r>
            <w:proofErr w:type="gramEnd"/>
            <w:r w:rsidRPr="002B34EE">
              <w:rPr>
                <w:sz w:val="18"/>
                <w:szCs w:val="18"/>
                <w:lang w:eastAsia="tr-TR"/>
              </w:rPr>
              <w:t xml:space="preserve"> risk ağırlığı yöntemi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6F6968EC" w14:textId="77777777" w:rsidR="002B34EE" w:rsidRPr="002B34EE" w:rsidRDefault="002B34EE" w:rsidP="002B34EE">
            <w:pPr>
              <w:jc w:val="right"/>
              <w:rPr>
                <w:sz w:val="16"/>
                <w:szCs w:val="16"/>
                <w:lang w:eastAsia="tr-TR"/>
              </w:rPr>
            </w:pPr>
            <w:r w:rsidRPr="002B34EE">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39EB12AE" w14:textId="77777777" w:rsidR="002B34EE" w:rsidRPr="002B34EE" w:rsidRDefault="002B34EE" w:rsidP="002B34EE">
            <w:pPr>
              <w:jc w:val="right"/>
              <w:rPr>
                <w:sz w:val="16"/>
                <w:szCs w:val="16"/>
                <w:lang w:eastAsia="tr-TR"/>
              </w:rPr>
            </w:pPr>
            <w:r w:rsidRPr="002B34EE">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0A387B40" w14:textId="77777777" w:rsidR="002B34EE" w:rsidRPr="002B34EE" w:rsidRDefault="002B34EE" w:rsidP="002B34EE">
            <w:pPr>
              <w:jc w:val="right"/>
              <w:rPr>
                <w:sz w:val="16"/>
                <w:szCs w:val="16"/>
                <w:lang w:eastAsia="tr-TR"/>
              </w:rPr>
            </w:pPr>
            <w:r w:rsidRPr="002B34EE">
              <w:rPr>
                <w:sz w:val="16"/>
                <w:szCs w:val="16"/>
                <w:lang w:eastAsia="tr-TR"/>
              </w:rPr>
              <w:t>-</w:t>
            </w:r>
          </w:p>
        </w:tc>
      </w:tr>
      <w:tr w:rsidR="002B34EE" w:rsidRPr="002B34EE" w14:paraId="243CC82B"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3F28C8F5" w14:textId="77777777" w:rsidR="002B34EE" w:rsidRPr="002B34EE" w:rsidRDefault="002B34EE" w:rsidP="002B34EE">
            <w:pPr>
              <w:jc w:val="right"/>
              <w:rPr>
                <w:color w:val="404040"/>
                <w:sz w:val="16"/>
                <w:szCs w:val="16"/>
                <w:lang w:eastAsia="tr-TR"/>
              </w:rPr>
            </w:pPr>
            <w:r w:rsidRPr="002B34EE">
              <w:rPr>
                <w:color w:val="404040"/>
                <w:sz w:val="16"/>
                <w:szCs w:val="16"/>
                <w:lang w:eastAsia="tr-TR"/>
              </w:rPr>
              <w:t>11</w:t>
            </w:r>
          </w:p>
        </w:tc>
        <w:tc>
          <w:tcPr>
            <w:tcW w:w="5651" w:type="dxa"/>
            <w:tcBorders>
              <w:top w:val="nil"/>
              <w:left w:val="nil"/>
              <w:bottom w:val="dotted" w:sz="4" w:space="0" w:color="auto"/>
              <w:right w:val="dotted" w:sz="4" w:space="0" w:color="auto"/>
            </w:tcBorders>
            <w:shd w:val="clear" w:color="auto" w:fill="auto"/>
            <w:vAlign w:val="center"/>
            <w:hideMark/>
          </w:tcPr>
          <w:p w14:paraId="1AB24236" w14:textId="77777777" w:rsidR="002B34EE" w:rsidRPr="002B34EE" w:rsidRDefault="002B34EE" w:rsidP="002B34EE">
            <w:pPr>
              <w:rPr>
                <w:sz w:val="18"/>
                <w:szCs w:val="18"/>
                <w:lang w:eastAsia="tr-TR"/>
              </w:rPr>
            </w:pPr>
            <w:r w:rsidRPr="002B34EE">
              <w:rPr>
                <w:sz w:val="18"/>
                <w:szCs w:val="18"/>
                <w:lang w:eastAsia="tr-TR"/>
              </w:rPr>
              <w:t>Takas riski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43A2D7FA" w14:textId="77777777" w:rsidR="002B34EE" w:rsidRPr="002B34EE" w:rsidRDefault="002B34EE" w:rsidP="002B34EE">
            <w:pPr>
              <w:jc w:val="right"/>
              <w:rPr>
                <w:sz w:val="16"/>
                <w:szCs w:val="16"/>
                <w:lang w:eastAsia="tr-TR"/>
              </w:rPr>
            </w:pPr>
            <w:r w:rsidRPr="002B34EE">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59445ACD" w14:textId="77777777" w:rsidR="002B34EE" w:rsidRPr="002B34EE" w:rsidRDefault="002B34EE" w:rsidP="002B34EE">
            <w:pPr>
              <w:jc w:val="right"/>
              <w:rPr>
                <w:sz w:val="16"/>
                <w:szCs w:val="16"/>
                <w:lang w:eastAsia="tr-TR"/>
              </w:rPr>
            </w:pPr>
            <w:r w:rsidRPr="002B34EE">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2E5C412B" w14:textId="77777777" w:rsidR="002B34EE" w:rsidRPr="002B34EE" w:rsidRDefault="002B34EE" w:rsidP="002B34EE">
            <w:pPr>
              <w:jc w:val="right"/>
              <w:rPr>
                <w:sz w:val="16"/>
                <w:szCs w:val="16"/>
                <w:lang w:eastAsia="tr-TR"/>
              </w:rPr>
            </w:pPr>
            <w:r w:rsidRPr="002B34EE">
              <w:rPr>
                <w:sz w:val="16"/>
                <w:szCs w:val="16"/>
                <w:lang w:eastAsia="tr-TR"/>
              </w:rPr>
              <w:t>-</w:t>
            </w:r>
          </w:p>
        </w:tc>
      </w:tr>
      <w:tr w:rsidR="002B34EE" w:rsidRPr="002B34EE" w14:paraId="48041933" w14:textId="77777777" w:rsidTr="006B1072">
        <w:trPr>
          <w:divId w:val="21905092"/>
          <w:trHeight w:val="332"/>
        </w:trPr>
        <w:tc>
          <w:tcPr>
            <w:tcW w:w="320" w:type="dxa"/>
            <w:tcBorders>
              <w:top w:val="nil"/>
              <w:left w:val="single" w:sz="4" w:space="0" w:color="auto"/>
              <w:bottom w:val="nil"/>
              <w:right w:val="single" w:sz="4" w:space="0" w:color="auto"/>
            </w:tcBorders>
            <w:shd w:val="clear" w:color="auto" w:fill="auto"/>
            <w:vAlign w:val="center"/>
            <w:hideMark/>
          </w:tcPr>
          <w:p w14:paraId="4AD7E047" w14:textId="77777777" w:rsidR="002B34EE" w:rsidRPr="002B34EE" w:rsidRDefault="002B34EE" w:rsidP="002B34EE">
            <w:pPr>
              <w:jc w:val="right"/>
              <w:rPr>
                <w:color w:val="404040"/>
                <w:sz w:val="16"/>
                <w:szCs w:val="16"/>
                <w:lang w:eastAsia="tr-TR"/>
              </w:rPr>
            </w:pPr>
            <w:r w:rsidRPr="002B34EE">
              <w:rPr>
                <w:color w:val="404040"/>
                <w:sz w:val="16"/>
                <w:szCs w:val="16"/>
                <w:lang w:eastAsia="tr-TR"/>
              </w:rPr>
              <w:t>12</w:t>
            </w:r>
          </w:p>
        </w:tc>
        <w:tc>
          <w:tcPr>
            <w:tcW w:w="5651" w:type="dxa"/>
            <w:tcBorders>
              <w:top w:val="nil"/>
              <w:left w:val="nil"/>
              <w:bottom w:val="dotted" w:sz="4" w:space="0" w:color="auto"/>
              <w:right w:val="dotted" w:sz="4" w:space="0" w:color="auto"/>
            </w:tcBorders>
            <w:shd w:val="clear" w:color="auto" w:fill="auto"/>
            <w:vAlign w:val="center"/>
            <w:hideMark/>
          </w:tcPr>
          <w:p w14:paraId="56C3E8A5" w14:textId="77777777" w:rsidR="002B34EE" w:rsidRPr="002B34EE" w:rsidRDefault="002B34EE" w:rsidP="002B34EE">
            <w:pPr>
              <w:rPr>
                <w:sz w:val="18"/>
                <w:szCs w:val="18"/>
                <w:lang w:eastAsia="tr-TR"/>
              </w:rPr>
            </w:pPr>
            <w:r w:rsidRPr="002B34EE">
              <w:rPr>
                <w:sz w:val="18"/>
                <w:szCs w:val="18"/>
                <w:lang w:eastAsia="tr-TR"/>
              </w:rPr>
              <w:t>Bankacılık hesaplarındaki menkul kıymetleştirme pozisyonları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34C0EE83" w14:textId="77777777" w:rsidR="002B34EE" w:rsidRPr="002B34EE" w:rsidRDefault="002B34EE" w:rsidP="002B34EE">
            <w:pPr>
              <w:jc w:val="right"/>
              <w:rPr>
                <w:sz w:val="16"/>
                <w:szCs w:val="16"/>
                <w:lang w:eastAsia="tr-TR"/>
              </w:rPr>
            </w:pPr>
            <w:r w:rsidRPr="002B34EE">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688AF8FF" w14:textId="77777777" w:rsidR="002B34EE" w:rsidRPr="002B34EE" w:rsidRDefault="002B34EE" w:rsidP="002B34EE">
            <w:pPr>
              <w:jc w:val="right"/>
              <w:rPr>
                <w:sz w:val="16"/>
                <w:szCs w:val="16"/>
                <w:lang w:eastAsia="tr-TR"/>
              </w:rPr>
            </w:pPr>
            <w:r w:rsidRPr="002B34EE">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367F2D92" w14:textId="77777777" w:rsidR="002B34EE" w:rsidRPr="002B34EE" w:rsidRDefault="002B34EE" w:rsidP="002B34EE">
            <w:pPr>
              <w:jc w:val="right"/>
              <w:rPr>
                <w:sz w:val="16"/>
                <w:szCs w:val="16"/>
                <w:lang w:eastAsia="tr-TR"/>
              </w:rPr>
            </w:pPr>
            <w:r w:rsidRPr="002B34EE">
              <w:rPr>
                <w:sz w:val="16"/>
                <w:szCs w:val="16"/>
                <w:lang w:eastAsia="tr-TR"/>
              </w:rPr>
              <w:t>-</w:t>
            </w:r>
          </w:p>
        </w:tc>
      </w:tr>
      <w:tr w:rsidR="002B34EE" w:rsidRPr="002B34EE" w14:paraId="47061442"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6047873A" w14:textId="77777777" w:rsidR="002B34EE" w:rsidRPr="002B34EE" w:rsidRDefault="002B34EE" w:rsidP="002B34EE">
            <w:pPr>
              <w:jc w:val="right"/>
              <w:rPr>
                <w:color w:val="404040"/>
                <w:sz w:val="16"/>
                <w:szCs w:val="16"/>
                <w:lang w:eastAsia="tr-TR"/>
              </w:rPr>
            </w:pPr>
            <w:r w:rsidRPr="002B34EE">
              <w:rPr>
                <w:color w:val="404040"/>
                <w:sz w:val="16"/>
                <w:szCs w:val="16"/>
                <w:lang w:eastAsia="tr-TR"/>
              </w:rPr>
              <w:t>13</w:t>
            </w:r>
          </w:p>
        </w:tc>
        <w:tc>
          <w:tcPr>
            <w:tcW w:w="5651" w:type="dxa"/>
            <w:tcBorders>
              <w:top w:val="nil"/>
              <w:left w:val="nil"/>
              <w:bottom w:val="dotted" w:sz="4" w:space="0" w:color="auto"/>
              <w:right w:val="dotted" w:sz="4" w:space="0" w:color="auto"/>
            </w:tcBorders>
            <w:shd w:val="clear" w:color="auto" w:fill="auto"/>
            <w:vAlign w:val="center"/>
            <w:hideMark/>
          </w:tcPr>
          <w:p w14:paraId="331BA3C6" w14:textId="77777777" w:rsidR="002B34EE" w:rsidRPr="002B34EE" w:rsidRDefault="002B34EE" w:rsidP="002B34EE">
            <w:pPr>
              <w:rPr>
                <w:sz w:val="18"/>
                <w:szCs w:val="18"/>
                <w:lang w:eastAsia="tr-TR"/>
              </w:rPr>
            </w:pPr>
            <w:r w:rsidRPr="002B34EE">
              <w:rPr>
                <w:sz w:val="18"/>
                <w:szCs w:val="18"/>
                <w:lang w:eastAsia="tr-TR"/>
              </w:rPr>
              <w:t>İDD derecelendirmeye dayalı yaklaşım</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4666A564" w14:textId="77777777" w:rsidR="002B34EE" w:rsidRPr="002B34EE" w:rsidRDefault="002B34EE" w:rsidP="002B34EE">
            <w:pPr>
              <w:jc w:val="right"/>
              <w:rPr>
                <w:sz w:val="16"/>
                <w:szCs w:val="16"/>
                <w:lang w:eastAsia="tr-TR"/>
              </w:rPr>
            </w:pPr>
            <w:r w:rsidRPr="002B34EE">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6AE3CB96" w14:textId="77777777" w:rsidR="002B34EE" w:rsidRPr="002B34EE" w:rsidRDefault="002B34EE" w:rsidP="002B34EE">
            <w:pPr>
              <w:jc w:val="right"/>
              <w:rPr>
                <w:sz w:val="16"/>
                <w:szCs w:val="16"/>
                <w:lang w:eastAsia="tr-TR"/>
              </w:rPr>
            </w:pPr>
            <w:r w:rsidRPr="002B34EE">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400626AA" w14:textId="77777777" w:rsidR="002B34EE" w:rsidRPr="002B34EE" w:rsidRDefault="002B34EE" w:rsidP="002B34EE">
            <w:pPr>
              <w:jc w:val="right"/>
              <w:rPr>
                <w:sz w:val="16"/>
                <w:szCs w:val="16"/>
                <w:lang w:eastAsia="tr-TR"/>
              </w:rPr>
            </w:pPr>
            <w:r w:rsidRPr="002B34EE">
              <w:rPr>
                <w:sz w:val="16"/>
                <w:szCs w:val="16"/>
                <w:lang w:eastAsia="tr-TR"/>
              </w:rPr>
              <w:t>-</w:t>
            </w:r>
          </w:p>
        </w:tc>
      </w:tr>
      <w:tr w:rsidR="002B34EE" w:rsidRPr="002B34EE" w14:paraId="648140CD"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4F441346" w14:textId="77777777" w:rsidR="002B34EE" w:rsidRPr="002B34EE" w:rsidRDefault="002B34EE" w:rsidP="002B34EE">
            <w:pPr>
              <w:jc w:val="right"/>
              <w:rPr>
                <w:color w:val="404040"/>
                <w:sz w:val="16"/>
                <w:szCs w:val="16"/>
                <w:lang w:eastAsia="tr-TR"/>
              </w:rPr>
            </w:pPr>
            <w:r w:rsidRPr="002B34EE">
              <w:rPr>
                <w:color w:val="404040"/>
                <w:sz w:val="16"/>
                <w:szCs w:val="16"/>
                <w:lang w:eastAsia="tr-TR"/>
              </w:rPr>
              <w:t>14</w:t>
            </w:r>
          </w:p>
        </w:tc>
        <w:tc>
          <w:tcPr>
            <w:tcW w:w="5651" w:type="dxa"/>
            <w:tcBorders>
              <w:top w:val="nil"/>
              <w:left w:val="nil"/>
              <w:bottom w:val="dotted" w:sz="4" w:space="0" w:color="auto"/>
              <w:right w:val="dotted" w:sz="4" w:space="0" w:color="auto"/>
            </w:tcBorders>
            <w:shd w:val="clear" w:color="auto" w:fill="auto"/>
            <w:vAlign w:val="center"/>
            <w:hideMark/>
          </w:tcPr>
          <w:p w14:paraId="01A44278" w14:textId="77777777" w:rsidR="002B34EE" w:rsidRPr="002B34EE" w:rsidRDefault="002B34EE" w:rsidP="002B34EE">
            <w:pPr>
              <w:rPr>
                <w:sz w:val="18"/>
                <w:szCs w:val="18"/>
                <w:lang w:eastAsia="tr-TR"/>
              </w:rPr>
            </w:pPr>
            <w:r w:rsidRPr="002B34EE">
              <w:rPr>
                <w:sz w:val="18"/>
                <w:szCs w:val="18"/>
                <w:lang w:eastAsia="tr-TR"/>
              </w:rPr>
              <w:t>İDD denetim otoritesi formülü yaklaşımı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1596A780" w14:textId="77777777" w:rsidR="002B34EE" w:rsidRPr="002B34EE" w:rsidRDefault="002B34EE" w:rsidP="002B34EE">
            <w:pPr>
              <w:jc w:val="right"/>
              <w:rPr>
                <w:sz w:val="16"/>
                <w:szCs w:val="16"/>
                <w:lang w:eastAsia="tr-TR"/>
              </w:rPr>
            </w:pPr>
            <w:r w:rsidRPr="002B34EE">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4FA48BED" w14:textId="77777777" w:rsidR="002B34EE" w:rsidRPr="002B34EE" w:rsidRDefault="002B34EE" w:rsidP="002B34EE">
            <w:pPr>
              <w:jc w:val="right"/>
              <w:rPr>
                <w:sz w:val="16"/>
                <w:szCs w:val="16"/>
                <w:lang w:eastAsia="tr-TR"/>
              </w:rPr>
            </w:pPr>
            <w:r w:rsidRPr="002B34EE">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7698F1CD" w14:textId="77777777" w:rsidR="002B34EE" w:rsidRPr="002B34EE" w:rsidRDefault="002B34EE" w:rsidP="002B34EE">
            <w:pPr>
              <w:jc w:val="right"/>
              <w:rPr>
                <w:sz w:val="16"/>
                <w:szCs w:val="16"/>
                <w:lang w:eastAsia="tr-TR"/>
              </w:rPr>
            </w:pPr>
            <w:r w:rsidRPr="002B34EE">
              <w:rPr>
                <w:sz w:val="16"/>
                <w:szCs w:val="16"/>
                <w:lang w:eastAsia="tr-TR"/>
              </w:rPr>
              <w:t>-</w:t>
            </w:r>
          </w:p>
        </w:tc>
      </w:tr>
      <w:tr w:rsidR="002B34EE" w:rsidRPr="002B34EE" w14:paraId="647821E9" w14:textId="77777777" w:rsidTr="006B1072">
        <w:trPr>
          <w:divId w:val="21905092"/>
          <w:trHeight w:val="332"/>
        </w:trPr>
        <w:tc>
          <w:tcPr>
            <w:tcW w:w="320" w:type="dxa"/>
            <w:tcBorders>
              <w:top w:val="nil"/>
              <w:left w:val="single" w:sz="4" w:space="0" w:color="auto"/>
              <w:bottom w:val="nil"/>
              <w:right w:val="single" w:sz="4" w:space="0" w:color="auto"/>
            </w:tcBorders>
            <w:shd w:val="clear" w:color="auto" w:fill="auto"/>
            <w:vAlign w:val="center"/>
            <w:hideMark/>
          </w:tcPr>
          <w:p w14:paraId="4D9FF813" w14:textId="77777777" w:rsidR="002B34EE" w:rsidRPr="002B34EE" w:rsidRDefault="002B34EE" w:rsidP="002B34EE">
            <w:pPr>
              <w:jc w:val="right"/>
              <w:rPr>
                <w:color w:val="404040"/>
                <w:sz w:val="16"/>
                <w:szCs w:val="16"/>
                <w:lang w:eastAsia="tr-TR"/>
              </w:rPr>
            </w:pPr>
            <w:r w:rsidRPr="002B34EE">
              <w:rPr>
                <w:color w:val="404040"/>
                <w:sz w:val="16"/>
                <w:szCs w:val="16"/>
                <w:lang w:eastAsia="tr-TR"/>
              </w:rPr>
              <w:t>15</w:t>
            </w:r>
          </w:p>
        </w:tc>
        <w:tc>
          <w:tcPr>
            <w:tcW w:w="5651" w:type="dxa"/>
            <w:tcBorders>
              <w:top w:val="nil"/>
              <w:left w:val="nil"/>
              <w:bottom w:val="dotted" w:sz="4" w:space="0" w:color="auto"/>
              <w:right w:val="dotted" w:sz="4" w:space="0" w:color="auto"/>
            </w:tcBorders>
            <w:shd w:val="clear" w:color="auto" w:fill="auto"/>
            <w:vAlign w:val="center"/>
            <w:hideMark/>
          </w:tcPr>
          <w:p w14:paraId="0CFCD78F" w14:textId="77777777" w:rsidR="002B34EE" w:rsidRPr="002B34EE" w:rsidRDefault="002B34EE" w:rsidP="002B34EE">
            <w:pPr>
              <w:rPr>
                <w:sz w:val="18"/>
                <w:szCs w:val="18"/>
                <w:lang w:eastAsia="tr-TR"/>
              </w:rPr>
            </w:pPr>
            <w:r w:rsidRPr="002B34EE">
              <w:rPr>
                <w:sz w:val="18"/>
                <w:szCs w:val="18"/>
                <w:lang w:eastAsia="tr-TR"/>
              </w:rPr>
              <w:t>Standart basitleştirilmiş denetim otoritesi formülü yaklaşımı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5AE63694" w14:textId="77777777" w:rsidR="002B34EE" w:rsidRPr="002B34EE" w:rsidRDefault="002B34EE" w:rsidP="002B34EE">
            <w:pPr>
              <w:jc w:val="right"/>
              <w:rPr>
                <w:sz w:val="16"/>
                <w:szCs w:val="16"/>
                <w:lang w:eastAsia="tr-TR"/>
              </w:rPr>
            </w:pPr>
            <w:r w:rsidRPr="002B34EE">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4CC8BD5B" w14:textId="77777777" w:rsidR="002B34EE" w:rsidRPr="002B34EE" w:rsidRDefault="002B34EE" w:rsidP="002B34EE">
            <w:pPr>
              <w:jc w:val="right"/>
              <w:rPr>
                <w:sz w:val="16"/>
                <w:szCs w:val="16"/>
                <w:lang w:eastAsia="tr-TR"/>
              </w:rPr>
            </w:pPr>
            <w:r w:rsidRPr="002B34EE">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4C1533FC" w14:textId="77777777" w:rsidR="002B34EE" w:rsidRPr="002B34EE" w:rsidRDefault="002B34EE" w:rsidP="002B34EE">
            <w:pPr>
              <w:jc w:val="right"/>
              <w:rPr>
                <w:sz w:val="16"/>
                <w:szCs w:val="16"/>
                <w:lang w:eastAsia="tr-TR"/>
              </w:rPr>
            </w:pPr>
            <w:r w:rsidRPr="002B34EE">
              <w:rPr>
                <w:sz w:val="16"/>
                <w:szCs w:val="16"/>
                <w:lang w:eastAsia="tr-TR"/>
              </w:rPr>
              <w:t>-</w:t>
            </w:r>
          </w:p>
        </w:tc>
      </w:tr>
      <w:tr w:rsidR="002B34EE" w:rsidRPr="002B34EE" w14:paraId="06E140D2"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6FB9DFE7" w14:textId="77777777" w:rsidR="002B34EE" w:rsidRPr="002B34EE" w:rsidRDefault="002B34EE" w:rsidP="002B34EE">
            <w:pPr>
              <w:jc w:val="right"/>
              <w:rPr>
                <w:color w:val="404040"/>
                <w:sz w:val="16"/>
                <w:szCs w:val="16"/>
                <w:lang w:eastAsia="tr-TR"/>
              </w:rPr>
            </w:pPr>
            <w:r w:rsidRPr="002B34EE">
              <w:rPr>
                <w:color w:val="404040"/>
                <w:sz w:val="16"/>
                <w:szCs w:val="16"/>
                <w:lang w:eastAsia="tr-TR"/>
              </w:rPr>
              <w:t>16</w:t>
            </w:r>
          </w:p>
        </w:tc>
        <w:tc>
          <w:tcPr>
            <w:tcW w:w="5651" w:type="dxa"/>
            <w:tcBorders>
              <w:top w:val="nil"/>
              <w:left w:val="nil"/>
              <w:bottom w:val="dotted" w:sz="4" w:space="0" w:color="auto"/>
              <w:right w:val="dotted" w:sz="4" w:space="0" w:color="auto"/>
            </w:tcBorders>
            <w:shd w:val="clear" w:color="auto" w:fill="auto"/>
            <w:vAlign w:val="center"/>
            <w:hideMark/>
          </w:tcPr>
          <w:p w14:paraId="48CF8F36" w14:textId="77777777" w:rsidR="002B34EE" w:rsidRPr="002B34EE" w:rsidRDefault="002B34EE" w:rsidP="002B34EE">
            <w:pPr>
              <w:rPr>
                <w:sz w:val="18"/>
                <w:szCs w:val="18"/>
                <w:lang w:eastAsia="tr-TR"/>
              </w:rPr>
            </w:pPr>
            <w:r w:rsidRPr="002B34EE">
              <w:rPr>
                <w:sz w:val="18"/>
                <w:szCs w:val="18"/>
                <w:lang w:eastAsia="tr-TR"/>
              </w:rPr>
              <w:t>Piyasa riski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5DB5F2D7" w14:textId="77777777" w:rsidR="002B34EE" w:rsidRPr="002B34EE" w:rsidRDefault="002B34EE" w:rsidP="002B34EE">
            <w:pPr>
              <w:jc w:val="right"/>
              <w:rPr>
                <w:sz w:val="16"/>
                <w:szCs w:val="16"/>
                <w:lang w:eastAsia="tr-TR"/>
              </w:rPr>
            </w:pPr>
            <w:r w:rsidRPr="002B34EE">
              <w:rPr>
                <w:sz w:val="16"/>
                <w:szCs w:val="16"/>
                <w:lang w:eastAsia="tr-TR"/>
              </w:rPr>
              <w:t>1,954,783</w:t>
            </w:r>
          </w:p>
        </w:tc>
        <w:tc>
          <w:tcPr>
            <w:tcW w:w="1203" w:type="dxa"/>
            <w:tcBorders>
              <w:top w:val="nil"/>
              <w:left w:val="nil"/>
              <w:bottom w:val="single" w:sz="4" w:space="0" w:color="auto"/>
              <w:right w:val="single" w:sz="4" w:space="0" w:color="auto"/>
            </w:tcBorders>
            <w:shd w:val="clear" w:color="auto" w:fill="auto"/>
            <w:vAlign w:val="bottom"/>
            <w:hideMark/>
          </w:tcPr>
          <w:p w14:paraId="28321559" w14:textId="77777777" w:rsidR="002B34EE" w:rsidRPr="002B34EE" w:rsidRDefault="002B34EE" w:rsidP="002B34EE">
            <w:pPr>
              <w:jc w:val="right"/>
              <w:rPr>
                <w:sz w:val="16"/>
                <w:szCs w:val="16"/>
                <w:lang w:eastAsia="tr-TR"/>
              </w:rPr>
            </w:pPr>
            <w:r w:rsidRPr="002B34EE">
              <w:rPr>
                <w:sz w:val="16"/>
                <w:szCs w:val="16"/>
                <w:lang w:eastAsia="tr-TR"/>
              </w:rPr>
              <w:t>2,697,263</w:t>
            </w:r>
          </w:p>
        </w:tc>
        <w:tc>
          <w:tcPr>
            <w:tcW w:w="1240" w:type="dxa"/>
            <w:tcBorders>
              <w:top w:val="nil"/>
              <w:left w:val="nil"/>
              <w:bottom w:val="single" w:sz="4" w:space="0" w:color="auto"/>
              <w:right w:val="single" w:sz="4" w:space="0" w:color="auto"/>
            </w:tcBorders>
            <w:shd w:val="clear" w:color="auto" w:fill="auto"/>
            <w:vAlign w:val="bottom"/>
            <w:hideMark/>
          </w:tcPr>
          <w:p w14:paraId="2469B8BF" w14:textId="77777777" w:rsidR="002B34EE" w:rsidRPr="002B34EE" w:rsidRDefault="002B34EE" w:rsidP="002B34EE">
            <w:pPr>
              <w:jc w:val="right"/>
              <w:rPr>
                <w:sz w:val="16"/>
                <w:szCs w:val="16"/>
                <w:lang w:eastAsia="tr-TR"/>
              </w:rPr>
            </w:pPr>
            <w:r w:rsidRPr="002B34EE">
              <w:rPr>
                <w:sz w:val="16"/>
                <w:szCs w:val="16"/>
                <w:lang w:eastAsia="tr-TR"/>
              </w:rPr>
              <w:t>156,383</w:t>
            </w:r>
          </w:p>
        </w:tc>
      </w:tr>
      <w:tr w:rsidR="002B34EE" w:rsidRPr="002B34EE" w14:paraId="787B1EF9"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0A806C11" w14:textId="77777777" w:rsidR="002B34EE" w:rsidRPr="002B34EE" w:rsidRDefault="002B34EE" w:rsidP="002B34EE">
            <w:pPr>
              <w:jc w:val="right"/>
              <w:rPr>
                <w:color w:val="404040"/>
                <w:sz w:val="16"/>
                <w:szCs w:val="16"/>
                <w:lang w:eastAsia="tr-TR"/>
              </w:rPr>
            </w:pPr>
            <w:r w:rsidRPr="002B34EE">
              <w:rPr>
                <w:color w:val="404040"/>
                <w:sz w:val="16"/>
                <w:szCs w:val="16"/>
                <w:lang w:eastAsia="tr-TR"/>
              </w:rPr>
              <w:t>17</w:t>
            </w:r>
          </w:p>
        </w:tc>
        <w:tc>
          <w:tcPr>
            <w:tcW w:w="5651" w:type="dxa"/>
            <w:tcBorders>
              <w:top w:val="nil"/>
              <w:left w:val="nil"/>
              <w:bottom w:val="dotted" w:sz="4" w:space="0" w:color="auto"/>
              <w:right w:val="dotted" w:sz="4" w:space="0" w:color="auto"/>
            </w:tcBorders>
            <w:shd w:val="clear" w:color="auto" w:fill="auto"/>
            <w:vAlign w:val="center"/>
            <w:hideMark/>
          </w:tcPr>
          <w:p w14:paraId="7BBE8F5B" w14:textId="77777777" w:rsidR="002B34EE" w:rsidRPr="002B34EE" w:rsidRDefault="002B34EE" w:rsidP="002B34EE">
            <w:pPr>
              <w:rPr>
                <w:sz w:val="18"/>
                <w:szCs w:val="18"/>
                <w:lang w:eastAsia="tr-TR"/>
              </w:rPr>
            </w:pPr>
            <w:r w:rsidRPr="002B34EE">
              <w:rPr>
                <w:sz w:val="18"/>
                <w:szCs w:val="18"/>
                <w:lang w:eastAsia="tr-TR"/>
              </w:rPr>
              <w:t>Standart yaklaşım</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588E8553" w14:textId="77777777" w:rsidR="002B34EE" w:rsidRPr="002B34EE" w:rsidRDefault="002B34EE" w:rsidP="002B34EE">
            <w:pPr>
              <w:jc w:val="right"/>
              <w:rPr>
                <w:sz w:val="16"/>
                <w:szCs w:val="16"/>
                <w:lang w:eastAsia="tr-TR"/>
              </w:rPr>
            </w:pPr>
            <w:r w:rsidRPr="002B34EE">
              <w:rPr>
                <w:sz w:val="16"/>
                <w:szCs w:val="16"/>
                <w:lang w:eastAsia="tr-TR"/>
              </w:rPr>
              <w:t>1,954,783</w:t>
            </w:r>
          </w:p>
        </w:tc>
        <w:tc>
          <w:tcPr>
            <w:tcW w:w="1203" w:type="dxa"/>
            <w:tcBorders>
              <w:top w:val="nil"/>
              <w:left w:val="nil"/>
              <w:bottom w:val="single" w:sz="4" w:space="0" w:color="auto"/>
              <w:right w:val="single" w:sz="4" w:space="0" w:color="auto"/>
            </w:tcBorders>
            <w:shd w:val="clear" w:color="auto" w:fill="auto"/>
            <w:vAlign w:val="bottom"/>
            <w:hideMark/>
          </w:tcPr>
          <w:p w14:paraId="6E9DB750" w14:textId="77777777" w:rsidR="002B34EE" w:rsidRPr="002B34EE" w:rsidRDefault="002B34EE" w:rsidP="002B34EE">
            <w:pPr>
              <w:jc w:val="right"/>
              <w:rPr>
                <w:sz w:val="16"/>
                <w:szCs w:val="16"/>
                <w:lang w:eastAsia="tr-TR"/>
              </w:rPr>
            </w:pPr>
            <w:r w:rsidRPr="002B34EE">
              <w:rPr>
                <w:sz w:val="16"/>
                <w:szCs w:val="16"/>
                <w:lang w:eastAsia="tr-TR"/>
              </w:rPr>
              <w:t>2,697,263</w:t>
            </w:r>
          </w:p>
        </w:tc>
        <w:tc>
          <w:tcPr>
            <w:tcW w:w="1240" w:type="dxa"/>
            <w:tcBorders>
              <w:top w:val="nil"/>
              <w:left w:val="nil"/>
              <w:bottom w:val="single" w:sz="4" w:space="0" w:color="auto"/>
              <w:right w:val="single" w:sz="4" w:space="0" w:color="auto"/>
            </w:tcBorders>
            <w:shd w:val="clear" w:color="auto" w:fill="auto"/>
            <w:vAlign w:val="bottom"/>
            <w:hideMark/>
          </w:tcPr>
          <w:p w14:paraId="338E6310" w14:textId="77777777" w:rsidR="002B34EE" w:rsidRPr="002B34EE" w:rsidRDefault="002B34EE" w:rsidP="002B34EE">
            <w:pPr>
              <w:jc w:val="right"/>
              <w:rPr>
                <w:sz w:val="16"/>
                <w:szCs w:val="16"/>
                <w:lang w:eastAsia="tr-TR"/>
              </w:rPr>
            </w:pPr>
            <w:r w:rsidRPr="002B34EE">
              <w:rPr>
                <w:sz w:val="16"/>
                <w:szCs w:val="16"/>
                <w:lang w:eastAsia="tr-TR"/>
              </w:rPr>
              <w:t>156,383</w:t>
            </w:r>
          </w:p>
        </w:tc>
      </w:tr>
      <w:tr w:rsidR="002B34EE" w:rsidRPr="002B34EE" w14:paraId="24AA8C7C"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26601F35" w14:textId="77777777" w:rsidR="002B34EE" w:rsidRPr="002B34EE" w:rsidRDefault="002B34EE" w:rsidP="002B34EE">
            <w:pPr>
              <w:jc w:val="right"/>
              <w:rPr>
                <w:color w:val="404040"/>
                <w:sz w:val="16"/>
                <w:szCs w:val="16"/>
                <w:lang w:eastAsia="tr-TR"/>
              </w:rPr>
            </w:pPr>
            <w:r w:rsidRPr="002B34EE">
              <w:rPr>
                <w:color w:val="404040"/>
                <w:sz w:val="16"/>
                <w:szCs w:val="16"/>
                <w:lang w:eastAsia="tr-TR"/>
              </w:rPr>
              <w:t>18</w:t>
            </w:r>
          </w:p>
        </w:tc>
        <w:tc>
          <w:tcPr>
            <w:tcW w:w="5651" w:type="dxa"/>
            <w:tcBorders>
              <w:top w:val="nil"/>
              <w:left w:val="nil"/>
              <w:bottom w:val="dotted" w:sz="4" w:space="0" w:color="auto"/>
              <w:right w:val="dotted" w:sz="4" w:space="0" w:color="auto"/>
            </w:tcBorders>
            <w:shd w:val="clear" w:color="auto" w:fill="auto"/>
            <w:vAlign w:val="center"/>
            <w:hideMark/>
          </w:tcPr>
          <w:p w14:paraId="509A0BB2" w14:textId="77777777" w:rsidR="002B34EE" w:rsidRPr="002B34EE" w:rsidRDefault="002B34EE" w:rsidP="002B34EE">
            <w:pPr>
              <w:rPr>
                <w:sz w:val="18"/>
                <w:szCs w:val="18"/>
                <w:lang w:eastAsia="tr-TR"/>
              </w:rPr>
            </w:pPr>
            <w:r w:rsidRPr="002B34EE">
              <w:rPr>
                <w:sz w:val="18"/>
                <w:szCs w:val="18"/>
                <w:lang w:eastAsia="tr-TR"/>
              </w:rPr>
              <w:t>İçsel model yaklaşımları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40BF8488" w14:textId="77777777" w:rsidR="002B34EE" w:rsidRPr="002B34EE" w:rsidRDefault="002B34EE" w:rsidP="002B34EE">
            <w:pPr>
              <w:jc w:val="right"/>
              <w:rPr>
                <w:sz w:val="16"/>
                <w:szCs w:val="16"/>
                <w:lang w:eastAsia="tr-TR"/>
              </w:rPr>
            </w:pPr>
            <w:r w:rsidRPr="002B34EE">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0E4C1938" w14:textId="77777777" w:rsidR="002B34EE" w:rsidRPr="002B34EE" w:rsidRDefault="002B34EE" w:rsidP="002B34EE">
            <w:pPr>
              <w:jc w:val="right"/>
              <w:rPr>
                <w:sz w:val="16"/>
                <w:szCs w:val="16"/>
                <w:lang w:eastAsia="tr-TR"/>
              </w:rPr>
            </w:pPr>
            <w:r w:rsidRPr="002B34EE">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18703B95" w14:textId="77777777" w:rsidR="002B34EE" w:rsidRPr="002B34EE" w:rsidRDefault="002B34EE" w:rsidP="002B34EE">
            <w:pPr>
              <w:jc w:val="right"/>
              <w:rPr>
                <w:sz w:val="16"/>
                <w:szCs w:val="16"/>
                <w:lang w:eastAsia="tr-TR"/>
              </w:rPr>
            </w:pPr>
            <w:r w:rsidRPr="002B34EE">
              <w:rPr>
                <w:sz w:val="16"/>
                <w:szCs w:val="16"/>
                <w:lang w:eastAsia="tr-TR"/>
              </w:rPr>
              <w:t>-</w:t>
            </w:r>
          </w:p>
        </w:tc>
      </w:tr>
      <w:tr w:rsidR="002B34EE" w:rsidRPr="002B34EE" w14:paraId="4708D17D"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3DDC4438" w14:textId="77777777" w:rsidR="002B34EE" w:rsidRPr="002B34EE" w:rsidRDefault="002B34EE" w:rsidP="002B34EE">
            <w:pPr>
              <w:jc w:val="right"/>
              <w:rPr>
                <w:color w:val="404040"/>
                <w:sz w:val="16"/>
                <w:szCs w:val="16"/>
                <w:lang w:eastAsia="tr-TR"/>
              </w:rPr>
            </w:pPr>
            <w:r w:rsidRPr="002B34EE">
              <w:rPr>
                <w:color w:val="404040"/>
                <w:sz w:val="16"/>
                <w:szCs w:val="16"/>
                <w:lang w:eastAsia="tr-TR"/>
              </w:rPr>
              <w:t>19</w:t>
            </w:r>
          </w:p>
        </w:tc>
        <w:tc>
          <w:tcPr>
            <w:tcW w:w="5651" w:type="dxa"/>
            <w:tcBorders>
              <w:top w:val="nil"/>
              <w:left w:val="nil"/>
              <w:bottom w:val="dotted" w:sz="4" w:space="0" w:color="auto"/>
              <w:right w:val="dotted" w:sz="4" w:space="0" w:color="auto"/>
            </w:tcBorders>
            <w:shd w:val="clear" w:color="auto" w:fill="auto"/>
            <w:vAlign w:val="center"/>
            <w:hideMark/>
          </w:tcPr>
          <w:p w14:paraId="4631E3A6" w14:textId="77777777" w:rsidR="002B34EE" w:rsidRPr="002B34EE" w:rsidRDefault="002B34EE" w:rsidP="002B34EE">
            <w:pPr>
              <w:rPr>
                <w:sz w:val="18"/>
                <w:szCs w:val="18"/>
                <w:lang w:eastAsia="tr-TR"/>
              </w:rPr>
            </w:pPr>
            <w:r w:rsidRPr="002B34EE">
              <w:rPr>
                <w:sz w:val="18"/>
                <w:szCs w:val="18"/>
                <w:lang w:eastAsia="tr-TR"/>
              </w:rPr>
              <w:t>Operasyonel risk</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02F71FD7" w14:textId="77777777" w:rsidR="002B34EE" w:rsidRPr="002B34EE" w:rsidRDefault="002B34EE" w:rsidP="002B34EE">
            <w:pPr>
              <w:jc w:val="right"/>
              <w:rPr>
                <w:sz w:val="16"/>
                <w:szCs w:val="16"/>
                <w:lang w:eastAsia="tr-TR"/>
              </w:rPr>
            </w:pPr>
            <w:r w:rsidRPr="002B34EE">
              <w:rPr>
                <w:sz w:val="16"/>
                <w:szCs w:val="16"/>
                <w:lang w:eastAsia="tr-TR"/>
              </w:rPr>
              <w:t>7,473,031</w:t>
            </w:r>
          </w:p>
        </w:tc>
        <w:tc>
          <w:tcPr>
            <w:tcW w:w="1203" w:type="dxa"/>
            <w:tcBorders>
              <w:top w:val="nil"/>
              <w:left w:val="nil"/>
              <w:bottom w:val="single" w:sz="4" w:space="0" w:color="auto"/>
              <w:right w:val="single" w:sz="4" w:space="0" w:color="auto"/>
            </w:tcBorders>
            <w:shd w:val="clear" w:color="auto" w:fill="auto"/>
            <w:vAlign w:val="bottom"/>
            <w:hideMark/>
          </w:tcPr>
          <w:p w14:paraId="5D8D27FC" w14:textId="77777777" w:rsidR="002B34EE" w:rsidRPr="002B34EE" w:rsidRDefault="002B34EE" w:rsidP="002B34EE">
            <w:pPr>
              <w:jc w:val="right"/>
              <w:rPr>
                <w:sz w:val="16"/>
                <w:szCs w:val="16"/>
                <w:lang w:eastAsia="tr-TR"/>
              </w:rPr>
            </w:pPr>
            <w:r w:rsidRPr="002B34EE">
              <w:rPr>
                <w:sz w:val="16"/>
                <w:szCs w:val="16"/>
                <w:lang w:eastAsia="tr-TR"/>
              </w:rPr>
              <w:t>5,585,346</w:t>
            </w:r>
          </w:p>
        </w:tc>
        <w:tc>
          <w:tcPr>
            <w:tcW w:w="1240" w:type="dxa"/>
            <w:tcBorders>
              <w:top w:val="nil"/>
              <w:left w:val="nil"/>
              <w:bottom w:val="single" w:sz="4" w:space="0" w:color="auto"/>
              <w:right w:val="single" w:sz="4" w:space="0" w:color="auto"/>
            </w:tcBorders>
            <w:shd w:val="clear" w:color="auto" w:fill="auto"/>
            <w:vAlign w:val="bottom"/>
            <w:hideMark/>
          </w:tcPr>
          <w:p w14:paraId="0B43E730" w14:textId="77777777" w:rsidR="002B34EE" w:rsidRPr="002B34EE" w:rsidRDefault="002B34EE" w:rsidP="002B34EE">
            <w:pPr>
              <w:jc w:val="right"/>
              <w:rPr>
                <w:sz w:val="16"/>
                <w:szCs w:val="16"/>
                <w:lang w:eastAsia="tr-TR"/>
              </w:rPr>
            </w:pPr>
            <w:r w:rsidRPr="002B34EE">
              <w:rPr>
                <w:sz w:val="16"/>
                <w:szCs w:val="16"/>
                <w:lang w:eastAsia="tr-TR"/>
              </w:rPr>
              <w:t>597,842</w:t>
            </w:r>
          </w:p>
        </w:tc>
      </w:tr>
      <w:tr w:rsidR="002B34EE" w:rsidRPr="002B34EE" w14:paraId="59E33957"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385972F7" w14:textId="77777777" w:rsidR="002B34EE" w:rsidRPr="002B34EE" w:rsidRDefault="002B34EE" w:rsidP="002B34EE">
            <w:pPr>
              <w:jc w:val="right"/>
              <w:rPr>
                <w:color w:val="404040"/>
                <w:sz w:val="16"/>
                <w:szCs w:val="16"/>
                <w:lang w:eastAsia="tr-TR"/>
              </w:rPr>
            </w:pPr>
            <w:r w:rsidRPr="002B34EE">
              <w:rPr>
                <w:color w:val="404040"/>
                <w:sz w:val="16"/>
                <w:szCs w:val="16"/>
                <w:lang w:eastAsia="tr-TR"/>
              </w:rPr>
              <w:t>20</w:t>
            </w:r>
          </w:p>
        </w:tc>
        <w:tc>
          <w:tcPr>
            <w:tcW w:w="5651" w:type="dxa"/>
            <w:tcBorders>
              <w:top w:val="nil"/>
              <w:left w:val="nil"/>
              <w:bottom w:val="dotted" w:sz="4" w:space="0" w:color="auto"/>
              <w:right w:val="dotted" w:sz="4" w:space="0" w:color="auto"/>
            </w:tcBorders>
            <w:shd w:val="clear" w:color="auto" w:fill="auto"/>
            <w:vAlign w:val="center"/>
            <w:hideMark/>
          </w:tcPr>
          <w:p w14:paraId="5A9C3D4E" w14:textId="77777777" w:rsidR="002B34EE" w:rsidRPr="002B34EE" w:rsidRDefault="002B34EE" w:rsidP="002B34EE">
            <w:pPr>
              <w:rPr>
                <w:sz w:val="18"/>
                <w:szCs w:val="18"/>
                <w:lang w:eastAsia="tr-TR"/>
              </w:rPr>
            </w:pPr>
            <w:r w:rsidRPr="002B34EE">
              <w:rPr>
                <w:sz w:val="18"/>
                <w:szCs w:val="18"/>
                <w:lang w:eastAsia="tr-TR"/>
              </w:rPr>
              <w:t>Temel gösterge yaklaşımı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36E8AF6E" w14:textId="77777777" w:rsidR="002B34EE" w:rsidRPr="002B34EE" w:rsidRDefault="002B34EE" w:rsidP="002B34EE">
            <w:pPr>
              <w:jc w:val="right"/>
              <w:rPr>
                <w:sz w:val="16"/>
                <w:szCs w:val="16"/>
                <w:lang w:eastAsia="tr-TR"/>
              </w:rPr>
            </w:pPr>
            <w:r w:rsidRPr="002B34EE">
              <w:rPr>
                <w:sz w:val="16"/>
                <w:szCs w:val="16"/>
                <w:lang w:eastAsia="tr-TR"/>
              </w:rPr>
              <w:t>7,473,031</w:t>
            </w:r>
          </w:p>
        </w:tc>
        <w:tc>
          <w:tcPr>
            <w:tcW w:w="1203" w:type="dxa"/>
            <w:tcBorders>
              <w:top w:val="nil"/>
              <w:left w:val="nil"/>
              <w:bottom w:val="single" w:sz="4" w:space="0" w:color="auto"/>
              <w:right w:val="single" w:sz="4" w:space="0" w:color="auto"/>
            </w:tcBorders>
            <w:shd w:val="clear" w:color="auto" w:fill="auto"/>
            <w:vAlign w:val="bottom"/>
            <w:hideMark/>
          </w:tcPr>
          <w:p w14:paraId="179EDD7D" w14:textId="77777777" w:rsidR="002B34EE" w:rsidRPr="002B34EE" w:rsidRDefault="002B34EE" w:rsidP="002B34EE">
            <w:pPr>
              <w:jc w:val="right"/>
              <w:rPr>
                <w:sz w:val="16"/>
                <w:szCs w:val="16"/>
                <w:lang w:eastAsia="tr-TR"/>
              </w:rPr>
            </w:pPr>
            <w:r w:rsidRPr="002B34EE">
              <w:rPr>
                <w:sz w:val="16"/>
                <w:szCs w:val="16"/>
                <w:lang w:eastAsia="tr-TR"/>
              </w:rPr>
              <w:t>5,585,346</w:t>
            </w:r>
          </w:p>
        </w:tc>
        <w:tc>
          <w:tcPr>
            <w:tcW w:w="1240" w:type="dxa"/>
            <w:tcBorders>
              <w:top w:val="nil"/>
              <w:left w:val="nil"/>
              <w:bottom w:val="single" w:sz="4" w:space="0" w:color="auto"/>
              <w:right w:val="single" w:sz="4" w:space="0" w:color="auto"/>
            </w:tcBorders>
            <w:shd w:val="clear" w:color="auto" w:fill="auto"/>
            <w:vAlign w:val="bottom"/>
            <w:hideMark/>
          </w:tcPr>
          <w:p w14:paraId="44A3C5AC" w14:textId="77777777" w:rsidR="002B34EE" w:rsidRPr="002B34EE" w:rsidRDefault="002B34EE" w:rsidP="002B34EE">
            <w:pPr>
              <w:jc w:val="right"/>
              <w:rPr>
                <w:sz w:val="16"/>
                <w:szCs w:val="16"/>
                <w:lang w:eastAsia="tr-TR"/>
              </w:rPr>
            </w:pPr>
            <w:r w:rsidRPr="002B34EE">
              <w:rPr>
                <w:sz w:val="16"/>
                <w:szCs w:val="16"/>
                <w:lang w:eastAsia="tr-TR"/>
              </w:rPr>
              <w:t>597,842</w:t>
            </w:r>
          </w:p>
        </w:tc>
      </w:tr>
      <w:tr w:rsidR="002B34EE" w:rsidRPr="002B34EE" w14:paraId="40E1B0E2"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7D1BA0FC" w14:textId="77777777" w:rsidR="002B34EE" w:rsidRPr="002B34EE" w:rsidRDefault="002B34EE" w:rsidP="002B34EE">
            <w:pPr>
              <w:jc w:val="right"/>
              <w:rPr>
                <w:color w:val="404040"/>
                <w:sz w:val="16"/>
                <w:szCs w:val="16"/>
                <w:lang w:eastAsia="tr-TR"/>
              </w:rPr>
            </w:pPr>
            <w:r w:rsidRPr="002B34EE">
              <w:rPr>
                <w:color w:val="404040"/>
                <w:sz w:val="16"/>
                <w:szCs w:val="16"/>
                <w:lang w:eastAsia="tr-TR"/>
              </w:rPr>
              <w:t>21</w:t>
            </w:r>
          </w:p>
        </w:tc>
        <w:tc>
          <w:tcPr>
            <w:tcW w:w="5651" w:type="dxa"/>
            <w:tcBorders>
              <w:top w:val="nil"/>
              <w:left w:val="nil"/>
              <w:bottom w:val="dotted" w:sz="4" w:space="0" w:color="auto"/>
              <w:right w:val="dotted" w:sz="4" w:space="0" w:color="auto"/>
            </w:tcBorders>
            <w:shd w:val="clear" w:color="auto" w:fill="auto"/>
            <w:vAlign w:val="center"/>
            <w:hideMark/>
          </w:tcPr>
          <w:p w14:paraId="27FBD058" w14:textId="77777777" w:rsidR="002B34EE" w:rsidRPr="002B34EE" w:rsidRDefault="002B34EE" w:rsidP="002B34EE">
            <w:pPr>
              <w:rPr>
                <w:sz w:val="18"/>
                <w:szCs w:val="18"/>
                <w:lang w:eastAsia="tr-TR"/>
              </w:rPr>
            </w:pPr>
            <w:r w:rsidRPr="002B34EE">
              <w:rPr>
                <w:sz w:val="18"/>
                <w:szCs w:val="18"/>
                <w:lang w:eastAsia="tr-TR"/>
              </w:rPr>
              <w:t>Standart yaklaşım</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02748FEC" w14:textId="77777777" w:rsidR="002B34EE" w:rsidRPr="002B34EE" w:rsidRDefault="002B34EE" w:rsidP="002B34EE">
            <w:pPr>
              <w:jc w:val="right"/>
              <w:rPr>
                <w:sz w:val="16"/>
                <w:szCs w:val="16"/>
                <w:lang w:eastAsia="tr-TR"/>
              </w:rPr>
            </w:pPr>
            <w:r w:rsidRPr="002B34EE">
              <w:rPr>
                <w:sz w:val="16"/>
                <w:szCs w:val="16"/>
                <w:lang w:eastAsia="tr-TR"/>
              </w:rPr>
              <w:t> </w:t>
            </w:r>
          </w:p>
        </w:tc>
        <w:tc>
          <w:tcPr>
            <w:tcW w:w="1203" w:type="dxa"/>
            <w:tcBorders>
              <w:top w:val="nil"/>
              <w:left w:val="nil"/>
              <w:bottom w:val="single" w:sz="4" w:space="0" w:color="auto"/>
              <w:right w:val="single" w:sz="4" w:space="0" w:color="auto"/>
            </w:tcBorders>
            <w:shd w:val="clear" w:color="auto" w:fill="auto"/>
            <w:vAlign w:val="bottom"/>
            <w:hideMark/>
          </w:tcPr>
          <w:p w14:paraId="4CC1FCF1" w14:textId="77777777" w:rsidR="002B34EE" w:rsidRPr="002B34EE" w:rsidRDefault="002B34EE" w:rsidP="002B34EE">
            <w:pPr>
              <w:jc w:val="right"/>
              <w:rPr>
                <w:sz w:val="16"/>
                <w:szCs w:val="16"/>
                <w:lang w:eastAsia="tr-TR"/>
              </w:rPr>
            </w:pPr>
            <w:r w:rsidRPr="002B34EE">
              <w:rPr>
                <w:sz w:val="16"/>
                <w:szCs w:val="16"/>
                <w:lang w:eastAsia="tr-TR"/>
              </w:rPr>
              <w:t> </w:t>
            </w:r>
          </w:p>
        </w:tc>
        <w:tc>
          <w:tcPr>
            <w:tcW w:w="1240" w:type="dxa"/>
            <w:tcBorders>
              <w:top w:val="nil"/>
              <w:left w:val="nil"/>
              <w:bottom w:val="single" w:sz="4" w:space="0" w:color="auto"/>
              <w:right w:val="single" w:sz="4" w:space="0" w:color="auto"/>
            </w:tcBorders>
            <w:shd w:val="clear" w:color="auto" w:fill="auto"/>
            <w:vAlign w:val="bottom"/>
            <w:hideMark/>
          </w:tcPr>
          <w:p w14:paraId="491189D6" w14:textId="77777777" w:rsidR="002B34EE" w:rsidRPr="002B34EE" w:rsidRDefault="002B34EE" w:rsidP="002B34EE">
            <w:pPr>
              <w:jc w:val="right"/>
              <w:rPr>
                <w:sz w:val="16"/>
                <w:szCs w:val="16"/>
                <w:lang w:eastAsia="tr-TR"/>
              </w:rPr>
            </w:pPr>
            <w:r w:rsidRPr="002B34EE">
              <w:rPr>
                <w:sz w:val="16"/>
                <w:szCs w:val="16"/>
                <w:lang w:eastAsia="tr-TR"/>
              </w:rPr>
              <w:t> </w:t>
            </w:r>
          </w:p>
        </w:tc>
      </w:tr>
      <w:tr w:rsidR="002B34EE" w:rsidRPr="002B34EE" w14:paraId="471262E1"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2D4B9549" w14:textId="77777777" w:rsidR="002B34EE" w:rsidRPr="002B34EE" w:rsidRDefault="002B34EE" w:rsidP="002B34EE">
            <w:pPr>
              <w:jc w:val="right"/>
              <w:rPr>
                <w:color w:val="404040"/>
                <w:sz w:val="16"/>
                <w:szCs w:val="16"/>
                <w:lang w:eastAsia="tr-TR"/>
              </w:rPr>
            </w:pPr>
            <w:r w:rsidRPr="002B34EE">
              <w:rPr>
                <w:color w:val="404040"/>
                <w:sz w:val="16"/>
                <w:szCs w:val="16"/>
                <w:lang w:eastAsia="tr-TR"/>
              </w:rPr>
              <w:t>22</w:t>
            </w:r>
          </w:p>
        </w:tc>
        <w:tc>
          <w:tcPr>
            <w:tcW w:w="5651" w:type="dxa"/>
            <w:tcBorders>
              <w:top w:val="nil"/>
              <w:left w:val="nil"/>
              <w:bottom w:val="dotted" w:sz="4" w:space="0" w:color="auto"/>
              <w:right w:val="dotted" w:sz="4" w:space="0" w:color="auto"/>
            </w:tcBorders>
            <w:shd w:val="clear" w:color="auto" w:fill="auto"/>
            <w:vAlign w:val="center"/>
            <w:hideMark/>
          </w:tcPr>
          <w:p w14:paraId="47AADA6D" w14:textId="77777777" w:rsidR="002B34EE" w:rsidRPr="002B34EE" w:rsidRDefault="002B34EE" w:rsidP="002B34EE">
            <w:pPr>
              <w:rPr>
                <w:sz w:val="18"/>
                <w:szCs w:val="18"/>
                <w:lang w:eastAsia="tr-TR"/>
              </w:rPr>
            </w:pPr>
            <w:r w:rsidRPr="002B34EE">
              <w:rPr>
                <w:sz w:val="18"/>
                <w:szCs w:val="18"/>
                <w:lang w:eastAsia="tr-TR"/>
              </w:rPr>
              <w:t>İleri ölçüm yaklaşımı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008A5753" w14:textId="77777777" w:rsidR="002B34EE" w:rsidRPr="002B34EE" w:rsidRDefault="002B34EE" w:rsidP="002B34EE">
            <w:pPr>
              <w:jc w:val="right"/>
              <w:rPr>
                <w:sz w:val="16"/>
                <w:szCs w:val="16"/>
                <w:lang w:eastAsia="tr-TR"/>
              </w:rPr>
            </w:pPr>
            <w:r w:rsidRPr="002B34EE">
              <w:rPr>
                <w:sz w:val="16"/>
                <w:szCs w:val="16"/>
                <w:lang w:eastAsia="tr-TR"/>
              </w:rPr>
              <w:t> </w:t>
            </w:r>
          </w:p>
        </w:tc>
        <w:tc>
          <w:tcPr>
            <w:tcW w:w="1203" w:type="dxa"/>
            <w:tcBorders>
              <w:top w:val="nil"/>
              <w:left w:val="nil"/>
              <w:bottom w:val="single" w:sz="4" w:space="0" w:color="auto"/>
              <w:right w:val="single" w:sz="4" w:space="0" w:color="auto"/>
            </w:tcBorders>
            <w:shd w:val="clear" w:color="auto" w:fill="auto"/>
            <w:vAlign w:val="bottom"/>
            <w:hideMark/>
          </w:tcPr>
          <w:p w14:paraId="5644C8D1" w14:textId="77777777" w:rsidR="002B34EE" w:rsidRPr="002B34EE" w:rsidRDefault="002B34EE" w:rsidP="002B34EE">
            <w:pPr>
              <w:jc w:val="right"/>
              <w:rPr>
                <w:sz w:val="16"/>
                <w:szCs w:val="16"/>
                <w:lang w:eastAsia="tr-TR"/>
              </w:rPr>
            </w:pPr>
            <w:r w:rsidRPr="002B34EE">
              <w:rPr>
                <w:sz w:val="16"/>
                <w:szCs w:val="16"/>
                <w:lang w:eastAsia="tr-TR"/>
              </w:rPr>
              <w:t> </w:t>
            </w:r>
          </w:p>
        </w:tc>
        <w:tc>
          <w:tcPr>
            <w:tcW w:w="1240" w:type="dxa"/>
            <w:tcBorders>
              <w:top w:val="nil"/>
              <w:left w:val="nil"/>
              <w:bottom w:val="single" w:sz="4" w:space="0" w:color="auto"/>
              <w:right w:val="single" w:sz="4" w:space="0" w:color="auto"/>
            </w:tcBorders>
            <w:shd w:val="clear" w:color="auto" w:fill="auto"/>
            <w:vAlign w:val="bottom"/>
            <w:hideMark/>
          </w:tcPr>
          <w:p w14:paraId="27D8E693" w14:textId="77777777" w:rsidR="002B34EE" w:rsidRPr="002B34EE" w:rsidRDefault="002B34EE" w:rsidP="002B34EE">
            <w:pPr>
              <w:jc w:val="right"/>
              <w:rPr>
                <w:sz w:val="16"/>
                <w:szCs w:val="16"/>
                <w:lang w:eastAsia="tr-TR"/>
              </w:rPr>
            </w:pPr>
            <w:r w:rsidRPr="002B34EE">
              <w:rPr>
                <w:sz w:val="16"/>
                <w:szCs w:val="16"/>
                <w:lang w:eastAsia="tr-TR"/>
              </w:rPr>
              <w:t> </w:t>
            </w:r>
          </w:p>
        </w:tc>
      </w:tr>
      <w:tr w:rsidR="002B34EE" w:rsidRPr="002B34EE" w14:paraId="75D86BD0"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27682489" w14:textId="77777777" w:rsidR="002B34EE" w:rsidRPr="002B34EE" w:rsidRDefault="002B34EE" w:rsidP="002B34EE">
            <w:pPr>
              <w:jc w:val="right"/>
              <w:rPr>
                <w:color w:val="404040"/>
                <w:sz w:val="16"/>
                <w:szCs w:val="16"/>
                <w:lang w:eastAsia="tr-TR"/>
              </w:rPr>
            </w:pPr>
            <w:r w:rsidRPr="002B34EE">
              <w:rPr>
                <w:color w:val="404040"/>
                <w:sz w:val="16"/>
                <w:szCs w:val="16"/>
                <w:lang w:eastAsia="tr-TR"/>
              </w:rPr>
              <w:t>23</w:t>
            </w:r>
          </w:p>
        </w:tc>
        <w:tc>
          <w:tcPr>
            <w:tcW w:w="5651" w:type="dxa"/>
            <w:tcBorders>
              <w:top w:val="nil"/>
              <w:left w:val="nil"/>
              <w:bottom w:val="dotted" w:sz="4" w:space="0" w:color="auto"/>
              <w:right w:val="dotted" w:sz="4" w:space="0" w:color="auto"/>
            </w:tcBorders>
            <w:shd w:val="clear" w:color="auto" w:fill="auto"/>
            <w:vAlign w:val="center"/>
            <w:hideMark/>
          </w:tcPr>
          <w:p w14:paraId="614E6A98" w14:textId="77777777" w:rsidR="002B34EE" w:rsidRPr="002B34EE" w:rsidRDefault="002B34EE" w:rsidP="002B34EE">
            <w:pPr>
              <w:rPr>
                <w:sz w:val="18"/>
                <w:szCs w:val="18"/>
                <w:lang w:eastAsia="tr-TR"/>
              </w:rPr>
            </w:pPr>
            <w:proofErr w:type="spellStart"/>
            <w:r w:rsidRPr="002B34EE">
              <w:rPr>
                <w:sz w:val="18"/>
                <w:szCs w:val="18"/>
                <w:lang w:eastAsia="tr-TR"/>
              </w:rPr>
              <w:t>Özkaynaklardan</w:t>
            </w:r>
            <w:proofErr w:type="spellEnd"/>
            <w:r w:rsidRPr="002B34EE">
              <w:rPr>
                <w:sz w:val="18"/>
                <w:szCs w:val="18"/>
                <w:lang w:eastAsia="tr-TR"/>
              </w:rPr>
              <w:t xml:space="preserve"> indirim eşiklerinin altındaki tutarlar (%250 risk ağırlığına tabi)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185C265B" w14:textId="77777777" w:rsidR="002B34EE" w:rsidRPr="002B34EE" w:rsidRDefault="002B34EE" w:rsidP="002B34EE">
            <w:pPr>
              <w:jc w:val="right"/>
              <w:rPr>
                <w:sz w:val="16"/>
                <w:szCs w:val="16"/>
                <w:lang w:eastAsia="tr-TR"/>
              </w:rPr>
            </w:pPr>
            <w:r w:rsidRPr="002B34EE">
              <w:rPr>
                <w:sz w:val="16"/>
                <w:szCs w:val="16"/>
                <w:lang w:eastAsia="tr-TR"/>
              </w:rPr>
              <w:t> </w:t>
            </w:r>
          </w:p>
        </w:tc>
        <w:tc>
          <w:tcPr>
            <w:tcW w:w="1203" w:type="dxa"/>
            <w:tcBorders>
              <w:top w:val="nil"/>
              <w:left w:val="nil"/>
              <w:bottom w:val="single" w:sz="4" w:space="0" w:color="auto"/>
              <w:right w:val="single" w:sz="4" w:space="0" w:color="auto"/>
            </w:tcBorders>
            <w:shd w:val="clear" w:color="auto" w:fill="auto"/>
            <w:vAlign w:val="bottom"/>
            <w:hideMark/>
          </w:tcPr>
          <w:p w14:paraId="2238426F" w14:textId="77777777" w:rsidR="002B34EE" w:rsidRPr="002B34EE" w:rsidRDefault="002B34EE" w:rsidP="002B34EE">
            <w:pPr>
              <w:jc w:val="right"/>
              <w:rPr>
                <w:sz w:val="16"/>
                <w:szCs w:val="16"/>
                <w:lang w:eastAsia="tr-TR"/>
              </w:rPr>
            </w:pPr>
            <w:r w:rsidRPr="002B34EE">
              <w:rPr>
                <w:sz w:val="16"/>
                <w:szCs w:val="16"/>
                <w:lang w:eastAsia="tr-TR"/>
              </w:rPr>
              <w:t> </w:t>
            </w:r>
          </w:p>
        </w:tc>
        <w:tc>
          <w:tcPr>
            <w:tcW w:w="1240" w:type="dxa"/>
            <w:tcBorders>
              <w:top w:val="nil"/>
              <w:left w:val="nil"/>
              <w:bottom w:val="single" w:sz="4" w:space="0" w:color="auto"/>
              <w:right w:val="single" w:sz="4" w:space="0" w:color="auto"/>
            </w:tcBorders>
            <w:shd w:val="clear" w:color="auto" w:fill="auto"/>
            <w:vAlign w:val="bottom"/>
            <w:hideMark/>
          </w:tcPr>
          <w:p w14:paraId="635959D7" w14:textId="77777777" w:rsidR="002B34EE" w:rsidRPr="002B34EE" w:rsidRDefault="002B34EE" w:rsidP="002B34EE">
            <w:pPr>
              <w:jc w:val="right"/>
              <w:rPr>
                <w:sz w:val="16"/>
                <w:szCs w:val="16"/>
                <w:lang w:eastAsia="tr-TR"/>
              </w:rPr>
            </w:pPr>
            <w:r w:rsidRPr="002B34EE">
              <w:rPr>
                <w:sz w:val="16"/>
                <w:szCs w:val="16"/>
                <w:lang w:eastAsia="tr-TR"/>
              </w:rPr>
              <w:t> </w:t>
            </w:r>
          </w:p>
        </w:tc>
      </w:tr>
      <w:tr w:rsidR="002B34EE" w:rsidRPr="002B34EE" w14:paraId="1C39574A" w14:textId="77777777" w:rsidTr="006B1072">
        <w:trPr>
          <w:divId w:val="21905092"/>
          <w:trHeight w:val="220"/>
        </w:trPr>
        <w:tc>
          <w:tcPr>
            <w:tcW w:w="320" w:type="dxa"/>
            <w:tcBorders>
              <w:top w:val="nil"/>
              <w:left w:val="single" w:sz="4" w:space="0" w:color="auto"/>
              <w:bottom w:val="nil"/>
              <w:right w:val="single" w:sz="4" w:space="0" w:color="auto"/>
            </w:tcBorders>
            <w:shd w:val="clear" w:color="auto" w:fill="auto"/>
            <w:vAlign w:val="center"/>
            <w:hideMark/>
          </w:tcPr>
          <w:p w14:paraId="0AACFB2F" w14:textId="77777777" w:rsidR="002B34EE" w:rsidRPr="002B34EE" w:rsidRDefault="002B34EE" w:rsidP="002B34EE">
            <w:pPr>
              <w:jc w:val="right"/>
              <w:rPr>
                <w:color w:val="404040"/>
                <w:sz w:val="16"/>
                <w:szCs w:val="16"/>
                <w:lang w:eastAsia="tr-TR"/>
              </w:rPr>
            </w:pPr>
            <w:r w:rsidRPr="002B34EE">
              <w:rPr>
                <w:color w:val="404040"/>
                <w:sz w:val="16"/>
                <w:szCs w:val="16"/>
                <w:lang w:eastAsia="tr-TR"/>
              </w:rPr>
              <w:t>24</w:t>
            </w:r>
          </w:p>
        </w:tc>
        <w:tc>
          <w:tcPr>
            <w:tcW w:w="5651" w:type="dxa"/>
            <w:tcBorders>
              <w:top w:val="nil"/>
              <w:left w:val="nil"/>
              <w:bottom w:val="dotted" w:sz="4" w:space="0" w:color="auto"/>
              <w:right w:val="dotted" w:sz="4" w:space="0" w:color="auto"/>
            </w:tcBorders>
            <w:shd w:val="clear" w:color="auto" w:fill="auto"/>
            <w:vAlign w:val="center"/>
            <w:hideMark/>
          </w:tcPr>
          <w:p w14:paraId="292CEDDA" w14:textId="77777777" w:rsidR="002B34EE" w:rsidRPr="002B34EE" w:rsidRDefault="002B34EE" w:rsidP="002B34EE">
            <w:pPr>
              <w:rPr>
                <w:sz w:val="18"/>
                <w:szCs w:val="18"/>
                <w:lang w:eastAsia="tr-TR"/>
              </w:rPr>
            </w:pPr>
            <w:r w:rsidRPr="002B34EE">
              <w:rPr>
                <w:sz w:val="18"/>
                <w:szCs w:val="18"/>
                <w:lang w:eastAsia="tr-TR"/>
              </w:rPr>
              <w:t>En düşük değer ayarlamaları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3BAD8B61" w14:textId="77777777" w:rsidR="002B34EE" w:rsidRPr="002B34EE" w:rsidRDefault="002B34EE" w:rsidP="002B34EE">
            <w:pPr>
              <w:jc w:val="right"/>
              <w:rPr>
                <w:sz w:val="16"/>
                <w:szCs w:val="16"/>
                <w:lang w:eastAsia="tr-TR"/>
              </w:rPr>
            </w:pPr>
            <w:r w:rsidRPr="002B34EE">
              <w:rPr>
                <w:sz w:val="16"/>
                <w:szCs w:val="16"/>
                <w:lang w:eastAsia="tr-TR"/>
              </w:rPr>
              <w:t> </w:t>
            </w:r>
          </w:p>
        </w:tc>
        <w:tc>
          <w:tcPr>
            <w:tcW w:w="1203" w:type="dxa"/>
            <w:tcBorders>
              <w:top w:val="nil"/>
              <w:left w:val="nil"/>
              <w:bottom w:val="single" w:sz="4" w:space="0" w:color="auto"/>
              <w:right w:val="single" w:sz="4" w:space="0" w:color="auto"/>
            </w:tcBorders>
            <w:shd w:val="clear" w:color="auto" w:fill="auto"/>
            <w:vAlign w:val="bottom"/>
            <w:hideMark/>
          </w:tcPr>
          <w:p w14:paraId="0BC8D126" w14:textId="77777777" w:rsidR="002B34EE" w:rsidRPr="002B34EE" w:rsidRDefault="002B34EE" w:rsidP="002B34EE">
            <w:pPr>
              <w:jc w:val="right"/>
              <w:rPr>
                <w:sz w:val="16"/>
                <w:szCs w:val="16"/>
                <w:lang w:eastAsia="tr-TR"/>
              </w:rPr>
            </w:pPr>
            <w:r w:rsidRPr="002B34EE">
              <w:rPr>
                <w:sz w:val="16"/>
                <w:szCs w:val="16"/>
                <w:lang w:eastAsia="tr-TR"/>
              </w:rPr>
              <w:t> </w:t>
            </w:r>
          </w:p>
        </w:tc>
        <w:tc>
          <w:tcPr>
            <w:tcW w:w="1240" w:type="dxa"/>
            <w:tcBorders>
              <w:top w:val="nil"/>
              <w:left w:val="nil"/>
              <w:bottom w:val="single" w:sz="4" w:space="0" w:color="auto"/>
              <w:right w:val="single" w:sz="4" w:space="0" w:color="auto"/>
            </w:tcBorders>
            <w:shd w:val="clear" w:color="auto" w:fill="auto"/>
            <w:vAlign w:val="bottom"/>
            <w:hideMark/>
          </w:tcPr>
          <w:p w14:paraId="320C482B" w14:textId="77777777" w:rsidR="002B34EE" w:rsidRPr="002B34EE" w:rsidRDefault="002B34EE" w:rsidP="002B34EE">
            <w:pPr>
              <w:jc w:val="right"/>
              <w:rPr>
                <w:sz w:val="16"/>
                <w:szCs w:val="16"/>
                <w:lang w:eastAsia="tr-TR"/>
              </w:rPr>
            </w:pPr>
            <w:r w:rsidRPr="002B34EE">
              <w:rPr>
                <w:sz w:val="16"/>
                <w:szCs w:val="16"/>
                <w:lang w:eastAsia="tr-TR"/>
              </w:rPr>
              <w:t> </w:t>
            </w:r>
          </w:p>
        </w:tc>
      </w:tr>
      <w:tr w:rsidR="002B34EE" w:rsidRPr="002B34EE" w14:paraId="5912F4B1" w14:textId="77777777" w:rsidTr="006B1072">
        <w:trPr>
          <w:divId w:val="21905092"/>
          <w:trHeight w:val="22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5ED6782A" w14:textId="77777777" w:rsidR="002B34EE" w:rsidRPr="002B34EE" w:rsidRDefault="002B34EE" w:rsidP="002B34EE">
            <w:pPr>
              <w:jc w:val="right"/>
              <w:rPr>
                <w:b/>
                <w:bCs/>
                <w:color w:val="404040"/>
                <w:sz w:val="16"/>
                <w:szCs w:val="16"/>
                <w:lang w:eastAsia="tr-TR"/>
              </w:rPr>
            </w:pPr>
            <w:r w:rsidRPr="002B34EE">
              <w:rPr>
                <w:b/>
                <w:bCs/>
                <w:color w:val="404040"/>
                <w:sz w:val="16"/>
                <w:szCs w:val="16"/>
                <w:lang w:eastAsia="tr-TR"/>
              </w:rPr>
              <w:t>25</w:t>
            </w:r>
          </w:p>
        </w:tc>
        <w:tc>
          <w:tcPr>
            <w:tcW w:w="5651" w:type="dxa"/>
            <w:tcBorders>
              <w:top w:val="single" w:sz="4" w:space="0" w:color="auto"/>
              <w:left w:val="nil"/>
              <w:bottom w:val="single" w:sz="4" w:space="0" w:color="auto"/>
              <w:right w:val="single" w:sz="4" w:space="0" w:color="auto"/>
            </w:tcBorders>
            <w:shd w:val="clear" w:color="auto" w:fill="auto"/>
            <w:vAlign w:val="center"/>
            <w:hideMark/>
          </w:tcPr>
          <w:p w14:paraId="64CCCBA2" w14:textId="77777777" w:rsidR="002B34EE" w:rsidRPr="002B34EE" w:rsidRDefault="002B34EE" w:rsidP="002B34EE">
            <w:pPr>
              <w:jc w:val="both"/>
              <w:rPr>
                <w:b/>
                <w:bCs/>
                <w:sz w:val="16"/>
                <w:szCs w:val="16"/>
                <w:lang w:eastAsia="tr-TR"/>
              </w:rPr>
            </w:pPr>
            <w:r w:rsidRPr="002B34EE">
              <w:rPr>
                <w:b/>
                <w:bCs/>
                <w:sz w:val="16"/>
                <w:szCs w:val="16"/>
                <w:lang w:eastAsia="tr-TR"/>
              </w:rPr>
              <w:t>Toplam (1+4+7+8+9+10+11+12+16+19+23+24)</w:t>
            </w:r>
          </w:p>
        </w:tc>
        <w:tc>
          <w:tcPr>
            <w:tcW w:w="951" w:type="dxa"/>
            <w:tcBorders>
              <w:top w:val="nil"/>
              <w:left w:val="nil"/>
              <w:bottom w:val="single" w:sz="4" w:space="0" w:color="auto"/>
              <w:right w:val="single" w:sz="4" w:space="0" w:color="auto"/>
            </w:tcBorders>
            <w:shd w:val="clear" w:color="auto" w:fill="auto"/>
            <w:vAlign w:val="bottom"/>
            <w:hideMark/>
          </w:tcPr>
          <w:p w14:paraId="1FACE0AB" w14:textId="77777777" w:rsidR="002B34EE" w:rsidRPr="002B34EE" w:rsidRDefault="002B34EE" w:rsidP="002B34EE">
            <w:pPr>
              <w:jc w:val="right"/>
              <w:rPr>
                <w:b/>
                <w:bCs/>
                <w:sz w:val="16"/>
                <w:szCs w:val="16"/>
                <w:lang w:eastAsia="tr-TR"/>
              </w:rPr>
            </w:pPr>
            <w:r w:rsidRPr="002B34EE">
              <w:rPr>
                <w:b/>
                <w:bCs/>
                <w:sz w:val="16"/>
                <w:szCs w:val="16"/>
                <w:lang w:eastAsia="tr-TR"/>
              </w:rPr>
              <w:t>54,568,550</w:t>
            </w:r>
          </w:p>
        </w:tc>
        <w:tc>
          <w:tcPr>
            <w:tcW w:w="1203" w:type="dxa"/>
            <w:tcBorders>
              <w:top w:val="nil"/>
              <w:left w:val="nil"/>
              <w:bottom w:val="single" w:sz="4" w:space="0" w:color="auto"/>
              <w:right w:val="single" w:sz="4" w:space="0" w:color="auto"/>
            </w:tcBorders>
            <w:shd w:val="clear" w:color="auto" w:fill="auto"/>
            <w:vAlign w:val="bottom"/>
            <w:hideMark/>
          </w:tcPr>
          <w:p w14:paraId="4633B94B" w14:textId="77777777" w:rsidR="002B34EE" w:rsidRPr="002B34EE" w:rsidRDefault="002B34EE" w:rsidP="002B34EE">
            <w:pPr>
              <w:jc w:val="right"/>
              <w:rPr>
                <w:b/>
                <w:bCs/>
                <w:sz w:val="16"/>
                <w:szCs w:val="16"/>
                <w:lang w:eastAsia="tr-TR"/>
              </w:rPr>
            </w:pPr>
            <w:r w:rsidRPr="002B34EE">
              <w:rPr>
                <w:b/>
                <w:bCs/>
                <w:sz w:val="16"/>
                <w:szCs w:val="16"/>
                <w:lang w:eastAsia="tr-TR"/>
              </w:rPr>
              <w:t>53,504,497</w:t>
            </w:r>
          </w:p>
        </w:tc>
        <w:tc>
          <w:tcPr>
            <w:tcW w:w="1240" w:type="dxa"/>
            <w:tcBorders>
              <w:top w:val="nil"/>
              <w:left w:val="nil"/>
              <w:bottom w:val="single" w:sz="4" w:space="0" w:color="auto"/>
              <w:right w:val="single" w:sz="4" w:space="0" w:color="auto"/>
            </w:tcBorders>
            <w:shd w:val="clear" w:color="auto" w:fill="auto"/>
            <w:vAlign w:val="bottom"/>
            <w:hideMark/>
          </w:tcPr>
          <w:p w14:paraId="49583C6D" w14:textId="77777777" w:rsidR="002B34EE" w:rsidRPr="002B34EE" w:rsidRDefault="002B34EE" w:rsidP="002B34EE">
            <w:pPr>
              <w:jc w:val="right"/>
              <w:rPr>
                <w:b/>
                <w:bCs/>
                <w:sz w:val="16"/>
                <w:szCs w:val="16"/>
                <w:lang w:eastAsia="tr-TR"/>
              </w:rPr>
            </w:pPr>
            <w:r w:rsidRPr="002B34EE">
              <w:rPr>
                <w:b/>
                <w:bCs/>
                <w:sz w:val="16"/>
                <w:szCs w:val="16"/>
                <w:lang w:eastAsia="tr-TR"/>
              </w:rPr>
              <w:t>4,365,483</w:t>
            </w:r>
          </w:p>
        </w:tc>
      </w:tr>
    </w:tbl>
    <w:p w14:paraId="58837EAF" w14:textId="741CA076" w:rsidR="00557BAB" w:rsidRPr="00270CE6" w:rsidRDefault="00557BAB" w:rsidP="00F35F4E">
      <w:pPr>
        <w:pStyle w:val="BodyText"/>
        <w:tabs>
          <w:tab w:val="left" w:pos="709"/>
        </w:tabs>
        <w:rPr>
          <w:b/>
          <w:sz w:val="4"/>
          <w:highlight w:val="yellow"/>
        </w:rPr>
      </w:pPr>
    </w:p>
    <w:p w14:paraId="5A89E77F" w14:textId="77777777" w:rsidR="00C22866" w:rsidRPr="00270CE6" w:rsidRDefault="00C22866" w:rsidP="00F35F4E">
      <w:pPr>
        <w:pStyle w:val="BodyText"/>
        <w:tabs>
          <w:tab w:val="left" w:pos="709"/>
        </w:tabs>
        <w:rPr>
          <w:b/>
          <w:sz w:val="4"/>
          <w:highlight w:val="yellow"/>
        </w:rPr>
      </w:pPr>
    </w:p>
    <w:p w14:paraId="5F309F24" w14:textId="77777777" w:rsidR="008D3471" w:rsidRPr="00270CE6" w:rsidRDefault="008D3471" w:rsidP="009B6F68">
      <w:pPr>
        <w:ind w:hanging="567"/>
        <w:jc w:val="both"/>
        <w:rPr>
          <w:b/>
          <w:color w:val="000000"/>
          <w:highlight w:val="yellow"/>
        </w:rPr>
      </w:pPr>
    </w:p>
    <w:p w14:paraId="6C0FA976" w14:textId="77777777" w:rsidR="008D3471" w:rsidRPr="00270CE6" w:rsidRDefault="008D3471" w:rsidP="009B6F68">
      <w:pPr>
        <w:ind w:hanging="567"/>
        <w:jc w:val="both"/>
        <w:rPr>
          <w:b/>
          <w:color w:val="000000"/>
          <w:highlight w:val="yellow"/>
        </w:rPr>
      </w:pPr>
    </w:p>
    <w:p w14:paraId="3A7E9A56" w14:textId="77777777" w:rsidR="008D3471" w:rsidRPr="00270CE6" w:rsidRDefault="008D3471" w:rsidP="009B6F68">
      <w:pPr>
        <w:ind w:hanging="567"/>
        <w:jc w:val="both"/>
        <w:rPr>
          <w:b/>
          <w:color w:val="000000"/>
          <w:highlight w:val="yellow"/>
        </w:rPr>
      </w:pPr>
    </w:p>
    <w:p w14:paraId="113FEDE1" w14:textId="77777777" w:rsidR="008D3471" w:rsidRPr="00270CE6" w:rsidRDefault="008D3471" w:rsidP="009B6F68">
      <w:pPr>
        <w:ind w:hanging="567"/>
        <w:jc w:val="both"/>
        <w:rPr>
          <w:b/>
          <w:color w:val="000000"/>
          <w:highlight w:val="yellow"/>
        </w:rPr>
      </w:pPr>
    </w:p>
    <w:p w14:paraId="704B74A6" w14:textId="77777777" w:rsidR="008D3471" w:rsidRPr="00270CE6" w:rsidRDefault="008D3471" w:rsidP="009B6F68">
      <w:pPr>
        <w:ind w:hanging="567"/>
        <w:jc w:val="both"/>
        <w:rPr>
          <w:b/>
          <w:color w:val="000000"/>
          <w:highlight w:val="yellow"/>
        </w:rPr>
      </w:pPr>
    </w:p>
    <w:p w14:paraId="004D2046" w14:textId="77777777" w:rsidR="008D3471" w:rsidRPr="00270CE6" w:rsidRDefault="008D3471" w:rsidP="009B6F68">
      <w:pPr>
        <w:ind w:hanging="567"/>
        <w:jc w:val="both"/>
        <w:rPr>
          <w:b/>
          <w:color w:val="000000"/>
          <w:highlight w:val="yellow"/>
        </w:rPr>
      </w:pPr>
    </w:p>
    <w:p w14:paraId="0C6418B0" w14:textId="77777777" w:rsidR="008D3471" w:rsidRPr="00270CE6" w:rsidRDefault="008D3471" w:rsidP="009B6F68">
      <w:pPr>
        <w:ind w:hanging="567"/>
        <w:jc w:val="both"/>
        <w:rPr>
          <w:b/>
          <w:color w:val="000000"/>
          <w:highlight w:val="yellow"/>
        </w:rPr>
      </w:pPr>
    </w:p>
    <w:p w14:paraId="50B6CD6A" w14:textId="31846F4B" w:rsidR="00E575AD" w:rsidRDefault="00E575AD">
      <w:pPr>
        <w:rPr>
          <w:b/>
          <w:color w:val="000000"/>
          <w:highlight w:val="yellow"/>
        </w:rPr>
      </w:pPr>
      <w:r>
        <w:rPr>
          <w:b/>
          <w:color w:val="000000"/>
          <w:highlight w:val="yellow"/>
        </w:rPr>
        <w:br w:type="page"/>
      </w:r>
    </w:p>
    <w:bookmarkEnd w:id="12"/>
    <w:p w14:paraId="27D3B7DC" w14:textId="2648122C" w:rsidR="00620814" w:rsidRPr="006F44AF" w:rsidRDefault="00F97EA4" w:rsidP="0062758E">
      <w:pPr>
        <w:tabs>
          <w:tab w:val="left" w:pos="709"/>
        </w:tabs>
        <w:ind w:hanging="567"/>
        <w:rPr>
          <w:b/>
        </w:rPr>
      </w:pPr>
      <w:r>
        <w:rPr>
          <w:b/>
        </w:rPr>
        <w:lastRenderedPageBreak/>
        <w:t>10</w:t>
      </w:r>
      <w:r w:rsidR="00620814" w:rsidRPr="006F44AF">
        <w:rPr>
          <w:b/>
        </w:rPr>
        <w:t>.</w:t>
      </w:r>
      <w:r w:rsidR="00620814" w:rsidRPr="006F44AF">
        <w:rPr>
          <w:b/>
        </w:rPr>
        <w:tab/>
        <w:t>Menkul kıymetleştirme pozisyonları</w:t>
      </w:r>
    </w:p>
    <w:p w14:paraId="004129D9" w14:textId="77777777" w:rsidR="00620814" w:rsidRPr="006F44AF" w:rsidRDefault="00620814" w:rsidP="00620814">
      <w:pPr>
        <w:rPr>
          <w:rFonts w:eastAsia="Arial Unicode MS"/>
          <w:b/>
          <w:sz w:val="16"/>
          <w:szCs w:val="16"/>
        </w:rPr>
      </w:pPr>
    </w:p>
    <w:p w14:paraId="5EEF22C7" w14:textId="77777777" w:rsidR="00032529" w:rsidRPr="006F44AF" w:rsidRDefault="00620814" w:rsidP="00032529">
      <w:pPr>
        <w:rPr>
          <w:rFonts w:eastAsia="Arial Unicode MS"/>
        </w:rPr>
      </w:pPr>
      <w:r w:rsidRPr="006F44AF">
        <w:rPr>
          <w:rFonts w:eastAsia="Arial Unicode MS"/>
        </w:rPr>
        <w:t>Bulunmamaktadır.</w:t>
      </w:r>
    </w:p>
    <w:p w14:paraId="171607EF" w14:textId="77777777" w:rsidR="000F527F" w:rsidRPr="006F44AF" w:rsidRDefault="000F527F" w:rsidP="00FA3DD9">
      <w:pPr>
        <w:tabs>
          <w:tab w:val="left" w:pos="709"/>
        </w:tabs>
        <w:rPr>
          <w:b/>
          <w:sz w:val="16"/>
          <w:szCs w:val="16"/>
        </w:rPr>
      </w:pPr>
    </w:p>
    <w:p w14:paraId="433B234E" w14:textId="7DA06E4A" w:rsidR="00033391" w:rsidRPr="006F44AF" w:rsidRDefault="00F97EA4" w:rsidP="006D0ADC">
      <w:pPr>
        <w:tabs>
          <w:tab w:val="left" w:pos="709"/>
        </w:tabs>
        <w:ind w:hanging="567"/>
        <w:rPr>
          <w:rFonts w:eastAsia="Arial Unicode MS"/>
          <w:b/>
        </w:rPr>
      </w:pPr>
      <w:r>
        <w:rPr>
          <w:b/>
        </w:rPr>
        <w:t>11</w:t>
      </w:r>
      <w:r w:rsidR="00E253C8" w:rsidRPr="006F44AF">
        <w:rPr>
          <w:b/>
        </w:rPr>
        <w:t>.</w:t>
      </w:r>
      <w:r w:rsidR="00E253C8" w:rsidRPr="006F44AF">
        <w:rPr>
          <w:b/>
        </w:rPr>
        <w:tab/>
        <w:t>Başkaları nam ve hesabına yapılan işlemler, inanca dayalı işlemler</w:t>
      </w:r>
    </w:p>
    <w:p w14:paraId="4EC64C1D" w14:textId="77777777" w:rsidR="00033391" w:rsidRPr="006F44AF" w:rsidRDefault="00033391">
      <w:pPr>
        <w:autoSpaceDE w:val="0"/>
        <w:autoSpaceDN w:val="0"/>
        <w:adjustRightInd w:val="0"/>
        <w:spacing w:line="216" w:lineRule="auto"/>
        <w:ind w:hanging="720"/>
        <w:rPr>
          <w:b/>
          <w:sz w:val="16"/>
          <w:szCs w:val="16"/>
        </w:rPr>
      </w:pPr>
    </w:p>
    <w:p w14:paraId="2862DA24" w14:textId="184559A9" w:rsidR="00033391" w:rsidRPr="006F44AF" w:rsidRDefault="00E253C8" w:rsidP="00B420AC">
      <w:pPr>
        <w:autoSpaceDE w:val="0"/>
        <w:autoSpaceDN w:val="0"/>
        <w:adjustRightInd w:val="0"/>
        <w:spacing w:line="216" w:lineRule="auto"/>
        <w:ind w:hanging="720"/>
        <w:jc w:val="both"/>
      </w:pPr>
      <w:r w:rsidRPr="006F44AF">
        <w:rPr>
          <w:b/>
        </w:rPr>
        <w:tab/>
      </w:r>
      <w:r w:rsidRPr="006F44AF">
        <w:t>Banka müşterilerinin nam ve hesabına alım, satım, saklama, fon yönetimi hizmetleri vermemektedir. Banka inanca dayalı işlem sözleşmeleri yapmamaktadır.</w:t>
      </w:r>
    </w:p>
    <w:p w14:paraId="6AAFF61B" w14:textId="77777777" w:rsidR="00E6409C" w:rsidRPr="00270CE6" w:rsidRDefault="00E6409C" w:rsidP="00D939D2">
      <w:pPr>
        <w:tabs>
          <w:tab w:val="left" w:pos="709"/>
        </w:tabs>
        <w:autoSpaceDE w:val="0"/>
        <w:autoSpaceDN w:val="0"/>
        <w:adjustRightInd w:val="0"/>
        <w:spacing w:line="216" w:lineRule="auto"/>
        <w:ind w:hanging="567"/>
        <w:rPr>
          <w:rFonts w:eastAsia="Arial Unicode MS"/>
          <w:b/>
          <w:highlight w:val="yellow"/>
        </w:rPr>
      </w:pPr>
    </w:p>
    <w:p w14:paraId="78946714" w14:textId="29C3550F" w:rsidR="00033391" w:rsidRPr="006F44AF" w:rsidRDefault="002B34EE" w:rsidP="006D0ADC">
      <w:pPr>
        <w:tabs>
          <w:tab w:val="left" w:pos="709"/>
        </w:tabs>
        <w:autoSpaceDE w:val="0"/>
        <w:autoSpaceDN w:val="0"/>
        <w:adjustRightInd w:val="0"/>
        <w:spacing w:line="216" w:lineRule="auto"/>
        <w:ind w:hanging="567"/>
        <w:rPr>
          <w:b/>
        </w:rPr>
      </w:pPr>
      <w:r>
        <w:rPr>
          <w:b/>
        </w:rPr>
        <w:t>1</w:t>
      </w:r>
      <w:r w:rsidR="00F97EA4">
        <w:rPr>
          <w:b/>
        </w:rPr>
        <w:t>2</w:t>
      </w:r>
      <w:r w:rsidR="00E253C8" w:rsidRPr="006F44AF">
        <w:rPr>
          <w:b/>
        </w:rPr>
        <w:t>.</w:t>
      </w:r>
      <w:r w:rsidR="00E253C8" w:rsidRPr="006F44AF">
        <w:rPr>
          <w:b/>
        </w:rPr>
        <w:tab/>
        <w:t>Faaliyet bölümlerine ilişkin açıklamalar</w:t>
      </w:r>
    </w:p>
    <w:p w14:paraId="70437375" w14:textId="77777777" w:rsidR="00033391" w:rsidRPr="006F44AF" w:rsidRDefault="00033391">
      <w:pPr>
        <w:autoSpaceDE w:val="0"/>
        <w:autoSpaceDN w:val="0"/>
        <w:adjustRightInd w:val="0"/>
        <w:spacing w:line="216" w:lineRule="auto"/>
        <w:ind w:hanging="720"/>
        <w:rPr>
          <w:rFonts w:eastAsia="Arial Unicode MS"/>
          <w:sz w:val="16"/>
          <w:szCs w:val="16"/>
        </w:rPr>
      </w:pPr>
    </w:p>
    <w:p w14:paraId="48C77241" w14:textId="77777777" w:rsidR="00E6409C" w:rsidRPr="006F44AF" w:rsidRDefault="00E6409C" w:rsidP="00E6409C">
      <w:pPr>
        <w:jc w:val="both"/>
        <w:rPr>
          <w:rFonts w:eastAsia="Arial Unicode MS"/>
        </w:rPr>
      </w:pPr>
      <w:r w:rsidRPr="006F44AF">
        <w:rPr>
          <w:rFonts w:eastAsia="Arial Unicode MS"/>
        </w:rPr>
        <w:t xml:space="preserve">Banka, Bireysel ve İşletme Bankacılığı, Ticari </w:t>
      </w:r>
      <w:proofErr w:type="gramStart"/>
      <w:r w:rsidRPr="006F44AF">
        <w:rPr>
          <w:rFonts w:eastAsia="Arial Unicode MS"/>
        </w:rPr>
        <w:t>Bankacılık,  Kurumsal</w:t>
      </w:r>
      <w:proofErr w:type="gramEnd"/>
      <w:r w:rsidRPr="006F44AF">
        <w:rPr>
          <w:rFonts w:eastAsia="Arial Unicode MS"/>
        </w:rPr>
        <w:t xml:space="preserve"> ve Uluslararası Bankacılık alanlarında faaliyette bulunmaktadır.</w:t>
      </w:r>
    </w:p>
    <w:p w14:paraId="26770162" w14:textId="77777777" w:rsidR="00E6409C" w:rsidRPr="006F44AF" w:rsidRDefault="00E6409C" w:rsidP="00E6409C">
      <w:pPr>
        <w:jc w:val="both"/>
        <w:rPr>
          <w:rFonts w:eastAsia="Arial Unicode MS"/>
        </w:rPr>
      </w:pPr>
    </w:p>
    <w:p w14:paraId="3E7CC7F2" w14:textId="77777777" w:rsidR="00E6409C" w:rsidRPr="006F44AF" w:rsidRDefault="00E6409C" w:rsidP="00E6409C">
      <w:pPr>
        <w:jc w:val="both"/>
        <w:rPr>
          <w:rFonts w:eastAsia="Arial Unicode MS"/>
        </w:rPr>
      </w:pPr>
      <w:r w:rsidRPr="006F44AF">
        <w:rPr>
          <w:rFonts w:eastAsia="Arial Unicode MS"/>
        </w:rPr>
        <w:t xml:space="preserve">Ticari Bankacılık; nakdi krediler, gayri nakdi krediler, dış ticaret finansmanı hizmetleri ve benzeri ürünler ile şirketlerin farklı etkinliklerinin finansal ihtiyaçlarını karşılamak adına müşterilere </w:t>
      </w:r>
      <w:proofErr w:type="gramStart"/>
      <w:r w:rsidRPr="006F44AF">
        <w:rPr>
          <w:rFonts w:eastAsia="Arial Unicode MS"/>
        </w:rPr>
        <w:t>özel  nakit</w:t>
      </w:r>
      <w:proofErr w:type="gramEnd"/>
      <w:r w:rsidRPr="006F44AF">
        <w:rPr>
          <w:rFonts w:eastAsia="Arial Unicode MS"/>
        </w:rPr>
        <w:t xml:space="preserve"> akış ve finansman imkanları sunulmaktadır. Kurumsal ve Uluslararası Bankacılık ürünleri ile işletmelerin üretim </w:t>
      </w:r>
      <w:proofErr w:type="gramStart"/>
      <w:r w:rsidRPr="006F44AF">
        <w:rPr>
          <w:rFonts w:eastAsia="Arial Unicode MS"/>
        </w:rPr>
        <w:t>faaliyetlerinin  sürdürülebilirliklerine</w:t>
      </w:r>
      <w:proofErr w:type="gramEnd"/>
      <w:r w:rsidRPr="006F44AF">
        <w:rPr>
          <w:rFonts w:eastAsia="Arial Unicode MS"/>
        </w:rPr>
        <w:t xml:space="preserve"> hizmet edilerek, yurt içi-yurt dışı iş olanakları desteklenmektedir.</w:t>
      </w:r>
    </w:p>
    <w:p w14:paraId="540F635B" w14:textId="77777777" w:rsidR="00E6409C" w:rsidRPr="006F44AF" w:rsidRDefault="00E6409C" w:rsidP="00E6409C">
      <w:pPr>
        <w:jc w:val="both"/>
        <w:rPr>
          <w:rFonts w:eastAsia="Arial Unicode MS"/>
        </w:rPr>
      </w:pPr>
    </w:p>
    <w:p w14:paraId="6D638F18" w14:textId="77777777" w:rsidR="00E6409C" w:rsidRPr="006F44AF" w:rsidRDefault="00E6409C" w:rsidP="00E6409C">
      <w:pPr>
        <w:jc w:val="both"/>
        <w:rPr>
          <w:rFonts w:eastAsia="Arial Unicode MS"/>
        </w:rPr>
      </w:pPr>
      <w:r w:rsidRPr="006F44AF">
        <w:rPr>
          <w:rFonts w:eastAsia="Arial Unicode MS"/>
        </w:rPr>
        <w:t xml:space="preserve">Bireysel ve İşletme Bankacılığı; fon toplama, taksitli ticari krediler, işletme kredileri, </w:t>
      </w:r>
      <w:proofErr w:type="spellStart"/>
      <w:r w:rsidRPr="006F44AF">
        <w:rPr>
          <w:rFonts w:eastAsia="Arial Unicode MS"/>
        </w:rPr>
        <w:t>gayrinakdi</w:t>
      </w:r>
      <w:proofErr w:type="spellEnd"/>
      <w:r w:rsidRPr="006F44AF">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1F758149" w14:textId="77777777" w:rsidR="00E6409C" w:rsidRPr="006F44AF" w:rsidRDefault="00E6409C" w:rsidP="00E6409C">
      <w:pPr>
        <w:jc w:val="both"/>
        <w:rPr>
          <w:rFonts w:eastAsia="Arial Unicode MS"/>
        </w:rPr>
      </w:pPr>
    </w:p>
    <w:p w14:paraId="049B2A2A" w14:textId="447DC5B7" w:rsidR="00FB3FCF" w:rsidRDefault="00E6409C" w:rsidP="00E6409C">
      <w:pPr>
        <w:jc w:val="both"/>
        <w:rPr>
          <w:rFonts w:eastAsia="Arial Unicode MS"/>
        </w:rPr>
      </w:pPr>
      <w:r w:rsidRPr="006F44AF">
        <w:rPr>
          <w:rFonts w:eastAsia="Arial Unicode MS"/>
        </w:rPr>
        <w:t xml:space="preserve">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w:t>
      </w:r>
      <w:proofErr w:type="spellStart"/>
      <w:r w:rsidRPr="006F44AF">
        <w:rPr>
          <w:rFonts w:eastAsia="Arial Unicode MS"/>
        </w:rPr>
        <w:t>sukuk</w:t>
      </w:r>
      <w:proofErr w:type="spellEnd"/>
      <w:r w:rsidRPr="006F44AF">
        <w:rPr>
          <w:rFonts w:eastAsia="Arial Unicode MS"/>
        </w:rPr>
        <w:t xml:space="preserve"> ihracı ve </w:t>
      </w:r>
      <w:proofErr w:type="spellStart"/>
      <w:r w:rsidRPr="006F44AF">
        <w:rPr>
          <w:rFonts w:eastAsia="Arial Unicode MS"/>
        </w:rPr>
        <w:t>sendikasyon</w:t>
      </w:r>
      <w:proofErr w:type="spellEnd"/>
      <w:r w:rsidRPr="006F44AF">
        <w:rPr>
          <w:rFonts w:eastAsia="Arial Unicode MS"/>
        </w:rPr>
        <w:t xml:space="preserve"> kredileri yoluyla fon temin edilmesi yanında kurumsal ölçekte Türkiye’deki şirketler ve gruplar adına </w:t>
      </w:r>
      <w:proofErr w:type="spellStart"/>
      <w:r w:rsidRPr="006F44AF">
        <w:rPr>
          <w:rFonts w:eastAsia="Arial Unicode MS"/>
        </w:rPr>
        <w:t>sukuk</w:t>
      </w:r>
      <w:proofErr w:type="spellEnd"/>
      <w:r w:rsidRPr="006F44AF">
        <w:rPr>
          <w:rFonts w:eastAsia="Arial Unicode MS"/>
        </w:rPr>
        <w:t xml:space="preserve"> ihracı ve </w:t>
      </w:r>
      <w:proofErr w:type="spellStart"/>
      <w:r w:rsidRPr="006F44AF">
        <w:rPr>
          <w:rFonts w:eastAsia="Arial Unicode MS"/>
        </w:rPr>
        <w:t>sendikasyon</w:t>
      </w:r>
      <w:proofErr w:type="spellEnd"/>
      <w:r w:rsidRPr="006F44AF">
        <w:rPr>
          <w:rFonts w:eastAsia="Arial Unicode MS"/>
        </w:rPr>
        <w:t xml:space="preserve">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w:t>
      </w:r>
      <w:proofErr w:type="spellStart"/>
      <w:r w:rsidRPr="006F44AF">
        <w:rPr>
          <w:rFonts w:eastAsia="Arial Unicode MS"/>
        </w:rPr>
        <w:t>Forward</w:t>
      </w:r>
      <w:proofErr w:type="spellEnd"/>
      <w:r w:rsidRPr="006F44AF">
        <w:rPr>
          <w:rFonts w:eastAsia="Arial Unicode MS"/>
        </w:rPr>
        <w:t>, Swap) işlemlerin yapılması, BIST üyeliği kapsamında hisse senedi alım satım işlemleri, yurt dışı bankalar ile murabaha işlemleri ve altın alım satım işlemleri yapılmaktadır.</w:t>
      </w:r>
    </w:p>
    <w:p w14:paraId="2816E81B" w14:textId="11D3197F" w:rsidR="002B34EE" w:rsidRDefault="002B34EE" w:rsidP="00E6409C">
      <w:pPr>
        <w:jc w:val="both"/>
        <w:rPr>
          <w:rFonts w:eastAsia="Arial Unicode MS"/>
          <w:b/>
          <w:sz w:val="16"/>
          <w:szCs w:val="16"/>
        </w:rPr>
      </w:pPr>
    </w:p>
    <w:p w14:paraId="6A85CDC3" w14:textId="2A33AD9F" w:rsidR="002B34EE" w:rsidRDefault="002B34EE" w:rsidP="00E6409C">
      <w:pPr>
        <w:jc w:val="both"/>
        <w:rPr>
          <w:rFonts w:eastAsia="Arial Unicode MS"/>
          <w:b/>
          <w:sz w:val="16"/>
          <w:szCs w:val="16"/>
        </w:rPr>
      </w:pPr>
    </w:p>
    <w:p w14:paraId="1B98894D" w14:textId="45D80EF6" w:rsidR="002B34EE" w:rsidRDefault="002B34EE" w:rsidP="00E6409C">
      <w:pPr>
        <w:jc w:val="both"/>
        <w:rPr>
          <w:rFonts w:eastAsia="Arial Unicode MS"/>
          <w:b/>
          <w:sz w:val="16"/>
          <w:szCs w:val="16"/>
        </w:rPr>
      </w:pPr>
    </w:p>
    <w:p w14:paraId="0CC2D1DB" w14:textId="28F973E9" w:rsidR="002B34EE" w:rsidRDefault="002B34EE" w:rsidP="00E6409C">
      <w:pPr>
        <w:jc w:val="both"/>
        <w:rPr>
          <w:rFonts w:eastAsia="Arial Unicode MS"/>
          <w:b/>
          <w:sz w:val="16"/>
          <w:szCs w:val="16"/>
        </w:rPr>
      </w:pPr>
    </w:p>
    <w:p w14:paraId="04E071B6" w14:textId="31771235" w:rsidR="002B34EE" w:rsidRDefault="002B34EE" w:rsidP="00E6409C">
      <w:pPr>
        <w:jc w:val="both"/>
        <w:rPr>
          <w:rFonts w:eastAsia="Arial Unicode MS"/>
          <w:b/>
          <w:sz w:val="16"/>
          <w:szCs w:val="16"/>
        </w:rPr>
      </w:pPr>
    </w:p>
    <w:p w14:paraId="400252D8" w14:textId="34310F45" w:rsidR="002B34EE" w:rsidRDefault="002B34EE" w:rsidP="00E6409C">
      <w:pPr>
        <w:jc w:val="both"/>
        <w:rPr>
          <w:rFonts w:eastAsia="Arial Unicode MS"/>
          <w:b/>
          <w:sz w:val="16"/>
          <w:szCs w:val="16"/>
        </w:rPr>
      </w:pPr>
    </w:p>
    <w:p w14:paraId="5923ABFF" w14:textId="488A3EFC" w:rsidR="002B34EE" w:rsidRDefault="002B34EE" w:rsidP="00E6409C">
      <w:pPr>
        <w:jc w:val="both"/>
        <w:rPr>
          <w:rFonts w:eastAsia="Arial Unicode MS"/>
          <w:b/>
          <w:sz w:val="16"/>
          <w:szCs w:val="16"/>
        </w:rPr>
      </w:pPr>
    </w:p>
    <w:p w14:paraId="7A9F3238" w14:textId="48568508" w:rsidR="002B34EE" w:rsidRDefault="002B34EE" w:rsidP="00E6409C">
      <w:pPr>
        <w:jc w:val="both"/>
        <w:rPr>
          <w:rFonts w:eastAsia="Arial Unicode MS"/>
          <w:b/>
          <w:sz w:val="16"/>
          <w:szCs w:val="16"/>
        </w:rPr>
      </w:pPr>
    </w:p>
    <w:p w14:paraId="3A3A52F5" w14:textId="6A8D4CAE" w:rsidR="002B34EE" w:rsidRDefault="002B34EE" w:rsidP="00E6409C">
      <w:pPr>
        <w:jc w:val="both"/>
        <w:rPr>
          <w:rFonts w:eastAsia="Arial Unicode MS"/>
          <w:b/>
          <w:sz w:val="16"/>
          <w:szCs w:val="16"/>
        </w:rPr>
      </w:pPr>
    </w:p>
    <w:p w14:paraId="49C39A95" w14:textId="700E2B21" w:rsidR="002B34EE" w:rsidRDefault="002B34EE" w:rsidP="00E6409C">
      <w:pPr>
        <w:jc w:val="both"/>
        <w:rPr>
          <w:rFonts w:eastAsia="Arial Unicode MS"/>
          <w:b/>
          <w:sz w:val="16"/>
          <w:szCs w:val="16"/>
        </w:rPr>
      </w:pPr>
    </w:p>
    <w:p w14:paraId="6A998B7E" w14:textId="72AF7F11" w:rsidR="002B34EE" w:rsidRDefault="002B34EE" w:rsidP="00E6409C">
      <w:pPr>
        <w:jc w:val="both"/>
        <w:rPr>
          <w:rFonts w:eastAsia="Arial Unicode MS"/>
          <w:b/>
          <w:sz w:val="16"/>
          <w:szCs w:val="16"/>
        </w:rPr>
      </w:pPr>
    </w:p>
    <w:p w14:paraId="51AAADBB" w14:textId="1BD7B0D5" w:rsidR="00310AF7" w:rsidRDefault="00310AF7" w:rsidP="00E6409C">
      <w:pPr>
        <w:jc w:val="both"/>
        <w:rPr>
          <w:rFonts w:eastAsia="Arial Unicode MS"/>
          <w:b/>
          <w:sz w:val="16"/>
          <w:szCs w:val="16"/>
        </w:rPr>
      </w:pPr>
    </w:p>
    <w:p w14:paraId="3CA7A350" w14:textId="0630F5EE" w:rsidR="00310AF7" w:rsidRDefault="00310AF7" w:rsidP="00E6409C">
      <w:pPr>
        <w:jc w:val="both"/>
        <w:rPr>
          <w:rFonts w:eastAsia="Arial Unicode MS"/>
          <w:b/>
          <w:sz w:val="16"/>
          <w:szCs w:val="16"/>
        </w:rPr>
      </w:pPr>
    </w:p>
    <w:p w14:paraId="1F5751FA" w14:textId="73F0A53B" w:rsidR="00310AF7" w:rsidRDefault="00310AF7" w:rsidP="00E6409C">
      <w:pPr>
        <w:jc w:val="both"/>
        <w:rPr>
          <w:rFonts w:eastAsia="Arial Unicode MS"/>
          <w:b/>
          <w:sz w:val="16"/>
          <w:szCs w:val="16"/>
        </w:rPr>
      </w:pPr>
    </w:p>
    <w:p w14:paraId="71FFB839" w14:textId="7A4B6335" w:rsidR="00310AF7" w:rsidRDefault="00310AF7" w:rsidP="00E6409C">
      <w:pPr>
        <w:jc w:val="both"/>
        <w:rPr>
          <w:rFonts w:eastAsia="Arial Unicode MS"/>
          <w:b/>
          <w:sz w:val="16"/>
          <w:szCs w:val="16"/>
        </w:rPr>
      </w:pPr>
    </w:p>
    <w:p w14:paraId="3929D5E0" w14:textId="14FEC254" w:rsidR="00310AF7" w:rsidRDefault="00310AF7" w:rsidP="00E6409C">
      <w:pPr>
        <w:jc w:val="both"/>
        <w:rPr>
          <w:rFonts w:eastAsia="Arial Unicode MS"/>
          <w:b/>
          <w:sz w:val="16"/>
          <w:szCs w:val="16"/>
        </w:rPr>
      </w:pPr>
    </w:p>
    <w:p w14:paraId="0C71BCBA" w14:textId="0261E57E" w:rsidR="00310AF7" w:rsidRDefault="00310AF7" w:rsidP="00E6409C">
      <w:pPr>
        <w:jc w:val="both"/>
        <w:rPr>
          <w:rFonts w:eastAsia="Arial Unicode MS"/>
          <w:b/>
          <w:sz w:val="16"/>
          <w:szCs w:val="16"/>
        </w:rPr>
      </w:pPr>
    </w:p>
    <w:p w14:paraId="00ADD5EA" w14:textId="27F41BE6" w:rsidR="00310AF7" w:rsidRDefault="00310AF7" w:rsidP="00E6409C">
      <w:pPr>
        <w:jc w:val="both"/>
        <w:rPr>
          <w:rFonts w:eastAsia="Arial Unicode MS"/>
          <w:b/>
          <w:sz w:val="16"/>
          <w:szCs w:val="16"/>
        </w:rPr>
      </w:pPr>
    </w:p>
    <w:p w14:paraId="5ADEFF45" w14:textId="77777777" w:rsidR="00310AF7" w:rsidRDefault="00310AF7" w:rsidP="00E6409C">
      <w:pPr>
        <w:jc w:val="both"/>
        <w:rPr>
          <w:rFonts w:eastAsia="Arial Unicode MS"/>
          <w:b/>
          <w:sz w:val="16"/>
          <w:szCs w:val="16"/>
        </w:rPr>
      </w:pPr>
    </w:p>
    <w:p w14:paraId="74432986" w14:textId="4F9CF409" w:rsidR="002B34EE" w:rsidRDefault="002B34EE" w:rsidP="00E6409C">
      <w:pPr>
        <w:jc w:val="both"/>
        <w:rPr>
          <w:rFonts w:eastAsia="Arial Unicode MS"/>
          <w:b/>
          <w:sz w:val="16"/>
          <w:szCs w:val="16"/>
        </w:rPr>
      </w:pPr>
    </w:p>
    <w:p w14:paraId="534AEEEF" w14:textId="7CBD35B7" w:rsidR="002B34EE" w:rsidRDefault="002B34EE" w:rsidP="00E6409C">
      <w:pPr>
        <w:jc w:val="both"/>
        <w:rPr>
          <w:rFonts w:eastAsia="Arial Unicode MS"/>
          <w:b/>
          <w:sz w:val="16"/>
          <w:szCs w:val="16"/>
        </w:rPr>
      </w:pPr>
    </w:p>
    <w:p w14:paraId="01C2A718" w14:textId="2390EFB4" w:rsidR="002B34EE" w:rsidRDefault="002B34EE" w:rsidP="00E6409C">
      <w:pPr>
        <w:jc w:val="both"/>
        <w:rPr>
          <w:rFonts w:eastAsia="Arial Unicode MS"/>
          <w:b/>
          <w:sz w:val="16"/>
          <w:szCs w:val="16"/>
        </w:rPr>
      </w:pPr>
    </w:p>
    <w:p w14:paraId="1C9F927A" w14:textId="30C31682" w:rsidR="002B34EE" w:rsidRDefault="002B34EE" w:rsidP="00E6409C">
      <w:pPr>
        <w:jc w:val="both"/>
        <w:rPr>
          <w:rFonts w:eastAsia="Arial Unicode MS"/>
          <w:b/>
          <w:sz w:val="16"/>
          <w:szCs w:val="16"/>
        </w:rPr>
      </w:pPr>
    </w:p>
    <w:p w14:paraId="474337F1" w14:textId="78C5F3A9" w:rsidR="002B34EE" w:rsidRDefault="002B34EE" w:rsidP="00E6409C">
      <w:pPr>
        <w:jc w:val="both"/>
        <w:rPr>
          <w:rFonts w:eastAsia="Arial Unicode MS"/>
          <w:b/>
          <w:sz w:val="16"/>
          <w:szCs w:val="16"/>
        </w:rPr>
      </w:pPr>
    </w:p>
    <w:p w14:paraId="5D2195CD" w14:textId="7B170962" w:rsidR="00E575AD" w:rsidRDefault="00E575AD">
      <w:pPr>
        <w:rPr>
          <w:rFonts w:eastAsia="Arial Unicode MS"/>
          <w:b/>
          <w:sz w:val="16"/>
          <w:szCs w:val="16"/>
        </w:rPr>
      </w:pPr>
      <w:r>
        <w:rPr>
          <w:rFonts w:eastAsia="Arial Unicode MS"/>
          <w:b/>
          <w:sz w:val="16"/>
          <w:szCs w:val="16"/>
        </w:rPr>
        <w:br w:type="page"/>
      </w:r>
    </w:p>
    <w:p w14:paraId="4B0BB3A3" w14:textId="77777777" w:rsidR="00C12F3E" w:rsidRPr="00046D7E" w:rsidRDefault="00E253C8" w:rsidP="00CC1FB5">
      <w:pPr>
        <w:autoSpaceDE w:val="0"/>
        <w:autoSpaceDN w:val="0"/>
        <w:adjustRightInd w:val="0"/>
        <w:rPr>
          <w:rFonts w:eastAsia="Arial Unicode MS"/>
          <w:b/>
        </w:rPr>
      </w:pPr>
      <w:r w:rsidRPr="00046D7E">
        <w:rPr>
          <w:rFonts w:eastAsia="Arial Unicode MS"/>
          <w:b/>
        </w:rPr>
        <w:lastRenderedPageBreak/>
        <w:t>Belirli bilanço ve gelir tablosu kalemlerinin faaliyet bölümlerine göre gösterimi:</w:t>
      </w:r>
    </w:p>
    <w:p w14:paraId="402A1DBD" w14:textId="477F2789" w:rsidR="00C830D5" w:rsidRDefault="00C830D5" w:rsidP="00134A72">
      <w:pPr>
        <w:autoSpaceDE w:val="0"/>
        <w:autoSpaceDN w:val="0"/>
        <w:adjustRightInd w:val="0"/>
        <w:rPr>
          <w:lang w:val="en-GB" w:eastAsia="en-GB"/>
        </w:rPr>
      </w:pPr>
    </w:p>
    <w:tbl>
      <w:tblPr>
        <w:tblW w:w="9490" w:type="dxa"/>
        <w:tblCellMar>
          <w:left w:w="70" w:type="dxa"/>
          <w:right w:w="70" w:type="dxa"/>
        </w:tblCellMar>
        <w:tblLook w:val="04A0" w:firstRow="1" w:lastRow="0" w:firstColumn="1" w:lastColumn="0" w:noHBand="0" w:noVBand="1"/>
      </w:tblPr>
      <w:tblGrid>
        <w:gridCol w:w="4001"/>
        <w:gridCol w:w="1086"/>
        <w:gridCol w:w="1086"/>
        <w:gridCol w:w="1086"/>
        <w:gridCol w:w="1145"/>
        <w:gridCol w:w="1086"/>
      </w:tblGrid>
      <w:tr w:rsidR="00C830D5" w:rsidRPr="00C830D5" w14:paraId="0A99C7C5" w14:textId="77777777" w:rsidTr="00BA637F">
        <w:trPr>
          <w:divId w:val="1948194695"/>
          <w:trHeight w:val="113"/>
        </w:trPr>
        <w:tc>
          <w:tcPr>
            <w:tcW w:w="4001" w:type="dxa"/>
            <w:tcBorders>
              <w:top w:val="single" w:sz="8" w:space="0" w:color="auto"/>
              <w:left w:val="nil"/>
              <w:bottom w:val="nil"/>
              <w:right w:val="nil"/>
            </w:tcBorders>
            <w:shd w:val="clear" w:color="auto" w:fill="auto"/>
            <w:noWrap/>
            <w:vAlign w:val="center"/>
            <w:hideMark/>
          </w:tcPr>
          <w:p w14:paraId="29403105" w14:textId="094F3ED5" w:rsidR="00C830D5" w:rsidRPr="00C830D5" w:rsidRDefault="00C830D5" w:rsidP="00C830D5">
            <w:pPr>
              <w:rPr>
                <w:b/>
                <w:bCs/>
                <w:color w:val="000000"/>
                <w:sz w:val="16"/>
                <w:szCs w:val="16"/>
                <w:lang w:eastAsia="tr-TR"/>
              </w:rPr>
            </w:pPr>
            <w:r w:rsidRPr="00C830D5">
              <w:rPr>
                <w:b/>
                <w:bCs/>
                <w:color w:val="000000"/>
                <w:sz w:val="16"/>
                <w:szCs w:val="16"/>
                <w:lang w:eastAsia="tr-TR"/>
              </w:rPr>
              <w:t>Cari Dönem</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1EA554C0" w14:textId="77777777" w:rsidR="00C830D5" w:rsidRPr="00C830D5" w:rsidRDefault="00C830D5" w:rsidP="00C830D5">
            <w:pPr>
              <w:jc w:val="right"/>
              <w:rPr>
                <w:b/>
                <w:bCs/>
                <w:color w:val="000000"/>
                <w:sz w:val="16"/>
                <w:szCs w:val="16"/>
                <w:lang w:eastAsia="tr-TR"/>
              </w:rPr>
            </w:pPr>
            <w:proofErr w:type="gramStart"/>
            <w:r w:rsidRPr="00C830D5">
              <w:rPr>
                <w:b/>
                <w:bCs/>
                <w:color w:val="000000"/>
                <w:sz w:val="16"/>
                <w:szCs w:val="16"/>
                <w:lang w:eastAsia="tr-TR"/>
              </w:rPr>
              <w:t>Bireysel  Bankacılık</w:t>
            </w:r>
            <w:proofErr w:type="gramEnd"/>
          </w:p>
        </w:tc>
        <w:tc>
          <w:tcPr>
            <w:tcW w:w="1086" w:type="dxa"/>
            <w:vMerge w:val="restart"/>
            <w:tcBorders>
              <w:top w:val="single" w:sz="8" w:space="0" w:color="auto"/>
              <w:left w:val="nil"/>
              <w:bottom w:val="single" w:sz="8" w:space="0" w:color="000000"/>
              <w:right w:val="nil"/>
            </w:tcBorders>
            <w:shd w:val="clear" w:color="auto" w:fill="auto"/>
            <w:vAlign w:val="center"/>
            <w:hideMark/>
          </w:tcPr>
          <w:p w14:paraId="47B10B9D"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Kurumsal ve Ticari Bankacılık</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6E1752E9"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center"/>
            <w:hideMark/>
          </w:tcPr>
          <w:p w14:paraId="0FD49C6C"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Dağıtılamayan</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6A81A4BD"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Banka’nın toplam faaliyeti</w:t>
            </w:r>
          </w:p>
        </w:tc>
      </w:tr>
      <w:tr w:rsidR="00C830D5" w:rsidRPr="00C830D5" w14:paraId="5BE7DD51" w14:textId="77777777" w:rsidTr="00BA637F">
        <w:trPr>
          <w:divId w:val="1948194695"/>
          <w:trHeight w:val="113"/>
        </w:trPr>
        <w:tc>
          <w:tcPr>
            <w:tcW w:w="4001" w:type="dxa"/>
            <w:tcBorders>
              <w:top w:val="nil"/>
              <w:left w:val="nil"/>
              <w:bottom w:val="single" w:sz="8" w:space="0" w:color="auto"/>
              <w:right w:val="nil"/>
            </w:tcBorders>
            <w:shd w:val="clear" w:color="auto" w:fill="auto"/>
            <w:noWrap/>
            <w:vAlign w:val="center"/>
            <w:hideMark/>
          </w:tcPr>
          <w:p w14:paraId="489193A1"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1 Ocak 2020-30 Eylül 2020</w:t>
            </w:r>
          </w:p>
        </w:tc>
        <w:tc>
          <w:tcPr>
            <w:tcW w:w="1086" w:type="dxa"/>
            <w:vMerge/>
            <w:tcBorders>
              <w:top w:val="single" w:sz="8" w:space="0" w:color="auto"/>
              <w:left w:val="nil"/>
              <w:bottom w:val="single" w:sz="8" w:space="0" w:color="000000"/>
              <w:right w:val="nil"/>
            </w:tcBorders>
            <w:vAlign w:val="center"/>
            <w:hideMark/>
          </w:tcPr>
          <w:p w14:paraId="13D950C5" w14:textId="77777777" w:rsidR="00C830D5" w:rsidRPr="00C830D5" w:rsidRDefault="00C830D5" w:rsidP="00C830D5">
            <w:pPr>
              <w:rPr>
                <w:b/>
                <w:bCs/>
                <w:color w:val="000000"/>
                <w:sz w:val="16"/>
                <w:szCs w:val="16"/>
                <w:lang w:eastAsia="tr-TR"/>
              </w:rPr>
            </w:pPr>
          </w:p>
        </w:tc>
        <w:tc>
          <w:tcPr>
            <w:tcW w:w="1086" w:type="dxa"/>
            <w:vMerge/>
            <w:tcBorders>
              <w:top w:val="single" w:sz="8" w:space="0" w:color="auto"/>
              <w:left w:val="nil"/>
              <w:bottom w:val="single" w:sz="8" w:space="0" w:color="000000"/>
              <w:right w:val="nil"/>
            </w:tcBorders>
            <w:vAlign w:val="center"/>
            <w:hideMark/>
          </w:tcPr>
          <w:p w14:paraId="12FC61C6" w14:textId="77777777" w:rsidR="00C830D5" w:rsidRPr="00C830D5" w:rsidRDefault="00C830D5" w:rsidP="00C830D5">
            <w:pPr>
              <w:rPr>
                <w:b/>
                <w:bCs/>
                <w:color w:val="000000"/>
                <w:sz w:val="16"/>
                <w:szCs w:val="16"/>
                <w:lang w:eastAsia="tr-TR"/>
              </w:rPr>
            </w:pPr>
          </w:p>
        </w:tc>
        <w:tc>
          <w:tcPr>
            <w:tcW w:w="1086" w:type="dxa"/>
            <w:vMerge/>
            <w:tcBorders>
              <w:top w:val="single" w:sz="8" w:space="0" w:color="auto"/>
              <w:left w:val="nil"/>
              <w:bottom w:val="single" w:sz="8" w:space="0" w:color="000000"/>
              <w:right w:val="nil"/>
            </w:tcBorders>
            <w:vAlign w:val="center"/>
            <w:hideMark/>
          </w:tcPr>
          <w:p w14:paraId="773F91FD" w14:textId="77777777" w:rsidR="00C830D5" w:rsidRPr="00C830D5" w:rsidRDefault="00C830D5" w:rsidP="00C830D5">
            <w:pPr>
              <w:rPr>
                <w:b/>
                <w:bCs/>
                <w:color w:val="000000"/>
                <w:sz w:val="16"/>
                <w:szCs w:val="16"/>
                <w:lang w:eastAsia="tr-TR"/>
              </w:rPr>
            </w:pPr>
          </w:p>
        </w:tc>
        <w:tc>
          <w:tcPr>
            <w:tcW w:w="1145" w:type="dxa"/>
            <w:vMerge/>
            <w:tcBorders>
              <w:top w:val="single" w:sz="8" w:space="0" w:color="auto"/>
              <w:left w:val="nil"/>
              <w:bottom w:val="single" w:sz="8" w:space="0" w:color="000000"/>
              <w:right w:val="nil"/>
            </w:tcBorders>
            <w:vAlign w:val="center"/>
            <w:hideMark/>
          </w:tcPr>
          <w:p w14:paraId="5CD0856E" w14:textId="77777777" w:rsidR="00C830D5" w:rsidRPr="00C830D5" w:rsidRDefault="00C830D5" w:rsidP="00C830D5">
            <w:pPr>
              <w:rPr>
                <w:b/>
                <w:bCs/>
                <w:color w:val="000000"/>
                <w:sz w:val="16"/>
                <w:szCs w:val="16"/>
                <w:lang w:eastAsia="tr-TR"/>
              </w:rPr>
            </w:pPr>
          </w:p>
        </w:tc>
        <w:tc>
          <w:tcPr>
            <w:tcW w:w="1086" w:type="dxa"/>
            <w:vMerge/>
            <w:tcBorders>
              <w:top w:val="single" w:sz="8" w:space="0" w:color="auto"/>
              <w:left w:val="nil"/>
              <w:bottom w:val="single" w:sz="8" w:space="0" w:color="000000"/>
              <w:right w:val="nil"/>
            </w:tcBorders>
            <w:vAlign w:val="center"/>
            <w:hideMark/>
          </w:tcPr>
          <w:p w14:paraId="469BA3CE" w14:textId="77777777" w:rsidR="00C830D5" w:rsidRPr="00C830D5" w:rsidRDefault="00C830D5" w:rsidP="00C830D5">
            <w:pPr>
              <w:rPr>
                <w:b/>
                <w:bCs/>
                <w:color w:val="000000"/>
                <w:sz w:val="16"/>
                <w:szCs w:val="16"/>
                <w:lang w:eastAsia="tr-TR"/>
              </w:rPr>
            </w:pPr>
          </w:p>
        </w:tc>
      </w:tr>
      <w:tr w:rsidR="00B30055" w:rsidRPr="00C830D5" w14:paraId="2C6CBB70" w14:textId="77777777" w:rsidTr="00BA637F">
        <w:trPr>
          <w:divId w:val="1948194695"/>
          <w:trHeight w:val="113"/>
        </w:trPr>
        <w:tc>
          <w:tcPr>
            <w:tcW w:w="9490" w:type="dxa"/>
            <w:gridSpan w:val="6"/>
            <w:tcBorders>
              <w:top w:val="nil"/>
              <w:left w:val="nil"/>
              <w:bottom w:val="nil"/>
              <w:right w:val="nil"/>
            </w:tcBorders>
            <w:shd w:val="clear" w:color="auto" w:fill="auto"/>
            <w:noWrap/>
            <w:vAlign w:val="bottom"/>
            <w:hideMark/>
          </w:tcPr>
          <w:p w14:paraId="2E3B1A4D" w14:textId="77777777" w:rsidR="00B30055" w:rsidRPr="00311DAB" w:rsidRDefault="00B30055" w:rsidP="00C830D5">
            <w:pPr>
              <w:rPr>
                <w:sz w:val="6"/>
                <w:szCs w:val="6"/>
                <w:lang w:eastAsia="tr-TR"/>
              </w:rPr>
            </w:pPr>
          </w:p>
        </w:tc>
      </w:tr>
      <w:tr w:rsidR="00C830D5" w:rsidRPr="00C830D5" w14:paraId="174B228B"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625F8BC1" w14:textId="77777777" w:rsidR="00C830D5" w:rsidRPr="00C830D5" w:rsidRDefault="00C830D5" w:rsidP="00C830D5">
            <w:pPr>
              <w:rPr>
                <w:color w:val="000000"/>
                <w:sz w:val="16"/>
                <w:szCs w:val="16"/>
                <w:lang w:eastAsia="tr-TR"/>
              </w:rPr>
            </w:pPr>
            <w:r w:rsidRPr="00C830D5">
              <w:rPr>
                <w:color w:val="000000"/>
                <w:sz w:val="16"/>
                <w:szCs w:val="16"/>
                <w:lang w:eastAsia="tr-TR"/>
              </w:rPr>
              <w:t>Faaliyet gelirleri</w:t>
            </w:r>
          </w:p>
        </w:tc>
        <w:tc>
          <w:tcPr>
            <w:tcW w:w="1086" w:type="dxa"/>
            <w:tcBorders>
              <w:top w:val="nil"/>
              <w:left w:val="nil"/>
              <w:bottom w:val="nil"/>
              <w:right w:val="nil"/>
            </w:tcBorders>
            <w:shd w:val="clear" w:color="auto" w:fill="auto"/>
            <w:noWrap/>
            <w:vAlign w:val="center"/>
            <w:hideMark/>
          </w:tcPr>
          <w:p w14:paraId="068163AD" w14:textId="77777777" w:rsidR="00C830D5" w:rsidRPr="00C830D5" w:rsidRDefault="00C830D5" w:rsidP="00C830D5">
            <w:pPr>
              <w:jc w:val="right"/>
              <w:rPr>
                <w:color w:val="000000"/>
                <w:sz w:val="16"/>
                <w:szCs w:val="16"/>
                <w:lang w:eastAsia="tr-TR"/>
              </w:rPr>
            </w:pPr>
            <w:r w:rsidRPr="00C830D5">
              <w:rPr>
                <w:color w:val="000000"/>
                <w:sz w:val="16"/>
                <w:szCs w:val="18"/>
                <w:lang w:eastAsia="tr-TR"/>
              </w:rPr>
              <w:t>3,850,192</w:t>
            </w:r>
          </w:p>
        </w:tc>
        <w:tc>
          <w:tcPr>
            <w:tcW w:w="1086" w:type="dxa"/>
            <w:tcBorders>
              <w:top w:val="nil"/>
              <w:left w:val="nil"/>
              <w:bottom w:val="nil"/>
              <w:right w:val="nil"/>
            </w:tcBorders>
            <w:shd w:val="clear" w:color="auto" w:fill="auto"/>
            <w:noWrap/>
            <w:vAlign w:val="center"/>
            <w:hideMark/>
          </w:tcPr>
          <w:p w14:paraId="2CD9A14A" w14:textId="77777777" w:rsidR="00C830D5" w:rsidRPr="00C830D5" w:rsidRDefault="00C830D5" w:rsidP="00C830D5">
            <w:pPr>
              <w:jc w:val="right"/>
              <w:rPr>
                <w:color w:val="000000"/>
                <w:sz w:val="16"/>
                <w:szCs w:val="16"/>
                <w:lang w:eastAsia="tr-TR"/>
              </w:rPr>
            </w:pPr>
            <w:r w:rsidRPr="00C830D5">
              <w:rPr>
                <w:color w:val="000000"/>
                <w:sz w:val="16"/>
                <w:szCs w:val="18"/>
                <w:lang w:eastAsia="tr-TR"/>
              </w:rPr>
              <w:t>3,624,248</w:t>
            </w:r>
          </w:p>
        </w:tc>
        <w:tc>
          <w:tcPr>
            <w:tcW w:w="1086" w:type="dxa"/>
            <w:tcBorders>
              <w:top w:val="nil"/>
              <w:left w:val="nil"/>
              <w:bottom w:val="nil"/>
              <w:right w:val="nil"/>
            </w:tcBorders>
            <w:shd w:val="clear" w:color="auto" w:fill="auto"/>
            <w:noWrap/>
            <w:vAlign w:val="center"/>
            <w:hideMark/>
          </w:tcPr>
          <w:p w14:paraId="340D6BA0" w14:textId="77777777" w:rsidR="00C830D5" w:rsidRPr="00C830D5" w:rsidRDefault="00C830D5" w:rsidP="00C830D5">
            <w:pPr>
              <w:jc w:val="right"/>
              <w:rPr>
                <w:color w:val="000000"/>
                <w:sz w:val="16"/>
                <w:szCs w:val="16"/>
                <w:lang w:eastAsia="tr-TR"/>
              </w:rPr>
            </w:pPr>
            <w:r w:rsidRPr="00C830D5">
              <w:rPr>
                <w:color w:val="000000"/>
                <w:sz w:val="16"/>
                <w:szCs w:val="18"/>
                <w:lang w:eastAsia="tr-TR"/>
              </w:rPr>
              <w:t>793,401</w:t>
            </w:r>
          </w:p>
        </w:tc>
        <w:tc>
          <w:tcPr>
            <w:tcW w:w="1145" w:type="dxa"/>
            <w:tcBorders>
              <w:top w:val="nil"/>
              <w:left w:val="nil"/>
              <w:bottom w:val="nil"/>
              <w:right w:val="nil"/>
            </w:tcBorders>
            <w:shd w:val="clear" w:color="auto" w:fill="auto"/>
            <w:noWrap/>
            <w:vAlign w:val="center"/>
            <w:hideMark/>
          </w:tcPr>
          <w:p w14:paraId="01E6A781"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08B4B331" w14:textId="77777777" w:rsidR="00C830D5" w:rsidRPr="00C830D5" w:rsidRDefault="00C830D5" w:rsidP="00C830D5">
            <w:pPr>
              <w:jc w:val="right"/>
              <w:rPr>
                <w:color w:val="000000"/>
                <w:sz w:val="16"/>
                <w:szCs w:val="16"/>
                <w:lang w:eastAsia="tr-TR"/>
              </w:rPr>
            </w:pPr>
            <w:r w:rsidRPr="00C830D5">
              <w:rPr>
                <w:color w:val="000000"/>
                <w:sz w:val="16"/>
                <w:szCs w:val="16"/>
                <w:lang w:eastAsia="tr-TR"/>
              </w:rPr>
              <w:t>8,267,841</w:t>
            </w:r>
          </w:p>
        </w:tc>
      </w:tr>
      <w:tr w:rsidR="00C830D5" w:rsidRPr="00C830D5" w14:paraId="00C25EA0"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3878DA65" w14:textId="77777777" w:rsidR="00C830D5" w:rsidRPr="00C830D5" w:rsidRDefault="00C830D5" w:rsidP="00C830D5">
            <w:pPr>
              <w:rPr>
                <w:color w:val="000000"/>
                <w:sz w:val="16"/>
                <w:szCs w:val="16"/>
                <w:lang w:eastAsia="tr-TR"/>
              </w:rPr>
            </w:pPr>
            <w:r w:rsidRPr="00C830D5">
              <w:rPr>
                <w:color w:val="000000"/>
                <w:sz w:val="16"/>
                <w:szCs w:val="16"/>
                <w:lang w:eastAsia="tr-TR"/>
              </w:rPr>
              <w:t>Faaliyet giderleri (-)</w:t>
            </w:r>
          </w:p>
        </w:tc>
        <w:tc>
          <w:tcPr>
            <w:tcW w:w="1086" w:type="dxa"/>
            <w:tcBorders>
              <w:top w:val="nil"/>
              <w:left w:val="nil"/>
              <w:bottom w:val="nil"/>
              <w:right w:val="nil"/>
            </w:tcBorders>
            <w:shd w:val="clear" w:color="auto" w:fill="auto"/>
            <w:noWrap/>
            <w:vAlign w:val="center"/>
            <w:hideMark/>
          </w:tcPr>
          <w:p w14:paraId="0F5F3038" w14:textId="77777777" w:rsidR="00C830D5" w:rsidRPr="00C830D5" w:rsidRDefault="00C830D5" w:rsidP="00C830D5">
            <w:pPr>
              <w:jc w:val="right"/>
              <w:rPr>
                <w:color w:val="000000"/>
                <w:sz w:val="16"/>
                <w:szCs w:val="16"/>
                <w:lang w:eastAsia="tr-TR"/>
              </w:rPr>
            </w:pPr>
            <w:r w:rsidRPr="00C830D5">
              <w:rPr>
                <w:color w:val="000000"/>
                <w:sz w:val="16"/>
                <w:szCs w:val="18"/>
                <w:lang w:eastAsia="tr-TR"/>
              </w:rPr>
              <w:t>3,649,643</w:t>
            </w:r>
          </w:p>
        </w:tc>
        <w:tc>
          <w:tcPr>
            <w:tcW w:w="1086" w:type="dxa"/>
            <w:tcBorders>
              <w:top w:val="nil"/>
              <w:left w:val="nil"/>
              <w:bottom w:val="nil"/>
              <w:right w:val="nil"/>
            </w:tcBorders>
            <w:shd w:val="clear" w:color="auto" w:fill="auto"/>
            <w:noWrap/>
            <w:vAlign w:val="center"/>
            <w:hideMark/>
          </w:tcPr>
          <w:p w14:paraId="51C99621" w14:textId="77777777" w:rsidR="00C830D5" w:rsidRPr="00C830D5" w:rsidRDefault="00C830D5" w:rsidP="00C830D5">
            <w:pPr>
              <w:jc w:val="right"/>
              <w:rPr>
                <w:color w:val="000000"/>
                <w:sz w:val="16"/>
                <w:szCs w:val="16"/>
                <w:lang w:eastAsia="tr-TR"/>
              </w:rPr>
            </w:pPr>
            <w:r w:rsidRPr="00C830D5">
              <w:rPr>
                <w:color w:val="000000"/>
                <w:sz w:val="16"/>
                <w:szCs w:val="18"/>
                <w:lang w:eastAsia="tr-TR"/>
              </w:rPr>
              <w:t>652,597</w:t>
            </w:r>
          </w:p>
        </w:tc>
        <w:tc>
          <w:tcPr>
            <w:tcW w:w="1086" w:type="dxa"/>
            <w:tcBorders>
              <w:top w:val="nil"/>
              <w:left w:val="nil"/>
              <w:bottom w:val="nil"/>
              <w:right w:val="nil"/>
            </w:tcBorders>
            <w:shd w:val="clear" w:color="auto" w:fill="auto"/>
            <w:noWrap/>
            <w:vAlign w:val="center"/>
            <w:hideMark/>
          </w:tcPr>
          <w:p w14:paraId="3D915C43" w14:textId="77777777" w:rsidR="00C830D5" w:rsidRPr="00C830D5" w:rsidRDefault="00C830D5" w:rsidP="00C830D5">
            <w:pPr>
              <w:jc w:val="right"/>
              <w:rPr>
                <w:color w:val="000000"/>
                <w:sz w:val="16"/>
                <w:szCs w:val="16"/>
                <w:lang w:eastAsia="tr-TR"/>
              </w:rPr>
            </w:pPr>
            <w:r w:rsidRPr="00C830D5">
              <w:rPr>
                <w:color w:val="000000"/>
                <w:sz w:val="16"/>
                <w:szCs w:val="18"/>
                <w:lang w:eastAsia="tr-TR"/>
              </w:rPr>
              <w:t>1,157,599</w:t>
            </w:r>
          </w:p>
        </w:tc>
        <w:tc>
          <w:tcPr>
            <w:tcW w:w="1145" w:type="dxa"/>
            <w:tcBorders>
              <w:top w:val="nil"/>
              <w:left w:val="nil"/>
              <w:bottom w:val="nil"/>
              <w:right w:val="nil"/>
            </w:tcBorders>
            <w:shd w:val="clear" w:color="auto" w:fill="auto"/>
            <w:noWrap/>
            <w:vAlign w:val="center"/>
            <w:hideMark/>
          </w:tcPr>
          <w:p w14:paraId="0C8D3BE0" w14:textId="77777777" w:rsidR="00C830D5" w:rsidRPr="00C830D5" w:rsidRDefault="00C830D5" w:rsidP="00C830D5">
            <w:pPr>
              <w:jc w:val="right"/>
              <w:rPr>
                <w:color w:val="000000"/>
                <w:sz w:val="16"/>
                <w:szCs w:val="16"/>
                <w:lang w:eastAsia="tr-TR"/>
              </w:rPr>
            </w:pPr>
            <w:r w:rsidRPr="00C830D5">
              <w:rPr>
                <w:color w:val="000000"/>
                <w:sz w:val="16"/>
                <w:szCs w:val="18"/>
                <w:lang w:eastAsia="tr-TR"/>
              </w:rPr>
              <w:t>1,488,458</w:t>
            </w:r>
          </w:p>
        </w:tc>
        <w:tc>
          <w:tcPr>
            <w:tcW w:w="1086" w:type="dxa"/>
            <w:tcBorders>
              <w:top w:val="nil"/>
              <w:left w:val="nil"/>
              <w:bottom w:val="nil"/>
              <w:right w:val="nil"/>
            </w:tcBorders>
            <w:shd w:val="clear" w:color="auto" w:fill="auto"/>
            <w:noWrap/>
            <w:vAlign w:val="center"/>
            <w:hideMark/>
          </w:tcPr>
          <w:p w14:paraId="213EC96F" w14:textId="77777777" w:rsidR="00C830D5" w:rsidRPr="00C830D5" w:rsidRDefault="00C830D5" w:rsidP="00C830D5">
            <w:pPr>
              <w:jc w:val="right"/>
              <w:rPr>
                <w:color w:val="000000"/>
                <w:sz w:val="16"/>
                <w:szCs w:val="16"/>
                <w:lang w:eastAsia="tr-TR"/>
              </w:rPr>
            </w:pPr>
            <w:r w:rsidRPr="00C830D5">
              <w:rPr>
                <w:color w:val="000000"/>
                <w:sz w:val="16"/>
                <w:szCs w:val="16"/>
                <w:lang w:eastAsia="tr-TR"/>
              </w:rPr>
              <w:t>6,948,297</w:t>
            </w:r>
          </w:p>
        </w:tc>
      </w:tr>
      <w:tr w:rsidR="00C830D5" w:rsidRPr="00C830D5" w14:paraId="09A70DC3"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3BB4D58D" w14:textId="77777777" w:rsidR="00C830D5" w:rsidRPr="00C830D5" w:rsidRDefault="00C830D5" w:rsidP="00C830D5">
            <w:pPr>
              <w:rPr>
                <w:color w:val="000000"/>
                <w:sz w:val="16"/>
                <w:szCs w:val="16"/>
                <w:lang w:eastAsia="tr-TR"/>
              </w:rPr>
            </w:pPr>
            <w:r w:rsidRPr="00C830D5">
              <w:rPr>
                <w:color w:val="000000"/>
                <w:sz w:val="16"/>
                <w:szCs w:val="16"/>
                <w:lang w:eastAsia="tr-TR"/>
              </w:rPr>
              <w:t>Bölümler arası transferler</w:t>
            </w:r>
          </w:p>
        </w:tc>
        <w:tc>
          <w:tcPr>
            <w:tcW w:w="1086" w:type="dxa"/>
            <w:tcBorders>
              <w:top w:val="nil"/>
              <w:left w:val="nil"/>
              <w:bottom w:val="nil"/>
              <w:right w:val="nil"/>
            </w:tcBorders>
            <w:shd w:val="clear" w:color="auto" w:fill="auto"/>
            <w:noWrap/>
            <w:vAlign w:val="center"/>
            <w:hideMark/>
          </w:tcPr>
          <w:p w14:paraId="23714942" w14:textId="77777777" w:rsidR="00C830D5" w:rsidRPr="00C830D5" w:rsidRDefault="00C830D5" w:rsidP="00C830D5">
            <w:pPr>
              <w:jc w:val="right"/>
              <w:rPr>
                <w:color w:val="000000"/>
                <w:sz w:val="16"/>
                <w:szCs w:val="16"/>
                <w:lang w:eastAsia="tr-TR"/>
              </w:rPr>
            </w:pPr>
            <w:r w:rsidRPr="00C830D5">
              <w:rPr>
                <w:color w:val="000000"/>
                <w:sz w:val="16"/>
                <w:szCs w:val="18"/>
                <w:lang w:eastAsia="tr-TR"/>
              </w:rPr>
              <w:t>1,711,150</w:t>
            </w:r>
          </w:p>
        </w:tc>
        <w:tc>
          <w:tcPr>
            <w:tcW w:w="1086" w:type="dxa"/>
            <w:tcBorders>
              <w:top w:val="nil"/>
              <w:left w:val="nil"/>
              <w:bottom w:val="nil"/>
              <w:right w:val="nil"/>
            </w:tcBorders>
            <w:shd w:val="clear" w:color="auto" w:fill="auto"/>
            <w:noWrap/>
            <w:vAlign w:val="center"/>
            <w:hideMark/>
          </w:tcPr>
          <w:p w14:paraId="4C142F69"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r w:rsidRPr="00C830D5">
              <w:rPr>
                <w:color w:val="000000"/>
                <w:sz w:val="16"/>
                <w:szCs w:val="16"/>
                <w:lang w:eastAsia="tr-TR"/>
              </w:rPr>
              <w:t>325,131)</w:t>
            </w:r>
          </w:p>
        </w:tc>
        <w:tc>
          <w:tcPr>
            <w:tcW w:w="1086" w:type="dxa"/>
            <w:tcBorders>
              <w:top w:val="nil"/>
              <w:left w:val="nil"/>
              <w:bottom w:val="nil"/>
              <w:right w:val="nil"/>
            </w:tcBorders>
            <w:shd w:val="clear" w:color="auto" w:fill="auto"/>
            <w:noWrap/>
            <w:vAlign w:val="center"/>
            <w:hideMark/>
          </w:tcPr>
          <w:p w14:paraId="3D6B9F18"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r w:rsidRPr="00C830D5">
              <w:rPr>
                <w:color w:val="000000"/>
                <w:sz w:val="16"/>
                <w:szCs w:val="16"/>
                <w:lang w:eastAsia="tr-TR"/>
              </w:rPr>
              <w:t>1,386,019)</w:t>
            </w:r>
          </w:p>
        </w:tc>
        <w:tc>
          <w:tcPr>
            <w:tcW w:w="1145" w:type="dxa"/>
            <w:tcBorders>
              <w:top w:val="nil"/>
              <w:left w:val="nil"/>
              <w:bottom w:val="nil"/>
              <w:right w:val="nil"/>
            </w:tcBorders>
            <w:shd w:val="clear" w:color="auto" w:fill="auto"/>
            <w:noWrap/>
            <w:vAlign w:val="center"/>
            <w:hideMark/>
          </w:tcPr>
          <w:p w14:paraId="64C32E4A"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2ED3AD2B"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r>
      <w:tr w:rsidR="00C830D5" w:rsidRPr="00C830D5" w14:paraId="0258E964"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68C79BB9"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Net faaliyet karı / zararı</w:t>
            </w:r>
          </w:p>
        </w:tc>
        <w:tc>
          <w:tcPr>
            <w:tcW w:w="1086" w:type="dxa"/>
            <w:tcBorders>
              <w:top w:val="nil"/>
              <w:left w:val="nil"/>
              <w:bottom w:val="nil"/>
              <w:right w:val="nil"/>
            </w:tcBorders>
            <w:shd w:val="clear" w:color="auto" w:fill="auto"/>
            <w:noWrap/>
            <w:vAlign w:val="center"/>
            <w:hideMark/>
          </w:tcPr>
          <w:p w14:paraId="4CADF6A7"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1,911,699</w:t>
            </w:r>
          </w:p>
        </w:tc>
        <w:tc>
          <w:tcPr>
            <w:tcW w:w="1086" w:type="dxa"/>
            <w:tcBorders>
              <w:top w:val="nil"/>
              <w:left w:val="nil"/>
              <w:bottom w:val="nil"/>
              <w:right w:val="nil"/>
            </w:tcBorders>
            <w:shd w:val="clear" w:color="auto" w:fill="auto"/>
            <w:noWrap/>
            <w:vAlign w:val="center"/>
            <w:hideMark/>
          </w:tcPr>
          <w:p w14:paraId="48DC3477"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2,646,520</w:t>
            </w:r>
          </w:p>
        </w:tc>
        <w:tc>
          <w:tcPr>
            <w:tcW w:w="1086" w:type="dxa"/>
            <w:tcBorders>
              <w:top w:val="nil"/>
              <w:left w:val="nil"/>
              <w:bottom w:val="nil"/>
              <w:right w:val="nil"/>
            </w:tcBorders>
            <w:shd w:val="clear" w:color="auto" w:fill="auto"/>
            <w:noWrap/>
            <w:vAlign w:val="center"/>
            <w:hideMark/>
          </w:tcPr>
          <w:p w14:paraId="42D5A43A"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(1,750,217)</w:t>
            </w:r>
          </w:p>
        </w:tc>
        <w:tc>
          <w:tcPr>
            <w:tcW w:w="1145" w:type="dxa"/>
            <w:tcBorders>
              <w:top w:val="nil"/>
              <w:left w:val="nil"/>
              <w:bottom w:val="nil"/>
              <w:right w:val="nil"/>
            </w:tcBorders>
            <w:shd w:val="clear" w:color="auto" w:fill="auto"/>
            <w:noWrap/>
            <w:vAlign w:val="center"/>
            <w:hideMark/>
          </w:tcPr>
          <w:p w14:paraId="190A2D99"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(1,488,458)</w:t>
            </w:r>
          </w:p>
        </w:tc>
        <w:tc>
          <w:tcPr>
            <w:tcW w:w="1086" w:type="dxa"/>
            <w:tcBorders>
              <w:top w:val="nil"/>
              <w:left w:val="nil"/>
              <w:bottom w:val="nil"/>
              <w:right w:val="nil"/>
            </w:tcBorders>
            <w:shd w:val="clear" w:color="auto" w:fill="auto"/>
            <w:noWrap/>
            <w:vAlign w:val="center"/>
            <w:hideMark/>
          </w:tcPr>
          <w:p w14:paraId="368408F8"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1,319,544</w:t>
            </w:r>
          </w:p>
        </w:tc>
      </w:tr>
      <w:tr w:rsidR="00C830D5" w:rsidRPr="00C830D5" w14:paraId="355797E9"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27FE45E5" w14:textId="77777777" w:rsidR="00C830D5" w:rsidRPr="00C830D5" w:rsidRDefault="00C830D5" w:rsidP="00C830D5">
            <w:pPr>
              <w:rPr>
                <w:color w:val="000000"/>
                <w:sz w:val="16"/>
                <w:szCs w:val="16"/>
                <w:lang w:eastAsia="tr-TR"/>
              </w:rPr>
            </w:pPr>
            <w:r w:rsidRPr="00C830D5">
              <w:rPr>
                <w:color w:val="000000"/>
                <w:sz w:val="16"/>
                <w:szCs w:val="16"/>
                <w:lang w:eastAsia="tr-TR"/>
              </w:rPr>
              <w:t>İştiraklerden elde edilen gelir</w:t>
            </w:r>
          </w:p>
        </w:tc>
        <w:tc>
          <w:tcPr>
            <w:tcW w:w="1086" w:type="dxa"/>
            <w:tcBorders>
              <w:top w:val="nil"/>
              <w:left w:val="nil"/>
              <w:bottom w:val="nil"/>
              <w:right w:val="nil"/>
            </w:tcBorders>
            <w:shd w:val="clear" w:color="auto" w:fill="auto"/>
            <w:noWrap/>
            <w:vAlign w:val="center"/>
            <w:hideMark/>
          </w:tcPr>
          <w:p w14:paraId="60CC2E3F"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1416FF61"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514FF392"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p>
        </w:tc>
        <w:tc>
          <w:tcPr>
            <w:tcW w:w="1145" w:type="dxa"/>
            <w:tcBorders>
              <w:top w:val="nil"/>
              <w:left w:val="nil"/>
              <w:bottom w:val="nil"/>
              <w:right w:val="nil"/>
            </w:tcBorders>
            <w:shd w:val="clear" w:color="auto" w:fill="auto"/>
            <w:noWrap/>
            <w:vAlign w:val="center"/>
            <w:hideMark/>
          </w:tcPr>
          <w:p w14:paraId="033FFEE3"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4921EB95"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p>
        </w:tc>
      </w:tr>
      <w:tr w:rsidR="00C830D5" w:rsidRPr="00C830D5" w14:paraId="68B6E29F"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7C6B9BE2"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Vergi öncesi kar</w:t>
            </w:r>
          </w:p>
        </w:tc>
        <w:tc>
          <w:tcPr>
            <w:tcW w:w="1086" w:type="dxa"/>
            <w:tcBorders>
              <w:top w:val="nil"/>
              <w:left w:val="nil"/>
              <w:bottom w:val="nil"/>
              <w:right w:val="nil"/>
            </w:tcBorders>
            <w:shd w:val="clear" w:color="auto" w:fill="auto"/>
            <w:noWrap/>
            <w:vAlign w:val="center"/>
            <w:hideMark/>
          </w:tcPr>
          <w:p w14:paraId="47482FED" w14:textId="77777777" w:rsidR="00C830D5" w:rsidRPr="00C830D5" w:rsidRDefault="00C830D5" w:rsidP="00C830D5">
            <w:pPr>
              <w:jc w:val="right"/>
              <w:rPr>
                <w:color w:val="000000"/>
                <w:sz w:val="16"/>
                <w:szCs w:val="16"/>
                <w:lang w:eastAsia="tr-TR"/>
              </w:rPr>
            </w:pPr>
            <w:r w:rsidRPr="00C830D5">
              <w:rPr>
                <w:color w:val="000000"/>
                <w:sz w:val="16"/>
                <w:szCs w:val="18"/>
                <w:lang w:eastAsia="tr-TR"/>
              </w:rPr>
              <w:t>1,911,699</w:t>
            </w:r>
          </w:p>
        </w:tc>
        <w:tc>
          <w:tcPr>
            <w:tcW w:w="1086" w:type="dxa"/>
            <w:tcBorders>
              <w:top w:val="nil"/>
              <w:left w:val="nil"/>
              <w:bottom w:val="nil"/>
              <w:right w:val="nil"/>
            </w:tcBorders>
            <w:shd w:val="clear" w:color="auto" w:fill="auto"/>
            <w:noWrap/>
            <w:vAlign w:val="center"/>
            <w:hideMark/>
          </w:tcPr>
          <w:p w14:paraId="376376A2" w14:textId="77777777" w:rsidR="00C830D5" w:rsidRPr="00C830D5" w:rsidRDefault="00C830D5" w:rsidP="00C830D5">
            <w:pPr>
              <w:jc w:val="right"/>
              <w:rPr>
                <w:color w:val="000000"/>
                <w:sz w:val="16"/>
                <w:szCs w:val="16"/>
                <w:lang w:eastAsia="tr-TR"/>
              </w:rPr>
            </w:pPr>
            <w:r w:rsidRPr="00C830D5">
              <w:rPr>
                <w:color w:val="000000"/>
                <w:sz w:val="16"/>
                <w:szCs w:val="18"/>
                <w:lang w:eastAsia="tr-TR"/>
              </w:rPr>
              <w:t>2,646,520</w:t>
            </w:r>
          </w:p>
        </w:tc>
        <w:tc>
          <w:tcPr>
            <w:tcW w:w="1086" w:type="dxa"/>
            <w:tcBorders>
              <w:top w:val="nil"/>
              <w:left w:val="nil"/>
              <w:bottom w:val="nil"/>
              <w:right w:val="nil"/>
            </w:tcBorders>
            <w:shd w:val="clear" w:color="auto" w:fill="auto"/>
            <w:noWrap/>
            <w:vAlign w:val="center"/>
            <w:hideMark/>
          </w:tcPr>
          <w:p w14:paraId="7DCAEF07"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r w:rsidRPr="00C830D5">
              <w:rPr>
                <w:color w:val="000000"/>
                <w:sz w:val="16"/>
                <w:szCs w:val="16"/>
                <w:lang w:eastAsia="tr-TR"/>
              </w:rPr>
              <w:t>1,750,217)</w:t>
            </w:r>
          </w:p>
        </w:tc>
        <w:tc>
          <w:tcPr>
            <w:tcW w:w="1145" w:type="dxa"/>
            <w:tcBorders>
              <w:top w:val="nil"/>
              <w:left w:val="nil"/>
              <w:bottom w:val="nil"/>
              <w:right w:val="nil"/>
            </w:tcBorders>
            <w:shd w:val="clear" w:color="auto" w:fill="auto"/>
            <w:noWrap/>
            <w:vAlign w:val="center"/>
            <w:hideMark/>
          </w:tcPr>
          <w:p w14:paraId="6D40D900"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r w:rsidRPr="00C830D5">
              <w:rPr>
                <w:color w:val="000000"/>
                <w:sz w:val="16"/>
                <w:szCs w:val="16"/>
                <w:lang w:eastAsia="tr-TR"/>
              </w:rPr>
              <w:t>1,488,458)</w:t>
            </w:r>
          </w:p>
        </w:tc>
        <w:tc>
          <w:tcPr>
            <w:tcW w:w="1086" w:type="dxa"/>
            <w:tcBorders>
              <w:top w:val="nil"/>
              <w:left w:val="nil"/>
              <w:bottom w:val="nil"/>
              <w:right w:val="nil"/>
            </w:tcBorders>
            <w:shd w:val="clear" w:color="auto" w:fill="auto"/>
            <w:noWrap/>
            <w:vAlign w:val="center"/>
            <w:hideMark/>
          </w:tcPr>
          <w:p w14:paraId="6BD1BFC5" w14:textId="77777777" w:rsidR="00C830D5" w:rsidRPr="00C830D5" w:rsidRDefault="00C830D5" w:rsidP="00C830D5">
            <w:pPr>
              <w:jc w:val="right"/>
              <w:rPr>
                <w:color w:val="000000"/>
                <w:sz w:val="16"/>
                <w:szCs w:val="16"/>
                <w:lang w:eastAsia="tr-TR"/>
              </w:rPr>
            </w:pPr>
            <w:r w:rsidRPr="00C830D5">
              <w:rPr>
                <w:color w:val="000000"/>
                <w:sz w:val="16"/>
                <w:szCs w:val="16"/>
                <w:lang w:eastAsia="tr-TR"/>
              </w:rPr>
              <w:t>1,319,544</w:t>
            </w:r>
          </w:p>
        </w:tc>
      </w:tr>
      <w:tr w:rsidR="00C830D5" w:rsidRPr="00C830D5" w14:paraId="42556D07"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4B20E9EB" w14:textId="77777777" w:rsidR="00C830D5" w:rsidRPr="00C830D5" w:rsidRDefault="00C830D5" w:rsidP="00C830D5">
            <w:pPr>
              <w:rPr>
                <w:color w:val="000000"/>
                <w:sz w:val="16"/>
                <w:szCs w:val="16"/>
                <w:lang w:eastAsia="tr-TR"/>
              </w:rPr>
            </w:pPr>
            <w:r w:rsidRPr="00C830D5">
              <w:rPr>
                <w:color w:val="000000"/>
                <w:sz w:val="16"/>
                <w:szCs w:val="16"/>
                <w:lang w:eastAsia="tr-TR"/>
              </w:rPr>
              <w:t>Vergi Karşılığı (-)</w:t>
            </w:r>
          </w:p>
        </w:tc>
        <w:tc>
          <w:tcPr>
            <w:tcW w:w="1086" w:type="dxa"/>
            <w:tcBorders>
              <w:top w:val="nil"/>
              <w:left w:val="nil"/>
              <w:bottom w:val="nil"/>
              <w:right w:val="nil"/>
            </w:tcBorders>
            <w:shd w:val="clear" w:color="auto" w:fill="auto"/>
            <w:noWrap/>
            <w:vAlign w:val="center"/>
            <w:hideMark/>
          </w:tcPr>
          <w:p w14:paraId="48BAB563"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3DCD68B6"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0C36EE7A" w14:textId="77777777" w:rsidR="00C830D5" w:rsidRPr="00C830D5" w:rsidRDefault="00C830D5" w:rsidP="00C830D5">
            <w:pPr>
              <w:jc w:val="right"/>
              <w:rPr>
                <w:color w:val="000000"/>
                <w:sz w:val="16"/>
                <w:szCs w:val="16"/>
                <w:lang w:eastAsia="tr-TR"/>
              </w:rPr>
            </w:pPr>
            <w:r w:rsidRPr="00C830D5">
              <w:rPr>
                <w:color w:val="000000"/>
                <w:sz w:val="16"/>
                <w:szCs w:val="18"/>
                <w:lang w:eastAsia="tr-TR"/>
              </w:rPr>
              <w:t>-</w:t>
            </w:r>
          </w:p>
        </w:tc>
        <w:tc>
          <w:tcPr>
            <w:tcW w:w="1145" w:type="dxa"/>
            <w:tcBorders>
              <w:top w:val="nil"/>
              <w:left w:val="nil"/>
              <w:bottom w:val="nil"/>
              <w:right w:val="nil"/>
            </w:tcBorders>
            <w:shd w:val="clear" w:color="auto" w:fill="auto"/>
            <w:noWrap/>
            <w:vAlign w:val="center"/>
            <w:hideMark/>
          </w:tcPr>
          <w:p w14:paraId="3267886D" w14:textId="77777777" w:rsidR="00C830D5" w:rsidRPr="00C830D5" w:rsidRDefault="00C830D5" w:rsidP="00C830D5">
            <w:pPr>
              <w:jc w:val="right"/>
              <w:rPr>
                <w:color w:val="000000"/>
                <w:sz w:val="16"/>
                <w:szCs w:val="16"/>
                <w:lang w:eastAsia="tr-TR"/>
              </w:rPr>
            </w:pPr>
            <w:r w:rsidRPr="00C830D5">
              <w:rPr>
                <w:color w:val="000000"/>
                <w:sz w:val="16"/>
                <w:szCs w:val="16"/>
                <w:lang w:eastAsia="tr-TR"/>
              </w:rPr>
              <w:t>283,488</w:t>
            </w:r>
          </w:p>
        </w:tc>
        <w:tc>
          <w:tcPr>
            <w:tcW w:w="1086" w:type="dxa"/>
            <w:tcBorders>
              <w:top w:val="nil"/>
              <w:left w:val="nil"/>
              <w:bottom w:val="nil"/>
              <w:right w:val="nil"/>
            </w:tcBorders>
            <w:shd w:val="clear" w:color="auto" w:fill="auto"/>
            <w:noWrap/>
            <w:vAlign w:val="center"/>
            <w:hideMark/>
          </w:tcPr>
          <w:p w14:paraId="48E989B9" w14:textId="77777777" w:rsidR="00C830D5" w:rsidRPr="00C830D5" w:rsidRDefault="00C830D5" w:rsidP="00C830D5">
            <w:pPr>
              <w:jc w:val="right"/>
              <w:rPr>
                <w:color w:val="000000"/>
                <w:sz w:val="16"/>
                <w:szCs w:val="16"/>
                <w:lang w:eastAsia="tr-TR"/>
              </w:rPr>
            </w:pPr>
            <w:r w:rsidRPr="00C830D5">
              <w:rPr>
                <w:color w:val="000000"/>
                <w:sz w:val="16"/>
                <w:szCs w:val="16"/>
                <w:lang w:eastAsia="tr-TR"/>
              </w:rPr>
              <w:t>283,488</w:t>
            </w:r>
          </w:p>
        </w:tc>
      </w:tr>
      <w:tr w:rsidR="00C830D5" w:rsidRPr="00C830D5" w14:paraId="2C413CDC"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624471D1"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Dönem net karı</w:t>
            </w:r>
          </w:p>
        </w:tc>
        <w:tc>
          <w:tcPr>
            <w:tcW w:w="1086" w:type="dxa"/>
            <w:tcBorders>
              <w:top w:val="nil"/>
              <w:left w:val="nil"/>
              <w:bottom w:val="nil"/>
              <w:right w:val="nil"/>
            </w:tcBorders>
            <w:shd w:val="clear" w:color="auto" w:fill="auto"/>
            <w:noWrap/>
            <w:vAlign w:val="center"/>
            <w:hideMark/>
          </w:tcPr>
          <w:p w14:paraId="76CF5BAE"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1,911,699</w:t>
            </w:r>
          </w:p>
        </w:tc>
        <w:tc>
          <w:tcPr>
            <w:tcW w:w="1086" w:type="dxa"/>
            <w:tcBorders>
              <w:top w:val="nil"/>
              <w:left w:val="nil"/>
              <w:bottom w:val="nil"/>
              <w:right w:val="nil"/>
            </w:tcBorders>
            <w:shd w:val="clear" w:color="auto" w:fill="auto"/>
            <w:noWrap/>
            <w:vAlign w:val="center"/>
            <w:hideMark/>
          </w:tcPr>
          <w:p w14:paraId="0BFD0C9D"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2,646,520</w:t>
            </w:r>
          </w:p>
        </w:tc>
        <w:tc>
          <w:tcPr>
            <w:tcW w:w="1086" w:type="dxa"/>
            <w:tcBorders>
              <w:top w:val="nil"/>
              <w:left w:val="nil"/>
              <w:bottom w:val="nil"/>
              <w:right w:val="nil"/>
            </w:tcBorders>
            <w:shd w:val="clear" w:color="auto" w:fill="auto"/>
            <w:noWrap/>
            <w:vAlign w:val="center"/>
            <w:hideMark/>
          </w:tcPr>
          <w:p w14:paraId="05D993D1"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(1,750,217)</w:t>
            </w:r>
          </w:p>
        </w:tc>
        <w:tc>
          <w:tcPr>
            <w:tcW w:w="1145" w:type="dxa"/>
            <w:tcBorders>
              <w:top w:val="nil"/>
              <w:left w:val="nil"/>
              <w:bottom w:val="nil"/>
              <w:right w:val="nil"/>
            </w:tcBorders>
            <w:shd w:val="clear" w:color="auto" w:fill="auto"/>
            <w:noWrap/>
            <w:vAlign w:val="center"/>
            <w:hideMark/>
          </w:tcPr>
          <w:p w14:paraId="070875EC"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(1,771,946)</w:t>
            </w:r>
          </w:p>
        </w:tc>
        <w:tc>
          <w:tcPr>
            <w:tcW w:w="1086" w:type="dxa"/>
            <w:tcBorders>
              <w:top w:val="nil"/>
              <w:left w:val="nil"/>
              <w:bottom w:val="nil"/>
              <w:right w:val="nil"/>
            </w:tcBorders>
            <w:shd w:val="clear" w:color="auto" w:fill="auto"/>
            <w:noWrap/>
            <w:vAlign w:val="center"/>
            <w:hideMark/>
          </w:tcPr>
          <w:p w14:paraId="6AA08CAA"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1,036,056</w:t>
            </w:r>
          </w:p>
        </w:tc>
      </w:tr>
      <w:tr w:rsidR="00C830D5" w:rsidRPr="00C830D5" w14:paraId="4F9C2B9F" w14:textId="77777777" w:rsidTr="00BA637F">
        <w:trPr>
          <w:divId w:val="1948194695"/>
          <w:trHeight w:val="113"/>
        </w:trPr>
        <w:tc>
          <w:tcPr>
            <w:tcW w:w="4001" w:type="dxa"/>
            <w:tcBorders>
              <w:top w:val="nil"/>
              <w:left w:val="nil"/>
              <w:bottom w:val="nil"/>
              <w:right w:val="nil"/>
            </w:tcBorders>
            <w:shd w:val="clear" w:color="auto" w:fill="auto"/>
            <w:noWrap/>
            <w:vAlign w:val="bottom"/>
            <w:hideMark/>
          </w:tcPr>
          <w:p w14:paraId="5DC89B5D" w14:textId="77777777" w:rsidR="00C830D5" w:rsidRPr="00311DAB" w:rsidRDefault="00C830D5" w:rsidP="00C830D5">
            <w:pPr>
              <w:jc w:val="right"/>
              <w:rPr>
                <w:b/>
                <w:bCs/>
                <w:color w:val="000000"/>
                <w:sz w:val="6"/>
                <w:szCs w:val="6"/>
                <w:lang w:eastAsia="tr-TR"/>
              </w:rPr>
            </w:pPr>
          </w:p>
        </w:tc>
        <w:tc>
          <w:tcPr>
            <w:tcW w:w="1086" w:type="dxa"/>
            <w:tcBorders>
              <w:top w:val="nil"/>
              <w:left w:val="nil"/>
              <w:bottom w:val="nil"/>
              <w:right w:val="nil"/>
            </w:tcBorders>
            <w:shd w:val="clear" w:color="auto" w:fill="auto"/>
            <w:noWrap/>
            <w:vAlign w:val="bottom"/>
            <w:hideMark/>
          </w:tcPr>
          <w:p w14:paraId="73FD17A6"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vAlign w:val="bottom"/>
            <w:hideMark/>
          </w:tcPr>
          <w:p w14:paraId="4F81257A"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noWrap/>
            <w:vAlign w:val="bottom"/>
            <w:hideMark/>
          </w:tcPr>
          <w:p w14:paraId="2887A1FF" w14:textId="77777777" w:rsidR="00C830D5" w:rsidRPr="00311DAB" w:rsidRDefault="00C830D5" w:rsidP="00C830D5">
            <w:pPr>
              <w:rPr>
                <w:sz w:val="6"/>
                <w:szCs w:val="6"/>
                <w:lang w:eastAsia="tr-TR"/>
              </w:rPr>
            </w:pPr>
          </w:p>
        </w:tc>
        <w:tc>
          <w:tcPr>
            <w:tcW w:w="1145" w:type="dxa"/>
            <w:tcBorders>
              <w:top w:val="nil"/>
              <w:left w:val="nil"/>
              <w:bottom w:val="nil"/>
              <w:right w:val="nil"/>
            </w:tcBorders>
            <w:shd w:val="clear" w:color="auto" w:fill="auto"/>
            <w:vAlign w:val="bottom"/>
            <w:hideMark/>
          </w:tcPr>
          <w:p w14:paraId="765E83F5"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vAlign w:val="bottom"/>
            <w:hideMark/>
          </w:tcPr>
          <w:p w14:paraId="22F9436B" w14:textId="77777777" w:rsidR="00C830D5" w:rsidRPr="00311DAB" w:rsidRDefault="00C830D5" w:rsidP="00C830D5">
            <w:pPr>
              <w:rPr>
                <w:sz w:val="6"/>
                <w:szCs w:val="6"/>
                <w:lang w:eastAsia="tr-TR"/>
              </w:rPr>
            </w:pPr>
          </w:p>
        </w:tc>
      </w:tr>
      <w:tr w:rsidR="00C830D5" w:rsidRPr="00C830D5" w14:paraId="790D15CA"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3542651A"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Cari Dönem</w:t>
            </w:r>
          </w:p>
        </w:tc>
        <w:tc>
          <w:tcPr>
            <w:tcW w:w="1086" w:type="dxa"/>
            <w:tcBorders>
              <w:top w:val="nil"/>
              <w:left w:val="nil"/>
              <w:bottom w:val="nil"/>
              <w:right w:val="nil"/>
            </w:tcBorders>
            <w:shd w:val="clear" w:color="auto" w:fill="auto"/>
            <w:noWrap/>
            <w:vAlign w:val="bottom"/>
            <w:hideMark/>
          </w:tcPr>
          <w:p w14:paraId="4F2D7754" w14:textId="77777777" w:rsidR="00C830D5" w:rsidRPr="00C830D5" w:rsidRDefault="00C830D5" w:rsidP="00C830D5">
            <w:pPr>
              <w:rPr>
                <w:b/>
                <w:bCs/>
                <w:color w:val="000000"/>
                <w:sz w:val="16"/>
                <w:szCs w:val="16"/>
                <w:lang w:eastAsia="tr-TR"/>
              </w:rPr>
            </w:pPr>
          </w:p>
        </w:tc>
        <w:tc>
          <w:tcPr>
            <w:tcW w:w="1086" w:type="dxa"/>
            <w:tcBorders>
              <w:top w:val="nil"/>
              <w:left w:val="nil"/>
              <w:bottom w:val="nil"/>
              <w:right w:val="nil"/>
            </w:tcBorders>
            <w:shd w:val="clear" w:color="auto" w:fill="auto"/>
            <w:vAlign w:val="bottom"/>
            <w:hideMark/>
          </w:tcPr>
          <w:p w14:paraId="1E47A60A" w14:textId="77777777" w:rsidR="00C830D5" w:rsidRPr="00C830D5" w:rsidRDefault="00C830D5" w:rsidP="00C830D5">
            <w:pPr>
              <w:rPr>
                <w:lang w:eastAsia="tr-TR"/>
              </w:rPr>
            </w:pPr>
          </w:p>
        </w:tc>
        <w:tc>
          <w:tcPr>
            <w:tcW w:w="1086" w:type="dxa"/>
            <w:tcBorders>
              <w:top w:val="nil"/>
              <w:left w:val="nil"/>
              <w:bottom w:val="nil"/>
              <w:right w:val="nil"/>
            </w:tcBorders>
            <w:shd w:val="clear" w:color="auto" w:fill="auto"/>
            <w:noWrap/>
            <w:vAlign w:val="bottom"/>
            <w:hideMark/>
          </w:tcPr>
          <w:p w14:paraId="3DB97CEA" w14:textId="77777777" w:rsidR="00C830D5" w:rsidRPr="00C830D5" w:rsidRDefault="00C830D5" w:rsidP="00C830D5">
            <w:pPr>
              <w:rPr>
                <w:lang w:eastAsia="tr-TR"/>
              </w:rPr>
            </w:pPr>
          </w:p>
        </w:tc>
        <w:tc>
          <w:tcPr>
            <w:tcW w:w="1145" w:type="dxa"/>
            <w:tcBorders>
              <w:top w:val="nil"/>
              <w:left w:val="nil"/>
              <w:bottom w:val="nil"/>
              <w:right w:val="nil"/>
            </w:tcBorders>
            <w:shd w:val="clear" w:color="auto" w:fill="auto"/>
            <w:vAlign w:val="bottom"/>
            <w:hideMark/>
          </w:tcPr>
          <w:p w14:paraId="0FF9E817" w14:textId="77777777" w:rsidR="00C830D5" w:rsidRPr="00C830D5" w:rsidRDefault="00C830D5" w:rsidP="00C830D5">
            <w:pPr>
              <w:rPr>
                <w:lang w:eastAsia="tr-TR"/>
              </w:rPr>
            </w:pPr>
          </w:p>
        </w:tc>
        <w:tc>
          <w:tcPr>
            <w:tcW w:w="1086" w:type="dxa"/>
            <w:tcBorders>
              <w:top w:val="nil"/>
              <w:left w:val="nil"/>
              <w:bottom w:val="nil"/>
              <w:right w:val="nil"/>
            </w:tcBorders>
            <w:shd w:val="clear" w:color="auto" w:fill="auto"/>
            <w:vAlign w:val="bottom"/>
            <w:hideMark/>
          </w:tcPr>
          <w:p w14:paraId="01496DFC" w14:textId="77777777" w:rsidR="00C830D5" w:rsidRPr="00C830D5" w:rsidRDefault="00C830D5" w:rsidP="00C830D5">
            <w:pPr>
              <w:rPr>
                <w:lang w:eastAsia="tr-TR"/>
              </w:rPr>
            </w:pPr>
          </w:p>
        </w:tc>
      </w:tr>
      <w:tr w:rsidR="00C830D5" w:rsidRPr="00C830D5" w14:paraId="3295DD7A"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0609DDE6"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30 Eylül 2020</w:t>
            </w:r>
          </w:p>
        </w:tc>
        <w:tc>
          <w:tcPr>
            <w:tcW w:w="1086" w:type="dxa"/>
            <w:tcBorders>
              <w:top w:val="nil"/>
              <w:left w:val="nil"/>
              <w:bottom w:val="nil"/>
              <w:right w:val="nil"/>
            </w:tcBorders>
            <w:shd w:val="clear" w:color="auto" w:fill="auto"/>
            <w:noWrap/>
            <w:vAlign w:val="bottom"/>
            <w:hideMark/>
          </w:tcPr>
          <w:p w14:paraId="439274C8" w14:textId="77777777" w:rsidR="00C830D5" w:rsidRPr="00C830D5" w:rsidRDefault="00C830D5" w:rsidP="00C830D5">
            <w:pPr>
              <w:jc w:val="right"/>
              <w:rPr>
                <w:b/>
                <w:bCs/>
                <w:color w:val="000000"/>
                <w:sz w:val="16"/>
                <w:szCs w:val="16"/>
                <w:lang w:eastAsia="tr-TR"/>
              </w:rPr>
            </w:pPr>
          </w:p>
        </w:tc>
        <w:tc>
          <w:tcPr>
            <w:tcW w:w="1086" w:type="dxa"/>
            <w:tcBorders>
              <w:top w:val="nil"/>
              <w:left w:val="nil"/>
              <w:bottom w:val="nil"/>
              <w:right w:val="nil"/>
            </w:tcBorders>
            <w:shd w:val="clear" w:color="auto" w:fill="auto"/>
            <w:vAlign w:val="bottom"/>
            <w:hideMark/>
          </w:tcPr>
          <w:p w14:paraId="6496E748" w14:textId="77777777" w:rsidR="00C830D5" w:rsidRPr="00C830D5" w:rsidRDefault="00C830D5" w:rsidP="00C830D5">
            <w:pPr>
              <w:rPr>
                <w:lang w:eastAsia="tr-TR"/>
              </w:rPr>
            </w:pPr>
          </w:p>
        </w:tc>
        <w:tc>
          <w:tcPr>
            <w:tcW w:w="1086" w:type="dxa"/>
            <w:tcBorders>
              <w:top w:val="nil"/>
              <w:left w:val="nil"/>
              <w:bottom w:val="nil"/>
              <w:right w:val="nil"/>
            </w:tcBorders>
            <w:shd w:val="clear" w:color="auto" w:fill="auto"/>
            <w:noWrap/>
            <w:vAlign w:val="bottom"/>
            <w:hideMark/>
          </w:tcPr>
          <w:p w14:paraId="0C33B211" w14:textId="77777777" w:rsidR="00C830D5" w:rsidRPr="00C830D5" w:rsidRDefault="00C830D5" w:rsidP="00C830D5">
            <w:pPr>
              <w:rPr>
                <w:lang w:eastAsia="tr-TR"/>
              </w:rPr>
            </w:pPr>
          </w:p>
        </w:tc>
        <w:tc>
          <w:tcPr>
            <w:tcW w:w="1145" w:type="dxa"/>
            <w:tcBorders>
              <w:top w:val="nil"/>
              <w:left w:val="nil"/>
              <w:bottom w:val="nil"/>
              <w:right w:val="nil"/>
            </w:tcBorders>
            <w:shd w:val="clear" w:color="auto" w:fill="auto"/>
            <w:vAlign w:val="bottom"/>
            <w:hideMark/>
          </w:tcPr>
          <w:p w14:paraId="3642E1C9" w14:textId="77777777" w:rsidR="00C830D5" w:rsidRPr="00C830D5" w:rsidRDefault="00C830D5" w:rsidP="00C830D5">
            <w:pPr>
              <w:rPr>
                <w:lang w:eastAsia="tr-TR"/>
              </w:rPr>
            </w:pPr>
          </w:p>
        </w:tc>
        <w:tc>
          <w:tcPr>
            <w:tcW w:w="1086" w:type="dxa"/>
            <w:tcBorders>
              <w:top w:val="nil"/>
              <w:left w:val="nil"/>
              <w:bottom w:val="nil"/>
              <w:right w:val="nil"/>
            </w:tcBorders>
            <w:shd w:val="clear" w:color="auto" w:fill="auto"/>
            <w:vAlign w:val="bottom"/>
            <w:hideMark/>
          </w:tcPr>
          <w:p w14:paraId="3EDCAAEB" w14:textId="77777777" w:rsidR="00C830D5" w:rsidRPr="00C830D5" w:rsidRDefault="00C830D5" w:rsidP="00C830D5">
            <w:pPr>
              <w:rPr>
                <w:lang w:eastAsia="tr-TR"/>
              </w:rPr>
            </w:pPr>
          </w:p>
        </w:tc>
      </w:tr>
      <w:tr w:rsidR="00C830D5" w:rsidRPr="00C830D5" w14:paraId="28CBB54D"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3A5E5E92"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noWrap/>
            <w:vAlign w:val="bottom"/>
            <w:hideMark/>
          </w:tcPr>
          <w:p w14:paraId="515EEB4B"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noWrap/>
            <w:vAlign w:val="bottom"/>
            <w:hideMark/>
          </w:tcPr>
          <w:p w14:paraId="4175776F"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noWrap/>
            <w:vAlign w:val="bottom"/>
            <w:hideMark/>
          </w:tcPr>
          <w:p w14:paraId="5273B956" w14:textId="77777777" w:rsidR="00C830D5" w:rsidRPr="00311DAB" w:rsidRDefault="00C830D5" w:rsidP="00C830D5">
            <w:pPr>
              <w:rPr>
                <w:sz w:val="6"/>
                <w:szCs w:val="6"/>
                <w:lang w:eastAsia="tr-TR"/>
              </w:rPr>
            </w:pPr>
          </w:p>
        </w:tc>
        <w:tc>
          <w:tcPr>
            <w:tcW w:w="1145" w:type="dxa"/>
            <w:tcBorders>
              <w:top w:val="nil"/>
              <w:left w:val="nil"/>
              <w:bottom w:val="nil"/>
              <w:right w:val="nil"/>
            </w:tcBorders>
            <w:shd w:val="clear" w:color="auto" w:fill="auto"/>
            <w:noWrap/>
            <w:vAlign w:val="bottom"/>
            <w:hideMark/>
          </w:tcPr>
          <w:p w14:paraId="3C99F42E"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noWrap/>
            <w:vAlign w:val="bottom"/>
            <w:hideMark/>
          </w:tcPr>
          <w:p w14:paraId="79395DAD" w14:textId="77777777" w:rsidR="00C830D5" w:rsidRPr="00311DAB" w:rsidRDefault="00C830D5" w:rsidP="00C830D5">
            <w:pPr>
              <w:rPr>
                <w:sz w:val="6"/>
                <w:szCs w:val="6"/>
                <w:lang w:eastAsia="tr-TR"/>
              </w:rPr>
            </w:pPr>
          </w:p>
        </w:tc>
      </w:tr>
      <w:tr w:rsidR="00C830D5" w:rsidRPr="00C830D5" w14:paraId="37CC1E66"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29F723C4" w14:textId="77777777" w:rsidR="00C830D5" w:rsidRPr="00C830D5" w:rsidRDefault="00C830D5" w:rsidP="00C830D5">
            <w:pPr>
              <w:rPr>
                <w:color w:val="000000"/>
                <w:sz w:val="16"/>
                <w:szCs w:val="16"/>
                <w:lang w:eastAsia="tr-TR"/>
              </w:rPr>
            </w:pPr>
            <w:r w:rsidRPr="00C830D5">
              <w:rPr>
                <w:color w:val="000000"/>
                <w:sz w:val="16"/>
                <w:szCs w:val="16"/>
                <w:lang w:eastAsia="tr-TR"/>
              </w:rPr>
              <w:t>Bölüm varlıkları</w:t>
            </w:r>
          </w:p>
        </w:tc>
        <w:tc>
          <w:tcPr>
            <w:tcW w:w="1086" w:type="dxa"/>
            <w:tcBorders>
              <w:top w:val="nil"/>
              <w:left w:val="nil"/>
              <w:bottom w:val="nil"/>
              <w:right w:val="nil"/>
            </w:tcBorders>
            <w:shd w:val="clear" w:color="auto" w:fill="auto"/>
            <w:noWrap/>
            <w:vAlign w:val="center"/>
            <w:hideMark/>
          </w:tcPr>
          <w:p w14:paraId="0923D30C" w14:textId="77777777" w:rsidR="00C830D5" w:rsidRPr="00C830D5" w:rsidRDefault="00C830D5" w:rsidP="00C830D5">
            <w:pPr>
              <w:jc w:val="right"/>
              <w:rPr>
                <w:color w:val="000000"/>
                <w:sz w:val="16"/>
                <w:szCs w:val="16"/>
                <w:lang w:eastAsia="tr-TR"/>
              </w:rPr>
            </w:pPr>
            <w:r w:rsidRPr="00C830D5">
              <w:rPr>
                <w:color w:val="000000"/>
                <w:sz w:val="16"/>
                <w:szCs w:val="16"/>
                <w:lang w:eastAsia="tr-TR"/>
              </w:rPr>
              <w:t>30,045,222</w:t>
            </w:r>
          </w:p>
        </w:tc>
        <w:tc>
          <w:tcPr>
            <w:tcW w:w="1086" w:type="dxa"/>
            <w:tcBorders>
              <w:top w:val="nil"/>
              <w:left w:val="nil"/>
              <w:bottom w:val="nil"/>
              <w:right w:val="nil"/>
            </w:tcBorders>
            <w:shd w:val="clear" w:color="auto" w:fill="auto"/>
            <w:noWrap/>
            <w:vAlign w:val="center"/>
            <w:hideMark/>
          </w:tcPr>
          <w:p w14:paraId="3E6439B8" w14:textId="77777777" w:rsidR="00C830D5" w:rsidRPr="00C830D5" w:rsidRDefault="00C830D5" w:rsidP="00C830D5">
            <w:pPr>
              <w:jc w:val="right"/>
              <w:rPr>
                <w:color w:val="000000"/>
                <w:sz w:val="16"/>
                <w:szCs w:val="16"/>
                <w:lang w:eastAsia="tr-TR"/>
              </w:rPr>
            </w:pPr>
            <w:r w:rsidRPr="00C830D5">
              <w:rPr>
                <w:color w:val="000000"/>
                <w:sz w:val="16"/>
                <w:szCs w:val="16"/>
                <w:lang w:eastAsia="tr-TR"/>
              </w:rPr>
              <w:t>43,483,234</w:t>
            </w:r>
          </w:p>
        </w:tc>
        <w:tc>
          <w:tcPr>
            <w:tcW w:w="1086" w:type="dxa"/>
            <w:tcBorders>
              <w:top w:val="nil"/>
              <w:left w:val="nil"/>
              <w:bottom w:val="nil"/>
              <w:right w:val="nil"/>
            </w:tcBorders>
            <w:shd w:val="clear" w:color="auto" w:fill="auto"/>
            <w:noWrap/>
            <w:vAlign w:val="center"/>
            <w:hideMark/>
          </w:tcPr>
          <w:p w14:paraId="260710D3" w14:textId="77777777" w:rsidR="00C830D5" w:rsidRPr="00C830D5" w:rsidRDefault="00C830D5" w:rsidP="00C830D5">
            <w:pPr>
              <w:jc w:val="right"/>
              <w:rPr>
                <w:color w:val="000000"/>
                <w:sz w:val="16"/>
                <w:szCs w:val="16"/>
                <w:lang w:eastAsia="tr-TR"/>
              </w:rPr>
            </w:pPr>
            <w:r w:rsidRPr="00C830D5">
              <w:rPr>
                <w:color w:val="000000"/>
                <w:sz w:val="16"/>
                <w:szCs w:val="16"/>
                <w:lang w:eastAsia="tr-TR"/>
              </w:rPr>
              <w:t>74,937,353</w:t>
            </w:r>
          </w:p>
        </w:tc>
        <w:tc>
          <w:tcPr>
            <w:tcW w:w="1145" w:type="dxa"/>
            <w:tcBorders>
              <w:top w:val="nil"/>
              <w:left w:val="nil"/>
              <w:bottom w:val="nil"/>
              <w:right w:val="nil"/>
            </w:tcBorders>
            <w:shd w:val="clear" w:color="auto" w:fill="auto"/>
            <w:noWrap/>
            <w:vAlign w:val="center"/>
            <w:hideMark/>
          </w:tcPr>
          <w:p w14:paraId="781D4557"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15FA20E1" w14:textId="77777777" w:rsidR="00C830D5" w:rsidRPr="00C830D5" w:rsidRDefault="00C830D5" w:rsidP="00C830D5">
            <w:pPr>
              <w:jc w:val="right"/>
              <w:rPr>
                <w:color w:val="000000"/>
                <w:sz w:val="16"/>
                <w:szCs w:val="16"/>
                <w:lang w:eastAsia="tr-TR"/>
              </w:rPr>
            </w:pPr>
            <w:r w:rsidRPr="00C830D5">
              <w:rPr>
                <w:color w:val="000000"/>
                <w:sz w:val="16"/>
                <w:szCs w:val="16"/>
                <w:lang w:eastAsia="tr-TR"/>
              </w:rPr>
              <w:t>148,465,809</w:t>
            </w:r>
          </w:p>
        </w:tc>
      </w:tr>
      <w:tr w:rsidR="00C830D5" w:rsidRPr="00C830D5" w14:paraId="23F21B49"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2CB6ED8C" w14:textId="77777777" w:rsidR="00C830D5" w:rsidRPr="00C830D5" w:rsidRDefault="00C830D5" w:rsidP="00C830D5">
            <w:pPr>
              <w:rPr>
                <w:color w:val="000000"/>
                <w:sz w:val="16"/>
                <w:szCs w:val="16"/>
                <w:lang w:eastAsia="tr-TR"/>
              </w:rPr>
            </w:pPr>
            <w:r w:rsidRPr="00C830D5">
              <w:rPr>
                <w:color w:val="000000"/>
                <w:sz w:val="16"/>
                <w:szCs w:val="16"/>
                <w:lang w:eastAsia="tr-TR"/>
              </w:rPr>
              <w:t>İştirak ve bağlı ortaklık ve birlikte kontrol edilen ortaklıklar</w:t>
            </w:r>
          </w:p>
        </w:tc>
        <w:tc>
          <w:tcPr>
            <w:tcW w:w="1086" w:type="dxa"/>
            <w:tcBorders>
              <w:top w:val="nil"/>
              <w:left w:val="nil"/>
              <w:bottom w:val="nil"/>
              <w:right w:val="nil"/>
            </w:tcBorders>
            <w:shd w:val="clear" w:color="auto" w:fill="auto"/>
            <w:noWrap/>
            <w:vAlign w:val="center"/>
            <w:hideMark/>
          </w:tcPr>
          <w:p w14:paraId="00C3DA12"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74919F94"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11A3F611"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145" w:type="dxa"/>
            <w:tcBorders>
              <w:top w:val="nil"/>
              <w:left w:val="nil"/>
              <w:bottom w:val="nil"/>
              <w:right w:val="nil"/>
            </w:tcBorders>
            <w:shd w:val="clear" w:color="auto" w:fill="auto"/>
            <w:noWrap/>
            <w:vAlign w:val="center"/>
            <w:hideMark/>
          </w:tcPr>
          <w:p w14:paraId="5A23AE96" w14:textId="77777777" w:rsidR="00C830D5" w:rsidRPr="00C830D5" w:rsidRDefault="00C830D5" w:rsidP="00C830D5">
            <w:pPr>
              <w:jc w:val="right"/>
              <w:rPr>
                <w:color w:val="000000"/>
                <w:sz w:val="16"/>
                <w:szCs w:val="16"/>
                <w:lang w:eastAsia="tr-TR"/>
              </w:rPr>
            </w:pPr>
            <w:r w:rsidRPr="00C830D5">
              <w:rPr>
                <w:color w:val="000000"/>
                <w:sz w:val="16"/>
                <w:szCs w:val="16"/>
                <w:lang w:eastAsia="tr-TR"/>
              </w:rPr>
              <w:t>1,481,015</w:t>
            </w:r>
          </w:p>
        </w:tc>
        <w:tc>
          <w:tcPr>
            <w:tcW w:w="1086" w:type="dxa"/>
            <w:tcBorders>
              <w:top w:val="nil"/>
              <w:left w:val="nil"/>
              <w:bottom w:val="nil"/>
              <w:right w:val="nil"/>
            </w:tcBorders>
            <w:shd w:val="clear" w:color="auto" w:fill="auto"/>
            <w:noWrap/>
            <w:vAlign w:val="center"/>
            <w:hideMark/>
          </w:tcPr>
          <w:p w14:paraId="25ED841D" w14:textId="77777777" w:rsidR="00C830D5" w:rsidRPr="00C830D5" w:rsidRDefault="00C830D5" w:rsidP="00C830D5">
            <w:pPr>
              <w:jc w:val="right"/>
              <w:rPr>
                <w:color w:val="000000"/>
                <w:sz w:val="16"/>
                <w:szCs w:val="16"/>
                <w:lang w:eastAsia="tr-TR"/>
              </w:rPr>
            </w:pPr>
            <w:r w:rsidRPr="00C830D5">
              <w:rPr>
                <w:color w:val="000000"/>
                <w:sz w:val="16"/>
                <w:szCs w:val="18"/>
                <w:lang w:eastAsia="tr-TR"/>
              </w:rPr>
              <w:t>1,481,015</w:t>
            </w:r>
          </w:p>
        </w:tc>
      </w:tr>
      <w:tr w:rsidR="00C830D5" w:rsidRPr="00C830D5" w14:paraId="1FDB648E"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1A0D95B1" w14:textId="77777777" w:rsidR="00C830D5" w:rsidRPr="00C830D5" w:rsidRDefault="00C830D5" w:rsidP="00C830D5">
            <w:pPr>
              <w:rPr>
                <w:color w:val="000000"/>
                <w:sz w:val="16"/>
                <w:szCs w:val="16"/>
                <w:lang w:eastAsia="tr-TR"/>
              </w:rPr>
            </w:pPr>
            <w:r w:rsidRPr="00C830D5">
              <w:rPr>
                <w:color w:val="000000"/>
                <w:sz w:val="16"/>
                <w:szCs w:val="16"/>
                <w:lang w:eastAsia="tr-TR"/>
              </w:rPr>
              <w:t>Dağıtılmamış varlıklar</w:t>
            </w:r>
          </w:p>
        </w:tc>
        <w:tc>
          <w:tcPr>
            <w:tcW w:w="1086" w:type="dxa"/>
            <w:tcBorders>
              <w:top w:val="nil"/>
              <w:left w:val="nil"/>
              <w:bottom w:val="nil"/>
              <w:right w:val="nil"/>
            </w:tcBorders>
            <w:shd w:val="clear" w:color="auto" w:fill="auto"/>
            <w:noWrap/>
            <w:vAlign w:val="center"/>
            <w:hideMark/>
          </w:tcPr>
          <w:p w14:paraId="1634566F"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70E49D77"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0D79C077"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145" w:type="dxa"/>
            <w:tcBorders>
              <w:top w:val="nil"/>
              <w:left w:val="nil"/>
              <w:bottom w:val="nil"/>
              <w:right w:val="nil"/>
            </w:tcBorders>
            <w:shd w:val="clear" w:color="auto" w:fill="auto"/>
            <w:noWrap/>
            <w:vAlign w:val="center"/>
            <w:hideMark/>
          </w:tcPr>
          <w:p w14:paraId="12D94DCE" w14:textId="77777777" w:rsidR="00C830D5" w:rsidRPr="00C830D5" w:rsidRDefault="00C830D5" w:rsidP="00C830D5">
            <w:pPr>
              <w:jc w:val="right"/>
              <w:rPr>
                <w:color w:val="000000"/>
                <w:sz w:val="16"/>
                <w:szCs w:val="16"/>
                <w:lang w:eastAsia="tr-TR"/>
              </w:rPr>
            </w:pPr>
            <w:r w:rsidRPr="00C830D5">
              <w:rPr>
                <w:color w:val="000000"/>
                <w:sz w:val="16"/>
                <w:szCs w:val="16"/>
                <w:lang w:eastAsia="tr-TR"/>
              </w:rPr>
              <w:t>3,172,896</w:t>
            </w:r>
          </w:p>
        </w:tc>
        <w:tc>
          <w:tcPr>
            <w:tcW w:w="1086" w:type="dxa"/>
            <w:tcBorders>
              <w:top w:val="nil"/>
              <w:left w:val="nil"/>
              <w:bottom w:val="nil"/>
              <w:right w:val="nil"/>
            </w:tcBorders>
            <w:shd w:val="clear" w:color="auto" w:fill="auto"/>
            <w:noWrap/>
            <w:vAlign w:val="center"/>
            <w:hideMark/>
          </w:tcPr>
          <w:p w14:paraId="358A90A2" w14:textId="77777777" w:rsidR="00C830D5" w:rsidRPr="00C830D5" w:rsidRDefault="00C830D5" w:rsidP="00C830D5">
            <w:pPr>
              <w:jc w:val="right"/>
              <w:rPr>
                <w:color w:val="000000"/>
                <w:sz w:val="16"/>
                <w:szCs w:val="16"/>
                <w:lang w:eastAsia="tr-TR"/>
              </w:rPr>
            </w:pPr>
            <w:r w:rsidRPr="00C830D5">
              <w:rPr>
                <w:color w:val="000000"/>
                <w:sz w:val="16"/>
                <w:szCs w:val="16"/>
                <w:lang w:eastAsia="tr-TR"/>
              </w:rPr>
              <w:t>3,172,896</w:t>
            </w:r>
          </w:p>
        </w:tc>
      </w:tr>
      <w:tr w:rsidR="00C830D5" w:rsidRPr="00C830D5" w14:paraId="4E920746" w14:textId="77777777" w:rsidTr="00BA637F">
        <w:trPr>
          <w:divId w:val="1948194695"/>
          <w:trHeight w:val="113"/>
        </w:trPr>
        <w:tc>
          <w:tcPr>
            <w:tcW w:w="4001" w:type="dxa"/>
            <w:tcBorders>
              <w:top w:val="nil"/>
              <w:left w:val="nil"/>
              <w:bottom w:val="nil"/>
              <w:right w:val="nil"/>
            </w:tcBorders>
            <w:shd w:val="clear" w:color="auto" w:fill="auto"/>
            <w:noWrap/>
            <w:vAlign w:val="bottom"/>
            <w:hideMark/>
          </w:tcPr>
          <w:p w14:paraId="3EAD5CEC" w14:textId="77777777" w:rsidR="00C830D5" w:rsidRPr="00311DAB" w:rsidRDefault="00C830D5" w:rsidP="00C830D5">
            <w:pPr>
              <w:jc w:val="right"/>
              <w:rPr>
                <w:color w:val="000000"/>
                <w:sz w:val="6"/>
                <w:szCs w:val="6"/>
                <w:lang w:eastAsia="tr-TR"/>
              </w:rPr>
            </w:pPr>
          </w:p>
        </w:tc>
        <w:tc>
          <w:tcPr>
            <w:tcW w:w="1086" w:type="dxa"/>
            <w:tcBorders>
              <w:top w:val="nil"/>
              <w:left w:val="nil"/>
              <w:bottom w:val="nil"/>
              <w:right w:val="nil"/>
            </w:tcBorders>
            <w:shd w:val="clear" w:color="auto" w:fill="auto"/>
            <w:noWrap/>
            <w:vAlign w:val="bottom"/>
            <w:hideMark/>
          </w:tcPr>
          <w:p w14:paraId="1BD2B290"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vAlign w:val="bottom"/>
            <w:hideMark/>
          </w:tcPr>
          <w:p w14:paraId="7D18F635"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noWrap/>
            <w:vAlign w:val="bottom"/>
            <w:hideMark/>
          </w:tcPr>
          <w:p w14:paraId="41AA3C6D" w14:textId="77777777" w:rsidR="00C830D5" w:rsidRPr="00311DAB" w:rsidRDefault="00C830D5" w:rsidP="00C830D5">
            <w:pPr>
              <w:rPr>
                <w:sz w:val="6"/>
                <w:szCs w:val="6"/>
                <w:lang w:eastAsia="tr-TR"/>
              </w:rPr>
            </w:pPr>
          </w:p>
        </w:tc>
        <w:tc>
          <w:tcPr>
            <w:tcW w:w="1145" w:type="dxa"/>
            <w:tcBorders>
              <w:top w:val="nil"/>
              <w:left w:val="nil"/>
              <w:bottom w:val="nil"/>
              <w:right w:val="nil"/>
            </w:tcBorders>
            <w:shd w:val="clear" w:color="auto" w:fill="auto"/>
            <w:vAlign w:val="bottom"/>
            <w:hideMark/>
          </w:tcPr>
          <w:p w14:paraId="3ADCEE1A"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vAlign w:val="bottom"/>
            <w:hideMark/>
          </w:tcPr>
          <w:p w14:paraId="48A72061" w14:textId="77777777" w:rsidR="00C830D5" w:rsidRPr="00311DAB" w:rsidRDefault="00C830D5" w:rsidP="00C830D5">
            <w:pPr>
              <w:rPr>
                <w:sz w:val="6"/>
                <w:szCs w:val="6"/>
                <w:lang w:eastAsia="tr-TR"/>
              </w:rPr>
            </w:pPr>
          </w:p>
        </w:tc>
      </w:tr>
      <w:tr w:rsidR="00C830D5" w:rsidRPr="00C830D5" w14:paraId="044B6DBF" w14:textId="77777777" w:rsidTr="00BA637F">
        <w:trPr>
          <w:divId w:val="1948194695"/>
          <w:trHeight w:val="113"/>
        </w:trPr>
        <w:tc>
          <w:tcPr>
            <w:tcW w:w="4001" w:type="dxa"/>
            <w:tcBorders>
              <w:top w:val="single" w:sz="8" w:space="0" w:color="auto"/>
              <w:left w:val="nil"/>
              <w:bottom w:val="single" w:sz="8" w:space="0" w:color="auto"/>
              <w:right w:val="nil"/>
            </w:tcBorders>
            <w:shd w:val="clear" w:color="auto" w:fill="auto"/>
            <w:noWrap/>
            <w:vAlign w:val="center"/>
            <w:hideMark/>
          </w:tcPr>
          <w:p w14:paraId="532DE0B2"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Toplam varlıklar</w:t>
            </w:r>
          </w:p>
        </w:tc>
        <w:tc>
          <w:tcPr>
            <w:tcW w:w="1086" w:type="dxa"/>
            <w:tcBorders>
              <w:top w:val="single" w:sz="8" w:space="0" w:color="auto"/>
              <w:left w:val="nil"/>
              <w:bottom w:val="single" w:sz="8" w:space="0" w:color="auto"/>
              <w:right w:val="nil"/>
            </w:tcBorders>
            <w:shd w:val="clear" w:color="auto" w:fill="auto"/>
            <w:noWrap/>
            <w:vAlign w:val="center"/>
            <w:hideMark/>
          </w:tcPr>
          <w:p w14:paraId="2211E575"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30,045,222</w:t>
            </w:r>
          </w:p>
        </w:tc>
        <w:tc>
          <w:tcPr>
            <w:tcW w:w="1086" w:type="dxa"/>
            <w:tcBorders>
              <w:top w:val="single" w:sz="8" w:space="0" w:color="auto"/>
              <w:left w:val="nil"/>
              <w:bottom w:val="single" w:sz="8" w:space="0" w:color="auto"/>
              <w:right w:val="nil"/>
            </w:tcBorders>
            <w:shd w:val="clear" w:color="auto" w:fill="auto"/>
            <w:noWrap/>
            <w:vAlign w:val="center"/>
            <w:hideMark/>
          </w:tcPr>
          <w:p w14:paraId="239C7659"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43,483,234</w:t>
            </w:r>
          </w:p>
        </w:tc>
        <w:tc>
          <w:tcPr>
            <w:tcW w:w="1086" w:type="dxa"/>
            <w:tcBorders>
              <w:top w:val="single" w:sz="8" w:space="0" w:color="auto"/>
              <w:left w:val="nil"/>
              <w:bottom w:val="single" w:sz="8" w:space="0" w:color="auto"/>
              <w:right w:val="nil"/>
            </w:tcBorders>
            <w:shd w:val="clear" w:color="auto" w:fill="auto"/>
            <w:noWrap/>
            <w:vAlign w:val="center"/>
            <w:hideMark/>
          </w:tcPr>
          <w:p w14:paraId="4474FAB1"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74,937,353</w:t>
            </w:r>
          </w:p>
        </w:tc>
        <w:tc>
          <w:tcPr>
            <w:tcW w:w="1145" w:type="dxa"/>
            <w:tcBorders>
              <w:top w:val="single" w:sz="8" w:space="0" w:color="auto"/>
              <w:left w:val="nil"/>
              <w:bottom w:val="single" w:sz="8" w:space="0" w:color="auto"/>
              <w:right w:val="nil"/>
            </w:tcBorders>
            <w:shd w:val="clear" w:color="auto" w:fill="auto"/>
            <w:noWrap/>
            <w:vAlign w:val="center"/>
            <w:hideMark/>
          </w:tcPr>
          <w:p w14:paraId="56C22148"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4,653,911</w:t>
            </w:r>
          </w:p>
        </w:tc>
        <w:tc>
          <w:tcPr>
            <w:tcW w:w="1086" w:type="dxa"/>
            <w:tcBorders>
              <w:top w:val="single" w:sz="8" w:space="0" w:color="auto"/>
              <w:left w:val="nil"/>
              <w:bottom w:val="single" w:sz="8" w:space="0" w:color="auto"/>
              <w:right w:val="nil"/>
            </w:tcBorders>
            <w:shd w:val="clear" w:color="auto" w:fill="auto"/>
            <w:noWrap/>
            <w:vAlign w:val="center"/>
            <w:hideMark/>
          </w:tcPr>
          <w:p w14:paraId="70839DD8"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153,119,720</w:t>
            </w:r>
          </w:p>
        </w:tc>
      </w:tr>
      <w:tr w:rsidR="00C830D5" w:rsidRPr="00C830D5" w14:paraId="1E5FC97E" w14:textId="77777777" w:rsidTr="00BA637F">
        <w:trPr>
          <w:divId w:val="1948194695"/>
          <w:trHeight w:val="113"/>
        </w:trPr>
        <w:tc>
          <w:tcPr>
            <w:tcW w:w="4001" w:type="dxa"/>
            <w:tcBorders>
              <w:top w:val="nil"/>
              <w:left w:val="nil"/>
              <w:bottom w:val="nil"/>
              <w:right w:val="nil"/>
            </w:tcBorders>
            <w:shd w:val="clear" w:color="auto" w:fill="auto"/>
            <w:noWrap/>
            <w:vAlign w:val="bottom"/>
            <w:hideMark/>
          </w:tcPr>
          <w:p w14:paraId="5CBDD8AE" w14:textId="77777777" w:rsidR="00C830D5" w:rsidRPr="00311DAB" w:rsidRDefault="00C830D5" w:rsidP="00C830D5">
            <w:pPr>
              <w:jc w:val="right"/>
              <w:rPr>
                <w:b/>
                <w:bCs/>
                <w:color w:val="000000"/>
                <w:sz w:val="6"/>
                <w:szCs w:val="6"/>
                <w:lang w:eastAsia="tr-TR"/>
              </w:rPr>
            </w:pPr>
          </w:p>
        </w:tc>
        <w:tc>
          <w:tcPr>
            <w:tcW w:w="1086" w:type="dxa"/>
            <w:tcBorders>
              <w:top w:val="nil"/>
              <w:left w:val="nil"/>
              <w:bottom w:val="nil"/>
              <w:right w:val="nil"/>
            </w:tcBorders>
            <w:shd w:val="clear" w:color="auto" w:fill="auto"/>
            <w:noWrap/>
            <w:vAlign w:val="bottom"/>
            <w:hideMark/>
          </w:tcPr>
          <w:p w14:paraId="7A2E7010"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vAlign w:val="bottom"/>
            <w:hideMark/>
          </w:tcPr>
          <w:p w14:paraId="628E0262"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noWrap/>
            <w:vAlign w:val="bottom"/>
            <w:hideMark/>
          </w:tcPr>
          <w:p w14:paraId="7CFE4B14" w14:textId="77777777" w:rsidR="00C830D5" w:rsidRPr="00311DAB" w:rsidRDefault="00C830D5" w:rsidP="00C830D5">
            <w:pPr>
              <w:rPr>
                <w:sz w:val="6"/>
                <w:szCs w:val="6"/>
                <w:lang w:eastAsia="tr-TR"/>
              </w:rPr>
            </w:pPr>
          </w:p>
        </w:tc>
        <w:tc>
          <w:tcPr>
            <w:tcW w:w="1145" w:type="dxa"/>
            <w:tcBorders>
              <w:top w:val="nil"/>
              <w:left w:val="nil"/>
              <w:bottom w:val="nil"/>
              <w:right w:val="nil"/>
            </w:tcBorders>
            <w:shd w:val="clear" w:color="auto" w:fill="auto"/>
            <w:vAlign w:val="bottom"/>
            <w:hideMark/>
          </w:tcPr>
          <w:p w14:paraId="42934A88"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vAlign w:val="bottom"/>
            <w:hideMark/>
          </w:tcPr>
          <w:p w14:paraId="279F1E72" w14:textId="77777777" w:rsidR="00C830D5" w:rsidRPr="00311DAB" w:rsidRDefault="00C830D5" w:rsidP="00C830D5">
            <w:pPr>
              <w:rPr>
                <w:sz w:val="6"/>
                <w:szCs w:val="6"/>
                <w:lang w:eastAsia="tr-TR"/>
              </w:rPr>
            </w:pPr>
          </w:p>
        </w:tc>
      </w:tr>
      <w:tr w:rsidR="00C830D5" w:rsidRPr="00C830D5" w14:paraId="6B7EADCF"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5BC1A497" w14:textId="77777777" w:rsidR="00C830D5" w:rsidRPr="00C830D5" w:rsidRDefault="00C830D5" w:rsidP="00C830D5">
            <w:pPr>
              <w:rPr>
                <w:color w:val="000000"/>
                <w:sz w:val="16"/>
                <w:szCs w:val="16"/>
                <w:lang w:eastAsia="tr-TR"/>
              </w:rPr>
            </w:pPr>
            <w:r w:rsidRPr="00C830D5">
              <w:rPr>
                <w:color w:val="000000"/>
                <w:sz w:val="16"/>
                <w:szCs w:val="16"/>
                <w:lang w:eastAsia="tr-TR"/>
              </w:rPr>
              <w:t>Bölüm yükümlülükleri</w:t>
            </w:r>
          </w:p>
        </w:tc>
        <w:tc>
          <w:tcPr>
            <w:tcW w:w="1086" w:type="dxa"/>
            <w:tcBorders>
              <w:top w:val="nil"/>
              <w:left w:val="nil"/>
              <w:bottom w:val="nil"/>
              <w:right w:val="nil"/>
            </w:tcBorders>
            <w:shd w:val="clear" w:color="auto" w:fill="auto"/>
            <w:noWrap/>
            <w:vAlign w:val="center"/>
            <w:hideMark/>
          </w:tcPr>
          <w:p w14:paraId="2ED40914" w14:textId="77777777" w:rsidR="00C830D5" w:rsidRPr="00C830D5" w:rsidRDefault="00C830D5" w:rsidP="00C830D5">
            <w:pPr>
              <w:jc w:val="right"/>
              <w:rPr>
                <w:color w:val="000000"/>
                <w:sz w:val="16"/>
                <w:szCs w:val="16"/>
                <w:lang w:eastAsia="tr-TR"/>
              </w:rPr>
            </w:pPr>
            <w:r w:rsidRPr="00C830D5">
              <w:rPr>
                <w:color w:val="000000"/>
                <w:sz w:val="16"/>
                <w:szCs w:val="16"/>
                <w:lang w:eastAsia="tr-TR"/>
              </w:rPr>
              <w:t>96,686,992</w:t>
            </w:r>
          </w:p>
        </w:tc>
        <w:tc>
          <w:tcPr>
            <w:tcW w:w="1086" w:type="dxa"/>
            <w:tcBorders>
              <w:top w:val="nil"/>
              <w:left w:val="nil"/>
              <w:bottom w:val="nil"/>
              <w:right w:val="nil"/>
            </w:tcBorders>
            <w:shd w:val="clear" w:color="auto" w:fill="auto"/>
            <w:noWrap/>
            <w:vAlign w:val="center"/>
            <w:hideMark/>
          </w:tcPr>
          <w:p w14:paraId="176CFE0A" w14:textId="77777777" w:rsidR="00C830D5" w:rsidRPr="00C830D5" w:rsidRDefault="00C830D5" w:rsidP="00C830D5">
            <w:pPr>
              <w:jc w:val="right"/>
              <w:rPr>
                <w:color w:val="000000"/>
                <w:sz w:val="16"/>
                <w:szCs w:val="16"/>
                <w:lang w:eastAsia="tr-TR"/>
              </w:rPr>
            </w:pPr>
            <w:r w:rsidRPr="00C830D5">
              <w:rPr>
                <w:color w:val="000000"/>
                <w:sz w:val="16"/>
                <w:szCs w:val="16"/>
                <w:lang w:eastAsia="tr-TR"/>
              </w:rPr>
              <w:t>22,649,900</w:t>
            </w:r>
          </w:p>
        </w:tc>
        <w:tc>
          <w:tcPr>
            <w:tcW w:w="1086" w:type="dxa"/>
            <w:tcBorders>
              <w:top w:val="nil"/>
              <w:left w:val="nil"/>
              <w:bottom w:val="nil"/>
              <w:right w:val="nil"/>
            </w:tcBorders>
            <w:shd w:val="clear" w:color="auto" w:fill="auto"/>
            <w:noWrap/>
            <w:vAlign w:val="center"/>
            <w:hideMark/>
          </w:tcPr>
          <w:p w14:paraId="4B5A7AD5" w14:textId="77777777" w:rsidR="00C830D5" w:rsidRPr="00C830D5" w:rsidRDefault="00C830D5" w:rsidP="00C830D5">
            <w:pPr>
              <w:jc w:val="right"/>
              <w:rPr>
                <w:color w:val="000000"/>
                <w:sz w:val="16"/>
                <w:szCs w:val="16"/>
                <w:lang w:eastAsia="tr-TR"/>
              </w:rPr>
            </w:pPr>
            <w:r w:rsidRPr="00C830D5">
              <w:rPr>
                <w:color w:val="000000"/>
                <w:sz w:val="16"/>
                <w:szCs w:val="16"/>
                <w:lang w:eastAsia="tr-TR"/>
              </w:rPr>
              <w:t>22,595,994</w:t>
            </w:r>
          </w:p>
        </w:tc>
        <w:tc>
          <w:tcPr>
            <w:tcW w:w="1145" w:type="dxa"/>
            <w:tcBorders>
              <w:top w:val="nil"/>
              <w:left w:val="nil"/>
              <w:bottom w:val="nil"/>
              <w:right w:val="nil"/>
            </w:tcBorders>
            <w:shd w:val="clear" w:color="auto" w:fill="auto"/>
            <w:noWrap/>
            <w:vAlign w:val="center"/>
            <w:hideMark/>
          </w:tcPr>
          <w:p w14:paraId="692715DE"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1B7ED359" w14:textId="77777777" w:rsidR="00C830D5" w:rsidRPr="00C830D5" w:rsidRDefault="00C830D5" w:rsidP="00C830D5">
            <w:pPr>
              <w:jc w:val="right"/>
              <w:rPr>
                <w:color w:val="000000"/>
                <w:sz w:val="16"/>
                <w:szCs w:val="16"/>
                <w:lang w:eastAsia="tr-TR"/>
              </w:rPr>
            </w:pPr>
            <w:r w:rsidRPr="00C830D5">
              <w:rPr>
                <w:color w:val="000000"/>
                <w:sz w:val="16"/>
                <w:szCs w:val="16"/>
                <w:lang w:eastAsia="tr-TR"/>
              </w:rPr>
              <w:t>141,932,886</w:t>
            </w:r>
          </w:p>
        </w:tc>
      </w:tr>
      <w:tr w:rsidR="00C830D5" w:rsidRPr="00C830D5" w14:paraId="32AB37D9"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75DECC0B" w14:textId="77777777" w:rsidR="00C830D5" w:rsidRPr="00C830D5" w:rsidRDefault="00C830D5" w:rsidP="00C830D5">
            <w:pPr>
              <w:rPr>
                <w:color w:val="000000"/>
                <w:sz w:val="16"/>
                <w:szCs w:val="16"/>
                <w:lang w:eastAsia="tr-TR"/>
              </w:rPr>
            </w:pPr>
            <w:r w:rsidRPr="00C830D5">
              <w:rPr>
                <w:color w:val="000000"/>
                <w:sz w:val="16"/>
                <w:szCs w:val="16"/>
                <w:lang w:eastAsia="tr-TR"/>
              </w:rPr>
              <w:t>Dağıtılamayan yükümlülükler</w:t>
            </w:r>
          </w:p>
        </w:tc>
        <w:tc>
          <w:tcPr>
            <w:tcW w:w="1086" w:type="dxa"/>
            <w:tcBorders>
              <w:top w:val="nil"/>
              <w:left w:val="nil"/>
              <w:bottom w:val="nil"/>
              <w:right w:val="nil"/>
            </w:tcBorders>
            <w:shd w:val="clear" w:color="auto" w:fill="auto"/>
            <w:noWrap/>
            <w:vAlign w:val="center"/>
            <w:hideMark/>
          </w:tcPr>
          <w:p w14:paraId="7F46A6EC"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547E9F59"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18B3FDAA"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145" w:type="dxa"/>
            <w:tcBorders>
              <w:top w:val="nil"/>
              <w:left w:val="nil"/>
              <w:bottom w:val="nil"/>
              <w:right w:val="nil"/>
            </w:tcBorders>
            <w:shd w:val="clear" w:color="auto" w:fill="auto"/>
            <w:noWrap/>
            <w:vAlign w:val="center"/>
            <w:hideMark/>
          </w:tcPr>
          <w:p w14:paraId="4C171E8D" w14:textId="77777777" w:rsidR="00C830D5" w:rsidRPr="00C830D5" w:rsidRDefault="00C830D5" w:rsidP="00C830D5">
            <w:pPr>
              <w:jc w:val="right"/>
              <w:rPr>
                <w:color w:val="000000"/>
                <w:sz w:val="16"/>
                <w:szCs w:val="16"/>
                <w:lang w:eastAsia="tr-TR"/>
              </w:rPr>
            </w:pPr>
            <w:r w:rsidRPr="00C830D5">
              <w:rPr>
                <w:color w:val="000000"/>
                <w:sz w:val="16"/>
                <w:szCs w:val="16"/>
                <w:lang w:eastAsia="tr-TR"/>
              </w:rPr>
              <w:t>3,654,791</w:t>
            </w:r>
          </w:p>
        </w:tc>
        <w:tc>
          <w:tcPr>
            <w:tcW w:w="1086" w:type="dxa"/>
            <w:tcBorders>
              <w:top w:val="nil"/>
              <w:left w:val="nil"/>
              <w:bottom w:val="nil"/>
              <w:right w:val="nil"/>
            </w:tcBorders>
            <w:shd w:val="clear" w:color="auto" w:fill="auto"/>
            <w:noWrap/>
            <w:vAlign w:val="center"/>
            <w:hideMark/>
          </w:tcPr>
          <w:p w14:paraId="2DFBDF1D" w14:textId="77777777" w:rsidR="00C830D5" w:rsidRPr="00C830D5" w:rsidRDefault="00C830D5" w:rsidP="00C830D5">
            <w:pPr>
              <w:jc w:val="right"/>
              <w:rPr>
                <w:color w:val="000000"/>
                <w:sz w:val="16"/>
                <w:szCs w:val="16"/>
                <w:lang w:eastAsia="tr-TR"/>
              </w:rPr>
            </w:pPr>
            <w:r w:rsidRPr="00C830D5">
              <w:rPr>
                <w:color w:val="000000"/>
                <w:sz w:val="16"/>
                <w:szCs w:val="16"/>
                <w:lang w:eastAsia="tr-TR"/>
              </w:rPr>
              <w:t>3,654,791</w:t>
            </w:r>
          </w:p>
        </w:tc>
      </w:tr>
      <w:tr w:rsidR="00C830D5" w:rsidRPr="00C830D5" w14:paraId="272EA6E8" w14:textId="77777777" w:rsidTr="00BA637F">
        <w:trPr>
          <w:divId w:val="1948194695"/>
          <w:trHeight w:val="113"/>
        </w:trPr>
        <w:tc>
          <w:tcPr>
            <w:tcW w:w="4001" w:type="dxa"/>
            <w:tcBorders>
              <w:top w:val="nil"/>
              <w:left w:val="nil"/>
              <w:bottom w:val="nil"/>
              <w:right w:val="nil"/>
            </w:tcBorders>
            <w:shd w:val="clear" w:color="auto" w:fill="auto"/>
            <w:noWrap/>
            <w:vAlign w:val="center"/>
            <w:hideMark/>
          </w:tcPr>
          <w:p w14:paraId="6D8A5147" w14:textId="77777777" w:rsidR="00C830D5" w:rsidRPr="00C830D5" w:rsidRDefault="00C830D5" w:rsidP="00C830D5">
            <w:pPr>
              <w:rPr>
                <w:color w:val="000000"/>
                <w:sz w:val="16"/>
                <w:szCs w:val="16"/>
                <w:lang w:eastAsia="tr-TR"/>
              </w:rPr>
            </w:pPr>
            <w:proofErr w:type="spellStart"/>
            <w:r w:rsidRPr="00C830D5">
              <w:rPr>
                <w:color w:val="000000"/>
                <w:sz w:val="16"/>
                <w:szCs w:val="16"/>
                <w:lang w:eastAsia="tr-TR"/>
              </w:rPr>
              <w:t>Özkaynaklar</w:t>
            </w:r>
            <w:proofErr w:type="spellEnd"/>
          </w:p>
        </w:tc>
        <w:tc>
          <w:tcPr>
            <w:tcW w:w="1086" w:type="dxa"/>
            <w:tcBorders>
              <w:top w:val="nil"/>
              <w:left w:val="nil"/>
              <w:bottom w:val="nil"/>
              <w:right w:val="nil"/>
            </w:tcBorders>
            <w:shd w:val="clear" w:color="auto" w:fill="auto"/>
            <w:noWrap/>
            <w:vAlign w:val="center"/>
            <w:hideMark/>
          </w:tcPr>
          <w:p w14:paraId="6E5CFBA3"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002E9D52"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17560512"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145" w:type="dxa"/>
            <w:tcBorders>
              <w:top w:val="nil"/>
              <w:left w:val="nil"/>
              <w:bottom w:val="nil"/>
              <w:right w:val="nil"/>
            </w:tcBorders>
            <w:shd w:val="clear" w:color="auto" w:fill="auto"/>
            <w:noWrap/>
            <w:vAlign w:val="center"/>
            <w:hideMark/>
          </w:tcPr>
          <w:p w14:paraId="5A0D3272" w14:textId="77777777" w:rsidR="00C830D5" w:rsidRPr="00C830D5" w:rsidRDefault="00C830D5" w:rsidP="00C830D5">
            <w:pPr>
              <w:jc w:val="right"/>
              <w:rPr>
                <w:color w:val="000000"/>
                <w:sz w:val="16"/>
                <w:szCs w:val="16"/>
                <w:lang w:eastAsia="tr-TR"/>
              </w:rPr>
            </w:pPr>
            <w:r w:rsidRPr="00C830D5">
              <w:rPr>
                <w:color w:val="000000"/>
                <w:sz w:val="16"/>
                <w:szCs w:val="16"/>
                <w:lang w:eastAsia="tr-TR"/>
              </w:rPr>
              <w:t>7,532,043</w:t>
            </w:r>
          </w:p>
        </w:tc>
        <w:tc>
          <w:tcPr>
            <w:tcW w:w="1086" w:type="dxa"/>
            <w:tcBorders>
              <w:top w:val="nil"/>
              <w:left w:val="nil"/>
              <w:bottom w:val="nil"/>
              <w:right w:val="nil"/>
            </w:tcBorders>
            <w:shd w:val="clear" w:color="auto" w:fill="auto"/>
            <w:noWrap/>
            <w:vAlign w:val="center"/>
            <w:hideMark/>
          </w:tcPr>
          <w:p w14:paraId="47551C62" w14:textId="77777777" w:rsidR="00C830D5" w:rsidRPr="00C830D5" w:rsidRDefault="00C830D5" w:rsidP="00C830D5">
            <w:pPr>
              <w:jc w:val="right"/>
              <w:rPr>
                <w:color w:val="000000"/>
                <w:sz w:val="16"/>
                <w:szCs w:val="16"/>
                <w:lang w:eastAsia="tr-TR"/>
              </w:rPr>
            </w:pPr>
            <w:r w:rsidRPr="00C830D5">
              <w:rPr>
                <w:color w:val="000000"/>
                <w:sz w:val="16"/>
                <w:szCs w:val="16"/>
                <w:lang w:eastAsia="tr-TR"/>
              </w:rPr>
              <w:t>7,532,043</w:t>
            </w:r>
          </w:p>
        </w:tc>
      </w:tr>
      <w:tr w:rsidR="00C830D5" w:rsidRPr="00C830D5" w14:paraId="58A84D7C" w14:textId="77777777" w:rsidTr="00BA637F">
        <w:trPr>
          <w:divId w:val="1948194695"/>
          <w:trHeight w:val="113"/>
        </w:trPr>
        <w:tc>
          <w:tcPr>
            <w:tcW w:w="4001" w:type="dxa"/>
            <w:tcBorders>
              <w:top w:val="nil"/>
              <w:left w:val="nil"/>
              <w:bottom w:val="nil"/>
              <w:right w:val="nil"/>
            </w:tcBorders>
            <w:shd w:val="clear" w:color="auto" w:fill="auto"/>
            <w:noWrap/>
            <w:vAlign w:val="bottom"/>
            <w:hideMark/>
          </w:tcPr>
          <w:p w14:paraId="43C5DAD0" w14:textId="77777777" w:rsidR="00C830D5" w:rsidRPr="00311DAB" w:rsidRDefault="00C830D5" w:rsidP="00C830D5">
            <w:pPr>
              <w:jc w:val="right"/>
              <w:rPr>
                <w:color w:val="000000"/>
                <w:sz w:val="6"/>
                <w:szCs w:val="6"/>
                <w:lang w:eastAsia="tr-TR"/>
              </w:rPr>
            </w:pPr>
          </w:p>
        </w:tc>
        <w:tc>
          <w:tcPr>
            <w:tcW w:w="1086" w:type="dxa"/>
            <w:tcBorders>
              <w:top w:val="nil"/>
              <w:left w:val="nil"/>
              <w:bottom w:val="nil"/>
              <w:right w:val="nil"/>
            </w:tcBorders>
            <w:shd w:val="clear" w:color="auto" w:fill="auto"/>
            <w:noWrap/>
            <w:vAlign w:val="bottom"/>
            <w:hideMark/>
          </w:tcPr>
          <w:p w14:paraId="186830D0"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vAlign w:val="bottom"/>
            <w:hideMark/>
          </w:tcPr>
          <w:p w14:paraId="70254778"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noWrap/>
            <w:vAlign w:val="bottom"/>
            <w:hideMark/>
          </w:tcPr>
          <w:p w14:paraId="6133B15D" w14:textId="77777777" w:rsidR="00C830D5" w:rsidRPr="00311DAB" w:rsidRDefault="00C830D5" w:rsidP="00C830D5">
            <w:pPr>
              <w:rPr>
                <w:sz w:val="6"/>
                <w:szCs w:val="6"/>
                <w:lang w:eastAsia="tr-TR"/>
              </w:rPr>
            </w:pPr>
          </w:p>
        </w:tc>
        <w:tc>
          <w:tcPr>
            <w:tcW w:w="1145" w:type="dxa"/>
            <w:tcBorders>
              <w:top w:val="nil"/>
              <w:left w:val="nil"/>
              <w:bottom w:val="nil"/>
              <w:right w:val="nil"/>
            </w:tcBorders>
            <w:shd w:val="clear" w:color="auto" w:fill="auto"/>
            <w:vAlign w:val="bottom"/>
            <w:hideMark/>
          </w:tcPr>
          <w:p w14:paraId="172836D9" w14:textId="77777777" w:rsidR="00C830D5" w:rsidRPr="00311DAB" w:rsidRDefault="00C830D5" w:rsidP="00C830D5">
            <w:pPr>
              <w:rPr>
                <w:sz w:val="6"/>
                <w:szCs w:val="6"/>
                <w:lang w:eastAsia="tr-TR"/>
              </w:rPr>
            </w:pPr>
          </w:p>
        </w:tc>
        <w:tc>
          <w:tcPr>
            <w:tcW w:w="1086" w:type="dxa"/>
            <w:tcBorders>
              <w:top w:val="nil"/>
              <w:left w:val="nil"/>
              <w:bottom w:val="nil"/>
              <w:right w:val="nil"/>
            </w:tcBorders>
            <w:shd w:val="clear" w:color="auto" w:fill="auto"/>
            <w:vAlign w:val="bottom"/>
            <w:hideMark/>
          </w:tcPr>
          <w:p w14:paraId="7CCCD22F" w14:textId="77777777" w:rsidR="00C830D5" w:rsidRPr="00311DAB" w:rsidRDefault="00C830D5" w:rsidP="00C830D5">
            <w:pPr>
              <w:rPr>
                <w:sz w:val="6"/>
                <w:szCs w:val="6"/>
                <w:lang w:eastAsia="tr-TR"/>
              </w:rPr>
            </w:pPr>
          </w:p>
        </w:tc>
      </w:tr>
      <w:tr w:rsidR="00C830D5" w:rsidRPr="00C830D5" w14:paraId="1492FC97" w14:textId="77777777" w:rsidTr="00BA637F">
        <w:trPr>
          <w:divId w:val="1948194695"/>
          <w:trHeight w:val="113"/>
        </w:trPr>
        <w:tc>
          <w:tcPr>
            <w:tcW w:w="4001" w:type="dxa"/>
            <w:tcBorders>
              <w:top w:val="single" w:sz="8" w:space="0" w:color="auto"/>
              <w:left w:val="nil"/>
              <w:bottom w:val="double" w:sz="6" w:space="0" w:color="auto"/>
              <w:right w:val="nil"/>
            </w:tcBorders>
            <w:shd w:val="clear" w:color="auto" w:fill="auto"/>
            <w:noWrap/>
            <w:vAlign w:val="center"/>
            <w:hideMark/>
          </w:tcPr>
          <w:p w14:paraId="4BB163FD"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Toplam yükümlülükler</w:t>
            </w:r>
          </w:p>
        </w:tc>
        <w:tc>
          <w:tcPr>
            <w:tcW w:w="1086" w:type="dxa"/>
            <w:tcBorders>
              <w:top w:val="single" w:sz="8" w:space="0" w:color="auto"/>
              <w:left w:val="nil"/>
              <w:bottom w:val="double" w:sz="6" w:space="0" w:color="auto"/>
              <w:right w:val="nil"/>
            </w:tcBorders>
            <w:shd w:val="clear" w:color="auto" w:fill="auto"/>
            <w:noWrap/>
            <w:vAlign w:val="center"/>
            <w:hideMark/>
          </w:tcPr>
          <w:p w14:paraId="6F55C7DC"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96,686,992</w:t>
            </w:r>
          </w:p>
        </w:tc>
        <w:tc>
          <w:tcPr>
            <w:tcW w:w="1086" w:type="dxa"/>
            <w:tcBorders>
              <w:top w:val="single" w:sz="8" w:space="0" w:color="auto"/>
              <w:left w:val="nil"/>
              <w:bottom w:val="double" w:sz="6" w:space="0" w:color="auto"/>
              <w:right w:val="nil"/>
            </w:tcBorders>
            <w:shd w:val="clear" w:color="auto" w:fill="auto"/>
            <w:noWrap/>
            <w:vAlign w:val="center"/>
            <w:hideMark/>
          </w:tcPr>
          <w:p w14:paraId="48E132CA"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22,649,900</w:t>
            </w:r>
          </w:p>
        </w:tc>
        <w:tc>
          <w:tcPr>
            <w:tcW w:w="1086" w:type="dxa"/>
            <w:tcBorders>
              <w:top w:val="single" w:sz="8" w:space="0" w:color="auto"/>
              <w:left w:val="nil"/>
              <w:bottom w:val="double" w:sz="6" w:space="0" w:color="auto"/>
              <w:right w:val="nil"/>
            </w:tcBorders>
            <w:shd w:val="clear" w:color="auto" w:fill="auto"/>
            <w:noWrap/>
            <w:vAlign w:val="center"/>
            <w:hideMark/>
          </w:tcPr>
          <w:p w14:paraId="02665092"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22,595,994</w:t>
            </w:r>
          </w:p>
        </w:tc>
        <w:tc>
          <w:tcPr>
            <w:tcW w:w="1145" w:type="dxa"/>
            <w:tcBorders>
              <w:top w:val="single" w:sz="8" w:space="0" w:color="auto"/>
              <w:left w:val="nil"/>
              <w:bottom w:val="double" w:sz="6" w:space="0" w:color="auto"/>
              <w:right w:val="nil"/>
            </w:tcBorders>
            <w:shd w:val="clear" w:color="auto" w:fill="auto"/>
            <w:noWrap/>
            <w:vAlign w:val="center"/>
            <w:hideMark/>
          </w:tcPr>
          <w:p w14:paraId="2A2D94B5"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11,186,834</w:t>
            </w:r>
          </w:p>
        </w:tc>
        <w:tc>
          <w:tcPr>
            <w:tcW w:w="1086" w:type="dxa"/>
            <w:tcBorders>
              <w:top w:val="single" w:sz="8" w:space="0" w:color="auto"/>
              <w:left w:val="nil"/>
              <w:bottom w:val="double" w:sz="6" w:space="0" w:color="auto"/>
              <w:right w:val="nil"/>
            </w:tcBorders>
            <w:shd w:val="clear" w:color="auto" w:fill="auto"/>
            <w:noWrap/>
            <w:vAlign w:val="center"/>
            <w:hideMark/>
          </w:tcPr>
          <w:p w14:paraId="31AEA8EB"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153,119,720</w:t>
            </w:r>
          </w:p>
        </w:tc>
      </w:tr>
    </w:tbl>
    <w:p w14:paraId="4B1500B8" w14:textId="152F027D" w:rsidR="00C830D5" w:rsidRDefault="00C830D5" w:rsidP="00134A72">
      <w:pPr>
        <w:autoSpaceDE w:val="0"/>
        <w:autoSpaceDN w:val="0"/>
        <w:adjustRightInd w:val="0"/>
        <w:rPr>
          <w:lang w:val="en-GB" w:eastAsia="en-GB"/>
        </w:rPr>
      </w:pPr>
    </w:p>
    <w:tbl>
      <w:tblPr>
        <w:tblW w:w="9517" w:type="dxa"/>
        <w:tblCellMar>
          <w:left w:w="70" w:type="dxa"/>
          <w:right w:w="70" w:type="dxa"/>
        </w:tblCellMar>
        <w:tblLook w:val="04A0" w:firstRow="1" w:lastRow="0" w:firstColumn="1" w:lastColumn="0" w:noHBand="0" w:noVBand="1"/>
      </w:tblPr>
      <w:tblGrid>
        <w:gridCol w:w="4013"/>
        <w:gridCol w:w="1089"/>
        <w:gridCol w:w="1089"/>
        <w:gridCol w:w="1089"/>
        <w:gridCol w:w="1148"/>
        <w:gridCol w:w="1089"/>
      </w:tblGrid>
      <w:tr w:rsidR="00C830D5" w:rsidRPr="00C830D5" w14:paraId="7232FC1C" w14:textId="77777777" w:rsidTr="00C830D5">
        <w:trPr>
          <w:divId w:val="243610658"/>
          <w:trHeight w:val="154"/>
        </w:trPr>
        <w:tc>
          <w:tcPr>
            <w:tcW w:w="4013" w:type="dxa"/>
            <w:tcBorders>
              <w:top w:val="single" w:sz="8" w:space="0" w:color="auto"/>
              <w:left w:val="nil"/>
              <w:bottom w:val="nil"/>
              <w:right w:val="nil"/>
            </w:tcBorders>
            <w:shd w:val="clear" w:color="auto" w:fill="auto"/>
            <w:noWrap/>
            <w:vAlign w:val="center"/>
            <w:hideMark/>
          </w:tcPr>
          <w:p w14:paraId="1941E36C" w14:textId="36A09F88" w:rsidR="00C830D5" w:rsidRPr="00C830D5" w:rsidRDefault="00C830D5" w:rsidP="00C830D5">
            <w:pPr>
              <w:rPr>
                <w:b/>
                <w:bCs/>
                <w:color w:val="000000"/>
                <w:sz w:val="16"/>
                <w:szCs w:val="16"/>
                <w:lang w:eastAsia="tr-TR"/>
              </w:rPr>
            </w:pPr>
            <w:r w:rsidRPr="00C830D5">
              <w:rPr>
                <w:b/>
                <w:bCs/>
                <w:color w:val="000000"/>
                <w:sz w:val="16"/>
                <w:szCs w:val="16"/>
                <w:lang w:eastAsia="tr-TR"/>
              </w:rPr>
              <w:t>Önceki Dönem</w:t>
            </w:r>
          </w:p>
        </w:tc>
        <w:tc>
          <w:tcPr>
            <w:tcW w:w="1089" w:type="dxa"/>
            <w:vMerge w:val="restart"/>
            <w:tcBorders>
              <w:top w:val="single" w:sz="8" w:space="0" w:color="auto"/>
              <w:left w:val="nil"/>
              <w:bottom w:val="single" w:sz="8" w:space="0" w:color="000000"/>
              <w:right w:val="nil"/>
            </w:tcBorders>
            <w:shd w:val="clear" w:color="auto" w:fill="auto"/>
            <w:vAlign w:val="center"/>
            <w:hideMark/>
          </w:tcPr>
          <w:p w14:paraId="0FBE5538" w14:textId="77777777" w:rsidR="00C830D5" w:rsidRPr="00C830D5" w:rsidRDefault="00C830D5" w:rsidP="00C830D5">
            <w:pPr>
              <w:jc w:val="right"/>
              <w:rPr>
                <w:b/>
                <w:bCs/>
                <w:color w:val="000000"/>
                <w:sz w:val="16"/>
                <w:szCs w:val="16"/>
                <w:lang w:eastAsia="tr-TR"/>
              </w:rPr>
            </w:pPr>
            <w:proofErr w:type="gramStart"/>
            <w:r w:rsidRPr="00C830D5">
              <w:rPr>
                <w:b/>
                <w:bCs/>
                <w:color w:val="000000"/>
                <w:sz w:val="16"/>
                <w:szCs w:val="16"/>
                <w:lang w:eastAsia="tr-TR"/>
              </w:rPr>
              <w:t>Bireysel  Bankacılık</w:t>
            </w:r>
            <w:proofErr w:type="gramEnd"/>
          </w:p>
        </w:tc>
        <w:tc>
          <w:tcPr>
            <w:tcW w:w="1089" w:type="dxa"/>
            <w:vMerge w:val="restart"/>
            <w:tcBorders>
              <w:top w:val="single" w:sz="8" w:space="0" w:color="auto"/>
              <w:left w:val="nil"/>
              <w:bottom w:val="single" w:sz="8" w:space="0" w:color="000000"/>
              <w:right w:val="nil"/>
            </w:tcBorders>
            <w:shd w:val="clear" w:color="auto" w:fill="auto"/>
            <w:vAlign w:val="center"/>
            <w:hideMark/>
          </w:tcPr>
          <w:p w14:paraId="13D7F48D"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Kurumsal ve Ticari Bankacılık</w:t>
            </w:r>
          </w:p>
        </w:tc>
        <w:tc>
          <w:tcPr>
            <w:tcW w:w="1089" w:type="dxa"/>
            <w:vMerge w:val="restart"/>
            <w:tcBorders>
              <w:top w:val="single" w:sz="8" w:space="0" w:color="auto"/>
              <w:left w:val="nil"/>
              <w:bottom w:val="single" w:sz="8" w:space="0" w:color="000000"/>
              <w:right w:val="nil"/>
            </w:tcBorders>
            <w:shd w:val="clear" w:color="auto" w:fill="auto"/>
            <w:vAlign w:val="center"/>
            <w:hideMark/>
          </w:tcPr>
          <w:p w14:paraId="5ECD8955"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Hazine ve Uluslararası Bankacılık</w:t>
            </w:r>
          </w:p>
        </w:tc>
        <w:tc>
          <w:tcPr>
            <w:tcW w:w="1148" w:type="dxa"/>
            <w:vMerge w:val="restart"/>
            <w:tcBorders>
              <w:top w:val="single" w:sz="8" w:space="0" w:color="auto"/>
              <w:left w:val="nil"/>
              <w:bottom w:val="single" w:sz="8" w:space="0" w:color="000000"/>
              <w:right w:val="nil"/>
            </w:tcBorders>
            <w:shd w:val="clear" w:color="auto" w:fill="auto"/>
            <w:vAlign w:val="center"/>
            <w:hideMark/>
          </w:tcPr>
          <w:p w14:paraId="0E1A5FFE"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Dağıtılamayan</w:t>
            </w:r>
          </w:p>
        </w:tc>
        <w:tc>
          <w:tcPr>
            <w:tcW w:w="1089" w:type="dxa"/>
            <w:vMerge w:val="restart"/>
            <w:tcBorders>
              <w:top w:val="single" w:sz="8" w:space="0" w:color="auto"/>
              <w:left w:val="nil"/>
              <w:bottom w:val="single" w:sz="8" w:space="0" w:color="000000"/>
              <w:right w:val="nil"/>
            </w:tcBorders>
            <w:shd w:val="clear" w:color="auto" w:fill="auto"/>
            <w:vAlign w:val="center"/>
            <w:hideMark/>
          </w:tcPr>
          <w:p w14:paraId="24E14C25"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Banka’nın toplam faaliyeti</w:t>
            </w:r>
          </w:p>
        </w:tc>
      </w:tr>
      <w:tr w:rsidR="00C830D5" w:rsidRPr="00C830D5" w14:paraId="1CF7916B" w14:textId="77777777" w:rsidTr="00C830D5">
        <w:trPr>
          <w:divId w:val="243610658"/>
          <w:trHeight w:val="154"/>
        </w:trPr>
        <w:tc>
          <w:tcPr>
            <w:tcW w:w="4013" w:type="dxa"/>
            <w:tcBorders>
              <w:top w:val="nil"/>
              <w:left w:val="nil"/>
              <w:bottom w:val="single" w:sz="8" w:space="0" w:color="auto"/>
              <w:right w:val="nil"/>
            </w:tcBorders>
            <w:shd w:val="clear" w:color="auto" w:fill="auto"/>
            <w:noWrap/>
            <w:vAlign w:val="center"/>
            <w:hideMark/>
          </w:tcPr>
          <w:p w14:paraId="28FEA1C1"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1 Ocak 2019-30 Eylül 2019</w:t>
            </w:r>
          </w:p>
        </w:tc>
        <w:tc>
          <w:tcPr>
            <w:tcW w:w="1089" w:type="dxa"/>
            <w:vMerge/>
            <w:tcBorders>
              <w:top w:val="single" w:sz="8" w:space="0" w:color="auto"/>
              <w:left w:val="nil"/>
              <w:bottom w:val="single" w:sz="8" w:space="0" w:color="000000"/>
              <w:right w:val="nil"/>
            </w:tcBorders>
            <w:vAlign w:val="center"/>
            <w:hideMark/>
          </w:tcPr>
          <w:p w14:paraId="4B902C06" w14:textId="77777777" w:rsidR="00C830D5" w:rsidRPr="00C830D5" w:rsidRDefault="00C830D5" w:rsidP="00C830D5">
            <w:pPr>
              <w:rPr>
                <w:b/>
                <w:bCs/>
                <w:color w:val="000000"/>
                <w:sz w:val="16"/>
                <w:szCs w:val="16"/>
                <w:lang w:eastAsia="tr-TR"/>
              </w:rPr>
            </w:pPr>
          </w:p>
        </w:tc>
        <w:tc>
          <w:tcPr>
            <w:tcW w:w="1089" w:type="dxa"/>
            <w:vMerge/>
            <w:tcBorders>
              <w:top w:val="single" w:sz="8" w:space="0" w:color="auto"/>
              <w:left w:val="nil"/>
              <w:bottom w:val="single" w:sz="8" w:space="0" w:color="000000"/>
              <w:right w:val="nil"/>
            </w:tcBorders>
            <w:vAlign w:val="center"/>
            <w:hideMark/>
          </w:tcPr>
          <w:p w14:paraId="74F5C3E2" w14:textId="77777777" w:rsidR="00C830D5" w:rsidRPr="00C830D5" w:rsidRDefault="00C830D5" w:rsidP="00C830D5">
            <w:pPr>
              <w:rPr>
                <w:b/>
                <w:bCs/>
                <w:color w:val="000000"/>
                <w:sz w:val="16"/>
                <w:szCs w:val="16"/>
                <w:lang w:eastAsia="tr-TR"/>
              </w:rPr>
            </w:pPr>
          </w:p>
        </w:tc>
        <w:tc>
          <w:tcPr>
            <w:tcW w:w="1089" w:type="dxa"/>
            <w:vMerge/>
            <w:tcBorders>
              <w:top w:val="single" w:sz="8" w:space="0" w:color="auto"/>
              <w:left w:val="nil"/>
              <w:bottom w:val="single" w:sz="8" w:space="0" w:color="000000"/>
              <w:right w:val="nil"/>
            </w:tcBorders>
            <w:vAlign w:val="center"/>
            <w:hideMark/>
          </w:tcPr>
          <w:p w14:paraId="1368AFE9" w14:textId="77777777" w:rsidR="00C830D5" w:rsidRPr="00C830D5" w:rsidRDefault="00C830D5" w:rsidP="00C830D5">
            <w:pPr>
              <w:rPr>
                <w:b/>
                <w:bCs/>
                <w:color w:val="000000"/>
                <w:sz w:val="16"/>
                <w:szCs w:val="16"/>
                <w:lang w:eastAsia="tr-TR"/>
              </w:rPr>
            </w:pPr>
          </w:p>
        </w:tc>
        <w:tc>
          <w:tcPr>
            <w:tcW w:w="1148" w:type="dxa"/>
            <w:vMerge/>
            <w:tcBorders>
              <w:top w:val="single" w:sz="8" w:space="0" w:color="auto"/>
              <w:left w:val="nil"/>
              <w:bottom w:val="single" w:sz="8" w:space="0" w:color="000000"/>
              <w:right w:val="nil"/>
            </w:tcBorders>
            <w:vAlign w:val="center"/>
            <w:hideMark/>
          </w:tcPr>
          <w:p w14:paraId="32314C65" w14:textId="77777777" w:rsidR="00C830D5" w:rsidRPr="00C830D5" w:rsidRDefault="00C830D5" w:rsidP="00C830D5">
            <w:pPr>
              <w:rPr>
                <w:b/>
                <w:bCs/>
                <w:color w:val="000000"/>
                <w:sz w:val="16"/>
                <w:szCs w:val="16"/>
                <w:lang w:eastAsia="tr-TR"/>
              </w:rPr>
            </w:pPr>
          </w:p>
        </w:tc>
        <w:tc>
          <w:tcPr>
            <w:tcW w:w="1089" w:type="dxa"/>
            <w:vMerge/>
            <w:tcBorders>
              <w:top w:val="single" w:sz="8" w:space="0" w:color="auto"/>
              <w:left w:val="nil"/>
              <w:bottom w:val="single" w:sz="8" w:space="0" w:color="000000"/>
              <w:right w:val="nil"/>
            </w:tcBorders>
            <w:vAlign w:val="center"/>
            <w:hideMark/>
          </w:tcPr>
          <w:p w14:paraId="284C94DC" w14:textId="77777777" w:rsidR="00C830D5" w:rsidRPr="00C830D5" w:rsidRDefault="00C830D5" w:rsidP="00C830D5">
            <w:pPr>
              <w:rPr>
                <w:b/>
                <w:bCs/>
                <w:color w:val="000000"/>
                <w:sz w:val="16"/>
                <w:szCs w:val="16"/>
                <w:lang w:eastAsia="tr-TR"/>
              </w:rPr>
            </w:pPr>
          </w:p>
        </w:tc>
      </w:tr>
      <w:tr w:rsidR="00C830D5" w:rsidRPr="00C830D5" w14:paraId="43021645" w14:textId="77777777" w:rsidTr="00C830D5">
        <w:trPr>
          <w:divId w:val="243610658"/>
          <w:trHeight w:val="145"/>
        </w:trPr>
        <w:tc>
          <w:tcPr>
            <w:tcW w:w="4013" w:type="dxa"/>
            <w:tcBorders>
              <w:top w:val="nil"/>
              <w:left w:val="nil"/>
              <w:bottom w:val="nil"/>
              <w:right w:val="nil"/>
            </w:tcBorders>
            <w:shd w:val="clear" w:color="auto" w:fill="auto"/>
            <w:noWrap/>
            <w:vAlign w:val="bottom"/>
            <w:hideMark/>
          </w:tcPr>
          <w:p w14:paraId="60927303" w14:textId="77777777" w:rsidR="00C830D5" w:rsidRPr="00C830D5" w:rsidRDefault="00C830D5" w:rsidP="00C830D5">
            <w:pPr>
              <w:rPr>
                <w:b/>
                <w:bCs/>
                <w:color w:val="000000"/>
                <w:sz w:val="16"/>
                <w:szCs w:val="16"/>
                <w:lang w:eastAsia="tr-TR"/>
              </w:rPr>
            </w:pPr>
          </w:p>
        </w:tc>
        <w:tc>
          <w:tcPr>
            <w:tcW w:w="1089" w:type="dxa"/>
            <w:tcBorders>
              <w:top w:val="nil"/>
              <w:left w:val="nil"/>
              <w:bottom w:val="nil"/>
              <w:right w:val="nil"/>
            </w:tcBorders>
            <w:shd w:val="clear" w:color="auto" w:fill="auto"/>
            <w:noWrap/>
            <w:vAlign w:val="bottom"/>
            <w:hideMark/>
          </w:tcPr>
          <w:p w14:paraId="6D531C52"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vAlign w:val="bottom"/>
            <w:hideMark/>
          </w:tcPr>
          <w:p w14:paraId="287254A6"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noWrap/>
            <w:vAlign w:val="bottom"/>
            <w:hideMark/>
          </w:tcPr>
          <w:p w14:paraId="45263CA5" w14:textId="77777777" w:rsidR="00C830D5" w:rsidRPr="00C830D5" w:rsidRDefault="00C830D5" w:rsidP="00C830D5">
            <w:pPr>
              <w:rPr>
                <w:lang w:eastAsia="tr-TR"/>
              </w:rPr>
            </w:pPr>
          </w:p>
        </w:tc>
        <w:tc>
          <w:tcPr>
            <w:tcW w:w="1148" w:type="dxa"/>
            <w:tcBorders>
              <w:top w:val="nil"/>
              <w:left w:val="nil"/>
              <w:bottom w:val="nil"/>
              <w:right w:val="nil"/>
            </w:tcBorders>
            <w:shd w:val="clear" w:color="auto" w:fill="auto"/>
            <w:vAlign w:val="bottom"/>
            <w:hideMark/>
          </w:tcPr>
          <w:p w14:paraId="66F165B3"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vAlign w:val="bottom"/>
            <w:hideMark/>
          </w:tcPr>
          <w:p w14:paraId="55D7631C" w14:textId="77777777" w:rsidR="00C830D5" w:rsidRPr="00C830D5" w:rsidRDefault="00C830D5" w:rsidP="00C830D5">
            <w:pPr>
              <w:rPr>
                <w:lang w:eastAsia="tr-TR"/>
              </w:rPr>
            </w:pPr>
          </w:p>
        </w:tc>
      </w:tr>
      <w:tr w:rsidR="00C830D5" w:rsidRPr="00C830D5" w14:paraId="52914317"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421D1A86" w14:textId="77777777" w:rsidR="00C830D5" w:rsidRPr="00C830D5" w:rsidRDefault="00C830D5" w:rsidP="00C830D5">
            <w:pPr>
              <w:rPr>
                <w:color w:val="000000"/>
                <w:sz w:val="16"/>
                <w:szCs w:val="16"/>
                <w:lang w:eastAsia="tr-TR"/>
              </w:rPr>
            </w:pPr>
            <w:r w:rsidRPr="00C830D5">
              <w:rPr>
                <w:color w:val="000000"/>
                <w:sz w:val="16"/>
                <w:szCs w:val="16"/>
                <w:lang w:eastAsia="tr-TR"/>
              </w:rPr>
              <w:t>Faaliyet gelirleri</w:t>
            </w:r>
          </w:p>
        </w:tc>
        <w:tc>
          <w:tcPr>
            <w:tcW w:w="1089" w:type="dxa"/>
            <w:tcBorders>
              <w:top w:val="nil"/>
              <w:left w:val="nil"/>
              <w:bottom w:val="nil"/>
              <w:right w:val="nil"/>
            </w:tcBorders>
            <w:shd w:val="clear" w:color="auto" w:fill="auto"/>
            <w:noWrap/>
            <w:vAlign w:val="center"/>
            <w:hideMark/>
          </w:tcPr>
          <w:p w14:paraId="718F6F21" w14:textId="77777777" w:rsidR="00C830D5" w:rsidRPr="00C830D5" w:rsidRDefault="00C830D5" w:rsidP="00C830D5">
            <w:pPr>
              <w:jc w:val="right"/>
              <w:rPr>
                <w:color w:val="000000"/>
                <w:sz w:val="16"/>
                <w:szCs w:val="16"/>
                <w:lang w:eastAsia="tr-TR"/>
              </w:rPr>
            </w:pPr>
            <w:r w:rsidRPr="00C830D5">
              <w:rPr>
                <w:color w:val="000000"/>
                <w:sz w:val="16"/>
                <w:szCs w:val="16"/>
                <w:lang w:eastAsia="tr-TR"/>
              </w:rPr>
              <w:t>4,045,320</w:t>
            </w:r>
          </w:p>
        </w:tc>
        <w:tc>
          <w:tcPr>
            <w:tcW w:w="1089" w:type="dxa"/>
            <w:tcBorders>
              <w:top w:val="nil"/>
              <w:left w:val="nil"/>
              <w:bottom w:val="nil"/>
              <w:right w:val="nil"/>
            </w:tcBorders>
            <w:shd w:val="clear" w:color="auto" w:fill="auto"/>
            <w:noWrap/>
            <w:vAlign w:val="center"/>
            <w:hideMark/>
          </w:tcPr>
          <w:p w14:paraId="26A726C6" w14:textId="77777777" w:rsidR="00C830D5" w:rsidRPr="00C830D5" w:rsidRDefault="00C830D5" w:rsidP="00C830D5">
            <w:pPr>
              <w:jc w:val="right"/>
              <w:rPr>
                <w:color w:val="000000"/>
                <w:sz w:val="16"/>
                <w:szCs w:val="16"/>
                <w:lang w:eastAsia="tr-TR"/>
              </w:rPr>
            </w:pPr>
            <w:r w:rsidRPr="00C830D5">
              <w:rPr>
                <w:color w:val="000000"/>
                <w:sz w:val="16"/>
                <w:szCs w:val="16"/>
                <w:lang w:eastAsia="tr-TR"/>
              </w:rPr>
              <w:t>2,586,454</w:t>
            </w:r>
          </w:p>
        </w:tc>
        <w:tc>
          <w:tcPr>
            <w:tcW w:w="1089" w:type="dxa"/>
            <w:tcBorders>
              <w:top w:val="nil"/>
              <w:left w:val="nil"/>
              <w:bottom w:val="nil"/>
              <w:right w:val="nil"/>
            </w:tcBorders>
            <w:shd w:val="clear" w:color="auto" w:fill="auto"/>
            <w:noWrap/>
            <w:vAlign w:val="center"/>
            <w:hideMark/>
          </w:tcPr>
          <w:p w14:paraId="75872F0D" w14:textId="77777777" w:rsidR="00C830D5" w:rsidRPr="00C830D5" w:rsidRDefault="00C830D5" w:rsidP="00C830D5">
            <w:pPr>
              <w:jc w:val="right"/>
              <w:rPr>
                <w:color w:val="000000"/>
                <w:sz w:val="16"/>
                <w:szCs w:val="16"/>
                <w:lang w:eastAsia="tr-TR"/>
              </w:rPr>
            </w:pPr>
            <w:r w:rsidRPr="00C830D5">
              <w:rPr>
                <w:color w:val="000000"/>
                <w:sz w:val="16"/>
                <w:szCs w:val="16"/>
                <w:lang w:eastAsia="tr-TR"/>
              </w:rPr>
              <w:t>1,215,126</w:t>
            </w:r>
          </w:p>
        </w:tc>
        <w:tc>
          <w:tcPr>
            <w:tcW w:w="1148" w:type="dxa"/>
            <w:tcBorders>
              <w:top w:val="nil"/>
              <w:left w:val="nil"/>
              <w:bottom w:val="nil"/>
              <w:right w:val="nil"/>
            </w:tcBorders>
            <w:shd w:val="clear" w:color="auto" w:fill="auto"/>
            <w:noWrap/>
            <w:vAlign w:val="center"/>
            <w:hideMark/>
          </w:tcPr>
          <w:p w14:paraId="5E24FD9B"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4C221520" w14:textId="77777777" w:rsidR="00C830D5" w:rsidRPr="00C830D5" w:rsidRDefault="00C830D5" w:rsidP="00C830D5">
            <w:pPr>
              <w:jc w:val="right"/>
              <w:rPr>
                <w:color w:val="000000"/>
                <w:sz w:val="16"/>
                <w:szCs w:val="16"/>
                <w:lang w:eastAsia="tr-TR"/>
              </w:rPr>
            </w:pPr>
            <w:r w:rsidRPr="00C830D5">
              <w:rPr>
                <w:color w:val="000000"/>
                <w:sz w:val="16"/>
                <w:szCs w:val="16"/>
                <w:lang w:eastAsia="tr-TR"/>
              </w:rPr>
              <w:t>7,846,900</w:t>
            </w:r>
          </w:p>
        </w:tc>
      </w:tr>
      <w:tr w:rsidR="00C830D5" w:rsidRPr="00C830D5" w14:paraId="10A498D5"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29C7BAB9" w14:textId="77777777" w:rsidR="00C830D5" w:rsidRPr="00C830D5" w:rsidRDefault="00C830D5" w:rsidP="00C830D5">
            <w:pPr>
              <w:rPr>
                <w:color w:val="000000"/>
                <w:sz w:val="16"/>
                <w:szCs w:val="16"/>
                <w:lang w:eastAsia="tr-TR"/>
              </w:rPr>
            </w:pPr>
            <w:r w:rsidRPr="00C830D5">
              <w:rPr>
                <w:color w:val="000000"/>
                <w:sz w:val="16"/>
                <w:szCs w:val="16"/>
                <w:lang w:eastAsia="tr-TR"/>
              </w:rPr>
              <w:t>Faaliyet giderleri (-)</w:t>
            </w:r>
          </w:p>
        </w:tc>
        <w:tc>
          <w:tcPr>
            <w:tcW w:w="1089" w:type="dxa"/>
            <w:tcBorders>
              <w:top w:val="nil"/>
              <w:left w:val="nil"/>
              <w:bottom w:val="nil"/>
              <w:right w:val="nil"/>
            </w:tcBorders>
            <w:shd w:val="clear" w:color="auto" w:fill="auto"/>
            <w:noWrap/>
            <w:vAlign w:val="center"/>
            <w:hideMark/>
          </w:tcPr>
          <w:p w14:paraId="6E531E3A" w14:textId="77777777" w:rsidR="00C830D5" w:rsidRPr="00C830D5" w:rsidRDefault="00C830D5" w:rsidP="00C830D5">
            <w:pPr>
              <w:jc w:val="right"/>
              <w:rPr>
                <w:color w:val="000000"/>
                <w:sz w:val="16"/>
                <w:szCs w:val="16"/>
                <w:lang w:eastAsia="tr-TR"/>
              </w:rPr>
            </w:pPr>
            <w:r w:rsidRPr="00C830D5">
              <w:rPr>
                <w:color w:val="000000"/>
                <w:sz w:val="16"/>
                <w:szCs w:val="16"/>
                <w:lang w:eastAsia="tr-TR"/>
              </w:rPr>
              <w:t>3,597,892</w:t>
            </w:r>
          </w:p>
        </w:tc>
        <w:tc>
          <w:tcPr>
            <w:tcW w:w="1089" w:type="dxa"/>
            <w:tcBorders>
              <w:top w:val="nil"/>
              <w:left w:val="nil"/>
              <w:bottom w:val="nil"/>
              <w:right w:val="nil"/>
            </w:tcBorders>
            <w:shd w:val="clear" w:color="auto" w:fill="auto"/>
            <w:noWrap/>
            <w:vAlign w:val="center"/>
            <w:hideMark/>
          </w:tcPr>
          <w:p w14:paraId="05BB7ACE" w14:textId="77777777" w:rsidR="00C830D5" w:rsidRPr="00C830D5" w:rsidRDefault="00C830D5" w:rsidP="00C830D5">
            <w:pPr>
              <w:jc w:val="right"/>
              <w:rPr>
                <w:color w:val="000000"/>
                <w:sz w:val="16"/>
                <w:szCs w:val="16"/>
                <w:lang w:eastAsia="tr-TR"/>
              </w:rPr>
            </w:pPr>
            <w:r w:rsidRPr="00C830D5">
              <w:rPr>
                <w:color w:val="000000"/>
                <w:sz w:val="16"/>
                <w:szCs w:val="16"/>
                <w:lang w:eastAsia="tr-TR"/>
              </w:rPr>
              <w:t>1,041,971</w:t>
            </w:r>
          </w:p>
        </w:tc>
        <w:tc>
          <w:tcPr>
            <w:tcW w:w="1089" w:type="dxa"/>
            <w:tcBorders>
              <w:top w:val="nil"/>
              <w:left w:val="nil"/>
              <w:bottom w:val="nil"/>
              <w:right w:val="nil"/>
            </w:tcBorders>
            <w:shd w:val="clear" w:color="auto" w:fill="auto"/>
            <w:noWrap/>
            <w:vAlign w:val="center"/>
            <w:hideMark/>
          </w:tcPr>
          <w:p w14:paraId="0462DB53" w14:textId="77777777" w:rsidR="00C830D5" w:rsidRPr="00C830D5" w:rsidRDefault="00C830D5" w:rsidP="00C830D5">
            <w:pPr>
              <w:jc w:val="right"/>
              <w:rPr>
                <w:color w:val="000000"/>
                <w:sz w:val="16"/>
                <w:szCs w:val="16"/>
                <w:lang w:eastAsia="tr-TR"/>
              </w:rPr>
            </w:pPr>
            <w:r w:rsidRPr="00C830D5">
              <w:rPr>
                <w:color w:val="000000"/>
                <w:sz w:val="16"/>
                <w:szCs w:val="16"/>
                <w:lang w:eastAsia="tr-TR"/>
              </w:rPr>
              <w:t>945,172</w:t>
            </w:r>
          </w:p>
        </w:tc>
        <w:tc>
          <w:tcPr>
            <w:tcW w:w="1148" w:type="dxa"/>
            <w:tcBorders>
              <w:top w:val="nil"/>
              <w:left w:val="nil"/>
              <w:bottom w:val="nil"/>
              <w:right w:val="nil"/>
            </w:tcBorders>
            <w:shd w:val="clear" w:color="auto" w:fill="auto"/>
            <w:noWrap/>
            <w:vAlign w:val="center"/>
            <w:hideMark/>
          </w:tcPr>
          <w:p w14:paraId="5F84B240" w14:textId="77777777" w:rsidR="00C830D5" w:rsidRPr="00C830D5" w:rsidRDefault="00C830D5" w:rsidP="00C830D5">
            <w:pPr>
              <w:jc w:val="right"/>
              <w:rPr>
                <w:color w:val="000000"/>
                <w:sz w:val="16"/>
                <w:szCs w:val="16"/>
                <w:lang w:eastAsia="tr-TR"/>
              </w:rPr>
            </w:pPr>
            <w:r w:rsidRPr="00C830D5">
              <w:rPr>
                <w:color w:val="000000"/>
                <w:sz w:val="16"/>
                <w:szCs w:val="16"/>
                <w:lang w:eastAsia="tr-TR"/>
              </w:rPr>
              <w:t>1,289,799</w:t>
            </w:r>
          </w:p>
        </w:tc>
        <w:tc>
          <w:tcPr>
            <w:tcW w:w="1089" w:type="dxa"/>
            <w:tcBorders>
              <w:top w:val="nil"/>
              <w:left w:val="nil"/>
              <w:bottom w:val="nil"/>
              <w:right w:val="nil"/>
            </w:tcBorders>
            <w:shd w:val="clear" w:color="auto" w:fill="auto"/>
            <w:noWrap/>
            <w:vAlign w:val="center"/>
            <w:hideMark/>
          </w:tcPr>
          <w:p w14:paraId="00B73CD0" w14:textId="77777777" w:rsidR="00C830D5" w:rsidRPr="00C830D5" w:rsidRDefault="00C830D5" w:rsidP="00C830D5">
            <w:pPr>
              <w:jc w:val="right"/>
              <w:rPr>
                <w:color w:val="000000"/>
                <w:sz w:val="16"/>
                <w:szCs w:val="16"/>
                <w:lang w:eastAsia="tr-TR"/>
              </w:rPr>
            </w:pPr>
            <w:r w:rsidRPr="00C830D5">
              <w:rPr>
                <w:color w:val="000000"/>
                <w:sz w:val="16"/>
                <w:szCs w:val="16"/>
                <w:lang w:eastAsia="tr-TR"/>
              </w:rPr>
              <w:t>6,874,834</w:t>
            </w:r>
          </w:p>
        </w:tc>
      </w:tr>
      <w:tr w:rsidR="00C830D5" w:rsidRPr="00C830D5" w14:paraId="50AA4516"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1587EFBC" w14:textId="77777777" w:rsidR="00C830D5" w:rsidRPr="00C830D5" w:rsidRDefault="00C830D5" w:rsidP="00C830D5">
            <w:pPr>
              <w:rPr>
                <w:color w:val="000000"/>
                <w:sz w:val="16"/>
                <w:szCs w:val="16"/>
                <w:lang w:eastAsia="tr-TR"/>
              </w:rPr>
            </w:pPr>
            <w:r w:rsidRPr="00C830D5">
              <w:rPr>
                <w:color w:val="000000"/>
                <w:sz w:val="16"/>
                <w:szCs w:val="16"/>
                <w:lang w:eastAsia="tr-TR"/>
              </w:rPr>
              <w:t>Bölümler arası transferler</w:t>
            </w:r>
          </w:p>
        </w:tc>
        <w:tc>
          <w:tcPr>
            <w:tcW w:w="1089" w:type="dxa"/>
            <w:tcBorders>
              <w:top w:val="nil"/>
              <w:left w:val="nil"/>
              <w:bottom w:val="nil"/>
              <w:right w:val="nil"/>
            </w:tcBorders>
            <w:shd w:val="clear" w:color="auto" w:fill="auto"/>
            <w:noWrap/>
            <w:vAlign w:val="center"/>
            <w:hideMark/>
          </w:tcPr>
          <w:p w14:paraId="1B04C1CC" w14:textId="77777777" w:rsidR="00C830D5" w:rsidRPr="00C830D5" w:rsidRDefault="00C830D5" w:rsidP="00C830D5">
            <w:pPr>
              <w:jc w:val="right"/>
              <w:rPr>
                <w:color w:val="000000"/>
                <w:sz w:val="16"/>
                <w:szCs w:val="16"/>
                <w:lang w:eastAsia="tr-TR"/>
              </w:rPr>
            </w:pPr>
            <w:r w:rsidRPr="00C830D5">
              <w:rPr>
                <w:color w:val="000000"/>
                <w:sz w:val="16"/>
                <w:szCs w:val="16"/>
                <w:lang w:eastAsia="tr-TR"/>
              </w:rPr>
              <w:t>2,170,458</w:t>
            </w:r>
          </w:p>
        </w:tc>
        <w:tc>
          <w:tcPr>
            <w:tcW w:w="1089" w:type="dxa"/>
            <w:tcBorders>
              <w:top w:val="nil"/>
              <w:left w:val="nil"/>
              <w:bottom w:val="nil"/>
              <w:right w:val="nil"/>
            </w:tcBorders>
            <w:shd w:val="clear" w:color="auto" w:fill="auto"/>
            <w:noWrap/>
            <w:vAlign w:val="center"/>
            <w:hideMark/>
          </w:tcPr>
          <w:p w14:paraId="208B7DAD" w14:textId="77777777" w:rsidR="00C830D5" w:rsidRPr="00C830D5" w:rsidRDefault="00C830D5" w:rsidP="00C830D5">
            <w:pPr>
              <w:jc w:val="right"/>
              <w:rPr>
                <w:color w:val="000000"/>
                <w:sz w:val="16"/>
                <w:szCs w:val="16"/>
                <w:lang w:eastAsia="tr-TR"/>
              </w:rPr>
            </w:pPr>
            <w:r w:rsidRPr="00C830D5">
              <w:rPr>
                <w:color w:val="000000"/>
                <w:sz w:val="16"/>
                <w:szCs w:val="16"/>
                <w:lang w:eastAsia="tr-TR"/>
              </w:rPr>
              <w:t>(558,572)</w:t>
            </w:r>
          </w:p>
        </w:tc>
        <w:tc>
          <w:tcPr>
            <w:tcW w:w="1089" w:type="dxa"/>
            <w:tcBorders>
              <w:top w:val="nil"/>
              <w:left w:val="nil"/>
              <w:bottom w:val="nil"/>
              <w:right w:val="nil"/>
            </w:tcBorders>
            <w:shd w:val="clear" w:color="auto" w:fill="auto"/>
            <w:noWrap/>
            <w:vAlign w:val="center"/>
            <w:hideMark/>
          </w:tcPr>
          <w:p w14:paraId="2261076A" w14:textId="77777777" w:rsidR="00C830D5" w:rsidRPr="00C830D5" w:rsidRDefault="00C830D5" w:rsidP="00C830D5">
            <w:pPr>
              <w:jc w:val="right"/>
              <w:rPr>
                <w:color w:val="000000"/>
                <w:sz w:val="16"/>
                <w:szCs w:val="16"/>
                <w:lang w:eastAsia="tr-TR"/>
              </w:rPr>
            </w:pPr>
            <w:r w:rsidRPr="00C830D5">
              <w:rPr>
                <w:color w:val="000000"/>
                <w:sz w:val="16"/>
                <w:szCs w:val="16"/>
                <w:lang w:eastAsia="tr-TR"/>
              </w:rPr>
              <w:t>(1,611,886)</w:t>
            </w:r>
          </w:p>
        </w:tc>
        <w:tc>
          <w:tcPr>
            <w:tcW w:w="1148" w:type="dxa"/>
            <w:tcBorders>
              <w:top w:val="nil"/>
              <w:left w:val="nil"/>
              <w:bottom w:val="nil"/>
              <w:right w:val="nil"/>
            </w:tcBorders>
            <w:shd w:val="clear" w:color="auto" w:fill="auto"/>
            <w:noWrap/>
            <w:vAlign w:val="center"/>
            <w:hideMark/>
          </w:tcPr>
          <w:p w14:paraId="7F663A1E"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0FD099D5"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r>
      <w:tr w:rsidR="00C830D5" w:rsidRPr="00C830D5" w14:paraId="6E7C5FC2"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2F294C7D"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Net faaliyet karı / zararı</w:t>
            </w:r>
          </w:p>
        </w:tc>
        <w:tc>
          <w:tcPr>
            <w:tcW w:w="1089" w:type="dxa"/>
            <w:tcBorders>
              <w:top w:val="nil"/>
              <w:left w:val="nil"/>
              <w:bottom w:val="nil"/>
              <w:right w:val="nil"/>
            </w:tcBorders>
            <w:shd w:val="clear" w:color="auto" w:fill="auto"/>
            <w:noWrap/>
            <w:vAlign w:val="center"/>
            <w:hideMark/>
          </w:tcPr>
          <w:p w14:paraId="5E6815AD"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2,617,886</w:t>
            </w:r>
          </w:p>
        </w:tc>
        <w:tc>
          <w:tcPr>
            <w:tcW w:w="1089" w:type="dxa"/>
            <w:tcBorders>
              <w:top w:val="nil"/>
              <w:left w:val="nil"/>
              <w:bottom w:val="nil"/>
              <w:right w:val="nil"/>
            </w:tcBorders>
            <w:shd w:val="clear" w:color="auto" w:fill="auto"/>
            <w:noWrap/>
            <w:vAlign w:val="center"/>
            <w:hideMark/>
          </w:tcPr>
          <w:p w14:paraId="5A146583"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985,911</w:t>
            </w:r>
          </w:p>
        </w:tc>
        <w:tc>
          <w:tcPr>
            <w:tcW w:w="1089" w:type="dxa"/>
            <w:tcBorders>
              <w:top w:val="nil"/>
              <w:left w:val="nil"/>
              <w:bottom w:val="nil"/>
              <w:right w:val="nil"/>
            </w:tcBorders>
            <w:shd w:val="clear" w:color="auto" w:fill="auto"/>
            <w:noWrap/>
            <w:vAlign w:val="center"/>
            <w:hideMark/>
          </w:tcPr>
          <w:p w14:paraId="5B87405C"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(1,341,932)</w:t>
            </w:r>
          </w:p>
        </w:tc>
        <w:tc>
          <w:tcPr>
            <w:tcW w:w="1148" w:type="dxa"/>
            <w:tcBorders>
              <w:top w:val="nil"/>
              <w:left w:val="nil"/>
              <w:bottom w:val="nil"/>
              <w:right w:val="nil"/>
            </w:tcBorders>
            <w:shd w:val="clear" w:color="auto" w:fill="auto"/>
            <w:noWrap/>
            <w:vAlign w:val="center"/>
            <w:hideMark/>
          </w:tcPr>
          <w:p w14:paraId="6EBCE73B"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(1,289,799)</w:t>
            </w:r>
          </w:p>
        </w:tc>
        <w:tc>
          <w:tcPr>
            <w:tcW w:w="1089" w:type="dxa"/>
            <w:tcBorders>
              <w:top w:val="nil"/>
              <w:left w:val="nil"/>
              <w:bottom w:val="nil"/>
              <w:right w:val="nil"/>
            </w:tcBorders>
            <w:shd w:val="clear" w:color="auto" w:fill="auto"/>
            <w:noWrap/>
            <w:vAlign w:val="center"/>
            <w:hideMark/>
          </w:tcPr>
          <w:p w14:paraId="5FFFAC28"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972,066</w:t>
            </w:r>
          </w:p>
        </w:tc>
      </w:tr>
      <w:tr w:rsidR="00C830D5" w:rsidRPr="00C830D5" w14:paraId="50C79C66"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34727E87" w14:textId="77777777" w:rsidR="00C830D5" w:rsidRPr="00C830D5" w:rsidRDefault="00C830D5" w:rsidP="00C830D5">
            <w:pPr>
              <w:rPr>
                <w:color w:val="000000"/>
                <w:sz w:val="16"/>
                <w:szCs w:val="16"/>
                <w:lang w:eastAsia="tr-TR"/>
              </w:rPr>
            </w:pPr>
            <w:r w:rsidRPr="00C830D5">
              <w:rPr>
                <w:color w:val="000000"/>
                <w:sz w:val="16"/>
                <w:szCs w:val="16"/>
                <w:lang w:eastAsia="tr-TR"/>
              </w:rPr>
              <w:t>İştiraklerden elde edilen gelir</w:t>
            </w:r>
          </w:p>
        </w:tc>
        <w:tc>
          <w:tcPr>
            <w:tcW w:w="1089" w:type="dxa"/>
            <w:tcBorders>
              <w:top w:val="nil"/>
              <w:left w:val="nil"/>
              <w:bottom w:val="nil"/>
              <w:right w:val="nil"/>
            </w:tcBorders>
            <w:shd w:val="clear" w:color="auto" w:fill="auto"/>
            <w:noWrap/>
            <w:vAlign w:val="center"/>
            <w:hideMark/>
          </w:tcPr>
          <w:p w14:paraId="276CCDFF"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14277805"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49341D20"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6F4E2F23"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25733BBE"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r>
      <w:tr w:rsidR="00C830D5" w:rsidRPr="00C830D5" w14:paraId="580889FB"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14C7CD9F"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Vergi öncesi kar</w:t>
            </w:r>
          </w:p>
        </w:tc>
        <w:tc>
          <w:tcPr>
            <w:tcW w:w="1089" w:type="dxa"/>
            <w:tcBorders>
              <w:top w:val="nil"/>
              <w:left w:val="nil"/>
              <w:bottom w:val="nil"/>
              <w:right w:val="nil"/>
            </w:tcBorders>
            <w:shd w:val="clear" w:color="auto" w:fill="auto"/>
            <w:noWrap/>
            <w:vAlign w:val="center"/>
            <w:hideMark/>
          </w:tcPr>
          <w:p w14:paraId="50281B10"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2,617,886</w:t>
            </w:r>
          </w:p>
        </w:tc>
        <w:tc>
          <w:tcPr>
            <w:tcW w:w="1089" w:type="dxa"/>
            <w:tcBorders>
              <w:top w:val="nil"/>
              <w:left w:val="nil"/>
              <w:bottom w:val="nil"/>
              <w:right w:val="nil"/>
            </w:tcBorders>
            <w:shd w:val="clear" w:color="auto" w:fill="auto"/>
            <w:noWrap/>
            <w:vAlign w:val="center"/>
            <w:hideMark/>
          </w:tcPr>
          <w:p w14:paraId="2DA30789"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985,911</w:t>
            </w:r>
          </w:p>
        </w:tc>
        <w:tc>
          <w:tcPr>
            <w:tcW w:w="1089" w:type="dxa"/>
            <w:tcBorders>
              <w:top w:val="nil"/>
              <w:left w:val="nil"/>
              <w:bottom w:val="nil"/>
              <w:right w:val="nil"/>
            </w:tcBorders>
            <w:shd w:val="clear" w:color="auto" w:fill="auto"/>
            <w:noWrap/>
            <w:vAlign w:val="center"/>
            <w:hideMark/>
          </w:tcPr>
          <w:p w14:paraId="6264DAA0"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(1,341,932)</w:t>
            </w:r>
          </w:p>
        </w:tc>
        <w:tc>
          <w:tcPr>
            <w:tcW w:w="1148" w:type="dxa"/>
            <w:tcBorders>
              <w:top w:val="nil"/>
              <w:left w:val="nil"/>
              <w:bottom w:val="nil"/>
              <w:right w:val="nil"/>
            </w:tcBorders>
            <w:shd w:val="clear" w:color="auto" w:fill="auto"/>
            <w:noWrap/>
            <w:vAlign w:val="center"/>
            <w:hideMark/>
          </w:tcPr>
          <w:p w14:paraId="52240D62"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(1,289,799)</w:t>
            </w:r>
          </w:p>
        </w:tc>
        <w:tc>
          <w:tcPr>
            <w:tcW w:w="1089" w:type="dxa"/>
            <w:tcBorders>
              <w:top w:val="nil"/>
              <w:left w:val="nil"/>
              <w:bottom w:val="nil"/>
              <w:right w:val="nil"/>
            </w:tcBorders>
            <w:shd w:val="clear" w:color="auto" w:fill="auto"/>
            <w:noWrap/>
            <w:vAlign w:val="center"/>
            <w:hideMark/>
          </w:tcPr>
          <w:p w14:paraId="4C223999"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972,066</w:t>
            </w:r>
          </w:p>
        </w:tc>
      </w:tr>
      <w:tr w:rsidR="00C830D5" w:rsidRPr="00C830D5" w14:paraId="451FD938"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5AA2557F" w14:textId="77777777" w:rsidR="00C830D5" w:rsidRPr="00C830D5" w:rsidRDefault="00C830D5" w:rsidP="00C830D5">
            <w:pPr>
              <w:rPr>
                <w:color w:val="000000"/>
                <w:sz w:val="16"/>
                <w:szCs w:val="16"/>
                <w:lang w:eastAsia="tr-TR"/>
              </w:rPr>
            </w:pPr>
            <w:r w:rsidRPr="00C830D5">
              <w:rPr>
                <w:color w:val="000000"/>
                <w:sz w:val="16"/>
                <w:szCs w:val="16"/>
                <w:lang w:eastAsia="tr-TR"/>
              </w:rPr>
              <w:t>Vergi Karşılığı (-)</w:t>
            </w:r>
          </w:p>
        </w:tc>
        <w:tc>
          <w:tcPr>
            <w:tcW w:w="1089" w:type="dxa"/>
            <w:tcBorders>
              <w:top w:val="nil"/>
              <w:left w:val="nil"/>
              <w:bottom w:val="nil"/>
              <w:right w:val="nil"/>
            </w:tcBorders>
            <w:shd w:val="clear" w:color="auto" w:fill="auto"/>
            <w:noWrap/>
            <w:vAlign w:val="center"/>
            <w:hideMark/>
          </w:tcPr>
          <w:p w14:paraId="20B6D7E2"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2184BE6A"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7C899CA8"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464BC30E" w14:textId="77777777" w:rsidR="00C830D5" w:rsidRPr="00C830D5" w:rsidRDefault="00C830D5" w:rsidP="00C830D5">
            <w:pPr>
              <w:jc w:val="right"/>
              <w:rPr>
                <w:color w:val="000000"/>
                <w:sz w:val="16"/>
                <w:szCs w:val="16"/>
                <w:lang w:eastAsia="tr-TR"/>
              </w:rPr>
            </w:pPr>
            <w:r w:rsidRPr="00C830D5">
              <w:rPr>
                <w:color w:val="000000"/>
                <w:sz w:val="16"/>
                <w:szCs w:val="16"/>
                <w:lang w:eastAsia="tr-TR"/>
              </w:rPr>
              <w:t>194,570</w:t>
            </w:r>
          </w:p>
        </w:tc>
        <w:tc>
          <w:tcPr>
            <w:tcW w:w="1089" w:type="dxa"/>
            <w:tcBorders>
              <w:top w:val="nil"/>
              <w:left w:val="nil"/>
              <w:bottom w:val="nil"/>
              <w:right w:val="nil"/>
            </w:tcBorders>
            <w:shd w:val="clear" w:color="auto" w:fill="auto"/>
            <w:noWrap/>
            <w:vAlign w:val="center"/>
            <w:hideMark/>
          </w:tcPr>
          <w:p w14:paraId="6386CAD2" w14:textId="77777777" w:rsidR="00C830D5" w:rsidRPr="00C830D5" w:rsidRDefault="00C830D5" w:rsidP="00C830D5">
            <w:pPr>
              <w:jc w:val="right"/>
              <w:rPr>
                <w:color w:val="000000"/>
                <w:sz w:val="16"/>
                <w:szCs w:val="16"/>
                <w:lang w:eastAsia="tr-TR"/>
              </w:rPr>
            </w:pPr>
            <w:r w:rsidRPr="00C830D5">
              <w:rPr>
                <w:color w:val="000000"/>
                <w:sz w:val="16"/>
                <w:szCs w:val="16"/>
                <w:lang w:eastAsia="tr-TR"/>
              </w:rPr>
              <w:t>194,570</w:t>
            </w:r>
          </w:p>
        </w:tc>
      </w:tr>
      <w:tr w:rsidR="00C830D5" w:rsidRPr="00C830D5" w14:paraId="4AEF800C"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71DD07A4"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Dönem net karı</w:t>
            </w:r>
          </w:p>
        </w:tc>
        <w:tc>
          <w:tcPr>
            <w:tcW w:w="1089" w:type="dxa"/>
            <w:tcBorders>
              <w:top w:val="nil"/>
              <w:left w:val="nil"/>
              <w:bottom w:val="nil"/>
              <w:right w:val="nil"/>
            </w:tcBorders>
            <w:shd w:val="clear" w:color="auto" w:fill="auto"/>
            <w:noWrap/>
            <w:vAlign w:val="center"/>
            <w:hideMark/>
          </w:tcPr>
          <w:p w14:paraId="477B17AA"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2,617,886</w:t>
            </w:r>
          </w:p>
        </w:tc>
        <w:tc>
          <w:tcPr>
            <w:tcW w:w="1089" w:type="dxa"/>
            <w:tcBorders>
              <w:top w:val="nil"/>
              <w:left w:val="nil"/>
              <w:bottom w:val="nil"/>
              <w:right w:val="nil"/>
            </w:tcBorders>
            <w:shd w:val="clear" w:color="auto" w:fill="auto"/>
            <w:noWrap/>
            <w:vAlign w:val="center"/>
            <w:hideMark/>
          </w:tcPr>
          <w:p w14:paraId="58479C9D"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985,911</w:t>
            </w:r>
          </w:p>
        </w:tc>
        <w:tc>
          <w:tcPr>
            <w:tcW w:w="1089" w:type="dxa"/>
            <w:tcBorders>
              <w:top w:val="nil"/>
              <w:left w:val="nil"/>
              <w:bottom w:val="nil"/>
              <w:right w:val="nil"/>
            </w:tcBorders>
            <w:shd w:val="clear" w:color="auto" w:fill="auto"/>
            <w:noWrap/>
            <w:vAlign w:val="center"/>
            <w:hideMark/>
          </w:tcPr>
          <w:p w14:paraId="4E50144B"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(1,341,932)</w:t>
            </w:r>
          </w:p>
        </w:tc>
        <w:tc>
          <w:tcPr>
            <w:tcW w:w="1148" w:type="dxa"/>
            <w:tcBorders>
              <w:top w:val="nil"/>
              <w:left w:val="nil"/>
              <w:bottom w:val="nil"/>
              <w:right w:val="nil"/>
            </w:tcBorders>
            <w:shd w:val="clear" w:color="auto" w:fill="auto"/>
            <w:noWrap/>
            <w:vAlign w:val="center"/>
            <w:hideMark/>
          </w:tcPr>
          <w:p w14:paraId="7127523E"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(1,484,369)</w:t>
            </w:r>
          </w:p>
        </w:tc>
        <w:tc>
          <w:tcPr>
            <w:tcW w:w="1089" w:type="dxa"/>
            <w:tcBorders>
              <w:top w:val="nil"/>
              <w:left w:val="nil"/>
              <w:bottom w:val="nil"/>
              <w:right w:val="nil"/>
            </w:tcBorders>
            <w:shd w:val="clear" w:color="auto" w:fill="auto"/>
            <w:noWrap/>
            <w:vAlign w:val="center"/>
            <w:hideMark/>
          </w:tcPr>
          <w:p w14:paraId="0C8AFBEE"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777,496</w:t>
            </w:r>
          </w:p>
        </w:tc>
      </w:tr>
      <w:tr w:rsidR="00C830D5" w:rsidRPr="00C830D5" w14:paraId="658C9E51"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61103B1A" w14:textId="77777777" w:rsidR="00C830D5" w:rsidRPr="00C830D5" w:rsidRDefault="00C830D5" w:rsidP="00C830D5">
            <w:pPr>
              <w:jc w:val="right"/>
              <w:rPr>
                <w:b/>
                <w:bCs/>
                <w:color w:val="000000"/>
                <w:sz w:val="16"/>
                <w:szCs w:val="16"/>
                <w:lang w:eastAsia="tr-TR"/>
              </w:rPr>
            </w:pPr>
          </w:p>
        </w:tc>
        <w:tc>
          <w:tcPr>
            <w:tcW w:w="1089" w:type="dxa"/>
            <w:vMerge w:val="restart"/>
            <w:tcBorders>
              <w:top w:val="nil"/>
              <w:left w:val="nil"/>
              <w:bottom w:val="nil"/>
              <w:right w:val="nil"/>
            </w:tcBorders>
            <w:shd w:val="clear" w:color="auto" w:fill="auto"/>
            <w:noWrap/>
            <w:vAlign w:val="bottom"/>
            <w:hideMark/>
          </w:tcPr>
          <w:p w14:paraId="46B8401E" w14:textId="77777777" w:rsidR="00C830D5" w:rsidRPr="00C830D5" w:rsidRDefault="00C830D5" w:rsidP="00C830D5">
            <w:pPr>
              <w:rPr>
                <w:lang w:eastAsia="tr-TR"/>
              </w:rPr>
            </w:pPr>
          </w:p>
        </w:tc>
        <w:tc>
          <w:tcPr>
            <w:tcW w:w="1089" w:type="dxa"/>
            <w:vMerge w:val="restart"/>
            <w:tcBorders>
              <w:top w:val="nil"/>
              <w:left w:val="nil"/>
              <w:bottom w:val="nil"/>
              <w:right w:val="nil"/>
            </w:tcBorders>
            <w:shd w:val="clear" w:color="auto" w:fill="auto"/>
            <w:vAlign w:val="bottom"/>
            <w:hideMark/>
          </w:tcPr>
          <w:p w14:paraId="2580996A" w14:textId="77777777" w:rsidR="00C830D5" w:rsidRPr="00C830D5" w:rsidRDefault="00C830D5" w:rsidP="00C830D5">
            <w:pPr>
              <w:rPr>
                <w:lang w:eastAsia="tr-TR"/>
              </w:rPr>
            </w:pPr>
          </w:p>
        </w:tc>
        <w:tc>
          <w:tcPr>
            <w:tcW w:w="1089" w:type="dxa"/>
            <w:vMerge w:val="restart"/>
            <w:tcBorders>
              <w:top w:val="nil"/>
              <w:left w:val="nil"/>
              <w:bottom w:val="nil"/>
              <w:right w:val="nil"/>
            </w:tcBorders>
            <w:shd w:val="clear" w:color="auto" w:fill="auto"/>
            <w:noWrap/>
            <w:vAlign w:val="bottom"/>
            <w:hideMark/>
          </w:tcPr>
          <w:p w14:paraId="518A3B2B" w14:textId="77777777" w:rsidR="00C830D5" w:rsidRPr="00C830D5" w:rsidRDefault="00C830D5" w:rsidP="00C830D5">
            <w:pPr>
              <w:rPr>
                <w:lang w:eastAsia="tr-TR"/>
              </w:rPr>
            </w:pPr>
          </w:p>
        </w:tc>
        <w:tc>
          <w:tcPr>
            <w:tcW w:w="1148" w:type="dxa"/>
            <w:vMerge w:val="restart"/>
            <w:tcBorders>
              <w:top w:val="nil"/>
              <w:left w:val="nil"/>
              <w:bottom w:val="nil"/>
              <w:right w:val="nil"/>
            </w:tcBorders>
            <w:shd w:val="clear" w:color="auto" w:fill="auto"/>
            <w:vAlign w:val="bottom"/>
            <w:hideMark/>
          </w:tcPr>
          <w:p w14:paraId="3F0CBB49" w14:textId="77777777" w:rsidR="00C830D5" w:rsidRPr="00C830D5" w:rsidRDefault="00C830D5" w:rsidP="00C830D5">
            <w:pPr>
              <w:rPr>
                <w:lang w:eastAsia="tr-TR"/>
              </w:rPr>
            </w:pPr>
          </w:p>
        </w:tc>
        <w:tc>
          <w:tcPr>
            <w:tcW w:w="1089" w:type="dxa"/>
            <w:vMerge w:val="restart"/>
            <w:tcBorders>
              <w:top w:val="nil"/>
              <w:left w:val="nil"/>
              <w:bottom w:val="nil"/>
              <w:right w:val="nil"/>
            </w:tcBorders>
            <w:shd w:val="clear" w:color="auto" w:fill="auto"/>
            <w:vAlign w:val="bottom"/>
            <w:hideMark/>
          </w:tcPr>
          <w:p w14:paraId="6679B11D" w14:textId="77777777" w:rsidR="00C830D5" w:rsidRPr="00C830D5" w:rsidRDefault="00C830D5" w:rsidP="00C830D5">
            <w:pPr>
              <w:rPr>
                <w:lang w:eastAsia="tr-TR"/>
              </w:rPr>
            </w:pPr>
          </w:p>
        </w:tc>
      </w:tr>
      <w:tr w:rsidR="00C830D5" w:rsidRPr="00C830D5" w14:paraId="320F3986"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5EA28222"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Önceki Dönem</w:t>
            </w:r>
          </w:p>
        </w:tc>
        <w:tc>
          <w:tcPr>
            <w:tcW w:w="1089" w:type="dxa"/>
            <w:vMerge/>
            <w:tcBorders>
              <w:top w:val="nil"/>
              <w:left w:val="nil"/>
              <w:bottom w:val="nil"/>
              <w:right w:val="nil"/>
            </w:tcBorders>
            <w:vAlign w:val="center"/>
            <w:hideMark/>
          </w:tcPr>
          <w:p w14:paraId="1B674418" w14:textId="77777777" w:rsidR="00C830D5" w:rsidRPr="00C830D5" w:rsidRDefault="00C830D5" w:rsidP="00C830D5">
            <w:pPr>
              <w:rPr>
                <w:lang w:eastAsia="tr-TR"/>
              </w:rPr>
            </w:pPr>
          </w:p>
        </w:tc>
        <w:tc>
          <w:tcPr>
            <w:tcW w:w="1089" w:type="dxa"/>
            <w:vMerge/>
            <w:tcBorders>
              <w:top w:val="nil"/>
              <w:left w:val="nil"/>
              <w:bottom w:val="nil"/>
              <w:right w:val="nil"/>
            </w:tcBorders>
            <w:vAlign w:val="center"/>
            <w:hideMark/>
          </w:tcPr>
          <w:p w14:paraId="63AC1C37" w14:textId="77777777" w:rsidR="00C830D5" w:rsidRPr="00C830D5" w:rsidRDefault="00C830D5" w:rsidP="00C830D5">
            <w:pPr>
              <w:rPr>
                <w:lang w:eastAsia="tr-TR"/>
              </w:rPr>
            </w:pPr>
          </w:p>
        </w:tc>
        <w:tc>
          <w:tcPr>
            <w:tcW w:w="1089" w:type="dxa"/>
            <w:vMerge/>
            <w:tcBorders>
              <w:top w:val="nil"/>
              <w:left w:val="nil"/>
              <w:bottom w:val="nil"/>
              <w:right w:val="nil"/>
            </w:tcBorders>
            <w:vAlign w:val="center"/>
            <w:hideMark/>
          </w:tcPr>
          <w:p w14:paraId="5CC35F77" w14:textId="77777777" w:rsidR="00C830D5" w:rsidRPr="00C830D5" w:rsidRDefault="00C830D5" w:rsidP="00C830D5">
            <w:pPr>
              <w:rPr>
                <w:lang w:eastAsia="tr-TR"/>
              </w:rPr>
            </w:pPr>
          </w:p>
        </w:tc>
        <w:tc>
          <w:tcPr>
            <w:tcW w:w="1148" w:type="dxa"/>
            <w:vMerge/>
            <w:tcBorders>
              <w:top w:val="nil"/>
              <w:left w:val="nil"/>
              <w:bottom w:val="nil"/>
              <w:right w:val="nil"/>
            </w:tcBorders>
            <w:vAlign w:val="center"/>
            <w:hideMark/>
          </w:tcPr>
          <w:p w14:paraId="4E32513D" w14:textId="77777777" w:rsidR="00C830D5" w:rsidRPr="00C830D5" w:rsidRDefault="00C830D5" w:rsidP="00C830D5">
            <w:pPr>
              <w:rPr>
                <w:lang w:eastAsia="tr-TR"/>
              </w:rPr>
            </w:pPr>
          </w:p>
        </w:tc>
        <w:tc>
          <w:tcPr>
            <w:tcW w:w="1089" w:type="dxa"/>
            <w:vMerge/>
            <w:tcBorders>
              <w:top w:val="nil"/>
              <w:left w:val="nil"/>
              <w:bottom w:val="nil"/>
              <w:right w:val="nil"/>
            </w:tcBorders>
            <w:vAlign w:val="center"/>
            <w:hideMark/>
          </w:tcPr>
          <w:p w14:paraId="7B637868" w14:textId="77777777" w:rsidR="00C830D5" w:rsidRPr="00C830D5" w:rsidRDefault="00C830D5" w:rsidP="00C830D5">
            <w:pPr>
              <w:rPr>
                <w:lang w:eastAsia="tr-TR"/>
              </w:rPr>
            </w:pPr>
          </w:p>
        </w:tc>
      </w:tr>
      <w:tr w:rsidR="00C830D5" w:rsidRPr="00C830D5" w14:paraId="20E55D43"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0D1E9A62"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31 Aralık 2019</w:t>
            </w:r>
          </w:p>
        </w:tc>
        <w:tc>
          <w:tcPr>
            <w:tcW w:w="1089" w:type="dxa"/>
            <w:tcBorders>
              <w:top w:val="nil"/>
              <w:left w:val="nil"/>
              <w:bottom w:val="nil"/>
              <w:right w:val="nil"/>
            </w:tcBorders>
            <w:shd w:val="clear" w:color="auto" w:fill="auto"/>
            <w:noWrap/>
            <w:vAlign w:val="bottom"/>
            <w:hideMark/>
          </w:tcPr>
          <w:p w14:paraId="6A1546C4" w14:textId="77777777" w:rsidR="00C830D5" w:rsidRPr="00C830D5" w:rsidRDefault="00C830D5" w:rsidP="00C830D5">
            <w:pPr>
              <w:rPr>
                <w:b/>
                <w:bCs/>
                <w:color w:val="000000"/>
                <w:sz w:val="16"/>
                <w:szCs w:val="16"/>
                <w:lang w:eastAsia="tr-TR"/>
              </w:rPr>
            </w:pPr>
          </w:p>
        </w:tc>
        <w:tc>
          <w:tcPr>
            <w:tcW w:w="1089" w:type="dxa"/>
            <w:tcBorders>
              <w:top w:val="nil"/>
              <w:left w:val="nil"/>
              <w:bottom w:val="nil"/>
              <w:right w:val="nil"/>
            </w:tcBorders>
            <w:shd w:val="clear" w:color="auto" w:fill="auto"/>
            <w:vAlign w:val="bottom"/>
            <w:hideMark/>
          </w:tcPr>
          <w:p w14:paraId="4D48AAA3"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noWrap/>
            <w:vAlign w:val="bottom"/>
            <w:hideMark/>
          </w:tcPr>
          <w:p w14:paraId="77C71C75" w14:textId="77777777" w:rsidR="00C830D5" w:rsidRPr="00C830D5" w:rsidRDefault="00C830D5" w:rsidP="00C830D5">
            <w:pPr>
              <w:rPr>
                <w:lang w:eastAsia="tr-TR"/>
              </w:rPr>
            </w:pPr>
          </w:p>
        </w:tc>
        <w:tc>
          <w:tcPr>
            <w:tcW w:w="1148" w:type="dxa"/>
            <w:tcBorders>
              <w:top w:val="nil"/>
              <w:left w:val="nil"/>
              <w:bottom w:val="nil"/>
              <w:right w:val="nil"/>
            </w:tcBorders>
            <w:shd w:val="clear" w:color="auto" w:fill="auto"/>
            <w:vAlign w:val="bottom"/>
            <w:hideMark/>
          </w:tcPr>
          <w:p w14:paraId="2C9BAE44"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vAlign w:val="bottom"/>
            <w:hideMark/>
          </w:tcPr>
          <w:p w14:paraId="6B79209F" w14:textId="77777777" w:rsidR="00C830D5" w:rsidRPr="00C830D5" w:rsidRDefault="00C830D5" w:rsidP="00C830D5">
            <w:pPr>
              <w:rPr>
                <w:lang w:eastAsia="tr-TR"/>
              </w:rPr>
            </w:pPr>
          </w:p>
        </w:tc>
      </w:tr>
      <w:tr w:rsidR="00C830D5" w:rsidRPr="00C830D5" w14:paraId="0E7E3DF8"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1A37A397"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noWrap/>
            <w:vAlign w:val="bottom"/>
            <w:hideMark/>
          </w:tcPr>
          <w:p w14:paraId="638B9FEF"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noWrap/>
            <w:vAlign w:val="bottom"/>
            <w:hideMark/>
          </w:tcPr>
          <w:p w14:paraId="7E8389FC"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noWrap/>
            <w:vAlign w:val="bottom"/>
            <w:hideMark/>
          </w:tcPr>
          <w:p w14:paraId="1751738C" w14:textId="77777777" w:rsidR="00C830D5" w:rsidRPr="00C830D5" w:rsidRDefault="00C830D5" w:rsidP="00C830D5">
            <w:pPr>
              <w:rPr>
                <w:lang w:eastAsia="tr-TR"/>
              </w:rPr>
            </w:pPr>
          </w:p>
        </w:tc>
        <w:tc>
          <w:tcPr>
            <w:tcW w:w="1148" w:type="dxa"/>
            <w:tcBorders>
              <w:top w:val="nil"/>
              <w:left w:val="nil"/>
              <w:bottom w:val="nil"/>
              <w:right w:val="nil"/>
            </w:tcBorders>
            <w:shd w:val="clear" w:color="auto" w:fill="auto"/>
            <w:noWrap/>
            <w:vAlign w:val="bottom"/>
            <w:hideMark/>
          </w:tcPr>
          <w:p w14:paraId="2ACA8406"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noWrap/>
            <w:vAlign w:val="bottom"/>
            <w:hideMark/>
          </w:tcPr>
          <w:p w14:paraId="36379C91" w14:textId="77777777" w:rsidR="00C830D5" w:rsidRPr="00C830D5" w:rsidRDefault="00C830D5" w:rsidP="00C830D5">
            <w:pPr>
              <w:rPr>
                <w:lang w:eastAsia="tr-TR"/>
              </w:rPr>
            </w:pPr>
          </w:p>
        </w:tc>
      </w:tr>
      <w:tr w:rsidR="00C830D5" w:rsidRPr="00C830D5" w14:paraId="74B7DD40"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1C1C1E06" w14:textId="77777777" w:rsidR="00C830D5" w:rsidRPr="00C830D5" w:rsidRDefault="00C830D5" w:rsidP="00C830D5">
            <w:pPr>
              <w:rPr>
                <w:color w:val="000000"/>
                <w:sz w:val="16"/>
                <w:szCs w:val="16"/>
                <w:lang w:eastAsia="tr-TR"/>
              </w:rPr>
            </w:pPr>
            <w:r w:rsidRPr="00C830D5">
              <w:rPr>
                <w:color w:val="000000"/>
                <w:sz w:val="16"/>
                <w:szCs w:val="16"/>
                <w:lang w:eastAsia="tr-TR"/>
              </w:rPr>
              <w:t>Bölüm varlıkları</w:t>
            </w:r>
          </w:p>
        </w:tc>
        <w:tc>
          <w:tcPr>
            <w:tcW w:w="1089" w:type="dxa"/>
            <w:tcBorders>
              <w:top w:val="nil"/>
              <w:left w:val="nil"/>
              <w:bottom w:val="nil"/>
              <w:right w:val="nil"/>
            </w:tcBorders>
            <w:shd w:val="clear" w:color="auto" w:fill="auto"/>
            <w:noWrap/>
            <w:vAlign w:val="center"/>
            <w:hideMark/>
          </w:tcPr>
          <w:p w14:paraId="7DB8983A" w14:textId="77777777" w:rsidR="00C830D5" w:rsidRPr="00C830D5" w:rsidRDefault="00C830D5" w:rsidP="00C830D5">
            <w:pPr>
              <w:jc w:val="right"/>
              <w:rPr>
                <w:color w:val="000000"/>
                <w:sz w:val="16"/>
                <w:szCs w:val="16"/>
                <w:lang w:eastAsia="tr-TR"/>
              </w:rPr>
            </w:pPr>
            <w:r w:rsidRPr="00C830D5">
              <w:rPr>
                <w:color w:val="000000"/>
                <w:sz w:val="16"/>
                <w:szCs w:val="16"/>
                <w:lang w:eastAsia="tr-TR"/>
              </w:rPr>
              <w:t>19,680,015</w:t>
            </w:r>
          </w:p>
        </w:tc>
        <w:tc>
          <w:tcPr>
            <w:tcW w:w="1089" w:type="dxa"/>
            <w:tcBorders>
              <w:top w:val="nil"/>
              <w:left w:val="nil"/>
              <w:bottom w:val="nil"/>
              <w:right w:val="nil"/>
            </w:tcBorders>
            <w:shd w:val="clear" w:color="auto" w:fill="auto"/>
            <w:noWrap/>
            <w:vAlign w:val="center"/>
            <w:hideMark/>
          </w:tcPr>
          <w:p w14:paraId="2DB4F749" w14:textId="77777777" w:rsidR="00C830D5" w:rsidRPr="00C830D5" w:rsidRDefault="00C830D5" w:rsidP="00C830D5">
            <w:pPr>
              <w:jc w:val="right"/>
              <w:rPr>
                <w:color w:val="000000"/>
                <w:sz w:val="16"/>
                <w:szCs w:val="16"/>
                <w:lang w:eastAsia="tr-TR"/>
              </w:rPr>
            </w:pPr>
            <w:r w:rsidRPr="00C830D5">
              <w:rPr>
                <w:color w:val="000000"/>
                <w:sz w:val="16"/>
                <w:szCs w:val="16"/>
                <w:lang w:eastAsia="tr-TR"/>
              </w:rPr>
              <w:t>35,203,430</w:t>
            </w:r>
          </w:p>
        </w:tc>
        <w:tc>
          <w:tcPr>
            <w:tcW w:w="1089" w:type="dxa"/>
            <w:tcBorders>
              <w:top w:val="nil"/>
              <w:left w:val="nil"/>
              <w:bottom w:val="nil"/>
              <w:right w:val="nil"/>
            </w:tcBorders>
            <w:shd w:val="clear" w:color="auto" w:fill="auto"/>
            <w:noWrap/>
            <w:vAlign w:val="center"/>
            <w:hideMark/>
          </w:tcPr>
          <w:p w14:paraId="127F7C12" w14:textId="77777777" w:rsidR="00C830D5" w:rsidRPr="00C830D5" w:rsidRDefault="00C830D5" w:rsidP="00C830D5">
            <w:pPr>
              <w:jc w:val="right"/>
              <w:rPr>
                <w:color w:val="000000"/>
                <w:sz w:val="16"/>
                <w:szCs w:val="16"/>
                <w:lang w:eastAsia="tr-TR"/>
              </w:rPr>
            </w:pPr>
            <w:r w:rsidRPr="00C830D5">
              <w:rPr>
                <w:color w:val="000000"/>
                <w:sz w:val="16"/>
                <w:szCs w:val="16"/>
                <w:lang w:eastAsia="tr-TR"/>
              </w:rPr>
              <w:t>45,842,442</w:t>
            </w:r>
          </w:p>
        </w:tc>
        <w:tc>
          <w:tcPr>
            <w:tcW w:w="1148" w:type="dxa"/>
            <w:tcBorders>
              <w:top w:val="nil"/>
              <w:left w:val="nil"/>
              <w:bottom w:val="nil"/>
              <w:right w:val="nil"/>
            </w:tcBorders>
            <w:shd w:val="clear" w:color="auto" w:fill="auto"/>
            <w:noWrap/>
            <w:vAlign w:val="center"/>
            <w:hideMark/>
          </w:tcPr>
          <w:p w14:paraId="3FC77C21"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62F1E3AA" w14:textId="77777777" w:rsidR="00C830D5" w:rsidRPr="00C830D5" w:rsidRDefault="00C830D5" w:rsidP="00C830D5">
            <w:pPr>
              <w:jc w:val="right"/>
              <w:rPr>
                <w:color w:val="000000"/>
                <w:sz w:val="16"/>
                <w:szCs w:val="16"/>
                <w:lang w:eastAsia="tr-TR"/>
              </w:rPr>
            </w:pPr>
            <w:r w:rsidRPr="00C830D5">
              <w:rPr>
                <w:color w:val="000000"/>
                <w:sz w:val="16"/>
                <w:szCs w:val="16"/>
                <w:lang w:eastAsia="tr-TR"/>
              </w:rPr>
              <w:t>100,725,887</w:t>
            </w:r>
          </w:p>
        </w:tc>
      </w:tr>
      <w:tr w:rsidR="00C830D5" w:rsidRPr="00C830D5" w14:paraId="3CAE77B7"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4CAFE10D" w14:textId="77777777" w:rsidR="00C830D5" w:rsidRPr="00C830D5" w:rsidRDefault="00C830D5" w:rsidP="00C830D5">
            <w:pPr>
              <w:rPr>
                <w:color w:val="000000"/>
                <w:sz w:val="16"/>
                <w:szCs w:val="16"/>
                <w:lang w:eastAsia="tr-TR"/>
              </w:rPr>
            </w:pPr>
            <w:r w:rsidRPr="00C830D5">
              <w:rPr>
                <w:color w:val="000000"/>
                <w:sz w:val="16"/>
                <w:szCs w:val="16"/>
                <w:lang w:eastAsia="tr-TR"/>
              </w:rPr>
              <w:t>İştirak ve bağlı ortaklık ve birlikte kontrol edilen ortaklıklar</w:t>
            </w:r>
          </w:p>
        </w:tc>
        <w:tc>
          <w:tcPr>
            <w:tcW w:w="1089" w:type="dxa"/>
            <w:tcBorders>
              <w:top w:val="nil"/>
              <w:left w:val="nil"/>
              <w:bottom w:val="nil"/>
              <w:right w:val="nil"/>
            </w:tcBorders>
            <w:shd w:val="clear" w:color="auto" w:fill="auto"/>
            <w:noWrap/>
            <w:vAlign w:val="center"/>
            <w:hideMark/>
          </w:tcPr>
          <w:p w14:paraId="125992DB"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11639AF3"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353C2961"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600C448E" w14:textId="77777777" w:rsidR="00C830D5" w:rsidRPr="00C830D5" w:rsidRDefault="00C830D5" w:rsidP="00C830D5">
            <w:pPr>
              <w:jc w:val="right"/>
              <w:rPr>
                <w:color w:val="000000"/>
                <w:sz w:val="16"/>
                <w:szCs w:val="16"/>
                <w:lang w:eastAsia="tr-TR"/>
              </w:rPr>
            </w:pPr>
            <w:r w:rsidRPr="00C830D5">
              <w:rPr>
                <w:color w:val="000000"/>
                <w:sz w:val="16"/>
                <w:szCs w:val="16"/>
                <w:lang w:eastAsia="tr-TR"/>
              </w:rPr>
              <w:t>564,853</w:t>
            </w:r>
          </w:p>
        </w:tc>
        <w:tc>
          <w:tcPr>
            <w:tcW w:w="1089" w:type="dxa"/>
            <w:tcBorders>
              <w:top w:val="nil"/>
              <w:left w:val="nil"/>
              <w:bottom w:val="nil"/>
              <w:right w:val="nil"/>
            </w:tcBorders>
            <w:shd w:val="clear" w:color="auto" w:fill="auto"/>
            <w:noWrap/>
            <w:vAlign w:val="center"/>
            <w:hideMark/>
          </w:tcPr>
          <w:p w14:paraId="51AEDF04" w14:textId="77777777" w:rsidR="00C830D5" w:rsidRPr="00C830D5" w:rsidRDefault="00C830D5" w:rsidP="00C830D5">
            <w:pPr>
              <w:jc w:val="right"/>
              <w:rPr>
                <w:color w:val="000000"/>
                <w:sz w:val="16"/>
                <w:szCs w:val="16"/>
                <w:lang w:eastAsia="tr-TR"/>
              </w:rPr>
            </w:pPr>
            <w:r w:rsidRPr="00C830D5">
              <w:rPr>
                <w:color w:val="000000"/>
                <w:sz w:val="16"/>
                <w:szCs w:val="16"/>
                <w:lang w:eastAsia="tr-TR"/>
              </w:rPr>
              <w:t>564,853</w:t>
            </w:r>
          </w:p>
        </w:tc>
      </w:tr>
      <w:tr w:rsidR="00C830D5" w:rsidRPr="00C830D5" w14:paraId="656ADC18"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0C338A77" w14:textId="77777777" w:rsidR="00C830D5" w:rsidRPr="00C830D5" w:rsidRDefault="00C830D5" w:rsidP="00C830D5">
            <w:pPr>
              <w:rPr>
                <w:color w:val="000000"/>
                <w:sz w:val="16"/>
                <w:szCs w:val="16"/>
                <w:lang w:eastAsia="tr-TR"/>
              </w:rPr>
            </w:pPr>
            <w:r w:rsidRPr="00C830D5">
              <w:rPr>
                <w:color w:val="000000"/>
                <w:sz w:val="16"/>
                <w:szCs w:val="16"/>
                <w:lang w:eastAsia="tr-TR"/>
              </w:rPr>
              <w:t>Dağıtılmamış varlıklar</w:t>
            </w:r>
          </w:p>
        </w:tc>
        <w:tc>
          <w:tcPr>
            <w:tcW w:w="1089" w:type="dxa"/>
            <w:tcBorders>
              <w:top w:val="nil"/>
              <w:left w:val="nil"/>
              <w:bottom w:val="nil"/>
              <w:right w:val="nil"/>
            </w:tcBorders>
            <w:shd w:val="clear" w:color="auto" w:fill="auto"/>
            <w:noWrap/>
            <w:vAlign w:val="center"/>
            <w:hideMark/>
          </w:tcPr>
          <w:p w14:paraId="3053A8AF"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147B16EC"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512B0AF0"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7B4F83A8" w14:textId="77777777" w:rsidR="00C830D5" w:rsidRPr="00C830D5" w:rsidRDefault="00C830D5" w:rsidP="00C830D5">
            <w:pPr>
              <w:jc w:val="right"/>
              <w:rPr>
                <w:color w:val="000000"/>
                <w:sz w:val="16"/>
                <w:szCs w:val="16"/>
                <w:lang w:eastAsia="tr-TR"/>
              </w:rPr>
            </w:pPr>
            <w:r w:rsidRPr="00C830D5">
              <w:rPr>
                <w:color w:val="000000"/>
                <w:sz w:val="16"/>
                <w:szCs w:val="16"/>
                <w:lang w:eastAsia="tr-TR"/>
              </w:rPr>
              <w:t>3,148,605</w:t>
            </w:r>
          </w:p>
        </w:tc>
        <w:tc>
          <w:tcPr>
            <w:tcW w:w="1089" w:type="dxa"/>
            <w:tcBorders>
              <w:top w:val="nil"/>
              <w:left w:val="nil"/>
              <w:bottom w:val="nil"/>
              <w:right w:val="nil"/>
            </w:tcBorders>
            <w:shd w:val="clear" w:color="auto" w:fill="auto"/>
            <w:noWrap/>
            <w:vAlign w:val="center"/>
            <w:hideMark/>
          </w:tcPr>
          <w:p w14:paraId="347AC881" w14:textId="77777777" w:rsidR="00C830D5" w:rsidRPr="00C830D5" w:rsidRDefault="00C830D5" w:rsidP="00C830D5">
            <w:pPr>
              <w:jc w:val="right"/>
              <w:rPr>
                <w:color w:val="000000"/>
                <w:sz w:val="16"/>
                <w:szCs w:val="16"/>
                <w:lang w:eastAsia="tr-TR"/>
              </w:rPr>
            </w:pPr>
            <w:r w:rsidRPr="00C830D5">
              <w:rPr>
                <w:color w:val="000000"/>
                <w:sz w:val="16"/>
                <w:szCs w:val="16"/>
                <w:lang w:eastAsia="tr-TR"/>
              </w:rPr>
              <w:t>3,148,605</w:t>
            </w:r>
          </w:p>
        </w:tc>
      </w:tr>
      <w:tr w:rsidR="00C830D5" w:rsidRPr="00C830D5" w14:paraId="6E5DF8A2" w14:textId="77777777" w:rsidTr="00C830D5">
        <w:trPr>
          <w:divId w:val="243610658"/>
          <w:trHeight w:val="154"/>
        </w:trPr>
        <w:tc>
          <w:tcPr>
            <w:tcW w:w="4013" w:type="dxa"/>
            <w:tcBorders>
              <w:top w:val="nil"/>
              <w:left w:val="nil"/>
              <w:bottom w:val="nil"/>
              <w:right w:val="nil"/>
            </w:tcBorders>
            <w:shd w:val="clear" w:color="auto" w:fill="auto"/>
            <w:noWrap/>
            <w:vAlign w:val="bottom"/>
            <w:hideMark/>
          </w:tcPr>
          <w:p w14:paraId="4F8A7FC0" w14:textId="77777777" w:rsidR="00C830D5" w:rsidRPr="00C830D5" w:rsidRDefault="00C830D5" w:rsidP="00C830D5">
            <w:pPr>
              <w:jc w:val="right"/>
              <w:rPr>
                <w:color w:val="000000"/>
                <w:sz w:val="16"/>
                <w:szCs w:val="16"/>
                <w:lang w:eastAsia="tr-TR"/>
              </w:rPr>
            </w:pPr>
          </w:p>
        </w:tc>
        <w:tc>
          <w:tcPr>
            <w:tcW w:w="1089" w:type="dxa"/>
            <w:tcBorders>
              <w:top w:val="nil"/>
              <w:left w:val="nil"/>
              <w:bottom w:val="nil"/>
              <w:right w:val="nil"/>
            </w:tcBorders>
            <w:shd w:val="clear" w:color="auto" w:fill="auto"/>
            <w:noWrap/>
            <w:vAlign w:val="bottom"/>
            <w:hideMark/>
          </w:tcPr>
          <w:p w14:paraId="0F53CC55"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vAlign w:val="bottom"/>
            <w:hideMark/>
          </w:tcPr>
          <w:p w14:paraId="1CD29BB8"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noWrap/>
            <w:vAlign w:val="bottom"/>
            <w:hideMark/>
          </w:tcPr>
          <w:p w14:paraId="56AC9638" w14:textId="77777777" w:rsidR="00C830D5" w:rsidRPr="00C830D5" w:rsidRDefault="00C830D5" w:rsidP="00C830D5">
            <w:pPr>
              <w:rPr>
                <w:lang w:eastAsia="tr-TR"/>
              </w:rPr>
            </w:pPr>
          </w:p>
        </w:tc>
        <w:tc>
          <w:tcPr>
            <w:tcW w:w="1148" w:type="dxa"/>
            <w:tcBorders>
              <w:top w:val="nil"/>
              <w:left w:val="nil"/>
              <w:bottom w:val="nil"/>
              <w:right w:val="nil"/>
            </w:tcBorders>
            <w:shd w:val="clear" w:color="auto" w:fill="auto"/>
            <w:vAlign w:val="bottom"/>
            <w:hideMark/>
          </w:tcPr>
          <w:p w14:paraId="360BBAE9"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vAlign w:val="bottom"/>
            <w:hideMark/>
          </w:tcPr>
          <w:p w14:paraId="7B0E4AF1" w14:textId="77777777" w:rsidR="00C830D5" w:rsidRPr="00C830D5" w:rsidRDefault="00C830D5" w:rsidP="00C830D5">
            <w:pPr>
              <w:rPr>
                <w:lang w:eastAsia="tr-TR"/>
              </w:rPr>
            </w:pPr>
          </w:p>
        </w:tc>
      </w:tr>
      <w:tr w:rsidR="00C830D5" w:rsidRPr="00C830D5" w14:paraId="20A7CE74" w14:textId="77777777" w:rsidTr="00C830D5">
        <w:trPr>
          <w:divId w:val="243610658"/>
          <w:trHeight w:val="154"/>
        </w:trPr>
        <w:tc>
          <w:tcPr>
            <w:tcW w:w="4013" w:type="dxa"/>
            <w:tcBorders>
              <w:top w:val="single" w:sz="8" w:space="0" w:color="auto"/>
              <w:left w:val="nil"/>
              <w:bottom w:val="single" w:sz="8" w:space="0" w:color="auto"/>
              <w:right w:val="nil"/>
            </w:tcBorders>
            <w:shd w:val="clear" w:color="auto" w:fill="auto"/>
            <w:noWrap/>
            <w:vAlign w:val="center"/>
            <w:hideMark/>
          </w:tcPr>
          <w:p w14:paraId="26184D13"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Toplam varlıklar</w:t>
            </w:r>
          </w:p>
        </w:tc>
        <w:tc>
          <w:tcPr>
            <w:tcW w:w="1089" w:type="dxa"/>
            <w:tcBorders>
              <w:top w:val="single" w:sz="8" w:space="0" w:color="auto"/>
              <w:left w:val="nil"/>
              <w:bottom w:val="single" w:sz="8" w:space="0" w:color="auto"/>
              <w:right w:val="nil"/>
            </w:tcBorders>
            <w:shd w:val="clear" w:color="auto" w:fill="auto"/>
            <w:noWrap/>
            <w:vAlign w:val="center"/>
            <w:hideMark/>
          </w:tcPr>
          <w:p w14:paraId="0D518CE0"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19,680,015</w:t>
            </w:r>
          </w:p>
        </w:tc>
        <w:tc>
          <w:tcPr>
            <w:tcW w:w="1089" w:type="dxa"/>
            <w:tcBorders>
              <w:top w:val="single" w:sz="8" w:space="0" w:color="auto"/>
              <w:left w:val="nil"/>
              <w:bottom w:val="single" w:sz="8" w:space="0" w:color="auto"/>
              <w:right w:val="nil"/>
            </w:tcBorders>
            <w:shd w:val="clear" w:color="auto" w:fill="auto"/>
            <w:noWrap/>
            <w:vAlign w:val="center"/>
            <w:hideMark/>
          </w:tcPr>
          <w:p w14:paraId="0C961EFB"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35,203,430</w:t>
            </w:r>
          </w:p>
        </w:tc>
        <w:tc>
          <w:tcPr>
            <w:tcW w:w="1089" w:type="dxa"/>
            <w:tcBorders>
              <w:top w:val="single" w:sz="8" w:space="0" w:color="auto"/>
              <w:left w:val="nil"/>
              <w:bottom w:val="single" w:sz="8" w:space="0" w:color="auto"/>
              <w:right w:val="nil"/>
            </w:tcBorders>
            <w:shd w:val="clear" w:color="auto" w:fill="auto"/>
            <w:noWrap/>
            <w:vAlign w:val="center"/>
            <w:hideMark/>
          </w:tcPr>
          <w:p w14:paraId="762F4019"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45,842,442</w:t>
            </w:r>
          </w:p>
        </w:tc>
        <w:tc>
          <w:tcPr>
            <w:tcW w:w="1148" w:type="dxa"/>
            <w:tcBorders>
              <w:top w:val="single" w:sz="8" w:space="0" w:color="auto"/>
              <w:left w:val="nil"/>
              <w:bottom w:val="single" w:sz="8" w:space="0" w:color="auto"/>
              <w:right w:val="nil"/>
            </w:tcBorders>
            <w:shd w:val="clear" w:color="auto" w:fill="auto"/>
            <w:noWrap/>
            <w:vAlign w:val="center"/>
            <w:hideMark/>
          </w:tcPr>
          <w:p w14:paraId="0DBAF2C6"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3,713,458</w:t>
            </w:r>
          </w:p>
        </w:tc>
        <w:tc>
          <w:tcPr>
            <w:tcW w:w="1089" w:type="dxa"/>
            <w:tcBorders>
              <w:top w:val="single" w:sz="8" w:space="0" w:color="auto"/>
              <w:left w:val="nil"/>
              <w:bottom w:val="single" w:sz="8" w:space="0" w:color="auto"/>
              <w:right w:val="nil"/>
            </w:tcBorders>
            <w:shd w:val="clear" w:color="auto" w:fill="auto"/>
            <w:noWrap/>
            <w:vAlign w:val="center"/>
            <w:hideMark/>
          </w:tcPr>
          <w:p w14:paraId="58005ACA"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104,439,345</w:t>
            </w:r>
          </w:p>
        </w:tc>
      </w:tr>
      <w:tr w:rsidR="00C830D5" w:rsidRPr="00C830D5" w14:paraId="3583CFCC"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60A7EE2A" w14:textId="77777777" w:rsidR="00C830D5" w:rsidRPr="00C830D5" w:rsidRDefault="00C830D5" w:rsidP="00C830D5">
            <w:pPr>
              <w:jc w:val="right"/>
              <w:rPr>
                <w:b/>
                <w:bCs/>
                <w:color w:val="000000"/>
                <w:sz w:val="16"/>
                <w:szCs w:val="16"/>
                <w:lang w:eastAsia="tr-TR"/>
              </w:rPr>
            </w:pPr>
          </w:p>
        </w:tc>
        <w:tc>
          <w:tcPr>
            <w:tcW w:w="1089" w:type="dxa"/>
            <w:vMerge w:val="restart"/>
            <w:tcBorders>
              <w:top w:val="nil"/>
              <w:left w:val="nil"/>
              <w:bottom w:val="nil"/>
              <w:right w:val="nil"/>
            </w:tcBorders>
            <w:shd w:val="clear" w:color="auto" w:fill="auto"/>
            <w:noWrap/>
            <w:vAlign w:val="bottom"/>
            <w:hideMark/>
          </w:tcPr>
          <w:p w14:paraId="256899AD" w14:textId="77777777" w:rsidR="00C830D5" w:rsidRPr="00C830D5" w:rsidRDefault="00C830D5" w:rsidP="00C830D5">
            <w:pPr>
              <w:rPr>
                <w:color w:val="000000"/>
                <w:lang w:eastAsia="tr-TR"/>
              </w:rPr>
            </w:pPr>
            <w:r w:rsidRPr="00C830D5">
              <w:rPr>
                <w:color w:val="000000"/>
                <w:lang w:eastAsia="tr-TR"/>
              </w:rPr>
              <w:t> </w:t>
            </w:r>
          </w:p>
        </w:tc>
        <w:tc>
          <w:tcPr>
            <w:tcW w:w="1089" w:type="dxa"/>
            <w:vMerge w:val="restart"/>
            <w:tcBorders>
              <w:top w:val="nil"/>
              <w:left w:val="nil"/>
              <w:bottom w:val="nil"/>
              <w:right w:val="nil"/>
            </w:tcBorders>
            <w:shd w:val="clear" w:color="auto" w:fill="auto"/>
            <w:vAlign w:val="bottom"/>
            <w:hideMark/>
          </w:tcPr>
          <w:p w14:paraId="38DC4236" w14:textId="77777777" w:rsidR="00C830D5" w:rsidRPr="00C830D5" w:rsidRDefault="00C830D5" w:rsidP="00C830D5">
            <w:pPr>
              <w:rPr>
                <w:color w:val="000000"/>
                <w:lang w:eastAsia="tr-TR"/>
              </w:rPr>
            </w:pPr>
            <w:r w:rsidRPr="00C830D5">
              <w:rPr>
                <w:color w:val="000000"/>
                <w:lang w:eastAsia="tr-TR"/>
              </w:rPr>
              <w:t> </w:t>
            </w:r>
          </w:p>
        </w:tc>
        <w:tc>
          <w:tcPr>
            <w:tcW w:w="1089" w:type="dxa"/>
            <w:vMerge w:val="restart"/>
            <w:tcBorders>
              <w:top w:val="nil"/>
              <w:left w:val="nil"/>
              <w:bottom w:val="nil"/>
              <w:right w:val="nil"/>
            </w:tcBorders>
            <w:shd w:val="clear" w:color="auto" w:fill="auto"/>
            <w:noWrap/>
            <w:vAlign w:val="bottom"/>
            <w:hideMark/>
          </w:tcPr>
          <w:p w14:paraId="74E4EC94" w14:textId="77777777" w:rsidR="00C830D5" w:rsidRPr="00C830D5" w:rsidRDefault="00C830D5" w:rsidP="00C830D5">
            <w:pPr>
              <w:rPr>
                <w:color w:val="000000"/>
                <w:lang w:eastAsia="tr-TR"/>
              </w:rPr>
            </w:pPr>
            <w:r w:rsidRPr="00C830D5">
              <w:rPr>
                <w:color w:val="000000"/>
                <w:lang w:eastAsia="tr-TR"/>
              </w:rPr>
              <w:t> </w:t>
            </w:r>
          </w:p>
        </w:tc>
        <w:tc>
          <w:tcPr>
            <w:tcW w:w="1148" w:type="dxa"/>
            <w:vMerge w:val="restart"/>
            <w:tcBorders>
              <w:top w:val="nil"/>
              <w:left w:val="nil"/>
              <w:bottom w:val="nil"/>
              <w:right w:val="nil"/>
            </w:tcBorders>
            <w:shd w:val="clear" w:color="auto" w:fill="auto"/>
            <w:vAlign w:val="bottom"/>
            <w:hideMark/>
          </w:tcPr>
          <w:p w14:paraId="0D54D73D" w14:textId="77777777" w:rsidR="00C830D5" w:rsidRPr="00C830D5" w:rsidRDefault="00C830D5" w:rsidP="00C830D5">
            <w:pPr>
              <w:rPr>
                <w:color w:val="000000"/>
                <w:lang w:eastAsia="tr-TR"/>
              </w:rPr>
            </w:pPr>
            <w:r w:rsidRPr="00C830D5">
              <w:rPr>
                <w:color w:val="000000"/>
                <w:lang w:eastAsia="tr-TR"/>
              </w:rPr>
              <w:t> </w:t>
            </w:r>
          </w:p>
        </w:tc>
        <w:tc>
          <w:tcPr>
            <w:tcW w:w="1089" w:type="dxa"/>
            <w:vMerge w:val="restart"/>
            <w:tcBorders>
              <w:top w:val="nil"/>
              <w:left w:val="nil"/>
              <w:bottom w:val="nil"/>
              <w:right w:val="nil"/>
            </w:tcBorders>
            <w:shd w:val="clear" w:color="auto" w:fill="auto"/>
            <w:vAlign w:val="bottom"/>
            <w:hideMark/>
          </w:tcPr>
          <w:p w14:paraId="0AD2012D" w14:textId="77777777" w:rsidR="00C830D5" w:rsidRPr="00C830D5" w:rsidRDefault="00C830D5" w:rsidP="00C830D5">
            <w:pPr>
              <w:rPr>
                <w:color w:val="000000"/>
                <w:lang w:eastAsia="tr-TR"/>
              </w:rPr>
            </w:pPr>
            <w:r w:rsidRPr="00C830D5">
              <w:rPr>
                <w:color w:val="000000"/>
                <w:lang w:eastAsia="tr-TR"/>
              </w:rPr>
              <w:t> </w:t>
            </w:r>
          </w:p>
        </w:tc>
      </w:tr>
      <w:tr w:rsidR="00C830D5" w:rsidRPr="00C830D5" w14:paraId="6EDF09B6"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1CC7A4A5" w14:textId="77777777" w:rsidR="00C830D5" w:rsidRPr="00C830D5" w:rsidRDefault="00C830D5" w:rsidP="00C830D5">
            <w:pPr>
              <w:rPr>
                <w:b/>
                <w:bCs/>
                <w:color w:val="000000"/>
                <w:sz w:val="16"/>
                <w:szCs w:val="16"/>
                <w:lang w:eastAsia="tr-TR"/>
              </w:rPr>
            </w:pPr>
            <w:proofErr w:type="spellStart"/>
            <w:r w:rsidRPr="00C830D5">
              <w:rPr>
                <w:b/>
                <w:bCs/>
                <w:color w:val="000000"/>
                <w:sz w:val="16"/>
                <w:szCs w:val="16"/>
                <w:lang w:val="en-US" w:eastAsia="tr-TR"/>
              </w:rPr>
              <w:t>Önceki</w:t>
            </w:r>
            <w:proofErr w:type="spellEnd"/>
            <w:r w:rsidRPr="00C830D5">
              <w:rPr>
                <w:b/>
                <w:bCs/>
                <w:color w:val="000000"/>
                <w:sz w:val="16"/>
                <w:szCs w:val="16"/>
                <w:lang w:val="en-US" w:eastAsia="tr-TR"/>
              </w:rPr>
              <w:t xml:space="preserve"> </w:t>
            </w:r>
            <w:proofErr w:type="spellStart"/>
            <w:r w:rsidRPr="00C830D5">
              <w:rPr>
                <w:b/>
                <w:bCs/>
                <w:color w:val="000000"/>
                <w:sz w:val="16"/>
                <w:szCs w:val="16"/>
                <w:lang w:val="en-US" w:eastAsia="tr-TR"/>
              </w:rPr>
              <w:t>Dönem</w:t>
            </w:r>
            <w:proofErr w:type="spellEnd"/>
          </w:p>
        </w:tc>
        <w:tc>
          <w:tcPr>
            <w:tcW w:w="1089" w:type="dxa"/>
            <w:vMerge/>
            <w:tcBorders>
              <w:top w:val="nil"/>
              <w:left w:val="nil"/>
              <w:bottom w:val="nil"/>
              <w:right w:val="nil"/>
            </w:tcBorders>
            <w:vAlign w:val="center"/>
            <w:hideMark/>
          </w:tcPr>
          <w:p w14:paraId="3204181F" w14:textId="77777777" w:rsidR="00C830D5" w:rsidRPr="00C830D5" w:rsidRDefault="00C830D5" w:rsidP="00C830D5">
            <w:pPr>
              <w:rPr>
                <w:color w:val="000000"/>
                <w:lang w:eastAsia="tr-TR"/>
              </w:rPr>
            </w:pPr>
          </w:p>
        </w:tc>
        <w:tc>
          <w:tcPr>
            <w:tcW w:w="1089" w:type="dxa"/>
            <w:vMerge/>
            <w:tcBorders>
              <w:top w:val="nil"/>
              <w:left w:val="nil"/>
              <w:bottom w:val="nil"/>
              <w:right w:val="nil"/>
            </w:tcBorders>
            <w:vAlign w:val="center"/>
            <w:hideMark/>
          </w:tcPr>
          <w:p w14:paraId="621E305B" w14:textId="77777777" w:rsidR="00C830D5" w:rsidRPr="00C830D5" w:rsidRDefault="00C830D5" w:rsidP="00C830D5">
            <w:pPr>
              <w:rPr>
                <w:color w:val="000000"/>
                <w:lang w:eastAsia="tr-TR"/>
              </w:rPr>
            </w:pPr>
          </w:p>
        </w:tc>
        <w:tc>
          <w:tcPr>
            <w:tcW w:w="1089" w:type="dxa"/>
            <w:vMerge/>
            <w:tcBorders>
              <w:top w:val="nil"/>
              <w:left w:val="nil"/>
              <w:bottom w:val="nil"/>
              <w:right w:val="nil"/>
            </w:tcBorders>
            <w:vAlign w:val="center"/>
            <w:hideMark/>
          </w:tcPr>
          <w:p w14:paraId="3B31FDC2" w14:textId="77777777" w:rsidR="00C830D5" w:rsidRPr="00C830D5" w:rsidRDefault="00C830D5" w:rsidP="00C830D5">
            <w:pPr>
              <w:rPr>
                <w:color w:val="000000"/>
                <w:lang w:eastAsia="tr-TR"/>
              </w:rPr>
            </w:pPr>
          </w:p>
        </w:tc>
        <w:tc>
          <w:tcPr>
            <w:tcW w:w="1148" w:type="dxa"/>
            <w:vMerge/>
            <w:tcBorders>
              <w:top w:val="nil"/>
              <w:left w:val="nil"/>
              <w:bottom w:val="nil"/>
              <w:right w:val="nil"/>
            </w:tcBorders>
            <w:vAlign w:val="center"/>
            <w:hideMark/>
          </w:tcPr>
          <w:p w14:paraId="07E0C822" w14:textId="77777777" w:rsidR="00C830D5" w:rsidRPr="00C830D5" w:rsidRDefault="00C830D5" w:rsidP="00C830D5">
            <w:pPr>
              <w:rPr>
                <w:color w:val="000000"/>
                <w:lang w:eastAsia="tr-TR"/>
              </w:rPr>
            </w:pPr>
          </w:p>
        </w:tc>
        <w:tc>
          <w:tcPr>
            <w:tcW w:w="1089" w:type="dxa"/>
            <w:vMerge/>
            <w:tcBorders>
              <w:top w:val="nil"/>
              <w:left w:val="nil"/>
              <w:bottom w:val="nil"/>
              <w:right w:val="nil"/>
            </w:tcBorders>
            <w:vAlign w:val="center"/>
            <w:hideMark/>
          </w:tcPr>
          <w:p w14:paraId="556A6CDC" w14:textId="77777777" w:rsidR="00C830D5" w:rsidRPr="00C830D5" w:rsidRDefault="00C830D5" w:rsidP="00C830D5">
            <w:pPr>
              <w:rPr>
                <w:color w:val="000000"/>
                <w:lang w:eastAsia="tr-TR"/>
              </w:rPr>
            </w:pPr>
          </w:p>
        </w:tc>
      </w:tr>
      <w:tr w:rsidR="00C830D5" w:rsidRPr="00C830D5" w14:paraId="154DD8ED"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7D848A7E"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31 Aralık 2019</w:t>
            </w:r>
          </w:p>
        </w:tc>
        <w:tc>
          <w:tcPr>
            <w:tcW w:w="1089" w:type="dxa"/>
            <w:vMerge/>
            <w:tcBorders>
              <w:top w:val="nil"/>
              <w:left w:val="nil"/>
              <w:bottom w:val="nil"/>
              <w:right w:val="nil"/>
            </w:tcBorders>
            <w:vAlign w:val="center"/>
            <w:hideMark/>
          </w:tcPr>
          <w:p w14:paraId="60C1FBE2" w14:textId="77777777" w:rsidR="00C830D5" w:rsidRPr="00C830D5" w:rsidRDefault="00C830D5" w:rsidP="00C830D5">
            <w:pPr>
              <w:rPr>
                <w:color w:val="000000"/>
                <w:lang w:eastAsia="tr-TR"/>
              </w:rPr>
            </w:pPr>
          </w:p>
        </w:tc>
        <w:tc>
          <w:tcPr>
            <w:tcW w:w="1089" w:type="dxa"/>
            <w:vMerge/>
            <w:tcBorders>
              <w:top w:val="nil"/>
              <w:left w:val="nil"/>
              <w:bottom w:val="nil"/>
              <w:right w:val="nil"/>
            </w:tcBorders>
            <w:vAlign w:val="center"/>
            <w:hideMark/>
          </w:tcPr>
          <w:p w14:paraId="0CE8ED8A" w14:textId="77777777" w:rsidR="00C830D5" w:rsidRPr="00C830D5" w:rsidRDefault="00C830D5" w:rsidP="00C830D5">
            <w:pPr>
              <w:rPr>
                <w:color w:val="000000"/>
                <w:lang w:eastAsia="tr-TR"/>
              </w:rPr>
            </w:pPr>
          </w:p>
        </w:tc>
        <w:tc>
          <w:tcPr>
            <w:tcW w:w="1089" w:type="dxa"/>
            <w:vMerge/>
            <w:tcBorders>
              <w:top w:val="nil"/>
              <w:left w:val="nil"/>
              <w:bottom w:val="nil"/>
              <w:right w:val="nil"/>
            </w:tcBorders>
            <w:vAlign w:val="center"/>
            <w:hideMark/>
          </w:tcPr>
          <w:p w14:paraId="5EED71D7" w14:textId="77777777" w:rsidR="00C830D5" w:rsidRPr="00C830D5" w:rsidRDefault="00C830D5" w:rsidP="00C830D5">
            <w:pPr>
              <w:rPr>
                <w:color w:val="000000"/>
                <w:lang w:eastAsia="tr-TR"/>
              </w:rPr>
            </w:pPr>
          </w:p>
        </w:tc>
        <w:tc>
          <w:tcPr>
            <w:tcW w:w="1148" w:type="dxa"/>
            <w:vMerge/>
            <w:tcBorders>
              <w:top w:val="nil"/>
              <w:left w:val="nil"/>
              <w:bottom w:val="nil"/>
              <w:right w:val="nil"/>
            </w:tcBorders>
            <w:vAlign w:val="center"/>
            <w:hideMark/>
          </w:tcPr>
          <w:p w14:paraId="56353379" w14:textId="77777777" w:rsidR="00C830D5" w:rsidRPr="00C830D5" w:rsidRDefault="00C830D5" w:rsidP="00C830D5">
            <w:pPr>
              <w:rPr>
                <w:color w:val="000000"/>
                <w:lang w:eastAsia="tr-TR"/>
              </w:rPr>
            </w:pPr>
          </w:p>
        </w:tc>
        <w:tc>
          <w:tcPr>
            <w:tcW w:w="1089" w:type="dxa"/>
            <w:vMerge/>
            <w:tcBorders>
              <w:top w:val="nil"/>
              <w:left w:val="nil"/>
              <w:bottom w:val="nil"/>
              <w:right w:val="nil"/>
            </w:tcBorders>
            <w:vAlign w:val="center"/>
            <w:hideMark/>
          </w:tcPr>
          <w:p w14:paraId="52049826" w14:textId="77777777" w:rsidR="00C830D5" w:rsidRPr="00C830D5" w:rsidRDefault="00C830D5" w:rsidP="00C830D5">
            <w:pPr>
              <w:rPr>
                <w:color w:val="000000"/>
                <w:lang w:eastAsia="tr-TR"/>
              </w:rPr>
            </w:pPr>
          </w:p>
        </w:tc>
      </w:tr>
      <w:tr w:rsidR="00C830D5" w:rsidRPr="00C830D5" w14:paraId="3CCC0962"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6687BDE2" w14:textId="77777777" w:rsidR="00C830D5" w:rsidRPr="00C830D5" w:rsidRDefault="00C830D5" w:rsidP="00C830D5">
            <w:pPr>
              <w:rPr>
                <w:color w:val="000000"/>
                <w:sz w:val="16"/>
                <w:szCs w:val="16"/>
                <w:lang w:eastAsia="tr-TR"/>
              </w:rPr>
            </w:pPr>
            <w:r w:rsidRPr="00C830D5">
              <w:rPr>
                <w:color w:val="000000"/>
                <w:sz w:val="16"/>
                <w:szCs w:val="16"/>
                <w:lang w:eastAsia="tr-TR"/>
              </w:rPr>
              <w:t>Bölüm yükümlülükleri</w:t>
            </w:r>
          </w:p>
        </w:tc>
        <w:tc>
          <w:tcPr>
            <w:tcW w:w="1089" w:type="dxa"/>
            <w:tcBorders>
              <w:top w:val="nil"/>
              <w:left w:val="nil"/>
              <w:bottom w:val="nil"/>
              <w:right w:val="nil"/>
            </w:tcBorders>
            <w:shd w:val="clear" w:color="auto" w:fill="auto"/>
            <w:noWrap/>
            <w:vAlign w:val="center"/>
            <w:hideMark/>
          </w:tcPr>
          <w:p w14:paraId="008C7361" w14:textId="77777777" w:rsidR="00C830D5" w:rsidRPr="00C830D5" w:rsidRDefault="00C830D5" w:rsidP="00C830D5">
            <w:pPr>
              <w:jc w:val="right"/>
              <w:rPr>
                <w:color w:val="000000"/>
                <w:sz w:val="16"/>
                <w:szCs w:val="16"/>
                <w:lang w:eastAsia="tr-TR"/>
              </w:rPr>
            </w:pPr>
            <w:r w:rsidRPr="00C830D5">
              <w:rPr>
                <w:color w:val="000000"/>
                <w:sz w:val="16"/>
                <w:szCs w:val="16"/>
                <w:lang w:eastAsia="tr-TR"/>
              </w:rPr>
              <w:t>71,408,114</w:t>
            </w:r>
          </w:p>
        </w:tc>
        <w:tc>
          <w:tcPr>
            <w:tcW w:w="1089" w:type="dxa"/>
            <w:tcBorders>
              <w:top w:val="nil"/>
              <w:left w:val="nil"/>
              <w:bottom w:val="nil"/>
              <w:right w:val="nil"/>
            </w:tcBorders>
            <w:shd w:val="clear" w:color="auto" w:fill="auto"/>
            <w:noWrap/>
            <w:vAlign w:val="center"/>
            <w:hideMark/>
          </w:tcPr>
          <w:p w14:paraId="2732EF69" w14:textId="77777777" w:rsidR="00C830D5" w:rsidRPr="00C830D5" w:rsidRDefault="00C830D5" w:rsidP="00C830D5">
            <w:pPr>
              <w:jc w:val="right"/>
              <w:rPr>
                <w:color w:val="000000"/>
                <w:sz w:val="16"/>
                <w:szCs w:val="16"/>
                <w:lang w:eastAsia="tr-TR"/>
              </w:rPr>
            </w:pPr>
            <w:r w:rsidRPr="00C830D5">
              <w:rPr>
                <w:color w:val="000000"/>
                <w:sz w:val="16"/>
                <w:szCs w:val="16"/>
                <w:lang w:eastAsia="tr-TR"/>
              </w:rPr>
              <w:t>14,083,077</w:t>
            </w:r>
          </w:p>
        </w:tc>
        <w:tc>
          <w:tcPr>
            <w:tcW w:w="1089" w:type="dxa"/>
            <w:tcBorders>
              <w:top w:val="nil"/>
              <w:left w:val="nil"/>
              <w:bottom w:val="nil"/>
              <w:right w:val="nil"/>
            </w:tcBorders>
            <w:shd w:val="clear" w:color="auto" w:fill="auto"/>
            <w:noWrap/>
            <w:vAlign w:val="center"/>
            <w:hideMark/>
          </w:tcPr>
          <w:p w14:paraId="68175833" w14:textId="77777777" w:rsidR="00C830D5" w:rsidRPr="00C830D5" w:rsidRDefault="00C830D5" w:rsidP="00C830D5">
            <w:pPr>
              <w:jc w:val="right"/>
              <w:rPr>
                <w:color w:val="000000"/>
                <w:sz w:val="16"/>
                <w:szCs w:val="16"/>
                <w:lang w:eastAsia="tr-TR"/>
              </w:rPr>
            </w:pPr>
            <w:r w:rsidRPr="00C830D5">
              <w:rPr>
                <w:color w:val="000000"/>
                <w:sz w:val="16"/>
                <w:szCs w:val="16"/>
                <w:lang w:eastAsia="tr-TR"/>
              </w:rPr>
              <w:t>9,526,171</w:t>
            </w:r>
          </w:p>
        </w:tc>
        <w:tc>
          <w:tcPr>
            <w:tcW w:w="1148" w:type="dxa"/>
            <w:tcBorders>
              <w:top w:val="nil"/>
              <w:left w:val="nil"/>
              <w:bottom w:val="nil"/>
              <w:right w:val="nil"/>
            </w:tcBorders>
            <w:shd w:val="clear" w:color="auto" w:fill="auto"/>
            <w:noWrap/>
            <w:vAlign w:val="center"/>
            <w:hideMark/>
          </w:tcPr>
          <w:p w14:paraId="629F85B0"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1CD89B57" w14:textId="77777777" w:rsidR="00C830D5" w:rsidRPr="00C830D5" w:rsidRDefault="00C830D5" w:rsidP="00C830D5">
            <w:pPr>
              <w:jc w:val="right"/>
              <w:rPr>
                <w:color w:val="000000"/>
                <w:sz w:val="16"/>
                <w:szCs w:val="16"/>
                <w:lang w:eastAsia="tr-TR"/>
              </w:rPr>
            </w:pPr>
            <w:r w:rsidRPr="00C830D5">
              <w:rPr>
                <w:color w:val="000000"/>
                <w:sz w:val="16"/>
                <w:szCs w:val="16"/>
                <w:lang w:eastAsia="tr-TR"/>
              </w:rPr>
              <w:t>95,017,362</w:t>
            </w:r>
          </w:p>
        </w:tc>
      </w:tr>
      <w:tr w:rsidR="00C830D5" w:rsidRPr="00C830D5" w14:paraId="2E570C23"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7A90D7F4" w14:textId="77777777" w:rsidR="00C830D5" w:rsidRPr="00C830D5" w:rsidRDefault="00C830D5" w:rsidP="00C830D5">
            <w:pPr>
              <w:rPr>
                <w:color w:val="000000"/>
                <w:sz w:val="16"/>
                <w:szCs w:val="16"/>
                <w:lang w:eastAsia="tr-TR"/>
              </w:rPr>
            </w:pPr>
            <w:r w:rsidRPr="00C830D5">
              <w:rPr>
                <w:color w:val="000000"/>
                <w:sz w:val="16"/>
                <w:szCs w:val="16"/>
                <w:lang w:eastAsia="tr-TR"/>
              </w:rPr>
              <w:t>Dağıtılamayan yükümlülükler</w:t>
            </w:r>
          </w:p>
        </w:tc>
        <w:tc>
          <w:tcPr>
            <w:tcW w:w="1089" w:type="dxa"/>
            <w:tcBorders>
              <w:top w:val="nil"/>
              <w:left w:val="nil"/>
              <w:bottom w:val="nil"/>
              <w:right w:val="nil"/>
            </w:tcBorders>
            <w:shd w:val="clear" w:color="auto" w:fill="auto"/>
            <w:noWrap/>
            <w:vAlign w:val="center"/>
            <w:hideMark/>
          </w:tcPr>
          <w:p w14:paraId="21B9A64D"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6A2D98C9"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724B356D"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4A4D91B4" w14:textId="77777777" w:rsidR="00C830D5" w:rsidRPr="00C830D5" w:rsidRDefault="00C830D5" w:rsidP="00C830D5">
            <w:pPr>
              <w:jc w:val="right"/>
              <w:rPr>
                <w:color w:val="000000"/>
                <w:sz w:val="16"/>
                <w:szCs w:val="16"/>
                <w:lang w:eastAsia="tr-TR"/>
              </w:rPr>
            </w:pPr>
            <w:r w:rsidRPr="00C830D5">
              <w:rPr>
                <w:color w:val="000000"/>
                <w:sz w:val="16"/>
                <w:szCs w:val="16"/>
                <w:lang w:eastAsia="tr-TR"/>
              </w:rPr>
              <w:t>2,600,693</w:t>
            </w:r>
          </w:p>
        </w:tc>
        <w:tc>
          <w:tcPr>
            <w:tcW w:w="1089" w:type="dxa"/>
            <w:tcBorders>
              <w:top w:val="nil"/>
              <w:left w:val="nil"/>
              <w:bottom w:val="nil"/>
              <w:right w:val="nil"/>
            </w:tcBorders>
            <w:shd w:val="clear" w:color="auto" w:fill="auto"/>
            <w:noWrap/>
            <w:vAlign w:val="center"/>
            <w:hideMark/>
          </w:tcPr>
          <w:p w14:paraId="1CDB9104" w14:textId="77777777" w:rsidR="00C830D5" w:rsidRPr="00C830D5" w:rsidRDefault="00C830D5" w:rsidP="00C830D5">
            <w:pPr>
              <w:jc w:val="right"/>
              <w:rPr>
                <w:color w:val="000000"/>
                <w:sz w:val="16"/>
                <w:szCs w:val="16"/>
                <w:lang w:eastAsia="tr-TR"/>
              </w:rPr>
            </w:pPr>
            <w:r w:rsidRPr="00C830D5">
              <w:rPr>
                <w:color w:val="000000"/>
                <w:sz w:val="16"/>
                <w:szCs w:val="16"/>
                <w:lang w:eastAsia="tr-TR"/>
              </w:rPr>
              <w:t>2,600,693</w:t>
            </w:r>
          </w:p>
        </w:tc>
      </w:tr>
      <w:tr w:rsidR="00C830D5" w:rsidRPr="00C830D5" w14:paraId="2FA11807" w14:textId="77777777" w:rsidTr="00C830D5">
        <w:trPr>
          <w:divId w:val="243610658"/>
          <w:trHeight w:val="145"/>
        </w:trPr>
        <w:tc>
          <w:tcPr>
            <w:tcW w:w="4013" w:type="dxa"/>
            <w:tcBorders>
              <w:top w:val="nil"/>
              <w:left w:val="nil"/>
              <w:bottom w:val="nil"/>
              <w:right w:val="nil"/>
            </w:tcBorders>
            <w:shd w:val="clear" w:color="auto" w:fill="auto"/>
            <w:noWrap/>
            <w:vAlign w:val="center"/>
            <w:hideMark/>
          </w:tcPr>
          <w:p w14:paraId="5C7971B5" w14:textId="77777777" w:rsidR="00C830D5" w:rsidRPr="00C830D5" w:rsidRDefault="00C830D5" w:rsidP="00C830D5">
            <w:pPr>
              <w:rPr>
                <w:color w:val="000000"/>
                <w:sz w:val="16"/>
                <w:szCs w:val="16"/>
                <w:lang w:eastAsia="tr-TR"/>
              </w:rPr>
            </w:pPr>
            <w:proofErr w:type="spellStart"/>
            <w:r w:rsidRPr="00C830D5">
              <w:rPr>
                <w:color w:val="000000"/>
                <w:sz w:val="16"/>
                <w:szCs w:val="16"/>
                <w:lang w:eastAsia="tr-TR"/>
              </w:rPr>
              <w:t>Özkaynaklar</w:t>
            </w:r>
            <w:proofErr w:type="spellEnd"/>
          </w:p>
        </w:tc>
        <w:tc>
          <w:tcPr>
            <w:tcW w:w="1089" w:type="dxa"/>
            <w:tcBorders>
              <w:top w:val="nil"/>
              <w:left w:val="nil"/>
              <w:bottom w:val="nil"/>
              <w:right w:val="nil"/>
            </w:tcBorders>
            <w:shd w:val="clear" w:color="auto" w:fill="auto"/>
            <w:noWrap/>
            <w:vAlign w:val="center"/>
            <w:hideMark/>
          </w:tcPr>
          <w:p w14:paraId="3A0C022C"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79BC2E85"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43518AAB" w14:textId="77777777" w:rsidR="00C830D5" w:rsidRPr="00C830D5" w:rsidRDefault="00C830D5" w:rsidP="00C830D5">
            <w:pPr>
              <w:jc w:val="right"/>
              <w:rPr>
                <w:color w:val="000000"/>
                <w:sz w:val="16"/>
                <w:szCs w:val="16"/>
                <w:lang w:eastAsia="tr-TR"/>
              </w:rPr>
            </w:pPr>
            <w:r w:rsidRPr="00C830D5">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2A41A0C2" w14:textId="77777777" w:rsidR="00C830D5" w:rsidRPr="00C830D5" w:rsidRDefault="00C830D5" w:rsidP="00C830D5">
            <w:pPr>
              <w:jc w:val="right"/>
              <w:rPr>
                <w:color w:val="000000"/>
                <w:sz w:val="16"/>
                <w:szCs w:val="16"/>
                <w:lang w:eastAsia="tr-TR"/>
              </w:rPr>
            </w:pPr>
            <w:r w:rsidRPr="00C830D5">
              <w:rPr>
                <w:color w:val="000000"/>
                <w:sz w:val="16"/>
                <w:szCs w:val="16"/>
                <w:lang w:eastAsia="tr-TR"/>
              </w:rPr>
              <w:t>6,821,290</w:t>
            </w:r>
          </w:p>
        </w:tc>
        <w:tc>
          <w:tcPr>
            <w:tcW w:w="1089" w:type="dxa"/>
            <w:tcBorders>
              <w:top w:val="nil"/>
              <w:left w:val="nil"/>
              <w:bottom w:val="nil"/>
              <w:right w:val="nil"/>
            </w:tcBorders>
            <w:shd w:val="clear" w:color="auto" w:fill="auto"/>
            <w:noWrap/>
            <w:vAlign w:val="center"/>
            <w:hideMark/>
          </w:tcPr>
          <w:p w14:paraId="32C0F5C3" w14:textId="77777777" w:rsidR="00C830D5" w:rsidRPr="00C830D5" w:rsidRDefault="00C830D5" w:rsidP="00C830D5">
            <w:pPr>
              <w:jc w:val="right"/>
              <w:rPr>
                <w:color w:val="000000"/>
                <w:sz w:val="16"/>
                <w:szCs w:val="16"/>
                <w:lang w:eastAsia="tr-TR"/>
              </w:rPr>
            </w:pPr>
            <w:r w:rsidRPr="00C830D5">
              <w:rPr>
                <w:color w:val="000000"/>
                <w:sz w:val="16"/>
                <w:szCs w:val="16"/>
                <w:lang w:eastAsia="tr-TR"/>
              </w:rPr>
              <w:t>6,821,290</w:t>
            </w:r>
          </w:p>
        </w:tc>
      </w:tr>
      <w:tr w:rsidR="00C830D5" w:rsidRPr="00C830D5" w14:paraId="2DC6AA39" w14:textId="77777777" w:rsidTr="00C830D5">
        <w:trPr>
          <w:divId w:val="243610658"/>
          <w:trHeight w:val="154"/>
        </w:trPr>
        <w:tc>
          <w:tcPr>
            <w:tcW w:w="4013" w:type="dxa"/>
            <w:tcBorders>
              <w:top w:val="nil"/>
              <w:left w:val="nil"/>
              <w:bottom w:val="nil"/>
              <w:right w:val="nil"/>
            </w:tcBorders>
            <w:shd w:val="clear" w:color="auto" w:fill="auto"/>
            <w:noWrap/>
            <w:vAlign w:val="bottom"/>
            <w:hideMark/>
          </w:tcPr>
          <w:p w14:paraId="52238462" w14:textId="77777777" w:rsidR="00C830D5" w:rsidRPr="00C830D5" w:rsidRDefault="00C830D5" w:rsidP="00C830D5">
            <w:pPr>
              <w:jc w:val="right"/>
              <w:rPr>
                <w:color w:val="000000"/>
                <w:sz w:val="16"/>
                <w:szCs w:val="16"/>
                <w:lang w:eastAsia="tr-TR"/>
              </w:rPr>
            </w:pPr>
          </w:p>
        </w:tc>
        <w:tc>
          <w:tcPr>
            <w:tcW w:w="1089" w:type="dxa"/>
            <w:tcBorders>
              <w:top w:val="nil"/>
              <w:left w:val="nil"/>
              <w:bottom w:val="nil"/>
              <w:right w:val="nil"/>
            </w:tcBorders>
            <w:shd w:val="clear" w:color="auto" w:fill="auto"/>
            <w:noWrap/>
            <w:vAlign w:val="bottom"/>
            <w:hideMark/>
          </w:tcPr>
          <w:p w14:paraId="379A7426"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vAlign w:val="bottom"/>
            <w:hideMark/>
          </w:tcPr>
          <w:p w14:paraId="3B66B9C2"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noWrap/>
            <w:vAlign w:val="bottom"/>
            <w:hideMark/>
          </w:tcPr>
          <w:p w14:paraId="6EF12D27" w14:textId="77777777" w:rsidR="00C830D5" w:rsidRPr="00C830D5" w:rsidRDefault="00C830D5" w:rsidP="00C830D5">
            <w:pPr>
              <w:rPr>
                <w:lang w:eastAsia="tr-TR"/>
              </w:rPr>
            </w:pPr>
          </w:p>
        </w:tc>
        <w:tc>
          <w:tcPr>
            <w:tcW w:w="1148" w:type="dxa"/>
            <w:tcBorders>
              <w:top w:val="nil"/>
              <w:left w:val="nil"/>
              <w:bottom w:val="nil"/>
              <w:right w:val="nil"/>
            </w:tcBorders>
            <w:shd w:val="clear" w:color="auto" w:fill="auto"/>
            <w:vAlign w:val="bottom"/>
            <w:hideMark/>
          </w:tcPr>
          <w:p w14:paraId="355E1DAA" w14:textId="77777777" w:rsidR="00C830D5" w:rsidRPr="00C830D5" w:rsidRDefault="00C830D5" w:rsidP="00C830D5">
            <w:pPr>
              <w:rPr>
                <w:lang w:eastAsia="tr-TR"/>
              </w:rPr>
            </w:pPr>
          </w:p>
        </w:tc>
        <w:tc>
          <w:tcPr>
            <w:tcW w:w="1089" w:type="dxa"/>
            <w:tcBorders>
              <w:top w:val="nil"/>
              <w:left w:val="nil"/>
              <w:bottom w:val="nil"/>
              <w:right w:val="nil"/>
            </w:tcBorders>
            <w:shd w:val="clear" w:color="auto" w:fill="auto"/>
            <w:vAlign w:val="bottom"/>
            <w:hideMark/>
          </w:tcPr>
          <w:p w14:paraId="76A4DD31" w14:textId="77777777" w:rsidR="00C830D5" w:rsidRPr="00C830D5" w:rsidRDefault="00C830D5" w:rsidP="00C830D5">
            <w:pPr>
              <w:rPr>
                <w:lang w:eastAsia="tr-TR"/>
              </w:rPr>
            </w:pPr>
          </w:p>
        </w:tc>
      </w:tr>
      <w:tr w:rsidR="00C830D5" w:rsidRPr="00C830D5" w14:paraId="171C4757" w14:textId="77777777" w:rsidTr="00C830D5">
        <w:trPr>
          <w:divId w:val="243610658"/>
          <w:trHeight w:val="154"/>
        </w:trPr>
        <w:tc>
          <w:tcPr>
            <w:tcW w:w="4013" w:type="dxa"/>
            <w:tcBorders>
              <w:top w:val="single" w:sz="8" w:space="0" w:color="auto"/>
              <w:left w:val="nil"/>
              <w:bottom w:val="double" w:sz="6" w:space="0" w:color="auto"/>
              <w:right w:val="nil"/>
            </w:tcBorders>
            <w:shd w:val="clear" w:color="auto" w:fill="auto"/>
            <w:noWrap/>
            <w:vAlign w:val="center"/>
            <w:hideMark/>
          </w:tcPr>
          <w:p w14:paraId="397D0547" w14:textId="77777777" w:rsidR="00C830D5" w:rsidRPr="00C830D5" w:rsidRDefault="00C830D5" w:rsidP="00C830D5">
            <w:pPr>
              <w:rPr>
                <w:b/>
                <w:bCs/>
                <w:color w:val="000000"/>
                <w:sz w:val="16"/>
                <w:szCs w:val="16"/>
                <w:lang w:eastAsia="tr-TR"/>
              </w:rPr>
            </w:pPr>
            <w:r w:rsidRPr="00C830D5">
              <w:rPr>
                <w:b/>
                <w:bCs/>
                <w:color w:val="000000"/>
                <w:sz w:val="16"/>
                <w:szCs w:val="16"/>
                <w:lang w:eastAsia="tr-TR"/>
              </w:rPr>
              <w:t>Toplam yükümlülükler</w:t>
            </w:r>
          </w:p>
        </w:tc>
        <w:tc>
          <w:tcPr>
            <w:tcW w:w="1089" w:type="dxa"/>
            <w:tcBorders>
              <w:top w:val="single" w:sz="8" w:space="0" w:color="auto"/>
              <w:left w:val="nil"/>
              <w:bottom w:val="double" w:sz="6" w:space="0" w:color="auto"/>
              <w:right w:val="nil"/>
            </w:tcBorders>
            <w:shd w:val="clear" w:color="auto" w:fill="auto"/>
            <w:noWrap/>
            <w:vAlign w:val="center"/>
            <w:hideMark/>
          </w:tcPr>
          <w:p w14:paraId="0C4053F5"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71,408,114</w:t>
            </w:r>
          </w:p>
        </w:tc>
        <w:tc>
          <w:tcPr>
            <w:tcW w:w="1089" w:type="dxa"/>
            <w:tcBorders>
              <w:top w:val="single" w:sz="8" w:space="0" w:color="auto"/>
              <w:left w:val="nil"/>
              <w:bottom w:val="double" w:sz="6" w:space="0" w:color="auto"/>
              <w:right w:val="nil"/>
            </w:tcBorders>
            <w:shd w:val="clear" w:color="auto" w:fill="auto"/>
            <w:noWrap/>
            <w:vAlign w:val="center"/>
            <w:hideMark/>
          </w:tcPr>
          <w:p w14:paraId="1AE18558"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14,083,077</w:t>
            </w:r>
          </w:p>
        </w:tc>
        <w:tc>
          <w:tcPr>
            <w:tcW w:w="1089" w:type="dxa"/>
            <w:tcBorders>
              <w:top w:val="single" w:sz="8" w:space="0" w:color="auto"/>
              <w:left w:val="nil"/>
              <w:bottom w:val="double" w:sz="6" w:space="0" w:color="auto"/>
              <w:right w:val="nil"/>
            </w:tcBorders>
            <w:shd w:val="clear" w:color="auto" w:fill="auto"/>
            <w:noWrap/>
            <w:vAlign w:val="center"/>
            <w:hideMark/>
          </w:tcPr>
          <w:p w14:paraId="58C5424E"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9,526,171</w:t>
            </w:r>
          </w:p>
        </w:tc>
        <w:tc>
          <w:tcPr>
            <w:tcW w:w="1148" w:type="dxa"/>
            <w:tcBorders>
              <w:top w:val="single" w:sz="8" w:space="0" w:color="auto"/>
              <w:left w:val="nil"/>
              <w:bottom w:val="double" w:sz="6" w:space="0" w:color="auto"/>
              <w:right w:val="nil"/>
            </w:tcBorders>
            <w:shd w:val="clear" w:color="auto" w:fill="auto"/>
            <w:noWrap/>
            <w:vAlign w:val="center"/>
            <w:hideMark/>
          </w:tcPr>
          <w:p w14:paraId="228D932A"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9,421,983</w:t>
            </w:r>
          </w:p>
        </w:tc>
        <w:tc>
          <w:tcPr>
            <w:tcW w:w="1089" w:type="dxa"/>
            <w:tcBorders>
              <w:top w:val="single" w:sz="8" w:space="0" w:color="auto"/>
              <w:left w:val="nil"/>
              <w:bottom w:val="double" w:sz="6" w:space="0" w:color="auto"/>
              <w:right w:val="nil"/>
            </w:tcBorders>
            <w:shd w:val="clear" w:color="auto" w:fill="auto"/>
            <w:noWrap/>
            <w:vAlign w:val="center"/>
            <w:hideMark/>
          </w:tcPr>
          <w:p w14:paraId="2C536A28" w14:textId="77777777" w:rsidR="00C830D5" w:rsidRPr="00C830D5" w:rsidRDefault="00C830D5" w:rsidP="00C830D5">
            <w:pPr>
              <w:jc w:val="right"/>
              <w:rPr>
                <w:b/>
                <w:bCs/>
                <w:color w:val="000000"/>
                <w:sz w:val="16"/>
                <w:szCs w:val="16"/>
                <w:lang w:eastAsia="tr-TR"/>
              </w:rPr>
            </w:pPr>
            <w:r w:rsidRPr="00C830D5">
              <w:rPr>
                <w:b/>
                <w:bCs/>
                <w:color w:val="000000"/>
                <w:sz w:val="16"/>
                <w:szCs w:val="16"/>
                <w:lang w:eastAsia="tr-TR"/>
              </w:rPr>
              <w:t>104,439,345</w:t>
            </w:r>
          </w:p>
        </w:tc>
      </w:tr>
    </w:tbl>
    <w:p w14:paraId="54BE7576" w14:textId="194C1B03" w:rsidR="00AD7B41" w:rsidRPr="00270CE6" w:rsidRDefault="00AD7B41" w:rsidP="00134A72">
      <w:pPr>
        <w:autoSpaceDE w:val="0"/>
        <w:autoSpaceDN w:val="0"/>
        <w:adjustRightInd w:val="0"/>
        <w:rPr>
          <w:rFonts w:eastAsia="Arial Unicode MS"/>
          <w:sz w:val="16"/>
          <w:szCs w:val="16"/>
          <w:highlight w:val="yellow"/>
        </w:rPr>
        <w:sectPr w:rsidR="00AD7B41" w:rsidRPr="00270CE6" w:rsidSect="00557BAB">
          <w:headerReference w:type="default" r:id="rId29"/>
          <w:footerReference w:type="default" r:id="rId30"/>
          <w:pgSz w:w="11906" w:h="16838"/>
          <w:pgMar w:top="737" w:right="992" w:bottom="992" w:left="1440" w:header="709" w:footer="709" w:gutter="0"/>
          <w:cols w:space="708"/>
          <w:docGrid w:linePitch="360"/>
        </w:sectPr>
      </w:pPr>
    </w:p>
    <w:p w14:paraId="29AD0AAF" w14:textId="77777777" w:rsidR="00475153" w:rsidRPr="002F6D46" w:rsidRDefault="00475153" w:rsidP="00CC1FB5">
      <w:pPr>
        <w:pStyle w:val="Heading8"/>
        <w:tabs>
          <w:tab w:val="clear" w:pos="-54"/>
        </w:tabs>
        <w:autoSpaceDE/>
        <w:autoSpaceDN/>
        <w:adjustRightInd/>
        <w:spacing w:line="233" w:lineRule="auto"/>
        <w:ind w:right="48"/>
        <w:jc w:val="center"/>
        <w:rPr>
          <w:noProof/>
          <w:sz w:val="22"/>
          <w:szCs w:val="22"/>
        </w:rPr>
      </w:pPr>
      <w:r w:rsidRPr="002F6D46">
        <w:rPr>
          <w:sz w:val="22"/>
          <w:szCs w:val="22"/>
        </w:rPr>
        <w:lastRenderedPageBreak/>
        <w:t>BEŞİNCİ BÖLÜM</w:t>
      </w:r>
    </w:p>
    <w:p w14:paraId="6E7F94BE" w14:textId="77777777" w:rsidR="00475153" w:rsidRPr="002F6D46" w:rsidRDefault="00475153" w:rsidP="00475153">
      <w:pPr>
        <w:autoSpaceDE w:val="0"/>
        <w:autoSpaceDN w:val="0"/>
        <w:adjustRightInd w:val="0"/>
        <w:spacing w:line="233" w:lineRule="auto"/>
        <w:jc w:val="center"/>
        <w:rPr>
          <w:rFonts w:eastAsia="Arial Unicode MS"/>
          <w:b/>
          <w:sz w:val="16"/>
          <w:szCs w:val="16"/>
        </w:rPr>
      </w:pPr>
    </w:p>
    <w:p w14:paraId="2F7A2D91" w14:textId="77777777" w:rsidR="00B70F90" w:rsidRPr="002F6D46" w:rsidRDefault="00475153" w:rsidP="00CC1FB5">
      <w:pPr>
        <w:autoSpaceDE w:val="0"/>
        <w:autoSpaceDN w:val="0"/>
        <w:adjustRightInd w:val="0"/>
        <w:spacing w:line="233" w:lineRule="auto"/>
        <w:ind w:right="-426"/>
        <w:rPr>
          <w:rFonts w:eastAsia="Arial Unicode MS"/>
          <w:b/>
          <w:sz w:val="16"/>
          <w:szCs w:val="16"/>
        </w:rPr>
      </w:pPr>
      <w:r w:rsidRPr="002F6D46">
        <w:rPr>
          <w:rFonts w:eastAsia="Arial Unicode MS"/>
          <w:b/>
          <w:sz w:val="22"/>
        </w:rPr>
        <w:t>KONSOLİDE OLMAYAN FİNANSAL TABLOLARA İLİŞKİN AÇIKLAMA VE DİPNOTLAR</w:t>
      </w:r>
      <w:r w:rsidR="00980ACE" w:rsidRPr="002F6D46">
        <w:rPr>
          <w:rFonts w:eastAsia="Arial Unicode MS"/>
          <w:b/>
          <w:sz w:val="22"/>
        </w:rPr>
        <w:br/>
      </w:r>
    </w:p>
    <w:p w14:paraId="7D32E6EB" w14:textId="77777777" w:rsidR="00CD4936" w:rsidRPr="002F6D46" w:rsidRDefault="00CD4936" w:rsidP="00B70F90">
      <w:pPr>
        <w:autoSpaceDE w:val="0"/>
        <w:autoSpaceDN w:val="0"/>
        <w:adjustRightInd w:val="0"/>
        <w:spacing w:line="233" w:lineRule="auto"/>
        <w:jc w:val="center"/>
        <w:rPr>
          <w:rFonts w:eastAsia="Arial Unicode MS"/>
          <w:b/>
          <w:sz w:val="2"/>
        </w:rPr>
      </w:pPr>
    </w:p>
    <w:p w14:paraId="24D1BE02" w14:textId="77777777" w:rsidR="00CD4936" w:rsidRPr="002F6D46" w:rsidRDefault="00547C68" w:rsidP="00DE0848">
      <w:pPr>
        <w:tabs>
          <w:tab w:val="left" w:pos="709"/>
        </w:tabs>
        <w:autoSpaceDE w:val="0"/>
        <w:autoSpaceDN w:val="0"/>
        <w:adjustRightInd w:val="0"/>
        <w:ind w:hanging="567"/>
        <w:jc w:val="both"/>
        <w:rPr>
          <w:b/>
          <w:sz w:val="22"/>
        </w:rPr>
      </w:pPr>
      <w:r w:rsidRPr="002F6D46">
        <w:rPr>
          <w:b/>
          <w:sz w:val="22"/>
        </w:rPr>
        <w:t xml:space="preserve">1.     </w:t>
      </w:r>
      <w:r w:rsidR="00DE0848" w:rsidRPr="002F6D46">
        <w:rPr>
          <w:b/>
          <w:sz w:val="22"/>
        </w:rPr>
        <w:t xml:space="preserve">   </w:t>
      </w:r>
      <w:r w:rsidR="00CD4936" w:rsidRPr="002F6D46">
        <w:rPr>
          <w:b/>
          <w:sz w:val="22"/>
        </w:rPr>
        <w:t xml:space="preserve">Bilançonun </w:t>
      </w:r>
      <w:proofErr w:type="gramStart"/>
      <w:r w:rsidR="00CD4936" w:rsidRPr="002F6D46">
        <w:rPr>
          <w:b/>
          <w:sz w:val="22"/>
        </w:rPr>
        <w:t>Aktif  Hesaplarına</w:t>
      </w:r>
      <w:proofErr w:type="gramEnd"/>
      <w:r w:rsidR="00CD4936" w:rsidRPr="002F6D46">
        <w:rPr>
          <w:b/>
          <w:sz w:val="22"/>
        </w:rPr>
        <w:t xml:space="preserve"> İlişkin Açıklama ve Dipnotlar </w:t>
      </w:r>
    </w:p>
    <w:p w14:paraId="1D73174A" w14:textId="77777777" w:rsidR="005A1EDE" w:rsidRPr="002F6D46" w:rsidRDefault="005A1EDE" w:rsidP="00134A72">
      <w:pPr>
        <w:autoSpaceDE w:val="0"/>
        <w:autoSpaceDN w:val="0"/>
        <w:adjustRightInd w:val="0"/>
        <w:ind w:left="540" w:hanging="540"/>
        <w:rPr>
          <w:rFonts w:eastAsia="Arial Unicode MS"/>
          <w:b/>
          <w:sz w:val="16"/>
          <w:szCs w:val="16"/>
        </w:rPr>
      </w:pPr>
    </w:p>
    <w:p w14:paraId="63512D13" w14:textId="77777777" w:rsidR="00E17841" w:rsidRPr="002F6D46" w:rsidRDefault="00547C68" w:rsidP="00DE0848">
      <w:pPr>
        <w:pStyle w:val="BodyTextIndent"/>
        <w:tabs>
          <w:tab w:val="num" w:pos="709"/>
        </w:tabs>
        <w:autoSpaceDE/>
        <w:autoSpaceDN/>
        <w:adjustRightInd/>
        <w:ind w:left="0" w:hanging="567"/>
        <w:jc w:val="left"/>
        <w:rPr>
          <w:b/>
        </w:rPr>
      </w:pPr>
      <w:r w:rsidRPr="002F6D46">
        <w:rPr>
          <w:b/>
        </w:rPr>
        <w:t xml:space="preserve">1.1    </w:t>
      </w:r>
      <w:r w:rsidR="00DF5E22" w:rsidRPr="002F6D46">
        <w:rPr>
          <w:b/>
        </w:rPr>
        <w:t xml:space="preserve">   </w:t>
      </w:r>
      <w:r w:rsidR="00E253C8" w:rsidRPr="002F6D46">
        <w:rPr>
          <w:b/>
        </w:rPr>
        <w:t>Nakit değerler ve TCMB’ye ilişkin bilgiler:</w:t>
      </w:r>
    </w:p>
    <w:p w14:paraId="3C3B1EC6" w14:textId="77777777" w:rsidR="004B6561" w:rsidRPr="002F6D46" w:rsidRDefault="004B6561" w:rsidP="004B6561">
      <w:pPr>
        <w:pStyle w:val="BodyTextIndent"/>
        <w:autoSpaceDE/>
        <w:autoSpaceDN/>
        <w:adjustRightInd/>
        <w:ind w:left="-360" w:firstLine="0"/>
        <w:jc w:val="left"/>
        <w:rPr>
          <w:b/>
          <w:sz w:val="16"/>
          <w:szCs w:val="16"/>
        </w:rPr>
      </w:pPr>
    </w:p>
    <w:p w14:paraId="431868D9" w14:textId="77777777" w:rsidR="00E17841" w:rsidRPr="002F6D46" w:rsidRDefault="00547C68" w:rsidP="00DE0848">
      <w:pPr>
        <w:pStyle w:val="BodyTextIndent"/>
        <w:autoSpaceDE/>
        <w:autoSpaceDN/>
        <w:adjustRightInd/>
        <w:ind w:left="0" w:hanging="567"/>
        <w:jc w:val="left"/>
        <w:rPr>
          <w:b/>
        </w:rPr>
      </w:pPr>
      <w:r w:rsidRPr="002F6D46">
        <w:rPr>
          <w:b/>
        </w:rPr>
        <w:t xml:space="preserve">1.1.1 </w:t>
      </w:r>
      <w:r w:rsidR="00DF5E22" w:rsidRPr="002F6D46">
        <w:rPr>
          <w:b/>
        </w:rPr>
        <w:t xml:space="preserve">   </w:t>
      </w:r>
      <w:r w:rsidR="00E253C8" w:rsidRPr="002F6D46">
        <w:rPr>
          <w:b/>
        </w:rPr>
        <w:t>Nakit Değerler ve TCMB hesabına ilişkin bilgiler:</w:t>
      </w:r>
    </w:p>
    <w:p w14:paraId="4F00502B" w14:textId="28352152" w:rsidR="002F6D46" w:rsidRPr="00B02AD6" w:rsidRDefault="002F6D46" w:rsidP="00094CE5">
      <w:pPr>
        <w:autoSpaceDE w:val="0"/>
        <w:autoSpaceDN w:val="0"/>
        <w:adjustRightInd w:val="0"/>
        <w:ind w:left="540" w:hanging="540"/>
        <w:rPr>
          <w:lang w:val="en-GB" w:eastAsia="en-GB"/>
        </w:rPr>
      </w:pPr>
    </w:p>
    <w:tbl>
      <w:tblPr>
        <w:tblW w:w="9210" w:type="dxa"/>
        <w:tblCellMar>
          <w:left w:w="70" w:type="dxa"/>
          <w:right w:w="70" w:type="dxa"/>
        </w:tblCellMar>
        <w:tblLook w:val="04A0" w:firstRow="1" w:lastRow="0" w:firstColumn="1" w:lastColumn="0" w:noHBand="0" w:noVBand="1"/>
      </w:tblPr>
      <w:tblGrid>
        <w:gridCol w:w="2240"/>
        <w:gridCol w:w="1700"/>
        <w:gridCol w:w="1700"/>
        <w:gridCol w:w="1564"/>
        <w:gridCol w:w="2006"/>
      </w:tblGrid>
      <w:tr w:rsidR="002F6D46" w:rsidRPr="00B02AD6" w14:paraId="5EEE6D06" w14:textId="77777777" w:rsidTr="00BA637F">
        <w:trPr>
          <w:divId w:val="1881286789"/>
          <w:trHeight w:val="259"/>
        </w:trPr>
        <w:tc>
          <w:tcPr>
            <w:tcW w:w="2240" w:type="dxa"/>
            <w:tcBorders>
              <w:top w:val="double" w:sz="6" w:space="0" w:color="auto"/>
              <w:left w:val="nil"/>
              <w:bottom w:val="nil"/>
              <w:right w:val="nil"/>
            </w:tcBorders>
            <w:shd w:val="clear" w:color="auto" w:fill="auto"/>
            <w:vAlign w:val="center"/>
            <w:hideMark/>
          </w:tcPr>
          <w:p w14:paraId="18D3043F" w14:textId="333D3AAA" w:rsidR="002F6D46" w:rsidRPr="00B02AD6" w:rsidRDefault="002F6D46" w:rsidP="002F6D46">
            <w:pPr>
              <w:jc w:val="right"/>
              <w:rPr>
                <w:sz w:val="18"/>
                <w:szCs w:val="18"/>
                <w:lang w:eastAsia="tr-TR"/>
              </w:rPr>
            </w:pPr>
            <w:r w:rsidRPr="00B02AD6">
              <w:rPr>
                <w:sz w:val="18"/>
                <w:szCs w:val="18"/>
                <w:lang w:eastAsia="tr-TR"/>
              </w:rPr>
              <w:t> </w:t>
            </w:r>
          </w:p>
        </w:tc>
        <w:tc>
          <w:tcPr>
            <w:tcW w:w="3400" w:type="dxa"/>
            <w:gridSpan w:val="2"/>
            <w:tcBorders>
              <w:top w:val="double" w:sz="6" w:space="0" w:color="auto"/>
              <w:left w:val="nil"/>
              <w:bottom w:val="single" w:sz="8" w:space="0" w:color="auto"/>
              <w:right w:val="nil"/>
            </w:tcBorders>
            <w:shd w:val="clear" w:color="auto" w:fill="auto"/>
            <w:vAlign w:val="center"/>
            <w:hideMark/>
          </w:tcPr>
          <w:p w14:paraId="7256A8C5" w14:textId="77777777" w:rsidR="002F6D46" w:rsidRPr="00B02AD6" w:rsidRDefault="002F6D46" w:rsidP="002F6D46">
            <w:pPr>
              <w:jc w:val="center"/>
              <w:rPr>
                <w:b/>
                <w:bCs/>
                <w:sz w:val="18"/>
                <w:szCs w:val="18"/>
                <w:lang w:eastAsia="tr-TR"/>
              </w:rPr>
            </w:pPr>
            <w:r w:rsidRPr="00B02AD6">
              <w:rPr>
                <w:b/>
                <w:bCs/>
                <w:sz w:val="18"/>
                <w:szCs w:val="18"/>
                <w:lang w:eastAsia="tr-TR"/>
              </w:rPr>
              <w:t>Cari Dönem</w:t>
            </w:r>
          </w:p>
        </w:tc>
        <w:tc>
          <w:tcPr>
            <w:tcW w:w="3570" w:type="dxa"/>
            <w:gridSpan w:val="2"/>
            <w:tcBorders>
              <w:top w:val="double" w:sz="6" w:space="0" w:color="auto"/>
              <w:left w:val="nil"/>
              <w:bottom w:val="single" w:sz="8" w:space="0" w:color="auto"/>
              <w:right w:val="nil"/>
            </w:tcBorders>
            <w:shd w:val="clear" w:color="auto" w:fill="auto"/>
            <w:vAlign w:val="center"/>
            <w:hideMark/>
          </w:tcPr>
          <w:p w14:paraId="01957D24" w14:textId="77777777" w:rsidR="002F6D46" w:rsidRPr="00B02AD6" w:rsidRDefault="002F6D46" w:rsidP="002F6D46">
            <w:pPr>
              <w:jc w:val="center"/>
              <w:rPr>
                <w:b/>
                <w:bCs/>
                <w:sz w:val="18"/>
                <w:szCs w:val="18"/>
                <w:lang w:eastAsia="tr-TR"/>
              </w:rPr>
            </w:pPr>
            <w:r w:rsidRPr="00B02AD6">
              <w:rPr>
                <w:b/>
                <w:bCs/>
                <w:sz w:val="18"/>
                <w:szCs w:val="18"/>
                <w:lang w:eastAsia="tr-TR"/>
              </w:rPr>
              <w:t>Önceki Dönem</w:t>
            </w:r>
          </w:p>
        </w:tc>
      </w:tr>
      <w:tr w:rsidR="002F6D46" w:rsidRPr="00B02AD6" w14:paraId="6B17DBFD" w14:textId="77777777" w:rsidTr="00BA637F">
        <w:trPr>
          <w:divId w:val="1881286789"/>
          <w:trHeight w:val="245"/>
        </w:trPr>
        <w:tc>
          <w:tcPr>
            <w:tcW w:w="2240" w:type="dxa"/>
            <w:tcBorders>
              <w:top w:val="nil"/>
              <w:left w:val="nil"/>
              <w:bottom w:val="single" w:sz="8" w:space="0" w:color="auto"/>
              <w:right w:val="nil"/>
            </w:tcBorders>
            <w:shd w:val="clear" w:color="auto" w:fill="auto"/>
            <w:vAlign w:val="center"/>
            <w:hideMark/>
          </w:tcPr>
          <w:p w14:paraId="7BD959B1" w14:textId="77777777" w:rsidR="002F6D46" w:rsidRPr="00B02AD6" w:rsidRDefault="002F6D46" w:rsidP="002F6D46">
            <w:pPr>
              <w:jc w:val="right"/>
              <w:rPr>
                <w:sz w:val="18"/>
                <w:szCs w:val="18"/>
                <w:lang w:eastAsia="tr-TR"/>
              </w:rPr>
            </w:pPr>
            <w:r w:rsidRPr="00B02AD6">
              <w:rPr>
                <w:sz w:val="18"/>
                <w:szCs w:val="18"/>
                <w:lang w:eastAsia="tr-TR"/>
              </w:rPr>
              <w:t> </w:t>
            </w:r>
          </w:p>
        </w:tc>
        <w:tc>
          <w:tcPr>
            <w:tcW w:w="1700" w:type="dxa"/>
            <w:tcBorders>
              <w:top w:val="nil"/>
              <w:left w:val="nil"/>
              <w:bottom w:val="single" w:sz="8" w:space="0" w:color="auto"/>
              <w:right w:val="nil"/>
            </w:tcBorders>
            <w:shd w:val="clear" w:color="auto" w:fill="auto"/>
            <w:vAlign w:val="center"/>
            <w:hideMark/>
          </w:tcPr>
          <w:p w14:paraId="5C52D0C9" w14:textId="77777777" w:rsidR="002F6D46" w:rsidRPr="00B02AD6" w:rsidRDefault="002F6D46" w:rsidP="002F6D46">
            <w:pPr>
              <w:jc w:val="right"/>
              <w:rPr>
                <w:b/>
                <w:bCs/>
                <w:sz w:val="18"/>
                <w:szCs w:val="18"/>
                <w:lang w:eastAsia="tr-TR"/>
              </w:rPr>
            </w:pPr>
            <w:r w:rsidRPr="00B02AD6">
              <w:rPr>
                <w:b/>
                <w:bCs/>
                <w:sz w:val="18"/>
                <w:szCs w:val="18"/>
                <w:lang w:eastAsia="tr-TR"/>
              </w:rPr>
              <w:t>TP</w:t>
            </w:r>
          </w:p>
        </w:tc>
        <w:tc>
          <w:tcPr>
            <w:tcW w:w="1700" w:type="dxa"/>
            <w:tcBorders>
              <w:top w:val="nil"/>
              <w:left w:val="nil"/>
              <w:bottom w:val="single" w:sz="8" w:space="0" w:color="auto"/>
              <w:right w:val="nil"/>
            </w:tcBorders>
            <w:shd w:val="clear" w:color="auto" w:fill="auto"/>
            <w:vAlign w:val="center"/>
            <w:hideMark/>
          </w:tcPr>
          <w:p w14:paraId="7020A807" w14:textId="77777777" w:rsidR="002F6D46" w:rsidRPr="00B02AD6" w:rsidRDefault="002F6D46" w:rsidP="002F6D46">
            <w:pPr>
              <w:jc w:val="right"/>
              <w:rPr>
                <w:b/>
                <w:bCs/>
                <w:sz w:val="18"/>
                <w:szCs w:val="18"/>
                <w:lang w:eastAsia="tr-TR"/>
              </w:rPr>
            </w:pPr>
            <w:r w:rsidRPr="00B02AD6">
              <w:rPr>
                <w:b/>
                <w:bCs/>
                <w:sz w:val="18"/>
                <w:szCs w:val="18"/>
                <w:lang w:eastAsia="tr-TR"/>
              </w:rPr>
              <w:t>YP</w:t>
            </w:r>
          </w:p>
        </w:tc>
        <w:tc>
          <w:tcPr>
            <w:tcW w:w="1564" w:type="dxa"/>
            <w:tcBorders>
              <w:top w:val="nil"/>
              <w:left w:val="nil"/>
              <w:bottom w:val="single" w:sz="8" w:space="0" w:color="auto"/>
              <w:right w:val="nil"/>
            </w:tcBorders>
            <w:shd w:val="clear" w:color="auto" w:fill="auto"/>
            <w:vAlign w:val="center"/>
            <w:hideMark/>
          </w:tcPr>
          <w:p w14:paraId="2FDAFBCC" w14:textId="77777777" w:rsidR="002F6D46" w:rsidRPr="00B02AD6" w:rsidRDefault="002F6D46" w:rsidP="002F6D46">
            <w:pPr>
              <w:jc w:val="right"/>
              <w:rPr>
                <w:b/>
                <w:bCs/>
                <w:sz w:val="18"/>
                <w:szCs w:val="18"/>
                <w:lang w:eastAsia="tr-TR"/>
              </w:rPr>
            </w:pPr>
            <w:r w:rsidRPr="00B02AD6">
              <w:rPr>
                <w:b/>
                <w:bCs/>
                <w:sz w:val="18"/>
                <w:szCs w:val="18"/>
                <w:lang w:eastAsia="tr-TR"/>
              </w:rPr>
              <w:t>TP</w:t>
            </w:r>
          </w:p>
        </w:tc>
        <w:tc>
          <w:tcPr>
            <w:tcW w:w="2006" w:type="dxa"/>
            <w:tcBorders>
              <w:top w:val="nil"/>
              <w:left w:val="nil"/>
              <w:bottom w:val="single" w:sz="8" w:space="0" w:color="auto"/>
              <w:right w:val="nil"/>
            </w:tcBorders>
            <w:shd w:val="clear" w:color="auto" w:fill="auto"/>
            <w:vAlign w:val="center"/>
            <w:hideMark/>
          </w:tcPr>
          <w:p w14:paraId="7EFA8045" w14:textId="77777777" w:rsidR="002F6D46" w:rsidRPr="00B02AD6" w:rsidRDefault="002F6D46" w:rsidP="002F6D46">
            <w:pPr>
              <w:jc w:val="right"/>
              <w:rPr>
                <w:b/>
                <w:bCs/>
                <w:sz w:val="18"/>
                <w:szCs w:val="18"/>
                <w:lang w:eastAsia="tr-TR"/>
              </w:rPr>
            </w:pPr>
            <w:r w:rsidRPr="00B02AD6">
              <w:rPr>
                <w:b/>
                <w:bCs/>
                <w:sz w:val="18"/>
                <w:szCs w:val="18"/>
                <w:lang w:eastAsia="tr-TR"/>
              </w:rPr>
              <w:t>YP</w:t>
            </w:r>
          </w:p>
        </w:tc>
      </w:tr>
      <w:tr w:rsidR="002F6D46" w:rsidRPr="00B02AD6" w14:paraId="3470C4E6" w14:textId="77777777" w:rsidTr="00BA637F">
        <w:trPr>
          <w:divId w:val="1881286789"/>
          <w:trHeight w:val="230"/>
        </w:trPr>
        <w:tc>
          <w:tcPr>
            <w:tcW w:w="2240" w:type="dxa"/>
            <w:tcBorders>
              <w:top w:val="nil"/>
              <w:left w:val="nil"/>
              <w:bottom w:val="nil"/>
              <w:right w:val="nil"/>
            </w:tcBorders>
            <w:shd w:val="clear" w:color="auto" w:fill="auto"/>
            <w:vAlign w:val="center"/>
            <w:hideMark/>
          </w:tcPr>
          <w:p w14:paraId="0D5F5BBE" w14:textId="77777777" w:rsidR="002F6D46" w:rsidRPr="00B02AD6" w:rsidRDefault="002F6D46" w:rsidP="002F6D46">
            <w:pPr>
              <w:jc w:val="both"/>
              <w:rPr>
                <w:sz w:val="18"/>
                <w:szCs w:val="18"/>
                <w:lang w:eastAsia="tr-TR"/>
              </w:rPr>
            </w:pPr>
            <w:r w:rsidRPr="00B02AD6">
              <w:rPr>
                <w:sz w:val="18"/>
                <w:szCs w:val="18"/>
                <w:lang w:eastAsia="tr-TR"/>
              </w:rPr>
              <w:t>Kasa/Efektif</w:t>
            </w:r>
          </w:p>
        </w:tc>
        <w:tc>
          <w:tcPr>
            <w:tcW w:w="1700" w:type="dxa"/>
            <w:tcBorders>
              <w:top w:val="nil"/>
              <w:left w:val="nil"/>
              <w:bottom w:val="nil"/>
              <w:right w:val="nil"/>
            </w:tcBorders>
            <w:shd w:val="clear" w:color="auto" w:fill="auto"/>
            <w:vAlign w:val="center"/>
            <w:hideMark/>
          </w:tcPr>
          <w:p w14:paraId="1E4F51FB" w14:textId="77777777" w:rsidR="002F6D46" w:rsidRPr="00B02AD6" w:rsidRDefault="002F6D46" w:rsidP="002F6D46">
            <w:pPr>
              <w:jc w:val="right"/>
              <w:rPr>
                <w:sz w:val="18"/>
                <w:szCs w:val="18"/>
                <w:lang w:eastAsia="tr-TR"/>
              </w:rPr>
            </w:pPr>
            <w:r w:rsidRPr="00B02AD6">
              <w:rPr>
                <w:sz w:val="18"/>
                <w:szCs w:val="18"/>
                <w:lang w:eastAsia="tr-TR"/>
              </w:rPr>
              <w:t xml:space="preserve">      547,206 </w:t>
            </w:r>
          </w:p>
        </w:tc>
        <w:tc>
          <w:tcPr>
            <w:tcW w:w="1700" w:type="dxa"/>
            <w:tcBorders>
              <w:top w:val="nil"/>
              <w:left w:val="nil"/>
              <w:bottom w:val="nil"/>
              <w:right w:val="nil"/>
            </w:tcBorders>
            <w:shd w:val="clear" w:color="auto" w:fill="auto"/>
            <w:vAlign w:val="center"/>
            <w:hideMark/>
          </w:tcPr>
          <w:p w14:paraId="6408C85F" w14:textId="77777777" w:rsidR="002F6D46" w:rsidRPr="00B02AD6" w:rsidRDefault="002F6D46" w:rsidP="002F6D46">
            <w:pPr>
              <w:jc w:val="right"/>
              <w:rPr>
                <w:sz w:val="18"/>
                <w:szCs w:val="18"/>
                <w:lang w:eastAsia="tr-TR"/>
              </w:rPr>
            </w:pPr>
            <w:r w:rsidRPr="00B02AD6">
              <w:rPr>
                <w:sz w:val="18"/>
                <w:szCs w:val="18"/>
                <w:lang w:eastAsia="tr-TR"/>
              </w:rPr>
              <w:t xml:space="preserve">   2,270,999 </w:t>
            </w:r>
          </w:p>
        </w:tc>
        <w:tc>
          <w:tcPr>
            <w:tcW w:w="1564" w:type="dxa"/>
            <w:tcBorders>
              <w:top w:val="nil"/>
              <w:left w:val="nil"/>
              <w:bottom w:val="nil"/>
              <w:right w:val="nil"/>
            </w:tcBorders>
            <w:shd w:val="clear" w:color="auto" w:fill="auto"/>
            <w:vAlign w:val="center"/>
            <w:hideMark/>
          </w:tcPr>
          <w:p w14:paraId="3FFBDB93" w14:textId="77777777" w:rsidR="002F6D46" w:rsidRPr="00B02AD6" w:rsidRDefault="002F6D46" w:rsidP="002F6D46">
            <w:pPr>
              <w:jc w:val="right"/>
              <w:rPr>
                <w:sz w:val="18"/>
                <w:szCs w:val="18"/>
                <w:lang w:eastAsia="tr-TR"/>
              </w:rPr>
            </w:pPr>
            <w:r w:rsidRPr="00B02AD6">
              <w:rPr>
                <w:sz w:val="18"/>
                <w:szCs w:val="18"/>
                <w:lang w:eastAsia="tr-TR"/>
              </w:rPr>
              <w:t xml:space="preserve">    613,156 </w:t>
            </w:r>
          </w:p>
        </w:tc>
        <w:tc>
          <w:tcPr>
            <w:tcW w:w="2006" w:type="dxa"/>
            <w:tcBorders>
              <w:top w:val="nil"/>
              <w:left w:val="nil"/>
              <w:bottom w:val="nil"/>
              <w:right w:val="nil"/>
            </w:tcBorders>
            <w:shd w:val="clear" w:color="auto" w:fill="auto"/>
            <w:vAlign w:val="center"/>
            <w:hideMark/>
          </w:tcPr>
          <w:p w14:paraId="3C2361EE" w14:textId="77777777" w:rsidR="002F6D46" w:rsidRPr="00B02AD6" w:rsidRDefault="002F6D46" w:rsidP="002F6D46">
            <w:pPr>
              <w:jc w:val="right"/>
              <w:rPr>
                <w:sz w:val="18"/>
                <w:szCs w:val="18"/>
                <w:lang w:eastAsia="tr-TR"/>
              </w:rPr>
            </w:pPr>
            <w:r w:rsidRPr="00B02AD6">
              <w:rPr>
                <w:sz w:val="18"/>
                <w:szCs w:val="18"/>
                <w:lang w:eastAsia="tr-TR"/>
              </w:rPr>
              <w:t xml:space="preserve">       1,515,040 </w:t>
            </w:r>
          </w:p>
        </w:tc>
      </w:tr>
      <w:tr w:rsidR="002F6D46" w:rsidRPr="00B02AD6" w14:paraId="44C98E8C" w14:textId="77777777" w:rsidTr="00BA637F">
        <w:trPr>
          <w:divId w:val="1881286789"/>
          <w:trHeight w:val="230"/>
        </w:trPr>
        <w:tc>
          <w:tcPr>
            <w:tcW w:w="2240" w:type="dxa"/>
            <w:tcBorders>
              <w:top w:val="nil"/>
              <w:left w:val="nil"/>
              <w:bottom w:val="nil"/>
              <w:right w:val="nil"/>
            </w:tcBorders>
            <w:shd w:val="clear" w:color="auto" w:fill="auto"/>
            <w:vAlign w:val="center"/>
            <w:hideMark/>
          </w:tcPr>
          <w:p w14:paraId="653E726F" w14:textId="77777777" w:rsidR="002F6D46" w:rsidRPr="00B02AD6" w:rsidRDefault="002F6D46" w:rsidP="002F6D46">
            <w:pPr>
              <w:jc w:val="both"/>
              <w:rPr>
                <w:sz w:val="18"/>
                <w:szCs w:val="18"/>
                <w:lang w:eastAsia="tr-TR"/>
              </w:rPr>
            </w:pPr>
            <w:r w:rsidRPr="00B02AD6">
              <w:rPr>
                <w:sz w:val="18"/>
                <w:szCs w:val="18"/>
                <w:lang w:eastAsia="tr-TR"/>
              </w:rPr>
              <w:t xml:space="preserve">TCMB </w:t>
            </w:r>
          </w:p>
        </w:tc>
        <w:tc>
          <w:tcPr>
            <w:tcW w:w="1700" w:type="dxa"/>
            <w:tcBorders>
              <w:top w:val="nil"/>
              <w:left w:val="nil"/>
              <w:bottom w:val="nil"/>
              <w:right w:val="nil"/>
            </w:tcBorders>
            <w:shd w:val="clear" w:color="auto" w:fill="auto"/>
            <w:vAlign w:val="center"/>
            <w:hideMark/>
          </w:tcPr>
          <w:p w14:paraId="27B90616" w14:textId="77777777" w:rsidR="002F6D46" w:rsidRPr="00B02AD6" w:rsidRDefault="002F6D46" w:rsidP="002F6D46">
            <w:pPr>
              <w:jc w:val="right"/>
              <w:rPr>
                <w:sz w:val="18"/>
                <w:szCs w:val="18"/>
                <w:lang w:eastAsia="tr-TR"/>
              </w:rPr>
            </w:pPr>
            <w:r w:rsidRPr="00B02AD6">
              <w:rPr>
                <w:sz w:val="18"/>
                <w:szCs w:val="18"/>
                <w:lang w:eastAsia="tr-TR"/>
              </w:rPr>
              <w:t xml:space="preserve">      570,475 </w:t>
            </w:r>
          </w:p>
        </w:tc>
        <w:tc>
          <w:tcPr>
            <w:tcW w:w="1700" w:type="dxa"/>
            <w:tcBorders>
              <w:top w:val="nil"/>
              <w:left w:val="nil"/>
              <w:bottom w:val="nil"/>
              <w:right w:val="nil"/>
            </w:tcBorders>
            <w:shd w:val="clear" w:color="auto" w:fill="auto"/>
            <w:vAlign w:val="center"/>
            <w:hideMark/>
          </w:tcPr>
          <w:p w14:paraId="002B33D7" w14:textId="77777777" w:rsidR="002F6D46" w:rsidRPr="00B02AD6" w:rsidRDefault="002F6D46" w:rsidP="002F6D46">
            <w:pPr>
              <w:jc w:val="right"/>
              <w:rPr>
                <w:sz w:val="18"/>
                <w:szCs w:val="18"/>
                <w:lang w:eastAsia="tr-TR"/>
              </w:rPr>
            </w:pPr>
            <w:r w:rsidRPr="00B02AD6">
              <w:rPr>
                <w:sz w:val="18"/>
                <w:szCs w:val="18"/>
                <w:lang w:eastAsia="tr-TR"/>
              </w:rPr>
              <w:t xml:space="preserve"> 16,930,959 </w:t>
            </w:r>
          </w:p>
        </w:tc>
        <w:tc>
          <w:tcPr>
            <w:tcW w:w="1564" w:type="dxa"/>
            <w:tcBorders>
              <w:top w:val="nil"/>
              <w:left w:val="nil"/>
              <w:bottom w:val="nil"/>
              <w:right w:val="nil"/>
            </w:tcBorders>
            <w:shd w:val="clear" w:color="auto" w:fill="auto"/>
            <w:vAlign w:val="center"/>
            <w:hideMark/>
          </w:tcPr>
          <w:p w14:paraId="14707B47" w14:textId="77777777" w:rsidR="002F6D46" w:rsidRPr="00B02AD6" w:rsidRDefault="002F6D46" w:rsidP="002F6D46">
            <w:pPr>
              <w:jc w:val="right"/>
              <w:rPr>
                <w:sz w:val="18"/>
                <w:szCs w:val="18"/>
                <w:lang w:eastAsia="tr-TR"/>
              </w:rPr>
            </w:pPr>
            <w:r w:rsidRPr="00B02AD6">
              <w:rPr>
                <w:sz w:val="18"/>
                <w:szCs w:val="18"/>
                <w:lang w:eastAsia="tr-TR"/>
              </w:rPr>
              <w:t xml:space="preserve"> 1,155,591 </w:t>
            </w:r>
          </w:p>
        </w:tc>
        <w:tc>
          <w:tcPr>
            <w:tcW w:w="2006" w:type="dxa"/>
            <w:tcBorders>
              <w:top w:val="nil"/>
              <w:left w:val="nil"/>
              <w:bottom w:val="nil"/>
              <w:right w:val="nil"/>
            </w:tcBorders>
            <w:shd w:val="clear" w:color="auto" w:fill="auto"/>
            <w:vAlign w:val="center"/>
            <w:hideMark/>
          </w:tcPr>
          <w:p w14:paraId="3A3600CD" w14:textId="77777777" w:rsidR="002F6D46" w:rsidRPr="00B02AD6" w:rsidRDefault="002F6D46" w:rsidP="002F6D46">
            <w:pPr>
              <w:jc w:val="right"/>
              <w:rPr>
                <w:sz w:val="18"/>
                <w:szCs w:val="18"/>
                <w:lang w:eastAsia="tr-TR"/>
              </w:rPr>
            </w:pPr>
            <w:r w:rsidRPr="00B02AD6">
              <w:rPr>
                <w:sz w:val="18"/>
                <w:szCs w:val="18"/>
                <w:lang w:eastAsia="tr-TR"/>
              </w:rPr>
              <w:t xml:space="preserve">     14,498,131 </w:t>
            </w:r>
          </w:p>
        </w:tc>
      </w:tr>
      <w:tr w:rsidR="002F6D46" w:rsidRPr="00B02AD6" w14:paraId="173A2B07" w14:textId="77777777" w:rsidTr="00BA637F">
        <w:trPr>
          <w:divId w:val="1881286789"/>
          <w:trHeight w:val="245"/>
        </w:trPr>
        <w:tc>
          <w:tcPr>
            <w:tcW w:w="2240" w:type="dxa"/>
            <w:tcBorders>
              <w:top w:val="nil"/>
              <w:left w:val="nil"/>
              <w:bottom w:val="single" w:sz="8" w:space="0" w:color="auto"/>
              <w:right w:val="nil"/>
            </w:tcBorders>
            <w:shd w:val="clear" w:color="auto" w:fill="auto"/>
            <w:vAlign w:val="center"/>
            <w:hideMark/>
          </w:tcPr>
          <w:p w14:paraId="036E6741" w14:textId="77777777" w:rsidR="002F6D46" w:rsidRPr="00B02AD6" w:rsidRDefault="002F6D46" w:rsidP="002F6D46">
            <w:pPr>
              <w:jc w:val="both"/>
              <w:rPr>
                <w:sz w:val="18"/>
                <w:szCs w:val="18"/>
                <w:lang w:eastAsia="tr-TR"/>
              </w:rPr>
            </w:pPr>
            <w:r w:rsidRPr="00B02AD6">
              <w:rPr>
                <w:sz w:val="18"/>
                <w:szCs w:val="18"/>
                <w:lang w:eastAsia="tr-TR"/>
              </w:rPr>
              <w:t>Diğer (*)</w:t>
            </w:r>
          </w:p>
        </w:tc>
        <w:tc>
          <w:tcPr>
            <w:tcW w:w="1700" w:type="dxa"/>
            <w:tcBorders>
              <w:top w:val="nil"/>
              <w:left w:val="nil"/>
              <w:bottom w:val="single" w:sz="8" w:space="0" w:color="auto"/>
              <w:right w:val="nil"/>
            </w:tcBorders>
            <w:shd w:val="clear" w:color="auto" w:fill="auto"/>
            <w:vAlign w:val="center"/>
            <w:hideMark/>
          </w:tcPr>
          <w:p w14:paraId="3D7BECA6" w14:textId="77777777" w:rsidR="002F6D46" w:rsidRPr="00B02AD6" w:rsidRDefault="002F6D46" w:rsidP="002F6D46">
            <w:pPr>
              <w:jc w:val="right"/>
              <w:rPr>
                <w:sz w:val="18"/>
                <w:szCs w:val="18"/>
                <w:lang w:eastAsia="tr-TR"/>
              </w:rPr>
            </w:pPr>
            <w:r w:rsidRPr="00B02AD6">
              <w:rPr>
                <w:sz w:val="18"/>
                <w:szCs w:val="18"/>
                <w:lang w:eastAsia="tr-TR"/>
              </w:rPr>
              <w:t xml:space="preserve">      158,775 </w:t>
            </w:r>
          </w:p>
        </w:tc>
        <w:tc>
          <w:tcPr>
            <w:tcW w:w="1700" w:type="dxa"/>
            <w:tcBorders>
              <w:top w:val="nil"/>
              <w:left w:val="nil"/>
              <w:bottom w:val="single" w:sz="8" w:space="0" w:color="auto"/>
              <w:right w:val="nil"/>
            </w:tcBorders>
            <w:shd w:val="clear" w:color="auto" w:fill="auto"/>
            <w:vAlign w:val="center"/>
            <w:hideMark/>
          </w:tcPr>
          <w:p w14:paraId="56327372" w14:textId="77777777" w:rsidR="002F6D46" w:rsidRPr="00B02AD6" w:rsidRDefault="002F6D46" w:rsidP="002F6D46">
            <w:pPr>
              <w:jc w:val="right"/>
              <w:rPr>
                <w:sz w:val="18"/>
                <w:szCs w:val="18"/>
                <w:lang w:eastAsia="tr-TR"/>
              </w:rPr>
            </w:pPr>
            <w:r w:rsidRPr="00B02AD6">
              <w:rPr>
                <w:sz w:val="18"/>
                <w:szCs w:val="18"/>
                <w:lang w:eastAsia="tr-TR"/>
              </w:rPr>
              <w:t xml:space="preserve">   1,342,260 </w:t>
            </w:r>
          </w:p>
        </w:tc>
        <w:tc>
          <w:tcPr>
            <w:tcW w:w="1564" w:type="dxa"/>
            <w:tcBorders>
              <w:top w:val="nil"/>
              <w:left w:val="nil"/>
              <w:bottom w:val="single" w:sz="8" w:space="0" w:color="auto"/>
              <w:right w:val="nil"/>
            </w:tcBorders>
            <w:shd w:val="clear" w:color="auto" w:fill="auto"/>
            <w:vAlign w:val="center"/>
            <w:hideMark/>
          </w:tcPr>
          <w:p w14:paraId="6883BFC4" w14:textId="77777777" w:rsidR="002F6D46" w:rsidRPr="00B02AD6" w:rsidRDefault="002F6D46" w:rsidP="002F6D46">
            <w:pPr>
              <w:jc w:val="right"/>
              <w:rPr>
                <w:sz w:val="18"/>
                <w:szCs w:val="18"/>
                <w:lang w:eastAsia="tr-TR"/>
              </w:rPr>
            </w:pPr>
            <w:r w:rsidRPr="00B02AD6">
              <w:rPr>
                <w:sz w:val="18"/>
                <w:szCs w:val="18"/>
                <w:lang w:eastAsia="tr-TR"/>
              </w:rPr>
              <w:t xml:space="preserve">                - </w:t>
            </w:r>
          </w:p>
        </w:tc>
        <w:tc>
          <w:tcPr>
            <w:tcW w:w="2006" w:type="dxa"/>
            <w:tcBorders>
              <w:top w:val="nil"/>
              <w:left w:val="nil"/>
              <w:bottom w:val="single" w:sz="8" w:space="0" w:color="auto"/>
              <w:right w:val="nil"/>
            </w:tcBorders>
            <w:shd w:val="clear" w:color="auto" w:fill="auto"/>
            <w:vAlign w:val="center"/>
            <w:hideMark/>
          </w:tcPr>
          <w:p w14:paraId="2160BCDD" w14:textId="77777777" w:rsidR="002F6D46" w:rsidRPr="00B02AD6" w:rsidRDefault="002F6D46" w:rsidP="002F6D46">
            <w:pPr>
              <w:jc w:val="right"/>
              <w:rPr>
                <w:sz w:val="18"/>
                <w:szCs w:val="18"/>
                <w:lang w:eastAsia="tr-TR"/>
              </w:rPr>
            </w:pPr>
            <w:r w:rsidRPr="00B02AD6">
              <w:rPr>
                <w:sz w:val="18"/>
                <w:szCs w:val="18"/>
                <w:lang w:eastAsia="tr-TR"/>
              </w:rPr>
              <w:t xml:space="preserve">       1,111,168 </w:t>
            </w:r>
          </w:p>
        </w:tc>
      </w:tr>
      <w:tr w:rsidR="002F6D46" w:rsidRPr="00B02AD6" w14:paraId="1C563BB4" w14:textId="77777777" w:rsidTr="00BA637F">
        <w:trPr>
          <w:divId w:val="1881286789"/>
          <w:trHeight w:val="245"/>
        </w:trPr>
        <w:tc>
          <w:tcPr>
            <w:tcW w:w="2240" w:type="dxa"/>
            <w:tcBorders>
              <w:top w:val="nil"/>
              <w:left w:val="nil"/>
              <w:bottom w:val="double" w:sz="6" w:space="0" w:color="auto"/>
              <w:right w:val="nil"/>
            </w:tcBorders>
            <w:shd w:val="clear" w:color="auto" w:fill="auto"/>
            <w:vAlign w:val="center"/>
            <w:hideMark/>
          </w:tcPr>
          <w:p w14:paraId="2D915C9F" w14:textId="77777777" w:rsidR="002F6D46" w:rsidRPr="00B02AD6" w:rsidRDefault="002F6D46" w:rsidP="002F6D46">
            <w:pPr>
              <w:jc w:val="both"/>
              <w:rPr>
                <w:b/>
                <w:bCs/>
                <w:sz w:val="18"/>
                <w:szCs w:val="18"/>
                <w:lang w:eastAsia="tr-TR"/>
              </w:rPr>
            </w:pPr>
            <w:r w:rsidRPr="00B02AD6">
              <w:rPr>
                <w:b/>
                <w:bCs/>
                <w:sz w:val="18"/>
                <w:szCs w:val="18"/>
                <w:lang w:eastAsia="tr-TR"/>
              </w:rPr>
              <w:t>Toplam</w:t>
            </w:r>
          </w:p>
        </w:tc>
        <w:tc>
          <w:tcPr>
            <w:tcW w:w="1700" w:type="dxa"/>
            <w:tcBorders>
              <w:top w:val="nil"/>
              <w:left w:val="nil"/>
              <w:bottom w:val="double" w:sz="6" w:space="0" w:color="auto"/>
              <w:right w:val="nil"/>
            </w:tcBorders>
            <w:shd w:val="clear" w:color="auto" w:fill="auto"/>
            <w:vAlign w:val="center"/>
            <w:hideMark/>
          </w:tcPr>
          <w:p w14:paraId="3C9B18A1" w14:textId="77777777" w:rsidR="002F6D46" w:rsidRPr="00B02AD6" w:rsidRDefault="002F6D46" w:rsidP="002F6D46">
            <w:pPr>
              <w:jc w:val="right"/>
              <w:rPr>
                <w:b/>
                <w:bCs/>
                <w:sz w:val="18"/>
                <w:szCs w:val="18"/>
                <w:lang w:eastAsia="tr-TR"/>
              </w:rPr>
            </w:pPr>
            <w:r w:rsidRPr="00B02AD6">
              <w:rPr>
                <w:b/>
                <w:bCs/>
                <w:sz w:val="18"/>
                <w:szCs w:val="18"/>
                <w:lang w:eastAsia="tr-TR"/>
              </w:rPr>
              <w:t>1,276,456</w:t>
            </w:r>
          </w:p>
        </w:tc>
        <w:tc>
          <w:tcPr>
            <w:tcW w:w="1700" w:type="dxa"/>
            <w:tcBorders>
              <w:top w:val="nil"/>
              <w:left w:val="nil"/>
              <w:bottom w:val="double" w:sz="6" w:space="0" w:color="auto"/>
              <w:right w:val="nil"/>
            </w:tcBorders>
            <w:shd w:val="clear" w:color="auto" w:fill="auto"/>
            <w:vAlign w:val="center"/>
            <w:hideMark/>
          </w:tcPr>
          <w:p w14:paraId="250C9C4D" w14:textId="77777777" w:rsidR="002F6D46" w:rsidRPr="00B02AD6" w:rsidRDefault="002F6D46" w:rsidP="002F6D46">
            <w:pPr>
              <w:jc w:val="right"/>
              <w:rPr>
                <w:b/>
                <w:bCs/>
                <w:sz w:val="18"/>
                <w:szCs w:val="18"/>
                <w:lang w:eastAsia="tr-TR"/>
              </w:rPr>
            </w:pPr>
            <w:r w:rsidRPr="00B02AD6">
              <w:rPr>
                <w:b/>
                <w:bCs/>
                <w:sz w:val="18"/>
                <w:szCs w:val="18"/>
                <w:lang w:eastAsia="tr-TR"/>
              </w:rPr>
              <w:t>20,544,218</w:t>
            </w:r>
          </w:p>
        </w:tc>
        <w:tc>
          <w:tcPr>
            <w:tcW w:w="1564" w:type="dxa"/>
            <w:tcBorders>
              <w:top w:val="nil"/>
              <w:left w:val="nil"/>
              <w:bottom w:val="double" w:sz="6" w:space="0" w:color="auto"/>
              <w:right w:val="nil"/>
            </w:tcBorders>
            <w:shd w:val="clear" w:color="auto" w:fill="auto"/>
            <w:vAlign w:val="center"/>
            <w:hideMark/>
          </w:tcPr>
          <w:p w14:paraId="6FD4F835" w14:textId="77777777" w:rsidR="002F6D46" w:rsidRPr="00B02AD6" w:rsidRDefault="002F6D46" w:rsidP="002F6D46">
            <w:pPr>
              <w:jc w:val="right"/>
              <w:rPr>
                <w:b/>
                <w:bCs/>
                <w:sz w:val="18"/>
                <w:szCs w:val="18"/>
                <w:lang w:eastAsia="tr-TR"/>
              </w:rPr>
            </w:pPr>
            <w:r w:rsidRPr="00B02AD6">
              <w:rPr>
                <w:b/>
                <w:bCs/>
                <w:sz w:val="18"/>
                <w:szCs w:val="18"/>
                <w:lang w:eastAsia="tr-TR"/>
              </w:rPr>
              <w:t>1,768,747</w:t>
            </w:r>
          </w:p>
        </w:tc>
        <w:tc>
          <w:tcPr>
            <w:tcW w:w="2006" w:type="dxa"/>
            <w:tcBorders>
              <w:top w:val="nil"/>
              <w:left w:val="nil"/>
              <w:bottom w:val="double" w:sz="6" w:space="0" w:color="auto"/>
              <w:right w:val="nil"/>
            </w:tcBorders>
            <w:shd w:val="clear" w:color="auto" w:fill="auto"/>
            <w:vAlign w:val="center"/>
            <w:hideMark/>
          </w:tcPr>
          <w:p w14:paraId="5842F8F9" w14:textId="77777777" w:rsidR="002F6D46" w:rsidRPr="00B02AD6" w:rsidRDefault="002F6D46" w:rsidP="002F6D46">
            <w:pPr>
              <w:jc w:val="right"/>
              <w:rPr>
                <w:b/>
                <w:bCs/>
                <w:sz w:val="18"/>
                <w:szCs w:val="18"/>
                <w:lang w:eastAsia="tr-TR"/>
              </w:rPr>
            </w:pPr>
            <w:r w:rsidRPr="00B02AD6">
              <w:rPr>
                <w:b/>
                <w:bCs/>
                <w:sz w:val="18"/>
                <w:szCs w:val="18"/>
                <w:lang w:eastAsia="tr-TR"/>
              </w:rPr>
              <w:t>17,124,339</w:t>
            </w:r>
          </w:p>
        </w:tc>
      </w:tr>
    </w:tbl>
    <w:p w14:paraId="13A928E3" w14:textId="3CEE9774" w:rsidR="006F5E5C" w:rsidRPr="00B02AD6" w:rsidRDefault="006F5E5C" w:rsidP="00094CE5">
      <w:pPr>
        <w:autoSpaceDE w:val="0"/>
        <w:autoSpaceDN w:val="0"/>
        <w:adjustRightInd w:val="0"/>
        <w:ind w:left="540" w:hanging="540"/>
        <w:rPr>
          <w:rFonts w:eastAsia="Arial Unicode MS"/>
          <w:sz w:val="16"/>
          <w:szCs w:val="16"/>
        </w:rPr>
      </w:pPr>
    </w:p>
    <w:p w14:paraId="5B925944" w14:textId="1B0E6B75" w:rsidR="00F55DAE" w:rsidRPr="00B02AD6" w:rsidRDefault="00214EA0" w:rsidP="00BA637F">
      <w:pPr>
        <w:autoSpaceDE w:val="0"/>
        <w:autoSpaceDN w:val="0"/>
        <w:adjustRightInd w:val="0"/>
        <w:ind w:left="567" w:right="-1" w:hanging="567"/>
        <w:jc w:val="both"/>
        <w:rPr>
          <w:rFonts w:eastAsia="Arial Unicode MS"/>
        </w:rPr>
      </w:pPr>
      <w:r w:rsidRPr="00B02AD6">
        <w:rPr>
          <w:rFonts w:eastAsia="Arial Unicode MS"/>
          <w:sz w:val="16"/>
        </w:rPr>
        <w:t>(*)</w:t>
      </w:r>
      <w:r w:rsidRPr="00B02AD6">
        <w:rPr>
          <w:rFonts w:eastAsia="Arial Unicode MS"/>
        </w:rPr>
        <w:t xml:space="preserve"> </w:t>
      </w:r>
      <w:r w:rsidR="00BA637F">
        <w:rPr>
          <w:rFonts w:eastAsia="Arial Unicode MS"/>
        </w:rPr>
        <w:tab/>
      </w:r>
      <w:r w:rsidR="00005117" w:rsidRPr="00B02AD6">
        <w:rPr>
          <w:rFonts w:eastAsia="Arial Unicode MS"/>
          <w:sz w:val="16"/>
          <w:szCs w:val="16"/>
        </w:rPr>
        <w:t xml:space="preserve">30 </w:t>
      </w:r>
      <w:r w:rsidR="009E1EC7" w:rsidRPr="00B02AD6">
        <w:rPr>
          <w:rFonts w:eastAsia="Arial Unicode MS"/>
          <w:sz w:val="16"/>
          <w:szCs w:val="16"/>
        </w:rPr>
        <w:t>Eylül</w:t>
      </w:r>
      <w:r w:rsidR="00F55DAE" w:rsidRPr="00B02AD6">
        <w:rPr>
          <w:rFonts w:eastAsia="Arial Unicode MS"/>
          <w:sz w:val="16"/>
          <w:szCs w:val="16"/>
        </w:rPr>
        <w:t xml:space="preserve"> 20</w:t>
      </w:r>
      <w:r w:rsidR="00E85D18" w:rsidRPr="00B02AD6">
        <w:rPr>
          <w:rFonts w:eastAsia="Arial Unicode MS"/>
          <w:sz w:val="16"/>
          <w:szCs w:val="16"/>
        </w:rPr>
        <w:t>20</w:t>
      </w:r>
      <w:r w:rsidR="00F55DAE" w:rsidRPr="00B02AD6">
        <w:rPr>
          <w:rFonts w:eastAsia="Arial Unicode MS"/>
          <w:sz w:val="16"/>
          <w:szCs w:val="16"/>
        </w:rPr>
        <w:t xml:space="preserve"> tarihi itibarıyla </w:t>
      </w:r>
      <w:r w:rsidR="00B02AD6" w:rsidRPr="00B02AD6">
        <w:rPr>
          <w:rFonts w:eastAsia="Arial Unicode MS"/>
          <w:sz w:val="16"/>
          <w:szCs w:val="16"/>
        </w:rPr>
        <w:t>1,029</w:t>
      </w:r>
      <w:r w:rsidR="002550E1" w:rsidRPr="00B02AD6">
        <w:rPr>
          <w:rFonts w:eastAsia="Arial Unicode MS"/>
          <w:sz w:val="16"/>
          <w:szCs w:val="16"/>
        </w:rPr>
        <w:t>,</w:t>
      </w:r>
      <w:r w:rsidR="00B02AD6" w:rsidRPr="00B02AD6">
        <w:rPr>
          <w:rFonts w:eastAsia="Arial Unicode MS"/>
          <w:sz w:val="16"/>
          <w:szCs w:val="16"/>
        </w:rPr>
        <w:t>266</w:t>
      </w:r>
      <w:r w:rsidR="00F55DAE" w:rsidRPr="00B02AD6">
        <w:rPr>
          <w:rFonts w:eastAsia="Arial Unicode MS"/>
          <w:sz w:val="16"/>
          <w:szCs w:val="16"/>
        </w:rPr>
        <w:t xml:space="preserve"> </w:t>
      </w:r>
      <w:proofErr w:type="gramStart"/>
      <w:r w:rsidR="00F55DAE" w:rsidRPr="00B02AD6">
        <w:rPr>
          <w:rFonts w:eastAsia="Arial Unicode MS"/>
          <w:sz w:val="16"/>
          <w:szCs w:val="16"/>
        </w:rPr>
        <w:t>TL</w:t>
      </w:r>
      <w:r w:rsidR="00F55DAE" w:rsidRPr="00B02AD6" w:rsidDel="00443D75">
        <w:rPr>
          <w:sz w:val="16"/>
          <w:szCs w:val="16"/>
        </w:rPr>
        <w:t xml:space="preserve"> </w:t>
      </w:r>
      <w:r w:rsidR="00F55DAE" w:rsidRPr="00B02AD6">
        <w:rPr>
          <w:rFonts w:eastAsia="Arial Unicode MS"/>
          <w:sz w:val="16"/>
          <w:szCs w:val="16"/>
        </w:rPr>
        <w:t xml:space="preserve"> (</w:t>
      </w:r>
      <w:proofErr w:type="gramEnd"/>
      <w:r w:rsidR="00F55DAE" w:rsidRPr="00B02AD6">
        <w:rPr>
          <w:rFonts w:eastAsia="Arial Unicode MS"/>
          <w:sz w:val="16"/>
          <w:szCs w:val="16"/>
        </w:rPr>
        <w:t>31 Aralık 201</w:t>
      </w:r>
      <w:r w:rsidR="00FD5867" w:rsidRPr="00B02AD6">
        <w:rPr>
          <w:rFonts w:eastAsia="Arial Unicode MS"/>
          <w:sz w:val="16"/>
          <w:szCs w:val="16"/>
        </w:rPr>
        <w:t>9</w:t>
      </w:r>
      <w:r w:rsidR="00F55DAE" w:rsidRPr="00B02AD6">
        <w:rPr>
          <w:rFonts w:eastAsia="Arial Unicode MS"/>
          <w:sz w:val="16"/>
          <w:szCs w:val="16"/>
        </w:rPr>
        <w:t xml:space="preserve"> – </w:t>
      </w:r>
      <w:r w:rsidR="00FD5867" w:rsidRPr="00B02AD6">
        <w:rPr>
          <w:sz w:val="16"/>
          <w:szCs w:val="16"/>
        </w:rPr>
        <w:t>1,111,144</w:t>
      </w:r>
      <w:r w:rsidR="00F55DAE" w:rsidRPr="00B02AD6">
        <w:rPr>
          <w:sz w:val="16"/>
          <w:szCs w:val="16"/>
        </w:rPr>
        <w:t xml:space="preserve"> </w:t>
      </w:r>
      <w:r w:rsidR="00F55DAE" w:rsidRPr="00B02AD6">
        <w:rPr>
          <w:rFonts w:eastAsia="Arial Unicode MS"/>
          <w:sz w:val="16"/>
          <w:szCs w:val="16"/>
        </w:rPr>
        <w:t xml:space="preserve">TL) tutarında kıymetli maden depo hesabı ve </w:t>
      </w:r>
      <w:r w:rsidR="00B02AD6" w:rsidRPr="00B02AD6">
        <w:rPr>
          <w:rFonts w:eastAsia="Arial Unicode MS"/>
          <w:sz w:val="16"/>
          <w:szCs w:val="16"/>
        </w:rPr>
        <w:t>471</w:t>
      </w:r>
      <w:r w:rsidR="00E85D18" w:rsidRPr="00B02AD6">
        <w:rPr>
          <w:rFonts w:eastAsia="Arial Unicode MS"/>
          <w:sz w:val="16"/>
          <w:szCs w:val="16"/>
        </w:rPr>
        <w:t>,</w:t>
      </w:r>
      <w:r w:rsidR="00B02AD6" w:rsidRPr="00B02AD6">
        <w:rPr>
          <w:rFonts w:eastAsia="Arial Unicode MS"/>
          <w:sz w:val="16"/>
          <w:szCs w:val="16"/>
        </w:rPr>
        <w:t>769</w:t>
      </w:r>
      <w:r w:rsidR="00F55DAE" w:rsidRPr="00B02AD6">
        <w:rPr>
          <w:sz w:val="16"/>
          <w:szCs w:val="16"/>
        </w:rPr>
        <w:t xml:space="preserve"> </w:t>
      </w:r>
      <w:r w:rsidR="00F55DAE" w:rsidRPr="00B02AD6">
        <w:rPr>
          <w:rFonts w:eastAsia="Arial Unicode MS"/>
          <w:sz w:val="16"/>
          <w:szCs w:val="16"/>
        </w:rPr>
        <w:t>TL</w:t>
      </w:r>
      <w:r w:rsidR="00F55DAE" w:rsidRPr="00B02AD6" w:rsidDel="00443D75">
        <w:rPr>
          <w:rFonts w:eastAsia="Arial Unicode MS"/>
          <w:sz w:val="16"/>
          <w:szCs w:val="16"/>
        </w:rPr>
        <w:t xml:space="preserve"> </w:t>
      </w:r>
      <w:r w:rsidR="00F55DAE" w:rsidRPr="00B02AD6">
        <w:rPr>
          <w:rFonts w:eastAsia="Arial Unicode MS"/>
          <w:sz w:val="16"/>
          <w:szCs w:val="16"/>
        </w:rPr>
        <w:t xml:space="preserve"> tutarındaki yoldaki paralar hesabı burada gösterilmektedir.</w:t>
      </w:r>
      <w:r w:rsidR="00AD7A91" w:rsidRPr="00B02AD6">
        <w:rPr>
          <w:rFonts w:eastAsia="Arial Unicode MS"/>
          <w:color w:val="0D0D0D"/>
          <w:sz w:val="16"/>
          <w:szCs w:val="16"/>
        </w:rPr>
        <w:t xml:space="preserve"> (31 Aralık 201</w:t>
      </w:r>
      <w:r w:rsidR="00FD5867" w:rsidRPr="00B02AD6">
        <w:rPr>
          <w:rFonts w:eastAsia="Arial Unicode MS"/>
          <w:color w:val="0D0D0D"/>
          <w:sz w:val="16"/>
          <w:szCs w:val="16"/>
        </w:rPr>
        <w:t>9</w:t>
      </w:r>
      <w:r w:rsidR="00F55DAE" w:rsidRPr="00B02AD6">
        <w:rPr>
          <w:rFonts w:eastAsia="Arial Unicode MS"/>
          <w:color w:val="0D0D0D"/>
          <w:sz w:val="16"/>
          <w:szCs w:val="16"/>
        </w:rPr>
        <w:t xml:space="preserve"> – </w:t>
      </w:r>
      <w:r w:rsidR="00FD5867" w:rsidRPr="00B02AD6">
        <w:rPr>
          <w:rFonts w:eastAsia="Arial Unicode MS"/>
          <w:color w:val="0D0D0D"/>
          <w:sz w:val="16"/>
          <w:szCs w:val="16"/>
        </w:rPr>
        <w:t xml:space="preserve">24 </w:t>
      </w:r>
      <w:proofErr w:type="gramStart"/>
      <w:r w:rsidR="00FD5867" w:rsidRPr="00B02AD6">
        <w:rPr>
          <w:rFonts w:eastAsia="Arial Unicode MS"/>
          <w:color w:val="0D0D0D"/>
          <w:sz w:val="16"/>
          <w:szCs w:val="16"/>
        </w:rPr>
        <w:t xml:space="preserve">TL </w:t>
      </w:r>
      <w:r w:rsidR="00F55DAE" w:rsidRPr="00B02AD6">
        <w:rPr>
          <w:rFonts w:eastAsia="Arial Unicode MS"/>
          <w:color w:val="0D0D0D"/>
          <w:sz w:val="16"/>
          <w:szCs w:val="16"/>
        </w:rPr>
        <w:t>)</w:t>
      </w:r>
      <w:proofErr w:type="gramEnd"/>
    </w:p>
    <w:p w14:paraId="18776683" w14:textId="77777777" w:rsidR="00F55DAE" w:rsidRPr="00270CE6" w:rsidRDefault="00F55DAE" w:rsidP="00DE0848">
      <w:pPr>
        <w:autoSpaceDE w:val="0"/>
        <w:autoSpaceDN w:val="0"/>
        <w:adjustRightInd w:val="0"/>
        <w:ind w:hanging="567"/>
        <w:rPr>
          <w:rFonts w:eastAsia="Arial Unicode MS"/>
          <w:b/>
          <w:highlight w:val="yellow"/>
        </w:rPr>
      </w:pPr>
    </w:p>
    <w:p w14:paraId="37A47D24" w14:textId="77777777" w:rsidR="005A1EDE" w:rsidRPr="002F6D46" w:rsidRDefault="00547C68" w:rsidP="00DE0848">
      <w:pPr>
        <w:autoSpaceDE w:val="0"/>
        <w:autoSpaceDN w:val="0"/>
        <w:adjustRightInd w:val="0"/>
        <w:ind w:hanging="567"/>
        <w:rPr>
          <w:rFonts w:eastAsia="Arial Unicode MS"/>
          <w:b/>
        </w:rPr>
      </w:pPr>
      <w:r w:rsidRPr="002F6D46">
        <w:rPr>
          <w:rFonts w:eastAsia="Arial Unicode MS"/>
          <w:b/>
        </w:rPr>
        <w:t>1.1.2</w:t>
      </w:r>
      <w:r w:rsidR="0054580E" w:rsidRPr="002F6D46">
        <w:rPr>
          <w:rFonts w:eastAsia="Arial Unicode MS"/>
          <w:b/>
        </w:rPr>
        <w:t xml:space="preserve">   </w:t>
      </w:r>
      <w:r w:rsidR="00E253C8" w:rsidRPr="002F6D46">
        <w:rPr>
          <w:rFonts w:eastAsia="Arial Unicode MS"/>
          <w:b/>
        </w:rPr>
        <w:t xml:space="preserve">T.C. Merkez Bankası hesabına ilişkin </w:t>
      </w:r>
      <w:r w:rsidR="00032F11" w:rsidRPr="002F6D46">
        <w:rPr>
          <w:rFonts w:eastAsia="Arial Unicode MS"/>
          <w:b/>
        </w:rPr>
        <w:t>bilgiler:</w:t>
      </w:r>
    </w:p>
    <w:p w14:paraId="688D7D09" w14:textId="492F76D5" w:rsidR="002F6D46" w:rsidRPr="002F6D46" w:rsidRDefault="0063702A" w:rsidP="00134A72">
      <w:pPr>
        <w:tabs>
          <w:tab w:val="left" w:pos="3270"/>
        </w:tabs>
        <w:autoSpaceDE w:val="0"/>
        <w:autoSpaceDN w:val="0"/>
        <w:adjustRightInd w:val="0"/>
        <w:rPr>
          <w:lang w:val="en-GB" w:eastAsia="en-GB"/>
        </w:rPr>
      </w:pPr>
      <w:r w:rsidRPr="002F6D46">
        <w:rPr>
          <w:rFonts w:eastAsia="Arial Unicode MS"/>
          <w:sz w:val="16"/>
          <w:szCs w:val="16"/>
        </w:rPr>
        <w:br/>
      </w:r>
    </w:p>
    <w:tbl>
      <w:tblPr>
        <w:tblW w:w="9182" w:type="dxa"/>
        <w:tblCellMar>
          <w:left w:w="70" w:type="dxa"/>
          <w:right w:w="70" w:type="dxa"/>
        </w:tblCellMar>
        <w:tblLook w:val="04A0" w:firstRow="1" w:lastRow="0" w:firstColumn="1" w:lastColumn="0" w:noHBand="0" w:noVBand="1"/>
      </w:tblPr>
      <w:tblGrid>
        <w:gridCol w:w="4242"/>
        <w:gridCol w:w="1235"/>
        <w:gridCol w:w="1235"/>
        <w:gridCol w:w="1235"/>
        <w:gridCol w:w="1235"/>
      </w:tblGrid>
      <w:tr w:rsidR="002F6D46" w:rsidRPr="002F6D46" w14:paraId="33DF0BC9" w14:textId="77777777" w:rsidTr="00BA637F">
        <w:trPr>
          <w:divId w:val="1701664662"/>
          <w:trHeight w:val="273"/>
        </w:trPr>
        <w:tc>
          <w:tcPr>
            <w:tcW w:w="4242" w:type="dxa"/>
            <w:tcBorders>
              <w:top w:val="double" w:sz="6" w:space="0" w:color="auto"/>
              <w:left w:val="nil"/>
              <w:bottom w:val="nil"/>
              <w:right w:val="nil"/>
            </w:tcBorders>
            <w:shd w:val="clear" w:color="auto" w:fill="auto"/>
            <w:vAlign w:val="center"/>
            <w:hideMark/>
          </w:tcPr>
          <w:p w14:paraId="2A1EFBC8" w14:textId="580F9329" w:rsidR="002F6D46" w:rsidRPr="002F6D46" w:rsidRDefault="002F6D46" w:rsidP="002F6D46">
            <w:pPr>
              <w:jc w:val="right"/>
              <w:rPr>
                <w:sz w:val="18"/>
                <w:szCs w:val="16"/>
                <w:lang w:eastAsia="tr-TR"/>
              </w:rPr>
            </w:pPr>
            <w:r w:rsidRPr="002F6D46">
              <w:rPr>
                <w:sz w:val="18"/>
                <w:szCs w:val="16"/>
                <w:lang w:eastAsia="tr-TR"/>
              </w:rPr>
              <w:t> </w:t>
            </w:r>
          </w:p>
        </w:tc>
        <w:tc>
          <w:tcPr>
            <w:tcW w:w="2470" w:type="dxa"/>
            <w:gridSpan w:val="2"/>
            <w:tcBorders>
              <w:top w:val="double" w:sz="6" w:space="0" w:color="auto"/>
              <w:left w:val="nil"/>
              <w:bottom w:val="single" w:sz="8" w:space="0" w:color="auto"/>
              <w:right w:val="nil"/>
            </w:tcBorders>
            <w:shd w:val="clear" w:color="auto" w:fill="auto"/>
            <w:vAlign w:val="center"/>
            <w:hideMark/>
          </w:tcPr>
          <w:p w14:paraId="01ADED7E" w14:textId="77777777" w:rsidR="002F6D46" w:rsidRPr="002F6D46" w:rsidRDefault="002F6D46" w:rsidP="002F6D46">
            <w:pPr>
              <w:jc w:val="center"/>
              <w:rPr>
                <w:b/>
                <w:bCs/>
                <w:sz w:val="18"/>
                <w:szCs w:val="16"/>
                <w:lang w:eastAsia="tr-TR"/>
              </w:rPr>
            </w:pPr>
            <w:r w:rsidRPr="002F6D46">
              <w:rPr>
                <w:b/>
                <w:bCs/>
                <w:sz w:val="18"/>
                <w:szCs w:val="16"/>
                <w:lang w:eastAsia="tr-TR"/>
              </w:rPr>
              <w:t>Cari Dönem</w:t>
            </w:r>
          </w:p>
        </w:tc>
        <w:tc>
          <w:tcPr>
            <w:tcW w:w="2470" w:type="dxa"/>
            <w:gridSpan w:val="2"/>
            <w:tcBorders>
              <w:top w:val="double" w:sz="6" w:space="0" w:color="auto"/>
              <w:left w:val="nil"/>
              <w:bottom w:val="single" w:sz="8" w:space="0" w:color="auto"/>
              <w:right w:val="nil"/>
            </w:tcBorders>
            <w:shd w:val="clear" w:color="auto" w:fill="auto"/>
            <w:vAlign w:val="center"/>
            <w:hideMark/>
          </w:tcPr>
          <w:p w14:paraId="087CB958" w14:textId="77777777" w:rsidR="002F6D46" w:rsidRPr="002F6D46" w:rsidRDefault="002F6D46" w:rsidP="002F6D46">
            <w:pPr>
              <w:jc w:val="center"/>
              <w:rPr>
                <w:b/>
                <w:bCs/>
                <w:sz w:val="18"/>
                <w:szCs w:val="16"/>
                <w:lang w:eastAsia="tr-TR"/>
              </w:rPr>
            </w:pPr>
            <w:r w:rsidRPr="002F6D46">
              <w:rPr>
                <w:b/>
                <w:bCs/>
                <w:sz w:val="18"/>
                <w:szCs w:val="16"/>
                <w:lang w:eastAsia="tr-TR"/>
              </w:rPr>
              <w:t>Önceki Dönem</w:t>
            </w:r>
          </w:p>
        </w:tc>
      </w:tr>
      <w:tr w:rsidR="002F6D46" w:rsidRPr="002F6D46" w14:paraId="7AD35EF1" w14:textId="77777777" w:rsidTr="00BA637F">
        <w:trPr>
          <w:divId w:val="1701664662"/>
          <w:trHeight w:val="256"/>
        </w:trPr>
        <w:tc>
          <w:tcPr>
            <w:tcW w:w="4242" w:type="dxa"/>
            <w:tcBorders>
              <w:top w:val="nil"/>
              <w:left w:val="nil"/>
              <w:bottom w:val="single" w:sz="8" w:space="0" w:color="auto"/>
              <w:right w:val="nil"/>
            </w:tcBorders>
            <w:shd w:val="clear" w:color="auto" w:fill="auto"/>
            <w:vAlign w:val="center"/>
            <w:hideMark/>
          </w:tcPr>
          <w:p w14:paraId="0ED3EBF0" w14:textId="77777777" w:rsidR="002F6D46" w:rsidRPr="002F6D46" w:rsidRDefault="002F6D46" w:rsidP="002F6D46">
            <w:pPr>
              <w:jc w:val="right"/>
              <w:rPr>
                <w:sz w:val="18"/>
                <w:szCs w:val="16"/>
                <w:lang w:eastAsia="tr-TR"/>
              </w:rPr>
            </w:pPr>
            <w:r w:rsidRPr="002F6D46">
              <w:rPr>
                <w:sz w:val="18"/>
                <w:szCs w:val="16"/>
                <w:lang w:eastAsia="tr-TR"/>
              </w:rPr>
              <w:t> </w:t>
            </w:r>
          </w:p>
        </w:tc>
        <w:tc>
          <w:tcPr>
            <w:tcW w:w="1235" w:type="dxa"/>
            <w:tcBorders>
              <w:top w:val="nil"/>
              <w:left w:val="nil"/>
              <w:bottom w:val="single" w:sz="8" w:space="0" w:color="auto"/>
              <w:right w:val="nil"/>
            </w:tcBorders>
            <w:shd w:val="clear" w:color="auto" w:fill="auto"/>
            <w:vAlign w:val="center"/>
            <w:hideMark/>
          </w:tcPr>
          <w:p w14:paraId="730F1D2E" w14:textId="77777777" w:rsidR="002F6D46" w:rsidRPr="002F6D46" w:rsidRDefault="002F6D46" w:rsidP="002F6D46">
            <w:pPr>
              <w:jc w:val="right"/>
              <w:rPr>
                <w:b/>
                <w:bCs/>
                <w:sz w:val="18"/>
                <w:szCs w:val="16"/>
                <w:lang w:eastAsia="tr-TR"/>
              </w:rPr>
            </w:pPr>
            <w:r w:rsidRPr="002F6D46">
              <w:rPr>
                <w:b/>
                <w:bCs/>
                <w:sz w:val="18"/>
                <w:szCs w:val="16"/>
                <w:lang w:eastAsia="tr-TR"/>
              </w:rPr>
              <w:t>TP</w:t>
            </w:r>
          </w:p>
        </w:tc>
        <w:tc>
          <w:tcPr>
            <w:tcW w:w="1235" w:type="dxa"/>
            <w:tcBorders>
              <w:top w:val="nil"/>
              <w:left w:val="nil"/>
              <w:bottom w:val="single" w:sz="8" w:space="0" w:color="auto"/>
              <w:right w:val="nil"/>
            </w:tcBorders>
            <w:shd w:val="clear" w:color="auto" w:fill="auto"/>
            <w:vAlign w:val="center"/>
            <w:hideMark/>
          </w:tcPr>
          <w:p w14:paraId="25DF5EBE" w14:textId="77777777" w:rsidR="002F6D46" w:rsidRPr="002F6D46" w:rsidRDefault="002F6D46" w:rsidP="002F6D46">
            <w:pPr>
              <w:jc w:val="right"/>
              <w:rPr>
                <w:b/>
                <w:bCs/>
                <w:sz w:val="18"/>
                <w:szCs w:val="16"/>
                <w:lang w:eastAsia="tr-TR"/>
              </w:rPr>
            </w:pPr>
            <w:r w:rsidRPr="002F6D46">
              <w:rPr>
                <w:b/>
                <w:bCs/>
                <w:sz w:val="18"/>
                <w:szCs w:val="16"/>
                <w:lang w:eastAsia="tr-TR"/>
              </w:rPr>
              <w:t>YP</w:t>
            </w:r>
          </w:p>
        </w:tc>
        <w:tc>
          <w:tcPr>
            <w:tcW w:w="1235" w:type="dxa"/>
            <w:tcBorders>
              <w:top w:val="nil"/>
              <w:left w:val="nil"/>
              <w:bottom w:val="single" w:sz="8" w:space="0" w:color="auto"/>
              <w:right w:val="nil"/>
            </w:tcBorders>
            <w:shd w:val="clear" w:color="auto" w:fill="auto"/>
            <w:vAlign w:val="center"/>
            <w:hideMark/>
          </w:tcPr>
          <w:p w14:paraId="054265FC" w14:textId="77777777" w:rsidR="002F6D46" w:rsidRPr="002F6D46" w:rsidRDefault="002F6D46" w:rsidP="002F6D46">
            <w:pPr>
              <w:jc w:val="right"/>
              <w:rPr>
                <w:b/>
                <w:bCs/>
                <w:sz w:val="18"/>
                <w:szCs w:val="16"/>
                <w:lang w:eastAsia="tr-TR"/>
              </w:rPr>
            </w:pPr>
            <w:r w:rsidRPr="002F6D46">
              <w:rPr>
                <w:b/>
                <w:bCs/>
                <w:sz w:val="18"/>
                <w:szCs w:val="16"/>
                <w:lang w:eastAsia="tr-TR"/>
              </w:rPr>
              <w:t>TP</w:t>
            </w:r>
          </w:p>
        </w:tc>
        <w:tc>
          <w:tcPr>
            <w:tcW w:w="1235" w:type="dxa"/>
            <w:tcBorders>
              <w:top w:val="nil"/>
              <w:left w:val="nil"/>
              <w:bottom w:val="single" w:sz="8" w:space="0" w:color="auto"/>
              <w:right w:val="nil"/>
            </w:tcBorders>
            <w:shd w:val="clear" w:color="auto" w:fill="auto"/>
            <w:vAlign w:val="center"/>
            <w:hideMark/>
          </w:tcPr>
          <w:p w14:paraId="5F4F288C" w14:textId="77777777" w:rsidR="002F6D46" w:rsidRPr="002F6D46" w:rsidRDefault="002F6D46" w:rsidP="002F6D46">
            <w:pPr>
              <w:jc w:val="right"/>
              <w:rPr>
                <w:b/>
                <w:bCs/>
                <w:sz w:val="18"/>
                <w:szCs w:val="16"/>
                <w:lang w:eastAsia="tr-TR"/>
              </w:rPr>
            </w:pPr>
            <w:r w:rsidRPr="002F6D46">
              <w:rPr>
                <w:b/>
                <w:bCs/>
                <w:sz w:val="18"/>
                <w:szCs w:val="16"/>
                <w:lang w:eastAsia="tr-TR"/>
              </w:rPr>
              <w:t>YP</w:t>
            </w:r>
          </w:p>
        </w:tc>
      </w:tr>
      <w:tr w:rsidR="002F6D46" w:rsidRPr="002F6D46" w14:paraId="1F360A5D" w14:textId="77777777" w:rsidTr="00BA637F">
        <w:trPr>
          <w:divId w:val="1701664662"/>
          <w:trHeight w:val="239"/>
        </w:trPr>
        <w:tc>
          <w:tcPr>
            <w:tcW w:w="4242" w:type="dxa"/>
            <w:tcBorders>
              <w:top w:val="nil"/>
              <w:left w:val="nil"/>
              <w:bottom w:val="nil"/>
              <w:right w:val="nil"/>
            </w:tcBorders>
            <w:shd w:val="clear" w:color="auto" w:fill="auto"/>
            <w:vAlign w:val="center"/>
            <w:hideMark/>
          </w:tcPr>
          <w:p w14:paraId="19EE4CD2" w14:textId="77777777" w:rsidR="002F6D46" w:rsidRPr="002F6D46" w:rsidRDefault="002F6D46" w:rsidP="002F6D46">
            <w:pPr>
              <w:jc w:val="both"/>
              <w:rPr>
                <w:sz w:val="18"/>
                <w:szCs w:val="16"/>
                <w:lang w:eastAsia="tr-TR"/>
              </w:rPr>
            </w:pPr>
            <w:r w:rsidRPr="002F6D46">
              <w:rPr>
                <w:sz w:val="18"/>
                <w:szCs w:val="16"/>
                <w:lang w:eastAsia="tr-TR"/>
              </w:rPr>
              <w:t>Vadesiz Serbest Hesap</w:t>
            </w:r>
          </w:p>
        </w:tc>
        <w:tc>
          <w:tcPr>
            <w:tcW w:w="1235" w:type="dxa"/>
            <w:tcBorders>
              <w:top w:val="nil"/>
              <w:left w:val="nil"/>
              <w:bottom w:val="nil"/>
              <w:right w:val="nil"/>
            </w:tcBorders>
            <w:shd w:val="clear" w:color="auto" w:fill="auto"/>
            <w:vAlign w:val="center"/>
            <w:hideMark/>
          </w:tcPr>
          <w:p w14:paraId="6605E522" w14:textId="77777777" w:rsidR="002F6D46" w:rsidRPr="002F6D46" w:rsidRDefault="002F6D46" w:rsidP="002F6D46">
            <w:pPr>
              <w:jc w:val="right"/>
              <w:rPr>
                <w:sz w:val="18"/>
                <w:szCs w:val="16"/>
                <w:lang w:eastAsia="tr-TR"/>
              </w:rPr>
            </w:pPr>
            <w:r w:rsidRPr="002F6D46">
              <w:rPr>
                <w:sz w:val="18"/>
                <w:szCs w:val="16"/>
                <w:lang w:eastAsia="tr-TR"/>
              </w:rPr>
              <w:t>557,816</w:t>
            </w:r>
          </w:p>
        </w:tc>
        <w:tc>
          <w:tcPr>
            <w:tcW w:w="1235" w:type="dxa"/>
            <w:tcBorders>
              <w:top w:val="nil"/>
              <w:left w:val="nil"/>
              <w:bottom w:val="nil"/>
              <w:right w:val="nil"/>
            </w:tcBorders>
            <w:shd w:val="clear" w:color="auto" w:fill="auto"/>
            <w:vAlign w:val="center"/>
            <w:hideMark/>
          </w:tcPr>
          <w:p w14:paraId="0B34492F" w14:textId="77777777" w:rsidR="002F6D46" w:rsidRPr="002F6D46" w:rsidRDefault="002F6D46" w:rsidP="002F6D46">
            <w:pPr>
              <w:jc w:val="right"/>
              <w:rPr>
                <w:sz w:val="18"/>
                <w:szCs w:val="16"/>
                <w:lang w:eastAsia="tr-TR"/>
              </w:rPr>
            </w:pPr>
            <w:r w:rsidRPr="002F6D46">
              <w:rPr>
                <w:sz w:val="18"/>
                <w:szCs w:val="16"/>
                <w:lang w:eastAsia="tr-TR"/>
              </w:rPr>
              <w:t>76</w:t>
            </w:r>
          </w:p>
        </w:tc>
        <w:tc>
          <w:tcPr>
            <w:tcW w:w="1235" w:type="dxa"/>
            <w:tcBorders>
              <w:top w:val="nil"/>
              <w:left w:val="nil"/>
              <w:bottom w:val="nil"/>
              <w:right w:val="nil"/>
            </w:tcBorders>
            <w:shd w:val="clear" w:color="auto" w:fill="auto"/>
            <w:vAlign w:val="center"/>
            <w:hideMark/>
          </w:tcPr>
          <w:p w14:paraId="6FE83EE7" w14:textId="77777777" w:rsidR="002F6D46" w:rsidRPr="002F6D46" w:rsidRDefault="002F6D46" w:rsidP="002F6D46">
            <w:pPr>
              <w:jc w:val="right"/>
              <w:rPr>
                <w:sz w:val="18"/>
                <w:szCs w:val="16"/>
                <w:lang w:eastAsia="tr-TR"/>
              </w:rPr>
            </w:pPr>
            <w:r w:rsidRPr="002F6D46">
              <w:rPr>
                <w:sz w:val="18"/>
                <w:szCs w:val="16"/>
                <w:lang w:eastAsia="tr-TR"/>
              </w:rPr>
              <w:t>730,347</w:t>
            </w:r>
          </w:p>
        </w:tc>
        <w:tc>
          <w:tcPr>
            <w:tcW w:w="1235" w:type="dxa"/>
            <w:tcBorders>
              <w:top w:val="nil"/>
              <w:left w:val="nil"/>
              <w:bottom w:val="nil"/>
              <w:right w:val="nil"/>
            </w:tcBorders>
            <w:shd w:val="clear" w:color="auto" w:fill="auto"/>
            <w:vAlign w:val="center"/>
            <w:hideMark/>
          </w:tcPr>
          <w:p w14:paraId="3BC211EA" w14:textId="77777777" w:rsidR="002F6D46" w:rsidRPr="002F6D46" w:rsidRDefault="002F6D46" w:rsidP="002F6D46">
            <w:pPr>
              <w:jc w:val="right"/>
              <w:rPr>
                <w:sz w:val="18"/>
                <w:szCs w:val="16"/>
                <w:lang w:eastAsia="tr-TR"/>
              </w:rPr>
            </w:pPr>
            <w:r w:rsidRPr="002F6D46">
              <w:rPr>
                <w:sz w:val="18"/>
                <w:szCs w:val="16"/>
                <w:lang w:eastAsia="tr-TR"/>
              </w:rPr>
              <w:t>3,201,221</w:t>
            </w:r>
          </w:p>
        </w:tc>
      </w:tr>
      <w:tr w:rsidR="002F6D46" w:rsidRPr="002F6D46" w14:paraId="73EDE0E9" w14:textId="77777777" w:rsidTr="00BA637F">
        <w:trPr>
          <w:divId w:val="1701664662"/>
          <w:trHeight w:val="239"/>
        </w:trPr>
        <w:tc>
          <w:tcPr>
            <w:tcW w:w="4242" w:type="dxa"/>
            <w:tcBorders>
              <w:top w:val="nil"/>
              <w:left w:val="nil"/>
              <w:bottom w:val="nil"/>
              <w:right w:val="nil"/>
            </w:tcBorders>
            <w:shd w:val="clear" w:color="auto" w:fill="auto"/>
            <w:vAlign w:val="center"/>
            <w:hideMark/>
          </w:tcPr>
          <w:p w14:paraId="773848C8" w14:textId="77777777" w:rsidR="002F6D46" w:rsidRPr="002F6D46" w:rsidRDefault="002F6D46" w:rsidP="002F6D46">
            <w:pPr>
              <w:jc w:val="both"/>
              <w:rPr>
                <w:sz w:val="18"/>
                <w:szCs w:val="16"/>
                <w:lang w:eastAsia="tr-TR"/>
              </w:rPr>
            </w:pPr>
            <w:r w:rsidRPr="002F6D46">
              <w:rPr>
                <w:sz w:val="18"/>
                <w:szCs w:val="16"/>
                <w:lang w:eastAsia="tr-TR"/>
              </w:rPr>
              <w:t>Vadeli Serbest Hesap</w:t>
            </w:r>
          </w:p>
        </w:tc>
        <w:tc>
          <w:tcPr>
            <w:tcW w:w="1235" w:type="dxa"/>
            <w:tcBorders>
              <w:top w:val="nil"/>
              <w:left w:val="nil"/>
              <w:bottom w:val="nil"/>
              <w:right w:val="nil"/>
            </w:tcBorders>
            <w:shd w:val="clear" w:color="auto" w:fill="auto"/>
            <w:vAlign w:val="center"/>
            <w:hideMark/>
          </w:tcPr>
          <w:p w14:paraId="454D06EF" w14:textId="77777777" w:rsidR="002F6D46" w:rsidRPr="002F6D46" w:rsidRDefault="002F6D46" w:rsidP="002F6D46">
            <w:pPr>
              <w:jc w:val="right"/>
              <w:rPr>
                <w:sz w:val="18"/>
                <w:szCs w:val="16"/>
                <w:lang w:eastAsia="tr-TR"/>
              </w:rPr>
            </w:pPr>
            <w:r w:rsidRPr="002F6D46">
              <w:rPr>
                <w:sz w:val="18"/>
                <w:szCs w:val="16"/>
                <w:lang w:eastAsia="tr-TR"/>
              </w:rPr>
              <w:t>-</w:t>
            </w:r>
          </w:p>
        </w:tc>
        <w:tc>
          <w:tcPr>
            <w:tcW w:w="1235" w:type="dxa"/>
            <w:tcBorders>
              <w:top w:val="nil"/>
              <w:left w:val="nil"/>
              <w:bottom w:val="nil"/>
              <w:right w:val="nil"/>
            </w:tcBorders>
            <w:shd w:val="clear" w:color="auto" w:fill="auto"/>
            <w:vAlign w:val="center"/>
            <w:hideMark/>
          </w:tcPr>
          <w:p w14:paraId="370FD66B" w14:textId="77777777" w:rsidR="002F6D46" w:rsidRPr="002F6D46" w:rsidRDefault="002F6D46" w:rsidP="002F6D46">
            <w:pPr>
              <w:jc w:val="right"/>
              <w:rPr>
                <w:sz w:val="18"/>
                <w:szCs w:val="16"/>
                <w:lang w:eastAsia="tr-TR"/>
              </w:rPr>
            </w:pPr>
            <w:r w:rsidRPr="002F6D46">
              <w:rPr>
                <w:sz w:val="18"/>
                <w:szCs w:val="16"/>
                <w:lang w:eastAsia="tr-TR"/>
              </w:rPr>
              <w:t>-</w:t>
            </w:r>
          </w:p>
        </w:tc>
        <w:tc>
          <w:tcPr>
            <w:tcW w:w="1235" w:type="dxa"/>
            <w:tcBorders>
              <w:top w:val="nil"/>
              <w:left w:val="nil"/>
              <w:bottom w:val="nil"/>
              <w:right w:val="nil"/>
            </w:tcBorders>
            <w:shd w:val="clear" w:color="auto" w:fill="auto"/>
            <w:vAlign w:val="center"/>
            <w:hideMark/>
          </w:tcPr>
          <w:p w14:paraId="75A1874E" w14:textId="77777777" w:rsidR="002F6D46" w:rsidRPr="002F6D46" w:rsidRDefault="002F6D46" w:rsidP="002F6D46">
            <w:pPr>
              <w:jc w:val="right"/>
              <w:rPr>
                <w:sz w:val="18"/>
                <w:szCs w:val="16"/>
                <w:lang w:eastAsia="tr-TR"/>
              </w:rPr>
            </w:pPr>
            <w:r w:rsidRPr="002F6D46">
              <w:rPr>
                <w:sz w:val="18"/>
                <w:szCs w:val="16"/>
                <w:lang w:eastAsia="tr-TR"/>
              </w:rPr>
              <w:t>425,000</w:t>
            </w:r>
          </w:p>
        </w:tc>
        <w:tc>
          <w:tcPr>
            <w:tcW w:w="1235" w:type="dxa"/>
            <w:tcBorders>
              <w:top w:val="nil"/>
              <w:left w:val="nil"/>
              <w:bottom w:val="nil"/>
              <w:right w:val="nil"/>
            </w:tcBorders>
            <w:shd w:val="clear" w:color="auto" w:fill="auto"/>
            <w:vAlign w:val="center"/>
            <w:hideMark/>
          </w:tcPr>
          <w:p w14:paraId="50D0C3A1" w14:textId="77777777" w:rsidR="002F6D46" w:rsidRPr="002F6D46" w:rsidRDefault="002F6D46" w:rsidP="002F6D46">
            <w:pPr>
              <w:jc w:val="right"/>
              <w:rPr>
                <w:sz w:val="18"/>
                <w:szCs w:val="16"/>
                <w:lang w:eastAsia="tr-TR"/>
              </w:rPr>
            </w:pPr>
            <w:r w:rsidRPr="002F6D46">
              <w:rPr>
                <w:sz w:val="18"/>
                <w:szCs w:val="16"/>
                <w:lang w:eastAsia="tr-TR"/>
              </w:rPr>
              <w:t>-</w:t>
            </w:r>
          </w:p>
        </w:tc>
      </w:tr>
      <w:tr w:rsidR="002F6D46" w:rsidRPr="002F6D46" w14:paraId="76E28850" w14:textId="77777777" w:rsidTr="00BA637F">
        <w:trPr>
          <w:divId w:val="1701664662"/>
          <w:trHeight w:val="256"/>
        </w:trPr>
        <w:tc>
          <w:tcPr>
            <w:tcW w:w="4242" w:type="dxa"/>
            <w:tcBorders>
              <w:top w:val="nil"/>
              <w:left w:val="nil"/>
              <w:bottom w:val="single" w:sz="8" w:space="0" w:color="auto"/>
              <w:right w:val="nil"/>
            </w:tcBorders>
            <w:shd w:val="clear" w:color="auto" w:fill="auto"/>
            <w:vAlign w:val="center"/>
            <w:hideMark/>
          </w:tcPr>
          <w:p w14:paraId="07DA3A4B" w14:textId="77777777" w:rsidR="002F6D46" w:rsidRPr="002F6D46" w:rsidRDefault="002F6D46" w:rsidP="002F6D46">
            <w:pPr>
              <w:jc w:val="both"/>
              <w:rPr>
                <w:sz w:val="18"/>
                <w:szCs w:val="16"/>
                <w:lang w:eastAsia="tr-TR"/>
              </w:rPr>
            </w:pPr>
            <w:r w:rsidRPr="002F6D46">
              <w:rPr>
                <w:sz w:val="18"/>
                <w:szCs w:val="16"/>
                <w:lang w:eastAsia="tr-TR"/>
              </w:rPr>
              <w:t>Vadeli Serbest Olmayan Hesap</w:t>
            </w:r>
          </w:p>
        </w:tc>
        <w:tc>
          <w:tcPr>
            <w:tcW w:w="1235" w:type="dxa"/>
            <w:tcBorders>
              <w:top w:val="nil"/>
              <w:left w:val="nil"/>
              <w:bottom w:val="single" w:sz="8" w:space="0" w:color="auto"/>
              <w:right w:val="nil"/>
            </w:tcBorders>
            <w:shd w:val="clear" w:color="auto" w:fill="auto"/>
            <w:vAlign w:val="center"/>
            <w:hideMark/>
          </w:tcPr>
          <w:p w14:paraId="59FAF53C" w14:textId="77777777" w:rsidR="002F6D46" w:rsidRPr="002F6D46" w:rsidRDefault="002F6D46" w:rsidP="002F6D46">
            <w:pPr>
              <w:jc w:val="right"/>
              <w:rPr>
                <w:sz w:val="18"/>
                <w:szCs w:val="16"/>
                <w:lang w:eastAsia="tr-TR"/>
              </w:rPr>
            </w:pPr>
            <w:r w:rsidRPr="002F6D46">
              <w:rPr>
                <w:sz w:val="18"/>
                <w:szCs w:val="16"/>
                <w:lang w:eastAsia="tr-TR"/>
              </w:rPr>
              <w:t>12,659</w:t>
            </w:r>
          </w:p>
        </w:tc>
        <w:tc>
          <w:tcPr>
            <w:tcW w:w="1235" w:type="dxa"/>
            <w:tcBorders>
              <w:top w:val="nil"/>
              <w:left w:val="nil"/>
              <w:bottom w:val="single" w:sz="8" w:space="0" w:color="auto"/>
              <w:right w:val="nil"/>
            </w:tcBorders>
            <w:shd w:val="clear" w:color="auto" w:fill="auto"/>
            <w:vAlign w:val="center"/>
            <w:hideMark/>
          </w:tcPr>
          <w:p w14:paraId="0B9EDC29" w14:textId="77777777" w:rsidR="002F6D46" w:rsidRPr="002F6D46" w:rsidRDefault="002F6D46" w:rsidP="002F6D46">
            <w:pPr>
              <w:jc w:val="right"/>
              <w:rPr>
                <w:sz w:val="18"/>
                <w:szCs w:val="16"/>
                <w:lang w:eastAsia="tr-TR"/>
              </w:rPr>
            </w:pPr>
            <w:r w:rsidRPr="002F6D46">
              <w:rPr>
                <w:sz w:val="18"/>
                <w:szCs w:val="16"/>
                <w:lang w:eastAsia="tr-TR"/>
              </w:rPr>
              <w:t>16,930,883</w:t>
            </w:r>
          </w:p>
        </w:tc>
        <w:tc>
          <w:tcPr>
            <w:tcW w:w="1235" w:type="dxa"/>
            <w:tcBorders>
              <w:top w:val="nil"/>
              <w:left w:val="nil"/>
              <w:bottom w:val="single" w:sz="8" w:space="0" w:color="auto"/>
              <w:right w:val="nil"/>
            </w:tcBorders>
            <w:shd w:val="clear" w:color="auto" w:fill="auto"/>
            <w:vAlign w:val="center"/>
            <w:hideMark/>
          </w:tcPr>
          <w:p w14:paraId="6870D0CE" w14:textId="77777777" w:rsidR="002F6D46" w:rsidRPr="002F6D46" w:rsidRDefault="002F6D46" w:rsidP="002F6D46">
            <w:pPr>
              <w:jc w:val="right"/>
              <w:rPr>
                <w:sz w:val="18"/>
                <w:szCs w:val="16"/>
                <w:lang w:eastAsia="tr-TR"/>
              </w:rPr>
            </w:pPr>
            <w:r w:rsidRPr="002F6D46">
              <w:rPr>
                <w:sz w:val="18"/>
                <w:szCs w:val="16"/>
                <w:lang w:eastAsia="tr-TR"/>
              </w:rPr>
              <w:t>244</w:t>
            </w:r>
          </w:p>
        </w:tc>
        <w:tc>
          <w:tcPr>
            <w:tcW w:w="1235" w:type="dxa"/>
            <w:tcBorders>
              <w:top w:val="nil"/>
              <w:left w:val="nil"/>
              <w:bottom w:val="single" w:sz="8" w:space="0" w:color="auto"/>
              <w:right w:val="nil"/>
            </w:tcBorders>
            <w:shd w:val="clear" w:color="auto" w:fill="auto"/>
            <w:vAlign w:val="center"/>
            <w:hideMark/>
          </w:tcPr>
          <w:p w14:paraId="4B076CB7" w14:textId="77777777" w:rsidR="002F6D46" w:rsidRPr="002F6D46" w:rsidRDefault="002F6D46" w:rsidP="002F6D46">
            <w:pPr>
              <w:jc w:val="right"/>
              <w:rPr>
                <w:sz w:val="18"/>
                <w:szCs w:val="16"/>
                <w:lang w:eastAsia="tr-TR"/>
              </w:rPr>
            </w:pPr>
            <w:r w:rsidRPr="002F6D46">
              <w:rPr>
                <w:sz w:val="18"/>
                <w:szCs w:val="16"/>
                <w:lang w:eastAsia="tr-TR"/>
              </w:rPr>
              <w:t>11,296,910</w:t>
            </w:r>
          </w:p>
        </w:tc>
      </w:tr>
      <w:tr w:rsidR="002F6D46" w:rsidRPr="002F6D46" w14:paraId="65786D8C" w14:textId="77777777" w:rsidTr="00BA637F">
        <w:trPr>
          <w:divId w:val="1701664662"/>
          <w:trHeight w:val="256"/>
        </w:trPr>
        <w:tc>
          <w:tcPr>
            <w:tcW w:w="4242" w:type="dxa"/>
            <w:tcBorders>
              <w:top w:val="nil"/>
              <w:left w:val="nil"/>
              <w:bottom w:val="double" w:sz="6" w:space="0" w:color="auto"/>
              <w:right w:val="nil"/>
            </w:tcBorders>
            <w:shd w:val="clear" w:color="auto" w:fill="auto"/>
            <w:vAlign w:val="center"/>
            <w:hideMark/>
          </w:tcPr>
          <w:p w14:paraId="6B944B1D" w14:textId="77777777" w:rsidR="002F6D46" w:rsidRPr="002F6D46" w:rsidRDefault="002F6D46" w:rsidP="002F6D46">
            <w:pPr>
              <w:jc w:val="both"/>
              <w:rPr>
                <w:b/>
                <w:bCs/>
                <w:sz w:val="18"/>
                <w:szCs w:val="16"/>
                <w:lang w:eastAsia="tr-TR"/>
              </w:rPr>
            </w:pPr>
            <w:r w:rsidRPr="002F6D46">
              <w:rPr>
                <w:b/>
                <w:bCs/>
                <w:sz w:val="18"/>
                <w:szCs w:val="16"/>
                <w:lang w:eastAsia="tr-TR"/>
              </w:rPr>
              <w:t>Toplam</w:t>
            </w:r>
          </w:p>
        </w:tc>
        <w:tc>
          <w:tcPr>
            <w:tcW w:w="1235" w:type="dxa"/>
            <w:tcBorders>
              <w:top w:val="nil"/>
              <w:left w:val="nil"/>
              <w:bottom w:val="double" w:sz="6" w:space="0" w:color="auto"/>
              <w:right w:val="nil"/>
            </w:tcBorders>
            <w:shd w:val="clear" w:color="auto" w:fill="auto"/>
            <w:vAlign w:val="center"/>
            <w:hideMark/>
          </w:tcPr>
          <w:p w14:paraId="331280A9" w14:textId="77777777" w:rsidR="002F6D46" w:rsidRPr="002F6D46" w:rsidRDefault="002F6D46" w:rsidP="002F6D46">
            <w:pPr>
              <w:jc w:val="right"/>
              <w:rPr>
                <w:b/>
                <w:bCs/>
                <w:sz w:val="18"/>
                <w:szCs w:val="16"/>
                <w:lang w:eastAsia="tr-TR"/>
              </w:rPr>
            </w:pPr>
            <w:r w:rsidRPr="002F6D46">
              <w:rPr>
                <w:b/>
                <w:bCs/>
                <w:sz w:val="18"/>
                <w:szCs w:val="16"/>
                <w:lang w:eastAsia="tr-TR"/>
              </w:rPr>
              <w:t>570,475</w:t>
            </w:r>
          </w:p>
        </w:tc>
        <w:tc>
          <w:tcPr>
            <w:tcW w:w="1235" w:type="dxa"/>
            <w:tcBorders>
              <w:top w:val="nil"/>
              <w:left w:val="nil"/>
              <w:bottom w:val="double" w:sz="6" w:space="0" w:color="auto"/>
              <w:right w:val="nil"/>
            </w:tcBorders>
            <w:shd w:val="clear" w:color="auto" w:fill="auto"/>
            <w:vAlign w:val="center"/>
            <w:hideMark/>
          </w:tcPr>
          <w:p w14:paraId="67DEA73D" w14:textId="77777777" w:rsidR="002F6D46" w:rsidRPr="002F6D46" w:rsidRDefault="002F6D46" w:rsidP="002F6D46">
            <w:pPr>
              <w:jc w:val="right"/>
              <w:rPr>
                <w:b/>
                <w:bCs/>
                <w:sz w:val="18"/>
                <w:szCs w:val="16"/>
                <w:lang w:eastAsia="tr-TR"/>
              </w:rPr>
            </w:pPr>
            <w:r w:rsidRPr="002F6D46">
              <w:rPr>
                <w:b/>
                <w:bCs/>
                <w:sz w:val="18"/>
                <w:szCs w:val="16"/>
                <w:lang w:eastAsia="tr-TR"/>
              </w:rPr>
              <w:t>16,930,959</w:t>
            </w:r>
          </w:p>
        </w:tc>
        <w:tc>
          <w:tcPr>
            <w:tcW w:w="1235" w:type="dxa"/>
            <w:tcBorders>
              <w:top w:val="nil"/>
              <w:left w:val="nil"/>
              <w:bottom w:val="double" w:sz="6" w:space="0" w:color="auto"/>
              <w:right w:val="nil"/>
            </w:tcBorders>
            <w:shd w:val="clear" w:color="auto" w:fill="auto"/>
            <w:vAlign w:val="center"/>
            <w:hideMark/>
          </w:tcPr>
          <w:p w14:paraId="63C2B2D0" w14:textId="77777777" w:rsidR="002F6D46" w:rsidRPr="002F6D46" w:rsidRDefault="002F6D46" w:rsidP="002F6D46">
            <w:pPr>
              <w:jc w:val="right"/>
              <w:rPr>
                <w:b/>
                <w:bCs/>
                <w:sz w:val="18"/>
                <w:szCs w:val="16"/>
                <w:lang w:eastAsia="tr-TR"/>
              </w:rPr>
            </w:pPr>
            <w:r w:rsidRPr="002F6D46">
              <w:rPr>
                <w:b/>
                <w:bCs/>
                <w:sz w:val="18"/>
                <w:szCs w:val="16"/>
                <w:lang w:eastAsia="tr-TR"/>
              </w:rPr>
              <w:t>1,155,591</w:t>
            </w:r>
          </w:p>
        </w:tc>
        <w:tc>
          <w:tcPr>
            <w:tcW w:w="1235" w:type="dxa"/>
            <w:tcBorders>
              <w:top w:val="nil"/>
              <w:left w:val="nil"/>
              <w:bottom w:val="double" w:sz="6" w:space="0" w:color="auto"/>
              <w:right w:val="nil"/>
            </w:tcBorders>
            <w:shd w:val="clear" w:color="auto" w:fill="auto"/>
            <w:vAlign w:val="center"/>
            <w:hideMark/>
          </w:tcPr>
          <w:p w14:paraId="3F52C5BB" w14:textId="77777777" w:rsidR="002F6D46" w:rsidRPr="002F6D46" w:rsidRDefault="002F6D46" w:rsidP="002F6D46">
            <w:pPr>
              <w:jc w:val="right"/>
              <w:rPr>
                <w:b/>
                <w:bCs/>
                <w:sz w:val="18"/>
                <w:szCs w:val="16"/>
                <w:lang w:eastAsia="tr-TR"/>
              </w:rPr>
            </w:pPr>
            <w:r w:rsidRPr="002F6D46">
              <w:rPr>
                <w:b/>
                <w:bCs/>
                <w:sz w:val="18"/>
                <w:szCs w:val="16"/>
                <w:lang w:eastAsia="tr-TR"/>
              </w:rPr>
              <w:t>14,498,131</w:t>
            </w:r>
          </w:p>
        </w:tc>
      </w:tr>
    </w:tbl>
    <w:p w14:paraId="052405AE" w14:textId="77777777" w:rsidR="006E4294" w:rsidRPr="00270CE6" w:rsidRDefault="006E4294" w:rsidP="006E4294">
      <w:pPr>
        <w:autoSpaceDE w:val="0"/>
        <w:autoSpaceDN w:val="0"/>
        <w:adjustRightInd w:val="0"/>
        <w:rPr>
          <w:rFonts w:eastAsia="Arial Unicode MS"/>
          <w:sz w:val="16"/>
          <w:szCs w:val="16"/>
          <w:highlight w:val="yellow"/>
        </w:rPr>
      </w:pPr>
    </w:p>
    <w:p w14:paraId="08ED8C0F" w14:textId="77777777" w:rsidR="00B02AD6" w:rsidRDefault="00B02AD6" w:rsidP="00B02AD6">
      <w:pPr>
        <w:autoSpaceDE w:val="0"/>
        <w:autoSpaceDN w:val="0"/>
        <w:jc w:val="both"/>
        <w:rPr>
          <w:color w:val="000000"/>
          <w:spacing w:val="-6"/>
        </w:rPr>
      </w:pPr>
      <w:r>
        <w:rPr>
          <w:color w:val="000000"/>
          <w:spacing w:val="-6"/>
        </w:rPr>
        <w:t xml:space="preserve">Banka, TCMB’nin “Zorunlu Karşılıklar Hakkında 2013/15 sayılı </w:t>
      </w:r>
      <w:proofErr w:type="spellStart"/>
      <w:r>
        <w:rPr>
          <w:color w:val="000000"/>
          <w:spacing w:val="-6"/>
        </w:rPr>
        <w:t>Tebliğ”ine</w:t>
      </w:r>
      <w:proofErr w:type="spellEnd"/>
      <w:r>
        <w:rPr>
          <w:color w:val="000000"/>
          <w:spacing w:val="-6"/>
        </w:rPr>
        <w:t xml:space="preserve"> göre Türk parası ve yabancı para yükümlülükleri için TCMB nezdinde zorunlu karşılık tesis etmektedir. Zorunlu karşılıklar TCMB’de “Zorunlu Karşılıklar Hakkında </w:t>
      </w:r>
      <w:proofErr w:type="spellStart"/>
      <w:r>
        <w:rPr>
          <w:color w:val="000000"/>
          <w:spacing w:val="-6"/>
        </w:rPr>
        <w:t>Tebliğ”e</w:t>
      </w:r>
      <w:proofErr w:type="spellEnd"/>
      <w:r>
        <w:rPr>
          <w:color w:val="000000"/>
          <w:spacing w:val="-6"/>
        </w:rPr>
        <w:t xml:space="preserve"> göre Türk Lirası, USD, EUR ve standart altın cinsinden tutulabilmektedir. Kasım 2014’ten itibaren Türk Lirası olarak tutulan zorunlu karşılıklara, Mayıs 2015’ten itibaren ise ABD Doları cinsinden tutulan zorunlu karşılıklara nema ödenmeye başlanmıştır. 30 Eylül 2020 tarihi itibarıyla Türk parası zorunlu karşılık için geçerli oranlar, vade yapısına göre % 1 ile % 4 aralığında (31 Aralık </w:t>
      </w:r>
      <w:proofErr w:type="gramStart"/>
      <w:r>
        <w:rPr>
          <w:color w:val="000000"/>
          <w:spacing w:val="-6"/>
        </w:rPr>
        <w:t>2019 -</w:t>
      </w:r>
      <w:proofErr w:type="gramEnd"/>
      <w:r>
        <w:rPr>
          <w:color w:val="000000"/>
          <w:spacing w:val="-6"/>
        </w:rPr>
        <w:t xml:space="preserve"> % 1 ile % 7 aralığında); yabancı para zorunlu karşılık için geçerli oranlar ise vade yapısına göre % 5 ile % 21 aralığında, (31 Aralık 2019 - % 5 ile % 21 aralığında)</w:t>
      </w:r>
      <w:r w:rsidRPr="00B02AD6">
        <w:rPr>
          <w:color w:val="000000"/>
          <w:spacing w:val="-6"/>
        </w:rPr>
        <w:t xml:space="preserve">;kıymetli maden zorunlu karşılık için geçerli oranlar ise vade yapısına göre %16 ile %22 aralığındadır. (31 Aralık </w:t>
      </w:r>
      <w:proofErr w:type="gramStart"/>
      <w:r w:rsidRPr="00B02AD6">
        <w:rPr>
          <w:color w:val="000000"/>
          <w:spacing w:val="-6"/>
        </w:rPr>
        <w:t>2019 -</w:t>
      </w:r>
      <w:proofErr w:type="gramEnd"/>
      <w:r w:rsidRPr="00B02AD6">
        <w:rPr>
          <w:color w:val="000000"/>
          <w:spacing w:val="-6"/>
        </w:rPr>
        <w:t xml:space="preserve"> % 5 ile % 21 aralığında)</w:t>
      </w:r>
    </w:p>
    <w:p w14:paraId="1439EC74" w14:textId="77777777" w:rsidR="000E549C" w:rsidRPr="00270CE6" w:rsidRDefault="000E549C" w:rsidP="00D56BE7">
      <w:pPr>
        <w:autoSpaceDE w:val="0"/>
        <w:autoSpaceDN w:val="0"/>
        <w:adjustRightInd w:val="0"/>
        <w:rPr>
          <w:rFonts w:eastAsia="Arial Unicode MS"/>
          <w:sz w:val="16"/>
          <w:szCs w:val="16"/>
          <w:highlight w:val="yellow"/>
        </w:rPr>
      </w:pPr>
    </w:p>
    <w:p w14:paraId="0D30EA6C" w14:textId="77777777" w:rsidR="00905E02" w:rsidRPr="002F6D46" w:rsidRDefault="00DF5E22" w:rsidP="00DE0848">
      <w:pPr>
        <w:pStyle w:val="BodyTextIndent"/>
        <w:tabs>
          <w:tab w:val="left" w:pos="709"/>
        </w:tabs>
        <w:autoSpaceDE/>
        <w:autoSpaceDN/>
        <w:adjustRightInd/>
        <w:ind w:left="0" w:hanging="567"/>
        <w:jc w:val="left"/>
        <w:rPr>
          <w:b/>
        </w:rPr>
      </w:pPr>
      <w:r w:rsidRPr="002F6D46">
        <w:rPr>
          <w:b/>
        </w:rPr>
        <w:t xml:space="preserve">1.2    </w:t>
      </w:r>
      <w:r w:rsidR="00DE0848" w:rsidRPr="002F6D46">
        <w:rPr>
          <w:b/>
        </w:rPr>
        <w:t xml:space="preserve">  </w:t>
      </w:r>
      <w:r w:rsidR="00E253C8" w:rsidRPr="002F6D46">
        <w:rPr>
          <w:b/>
        </w:rPr>
        <w:t>Gerçeğe uygun değer farkı k</w:t>
      </w:r>
      <w:r w:rsidR="007A5C4F" w:rsidRPr="002F6D46">
        <w:rPr>
          <w:b/>
        </w:rPr>
        <w:t>a</w:t>
      </w:r>
      <w:r w:rsidR="00E253C8" w:rsidRPr="002F6D46">
        <w:rPr>
          <w:b/>
        </w:rPr>
        <w:t>r/zarara yansıtılan finansal varlıklara ilişkin bilgiler:</w:t>
      </w:r>
    </w:p>
    <w:p w14:paraId="289DE144" w14:textId="77777777" w:rsidR="00C10FE2" w:rsidRPr="002F6D46" w:rsidRDefault="00C10FE2" w:rsidP="00DE0848">
      <w:pPr>
        <w:autoSpaceDE w:val="0"/>
        <w:autoSpaceDN w:val="0"/>
        <w:adjustRightInd w:val="0"/>
        <w:ind w:hanging="567"/>
        <w:jc w:val="both"/>
        <w:rPr>
          <w:b/>
          <w:sz w:val="16"/>
          <w:szCs w:val="16"/>
          <w:lang w:eastAsia="x-none"/>
        </w:rPr>
      </w:pPr>
    </w:p>
    <w:p w14:paraId="4BD7B1BD" w14:textId="3F136BDC" w:rsidR="002069BA" w:rsidRPr="002F6D46" w:rsidRDefault="00005117" w:rsidP="009D678B">
      <w:pPr>
        <w:autoSpaceDE w:val="0"/>
        <w:autoSpaceDN w:val="0"/>
        <w:adjustRightInd w:val="0"/>
        <w:jc w:val="both"/>
        <w:rPr>
          <w:rFonts w:eastAsia="Arial Unicode MS"/>
        </w:rPr>
      </w:pPr>
      <w:r w:rsidRPr="002F6D46">
        <w:rPr>
          <w:rFonts w:eastAsia="Arial Unicode MS"/>
          <w:color w:val="000000"/>
          <w:spacing w:val="-6"/>
        </w:rPr>
        <w:t xml:space="preserve">30 </w:t>
      </w:r>
      <w:r w:rsidR="009E1EC7" w:rsidRPr="002F6D46">
        <w:rPr>
          <w:rFonts w:eastAsia="Arial Unicode MS"/>
          <w:color w:val="000000"/>
          <w:spacing w:val="-6"/>
        </w:rPr>
        <w:t>Eylül</w:t>
      </w:r>
      <w:r w:rsidRPr="002F6D46">
        <w:rPr>
          <w:rFonts w:eastAsia="Arial Unicode MS"/>
          <w:color w:val="000000"/>
          <w:spacing w:val="-6"/>
        </w:rPr>
        <w:t xml:space="preserve"> </w:t>
      </w:r>
      <w:proofErr w:type="gramStart"/>
      <w:r w:rsidRPr="002F6D46">
        <w:rPr>
          <w:rFonts w:eastAsia="Arial Unicode MS"/>
          <w:color w:val="000000"/>
          <w:spacing w:val="-6"/>
        </w:rPr>
        <w:t xml:space="preserve">2020 </w:t>
      </w:r>
      <w:r w:rsidR="00E253C8" w:rsidRPr="002F6D46">
        <w:rPr>
          <w:rFonts w:eastAsia="Arial Unicode MS"/>
        </w:rPr>
        <w:t xml:space="preserve"> itibari</w:t>
      </w:r>
      <w:proofErr w:type="gramEnd"/>
      <w:r w:rsidR="00E253C8" w:rsidRPr="002F6D46">
        <w:rPr>
          <w:rFonts w:eastAsia="Arial Unicode MS"/>
        </w:rPr>
        <w:t xml:space="preserve"> ile gerçeğe uygun değer farkı kar/zarara yansıtılan finansal varlıklardan repo işlemlerine konu olan, teminata verilen, bloke edilen </w:t>
      </w:r>
      <w:r w:rsidR="00506EEC" w:rsidRPr="002F6D46">
        <w:rPr>
          <w:rFonts w:eastAsia="Arial Unicode MS"/>
        </w:rPr>
        <w:t>yoktur</w:t>
      </w:r>
      <w:r w:rsidR="00E253C8" w:rsidRPr="002F6D46">
        <w:rPr>
          <w:rFonts w:eastAsia="Arial Unicode MS"/>
        </w:rPr>
        <w:t xml:space="preserve"> </w:t>
      </w:r>
      <w:r w:rsidR="007C015F" w:rsidRPr="002F6D46">
        <w:t>(</w:t>
      </w:r>
      <w:r w:rsidR="003D2BB4" w:rsidRPr="002F6D46">
        <w:t xml:space="preserve">31 Aralık </w:t>
      </w:r>
      <w:r w:rsidR="00DF5E22" w:rsidRPr="002F6D46">
        <w:t>201</w:t>
      </w:r>
      <w:r w:rsidR="00FD5867" w:rsidRPr="002F6D46">
        <w:t>9</w:t>
      </w:r>
      <w:r w:rsidR="004738C3" w:rsidRPr="002F6D46">
        <w:t xml:space="preserve"> – </w:t>
      </w:r>
      <w:r w:rsidR="006B423B" w:rsidRPr="002F6D46">
        <w:t>Y</w:t>
      </w:r>
      <w:r w:rsidR="00E253C8" w:rsidRPr="002F6D46">
        <w:t>oktur).</w:t>
      </w:r>
    </w:p>
    <w:p w14:paraId="2CCA76CE" w14:textId="77777777" w:rsidR="002A200A" w:rsidRPr="002F6D46" w:rsidRDefault="002A200A" w:rsidP="002A200A">
      <w:pPr>
        <w:autoSpaceDE w:val="0"/>
        <w:autoSpaceDN w:val="0"/>
        <w:adjustRightInd w:val="0"/>
        <w:ind w:left="540"/>
        <w:jc w:val="both"/>
        <w:rPr>
          <w:rFonts w:eastAsia="Arial Unicode MS"/>
          <w:sz w:val="16"/>
          <w:szCs w:val="16"/>
        </w:rPr>
      </w:pPr>
    </w:p>
    <w:p w14:paraId="6E3C79D3" w14:textId="77777777" w:rsidR="00FE4F14" w:rsidRPr="002F6D46" w:rsidRDefault="009D678B" w:rsidP="00DE0848">
      <w:pPr>
        <w:tabs>
          <w:tab w:val="num" w:pos="0"/>
        </w:tabs>
        <w:autoSpaceDE w:val="0"/>
        <w:autoSpaceDN w:val="0"/>
        <w:adjustRightInd w:val="0"/>
        <w:ind w:left="709" w:hanging="1276"/>
      </w:pPr>
      <w:r w:rsidRPr="002F6D46">
        <w:rPr>
          <w:b/>
          <w:lang w:eastAsia="x-none"/>
        </w:rPr>
        <w:tab/>
      </w:r>
      <w:r w:rsidR="00E253C8" w:rsidRPr="002F6D46">
        <w:t>Alım satım amaçlı türev finansal varlıklara ilişkin pozitif farklar tablosu:</w:t>
      </w:r>
      <w:r w:rsidR="00A57C29" w:rsidRPr="002F6D46">
        <w:rPr>
          <w:b/>
          <w:sz w:val="18"/>
          <w:szCs w:val="18"/>
        </w:rPr>
        <w:t xml:space="preserve"> </w:t>
      </w:r>
    </w:p>
    <w:p w14:paraId="6A4C50E5" w14:textId="5AC155E0" w:rsidR="00C96D27" w:rsidRDefault="00C96D27" w:rsidP="00D22163">
      <w:pPr>
        <w:autoSpaceDE w:val="0"/>
        <w:autoSpaceDN w:val="0"/>
        <w:adjustRightInd w:val="0"/>
        <w:jc w:val="both"/>
        <w:rPr>
          <w:lang w:val="en-GB" w:eastAsia="en-GB"/>
        </w:rPr>
      </w:pPr>
    </w:p>
    <w:tbl>
      <w:tblPr>
        <w:tblW w:w="9218" w:type="dxa"/>
        <w:tblCellMar>
          <w:left w:w="70" w:type="dxa"/>
          <w:right w:w="70" w:type="dxa"/>
        </w:tblCellMar>
        <w:tblLook w:val="04A0" w:firstRow="1" w:lastRow="0" w:firstColumn="1" w:lastColumn="0" w:noHBand="0" w:noVBand="1"/>
      </w:tblPr>
      <w:tblGrid>
        <w:gridCol w:w="4186"/>
        <w:gridCol w:w="1257"/>
        <w:gridCol w:w="1259"/>
        <w:gridCol w:w="1257"/>
        <w:gridCol w:w="1259"/>
      </w:tblGrid>
      <w:tr w:rsidR="00C96D27" w:rsidRPr="00C96D27" w14:paraId="27407FF7" w14:textId="77777777" w:rsidTr="00BA637F">
        <w:trPr>
          <w:divId w:val="1849834538"/>
          <w:trHeight w:val="288"/>
        </w:trPr>
        <w:tc>
          <w:tcPr>
            <w:tcW w:w="4186" w:type="dxa"/>
            <w:tcBorders>
              <w:top w:val="double" w:sz="6" w:space="0" w:color="auto"/>
              <w:left w:val="nil"/>
              <w:bottom w:val="nil"/>
              <w:right w:val="nil"/>
            </w:tcBorders>
            <w:shd w:val="clear" w:color="auto" w:fill="auto"/>
            <w:vAlign w:val="center"/>
            <w:hideMark/>
          </w:tcPr>
          <w:p w14:paraId="25BAD414" w14:textId="136D7C75" w:rsidR="00C96D27" w:rsidRPr="00C96D27" w:rsidRDefault="00C96D27" w:rsidP="00C96D27">
            <w:pPr>
              <w:jc w:val="right"/>
              <w:rPr>
                <w:sz w:val="18"/>
                <w:szCs w:val="18"/>
                <w:lang w:eastAsia="tr-TR"/>
              </w:rPr>
            </w:pPr>
            <w:r w:rsidRPr="00C96D27">
              <w:rPr>
                <w:sz w:val="18"/>
                <w:szCs w:val="18"/>
                <w:lang w:eastAsia="tr-TR"/>
              </w:rPr>
              <w:t> </w:t>
            </w:r>
          </w:p>
        </w:tc>
        <w:tc>
          <w:tcPr>
            <w:tcW w:w="2516" w:type="dxa"/>
            <w:gridSpan w:val="2"/>
            <w:tcBorders>
              <w:top w:val="double" w:sz="6" w:space="0" w:color="auto"/>
              <w:left w:val="nil"/>
              <w:bottom w:val="single" w:sz="8" w:space="0" w:color="auto"/>
              <w:right w:val="nil"/>
            </w:tcBorders>
            <w:shd w:val="clear" w:color="auto" w:fill="auto"/>
            <w:vAlign w:val="center"/>
            <w:hideMark/>
          </w:tcPr>
          <w:p w14:paraId="0B66DD2F" w14:textId="77777777" w:rsidR="00C96D27" w:rsidRPr="00C96D27" w:rsidRDefault="00C96D27" w:rsidP="00C96D27">
            <w:pPr>
              <w:jc w:val="center"/>
              <w:rPr>
                <w:b/>
                <w:bCs/>
                <w:sz w:val="18"/>
                <w:szCs w:val="18"/>
                <w:lang w:eastAsia="tr-TR"/>
              </w:rPr>
            </w:pPr>
            <w:r w:rsidRPr="00C96D27">
              <w:rPr>
                <w:b/>
                <w:bCs/>
                <w:sz w:val="18"/>
                <w:szCs w:val="18"/>
                <w:lang w:eastAsia="tr-TR"/>
              </w:rPr>
              <w:t>Cari Dönem</w:t>
            </w:r>
          </w:p>
        </w:tc>
        <w:tc>
          <w:tcPr>
            <w:tcW w:w="2516" w:type="dxa"/>
            <w:gridSpan w:val="2"/>
            <w:tcBorders>
              <w:top w:val="double" w:sz="6" w:space="0" w:color="auto"/>
              <w:left w:val="nil"/>
              <w:bottom w:val="single" w:sz="8" w:space="0" w:color="auto"/>
              <w:right w:val="nil"/>
            </w:tcBorders>
            <w:shd w:val="clear" w:color="auto" w:fill="auto"/>
            <w:vAlign w:val="center"/>
            <w:hideMark/>
          </w:tcPr>
          <w:p w14:paraId="0440065B" w14:textId="77777777" w:rsidR="00C96D27" w:rsidRPr="00C96D27" w:rsidRDefault="00C96D27" w:rsidP="00C96D27">
            <w:pPr>
              <w:jc w:val="center"/>
              <w:rPr>
                <w:b/>
                <w:bCs/>
                <w:sz w:val="18"/>
                <w:szCs w:val="18"/>
                <w:lang w:eastAsia="tr-TR"/>
              </w:rPr>
            </w:pPr>
            <w:r w:rsidRPr="00C96D27">
              <w:rPr>
                <w:b/>
                <w:bCs/>
                <w:sz w:val="18"/>
                <w:szCs w:val="18"/>
                <w:lang w:eastAsia="tr-TR"/>
              </w:rPr>
              <w:t>Önceki Dönem</w:t>
            </w:r>
          </w:p>
        </w:tc>
      </w:tr>
      <w:tr w:rsidR="00C96D27" w:rsidRPr="00C96D27" w14:paraId="200A8034" w14:textId="77777777" w:rsidTr="00BA637F">
        <w:trPr>
          <w:divId w:val="1849834538"/>
          <w:trHeight w:val="272"/>
        </w:trPr>
        <w:tc>
          <w:tcPr>
            <w:tcW w:w="4186" w:type="dxa"/>
            <w:tcBorders>
              <w:top w:val="nil"/>
              <w:left w:val="nil"/>
              <w:bottom w:val="single" w:sz="8" w:space="0" w:color="auto"/>
              <w:right w:val="nil"/>
            </w:tcBorders>
            <w:shd w:val="clear" w:color="auto" w:fill="auto"/>
            <w:vAlign w:val="center"/>
            <w:hideMark/>
          </w:tcPr>
          <w:p w14:paraId="7079F554" w14:textId="77777777" w:rsidR="00C96D27" w:rsidRPr="00C96D27" w:rsidRDefault="00C96D27" w:rsidP="00C96D27">
            <w:pPr>
              <w:jc w:val="right"/>
              <w:rPr>
                <w:sz w:val="18"/>
                <w:szCs w:val="18"/>
                <w:lang w:eastAsia="tr-TR"/>
              </w:rPr>
            </w:pPr>
            <w:r w:rsidRPr="00C96D27">
              <w:rPr>
                <w:sz w:val="18"/>
                <w:szCs w:val="18"/>
                <w:lang w:eastAsia="tr-TR"/>
              </w:rPr>
              <w:t> </w:t>
            </w:r>
          </w:p>
        </w:tc>
        <w:tc>
          <w:tcPr>
            <w:tcW w:w="1257" w:type="dxa"/>
            <w:tcBorders>
              <w:top w:val="nil"/>
              <w:left w:val="nil"/>
              <w:bottom w:val="single" w:sz="8" w:space="0" w:color="auto"/>
              <w:right w:val="nil"/>
            </w:tcBorders>
            <w:shd w:val="clear" w:color="auto" w:fill="auto"/>
            <w:vAlign w:val="center"/>
            <w:hideMark/>
          </w:tcPr>
          <w:p w14:paraId="11C5861D" w14:textId="77777777" w:rsidR="00C96D27" w:rsidRPr="00C96D27" w:rsidRDefault="00C96D27" w:rsidP="00C96D27">
            <w:pPr>
              <w:jc w:val="right"/>
              <w:rPr>
                <w:b/>
                <w:bCs/>
                <w:sz w:val="18"/>
                <w:szCs w:val="18"/>
                <w:lang w:eastAsia="tr-TR"/>
              </w:rPr>
            </w:pPr>
            <w:r w:rsidRPr="00C96D27">
              <w:rPr>
                <w:b/>
                <w:bCs/>
                <w:sz w:val="18"/>
                <w:szCs w:val="18"/>
                <w:lang w:eastAsia="tr-TR"/>
              </w:rPr>
              <w:t>TP</w:t>
            </w:r>
          </w:p>
        </w:tc>
        <w:tc>
          <w:tcPr>
            <w:tcW w:w="1259" w:type="dxa"/>
            <w:tcBorders>
              <w:top w:val="nil"/>
              <w:left w:val="nil"/>
              <w:bottom w:val="single" w:sz="8" w:space="0" w:color="auto"/>
              <w:right w:val="nil"/>
            </w:tcBorders>
            <w:shd w:val="clear" w:color="auto" w:fill="auto"/>
            <w:vAlign w:val="center"/>
            <w:hideMark/>
          </w:tcPr>
          <w:p w14:paraId="61B6BDE8" w14:textId="77777777" w:rsidR="00C96D27" w:rsidRPr="00C96D27" w:rsidRDefault="00C96D27" w:rsidP="00C96D27">
            <w:pPr>
              <w:jc w:val="right"/>
              <w:rPr>
                <w:b/>
                <w:bCs/>
                <w:sz w:val="18"/>
                <w:szCs w:val="18"/>
                <w:lang w:eastAsia="tr-TR"/>
              </w:rPr>
            </w:pPr>
            <w:r w:rsidRPr="00C96D27">
              <w:rPr>
                <w:b/>
                <w:bCs/>
                <w:sz w:val="18"/>
                <w:szCs w:val="18"/>
                <w:lang w:eastAsia="tr-TR"/>
              </w:rPr>
              <w:t>YP</w:t>
            </w:r>
          </w:p>
        </w:tc>
        <w:tc>
          <w:tcPr>
            <w:tcW w:w="1257" w:type="dxa"/>
            <w:tcBorders>
              <w:top w:val="nil"/>
              <w:left w:val="nil"/>
              <w:bottom w:val="single" w:sz="8" w:space="0" w:color="auto"/>
              <w:right w:val="nil"/>
            </w:tcBorders>
            <w:shd w:val="clear" w:color="auto" w:fill="auto"/>
            <w:vAlign w:val="center"/>
            <w:hideMark/>
          </w:tcPr>
          <w:p w14:paraId="3AA0500A" w14:textId="77777777" w:rsidR="00C96D27" w:rsidRPr="00C96D27" w:rsidRDefault="00C96D27" w:rsidP="00C96D27">
            <w:pPr>
              <w:jc w:val="right"/>
              <w:rPr>
                <w:b/>
                <w:bCs/>
                <w:sz w:val="18"/>
                <w:szCs w:val="18"/>
                <w:lang w:eastAsia="tr-TR"/>
              </w:rPr>
            </w:pPr>
            <w:r w:rsidRPr="00C96D27">
              <w:rPr>
                <w:b/>
                <w:bCs/>
                <w:sz w:val="18"/>
                <w:szCs w:val="18"/>
                <w:lang w:eastAsia="tr-TR"/>
              </w:rPr>
              <w:t>TP</w:t>
            </w:r>
          </w:p>
        </w:tc>
        <w:tc>
          <w:tcPr>
            <w:tcW w:w="1259" w:type="dxa"/>
            <w:tcBorders>
              <w:top w:val="nil"/>
              <w:left w:val="nil"/>
              <w:bottom w:val="single" w:sz="8" w:space="0" w:color="auto"/>
              <w:right w:val="nil"/>
            </w:tcBorders>
            <w:shd w:val="clear" w:color="auto" w:fill="auto"/>
            <w:vAlign w:val="center"/>
            <w:hideMark/>
          </w:tcPr>
          <w:p w14:paraId="332B528B" w14:textId="77777777" w:rsidR="00C96D27" w:rsidRPr="00C96D27" w:rsidRDefault="00C96D27" w:rsidP="00C96D27">
            <w:pPr>
              <w:jc w:val="right"/>
              <w:rPr>
                <w:b/>
                <w:bCs/>
                <w:sz w:val="18"/>
                <w:szCs w:val="18"/>
                <w:lang w:eastAsia="tr-TR"/>
              </w:rPr>
            </w:pPr>
            <w:r w:rsidRPr="00C96D27">
              <w:rPr>
                <w:b/>
                <w:bCs/>
                <w:sz w:val="18"/>
                <w:szCs w:val="18"/>
                <w:lang w:eastAsia="tr-TR"/>
              </w:rPr>
              <w:t>YP</w:t>
            </w:r>
          </w:p>
        </w:tc>
      </w:tr>
      <w:tr w:rsidR="00C96D27" w:rsidRPr="00C96D27" w14:paraId="56CF78F0" w14:textId="77777777" w:rsidTr="00BA637F">
        <w:trPr>
          <w:divId w:val="1849834538"/>
          <w:trHeight w:val="256"/>
        </w:trPr>
        <w:tc>
          <w:tcPr>
            <w:tcW w:w="4186" w:type="dxa"/>
            <w:tcBorders>
              <w:top w:val="nil"/>
              <w:left w:val="nil"/>
              <w:bottom w:val="nil"/>
              <w:right w:val="nil"/>
            </w:tcBorders>
            <w:shd w:val="clear" w:color="auto" w:fill="auto"/>
            <w:vAlign w:val="center"/>
            <w:hideMark/>
          </w:tcPr>
          <w:p w14:paraId="4DE51F56" w14:textId="77777777" w:rsidR="00C96D27" w:rsidRPr="00C96D27" w:rsidRDefault="00C96D27" w:rsidP="00C96D27">
            <w:pPr>
              <w:jc w:val="both"/>
              <w:rPr>
                <w:sz w:val="18"/>
                <w:szCs w:val="18"/>
                <w:lang w:eastAsia="tr-TR"/>
              </w:rPr>
            </w:pPr>
            <w:r w:rsidRPr="00C96D27">
              <w:rPr>
                <w:sz w:val="18"/>
                <w:szCs w:val="18"/>
                <w:lang w:eastAsia="tr-TR"/>
              </w:rPr>
              <w:t>Vadeli İşlemler</w:t>
            </w:r>
          </w:p>
        </w:tc>
        <w:tc>
          <w:tcPr>
            <w:tcW w:w="1257" w:type="dxa"/>
            <w:tcBorders>
              <w:top w:val="nil"/>
              <w:left w:val="nil"/>
              <w:bottom w:val="nil"/>
              <w:right w:val="nil"/>
            </w:tcBorders>
            <w:shd w:val="clear" w:color="auto" w:fill="auto"/>
            <w:vAlign w:val="center"/>
            <w:hideMark/>
          </w:tcPr>
          <w:p w14:paraId="69EFF4EA" w14:textId="77777777" w:rsidR="00C96D27" w:rsidRPr="00C96D27" w:rsidRDefault="00C96D27" w:rsidP="00C96D27">
            <w:pPr>
              <w:jc w:val="right"/>
              <w:rPr>
                <w:sz w:val="18"/>
                <w:szCs w:val="18"/>
                <w:lang w:eastAsia="tr-TR"/>
              </w:rPr>
            </w:pPr>
            <w:r w:rsidRPr="00C96D27">
              <w:rPr>
                <w:sz w:val="18"/>
                <w:szCs w:val="18"/>
                <w:lang w:eastAsia="tr-TR"/>
              </w:rPr>
              <w:t>16,913</w:t>
            </w:r>
          </w:p>
        </w:tc>
        <w:tc>
          <w:tcPr>
            <w:tcW w:w="1259" w:type="dxa"/>
            <w:tcBorders>
              <w:top w:val="nil"/>
              <w:left w:val="nil"/>
              <w:bottom w:val="nil"/>
              <w:right w:val="nil"/>
            </w:tcBorders>
            <w:shd w:val="clear" w:color="auto" w:fill="auto"/>
            <w:vAlign w:val="center"/>
            <w:hideMark/>
          </w:tcPr>
          <w:p w14:paraId="3593AA92" w14:textId="77777777" w:rsidR="00C96D27" w:rsidRPr="00C96D27" w:rsidRDefault="00C96D27" w:rsidP="00C96D27">
            <w:pPr>
              <w:jc w:val="right"/>
              <w:rPr>
                <w:sz w:val="18"/>
                <w:szCs w:val="18"/>
                <w:lang w:eastAsia="tr-TR"/>
              </w:rPr>
            </w:pPr>
            <w:r w:rsidRPr="00C96D27">
              <w:rPr>
                <w:sz w:val="18"/>
                <w:szCs w:val="18"/>
                <w:lang w:eastAsia="tr-TR"/>
              </w:rPr>
              <w:t>29,617</w:t>
            </w:r>
          </w:p>
        </w:tc>
        <w:tc>
          <w:tcPr>
            <w:tcW w:w="1257" w:type="dxa"/>
            <w:tcBorders>
              <w:top w:val="nil"/>
              <w:left w:val="nil"/>
              <w:bottom w:val="nil"/>
              <w:right w:val="nil"/>
            </w:tcBorders>
            <w:shd w:val="clear" w:color="auto" w:fill="auto"/>
            <w:vAlign w:val="center"/>
            <w:hideMark/>
          </w:tcPr>
          <w:p w14:paraId="7D037CA6" w14:textId="77777777" w:rsidR="00C96D27" w:rsidRPr="00C96D27" w:rsidRDefault="00C96D27" w:rsidP="00C96D27">
            <w:pPr>
              <w:jc w:val="right"/>
              <w:rPr>
                <w:sz w:val="18"/>
                <w:szCs w:val="18"/>
                <w:lang w:eastAsia="tr-TR"/>
              </w:rPr>
            </w:pPr>
            <w:r w:rsidRPr="00C96D27">
              <w:rPr>
                <w:sz w:val="18"/>
                <w:szCs w:val="18"/>
                <w:lang w:eastAsia="tr-TR"/>
              </w:rPr>
              <w:t>14,949</w:t>
            </w:r>
          </w:p>
        </w:tc>
        <w:tc>
          <w:tcPr>
            <w:tcW w:w="1259" w:type="dxa"/>
            <w:tcBorders>
              <w:top w:val="nil"/>
              <w:left w:val="nil"/>
              <w:bottom w:val="nil"/>
              <w:right w:val="nil"/>
            </w:tcBorders>
            <w:shd w:val="clear" w:color="auto" w:fill="auto"/>
            <w:vAlign w:val="center"/>
            <w:hideMark/>
          </w:tcPr>
          <w:p w14:paraId="09D1F5CD" w14:textId="77777777" w:rsidR="00C96D27" w:rsidRPr="00C96D27" w:rsidRDefault="00C96D27" w:rsidP="00C96D27">
            <w:pPr>
              <w:jc w:val="right"/>
              <w:rPr>
                <w:sz w:val="18"/>
                <w:szCs w:val="18"/>
                <w:lang w:eastAsia="tr-TR"/>
              </w:rPr>
            </w:pPr>
            <w:r w:rsidRPr="00C96D27">
              <w:rPr>
                <w:sz w:val="18"/>
                <w:szCs w:val="18"/>
                <w:lang w:eastAsia="tr-TR"/>
              </w:rPr>
              <w:t>3,045</w:t>
            </w:r>
          </w:p>
        </w:tc>
      </w:tr>
      <w:tr w:rsidR="00C96D27" w:rsidRPr="00C96D27" w14:paraId="5D1D84F7" w14:textId="77777777" w:rsidTr="00BA637F">
        <w:trPr>
          <w:divId w:val="1849834538"/>
          <w:trHeight w:val="256"/>
        </w:trPr>
        <w:tc>
          <w:tcPr>
            <w:tcW w:w="4186" w:type="dxa"/>
            <w:tcBorders>
              <w:top w:val="nil"/>
              <w:left w:val="nil"/>
              <w:bottom w:val="nil"/>
              <w:right w:val="nil"/>
            </w:tcBorders>
            <w:shd w:val="clear" w:color="auto" w:fill="auto"/>
            <w:vAlign w:val="center"/>
            <w:hideMark/>
          </w:tcPr>
          <w:p w14:paraId="705F6341" w14:textId="77777777" w:rsidR="00C96D27" w:rsidRPr="00C96D27" w:rsidRDefault="00C96D27" w:rsidP="00C96D27">
            <w:pPr>
              <w:jc w:val="both"/>
              <w:rPr>
                <w:sz w:val="18"/>
                <w:szCs w:val="18"/>
                <w:lang w:eastAsia="tr-TR"/>
              </w:rPr>
            </w:pPr>
            <w:r w:rsidRPr="00C96D27">
              <w:rPr>
                <w:sz w:val="18"/>
                <w:szCs w:val="18"/>
                <w:lang w:eastAsia="tr-TR"/>
              </w:rPr>
              <w:t>Swap İşlemleri</w:t>
            </w:r>
          </w:p>
        </w:tc>
        <w:tc>
          <w:tcPr>
            <w:tcW w:w="1257" w:type="dxa"/>
            <w:tcBorders>
              <w:top w:val="nil"/>
              <w:left w:val="nil"/>
              <w:bottom w:val="nil"/>
              <w:right w:val="nil"/>
            </w:tcBorders>
            <w:shd w:val="clear" w:color="auto" w:fill="auto"/>
            <w:vAlign w:val="center"/>
            <w:hideMark/>
          </w:tcPr>
          <w:p w14:paraId="166FAD2D" w14:textId="77777777" w:rsidR="00C96D27" w:rsidRPr="00C96D27" w:rsidRDefault="00C96D27" w:rsidP="00C96D27">
            <w:pPr>
              <w:jc w:val="right"/>
              <w:rPr>
                <w:sz w:val="18"/>
                <w:szCs w:val="18"/>
                <w:lang w:eastAsia="tr-TR"/>
              </w:rPr>
            </w:pPr>
            <w:r w:rsidRPr="00C96D27">
              <w:rPr>
                <w:sz w:val="18"/>
                <w:szCs w:val="18"/>
                <w:lang w:eastAsia="tr-TR"/>
              </w:rPr>
              <w:t>1,212,086</w:t>
            </w:r>
          </w:p>
        </w:tc>
        <w:tc>
          <w:tcPr>
            <w:tcW w:w="1259" w:type="dxa"/>
            <w:tcBorders>
              <w:top w:val="nil"/>
              <w:left w:val="nil"/>
              <w:bottom w:val="nil"/>
              <w:right w:val="nil"/>
            </w:tcBorders>
            <w:shd w:val="clear" w:color="auto" w:fill="auto"/>
            <w:vAlign w:val="center"/>
            <w:hideMark/>
          </w:tcPr>
          <w:p w14:paraId="555354DD" w14:textId="77777777" w:rsidR="00C96D27" w:rsidRPr="00C96D27" w:rsidRDefault="00C96D27" w:rsidP="00C96D27">
            <w:pPr>
              <w:jc w:val="right"/>
              <w:rPr>
                <w:sz w:val="18"/>
                <w:szCs w:val="18"/>
                <w:lang w:eastAsia="tr-TR"/>
              </w:rPr>
            </w:pPr>
            <w:r w:rsidRPr="00C96D27">
              <w:rPr>
                <w:sz w:val="18"/>
                <w:szCs w:val="18"/>
                <w:lang w:eastAsia="tr-TR"/>
              </w:rPr>
              <w:t>430,074</w:t>
            </w:r>
          </w:p>
        </w:tc>
        <w:tc>
          <w:tcPr>
            <w:tcW w:w="1257" w:type="dxa"/>
            <w:tcBorders>
              <w:top w:val="nil"/>
              <w:left w:val="nil"/>
              <w:bottom w:val="nil"/>
              <w:right w:val="nil"/>
            </w:tcBorders>
            <w:shd w:val="clear" w:color="auto" w:fill="auto"/>
            <w:vAlign w:val="center"/>
            <w:hideMark/>
          </w:tcPr>
          <w:p w14:paraId="78EB80FE" w14:textId="77777777" w:rsidR="00C96D27" w:rsidRPr="00C96D27" w:rsidRDefault="00C96D27" w:rsidP="00C96D27">
            <w:pPr>
              <w:jc w:val="right"/>
              <w:rPr>
                <w:sz w:val="18"/>
                <w:szCs w:val="18"/>
                <w:lang w:eastAsia="tr-TR"/>
              </w:rPr>
            </w:pPr>
            <w:r w:rsidRPr="00C96D27">
              <w:rPr>
                <w:sz w:val="18"/>
                <w:szCs w:val="18"/>
                <w:lang w:eastAsia="tr-TR"/>
              </w:rPr>
              <w:t>3,821</w:t>
            </w:r>
          </w:p>
        </w:tc>
        <w:tc>
          <w:tcPr>
            <w:tcW w:w="1259" w:type="dxa"/>
            <w:tcBorders>
              <w:top w:val="nil"/>
              <w:left w:val="nil"/>
              <w:bottom w:val="nil"/>
              <w:right w:val="nil"/>
            </w:tcBorders>
            <w:shd w:val="clear" w:color="auto" w:fill="auto"/>
            <w:vAlign w:val="center"/>
            <w:hideMark/>
          </w:tcPr>
          <w:p w14:paraId="7DC080E3" w14:textId="77777777" w:rsidR="00C96D27" w:rsidRPr="00C96D27" w:rsidRDefault="00C96D27" w:rsidP="00C96D27">
            <w:pPr>
              <w:jc w:val="right"/>
              <w:rPr>
                <w:sz w:val="18"/>
                <w:szCs w:val="18"/>
                <w:lang w:eastAsia="tr-TR"/>
              </w:rPr>
            </w:pPr>
            <w:r w:rsidRPr="00C96D27">
              <w:rPr>
                <w:sz w:val="18"/>
                <w:szCs w:val="18"/>
                <w:lang w:eastAsia="tr-TR"/>
              </w:rPr>
              <w:t>162,132</w:t>
            </w:r>
          </w:p>
        </w:tc>
      </w:tr>
      <w:tr w:rsidR="00C96D27" w:rsidRPr="00C96D27" w14:paraId="25103079" w14:textId="77777777" w:rsidTr="00BA637F">
        <w:trPr>
          <w:divId w:val="1849834538"/>
          <w:trHeight w:val="256"/>
        </w:trPr>
        <w:tc>
          <w:tcPr>
            <w:tcW w:w="4186" w:type="dxa"/>
            <w:tcBorders>
              <w:top w:val="nil"/>
              <w:left w:val="nil"/>
              <w:bottom w:val="nil"/>
              <w:right w:val="nil"/>
            </w:tcBorders>
            <w:shd w:val="clear" w:color="auto" w:fill="auto"/>
            <w:vAlign w:val="center"/>
            <w:hideMark/>
          </w:tcPr>
          <w:p w14:paraId="5082E55A" w14:textId="77777777" w:rsidR="00C96D27" w:rsidRPr="00C96D27" w:rsidRDefault="00C96D27" w:rsidP="00C96D27">
            <w:pPr>
              <w:jc w:val="both"/>
              <w:rPr>
                <w:sz w:val="18"/>
                <w:szCs w:val="18"/>
                <w:lang w:eastAsia="tr-TR"/>
              </w:rPr>
            </w:pPr>
            <w:proofErr w:type="spellStart"/>
            <w:r w:rsidRPr="00C96D27">
              <w:rPr>
                <w:sz w:val="18"/>
                <w:szCs w:val="18"/>
                <w:lang w:eastAsia="tr-TR"/>
              </w:rPr>
              <w:t>Futures</w:t>
            </w:r>
            <w:proofErr w:type="spellEnd"/>
            <w:r w:rsidRPr="00C96D27">
              <w:rPr>
                <w:sz w:val="18"/>
                <w:szCs w:val="18"/>
                <w:lang w:eastAsia="tr-TR"/>
              </w:rPr>
              <w:t xml:space="preserve"> İşlemleri</w:t>
            </w:r>
          </w:p>
        </w:tc>
        <w:tc>
          <w:tcPr>
            <w:tcW w:w="1257" w:type="dxa"/>
            <w:tcBorders>
              <w:top w:val="nil"/>
              <w:left w:val="nil"/>
              <w:bottom w:val="nil"/>
              <w:right w:val="nil"/>
            </w:tcBorders>
            <w:shd w:val="clear" w:color="auto" w:fill="auto"/>
            <w:vAlign w:val="center"/>
            <w:hideMark/>
          </w:tcPr>
          <w:p w14:paraId="48A57D92" w14:textId="77777777" w:rsidR="00C96D27" w:rsidRPr="00C96D27" w:rsidRDefault="00C96D27" w:rsidP="00C96D27">
            <w:pPr>
              <w:jc w:val="right"/>
              <w:rPr>
                <w:sz w:val="18"/>
                <w:szCs w:val="18"/>
                <w:lang w:eastAsia="tr-TR"/>
              </w:rPr>
            </w:pPr>
            <w:r w:rsidRPr="00C96D27">
              <w:rPr>
                <w:sz w:val="18"/>
                <w:szCs w:val="18"/>
                <w:lang w:eastAsia="tr-TR"/>
              </w:rPr>
              <w:t>-</w:t>
            </w:r>
          </w:p>
        </w:tc>
        <w:tc>
          <w:tcPr>
            <w:tcW w:w="1259" w:type="dxa"/>
            <w:tcBorders>
              <w:top w:val="nil"/>
              <w:left w:val="nil"/>
              <w:bottom w:val="nil"/>
              <w:right w:val="nil"/>
            </w:tcBorders>
            <w:shd w:val="clear" w:color="auto" w:fill="auto"/>
            <w:vAlign w:val="center"/>
            <w:hideMark/>
          </w:tcPr>
          <w:p w14:paraId="0FCF15A5" w14:textId="77777777" w:rsidR="00C96D27" w:rsidRPr="00C96D27" w:rsidRDefault="00C96D27" w:rsidP="00C96D27">
            <w:pPr>
              <w:jc w:val="right"/>
              <w:rPr>
                <w:sz w:val="18"/>
                <w:szCs w:val="18"/>
                <w:lang w:eastAsia="tr-TR"/>
              </w:rPr>
            </w:pPr>
            <w:r w:rsidRPr="00C96D27">
              <w:rPr>
                <w:sz w:val="18"/>
                <w:szCs w:val="18"/>
                <w:lang w:eastAsia="tr-TR"/>
              </w:rPr>
              <w:t>-</w:t>
            </w:r>
          </w:p>
        </w:tc>
        <w:tc>
          <w:tcPr>
            <w:tcW w:w="1257" w:type="dxa"/>
            <w:tcBorders>
              <w:top w:val="nil"/>
              <w:left w:val="nil"/>
              <w:bottom w:val="nil"/>
              <w:right w:val="nil"/>
            </w:tcBorders>
            <w:shd w:val="clear" w:color="auto" w:fill="auto"/>
            <w:vAlign w:val="center"/>
            <w:hideMark/>
          </w:tcPr>
          <w:p w14:paraId="167E18FC" w14:textId="77777777" w:rsidR="00C96D27" w:rsidRPr="00C96D27" w:rsidRDefault="00C96D27" w:rsidP="00C96D27">
            <w:pPr>
              <w:jc w:val="right"/>
              <w:rPr>
                <w:sz w:val="18"/>
                <w:szCs w:val="18"/>
                <w:lang w:eastAsia="tr-TR"/>
              </w:rPr>
            </w:pPr>
            <w:r w:rsidRPr="00C96D27">
              <w:rPr>
                <w:sz w:val="18"/>
                <w:szCs w:val="18"/>
                <w:lang w:eastAsia="tr-TR"/>
              </w:rPr>
              <w:t>-</w:t>
            </w:r>
          </w:p>
        </w:tc>
        <w:tc>
          <w:tcPr>
            <w:tcW w:w="1259" w:type="dxa"/>
            <w:tcBorders>
              <w:top w:val="nil"/>
              <w:left w:val="nil"/>
              <w:bottom w:val="nil"/>
              <w:right w:val="nil"/>
            </w:tcBorders>
            <w:shd w:val="clear" w:color="auto" w:fill="auto"/>
            <w:vAlign w:val="center"/>
            <w:hideMark/>
          </w:tcPr>
          <w:p w14:paraId="7E913E4E" w14:textId="77777777" w:rsidR="00C96D27" w:rsidRPr="00C96D27" w:rsidRDefault="00C96D27" w:rsidP="00C96D27">
            <w:pPr>
              <w:jc w:val="right"/>
              <w:rPr>
                <w:sz w:val="18"/>
                <w:szCs w:val="18"/>
                <w:lang w:eastAsia="tr-TR"/>
              </w:rPr>
            </w:pPr>
            <w:r w:rsidRPr="00C96D27">
              <w:rPr>
                <w:sz w:val="18"/>
                <w:szCs w:val="18"/>
                <w:lang w:eastAsia="tr-TR"/>
              </w:rPr>
              <w:t>-</w:t>
            </w:r>
          </w:p>
        </w:tc>
      </w:tr>
      <w:tr w:rsidR="00C96D27" w:rsidRPr="00C96D27" w14:paraId="6A44952B" w14:textId="77777777" w:rsidTr="00BA637F">
        <w:trPr>
          <w:divId w:val="1849834538"/>
          <w:trHeight w:val="256"/>
        </w:trPr>
        <w:tc>
          <w:tcPr>
            <w:tcW w:w="4186" w:type="dxa"/>
            <w:tcBorders>
              <w:top w:val="nil"/>
              <w:left w:val="nil"/>
              <w:bottom w:val="nil"/>
              <w:right w:val="nil"/>
            </w:tcBorders>
            <w:shd w:val="clear" w:color="auto" w:fill="auto"/>
            <w:vAlign w:val="center"/>
            <w:hideMark/>
          </w:tcPr>
          <w:p w14:paraId="7920486D" w14:textId="77777777" w:rsidR="00C96D27" w:rsidRPr="00C96D27" w:rsidRDefault="00C96D27" w:rsidP="00C96D27">
            <w:pPr>
              <w:jc w:val="both"/>
              <w:rPr>
                <w:sz w:val="18"/>
                <w:szCs w:val="18"/>
                <w:lang w:eastAsia="tr-TR"/>
              </w:rPr>
            </w:pPr>
            <w:r w:rsidRPr="00C96D27">
              <w:rPr>
                <w:sz w:val="18"/>
                <w:szCs w:val="18"/>
                <w:lang w:eastAsia="tr-TR"/>
              </w:rPr>
              <w:t>Opsiyonlar</w:t>
            </w:r>
          </w:p>
        </w:tc>
        <w:tc>
          <w:tcPr>
            <w:tcW w:w="1257" w:type="dxa"/>
            <w:tcBorders>
              <w:top w:val="nil"/>
              <w:left w:val="nil"/>
              <w:bottom w:val="nil"/>
              <w:right w:val="nil"/>
            </w:tcBorders>
            <w:shd w:val="clear" w:color="auto" w:fill="auto"/>
            <w:vAlign w:val="center"/>
            <w:hideMark/>
          </w:tcPr>
          <w:p w14:paraId="66877FD2" w14:textId="77777777" w:rsidR="00C96D27" w:rsidRPr="00C96D27" w:rsidRDefault="00C96D27" w:rsidP="00C96D27">
            <w:pPr>
              <w:jc w:val="right"/>
              <w:rPr>
                <w:sz w:val="18"/>
                <w:szCs w:val="18"/>
                <w:lang w:eastAsia="tr-TR"/>
              </w:rPr>
            </w:pPr>
            <w:r w:rsidRPr="00C96D27">
              <w:rPr>
                <w:sz w:val="18"/>
                <w:szCs w:val="18"/>
                <w:lang w:eastAsia="tr-TR"/>
              </w:rPr>
              <w:t>-</w:t>
            </w:r>
          </w:p>
        </w:tc>
        <w:tc>
          <w:tcPr>
            <w:tcW w:w="1259" w:type="dxa"/>
            <w:tcBorders>
              <w:top w:val="nil"/>
              <w:left w:val="nil"/>
              <w:bottom w:val="nil"/>
              <w:right w:val="nil"/>
            </w:tcBorders>
            <w:shd w:val="clear" w:color="auto" w:fill="auto"/>
            <w:vAlign w:val="center"/>
            <w:hideMark/>
          </w:tcPr>
          <w:p w14:paraId="773F8FCD" w14:textId="77777777" w:rsidR="00C96D27" w:rsidRPr="00C96D27" w:rsidRDefault="00C96D27" w:rsidP="00C96D27">
            <w:pPr>
              <w:jc w:val="right"/>
              <w:rPr>
                <w:sz w:val="18"/>
                <w:szCs w:val="18"/>
                <w:lang w:eastAsia="tr-TR"/>
              </w:rPr>
            </w:pPr>
            <w:r w:rsidRPr="00C96D27">
              <w:rPr>
                <w:sz w:val="18"/>
                <w:szCs w:val="18"/>
                <w:lang w:eastAsia="tr-TR"/>
              </w:rPr>
              <w:t>-</w:t>
            </w:r>
          </w:p>
        </w:tc>
        <w:tc>
          <w:tcPr>
            <w:tcW w:w="1257" w:type="dxa"/>
            <w:tcBorders>
              <w:top w:val="nil"/>
              <w:left w:val="nil"/>
              <w:bottom w:val="nil"/>
              <w:right w:val="nil"/>
            </w:tcBorders>
            <w:shd w:val="clear" w:color="auto" w:fill="auto"/>
            <w:vAlign w:val="center"/>
            <w:hideMark/>
          </w:tcPr>
          <w:p w14:paraId="5C7C969E" w14:textId="77777777" w:rsidR="00C96D27" w:rsidRPr="00C96D27" w:rsidRDefault="00C96D27" w:rsidP="00C96D27">
            <w:pPr>
              <w:jc w:val="right"/>
              <w:rPr>
                <w:sz w:val="18"/>
                <w:szCs w:val="18"/>
                <w:lang w:eastAsia="tr-TR"/>
              </w:rPr>
            </w:pPr>
            <w:r w:rsidRPr="00C96D27">
              <w:rPr>
                <w:sz w:val="18"/>
                <w:szCs w:val="18"/>
                <w:lang w:eastAsia="tr-TR"/>
              </w:rPr>
              <w:t>-</w:t>
            </w:r>
          </w:p>
        </w:tc>
        <w:tc>
          <w:tcPr>
            <w:tcW w:w="1259" w:type="dxa"/>
            <w:tcBorders>
              <w:top w:val="nil"/>
              <w:left w:val="nil"/>
              <w:bottom w:val="nil"/>
              <w:right w:val="nil"/>
            </w:tcBorders>
            <w:shd w:val="clear" w:color="auto" w:fill="auto"/>
            <w:vAlign w:val="center"/>
            <w:hideMark/>
          </w:tcPr>
          <w:p w14:paraId="32AB2203" w14:textId="77777777" w:rsidR="00C96D27" w:rsidRPr="00C96D27" w:rsidRDefault="00C96D27" w:rsidP="00C96D27">
            <w:pPr>
              <w:jc w:val="right"/>
              <w:rPr>
                <w:sz w:val="18"/>
                <w:szCs w:val="18"/>
                <w:lang w:eastAsia="tr-TR"/>
              </w:rPr>
            </w:pPr>
            <w:r w:rsidRPr="00C96D27">
              <w:rPr>
                <w:sz w:val="18"/>
                <w:szCs w:val="18"/>
                <w:lang w:eastAsia="tr-TR"/>
              </w:rPr>
              <w:t>-</w:t>
            </w:r>
          </w:p>
        </w:tc>
      </w:tr>
      <w:tr w:rsidR="00C96D27" w:rsidRPr="00C96D27" w14:paraId="4398D0E2" w14:textId="77777777" w:rsidTr="00BA637F">
        <w:trPr>
          <w:divId w:val="1849834538"/>
          <w:trHeight w:val="272"/>
        </w:trPr>
        <w:tc>
          <w:tcPr>
            <w:tcW w:w="4186" w:type="dxa"/>
            <w:tcBorders>
              <w:top w:val="nil"/>
              <w:left w:val="nil"/>
              <w:bottom w:val="single" w:sz="8" w:space="0" w:color="auto"/>
              <w:right w:val="nil"/>
            </w:tcBorders>
            <w:shd w:val="clear" w:color="auto" w:fill="auto"/>
            <w:vAlign w:val="center"/>
            <w:hideMark/>
          </w:tcPr>
          <w:p w14:paraId="641B88C8" w14:textId="77777777" w:rsidR="00C96D27" w:rsidRPr="00C96D27" w:rsidRDefault="00C96D27" w:rsidP="00C96D27">
            <w:pPr>
              <w:jc w:val="both"/>
              <w:rPr>
                <w:sz w:val="18"/>
                <w:szCs w:val="18"/>
                <w:lang w:eastAsia="tr-TR"/>
              </w:rPr>
            </w:pPr>
            <w:r w:rsidRPr="00C96D27">
              <w:rPr>
                <w:sz w:val="18"/>
                <w:szCs w:val="18"/>
                <w:lang w:eastAsia="tr-TR"/>
              </w:rPr>
              <w:t>Diğer</w:t>
            </w:r>
          </w:p>
        </w:tc>
        <w:tc>
          <w:tcPr>
            <w:tcW w:w="1257" w:type="dxa"/>
            <w:tcBorders>
              <w:top w:val="nil"/>
              <w:left w:val="nil"/>
              <w:bottom w:val="single" w:sz="8" w:space="0" w:color="auto"/>
              <w:right w:val="nil"/>
            </w:tcBorders>
            <w:shd w:val="clear" w:color="auto" w:fill="auto"/>
            <w:vAlign w:val="center"/>
            <w:hideMark/>
          </w:tcPr>
          <w:p w14:paraId="0F5B4BA8" w14:textId="77777777" w:rsidR="00C96D27" w:rsidRPr="00C96D27" w:rsidRDefault="00C96D27" w:rsidP="00C96D27">
            <w:pPr>
              <w:jc w:val="right"/>
              <w:rPr>
                <w:sz w:val="18"/>
                <w:szCs w:val="18"/>
                <w:lang w:eastAsia="tr-TR"/>
              </w:rPr>
            </w:pPr>
            <w:r w:rsidRPr="00C96D27">
              <w:rPr>
                <w:sz w:val="18"/>
                <w:szCs w:val="18"/>
                <w:lang w:eastAsia="tr-TR"/>
              </w:rPr>
              <w:t>-</w:t>
            </w:r>
          </w:p>
        </w:tc>
        <w:tc>
          <w:tcPr>
            <w:tcW w:w="1259" w:type="dxa"/>
            <w:tcBorders>
              <w:top w:val="nil"/>
              <w:left w:val="nil"/>
              <w:bottom w:val="single" w:sz="8" w:space="0" w:color="auto"/>
              <w:right w:val="nil"/>
            </w:tcBorders>
            <w:shd w:val="clear" w:color="auto" w:fill="auto"/>
            <w:vAlign w:val="center"/>
            <w:hideMark/>
          </w:tcPr>
          <w:p w14:paraId="3C722E32" w14:textId="77777777" w:rsidR="00C96D27" w:rsidRPr="00C96D27" w:rsidRDefault="00C96D27" w:rsidP="00C96D27">
            <w:pPr>
              <w:jc w:val="right"/>
              <w:rPr>
                <w:sz w:val="18"/>
                <w:szCs w:val="18"/>
                <w:lang w:eastAsia="tr-TR"/>
              </w:rPr>
            </w:pPr>
            <w:r w:rsidRPr="00C96D27">
              <w:rPr>
                <w:sz w:val="18"/>
                <w:szCs w:val="18"/>
                <w:lang w:eastAsia="tr-TR"/>
              </w:rPr>
              <w:t>-</w:t>
            </w:r>
          </w:p>
        </w:tc>
        <w:tc>
          <w:tcPr>
            <w:tcW w:w="1257" w:type="dxa"/>
            <w:tcBorders>
              <w:top w:val="nil"/>
              <w:left w:val="nil"/>
              <w:bottom w:val="single" w:sz="8" w:space="0" w:color="auto"/>
              <w:right w:val="nil"/>
            </w:tcBorders>
            <w:shd w:val="clear" w:color="auto" w:fill="auto"/>
            <w:vAlign w:val="center"/>
            <w:hideMark/>
          </w:tcPr>
          <w:p w14:paraId="0362F68E" w14:textId="77777777" w:rsidR="00C96D27" w:rsidRPr="00C96D27" w:rsidRDefault="00C96D27" w:rsidP="00C96D27">
            <w:pPr>
              <w:jc w:val="right"/>
              <w:rPr>
                <w:sz w:val="18"/>
                <w:szCs w:val="18"/>
                <w:lang w:eastAsia="tr-TR"/>
              </w:rPr>
            </w:pPr>
            <w:r w:rsidRPr="00C96D27">
              <w:rPr>
                <w:sz w:val="18"/>
                <w:szCs w:val="18"/>
                <w:lang w:eastAsia="tr-TR"/>
              </w:rPr>
              <w:t>-</w:t>
            </w:r>
          </w:p>
        </w:tc>
        <w:tc>
          <w:tcPr>
            <w:tcW w:w="1259" w:type="dxa"/>
            <w:tcBorders>
              <w:top w:val="nil"/>
              <w:left w:val="nil"/>
              <w:bottom w:val="single" w:sz="8" w:space="0" w:color="auto"/>
              <w:right w:val="nil"/>
            </w:tcBorders>
            <w:shd w:val="clear" w:color="auto" w:fill="auto"/>
            <w:vAlign w:val="center"/>
            <w:hideMark/>
          </w:tcPr>
          <w:p w14:paraId="06995685" w14:textId="77777777" w:rsidR="00C96D27" w:rsidRPr="00C96D27" w:rsidRDefault="00C96D27" w:rsidP="00C96D27">
            <w:pPr>
              <w:jc w:val="right"/>
              <w:rPr>
                <w:sz w:val="18"/>
                <w:szCs w:val="18"/>
                <w:lang w:eastAsia="tr-TR"/>
              </w:rPr>
            </w:pPr>
            <w:r w:rsidRPr="00C96D27">
              <w:rPr>
                <w:sz w:val="18"/>
                <w:szCs w:val="18"/>
                <w:lang w:eastAsia="tr-TR"/>
              </w:rPr>
              <w:t>-</w:t>
            </w:r>
          </w:p>
        </w:tc>
      </w:tr>
      <w:tr w:rsidR="00C96D27" w:rsidRPr="00C96D27" w14:paraId="4534BE18" w14:textId="77777777" w:rsidTr="00BA637F">
        <w:trPr>
          <w:divId w:val="1849834538"/>
          <w:trHeight w:val="272"/>
        </w:trPr>
        <w:tc>
          <w:tcPr>
            <w:tcW w:w="4186" w:type="dxa"/>
            <w:tcBorders>
              <w:top w:val="nil"/>
              <w:left w:val="nil"/>
              <w:bottom w:val="double" w:sz="6" w:space="0" w:color="auto"/>
              <w:right w:val="nil"/>
            </w:tcBorders>
            <w:shd w:val="clear" w:color="auto" w:fill="auto"/>
            <w:vAlign w:val="center"/>
            <w:hideMark/>
          </w:tcPr>
          <w:p w14:paraId="58923A27" w14:textId="77777777" w:rsidR="00C96D27" w:rsidRPr="00C96D27" w:rsidRDefault="00C96D27" w:rsidP="00C96D27">
            <w:pPr>
              <w:jc w:val="both"/>
              <w:rPr>
                <w:b/>
                <w:bCs/>
                <w:sz w:val="18"/>
                <w:szCs w:val="18"/>
                <w:lang w:eastAsia="tr-TR"/>
              </w:rPr>
            </w:pPr>
            <w:r w:rsidRPr="00C96D27">
              <w:rPr>
                <w:b/>
                <w:bCs/>
                <w:sz w:val="18"/>
                <w:szCs w:val="18"/>
                <w:lang w:eastAsia="tr-TR"/>
              </w:rPr>
              <w:t>Toplam</w:t>
            </w:r>
          </w:p>
        </w:tc>
        <w:tc>
          <w:tcPr>
            <w:tcW w:w="1257" w:type="dxa"/>
            <w:tcBorders>
              <w:top w:val="nil"/>
              <w:left w:val="nil"/>
              <w:bottom w:val="double" w:sz="6" w:space="0" w:color="auto"/>
              <w:right w:val="nil"/>
            </w:tcBorders>
            <w:shd w:val="clear" w:color="auto" w:fill="auto"/>
            <w:vAlign w:val="center"/>
            <w:hideMark/>
          </w:tcPr>
          <w:p w14:paraId="7CCDD204" w14:textId="77777777" w:rsidR="00C96D27" w:rsidRPr="00C96D27" w:rsidRDefault="00C96D27" w:rsidP="00C96D27">
            <w:pPr>
              <w:jc w:val="right"/>
              <w:rPr>
                <w:b/>
                <w:bCs/>
                <w:sz w:val="18"/>
                <w:szCs w:val="18"/>
                <w:lang w:eastAsia="tr-TR"/>
              </w:rPr>
            </w:pPr>
            <w:r w:rsidRPr="00C96D27">
              <w:rPr>
                <w:b/>
                <w:bCs/>
                <w:sz w:val="18"/>
                <w:szCs w:val="18"/>
                <w:lang w:eastAsia="tr-TR"/>
              </w:rPr>
              <w:t>1,228,999</w:t>
            </w:r>
          </w:p>
        </w:tc>
        <w:tc>
          <w:tcPr>
            <w:tcW w:w="1259" w:type="dxa"/>
            <w:tcBorders>
              <w:top w:val="nil"/>
              <w:left w:val="nil"/>
              <w:bottom w:val="double" w:sz="6" w:space="0" w:color="auto"/>
              <w:right w:val="nil"/>
            </w:tcBorders>
            <w:shd w:val="clear" w:color="auto" w:fill="auto"/>
            <w:vAlign w:val="center"/>
            <w:hideMark/>
          </w:tcPr>
          <w:p w14:paraId="7EFEDA36" w14:textId="77777777" w:rsidR="00C96D27" w:rsidRPr="00C96D27" w:rsidRDefault="00C96D27" w:rsidP="00C96D27">
            <w:pPr>
              <w:jc w:val="right"/>
              <w:rPr>
                <w:b/>
                <w:bCs/>
                <w:sz w:val="18"/>
                <w:szCs w:val="18"/>
                <w:lang w:eastAsia="tr-TR"/>
              </w:rPr>
            </w:pPr>
            <w:r w:rsidRPr="00C96D27">
              <w:rPr>
                <w:b/>
                <w:bCs/>
                <w:sz w:val="18"/>
                <w:szCs w:val="18"/>
                <w:lang w:eastAsia="tr-TR"/>
              </w:rPr>
              <w:t>459,691</w:t>
            </w:r>
          </w:p>
        </w:tc>
        <w:tc>
          <w:tcPr>
            <w:tcW w:w="1257" w:type="dxa"/>
            <w:tcBorders>
              <w:top w:val="nil"/>
              <w:left w:val="nil"/>
              <w:bottom w:val="double" w:sz="6" w:space="0" w:color="auto"/>
              <w:right w:val="nil"/>
            </w:tcBorders>
            <w:shd w:val="clear" w:color="auto" w:fill="auto"/>
            <w:vAlign w:val="center"/>
            <w:hideMark/>
          </w:tcPr>
          <w:p w14:paraId="12064614" w14:textId="77777777" w:rsidR="00C96D27" w:rsidRPr="00C96D27" w:rsidRDefault="00C96D27" w:rsidP="00C96D27">
            <w:pPr>
              <w:jc w:val="right"/>
              <w:rPr>
                <w:b/>
                <w:bCs/>
                <w:sz w:val="18"/>
                <w:szCs w:val="18"/>
                <w:lang w:eastAsia="tr-TR"/>
              </w:rPr>
            </w:pPr>
            <w:r w:rsidRPr="00C96D27">
              <w:rPr>
                <w:b/>
                <w:bCs/>
                <w:sz w:val="18"/>
                <w:szCs w:val="18"/>
                <w:lang w:eastAsia="tr-TR"/>
              </w:rPr>
              <w:t>18,770</w:t>
            </w:r>
          </w:p>
        </w:tc>
        <w:tc>
          <w:tcPr>
            <w:tcW w:w="1259" w:type="dxa"/>
            <w:tcBorders>
              <w:top w:val="nil"/>
              <w:left w:val="nil"/>
              <w:bottom w:val="double" w:sz="6" w:space="0" w:color="auto"/>
              <w:right w:val="nil"/>
            </w:tcBorders>
            <w:shd w:val="clear" w:color="auto" w:fill="auto"/>
            <w:vAlign w:val="center"/>
            <w:hideMark/>
          </w:tcPr>
          <w:p w14:paraId="15BB1581" w14:textId="77777777" w:rsidR="00C96D27" w:rsidRPr="00C96D27" w:rsidRDefault="00C96D27" w:rsidP="00C96D27">
            <w:pPr>
              <w:jc w:val="right"/>
              <w:rPr>
                <w:b/>
                <w:bCs/>
                <w:sz w:val="18"/>
                <w:szCs w:val="18"/>
                <w:lang w:eastAsia="tr-TR"/>
              </w:rPr>
            </w:pPr>
            <w:r w:rsidRPr="00C96D27">
              <w:rPr>
                <w:b/>
                <w:bCs/>
                <w:sz w:val="18"/>
                <w:szCs w:val="18"/>
                <w:lang w:eastAsia="tr-TR"/>
              </w:rPr>
              <w:t>165,177</w:t>
            </w:r>
          </w:p>
        </w:tc>
      </w:tr>
    </w:tbl>
    <w:p w14:paraId="3C67BD25" w14:textId="4BF395A9" w:rsidR="00D22163" w:rsidRPr="00270CE6" w:rsidRDefault="00D22163" w:rsidP="00D22163">
      <w:pPr>
        <w:autoSpaceDE w:val="0"/>
        <w:autoSpaceDN w:val="0"/>
        <w:adjustRightInd w:val="0"/>
        <w:jc w:val="both"/>
        <w:rPr>
          <w:highlight w:val="yellow"/>
          <w:lang w:val="en-GB" w:eastAsia="en-GB"/>
        </w:rPr>
      </w:pPr>
    </w:p>
    <w:p w14:paraId="018B1422" w14:textId="77777777" w:rsidR="00BA637F" w:rsidRDefault="00BA637F">
      <w:pPr>
        <w:rPr>
          <w:b/>
          <w:lang w:eastAsia="x-none"/>
        </w:rPr>
      </w:pPr>
      <w:r>
        <w:rPr>
          <w:b/>
        </w:rPr>
        <w:br w:type="page"/>
      </w:r>
    </w:p>
    <w:p w14:paraId="4050A583" w14:textId="1C68F4FB" w:rsidR="002D7515" w:rsidRPr="002F6D46" w:rsidRDefault="00DE55FC" w:rsidP="0063702A">
      <w:pPr>
        <w:pStyle w:val="BodyTextIndent"/>
        <w:autoSpaceDE/>
        <w:autoSpaceDN/>
        <w:adjustRightInd/>
        <w:ind w:left="0" w:hanging="567"/>
        <w:jc w:val="left"/>
        <w:rPr>
          <w:b/>
          <w:bCs/>
          <w:iCs/>
        </w:rPr>
      </w:pPr>
      <w:r w:rsidRPr="002F6D46">
        <w:rPr>
          <w:b/>
        </w:rPr>
        <w:lastRenderedPageBreak/>
        <w:t>1</w:t>
      </w:r>
      <w:r w:rsidR="002D7515" w:rsidRPr="002F6D46">
        <w:rPr>
          <w:b/>
        </w:rPr>
        <w:t>.</w:t>
      </w:r>
      <w:r w:rsidRPr="002F6D46">
        <w:rPr>
          <w:b/>
        </w:rPr>
        <w:t>3</w:t>
      </w:r>
      <w:r w:rsidR="002D7515" w:rsidRPr="002F6D46">
        <w:rPr>
          <w:b/>
        </w:rPr>
        <w:tab/>
        <w:t>Bankalara ilişkin bilgiler:</w:t>
      </w:r>
    </w:p>
    <w:p w14:paraId="70EA6C0D" w14:textId="77777777" w:rsidR="00EC1D5D" w:rsidRPr="002F6D46" w:rsidRDefault="00EC1D5D" w:rsidP="00EC1D5D">
      <w:pPr>
        <w:pStyle w:val="BodyTextIndent"/>
        <w:autoSpaceDE/>
        <w:autoSpaceDN/>
        <w:adjustRightInd/>
        <w:ind w:left="0" w:hanging="567"/>
        <w:jc w:val="left"/>
        <w:rPr>
          <w:b/>
        </w:rPr>
      </w:pPr>
    </w:p>
    <w:p w14:paraId="6C402A47" w14:textId="77777777" w:rsidR="00EC1D5D" w:rsidRPr="002F6D46" w:rsidRDefault="00EC1D5D" w:rsidP="00EC1D5D">
      <w:pPr>
        <w:pStyle w:val="BodyTextIndent"/>
        <w:autoSpaceDE/>
        <w:autoSpaceDN/>
        <w:adjustRightInd/>
        <w:ind w:left="0" w:hanging="567"/>
        <w:jc w:val="left"/>
        <w:rPr>
          <w:b/>
        </w:rPr>
      </w:pPr>
      <w:r w:rsidRPr="002F6D46">
        <w:rPr>
          <w:b/>
        </w:rPr>
        <w:t>1.3.1.</w:t>
      </w:r>
      <w:r w:rsidRPr="002F6D46">
        <w:rPr>
          <w:b/>
        </w:rPr>
        <w:tab/>
        <w:t>Bankalara ilişkin bilgiler:</w:t>
      </w:r>
    </w:p>
    <w:p w14:paraId="7ED65D15" w14:textId="1659DA7C" w:rsidR="002F6D46" w:rsidRPr="002F6D46" w:rsidRDefault="002F6D46" w:rsidP="00EE32B2">
      <w:pPr>
        <w:pStyle w:val="BodyTextIndent"/>
        <w:jc w:val="left"/>
        <w:rPr>
          <w:lang w:val="en-GB" w:eastAsia="en-GB"/>
        </w:rPr>
      </w:pPr>
    </w:p>
    <w:tbl>
      <w:tblPr>
        <w:tblW w:w="9217" w:type="dxa"/>
        <w:tblCellMar>
          <w:left w:w="70" w:type="dxa"/>
          <w:right w:w="70" w:type="dxa"/>
        </w:tblCellMar>
        <w:tblLook w:val="04A0" w:firstRow="1" w:lastRow="0" w:firstColumn="1" w:lastColumn="0" w:noHBand="0" w:noVBand="1"/>
      </w:tblPr>
      <w:tblGrid>
        <w:gridCol w:w="5096"/>
        <w:gridCol w:w="1168"/>
        <w:gridCol w:w="1217"/>
        <w:gridCol w:w="779"/>
        <w:gridCol w:w="957"/>
      </w:tblGrid>
      <w:tr w:rsidR="002F6D46" w:rsidRPr="002F6D46" w14:paraId="6B3DED8F" w14:textId="77777777" w:rsidTr="006B1072">
        <w:trPr>
          <w:divId w:val="1195071614"/>
          <w:trHeight w:val="288"/>
        </w:trPr>
        <w:tc>
          <w:tcPr>
            <w:tcW w:w="5096" w:type="dxa"/>
            <w:tcBorders>
              <w:top w:val="double" w:sz="6" w:space="0" w:color="auto"/>
              <w:left w:val="nil"/>
              <w:bottom w:val="nil"/>
              <w:right w:val="nil"/>
            </w:tcBorders>
            <w:shd w:val="clear" w:color="auto" w:fill="auto"/>
            <w:vAlign w:val="center"/>
            <w:hideMark/>
          </w:tcPr>
          <w:p w14:paraId="02D5F36F" w14:textId="30F6959C" w:rsidR="002F6D46" w:rsidRPr="002F6D46" w:rsidRDefault="002F6D46" w:rsidP="002F6D46">
            <w:pPr>
              <w:jc w:val="right"/>
              <w:rPr>
                <w:sz w:val="18"/>
                <w:szCs w:val="18"/>
                <w:lang w:eastAsia="tr-TR"/>
              </w:rPr>
            </w:pPr>
            <w:r w:rsidRPr="002F6D46">
              <w:rPr>
                <w:sz w:val="18"/>
                <w:szCs w:val="18"/>
                <w:lang w:eastAsia="tr-TR"/>
              </w:rPr>
              <w:t> </w:t>
            </w:r>
          </w:p>
        </w:tc>
        <w:tc>
          <w:tcPr>
            <w:tcW w:w="2385" w:type="dxa"/>
            <w:gridSpan w:val="2"/>
            <w:tcBorders>
              <w:top w:val="double" w:sz="6" w:space="0" w:color="auto"/>
              <w:left w:val="nil"/>
              <w:bottom w:val="single" w:sz="8" w:space="0" w:color="auto"/>
              <w:right w:val="nil"/>
            </w:tcBorders>
            <w:shd w:val="clear" w:color="auto" w:fill="auto"/>
            <w:vAlign w:val="center"/>
            <w:hideMark/>
          </w:tcPr>
          <w:p w14:paraId="64E8AD6F" w14:textId="77777777" w:rsidR="002F6D46" w:rsidRPr="002F6D46" w:rsidRDefault="002F6D46" w:rsidP="002F6D46">
            <w:pPr>
              <w:jc w:val="center"/>
              <w:rPr>
                <w:b/>
                <w:bCs/>
                <w:sz w:val="18"/>
                <w:szCs w:val="18"/>
                <w:lang w:eastAsia="tr-TR"/>
              </w:rPr>
            </w:pPr>
            <w:r w:rsidRPr="002F6D46">
              <w:rPr>
                <w:b/>
                <w:bCs/>
                <w:sz w:val="18"/>
                <w:szCs w:val="18"/>
                <w:lang w:eastAsia="tr-TR"/>
              </w:rPr>
              <w:t>Cari Dönem</w:t>
            </w:r>
          </w:p>
        </w:tc>
        <w:tc>
          <w:tcPr>
            <w:tcW w:w="1736" w:type="dxa"/>
            <w:gridSpan w:val="2"/>
            <w:tcBorders>
              <w:top w:val="double" w:sz="6" w:space="0" w:color="auto"/>
              <w:left w:val="nil"/>
              <w:bottom w:val="single" w:sz="8" w:space="0" w:color="auto"/>
              <w:right w:val="nil"/>
            </w:tcBorders>
            <w:shd w:val="clear" w:color="auto" w:fill="auto"/>
            <w:vAlign w:val="center"/>
            <w:hideMark/>
          </w:tcPr>
          <w:p w14:paraId="4D525970" w14:textId="77777777" w:rsidR="002F6D46" w:rsidRPr="002F6D46" w:rsidRDefault="002F6D46" w:rsidP="002F6D46">
            <w:pPr>
              <w:jc w:val="center"/>
              <w:rPr>
                <w:b/>
                <w:bCs/>
                <w:sz w:val="18"/>
                <w:szCs w:val="18"/>
                <w:lang w:eastAsia="tr-TR"/>
              </w:rPr>
            </w:pPr>
            <w:r w:rsidRPr="002F6D46">
              <w:rPr>
                <w:b/>
                <w:bCs/>
                <w:sz w:val="18"/>
                <w:szCs w:val="18"/>
                <w:lang w:eastAsia="tr-TR"/>
              </w:rPr>
              <w:t>Önceki Dönem</w:t>
            </w:r>
          </w:p>
        </w:tc>
      </w:tr>
      <w:tr w:rsidR="002F6D46" w:rsidRPr="002F6D46" w14:paraId="3FFCC734" w14:textId="77777777" w:rsidTr="006B1072">
        <w:trPr>
          <w:divId w:val="1195071614"/>
          <w:trHeight w:val="272"/>
        </w:trPr>
        <w:tc>
          <w:tcPr>
            <w:tcW w:w="5096" w:type="dxa"/>
            <w:tcBorders>
              <w:top w:val="nil"/>
              <w:left w:val="nil"/>
              <w:bottom w:val="single" w:sz="8" w:space="0" w:color="auto"/>
              <w:right w:val="nil"/>
            </w:tcBorders>
            <w:shd w:val="clear" w:color="auto" w:fill="auto"/>
            <w:vAlign w:val="center"/>
            <w:hideMark/>
          </w:tcPr>
          <w:p w14:paraId="41CF78EA" w14:textId="77777777" w:rsidR="002F6D46" w:rsidRPr="002F6D46" w:rsidRDefault="002F6D46" w:rsidP="002F6D46">
            <w:pPr>
              <w:jc w:val="right"/>
              <w:rPr>
                <w:sz w:val="18"/>
                <w:szCs w:val="18"/>
                <w:lang w:eastAsia="tr-TR"/>
              </w:rPr>
            </w:pPr>
            <w:r w:rsidRPr="002F6D46">
              <w:rPr>
                <w:sz w:val="18"/>
                <w:szCs w:val="18"/>
                <w:lang w:eastAsia="tr-TR"/>
              </w:rPr>
              <w:t> </w:t>
            </w:r>
          </w:p>
        </w:tc>
        <w:tc>
          <w:tcPr>
            <w:tcW w:w="1168" w:type="dxa"/>
            <w:tcBorders>
              <w:top w:val="nil"/>
              <w:left w:val="nil"/>
              <w:bottom w:val="single" w:sz="8" w:space="0" w:color="auto"/>
              <w:right w:val="nil"/>
            </w:tcBorders>
            <w:shd w:val="clear" w:color="auto" w:fill="auto"/>
            <w:vAlign w:val="center"/>
            <w:hideMark/>
          </w:tcPr>
          <w:p w14:paraId="4F5E8D7C" w14:textId="77777777" w:rsidR="002F6D46" w:rsidRPr="002F6D46" w:rsidRDefault="002F6D46" w:rsidP="002F6D46">
            <w:pPr>
              <w:jc w:val="right"/>
              <w:rPr>
                <w:b/>
                <w:bCs/>
                <w:sz w:val="18"/>
                <w:szCs w:val="18"/>
                <w:lang w:eastAsia="tr-TR"/>
              </w:rPr>
            </w:pPr>
            <w:r w:rsidRPr="002F6D46">
              <w:rPr>
                <w:b/>
                <w:bCs/>
                <w:sz w:val="18"/>
                <w:szCs w:val="18"/>
                <w:lang w:eastAsia="tr-TR"/>
              </w:rPr>
              <w:t>TP</w:t>
            </w:r>
          </w:p>
        </w:tc>
        <w:tc>
          <w:tcPr>
            <w:tcW w:w="1216" w:type="dxa"/>
            <w:tcBorders>
              <w:top w:val="nil"/>
              <w:left w:val="nil"/>
              <w:bottom w:val="single" w:sz="8" w:space="0" w:color="auto"/>
              <w:right w:val="nil"/>
            </w:tcBorders>
            <w:shd w:val="clear" w:color="auto" w:fill="auto"/>
            <w:vAlign w:val="center"/>
            <w:hideMark/>
          </w:tcPr>
          <w:p w14:paraId="7966BE23" w14:textId="77777777" w:rsidR="002F6D46" w:rsidRPr="002F6D46" w:rsidRDefault="002F6D46" w:rsidP="002F6D46">
            <w:pPr>
              <w:jc w:val="right"/>
              <w:rPr>
                <w:b/>
                <w:bCs/>
                <w:sz w:val="18"/>
                <w:szCs w:val="18"/>
                <w:lang w:eastAsia="tr-TR"/>
              </w:rPr>
            </w:pPr>
            <w:r w:rsidRPr="002F6D46">
              <w:rPr>
                <w:b/>
                <w:bCs/>
                <w:sz w:val="18"/>
                <w:szCs w:val="18"/>
                <w:lang w:eastAsia="tr-TR"/>
              </w:rPr>
              <w:t>YP</w:t>
            </w:r>
          </w:p>
        </w:tc>
        <w:tc>
          <w:tcPr>
            <w:tcW w:w="779" w:type="dxa"/>
            <w:tcBorders>
              <w:top w:val="nil"/>
              <w:left w:val="nil"/>
              <w:bottom w:val="single" w:sz="8" w:space="0" w:color="auto"/>
              <w:right w:val="nil"/>
            </w:tcBorders>
            <w:shd w:val="clear" w:color="auto" w:fill="auto"/>
            <w:vAlign w:val="center"/>
            <w:hideMark/>
          </w:tcPr>
          <w:p w14:paraId="75993AB9" w14:textId="77777777" w:rsidR="002F6D46" w:rsidRPr="002F6D46" w:rsidRDefault="002F6D46" w:rsidP="002F6D46">
            <w:pPr>
              <w:jc w:val="right"/>
              <w:rPr>
                <w:b/>
                <w:bCs/>
                <w:sz w:val="18"/>
                <w:szCs w:val="18"/>
                <w:lang w:eastAsia="tr-TR"/>
              </w:rPr>
            </w:pPr>
            <w:r w:rsidRPr="002F6D46">
              <w:rPr>
                <w:b/>
                <w:bCs/>
                <w:sz w:val="18"/>
                <w:szCs w:val="18"/>
                <w:lang w:eastAsia="tr-TR"/>
              </w:rPr>
              <w:t>TP</w:t>
            </w:r>
          </w:p>
        </w:tc>
        <w:tc>
          <w:tcPr>
            <w:tcW w:w="957" w:type="dxa"/>
            <w:tcBorders>
              <w:top w:val="nil"/>
              <w:left w:val="nil"/>
              <w:bottom w:val="single" w:sz="8" w:space="0" w:color="auto"/>
              <w:right w:val="nil"/>
            </w:tcBorders>
            <w:shd w:val="clear" w:color="auto" w:fill="auto"/>
            <w:vAlign w:val="center"/>
            <w:hideMark/>
          </w:tcPr>
          <w:p w14:paraId="126ECEB6" w14:textId="77777777" w:rsidR="002F6D46" w:rsidRPr="002F6D46" w:rsidRDefault="002F6D46" w:rsidP="002F6D46">
            <w:pPr>
              <w:jc w:val="right"/>
              <w:rPr>
                <w:b/>
                <w:bCs/>
                <w:sz w:val="18"/>
                <w:szCs w:val="18"/>
                <w:lang w:eastAsia="tr-TR"/>
              </w:rPr>
            </w:pPr>
            <w:r w:rsidRPr="002F6D46">
              <w:rPr>
                <w:b/>
                <w:bCs/>
                <w:sz w:val="18"/>
                <w:szCs w:val="18"/>
                <w:lang w:eastAsia="tr-TR"/>
              </w:rPr>
              <w:t>YP</w:t>
            </w:r>
          </w:p>
        </w:tc>
      </w:tr>
      <w:tr w:rsidR="002F6D46" w:rsidRPr="002F6D46" w14:paraId="7512BCCA" w14:textId="77777777" w:rsidTr="006B1072">
        <w:trPr>
          <w:divId w:val="1195071614"/>
          <w:trHeight w:val="256"/>
        </w:trPr>
        <w:tc>
          <w:tcPr>
            <w:tcW w:w="5096" w:type="dxa"/>
            <w:tcBorders>
              <w:top w:val="nil"/>
              <w:left w:val="nil"/>
              <w:bottom w:val="nil"/>
              <w:right w:val="nil"/>
            </w:tcBorders>
            <w:shd w:val="clear" w:color="auto" w:fill="auto"/>
            <w:vAlign w:val="center"/>
            <w:hideMark/>
          </w:tcPr>
          <w:p w14:paraId="5F72DA60" w14:textId="77777777" w:rsidR="002F6D46" w:rsidRPr="002F6D46" w:rsidRDefault="002F6D46" w:rsidP="002F6D46">
            <w:pPr>
              <w:jc w:val="both"/>
              <w:rPr>
                <w:b/>
                <w:bCs/>
                <w:sz w:val="18"/>
                <w:szCs w:val="18"/>
                <w:lang w:eastAsia="tr-TR"/>
              </w:rPr>
            </w:pPr>
            <w:r w:rsidRPr="002F6D46">
              <w:rPr>
                <w:b/>
                <w:bCs/>
                <w:sz w:val="18"/>
                <w:szCs w:val="18"/>
                <w:lang w:eastAsia="tr-TR"/>
              </w:rPr>
              <w:t>Bankalar</w:t>
            </w:r>
          </w:p>
        </w:tc>
        <w:tc>
          <w:tcPr>
            <w:tcW w:w="1168" w:type="dxa"/>
            <w:tcBorders>
              <w:top w:val="nil"/>
              <w:left w:val="nil"/>
              <w:bottom w:val="nil"/>
              <w:right w:val="nil"/>
            </w:tcBorders>
            <w:shd w:val="clear" w:color="auto" w:fill="auto"/>
            <w:vAlign w:val="center"/>
            <w:hideMark/>
          </w:tcPr>
          <w:p w14:paraId="54306F76" w14:textId="77777777" w:rsidR="002F6D46" w:rsidRPr="002F6D46" w:rsidRDefault="002F6D46" w:rsidP="002F6D46">
            <w:pPr>
              <w:jc w:val="right"/>
              <w:rPr>
                <w:b/>
                <w:bCs/>
                <w:sz w:val="18"/>
                <w:szCs w:val="18"/>
                <w:lang w:eastAsia="tr-TR"/>
              </w:rPr>
            </w:pPr>
            <w:r w:rsidRPr="002F6D46">
              <w:rPr>
                <w:b/>
                <w:bCs/>
                <w:sz w:val="18"/>
                <w:szCs w:val="18"/>
                <w:lang w:eastAsia="tr-TR"/>
              </w:rPr>
              <w:t>25,261</w:t>
            </w:r>
          </w:p>
        </w:tc>
        <w:tc>
          <w:tcPr>
            <w:tcW w:w="1216" w:type="dxa"/>
            <w:tcBorders>
              <w:top w:val="nil"/>
              <w:left w:val="nil"/>
              <w:bottom w:val="nil"/>
              <w:right w:val="nil"/>
            </w:tcBorders>
            <w:shd w:val="clear" w:color="auto" w:fill="auto"/>
            <w:vAlign w:val="center"/>
            <w:hideMark/>
          </w:tcPr>
          <w:p w14:paraId="6130F2DB" w14:textId="77777777" w:rsidR="002F6D46" w:rsidRPr="002F6D46" w:rsidRDefault="002F6D46" w:rsidP="002F6D46">
            <w:pPr>
              <w:jc w:val="right"/>
              <w:rPr>
                <w:b/>
                <w:bCs/>
                <w:sz w:val="18"/>
                <w:szCs w:val="18"/>
                <w:lang w:eastAsia="tr-TR"/>
              </w:rPr>
            </w:pPr>
            <w:r w:rsidRPr="002F6D46">
              <w:rPr>
                <w:b/>
                <w:bCs/>
                <w:sz w:val="18"/>
                <w:szCs w:val="18"/>
                <w:lang w:eastAsia="tr-TR"/>
              </w:rPr>
              <w:t>4,121,880</w:t>
            </w:r>
          </w:p>
        </w:tc>
        <w:tc>
          <w:tcPr>
            <w:tcW w:w="779" w:type="dxa"/>
            <w:tcBorders>
              <w:top w:val="nil"/>
              <w:left w:val="nil"/>
              <w:bottom w:val="nil"/>
              <w:right w:val="nil"/>
            </w:tcBorders>
            <w:shd w:val="clear" w:color="auto" w:fill="auto"/>
            <w:vAlign w:val="center"/>
            <w:hideMark/>
          </w:tcPr>
          <w:p w14:paraId="2DE1B877" w14:textId="77777777" w:rsidR="002F6D46" w:rsidRPr="002F6D46" w:rsidRDefault="002F6D46" w:rsidP="002F6D46">
            <w:pPr>
              <w:jc w:val="right"/>
              <w:rPr>
                <w:b/>
                <w:bCs/>
                <w:sz w:val="18"/>
                <w:szCs w:val="18"/>
                <w:lang w:eastAsia="tr-TR"/>
              </w:rPr>
            </w:pPr>
            <w:r w:rsidRPr="002F6D46">
              <w:rPr>
                <w:b/>
                <w:bCs/>
                <w:sz w:val="18"/>
                <w:szCs w:val="18"/>
                <w:lang w:eastAsia="tr-TR"/>
              </w:rPr>
              <w:t>12,983</w:t>
            </w:r>
          </w:p>
        </w:tc>
        <w:tc>
          <w:tcPr>
            <w:tcW w:w="957" w:type="dxa"/>
            <w:tcBorders>
              <w:top w:val="nil"/>
              <w:left w:val="nil"/>
              <w:bottom w:val="nil"/>
              <w:right w:val="nil"/>
            </w:tcBorders>
            <w:shd w:val="clear" w:color="auto" w:fill="auto"/>
            <w:vAlign w:val="center"/>
            <w:hideMark/>
          </w:tcPr>
          <w:p w14:paraId="476E7F34" w14:textId="77777777" w:rsidR="002F6D46" w:rsidRPr="002F6D46" w:rsidRDefault="002F6D46" w:rsidP="002F6D46">
            <w:pPr>
              <w:jc w:val="right"/>
              <w:rPr>
                <w:b/>
                <w:bCs/>
                <w:sz w:val="18"/>
                <w:szCs w:val="18"/>
                <w:lang w:eastAsia="tr-TR"/>
              </w:rPr>
            </w:pPr>
            <w:r w:rsidRPr="002F6D46">
              <w:rPr>
                <w:b/>
                <w:bCs/>
                <w:sz w:val="18"/>
                <w:szCs w:val="18"/>
                <w:lang w:eastAsia="tr-TR"/>
              </w:rPr>
              <w:t>6,977,847</w:t>
            </w:r>
          </w:p>
        </w:tc>
      </w:tr>
      <w:tr w:rsidR="002F6D46" w:rsidRPr="002F6D46" w14:paraId="768E3328" w14:textId="77777777" w:rsidTr="006B1072">
        <w:trPr>
          <w:divId w:val="1195071614"/>
          <w:trHeight w:val="256"/>
        </w:trPr>
        <w:tc>
          <w:tcPr>
            <w:tcW w:w="5096" w:type="dxa"/>
            <w:tcBorders>
              <w:top w:val="nil"/>
              <w:left w:val="nil"/>
              <w:bottom w:val="nil"/>
              <w:right w:val="nil"/>
            </w:tcBorders>
            <w:shd w:val="clear" w:color="auto" w:fill="auto"/>
            <w:vAlign w:val="center"/>
            <w:hideMark/>
          </w:tcPr>
          <w:p w14:paraId="6AE1757C" w14:textId="77777777" w:rsidR="002F6D46" w:rsidRPr="002F6D46" w:rsidRDefault="002F6D46" w:rsidP="002F6D46">
            <w:pPr>
              <w:jc w:val="both"/>
              <w:rPr>
                <w:sz w:val="18"/>
                <w:szCs w:val="18"/>
                <w:lang w:eastAsia="tr-TR"/>
              </w:rPr>
            </w:pPr>
            <w:r w:rsidRPr="002F6D46">
              <w:rPr>
                <w:sz w:val="18"/>
                <w:szCs w:val="18"/>
                <w:lang w:eastAsia="tr-TR"/>
              </w:rPr>
              <w:t xml:space="preserve">     Yurtiçi</w:t>
            </w:r>
          </w:p>
        </w:tc>
        <w:tc>
          <w:tcPr>
            <w:tcW w:w="1168" w:type="dxa"/>
            <w:tcBorders>
              <w:top w:val="nil"/>
              <w:left w:val="nil"/>
              <w:bottom w:val="nil"/>
              <w:right w:val="nil"/>
            </w:tcBorders>
            <w:shd w:val="clear" w:color="auto" w:fill="auto"/>
            <w:vAlign w:val="center"/>
            <w:hideMark/>
          </w:tcPr>
          <w:p w14:paraId="666509A9" w14:textId="77777777" w:rsidR="002F6D46" w:rsidRPr="002F6D46" w:rsidRDefault="002F6D46" w:rsidP="002F6D46">
            <w:pPr>
              <w:jc w:val="right"/>
              <w:rPr>
                <w:sz w:val="18"/>
                <w:szCs w:val="18"/>
                <w:lang w:eastAsia="tr-TR"/>
              </w:rPr>
            </w:pPr>
            <w:r w:rsidRPr="002F6D46">
              <w:rPr>
                <w:sz w:val="18"/>
                <w:szCs w:val="18"/>
                <w:lang w:eastAsia="tr-TR"/>
              </w:rPr>
              <w:t>25,261</w:t>
            </w:r>
          </w:p>
        </w:tc>
        <w:tc>
          <w:tcPr>
            <w:tcW w:w="1216" w:type="dxa"/>
            <w:tcBorders>
              <w:top w:val="nil"/>
              <w:left w:val="nil"/>
              <w:bottom w:val="nil"/>
              <w:right w:val="nil"/>
            </w:tcBorders>
            <w:shd w:val="clear" w:color="auto" w:fill="auto"/>
            <w:vAlign w:val="center"/>
            <w:hideMark/>
          </w:tcPr>
          <w:p w14:paraId="4D307CB9" w14:textId="77777777" w:rsidR="002F6D46" w:rsidRPr="002F6D46" w:rsidRDefault="002F6D46" w:rsidP="002F6D46">
            <w:pPr>
              <w:jc w:val="right"/>
              <w:rPr>
                <w:sz w:val="18"/>
                <w:szCs w:val="18"/>
                <w:lang w:eastAsia="tr-TR"/>
              </w:rPr>
            </w:pPr>
            <w:r w:rsidRPr="002F6D46">
              <w:rPr>
                <w:sz w:val="18"/>
                <w:szCs w:val="18"/>
                <w:lang w:eastAsia="tr-TR"/>
              </w:rPr>
              <w:t>141,267</w:t>
            </w:r>
          </w:p>
        </w:tc>
        <w:tc>
          <w:tcPr>
            <w:tcW w:w="779" w:type="dxa"/>
            <w:tcBorders>
              <w:top w:val="nil"/>
              <w:left w:val="nil"/>
              <w:bottom w:val="nil"/>
              <w:right w:val="nil"/>
            </w:tcBorders>
            <w:shd w:val="clear" w:color="auto" w:fill="auto"/>
            <w:vAlign w:val="center"/>
            <w:hideMark/>
          </w:tcPr>
          <w:p w14:paraId="582DA75D" w14:textId="77777777" w:rsidR="002F6D46" w:rsidRPr="002F6D46" w:rsidRDefault="002F6D46" w:rsidP="002F6D46">
            <w:pPr>
              <w:jc w:val="right"/>
              <w:rPr>
                <w:sz w:val="18"/>
                <w:szCs w:val="18"/>
                <w:lang w:eastAsia="tr-TR"/>
              </w:rPr>
            </w:pPr>
            <w:r w:rsidRPr="002F6D46">
              <w:rPr>
                <w:sz w:val="18"/>
                <w:szCs w:val="18"/>
                <w:lang w:eastAsia="tr-TR"/>
              </w:rPr>
              <w:t>12,886</w:t>
            </w:r>
          </w:p>
        </w:tc>
        <w:tc>
          <w:tcPr>
            <w:tcW w:w="957" w:type="dxa"/>
            <w:tcBorders>
              <w:top w:val="nil"/>
              <w:left w:val="nil"/>
              <w:bottom w:val="nil"/>
              <w:right w:val="nil"/>
            </w:tcBorders>
            <w:shd w:val="clear" w:color="auto" w:fill="auto"/>
            <w:vAlign w:val="center"/>
            <w:hideMark/>
          </w:tcPr>
          <w:p w14:paraId="6A7A72AC" w14:textId="77777777" w:rsidR="002F6D46" w:rsidRPr="002F6D46" w:rsidRDefault="002F6D46" w:rsidP="002F6D46">
            <w:pPr>
              <w:jc w:val="right"/>
              <w:rPr>
                <w:sz w:val="18"/>
                <w:szCs w:val="18"/>
                <w:lang w:eastAsia="tr-TR"/>
              </w:rPr>
            </w:pPr>
            <w:r w:rsidRPr="002F6D46">
              <w:rPr>
                <w:sz w:val="18"/>
                <w:szCs w:val="18"/>
                <w:lang w:eastAsia="tr-TR"/>
              </w:rPr>
              <w:t>3,767,297</w:t>
            </w:r>
          </w:p>
        </w:tc>
      </w:tr>
      <w:tr w:rsidR="002F6D46" w:rsidRPr="002F6D46" w14:paraId="370265E6" w14:textId="77777777" w:rsidTr="006B1072">
        <w:trPr>
          <w:divId w:val="1195071614"/>
          <w:trHeight w:val="256"/>
        </w:trPr>
        <w:tc>
          <w:tcPr>
            <w:tcW w:w="5096" w:type="dxa"/>
            <w:tcBorders>
              <w:top w:val="nil"/>
              <w:left w:val="nil"/>
              <w:bottom w:val="nil"/>
              <w:right w:val="nil"/>
            </w:tcBorders>
            <w:shd w:val="clear" w:color="auto" w:fill="auto"/>
            <w:vAlign w:val="center"/>
            <w:hideMark/>
          </w:tcPr>
          <w:p w14:paraId="484D7D57" w14:textId="77777777" w:rsidR="002F6D46" w:rsidRPr="002F6D46" w:rsidRDefault="002F6D46" w:rsidP="002F6D46">
            <w:pPr>
              <w:jc w:val="both"/>
              <w:rPr>
                <w:sz w:val="18"/>
                <w:szCs w:val="18"/>
                <w:lang w:eastAsia="tr-TR"/>
              </w:rPr>
            </w:pPr>
            <w:r w:rsidRPr="002F6D46">
              <w:rPr>
                <w:sz w:val="18"/>
                <w:szCs w:val="18"/>
                <w:lang w:eastAsia="tr-TR"/>
              </w:rPr>
              <w:t xml:space="preserve">     Yurtdışı</w:t>
            </w:r>
          </w:p>
        </w:tc>
        <w:tc>
          <w:tcPr>
            <w:tcW w:w="1168" w:type="dxa"/>
            <w:tcBorders>
              <w:top w:val="nil"/>
              <w:left w:val="nil"/>
              <w:bottom w:val="nil"/>
              <w:right w:val="nil"/>
            </w:tcBorders>
            <w:shd w:val="clear" w:color="auto" w:fill="auto"/>
            <w:vAlign w:val="center"/>
            <w:hideMark/>
          </w:tcPr>
          <w:p w14:paraId="5FCE5D87" w14:textId="77777777" w:rsidR="002F6D46" w:rsidRPr="002F6D46" w:rsidRDefault="002F6D46" w:rsidP="002F6D46">
            <w:pPr>
              <w:jc w:val="right"/>
              <w:rPr>
                <w:sz w:val="18"/>
                <w:szCs w:val="18"/>
                <w:lang w:eastAsia="tr-TR"/>
              </w:rPr>
            </w:pPr>
            <w:r w:rsidRPr="002F6D46">
              <w:rPr>
                <w:sz w:val="18"/>
                <w:szCs w:val="18"/>
                <w:lang w:eastAsia="tr-TR"/>
              </w:rPr>
              <w:t>-</w:t>
            </w:r>
          </w:p>
        </w:tc>
        <w:tc>
          <w:tcPr>
            <w:tcW w:w="1216" w:type="dxa"/>
            <w:tcBorders>
              <w:top w:val="nil"/>
              <w:left w:val="nil"/>
              <w:bottom w:val="nil"/>
              <w:right w:val="nil"/>
            </w:tcBorders>
            <w:shd w:val="clear" w:color="auto" w:fill="auto"/>
            <w:vAlign w:val="center"/>
            <w:hideMark/>
          </w:tcPr>
          <w:p w14:paraId="0AE6E59A" w14:textId="77777777" w:rsidR="002F6D46" w:rsidRPr="002F6D46" w:rsidRDefault="002F6D46" w:rsidP="002F6D46">
            <w:pPr>
              <w:jc w:val="right"/>
              <w:rPr>
                <w:sz w:val="18"/>
                <w:szCs w:val="18"/>
                <w:lang w:eastAsia="tr-TR"/>
              </w:rPr>
            </w:pPr>
            <w:r w:rsidRPr="002F6D46">
              <w:rPr>
                <w:sz w:val="18"/>
                <w:szCs w:val="18"/>
                <w:lang w:eastAsia="tr-TR"/>
              </w:rPr>
              <w:t>3,980,613</w:t>
            </w:r>
          </w:p>
        </w:tc>
        <w:tc>
          <w:tcPr>
            <w:tcW w:w="779" w:type="dxa"/>
            <w:tcBorders>
              <w:top w:val="nil"/>
              <w:left w:val="nil"/>
              <w:bottom w:val="nil"/>
              <w:right w:val="nil"/>
            </w:tcBorders>
            <w:shd w:val="clear" w:color="auto" w:fill="auto"/>
            <w:vAlign w:val="center"/>
            <w:hideMark/>
          </w:tcPr>
          <w:p w14:paraId="57030B74" w14:textId="77777777" w:rsidR="002F6D46" w:rsidRPr="002F6D46" w:rsidRDefault="002F6D46" w:rsidP="002F6D46">
            <w:pPr>
              <w:jc w:val="right"/>
              <w:rPr>
                <w:sz w:val="18"/>
                <w:szCs w:val="18"/>
                <w:lang w:eastAsia="tr-TR"/>
              </w:rPr>
            </w:pPr>
            <w:r w:rsidRPr="002F6D46">
              <w:rPr>
                <w:sz w:val="18"/>
                <w:szCs w:val="18"/>
                <w:lang w:eastAsia="tr-TR"/>
              </w:rPr>
              <w:t>97</w:t>
            </w:r>
          </w:p>
        </w:tc>
        <w:tc>
          <w:tcPr>
            <w:tcW w:w="957" w:type="dxa"/>
            <w:tcBorders>
              <w:top w:val="nil"/>
              <w:left w:val="nil"/>
              <w:bottom w:val="nil"/>
              <w:right w:val="nil"/>
            </w:tcBorders>
            <w:shd w:val="clear" w:color="auto" w:fill="auto"/>
            <w:vAlign w:val="center"/>
            <w:hideMark/>
          </w:tcPr>
          <w:p w14:paraId="2ADB380F" w14:textId="77777777" w:rsidR="002F6D46" w:rsidRPr="002F6D46" w:rsidRDefault="002F6D46" w:rsidP="002F6D46">
            <w:pPr>
              <w:jc w:val="right"/>
              <w:rPr>
                <w:sz w:val="18"/>
                <w:szCs w:val="18"/>
                <w:lang w:eastAsia="tr-TR"/>
              </w:rPr>
            </w:pPr>
            <w:r w:rsidRPr="002F6D46">
              <w:rPr>
                <w:sz w:val="18"/>
                <w:szCs w:val="18"/>
                <w:lang w:eastAsia="tr-TR"/>
              </w:rPr>
              <w:t>3,210,550</w:t>
            </w:r>
          </w:p>
        </w:tc>
      </w:tr>
      <w:tr w:rsidR="002F6D46" w:rsidRPr="002F6D46" w14:paraId="49887132" w14:textId="77777777" w:rsidTr="006B1072">
        <w:trPr>
          <w:divId w:val="1195071614"/>
          <w:trHeight w:val="256"/>
        </w:trPr>
        <w:tc>
          <w:tcPr>
            <w:tcW w:w="5096" w:type="dxa"/>
            <w:tcBorders>
              <w:top w:val="nil"/>
              <w:left w:val="nil"/>
              <w:bottom w:val="nil"/>
              <w:right w:val="nil"/>
            </w:tcBorders>
            <w:shd w:val="clear" w:color="auto" w:fill="auto"/>
            <w:vAlign w:val="center"/>
            <w:hideMark/>
          </w:tcPr>
          <w:p w14:paraId="720C0936" w14:textId="77777777" w:rsidR="002F6D46" w:rsidRPr="002F6D46" w:rsidRDefault="002F6D46" w:rsidP="002F6D46">
            <w:pPr>
              <w:ind w:firstLineChars="100" w:firstLine="180"/>
              <w:rPr>
                <w:sz w:val="18"/>
                <w:szCs w:val="18"/>
                <w:lang w:eastAsia="tr-TR"/>
              </w:rPr>
            </w:pPr>
            <w:r w:rsidRPr="002F6D46">
              <w:rPr>
                <w:sz w:val="18"/>
                <w:szCs w:val="18"/>
                <w:lang w:eastAsia="tr-TR"/>
              </w:rPr>
              <w:t>Yurtdışı merkez ve Şubeler</w:t>
            </w:r>
          </w:p>
        </w:tc>
        <w:tc>
          <w:tcPr>
            <w:tcW w:w="1168" w:type="dxa"/>
            <w:tcBorders>
              <w:top w:val="nil"/>
              <w:left w:val="nil"/>
              <w:bottom w:val="nil"/>
              <w:right w:val="nil"/>
            </w:tcBorders>
            <w:shd w:val="clear" w:color="auto" w:fill="auto"/>
            <w:vAlign w:val="center"/>
            <w:hideMark/>
          </w:tcPr>
          <w:p w14:paraId="52CA4298" w14:textId="77777777" w:rsidR="002F6D46" w:rsidRPr="002F6D46" w:rsidRDefault="002F6D46" w:rsidP="002F6D46">
            <w:pPr>
              <w:jc w:val="right"/>
              <w:rPr>
                <w:sz w:val="18"/>
                <w:szCs w:val="18"/>
                <w:lang w:eastAsia="tr-TR"/>
              </w:rPr>
            </w:pPr>
            <w:r w:rsidRPr="002F6D46">
              <w:rPr>
                <w:sz w:val="18"/>
                <w:szCs w:val="18"/>
                <w:lang w:eastAsia="tr-TR"/>
              </w:rPr>
              <w:t>-</w:t>
            </w:r>
          </w:p>
        </w:tc>
        <w:tc>
          <w:tcPr>
            <w:tcW w:w="1216" w:type="dxa"/>
            <w:tcBorders>
              <w:top w:val="nil"/>
              <w:left w:val="nil"/>
              <w:bottom w:val="nil"/>
              <w:right w:val="nil"/>
            </w:tcBorders>
            <w:shd w:val="clear" w:color="auto" w:fill="auto"/>
            <w:vAlign w:val="center"/>
            <w:hideMark/>
          </w:tcPr>
          <w:p w14:paraId="3469A34D" w14:textId="77777777" w:rsidR="002F6D46" w:rsidRPr="002F6D46" w:rsidRDefault="002F6D46" w:rsidP="002F6D46">
            <w:pPr>
              <w:jc w:val="right"/>
              <w:rPr>
                <w:sz w:val="18"/>
                <w:szCs w:val="18"/>
                <w:lang w:eastAsia="tr-TR"/>
              </w:rPr>
            </w:pPr>
            <w:r w:rsidRPr="002F6D46">
              <w:rPr>
                <w:sz w:val="18"/>
                <w:szCs w:val="18"/>
                <w:lang w:eastAsia="tr-TR"/>
              </w:rPr>
              <w:t>-</w:t>
            </w:r>
          </w:p>
        </w:tc>
        <w:tc>
          <w:tcPr>
            <w:tcW w:w="779" w:type="dxa"/>
            <w:tcBorders>
              <w:top w:val="nil"/>
              <w:left w:val="nil"/>
              <w:bottom w:val="nil"/>
              <w:right w:val="nil"/>
            </w:tcBorders>
            <w:shd w:val="clear" w:color="auto" w:fill="auto"/>
            <w:vAlign w:val="center"/>
            <w:hideMark/>
          </w:tcPr>
          <w:p w14:paraId="53AA91E5" w14:textId="77777777" w:rsidR="002F6D46" w:rsidRPr="002F6D46" w:rsidRDefault="002F6D46" w:rsidP="002F6D46">
            <w:pPr>
              <w:jc w:val="right"/>
              <w:rPr>
                <w:sz w:val="18"/>
                <w:szCs w:val="18"/>
                <w:lang w:eastAsia="tr-TR"/>
              </w:rPr>
            </w:pPr>
            <w:r w:rsidRPr="002F6D46">
              <w:rPr>
                <w:sz w:val="18"/>
                <w:szCs w:val="18"/>
                <w:lang w:eastAsia="tr-TR"/>
              </w:rPr>
              <w:t>-</w:t>
            </w:r>
          </w:p>
        </w:tc>
        <w:tc>
          <w:tcPr>
            <w:tcW w:w="957" w:type="dxa"/>
            <w:tcBorders>
              <w:top w:val="nil"/>
              <w:left w:val="nil"/>
              <w:bottom w:val="nil"/>
              <w:right w:val="nil"/>
            </w:tcBorders>
            <w:shd w:val="clear" w:color="auto" w:fill="auto"/>
            <w:vAlign w:val="center"/>
            <w:hideMark/>
          </w:tcPr>
          <w:p w14:paraId="51ABDEA0" w14:textId="77777777" w:rsidR="002F6D46" w:rsidRPr="002F6D46" w:rsidRDefault="002F6D46" w:rsidP="002F6D46">
            <w:pPr>
              <w:jc w:val="right"/>
              <w:rPr>
                <w:sz w:val="18"/>
                <w:szCs w:val="18"/>
                <w:lang w:eastAsia="tr-TR"/>
              </w:rPr>
            </w:pPr>
            <w:r w:rsidRPr="002F6D46">
              <w:rPr>
                <w:sz w:val="18"/>
                <w:szCs w:val="18"/>
                <w:lang w:eastAsia="tr-TR"/>
              </w:rPr>
              <w:t>-</w:t>
            </w:r>
          </w:p>
        </w:tc>
      </w:tr>
      <w:tr w:rsidR="002F6D46" w:rsidRPr="002F6D46" w14:paraId="2E1C8F1D" w14:textId="77777777" w:rsidTr="006B1072">
        <w:trPr>
          <w:divId w:val="1195071614"/>
          <w:trHeight w:val="272"/>
        </w:trPr>
        <w:tc>
          <w:tcPr>
            <w:tcW w:w="5096" w:type="dxa"/>
            <w:tcBorders>
              <w:top w:val="nil"/>
              <w:left w:val="nil"/>
              <w:bottom w:val="single" w:sz="8" w:space="0" w:color="auto"/>
              <w:right w:val="nil"/>
            </w:tcBorders>
            <w:shd w:val="clear" w:color="auto" w:fill="auto"/>
            <w:noWrap/>
            <w:vAlign w:val="bottom"/>
            <w:hideMark/>
          </w:tcPr>
          <w:p w14:paraId="126B7989" w14:textId="77777777" w:rsidR="002F6D46" w:rsidRPr="002F6D46" w:rsidRDefault="002F6D46" w:rsidP="002F6D46">
            <w:pPr>
              <w:rPr>
                <w:sz w:val="18"/>
                <w:szCs w:val="18"/>
                <w:lang w:eastAsia="tr-TR"/>
              </w:rPr>
            </w:pPr>
            <w:r w:rsidRPr="002F6D46">
              <w:rPr>
                <w:sz w:val="18"/>
                <w:szCs w:val="18"/>
                <w:lang w:eastAsia="tr-TR"/>
              </w:rPr>
              <w:t>Diğer Mali Kuruluşlar</w:t>
            </w:r>
          </w:p>
        </w:tc>
        <w:tc>
          <w:tcPr>
            <w:tcW w:w="1168" w:type="dxa"/>
            <w:tcBorders>
              <w:top w:val="nil"/>
              <w:left w:val="nil"/>
              <w:bottom w:val="single" w:sz="8" w:space="0" w:color="auto"/>
              <w:right w:val="nil"/>
            </w:tcBorders>
            <w:shd w:val="clear" w:color="auto" w:fill="auto"/>
            <w:vAlign w:val="center"/>
            <w:hideMark/>
          </w:tcPr>
          <w:p w14:paraId="4022459A" w14:textId="77777777" w:rsidR="002F6D46" w:rsidRPr="002F6D46" w:rsidRDefault="002F6D46" w:rsidP="002F6D46">
            <w:pPr>
              <w:jc w:val="right"/>
              <w:rPr>
                <w:sz w:val="18"/>
                <w:szCs w:val="18"/>
                <w:lang w:eastAsia="tr-TR"/>
              </w:rPr>
            </w:pPr>
            <w:r w:rsidRPr="002F6D46">
              <w:rPr>
                <w:sz w:val="18"/>
                <w:szCs w:val="18"/>
                <w:lang w:eastAsia="tr-TR"/>
              </w:rPr>
              <w:t>-</w:t>
            </w:r>
          </w:p>
        </w:tc>
        <w:tc>
          <w:tcPr>
            <w:tcW w:w="1216" w:type="dxa"/>
            <w:tcBorders>
              <w:top w:val="nil"/>
              <w:left w:val="nil"/>
              <w:bottom w:val="single" w:sz="8" w:space="0" w:color="auto"/>
              <w:right w:val="nil"/>
            </w:tcBorders>
            <w:shd w:val="clear" w:color="auto" w:fill="auto"/>
            <w:vAlign w:val="center"/>
            <w:hideMark/>
          </w:tcPr>
          <w:p w14:paraId="7DD4EDB2" w14:textId="77777777" w:rsidR="002F6D46" w:rsidRPr="002F6D46" w:rsidRDefault="002F6D46" w:rsidP="002F6D46">
            <w:pPr>
              <w:jc w:val="right"/>
              <w:rPr>
                <w:sz w:val="18"/>
                <w:szCs w:val="18"/>
                <w:lang w:eastAsia="tr-TR"/>
              </w:rPr>
            </w:pPr>
            <w:r w:rsidRPr="002F6D46">
              <w:rPr>
                <w:sz w:val="18"/>
                <w:szCs w:val="18"/>
                <w:lang w:eastAsia="tr-TR"/>
              </w:rPr>
              <w:t>-</w:t>
            </w:r>
          </w:p>
        </w:tc>
        <w:tc>
          <w:tcPr>
            <w:tcW w:w="779" w:type="dxa"/>
            <w:tcBorders>
              <w:top w:val="nil"/>
              <w:left w:val="nil"/>
              <w:bottom w:val="single" w:sz="8" w:space="0" w:color="auto"/>
              <w:right w:val="nil"/>
            </w:tcBorders>
            <w:shd w:val="clear" w:color="auto" w:fill="auto"/>
            <w:vAlign w:val="center"/>
            <w:hideMark/>
          </w:tcPr>
          <w:p w14:paraId="6CAFD42D" w14:textId="77777777" w:rsidR="002F6D46" w:rsidRPr="002F6D46" w:rsidRDefault="002F6D46" w:rsidP="002F6D46">
            <w:pPr>
              <w:jc w:val="right"/>
              <w:rPr>
                <w:sz w:val="18"/>
                <w:szCs w:val="18"/>
                <w:lang w:eastAsia="tr-TR"/>
              </w:rPr>
            </w:pPr>
            <w:r w:rsidRPr="002F6D46">
              <w:rPr>
                <w:sz w:val="18"/>
                <w:szCs w:val="18"/>
                <w:lang w:eastAsia="tr-TR"/>
              </w:rPr>
              <w:t>-</w:t>
            </w:r>
          </w:p>
        </w:tc>
        <w:tc>
          <w:tcPr>
            <w:tcW w:w="957" w:type="dxa"/>
            <w:tcBorders>
              <w:top w:val="nil"/>
              <w:left w:val="nil"/>
              <w:bottom w:val="single" w:sz="8" w:space="0" w:color="auto"/>
              <w:right w:val="nil"/>
            </w:tcBorders>
            <w:shd w:val="clear" w:color="auto" w:fill="auto"/>
            <w:vAlign w:val="center"/>
            <w:hideMark/>
          </w:tcPr>
          <w:p w14:paraId="306BAEC5" w14:textId="77777777" w:rsidR="002F6D46" w:rsidRPr="002F6D46" w:rsidRDefault="002F6D46" w:rsidP="002F6D46">
            <w:pPr>
              <w:jc w:val="right"/>
              <w:rPr>
                <w:sz w:val="18"/>
                <w:szCs w:val="18"/>
                <w:lang w:eastAsia="tr-TR"/>
              </w:rPr>
            </w:pPr>
            <w:r w:rsidRPr="002F6D46">
              <w:rPr>
                <w:sz w:val="18"/>
                <w:szCs w:val="18"/>
                <w:lang w:eastAsia="tr-TR"/>
              </w:rPr>
              <w:t>-</w:t>
            </w:r>
          </w:p>
        </w:tc>
      </w:tr>
      <w:tr w:rsidR="002F6D46" w:rsidRPr="002F6D46" w14:paraId="023B1DE5" w14:textId="77777777" w:rsidTr="006B1072">
        <w:trPr>
          <w:divId w:val="1195071614"/>
          <w:trHeight w:val="272"/>
        </w:trPr>
        <w:tc>
          <w:tcPr>
            <w:tcW w:w="5096" w:type="dxa"/>
            <w:tcBorders>
              <w:top w:val="nil"/>
              <w:left w:val="nil"/>
              <w:bottom w:val="double" w:sz="6" w:space="0" w:color="auto"/>
              <w:right w:val="nil"/>
            </w:tcBorders>
            <w:shd w:val="clear" w:color="auto" w:fill="auto"/>
            <w:vAlign w:val="center"/>
            <w:hideMark/>
          </w:tcPr>
          <w:p w14:paraId="18AB1352" w14:textId="77777777" w:rsidR="002F6D46" w:rsidRPr="002F6D46" w:rsidRDefault="002F6D46" w:rsidP="002F6D46">
            <w:pPr>
              <w:jc w:val="both"/>
              <w:rPr>
                <w:b/>
                <w:bCs/>
                <w:sz w:val="18"/>
                <w:szCs w:val="18"/>
                <w:lang w:eastAsia="tr-TR"/>
              </w:rPr>
            </w:pPr>
            <w:r w:rsidRPr="002F6D46">
              <w:rPr>
                <w:b/>
                <w:bCs/>
                <w:sz w:val="18"/>
                <w:szCs w:val="18"/>
                <w:lang w:eastAsia="tr-TR"/>
              </w:rPr>
              <w:t>Toplam</w:t>
            </w:r>
          </w:p>
        </w:tc>
        <w:tc>
          <w:tcPr>
            <w:tcW w:w="1168" w:type="dxa"/>
            <w:tcBorders>
              <w:top w:val="nil"/>
              <w:left w:val="nil"/>
              <w:bottom w:val="double" w:sz="6" w:space="0" w:color="auto"/>
              <w:right w:val="nil"/>
            </w:tcBorders>
            <w:shd w:val="clear" w:color="auto" w:fill="auto"/>
            <w:vAlign w:val="center"/>
            <w:hideMark/>
          </w:tcPr>
          <w:p w14:paraId="7610E4B6" w14:textId="77777777" w:rsidR="002F6D46" w:rsidRPr="002F6D46" w:rsidRDefault="002F6D46" w:rsidP="002F6D46">
            <w:pPr>
              <w:jc w:val="right"/>
              <w:rPr>
                <w:b/>
                <w:bCs/>
                <w:sz w:val="18"/>
                <w:szCs w:val="18"/>
                <w:lang w:eastAsia="tr-TR"/>
              </w:rPr>
            </w:pPr>
            <w:r w:rsidRPr="002F6D46">
              <w:rPr>
                <w:b/>
                <w:bCs/>
                <w:sz w:val="18"/>
                <w:szCs w:val="18"/>
                <w:lang w:eastAsia="tr-TR"/>
              </w:rPr>
              <w:t>25,261</w:t>
            </w:r>
          </w:p>
        </w:tc>
        <w:tc>
          <w:tcPr>
            <w:tcW w:w="1216" w:type="dxa"/>
            <w:tcBorders>
              <w:top w:val="nil"/>
              <w:left w:val="nil"/>
              <w:bottom w:val="double" w:sz="6" w:space="0" w:color="auto"/>
              <w:right w:val="nil"/>
            </w:tcBorders>
            <w:shd w:val="clear" w:color="auto" w:fill="auto"/>
            <w:vAlign w:val="center"/>
            <w:hideMark/>
          </w:tcPr>
          <w:p w14:paraId="0123159A" w14:textId="77777777" w:rsidR="002F6D46" w:rsidRPr="002F6D46" w:rsidRDefault="002F6D46" w:rsidP="002F6D46">
            <w:pPr>
              <w:jc w:val="right"/>
              <w:rPr>
                <w:b/>
                <w:bCs/>
                <w:sz w:val="18"/>
                <w:szCs w:val="18"/>
                <w:lang w:eastAsia="tr-TR"/>
              </w:rPr>
            </w:pPr>
            <w:r w:rsidRPr="002F6D46">
              <w:rPr>
                <w:b/>
                <w:bCs/>
                <w:sz w:val="18"/>
                <w:szCs w:val="18"/>
                <w:lang w:eastAsia="tr-TR"/>
              </w:rPr>
              <w:t>4,121,880</w:t>
            </w:r>
          </w:p>
        </w:tc>
        <w:tc>
          <w:tcPr>
            <w:tcW w:w="779" w:type="dxa"/>
            <w:tcBorders>
              <w:top w:val="nil"/>
              <w:left w:val="nil"/>
              <w:bottom w:val="double" w:sz="6" w:space="0" w:color="auto"/>
              <w:right w:val="nil"/>
            </w:tcBorders>
            <w:shd w:val="clear" w:color="auto" w:fill="auto"/>
            <w:vAlign w:val="center"/>
            <w:hideMark/>
          </w:tcPr>
          <w:p w14:paraId="3A00759C" w14:textId="77777777" w:rsidR="002F6D46" w:rsidRPr="002F6D46" w:rsidRDefault="002F6D46" w:rsidP="002F6D46">
            <w:pPr>
              <w:jc w:val="right"/>
              <w:rPr>
                <w:b/>
                <w:bCs/>
                <w:sz w:val="18"/>
                <w:szCs w:val="18"/>
                <w:lang w:eastAsia="tr-TR"/>
              </w:rPr>
            </w:pPr>
            <w:r w:rsidRPr="002F6D46">
              <w:rPr>
                <w:b/>
                <w:bCs/>
                <w:sz w:val="18"/>
                <w:szCs w:val="18"/>
                <w:lang w:eastAsia="tr-TR"/>
              </w:rPr>
              <w:t>12,983</w:t>
            </w:r>
          </w:p>
        </w:tc>
        <w:tc>
          <w:tcPr>
            <w:tcW w:w="957" w:type="dxa"/>
            <w:tcBorders>
              <w:top w:val="nil"/>
              <w:left w:val="nil"/>
              <w:bottom w:val="double" w:sz="6" w:space="0" w:color="auto"/>
              <w:right w:val="nil"/>
            </w:tcBorders>
            <w:shd w:val="clear" w:color="auto" w:fill="auto"/>
            <w:vAlign w:val="center"/>
            <w:hideMark/>
          </w:tcPr>
          <w:p w14:paraId="3EACB225" w14:textId="77777777" w:rsidR="002F6D46" w:rsidRPr="002F6D46" w:rsidRDefault="002F6D46" w:rsidP="002F6D46">
            <w:pPr>
              <w:jc w:val="right"/>
              <w:rPr>
                <w:b/>
                <w:bCs/>
                <w:sz w:val="18"/>
                <w:szCs w:val="18"/>
                <w:lang w:eastAsia="tr-TR"/>
              </w:rPr>
            </w:pPr>
            <w:r w:rsidRPr="002F6D46">
              <w:rPr>
                <w:b/>
                <w:bCs/>
                <w:sz w:val="18"/>
                <w:szCs w:val="18"/>
                <w:lang w:eastAsia="tr-TR"/>
              </w:rPr>
              <w:t>6,977,847</w:t>
            </w:r>
          </w:p>
        </w:tc>
      </w:tr>
    </w:tbl>
    <w:p w14:paraId="67A8143C" w14:textId="2DE3C719" w:rsidR="00EC1D5D" w:rsidRPr="00270CE6" w:rsidRDefault="00EC1D5D" w:rsidP="00EE32B2">
      <w:pPr>
        <w:pStyle w:val="BodyTextIndent"/>
        <w:jc w:val="left"/>
        <w:rPr>
          <w:b/>
          <w:sz w:val="16"/>
          <w:szCs w:val="16"/>
          <w:highlight w:val="yellow"/>
        </w:rPr>
      </w:pPr>
    </w:p>
    <w:p w14:paraId="361D1E86" w14:textId="77777777" w:rsidR="00EC1D5D" w:rsidRPr="002F6D46" w:rsidRDefault="00EC1D5D" w:rsidP="00EC1D5D">
      <w:pPr>
        <w:pStyle w:val="BodyTextIndent"/>
        <w:tabs>
          <w:tab w:val="num" w:pos="1260"/>
        </w:tabs>
        <w:autoSpaceDE/>
        <w:autoSpaceDN/>
        <w:adjustRightInd/>
        <w:ind w:left="0" w:hanging="567"/>
        <w:jc w:val="left"/>
        <w:rPr>
          <w:b/>
        </w:rPr>
      </w:pPr>
      <w:r w:rsidRPr="002F6D46">
        <w:rPr>
          <w:b/>
        </w:rPr>
        <w:t>1.3.2.</w:t>
      </w:r>
      <w:r w:rsidRPr="002F6D46">
        <w:rPr>
          <w:b/>
        </w:rPr>
        <w:tab/>
        <w:t xml:space="preserve">Yurt dışı bankalar hesabına ilişkin bilgiler: </w:t>
      </w:r>
    </w:p>
    <w:p w14:paraId="1628B8E0" w14:textId="77777777" w:rsidR="00EC1D5D" w:rsidRPr="002F6D46" w:rsidRDefault="00EC1D5D" w:rsidP="00EC1D5D">
      <w:pPr>
        <w:autoSpaceDE w:val="0"/>
        <w:autoSpaceDN w:val="0"/>
        <w:adjustRightInd w:val="0"/>
        <w:rPr>
          <w:rFonts w:eastAsia="Arial Unicode MS"/>
          <w:sz w:val="16"/>
          <w:szCs w:val="16"/>
        </w:rPr>
      </w:pPr>
    </w:p>
    <w:p w14:paraId="1585F8A6" w14:textId="3B481729" w:rsidR="000E549C" w:rsidRPr="002F6D46" w:rsidRDefault="00A65660" w:rsidP="00A65660">
      <w:pPr>
        <w:autoSpaceDE w:val="0"/>
        <w:autoSpaceDN w:val="0"/>
        <w:adjustRightInd w:val="0"/>
        <w:jc w:val="both"/>
        <w:rPr>
          <w:rFonts w:eastAsia="Arial Unicode MS"/>
          <w:color w:val="000000"/>
          <w:spacing w:val="-6"/>
        </w:rPr>
      </w:pPr>
      <w:bookmarkStart w:id="13" w:name="_Hlk38747406"/>
      <w:r w:rsidRPr="002F6D46">
        <w:rPr>
          <w:rFonts w:eastAsia="Arial Unicode MS"/>
          <w:color w:val="000000"/>
          <w:spacing w:val="-6"/>
        </w:rPr>
        <w:t>Bankalarca Kamuya Açıklanacak Finansal Tablolar ile Bunlara İlişkin Açıklama ve Dipnotlar Hakkında Tebliğ’in 25’inci maddesi uyarınca ara dönemde hazırlanmamıştır.</w:t>
      </w:r>
    </w:p>
    <w:bookmarkEnd w:id="13"/>
    <w:p w14:paraId="4FA0AF60" w14:textId="77777777" w:rsidR="00EC1D5D" w:rsidRPr="002F6D46" w:rsidRDefault="00EC1D5D" w:rsidP="002D7515">
      <w:pPr>
        <w:autoSpaceDE w:val="0"/>
        <w:autoSpaceDN w:val="0"/>
        <w:adjustRightInd w:val="0"/>
        <w:ind w:left="540" w:hanging="540"/>
        <w:rPr>
          <w:b/>
          <w:sz w:val="16"/>
          <w:szCs w:val="16"/>
        </w:rPr>
      </w:pPr>
    </w:p>
    <w:p w14:paraId="6274E31E" w14:textId="77777777" w:rsidR="002D7515" w:rsidRPr="002F6D46" w:rsidRDefault="00DE55FC" w:rsidP="00333432">
      <w:pPr>
        <w:tabs>
          <w:tab w:val="left" w:pos="709"/>
        </w:tabs>
        <w:autoSpaceDE w:val="0"/>
        <w:autoSpaceDN w:val="0"/>
        <w:adjustRightInd w:val="0"/>
        <w:ind w:hanging="567"/>
        <w:rPr>
          <w:b/>
          <w:bCs/>
          <w:iCs/>
        </w:rPr>
      </w:pPr>
      <w:r w:rsidRPr="002F6D46">
        <w:rPr>
          <w:b/>
          <w:bCs/>
          <w:iCs/>
        </w:rPr>
        <w:t>1</w:t>
      </w:r>
      <w:r w:rsidR="002D7515" w:rsidRPr="002F6D46">
        <w:rPr>
          <w:b/>
          <w:bCs/>
          <w:iCs/>
        </w:rPr>
        <w:t>.</w:t>
      </w:r>
      <w:r w:rsidRPr="002F6D46">
        <w:rPr>
          <w:b/>
          <w:bCs/>
          <w:iCs/>
        </w:rPr>
        <w:t>4</w:t>
      </w:r>
      <w:r w:rsidR="002D7515" w:rsidRPr="002F6D46">
        <w:rPr>
          <w:b/>
          <w:bCs/>
          <w:iCs/>
        </w:rPr>
        <w:tab/>
      </w:r>
      <w:r w:rsidR="00333432" w:rsidRPr="002F6D46">
        <w:rPr>
          <w:b/>
          <w:bCs/>
          <w:iCs/>
        </w:rPr>
        <w:t xml:space="preserve">Gerçeğe uygun değer farkı diğer kapsamlı gelire yansıtılan finansal varlıklara </w:t>
      </w:r>
      <w:r w:rsidR="002D7515" w:rsidRPr="002F6D46">
        <w:rPr>
          <w:b/>
          <w:bCs/>
          <w:iCs/>
        </w:rPr>
        <w:t>ilişkin bilgiler:</w:t>
      </w:r>
    </w:p>
    <w:p w14:paraId="70481D65" w14:textId="29BC0A4C" w:rsidR="00D12F30" w:rsidRPr="00311DAB" w:rsidRDefault="00D12F30" w:rsidP="002D7515">
      <w:pPr>
        <w:tabs>
          <w:tab w:val="left" w:pos="540"/>
        </w:tabs>
        <w:autoSpaceDE w:val="0"/>
        <w:autoSpaceDN w:val="0"/>
        <w:adjustRightInd w:val="0"/>
        <w:rPr>
          <w:lang w:eastAsia="en-GB"/>
        </w:rPr>
      </w:pPr>
    </w:p>
    <w:tbl>
      <w:tblPr>
        <w:tblW w:w="9230" w:type="dxa"/>
        <w:tblCellMar>
          <w:left w:w="70" w:type="dxa"/>
          <w:right w:w="70" w:type="dxa"/>
        </w:tblCellMar>
        <w:tblLook w:val="04A0" w:firstRow="1" w:lastRow="0" w:firstColumn="1" w:lastColumn="0" w:noHBand="0" w:noVBand="1"/>
      </w:tblPr>
      <w:tblGrid>
        <w:gridCol w:w="5660"/>
        <w:gridCol w:w="1785"/>
        <w:gridCol w:w="1785"/>
      </w:tblGrid>
      <w:tr w:rsidR="00D12F30" w:rsidRPr="00D12F30" w14:paraId="788048CE" w14:textId="77777777" w:rsidTr="00D12F30">
        <w:trPr>
          <w:divId w:val="386220516"/>
          <w:trHeight w:val="300"/>
        </w:trPr>
        <w:tc>
          <w:tcPr>
            <w:tcW w:w="5660" w:type="dxa"/>
            <w:tcBorders>
              <w:top w:val="double" w:sz="6" w:space="0" w:color="auto"/>
              <w:left w:val="nil"/>
              <w:bottom w:val="single" w:sz="8" w:space="0" w:color="auto"/>
              <w:right w:val="nil"/>
            </w:tcBorders>
            <w:shd w:val="clear" w:color="auto" w:fill="auto"/>
            <w:vAlign w:val="center"/>
            <w:hideMark/>
          </w:tcPr>
          <w:p w14:paraId="5EEC8D60" w14:textId="2C9BCE5A" w:rsidR="00D12F30" w:rsidRPr="00D12F30" w:rsidRDefault="00D12F30" w:rsidP="00D12F30">
            <w:pPr>
              <w:jc w:val="center"/>
              <w:rPr>
                <w:sz w:val="18"/>
                <w:szCs w:val="18"/>
                <w:lang w:eastAsia="tr-TR"/>
              </w:rPr>
            </w:pPr>
            <w:r w:rsidRPr="00D12F30">
              <w:rPr>
                <w:sz w:val="18"/>
                <w:szCs w:val="18"/>
                <w:lang w:eastAsia="tr-TR"/>
              </w:rPr>
              <w:t> </w:t>
            </w:r>
          </w:p>
        </w:tc>
        <w:tc>
          <w:tcPr>
            <w:tcW w:w="1785" w:type="dxa"/>
            <w:tcBorders>
              <w:top w:val="double" w:sz="6" w:space="0" w:color="auto"/>
              <w:left w:val="nil"/>
              <w:bottom w:val="single" w:sz="8" w:space="0" w:color="auto"/>
              <w:right w:val="nil"/>
            </w:tcBorders>
            <w:shd w:val="clear" w:color="auto" w:fill="auto"/>
            <w:vAlign w:val="center"/>
            <w:hideMark/>
          </w:tcPr>
          <w:p w14:paraId="33F897CF" w14:textId="77777777" w:rsidR="00D12F30" w:rsidRPr="00D12F30" w:rsidRDefault="00D12F30" w:rsidP="00D12F30">
            <w:pPr>
              <w:jc w:val="right"/>
              <w:rPr>
                <w:b/>
                <w:bCs/>
                <w:sz w:val="18"/>
                <w:szCs w:val="18"/>
                <w:lang w:eastAsia="tr-TR"/>
              </w:rPr>
            </w:pPr>
            <w:r w:rsidRPr="00D12F30">
              <w:rPr>
                <w:b/>
                <w:bCs/>
                <w:sz w:val="18"/>
                <w:szCs w:val="18"/>
                <w:lang w:eastAsia="tr-TR"/>
              </w:rPr>
              <w:t>Cari Dönem</w:t>
            </w:r>
          </w:p>
        </w:tc>
        <w:tc>
          <w:tcPr>
            <w:tcW w:w="1785" w:type="dxa"/>
            <w:tcBorders>
              <w:top w:val="double" w:sz="6" w:space="0" w:color="auto"/>
              <w:left w:val="nil"/>
              <w:bottom w:val="single" w:sz="8" w:space="0" w:color="auto"/>
              <w:right w:val="nil"/>
            </w:tcBorders>
            <w:shd w:val="clear" w:color="auto" w:fill="auto"/>
            <w:vAlign w:val="center"/>
            <w:hideMark/>
          </w:tcPr>
          <w:p w14:paraId="62E4A44F" w14:textId="77777777" w:rsidR="00D12F30" w:rsidRPr="00D12F30" w:rsidRDefault="00D12F30" w:rsidP="00D12F30">
            <w:pPr>
              <w:jc w:val="right"/>
              <w:rPr>
                <w:b/>
                <w:bCs/>
                <w:sz w:val="18"/>
                <w:szCs w:val="18"/>
                <w:lang w:eastAsia="tr-TR"/>
              </w:rPr>
            </w:pPr>
            <w:r w:rsidRPr="00D12F30">
              <w:rPr>
                <w:b/>
                <w:bCs/>
                <w:sz w:val="18"/>
                <w:szCs w:val="18"/>
                <w:lang w:eastAsia="tr-TR"/>
              </w:rPr>
              <w:t>Önceki Dönem</w:t>
            </w:r>
          </w:p>
        </w:tc>
      </w:tr>
      <w:tr w:rsidR="00D12F30" w:rsidRPr="00D12F30" w14:paraId="4AF90728" w14:textId="77777777" w:rsidTr="00D12F30">
        <w:trPr>
          <w:divId w:val="386220516"/>
          <w:trHeight w:val="263"/>
        </w:trPr>
        <w:tc>
          <w:tcPr>
            <w:tcW w:w="5660" w:type="dxa"/>
            <w:tcBorders>
              <w:top w:val="nil"/>
              <w:left w:val="nil"/>
              <w:bottom w:val="nil"/>
              <w:right w:val="nil"/>
            </w:tcBorders>
            <w:shd w:val="clear" w:color="auto" w:fill="auto"/>
            <w:vAlign w:val="center"/>
            <w:hideMark/>
          </w:tcPr>
          <w:p w14:paraId="6C760C6E" w14:textId="77777777" w:rsidR="00D12F30" w:rsidRPr="00D12F30" w:rsidRDefault="00D12F30" w:rsidP="00D12F30">
            <w:pPr>
              <w:jc w:val="right"/>
              <w:rPr>
                <w:b/>
                <w:bCs/>
                <w:sz w:val="18"/>
                <w:szCs w:val="18"/>
                <w:lang w:eastAsia="tr-TR"/>
              </w:rPr>
            </w:pPr>
          </w:p>
        </w:tc>
        <w:tc>
          <w:tcPr>
            <w:tcW w:w="1785" w:type="dxa"/>
            <w:tcBorders>
              <w:top w:val="nil"/>
              <w:left w:val="nil"/>
              <w:bottom w:val="nil"/>
              <w:right w:val="nil"/>
            </w:tcBorders>
            <w:shd w:val="clear" w:color="auto" w:fill="auto"/>
            <w:vAlign w:val="center"/>
            <w:hideMark/>
          </w:tcPr>
          <w:p w14:paraId="07C7D312" w14:textId="77777777" w:rsidR="00D12F30" w:rsidRPr="00D12F30" w:rsidRDefault="00D12F30" w:rsidP="00D12F30">
            <w:pPr>
              <w:jc w:val="center"/>
              <w:rPr>
                <w:sz w:val="18"/>
                <w:szCs w:val="18"/>
                <w:lang w:eastAsia="tr-TR"/>
              </w:rPr>
            </w:pPr>
          </w:p>
        </w:tc>
        <w:tc>
          <w:tcPr>
            <w:tcW w:w="1785" w:type="dxa"/>
            <w:tcBorders>
              <w:top w:val="nil"/>
              <w:left w:val="nil"/>
              <w:bottom w:val="nil"/>
              <w:right w:val="nil"/>
            </w:tcBorders>
            <w:shd w:val="clear" w:color="auto" w:fill="auto"/>
            <w:vAlign w:val="center"/>
            <w:hideMark/>
          </w:tcPr>
          <w:p w14:paraId="17F91DCD" w14:textId="77777777" w:rsidR="00D12F30" w:rsidRPr="00D12F30" w:rsidRDefault="00D12F30" w:rsidP="00D12F30">
            <w:pPr>
              <w:jc w:val="right"/>
              <w:rPr>
                <w:sz w:val="18"/>
                <w:szCs w:val="18"/>
                <w:lang w:eastAsia="tr-TR"/>
              </w:rPr>
            </w:pPr>
          </w:p>
        </w:tc>
      </w:tr>
      <w:tr w:rsidR="00D12F30" w:rsidRPr="00D12F30" w14:paraId="2AAE7CC1" w14:textId="77777777" w:rsidTr="00D12F30">
        <w:trPr>
          <w:divId w:val="386220516"/>
          <w:trHeight w:val="263"/>
        </w:trPr>
        <w:tc>
          <w:tcPr>
            <w:tcW w:w="5660" w:type="dxa"/>
            <w:tcBorders>
              <w:top w:val="nil"/>
              <w:left w:val="nil"/>
              <w:bottom w:val="nil"/>
              <w:right w:val="nil"/>
            </w:tcBorders>
            <w:shd w:val="clear" w:color="auto" w:fill="auto"/>
            <w:vAlign w:val="center"/>
            <w:hideMark/>
          </w:tcPr>
          <w:p w14:paraId="4E946086" w14:textId="77777777" w:rsidR="00D12F30" w:rsidRPr="00D12F30" w:rsidRDefault="00D12F30" w:rsidP="00D12F30">
            <w:pPr>
              <w:jc w:val="both"/>
              <w:rPr>
                <w:rFonts w:eastAsia="Arial Unicode MS"/>
                <w:b/>
                <w:sz w:val="18"/>
                <w:szCs w:val="18"/>
              </w:rPr>
            </w:pPr>
            <w:r w:rsidRPr="00D12F30">
              <w:rPr>
                <w:rFonts w:eastAsia="Arial Unicode MS"/>
                <w:b/>
                <w:sz w:val="18"/>
                <w:szCs w:val="18"/>
              </w:rPr>
              <w:t>Borçlanma Senetleri</w:t>
            </w:r>
          </w:p>
        </w:tc>
        <w:tc>
          <w:tcPr>
            <w:tcW w:w="1785" w:type="dxa"/>
            <w:tcBorders>
              <w:top w:val="nil"/>
              <w:left w:val="nil"/>
              <w:bottom w:val="nil"/>
              <w:right w:val="nil"/>
            </w:tcBorders>
            <w:shd w:val="clear" w:color="auto" w:fill="auto"/>
            <w:vAlign w:val="center"/>
            <w:hideMark/>
          </w:tcPr>
          <w:p w14:paraId="2D47CA19" w14:textId="77777777" w:rsidR="00D12F30" w:rsidRPr="00D12F30" w:rsidRDefault="00D12F30" w:rsidP="00D12F30">
            <w:pPr>
              <w:jc w:val="right"/>
              <w:rPr>
                <w:b/>
                <w:bCs/>
                <w:sz w:val="18"/>
                <w:szCs w:val="18"/>
                <w:lang w:eastAsia="tr-TR"/>
              </w:rPr>
            </w:pPr>
            <w:r w:rsidRPr="00D12F30">
              <w:rPr>
                <w:b/>
                <w:bCs/>
                <w:sz w:val="18"/>
                <w:szCs w:val="18"/>
                <w:lang w:eastAsia="tr-TR"/>
              </w:rPr>
              <w:t>32,790,809</w:t>
            </w:r>
          </w:p>
        </w:tc>
        <w:tc>
          <w:tcPr>
            <w:tcW w:w="1785" w:type="dxa"/>
            <w:tcBorders>
              <w:top w:val="nil"/>
              <w:left w:val="nil"/>
              <w:bottom w:val="nil"/>
              <w:right w:val="nil"/>
            </w:tcBorders>
            <w:shd w:val="clear" w:color="auto" w:fill="auto"/>
            <w:vAlign w:val="center"/>
            <w:hideMark/>
          </w:tcPr>
          <w:p w14:paraId="3620FD9F" w14:textId="77777777" w:rsidR="00D12F30" w:rsidRPr="00D12F30" w:rsidRDefault="00D12F30" w:rsidP="00D12F30">
            <w:pPr>
              <w:jc w:val="right"/>
              <w:rPr>
                <w:b/>
                <w:bCs/>
                <w:sz w:val="18"/>
                <w:szCs w:val="18"/>
                <w:lang w:eastAsia="tr-TR"/>
              </w:rPr>
            </w:pPr>
            <w:r w:rsidRPr="00D12F30">
              <w:rPr>
                <w:b/>
                <w:bCs/>
                <w:sz w:val="18"/>
                <w:szCs w:val="18"/>
                <w:lang w:eastAsia="tr-TR"/>
              </w:rPr>
              <w:t>12,458,021</w:t>
            </w:r>
          </w:p>
        </w:tc>
      </w:tr>
      <w:tr w:rsidR="00D12F30" w:rsidRPr="00D12F30" w14:paraId="58F3111E" w14:textId="77777777" w:rsidTr="00D12F30">
        <w:trPr>
          <w:divId w:val="386220516"/>
          <w:trHeight w:val="263"/>
        </w:trPr>
        <w:tc>
          <w:tcPr>
            <w:tcW w:w="5660" w:type="dxa"/>
            <w:tcBorders>
              <w:top w:val="nil"/>
              <w:left w:val="nil"/>
              <w:bottom w:val="nil"/>
              <w:right w:val="nil"/>
            </w:tcBorders>
            <w:shd w:val="clear" w:color="auto" w:fill="auto"/>
            <w:vAlign w:val="center"/>
            <w:hideMark/>
          </w:tcPr>
          <w:p w14:paraId="02F4B03D" w14:textId="77777777" w:rsidR="00D12F30" w:rsidRPr="00D12F30" w:rsidRDefault="00D12F30" w:rsidP="00D12F30">
            <w:pPr>
              <w:jc w:val="both"/>
              <w:rPr>
                <w:rFonts w:eastAsia="Arial Unicode MS"/>
                <w:sz w:val="18"/>
                <w:szCs w:val="18"/>
              </w:rPr>
            </w:pPr>
            <w:r w:rsidRPr="00D12F30">
              <w:rPr>
                <w:rFonts w:eastAsia="Arial Unicode MS"/>
                <w:sz w:val="18"/>
                <w:szCs w:val="18"/>
              </w:rPr>
              <w:t>Borsada İşlem Gören</w:t>
            </w:r>
          </w:p>
        </w:tc>
        <w:tc>
          <w:tcPr>
            <w:tcW w:w="1785" w:type="dxa"/>
            <w:tcBorders>
              <w:top w:val="nil"/>
              <w:left w:val="nil"/>
              <w:bottom w:val="nil"/>
              <w:right w:val="nil"/>
            </w:tcBorders>
            <w:shd w:val="clear" w:color="auto" w:fill="auto"/>
            <w:vAlign w:val="center"/>
            <w:hideMark/>
          </w:tcPr>
          <w:p w14:paraId="0019C983" w14:textId="77777777" w:rsidR="00D12F30" w:rsidRPr="00D12F30" w:rsidRDefault="00D12F30" w:rsidP="00D12F30">
            <w:pPr>
              <w:jc w:val="right"/>
              <w:rPr>
                <w:sz w:val="18"/>
                <w:szCs w:val="18"/>
                <w:lang w:eastAsia="tr-TR"/>
              </w:rPr>
            </w:pPr>
            <w:r w:rsidRPr="00D12F30">
              <w:rPr>
                <w:sz w:val="18"/>
                <w:szCs w:val="18"/>
                <w:lang w:eastAsia="tr-TR"/>
              </w:rPr>
              <w:t>32,790,809</w:t>
            </w:r>
          </w:p>
        </w:tc>
        <w:tc>
          <w:tcPr>
            <w:tcW w:w="1785" w:type="dxa"/>
            <w:tcBorders>
              <w:top w:val="nil"/>
              <w:left w:val="nil"/>
              <w:bottom w:val="nil"/>
              <w:right w:val="nil"/>
            </w:tcBorders>
            <w:shd w:val="clear" w:color="auto" w:fill="auto"/>
            <w:vAlign w:val="center"/>
            <w:hideMark/>
          </w:tcPr>
          <w:p w14:paraId="785466A7" w14:textId="77777777" w:rsidR="00D12F30" w:rsidRPr="00D12F30" w:rsidRDefault="00D12F30" w:rsidP="00D12F30">
            <w:pPr>
              <w:jc w:val="right"/>
              <w:rPr>
                <w:sz w:val="18"/>
                <w:szCs w:val="18"/>
                <w:lang w:eastAsia="tr-TR"/>
              </w:rPr>
            </w:pPr>
            <w:r w:rsidRPr="00D12F30">
              <w:rPr>
                <w:sz w:val="18"/>
                <w:szCs w:val="18"/>
                <w:lang w:eastAsia="tr-TR"/>
              </w:rPr>
              <w:t>12,458,021</w:t>
            </w:r>
          </w:p>
        </w:tc>
      </w:tr>
      <w:tr w:rsidR="00D12F30" w:rsidRPr="00D12F30" w14:paraId="3576DBAF" w14:textId="77777777" w:rsidTr="00D12F30">
        <w:trPr>
          <w:divId w:val="386220516"/>
          <w:trHeight w:val="263"/>
        </w:trPr>
        <w:tc>
          <w:tcPr>
            <w:tcW w:w="5660" w:type="dxa"/>
            <w:tcBorders>
              <w:top w:val="nil"/>
              <w:left w:val="nil"/>
              <w:bottom w:val="nil"/>
              <w:right w:val="nil"/>
            </w:tcBorders>
            <w:shd w:val="clear" w:color="auto" w:fill="auto"/>
            <w:vAlign w:val="center"/>
            <w:hideMark/>
          </w:tcPr>
          <w:p w14:paraId="7FE48FED" w14:textId="77777777" w:rsidR="00D12F30" w:rsidRPr="00D12F30" w:rsidRDefault="00D12F30" w:rsidP="00D12F30">
            <w:pPr>
              <w:jc w:val="both"/>
              <w:rPr>
                <w:rFonts w:eastAsia="Arial Unicode MS"/>
                <w:sz w:val="18"/>
                <w:szCs w:val="18"/>
              </w:rPr>
            </w:pPr>
            <w:r w:rsidRPr="00D12F30">
              <w:rPr>
                <w:rFonts w:eastAsia="Arial Unicode MS"/>
                <w:sz w:val="18"/>
                <w:szCs w:val="18"/>
              </w:rPr>
              <w:t xml:space="preserve">Borsada İşlem Görmeyen </w:t>
            </w:r>
          </w:p>
        </w:tc>
        <w:tc>
          <w:tcPr>
            <w:tcW w:w="1785" w:type="dxa"/>
            <w:tcBorders>
              <w:top w:val="nil"/>
              <w:left w:val="nil"/>
              <w:bottom w:val="nil"/>
              <w:right w:val="nil"/>
            </w:tcBorders>
            <w:shd w:val="clear" w:color="auto" w:fill="auto"/>
            <w:vAlign w:val="center"/>
            <w:hideMark/>
          </w:tcPr>
          <w:p w14:paraId="7E7263BD" w14:textId="77777777" w:rsidR="00D12F30" w:rsidRPr="00D12F30" w:rsidRDefault="00D12F30" w:rsidP="00D12F30">
            <w:pPr>
              <w:jc w:val="right"/>
              <w:rPr>
                <w:sz w:val="18"/>
                <w:szCs w:val="18"/>
                <w:lang w:eastAsia="tr-TR"/>
              </w:rPr>
            </w:pPr>
            <w:r w:rsidRPr="00D12F30">
              <w:rPr>
                <w:sz w:val="18"/>
                <w:szCs w:val="18"/>
                <w:lang w:eastAsia="tr-TR"/>
              </w:rPr>
              <w:t>-</w:t>
            </w:r>
          </w:p>
        </w:tc>
        <w:tc>
          <w:tcPr>
            <w:tcW w:w="1785" w:type="dxa"/>
            <w:tcBorders>
              <w:top w:val="nil"/>
              <w:left w:val="nil"/>
              <w:bottom w:val="nil"/>
              <w:right w:val="nil"/>
            </w:tcBorders>
            <w:shd w:val="clear" w:color="auto" w:fill="auto"/>
            <w:vAlign w:val="center"/>
            <w:hideMark/>
          </w:tcPr>
          <w:p w14:paraId="0569588D" w14:textId="77777777" w:rsidR="00D12F30" w:rsidRPr="00D12F30" w:rsidRDefault="00D12F30" w:rsidP="00D12F30">
            <w:pPr>
              <w:jc w:val="right"/>
              <w:rPr>
                <w:sz w:val="18"/>
                <w:szCs w:val="18"/>
                <w:lang w:eastAsia="tr-TR"/>
              </w:rPr>
            </w:pPr>
            <w:r w:rsidRPr="00D12F30">
              <w:rPr>
                <w:sz w:val="18"/>
                <w:szCs w:val="18"/>
                <w:lang w:eastAsia="tr-TR"/>
              </w:rPr>
              <w:t>-</w:t>
            </w:r>
          </w:p>
        </w:tc>
      </w:tr>
      <w:tr w:rsidR="00D12F30" w:rsidRPr="00D12F30" w14:paraId="7835B3A1" w14:textId="77777777" w:rsidTr="00D12F30">
        <w:trPr>
          <w:divId w:val="386220516"/>
          <w:trHeight w:val="263"/>
        </w:trPr>
        <w:tc>
          <w:tcPr>
            <w:tcW w:w="5660" w:type="dxa"/>
            <w:tcBorders>
              <w:top w:val="nil"/>
              <w:left w:val="nil"/>
              <w:bottom w:val="nil"/>
              <w:right w:val="nil"/>
            </w:tcBorders>
            <w:shd w:val="clear" w:color="auto" w:fill="auto"/>
            <w:vAlign w:val="center"/>
            <w:hideMark/>
          </w:tcPr>
          <w:p w14:paraId="2BD6A6D6" w14:textId="77777777" w:rsidR="00D12F30" w:rsidRPr="00D12F30" w:rsidRDefault="00D12F30" w:rsidP="00D12F30">
            <w:pPr>
              <w:jc w:val="both"/>
              <w:rPr>
                <w:rFonts w:eastAsia="Arial Unicode MS"/>
                <w:b/>
                <w:sz w:val="18"/>
                <w:szCs w:val="18"/>
              </w:rPr>
            </w:pPr>
            <w:r w:rsidRPr="00D12F30">
              <w:rPr>
                <w:rFonts w:eastAsia="Arial Unicode MS"/>
                <w:b/>
                <w:sz w:val="18"/>
                <w:szCs w:val="18"/>
              </w:rPr>
              <w:t>Hisse Senetleri</w:t>
            </w:r>
          </w:p>
        </w:tc>
        <w:tc>
          <w:tcPr>
            <w:tcW w:w="1785" w:type="dxa"/>
            <w:tcBorders>
              <w:top w:val="nil"/>
              <w:left w:val="nil"/>
              <w:bottom w:val="nil"/>
              <w:right w:val="nil"/>
            </w:tcBorders>
            <w:shd w:val="clear" w:color="auto" w:fill="auto"/>
            <w:vAlign w:val="center"/>
            <w:hideMark/>
          </w:tcPr>
          <w:p w14:paraId="64CB268C" w14:textId="77777777" w:rsidR="00D12F30" w:rsidRPr="00D12F30" w:rsidRDefault="00D12F30" w:rsidP="00D12F30">
            <w:pPr>
              <w:jc w:val="right"/>
              <w:rPr>
                <w:b/>
                <w:bCs/>
                <w:sz w:val="18"/>
                <w:szCs w:val="18"/>
                <w:lang w:eastAsia="tr-TR"/>
              </w:rPr>
            </w:pPr>
            <w:r w:rsidRPr="00D12F30">
              <w:rPr>
                <w:b/>
                <w:bCs/>
                <w:sz w:val="18"/>
                <w:szCs w:val="18"/>
                <w:lang w:eastAsia="tr-TR"/>
              </w:rPr>
              <w:t>105,786</w:t>
            </w:r>
          </w:p>
        </w:tc>
        <w:tc>
          <w:tcPr>
            <w:tcW w:w="1785" w:type="dxa"/>
            <w:tcBorders>
              <w:top w:val="nil"/>
              <w:left w:val="nil"/>
              <w:bottom w:val="nil"/>
              <w:right w:val="nil"/>
            </w:tcBorders>
            <w:shd w:val="clear" w:color="auto" w:fill="auto"/>
            <w:vAlign w:val="center"/>
            <w:hideMark/>
          </w:tcPr>
          <w:p w14:paraId="6092BBA6" w14:textId="77777777" w:rsidR="00D12F30" w:rsidRPr="00D12F30" w:rsidRDefault="00D12F30" w:rsidP="00D12F30">
            <w:pPr>
              <w:jc w:val="right"/>
              <w:rPr>
                <w:b/>
                <w:bCs/>
                <w:sz w:val="18"/>
                <w:szCs w:val="18"/>
                <w:lang w:eastAsia="tr-TR"/>
              </w:rPr>
            </w:pPr>
            <w:r w:rsidRPr="00D12F30">
              <w:rPr>
                <w:b/>
                <w:bCs/>
                <w:sz w:val="18"/>
                <w:szCs w:val="18"/>
                <w:lang w:eastAsia="tr-TR"/>
              </w:rPr>
              <w:t>185,732</w:t>
            </w:r>
          </w:p>
        </w:tc>
      </w:tr>
      <w:tr w:rsidR="00D12F30" w:rsidRPr="00D12F30" w14:paraId="06D3E459" w14:textId="77777777" w:rsidTr="00D12F30">
        <w:trPr>
          <w:divId w:val="386220516"/>
          <w:trHeight w:val="263"/>
        </w:trPr>
        <w:tc>
          <w:tcPr>
            <w:tcW w:w="5660" w:type="dxa"/>
            <w:tcBorders>
              <w:top w:val="nil"/>
              <w:left w:val="nil"/>
              <w:bottom w:val="nil"/>
              <w:right w:val="nil"/>
            </w:tcBorders>
            <w:shd w:val="clear" w:color="auto" w:fill="auto"/>
            <w:vAlign w:val="center"/>
            <w:hideMark/>
          </w:tcPr>
          <w:p w14:paraId="3F393002" w14:textId="77777777" w:rsidR="00D12F30" w:rsidRPr="00D12F30" w:rsidRDefault="00D12F30" w:rsidP="00D12F30">
            <w:pPr>
              <w:jc w:val="both"/>
              <w:rPr>
                <w:rFonts w:eastAsia="Arial Unicode MS"/>
                <w:sz w:val="18"/>
                <w:szCs w:val="18"/>
              </w:rPr>
            </w:pPr>
            <w:r w:rsidRPr="00D12F30">
              <w:rPr>
                <w:rFonts w:eastAsia="Arial Unicode MS"/>
                <w:sz w:val="18"/>
                <w:szCs w:val="18"/>
              </w:rPr>
              <w:t>Borsada İşlem Gören</w:t>
            </w:r>
          </w:p>
        </w:tc>
        <w:tc>
          <w:tcPr>
            <w:tcW w:w="1785" w:type="dxa"/>
            <w:tcBorders>
              <w:top w:val="nil"/>
              <w:left w:val="nil"/>
              <w:bottom w:val="nil"/>
              <w:right w:val="nil"/>
            </w:tcBorders>
            <w:shd w:val="clear" w:color="auto" w:fill="auto"/>
            <w:vAlign w:val="center"/>
            <w:hideMark/>
          </w:tcPr>
          <w:p w14:paraId="0FF394C5" w14:textId="77777777" w:rsidR="00D12F30" w:rsidRPr="00D12F30" w:rsidRDefault="00D12F30" w:rsidP="00D12F30">
            <w:pPr>
              <w:jc w:val="right"/>
              <w:rPr>
                <w:sz w:val="18"/>
                <w:szCs w:val="18"/>
                <w:lang w:eastAsia="tr-TR"/>
              </w:rPr>
            </w:pPr>
            <w:r w:rsidRPr="00D12F30">
              <w:rPr>
                <w:sz w:val="18"/>
                <w:szCs w:val="18"/>
                <w:lang w:eastAsia="tr-TR"/>
              </w:rPr>
              <w:t>82,981</w:t>
            </w:r>
          </w:p>
        </w:tc>
        <w:tc>
          <w:tcPr>
            <w:tcW w:w="1785" w:type="dxa"/>
            <w:tcBorders>
              <w:top w:val="nil"/>
              <w:left w:val="nil"/>
              <w:bottom w:val="nil"/>
              <w:right w:val="nil"/>
            </w:tcBorders>
            <w:shd w:val="clear" w:color="auto" w:fill="auto"/>
            <w:vAlign w:val="center"/>
            <w:hideMark/>
          </w:tcPr>
          <w:p w14:paraId="0E9F0D74" w14:textId="77777777" w:rsidR="00D12F30" w:rsidRPr="00D12F30" w:rsidRDefault="00D12F30" w:rsidP="00D12F30">
            <w:pPr>
              <w:jc w:val="right"/>
              <w:rPr>
                <w:sz w:val="18"/>
                <w:szCs w:val="18"/>
                <w:lang w:eastAsia="tr-TR"/>
              </w:rPr>
            </w:pPr>
            <w:r w:rsidRPr="00D12F30">
              <w:rPr>
                <w:sz w:val="18"/>
                <w:szCs w:val="18"/>
                <w:lang w:eastAsia="tr-TR"/>
              </w:rPr>
              <w:t>94,539</w:t>
            </w:r>
          </w:p>
        </w:tc>
      </w:tr>
      <w:tr w:rsidR="00D12F30" w:rsidRPr="00D12F30" w14:paraId="605588B2" w14:textId="77777777" w:rsidTr="00D12F30">
        <w:trPr>
          <w:divId w:val="386220516"/>
          <w:trHeight w:val="263"/>
        </w:trPr>
        <w:tc>
          <w:tcPr>
            <w:tcW w:w="5660" w:type="dxa"/>
            <w:tcBorders>
              <w:top w:val="nil"/>
              <w:left w:val="nil"/>
              <w:bottom w:val="nil"/>
              <w:right w:val="nil"/>
            </w:tcBorders>
            <w:shd w:val="clear" w:color="auto" w:fill="auto"/>
            <w:vAlign w:val="center"/>
            <w:hideMark/>
          </w:tcPr>
          <w:p w14:paraId="09EBEF92" w14:textId="77777777" w:rsidR="00D12F30" w:rsidRPr="00D12F30" w:rsidRDefault="00D12F30" w:rsidP="00D12F30">
            <w:pPr>
              <w:jc w:val="both"/>
              <w:rPr>
                <w:rFonts w:eastAsia="Arial Unicode MS"/>
                <w:sz w:val="18"/>
                <w:szCs w:val="18"/>
              </w:rPr>
            </w:pPr>
            <w:r w:rsidRPr="00D12F30">
              <w:rPr>
                <w:rFonts w:eastAsia="Arial Unicode MS"/>
                <w:sz w:val="18"/>
                <w:szCs w:val="18"/>
              </w:rPr>
              <w:t>Borsada İşlem Görmeyen</w:t>
            </w:r>
          </w:p>
        </w:tc>
        <w:tc>
          <w:tcPr>
            <w:tcW w:w="1785" w:type="dxa"/>
            <w:tcBorders>
              <w:top w:val="nil"/>
              <w:left w:val="nil"/>
              <w:bottom w:val="nil"/>
              <w:right w:val="nil"/>
            </w:tcBorders>
            <w:shd w:val="clear" w:color="auto" w:fill="auto"/>
            <w:vAlign w:val="center"/>
            <w:hideMark/>
          </w:tcPr>
          <w:p w14:paraId="3B526139" w14:textId="77777777" w:rsidR="00D12F30" w:rsidRPr="00D12F30" w:rsidRDefault="00D12F30" w:rsidP="00D12F30">
            <w:pPr>
              <w:jc w:val="right"/>
              <w:rPr>
                <w:sz w:val="18"/>
                <w:szCs w:val="18"/>
                <w:lang w:eastAsia="tr-TR"/>
              </w:rPr>
            </w:pPr>
            <w:r w:rsidRPr="00D12F30">
              <w:rPr>
                <w:sz w:val="18"/>
                <w:szCs w:val="18"/>
                <w:lang w:eastAsia="tr-TR"/>
              </w:rPr>
              <w:t>22,805</w:t>
            </w:r>
          </w:p>
        </w:tc>
        <w:tc>
          <w:tcPr>
            <w:tcW w:w="1785" w:type="dxa"/>
            <w:tcBorders>
              <w:top w:val="nil"/>
              <w:left w:val="nil"/>
              <w:bottom w:val="nil"/>
              <w:right w:val="nil"/>
            </w:tcBorders>
            <w:shd w:val="clear" w:color="auto" w:fill="auto"/>
            <w:vAlign w:val="center"/>
            <w:hideMark/>
          </w:tcPr>
          <w:p w14:paraId="62688F7D" w14:textId="77777777" w:rsidR="00D12F30" w:rsidRPr="00D12F30" w:rsidRDefault="00D12F30" w:rsidP="00D12F30">
            <w:pPr>
              <w:jc w:val="right"/>
              <w:rPr>
                <w:sz w:val="18"/>
                <w:szCs w:val="18"/>
                <w:lang w:eastAsia="tr-TR"/>
              </w:rPr>
            </w:pPr>
            <w:r w:rsidRPr="00D12F30">
              <w:rPr>
                <w:sz w:val="18"/>
                <w:szCs w:val="18"/>
                <w:lang w:eastAsia="tr-TR"/>
              </w:rPr>
              <w:t>91,193</w:t>
            </w:r>
          </w:p>
        </w:tc>
      </w:tr>
      <w:tr w:rsidR="00D12F30" w:rsidRPr="00D12F30" w14:paraId="7FBF5729" w14:textId="77777777" w:rsidTr="00D12F30">
        <w:trPr>
          <w:divId w:val="386220516"/>
          <w:trHeight w:val="281"/>
        </w:trPr>
        <w:tc>
          <w:tcPr>
            <w:tcW w:w="5660" w:type="dxa"/>
            <w:tcBorders>
              <w:top w:val="nil"/>
              <w:left w:val="nil"/>
              <w:bottom w:val="single" w:sz="8" w:space="0" w:color="auto"/>
              <w:right w:val="nil"/>
            </w:tcBorders>
            <w:shd w:val="clear" w:color="auto" w:fill="auto"/>
            <w:vAlign w:val="center"/>
            <w:hideMark/>
          </w:tcPr>
          <w:p w14:paraId="4C6A1025" w14:textId="77777777" w:rsidR="00D12F30" w:rsidRPr="00D12F30" w:rsidRDefault="00D12F30" w:rsidP="00D12F30">
            <w:pPr>
              <w:jc w:val="both"/>
              <w:rPr>
                <w:rFonts w:eastAsia="Arial Unicode MS"/>
                <w:sz w:val="18"/>
                <w:szCs w:val="18"/>
              </w:rPr>
            </w:pPr>
            <w:r w:rsidRPr="00D12F30">
              <w:rPr>
                <w:rFonts w:eastAsia="Arial Unicode MS"/>
                <w:sz w:val="18"/>
                <w:szCs w:val="18"/>
              </w:rPr>
              <w:t xml:space="preserve">Değer Azalma Karşılığı (-) </w:t>
            </w:r>
          </w:p>
        </w:tc>
        <w:tc>
          <w:tcPr>
            <w:tcW w:w="1785" w:type="dxa"/>
            <w:tcBorders>
              <w:top w:val="nil"/>
              <w:left w:val="nil"/>
              <w:bottom w:val="single" w:sz="8" w:space="0" w:color="auto"/>
              <w:right w:val="nil"/>
            </w:tcBorders>
            <w:shd w:val="clear" w:color="auto" w:fill="auto"/>
            <w:vAlign w:val="center"/>
            <w:hideMark/>
          </w:tcPr>
          <w:p w14:paraId="1BFA4278" w14:textId="77777777" w:rsidR="00D12F30" w:rsidRPr="00D12F30" w:rsidRDefault="00D12F30" w:rsidP="00D12F30">
            <w:pPr>
              <w:jc w:val="right"/>
              <w:rPr>
                <w:b/>
                <w:bCs/>
                <w:sz w:val="18"/>
                <w:szCs w:val="18"/>
                <w:lang w:eastAsia="tr-TR"/>
              </w:rPr>
            </w:pPr>
            <w:r w:rsidRPr="00D12F30">
              <w:rPr>
                <w:b/>
                <w:bCs/>
                <w:sz w:val="18"/>
                <w:szCs w:val="18"/>
                <w:lang w:eastAsia="tr-TR"/>
              </w:rPr>
              <w:t>(322,778)</w:t>
            </w:r>
          </w:p>
        </w:tc>
        <w:tc>
          <w:tcPr>
            <w:tcW w:w="1785" w:type="dxa"/>
            <w:tcBorders>
              <w:top w:val="nil"/>
              <w:left w:val="nil"/>
              <w:bottom w:val="single" w:sz="8" w:space="0" w:color="auto"/>
              <w:right w:val="nil"/>
            </w:tcBorders>
            <w:shd w:val="clear" w:color="auto" w:fill="auto"/>
            <w:vAlign w:val="center"/>
            <w:hideMark/>
          </w:tcPr>
          <w:p w14:paraId="6AD4C610" w14:textId="77777777" w:rsidR="00D12F30" w:rsidRPr="00D12F30" w:rsidRDefault="00D12F30" w:rsidP="00D12F30">
            <w:pPr>
              <w:jc w:val="right"/>
              <w:rPr>
                <w:b/>
                <w:bCs/>
                <w:sz w:val="18"/>
                <w:szCs w:val="18"/>
                <w:lang w:eastAsia="tr-TR"/>
              </w:rPr>
            </w:pPr>
            <w:r w:rsidRPr="00D12F30">
              <w:rPr>
                <w:b/>
                <w:bCs/>
                <w:sz w:val="18"/>
                <w:szCs w:val="18"/>
                <w:lang w:eastAsia="tr-TR"/>
              </w:rPr>
              <w:t>(13,286)</w:t>
            </w:r>
          </w:p>
        </w:tc>
      </w:tr>
      <w:tr w:rsidR="00D12F30" w:rsidRPr="00D12F30" w14:paraId="50CB918E" w14:textId="77777777" w:rsidTr="00D12F30">
        <w:trPr>
          <w:divId w:val="386220516"/>
          <w:trHeight w:val="281"/>
        </w:trPr>
        <w:tc>
          <w:tcPr>
            <w:tcW w:w="5660" w:type="dxa"/>
            <w:tcBorders>
              <w:top w:val="nil"/>
              <w:left w:val="nil"/>
              <w:bottom w:val="double" w:sz="6" w:space="0" w:color="auto"/>
              <w:right w:val="nil"/>
            </w:tcBorders>
            <w:shd w:val="clear" w:color="auto" w:fill="auto"/>
            <w:vAlign w:val="center"/>
            <w:hideMark/>
          </w:tcPr>
          <w:p w14:paraId="6A7FA9C4" w14:textId="77777777" w:rsidR="00D12F30" w:rsidRPr="00D12F30" w:rsidRDefault="00D12F30" w:rsidP="00D12F30">
            <w:pPr>
              <w:jc w:val="both"/>
              <w:rPr>
                <w:rFonts w:eastAsia="Arial Unicode MS"/>
                <w:b/>
                <w:sz w:val="18"/>
                <w:szCs w:val="18"/>
              </w:rPr>
            </w:pPr>
            <w:r w:rsidRPr="00D12F30">
              <w:rPr>
                <w:rFonts w:eastAsia="Arial Unicode MS"/>
                <w:b/>
                <w:sz w:val="18"/>
                <w:szCs w:val="18"/>
              </w:rPr>
              <w:t>Toplam</w:t>
            </w:r>
          </w:p>
        </w:tc>
        <w:tc>
          <w:tcPr>
            <w:tcW w:w="1785" w:type="dxa"/>
            <w:tcBorders>
              <w:top w:val="nil"/>
              <w:left w:val="nil"/>
              <w:bottom w:val="double" w:sz="6" w:space="0" w:color="auto"/>
              <w:right w:val="nil"/>
            </w:tcBorders>
            <w:shd w:val="clear" w:color="auto" w:fill="auto"/>
            <w:vAlign w:val="center"/>
            <w:hideMark/>
          </w:tcPr>
          <w:p w14:paraId="3EA0B75E" w14:textId="77777777" w:rsidR="00D12F30" w:rsidRPr="00D12F30" w:rsidRDefault="00D12F30" w:rsidP="00D12F30">
            <w:pPr>
              <w:jc w:val="right"/>
              <w:rPr>
                <w:b/>
                <w:bCs/>
                <w:sz w:val="18"/>
                <w:szCs w:val="18"/>
                <w:lang w:eastAsia="tr-TR"/>
              </w:rPr>
            </w:pPr>
            <w:r w:rsidRPr="00D12F30">
              <w:rPr>
                <w:b/>
                <w:bCs/>
                <w:sz w:val="18"/>
                <w:szCs w:val="18"/>
                <w:lang w:eastAsia="tr-TR"/>
              </w:rPr>
              <w:t>32,573,817</w:t>
            </w:r>
          </w:p>
        </w:tc>
        <w:tc>
          <w:tcPr>
            <w:tcW w:w="1785" w:type="dxa"/>
            <w:tcBorders>
              <w:top w:val="nil"/>
              <w:left w:val="nil"/>
              <w:bottom w:val="double" w:sz="6" w:space="0" w:color="auto"/>
              <w:right w:val="nil"/>
            </w:tcBorders>
            <w:shd w:val="clear" w:color="auto" w:fill="auto"/>
            <w:vAlign w:val="center"/>
            <w:hideMark/>
          </w:tcPr>
          <w:p w14:paraId="36A771F5" w14:textId="77777777" w:rsidR="00D12F30" w:rsidRPr="00D12F30" w:rsidRDefault="00D12F30" w:rsidP="00D12F30">
            <w:pPr>
              <w:jc w:val="right"/>
              <w:rPr>
                <w:b/>
                <w:bCs/>
                <w:sz w:val="18"/>
                <w:szCs w:val="18"/>
                <w:lang w:eastAsia="tr-TR"/>
              </w:rPr>
            </w:pPr>
            <w:r w:rsidRPr="00D12F30">
              <w:rPr>
                <w:b/>
                <w:bCs/>
                <w:sz w:val="18"/>
                <w:szCs w:val="18"/>
                <w:lang w:eastAsia="tr-TR"/>
              </w:rPr>
              <w:t>12,630,467</w:t>
            </w:r>
          </w:p>
        </w:tc>
      </w:tr>
    </w:tbl>
    <w:p w14:paraId="39F651EA" w14:textId="24F01756" w:rsidR="002D7515" w:rsidRPr="00270CE6" w:rsidRDefault="002D7515" w:rsidP="002D7515">
      <w:pPr>
        <w:tabs>
          <w:tab w:val="left" w:pos="540"/>
        </w:tabs>
        <w:autoSpaceDE w:val="0"/>
        <w:autoSpaceDN w:val="0"/>
        <w:adjustRightInd w:val="0"/>
        <w:rPr>
          <w:b/>
          <w:bCs/>
          <w:iCs/>
          <w:sz w:val="16"/>
          <w:szCs w:val="16"/>
          <w:highlight w:val="yellow"/>
        </w:rPr>
      </w:pPr>
    </w:p>
    <w:p w14:paraId="59255674" w14:textId="77777777" w:rsidR="006F44AF" w:rsidRPr="00C66CDF" w:rsidRDefault="00D03FA2" w:rsidP="00BA637F">
      <w:pPr>
        <w:pStyle w:val="BodyTextIndent"/>
        <w:tabs>
          <w:tab w:val="num" w:pos="1260"/>
        </w:tabs>
        <w:autoSpaceDE/>
        <w:autoSpaceDN/>
        <w:adjustRightInd/>
        <w:ind w:left="0" w:hanging="567"/>
        <w:rPr>
          <w:rFonts w:eastAsia="Arial Unicode MS"/>
          <w:color w:val="000000"/>
          <w:spacing w:val="-6"/>
          <w:lang w:eastAsia="en-US"/>
        </w:rPr>
      </w:pPr>
      <w:r w:rsidRPr="00C66CDF">
        <w:rPr>
          <w:b/>
          <w:bCs/>
          <w:iCs/>
          <w:lang w:eastAsia="en-US"/>
        </w:rPr>
        <w:t>1.4.1.</w:t>
      </w:r>
      <w:r w:rsidRPr="00C66CDF">
        <w:rPr>
          <w:b/>
          <w:bCs/>
          <w:iCs/>
          <w:lang w:eastAsia="en-US"/>
        </w:rPr>
        <w:tab/>
        <w:t>Teminata Verilen/Bloke Edilen Gerçeğe Uygun Değer Farkı Diğer Kapsamlı Gelire Yansıtılan Finansal Varlıklara İlişkin Bilgiler</w:t>
      </w:r>
      <w:r w:rsidRPr="00C66CDF">
        <w:rPr>
          <w:rFonts w:eastAsia="Arial Unicode MS"/>
          <w:color w:val="000000"/>
          <w:spacing w:val="-6"/>
          <w:lang w:eastAsia="en-US"/>
        </w:rPr>
        <w:t xml:space="preserve"> </w:t>
      </w:r>
    </w:p>
    <w:p w14:paraId="453DE0DF" w14:textId="739D07EF" w:rsidR="006F44AF" w:rsidRPr="00C66CDF" w:rsidRDefault="006F44AF" w:rsidP="00D03FA2">
      <w:pPr>
        <w:pStyle w:val="BodyTextIndent"/>
        <w:tabs>
          <w:tab w:val="num" w:pos="1260"/>
        </w:tabs>
        <w:autoSpaceDE/>
        <w:autoSpaceDN/>
        <w:adjustRightInd/>
        <w:ind w:left="0" w:hanging="567"/>
        <w:jc w:val="left"/>
        <w:rPr>
          <w:rFonts w:eastAsia="Arial Unicode MS"/>
          <w:color w:val="000000"/>
          <w:spacing w:val="-6"/>
          <w:sz w:val="14"/>
          <w:lang w:eastAsia="en-US"/>
        </w:rPr>
      </w:pPr>
      <w:r w:rsidRPr="00C66CDF">
        <w:rPr>
          <w:rFonts w:eastAsia="Arial Unicode MS"/>
          <w:color w:val="000000"/>
          <w:spacing w:val="-6"/>
          <w:lang w:eastAsia="en-US"/>
        </w:rPr>
        <w:t xml:space="preserve">              </w:t>
      </w:r>
    </w:p>
    <w:p w14:paraId="1348EC44" w14:textId="306BD44E" w:rsidR="00D03FA2" w:rsidRPr="00C66CDF" w:rsidRDefault="006F44AF" w:rsidP="00311DAB">
      <w:pPr>
        <w:pStyle w:val="BodyTextIndent"/>
        <w:tabs>
          <w:tab w:val="num" w:pos="1260"/>
        </w:tabs>
        <w:autoSpaceDE/>
        <w:autoSpaceDN/>
        <w:adjustRightInd/>
        <w:ind w:left="0" w:hanging="567"/>
        <w:rPr>
          <w:rFonts w:eastAsia="Arial Unicode MS"/>
          <w:color w:val="000000"/>
          <w:spacing w:val="-6"/>
          <w:lang w:eastAsia="en-US"/>
        </w:rPr>
      </w:pPr>
      <w:r w:rsidRPr="00C66CDF">
        <w:rPr>
          <w:rFonts w:eastAsia="Arial Unicode MS"/>
          <w:color w:val="000000"/>
          <w:spacing w:val="-6"/>
          <w:lang w:eastAsia="en-US"/>
        </w:rPr>
        <w:t xml:space="preserve">             </w:t>
      </w:r>
      <w:r w:rsidR="00D03FA2" w:rsidRPr="00C66CDF">
        <w:rPr>
          <w:rFonts w:eastAsia="Arial Unicode MS"/>
          <w:color w:val="000000"/>
          <w:spacing w:val="-6"/>
          <w:lang w:eastAsia="en-US"/>
        </w:rPr>
        <w:t xml:space="preserve">Bilanço tarihi itibarıyla teminata verilen </w:t>
      </w:r>
      <w:r w:rsidR="00C66CDF" w:rsidRPr="00C66CDF">
        <w:rPr>
          <w:rFonts w:eastAsia="Arial Unicode MS"/>
          <w:color w:val="000000"/>
          <w:spacing w:val="-6"/>
          <w:lang w:eastAsia="en-US"/>
        </w:rPr>
        <w:t>7</w:t>
      </w:r>
      <w:r w:rsidR="00D03FA2" w:rsidRPr="00C66CDF">
        <w:rPr>
          <w:rFonts w:eastAsia="Arial Unicode MS"/>
          <w:color w:val="000000"/>
          <w:spacing w:val="-6"/>
          <w:lang w:eastAsia="en-US"/>
        </w:rPr>
        <w:t>,</w:t>
      </w:r>
      <w:r w:rsidR="00C66CDF" w:rsidRPr="00C66CDF">
        <w:rPr>
          <w:rFonts w:eastAsia="Arial Unicode MS"/>
          <w:color w:val="000000"/>
          <w:spacing w:val="-6"/>
          <w:lang w:eastAsia="en-US"/>
        </w:rPr>
        <w:t>541</w:t>
      </w:r>
      <w:r w:rsidR="00D03FA2" w:rsidRPr="00C66CDF">
        <w:rPr>
          <w:rFonts w:eastAsia="Arial Unicode MS"/>
          <w:color w:val="000000"/>
          <w:spacing w:val="-6"/>
          <w:lang w:eastAsia="en-US"/>
        </w:rPr>
        <w:t>,</w:t>
      </w:r>
      <w:r w:rsidR="00C66CDF" w:rsidRPr="00C66CDF">
        <w:rPr>
          <w:rFonts w:eastAsia="Arial Unicode MS"/>
          <w:color w:val="000000"/>
          <w:spacing w:val="-6"/>
          <w:lang w:eastAsia="en-US"/>
        </w:rPr>
        <w:t>601</w:t>
      </w:r>
      <w:r w:rsidR="00D03FA2" w:rsidRPr="00C66CDF">
        <w:rPr>
          <w:rFonts w:eastAsia="Arial Unicode MS"/>
          <w:color w:val="000000"/>
          <w:spacing w:val="-6"/>
          <w:lang w:eastAsia="en-US"/>
        </w:rPr>
        <w:t xml:space="preserve"> TL (31 Aralık 2019: 3,362,194 TL) gerçeğe uygun değer farkı diğer kapsamlı gelire yansıtılan finansal varlık bulunmaktadır. </w:t>
      </w:r>
    </w:p>
    <w:p w14:paraId="204B56EF" w14:textId="371A9EC0" w:rsidR="00671338" w:rsidRPr="00C66CDF" w:rsidRDefault="00671338" w:rsidP="002D7515">
      <w:pPr>
        <w:tabs>
          <w:tab w:val="left" w:pos="540"/>
        </w:tabs>
        <w:autoSpaceDE w:val="0"/>
        <w:autoSpaceDN w:val="0"/>
        <w:adjustRightInd w:val="0"/>
        <w:rPr>
          <w:b/>
          <w:bCs/>
          <w:iCs/>
          <w:sz w:val="16"/>
          <w:szCs w:val="16"/>
        </w:rPr>
      </w:pPr>
      <w:r w:rsidRPr="00C66CDF">
        <w:rPr>
          <w:rFonts w:eastAsia="Arial Unicode MS"/>
          <w:color w:val="000000"/>
          <w:spacing w:val="-6"/>
        </w:rPr>
        <w:t> </w:t>
      </w:r>
    </w:p>
    <w:p w14:paraId="01857950" w14:textId="77777777" w:rsidR="006F44AF" w:rsidRPr="00C66CDF" w:rsidRDefault="006F44AF" w:rsidP="006F44AF">
      <w:pPr>
        <w:tabs>
          <w:tab w:val="left" w:pos="709"/>
        </w:tabs>
        <w:autoSpaceDE w:val="0"/>
        <w:autoSpaceDN w:val="0"/>
        <w:adjustRightInd w:val="0"/>
        <w:ind w:hanging="567"/>
        <w:jc w:val="both"/>
        <w:rPr>
          <w:b/>
          <w:bCs/>
          <w:iCs/>
        </w:rPr>
      </w:pPr>
      <w:r w:rsidRPr="00C66CDF">
        <w:rPr>
          <w:b/>
          <w:bCs/>
          <w:iCs/>
        </w:rPr>
        <w:t>1.4.2.</w:t>
      </w:r>
      <w:r w:rsidRPr="00C66CDF">
        <w:rPr>
          <w:b/>
          <w:bCs/>
          <w:iCs/>
        </w:rPr>
        <w:tab/>
        <w:t xml:space="preserve">Repo İşlemine Konu Edilen Gerçeğe Uygun Değer Farkı Diğer Kapsamlı Gelire Yansıtılan Finansal Varlıklara İlişkin Bilgiler </w:t>
      </w:r>
    </w:p>
    <w:p w14:paraId="7F9AAA2C" w14:textId="77777777" w:rsidR="006F44AF" w:rsidRPr="00C66CDF" w:rsidRDefault="006F44AF" w:rsidP="00D03FA2">
      <w:pPr>
        <w:pStyle w:val="BodyTextIndent"/>
        <w:tabs>
          <w:tab w:val="num" w:pos="1260"/>
        </w:tabs>
        <w:autoSpaceDE/>
        <w:autoSpaceDN/>
        <w:adjustRightInd/>
        <w:ind w:left="0" w:hanging="567"/>
        <w:jc w:val="left"/>
        <w:rPr>
          <w:rFonts w:eastAsia="Arial Unicode MS"/>
          <w:color w:val="000000"/>
          <w:spacing w:val="-6"/>
          <w:sz w:val="12"/>
          <w:lang w:eastAsia="en-US"/>
        </w:rPr>
      </w:pPr>
      <w:r w:rsidRPr="00C66CDF">
        <w:rPr>
          <w:rFonts w:eastAsia="Arial Unicode MS"/>
          <w:color w:val="000000"/>
          <w:spacing w:val="-6"/>
          <w:lang w:eastAsia="en-US"/>
        </w:rPr>
        <w:t xml:space="preserve">             </w:t>
      </w:r>
    </w:p>
    <w:p w14:paraId="52F5194F" w14:textId="6B755C97" w:rsidR="00D03FA2" w:rsidRPr="00C66CDF" w:rsidRDefault="006F44AF" w:rsidP="00311DAB">
      <w:pPr>
        <w:pStyle w:val="BodyTextIndent"/>
        <w:tabs>
          <w:tab w:val="num" w:pos="1260"/>
        </w:tabs>
        <w:autoSpaceDE/>
        <w:autoSpaceDN/>
        <w:adjustRightInd/>
        <w:ind w:left="0" w:hanging="567"/>
        <w:rPr>
          <w:rFonts w:eastAsia="Arial Unicode MS"/>
          <w:color w:val="000000"/>
          <w:spacing w:val="-6"/>
          <w:lang w:eastAsia="en-US"/>
        </w:rPr>
      </w:pPr>
      <w:r w:rsidRPr="00C66CDF">
        <w:rPr>
          <w:rFonts w:eastAsia="Arial Unicode MS"/>
          <w:color w:val="000000"/>
          <w:spacing w:val="-6"/>
          <w:lang w:eastAsia="en-US"/>
        </w:rPr>
        <w:t xml:space="preserve">             </w:t>
      </w:r>
      <w:r w:rsidR="00D03FA2" w:rsidRPr="00C66CDF">
        <w:rPr>
          <w:rFonts w:eastAsia="Arial Unicode MS"/>
          <w:color w:val="000000"/>
          <w:spacing w:val="-6"/>
          <w:lang w:eastAsia="en-US"/>
        </w:rPr>
        <w:t xml:space="preserve">Bilanço tarihi itibarıyla geri alım vaadi ile satım işlemlerine konu edilen </w:t>
      </w:r>
      <w:r w:rsidR="00C66CDF" w:rsidRPr="00C66CDF">
        <w:rPr>
          <w:rFonts w:eastAsia="Arial Unicode MS"/>
          <w:color w:val="000000"/>
          <w:spacing w:val="-6"/>
          <w:lang w:eastAsia="en-US"/>
        </w:rPr>
        <w:t>8</w:t>
      </w:r>
      <w:r w:rsidR="00D03FA2" w:rsidRPr="00C66CDF">
        <w:rPr>
          <w:rFonts w:eastAsia="Arial Unicode MS"/>
          <w:color w:val="000000"/>
          <w:spacing w:val="-6"/>
          <w:lang w:eastAsia="en-US"/>
        </w:rPr>
        <w:t>,</w:t>
      </w:r>
      <w:r w:rsidR="00C66CDF" w:rsidRPr="00C66CDF">
        <w:rPr>
          <w:rFonts w:eastAsia="Arial Unicode MS"/>
          <w:color w:val="000000"/>
          <w:spacing w:val="-6"/>
          <w:lang w:eastAsia="en-US"/>
        </w:rPr>
        <w:t>246</w:t>
      </w:r>
      <w:r w:rsidR="00D03FA2" w:rsidRPr="00C66CDF">
        <w:rPr>
          <w:rFonts w:eastAsia="Arial Unicode MS"/>
          <w:color w:val="000000"/>
          <w:spacing w:val="-6"/>
          <w:lang w:eastAsia="en-US"/>
        </w:rPr>
        <w:t>,</w:t>
      </w:r>
      <w:r w:rsidR="00C66CDF" w:rsidRPr="00C66CDF">
        <w:rPr>
          <w:rFonts w:eastAsia="Arial Unicode MS"/>
          <w:color w:val="000000"/>
          <w:spacing w:val="-6"/>
          <w:lang w:eastAsia="en-US"/>
        </w:rPr>
        <w:t>679</w:t>
      </w:r>
      <w:r w:rsidR="00D03FA2" w:rsidRPr="00C66CDF">
        <w:rPr>
          <w:rFonts w:eastAsia="Arial Unicode MS"/>
          <w:color w:val="000000"/>
          <w:spacing w:val="-6"/>
          <w:lang w:eastAsia="en-US"/>
        </w:rPr>
        <w:t xml:space="preserve"> TL (31 Aralık 2019:</w:t>
      </w:r>
      <w:r w:rsidR="00BC7096">
        <w:rPr>
          <w:rFonts w:eastAsia="Arial Unicode MS"/>
          <w:color w:val="000000"/>
          <w:spacing w:val="-6"/>
          <w:lang w:eastAsia="en-US"/>
        </w:rPr>
        <w:t xml:space="preserve"> Bulunmamaktadır</w:t>
      </w:r>
      <w:r w:rsidR="00D03FA2" w:rsidRPr="00C66CDF">
        <w:rPr>
          <w:rFonts w:eastAsia="Arial Unicode MS"/>
          <w:color w:val="000000"/>
          <w:spacing w:val="-6"/>
          <w:lang w:eastAsia="en-US"/>
        </w:rPr>
        <w:t>) gerçeğe uygun değer farkı diğer kapsamlı gelire yansıtılan finansal varlık bulunmaktadır.</w:t>
      </w:r>
    </w:p>
    <w:p w14:paraId="191858FF" w14:textId="77777777" w:rsidR="00671338" w:rsidRPr="00270CE6" w:rsidRDefault="00671338" w:rsidP="002D7515">
      <w:pPr>
        <w:tabs>
          <w:tab w:val="left" w:pos="540"/>
        </w:tabs>
        <w:autoSpaceDE w:val="0"/>
        <w:autoSpaceDN w:val="0"/>
        <w:adjustRightInd w:val="0"/>
        <w:rPr>
          <w:b/>
          <w:bCs/>
          <w:iCs/>
          <w:sz w:val="16"/>
          <w:szCs w:val="16"/>
          <w:highlight w:val="yellow"/>
        </w:rPr>
      </w:pPr>
    </w:p>
    <w:p w14:paraId="39B15F6A" w14:textId="77777777" w:rsidR="00033391" w:rsidRPr="00A8293D" w:rsidRDefault="002F6A99" w:rsidP="00F27033">
      <w:pPr>
        <w:autoSpaceDE w:val="0"/>
        <w:autoSpaceDN w:val="0"/>
        <w:adjustRightInd w:val="0"/>
        <w:ind w:hanging="567"/>
        <w:jc w:val="both"/>
        <w:rPr>
          <w:b/>
        </w:rPr>
      </w:pPr>
      <w:r w:rsidRPr="00A8293D">
        <w:rPr>
          <w:b/>
        </w:rPr>
        <w:t>1</w:t>
      </w:r>
      <w:r w:rsidR="00E253C8" w:rsidRPr="00A8293D">
        <w:rPr>
          <w:b/>
        </w:rPr>
        <w:t>.</w:t>
      </w:r>
      <w:r w:rsidRPr="00A8293D">
        <w:rPr>
          <w:b/>
        </w:rPr>
        <w:t>5</w:t>
      </w:r>
      <w:r w:rsidR="00E253C8" w:rsidRPr="00A8293D">
        <w:rPr>
          <w:b/>
        </w:rPr>
        <w:tab/>
      </w:r>
      <w:r w:rsidR="00990912" w:rsidRPr="00A8293D">
        <w:rPr>
          <w:b/>
        </w:rPr>
        <w:t xml:space="preserve">İtfa edilmiş maliyeti ile ölçülen finansal varlıklara ilişkin </w:t>
      </w:r>
      <w:r w:rsidR="00E253C8" w:rsidRPr="00A8293D">
        <w:rPr>
          <w:b/>
        </w:rPr>
        <w:t>açıklamalar:</w:t>
      </w:r>
    </w:p>
    <w:p w14:paraId="64A64471" w14:textId="77777777" w:rsidR="005667CD" w:rsidRPr="00A8293D" w:rsidRDefault="005667CD" w:rsidP="00134A72">
      <w:pPr>
        <w:tabs>
          <w:tab w:val="num" w:pos="540"/>
        </w:tabs>
        <w:autoSpaceDE w:val="0"/>
        <w:autoSpaceDN w:val="0"/>
        <w:adjustRightInd w:val="0"/>
        <w:ind w:left="180"/>
        <w:rPr>
          <w:sz w:val="12"/>
          <w:szCs w:val="12"/>
        </w:rPr>
      </w:pPr>
    </w:p>
    <w:p w14:paraId="599C8235" w14:textId="77777777" w:rsidR="00176D5C" w:rsidRPr="00A8293D" w:rsidRDefault="00E253C8" w:rsidP="002F6A99">
      <w:pPr>
        <w:tabs>
          <w:tab w:val="num" w:pos="0"/>
        </w:tabs>
        <w:autoSpaceDE w:val="0"/>
        <w:autoSpaceDN w:val="0"/>
        <w:adjustRightInd w:val="0"/>
        <w:ind w:left="709" w:hanging="1276"/>
      </w:pPr>
      <w:r w:rsidRPr="00A8293D">
        <w:rPr>
          <w:b/>
        </w:rPr>
        <w:t>1.</w:t>
      </w:r>
      <w:r w:rsidR="002F6A99" w:rsidRPr="00A8293D">
        <w:rPr>
          <w:b/>
        </w:rPr>
        <w:t>5.1</w:t>
      </w:r>
      <w:r w:rsidRPr="00A8293D">
        <w:tab/>
        <w:t>Banka’nın ortaklarına ve mensuplarına verilen her çeşit kredi veya avansın bakiyesine ilişkin bilgiler:</w:t>
      </w:r>
    </w:p>
    <w:p w14:paraId="5C93B158" w14:textId="0EE5E788" w:rsidR="00A8293D" w:rsidRPr="00A8293D" w:rsidRDefault="00A8293D" w:rsidP="00BA637F">
      <w:pPr>
        <w:autoSpaceDE w:val="0"/>
        <w:autoSpaceDN w:val="0"/>
        <w:adjustRightInd w:val="0"/>
        <w:jc w:val="both"/>
        <w:rPr>
          <w:lang w:val="en-GB" w:eastAsia="en-GB"/>
        </w:rPr>
      </w:pPr>
    </w:p>
    <w:tbl>
      <w:tblPr>
        <w:tblW w:w="9191" w:type="dxa"/>
        <w:tblCellMar>
          <w:left w:w="70" w:type="dxa"/>
          <w:right w:w="70" w:type="dxa"/>
        </w:tblCellMar>
        <w:tblLook w:val="04A0" w:firstRow="1" w:lastRow="0" w:firstColumn="1" w:lastColumn="0" w:noHBand="0" w:noVBand="1"/>
      </w:tblPr>
      <w:tblGrid>
        <w:gridCol w:w="4065"/>
        <w:gridCol w:w="1281"/>
        <w:gridCol w:w="1282"/>
        <w:gridCol w:w="1281"/>
        <w:gridCol w:w="1282"/>
      </w:tblGrid>
      <w:tr w:rsidR="00A8293D" w:rsidRPr="00A8293D" w14:paraId="660CA5EE" w14:textId="77777777" w:rsidTr="006B1072">
        <w:trPr>
          <w:divId w:val="1130394429"/>
          <w:trHeight w:val="45"/>
        </w:trPr>
        <w:tc>
          <w:tcPr>
            <w:tcW w:w="4065" w:type="dxa"/>
            <w:tcBorders>
              <w:top w:val="double" w:sz="6" w:space="0" w:color="auto"/>
              <w:left w:val="nil"/>
              <w:bottom w:val="nil"/>
              <w:right w:val="nil"/>
            </w:tcBorders>
            <w:shd w:val="clear" w:color="auto" w:fill="auto"/>
            <w:vAlign w:val="center"/>
            <w:hideMark/>
          </w:tcPr>
          <w:p w14:paraId="0B408997" w14:textId="6A305E04" w:rsidR="00A8293D" w:rsidRPr="00A8293D" w:rsidRDefault="00A8293D" w:rsidP="00A8293D">
            <w:pPr>
              <w:jc w:val="right"/>
              <w:rPr>
                <w:sz w:val="18"/>
                <w:szCs w:val="18"/>
                <w:lang w:eastAsia="tr-TR"/>
              </w:rPr>
            </w:pPr>
            <w:r w:rsidRPr="00A8293D">
              <w:rPr>
                <w:sz w:val="18"/>
                <w:szCs w:val="18"/>
                <w:lang w:eastAsia="tr-TR"/>
              </w:rPr>
              <w:t> </w:t>
            </w:r>
          </w:p>
        </w:tc>
        <w:tc>
          <w:tcPr>
            <w:tcW w:w="2563" w:type="dxa"/>
            <w:gridSpan w:val="2"/>
            <w:tcBorders>
              <w:top w:val="double" w:sz="6" w:space="0" w:color="auto"/>
              <w:left w:val="nil"/>
              <w:bottom w:val="single" w:sz="8" w:space="0" w:color="auto"/>
              <w:right w:val="nil"/>
            </w:tcBorders>
            <w:shd w:val="clear" w:color="auto" w:fill="auto"/>
            <w:vAlign w:val="center"/>
            <w:hideMark/>
          </w:tcPr>
          <w:p w14:paraId="45EB26D1" w14:textId="77777777" w:rsidR="00A8293D" w:rsidRPr="00A8293D" w:rsidRDefault="00A8293D" w:rsidP="00A8293D">
            <w:pPr>
              <w:jc w:val="center"/>
              <w:rPr>
                <w:b/>
                <w:bCs/>
                <w:sz w:val="18"/>
                <w:szCs w:val="18"/>
                <w:lang w:eastAsia="tr-TR"/>
              </w:rPr>
            </w:pPr>
            <w:r w:rsidRPr="00A8293D">
              <w:rPr>
                <w:b/>
                <w:bCs/>
                <w:sz w:val="18"/>
                <w:szCs w:val="18"/>
                <w:lang w:eastAsia="tr-TR"/>
              </w:rPr>
              <w:t>Cari Dönem</w:t>
            </w:r>
          </w:p>
        </w:tc>
        <w:tc>
          <w:tcPr>
            <w:tcW w:w="2563" w:type="dxa"/>
            <w:gridSpan w:val="2"/>
            <w:tcBorders>
              <w:top w:val="double" w:sz="6" w:space="0" w:color="auto"/>
              <w:left w:val="nil"/>
              <w:bottom w:val="single" w:sz="8" w:space="0" w:color="auto"/>
              <w:right w:val="nil"/>
            </w:tcBorders>
            <w:shd w:val="clear" w:color="auto" w:fill="auto"/>
            <w:vAlign w:val="center"/>
            <w:hideMark/>
          </w:tcPr>
          <w:p w14:paraId="693D0C45" w14:textId="77777777" w:rsidR="00A8293D" w:rsidRPr="00A8293D" w:rsidRDefault="00A8293D" w:rsidP="00A8293D">
            <w:pPr>
              <w:jc w:val="center"/>
              <w:rPr>
                <w:b/>
                <w:bCs/>
                <w:sz w:val="18"/>
                <w:szCs w:val="18"/>
                <w:lang w:eastAsia="tr-TR"/>
              </w:rPr>
            </w:pPr>
            <w:r w:rsidRPr="00A8293D">
              <w:rPr>
                <w:b/>
                <w:bCs/>
                <w:sz w:val="18"/>
                <w:szCs w:val="18"/>
                <w:lang w:eastAsia="tr-TR"/>
              </w:rPr>
              <w:t>Önceki Dönem</w:t>
            </w:r>
          </w:p>
        </w:tc>
      </w:tr>
      <w:tr w:rsidR="00A8293D" w:rsidRPr="00A8293D" w14:paraId="7F26DE6F" w14:textId="77777777" w:rsidTr="006B1072">
        <w:trPr>
          <w:divId w:val="1130394429"/>
          <w:trHeight w:val="42"/>
        </w:trPr>
        <w:tc>
          <w:tcPr>
            <w:tcW w:w="4065" w:type="dxa"/>
            <w:tcBorders>
              <w:top w:val="nil"/>
              <w:left w:val="nil"/>
              <w:bottom w:val="single" w:sz="8" w:space="0" w:color="auto"/>
              <w:right w:val="nil"/>
            </w:tcBorders>
            <w:shd w:val="clear" w:color="auto" w:fill="auto"/>
            <w:vAlign w:val="center"/>
            <w:hideMark/>
          </w:tcPr>
          <w:p w14:paraId="0E4686C3" w14:textId="77777777" w:rsidR="00A8293D" w:rsidRPr="00A8293D" w:rsidRDefault="00A8293D" w:rsidP="00A8293D">
            <w:pPr>
              <w:jc w:val="right"/>
              <w:rPr>
                <w:sz w:val="18"/>
                <w:szCs w:val="18"/>
                <w:lang w:eastAsia="tr-TR"/>
              </w:rPr>
            </w:pPr>
            <w:r w:rsidRPr="00A8293D">
              <w:rPr>
                <w:sz w:val="18"/>
                <w:szCs w:val="18"/>
                <w:lang w:eastAsia="tr-TR"/>
              </w:rPr>
              <w:t> </w:t>
            </w:r>
          </w:p>
        </w:tc>
        <w:tc>
          <w:tcPr>
            <w:tcW w:w="1281" w:type="dxa"/>
            <w:tcBorders>
              <w:top w:val="nil"/>
              <w:left w:val="nil"/>
              <w:bottom w:val="single" w:sz="8" w:space="0" w:color="auto"/>
              <w:right w:val="nil"/>
            </w:tcBorders>
            <w:shd w:val="clear" w:color="auto" w:fill="auto"/>
            <w:vAlign w:val="center"/>
            <w:hideMark/>
          </w:tcPr>
          <w:p w14:paraId="42AC9E83" w14:textId="77777777" w:rsidR="00A8293D" w:rsidRPr="00A8293D" w:rsidRDefault="00A8293D" w:rsidP="00A8293D">
            <w:pPr>
              <w:jc w:val="right"/>
              <w:rPr>
                <w:b/>
                <w:bCs/>
                <w:sz w:val="18"/>
                <w:szCs w:val="18"/>
                <w:lang w:eastAsia="tr-TR"/>
              </w:rPr>
            </w:pPr>
            <w:r w:rsidRPr="00A8293D">
              <w:rPr>
                <w:b/>
                <w:bCs/>
                <w:sz w:val="18"/>
                <w:szCs w:val="18"/>
                <w:lang w:eastAsia="tr-TR"/>
              </w:rPr>
              <w:t>Nakdi</w:t>
            </w:r>
          </w:p>
        </w:tc>
        <w:tc>
          <w:tcPr>
            <w:tcW w:w="1281" w:type="dxa"/>
            <w:tcBorders>
              <w:top w:val="nil"/>
              <w:left w:val="nil"/>
              <w:bottom w:val="single" w:sz="8" w:space="0" w:color="auto"/>
              <w:right w:val="nil"/>
            </w:tcBorders>
            <w:shd w:val="clear" w:color="auto" w:fill="auto"/>
            <w:vAlign w:val="center"/>
            <w:hideMark/>
          </w:tcPr>
          <w:p w14:paraId="7349DFDA" w14:textId="77777777" w:rsidR="00A8293D" w:rsidRPr="00A8293D" w:rsidRDefault="00A8293D" w:rsidP="00A8293D">
            <w:pPr>
              <w:jc w:val="right"/>
              <w:rPr>
                <w:b/>
                <w:bCs/>
                <w:sz w:val="18"/>
                <w:szCs w:val="18"/>
                <w:lang w:eastAsia="tr-TR"/>
              </w:rPr>
            </w:pPr>
            <w:proofErr w:type="spellStart"/>
            <w:r w:rsidRPr="00A8293D">
              <w:rPr>
                <w:b/>
                <w:bCs/>
                <w:sz w:val="18"/>
                <w:szCs w:val="18"/>
                <w:lang w:eastAsia="tr-TR"/>
              </w:rPr>
              <w:t>Gayrinakdi</w:t>
            </w:r>
            <w:proofErr w:type="spellEnd"/>
          </w:p>
        </w:tc>
        <w:tc>
          <w:tcPr>
            <w:tcW w:w="1281" w:type="dxa"/>
            <w:tcBorders>
              <w:top w:val="nil"/>
              <w:left w:val="nil"/>
              <w:bottom w:val="single" w:sz="8" w:space="0" w:color="auto"/>
              <w:right w:val="nil"/>
            </w:tcBorders>
            <w:shd w:val="clear" w:color="auto" w:fill="auto"/>
            <w:vAlign w:val="center"/>
            <w:hideMark/>
          </w:tcPr>
          <w:p w14:paraId="741DAD59" w14:textId="77777777" w:rsidR="00A8293D" w:rsidRPr="00A8293D" w:rsidRDefault="00A8293D" w:rsidP="00A8293D">
            <w:pPr>
              <w:jc w:val="right"/>
              <w:rPr>
                <w:b/>
                <w:bCs/>
                <w:sz w:val="18"/>
                <w:szCs w:val="18"/>
                <w:lang w:eastAsia="tr-TR"/>
              </w:rPr>
            </w:pPr>
            <w:r w:rsidRPr="00A8293D">
              <w:rPr>
                <w:b/>
                <w:bCs/>
                <w:sz w:val="18"/>
                <w:szCs w:val="18"/>
                <w:lang w:eastAsia="tr-TR"/>
              </w:rPr>
              <w:t>Nakdi</w:t>
            </w:r>
          </w:p>
        </w:tc>
        <w:tc>
          <w:tcPr>
            <w:tcW w:w="1281" w:type="dxa"/>
            <w:tcBorders>
              <w:top w:val="nil"/>
              <w:left w:val="nil"/>
              <w:bottom w:val="single" w:sz="8" w:space="0" w:color="auto"/>
              <w:right w:val="nil"/>
            </w:tcBorders>
            <w:shd w:val="clear" w:color="auto" w:fill="auto"/>
            <w:vAlign w:val="center"/>
            <w:hideMark/>
          </w:tcPr>
          <w:p w14:paraId="3190129D" w14:textId="77777777" w:rsidR="00A8293D" w:rsidRPr="00A8293D" w:rsidRDefault="00A8293D" w:rsidP="00A8293D">
            <w:pPr>
              <w:jc w:val="right"/>
              <w:rPr>
                <w:b/>
                <w:bCs/>
                <w:sz w:val="18"/>
                <w:szCs w:val="18"/>
                <w:lang w:eastAsia="tr-TR"/>
              </w:rPr>
            </w:pPr>
            <w:proofErr w:type="spellStart"/>
            <w:r w:rsidRPr="00A8293D">
              <w:rPr>
                <w:b/>
                <w:bCs/>
                <w:sz w:val="18"/>
                <w:szCs w:val="18"/>
                <w:lang w:eastAsia="tr-TR"/>
              </w:rPr>
              <w:t>Gayrinakdi</w:t>
            </w:r>
            <w:proofErr w:type="spellEnd"/>
          </w:p>
        </w:tc>
      </w:tr>
      <w:tr w:rsidR="00A8293D" w:rsidRPr="00A8293D" w14:paraId="6FD3D6C6" w14:textId="77777777" w:rsidTr="006B1072">
        <w:trPr>
          <w:divId w:val="1130394429"/>
          <w:trHeight w:val="40"/>
        </w:trPr>
        <w:tc>
          <w:tcPr>
            <w:tcW w:w="4065" w:type="dxa"/>
            <w:tcBorders>
              <w:top w:val="nil"/>
              <w:left w:val="nil"/>
              <w:bottom w:val="nil"/>
              <w:right w:val="nil"/>
            </w:tcBorders>
            <w:shd w:val="clear" w:color="auto" w:fill="auto"/>
            <w:vAlign w:val="center"/>
            <w:hideMark/>
          </w:tcPr>
          <w:p w14:paraId="11303A85" w14:textId="77777777" w:rsidR="00A8293D" w:rsidRPr="00A8293D" w:rsidRDefault="00A8293D" w:rsidP="00A8293D">
            <w:pPr>
              <w:jc w:val="both"/>
              <w:rPr>
                <w:b/>
                <w:bCs/>
                <w:sz w:val="18"/>
                <w:szCs w:val="18"/>
                <w:lang w:eastAsia="tr-TR"/>
              </w:rPr>
            </w:pPr>
            <w:r w:rsidRPr="00A8293D">
              <w:rPr>
                <w:b/>
                <w:bCs/>
                <w:sz w:val="18"/>
                <w:szCs w:val="18"/>
                <w:lang w:eastAsia="tr-TR"/>
              </w:rPr>
              <w:t>Banka Ortaklarına Verilen Doğrudan Krediler</w:t>
            </w:r>
          </w:p>
        </w:tc>
        <w:tc>
          <w:tcPr>
            <w:tcW w:w="1281" w:type="dxa"/>
            <w:tcBorders>
              <w:top w:val="nil"/>
              <w:left w:val="nil"/>
              <w:bottom w:val="nil"/>
              <w:right w:val="nil"/>
            </w:tcBorders>
            <w:shd w:val="clear" w:color="auto" w:fill="auto"/>
            <w:vAlign w:val="center"/>
            <w:hideMark/>
          </w:tcPr>
          <w:p w14:paraId="0241ACE7" w14:textId="77777777" w:rsidR="00A8293D" w:rsidRPr="00A8293D" w:rsidRDefault="00A8293D" w:rsidP="00A8293D">
            <w:pPr>
              <w:jc w:val="right"/>
              <w:rPr>
                <w:b/>
                <w:bCs/>
                <w:sz w:val="18"/>
                <w:szCs w:val="18"/>
                <w:lang w:eastAsia="tr-TR"/>
              </w:rPr>
            </w:pPr>
            <w:r w:rsidRPr="00A8293D">
              <w:rPr>
                <w:b/>
                <w:bCs/>
                <w:sz w:val="18"/>
                <w:szCs w:val="18"/>
                <w:lang w:eastAsia="tr-TR"/>
              </w:rPr>
              <w:t>4,822</w:t>
            </w:r>
          </w:p>
        </w:tc>
        <w:tc>
          <w:tcPr>
            <w:tcW w:w="1281" w:type="dxa"/>
            <w:tcBorders>
              <w:top w:val="nil"/>
              <w:left w:val="nil"/>
              <w:bottom w:val="nil"/>
              <w:right w:val="nil"/>
            </w:tcBorders>
            <w:shd w:val="clear" w:color="auto" w:fill="auto"/>
            <w:vAlign w:val="center"/>
            <w:hideMark/>
          </w:tcPr>
          <w:p w14:paraId="2C92D051" w14:textId="77777777" w:rsidR="00A8293D" w:rsidRPr="00A8293D" w:rsidRDefault="00A8293D" w:rsidP="00A8293D">
            <w:pPr>
              <w:jc w:val="right"/>
              <w:rPr>
                <w:b/>
                <w:bCs/>
                <w:sz w:val="18"/>
                <w:szCs w:val="18"/>
                <w:lang w:eastAsia="tr-TR"/>
              </w:rPr>
            </w:pPr>
            <w:r w:rsidRPr="00A8293D">
              <w:rPr>
                <w:b/>
                <w:bCs/>
                <w:sz w:val="18"/>
                <w:szCs w:val="18"/>
                <w:lang w:eastAsia="tr-TR"/>
              </w:rPr>
              <w:t>8,474</w:t>
            </w:r>
          </w:p>
        </w:tc>
        <w:tc>
          <w:tcPr>
            <w:tcW w:w="1281" w:type="dxa"/>
            <w:tcBorders>
              <w:top w:val="nil"/>
              <w:left w:val="nil"/>
              <w:bottom w:val="nil"/>
              <w:right w:val="nil"/>
            </w:tcBorders>
            <w:shd w:val="clear" w:color="auto" w:fill="auto"/>
            <w:vAlign w:val="center"/>
            <w:hideMark/>
          </w:tcPr>
          <w:p w14:paraId="174E8853" w14:textId="77777777" w:rsidR="00A8293D" w:rsidRPr="00A8293D" w:rsidRDefault="00A8293D" w:rsidP="00A8293D">
            <w:pPr>
              <w:jc w:val="right"/>
              <w:rPr>
                <w:b/>
                <w:bCs/>
                <w:sz w:val="18"/>
                <w:szCs w:val="18"/>
                <w:lang w:eastAsia="tr-TR"/>
              </w:rPr>
            </w:pPr>
            <w:r w:rsidRPr="00A8293D">
              <w:rPr>
                <w:b/>
                <w:bCs/>
                <w:sz w:val="18"/>
                <w:szCs w:val="18"/>
                <w:lang w:eastAsia="tr-TR"/>
              </w:rPr>
              <w:t>1,868</w:t>
            </w:r>
          </w:p>
        </w:tc>
        <w:tc>
          <w:tcPr>
            <w:tcW w:w="1281" w:type="dxa"/>
            <w:tcBorders>
              <w:top w:val="nil"/>
              <w:left w:val="nil"/>
              <w:bottom w:val="nil"/>
              <w:right w:val="nil"/>
            </w:tcBorders>
            <w:shd w:val="clear" w:color="auto" w:fill="auto"/>
            <w:vAlign w:val="center"/>
            <w:hideMark/>
          </w:tcPr>
          <w:p w14:paraId="3AD09AEA" w14:textId="77777777" w:rsidR="00A8293D" w:rsidRPr="00A8293D" w:rsidRDefault="00A8293D" w:rsidP="00A8293D">
            <w:pPr>
              <w:jc w:val="right"/>
              <w:rPr>
                <w:b/>
                <w:bCs/>
                <w:sz w:val="18"/>
                <w:szCs w:val="18"/>
                <w:lang w:eastAsia="tr-TR"/>
              </w:rPr>
            </w:pPr>
            <w:r w:rsidRPr="00A8293D">
              <w:rPr>
                <w:b/>
                <w:bCs/>
                <w:sz w:val="18"/>
                <w:szCs w:val="18"/>
                <w:lang w:eastAsia="tr-TR"/>
              </w:rPr>
              <w:t>7,206</w:t>
            </w:r>
          </w:p>
        </w:tc>
      </w:tr>
      <w:tr w:rsidR="00A8293D" w:rsidRPr="00A8293D" w14:paraId="78C0F44B" w14:textId="77777777" w:rsidTr="006B1072">
        <w:trPr>
          <w:divId w:val="1130394429"/>
          <w:trHeight w:val="40"/>
        </w:trPr>
        <w:tc>
          <w:tcPr>
            <w:tcW w:w="4065" w:type="dxa"/>
            <w:tcBorders>
              <w:top w:val="nil"/>
              <w:left w:val="nil"/>
              <w:bottom w:val="nil"/>
              <w:right w:val="nil"/>
            </w:tcBorders>
            <w:shd w:val="clear" w:color="auto" w:fill="auto"/>
            <w:vAlign w:val="center"/>
            <w:hideMark/>
          </w:tcPr>
          <w:p w14:paraId="2CE36CFB" w14:textId="77777777" w:rsidR="00A8293D" w:rsidRPr="00A8293D" w:rsidRDefault="00A8293D" w:rsidP="00A8293D">
            <w:pPr>
              <w:jc w:val="both"/>
              <w:rPr>
                <w:sz w:val="18"/>
                <w:szCs w:val="18"/>
                <w:lang w:eastAsia="tr-TR"/>
              </w:rPr>
            </w:pPr>
            <w:r w:rsidRPr="00A8293D">
              <w:rPr>
                <w:sz w:val="18"/>
                <w:szCs w:val="18"/>
                <w:lang w:eastAsia="tr-TR"/>
              </w:rPr>
              <w:t>Tüzel Kişi Ortaklara Verilen Krediler</w:t>
            </w:r>
          </w:p>
        </w:tc>
        <w:tc>
          <w:tcPr>
            <w:tcW w:w="1281" w:type="dxa"/>
            <w:tcBorders>
              <w:top w:val="nil"/>
              <w:left w:val="nil"/>
              <w:bottom w:val="nil"/>
              <w:right w:val="nil"/>
            </w:tcBorders>
            <w:shd w:val="clear" w:color="auto" w:fill="auto"/>
            <w:vAlign w:val="center"/>
            <w:hideMark/>
          </w:tcPr>
          <w:p w14:paraId="2BD8A72F" w14:textId="77777777" w:rsidR="00A8293D" w:rsidRPr="00A8293D" w:rsidRDefault="00A8293D" w:rsidP="00A8293D">
            <w:pPr>
              <w:jc w:val="right"/>
              <w:rPr>
                <w:sz w:val="18"/>
                <w:szCs w:val="18"/>
                <w:lang w:eastAsia="tr-TR"/>
              </w:rPr>
            </w:pPr>
            <w:r w:rsidRPr="00A8293D">
              <w:rPr>
                <w:sz w:val="18"/>
                <w:szCs w:val="18"/>
                <w:lang w:eastAsia="tr-TR"/>
              </w:rPr>
              <w:t>-</w:t>
            </w:r>
          </w:p>
        </w:tc>
        <w:tc>
          <w:tcPr>
            <w:tcW w:w="1281" w:type="dxa"/>
            <w:tcBorders>
              <w:top w:val="nil"/>
              <w:left w:val="nil"/>
              <w:bottom w:val="nil"/>
              <w:right w:val="nil"/>
            </w:tcBorders>
            <w:shd w:val="clear" w:color="auto" w:fill="auto"/>
            <w:vAlign w:val="center"/>
            <w:hideMark/>
          </w:tcPr>
          <w:p w14:paraId="31929349" w14:textId="77777777" w:rsidR="00A8293D" w:rsidRPr="00A8293D" w:rsidRDefault="00A8293D" w:rsidP="00A8293D">
            <w:pPr>
              <w:jc w:val="right"/>
              <w:rPr>
                <w:sz w:val="18"/>
                <w:szCs w:val="18"/>
                <w:lang w:eastAsia="tr-TR"/>
              </w:rPr>
            </w:pPr>
            <w:r w:rsidRPr="00A8293D">
              <w:rPr>
                <w:sz w:val="18"/>
                <w:szCs w:val="18"/>
                <w:lang w:eastAsia="tr-TR"/>
              </w:rPr>
              <w:t>8,434</w:t>
            </w:r>
          </w:p>
        </w:tc>
        <w:tc>
          <w:tcPr>
            <w:tcW w:w="1281" w:type="dxa"/>
            <w:tcBorders>
              <w:top w:val="nil"/>
              <w:left w:val="nil"/>
              <w:bottom w:val="nil"/>
              <w:right w:val="nil"/>
            </w:tcBorders>
            <w:shd w:val="clear" w:color="auto" w:fill="auto"/>
            <w:vAlign w:val="center"/>
            <w:hideMark/>
          </w:tcPr>
          <w:p w14:paraId="5F292FDC" w14:textId="77777777" w:rsidR="00A8293D" w:rsidRPr="00A8293D" w:rsidRDefault="00A8293D" w:rsidP="00A8293D">
            <w:pPr>
              <w:jc w:val="right"/>
              <w:rPr>
                <w:sz w:val="18"/>
                <w:szCs w:val="18"/>
                <w:lang w:eastAsia="tr-TR"/>
              </w:rPr>
            </w:pPr>
            <w:r w:rsidRPr="00A8293D">
              <w:rPr>
                <w:sz w:val="18"/>
                <w:szCs w:val="18"/>
                <w:lang w:eastAsia="tr-TR"/>
              </w:rPr>
              <w:t>-</w:t>
            </w:r>
          </w:p>
        </w:tc>
        <w:tc>
          <w:tcPr>
            <w:tcW w:w="1281" w:type="dxa"/>
            <w:tcBorders>
              <w:top w:val="nil"/>
              <w:left w:val="nil"/>
              <w:bottom w:val="nil"/>
              <w:right w:val="nil"/>
            </w:tcBorders>
            <w:shd w:val="clear" w:color="auto" w:fill="auto"/>
            <w:vAlign w:val="center"/>
            <w:hideMark/>
          </w:tcPr>
          <w:p w14:paraId="4A1DEAAE" w14:textId="77777777" w:rsidR="00A8293D" w:rsidRPr="00A8293D" w:rsidRDefault="00A8293D" w:rsidP="00A8293D">
            <w:pPr>
              <w:jc w:val="right"/>
              <w:rPr>
                <w:sz w:val="18"/>
                <w:szCs w:val="18"/>
                <w:lang w:eastAsia="tr-TR"/>
              </w:rPr>
            </w:pPr>
            <w:r w:rsidRPr="00A8293D">
              <w:rPr>
                <w:sz w:val="18"/>
                <w:szCs w:val="18"/>
                <w:lang w:eastAsia="tr-TR"/>
              </w:rPr>
              <w:t>7,190</w:t>
            </w:r>
          </w:p>
        </w:tc>
      </w:tr>
      <w:tr w:rsidR="00A8293D" w:rsidRPr="00A8293D" w14:paraId="6E555B32" w14:textId="77777777" w:rsidTr="006B1072">
        <w:trPr>
          <w:divId w:val="1130394429"/>
          <w:trHeight w:val="40"/>
        </w:trPr>
        <w:tc>
          <w:tcPr>
            <w:tcW w:w="4065" w:type="dxa"/>
            <w:tcBorders>
              <w:top w:val="nil"/>
              <w:left w:val="nil"/>
              <w:bottom w:val="nil"/>
              <w:right w:val="nil"/>
            </w:tcBorders>
            <w:shd w:val="clear" w:color="auto" w:fill="auto"/>
            <w:vAlign w:val="center"/>
            <w:hideMark/>
          </w:tcPr>
          <w:p w14:paraId="1D68CE58" w14:textId="77777777" w:rsidR="00A8293D" w:rsidRPr="00A8293D" w:rsidRDefault="00A8293D" w:rsidP="00A8293D">
            <w:pPr>
              <w:jc w:val="both"/>
              <w:rPr>
                <w:sz w:val="18"/>
                <w:szCs w:val="18"/>
                <w:lang w:eastAsia="tr-TR"/>
              </w:rPr>
            </w:pPr>
            <w:r w:rsidRPr="00A8293D">
              <w:rPr>
                <w:sz w:val="18"/>
                <w:szCs w:val="18"/>
                <w:lang w:eastAsia="tr-TR"/>
              </w:rPr>
              <w:t>Gerçek Kişi Ortaklara Verilen Krediler</w:t>
            </w:r>
          </w:p>
        </w:tc>
        <w:tc>
          <w:tcPr>
            <w:tcW w:w="1281" w:type="dxa"/>
            <w:tcBorders>
              <w:top w:val="nil"/>
              <w:left w:val="nil"/>
              <w:bottom w:val="nil"/>
              <w:right w:val="nil"/>
            </w:tcBorders>
            <w:shd w:val="clear" w:color="auto" w:fill="auto"/>
            <w:vAlign w:val="center"/>
            <w:hideMark/>
          </w:tcPr>
          <w:p w14:paraId="58C0CB6D" w14:textId="77777777" w:rsidR="00A8293D" w:rsidRPr="00A8293D" w:rsidRDefault="00A8293D" w:rsidP="00A8293D">
            <w:pPr>
              <w:jc w:val="right"/>
              <w:rPr>
                <w:sz w:val="18"/>
                <w:szCs w:val="18"/>
                <w:lang w:eastAsia="tr-TR"/>
              </w:rPr>
            </w:pPr>
            <w:r w:rsidRPr="00A8293D">
              <w:rPr>
                <w:sz w:val="18"/>
                <w:szCs w:val="18"/>
                <w:lang w:eastAsia="tr-TR"/>
              </w:rPr>
              <w:t>4,822</w:t>
            </w:r>
          </w:p>
        </w:tc>
        <w:tc>
          <w:tcPr>
            <w:tcW w:w="1281" w:type="dxa"/>
            <w:tcBorders>
              <w:top w:val="nil"/>
              <w:left w:val="nil"/>
              <w:bottom w:val="nil"/>
              <w:right w:val="nil"/>
            </w:tcBorders>
            <w:shd w:val="clear" w:color="auto" w:fill="auto"/>
            <w:vAlign w:val="center"/>
            <w:hideMark/>
          </w:tcPr>
          <w:p w14:paraId="7748FD0B" w14:textId="77777777" w:rsidR="00A8293D" w:rsidRPr="00A8293D" w:rsidRDefault="00A8293D" w:rsidP="00A8293D">
            <w:pPr>
              <w:jc w:val="right"/>
              <w:rPr>
                <w:sz w:val="18"/>
                <w:szCs w:val="18"/>
                <w:lang w:eastAsia="tr-TR"/>
              </w:rPr>
            </w:pPr>
            <w:r w:rsidRPr="00A8293D">
              <w:rPr>
                <w:sz w:val="18"/>
                <w:szCs w:val="18"/>
                <w:lang w:eastAsia="tr-TR"/>
              </w:rPr>
              <w:t>40</w:t>
            </w:r>
          </w:p>
        </w:tc>
        <w:tc>
          <w:tcPr>
            <w:tcW w:w="1281" w:type="dxa"/>
            <w:tcBorders>
              <w:top w:val="nil"/>
              <w:left w:val="nil"/>
              <w:bottom w:val="nil"/>
              <w:right w:val="nil"/>
            </w:tcBorders>
            <w:shd w:val="clear" w:color="auto" w:fill="auto"/>
            <w:vAlign w:val="center"/>
            <w:hideMark/>
          </w:tcPr>
          <w:p w14:paraId="46209724" w14:textId="77777777" w:rsidR="00A8293D" w:rsidRPr="00A8293D" w:rsidRDefault="00A8293D" w:rsidP="00A8293D">
            <w:pPr>
              <w:jc w:val="right"/>
              <w:rPr>
                <w:sz w:val="18"/>
                <w:szCs w:val="18"/>
                <w:lang w:eastAsia="tr-TR"/>
              </w:rPr>
            </w:pPr>
            <w:r w:rsidRPr="00A8293D">
              <w:rPr>
                <w:sz w:val="18"/>
                <w:szCs w:val="18"/>
                <w:lang w:eastAsia="tr-TR"/>
              </w:rPr>
              <w:t>1,868</w:t>
            </w:r>
          </w:p>
        </w:tc>
        <w:tc>
          <w:tcPr>
            <w:tcW w:w="1281" w:type="dxa"/>
            <w:tcBorders>
              <w:top w:val="nil"/>
              <w:left w:val="nil"/>
              <w:bottom w:val="nil"/>
              <w:right w:val="nil"/>
            </w:tcBorders>
            <w:shd w:val="clear" w:color="auto" w:fill="auto"/>
            <w:vAlign w:val="center"/>
            <w:hideMark/>
          </w:tcPr>
          <w:p w14:paraId="6B531B90" w14:textId="77777777" w:rsidR="00A8293D" w:rsidRPr="00A8293D" w:rsidRDefault="00A8293D" w:rsidP="00A8293D">
            <w:pPr>
              <w:jc w:val="right"/>
              <w:rPr>
                <w:sz w:val="18"/>
                <w:szCs w:val="18"/>
                <w:lang w:eastAsia="tr-TR"/>
              </w:rPr>
            </w:pPr>
            <w:r w:rsidRPr="00A8293D">
              <w:rPr>
                <w:sz w:val="18"/>
                <w:szCs w:val="18"/>
                <w:lang w:eastAsia="tr-TR"/>
              </w:rPr>
              <w:t>16</w:t>
            </w:r>
          </w:p>
        </w:tc>
      </w:tr>
      <w:tr w:rsidR="00A8293D" w:rsidRPr="00A8293D" w14:paraId="5F3D663B" w14:textId="77777777" w:rsidTr="006B1072">
        <w:trPr>
          <w:divId w:val="1130394429"/>
          <w:trHeight w:val="40"/>
        </w:trPr>
        <w:tc>
          <w:tcPr>
            <w:tcW w:w="4065" w:type="dxa"/>
            <w:tcBorders>
              <w:top w:val="nil"/>
              <w:left w:val="nil"/>
              <w:bottom w:val="nil"/>
              <w:right w:val="nil"/>
            </w:tcBorders>
            <w:shd w:val="clear" w:color="auto" w:fill="auto"/>
            <w:vAlign w:val="center"/>
            <w:hideMark/>
          </w:tcPr>
          <w:p w14:paraId="5B987EFB" w14:textId="77777777" w:rsidR="00A8293D" w:rsidRPr="00A8293D" w:rsidRDefault="00A8293D" w:rsidP="00A8293D">
            <w:pPr>
              <w:jc w:val="both"/>
              <w:rPr>
                <w:b/>
                <w:bCs/>
                <w:sz w:val="18"/>
                <w:szCs w:val="18"/>
                <w:lang w:eastAsia="tr-TR"/>
              </w:rPr>
            </w:pPr>
            <w:r w:rsidRPr="00A8293D">
              <w:rPr>
                <w:b/>
                <w:bCs/>
                <w:sz w:val="18"/>
                <w:szCs w:val="18"/>
                <w:lang w:eastAsia="tr-TR"/>
              </w:rPr>
              <w:t>Banka Ortaklarına Verilen Dolaylı Krediler</w:t>
            </w:r>
          </w:p>
        </w:tc>
        <w:tc>
          <w:tcPr>
            <w:tcW w:w="1281" w:type="dxa"/>
            <w:tcBorders>
              <w:top w:val="nil"/>
              <w:left w:val="nil"/>
              <w:bottom w:val="nil"/>
              <w:right w:val="nil"/>
            </w:tcBorders>
            <w:shd w:val="clear" w:color="auto" w:fill="auto"/>
            <w:vAlign w:val="center"/>
            <w:hideMark/>
          </w:tcPr>
          <w:p w14:paraId="044C39BB" w14:textId="77777777" w:rsidR="00A8293D" w:rsidRPr="00A8293D" w:rsidRDefault="00A8293D" w:rsidP="00A8293D">
            <w:pPr>
              <w:jc w:val="right"/>
              <w:rPr>
                <w:b/>
                <w:bCs/>
                <w:sz w:val="18"/>
                <w:szCs w:val="18"/>
                <w:lang w:eastAsia="tr-TR"/>
              </w:rPr>
            </w:pPr>
            <w:r w:rsidRPr="00A8293D">
              <w:rPr>
                <w:b/>
                <w:bCs/>
                <w:sz w:val="18"/>
                <w:szCs w:val="18"/>
                <w:lang w:eastAsia="tr-TR"/>
              </w:rPr>
              <w:t>61,916</w:t>
            </w:r>
          </w:p>
        </w:tc>
        <w:tc>
          <w:tcPr>
            <w:tcW w:w="1281" w:type="dxa"/>
            <w:tcBorders>
              <w:top w:val="nil"/>
              <w:left w:val="nil"/>
              <w:bottom w:val="nil"/>
              <w:right w:val="nil"/>
            </w:tcBorders>
            <w:shd w:val="clear" w:color="auto" w:fill="auto"/>
            <w:vAlign w:val="center"/>
            <w:hideMark/>
          </w:tcPr>
          <w:p w14:paraId="7B4F668A" w14:textId="77777777" w:rsidR="00A8293D" w:rsidRPr="00A8293D" w:rsidRDefault="00A8293D" w:rsidP="00A8293D">
            <w:pPr>
              <w:jc w:val="right"/>
              <w:rPr>
                <w:b/>
                <w:bCs/>
                <w:sz w:val="18"/>
                <w:szCs w:val="18"/>
                <w:lang w:eastAsia="tr-TR"/>
              </w:rPr>
            </w:pPr>
            <w:r w:rsidRPr="00A8293D">
              <w:rPr>
                <w:b/>
                <w:bCs/>
                <w:sz w:val="18"/>
                <w:szCs w:val="18"/>
                <w:lang w:eastAsia="tr-TR"/>
              </w:rPr>
              <w:t>663</w:t>
            </w:r>
          </w:p>
        </w:tc>
        <w:tc>
          <w:tcPr>
            <w:tcW w:w="1281" w:type="dxa"/>
            <w:tcBorders>
              <w:top w:val="nil"/>
              <w:left w:val="nil"/>
              <w:bottom w:val="nil"/>
              <w:right w:val="nil"/>
            </w:tcBorders>
            <w:shd w:val="clear" w:color="auto" w:fill="auto"/>
            <w:vAlign w:val="center"/>
            <w:hideMark/>
          </w:tcPr>
          <w:p w14:paraId="301DB166" w14:textId="77777777" w:rsidR="00A8293D" w:rsidRPr="00A8293D" w:rsidRDefault="00A8293D" w:rsidP="00A8293D">
            <w:pPr>
              <w:jc w:val="right"/>
              <w:rPr>
                <w:b/>
                <w:bCs/>
                <w:sz w:val="18"/>
                <w:szCs w:val="18"/>
                <w:lang w:eastAsia="tr-TR"/>
              </w:rPr>
            </w:pPr>
            <w:r w:rsidRPr="00A8293D">
              <w:rPr>
                <w:b/>
                <w:bCs/>
                <w:sz w:val="18"/>
                <w:szCs w:val="18"/>
                <w:lang w:eastAsia="tr-TR"/>
              </w:rPr>
              <w:t>780,512</w:t>
            </w:r>
          </w:p>
        </w:tc>
        <w:tc>
          <w:tcPr>
            <w:tcW w:w="1281" w:type="dxa"/>
            <w:tcBorders>
              <w:top w:val="nil"/>
              <w:left w:val="nil"/>
              <w:bottom w:val="nil"/>
              <w:right w:val="nil"/>
            </w:tcBorders>
            <w:shd w:val="clear" w:color="auto" w:fill="auto"/>
            <w:vAlign w:val="center"/>
            <w:hideMark/>
          </w:tcPr>
          <w:p w14:paraId="7E2B53DE" w14:textId="77777777" w:rsidR="00A8293D" w:rsidRPr="00A8293D" w:rsidRDefault="00A8293D" w:rsidP="00A8293D">
            <w:pPr>
              <w:jc w:val="right"/>
              <w:rPr>
                <w:b/>
                <w:bCs/>
                <w:sz w:val="18"/>
                <w:szCs w:val="18"/>
                <w:lang w:eastAsia="tr-TR"/>
              </w:rPr>
            </w:pPr>
            <w:r w:rsidRPr="00A8293D">
              <w:rPr>
                <w:b/>
                <w:bCs/>
                <w:sz w:val="18"/>
                <w:szCs w:val="18"/>
                <w:lang w:eastAsia="tr-TR"/>
              </w:rPr>
              <w:t>723</w:t>
            </w:r>
          </w:p>
        </w:tc>
      </w:tr>
      <w:tr w:rsidR="00A8293D" w:rsidRPr="00A8293D" w14:paraId="11A16507" w14:textId="77777777" w:rsidTr="006B1072">
        <w:trPr>
          <w:divId w:val="1130394429"/>
          <w:trHeight w:val="42"/>
        </w:trPr>
        <w:tc>
          <w:tcPr>
            <w:tcW w:w="4065" w:type="dxa"/>
            <w:tcBorders>
              <w:top w:val="nil"/>
              <w:left w:val="nil"/>
              <w:bottom w:val="single" w:sz="8" w:space="0" w:color="auto"/>
              <w:right w:val="nil"/>
            </w:tcBorders>
            <w:shd w:val="clear" w:color="auto" w:fill="auto"/>
            <w:vAlign w:val="center"/>
            <w:hideMark/>
          </w:tcPr>
          <w:p w14:paraId="5187C591" w14:textId="77777777" w:rsidR="00A8293D" w:rsidRPr="00A8293D" w:rsidRDefault="00A8293D" w:rsidP="00A8293D">
            <w:pPr>
              <w:jc w:val="both"/>
              <w:rPr>
                <w:b/>
                <w:bCs/>
                <w:sz w:val="18"/>
                <w:szCs w:val="18"/>
                <w:lang w:eastAsia="tr-TR"/>
              </w:rPr>
            </w:pPr>
            <w:r w:rsidRPr="00A8293D">
              <w:rPr>
                <w:b/>
                <w:bCs/>
                <w:sz w:val="18"/>
                <w:szCs w:val="18"/>
                <w:lang w:eastAsia="tr-TR"/>
              </w:rPr>
              <w:t>Banka Mensuplarına Verilen Krediler</w:t>
            </w:r>
          </w:p>
        </w:tc>
        <w:tc>
          <w:tcPr>
            <w:tcW w:w="1281" w:type="dxa"/>
            <w:tcBorders>
              <w:top w:val="nil"/>
              <w:left w:val="nil"/>
              <w:bottom w:val="single" w:sz="8" w:space="0" w:color="auto"/>
              <w:right w:val="nil"/>
            </w:tcBorders>
            <w:shd w:val="clear" w:color="auto" w:fill="auto"/>
            <w:vAlign w:val="center"/>
            <w:hideMark/>
          </w:tcPr>
          <w:p w14:paraId="60B3273D" w14:textId="77777777" w:rsidR="00A8293D" w:rsidRPr="00A8293D" w:rsidRDefault="00A8293D" w:rsidP="00A8293D">
            <w:pPr>
              <w:jc w:val="right"/>
              <w:rPr>
                <w:b/>
                <w:bCs/>
                <w:sz w:val="18"/>
                <w:szCs w:val="18"/>
                <w:lang w:eastAsia="tr-TR"/>
              </w:rPr>
            </w:pPr>
            <w:r w:rsidRPr="00A8293D">
              <w:rPr>
                <w:b/>
                <w:bCs/>
                <w:sz w:val="18"/>
                <w:szCs w:val="18"/>
                <w:lang w:eastAsia="tr-TR"/>
              </w:rPr>
              <w:t>27,435</w:t>
            </w:r>
          </w:p>
        </w:tc>
        <w:tc>
          <w:tcPr>
            <w:tcW w:w="1281" w:type="dxa"/>
            <w:tcBorders>
              <w:top w:val="nil"/>
              <w:left w:val="nil"/>
              <w:bottom w:val="single" w:sz="8" w:space="0" w:color="auto"/>
              <w:right w:val="nil"/>
            </w:tcBorders>
            <w:shd w:val="clear" w:color="auto" w:fill="auto"/>
            <w:vAlign w:val="center"/>
            <w:hideMark/>
          </w:tcPr>
          <w:p w14:paraId="53F527A6" w14:textId="77777777" w:rsidR="00A8293D" w:rsidRPr="00A8293D" w:rsidRDefault="00A8293D" w:rsidP="00A8293D">
            <w:pPr>
              <w:jc w:val="right"/>
              <w:rPr>
                <w:b/>
                <w:bCs/>
                <w:sz w:val="18"/>
                <w:szCs w:val="18"/>
                <w:lang w:eastAsia="tr-TR"/>
              </w:rPr>
            </w:pPr>
            <w:r w:rsidRPr="00A8293D">
              <w:rPr>
                <w:b/>
                <w:bCs/>
                <w:sz w:val="18"/>
                <w:szCs w:val="18"/>
                <w:lang w:eastAsia="tr-TR"/>
              </w:rPr>
              <w:t>638</w:t>
            </w:r>
          </w:p>
        </w:tc>
        <w:tc>
          <w:tcPr>
            <w:tcW w:w="1281" w:type="dxa"/>
            <w:tcBorders>
              <w:top w:val="nil"/>
              <w:left w:val="nil"/>
              <w:bottom w:val="single" w:sz="8" w:space="0" w:color="auto"/>
              <w:right w:val="nil"/>
            </w:tcBorders>
            <w:shd w:val="clear" w:color="auto" w:fill="auto"/>
            <w:vAlign w:val="center"/>
            <w:hideMark/>
          </w:tcPr>
          <w:p w14:paraId="7EFEF8FF" w14:textId="77777777" w:rsidR="00A8293D" w:rsidRPr="00A8293D" w:rsidRDefault="00A8293D" w:rsidP="00A8293D">
            <w:pPr>
              <w:jc w:val="right"/>
              <w:rPr>
                <w:b/>
                <w:bCs/>
                <w:sz w:val="18"/>
                <w:szCs w:val="18"/>
                <w:lang w:eastAsia="tr-TR"/>
              </w:rPr>
            </w:pPr>
            <w:r w:rsidRPr="00A8293D">
              <w:rPr>
                <w:b/>
                <w:bCs/>
                <w:sz w:val="18"/>
                <w:szCs w:val="18"/>
                <w:lang w:eastAsia="tr-TR"/>
              </w:rPr>
              <w:t>19,920</w:t>
            </w:r>
          </w:p>
        </w:tc>
        <w:tc>
          <w:tcPr>
            <w:tcW w:w="1281" w:type="dxa"/>
            <w:tcBorders>
              <w:top w:val="nil"/>
              <w:left w:val="nil"/>
              <w:bottom w:val="single" w:sz="8" w:space="0" w:color="auto"/>
              <w:right w:val="nil"/>
            </w:tcBorders>
            <w:shd w:val="clear" w:color="auto" w:fill="auto"/>
            <w:vAlign w:val="center"/>
            <w:hideMark/>
          </w:tcPr>
          <w:p w14:paraId="16A34BD8" w14:textId="77777777" w:rsidR="00A8293D" w:rsidRPr="00A8293D" w:rsidRDefault="00A8293D" w:rsidP="00A8293D">
            <w:pPr>
              <w:jc w:val="right"/>
              <w:rPr>
                <w:b/>
                <w:bCs/>
                <w:sz w:val="18"/>
                <w:szCs w:val="18"/>
                <w:lang w:eastAsia="tr-TR"/>
              </w:rPr>
            </w:pPr>
            <w:r w:rsidRPr="00A8293D">
              <w:rPr>
                <w:b/>
                <w:bCs/>
                <w:sz w:val="18"/>
                <w:szCs w:val="18"/>
                <w:lang w:eastAsia="tr-TR"/>
              </w:rPr>
              <w:t>619</w:t>
            </w:r>
          </w:p>
        </w:tc>
      </w:tr>
      <w:tr w:rsidR="00A8293D" w:rsidRPr="00A8293D" w14:paraId="3918097A" w14:textId="77777777" w:rsidTr="006B1072">
        <w:trPr>
          <w:divId w:val="1130394429"/>
          <w:trHeight w:val="42"/>
        </w:trPr>
        <w:tc>
          <w:tcPr>
            <w:tcW w:w="4065" w:type="dxa"/>
            <w:tcBorders>
              <w:top w:val="nil"/>
              <w:left w:val="nil"/>
              <w:bottom w:val="double" w:sz="6" w:space="0" w:color="auto"/>
              <w:right w:val="nil"/>
            </w:tcBorders>
            <w:shd w:val="clear" w:color="auto" w:fill="auto"/>
            <w:vAlign w:val="center"/>
            <w:hideMark/>
          </w:tcPr>
          <w:p w14:paraId="77AD82EC" w14:textId="77777777" w:rsidR="00A8293D" w:rsidRPr="00A8293D" w:rsidRDefault="00A8293D" w:rsidP="00A8293D">
            <w:pPr>
              <w:jc w:val="both"/>
              <w:rPr>
                <w:b/>
                <w:bCs/>
                <w:sz w:val="18"/>
                <w:szCs w:val="18"/>
                <w:lang w:eastAsia="tr-TR"/>
              </w:rPr>
            </w:pPr>
            <w:r w:rsidRPr="00A8293D">
              <w:rPr>
                <w:b/>
                <w:bCs/>
                <w:sz w:val="18"/>
                <w:szCs w:val="18"/>
                <w:lang w:eastAsia="tr-TR"/>
              </w:rPr>
              <w:t>Toplam</w:t>
            </w:r>
          </w:p>
        </w:tc>
        <w:tc>
          <w:tcPr>
            <w:tcW w:w="1281" w:type="dxa"/>
            <w:tcBorders>
              <w:top w:val="nil"/>
              <w:left w:val="nil"/>
              <w:bottom w:val="double" w:sz="6" w:space="0" w:color="auto"/>
              <w:right w:val="nil"/>
            </w:tcBorders>
            <w:shd w:val="clear" w:color="auto" w:fill="auto"/>
            <w:vAlign w:val="center"/>
            <w:hideMark/>
          </w:tcPr>
          <w:p w14:paraId="56849F94" w14:textId="77777777" w:rsidR="00A8293D" w:rsidRPr="00A8293D" w:rsidRDefault="00A8293D" w:rsidP="00A8293D">
            <w:pPr>
              <w:jc w:val="right"/>
              <w:rPr>
                <w:b/>
                <w:bCs/>
                <w:sz w:val="18"/>
                <w:szCs w:val="18"/>
                <w:lang w:eastAsia="tr-TR"/>
              </w:rPr>
            </w:pPr>
            <w:r w:rsidRPr="00A8293D">
              <w:rPr>
                <w:b/>
                <w:bCs/>
                <w:sz w:val="18"/>
                <w:szCs w:val="18"/>
                <w:lang w:eastAsia="tr-TR"/>
              </w:rPr>
              <w:t>94,173</w:t>
            </w:r>
          </w:p>
        </w:tc>
        <w:tc>
          <w:tcPr>
            <w:tcW w:w="1281" w:type="dxa"/>
            <w:tcBorders>
              <w:top w:val="nil"/>
              <w:left w:val="nil"/>
              <w:bottom w:val="double" w:sz="6" w:space="0" w:color="auto"/>
              <w:right w:val="nil"/>
            </w:tcBorders>
            <w:shd w:val="clear" w:color="auto" w:fill="auto"/>
            <w:vAlign w:val="center"/>
            <w:hideMark/>
          </w:tcPr>
          <w:p w14:paraId="38EAD6BE" w14:textId="77777777" w:rsidR="00A8293D" w:rsidRPr="00A8293D" w:rsidRDefault="00A8293D" w:rsidP="00A8293D">
            <w:pPr>
              <w:jc w:val="right"/>
              <w:rPr>
                <w:b/>
                <w:bCs/>
                <w:sz w:val="18"/>
                <w:szCs w:val="18"/>
                <w:lang w:eastAsia="tr-TR"/>
              </w:rPr>
            </w:pPr>
            <w:r w:rsidRPr="00A8293D">
              <w:rPr>
                <w:b/>
                <w:bCs/>
                <w:sz w:val="18"/>
                <w:szCs w:val="18"/>
                <w:lang w:eastAsia="tr-TR"/>
              </w:rPr>
              <w:t>9,775</w:t>
            </w:r>
          </w:p>
        </w:tc>
        <w:tc>
          <w:tcPr>
            <w:tcW w:w="1281" w:type="dxa"/>
            <w:tcBorders>
              <w:top w:val="nil"/>
              <w:left w:val="nil"/>
              <w:bottom w:val="double" w:sz="6" w:space="0" w:color="auto"/>
              <w:right w:val="nil"/>
            </w:tcBorders>
            <w:shd w:val="clear" w:color="auto" w:fill="auto"/>
            <w:vAlign w:val="center"/>
            <w:hideMark/>
          </w:tcPr>
          <w:p w14:paraId="243D1908" w14:textId="77777777" w:rsidR="00A8293D" w:rsidRPr="00A8293D" w:rsidRDefault="00A8293D" w:rsidP="00A8293D">
            <w:pPr>
              <w:jc w:val="right"/>
              <w:rPr>
                <w:b/>
                <w:bCs/>
                <w:sz w:val="18"/>
                <w:szCs w:val="18"/>
                <w:lang w:eastAsia="tr-TR"/>
              </w:rPr>
            </w:pPr>
            <w:r w:rsidRPr="00A8293D">
              <w:rPr>
                <w:b/>
                <w:bCs/>
                <w:sz w:val="18"/>
                <w:szCs w:val="18"/>
                <w:lang w:eastAsia="tr-TR"/>
              </w:rPr>
              <w:t>802,300</w:t>
            </w:r>
          </w:p>
        </w:tc>
        <w:tc>
          <w:tcPr>
            <w:tcW w:w="1281" w:type="dxa"/>
            <w:tcBorders>
              <w:top w:val="nil"/>
              <w:left w:val="nil"/>
              <w:bottom w:val="double" w:sz="6" w:space="0" w:color="auto"/>
              <w:right w:val="nil"/>
            </w:tcBorders>
            <w:shd w:val="clear" w:color="auto" w:fill="auto"/>
            <w:vAlign w:val="center"/>
            <w:hideMark/>
          </w:tcPr>
          <w:p w14:paraId="56F611DC" w14:textId="77777777" w:rsidR="00A8293D" w:rsidRPr="00A8293D" w:rsidRDefault="00A8293D" w:rsidP="00A8293D">
            <w:pPr>
              <w:jc w:val="right"/>
              <w:rPr>
                <w:b/>
                <w:bCs/>
                <w:sz w:val="18"/>
                <w:szCs w:val="18"/>
                <w:lang w:eastAsia="tr-TR"/>
              </w:rPr>
            </w:pPr>
            <w:r w:rsidRPr="00A8293D">
              <w:rPr>
                <w:b/>
                <w:bCs/>
                <w:sz w:val="18"/>
                <w:szCs w:val="18"/>
                <w:lang w:eastAsia="tr-TR"/>
              </w:rPr>
              <w:t>8,548</w:t>
            </w:r>
          </w:p>
        </w:tc>
      </w:tr>
    </w:tbl>
    <w:p w14:paraId="7E5E3EAE" w14:textId="4A4D348D" w:rsidR="002A0195" w:rsidRPr="00A8293D" w:rsidRDefault="00CC1FB5" w:rsidP="00F80B88">
      <w:pPr>
        <w:tabs>
          <w:tab w:val="left" w:pos="709"/>
        </w:tabs>
        <w:autoSpaceDE w:val="0"/>
        <w:autoSpaceDN w:val="0"/>
        <w:adjustRightInd w:val="0"/>
        <w:ind w:left="-567"/>
        <w:rPr>
          <w:spacing w:val="-6"/>
        </w:rPr>
      </w:pPr>
      <w:r w:rsidRPr="00270CE6">
        <w:rPr>
          <w:sz w:val="14"/>
          <w:szCs w:val="14"/>
          <w:highlight w:val="yellow"/>
        </w:rPr>
        <w:br w:type="page"/>
      </w:r>
      <w:r w:rsidR="00D61AFA" w:rsidRPr="00A8293D">
        <w:rPr>
          <w:b/>
          <w:bCs/>
          <w:iCs/>
        </w:rPr>
        <w:lastRenderedPageBreak/>
        <w:t>1</w:t>
      </w:r>
      <w:r w:rsidR="00BD3801" w:rsidRPr="00A8293D">
        <w:rPr>
          <w:b/>
          <w:bCs/>
          <w:iCs/>
        </w:rPr>
        <w:t>.</w:t>
      </w:r>
      <w:r w:rsidR="00D61AFA" w:rsidRPr="00A8293D">
        <w:rPr>
          <w:b/>
          <w:bCs/>
          <w:iCs/>
        </w:rPr>
        <w:t>5.2</w:t>
      </w:r>
      <w:r w:rsidR="00F80B88" w:rsidRPr="00A8293D">
        <w:rPr>
          <w:b/>
          <w:bCs/>
          <w:iCs/>
        </w:rPr>
        <w:t xml:space="preserve">    </w:t>
      </w:r>
      <w:r w:rsidR="00167926" w:rsidRPr="00A8293D">
        <w:rPr>
          <w:rFonts w:eastAsia="Arial Unicode MS"/>
          <w:color w:val="000000"/>
          <w:spacing w:val="-6"/>
        </w:rPr>
        <w:t>Standart Nitelikli ve Yakın İzlemedeki krediler ile yeniden yapılandırılan Yak</w:t>
      </w:r>
      <w:r w:rsidR="00F80B88" w:rsidRPr="00A8293D">
        <w:rPr>
          <w:rFonts w:eastAsia="Arial Unicode MS"/>
          <w:color w:val="000000"/>
          <w:spacing w:val="-6"/>
        </w:rPr>
        <w:t>ın İzlemedeki kredilere</w:t>
      </w:r>
      <w:r w:rsidR="00F80B88" w:rsidRPr="00A8293D">
        <w:rPr>
          <w:bCs/>
          <w:iCs/>
        </w:rPr>
        <w:t xml:space="preserve"> </w:t>
      </w:r>
      <w:proofErr w:type="spellStart"/>
      <w:r w:rsidR="00F80B88" w:rsidRPr="00A8293D">
        <w:rPr>
          <w:bCs/>
          <w:iCs/>
        </w:rPr>
        <w:t>ilişkin</w:t>
      </w:r>
      <w:r w:rsidR="00167926" w:rsidRPr="00A8293D">
        <w:rPr>
          <w:bCs/>
          <w:iCs/>
        </w:rPr>
        <w:t>bilgiler</w:t>
      </w:r>
      <w:proofErr w:type="spellEnd"/>
      <w:r w:rsidR="00167926" w:rsidRPr="00A8293D">
        <w:rPr>
          <w:bCs/>
          <w:iCs/>
        </w:rPr>
        <w:t>:</w:t>
      </w:r>
    </w:p>
    <w:p w14:paraId="1E7B4B7E" w14:textId="013ADD6C" w:rsidR="00A8293D" w:rsidRPr="00A8293D" w:rsidRDefault="00A8293D" w:rsidP="00BA637F">
      <w:pPr>
        <w:autoSpaceDE w:val="0"/>
        <w:autoSpaceDN w:val="0"/>
        <w:adjustRightInd w:val="0"/>
        <w:jc w:val="both"/>
        <w:rPr>
          <w:spacing w:val="-6"/>
        </w:rPr>
      </w:pPr>
    </w:p>
    <w:tbl>
      <w:tblPr>
        <w:tblW w:w="9216" w:type="dxa"/>
        <w:tblCellMar>
          <w:left w:w="70" w:type="dxa"/>
          <w:right w:w="70" w:type="dxa"/>
        </w:tblCellMar>
        <w:tblLook w:val="04A0" w:firstRow="1" w:lastRow="0" w:firstColumn="1" w:lastColumn="0" w:noHBand="0" w:noVBand="1"/>
      </w:tblPr>
      <w:tblGrid>
        <w:gridCol w:w="4070"/>
        <w:gridCol w:w="1284"/>
        <w:gridCol w:w="1285"/>
        <w:gridCol w:w="1285"/>
        <w:gridCol w:w="1292"/>
      </w:tblGrid>
      <w:tr w:rsidR="00A8293D" w:rsidRPr="00A8293D" w14:paraId="39F6755F" w14:textId="77777777" w:rsidTr="006B1072">
        <w:trPr>
          <w:divId w:val="304823508"/>
          <w:trHeight w:val="311"/>
        </w:trPr>
        <w:tc>
          <w:tcPr>
            <w:tcW w:w="40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B62BFB" w14:textId="3273C5E2" w:rsidR="00A8293D" w:rsidRPr="00A8293D" w:rsidRDefault="00A8293D" w:rsidP="00A8293D">
            <w:pPr>
              <w:jc w:val="center"/>
              <w:rPr>
                <w:b/>
                <w:bCs/>
                <w:sz w:val="18"/>
                <w:szCs w:val="18"/>
                <w:lang w:eastAsia="tr-TR"/>
              </w:rPr>
            </w:pPr>
            <w:r w:rsidRPr="00A8293D">
              <w:rPr>
                <w:b/>
                <w:bCs/>
                <w:sz w:val="18"/>
                <w:szCs w:val="18"/>
                <w:lang w:eastAsia="tr-TR"/>
              </w:rPr>
              <w:t>Cari Dönem-Nakdi Krediler</w:t>
            </w:r>
          </w:p>
        </w:tc>
        <w:tc>
          <w:tcPr>
            <w:tcW w:w="12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C1FEDF" w14:textId="77777777" w:rsidR="00A8293D" w:rsidRPr="00A8293D" w:rsidRDefault="00A8293D" w:rsidP="00A8293D">
            <w:pPr>
              <w:jc w:val="center"/>
              <w:rPr>
                <w:b/>
                <w:bCs/>
                <w:sz w:val="18"/>
                <w:szCs w:val="18"/>
                <w:lang w:eastAsia="tr-TR"/>
              </w:rPr>
            </w:pPr>
            <w:r w:rsidRPr="00A8293D">
              <w:rPr>
                <w:b/>
                <w:bCs/>
                <w:sz w:val="18"/>
                <w:szCs w:val="18"/>
                <w:lang w:eastAsia="tr-TR"/>
              </w:rPr>
              <w:t>Standart Nitelikli Krediler</w:t>
            </w:r>
          </w:p>
        </w:tc>
        <w:tc>
          <w:tcPr>
            <w:tcW w:w="385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D5B7DCF" w14:textId="77777777" w:rsidR="00A8293D" w:rsidRPr="00A8293D" w:rsidRDefault="00A8293D" w:rsidP="00A8293D">
            <w:pPr>
              <w:jc w:val="center"/>
              <w:rPr>
                <w:b/>
                <w:bCs/>
                <w:sz w:val="18"/>
                <w:szCs w:val="18"/>
                <w:lang w:eastAsia="tr-TR"/>
              </w:rPr>
            </w:pPr>
            <w:r w:rsidRPr="00A8293D">
              <w:rPr>
                <w:b/>
                <w:bCs/>
                <w:sz w:val="18"/>
                <w:szCs w:val="18"/>
                <w:lang w:eastAsia="tr-TR"/>
              </w:rPr>
              <w:t>Yakın İzlemedeki Krediler</w:t>
            </w:r>
          </w:p>
        </w:tc>
      </w:tr>
      <w:tr w:rsidR="00A8293D" w:rsidRPr="00A8293D" w14:paraId="7DBC1CA8" w14:textId="77777777" w:rsidTr="006B1072">
        <w:trPr>
          <w:divId w:val="304823508"/>
          <w:trHeight w:val="297"/>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3F018B10" w14:textId="77777777" w:rsidR="00A8293D" w:rsidRPr="00A8293D" w:rsidRDefault="00A8293D" w:rsidP="00A8293D">
            <w:pPr>
              <w:rPr>
                <w:b/>
                <w:bCs/>
                <w:sz w:val="18"/>
                <w:szCs w:val="18"/>
                <w:lang w:eastAsia="tr-TR"/>
              </w:rPr>
            </w:pPr>
          </w:p>
        </w:tc>
        <w:tc>
          <w:tcPr>
            <w:tcW w:w="1284" w:type="dxa"/>
            <w:vMerge/>
            <w:tcBorders>
              <w:top w:val="single" w:sz="4" w:space="0" w:color="auto"/>
              <w:left w:val="single" w:sz="4" w:space="0" w:color="auto"/>
              <w:bottom w:val="single" w:sz="4" w:space="0" w:color="000000"/>
              <w:right w:val="single" w:sz="4" w:space="0" w:color="auto"/>
            </w:tcBorders>
            <w:vAlign w:val="center"/>
            <w:hideMark/>
          </w:tcPr>
          <w:p w14:paraId="3940BE94" w14:textId="77777777" w:rsidR="00A8293D" w:rsidRPr="00A8293D" w:rsidRDefault="00A8293D" w:rsidP="00A8293D">
            <w:pPr>
              <w:rPr>
                <w:b/>
                <w:bCs/>
                <w:sz w:val="18"/>
                <w:szCs w:val="18"/>
                <w:lang w:eastAsia="tr-TR"/>
              </w:rPr>
            </w:pPr>
          </w:p>
        </w:tc>
        <w:tc>
          <w:tcPr>
            <w:tcW w:w="1285" w:type="dxa"/>
            <w:vMerge w:val="restart"/>
            <w:tcBorders>
              <w:top w:val="nil"/>
              <w:left w:val="single" w:sz="4" w:space="0" w:color="auto"/>
              <w:bottom w:val="single" w:sz="4" w:space="0" w:color="000000"/>
              <w:right w:val="single" w:sz="4" w:space="0" w:color="auto"/>
            </w:tcBorders>
            <w:shd w:val="clear" w:color="auto" w:fill="auto"/>
            <w:vAlign w:val="center"/>
            <w:hideMark/>
          </w:tcPr>
          <w:p w14:paraId="03DBFE79" w14:textId="77777777" w:rsidR="00A8293D" w:rsidRPr="00A8293D" w:rsidRDefault="00A8293D" w:rsidP="00A8293D">
            <w:pPr>
              <w:jc w:val="center"/>
              <w:rPr>
                <w:b/>
                <w:bCs/>
                <w:sz w:val="18"/>
                <w:szCs w:val="18"/>
                <w:lang w:eastAsia="tr-TR"/>
              </w:rPr>
            </w:pPr>
            <w:r w:rsidRPr="00A8293D">
              <w:rPr>
                <w:b/>
                <w:bCs/>
                <w:sz w:val="18"/>
                <w:szCs w:val="18"/>
                <w:lang w:eastAsia="tr-TR"/>
              </w:rPr>
              <w:t>Yeniden Yapılandırma Kapsamında Yer Almayanlar</w:t>
            </w:r>
          </w:p>
        </w:tc>
        <w:tc>
          <w:tcPr>
            <w:tcW w:w="257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9BE1F1B" w14:textId="77777777" w:rsidR="00A8293D" w:rsidRPr="00A8293D" w:rsidRDefault="00A8293D" w:rsidP="00A8293D">
            <w:pPr>
              <w:jc w:val="center"/>
              <w:rPr>
                <w:b/>
                <w:bCs/>
                <w:sz w:val="18"/>
                <w:szCs w:val="18"/>
                <w:lang w:eastAsia="tr-TR"/>
              </w:rPr>
            </w:pPr>
            <w:r w:rsidRPr="00A8293D">
              <w:rPr>
                <w:b/>
                <w:bCs/>
                <w:sz w:val="18"/>
                <w:szCs w:val="18"/>
                <w:lang w:eastAsia="tr-TR"/>
              </w:rPr>
              <w:t>Yeniden Yapılandırılanlar</w:t>
            </w:r>
          </w:p>
        </w:tc>
      </w:tr>
      <w:tr w:rsidR="00A8293D" w:rsidRPr="00A8293D" w14:paraId="5AC1767B" w14:textId="77777777" w:rsidTr="006B1072">
        <w:trPr>
          <w:divId w:val="304823508"/>
          <w:trHeight w:val="597"/>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34A44EAB" w14:textId="77777777" w:rsidR="00A8293D" w:rsidRPr="00A8293D" w:rsidRDefault="00A8293D" w:rsidP="00A8293D">
            <w:pPr>
              <w:rPr>
                <w:b/>
                <w:bCs/>
                <w:sz w:val="18"/>
                <w:szCs w:val="18"/>
                <w:lang w:eastAsia="tr-TR"/>
              </w:rPr>
            </w:pPr>
          </w:p>
        </w:tc>
        <w:tc>
          <w:tcPr>
            <w:tcW w:w="1284" w:type="dxa"/>
            <w:vMerge/>
            <w:tcBorders>
              <w:top w:val="single" w:sz="4" w:space="0" w:color="auto"/>
              <w:left w:val="single" w:sz="4" w:space="0" w:color="auto"/>
              <w:bottom w:val="single" w:sz="4" w:space="0" w:color="000000"/>
              <w:right w:val="single" w:sz="4" w:space="0" w:color="auto"/>
            </w:tcBorders>
            <w:vAlign w:val="center"/>
            <w:hideMark/>
          </w:tcPr>
          <w:p w14:paraId="1E6AD6DB" w14:textId="77777777" w:rsidR="00A8293D" w:rsidRPr="00A8293D" w:rsidRDefault="00A8293D" w:rsidP="00A8293D">
            <w:pPr>
              <w:rPr>
                <w:b/>
                <w:bCs/>
                <w:sz w:val="18"/>
                <w:szCs w:val="18"/>
                <w:lang w:eastAsia="tr-TR"/>
              </w:rPr>
            </w:pPr>
          </w:p>
        </w:tc>
        <w:tc>
          <w:tcPr>
            <w:tcW w:w="1285" w:type="dxa"/>
            <w:vMerge/>
            <w:tcBorders>
              <w:top w:val="nil"/>
              <w:left w:val="single" w:sz="4" w:space="0" w:color="auto"/>
              <w:bottom w:val="single" w:sz="4" w:space="0" w:color="000000"/>
              <w:right w:val="single" w:sz="4" w:space="0" w:color="auto"/>
            </w:tcBorders>
            <w:vAlign w:val="center"/>
            <w:hideMark/>
          </w:tcPr>
          <w:p w14:paraId="03C15625" w14:textId="77777777" w:rsidR="00A8293D" w:rsidRPr="00A8293D" w:rsidRDefault="00A8293D" w:rsidP="00A8293D">
            <w:pPr>
              <w:rPr>
                <w:b/>
                <w:bCs/>
                <w:sz w:val="18"/>
                <w:szCs w:val="18"/>
                <w:lang w:eastAsia="tr-TR"/>
              </w:rPr>
            </w:pPr>
          </w:p>
        </w:tc>
        <w:tc>
          <w:tcPr>
            <w:tcW w:w="1285" w:type="dxa"/>
            <w:tcBorders>
              <w:top w:val="nil"/>
              <w:left w:val="nil"/>
              <w:bottom w:val="single" w:sz="4" w:space="0" w:color="auto"/>
              <w:right w:val="single" w:sz="4" w:space="0" w:color="auto"/>
            </w:tcBorders>
            <w:shd w:val="clear" w:color="auto" w:fill="auto"/>
            <w:vAlign w:val="center"/>
            <w:hideMark/>
          </w:tcPr>
          <w:p w14:paraId="2B1280F7" w14:textId="77777777" w:rsidR="00A8293D" w:rsidRPr="00A8293D" w:rsidRDefault="00A8293D" w:rsidP="00A8293D">
            <w:pPr>
              <w:jc w:val="center"/>
              <w:rPr>
                <w:b/>
                <w:bCs/>
                <w:sz w:val="18"/>
                <w:szCs w:val="18"/>
                <w:lang w:eastAsia="tr-TR"/>
              </w:rPr>
            </w:pPr>
            <w:r w:rsidRPr="00A8293D">
              <w:rPr>
                <w:b/>
                <w:bCs/>
                <w:sz w:val="18"/>
                <w:szCs w:val="18"/>
                <w:lang w:eastAsia="tr-TR"/>
              </w:rPr>
              <w:t>Sözleşme Koşullarında Değişiklik</w:t>
            </w:r>
          </w:p>
        </w:tc>
        <w:tc>
          <w:tcPr>
            <w:tcW w:w="1292" w:type="dxa"/>
            <w:tcBorders>
              <w:top w:val="nil"/>
              <w:left w:val="nil"/>
              <w:bottom w:val="single" w:sz="4" w:space="0" w:color="auto"/>
              <w:right w:val="single" w:sz="4" w:space="0" w:color="auto"/>
            </w:tcBorders>
            <w:shd w:val="clear" w:color="auto" w:fill="auto"/>
            <w:vAlign w:val="center"/>
            <w:hideMark/>
          </w:tcPr>
          <w:p w14:paraId="7FEA4E0E" w14:textId="77777777" w:rsidR="00A8293D" w:rsidRPr="00A8293D" w:rsidRDefault="00A8293D" w:rsidP="00A8293D">
            <w:pPr>
              <w:jc w:val="center"/>
              <w:rPr>
                <w:b/>
                <w:bCs/>
                <w:sz w:val="18"/>
                <w:szCs w:val="18"/>
                <w:lang w:eastAsia="tr-TR"/>
              </w:rPr>
            </w:pPr>
            <w:r w:rsidRPr="00A8293D">
              <w:rPr>
                <w:b/>
                <w:bCs/>
                <w:sz w:val="18"/>
                <w:szCs w:val="18"/>
                <w:lang w:eastAsia="tr-TR"/>
              </w:rPr>
              <w:t>Yeniden Finansman</w:t>
            </w:r>
          </w:p>
        </w:tc>
      </w:tr>
      <w:tr w:rsidR="00A8293D" w:rsidRPr="00A8293D" w14:paraId="6CC35834" w14:textId="77777777" w:rsidTr="006B1072">
        <w:trPr>
          <w:divId w:val="304823508"/>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4AEB2F37" w14:textId="77777777" w:rsidR="00A8293D" w:rsidRPr="00A8293D" w:rsidRDefault="00A8293D" w:rsidP="00A8293D">
            <w:pPr>
              <w:jc w:val="both"/>
              <w:rPr>
                <w:b/>
                <w:bCs/>
                <w:sz w:val="18"/>
                <w:szCs w:val="18"/>
                <w:lang w:eastAsia="tr-TR"/>
              </w:rPr>
            </w:pPr>
            <w:r w:rsidRPr="00A8293D">
              <w:rPr>
                <w:b/>
                <w:bCs/>
                <w:sz w:val="18"/>
                <w:szCs w:val="18"/>
                <w:lang w:eastAsia="tr-TR"/>
              </w:rPr>
              <w:t>Krediler</w:t>
            </w:r>
          </w:p>
        </w:tc>
        <w:tc>
          <w:tcPr>
            <w:tcW w:w="1284" w:type="dxa"/>
            <w:tcBorders>
              <w:top w:val="nil"/>
              <w:left w:val="nil"/>
              <w:bottom w:val="single" w:sz="4" w:space="0" w:color="auto"/>
              <w:right w:val="single" w:sz="4" w:space="0" w:color="auto"/>
            </w:tcBorders>
            <w:shd w:val="clear" w:color="auto" w:fill="auto"/>
            <w:vAlign w:val="center"/>
            <w:hideMark/>
          </w:tcPr>
          <w:p w14:paraId="3B7F255A" w14:textId="77777777" w:rsidR="00A8293D" w:rsidRPr="00A8293D" w:rsidRDefault="00A8293D" w:rsidP="00A8293D">
            <w:pPr>
              <w:jc w:val="right"/>
              <w:rPr>
                <w:b/>
                <w:bCs/>
                <w:sz w:val="18"/>
                <w:szCs w:val="18"/>
                <w:lang w:eastAsia="tr-TR"/>
              </w:rPr>
            </w:pPr>
            <w:r w:rsidRPr="00A8293D">
              <w:rPr>
                <w:b/>
                <w:bCs/>
                <w:sz w:val="18"/>
                <w:szCs w:val="18"/>
                <w:lang w:eastAsia="tr-TR"/>
              </w:rPr>
              <w:t>64,234,776</w:t>
            </w:r>
          </w:p>
        </w:tc>
        <w:tc>
          <w:tcPr>
            <w:tcW w:w="1285" w:type="dxa"/>
            <w:tcBorders>
              <w:top w:val="nil"/>
              <w:left w:val="nil"/>
              <w:bottom w:val="single" w:sz="4" w:space="0" w:color="auto"/>
              <w:right w:val="single" w:sz="4" w:space="0" w:color="auto"/>
            </w:tcBorders>
            <w:shd w:val="clear" w:color="auto" w:fill="auto"/>
            <w:vAlign w:val="center"/>
            <w:hideMark/>
          </w:tcPr>
          <w:p w14:paraId="17C8B568" w14:textId="77777777" w:rsidR="00A8293D" w:rsidRPr="00A8293D" w:rsidRDefault="00A8293D" w:rsidP="00A8293D">
            <w:pPr>
              <w:jc w:val="right"/>
              <w:rPr>
                <w:b/>
                <w:bCs/>
                <w:sz w:val="18"/>
                <w:szCs w:val="18"/>
                <w:lang w:eastAsia="tr-TR"/>
              </w:rPr>
            </w:pPr>
            <w:r w:rsidRPr="00A8293D">
              <w:rPr>
                <w:b/>
                <w:bCs/>
                <w:sz w:val="18"/>
                <w:szCs w:val="18"/>
                <w:lang w:eastAsia="tr-TR"/>
              </w:rPr>
              <w:t>4,318,355</w:t>
            </w:r>
          </w:p>
        </w:tc>
        <w:tc>
          <w:tcPr>
            <w:tcW w:w="1285" w:type="dxa"/>
            <w:tcBorders>
              <w:top w:val="nil"/>
              <w:left w:val="nil"/>
              <w:bottom w:val="single" w:sz="4" w:space="0" w:color="auto"/>
              <w:right w:val="single" w:sz="4" w:space="0" w:color="auto"/>
            </w:tcBorders>
            <w:shd w:val="clear" w:color="auto" w:fill="auto"/>
            <w:vAlign w:val="center"/>
            <w:hideMark/>
          </w:tcPr>
          <w:p w14:paraId="09E403BE" w14:textId="77777777" w:rsidR="00A8293D" w:rsidRPr="00A8293D" w:rsidRDefault="00A8293D" w:rsidP="00A8293D">
            <w:pPr>
              <w:jc w:val="right"/>
              <w:rPr>
                <w:b/>
                <w:bCs/>
                <w:sz w:val="18"/>
                <w:szCs w:val="18"/>
                <w:lang w:eastAsia="tr-TR"/>
              </w:rPr>
            </w:pPr>
            <w:r w:rsidRPr="00A8293D">
              <w:rPr>
                <w:b/>
                <w:bCs/>
                <w:sz w:val="18"/>
                <w:szCs w:val="18"/>
                <w:lang w:eastAsia="tr-TR"/>
              </w:rPr>
              <w:t>2,766,848</w:t>
            </w:r>
          </w:p>
        </w:tc>
        <w:tc>
          <w:tcPr>
            <w:tcW w:w="1292" w:type="dxa"/>
            <w:tcBorders>
              <w:top w:val="nil"/>
              <w:left w:val="nil"/>
              <w:bottom w:val="single" w:sz="4" w:space="0" w:color="auto"/>
              <w:right w:val="single" w:sz="4" w:space="0" w:color="auto"/>
            </w:tcBorders>
            <w:shd w:val="clear" w:color="auto" w:fill="auto"/>
            <w:vAlign w:val="center"/>
            <w:hideMark/>
          </w:tcPr>
          <w:p w14:paraId="0B7042E7" w14:textId="77777777" w:rsidR="00A8293D" w:rsidRPr="00A8293D" w:rsidRDefault="00A8293D" w:rsidP="00A8293D">
            <w:pPr>
              <w:jc w:val="right"/>
              <w:rPr>
                <w:b/>
                <w:bCs/>
                <w:sz w:val="18"/>
                <w:szCs w:val="18"/>
                <w:lang w:eastAsia="tr-TR"/>
              </w:rPr>
            </w:pPr>
            <w:r w:rsidRPr="00A8293D">
              <w:rPr>
                <w:b/>
                <w:bCs/>
                <w:sz w:val="18"/>
                <w:szCs w:val="18"/>
                <w:lang w:eastAsia="tr-TR"/>
              </w:rPr>
              <w:t>-</w:t>
            </w:r>
          </w:p>
        </w:tc>
      </w:tr>
      <w:tr w:rsidR="00A8293D" w:rsidRPr="00A8293D" w14:paraId="5D1DA70A" w14:textId="77777777" w:rsidTr="006B1072">
        <w:trPr>
          <w:divId w:val="304823508"/>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D1BBD40" w14:textId="77777777" w:rsidR="00A8293D" w:rsidRPr="00A8293D" w:rsidRDefault="00A8293D" w:rsidP="00A8293D">
            <w:pPr>
              <w:ind w:firstLineChars="100" w:firstLine="180"/>
              <w:rPr>
                <w:sz w:val="18"/>
                <w:szCs w:val="18"/>
                <w:lang w:eastAsia="tr-TR"/>
              </w:rPr>
            </w:pPr>
            <w:r w:rsidRPr="00A8293D">
              <w:rPr>
                <w:sz w:val="18"/>
                <w:szCs w:val="18"/>
                <w:lang w:eastAsia="tr-TR"/>
              </w:rPr>
              <w:t xml:space="preserve"> İhracat Kredileri </w:t>
            </w:r>
          </w:p>
        </w:tc>
        <w:tc>
          <w:tcPr>
            <w:tcW w:w="1284" w:type="dxa"/>
            <w:tcBorders>
              <w:top w:val="nil"/>
              <w:left w:val="nil"/>
              <w:bottom w:val="single" w:sz="4" w:space="0" w:color="auto"/>
              <w:right w:val="single" w:sz="4" w:space="0" w:color="auto"/>
            </w:tcBorders>
            <w:shd w:val="clear" w:color="auto" w:fill="auto"/>
            <w:vAlign w:val="center"/>
            <w:hideMark/>
          </w:tcPr>
          <w:p w14:paraId="4C380B8D" w14:textId="77777777" w:rsidR="00A8293D" w:rsidRPr="00A8293D" w:rsidRDefault="00A8293D" w:rsidP="00A8293D">
            <w:pPr>
              <w:jc w:val="right"/>
              <w:rPr>
                <w:sz w:val="18"/>
                <w:szCs w:val="18"/>
                <w:lang w:eastAsia="tr-TR"/>
              </w:rPr>
            </w:pPr>
            <w:r w:rsidRPr="00A8293D">
              <w:rPr>
                <w:sz w:val="18"/>
                <w:szCs w:val="18"/>
                <w:lang w:eastAsia="tr-TR"/>
              </w:rPr>
              <w:t>5,503,383</w:t>
            </w:r>
          </w:p>
        </w:tc>
        <w:tc>
          <w:tcPr>
            <w:tcW w:w="1285" w:type="dxa"/>
            <w:tcBorders>
              <w:top w:val="nil"/>
              <w:left w:val="nil"/>
              <w:bottom w:val="single" w:sz="4" w:space="0" w:color="auto"/>
              <w:right w:val="single" w:sz="4" w:space="0" w:color="auto"/>
            </w:tcBorders>
            <w:shd w:val="clear" w:color="auto" w:fill="auto"/>
            <w:vAlign w:val="center"/>
            <w:hideMark/>
          </w:tcPr>
          <w:p w14:paraId="1D200F1E" w14:textId="77777777" w:rsidR="00A8293D" w:rsidRPr="00A8293D" w:rsidRDefault="00A8293D" w:rsidP="00A8293D">
            <w:pPr>
              <w:jc w:val="right"/>
              <w:rPr>
                <w:sz w:val="18"/>
                <w:szCs w:val="18"/>
                <w:lang w:eastAsia="tr-TR"/>
              </w:rPr>
            </w:pPr>
            <w:r w:rsidRPr="00A8293D">
              <w:rPr>
                <w:sz w:val="18"/>
                <w:szCs w:val="18"/>
                <w:lang w:eastAsia="tr-TR"/>
              </w:rPr>
              <w:t>311,435</w:t>
            </w:r>
          </w:p>
        </w:tc>
        <w:tc>
          <w:tcPr>
            <w:tcW w:w="1285" w:type="dxa"/>
            <w:tcBorders>
              <w:top w:val="nil"/>
              <w:left w:val="nil"/>
              <w:bottom w:val="single" w:sz="4" w:space="0" w:color="auto"/>
              <w:right w:val="single" w:sz="4" w:space="0" w:color="auto"/>
            </w:tcBorders>
            <w:shd w:val="clear" w:color="auto" w:fill="auto"/>
            <w:vAlign w:val="center"/>
            <w:hideMark/>
          </w:tcPr>
          <w:p w14:paraId="71F0C524" w14:textId="77777777" w:rsidR="00A8293D" w:rsidRPr="00A8293D" w:rsidRDefault="00A8293D" w:rsidP="00A8293D">
            <w:pPr>
              <w:jc w:val="right"/>
              <w:rPr>
                <w:sz w:val="18"/>
                <w:szCs w:val="18"/>
                <w:lang w:eastAsia="tr-TR"/>
              </w:rPr>
            </w:pPr>
            <w:r w:rsidRPr="00A8293D">
              <w:rPr>
                <w:sz w:val="18"/>
                <w:szCs w:val="18"/>
                <w:lang w:eastAsia="tr-TR"/>
              </w:rPr>
              <w:t>-</w:t>
            </w:r>
          </w:p>
        </w:tc>
        <w:tc>
          <w:tcPr>
            <w:tcW w:w="1292" w:type="dxa"/>
            <w:tcBorders>
              <w:top w:val="nil"/>
              <w:left w:val="nil"/>
              <w:bottom w:val="single" w:sz="4" w:space="0" w:color="auto"/>
              <w:right w:val="single" w:sz="4" w:space="0" w:color="auto"/>
            </w:tcBorders>
            <w:shd w:val="clear" w:color="auto" w:fill="auto"/>
            <w:vAlign w:val="center"/>
            <w:hideMark/>
          </w:tcPr>
          <w:p w14:paraId="3CC7EEB7" w14:textId="77777777" w:rsidR="00A8293D" w:rsidRPr="00A8293D" w:rsidRDefault="00A8293D" w:rsidP="00A8293D">
            <w:pPr>
              <w:jc w:val="right"/>
              <w:rPr>
                <w:sz w:val="18"/>
                <w:szCs w:val="18"/>
                <w:lang w:eastAsia="tr-TR"/>
              </w:rPr>
            </w:pPr>
            <w:r w:rsidRPr="00A8293D">
              <w:rPr>
                <w:sz w:val="18"/>
                <w:szCs w:val="18"/>
                <w:lang w:eastAsia="tr-TR"/>
              </w:rPr>
              <w:t>-</w:t>
            </w:r>
          </w:p>
        </w:tc>
      </w:tr>
      <w:tr w:rsidR="00A8293D" w:rsidRPr="00A8293D" w14:paraId="1051E064" w14:textId="77777777" w:rsidTr="006B1072">
        <w:trPr>
          <w:divId w:val="304823508"/>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559E0C30" w14:textId="77777777" w:rsidR="00A8293D" w:rsidRPr="00A8293D" w:rsidRDefault="00A8293D" w:rsidP="00A8293D">
            <w:pPr>
              <w:ind w:firstLineChars="100" w:firstLine="180"/>
              <w:rPr>
                <w:sz w:val="18"/>
                <w:szCs w:val="18"/>
                <w:lang w:eastAsia="tr-TR"/>
              </w:rPr>
            </w:pPr>
            <w:r w:rsidRPr="00A8293D">
              <w:rPr>
                <w:sz w:val="18"/>
                <w:szCs w:val="18"/>
                <w:lang w:eastAsia="tr-TR"/>
              </w:rPr>
              <w:t xml:space="preserve"> İthalat Kredileri </w:t>
            </w:r>
          </w:p>
        </w:tc>
        <w:tc>
          <w:tcPr>
            <w:tcW w:w="1284" w:type="dxa"/>
            <w:tcBorders>
              <w:top w:val="nil"/>
              <w:left w:val="nil"/>
              <w:bottom w:val="single" w:sz="4" w:space="0" w:color="auto"/>
              <w:right w:val="single" w:sz="4" w:space="0" w:color="auto"/>
            </w:tcBorders>
            <w:shd w:val="clear" w:color="auto" w:fill="auto"/>
            <w:vAlign w:val="center"/>
            <w:hideMark/>
          </w:tcPr>
          <w:p w14:paraId="2B467A4F" w14:textId="77777777" w:rsidR="00A8293D" w:rsidRPr="00A8293D" w:rsidRDefault="00A8293D" w:rsidP="00A8293D">
            <w:pPr>
              <w:jc w:val="right"/>
              <w:rPr>
                <w:sz w:val="18"/>
                <w:szCs w:val="18"/>
                <w:lang w:eastAsia="tr-TR"/>
              </w:rPr>
            </w:pPr>
            <w:r w:rsidRPr="00A8293D">
              <w:rPr>
                <w:sz w:val="18"/>
                <w:szCs w:val="18"/>
                <w:lang w:eastAsia="tr-TR"/>
              </w:rPr>
              <w:t>1,963,317</w:t>
            </w:r>
          </w:p>
        </w:tc>
        <w:tc>
          <w:tcPr>
            <w:tcW w:w="1285" w:type="dxa"/>
            <w:tcBorders>
              <w:top w:val="nil"/>
              <w:left w:val="nil"/>
              <w:bottom w:val="single" w:sz="4" w:space="0" w:color="auto"/>
              <w:right w:val="single" w:sz="4" w:space="0" w:color="auto"/>
            </w:tcBorders>
            <w:shd w:val="clear" w:color="auto" w:fill="auto"/>
            <w:vAlign w:val="center"/>
            <w:hideMark/>
          </w:tcPr>
          <w:p w14:paraId="49CEFF9E" w14:textId="77777777" w:rsidR="00A8293D" w:rsidRPr="00A8293D" w:rsidRDefault="00A8293D" w:rsidP="00A8293D">
            <w:pPr>
              <w:jc w:val="right"/>
              <w:rPr>
                <w:sz w:val="18"/>
                <w:szCs w:val="18"/>
                <w:lang w:eastAsia="tr-TR"/>
              </w:rPr>
            </w:pPr>
            <w:r w:rsidRPr="00A8293D">
              <w:rPr>
                <w:sz w:val="18"/>
                <w:szCs w:val="18"/>
                <w:lang w:eastAsia="tr-TR"/>
              </w:rPr>
              <w:t>53,344</w:t>
            </w:r>
          </w:p>
        </w:tc>
        <w:tc>
          <w:tcPr>
            <w:tcW w:w="1285" w:type="dxa"/>
            <w:tcBorders>
              <w:top w:val="nil"/>
              <w:left w:val="nil"/>
              <w:bottom w:val="single" w:sz="4" w:space="0" w:color="auto"/>
              <w:right w:val="single" w:sz="4" w:space="0" w:color="auto"/>
            </w:tcBorders>
            <w:shd w:val="clear" w:color="auto" w:fill="auto"/>
            <w:vAlign w:val="center"/>
            <w:hideMark/>
          </w:tcPr>
          <w:p w14:paraId="25311EDA" w14:textId="77777777" w:rsidR="00A8293D" w:rsidRPr="00A8293D" w:rsidRDefault="00A8293D" w:rsidP="00A8293D">
            <w:pPr>
              <w:jc w:val="right"/>
              <w:rPr>
                <w:sz w:val="18"/>
                <w:szCs w:val="18"/>
                <w:lang w:eastAsia="tr-TR"/>
              </w:rPr>
            </w:pPr>
            <w:r w:rsidRPr="00A8293D">
              <w:rPr>
                <w:sz w:val="18"/>
                <w:szCs w:val="18"/>
                <w:lang w:eastAsia="tr-TR"/>
              </w:rPr>
              <w:t>-</w:t>
            </w:r>
          </w:p>
        </w:tc>
        <w:tc>
          <w:tcPr>
            <w:tcW w:w="1292" w:type="dxa"/>
            <w:tcBorders>
              <w:top w:val="nil"/>
              <w:left w:val="nil"/>
              <w:bottom w:val="single" w:sz="4" w:space="0" w:color="auto"/>
              <w:right w:val="single" w:sz="4" w:space="0" w:color="auto"/>
            </w:tcBorders>
            <w:shd w:val="clear" w:color="auto" w:fill="auto"/>
            <w:vAlign w:val="center"/>
            <w:hideMark/>
          </w:tcPr>
          <w:p w14:paraId="68794B7D" w14:textId="77777777" w:rsidR="00A8293D" w:rsidRPr="00A8293D" w:rsidRDefault="00A8293D" w:rsidP="00A8293D">
            <w:pPr>
              <w:jc w:val="right"/>
              <w:rPr>
                <w:sz w:val="18"/>
                <w:szCs w:val="18"/>
                <w:lang w:eastAsia="tr-TR"/>
              </w:rPr>
            </w:pPr>
            <w:r w:rsidRPr="00A8293D">
              <w:rPr>
                <w:sz w:val="18"/>
                <w:szCs w:val="18"/>
                <w:lang w:eastAsia="tr-TR"/>
              </w:rPr>
              <w:t>-</w:t>
            </w:r>
          </w:p>
        </w:tc>
      </w:tr>
      <w:tr w:rsidR="00A8293D" w:rsidRPr="00A8293D" w14:paraId="45332F4D" w14:textId="77777777" w:rsidTr="006B1072">
        <w:trPr>
          <w:divId w:val="304823508"/>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01A17F9" w14:textId="77777777" w:rsidR="00A8293D" w:rsidRPr="00A8293D" w:rsidRDefault="00A8293D" w:rsidP="00A8293D">
            <w:pPr>
              <w:ind w:firstLineChars="100" w:firstLine="180"/>
              <w:rPr>
                <w:sz w:val="18"/>
                <w:szCs w:val="18"/>
                <w:lang w:eastAsia="tr-TR"/>
              </w:rPr>
            </w:pPr>
            <w:r w:rsidRPr="00A8293D">
              <w:rPr>
                <w:sz w:val="18"/>
                <w:szCs w:val="18"/>
                <w:lang w:eastAsia="tr-TR"/>
              </w:rPr>
              <w:t xml:space="preserve"> İşletme Kredileri </w:t>
            </w:r>
          </w:p>
        </w:tc>
        <w:tc>
          <w:tcPr>
            <w:tcW w:w="1284" w:type="dxa"/>
            <w:tcBorders>
              <w:top w:val="nil"/>
              <w:left w:val="nil"/>
              <w:bottom w:val="single" w:sz="4" w:space="0" w:color="auto"/>
              <w:right w:val="single" w:sz="4" w:space="0" w:color="auto"/>
            </w:tcBorders>
            <w:shd w:val="clear" w:color="auto" w:fill="auto"/>
            <w:vAlign w:val="center"/>
            <w:hideMark/>
          </w:tcPr>
          <w:p w14:paraId="74167569" w14:textId="77777777" w:rsidR="00A8293D" w:rsidRPr="00A8293D" w:rsidRDefault="00A8293D" w:rsidP="00A8293D">
            <w:pPr>
              <w:jc w:val="right"/>
              <w:rPr>
                <w:sz w:val="18"/>
                <w:szCs w:val="18"/>
                <w:lang w:eastAsia="tr-TR"/>
              </w:rPr>
            </w:pPr>
            <w:r w:rsidRPr="00A8293D">
              <w:rPr>
                <w:sz w:val="18"/>
                <w:szCs w:val="18"/>
                <w:lang w:eastAsia="tr-TR"/>
              </w:rPr>
              <w:t>34,589,486</w:t>
            </w:r>
          </w:p>
        </w:tc>
        <w:tc>
          <w:tcPr>
            <w:tcW w:w="1285" w:type="dxa"/>
            <w:tcBorders>
              <w:top w:val="nil"/>
              <w:left w:val="nil"/>
              <w:bottom w:val="single" w:sz="4" w:space="0" w:color="auto"/>
              <w:right w:val="single" w:sz="4" w:space="0" w:color="auto"/>
            </w:tcBorders>
            <w:shd w:val="clear" w:color="auto" w:fill="auto"/>
            <w:vAlign w:val="center"/>
            <w:hideMark/>
          </w:tcPr>
          <w:p w14:paraId="1CA321B3" w14:textId="77777777" w:rsidR="00A8293D" w:rsidRPr="00A8293D" w:rsidRDefault="00A8293D" w:rsidP="00A8293D">
            <w:pPr>
              <w:jc w:val="right"/>
              <w:rPr>
                <w:sz w:val="18"/>
                <w:szCs w:val="18"/>
                <w:lang w:eastAsia="tr-TR"/>
              </w:rPr>
            </w:pPr>
            <w:r w:rsidRPr="00A8293D">
              <w:rPr>
                <w:sz w:val="18"/>
                <w:szCs w:val="18"/>
                <w:lang w:eastAsia="tr-TR"/>
              </w:rPr>
              <w:t>3,308,851</w:t>
            </w:r>
          </w:p>
        </w:tc>
        <w:tc>
          <w:tcPr>
            <w:tcW w:w="1285" w:type="dxa"/>
            <w:tcBorders>
              <w:top w:val="nil"/>
              <w:left w:val="nil"/>
              <w:bottom w:val="single" w:sz="4" w:space="0" w:color="auto"/>
              <w:right w:val="single" w:sz="4" w:space="0" w:color="auto"/>
            </w:tcBorders>
            <w:shd w:val="clear" w:color="auto" w:fill="auto"/>
            <w:vAlign w:val="center"/>
            <w:hideMark/>
          </w:tcPr>
          <w:p w14:paraId="3950A0E0" w14:textId="77777777" w:rsidR="00A8293D" w:rsidRPr="00A8293D" w:rsidRDefault="00A8293D" w:rsidP="00A8293D">
            <w:pPr>
              <w:jc w:val="right"/>
              <w:rPr>
                <w:sz w:val="18"/>
                <w:szCs w:val="18"/>
                <w:lang w:eastAsia="tr-TR"/>
              </w:rPr>
            </w:pPr>
            <w:r w:rsidRPr="00A8293D">
              <w:rPr>
                <w:sz w:val="18"/>
                <w:szCs w:val="18"/>
                <w:lang w:eastAsia="tr-TR"/>
              </w:rPr>
              <w:t>2,685,942</w:t>
            </w:r>
          </w:p>
        </w:tc>
        <w:tc>
          <w:tcPr>
            <w:tcW w:w="1292" w:type="dxa"/>
            <w:tcBorders>
              <w:top w:val="nil"/>
              <w:left w:val="nil"/>
              <w:bottom w:val="single" w:sz="4" w:space="0" w:color="auto"/>
              <w:right w:val="single" w:sz="4" w:space="0" w:color="auto"/>
            </w:tcBorders>
            <w:shd w:val="clear" w:color="auto" w:fill="auto"/>
            <w:vAlign w:val="center"/>
            <w:hideMark/>
          </w:tcPr>
          <w:p w14:paraId="65388AD6" w14:textId="77777777" w:rsidR="00A8293D" w:rsidRPr="00A8293D" w:rsidRDefault="00A8293D" w:rsidP="00A8293D">
            <w:pPr>
              <w:jc w:val="right"/>
              <w:rPr>
                <w:sz w:val="18"/>
                <w:szCs w:val="18"/>
                <w:lang w:eastAsia="tr-TR"/>
              </w:rPr>
            </w:pPr>
            <w:r w:rsidRPr="00A8293D">
              <w:rPr>
                <w:sz w:val="18"/>
                <w:szCs w:val="18"/>
                <w:lang w:eastAsia="tr-TR"/>
              </w:rPr>
              <w:t>-</w:t>
            </w:r>
          </w:p>
        </w:tc>
      </w:tr>
      <w:tr w:rsidR="00A8293D" w:rsidRPr="00A8293D" w14:paraId="0DBB314E" w14:textId="77777777" w:rsidTr="006B1072">
        <w:trPr>
          <w:divId w:val="304823508"/>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57AA649A" w14:textId="77777777" w:rsidR="00A8293D" w:rsidRPr="00A8293D" w:rsidRDefault="00A8293D" w:rsidP="00A8293D">
            <w:pPr>
              <w:ind w:firstLineChars="100" w:firstLine="180"/>
              <w:rPr>
                <w:sz w:val="18"/>
                <w:szCs w:val="18"/>
                <w:lang w:eastAsia="tr-TR"/>
              </w:rPr>
            </w:pPr>
            <w:r w:rsidRPr="00A8293D">
              <w:rPr>
                <w:sz w:val="18"/>
                <w:szCs w:val="18"/>
                <w:lang w:eastAsia="tr-TR"/>
              </w:rPr>
              <w:t xml:space="preserve"> Tüketici Kredileri </w:t>
            </w:r>
          </w:p>
        </w:tc>
        <w:tc>
          <w:tcPr>
            <w:tcW w:w="1284" w:type="dxa"/>
            <w:tcBorders>
              <w:top w:val="nil"/>
              <w:left w:val="nil"/>
              <w:bottom w:val="single" w:sz="4" w:space="0" w:color="auto"/>
              <w:right w:val="single" w:sz="4" w:space="0" w:color="auto"/>
            </w:tcBorders>
            <w:shd w:val="clear" w:color="auto" w:fill="auto"/>
            <w:vAlign w:val="center"/>
            <w:hideMark/>
          </w:tcPr>
          <w:p w14:paraId="3EE25AA9" w14:textId="77777777" w:rsidR="00A8293D" w:rsidRPr="00A8293D" w:rsidRDefault="00A8293D" w:rsidP="00A8293D">
            <w:pPr>
              <w:jc w:val="right"/>
              <w:rPr>
                <w:sz w:val="18"/>
                <w:szCs w:val="18"/>
                <w:lang w:eastAsia="tr-TR"/>
              </w:rPr>
            </w:pPr>
            <w:r w:rsidRPr="00A8293D">
              <w:rPr>
                <w:sz w:val="18"/>
                <w:szCs w:val="18"/>
                <w:lang w:eastAsia="tr-TR"/>
              </w:rPr>
              <w:t>12,602,822</w:t>
            </w:r>
          </w:p>
        </w:tc>
        <w:tc>
          <w:tcPr>
            <w:tcW w:w="1285" w:type="dxa"/>
            <w:tcBorders>
              <w:top w:val="nil"/>
              <w:left w:val="nil"/>
              <w:bottom w:val="single" w:sz="4" w:space="0" w:color="auto"/>
              <w:right w:val="single" w:sz="4" w:space="0" w:color="auto"/>
            </w:tcBorders>
            <w:shd w:val="clear" w:color="auto" w:fill="auto"/>
            <w:vAlign w:val="center"/>
            <w:hideMark/>
          </w:tcPr>
          <w:p w14:paraId="0CBCE2C2" w14:textId="77777777" w:rsidR="00A8293D" w:rsidRPr="00A8293D" w:rsidRDefault="00A8293D" w:rsidP="00A8293D">
            <w:pPr>
              <w:jc w:val="right"/>
              <w:rPr>
                <w:sz w:val="18"/>
                <w:szCs w:val="18"/>
                <w:lang w:eastAsia="tr-TR"/>
              </w:rPr>
            </w:pPr>
            <w:r w:rsidRPr="00A8293D">
              <w:rPr>
                <w:sz w:val="18"/>
                <w:szCs w:val="18"/>
                <w:lang w:eastAsia="tr-TR"/>
              </w:rPr>
              <w:t>365,748</w:t>
            </w:r>
          </w:p>
        </w:tc>
        <w:tc>
          <w:tcPr>
            <w:tcW w:w="1285" w:type="dxa"/>
            <w:tcBorders>
              <w:top w:val="nil"/>
              <w:left w:val="nil"/>
              <w:bottom w:val="single" w:sz="4" w:space="0" w:color="auto"/>
              <w:right w:val="single" w:sz="4" w:space="0" w:color="auto"/>
            </w:tcBorders>
            <w:shd w:val="clear" w:color="auto" w:fill="auto"/>
            <w:vAlign w:val="center"/>
            <w:hideMark/>
          </w:tcPr>
          <w:p w14:paraId="4553EC64" w14:textId="77777777" w:rsidR="00A8293D" w:rsidRPr="00A8293D" w:rsidRDefault="00A8293D" w:rsidP="00A8293D">
            <w:pPr>
              <w:jc w:val="right"/>
              <w:rPr>
                <w:sz w:val="18"/>
                <w:szCs w:val="18"/>
                <w:lang w:eastAsia="tr-TR"/>
              </w:rPr>
            </w:pPr>
            <w:r w:rsidRPr="00A8293D">
              <w:rPr>
                <w:sz w:val="18"/>
                <w:szCs w:val="18"/>
                <w:lang w:eastAsia="tr-TR"/>
              </w:rPr>
              <w:t>63,390</w:t>
            </w:r>
          </w:p>
        </w:tc>
        <w:tc>
          <w:tcPr>
            <w:tcW w:w="1292" w:type="dxa"/>
            <w:tcBorders>
              <w:top w:val="nil"/>
              <w:left w:val="nil"/>
              <w:bottom w:val="single" w:sz="4" w:space="0" w:color="auto"/>
              <w:right w:val="single" w:sz="4" w:space="0" w:color="auto"/>
            </w:tcBorders>
            <w:shd w:val="clear" w:color="auto" w:fill="auto"/>
            <w:vAlign w:val="center"/>
            <w:hideMark/>
          </w:tcPr>
          <w:p w14:paraId="3FA08FD8" w14:textId="77777777" w:rsidR="00A8293D" w:rsidRPr="00A8293D" w:rsidRDefault="00A8293D" w:rsidP="00A8293D">
            <w:pPr>
              <w:jc w:val="right"/>
              <w:rPr>
                <w:sz w:val="18"/>
                <w:szCs w:val="18"/>
                <w:lang w:eastAsia="tr-TR"/>
              </w:rPr>
            </w:pPr>
            <w:r w:rsidRPr="00A8293D">
              <w:rPr>
                <w:sz w:val="18"/>
                <w:szCs w:val="18"/>
                <w:lang w:eastAsia="tr-TR"/>
              </w:rPr>
              <w:t>-</w:t>
            </w:r>
          </w:p>
        </w:tc>
      </w:tr>
      <w:tr w:rsidR="00A8293D" w:rsidRPr="00A8293D" w14:paraId="00D17F52" w14:textId="77777777" w:rsidTr="006B1072">
        <w:trPr>
          <w:divId w:val="304823508"/>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15F3D06" w14:textId="77777777" w:rsidR="00A8293D" w:rsidRPr="00A8293D" w:rsidRDefault="00A8293D" w:rsidP="00A8293D">
            <w:pPr>
              <w:ind w:firstLineChars="100" w:firstLine="180"/>
              <w:rPr>
                <w:sz w:val="18"/>
                <w:szCs w:val="18"/>
                <w:lang w:eastAsia="tr-TR"/>
              </w:rPr>
            </w:pPr>
            <w:r w:rsidRPr="00A8293D">
              <w:rPr>
                <w:sz w:val="18"/>
                <w:szCs w:val="18"/>
                <w:lang w:eastAsia="tr-TR"/>
              </w:rPr>
              <w:t xml:space="preserve"> Kredi Kartları </w:t>
            </w:r>
          </w:p>
        </w:tc>
        <w:tc>
          <w:tcPr>
            <w:tcW w:w="1284" w:type="dxa"/>
            <w:tcBorders>
              <w:top w:val="nil"/>
              <w:left w:val="nil"/>
              <w:bottom w:val="single" w:sz="4" w:space="0" w:color="auto"/>
              <w:right w:val="single" w:sz="4" w:space="0" w:color="auto"/>
            </w:tcBorders>
            <w:shd w:val="clear" w:color="auto" w:fill="auto"/>
            <w:vAlign w:val="center"/>
            <w:hideMark/>
          </w:tcPr>
          <w:p w14:paraId="1DB4F828" w14:textId="77777777" w:rsidR="00A8293D" w:rsidRPr="00A8293D" w:rsidRDefault="00A8293D" w:rsidP="00A8293D">
            <w:pPr>
              <w:jc w:val="right"/>
              <w:rPr>
                <w:sz w:val="18"/>
                <w:szCs w:val="18"/>
                <w:lang w:eastAsia="tr-TR"/>
              </w:rPr>
            </w:pPr>
            <w:r w:rsidRPr="00A8293D">
              <w:rPr>
                <w:sz w:val="18"/>
                <w:szCs w:val="18"/>
                <w:lang w:eastAsia="tr-TR"/>
              </w:rPr>
              <w:t>1,161,057</w:t>
            </w:r>
          </w:p>
        </w:tc>
        <w:tc>
          <w:tcPr>
            <w:tcW w:w="1285" w:type="dxa"/>
            <w:tcBorders>
              <w:top w:val="nil"/>
              <w:left w:val="nil"/>
              <w:bottom w:val="single" w:sz="4" w:space="0" w:color="auto"/>
              <w:right w:val="single" w:sz="4" w:space="0" w:color="auto"/>
            </w:tcBorders>
            <w:shd w:val="clear" w:color="auto" w:fill="auto"/>
            <w:vAlign w:val="center"/>
            <w:hideMark/>
          </w:tcPr>
          <w:p w14:paraId="42A0DC5D" w14:textId="77777777" w:rsidR="00A8293D" w:rsidRPr="00A8293D" w:rsidRDefault="00A8293D" w:rsidP="00A8293D">
            <w:pPr>
              <w:jc w:val="right"/>
              <w:rPr>
                <w:sz w:val="18"/>
                <w:szCs w:val="18"/>
                <w:lang w:eastAsia="tr-TR"/>
              </w:rPr>
            </w:pPr>
            <w:r w:rsidRPr="00A8293D">
              <w:rPr>
                <w:sz w:val="18"/>
                <w:szCs w:val="18"/>
                <w:lang w:eastAsia="tr-TR"/>
              </w:rPr>
              <w:t>126,745</w:t>
            </w:r>
          </w:p>
        </w:tc>
        <w:tc>
          <w:tcPr>
            <w:tcW w:w="1285" w:type="dxa"/>
            <w:tcBorders>
              <w:top w:val="nil"/>
              <w:left w:val="nil"/>
              <w:bottom w:val="single" w:sz="4" w:space="0" w:color="auto"/>
              <w:right w:val="single" w:sz="4" w:space="0" w:color="auto"/>
            </w:tcBorders>
            <w:shd w:val="clear" w:color="auto" w:fill="auto"/>
            <w:vAlign w:val="center"/>
            <w:hideMark/>
          </w:tcPr>
          <w:p w14:paraId="3032C0B7" w14:textId="77777777" w:rsidR="00A8293D" w:rsidRPr="00A8293D" w:rsidRDefault="00A8293D" w:rsidP="00A8293D">
            <w:pPr>
              <w:jc w:val="right"/>
              <w:rPr>
                <w:sz w:val="18"/>
                <w:szCs w:val="18"/>
                <w:lang w:eastAsia="tr-TR"/>
              </w:rPr>
            </w:pPr>
            <w:r w:rsidRPr="00A8293D">
              <w:rPr>
                <w:sz w:val="18"/>
                <w:szCs w:val="18"/>
                <w:lang w:eastAsia="tr-TR"/>
              </w:rPr>
              <w:t>17,516</w:t>
            </w:r>
          </w:p>
        </w:tc>
        <w:tc>
          <w:tcPr>
            <w:tcW w:w="1292" w:type="dxa"/>
            <w:tcBorders>
              <w:top w:val="nil"/>
              <w:left w:val="nil"/>
              <w:bottom w:val="single" w:sz="4" w:space="0" w:color="auto"/>
              <w:right w:val="single" w:sz="4" w:space="0" w:color="auto"/>
            </w:tcBorders>
            <w:shd w:val="clear" w:color="auto" w:fill="auto"/>
            <w:vAlign w:val="center"/>
            <w:hideMark/>
          </w:tcPr>
          <w:p w14:paraId="2617F9A9" w14:textId="77777777" w:rsidR="00A8293D" w:rsidRPr="00A8293D" w:rsidRDefault="00A8293D" w:rsidP="00A8293D">
            <w:pPr>
              <w:jc w:val="right"/>
              <w:rPr>
                <w:sz w:val="18"/>
                <w:szCs w:val="18"/>
                <w:lang w:eastAsia="tr-TR"/>
              </w:rPr>
            </w:pPr>
            <w:r w:rsidRPr="00A8293D">
              <w:rPr>
                <w:sz w:val="18"/>
                <w:szCs w:val="18"/>
                <w:lang w:eastAsia="tr-TR"/>
              </w:rPr>
              <w:t>-</w:t>
            </w:r>
          </w:p>
        </w:tc>
      </w:tr>
      <w:tr w:rsidR="00A8293D" w:rsidRPr="00A8293D" w14:paraId="642ABCB3" w14:textId="77777777" w:rsidTr="006B1072">
        <w:trPr>
          <w:divId w:val="304823508"/>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00E25BD" w14:textId="77777777" w:rsidR="00A8293D" w:rsidRPr="00A8293D" w:rsidRDefault="00A8293D" w:rsidP="00A8293D">
            <w:pPr>
              <w:ind w:firstLineChars="100" w:firstLine="180"/>
              <w:rPr>
                <w:sz w:val="18"/>
                <w:szCs w:val="18"/>
                <w:lang w:eastAsia="tr-TR"/>
              </w:rPr>
            </w:pPr>
            <w:r w:rsidRPr="00A8293D">
              <w:rPr>
                <w:sz w:val="18"/>
                <w:szCs w:val="18"/>
                <w:lang w:eastAsia="tr-TR"/>
              </w:rPr>
              <w:t xml:space="preserve"> Mali Kesime Verilen Krediler </w:t>
            </w:r>
          </w:p>
        </w:tc>
        <w:tc>
          <w:tcPr>
            <w:tcW w:w="1284" w:type="dxa"/>
            <w:tcBorders>
              <w:top w:val="nil"/>
              <w:left w:val="nil"/>
              <w:bottom w:val="single" w:sz="4" w:space="0" w:color="auto"/>
              <w:right w:val="single" w:sz="4" w:space="0" w:color="auto"/>
            </w:tcBorders>
            <w:shd w:val="clear" w:color="auto" w:fill="auto"/>
            <w:vAlign w:val="center"/>
            <w:hideMark/>
          </w:tcPr>
          <w:p w14:paraId="39CA78F0" w14:textId="77777777" w:rsidR="00A8293D" w:rsidRPr="00A8293D" w:rsidRDefault="00A8293D" w:rsidP="00A8293D">
            <w:pPr>
              <w:jc w:val="right"/>
              <w:rPr>
                <w:sz w:val="18"/>
                <w:szCs w:val="18"/>
                <w:lang w:eastAsia="tr-TR"/>
              </w:rPr>
            </w:pPr>
            <w:r w:rsidRPr="00A8293D">
              <w:rPr>
                <w:sz w:val="18"/>
                <w:szCs w:val="18"/>
                <w:lang w:eastAsia="tr-TR"/>
              </w:rPr>
              <w:t>2,050,258</w:t>
            </w:r>
          </w:p>
        </w:tc>
        <w:tc>
          <w:tcPr>
            <w:tcW w:w="1285" w:type="dxa"/>
            <w:tcBorders>
              <w:top w:val="nil"/>
              <w:left w:val="nil"/>
              <w:bottom w:val="single" w:sz="4" w:space="0" w:color="auto"/>
              <w:right w:val="single" w:sz="4" w:space="0" w:color="auto"/>
            </w:tcBorders>
            <w:shd w:val="clear" w:color="auto" w:fill="auto"/>
            <w:vAlign w:val="center"/>
            <w:hideMark/>
          </w:tcPr>
          <w:p w14:paraId="278E53C9" w14:textId="77777777" w:rsidR="00A8293D" w:rsidRPr="00A8293D" w:rsidRDefault="00A8293D" w:rsidP="00A8293D">
            <w:pPr>
              <w:jc w:val="right"/>
              <w:rPr>
                <w:sz w:val="18"/>
                <w:szCs w:val="18"/>
                <w:lang w:eastAsia="tr-TR"/>
              </w:rPr>
            </w:pPr>
            <w:r w:rsidRPr="00A8293D">
              <w:rPr>
                <w:sz w:val="18"/>
                <w:szCs w:val="18"/>
                <w:lang w:eastAsia="tr-TR"/>
              </w:rPr>
              <w:t>-</w:t>
            </w:r>
          </w:p>
        </w:tc>
        <w:tc>
          <w:tcPr>
            <w:tcW w:w="1285" w:type="dxa"/>
            <w:tcBorders>
              <w:top w:val="nil"/>
              <w:left w:val="nil"/>
              <w:bottom w:val="single" w:sz="4" w:space="0" w:color="auto"/>
              <w:right w:val="single" w:sz="4" w:space="0" w:color="auto"/>
            </w:tcBorders>
            <w:shd w:val="clear" w:color="auto" w:fill="auto"/>
            <w:vAlign w:val="center"/>
            <w:hideMark/>
          </w:tcPr>
          <w:p w14:paraId="1A310304" w14:textId="77777777" w:rsidR="00A8293D" w:rsidRPr="00A8293D" w:rsidRDefault="00A8293D" w:rsidP="00A8293D">
            <w:pPr>
              <w:jc w:val="right"/>
              <w:rPr>
                <w:sz w:val="18"/>
                <w:szCs w:val="18"/>
                <w:lang w:eastAsia="tr-TR"/>
              </w:rPr>
            </w:pPr>
            <w:r w:rsidRPr="00A8293D">
              <w:rPr>
                <w:sz w:val="18"/>
                <w:szCs w:val="18"/>
                <w:lang w:eastAsia="tr-TR"/>
              </w:rPr>
              <w:t>-</w:t>
            </w:r>
          </w:p>
        </w:tc>
        <w:tc>
          <w:tcPr>
            <w:tcW w:w="1292" w:type="dxa"/>
            <w:tcBorders>
              <w:top w:val="nil"/>
              <w:left w:val="nil"/>
              <w:bottom w:val="single" w:sz="4" w:space="0" w:color="auto"/>
              <w:right w:val="single" w:sz="4" w:space="0" w:color="auto"/>
            </w:tcBorders>
            <w:shd w:val="clear" w:color="auto" w:fill="auto"/>
            <w:vAlign w:val="center"/>
            <w:hideMark/>
          </w:tcPr>
          <w:p w14:paraId="654D5E62" w14:textId="77777777" w:rsidR="00A8293D" w:rsidRPr="00A8293D" w:rsidRDefault="00A8293D" w:rsidP="00A8293D">
            <w:pPr>
              <w:jc w:val="right"/>
              <w:rPr>
                <w:sz w:val="18"/>
                <w:szCs w:val="18"/>
                <w:lang w:eastAsia="tr-TR"/>
              </w:rPr>
            </w:pPr>
            <w:r w:rsidRPr="00A8293D">
              <w:rPr>
                <w:sz w:val="18"/>
                <w:szCs w:val="18"/>
                <w:lang w:eastAsia="tr-TR"/>
              </w:rPr>
              <w:t>-</w:t>
            </w:r>
          </w:p>
        </w:tc>
      </w:tr>
      <w:tr w:rsidR="00A8293D" w:rsidRPr="00A8293D" w14:paraId="6D97D59E" w14:textId="77777777" w:rsidTr="006B1072">
        <w:trPr>
          <w:divId w:val="304823508"/>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56961CD5" w14:textId="77777777" w:rsidR="00A8293D" w:rsidRPr="00A8293D" w:rsidRDefault="00A8293D" w:rsidP="00A8293D">
            <w:pPr>
              <w:ind w:firstLineChars="100" w:firstLine="180"/>
              <w:rPr>
                <w:sz w:val="18"/>
                <w:szCs w:val="18"/>
                <w:lang w:eastAsia="tr-TR"/>
              </w:rPr>
            </w:pPr>
            <w:r w:rsidRPr="00A8293D">
              <w:rPr>
                <w:sz w:val="18"/>
                <w:szCs w:val="18"/>
                <w:lang w:eastAsia="tr-TR"/>
              </w:rPr>
              <w:t xml:space="preserve"> Diğer  </w:t>
            </w:r>
          </w:p>
        </w:tc>
        <w:tc>
          <w:tcPr>
            <w:tcW w:w="1284" w:type="dxa"/>
            <w:tcBorders>
              <w:top w:val="nil"/>
              <w:left w:val="nil"/>
              <w:bottom w:val="single" w:sz="4" w:space="0" w:color="auto"/>
              <w:right w:val="single" w:sz="4" w:space="0" w:color="auto"/>
            </w:tcBorders>
            <w:shd w:val="clear" w:color="auto" w:fill="auto"/>
            <w:vAlign w:val="center"/>
            <w:hideMark/>
          </w:tcPr>
          <w:p w14:paraId="57DCF03E" w14:textId="77777777" w:rsidR="00A8293D" w:rsidRPr="00A8293D" w:rsidRDefault="00A8293D" w:rsidP="00A8293D">
            <w:pPr>
              <w:jc w:val="right"/>
              <w:rPr>
                <w:sz w:val="18"/>
                <w:szCs w:val="18"/>
                <w:lang w:eastAsia="tr-TR"/>
              </w:rPr>
            </w:pPr>
            <w:r w:rsidRPr="00A8293D">
              <w:rPr>
                <w:sz w:val="18"/>
                <w:szCs w:val="18"/>
                <w:lang w:eastAsia="tr-TR"/>
              </w:rPr>
              <w:t>6,364,453</w:t>
            </w:r>
          </w:p>
        </w:tc>
        <w:tc>
          <w:tcPr>
            <w:tcW w:w="1285" w:type="dxa"/>
            <w:tcBorders>
              <w:top w:val="nil"/>
              <w:left w:val="nil"/>
              <w:bottom w:val="single" w:sz="4" w:space="0" w:color="auto"/>
              <w:right w:val="single" w:sz="4" w:space="0" w:color="auto"/>
            </w:tcBorders>
            <w:shd w:val="clear" w:color="auto" w:fill="auto"/>
            <w:vAlign w:val="center"/>
            <w:hideMark/>
          </w:tcPr>
          <w:p w14:paraId="51F964B2" w14:textId="77777777" w:rsidR="00A8293D" w:rsidRPr="00A8293D" w:rsidRDefault="00A8293D" w:rsidP="00A8293D">
            <w:pPr>
              <w:jc w:val="right"/>
              <w:rPr>
                <w:sz w:val="18"/>
                <w:szCs w:val="18"/>
                <w:lang w:eastAsia="tr-TR"/>
              </w:rPr>
            </w:pPr>
            <w:r w:rsidRPr="00A8293D">
              <w:rPr>
                <w:sz w:val="18"/>
                <w:szCs w:val="18"/>
                <w:lang w:eastAsia="tr-TR"/>
              </w:rPr>
              <w:t>152,232</w:t>
            </w:r>
          </w:p>
        </w:tc>
        <w:tc>
          <w:tcPr>
            <w:tcW w:w="1285" w:type="dxa"/>
            <w:tcBorders>
              <w:top w:val="nil"/>
              <w:left w:val="nil"/>
              <w:bottom w:val="single" w:sz="4" w:space="0" w:color="auto"/>
              <w:right w:val="single" w:sz="4" w:space="0" w:color="auto"/>
            </w:tcBorders>
            <w:shd w:val="clear" w:color="auto" w:fill="auto"/>
            <w:vAlign w:val="center"/>
            <w:hideMark/>
          </w:tcPr>
          <w:p w14:paraId="6798E943" w14:textId="77777777" w:rsidR="00A8293D" w:rsidRPr="00A8293D" w:rsidRDefault="00A8293D" w:rsidP="00A8293D">
            <w:pPr>
              <w:jc w:val="right"/>
              <w:rPr>
                <w:sz w:val="18"/>
                <w:szCs w:val="18"/>
                <w:lang w:eastAsia="tr-TR"/>
              </w:rPr>
            </w:pPr>
            <w:r w:rsidRPr="00A8293D">
              <w:rPr>
                <w:sz w:val="18"/>
                <w:szCs w:val="18"/>
                <w:lang w:eastAsia="tr-TR"/>
              </w:rPr>
              <w:t>-</w:t>
            </w:r>
          </w:p>
        </w:tc>
        <w:tc>
          <w:tcPr>
            <w:tcW w:w="1292" w:type="dxa"/>
            <w:tcBorders>
              <w:top w:val="nil"/>
              <w:left w:val="nil"/>
              <w:bottom w:val="single" w:sz="4" w:space="0" w:color="auto"/>
              <w:right w:val="single" w:sz="4" w:space="0" w:color="auto"/>
            </w:tcBorders>
            <w:shd w:val="clear" w:color="auto" w:fill="auto"/>
            <w:vAlign w:val="center"/>
            <w:hideMark/>
          </w:tcPr>
          <w:p w14:paraId="70399F0E" w14:textId="77777777" w:rsidR="00A8293D" w:rsidRPr="00A8293D" w:rsidRDefault="00A8293D" w:rsidP="00A8293D">
            <w:pPr>
              <w:jc w:val="right"/>
              <w:rPr>
                <w:sz w:val="18"/>
                <w:szCs w:val="18"/>
                <w:lang w:eastAsia="tr-TR"/>
              </w:rPr>
            </w:pPr>
            <w:r w:rsidRPr="00A8293D">
              <w:rPr>
                <w:sz w:val="18"/>
                <w:szCs w:val="18"/>
                <w:lang w:eastAsia="tr-TR"/>
              </w:rPr>
              <w:t>-</w:t>
            </w:r>
          </w:p>
        </w:tc>
      </w:tr>
      <w:tr w:rsidR="00A8293D" w:rsidRPr="00A8293D" w14:paraId="6BDEF526" w14:textId="77777777" w:rsidTr="006B1072">
        <w:trPr>
          <w:divId w:val="304823508"/>
          <w:trHeight w:val="229"/>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4EB0036" w14:textId="77777777" w:rsidR="00A8293D" w:rsidRPr="00A8293D" w:rsidRDefault="00A8293D" w:rsidP="00A8293D">
            <w:pPr>
              <w:jc w:val="both"/>
              <w:rPr>
                <w:b/>
                <w:bCs/>
                <w:sz w:val="18"/>
                <w:szCs w:val="18"/>
                <w:lang w:eastAsia="tr-TR"/>
              </w:rPr>
            </w:pPr>
            <w:r w:rsidRPr="00A8293D">
              <w:rPr>
                <w:b/>
                <w:bCs/>
                <w:sz w:val="18"/>
                <w:szCs w:val="18"/>
                <w:lang w:eastAsia="tr-TR"/>
              </w:rPr>
              <w:t>Diğer Alacaklar</w:t>
            </w:r>
          </w:p>
        </w:tc>
        <w:tc>
          <w:tcPr>
            <w:tcW w:w="1284" w:type="dxa"/>
            <w:tcBorders>
              <w:top w:val="nil"/>
              <w:left w:val="nil"/>
              <w:bottom w:val="single" w:sz="4" w:space="0" w:color="auto"/>
              <w:right w:val="single" w:sz="4" w:space="0" w:color="auto"/>
            </w:tcBorders>
            <w:shd w:val="clear" w:color="auto" w:fill="auto"/>
            <w:vAlign w:val="center"/>
            <w:hideMark/>
          </w:tcPr>
          <w:p w14:paraId="76741485" w14:textId="77777777" w:rsidR="00A8293D" w:rsidRPr="00A8293D" w:rsidRDefault="00A8293D" w:rsidP="00A8293D">
            <w:pPr>
              <w:jc w:val="right"/>
              <w:rPr>
                <w:b/>
                <w:bCs/>
                <w:sz w:val="18"/>
                <w:szCs w:val="18"/>
                <w:lang w:eastAsia="tr-TR"/>
              </w:rPr>
            </w:pPr>
            <w:r w:rsidRPr="00A8293D">
              <w:rPr>
                <w:b/>
                <w:bCs/>
                <w:sz w:val="18"/>
                <w:szCs w:val="18"/>
                <w:lang w:eastAsia="tr-TR"/>
              </w:rPr>
              <w:t>4,409</w:t>
            </w:r>
          </w:p>
        </w:tc>
        <w:tc>
          <w:tcPr>
            <w:tcW w:w="1285" w:type="dxa"/>
            <w:tcBorders>
              <w:top w:val="nil"/>
              <w:left w:val="nil"/>
              <w:bottom w:val="single" w:sz="4" w:space="0" w:color="auto"/>
              <w:right w:val="single" w:sz="4" w:space="0" w:color="auto"/>
            </w:tcBorders>
            <w:shd w:val="clear" w:color="auto" w:fill="auto"/>
            <w:vAlign w:val="center"/>
            <w:hideMark/>
          </w:tcPr>
          <w:p w14:paraId="5E442ABA" w14:textId="77777777" w:rsidR="00A8293D" w:rsidRPr="00A8293D" w:rsidRDefault="00A8293D" w:rsidP="00A8293D">
            <w:pPr>
              <w:jc w:val="right"/>
              <w:rPr>
                <w:b/>
                <w:bCs/>
                <w:sz w:val="18"/>
                <w:szCs w:val="18"/>
                <w:lang w:eastAsia="tr-TR"/>
              </w:rPr>
            </w:pPr>
            <w:r w:rsidRPr="00A8293D">
              <w:rPr>
                <w:b/>
                <w:bCs/>
                <w:sz w:val="18"/>
                <w:szCs w:val="18"/>
                <w:lang w:eastAsia="tr-TR"/>
              </w:rPr>
              <w:t>138,811</w:t>
            </w:r>
          </w:p>
        </w:tc>
        <w:tc>
          <w:tcPr>
            <w:tcW w:w="1285" w:type="dxa"/>
            <w:tcBorders>
              <w:top w:val="nil"/>
              <w:left w:val="nil"/>
              <w:bottom w:val="single" w:sz="4" w:space="0" w:color="auto"/>
              <w:right w:val="single" w:sz="4" w:space="0" w:color="auto"/>
            </w:tcBorders>
            <w:shd w:val="clear" w:color="auto" w:fill="auto"/>
            <w:vAlign w:val="center"/>
            <w:hideMark/>
          </w:tcPr>
          <w:p w14:paraId="7827F783" w14:textId="77777777" w:rsidR="00A8293D" w:rsidRPr="00A8293D" w:rsidRDefault="00A8293D" w:rsidP="00A8293D">
            <w:pPr>
              <w:jc w:val="right"/>
              <w:rPr>
                <w:b/>
                <w:bCs/>
                <w:sz w:val="18"/>
                <w:szCs w:val="18"/>
                <w:lang w:eastAsia="tr-TR"/>
              </w:rPr>
            </w:pPr>
            <w:r w:rsidRPr="00A8293D">
              <w:rPr>
                <w:b/>
                <w:bCs/>
                <w:sz w:val="18"/>
                <w:szCs w:val="18"/>
                <w:lang w:eastAsia="tr-TR"/>
              </w:rPr>
              <w:t>8,917</w:t>
            </w:r>
          </w:p>
        </w:tc>
        <w:tc>
          <w:tcPr>
            <w:tcW w:w="1292" w:type="dxa"/>
            <w:tcBorders>
              <w:top w:val="nil"/>
              <w:left w:val="nil"/>
              <w:bottom w:val="single" w:sz="4" w:space="0" w:color="auto"/>
              <w:right w:val="single" w:sz="4" w:space="0" w:color="auto"/>
            </w:tcBorders>
            <w:shd w:val="clear" w:color="auto" w:fill="auto"/>
            <w:vAlign w:val="center"/>
            <w:hideMark/>
          </w:tcPr>
          <w:p w14:paraId="304F438B" w14:textId="77777777" w:rsidR="00A8293D" w:rsidRPr="00A8293D" w:rsidRDefault="00A8293D" w:rsidP="00A8293D">
            <w:pPr>
              <w:jc w:val="right"/>
              <w:rPr>
                <w:b/>
                <w:bCs/>
                <w:sz w:val="18"/>
                <w:szCs w:val="18"/>
                <w:lang w:eastAsia="tr-TR"/>
              </w:rPr>
            </w:pPr>
            <w:r w:rsidRPr="00A8293D">
              <w:rPr>
                <w:b/>
                <w:bCs/>
                <w:sz w:val="18"/>
                <w:szCs w:val="18"/>
                <w:lang w:eastAsia="tr-TR"/>
              </w:rPr>
              <w:t>-</w:t>
            </w:r>
          </w:p>
        </w:tc>
      </w:tr>
      <w:tr w:rsidR="00A8293D" w:rsidRPr="00A8293D" w14:paraId="6A5DFB04" w14:textId="77777777" w:rsidTr="006B1072">
        <w:trPr>
          <w:divId w:val="304823508"/>
          <w:trHeight w:val="229"/>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36FA1D9" w14:textId="77777777" w:rsidR="00A8293D" w:rsidRPr="00A8293D" w:rsidRDefault="00A8293D" w:rsidP="00A8293D">
            <w:pPr>
              <w:jc w:val="both"/>
              <w:rPr>
                <w:b/>
                <w:bCs/>
                <w:sz w:val="18"/>
                <w:szCs w:val="18"/>
                <w:lang w:eastAsia="tr-TR"/>
              </w:rPr>
            </w:pPr>
            <w:r w:rsidRPr="00A8293D">
              <w:rPr>
                <w:b/>
                <w:bCs/>
                <w:sz w:val="18"/>
                <w:szCs w:val="18"/>
                <w:lang w:eastAsia="tr-TR"/>
              </w:rPr>
              <w:t>Toplam</w:t>
            </w:r>
          </w:p>
        </w:tc>
        <w:tc>
          <w:tcPr>
            <w:tcW w:w="1284" w:type="dxa"/>
            <w:tcBorders>
              <w:top w:val="nil"/>
              <w:left w:val="nil"/>
              <w:bottom w:val="single" w:sz="4" w:space="0" w:color="auto"/>
              <w:right w:val="single" w:sz="4" w:space="0" w:color="auto"/>
            </w:tcBorders>
            <w:shd w:val="clear" w:color="auto" w:fill="auto"/>
            <w:vAlign w:val="center"/>
            <w:hideMark/>
          </w:tcPr>
          <w:p w14:paraId="4CA0E32A" w14:textId="77777777" w:rsidR="00A8293D" w:rsidRPr="00A8293D" w:rsidRDefault="00A8293D" w:rsidP="00A8293D">
            <w:pPr>
              <w:jc w:val="right"/>
              <w:rPr>
                <w:b/>
                <w:bCs/>
                <w:sz w:val="18"/>
                <w:szCs w:val="18"/>
                <w:lang w:eastAsia="tr-TR"/>
              </w:rPr>
            </w:pPr>
            <w:r w:rsidRPr="00A8293D">
              <w:rPr>
                <w:b/>
                <w:bCs/>
                <w:sz w:val="18"/>
                <w:szCs w:val="18"/>
                <w:lang w:eastAsia="tr-TR"/>
              </w:rPr>
              <w:t>64,239,185</w:t>
            </w:r>
          </w:p>
        </w:tc>
        <w:tc>
          <w:tcPr>
            <w:tcW w:w="1285" w:type="dxa"/>
            <w:tcBorders>
              <w:top w:val="nil"/>
              <w:left w:val="nil"/>
              <w:bottom w:val="single" w:sz="4" w:space="0" w:color="auto"/>
              <w:right w:val="single" w:sz="4" w:space="0" w:color="auto"/>
            </w:tcBorders>
            <w:shd w:val="clear" w:color="auto" w:fill="auto"/>
            <w:vAlign w:val="center"/>
            <w:hideMark/>
          </w:tcPr>
          <w:p w14:paraId="53379A39" w14:textId="77777777" w:rsidR="00A8293D" w:rsidRPr="00A8293D" w:rsidRDefault="00A8293D" w:rsidP="00A8293D">
            <w:pPr>
              <w:jc w:val="right"/>
              <w:rPr>
                <w:b/>
                <w:bCs/>
                <w:sz w:val="18"/>
                <w:szCs w:val="18"/>
                <w:lang w:eastAsia="tr-TR"/>
              </w:rPr>
            </w:pPr>
            <w:r w:rsidRPr="00A8293D">
              <w:rPr>
                <w:b/>
                <w:bCs/>
                <w:sz w:val="18"/>
                <w:szCs w:val="18"/>
                <w:lang w:eastAsia="tr-TR"/>
              </w:rPr>
              <w:t>4,457,166</w:t>
            </w:r>
          </w:p>
        </w:tc>
        <w:tc>
          <w:tcPr>
            <w:tcW w:w="1285" w:type="dxa"/>
            <w:tcBorders>
              <w:top w:val="nil"/>
              <w:left w:val="nil"/>
              <w:bottom w:val="single" w:sz="4" w:space="0" w:color="auto"/>
              <w:right w:val="single" w:sz="4" w:space="0" w:color="auto"/>
            </w:tcBorders>
            <w:shd w:val="clear" w:color="auto" w:fill="auto"/>
            <w:vAlign w:val="center"/>
            <w:hideMark/>
          </w:tcPr>
          <w:p w14:paraId="17245FFD" w14:textId="77777777" w:rsidR="00A8293D" w:rsidRPr="00A8293D" w:rsidRDefault="00A8293D" w:rsidP="00A8293D">
            <w:pPr>
              <w:jc w:val="right"/>
              <w:rPr>
                <w:b/>
                <w:bCs/>
                <w:sz w:val="18"/>
                <w:szCs w:val="18"/>
                <w:lang w:eastAsia="tr-TR"/>
              </w:rPr>
            </w:pPr>
            <w:r w:rsidRPr="00A8293D">
              <w:rPr>
                <w:b/>
                <w:bCs/>
                <w:sz w:val="18"/>
                <w:szCs w:val="18"/>
                <w:lang w:eastAsia="tr-TR"/>
              </w:rPr>
              <w:t>2,775,765</w:t>
            </w:r>
          </w:p>
        </w:tc>
        <w:tc>
          <w:tcPr>
            <w:tcW w:w="1292" w:type="dxa"/>
            <w:tcBorders>
              <w:top w:val="nil"/>
              <w:left w:val="nil"/>
              <w:bottom w:val="single" w:sz="4" w:space="0" w:color="auto"/>
              <w:right w:val="single" w:sz="4" w:space="0" w:color="auto"/>
            </w:tcBorders>
            <w:shd w:val="clear" w:color="auto" w:fill="auto"/>
            <w:vAlign w:val="center"/>
            <w:hideMark/>
          </w:tcPr>
          <w:p w14:paraId="69833A3C" w14:textId="77777777" w:rsidR="00A8293D" w:rsidRPr="00A8293D" w:rsidRDefault="00A8293D" w:rsidP="00A8293D">
            <w:pPr>
              <w:jc w:val="right"/>
              <w:rPr>
                <w:b/>
                <w:bCs/>
                <w:sz w:val="18"/>
                <w:szCs w:val="18"/>
                <w:lang w:eastAsia="tr-TR"/>
              </w:rPr>
            </w:pPr>
            <w:r w:rsidRPr="00A8293D">
              <w:rPr>
                <w:b/>
                <w:bCs/>
                <w:sz w:val="18"/>
                <w:szCs w:val="18"/>
                <w:lang w:eastAsia="tr-TR"/>
              </w:rPr>
              <w:t>-</w:t>
            </w:r>
          </w:p>
        </w:tc>
      </w:tr>
    </w:tbl>
    <w:p w14:paraId="525C580F" w14:textId="5264D48C" w:rsidR="007361E9" w:rsidRPr="00A8293D" w:rsidRDefault="007361E9" w:rsidP="00D22163">
      <w:pPr>
        <w:autoSpaceDE w:val="0"/>
        <w:autoSpaceDN w:val="0"/>
        <w:adjustRightInd w:val="0"/>
        <w:ind w:left="567" w:hanging="567"/>
        <w:jc w:val="both"/>
        <w:rPr>
          <w:lang w:val="en-GB" w:eastAsia="en-GB"/>
        </w:rPr>
      </w:pPr>
    </w:p>
    <w:tbl>
      <w:tblPr>
        <w:tblW w:w="9205" w:type="dxa"/>
        <w:tblCellMar>
          <w:left w:w="70" w:type="dxa"/>
          <w:right w:w="70" w:type="dxa"/>
        </w:tblCellMar>
        <w:tblLook w:val="04A0" w:firstRow="1" w:lastRow="0" w:firstColumn="1" w:lastColumn="0" w:noHBand="0" w:noVBand="1"/>
      </w:tblPr>
      <w:tblGrid>
        <w:gridCol w:w="4070"/>
        <w:gridCol w:w="1283"/>
        <w:gridCol w:w="1283"/>
        <w:gridCol w:w="1283"/>
        <w:gridCol w:w="1286"/>
      </w:tblGrid>
      <w:tr w:rsidR="007361E9" w:rsidRPr="00A8293D" w14:paraId="372A0D8D" w14:textId="77777777" w:rsidTr="006B1072">
        <w:trPr>
          <w:divId w:val="1447966511"/>
          <w:trHeight w:val="231"/>
        </w:trPr>
        <w:tc>
          <w:tcPr>
            <w:tcW w:w="40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C2614E" w14:textId="3F4B99E9" w:rsidR="007361E9" w:rsidRPr="00A8293D" w:rsidRDefault="007361E9" w:rsidP="007361E9">
            <w:pPr>
              <w:jc w:val="center"/>
              <w:rPr>
                <w:b/>
                <w:bCs/>
                <w:sz w:val="18"/>
                <w:szCs w:val="18"/>
                <w:lang w:eastAsia="tr-TR"/>
              </w:rPr>
            </w:pPr>
            <w:r w:rsidRPr="00A8293D">
              <w:rPr>
                <w:b/>
                <w:bCs/>
                <w:sz w:val="18"/>
                <w:szCs w:val="18"/>
                <w:lang w:eastAsia="tr-TR"/>
              </w:rPr>
              <w:t>Önceki Dönem-Nakdi Krediler</w:t>
            </w:r>
          </w:p>
        </w:tc>
        <w:tc>
          <w:tcPr>
            <w:tcW w:w="12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1BA6BB" w14:textId="77777777" w:rsidR="007361E9" w:rsidRPr="00A8293D" w:rsidRDefault="007361E9" w:rsidP="007361E9">
            <w:pPr>
              <w:jc w:val="center"/>
              <w:rPr>
                <w:b/>
                <w:bCs/>
                <w:sz w:val="18"/>
                <w:szCs w:val="18"/>
                <w:lang w:eastAsia="tr-TR"/>
              </w:rPr>
            </w:pPr>
            <w:r w:rsidRPr="00A8293D">
              <w:rPr>
                <w:b/>
                <w:bCs/>
                <w:sz w:val="18"/>
                <w:szCs w:val="18"/>
                <w:lang w:eastAsia="tr-TR"/>
              </w:rPr>
              <w:t>Standart Nitelikli Krediler</w:t>
            </w:r>
          </w:p>
        </w:tc>
        <w:tc>
          <w:tcPr>
            <w:tcW w:w="385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ED83305" w14:textId="77777777" w:rsidR="007361E9" w:rsidRPr="00A8293D" w:rsidRDefault="007361E9" w:rsidP="007361E9">
            <w:pPr>
              <w:jc w:val="center"/>
              <w:rPr>
                <w:b/>
                <w:bCs/>
                <w:sz w:val="18"/>
                <w:szCs w:val="18"/>
                <w:lang w:eastAsia="tr-TR"/>
              </w:rPr>
            </w:pPr>
            <w:r w:rsidRPr="00A8293D">
              <w:rPr>
                <w:b/>
                <w:bCs/>
                <w:sz w:val="18"/>
                <w:szCs w:val="18"/>
                <w:lang w:eastAsia="tr-TR"/>
              </w:rPr>
              <w:t>Yakın İzlemedeki Krediler</w:t>
            </w:r>
          </w:p>
        </w:tc>
      </w:tr>
      <w:tr w:rsidR="007361E9" w:rsidRPr="00A8293D" w14:paraId="1BAAEB65" w14:textId="77777777" w:rsidTr="006B1072">
        <w:trPr>
          <w:divId w:val="1447966511"/>
          <w:trHeight w:val="260"/>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63569FAE" w14:textId="77777777" w:rsidR="007361E9" w:rsidRPr="00A8293D" w:rsidRDefault="007361E9" w:rsidP="007361E9">
            <w:pPr>
              <w:rPr>
                <w:b/>
                <w:bCs/>
                <w:sz w:val="18"/>
                <w:szCs w:val="18"/>
                <w:lang w:eastAsia="tr-TR"/>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0D38BEAA" w14:textId="77777777" w:rsidR="007361E9" w:rsidRPr="00A8293D" w:rsidRDefault="007361E9" w:rsidP="007361E9">
            <w:pPr>
              <w:rPr>
                <w:b/>
                <w:bCs/>
                <w:sz w:val="18"/>
                <w:szCs w:val="18"/>
                <w:lang w:eastAsia="tr-TR"/>
              </w:rPr>
            </w:pPr>
          </w:p>
        </w:tc>
        <w:tc>
          <w:tcPr>
            <w:tcW w:w="1283" w:type="dxa"/>
            <w:vMerge w:val="restart"/>
            <w:tcBorders>
              <w:top w:val="nil"/>
              <w:left w:val="single" w:sz="4" w:space="0" w:color="auto"/>
              <w:bottom w:val="single" w:sz="4" w:space="0" w:color="000000"/>
              <w:right w:val="single" w:sz="4" w:space="0" w:color="auto"/>
            </w:tcBorders>
            <w:shd w:val="clear" w:color="auto" w:fill="auto"/>
            <w:vAlign w:val="center"/>
            <w:hideMark/>
          </w:tcPr>
          <w:p w14:paraId="54F73B2D" w14:textId="77777777" w:rsidR="007361E9" w:rsidRPr="00A8293D" w:rsidRDefault="007361E9" w:rsidP="007361E9">
            <w:pPr>
              <w:jc w:val="center"/>
              <w:rPr>
                <w:b/>
                <w:bCs/>
                <w:sz w:val="18"/>
                <w:szCs w:val="18"/>
                <w:lang w:eastAsia="tr-TR"/>
              </w:rPr>
            </w:pPr>
            <w:r w:rsidRPr="00A8293D">
              <w:rPr>
                <w:b/>
                <w:bCs/>
                <w:sz w:val="18"/>
                <w:szCs w:val="18"/>
                <w:lang w:eastAsia="tr-TR"/>
              </w:rPr>
              <w:t>Yeniden Yapılandırma Kapsamında Yer Almayanlar</w:t>
            </w:r>
          </w:p>
        </w:tc>
        <w:tc>
          <w:tcPr>
            <w:tcW w:w="256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BA608C3" w14:textId="77777777" w:rsidR="007361E9" w:rsidRPr="00A8293D" w:rsidRDefault="007361E9" w:rsidP="007361E9">
            <w:pPr>
              <w:jc w:val="center"/>
              <w:rPr>
                <w:b/>
                <w:bCs/>
                <w:sz w:val="18"/>
                <w:szCs w:val="18"/>
                <w:lang w:eastAsia="tr-TR"/>
              </w:rPr>
            </w:pPr>
            <w:r w:rsidRPr="00A8293D">
              <w:rPr>
                <w:b/>
                <w:bCs/>
                <w:sz w:val="18"/>
                <w:szCs w:val="18"/>
                <w:lang w:eastAsia="tr-TR"/>
              </w:rPr>
              <w:t>Yeniden Yapılandırılanlar</w:t>
            </w:r>
          </w:p>
        </w:tc>
      </w:tr>
      <w:tr w:rsidR="007361E9" w:rsidRPr="00A8293D" w14:paraId="1B0FC3BB" w14:textId="77777777" w:rsidTr="006B1072">
        <w:trPr>
          <w:divId w:val="1447966511"/>
          <w:trHeight w:val="695"/>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07155145" w14:textId="77777777" w:rsidR="007361E9" w:rsidRPr="00A8293D" w:rsidRDefault="007361E9" w:rsidP="007361E9">
            <w:pPr>
              <w:rPr>
                <w:b/>
                <w:bCs/>
                <w:sz w:val="18"/>
                <w:szCs w:val="18"/>
                <w:lang w:eastAsia="tr-TR"/>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57DB73CB" w14:textId="77777777" w:rsidR="007361E9" w:rsidRPr="00A8293D" w:rsidRDefault="007361E9" w:rsidP="007361E9">
            <w:pPr>
              <w:rPr>
                <w:b/>
                <w:bCs/>
                <w:sz w:val="18"/>
                <w:szCs w:val="18"/>
                <w:lang w:eastAsia="tr-TR"/>
              </w:rPr>
            </w:pPr>
          </w:p>
        </w:tc>
        <w:tc>
          <w:tcPr>
            <w:tcW w:w="1283" w:type="dxa"/>
            <w:vMerge/>
            <w:tcBorders>
              <w:top w:val="nil"/>
              <w:left w:val="single" w:sz="4" w:space="0" w:color="auto"/>
              <w:bottom w:val="single" w:sz="4" w:space="0" w:color="000000"/>
              <w:right w:val="single" w:sz="4" w:space="0" w:color="auto"/>
            </w:tcBorders>
            <w:vAlign w:val="center"/>
            <w:hideMark/>
          </w:tcPr>
          <w:p w14:paraId="18F627A3" w14:textId="77777777" w:rsidR="007361E9" w:rsidRPr="00A8293D" w:rsidRDefault="007361E9" w:rsidP="007361E9">
            <w:pPr>
              <w:rPr>
                <w:b/>
                <w:bCs/>
                <w:sz w:val="18"/>
                <w:szCs w:val="18"/>
                <w:lang w:eastAsia="tr-TR"/>
              </w:rPr>
            </w:pPr>
          </w:p>
        </w:tc>
        <w:tc>
          <w:tcPr>
            <w:tcW w:w="1283" w:type="dxa"/>
            <w:tcBorders>
              <w:top w:val="nil"/>
              <w:left w:val="nil"/>
              <w:bottom w:val="single" w:sz="4" w:space="0" w:color="auto"/>
              <w:right w:val="single" w:sz="4" w:space="0" w:color="auto"/>
            </w:tcBorders>
            <w:shd w:val="clear" w:color="auto" w:fill="auto"/>
            <w:vAlign w:val="center"/>
            <w:hideMark/>
          </w:tcPr>
          <w:p w14:paraId="365B597A" w14:textId="77777777" w:rsidR="007361E9" w:rsidRPr="00A8293D" w:rsidRDefault="007361E9" w:rsidP="007361E9">
            <w:pPr>
              <w:jc w:val="center"/>
              <w:rPr>
                <w:b/>
                <w:bCs/>
                <w:sz w:val="18"/>
                <w:szCs w:val="18"/>
                <w:lang w:eastAsia="tr-TR"/>
              </w:rPr>
            </w:pPr>
            <w:r w:rsidRPr="00A8293D">
              <w:rPr>
                <w:b/>
                <w:bCs/>
                <w:sz w:val="18"/>
                <w:szCs w:val="18"/>
                <w:lang w:eastAsia="tr-TR"/>
              </w:rPr>
              <w:t>Sözleşme Koşullarında Değişiklik</w:t>
            </w:r>
          </w:p>
        </w:tc>
        <w:tc>
          <w:tcPr>
            <w:tcW w:w="1286" w:type="dxa"/>
            <w:tcBorders>
              <w:top w:val="nil"/>
              <w:left w:val="nil"/>
              <w:bottom w:val="single" w:sz="4" w:space="0" w:color="auto"/>
              <w:right w:val="single" w:sz="4" w:space="0" w:color="auto"/>
            </w:tcBorders>
            <w:shd w:val="clear" w:color="auto" w:fill="auto"/>
            <w:vAlign w:val="center"/>
            <w:hideMark/>
          </w:tcPr>
          <w:p w14:paraId="69847F2D" w14:textId="77777777" w:rsidR="007361E9" w:rsidRPr="00A8293D" w:rsidRDefault="007361E9" w:rsidP="007361E9">
            <w:pPr>
              <w:jc w:val="center"/>
              <w:rPr>
                <w:b/>
                <w:bCs/>
                <w:sz w:val="18"/>
                <w:szCs w:val="18"/>
                <w:lang w:eastAsia="tr-TR"/>
              </w:rPr>
            </w:pPr>
            <w:r w:rsidRPr="00A8293D">
              <w:rPr>
                <w:b/>
                <w:bCs/>
                <w:sz w:val="18"/>
                <w:szCs w:val="18"/>
                <w:lang w:eastAsia="tr-TR"/>
              </w:rPr>
              <w:t>Yeniden Finansman</w:t>
            </w:r>
          </w:p>
        </w:tc>
      </w:tr>
      <w:tr w:rsidR="007361E9" w:rsidRPr="00A8293D" w14:paraId="67A0E18A" w14:textId="77777777" w:rsidTr="006B1072">
        <w:trPr>
          <w:divId w:val="1447966511"/>
          <w:trHeight w:val="202"/>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46D4A35E" w14:textId="77777777" w:rsidR="007361E9" w:rsidRPr="00A8293D" w:rsidRDefault="007361E9" w:rsidP="007361E9">
            <w:pPr>
              <w:jc w:val="both"/>
              <w:rPr>
                <w:b/>
                <w:bCs/>
                <w:sz w:val="18"/>
                <w:szCs w:val="18"/>
                <w:lang w:eastAsia="tr-TR"/>
              </w:rPr>
            </w:pPr>
            <w:r w:rsidRPr="00A8293D">
              <w:rPr>
                <w:b/>
                <w:bCs/>
                <w:sz w:val="18"/>
                <w:szCs w:val="18"/>
                <w:lang w:eastAsia="tr-TR"/>
              </w:rPr>
              <w:t>Krediler</w:t>
            </w:r>
          </w:p>
        </w:tc>
        <w:tc>
          <w:tcPr>
            <w:tcW w:w="1283" w:type="dxa"/>
            <w:tcBorders>
              <w:top w:val="nil"/>
              <w:left w:val="nil"/>
              <w:bottom w:val="single" w:sz="4" w:space="0" w:color="auto"/>
              <w:right w:val="single" w:sz="4" w:space="0" w:color="auto"/>
            </w:tcBorders>
            <w:shd w:val="clear" w:color="auto" w:fill="auto"/>
            <w:vAlign w:val="center"/>
            <w:hideMark/>
          </w:tcPr>
          <w:p w14:paraId="668C1D18" w14:textId="77777777" w:rsidR="007361E9" w:rsidRPr="00A8293D" w:rsidRDefault="007361E9" w:rsidP="007361E9">
            <w:pPr>
              <w:jc w:val="right"/>
              <w:rPr>
                <w:b/>
                <w:bCs/>
                <w:sz w:val="18"/>
                <w:szCs w:val="18"/>
                <w:lang w:eastAsia="tr-TR"/>
              </w:rPr>
            </w:pPr>
            <w:r w:rsidRPr="00A8293D">
              <w:rPr>
                <w:b/>
                <w:bCs/>
                <w:sz w:val="18"/>
                <w:szCs w:val="18"/>
                <w:lang w:eastAsia="tr-TR"/>
              </w:rPr>
              <w:t>47,324,143</w:t>
            </w:r>
          </w:p>
        </w:tc>
        <w:tc>
          <w:tcPr>
            <w:tcW w:w="1283" w:type="dxa"/>
            <w:tcBorders>
              <w:top w:val="nil"/>
              <w:left w:val="nil"/>
              <w:bottom w:val="single" w:sz="4" w:space="0" w:color="auto"/>
              <w:right w:val="single" w:sz="4" w:space="0" w:color="auto"/>
            </w:tcBorders>
            <w:shd w:val="clear" w:color="auto" w:fill="auto"/>
            <w:vAlign w:val="center"/>
            <w:hideMark/>
          </w:tcPr>
          <w:p w14:paraId="28451AA8" w14:textId="77777777" w:rsidR="007361E9" w:rsidRPr="00A8293D" w:rsidRDefault="007361E9" w:rsidP="007361E9">
            <w:pPr>
              <w:jc w:val="right"/>
              <w:rPr>
                <w:b/>
                <w:bCs/>
                <w:sz w:val="18"/>
                <w:szCs w:val="18"/>
                <w:lang w:eastAsia="tr-TR"/>
              </w:rPr>
            </w:pPr>
            <w:r w:rsidRPr="00A8293D">
              <w:rPr>
                <w:b/>
                <w:bCs/>
                <w:sz w:val="18"/>
                <w:szCs w:val="18"/>
                <w:lang w:eastAsia="tr-TR"/>
              </w:rPr>
              <w:t>3,556,702</w:t>
            </w:r>
          </w:p>
        </w:tc>
        <w:tc>
          <w:tcPr>
            <w:tcW w:w="1283" w:type="dxa"/>
            <w:tcBorders>
              <w:top w:val="nil"/>
              <w:left w:val="nil"/>
              <w:bottom w:val="single" w:sz="4" w:space="0" w:color="auto"/>
              <w:right w:val="single" w:sz="4" w:space="0" w:color="auto"/>
            </w:tcBorders>
            <w:shd w:val="clear" w:color="auto" w:fill="auto"/>
            <w:vAlign w:val="center"/>
            <w:hideMark/>
          </w:tcPr>
          <w:p w14:paraId="7E1C58F3" w14:textId="77777777" w:rsidR="007361E9" w:rsidRPr="00A8293D" w:rsidRDefault="007361E9" w:rsidP="007361E9">
            <w:pPr>
              <w:jc w:val="right"/>
              <w:rPr>
                <w:b/>
                <w:bCs/>
                <w:sz w:val="18"/>
                <w:szCs w:val="18"/>
                <w:lang w:eastAsia="tr-TR"/>
              </w:rPr>
            </w:pPr>
            <w:r w:rsidRPr="00A8293D">
              <w:rPr>
                <w:b/>
                <w:bCs/>
                <w:sz w:val="18"/>
                <w:szCs w:val="18"/>
                <w:lang w:eastAsia="tr-TR"/>
              </w:rPr>
              <w:t>2,264,742</w:t>
            </w:r>
          </w:p>
        </w:tc>
        <w:tc>
          <w:tcPr>
            <w:tcW w:w="1286" w:type="dxa"/>
            <w:tcBorders>
              <w:top w:val="nil"/>
              <w:left w:val="nil"/>
              <w:bottom w:val="single" w:sz="4" w:space="0" w:color="auto"/>
              <w:right w:val="single" w:sz="4" w:space="0" w:color="auto"/>
            </w:tcBorders>
            <w:shd w:val="clear" w:color="auto" w:fill="auto"/>
            <w:vAlign w:val="center"/>
            <w:hideMark/>
          </w:tcPr>
          <w:p w14:paraId="208D4BC7" w14:textId="77777777" w:rsidR="007361E9" w:rsidRPr="00A8293D" w:rsidRDefault="007361E9" w:rsidP="007361E9">
            <w:pPr>
              <w:jc w:val="right"/>
              <w:rPr>
                <w:b/>
                <w:bCs/>
                <w:sz w:val="18"/>
                <w:szCs w:val="18"/>
                <w:lang w:eastAsia="tr-TR"/>
              </w:rPr>
            </w:pPr>
            <w:r w:rsidRPr="00A8293D">
              <w:rPr>
                <w:b/>
                <w:bCs/>
                <w:sz w:val="18"/>
                <w:szCs w:val="18"/>
                <w:lang w:eastAsia="tr-TR"/>
              </w:rPr>
              <w:t>-</w:t>
            </w:r>
          </w:p>
        </w:tc>
      </w:tr>
      <w:tr w:rsidR="007361E9" w:rsidRPr="00A8293D" w14:paraId="3FDF8ACC" w14:textId="77777777" w:rsidTr="006B1072">
        <w:trPr>
          <w:divId w:val="1447966511"/>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21F95994" w14:textId="77777777" w:rsidR="007361E9" w:rsidRPr="00A8293D" w:rsidRDefault="007361E9" w:rsidP="007361E9">
            <w:pPr>
              <w:ind w:firstLineChars="100" w:firstLine="180"/>
              <w:rPr>
                <w:sz w:val="18"/>
                <w:szCs w:val="18"/>
                <w:lang w:eastAsia="tr-TR"/>
              </w:rPr>
            </w:pPr>
            <w:r w:rsidRPr="00A8293D">
              <w:rPr>
                <w:sz w:val="18"/>
                <w:szCs w:val="18"/>
                <w:lang w:eastAsia="tr-TR"/>
              </w:rPr>
              <w:t xml:space="preserve"> İhracat Kredileri </w:t>
            </w:r>
          </w:p>
        </w:tc>
        <w:tc>
          <w:tcPr>
            <w:tcW w:w="1283" w:type="dxa"/>
            <w:tcBorders>
              <w:top w:val="nil"/>
              <w:left w:val="nil"/>
              <w:bottom w:val="single" w:sz="4" w:space="0" w:color="auto"/>
              <w:right w:val="single" w:sz="4" w:space="0" w:color="auto"/>
            </w:tcBorders>
            <w:shd w:val="clear" w:color="auto" w:fill="auto"/>
            <w:vAlign w:val="center"/>
            <w:hideMark/>
          </w:tcPr>
          <w:p w14:paraId="75EE5290" w14:textId="77777777" w:rsidR="007361E9" w:rsidRPr="00A8293D" w:rsidRDefault="007361E9" w:rsidP="007361E9">
            <w:pPr>
              <w:jc w:val="right"/>
              <w:rPr>
                <w:sz w:val="18"/>
                <w:szCs w:val="18"/>
                <w:lang w:eastAsia="tr-TR"/>
              </w:rPr>
            </w:pPr>
            <w:r w:rsidRPr="00A8293D">
              <w:rPr>
                <w:sz w:val="18"/>
                <w:szCs w:val="18"/>
                <w:lang w:eastAsia="tr-TR"/>
              </w:rPr>
              <w:t>4,531,667</w:t>
            </w:r>
          </w:p>
        </w:tc>
        <w:tc>
          <w:tcPr>
            <w:tcW w:w="1283" w:type="dxa"/>
            <w:tcBorders>
              <w:top w:val="nil"/>
              <w:left w:val="nil"/>
              <w:bottom w:val="single" w:sz="4" w:space="0" w:color="auto"/>
              <w:right w:val="single" w:sz="4" w:space="0" w:color="auto"/>
            </w:tcBorders>
            <w:shd w:val="clear" w:color="auto" w:fill="auto"/>
            <w:vAlign w:val="center"/>
            <w:hideMark/>
          </w:tcPr>
          <w:p w14:paraId="52E2494F" w14:textId="77777777" w:rsidR="007361E9" w:rsidRPr="00A8293D" w:rsidRDefault="007361E9" w:rsidP="007361E9">
            <w:pPr>
              <w:jc w:val="right"/>
              <w:rPr>
                <w:sz w:val="18"/>
                <w:szCs w:val="18"/>
                <w:lang w:eastAsia="tr-TR"/>
              </w:rPr>
            </w:pPr>
            <w:r w:rsidRPr="00A8293D">
              <w:rPr>
                <w:sz w:val="18"/>
                <w:szCs w:val="18"/>
                <w:lang w:eastAsia="tr-TR"/>
              </w:rPr>
              <w:t>319,767</w:t>
            </w:r>
          </w:p>
        </w:tc>
        <w:tc>
          <w:tcPr>
            <w:tcW w:w="1283" w:type="dxa"/>
            <w:tcBorders>
              <w:top w:val="nil"/>
              <w:left w:val="nil"/>
              <w:bottom w:val="single" w:sz="4" w:space="0" w:color="auto"/>
              <w:right w:val="single" w:sz="4" w:space="0" w:color="auto"/>
            </w:tcBorders>
            <w:shd w:val="clear" w:color="auto" w:fill="auto"/>
            <w:vAlign w:val="center"/>
            <w:hideMark/>
          </w:tcPr>
          <w:p w14:paraId="4E234439" w14:textId="77777777" w:rsidR="007361E9" w:rsidRPr="00A8293D" w:rsidRDefault="007361E9" w:rsidP="007361E9">
            <w:pPr>
              <w:jc w:val="right"/>
              <w:rPr>
                <w:sz w:val="18"/>
                <w:szCs w:val="18"/>
                <w:lang w:eastAsia="tr-TR"/>
              </w:rPr>
            </w:pPr>
            <w:r w:rsidRPr="00A8293D">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39FD2775" w14:textId="77777777" w:rsidR="007361E9" w:rsidRPr="00A8293D" w:rsidRDefault="007361E9" w:rsidP="007361E9">
            <w:pPr>
              <w:jc w:val="right"/>
              <w:rPr>
                <w:sz w:val="18"/>
                <w:szCs w:val="18"/>
                <w:lang w:eastAsia="tr-TR"/>
              </w:rPr>
            </w:pPr>
            <w:r w:rsidRPr="00A8293D">
              <w:rPr>
                <w:sz w:val="18"/>
                <w:szCs w:val="18"/>
                <w:lang w:eastAsia="tr-TR"/>
              </w:rPr>
              <w:t>-</w:t>
            </w:r>
          </w:p>
        </w:tc>
      </w:tr>
      <w:tr w:rsidR="007361E9" w:rsidRPr="00A8293D" w14:paraId="44C7E09B" w14:textId="77777777" w:rsidTr="006B1072">
        <w:trPr>
          <w:divId w:val="1447966511"/>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DDC7F09" w14:textId="77777777" w:rsidR="007361E9" w:rsidRPr="00A8293D" w:rsidRDefault="007361E9" w:rsidP="007361E9">
            <w:pPr>
              <w:ind w:firstLineChars="100" w:firstLine="180"/>
              <w:rPr>
                <w:sz w:val="18"/>
                <w:szCs w:val="18"/>
                <w:lang w:eastAsia="tr-TR"/>
              </w:rPr>
            </w:pPr>
            <w:r w:rsidRPr="00A8293D">
              <w:rPr>
                <w:sz w:val="18"/>
                <w:szCs w:val="18"/>
                <w:lang w:eastAsia="tr-TR"/>
              </w:rPr>
              <w:t xml:space="preserve"> İthalat Kredileri </w:t>
            </w:r>
          </w:p>
        </w:tc>
        <w:tc>
          <w:tcPr>
            <w:tcW w:w="1283" w:type="dxa"/>
            <w:tcBorders>
              <w:top w:val="nil"/>
              <w:left w:val="nil"/>
              <w:bottom w:val="single" w:sz="4" w:space="0" w:color="auto"/>
              <w:right w:val="single" w:sz="4" w:space="0" w:color="auto"/>
            </w:tcBorders>
            <w:shd w:val="clear" w:color="auto" w:fill="auto"/>
            <w:vAlign w:val="center"/>
            <w:hideMark/>
          </w:tcPr>
          <w:p w14:paraId="0F026EB0" w14:textId="77777777" w:rsidR="007361E9" w:rsidRPr="00A8293D" w:rsidRDefault="007361E9" w:rsidP="007361E9">
            <w:pPr>
              <w:jc w:val="right"/>
              <w:rPr>
                <w:sz w:val="18"/>
                <w:szCs w:val="18"/>
                <w:lang w:eastAsia="tr-TR"/>
              </w:rPr>
            </w:pPr>
            <w:r w:rsidRPr="00A8293D">
              <w:rPr>
                <w:sz w:val="18"/>
                <w:szCs w:val="18"/>
                <w:lang w:eastAsia="tr-TR"/>
              </w:rPr>
              <w:t>951,591</w:t>
            </w:r>
          </w:p>
        </w:tc>
        <w:tc>
          <w:tcPr>
            <w:tcW w:w="1283" w:type="dxa"/>
            <w:tcBorders>
              <w:top w:val="nil"/>
              <w:left w:val="nil"/>
              <w:bottom w:val="single" w:sz="4" w:space="0" w:color="auto"/>
              <w:right w:val="single" w:sz="4" w:space="0" w:color="auto"/>
            </w:tcBorders>
            <w:shd w:val="clear" w:color="auto" w:fill="auto"/>
            <w:vAlign w:val="center"/>
            <w:hideMark/>
          </w:tcPr>
          <w:p w14:paraId="6B5D177F" w14:textId="77777777" w:rsidR="007361E9" w:rsidRPr="00A8293D" w:rsidRDefault="007361E9" w:rsidP="007361E9">
            <w:pPr>
              <w:jc w:val="right"/>
              <w:rPr>
                <w:sz w:val="18"/>
                <w:szCs w:val="18"/>
                <w:lang w:eastAsia="tr-TR"/>
              </w:rPr>
            </w:pPr>
            <w:r w:rsidRPr="00A8293D">
              <w:rPr>
                <w:sz w:val="18"/>
                <w:szCs w:val="18"/>
                <w:lang w:eastAsia="tr-TR"/>
              </w:rPr>
              <w:t>42,549</w:t>
            </w:r>
          </w:p>
        </w:tc>
        <w:tc>
          <w:tcPr>
            <w:tcW w:w="1283" w:type="dxa"/>
            <w:tcBorders>
              <w:top w:val="nil"/>
              <w:left w:val="nil"/>
              <w:bottom w:val="single" w:sz="4" w:space="0" w:color="auto"/>
              <w:right w:val="single" w:sz="4" w:space="0" w:color="auto"/>
            </w:tcBorders>
            <w:shd w:val="clear" w:color="auto" w:fill="auto"/>
            <w:vAlign w:val="center"/>
            <w:hideMark/>
          </w:tcPr>
          <w:p w14:paraId="6D5B60DD" w14:textId="77777777" w:rsidR="007361E9" w:rsidRPr="00A8293D" w:rsidRDefault="007361E9" w:rsidP="007361E9">
            <w:pPr>
              <w:jc w:val="right"/>
              <w:rPr>
                <w:sz w:val="18"/>
                <w:szCs w:val="18"/>
                <w:lang w:eastAsia="tr-TR"/>
              </w:rPr>
            </w:pPr>
            <w:r w:rsidRPr="00A8293D">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659FF6B1" w14:textId="77777777" w:rsidR="007361E9" w:rsidRPr="00A8293D" w:rsidRDefault="007361E9" w:rsidP="007361E9">
            <w:pPr>
              <w:jc w:val="right"/>
              <w:rPr>
                <w:sz w:val="18"/>
                <w:szCs w:val="18"/>
                <w:lang w:eastAsia="tr-TR"/>
              </w:rPr>
            </w:pPr>
            <w:r w:rsidRPr="00A8293D">
              <w:rPr>
                <w:sz w:val="18"/>
                <w:szCs w:val="18"/>
                <w:lang w:eastAsia="tr-TR"/>
              </w:rPr>
              <w:t>-</w:t>
            </w:r>
          </w:p>
        </w:tc>
      </w:tr>
      <w:tr w:rsidR="007361E9" w:rsidRPr="00A8293D" w14:paraId="4FCF20D0" w14:textId="77777777" w:rsidTr="006B1072">
        <w:trPr>
          <w:divId w:val="1447966511"/>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43008143" w14:textId="77777777" w:rsidR="007361E9" w:rsidRPr="00A8293D" w:rsidRDefault="007361E9" w:rsidP="007361E9">
            <w:pPr>
              <w:ind w:firstLineChars="100" w:firstLine="180"/>
              <w:rPr>
                <w:sz w:val="18"/>
                <w:szCs w:val="18"/>
                <w:lang w:eastAsia="tr-TR"/>
              </w:rPr>
            </w:pPr>
            <w:r w:rsidRPr="00A8293D">
              <w:rPr>
                <w:sz w:val="18"/>
                <w:szCs w:val="18"/>
                <w:lang w:eastAsia="tr-TR"/>
              </w:rPr>
              <w:t xml:space="preserve"> İşletme Kredileri </w:t>
            </w:r>
          </w:p>
        </w:tc>
        <w:tc>
          <w:tcPr>
            <w:tcW w:w="1283" w:type="dxa"/>
            <w:tcBorders>
              <w:top w:val="nil"/>
              <w:left w:val="nil"/>
              <w:bottom w:val="single" w:sz="4" w:space="0" w:color="auto"/>
              <w:right w:val="single" w:sz="4" w:space="0" w:color="auto"/>
            </w:tcBorders>
            <w:shd w:val="clear" w:color="auto" w:fill="auto"/>
            <w:vAlign w:val="center"/>
            <w:hideMark/>
          </w:tcPr>
          <w:p w14:paraId="056BB0D9" w14:textId="77777777" w:rsidR="007361E9" w:rsidRPr="00A8293D" w:rsidRDefault="007361E9" w:rsidP="007361E9">
            <w:pPr>
              <w:jc w:val="right"/>
              <w:rPr>
                <w:sz w:val="18"/>
                <w:szCs w:val="18"/>
                <w:lang w:eastAsia="tr-TR"/>
              </w:rPr>
            </w:pPr>
            <w:r w:rsidRPr="00A8293D">
              <w:rPr>
                <w:sz w:val="18"/>
                <w:szCs w:val="18"/>
                <w:lang w:eastAsia="tr-TR"/>
              </w:rPr>
              <w:t>20,008,117</w:t>
            </w:r>
          </w:p>
        </w:tc>
        <w:tc>
          <w:tcPr>
            <w:tcW w:w="1283" w:type="dxa"/>
            <w:tcBorders>
              <w:top w:val="nil"/>
              <w:left w:val="nil"/>
              <w:bottom w:val="single" w:sz="4" w:space="0" w:color="auto"/>
              <w:right w:val="single" w:sz="4" w:space="0" w:color="auto"/>
            </w:tcBorders>
            <w:shd w:val="clear" w:color="auto" w:fill="auto"/>
            <w:vAlign w:val="center"/>
            <w:hideMark/>
          </w:tcPr>
          <w:p w14:paraId="0F6C2F94" w14:textId="77777777" w:rsidR="007361E9" w:rsidRPr="00A8293D" w:rsidRDefault="007361E9" w:rsidP="007361E9">
            <w:pPr>
              <w:jc w:val="right"/>
              <w:rPr>
                <w:sz w:val="18"/>
                <w:szCs w:val="18"/>
                <w:lang w:eastAsia="tr-TR"/>
              </w:rPr>
            </w:pPr>
            <w:r w:rsidRPr="00A8293D">
              <w:rPr>
                <w:sz w:val="18"/>
                <w:szCs w:val="18"/>
                <w:lang w:eastAsia="tr-TR"/>
              </w:rPr>
              <w:t>2,652,310</w:t>
            </w:r>
          </w:p>
        </w:tc>
        <w:tc>
          <w:tcPr>
            <w:tcW w:w="1283" w:type="dxa"/>
            <w:tcBorders>
              <w:top w:val="nil"/>
              <w:left w:val="nil"/>
              <w:bottom w:val="single" w:sz="4" w:space="0" w:color="auto"/>
              <w:right w:val="single" w:sz="4" w:space="0" w:color="auto"/>
            </w:tcBorders>
            <w:shd w:val="clear" w:color="auto" w:fill="auto"/>
            <w:vAlign w:val="center"/>
            <w:hideMark/>
          </w:tcPr>
          <w:p w14:paraId="446A03D4" w14:textId="77777777" w:rsidR="007361E9" w:rsidRPr="00A8293D" w:rsidRDefault="007361E9" w:rsidP="007361E9">
            <w:pPr>
              <w:jc w:val="right"/>
              <w:rPr>
                <w:sz w:val="18"/>
                <w:szCs w:val="18"/>
                <w:lang w:eastAsia="tr-TR"/>
              </w:rPr>
            </w:pPr>
            <w:r w:rsidRPr="00A8293D">
              <w:rPr>
                <w:sz w:val="18"/>
                <w:szCs w:val="18"/>
                <w:lang w:eastAsia="tr-TR"/>
              </w:rPr>
              <w:t>2,194,384</w:t>
            </w:r>
          </w:p>
        </w:tc>
        <w:tc>
          <w:tcPr>
            <w:tcW w:w="1286" w:type="dxa"/>
            <w:tcBorders>
              <w:top w:val="nil"/>
              <w:left w:val="nil"/>
              <w:bottom w:val="single" w:sz="4" w:space="0" w:color="auto"/>
              <w:right w:val="single" w:sz="4" w:space="0" w:color="auto"/>
            </w:tcBorders>
            <w:shd w:val="clear" w:color="auto" w:fill="auto"/>
            <w:vAlign w:val="center"/>
            <w:hideMark/>
          </w:tcPr>
          <w:p w14:paraId="3221A54C" w14:textId="77777777" w:rsidR="007361E9" w:rsidRPr="00A8293D" w:rsidRDefault="007361E9" w:rsidP="007361E9">
            <w:pPr>
              <w:jc w:val="right"/>
              <w:rPr>
                <w:sz w:val="18"/>
                <w:szCs w:val="18"/>
                <w:lang w:eastAsia="tr-TR"/>
              </w:rPr>
            </w:pPr>
            <w:r w:rsidRPr="00A8293D">
              <w:rPr>
                <w:sz w:val="18"/>
                <w:szCs w:val="18"/>
                <w:lang w:eastAsia="tr-TR"/>
              </w:rPr>
              <w:t>-</w:t>
            </w:r>
          </w:p>
        </w:tc>
      </w:tr>
      <w:tr w:rsidR="007361E9" w:rsidRPr="00A8293D" w14:paraId="6E573925" w14:textId="77777777" w:rsidTr="006B1072">
        <w:trPr>
          <w:divId w:val="1447966511"/>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582A9AFC" w14:textId="77777777" w:rsidR="007361E9" w:rsidRPr="00A8293D" w:rsidRDefault="007361E9" w:rsidP="007361E9">
            <w:pPr>
              <w:ind w:firstLineChars="100" w:firstLine="180"/>
              <w:rPr>
                <w:sz w:val="18"/>
                <w:szCs w:val="18"/>
                <w:lang w:eastAsia="tr-TR"/>
              </w:rPr>
            </w:pPr>
            <w:r w:rsidRPr="00A8293D">
              <w:rPr>
                <w:sz w:val="18"/>
                <w:szCs w:val="18"/>
                <w:lang w:eastAsia="tr-TR"/>
              </w:rPr>
              <w:t xml:space="preserve"> Tüketici Kredileri </w:t>
            </w:r>
          </w:p>
        </w:tc>
        <w:tc>
          <w:tcPr>
            <w:tcW w:w="1283" w:type="dxa"/>
            <w:tcBorders>
              <w:top w:val="nil"/>
              <w:left w:val="nil"/>
              <w:bottom w:val="single" w:sz="4" w:space="0" w:color="auto"/>
              <w:right w:val="single" w:sz="4" w:space="0" w:color="auto"/>
            </w:tcBorders>
            <w:shd w:val="clear" w:color="auto" w:fill="auto"/>
            <w:vAlign w:val="center"/>
            <w:hideMark/>
          </w:tcPr>
          <w:p w14:paraId="7588A410" w14:textId="77777777" w:rsidR="007361E9" w:rsidRPr="00A8293D" w:rsidRDefault="007361E9" w:rsidP="007361E9">
            <w:pPr>
              <w:jc w:val="right"/>
              <w:rPr>
                <w:sz w:val="18"/>
                <w:szCs w:val="18"/>
                <w:lang w:eastAsia="tr-TR"/>
              </w:rPr>
            </w:pPr>
            <w:r w:rsidRPr="00A8293D">
              <w:rPr>
                <w:sz w:val="18"/>
                <w:szCs w:val="18"/>
                <w:lang w:eastAsia="tr-TR"/>
              </w:rPr>
              <w:t>7,548,035</w:t>
            </w:r>
          </w:p>
        </w:tc>
        <w:tc>
          <w:tcPr>
            <w:tcW w:w="1283" w:type="dxa"/>
            <w:tcBorders>
              <w:top w:val="nil"/>
              <w:left w:val="nil"/>
              <w:bottom w:val="single" w:sz="4" w:space="0" w:color="auto"/>
              <w:right w:val="single" w:sz="4" w:space="0" w:color="auto"/>
            </w:tcBorders>
            <w:shd w:val="clear" w:color="auto" w:fill="auto"/>
            <w:vAlign w:val="center"/>
            <w:hideMark/>
          </w:tcPr>
          <w:p w14:paraId="160AF6F2" w14:textId="77777777" w:rsidR="007361E9" w:rsidRPr="00A8293D" w:rsidRDefault="007361E9" w:rsidP="007361E9">
            <w:pPr>
              <w:jc w:val="right"/>
              <w:rPr>
                <w:sz w:val="18"/>
                <w:szCs w:val="18"/>
                <w:lang w:eastAsia="tr-TR"/>
              </w:rPr>
            </w:pPr>
            <w:r w:rsidRPr="00A8293D">
              <w:rPr>
                <w:sz w:val="18"/>
                <w:szCs w:val="18"/>
                <w:lang w:eastAsia="tr-TR"/>
              </w:rPr>
              <w:t>304,840</w:t>
            </w:r>
          </w:p>
        </w:tc>
        <w:tc>
          <w:tcPr>
            <w:tcW w:w="1283" w:type="dxa"/>
            <w:tcBorders>
              <w:top w:val="nil"/>
              <w:left w:val="nil"/>
              <w:bottom w:val="single" w:sz="4" w:space="0" w:color="auto"/>
              <w:right w:val="single" w:sz="4" w:space="0" w:color="auto"/>
            </w:tcBorders>
            <w:shd w:val="clear" w:color="auto" w:fill="auto"/>
            <w:vAlign w:val="center"/>
            <w:hideMark/>
          </w:tcPr>
          <w:p w14:paraId="3DB06294" w14:textId="77777777" w:rsidR="007361E9" w:rsidRPr="00A8293D" w:rsidRDefault="007361E9" w:rsidP="007361E9">
            <w:pPr>
              <w:jc w:val="right"/>
              <w:rPr>
                <w:sz w:val="18"/>
                <w:szCs w:val="18"/>
                <w:lang w:eastAsia="tr-TR"/>
              </w:rPr>
            </w:pPr>
            <w:r w:rsidRPr="00A8293D">
              <w:rPr>
                <w:sz w:val="18"/>
                <w:szCs w:val="18"/>
                <w:lang w:eastAsia="tr-TR"/>
              </w:rPr>
              <w:t>47,325</w:t>
            </w:r>
          </w:p>
        </w:tc>
        <w:tc>
          <w:tcPr>
            <w:tcW w:w="1286" w:type="dxa"/>
            <w:tcBorders>
              <w:top w:val="nil"/>
              <w:left w:val="nil"/>
              <w:bottom w:val="single" w:sz="4" w:space="0" w:color="auto"/>
              <w:right w:val="single" w:sz="4" w:space="0" w:color="auto"/>
            </w:tcBorders>
            <w:shd w:val="clear" w:color="auto" w:fill="auto"/>
            <w:vAlign w:val="center"/>
            <w:hideMark/>
          </w:tcPr>
          <w:p w14:paraId="32C2983D" w14:textId="77777777" w:rsidR="007361E9" w:rsidRPr="00A8293D" w:rsidRDefault="007361E9" w:rsidP="007361E9">
            <w:pPr>
              <w:jc w:val="right"/>
              <w:rPr>
                <w:sz w:val="18"/>
                <w:szCs w:val="18"/>
                <w:lang w:eastAsia="tr-TR"/>
              </w:rPr>
            </w:pPr>
            <w:r w:rsidRPr="00A8293D">
              <w:rPr>
                <w:sz w:val="18"/>
                <w:szCs w:val="18"/>
                <w:lang w:eastAsia="tr-TR"/>
              </w:rPr>
              <w:t>-</w:t>
            </w:r>
          </w:p>
        </w:tc>
      </w:tr>
      <w:tr w:rsidR="007361E9" w:rsidRPr="00A8293D" w14:paraId="0D9ED4BC" w14:textId="77777777" w:rsidTr="006B1072">
        <w:trPr>
          <w:divId w:val="1447966511"/>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23382A3E" w14:textId="77777777" w:rsidR="007361E9" w:rsidRPr="00A8293D" w:rsidRDefault="007361E9" w:rsidP="007361E9">
            <w:pPr>
              <w:ind w:firstLineChars="100" w:firstLine="180"/>
              <w:rPr>
                <w:sz w:val="18"/>
                <w:szCs w:val="18"/>
                <w:lang w:eastAsia="tr-TR"/>
              </w:rPr>
            </w:pPr>
            <w:r w:rsidRPr="00A8293D">
              <w:rPr>
                <w:sz w:val="18"/>
                <w:szCs w:val="18"/>
                <w:lang w:eastAsia="tr-TR"/>
              </w:rPr>
              <w:t xml:space="preserve"> Kredi Kartları </w:t>
            </w:r>
          </w:p>
        </w:tc>
        <w:tc>
          <w:tcPr>
            <w:tcW w:w="1283" w:type="dxa"/>
            <w:tcBorders>
              <w:top w:val="nil"/>
              <w:left w:val="nil"/>
              <w:bottom w:val="single" w:sz="4" w:space="0" w:color="auto"/>
              <w:right w:val="single" w:sz="4" w:space="0" w:color="auto"/>
            </w:tcBorders>
            <w:shd w:val="clear" w:color="auto" w:fill="auto"/>
            <w:vAlign w:val="center"/>
            <w:hideMark/>
          </w:tcPr>
          <w:p w14:paraId="3CB95248" w14:textId="77777777" w:rsidR="007361E9" w:rsidRPr="00A8293D" w:rsidRDefault="007361E9" w:rsidP="007361E9">
            <w:pPr>
              <w:jc w:val="right"/>
              <w:rPr>
                <w:sz w:val="18"/>
                <w:szCs w:val="18"/>
                <w:lang w:eastAsia="tr-TR"/>
              </w:rPr>
            </w:pPr>
            <w:r w:rsidRPr="00A8293D">
              <w:rPr>
                <w:sz w:val="18"/>
                <w:szCs w:val="18"/>
                <w:lang w:eastAsia="tr-TR"/>
              </w:rPr>
              <w:t>948,460</w:t>
            </w:r>
          </w:p>
        </w:tc>
        <w:tc>
          <w:tcPr>
            <w:tcW w:w="1283" w:type="dxa"/>
            <w:tcBorders>
              <w:top w:val="nil"/>
              <w:left w:val="nil"/>
              <w:bottom w:val="single" w:sz="4" w:space="0" w:color="auto"/>
              <w:right w:val="single" w:sz="4" w:space="0" w:color="auto"/>
            </w:tcBorders>
            <w:shd w:val="clear" w:color="auto" w:fill="auto"/>
            <w:vAlign w:val="center"/>
            <w:hideMark/>
          </w:tcPr>
          <w:p w14:paraId="2C96721E" w14:textId="77777777" w:rsidR="007361E9" w:rsidRPr="00A8293D" w:rsidRDefault="007361E9" w:rsidP="007361E9">
            <w:pPr>
              <w:jc w:val="right"/>
              <w:rPr>
                <w:sz w:val="18"/>
                <w:szCs w:val="18"/>
                <w:lang w:eastAsia="tr-TR"/>
              </w:rPr>
            </w:pPr>
            <w:r w:rsidRPr="00A8293D">
              <w:rPr>
                <w:sz w:val="18"/>
                <w:szCs w:val="18"/>
                <w:lang w:eastAsia="tr-TR"/>
              </w:rPr>
              <w:t>117,001</w:t>
            </w:r>
          </w:p>
        </w:tc>
        <w:tc>
          <w:tcPr>
            <w:tcW w:w="1283" w:type="dxa"/>
            <w:tcBorders>
              <w:top w:val="nil"/>
              <w:left w:val="nil"/>
              <w:bottom w:val="single" w:sz="4" w:space="0" w:color="auto"/>
              <w:right w:val="single" w:sz="4" w:space="0" w:color="auto"/>
            </w:tcBorders>
            <w:shd w:val="clear" w:color="auto" w:fill="auto"/>
            <w:vAlign w:val="center"/>
            <w:hideMark/>
          </w:tcPr>
          <w:p w14:paraId="22A4BA33" w14:textId="77777777" w:rsidR="007361E9" w:rsidRPr="00A8293D" w:rsidRDefault="007361E9" w:rsidP="007361E9">
            <w:pPr>
              <w:jc w:val="right"/>
              <w:rPr>
                <w:sz w:val="18"/>
                <w:szCs w:val="18"/>
                <w:lang w:eastAsia="tr-TR"/>
              </w:rPr>
            </w:pPr>
            <w:r w:rsidRPr="00A8293D">
              <w:rPr>
                <w:sz w:val="18"/>
                <w:szCs w:val="18"/>
                <w:lang w:eastAsia="tr-TR"/>
              </w:rPr>
              <w:t>23,033</w:t>
            </w:r>
          </w:p>
        </w:tc>
        <w:tc>
          <w:tcPr>
            <w:tcW w:w="1286" w:type="dxa"/>
            <w:tcBorders>
              <w:top w:val="nil"/>
              <w:left w:val="nil"/>
              <w:bottom w:val="single" w:sz="4" w:space="0" w:color="auto"/>
              <w:right w:val="single" w:sz="4" w:space="0" w:color="auto"/>
            </w:tcBorders>
            <w:shd w:val="clear" w:color="auto" w:fill="auto"/>
            <w:vAlign w:val="center"/>
            <w:hideMark/>
          </w:tcPr>
          <w:p w14:paraId="2487ED14" w14:textId="77777777" w:rsidR="007361E9" w:rsidRPr="00A8293D" w:rsidRDefault="007361E9" w:rsidP="007361E9">
            <w:pPr>
              <w:jc w:val="right"/>
              <w:rPr>
                <w:sz w:val="18"/>
                <w:szCs w:val="18"/>
                <w:lang w:eastAsia="tr-TR"/>
              </w:rPr>
            </w:pPr>
            <w:r w:rsidRPr="00A8293D">
              <w:rPr>
                <w:sz w:val="18"/>
                <w:szCs w:val="18"/>
                <w:lang w:eastAsia="tr-TR"/>
              </w:rPr>
              <w:t>-</w:t>
            </w:r>
          </w:p>
        </w:tc>
      </w:tr>
      <w:tr w:rsidR="007361E9" w:rsidRPr="00A8293D" w14:paraId="794F6055" w14:textId="77777777" w:rsidTr="006B1072">
        <w:trPr>
          <w:divId w:val="1447966511"/>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2153FA2E" w14:textId="77777777" w:rsidR="007361E9" w:rsidRPr="00A8293D" w:rsidRDefault="007361E9" w:rsidP="007361E9">
            <w:pPr>
              <w:ind w:firstLineChars="100" w:firstLine="180"/>
              <w:rPr>
                <w:sz w:val="18"/>
                <w:szCs w:val="18"/>
                <w:lang w:eastAsia="tr-TR"/>
              </w:rPr>
            </w:pPr>
            <w:r w:rsidRPr="00A8293D">
              <w:rPr>
                <w:sz w:val="18"/>
                <w:szCs w:val="18"/>
                <w:lang w:eastAsia="tr-TR"/>
              </w:rPr>
              <w:t xml:space="preserve"> Mali Kesime Verilen Krediler </w:t>
            </w:r>
          </w:p>
        </w:tc>
        <w:tc>
          <w:tcPr>
            <w:tcW w:w="1283" w:type="dxa"/>
            <w:tcBorders>
              <w:top w:val="nil"/>
              <w:left w:val="nil"/>
              <w:bottom w:val="single" w:sz="4" w:space="0" w:color="auto"/>
              <w:right w:val="single" w:sz="4" w:space="0" w:color="auto"/>
            </w:tcBorders>
            <w:shd w:val="clear" w:color="auto" w:fill="auto"/>
            <w:vAlign w:val="center"/>
            <w:hideMark/>
          </w:tcPr>
          <w:p w14:paraId="2DB16DEF" w14:textId="77777777" w:rsidR="007361E9" w:rsidRPr="00A8293D" w:rsidRDefault="007361E9" w:rsidP="007361E9">
            <w:pPr>
              <w:jc w:val="right"/>
              <w:rPr>
                <w:sz w:val="18"/>
                <w:szCs w:val="18"/>
                <w:lang w:eastAsia="tr-TR"/>
              </w:rPr>
            </w:pPr>
            <w:r w:rsidRPr="00A8293D">
              <w:rPr>
                <w:sz w:val="18"/>
                <w:szCs w:val="18"/>
                <w:lang w:eastAsia="tr-TR"/>
              </w:rPr>
              <w:t>8,998,593</w:t>
            </w:r>
          </w:p>
        </w:tc>
        <w:tc>
          <w:tcPr>
            <w:tcW w:w="1283" w:type="dxa"/>
            <w:tcBorders>
              <w:top w:val="nil"/>
              <w:left w:val="nil"/>
              <w:bottom w:val="single" w:sz="4" w:space="0" w:color="auto"/>
              <w:right w:val="single" w:sz="4" w:space="0" w:color="auto"/>
            </w:tcBorders>
            <w:shd w:val="clear" w:color="auto" w:fill="auto"/>
            <w:vAlign w:val="center"/>
            <w:hideMark/>
          </w:tcPr>
          <w:p w14:paraId="0AD33EA6" w14:textId="77777777" w:rsidR="007361E9" w:rsidRPr="00A8293D" w:rsidRDefault="007361E9" w:rsidP="007361E9">
            <w:pPr>
              <w:jc w:val="right"/>
              <w:rPr>
                <w:sz w:val="18"/>
                <w:szCs w:val="18"/>
                <w:lang w:eastAsia="tr-TR"/>
              </w:rPr>
            </w:pPr>
            <w:r w:rsidRPr="00A8293D">
              <w:rPr>
                <w:sz w:val="18"/>
                <w:szCs w:val="18"/>
                <w:lang w:eastAsia="tr-TR"/>
              </w:rPr>
              <w:t>-</w:t>
            </w:r>
          </w:p>
        </w:tc>
        <w:tc>
          <w:tcPr>
            <w:tcW w:w="1283" w:type="dxa"/>
            <w:tcBorders>
              <w:top w:val="nil"/>
              <w:left w:val="nil"/>
              <w:bottom w:val="single" w:sz="4" w:space="0" w:color="auto"/>
              <w:right w:val="single" w:sz="4" w:space="0" w:color="auto"/>
            </w:tcBorders>
            <w:shd w:val="clear" w:color="auto" w:fill="auto"/>
            <w:vAlign w:val="center"/>
            <w:hideMark/>
          </w:tcPr>
          <w:p w14:paraId="65170B18" w14:textId="77777777" w:rsidR="007361E9" w:rsidRPr="00A8293D" w:rsidRDefault="007361E9" w:rsidP="007361E9">
            <w:pPr>
              <w:jc w:val="right"/>
              <w:rPr>
                <w:sz w:val="18"/>
                <w:szCs w:val="18"/>
                <w:lang w:eastAsia="tr-TR"/>
              </w:rPr>
            </w:pPr>
            <w:r w:rsidRPr="00A8293D">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401178AD" w14:textId="77777777" w:rsidR="007361E9" w:rsidRPr="00A8293D" w:rsidRDefault="007361E9" w:rsidP="007361E9">
            <w:pPr>
              <w:jc w:val="right"/>
              <w:rPr>
                <w:sz w:val="18"/>
                <w:szCs w:val="18"/>
                <w:lang w:eastAsia="tr-TR"/>
              </w:rPr>
            </w:pPr>
            <w:r w:rsidRPr="00A8293D">
              <w:rPr>
                <w:sz w:val="18"/>
                <w:szCs w:val="18"/>
                <w:lang w:eastAsia="tr-TR"/>
              </w:rPr>
              <w:t>-</w:t>
            </w:r>
          </w:p>
        </w:tc>
      </w:tr>
      <w:tr w:rsidR="007361E9" w:rsidRPr="00A8293D" w14:paraId="0A071B0A" w14:textId="77777777" w:rsidTr="006B1072">
        <w:trPr>
          <w:divId w:val="1447966511"/>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52F94C3" w14:textId="77777777" w:rsidR="007361E9" w:rsidRPr="00A8293D" w:rsidRDefault="007361E9" w:rsidP="007361E9">
            <w:pPr>
              <w:ind w:firstLineChars="100" w:firstLine="180"/>
              <w:rPr>
                <w:sz w:val="18"/>
                <w:szCs w:val="18"/>
                <w:lang w:eastAsia="tr-TR"/>
              </w:rPr>
            </w:pPr>
            <w:r w:rsidRPr="00A8293D">
              <w:rPr>
                <w:sz w:val="18"/>
                <w:szCs w:val="18"/>
                <w:lang w:eastAsia="tr-TR"/>
              </w:rPr>
              <w:t xml:space="preserve"> Diğer  </w:t>
            </w:r>
          </w:p>
        </w:tc>
        <w:tc>
          <w:tcPr>
            <w:tcW w:w="1283" w:type="dxa"/>
            <w:tcBorders>
              <w:top w:val="nil"/>
              <w:left w:val="nil"/>
              <w:bottom w:val="single" w:sz="4" w:space="0" w:color="auto"/>
              <w:right w:val="single" w:sz="4" w:space="0" w:color="auto"/>
            </w:tcBorders>
            <w:shd w:val="clear" w:color="auto" w:fill="auto"/>
            <w:vAlign w:val="center"/>
            <w:hideMark/>
          </w:tcPr>
          <w:p w14:paraId="3D6AEEA8" w14:textId="77777777" w:rsidR="007361E9" w:rsidRPr="00A8293D" w:rsidRDefault="007361E9" w:rsidP="007361E9">
            <w:pPr>
              <w:jc w:val="right"/>
              <w:rPr>
                <w:sz w:val="18"/>
                <w:szCs w:val="18"/>
                <w:lang w:eastAsia="tr-TR"/>
              </w:rPr>
            </w:pPr>
            <w:r w:rsidRPr="00A8293D">
              <w:rPr>
                <w:sz w:val="18"/>
                <w:szCs w:val="18"/>
                <w:lang w:eastAsia="tr-TR"/>
              </w:rPr>
              <w:t>4,337,680</w:t>
            </w:r>
          </w:p>
        </w:tc>
        <w:tc>
          <w:tcPr>
            <w:tcW w:w="1283" w:type="dxa"/>
            <w:tcBorders>
              <w:top w:val="nil"/>
              <w:left w:val="nil"/>
              <w:bottom w:val="single" w:sz="4" w:space="0" w:color="auto"/>
              <w:right w:val="single" w:sz="4" w:space="0" w:color="auto"/>
            </w:tcBorders>
            <w:shd w:val="clear" w:color="auto" w:fill="auto"/>
            <w:vAlign w:val="center"/>
            <w:hideMark/>
          </w:tcPr>
          <w:p w14:paraId="4A527993" w14:textId="77777777" w:rsidR="007361E9" w:rsidRPr="00A8293D" w:rsidRDefault="007361E9" w:rsidP="007361E9">
            <w:pPr>
              <w:jc w:val="right"/>
              <w:rPr>
                <w:sz w:val="18"/>
                <w:szCs w:val="18"/>
                <w:lang w:eastAsia="tr-TR"/>
              </w:rPr>
            </w:pPr>
            <w:r w:rsidRPr="00A8293D">
              <w:rPr>
                <w:sz w:val="18"/>
                <w:szCs w:val="18"/>
                <w:lang w:eastAsia="tr-TR"/>
              </w:rPr>
              <w:t>120,235</w:t>
            </w:r>
          </w:p>
        </w:tc>
        <w:tc>
          <w:tcPr>
            <w:tcW w:w="1283" w:type="dxa"/>
            <w:tcBorders>
              <w:top w:val="nil"/>
              <w:left w:val="nil"/>
              <w:bottom w:val="single" w:sz="4" w:space="0" w:color="auto"/>
              <w:right w:val="single" w:sz="4" w:space="0" w:color="auto"/>
            </w:tcBorders>
            <w:shd w:val="clear" w:color="auto" w:fill="auto"/>
            <w:vAlign w:val="center"/>
            <w:hideMark/>
          </w:tcPr>
          <w:p w14:paraId="590ECE5F" w14:textId="77777777" w:rsidR="007361E9" w:rsidRPr="00A8293D" w:rsidRDefault="007361E9" w:rsidP="007361E9">
            <w:pPr>
              <w:jc w:val="right"/>
              <w:rPr>
                <w:sz w:val="18"/>
                <w:szCs w:val="18"/>
                <w:lang w:eastAsia="tr-TR"/>
              </w:rPr>
            </w:pPr>
            <w:r w:rsidRPr="00A8293D">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281007C7" w14:textId="77777777" w:rsidR="007361E9" w:rsidRPr="00A8293D" w:rsidRDefault="007361E9" w:rsidP="007361E9">
            <w:pPr>
              <w:jc w:val="right"/>
              <w:rPr>
                <w:sz w:val="18"/>
                <w:szCs w:val="18"/>
                <w:lang w:eastAsia="tr-TR"/>
              </w:rPr>
            </w:pPr>
            <w:r w:rsidRPr="00A8293D">
              <w:rPr>
                <w:sz w:val="18"/>
                <w:szCs w:val="18"/>
                <w:lang w:eastAsia="tr-TR"/>
              </w:rPr>
              <w:t>-</w:t>
            </w:r>
          </w:p>
        </w:tc>
      </w:tr>
      <w:tr w:rsidR="007361E9" w:rsidRPr="00A8293D" w14:paraId="749790A4" w14:textId="77777777" w:rsidTr="006B1072">
        <w:trPr>
          <w:divId w:val="1447966511"/>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4DA4F585" w14:textId="77777777" w:rsidR="007361E9" w:rsidRPr="00A8293D" w:rsidRDefault="007361E9" w:rsidP="007361E9">
            <w:pPr>
              <w:jc w:val="both"/>
              <w:rPr>
                <w:b/>
                <w:bCs/>
                <w:sz w:val="18"/>
                <w:szCs w:val="18"/>
                <w:lang w:eastAsia="tr-TR"/>
              </w:rPr>
            </w:pPr>
            <w:r w:rsidRPr="00A8293D">
              <w:rPr>
                <w:b/>
                <w:bCs/>
                <w:sz w:val="18"/>
                <w:szCs w:val="18"/>
                <w:lang w:eastAsia="tr-TR"/>
              </w:rPr>
              <w:t>Diğer Alacaklar</w:t>
            </w:r>
          </w:p>
        </w:tc>
        <w:tc>
          <w:tcPr>
            <w:tcW w:w="1283" w:type="dxa"/>
            <w:tcBorders>
              <w:top w:val="nil"/>
              <w:left w:val="nil"/>
              <w:bottom w:val="single" w:sz="4" w:space="0" w:color="auto"/>
              <w:right w:val="single" w:sz="4" w:space="0" w:color="auto"/>
            </w:tcBorders>
            <w:shd w:val="clear" w:color="auto" w:fill="auto"/>
            <w:vAlign w:val="center"/>
            <w:hideMark/>
          </w:tcPr>
          <w:p w14:paraId="4C6BD392" w14:textId="77777777" w:rsidR="007361E9" w:rsidRPr="00A8293D" w:rsidRDefault="007361E9" w:rsidP="007361E9">
            <w:pPr>
              <w:jc w:val="right"/>
              <w:rPr>
                <w:b/>
                <w:bCs/>
                <w:sz w:val="18"/>
                <w:szCs w:val="18"/>
                <w:lang w:eastAsia="tr-TR"/>
              </w:rPr>
            </w:pPr>
            <w:r w:rsidRPr="00A8293D">
              <w:rPr>
                <w:b/>
                <w:bCs/>
                <w:sz w:val="18"/>
                <w:szCs w:val="18"/>
                <w:lang w:eastAsia="tr-TR"/>
              </w:rPr>
              <w:t>2,697</w:t>
            </w:r>
          </w:p>
        </w:tc>
        <w:tc>
          <w:tcPr>
            <w:tcW w:w="1283" w:type="dxa"/>
            <w:tcBorders>
              <w:top w:val="nil"/>
              <w:left w:val="nil"/>
              <w:bottom w:val="single" w:sz="4" w:space="0" w:color="auto"/>
              <w:right w:val="single" w:sz="4" w:space="0" w:color="auto"/>
            </w:tcBorders>
            <w:shd w:val="clear" w:color="auto" w:fill="auto"/>
            <w:vAlign w:val="center"/>
            <w:hideMark/>
          </w:tcPr>
          <w:p w14:paraId="5FA0633A" w14:textId="77777777" w:rsidR="007361E9" w:rsidRPr="00A8293D" w:rsidRDefault="007361E9" w:rsidP="007361E9">
            <w:pPr>
              <w:jc w:val="right"/>
              <w:rPr>
                <w:b/>
                <w:bCs/>
                <w:sz w:val="18"/>
                <w:szCs w:val="18"/>
                <w:lang w:eastAsia="tr-TR"/>
              </w:rPr>
            </w:pPr>
            <w:r w:rsidRPr="00A8293D">
              <w:rPr>
                <w:b/>
                <w:bCs/>
                <w:sz w:val="18"/>
                <w:szCs w:val="18"/>
                <w:lang w:eastAsia="tr-TR"/>
              </w:rPr>
              <w:t>15,292</w:t>
            </w:r>
          </w:p>
        </w:tc>
        <w:tc>
          <w:tcPr>
            <w:tcW w:w="1283" w:type="dxa"/>
            <w:tcBorders>
              <w:top w:val="nil"/>
              <w:left w:val="nil"/>
              <w:bottom w:val="single" w:sz="4" w:space="0" w:color="auto"/>
              <w:right w:val="single" w:sz="4" w:space="0" w:color="auto"/>
            </w:tcBorders>
            <w:shd w:val="clear" w:color="auto" w:fill="auto"/>
            <w:vAlign w:val="center"/>
            <w:hideMark/>
          </w:tcPr>
          <w:p w14:paraId="270B8416" w14:textId="77777777" w:rsidR="007361E9" w:rsidRPr="00A8293D" w:rsidRDefault="007361E9" w:rsidP="007361E9">
            <w:pPr>
              <w:jc w:val="right"/>
              <w:rPr>
                <w:b/>
                <w:bCs/>
                <w:sz w:val="18"/>
                <w:szCs w:val="18"/>
                <w:lang w:eastAsia="tr-TR"/>
              </w:rPr>
            </w:pPr>
            <w:r w:rsidRPr="00A8293D">
              <w:rPr>
                <w:b/>
                <w:bCs/>
                <w:sz w:val="18"/>
                <w:szCs w:val="18"/>
                <w:lang w:eastAsia="tr-TR"/>
              </w:rPr>
              <w:t>11,199</w:t>
            </w:r>
          </w:p>
        </w:tc>
        <w:tc>
          <w:tcPr>
            <w:tcW w:w="1286" w:type="dxa"/>
            <w:tcBorders>
              <w:top w:val="nil"/>
              <w:left w:val="nil"/>
              <w:bottom w:val="single" w:sz="4" w:space="0" w:color="auto"/>
              <w:right w:val="single" w:sz="4" w:space="0" w:color="auto"/>
            </w:tcBorders>
            <w:shd w:val="clear" w:color="auto" w:fill="auto"/>
            <w:vAlign w:val="center"/>
            <w:hideMark/>
          </w:tcPr>
          <w:p w14:paraId="7FD6F590" w14:textId="77777777" w:rsidR="007361E9" w:rsidRPr="00A8293D" w:rsidRDefault="007361E9" w:rsidP="007361E9">
            <w:pPr>
              <w:jc w:val="right"/>
              <w:rPr>
                <w:b/>
                <w:bCs/>
                <w:sz w:val="18"/>
                <w:szCs w:val="18"/>
                <w:lang w:eastAsia="tr-TR"/>
              </w:rPr>
            </w:pPr>
            <w:r w:rsidRPr="00A8293D">
              <w:rPr>
                <w:b/>
                <w:bCs/>
                <w:sz w:val="18"/>
                <w:szCs w:val="18"/>
                <w:lang w:eastAsia="tr-TR"/>
              </w:rPr>
              <w:t>-</w:t>
            </w:r>
          </w:p>
        </w:tc>
      </w:tr>
      <w:tr w:rsidR="007361E9" w:rsidRPr="00A8293D" w14:paraId="5E6E0F3E" w14:textId="77777777" w:rsidTr="006B1072">
        <w:trPr>
          <w:divId w:val="1447966511"/>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594E32E" w14:textId="77777777" w:rsidR="007361E9" w:rsidRPr="00A8293D" w:rsidRDefault="007361E9" w:rsidP="007361E9">
            <w:pPr>
              <w:jc w:val="both"/>
              <w:rPr>
                <w:b/>
                <w:bCs/>
                <w:sz w:val="18"/>
                <w:szCs w:val="18"/>
                <w:lang w:eastAsia="tr-TR"/>
              </w:rPr>
            </w:pPr>
            <w:r w:rsidRPr="00A8293D">
              <w:rPr>
                <w:b/>
                <w:bCs/>
                <w:sz w:val="18"/>
                <w:szCs w:val="18"/>
                <w:lang w:eastAsia="tr-TR"/>
              </w:rPr>
              <w:t>Toplam</w:t>
            </w:r>
          </w:p>
        </w:tc>
        <w:tc>
          <w:tcPr>
            <w:tcW w:w="1283" w:type="dxa"/>
            <w:tcBorders>
              <w:top w:val="nil"/>
              <w:left w:val="nil"/>
              <w:bottom w:val="single" w:sz="4" w:space="0" w:color="auto"/>
              <w:right w:val="single" w:sz="4" w:space="0" w:color="auto"/>
            </w:tcBorders>
            <w:shd w:val="clear" w:color="auto" w:fill="auto"/>
            <w:vAlign w:val="center"/>
            <w:hideMark/>
          </w:tcPr>
          <w:p w14:paraId="6BDC426F" w14:textId="77777777" w:rsidR="007361E9" w:rsidRPr="00A8293D" w:rsidRDefault="007361E9" w:rsidP="007361E9">
            <w:pPr>
              <w:jc w:val="right"/>
              <w:rPr>
                <w:b/>
                <w:bCs/>
                <w:sz w:val="18"/>
                <w:szCs w:val="18"/>
                <w:lang w:eastAsia="tr-TR"/>
              </w:rPr>
            </w:pPr>
            <w:r w:rsidRPr="00A8293D">
              <w:rPr>
                <w:b/>
                <w:bCs/>
                <w:sz w:val="18"/>
                <w:szCs w:val="18"/>
                <w:lang w:eastAsia="tr-TR"/>
              </w:rPr>
              <w:t>47,326,840</w:t>
            </w:r>
          </w:p>
        </w:tc>
        <w:tc>
          <w:tcPr>
            <w:tcW w:w="1283" w:type="dxa"/>
            <w:tcBorders>
              <w:top w:val="nil"/>
              <w:left w:val="nil"/>
              <w:bottom w:val="single" w:sz="4" w:space="0" w:color="auto"/>
              <w:right w:val="single" w:sz="4" w:space="0" w:color="auto"/>
            </w:tcBorders>
            <w:shd w:val="clear" w:color="auto" w:fill="auto"/>
            <w:vAlign w:val="center"/>
            <w:hideMark/>
          </w:tcPr>
          <w:p w14:paraId="7BED9DB9" w14:textId="77777777" w:rsidR="007361E9" w:rsidRPr="00A8293D" w:rsidRDefault="007361E9" w:rsidP="007361E9">
            <w:pPr>
              <w:jc w:val="right"/>
              <w:rPr>
                <w:b/>
                <w:bCs/>
                <w:sz w:val="18"/>
                <w:szCs w:val="18"/>
                <w:lang w:eastAsia="tr-TR"/>
              </w:rPr>
            </w:pPr>
            <w:r w:rsidRPr="00A8293D">
              <w:rPr>
                <w:b/>
                <w:bCs/>
                <w:sz w:val="18"/>
                <w:szCs w:val="18"/>
                <w:lang w:eastAsia="tr-TR"/>
              </w:rPr>
              <w:t>3,571,994</w:t>
            </w:r>
          </w:p>
        </w:tc>
        <w:tc>
          <w:tcPr>
            <w:tcW w:w="1283" w:type="dxa"/>
            <w:tcBorders>
              <w:top w:val="nil"/>
              <w:left w:val="nil"/>
              <w:bottom w:val="single" w:sz="4" w:space="0" w:color="auto"/>
              <w:right w:val="single" w:sz="4" w:space="0" w:color="auto"/>
            </w:tcBorders>
            <w:shd w:val="clear" w:color="auto" w:fill="auto"/>
            <w:vAlign w:val="center"/>
            <w:hideMark/>
          </w:tcPr>
          <w:p w14:paraId="65C8B6B8" w14:textId="77777777" w:rsidR="007361E9" w:rsidRPr="00A8293D" w:rsidRDefault="007361E9" w:rsidP="007361E9">
            <w:pPr>
              <w:jc w:val="right"/>
              <w:rPr>
                <w:b/>
                <w:bCs/>
                <w:sz w:val="18"/>
                <w:szCs w:val="18"/>
                <w:lang w:eastAsia="tr-TR"/>
              </w:rPr>
            </w:pPr>
            <w:r w:rsidRPr="00A8293D">
              <w:rPr>
                <w:b/>
                <w:bCs/>
                <w:sz w:val="18"/>
                <w:szCs w:val="18"/>
                <w:lang w:eastAsia="tr-TR"/>
              </w:rPr>
              <w:t>2,275,941</w:t>
            </w:r>
          </w:p>
        </w:tc>
        <w:tc>
          <w:tcPr>
            <w:tcW w:w="1286" w:type="dxa"/>
            <w:tcBorders>
              <w:top w:val="nil"/>
              <w:left w:val="nil"/>
              <w:bottom w:val="single" w:sz="4" w:space="0" w:color="auto"/>
              <w:right w:val="single" w:sz="4" w:space="0" w:color="auto"/>
            </w:tcBorders>
            <w:shd w:val="clear" w:color="auto" w:fill="auto"/>
            <w:vAlign w:val="center"/>
            <w:hideMark/>
          </w:tcPr>
          <w:p w14:paraId="60169C11" w14:textId="77777777" w:rsidR="007361E9" w:rsidRPr="00A8293D" w:rsidRDefault="007361E9" w:rsidP="007361E9">
            <w:pPr>
              <w:jc w:val="right"/>
              <w:rPr>
                <w:b/>
                <w:bCs/>
                <w:sz w:val="18"/>
                <w:szCs w:val="18"/>
                <w:lang w:eastAsia="tr-TR"/>
              </w:rPr>
            </w:pPr>
            <w:r w:rsidRPr="00A8293D">
              <w:rPr>
                <w:b/>
                <w:bCs/>
                <w:sz w:val="18"/>
                <w:szCs w:val="18"/>
                <w:lang w:eastAsia="tr-TR"/>
              </w:rPr>
              <w:t>-</w:t>
            </w:r>
          </w:p>
        </w:tc>
      </w:tr>
    </w:tbl>
    <w:p w14:paraId="0A3DAE28" w14:textId="7F58F60B" w:rsidR="00D22163" w:rsidRPr="00A8293D" w:rsidRDefault="00D22163" w:rsidP="00D22163">
      <w:pPr>
        <w:autoSpaceDE w:val="0"/>
        <w:autoSpaceDN w:val="0"/>
        <w:adjustRightInd w:val="0"/>
        <w:ind w:left="567" w:hanging="567"/>
        <w:jc w:val="both"/>
        <w:rPr>
          <w:lang w:val="en-GB" w:eastAsia="en-GB"/>
        </w:rPr>
      </w:pPr>
    </w:p>
    <w:p w14:paraId="3AAC8C75" w14:textId="589DC1FA" w:rsidR="008077CC" w:rsidRPr="00A8293D" w:rsidRDefault="008077CC" w:rsidP="00605404">
      <w:pPr>
        <w:autoSpaceDE w:val="0"/>
        <w:autoSpaceDN w:val="0"/>
        <w:adjustRightInd w:val="0"/>
        <w:jc w:val="both"/>
      </w:pPr>
      <w:r w:rsidRPr="00A8293D">
        <w:t>Standart Nitelikli ve Yakın İzlemedeki krediler ile yeniden yapılandırılan Yakın İzlemedeki kredilere ilişkin karşılıklara ilişkin bilgiler:</w:t>
      </w:r>
    </w:p>
    <w:p w14:paraId="6FA4D740" w14:textId="60DB5020" w:rsidR="00A8293D" w:rsidRPr="00A8293D" w:rsidRDefault="00A8293D" w:rsidP="00605404">
      <w:pPr>
        <w:tabs>
          <w:tab w:val="num" w:pos="0"/>
        </w:tabs>
        <w:autoSpaceDE w:val="0"/>
        <w:autoSpaceDN w:val="0"/>
        <w:adjustRightInd w:val="0"/>
        <w:rPr>
          <w:lang w:val="en-GB" w:eastAsia="en-GB"/>
        </w:rPr>
      </w:pPr>
    </w:p>
    <w:tbl>
      <w:tblPr>
        <w:tblW w:w="9235" w:type="dxa"/>
        <w:tblCellMar>
          <w:left w:w="70" w:type="dxa"/>
          <w:right w:w="70" w:type="dxa"/>
        </w:tblCellMar>
        <w:tblLook w:val="04A0" w:firstRow="1" w:lastRow="0" w:firstColumn="1" w:lastColumn="0" w:noHBand="0" w:noVBand="1"/>
      </w:tblPr>
      <w:tblGrid>
        <w:gridCol w:w="4946"/>
        <w:gridCol w:w="1165"/>
        <w:gridCol w:w="1211"/>
        <w:gridCol w:w="954"/>
        <w:gridCol w:w="980"/>
      </w:tblGrid>
      <w:tr w:rsidR="00A8293D" w:rsidRPr="00A8293D" w14:paraId="3C195315" w14:textId="77777777" w:rsidTr="006B1072">
        <w:trPr>
          <w:divId w:val="2037342480"/>
          <w:trHeight w:val="311"/>
        </w:trPr>
        <w:tc>
          <w:tcPr>
            <w:tcW w:w="4946" w:type="dxa"/>
            <w:tcBorders>
              <w:top w:val="single" w:sz="12" w:space="0" w:color="auto"/>
              <w:left w:val="nil"/>
              <w:bottom w:val="nil"/>
              <w:right w:val="nil"/>
            </w:tcBorders>
            <w:shd w:val="clear" w:color="auto" w:fill="auto"/>
            <w:vAlign w:val="center"/>
            <w:hideMark/>
          </w:tcPr>
          <w:p w14:paraId="462FFB75" w14:textId="28D0DC6C" w:rsidR="00A8293D" w:rsidRPr="00A8293D" w:rsidRDefault="00A8293D" w:rsidP="00A8293D">
            <w:pPr>
              <w:jc w:val="both"/>
              <w:rPr>
                <w:b/>
                <w:bCs/>
                <w:sz w:val="18"/>
                <w:szCs w:val="18"/>
                <w:lang w:eastAsia="tr-TR"/>
              </w:rPr>
            </w:pPr>
            <w:r w:rsidRPr="00A8293D">
              <w:rPr>
                <w:b/>
                <w:bCs/>
                <w:sz w:val="18"/>
                <w:szCs w:val="18"/>
                <w:lang w:eastAsia="tr-TR"/>
              </w:rPr>
              <w:t> </w:t>
            </w:r>
          </w:p>
        </w:tc>
        <w:tc>
          <w:tcPr>
            <w:tcW w:w="1165" w:type="dxa"/>
            <w:tcBorders>
              <w:top w:val="single" w:sz="12" w:space="0" w:color="auto"/>
              <w:left w:val="nil"/>
              <w:bottom w:val="nil"/>
              <w:right w:val="nil"/>
            </w:tcBorders>
            <w:shd w:val="clear" w:color="auto" w:fill="auto"/>
            <w:vAlign w:val="center"/>
            <w:hideMark/>
          </w:tcPr>
          <w:p w14:paraId="39CE8C2C" w14:textId="77777777" w:rsidR="00A8293D" w:rsidRPr="00A8293D" w:rsidRDefault="00A8293D" w:rsidP="00A8293D">
            <w:pPr>
              <w:jc w:val="right"/>
              <w:rPr>
                <w:b/>
                <w:bCs/>
                <w:sz w:val="18"/>
                <w:szCs w:val="18"/>
                <w:lang w:eastAsia="tr-TR"/>
              </w:rPr>
            </w:pPr>
            <w:r w:rsidRPr="00A8293D">
              <w:rPr>
                <w:b/>
                <w:bCs/>
                <w:sz w:val="18"/>
                <w:szCs w:val="18"/>
                <w:lang w:eastAsia="tr-TR"/>
              </w:rPr>
              <w:t>Standart Nitelikli Krediler</w:t>
            </w:r>
          </w:p>
        </w:tc>
        <w:tc>
          <w:tcPr>
            <w:tcW w:w="1211" w:type="dxa"/>
            <w:tcBorders>
              <w:top w:val="single" w:sz="12" w:space="0" w:color="auto"/>
              <w:left w:val="nil"/>
              <w:bottom w:val="nil"/>
              <w:right w:val="nil"/>
            </w:tcBorders>
            <w:shd w:val="clear" w:color="auto" w:fill="auto"/>
            <w:vAlign w:val="center"/>
            <w:hideMark/>
          </w:tcPr>
          <w:p w14:paraId="43E45790" w14:textId="77777777" w:rsidR="00A8293D" w:rsidRPr="00A8293D" w:rsidRDefault="00A8293D" w:rsidP="00A8293D">
            <w:pPr>
              <w:jc w:val="right"/>
              <w:rPr>
                <w:b/>
                <w:bCs/>
                <w:sz w:val="18"/>
                <w:szCs w:val="18"/>
                <w:lang w:eastAsia="tr-TR"/>
              </w:rPr>
            </w:pPr>
            <w:r w:rsidRPr="00A8293D">
              <w:rPr>
                <w:b/>
                <w:bCs/>
                <w:sz w:val="18"/>
                <w:szCs w:val="18"/>
                <w:lang w:eastAsia="tr-TR"/>
              </w:rPr>
              <w:t>Yakın İzlemedeki Krediler</w:t>
            </w:r>
          </w:p>
        </w:tc>
        <w:tc>
          <w:tcPr>
            <w:tcW w:w="954" w:type="dxa"/>
            <w:tcBorders>
              <w:top w:val="single" w:sz="12" w:space="0" w:color="auto"/>
              <w:left w:val="nil"/>
              <w:bottom w:val="nil"/>
              <w:right w:val="nil"/>
            </w:tcBorders>
            <w:shd w:val="clear" w:color="auto" w:fill="auto"/>
            <w:vAlign w:val="center"/>
            <w:hideMark/>
          </w:tcPr>
          <w:p w14:paraId="2A001883" w14:textId="77777777" w:rsidR="00A8293D" w:rsidRPr="00A8293D" w:rsidRDefault="00A8293D" w:rsidP="00A8293D">
            <w:pPr>
              <w:jc w:val="right"/>
              <w:rPr>
                <w:b/>
                <w:bCs/>
                <w:sz w:val="18"/>
                <w:szCs w:val="18"/>
                <w:lang w:eastAsia="tr-TR"/>
              </w:rPr>
            </w:pPr>
            <w:r w:rsidRPr="00A8293D">
              <w:rPr>
                <w:b/>
                <w:bCs/>
                <w:sz w:val="18"/>
                <w:szCs w:val="18"/>
                <w:lang w:eastAsia="tr-TR"/>
              </w:rPr>
              <w:t>Standart Nitelikli Krediler</w:t>
            </w:r>
          </w:p>
        </w:tc>
        <w:tc>
          <w:tcPr>
            <w:tcW w:w="959" w:type="dxa"/>
            <w:tcBorders>
              <w:top w:val="single" w:sz="12" w:space="0" w:color="auto"/>
              <w:left w:val="nil"/>
              <w:bottom w:val="nil"/>
              <w:right w:val="nil"/>
            </w:tcBorders>
            <w:shd w:val="clear" w:color="auto" w:fill="auto"/>
            <w:vAlign w:val="center"/>
            <w:hideMark/>
          </w:tcPr>
          <w:p w14:paraId="60B93454" w14:textId="77777777" w:rsidR="00A8293D" w:rsidRPr="00A8293D" w:rsidRDefault="00A8293D" w:rsidP="00A8293D">
            <w:pPr>
              <w:jc w:val="right"/>
              <w:rPr>
                <w:b/>
                <w:bCs/>
                <w:sz w:val="18"/>
                <w:szCs w:val="18"/>
                <w:lang w:eastAsia="tr-TR"/>
              </w:rPr>
            </w:pPr>
            <w:r w:rsidRPr="00A8293D">
              <w:rPr>
                <w:b/>
                <w:bCs/>
                <w:sz w:val="18"/>
                <w:szCs w:val="18"/>
                <w:lang w:eastAsia="tr-TR"/>
              </w:rPr>
              <w:t>Yakın İzlemedeki Krediler</w:t>
            </w:r>
          </w:p>
        </w:tc>
      </w:tr>
      <w:tr w:rsidR="00A8293D" w:rsidRPr="00A8293D" w14:paraId="49BC7282" w14:textId="77777777" w:rsidTr="006B1072">
        <w:trPr>
          <w:divId w:val="2037342480"/>
          <w:trHeight w:val="143"/>
        </w:trPr>
        <w:tc>
          <w:tcPr>
            <w:tcW w:w="4946" w:type="dxa"/>
            <w:tcBorders>
              <w:top w:val="nil"/>
              <w:left w:val="nil"/>
              <w:bottom w:val="single" w:sz="8" w:space="0" w:color="auto"/>
              <w:right w:val="nil"/>
            </w:tcBorders>
            <w:shd w:val="clear" w:color="auto" w:fill="auto"/>
            <w:noWrap/>
            <w:vAlign w:val="bottom"/>
            <w:hideMark/>
          </w:tcPr>
          <w:p w14:paraId="32951AEE" w14:textId="77777777" w:rsidR="00A8293D" w:rsidRPr="00A8293D" w:rsidRDefault="00A8293D" w:rsidP="00A8293D">
            <w:pPr>
              <w:rPr>
                <w:sz w:val="18"/>
                <w:szCs w:val="18"/>
                <w:lang w:eastAsia="tr-TR"/>
              </w:rPr>
            </w:pPr>
            <w:r w:rsidRPr="00A8293D">
              <w:rPr>
                <w:sz w:val="18"/>
                <w:szCs w:val="18"/>
                <w:lang w:eastAsia="tr-TR"/>
              </w:rPr>
              <w:t> </w:t>
            </w:r>
          </w:p>
        </w:tc>
        <w:tc>
          <w:tcPr>
            <w:tcW w:w="1165" w:type="dxa"/>
            <w:tcBorders>
              <w:top w:val="nil"/>
              <w:left w:val="nil"/>
              <w:bottom w:val="single" w:sz="8" w:space="0" w:color="auto"/>
              <w:right w:val="nil"/>
            </w:tcBorders>
            <w:shd w:val="clear" w:color="auto" w:fill="auto"/>
            <w:noWrap/>
            <w:vAlign w:val="bottom"/>
            <w:hideMark/>
          </w:tcPr>
          <w:p w14:paraId="1D36EF2F" w14:textId="77777777" w:rsidR="00A8293D" w:rsidRPr="00A8293D" w:rsidRDefault="00A8293D" w:rsidP="00A8293D">
            <w:pPr>
              <w:jc w:val="right"/>
              <w:rPr>
                <w:b/>
                <w:bCs/>
                <w:sz w:val="18"/>
                <w:szCs w:val="18"/>
                <w:lang w:eastAsia="tr-TR"/>
              </w:rPr>
            </w:pPr>
            <w:r w:rsidRPr="00A8293D">
              <w:rPr>
                <w:b/>
                <w:bCs/>
                <w:sz w:val="18"/>
                <w:szCs w:val="18"/>
                <w:lang w:eastAsia="tr-TR"/>
              </w:rPr>
              <w:t xml:space="preserve"> Cari </w:t>
            </w:r>
            <w:proofErr w:type="gramStart"/>
            <w:r w:rsidRPr="00A8293D">
              <w:rPr>
                <w:b/>
                <w:bCs/>
                <w:sz w:val="18"/>
                <w:szCs w:val="18"/>
                <w:lang w:eastAsia="tr-TR"/>
              </w:rPr>
              <w:t>Dönem(</w:t>
            </w:r>
            <w:proofErr w:type="gramEnd"/>
            <w:r w:rsidRPr="00A8293D">
              <w:rPr>
                <w:b/>
                <w:bCs/>
                <w:sz w:val="18"/>
                <w:szCs w:val="18"/>
                <w:lang w:eastAsia="tr-TR"/>
              </w:rPr>
              <w:t>*)</w:t>
            </w:r>
          </w:p>
        </w:tc>
        <w:tc>
          <w:tcPr>
            <w:tcW w:w="1211" w:type="dxa"/>
            <w:tcBorders>
              <w:top w:val="nil"/>
              <w:left w:val="nil"/>
              <w:bottom w:val="single" w:sz="8" w:space="0" w:color="auto"/>
              <w:right w:val="nil"/>
            </w:tcBorders>
            <w:shd w:val="clear" w:color="auto" w:fill="auto"/>
            <w:noWrap/>
            <w:vAlign w:val="bottom"/>
            <w:hideMark/>
          </w:tcPr>
          <w:p w14:paraId="5F82A5EE" w14:textId="333DFBEA" w:rsidR="00A8293D" w:rsidRPr="00A8293D" w:rsidRDefault="00A8293D" w:rsidP="00A8293D">
            <w:pPr>
              <w:jc w:val="right"/>
              <w:rPr>
                <w:b/>
                <w:bCs/>
                <w:sz w:val="18"/>
                <w:szCs w:val="18"/>
                <w:lang w:eastAsia="tr-TR"/>
              </w:rPr>
            </w:pPr>
            <w:r w:rsidRPr="00A8293D">
              <w:rPr>
                <w:b/>
                <w:bCs/>
                <w:sz w:val="18"/>
                <w:szCs w:val="18"/>
                <w:lang w:eastAsia="tr-TR"/>
              </w:rPr>
              <w:t xml:space="preserve"> Cari Dönem</w:t>
            </w:r>
          </w:p>
        </w:tc>
        <w:tc>
          <w:tcPr>
            <w:tcW w:w="954" w:type="dxa"/>
            <w:tcBorders>
              <w:top w:val="nil"/>
              <w:left w:val="nil"/>
              <w:bottom w:val="single" w:sz="8" w:space="0" w:color="auto"/>
              <w:right w:val="nil"/>
            </w:tcBorders>
            <w:shd w:val="clear" w:color="auto" w:fill="auto"/>
            <w:noWrap/>
            <w:vAlign w:val="bottom"/>
            <w:hideMark/>
          </w:tcPr>
          <w:p w14:paraId="32247CB8" w14:textId="2D9C41A8" w:rsidR="00A8293D" w:rsidRPr="00A8293D" w:rsidRDefault="00A8293D" w:rsidP="00A8293D">
            <w:pPr>
              <w:jc w:val="right"/>
              <w:rPr>
                <w:b/>
                <w:bCs/>
                <w:sz w:val="18"/>
                <w:szCs w:val="18"/>
                <w:lang w:eastAsia="tr-TR"/>
              </w:rPr>
            </w:pPr>
            <w:r w:rsidRPr="00A8293D">
              <w:rPr>
                <w:b/>
                <w:bCs/>
                <w:sz w:val="18"/>
                <w:szCs w:val="18"/>
                <w:lang w:eastAsia="tr-TR"/>
              </w:rPr>
              <w:t xml:space="preserve">Önceki </w:t>
            </w:r>
            <w:proofErr w:type="gramStart"/>
            <w:r w:rsidRPr="00A8293D">
              <w:rPr>
                <w:b/>
                <w:bCs/>
                <w:sz w:val="18"/>
                <w:szCs w:val="18"/>
                <w:lang w:eastAsia="tr-TR"/>
              </w:rPr>
              <w:t>Dönem</w:t>
            </w:r>
            <w:r w:rsidR="00FD74CE">
              <w:rPr>
                <w:b/>
                <w:bCs/>
                <w:sz w:val="18"/>
                <w:szCs w:val="18"/>
                <w:lang w:eastAsia="tr-TR"/>
              </w:rPr>
              <w:t>(</w:t>
            </w:r>
            <w:proofErr w:type="gramEnd"/>
            <w:r w:rsidR="00FD74CE">
              <w:rPr>
                <w:b/>
                <w:bCs/>
                <w:sz w:val="18"/>
                <w:szCs w:val="18"/>
                <w:lang w:eastAsia="tr-TR"/>
              </w:rPr>
              <w:t>*)</w:t>
            </w:r>
          </w:p>
        </w:tc>
        <w:tc>
          <w:tcPr>
            <w:tcW w:w="959" w:type="dxa"/>
            <w:tcBorders>
              <w:top w:val="nil"/>
              <w:left w:val="nil"/>
              <w:bottom w:val="single" w:sz="8" w:space="0" w:color="auto"/>
              <w:right w:val="nil"/>
            </w:tcBorders>
            <w:shd w:val="clear" w:color="auto" w:fill="auto"/>
            <w:noWrap/>
            <w:vAlign w:val="bottom"/>
            <w:hideMark/>
          </w:tcPr>
          <w:p w14:paraId="3CD16FD7" w14:textId="77777777" w:rsidR="00A8293D" w:rsidRPr="00A8293D" w:rsidRDefault="00A8293D" w:rsidP="00A8293D">
            <w:pPr>
              <w:jc w:val="right"/>
              <w:rPr>
                <w:b/>
                <w:bCs/>
                <w:sz w:val="18"/>
                <w:szCs w:val="18"/>
                <w:lang w:eastAsia="tr-TR"/>
              </w:rPr>
            </w:pPr>
            <w:r w:rsidRPr="00A8293D">
              <w:rPr>
                <w:b/>
                <w:bCs/>
                <w:sz w:val="18"/>
                <w:szCs w:val="18"/>
                <w:lang w:eastAsia="tr-TR"/>
              </w:rPr>
              <w:t>Önceki Dönem</w:t>
            </w:r>
          </w:p>
        </w:tc>
      </w:tr>
      <w:tr w:rsidR="00A8293D" w:rsidRPr="00A8293D" w14:paraId="40A35FD6" w14:textId="77777777" w:rsidTr="006B1072">
        <w:trPr>
          <w:divId w:val="2037342480"/>
          <w:trHeight w:val="143"/>
        </w:trPr>
        <w:tc>
          <w:tcPr>
            <w:tcW w:w="4946" w:type="dxa"/>
            <w:tcBorders>
              <w:top w:val="nil"/>
              <w:left w:val="nil"/>
              <w:bottom w:val="nil"/>
              <w:right w:val="nil"/>
            </w:tcBorders>
            <w:shd w:val="clear" w:color="auto" w:fill="auto"/>
            <w:vAlign w:val="center"/>
            <w:hideMark/>
          </w:tcPr>
          <w:p w14:paraId="5D81B22D" w14:textId="77777777" w:rsidR="00A8293D" w:rsidRPr="00A8293D" w:rsidRDefault="00A8293D" w:rsidP="00A8293D">
            <w:pPr>
              <w:jc w:val="both"/>
              <w:rPr>
                <w:sz w:val="18"/>
                <w:szCs w:val="18"/>
                <w:lang w:eastAsia="tr-TR"/>
              </w:rPr>
            </w:pPr>
            <w:r w:rsidRPr="00A8293D">
              <w:rPr>
                <w:sz w:val="18"/>
                <w:szCs w:val="18"/>
                <w:lang w:eastAsia="tr-TR"/>
              </w:rPr>
              <w:t>12 Aylık Beklenen Zarar Karşılığı</w:t>
            </w:r>
          </w:p>
        </w:tc>
        <w:tc>
          <w:tcPr>
            <w:tcW w:w="1165" w:type="dxa"/>
            <w:tcBorders>
              <w:top w:val="nil"/>
              <w:left w:val="nil"/>
              <w:bottom w:val="nil"/>
              <w:right w:val="nil"/>
            </w:tcBorders>
            <w:shd w:val="clear" w:color="auto" w:fill="auto"/>
            <w:vAlign w:val="center"/>
            <w:hideMark/>
          </w:tcPr>
          <w:p w14:paraId="539D5717" w14:textId="77777777" w:rsidR="00A8293D" w:rsidRPr="00A8293D" w:rsidRDefault="00A8293D" w:rsidP="00A8293D">
            <w:pPr>
              <w:jc w:val="right"/>
              <w:rPr>
                <w:sz w:val="18"/>
                <w:szCs w:val="18"/>
                <w:lang w:eastAsia="tr-TR"/>
              </w:rPr>
            </w:pPr>
            <w:r w:rsidRPr="00A8293D">
              <w:rPr>
                <w:sz w:val="18"/>
                <w:szCs w:val="18"/>
                <w:lang w:eastAsia="tr-TR"/>
              </w:rPr>
              <w:t>1,097,431</w:t>
            </w:r>
          </w:p>
        </w:tc>
        <w:tc>
          <w:tcPr>
            <w:tcW w:w="1211" w:type="dxa"/>
            <w:tcBorders>
              <w:top w:val="nil"/>
              <w:left w:val="nil"/>
              <w:bottom w:val="nil"/>
              <w:right w:val="nil"/>
            </w:tcBorders>
            <w:shd w:val="clear" w:color="auto" w:fill="auto"/>
            <w:vAlign w:val="center"/>
            <w:hideMark/>
          </w:tcPr>
          <w:p w14:paraId="5622F907" w14:textId="77777777" w:rsidR="00A8293D" w:rsidRPr="00A8293D" w:rsidRDefault="00A8293D" w:rsidP="00A8293D">
            <w:pPr>
              <w:jc w:val="right"/>
              <w:rPr>
                <w:sz w:val="18"/>
                <w:szCs w:val="18"/>
                <w:lang w:eastAsia="tr-TR"/>
              </w:rPr>
            </w:pPr>
            <w:r w:rsidRPr="00A8293D">
              <w:rPr>
                <w:sz w:val="18"/>
                <w:szCs w:val="18"/>
                <w:lang w:eastAsia="tr-TR"/>
              </w:rPr>
              <w:t>-</w:t>
            </w:r>
          </w:p>
        </w:tc>
        <w:tc>
          <w:tcPr>
            <w:tcW w:w="954" w:type="dxa"/>
            <w:tcBorders>
              <w:top w:val="nil"/>
              <w:left w:val="nil"/>
              <w:bottom w:val="nil"/>
              <w:right w:val="nil"/>
            </w:tcBorders>
            <w:shd w:val="clear" w:color="auto" w:fill="auto"/>
            <w:vAlign w:val="center"/>
            <w:hideMark/>
          </w:tcPr>
          <w:p w14:paraId="16B85C0F" w14:textId="77777777" w:rsidR="00A8293D" w:rsidRPr="00A8293D" w:rsidRDefault="00A8293D" w:rsidP="00A8293D">
            <w:pPr>
              <w:jc w:val="right"/>
              <w:rPr>
                <w:sz w:val="18"/>
                <w:szCs w:val="18"/>
                <w:lang w:eastAsia="tr-TR"/>
              </w:rPr>
            </w:pPr>
            <w:r w:rsidRPr="00A8293D">
              <w:rPr>
                <w:sz w:val="18"/>
                <w:szCs w:val="18"/>
                <w:lang w:eastAsia="tr-TR"/>
              </w:rPr>
              <w:t>482,133</w:t>
            </w:r>
          </w:p>
        </w:tc>
        <w:tc>
          <w:tcPr>
            <w:tcW w:w="959" w:type="dxa"/>
            <w:tcBorders>
              <w:top w:val="nil"/>
              <w:left w:val="nil"/>
              <w:bottom w:val="nil"/>
              <w:right w:val="nil"/>
            </w:tcBorders>
            <w:shd w:val="clear" w:color="auto" w:fill="auto"/>
            <w:vAlign w:val="center"/>
            <w:hideMark/>
          </w:tcPr>
          <w:p w14:paraId="39B06F1C" w14:textId="77777777" w:rsidR="00A8293D" w:rsidRPr="00A8293D" w:rsidRDefault="00A8293D" w:rsidP="00A8293D">
            <w:pPr>
              <w:jc w:val="right"/>
              <w:rPr>
                <w:sz w:val="18"/>
                <w:szCs w:val="18"/>
                <w:lang w:eastAsia="tr-TR"/>
              </w:rPr>
            </w:pPr>
            <w:r w:rsidRPr="00A8293D">
              <w:rPr>
                <w:sz w:val="18"/>
                <w:szCs w:val="18"/>
                <w:lang w:eastAsia="tr-TR"/>
              </w:rPr>
              <w:t>-</w:t>
            </w:r>
          </w:p>
        </w:tc>
      </w:tr>
      <w:tr w:rsidR="00A8293D" w:rsidRPr="00A8293D" w14:paraId="436D013D" w14:textId="77777777" w:rsidTr="006B1072">
        <w:trPr>
          <w:divId w:val="2037342480"/>
          <w:trHeight w:val="143"/>
        </w:trPr>
        <w:tc>
          <w:tcPr>
            <w:tcW w:w="4946" w:type="dxa"/>
            <w:tcBorders>
              <w:top w:val="nil"/>
              <w:left w:val="nil"/>
              <w:bottom w:val="nil"/>
              <w:right w:val="nil"/>
            </w:tcBorders>
            <w:shd w:val="clear" w:color="auto" w:fill="auto"/>
            <w:vAlign w:val="center"/>
            <w:hideMark/>
          </w:tcPr>
          <w:p w14:paraId="56A06657" w14:textId="77777777" w:rsidR="00A8293D" w:rsidRPr="00A8293D" w:rsidRDefault="00A8293D" w:rsidP="00A8293D">
            <w:pPr>
              <w:jc w:val="both"/>
              <w:rPr>
                <w:sz w:val="18"/>
                <w:szCs w:val="18"/>
                <w:lang w:eastAsia="tr-TR"/>
              </w:rPr>
            </w:pPr>
            <w:r w:rsidRPr="00A8293D">
              <w:rPr>
                <w:sz w:val="18"/>
                <w:szCs w:val="18"/>
                <w:lang w:eastAsia="tr-TR"/>
              </w:rPr>
              <w:t>Kredi Riskinde Önemli Artış</w:t>
            </w:r>
          </w:p>
        </w:tc>
        <w:tc>
          <w:tcPr>
            <w:tcW w:w="1165" w:type="dxa"/>
            <w:tcBorders>
              <w:top w:val="nil"/>
              <w:left w:val="nil"/>
              <w:bottom w:val="single" w:sz="8" w:space="0" w:color="auto"/>
              <w:right w:val="nil"/>
            </w:tcBorders>
            <w:shd w:val="clear" w:color="auto" w:fill="auto"/>
            <w:vAlign w:val="center"/>
            <w:hideMark/>
          </w:tcPr>
          <w:p w14:paraId="6282EA06" w14:textId="77777777" w:rsidR="00A8293D" w:rsidRPr="00A8293D" w:rsidRDefault="00A8293D" w:rsidP="00A8293D">
            <w:pPr>
              <w:jc w:val="right"/>
              <w:rPr>
                <w:sz w:val="18"/>
                <w:szCs w:val="18"/>
                <w:lang w:eastAsia="tr-TR"/>
              </w:rPr>
            </w:pPr>
            <w:r w:rsidRPr="00A8293D">
              <w:rPr>
                <w:sz w:val="18"/>
                <w:szCs w:val="18"/>
                <w:lang w:eastAsia="tr-TR"/>
              </w:rPr>
              <w:t>-</w:t>
            </w:r>
          </w:p>
        </w:tc>
        <w:tc>
          <w:tcPr>
            <w:tcW w:w="1211" w:type="dxa"/>
            <w:tcBorders>
              <w:top w:val="nil"/>
              <w:left w:val="nil"/>
              <w:bottom w:val="single" w:sz="8" w:space="0" w:color="auto"/>
              <w:right w:val="nil"/>
            </w:tcBorders>
            <w:shd w:val="clear" w:color="auto" w:fill="auto"/>
            <w:vAlign w:val="center"/>
            <w:hideMark/>
          </w:tcPr>
          <w:p w14:paraId="5358E0E3" w14:textId="77777777" w:rsidR="00A8293D" w:rsidRPr="00A8293D" w:rsidRDefault="00A8293D" w:rsidP="00A8293D">
            <w:pPr>
              <w:jc w:val="right"/>
              <w:rPr>
                <w:sz w:val="18"/>
                <w:szCs w:val="18"/>
                <w:lang w:eastAsia="tr-TR"/>
              </w:rPr>
            </w:pPr>
            <w:r w:rsidRPr="00A8293D">
              <w:rPr>
                <w:sz w:val="18"/>
                <w:szCs w:val="18"/>
                <w:lang w:eastAsia="tr-TR"/>
              </w:rPr>
              <w:t>2,034,556</w:t>
            </w:r>
          </w:p>
        </w:tc>
        <w:tc>
          <w:tcPr>
            <w:tcW w:w="954" w:type="dxa"/>
            <w:tcBorders>
              <w:top w:val="nil"/>
              <w:left w:val="nil"/>
              <w:bottom w:val="single" w:sz="8" w:space="0" w:color="auto"/>
              <w:right w:val="nil"/>
            </w:tcBorders>
            <w:shd w:val="clear" w:color="auto" w:fill="auto"/>
            <w:vAlign w:val="center"/>
            <w:hideMark/>
          </w:tcPr>
          <w:p w14:paraId="13B85636" w14:textId="77777777" w:rsidR="00A8293D" w:rsidRPr="00A8293D" w:rsidRDefault="00A8293D" w:rsidP="00A8293D">
            <w:pPr>
              <w:jc w:val="right"/>
              <w:rPr>
                <w:sz w:val="18"/>
                <w:szCs w:val="18"/>
                <w:lang w:eastAsia="tr-TR"/>
              </w:rPr>
            </w:pPr>
            <w:r w:rsidRPr="00A8293D">
              <w:rPr>
                <w:sz w:val="18"/>
                <w:szCs w:val="18"/>
                <w:lang w:eastAsia="tr-TR"/>
              </w:rPr>
              <w:t>-</w:t>
            </w:r>
          </w:p>
        </w:tc>
        <w:tc>
          <w:tcPr>
            <w:tcW w:w="959" w:type="dxa"/>
            <w:tcBorders>
              <w:top w:val="nil"/>
              <w:left w:val="nil"/>
              <w:bottom w:val="single" w:sz="8" w:space="0" w:color="auto"/>
              <w:right w:val="nil"/>
            </w:tcBorders>
            <w:shd w:val="clear" w:color="auto" w:fill="auto"/>
            <w:vAlign w:val="center"/>
            <w:hideMark/>
          </w:tcPr>
          <w:p w14:paraId="21CFFEC1" w14:textId="77777777" w:rsidR="00A8293D" w:rsidRPr="00A8293D" w:rsidRDefault="00A8293D" w:rsidP="00A8293D">
            <w:pPr>
              <w:jc w:val="right"/>
              <w:rPr>
                <w:sz w:val="18"/>
                <w:szCs w:val="18"/>
                <w:lang w:eastAsia="tr-TR"/>
              </w:rPr>
            </w:pPr>
            <w:r w:rsidRPr="00A8293D">
              <w:rPr>
                <w:sz w:val="18"/>
                <w:szCs w:val="18"/>
                <w:lang w:eastAsia="tr-TR"/>
              </w:rPr>
              <w:t>996,886</w:t>
            </w:r>
          </w:p>
        </w:tc>
      </w:tr>
      <w:tr w:rsidR="00A8293D" w:rsidRPr="00A8293D" w14:paraId="405C1CFD" w14:textId="77777777" w:rsidTr="006B1072">
        <w:trPr>
          <w:divId w:val="2037342480"/>
          <w:trHeight w:val="143"/>
        </w:trPr>
        <w:tc>
          <w:tcPr>
            <w:tcW w:w="4946" w:type="dxa"/>
            <w:tcBorders>
              <w:top w:val="single" w:sz="8" w:space="0" w:color="auto"/>
              <w:left w:val="nil"/>
              <w:bottom w:val="double" w:sz="6" w:space="0" w:color="auto"/>
              <w:right w:val="nil"/>
            </w:tcBorders>
            <w:shd w:val="clear" w:color="auto" w:fill="auto"/>
            <w:vAlign w:val="center"/>
            <w:hideMark/>
          </w:tcPr>
          <w:p w14:paraId="47D553CE" w14:textId="77777777" w:rsidR="00A8293D" w:rsidRPr="00A8293D" w:rsidRDefault="00A8293D" w:rsidP="00A8293D">
            <w:pPr>
              <w:jc w:val="both"/>
              <w:rPr>
                <w:b/>
                <w:bCs/>
                <w:sz w:val="18"/>
                <w:szCs w:val="18"/>
                <w:lang w:eastAsia="tr-TR"/>
              </w:rPr>
            </w:pPr>
            <w:r w:rsidRPr="00A8293D">
              <w:rPr>
                <w:b/>
                <w:bCs/>
                <w:sz w:val="18"/>
                <w:szCs w:val="18"/>
                <w:lang w:eastAsia="tr-TR"/>
              </w:rPr>
              <w:t>Toplam</w:t>
            </w:r>
          </w:p>
        </w:tc>
        <w:tc>
          <w:tcPr>
            <w:tcW w:w="1165" w:type="dxa"/>
            <w:tcBorders>
              <w:top w:val="nil"/>
              <w:left w:val="nil"/>
              <w:bottom w:val="double" w:sz="6" w:space="0" w:color="auto"/>
              <w:right w:val="nil"/>
            </w:tcBorders>
            <w:shd w:val="clear" w:color="auto" w:fill="auto"/>
            <w:vAlign w:val="center"/>
            <w:hideMark/>
          </w:tcPr>
          <w:p w14:paraId="5DFCED16" w14:textId="77777777" w:rsidR="00A8293D" w:rsidRPr="00A8293D" w:rsidRDefault="00A8293D" w:rsidP="00A8293D">
            <w:pPr>
              <w:jc w:val="right"/>
              <w:rPr>
                <w:b/>
                <w:bCs/>
                <w:sz w:val="18"/>
                <w:szCs w:val="18"/>
                <w:lang w:eastAsia="tr-TR"/>
              </w:rPr>
            </w:pPr>
            <w:r w:rsidRPr="00A8293D">
              <w:rPr>
                <w:b/>
                <w:bCs/>
                <w:sz w:val="18"/>
                <w:szCs w:val="18"/>
                <w:lang w:eastAsia="tr-TR"/>
              </w:rPr>
              <w:t>1,097,431</w:t>
            </w:r>
          </w:p>
        </w:tc>
        <w:tc>
          <w:tcPr>
            <w:tcW w:w="1211" w:type="dxa"/>
            <w:tcBorders>
              <w:top w:val="nil"/>
              <w:left w:val="nil"/>
              <w:bottom w:val="double" w:sz="6" w:space="0" w:color="auto"/>
              <w:right w:val="nil"/>
            </w:tcBorders>
            <w:shd w:val="clear" w:color="auto" w:fill="auto"/>
            <w:vAlign w:val="center"/>
            <w:hideMark/>
          </w:tcPr>
          <w:p w14:paraId="4B204A5F" w14:textId="77777777" w:rsidR="00A8293D" w:rsidRPr="00A8293D" w:rsidRDefault="00A8293D" w:rsidP="00A8293D">
            <w:pPr>
              <w:jc w:val="right"/>
              <w:rPr>
                <w:b/>
                <w:bCs/>
                <w:sz w:val="18"/>
                <w:szCs w:val="18"/>
                <w:lang w:eastAsia="tr-TR"/>
              </w:rPr>
            </w:pPr>
            <w:r w:rsidRPr="00A8293D">
              <w:rPr>
                <w:b/>
                <w:bCs/>
                <w:sz w:val="18"/>
                <w:szCs w:val="18"/>
                <w:lang w:eastAsia="tr-TR"/>
              </w:rPr>
              <w:t>2,034,556</w:t>
            </w:r>
          </w:p>
        </w:tc>
        <w:tc>
          <w:tcPr>
            <w:tcW w:w="954" w:type="dxa"/>
            <w:tcBorders>
              <w:top w:val="nil"/>
              <w:left w:val="nil"/>
              <w:bottom w:val="double" w:sz="6" w:space="0" w:color="auto"/>
              <w:right w:val="nil"/>
            </w:tcBorders>
            <w:shd w:val="clear" w:color="auto" w:fill="auto"/>
            <w:vAlign w:val="center"/>
            <w:hideMark/>
          </w:tcPr>
          <w:p w14:paraId="30D1EF23" w14:textId="77777777" w:rsidR="00A8293D" w:rsidRPr="00A8293D" w:rsidRDefault="00A8293D" w:rsidP="00A8293D">
            <w:pPr>
              <w:jc w:val="right"/>
              <w:rPr>
                <w:b/>
                <w:bCs/>
                <w:sz w:val="18"/>
                <w:szCs w:val="18"/>
                <w:lang w:eastAsia="tr-TR"/>
              </w:rPr>
            </w:pPr>
            <w:r w:rsidRPr="00A8293D">
              <w:rPr>
                <w:b/>
                <w:bCs/>
                <w:sz w:val="18"/>
                <w:szCs w:val="18"/>
                <w:lang w:eastAsia="tr-TR"/>
              </w:rPr>
              <w:t>482,133</w:t>
            </w:r>
          </w:p>
        </w:tc>
        <w:tc>
          <w:tcPr>
            <w:tcW w:w="959" w:type="dxa"/>
            <w:tcBorders>
              <w:top w:val="nil"/>
              <w:left w:val="nil"/>
              <w:bottom w:val="double" w:sz="6" w:space="0" w:color="auto"/>
              <w:right w:val="nil"/>
            </w:tcBorders>
            <w:shd w:val="clear" w:color="auto" w:fill="auto"/>
            <w:vAlign w:val="center"/>
            <w:hideMark/>
          </w:tcPr>
          <w:p w14:paraId="00CFD647" w14:textId="77777777" w:rsidR="00A8293D" w:rsidRPr="00A8293D" w:rsidRDefault="00A8293D" w:rsidP="00A8293D">
            <w:pPr>
              <w:jc w:val="right"/>
              <w:rPr>
                <w:b/>
                <w:bCs/>
                <w:sz w:val="18"/>
                <w:szCs w:val="18"/>
                <w:lang w:eastAsia="tr-TR"/>
              </w:rPr>
            </w:pPr>
            <w:r w:rsidRPr="00A8293D">
              <w:rPr>
                <w:b/>
                <w:bCs/>
                <w:sz w:val="18"/>
                <w:szCs w:val="18"/>
                <w:lang w:eastAsia="tr-TR"/>
              </w:rPr>
              <w:t>996,886</w:t>
            </w:r>
          </w:p>
        </w:tc>
      </w:tr>
    </w:tbl>
    <w:p w14:paraId="7A8170DD" w14:textId="1514FA84" w:rsidR="00605404" w:rsidRPr="00311DAB" w:rsidRDefault="00605404" w:rsidP="00605404">
      <w:pPr>
        <w:tabs>
          <w:tab w:val="num" w:pos="0"/>
        </w:tabs>
        <w:autoSpaceDE w:val="0"/>
        <w:autoSpaceDN w:val="0"/>
        <w:adjustRightInd w:val="0"/>
        <w:rPr>
          <w:sz w:val="10"/>
          <w:szCs w:val="10"/>
        </w:rPr>
      </w:pPr>
    </w:p>
    <w:p w14:paraId="3EC32B97" w14:textId="7A8DC2B3" w:rsidR="00E11C68" w:rsidRPr="0066639F" w:rsidRDefault="00E11C68" w:rsidP="00BA637F">
      <w:pPr>
        <w:autoSpaceDE w:val="0"/>
        <w:autoSpaceDN w:val="0"/>
        <w:adjustRightInd w:val="0"/>
        <w:ind w:left="567" w:hanging="567"/>
        <w:jc w:val="both"/>
        <w:rPr>
          <w:bCs/>
          <w:color w:val="000000"/>
          <w:sz w:val="16"/>
          <w:szCs w:val="16"/>
        </w:rPr>
      </w:pPr>
      <w:r w:rsidRPr="00753D80">
        <w:rPr>
          <w:bCs/>
          <w:color w:val="000000"/>
          <w:sz w:val="16"/>
          <w:szCs w:val="16"/>
        </w:rPr>
        <w:t xml:space="preserve">(*) </w:t>
      </w:r>
      <w:r w:rsidR="00BA637F">
        <w:rPr>
          <w:bCs/>
          <w:color w:val="000000"/>
          <w:sz w:val="16"/>
          <w:szCs w:val="16"/>
        </w:rPr>
        <w:tab/>
      </w:r>
      <w:r w:rsidRPr="00753D80">
        <w:rPr>
          <w:bCs/>
          <w:color w:val="000000"/>
          <w:sz w:val="16"/>
          <w:szCs w:val="16"/>
        </w:rPr>
        <w:t xml:space="preserve">İtfa edilmiş maliyeti ile ölçülen diğer finansal varlıklara ilişkin </w:t>
      </w:r>
      <w:r w:rsidR="00753D80" w:rsidRPr="00753D80">
        <w:rPr>
          <w:bCs/>
          <w:color w:val="000000"/>
          <w:sz w:val="16"/>
          <w:szCs w:val="16"/>
        </w:rPr>
        <w:t>1</w:t>
      </w:r>
      <w:r w:rsidRPr="00753D80">
        <w:rPr>
          <w:bCs/>
          <w:color w:val="000000"/>
          <w:sz w:val="16"/>
          <w:szCs w:val="16"/>
        </w:rPr>
        <w:t>,</w:t>
      </w:r>
      <w:r w:rsidR="00753D80" w:rsidRPr="00753D80">
        <w:rPr>
          <w:bCs/>
          <w:color w:val="000000"/>
          <w:sz w:val="16"/>
          <w:szCs w:val="16"/>
        </w:rPr>
        <w:t>697</w:t>
      </w:r>
      <w:r w:rsidRPr="00753D80">
        <w:rPr>
          <w:bCs/>
          <w:color w:val="000000"/>
          <w:sz w:val="16"/>
          <w:szCs w:val="16"/>
        </w:rPr>
        <w:t xml:space="preserve"> TL (31 Aralık </w:t>
      </w:r>
      <w:proofErr w:type="gramStart"/>
      <w:r w:rsidRPr="00753D80">
        <w:rPr>
          <w:bCs/>
          <w:color w:val="000000"/>
          <w:sz w:val="16"/>
          <w:szCs w:val="16"/>
        </w:rPr>
        <w:t>2019 -</w:t>
      </w:r>
      <w:proofErr w:type="gramEnd"/>
      <w:r w:rsidRPr="00753D80">
        <w:rPr>
          <w:bCs/>
          <w:color w:val="000000"/>
          <w:sz w:val="16"/>
          <w:szCs w:val="16"/>
        </w:rPr>
        <w:t xml:space="preserve"> 767 TL) tutarındaki beklenen zarar karşılığı dahil edilmiştir.</w:t>
      </w:r>
    </w:p>
    <w:p w14:paraId="680E9EE5" w14:textId="4F19704B" w:rsidR="008C4530" w:rsidRPr="00270CE6" w:rsidRDefault="008C4530" w:rsidP="00605404">
      <w:pPr>
        <w:tabs>
          <w:tab w:val="num" w:pos="0"/>
        </w:tabs>
        <w:autoSpaceDE w:val="0"/>
        <w:autoSpaceDN w:val="0"/>
        <w:adjustRightInd w:val="0"/>
        <w:rPr>
          <w:highlight w:val="yellow"/>
        </w:rPr>
      </w:pPr>
    </w:p>
    <w:p w14:paraId="1E72BC5C" w14:textId="77777777" w:rsidR="00C95B75" w:rsidRPr="00BD5F7B" w:rsidRDefault="00C95B75" w:rsidP="00C95B75">
      <w:pPr>
        <w:autoSpaceDE w:val="0"/>
        <w:autoSpaceDN w:val="0"/>
        <w:adjustRightInd w:val="0"/>
        <w:ind w:hanging="567"/>
      </w:pPr>
      <w:r w:rsidRPr="00BD5F7B">
        <w:rPr>
          <w:b/>
          <w:spacing w:val="-6"/>
        </w:rPr>
        <w:t>1.5.3</w:t>
      </w:r>
      <w:r w:rsidRPr="00BD5F7B">
        <w:rPr>
          <w:b/>
          <w:color w:val="000000"/>
          <w:sz w:val="22"/>
        </w:rPr>
        <w:tab/>
      </w:r>
      <w:r w:rsidRPr="00BD5F7B">
        <w:t>Vade yapısına göre nakdi kredilerin ve diğer alacakların dağılımı:</w:t>
      </w:r>
    </w:p>
    <w:p w14:paraId="0AD54975" w14:textId="7F878D24" w:rsidR="00CD418D" w:rsidRPr="00BD5F7B" w:rsidRDefault="00CD418D" w:rsidP="00C95B75">
      <w:pPr>
        <w:autoSpaceDE w:val="0"/>
        <w:autoSpaceDN w:val="0"/>
        <w:adjustRightInd w:val="0"/>
        <w:rPr>
          <w:rFonts w:eastAsia="Arial Unicode MS"/>
          <w:sz w:val="16"/>
          <w:szCs w:val="16"/>
        </w:rPr>
      </w:pPr>
    </w:p>
    <w:p w14:paraId="38EEF7D0" w14:textId="705676E0" w:rsidR="00CD418D" w:rsidRPr="00BD5F7B" w:rsidRDefault="004902FE" w:rsidP="00C95B75">
      <w:pPr>
        <w:autoSpaceDE w:val="0"/>
        <w:autoSpaceDN w:val="0"/>
        <w:adjustRightInd w:val="0"/>
      </w:pPr>
      <w:bookmarkStart w:id="14" w:name="_Hlk38747536"/>
      <w:r w:rsidRPr="00BD5F7B">
        <w:t>Bankalarca Kamuya Açıklanacak Finansal Tablolar ile Bunlara İlişkin Açıklama ve Dipnotlar Hakkında Tebliğ’in 25’inci maddesi uyarınca ara dönemde hazırlanmamıştır.</w:t>
      </w:r>
    </w:p>
    <w:bookmarkEnd w:id="14"/>
    <w:p w14:paraId="2C37F02B" w14:textId="1412D0AF" w:rsidR="00CD418D" w:rsidRPr="00270CE6" w:rsidRDefault="00CD418D" w:rsidP="00C95B75">
      <w:pPr>
        <w:autoSpaceDE w:val="0"/>
        <w:autoSpaceDN w:val="0"/>
        <w:adjustRightInd w:val="0"/>
        <w:rPr>
          <w:rFonts w:eastAsia="Arial Unicode MS"/>
          <w:sz w:val="16"/>
          <w:szCs w:val="16"/>
          <w:highlight w:val="yellow"/>
        </w:rPr>
      </w:pPr>
    </w:p>
    <w:p w14:paraId="38277FA3" w14:textId="77777777" w:rsidR="0018704C" w:rsidRPr="00BD5F7B" w:rsidRDefault="00A023D6" w:rsidP="00A023D6">
      <w:pPr>
        <w:tabs>
          <w:tab w:val="left" w:pos="567"/>
        </w:tabs>
        <w:autoSpaceDE w:val="0"/>
        <w:autoSpaceDN w:val="0"/>
        <w:adjustRightInd w:val="0"/>
        <w:ind w:hanging="709"/>
      </w:pPr>
      <w:r w:rsidRPr="00270CE6">
        <w:rPr>
          <w:b/>
          <w:highlight w:val="yellow"/>
        </w:rPr>
        <w:br w:type="page"/>
      </w:r>
      <w:r w:rsidR="00AC676F" w:rsidRPr="00BD5F7B">
        <w:rPr>
          <w:b/>
        </w:rPr>
        <w:lastRenderedPageBreak/>
        <w:t>1.5.</w:t>
      </w:r>
      <w:r w:rsidR="00C95B75" w:rsidRPr="00BD5F7B">
        <w:rPr>
          <w:b/>
        </w:rPr>
        <w:t>4</w:t>
      </w:r>
      <w:r w:rsidR="00AC676F" w:rsidRPr="00BD5F7B">
        <w:tab/>
      </w:r>
      <w:r w:rsidR="00E253C8" w:rsidRPr="00BD5F7B">
        <w:t xml:space="preserve">Tüketici kredileri, bireysel kredi kartları, personel kredileri ve personel kredi kartlarına ilişkin </w:t>
      </w:r>
      <w:r w:rsidR="00032F11" w:rsidRPr="00BD5F7B">
        <w:t>bilgiler</w:t>
      </w:r>
      <w:r w:rsidR="000C0D8C" w:rsidRPr="00BD5F7B">
        <w:t>:</w:t>
      </w:r>
    </w:p>
    <w:p w14:paraId="2F2509EE" w14:textId="33E937F8" w:rsidR="00BD5F7B" w:rsidRPr="00BA637F" w:rsidRDefault="00BD5F7B" w:rsidP="00356C26">
      <w:pPr>
        <w:tabs>
          <w:tab w:val="left" w:pos="709"/>
        </w:tabs>
        <w:autoSpaceDE w:val="0"/>
        <w:autoSpaceDN w:val="0"/>
        <w:adjustRightInd w:val="0"/>
        <w:ind w:hanging="567"/>
        <w:rPr>
          <w:sz w:val="14"/>
          <w:szCs w:val="14"/>
          <w:lang w:val="en-GB" w:eastAsia="en-GB"/>
        </w:rPr>
      </w:pPr>
    </w:p>
    <w:tbl>
      <w:tblPr>
        <w:tblW w:w="9217" w:type="dxa"/>
        <w:tblCellMar>
          <w:left w:w="70" w:type="dxa"/>
          <w:right w:w="70" w:type="dxa"/>
        </w:tblCellMar>
        <w:tblLook w:val="04A0" w:firstRow="1" w:lastRow="0" w:firstColumn="1" w:lastColumn="0" w:noHBand="0" w:noVBand="1"/>
      </w:tblPr>
      <w:tblGrid>
        <w:gridCol w:w="4738"/>
        <w:gridCol w:w="1493"/>
        <w:gridCol w:w="1493"/>
        <w:gridCol w:w="1493"/>
      </w:tblGrid>
      <w:tr w:rsidR="00BD5F7B" w:rsidRPr="00BD5F7B" w14:paraId="03C27EFC" w14:textId="77777777" w:rsidTr="006B1072">
        <w:trPr>
          <w:divId w:val="278537566"/>
          <w:trHeight w:val="581"/>
        </w:trPr>
        <w:tc>
          <w:tcPr>
            <w:tcW w:w="4738" w:type="dxa"/>
            <w:tcBorders>
              <w:top w:val="double" w:sz="6" w:space="0" w:color="auto"/>
              <w:left w:val="nil"/>
              <w:bottom w:val="single" w:sz="8" w:space="0" w:color="auto"/>
              <w:right w:val="nil"/>
            </w:tcBorders>
            <w:shd w:val="clear" w:color="auto" w:fill="auto"/>
            <w:vAlign w:val="center"/>
            <w:hideMark/>
          </w:tcPr>
          <w:p w14:paraId="19A8CB8F" w14:textId="3F4758C3" w:rsidR="00BD5F7B" w:rsidRPr="00BD5F7B" w:rsidRDefault="00BD5F7B" w:rsidP="00BD5F7B">
            <w:pPr>
              <w:jc w:val="both"/>
              <w:rPr>
                <w:sz w:val="18"/>
                <w:szCs w:val="18"/>
                <w:lang w:eastAsia="tr-TR"/>
              </w:rPr>
            </w:pPr>
            <w:r w:rsidRPr="00BD5F7B">
              <w:rPr>
                <w:sz w:val="18"/>
                <w:szCs w:val="18"/>
                <w:lang w:eastAsia="tr-TR"/>
              </w:rPr>
              <w:t>Cari Dönem</w:t>
            </w:r>
          </w:p>
        </w:tc>
        <w:tc>
          <w:tcPr>
            <w:tcW w:w="1493" w:type="dxa"/>
            <w:tcBorders>
              <w:top w:val="double" w:sz="6" w:space="0" w:color="auto"/>
              <w:left w:val="nil"/>
              <w:bottom w:val="single" w:sz="8" w:space="0" w:color="auto"/>
              <w:right w:val="nil"/>
            </w:tcBorders>
            <w:shd w:val="clear" w:color="auto" w:fill="auto"/>
            <w:vAlign w:val="center"/>
            <w:hideMark/>
          </w:tcPr>
          <w:p w14:paraId="7B95DE06" w14:textId="77777777" w:rsidR="00BD5F7B" w:rsidRPr="00BD5F7B" w:rsidRDefault="00BD5F7B" w:rsidP="00BD5F7B">
            <w:pPr>
              <w:jc w:val="right"/>
              <w:rPr>
                <w:b/>
                <w:bCs/>
                <w:sz w:val="18"/>
                <w:szCs w:val="18"/>
                <w:lang w:eastAsia="tr-TR"/>
              </w:rPr>
            </w:pPr>
            <w:r w:rsidRPr="00BD5F7B">
              <w:rPr>
                <w:b/>
                <w:bCs/>
                <w:sz w:val="18"/>
                <w:szCs w:val="18"/>
                <w:lang w:eastAsia="tr-TR"/>
              </w:rPr>
              <w:t>Kısa Vadeli</w:t>
            </w:r>
          </w:p>
        </w:tc>
        <w:tc>
          <w:tcPr>
            <w:tcW w:w="1493" w:type="dxa"/>
            <w:tcBorders>
              <w:top w:val="double" w:sz="6" w:space="0" w:color="auto"/>
              <w:left w:val="nil"/>
              <w:bottom w:val="single" w:sz="8" w:space="0" w:color="auto"/>
              <w:right w:val="nil"/>
            </w:tcBorders>
            <w:shd w:val="clear" w:color="auto" w:fill="auto"/>
            <w:vAlign w:val="center"/>
            <w:hideMark/>
          </w:tcPr>
          <w:p w14:paraId="3F738B69" w14:textId="77777777" w:rsidR="00BD5F7B" w:rsidRPr="00BD5F7B" w:rsidRDefault="00BD5F7B" w:rsidP="00BD5F7B">
            <w:pPr>
              <w:jc w:val="right"/>
              <w:rPr>
                <w:b/>
                <w:bCs/>
                <w:sz w:val="18"/>
                <w:szCs w:val="18"/>
                <w:lang w:eastAsia="tr-TR"/>
              </w:rPr>
            </w:pPr>
            <w:r w:rsidRPr="00BD5F7B">
              <w:rPr>
                <w:b/>
                <w:bCs/>
                <w:sz w:val="18"/>
                <w:szCs w:val="18"/>
                <w:lang w:eastAsia="tr-TR"/>
              </w:rPr>
              <w:t>Orta ve Uzun Vadeli</w:t>
            </w:r>
          </w:p>
        </w:tc>
        <w:tc>
          <w:tcPr>
            <w:tcW w:w="1493" w:type="dxa"/>
            <w:tcBorders>
              <w:top w:val="double" w:sz="6" w:space="0" w:color="auto"/>
              <w:left w:val="nil"/>
              <w:bottom w:val="single" w:sz="8" w:space="0" w:color="auto"/>
              <w:right w:val="nil"/>
            </w:tcBorders>
            <w:shd w:val="clear" w:color="auto" w:fill="auto"/>
            <w:vAlign w:val="center"/>
            <w:hideMark/>
          </w:tcPr>
          <w:p w14:paraId="4EB7FF1B" w14:textId="77777777" w:rsidR="00BD5F7B" w:rsidRPr="00BD5F7B" w:rsidRDefault="00BD5F7B" w:rsidP="00BD5F7B">
            <w:pPr>
              <w:jc w:val="right"/>
              <w:rPr>
                <w:b/>
                <w:bCs/>
                <w:sz w:val="18"/>
                <w:szCs w:val="18"/>
                <w:lang w:eastAsia="tr-TR"/>
              </w:rPr>
            </w:pPr>
            <w:r w:rsidRPr="00BD5F7B">
              <w:rPr>
                <w:b/>
                <w:bCs/>
                <w:sz w:val="18"/>
                <w:szCs w:val="18"/>
                <w:lang w:eastAsia="tr-TR"/>
              </w:rPr>
              <w:t>Toplam</w:t>
            </w:r>
          </w:p>
        </w:tc>
      </w:tr>
      <w:tr w:rsidR="00BD5F7B" w:rsidRPr="00BD5F7B" w14:paraId="401AA7C1"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578E4AA9" w14:textId="77777777" w:rsidR="00BD5F7B" w:rsidRPr="00BD5F7B" w:rsidRDefault="00BD5F7B" w:rsidP="00BD5F7B">
            <w:pPr>
              <w:jc w:val="both"/>
              <w:rPr>
                <w:b/>
                <w:bCs/>
                <w:sz w:val="18"/>
                <w:szCs w:val="18"/>
                <w:lang w:eastAsia="tr-TR"/>
              </w:rPr>
            </w:pPr>
            <w:r w:rsidRPr="00BD5F7B">
              <w:rPr>
                <w:b/>
                <w:bCs/>
                <w:sz w:val="18"/>
                <w:szCs w:val="18"/>
                <w:lang w:eastAsia="tr-TR"/>
              </w:rPr>
              <w:t>Tüketici Kredileri-TP</w:t>
            </w:r>
          </w:p>
        </w:tc>
        <w:tc>
          <w:tcPr>
            <w:tcW w:w="1493" w:type="dxa"/>
            <w:tcBorders>
              <w:top w:val="nil"/>
              <w:left w:val="nil"/>
              <w:bottom w:val="nil"/>
              <w:right w:val="nil"/>
            </w:tcBorders>
            <w:shd w:val="clear" w:color="auto" w:fill="auto"/>
            <w:vAlign w:val="center"/>
            <w:hideMark/>
          </w:tcPr>
          <w:p w14:paraId="08D30951" w14:textId="77777777" w:rsidR="00BD5F7B" w:rsidRPr="00BD5F7B" w:rsidRDefault="00BD5F7B" w:rsidP="00BD5F7B">
            <w:pPr>
              <w:jc w:val="right"/>
              <w:rPr>
                <w:b/>
                <w:bCs/>
                <w:sz w:val="18"/>
                <w:szCs w:val="18"/>
                <w:lang w:eastAsia="tr-TR"/>
              </w:rPr>
            </w:pPr>
            <w:r w:rsidRPr="00BD5F7B">
              <w:rPr>
                <w:b/>
                <w:bCs/>
                <w:sz w:val="18"/>
                <w:szCs w:val="18"/>
                <w:lang w:eastAsia="tr-TR"/>
              </w:rPr>
              <w:t>75,329</w:t>
            </w:r>
          </w:p>
        </w:tc>
        <w:tc>
          <w:tcPr>
            <w:tcW w:w="1493" w:type="dxa"/>
            <w:tcBorders>
              <w:top w:val="nil"/>
              <w:left w:val="nil"/>
              <w:bottom w:val="nil"/>
              <w:right w:val="nil"/>
            </w:tcBorders>
            <w:shd w:val="clear" w:color="auto" w:fill="auto"/>
            <w:vAlign w:val="center"/>
            <w:hideMark/>
          </w:tcPr>
          <w:p w14:paraId="23192CB0" w14:textId="77777777" w:rsidR="00BD5F7B" w:rsidRPr="00BD5F7B" w:rsidRDefault="00BD5F7B" w:rsidP="00BD5F7B">
            <w:pPr>
              <w:jc w:val="right"/>
              <w:rPr>
                <w:b/>
                <w:bCs/>
                <w:sz w:val="18"/>
                <w:szCs w:val="18"/>
                <w:lang w:eastAsia="tr-TR"/>
              </w:rPr>
            </w:pPr>
            <w:r w:rsidRPr="00BD5F7B">
              <w:rPr>
                <w:b/>
                <w:bCs/>
                <w:sz w:val="18"/>
                <w:szCs w:val="18"/>
                <w:lang w:eastAsia="tr-TR"/>
              </w:rPr>
              <w:t>12,870,841</w:t>
            </w:r>
          </w:p>
        </w:tc>
        <w:tc>
          <w:tcPr>
            <w:tcW w:w="1493" w:type="dxa"/>
            <w:tcBorders>
              <w:top w:val="nil"/>
              <w:left w:val="nil"/>
              <w:bottom w:val="nil"/>
              <w:right w:val="nil"/>
            </w:tcBorders>
            <w:shd w:val="clear" w:color="auto" w:fill="auto"/>
            <w:vAlign w:val="center"/>
            <w:hideMark/>
          </w:tcPr>
          <w:p w14:paraId="17D421A0" w14:textId="77777777" w:rsidR="00BD5F7B" w:rsidRPr="00BD5F7B" w:rsidRDefault="00BD5F7B" w:rsidP="00BD5F7B">
            <w:pPr>
              <w:jc w:val="right"/>
              <w:rPr>
                <w:b/>
                <w:bCs/>
                <w:sz w:val="18"/>
                <w:szCs w:val="18"/>
                <w:lang w:eastAsia="tr-TR"/>
              </w:rPr>
            </w:pPr>
            <w:r w:rsidRPr="00BD5F7B">
              <w:rPr>
                <w:b/>
                <w:bCs/>
                <w:sz w:val="18"/>
                <w:szCs w:val="18"/>
                <w:lang w:eastAsia="tr-TR"/>
              </w:rPr>
              <w:t>12,946,170</w:t>
            </w:r>
          </w:p>
        </w:tc>
      </w:tr>
      <w:tr w:rsidR="00BD5F7B" w:rsidRPr="00BD5F7B" w14:paraId="1AD30F22"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59A26C88" w14:textId="77777777" w:rsidR="00BD5F7B" w:rsidRPr="00BD5F7B" w:rsidRDefault="00BD5F7B" w:rsidP="00BD5F7B">
            <w:pPr>
              <w:jc w:val="both"/>
              <w:rPr>
                <w:sz w:val="18"/>
                <w:szCs w:val="18"/>
                <w:lang w:eastAsia="tr-TR"/>
              </w:rPr>
            </w:pPr>
            <w:r w:rsidRPr="00BD5F7B">
              <w:rPr>
                <w:sz w:val="18"/>
                <w:szCs w:val="18"/>
                <w:lang w:eastAsia="tr-TR"/>
              </w:rPr>
              <w:t>Konut Kredisi</w:t>
            </w:r>
          </w:p>
        </w:tc>
        <w:tc>
          <w:tcPr>
            <w:tcW w:w="1493" w:type="dxa"/>
            <w:tcBorders>
              <w:top w:val="nil"/>
              <w:left w:val="nil"/>
              <w:bottom w:val="nil"/>
              <w:right w:val="nil"/>
            </w:tcBorders>
            <w:shd w:val="clear" w:color="auto" w:fill="auto"/>
            <w:vAlign w:val="center"/>
            <w:hideMark/>
          </w:tcPr>
          <w:p w14:paraId="472A79F1" w14:textId="77777777" w:rsidR="00BD5F7B" w:rsidRPr="00BD5F7B" w:rsidRDefault="00BD5F7B" w:rsidP="00BD5F7B">
            <w:pPr>
              <w:jc w:val="right"/>
              <w:rPr>
                <w:sz w:val="18"/>
                <w:szCs w:val="18"/>
                <w:lang w:eastAsia="tr-TR"/>
              </w:rPr>
            </w:pPr>
            <w:r w:rsidRPr="00BD5F7B">
              <w:rPr>
                <w:sz w:val="18"/>
                <w:szCs w:val="18"/>
                <w:lang w:eastAsia="tr-TR"/>
              </w:rPr>
              <w:t>18,699</w:t>
            </w:r>
          </w:p>
        </w:tc>
        <w:tc>
          <w:tcPr>
            <w:tcW w:w="1493" w:type="dxa"/>
            <w:tcBorders>
              <w:top w:val="nil"/>
              <w:left w:val="nil"/>
              <w:bottom w:val="nil"/>
              <w:right w:val="nil"/>
            </w:tcBorders>
            <w:shd w:val="clear" w:color="auto" w:fill="auto"/>
            <w:vAlign w:val="center"/>
            <w:hideMark/>
          </w:tcPr>
          <w:p w14:paraId="4394F8E7" w14:textId="77777777" w:rsidR="00BD5F7B" w:rsidRPr="00BD5F7B" w:rsidRDefault="00BD5F7B" w:rsidP="00BD5F7B">
            <w:pPr>
              <w:jc w:val="right"/>
              <w:rPr>
                <w:sz w:val="18"/>
                <w:szCs w:val="18"/>
                <w:lang w:eastAsia="tr-TR"/>
              </w:rPr>
            </w:pPr>
            <w:r w:rsidRPr="00BD5F7B">
              <w:rPr>
                <w:sz w:val="18"/>
                <w:szCs w:val="18"/>
                <w:lang w:eastAsia="tr-TR"/>
              </w:rPr>
              <w:t>10,999,794</w:t>
            </w:r>
          </w:p>
        </w:tc>
        <w:tc>
          <w:tcPr>
            <w:tcW w:w="1493" w:type="dxa"/>
            <w:tcBorders>
              <w:top w:val="nil"/>
              <w:left w:val="nil"/>
              <w:bottom w:val="nil"/>
              <w:right w:val="nil"/>
            </w:tcBorders>
            <w:shd w:val="clear" w:color="auto" w:fill="auto"/>
            <w:vAlign w:val="center"/>
            <w:hideMark/>
          </w:tcPr>
          <w:p w14:paraId="451D9467" w14:textId="77777777" w:rsidR="00BD5F7B" w:rsidRPr="00BD5F7B" w:rsidRDefault="00BD5F7B" w:rsidP="00BD5F7B">
            <w:pPr>
              <w:jc w:val="right"/>
              <w:rPr>
                <w:sz w:val="18"/>
                <w:szCs w:val="18"/>
                <w:lang w:eastAsia="tr-TR"/>
              </w:rPr>
            </w:pPr>
            <w:r w:rsidRPr="00BD5F7B">
              <w:rPr>
                <w:sz w:val="18"/>
                <w:szCs w:val="18"/>
                <w:lang w:eastAsia="tr-TR"/>
              </w:rPr>
              <w:t>11,018,493</w:t>
            </w:r>
          </w:p>
        </w:tc>
      </w:tr>
      <w:tr w:rsidR="00BD5F7B" w:rsidRPr="00BD5F7B" w14:paraId="07543BC5"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2DF84B6B" w14:textId="77777777" w:rsidR="00BD5F7B" w:rsidRPr="00BD5F7B" w:rsidRDefault="00BD5F7B" w:rsidP="00BD5F7B">
            <w:pPr>
              <w:jc w:val="both"/>
              <w:rPr>
                <w:sz w:val="18"/>
                <w:szCs w:val="18"/>
                <w:lang w:eastAsia="tr-TR"/>
              </w:rPr>
            </w:pPr>
            <w:r w:rsidRPr="00BD5F7B">
              <w:rPr>
                <w:sz w:val="18"/>
                <w:szCs w:val="18"/>
                <w:lang w:eastAsia="tr-TR"/>
              </w:rPr>
              <w:t>Taşıt Kredisi</w:t>
            </w:r>
          </w:p>
        </w:tc>
        <w:tc>
          <w:tcPr>
            <w:tcW w:w="1493" w:type="dxa"/>
            <w:tcBorders>
              <w:top w:val="nil"/>
              <w:left w:val="nil"/>
              <w:bottom w:val="nil"/>
              <w:right w:val="nil"/>
            </w:tcBorders>
            <w:shd w:val="clear" w:color="auto" w:fill="auto"/>
            <w:vAlign w:val="center"/>
            <w:hideMark/>
          </w:tcPr>
          <w:p w14:paraId="297206F6" w14:textId="77777777" w:rsidR="00BD5F7B" w:rsidRPr="00BD5F7B" w:rsidRDefault="00BD5F7B" w:rsidP="00BD5F7B">
            <w:pPr>
              <w:jc w:val="right"/>
              <w:rPr>
                <w:sz w:val="18"/>
                <w:szCs w:val="18"/>
                <w:lang w:eastAsia="tr-TR"/>
              </w:rPr>
            </w:pPr>
            <w:r w:rsidRPr="00BD5F7B">
              <w:rPr>
                <w:sz w:val="18"/>
                <w:szCs w:val="18"/>
                <w:lang w:eastAsia="tr-TR"/>
              </w:rPr>
              <w:t>29,232</w:t>
            </w:r>
          </w:p>
        </w:tc>
        <w:tc>
          <w:tcPr>
            <w:tcW w:w="1493" w:type="dxa"/>
            <w:tcBorders>
              <w:top w:val="nil"/>
              <w:left w:val="nil"/>
              <w:bottom w:val="nil"/>
              <w:right w:val="nil"/>
            </w:tcBorders>
            <w:shd w:val="clear" w:color="auto" w:fill="auto"/>
            <w:vAlign w:val="center"/>
            <w:hideMark/>
          </w:tcPr>
          <w:p w14:paraId="1681E2F6" w14:textId="77777777" w:rsidR="00BD5F7B" w:rsidRPr="00BD5F7B" w:rsidRDefault="00BD5F7B" w:rsidP="00BD5F7B">
            <w:pPr>
              <w:jc w:val="right"/>
              <w:rPr>
                <w:sz w:val="18"/>
                <w:szCs w:val="18"/>
                <w:lang w:eastAsia="tr-TR"/>
              </w:rPr>
            </w:pPr>
            <w:r w:rsidRPr="00BD5F7B">
              <w:rPr>
                <w:sz w:val="18"/>
                <w:szCs w:val="18"/>
                <w:lang w:eastAsia="tr-TR"/>
              </w:rPr>
              <w:t>1,480,327</w:t>
            </w:r>
          </w:p>
        </w:tc>
        <w:tc>
          <w:tcPr>
            <w:tcW w:w="1493" w:type="dxa"/>
            <w:tcBorders>
              <w:top w:val="nil"/>
              <w:left w:val="nil"/>
              <w:bottom w:val="nil"/>
              <w:right w:val="nil"/>
            </w:tcBorders>
            <w:shd w:val="clear" w:color="auto" w:fill="auto"/>
            <w:vAlign w:val="center"/>
            <w:hideMark/>
          </w:tcPr>
          <w:p w14:paraId="0FECB7CF" w14:textId="77777777" w:rsidR="00BD5F7B" w:rsidRPr="00BD5F7B" w:rsidRDefault="00BD5F7B" w:rsidP="00BD5F7B">
            <w:pPr>
              <w:jc w:val="right"/>
              <w:rPr>
                <w:sz w:val="18"/>
                <w:szCs w:val="18"/>
                <w:lang w:eastAsia="tr-TR"/>
              </w:rPr>
            </w:pPr>
            <w:r w:rsidRPr="00BD5F7B">
              <w:rPr>
                <w:sz w:val="18"/>
                <w:szCs w:val="18"/>
                <w:lang w:eastAsia="tr-TR"/>
              </w:rPr>
              <w:t>1,509,559</w:t>
            </w:r>
          </w:p>
        </w:tc>
      </w:tr>
      <w:tr w:rsidR="00BD5F7B" w:rsidRPr="00BD5F7B" w14:paraId="13FD1210"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4585B78D" w14:textId="77777777" w:rsidR="00BD5F7B" w:rsidRPr="00BD5F7B" w:rsidRDefault="00BD5F7B" w:rsidP="00BD5F7B">
            <w:pPr>
              <w:jc w:val="both"/>
              <w:rPr>
                <w:sz w:val="18"/>
                <w:szCs w:val="18"/>
                <w:lang w:eastAsia="tr-TR"/>
              </w:rPr>
            </w:pPr>
            <w:r w:rsidRPr="00BD5F7B">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35DF84E6" w14:textId="77777777" w:rsidR="00BD5F7B" w:rsidRPr="00BD5F7B" w:rsidRDefault="00BD5F7B" w:rsidP="00BD5F7B">
            <w:pPr>
              <w:jc w:val="right"/>
              <w:rPr>
                <w:sz w:val="18"/>
                <w:szCs w:val="18"/>
                <w:lang w:eastAsia="tr-TR"/>
              </w:rPr>
            </w:pPr>
            <w:r w:rsidRPr="00BD5F7B">
              <w:rPr>
                <w:sz w:val="18"/>
                <w:szCs w:val="18"/>
                <w:lang w:eastAsia="tr-TR"/>
              </w:rPr>
              <w:t>21,941</w:t>
            </w:r>
          </w:p>
        </w:tc>
        <w:tc>
          <w:tcPr>
            <w:tcW w:w="1493" w:type="dxa"/>
            <w:tcBorders>
              <w:top w:val="nil"/>
              <w:left w:val="nil"/>
              <w:bottom w:val="nil"/>
              <w:right w:val="nil"/>
            </w:tcBorders>
            <w:shd w:val="clear" w:color="auto" w:fill="auto"/>
            <w:vAlign w:val="center"/>
            <w:hideMark/>
          </w:tcPr>
          <w:p w14:paraId="5AFA3BE0" w14:textId="77777777" w:rsidR="00BD5F7B" w:rsidRPr="00BD5F7B" w:rsidRDefault="00BD5F7B" w:rsidP="00BD5F7B">
            <w:pPr>
              <w:jc w:val="right"/>
              <w:rPr>
                <w:sz w:val="18"/>
                <w:szCs w:val="18"/>
                <w:lang w:eastAsia="tr-TR"/>
              </w:rPr>
            </w:pPr>
            <w:r w:rsidRPr="00BD5F7B">
              <w:rPr>
                <w:sz w:val="18"/>
                <w:szCs w:val="18"/>
                <w:lang w:eastAsia="tr-TR"/>
              </w:rPr>
              <w:t>226,666</w:t>
            </w:r>
          </w:p>
        </w:tc>
        <w:tc>
          <w:tcPr>
            <w:tcW w:w="1493" w:type="dxa"/>
            <w:tcBorders>
              <w:top w:val="nil"/>
              <w:left w:val="nil"/>
              <w:bottom w:val="nil"/>
              <w:right w:val="nil"/>
            </w:tcBorders>
            <w:shd w:val="clear" w:color="auto" w:fill="auto"/>
            <w:vAlign w:val="center"/>
            <w:hideMark/>
          </w:tcPr>
          <w:p w14:paraId="4CD7F5CA" w14:textId="77777777" w:rsidR="00BD5F7B" w:rsidRPr="00BD5F7B" w:rsidRDefault="00BD5F7B" w:rsidP="00BD5F7B">
            <w:pPr>
              <w:jc w:val="right"/>
              <w:rPr>
                <w:sz w:val="18"/>
                <w:szCs w:val="18"/>
                <w:lang w:eastAsia="tr-TR"/>
              </w:rPr>
            </w:pPr>
            <w:r w:rsidRPr="00BD5F7B">
              <w:rPr>
                <w:sz w:val="18"/>
                <w:szCs w:val="18"/>
                <w:lang w:eastAsia="tr-TR"/>
              </w:rPr>
              <w:t>248,607</w:t>
            </w:r>
          </w:p>
        </w:tc>
      </w:tr>
      <w:tr w:rsidR="00BD5F7B" w:rsidRPr="00BD5F7B" w14:paraId="2E9B4075"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6EAAB4D2" w14:textId="77777777" w:rsidR="00BD5F7B" w:rsidRPr="00BD5F7B" w:rsidRDefault="00BD5F7B" w:rsidP="00BD5F7B">
            <w:pPr>
              <w:jc w:val="both"/>
              <w:rPr>
                <w:sz w:val="18"/>
                <w:szCs w:val="18"/>
                <w:lang w:eastAsia="tr-TR"/>
              </w:rPr>
            </w:pPr>
            <w:r w:rsidRPr="00BD5F7B">
              <w:rPr>
                <w:sz w:val="18"/>
                <w:szCs w:val="18"/>
                <w:lang w:eastAsia="tr-TR"/>
              </w:rPr>
              <w:t>Diğer</w:t>
            </w:r>
          </w:p>
        </w:tc>
        <w:tc>
          <w:tcPr>
            <w:tcW w:w="1493" w:type="dxa"/>
            <w:tcBorders>
              <w:top w:val="nil"/>
              <w:left w:val="nil"/>
              <w:bottom w:val="nil"/>
              <w:right w:val="nil"/>
            </w:tcBorders>
            <w:shd w:val="clear" w:color="auto" w:fill="auto"/>
            <w:vAlign w:val="center"/>
            <w:hideMark/>
          </w:tcPr>
          <w:p w14:paraId="25E7C14B" w14:textId="77777777" w:rsidR="00BD5F7B" w:rsidRPr="00BD5F7B" w:rsidRDefault="00BD5F7B" w:rsidP="00BD5F7B">
            <w:pPr>
              <w:jc w:val="right"/>
              <w:rPr>
                <w:sz w:val="18"/>
                <w:szCs w:val="18"/>
                <w:lang w:eastAsia="tr-TR"/>
              </w:rPr>
            </w:pPr>
            <w:r w:rsidRPr="00BD5F7B">
              <w:rPr>
                <w:sz w:val="18"/>
                <w:szCs w:val="18"/>
                <w:lang w:eastAsia="tr-TR"/>
              </w:rPr>
              <w:t>5,457</w:t>
            </w:r>
          </w:p>
        </w:tc>
        <w:tc>
          <w:tcPr>
            <w:tcW w:w="1493" w:type="dxa"/>
            <w:tcBorders>
              <w:top w:val="nil"/>
              <w:left w:val="nil"/>
              <w:bottom w:val="nil"/>
              <w:right w:val="nil"/>
            </w:tcBorders>
            <w:shd w:val="clear" w:color="auto" w:fill="auto"/>
            <w:vAlign w:val="center"/>
            <w:hideMark/>
          </w:tcPr>
          <w:p w14:paraId="46EF2E64" w14:textId="77777777" w:rsidR="00BD5F7B" w:rsidRPr="00BD5F7B" w:rsidRDefault="00BD5F7B" w:rsidP="00BD5F7B">
            <w:pPr>
              <w:jc w:val="right"/>
              <w:rPr>
                <w:sz w:val="18"/>
                <w:szCs w:val="18"/>
                <w:lang w:eastAsia="tr-TR"/>
              </w:rPr>
            </w:pPr>
            <w:r w:rsidRPr="00BD5F7B">
              <w:rPr>
                <w:sz w:val="18"/>
                <w:szCs w:val="18"/>
                <w:lang w:eastAsia="tr-TR"/>
              </w:rPr>
              <w:t>164,054</w:t>
            </w:r>
          </w:p>
        </w:tc>
        <w:tc>
          <w:tcPr>
            <w:tcW w:w="1493" w:type="dxa"/>
            <w:tcBorders>
              <w:top w:val="nil"/>
              <w:left w:val="nil"/>
              <w:bottom w:val="nil"/>
              <w:right w:val="nil"/>
            </w:tcBorders>
            <w:shd w:val="clear" w:color="auto" w:fill="auto"/>
            <w:vAlign w:val="center"/>
            <w:hideMark/>
          </w:tcPr>
          <w:p w14:paraId="60D38B7E" w14:textId="77777777" w:rsidR="00BD5F7B" w:rsidRPr="00BD5F7B" w:rsidRDefault="00BD5F7B" w:rsidP="00BD5F7B">
            <w:pPr>
              <w:jc w:val="right"/>
              <w:rPr>
                <w:sz w:val="18"/>
                <w:szCs w:val="18"/>
                <w:lang w:eastAsia="tr-TR"/>
              </w:rPr>
            </w:pPr>
            <w:r w:rsidRPr="00BD5F7B">
              <w:rPr>
                <w:sz w:val="18"/>
                <w:szCs w:val="18"/>
                <w:lang w:eastAsia="tr-TR"/>
              </w:rPr>
              <w:t>169,511</w:t>
            </w:r>
          </w:p>
        </w:tc>
      </w:tr>
      <w:tr w:rsidR="00BD5F7B" w:rsidRPr="00BD5F7B" w14:paraId="4500A6CC"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1504A09F" w14:textId="77777777" w:rsidR="00BD5F7B" w:rsidRPr="00BD5F7B" w:rsidRDefault="00BD5F7B" w:rsidP="00BD5F7B">
            <w:pPr>
              <w:jc w:val="both"/>
              <w:rPr>
                <w:b/>
                <w:bCs/>
                <w:sz w:val="18"/>
                <w:szCs w:val="18"/>
                <w:lang w:eastAsia="tr-TR"/>
              </w:rPr>
            </w:pPr>
            <w:r w:rsidRPr="00BD5F7B">
              <w:rPr>
                <w:b/>
                <w:bCs/>
                <w:sz w:val="18"/>
                <w:szCs w:val="18"/>
                <w:lang w:eastAsia="tr-TR"/>
              </w:rPr>
              <w:t>Tüketici Kredileri-Dövize Endeksli</w:t>
            </w:r>
          </w:p>
        </w:tc>
        <w:tc>
          <w:tcPr>
            <w:tcW w:w="1493" w:type="dxa"/>
            <w:tcBorders>
              <w:top w:val="nil"/>
              <w:left w:val="nil"/>
              <w:bottom w:val="nil"/>
              <w:right w:val="nil"/>
            </w:tcBorders>
            <w:shd w:val="clear" w:color="auto" w:fill="auto"/>
            <w:vAlign w:val="center"/>
            <w:hideMark/>
          </w:tcPr>
          <w:p w14:paraId="6D92BE9D"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nil"/>
              <w:right w:val="nil"/>
            </w:tcBorders>
            <w:shd w:val="clear" w:color="auto" w:fill="auto"/>
            <w:vAlign w:val="center"/>
            <w:hideMark/>
          </w:tcPr>
          <w:p w14:paraId="31A7787C"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nil"/>
              <w:right w:val="nil"/>
            </w:tcBorders>
            <w:shd w:val="clear" w:color="auto" w:fill="auto"/>
            <w:vAlign w:val="center"/>
            <w:hideMark/>
          </w:tcPr>
          <w:p w14:paraId="00C5F2CF"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3B93EA0B"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450BB168" w14:textId="77777777" w:rsidR="00BD5F7B" w:rsidRPr="00BD5F7B" w:rsidRDefault="00BD5F7B" w:rsidP="00BD5F7B">
            <w:pPr>
              <w:jc w:val="both"/>
              <w:rPr>
                <w:sz w:val="18"/>
                <w:szCs w:val="18"/>
                <w:lang w:eastAsia="tr-TR"/>
              </w:rPr>
            </w:pPr>
            <w:r w:rsidRPr="00BD5F7B">
              <w:rPr>
                <w:sz w:val="18"/>
                <w:szCs w:val="18"/>
                <w:lang w:eastAsia="tr-TR"/>
              </w:rPr>
              <w:t>Konut Kredisi</w:t>
            </w:r>
          </w:p>
        </w:tc>
        <w:tc>
          <w:tcPr>
            <w:tcW w:w="1493" w:type="dxa"/>
            <w:tcBorders>
              <w:top w:val="nil"/>
              <w:left w:val="nil"/>
              <w:bottom w:val="nil"/>
              <w:right w:val="nil"/>
            </w:tcBorders>
            <w:shd w:val="clear" w:color="auto" w:fill="auto"/>
            <w:vAlign w:val="center"/>
            <w:hideMark/>
          </w:tcPr>
          <w:p w14:paraId="6CA1CB27"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15FB9859"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70104780" w14:textId="77777777" w:rsidR="00BD5F7B" w:rsidRPr="00BD5F7B" w:rsidRDefault="00BD5F7B" w:rsidP="00BD5F7B">
            <w:pPr>
              <w:jc w:val="right"/>
              <w:rPr>
                <w:sz w:val="18"/>
                <w:szCs w:val="18"/>
                <w:lang w:eastAsia="tr-TR"/>
              </w:rPr>
            </w:pPr>
            <w:r w:rsidRPr="00BD5F7B">
              <w:rPr>
                <w:sz w:val="18"/>
                <w:szCs w:val="18"/>
                <w:lang w:eastAsia="tr-TR"/>
              </w:rPr>
              <w:t>-</w:t>
            </w:r>
          </w:p>
        </w:tc>
      </w:tr>
      <w:tr w:rsidR="00BD5F7B" w:rsidRPr="00BD5F7B" w14:paraId="0ED75FF1"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34867B3E" w14:textId="77777777" w:rsidR="00BD5F7B" w:rsidRPr="00BD5F7B" w:rsidRDefault="00BD5F7B" w:rsidP="00BD5F7B">
            <w:pPr>
              <w:jc w:val="both"/>
              <w:rPr>
                <w:sz w:val="18"/>
                <w:szCs w:val="18"/>
                <w:lang w:eastAsia="tr-TR"/>
              </w:rPr>
            </w:pPr>
            <w:r w:rsidRPr="00BD5F7B">
              <w:rPr>
                <w:sz w:val="18"/>
                <w:szCs w:val="18"/>
                <w:lang w:eastAsia="tr-TR"/>
              </w:rPr>
              <w:t>Taşıt Kredisi</w:t>
            </w:r>
          </w:p>
        </w:tc>
        <w:tc>
          <w:tcPr>
            <w:tcW w:w="1493" w:type="dxa"/>
            <w:tcBorders>
              <w:top w:val="nil"/>
              <w:left w:val="nil"/>
              <w:bottom w:val="nil"/>
              <w:right w:val="nil"/>
            </w:tcBorders>
            <w:shd w:val="clear" w:color="auto" w:fill="auto"/>
            <w:vAlign w:val="center"/>
            <w:hideMark/>
          </w:tcPr>
          <w:p w14:paraId="2632CBCC"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05C11586"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5B6362EF" w14:textId="77777777" w:rsidR="00BD5F7B" w:rsidRPr="00BD5F7B" w:rsidRDefault="00BD5F7B" w:rsidP="00BD5F7B">
            <w:pPr>
              <w:jc w:val="right"/>
              <w:rPr>
                <w:sz w:val="18"/>
                <w:szCs w:val="18"/>
                <w:lang w:eastAsia="tr-TR"/>
              </w:rPr>
            </w:pPr>
            <w:r w:rsidRPr="00BD5F7B">
              <w:rPr>
                <w:sz w:val="18"/>
                <w:szCs w:val="18"/>
                <w:lang w:eastAsia="tr-TR"/>
              </w:rPr>
              <w:t>-</w:t>
            </w:r>
          </w:p>
        </w:tc>
      </w:tr>
      <w:tr w:rsidR="00BD5F7B" w:rsidRPr="00BD5F7B" w14:paraId="664CEA38"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7788505A" w14:textId="77777777" w:rsidR="00BD5F7B" w:rsidRPr="00BD5F7B" w:rsidRDefault="00BD5F7B" w:rsidP="00BD5F7B">
            <w:pPr>
              <w:jc w:val="both"/>
              <w:rPr>
                <w:sz w:val="18"/>
                <w:szCs w:val="18"/>
                <w:lang w:eastAsia="tr-TR"/>
              </w:rPr>
            </w:pPr>
            <w:r w:rsidRPr="00BD5F7B">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437F888D"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0EA66CCE"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21A8DDAD" w14:textId="77777777" w:rsidR="00BD5F7B" w:rsidRPr="00BD5F7B" w:rsidRDefault="00BD5F7B" w:rsidP="00BD5F7B">
            <w:pPr>
              <w:jc w:val="right"/>
              <w:rPr>
                <w:sz w:val="18"/>
                <w:szCs w:val="18"/>
                <w:lang w:eastAsia="tr-TR"/>
              </w:rPr>
            </w:pPr>
            <w:r w:rsidRPr="00BD5F7B">
              <w:rPr>
                <w:sz w:val="18"/>
                <w:szCs w:val="18"/>
                <w:lang w:eastAsia="tr-TR"/>
              </w:rPr>
              <w:t>-</w:t>
            </w:r>
          </w:p>
        </w:tc>
      </w:tr>
      <w:tr w:rsidR="00BD5F7B" w:rsidRPr="00BD5F7B" w14:paraId="1C1E0DB9"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2FC26546" w14:textId="77777777" w:rsidR="00BD5F7B" w:rsidRPr="00BD5F7B" w:rsidRDefault="00BD5F7B" w:rsidP="00BD5F7B">
            <w:pPr>
              <w:jc w:val="both"/>
              <w:rPr>
                <w:sz w:val="18"/>
                <w:szCs w:val="18"/>
                <w:lang w:eastAsia="tr-TR"/>
              </w:rPr>
            </w:pPr>
            <w:r w:rsidRPr="00BD5F7B">
              <w:rPr>
                <w:sz w:val="18"/>
                <w:szCs w:val="18"/>
                <w:lang w:eastAsia="tr-TR"/>
              </w:rPr>
              <w:t xml:space="preserve">Diğer </w:t>
            </w:r>
          </w:p>
        </w:tc>
        <w:tc>
          <w:tcPr>
            <w:tcW w:w="1493" w:type="dxa"/>
            <w:tcBorders>
              <w:top w:val="nil"/>
              <w:left w:val="nil"/>
              <w:bottom w:val="nil"/>
              <w:right w:val="nil"/>
            </w:tcBorders>
            <w:shd w:val="clear" w:color="auto" w:fill="auto"/>
            <w:vAlign w:val="center"/>
            <w:hideMark/>
          </w:tcPr>
          <w:p w14:paraId="4FB3FCBB"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46F364A8"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026948E4" w14:textId="77777777" w:rsidR="00BD5F7B" w:rsidRPr="00BD5F7B" w:rsidRDefault="00BD5F7B" w:rsidP="00BD5F7B">
            <w:pPr>
              <w:jc w:val="right"/>
              <w:rPr>
                <w:sz w:val="18"/>
                <w:szCs w:val="18"/>
                <w:lang w:eastAsia="tr-TR"/>
              </w:rPr>
            </w:pPr>
            <w:r w:rsidRPr="00BD5F7B">
              <w:rPr>
                <w:sz w:val="18"/>
                <w:szCs w:val="18"/>
                <w:lang w:eastAsia="tr-TR"/>
              </w:rPr>
              <w:t>-</w:t>
            </w:r>
          </w:p>
        </w:tc>
      </w:tr>
      <w:tr w:rsidR="00BD5F7B" w:rsidRPr="00BD5F7B" w14:paraId="7CE2E104"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48014335" w14:textId="77777777" w:rsidR="00BD5F7B" w:rsidRPr="00BD5F7B" w:rsidRDefault="00BD5F7B" w:rsidP="00BD5F7B">
            <w:pPr>
              <w:jc w:val="both"/>
              <w:rPr>
                <w:b/>
                <w:bCs/>
                <w:sz w:val="18"/>
                <w:szCs w:val="18"/>
                <w:lang w:eastAsia="tr-TR"/>
              </w:rPr>
            </w:pPr>
            <w:r w:rsidRPr="00BD5F7B">
              <w:rPr>
                <w:b/>
                <w:bCs/>
                <w:sz w:val="18"/>
                <w:szCs w:val="18"/>
                <w:lang w:eastAsia="tr-TR"/>
              </w:rPr>
              <w:t>Tüketici Kredileri-YP</w:t>
            </w:r>
          </w:p>
        </w:tc>
        <w:tc>
          <w:tcPr>
            <w:tcW w:w="1493" w:type="dxa"/>
            <w:tcBorders>
              <w:top w:val="nil"/>
              <w:left w:val="nil"/>
              <w:bottom w:val="nil"/>
              <w:right w:val="nil"/>
            </w:tcBorders>
            <w:shd w:val="clear" w:color="auto" w:fill="auto"/>
            <w:vAlign w:val="center"/>
            <w:hideMark/>
          </w:tcPr>
          <w:p w14:paraId="737C204B" w14:textId="77777777" w:rsidR="00BD5F7B" w:rsidRPr="00BD5F7B" w:rsidRDefault="00BD5F7B" w:rsidP="00BD5F7B">
            <w:pPr>
              <w:jc w:val="right"/>
              <w:rPr>
                <w:b/>
                <w:bCs/>
                <w:sz w:val="18"/>
                <w:szCs w:val="18"/>
                <w:lang w:eastAsia="tr-TR"/>
              </w:rPr>
            </w:pPr>
            <w:r w:rsidRPr="00BD5F7B">
              <w:rPr>
                <w:b/>
                <w:bCs/>
                <w:sz w:val="18"/>
                <w:szCs w:val="18"/>
                <w:lang w:eastAsia="tr-TR"/>
              </w:rPr>
              <w:t>5</w:t>
            </w:r>
          </w:p>
        </w:tc>
        <w:tc>
          <w:tcPr>
            <w:tcW w:w="1493" w:type="dxa"/>
            <w:tcBorders>
              <w:top w:val="nil"/>
              <w:left w:val="nil"/>
              <w:bottom w:val="nil"/>
              <w:right w:val="nil"/>
            </w:tcBorders>
            <w:shd w:val="clear" w:color="auto" w:fill="auto"/>
            <w:vAlign w:val="center"/>
            <w:hideMark/>
          </w:tcPr>
          <w:p w14:paraId="7BEFC77E" w14:textId="77777777" w:rsidR="00BD5F7B" w:rsidRPr="00BD5F7B" w:rsidRDefault="00BD5F7B" w:rsidP="00BD5F7B">
            <w:pPr>
              <w:jc w:val="right"/>
              <w:rPr>
                <w:b/>
                <w:bCs/>
                <w:sz w:val="18"/>
                <w:szCs w:val="18"/>
                <w:lang w:eastAsia="tr-TR"/>
              </w:rPr>
            </w:pPr>
            <w:r w:rsidRPr="00BD5F7B">
              <w:rPr>
                <w:b/>
                <w:bCs/>
                <w:sz w:val="18"/>
                <w:szCs w:val="18"/>
                <w:lang w:eastAsia="tr-TR"/>
              </w:rPr>
              <w:t>59,284</w:t>
            </w:r>
          </w:p>
        </w:tc>
        <w:tc>
          <w:tcPr>
            <w:tcW w:w="1493" w:type="dxa"/>
            <w:tcBorders>
              <w:top w:val="nil"/>
              <w:left w:val="nil"/>
              <w:bottom w:val="nil"/>
              <w:right w:val="nil"/>
            </w:tcBorders>
            <w:shd w:val="clear" w:color="auto" w:fill="auto"/>
            <w:vAlign w:val="center"/>
            <w:hideMark/>
          </w:tcPr>
          <w:p w14:paraId="38C51C7E" w14:textId="77777777" w:rsidR="00BD5F7B" w:rsidRPr="00BD5F7B" w:rsidRDefault="00BD5F7B" w:rsidP="00BD5F7B">
            <w:pPr>
              <w:jc w:val="right"/>
              <w:rPr>
                <w:b/>
                <w:bCs/>
                <w:sz w:val="18"/>
                <w:szCs w:val="18"/>
                <w:lang w:eastAsia="tr-TR"/>
              </w:rPr>
            </w:pPr>
            <w:r w:rsidRPr="00BD5F7B">
              <w:rPr>
                <w:b/>
                <w:bCs/>
                <w:sz w:val="18"/>
                <w:szCs w:val="18"/>
                <w:lang w:eastAsia="tr-TR"/>
              </w:rPr>
              <w:t>59,289</w:t>
            </w:r>
          </w:p>
        </w:tc>
      </w:tr>
      <w:tr w:rsidR="00BD5F7B" w:rsidRPr="00BD5F7B" w14:paraId="0AAB4DFF"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26DF4F17" w14:textId="77777777" w:rsidR="00BD5F7B" w:rsidRPr="00BD5F7B" w:rsidRDefault="00BD5F7B" w:rsidP="00BD5F7B">
            <w:pPr>
              <w:jc w:val="both"/>
              <w:rPr>
                <w:sz w:val="18"/>
                <w:szCs w:val="18"/>
                <w:lang w:eastAsia="tr-TR"/>
              </w:rPr>
            </w:pPr>
            <w:r w:rsidRPr="00BD5F7B">
              <w:rPr>
                <w:sz w:val="18"/>
                <w:szCs w:val="18"/>
                <w:lang w:eastAsia="tr-TR"/>
              </w:rPr>
              <w:t>Konut Kredisi</w:t>
            </w:r>
          </w:p>
        </w:tc>
        <w:tc>
          <w:tcPr>
            <w:tcW w:w="1493" w:type="dxa"/>
            <w:tcBorders>
              <w:top w:val="nil"/>
              <w:left w:val="nil"/>
              <w:bottom w:val="nil"/>
              <w:right w:val="nil"/>
            </w:tcBorders>
            <w:shd w:val="clear" w:color="auto" w:fill="auto"/>
            <w:vAlign w:val="center"/>
            <w:hideMark/>
          </w:tcPr>
          <w:p w14:paraId="5FE9E9EA"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2BBF9791" w14:textId="77777777" w:rsidR="00BD5F7B" w:rsidRPr="00BD5F7B" w:rsidRDefault="00BD5F7B" w:rsidP="00BD5F7B">
            <w:pPr>
              <w:jc w:val="right"/>
              <w:rPr>
                <w:sz w:val="18"/>
                <w:szCs w:val="18"/>
                <w:lang w:eastAsia="tr-TR"/>
              </w:rPr>
            </w:pPr>
            <w:r w:rsidRPr="00BD5F7B">
              <w:rPr>
                <w:sz w:val="18"/>
                <w:szCs w:val="18"/>
                <w:lang w:eastAsia="tr-TR"/>
              </w:rPr>
              <w:t>29,161</w:t>
            </w:r>
          </w:p>
        </w:tc>
        <w:tc>
          <w:tcPr>
            <w:tcW w:w="1493" w:type="dxa"/>
            <w:tcBorders>
              <w:top w:val="nil"/>
              <w:left w:val="nil"/>
              <w:bottom w:val="nil"/>
              <w:right w:val="nil"/>
            </w:tcBorders>
            <w:shd w:val="clear" w:color="auto" w:fill="auto"/>
            <w:vAlign w:val="center"/>
            <w:hideMark/>
          </w:tcPr>
          <w:p w14:paraId="70265C2E" w14:textId="77777777" w:rsidR="00BD5F7B" w:rsidRPr="00BD5F7B" w:rsidRDefault="00BD5F7B" w:rsidP="00BD5F7B">
            <w:pPr>
              <w:jc w:val="right"/>
              <w:rPr>
                <w:sz w:val="18"/>
                <w:szCs w:val="18"/>
                <w:lang w:eastAsia="tr-TR"/>
              </w:rPr>
            </w:pPr>
            <w:r w:rsidRPr="00BD5F7B">
              <w:rPr>
                <w:sz w:val="18"/>
                <w:szCs w:val="18"/>
                <w:lang w:eastAsia="tr-TR"/>
              </w:rPr>
              <w:t>29,161</w:t>
            </w:r>
          </w:p>
        </w:tc>
      </w:tr>
      <w:tr w:rsidR="00BD5F7B" w:rsidRPr="00BD5F7B" w14:paraId="6ED98449"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68DBD7B9" w14:textId="77777777" w:rsidR="00BD5F7B" w:rsidRPr="00BD5F7B" w:rsidRDefault="00BD5F7B" w:rsidP="00BD5F7B">
            <w:pPr>
              <w:jc w:val="both"/>
              <w:rPr>
                <w:sz w:val="18"/>
                <w:szCs w:val="18"/>
                <w:lang w:eastAsia="tr-TR"/>
              </w:rPr>
            </w:pPr>
            <w:r w:rsidRPr="00BD5F7B">
              <w:rPr>
                <w:sz w:val="18"/>
                <w:szCs w:val="18"/>
                <w:lang w:eastAsia="tr-TR"/>
              </w:rPr>
              <w:t>Taşıt Kredisi</w:t>
            </w:r>
          </w:p>
        </w:tc>
        <w:tc>
          <w:tcPr>
            <w:tcW w:w="1493" w:type="dxa"/>
            <w:tcBorders>
              <w:top w:val="nil"/>
              <w:left w:val="nil"/>
              <w:bottom w:val="nil"/>
              <w:right w:val="nil"/>
            </w:tcBorders>
            <w:shd w:val="clear" w:color="auto" w:fill="auto"/>
            <w:vAlign w:val="center"/>
            <w:hideMark/>
          </w:tcPr>
          <w:p w14:paraId="54EFB4DD"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0AFA6844"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437EB459" w14:textId="77777777" w:rsidR="00BD5F7B" w:rsidRPr="00BD5F7B" w:rsidRDefault="00BD5F7B" w:rsidP="00BD5F7B">
            <w:pPr>
              <w:jc w:val="right"/>
              <w:rPr>
                <w:sz w:val="18"/>
                <w:szCs w:val="18"/>
                <w:lang w:eastAsia="tr-TR"/>
              </w:rPr>
            </w:pPr>
            <w:r w:rsidRPr="00BD5F7B">
              <w:rPr>
                <w:sz w:val="18"/>
                <w:szCs w:val="18"/>
                <w:lang w:eastAsia="tr-TR"/>
              </w:rPr>
              <w:t>-</w:t>
            </w:r>
          </w:p>
        </w:tc>
      </w:tr>
      <w:tr w:rsidR="00BD5F7B" w:rsidRPr="00BD5F7B" w14:paraId="396BAA0E"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29B4C913" w14:textId="77777777" w:rsidR="00BD5F7B" w:rsidRPr="00BD5F7B" w:rsidRDefault="00BD5F7B" w:rsidP="00BD5F7B">
            <w:pPr>
              <w:jc w:val="both"/>
              <w:rPr>
                <w:sz w:val="18"/>
                <w:szCs w:val="18"/>
                <w:lang w:eastAsia="tr-TR"/>
              </w:rPr>
            </w:pPr>
            <w:r w:rsidRPr="00BD5F7B">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1792AEC1"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7146D536" w14:textId="77777777" w:rsidR="00BD5F7B" w:rsidRPr="00BD5F7B" w:rsidRDefault="00BD5F7B" w:rsidP="00BD5F7B">
            <w:pPr>
              <w:jc w:val="right"/>
              <w:rPr>
                <w:sz w:val="18"/>
                <w:szCs w:val="18"/>
                <w:lang w:eastAsia="tr-TR"/>
              </w:rPr>
            </w:pPr>
            <w:r w:rsidRPr="00BD5F7B">
              <w:rPr>
                <w:sz w:val="18"/>
                <w:szCs w:val="18"/>
                <w:lang w:eastAsia="tr-TR"/>
              </w:rPr>
              <w:t>30,123</w:t>
            </w:r>
          </w:p>
        </w:tc>
        <w:tc>
          <w:tcPr>
            <w:tcW w:w="1493" w:type="dxa"/>
            <w:tcBorders>
              <w:top w:val="nil"/>
              <w:left w:val="nil"/>
              <w:bottom w:val="nil"/>
              <w:right w:val="nil"/>
            </w:tcBorders>
            <w:shd w:val="clear" w:color="auto" w:fill="auto"/>
            <w:vAlign w:val="center"/>
            <w:hideMark/>
          </w:tcPr>
          <w:p w14:paraId="456E742D" w14:textId="77777777" w:rsidR="00BD5F7B" w:rsidRPr="00BD5F7B" w:rsidRDefault="00BD5F7B" w:rsidP="00BD5F7B">
            <w:pPr>
              <w:jc w:val="right"/>
              <w:rPr>
                <w:sz w:val="18"/>
                <w:szCs w:val="18"/>
                <w:lang w:eastAsia="tr-TR"/>
              </w:rPr>
            </w:pPr>
            <w:r w:rsidRPr="00BD5F7B">
              <w:rPr>
                <w:sz w:val="18"/>
                <w:szCs w:val="18"/>
                <w:lang w:eastAsia="tr-TR"/>
              </w:rPr>
              <w:t>30,123</w:t>
            </w:r>
          </w:p>
        </w:tc>
      </w:tr>
      <w:tr w:rsidR="00BD5F7B" w:rsidRPr="00BD5F7B" w14:paraId="3A8797FA"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7267AE67" w14:textId="77777777" w:rsidR="00BD5F7B" w:rsidRPr="00BD5F7B" w:rsidRDefault="00BD5F7B" w:rsidP="00BD5F7B">
            <w:pPr>
              <w:jc w:val="both"/>
              <w:rPr>
                <w:sz w:val="18"/>
                <w:szCs w:val="18"/>
                <w:lang w:eastAsia="tr-TR"/>
              </w:rPr>
            </w:pPr>
            <w:r w:rsidRPr="00BD5F7B">
              <w:rPr>
                <w:sz w:val="18"/>
                <w:szCs w:val="18"/>
                <w:lang w:eastAsia="tr-TR"/>
              </w:rPr>
              <w:t xml:space="preserve">Diğer </w:t>
            </w:r>
          </w:p>
        </w:tc>
        <w:tc>
          <w:tcPr>
            <w:tcW w:w="1493" w:type="dxa"/>
            <w:tcBorders>
              <w:top w:val="nil"/>
              <w:left w:val="nil"/>
              <w:bottom w:val="nil"/>
              <w:right w:val="nil"/>
            </w:tcBorders>
            <w:shd w:val="clear" w:color="auto" w:fill="auto"/>
            <w:vAlign w:val="center"/>
            <w:hideMark/>
          </w:tcPr>
          <w:p w14:paraId="0E9AA506" w14:textId="77777777" w:rsidR="00BD5F7B" w:rsidRPr="00BD5F7B" w:rsidRDefault="00BD5F7B" w:rsidP="00BD5F7B">
            <w:pPr>
              <w:jc w:val="right"/>
              <w:rPr>
                <w:sz w:val="18"/>
                <w:szCs w:val="18"/>
                <w:lang w:eastAsia="tr-TR"/>
              </w:rPr>
            </w:pPr>
            <w:r w:rsidRPr="00BD5F7B">
              <w:rPr>
                <w:sz w:val="18"/>
                <w:szCs w:val="18"/>
                <w:lang w:eastAsia="tr-TR"/>
              </w:rPr>
              <w:t>5</w:t>
            </w:r>
          </w:p>
        </w:tc>
        <w:tc>
          <w:tcPr>
            <w:tcW w:w="1493" w:type="dxa"/>
            <w:tcBorders>
              <w:top w:val="nil"/>
              <w:left w:val="nil"/>
              <w:bottom w:val="nil"/>
              <w:right w:val="nil"/>
            </w:tcBorders>
            <w:shd w:val="clear" w:color="auto" w:fill="auto"/>
            <w:vAlign w:val="center"/>
            <w:hideMark/>
          </w:tcPr>
          <w:p w14:paraId="5DB9978B"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33F78A76" w14:textId="77777777" w:rsidR="00BD5F7B" w:rsidRPr="00BD5F7B" w:rsidRDefault="00BD5F7B" w:rsidP="00BD5F7B">
            <w:pPr>
              <w:jc w:val="right"/>
              <w:rPr>
                <w:sz w:val="18"/>
                <w:szCs w:val="18"/>
                <w:lang w:eastAsia="tr-TR"/>
              </w:rPr>
            </w:pPr>
            <w:r w:rsidRPr="00BD5F7B">
              <w:rPr>
                <w:sz w:val="18"/>
                <w:szCs w:val="18"/>
                <w:lang w:eastAsia="tr-TR"/>
              </w:rPr>
              <w:t>5</w:t>
            </w:r>
          </w:p>
        </w:tc>
      </w:tr>
      <w:tr w:rsidR="00BD5F7B" w:rsidRPr="00BD5F7B" w14:paraId="64C0FE00"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7EDE13C1" w14:textId="77777777" w:rsidR="00BD5F7B" w:rsidRPr="00BD5F7B" w:rsidRDefault="00BD5F7B" w:rsidP="00BD5F7B">
            <w:pPr>
              <w:jc w:val="both"/>
              <w:rPr>
                <w:b/>
                <w:bCs/>
                <w:sz w:val="18"/>
                <w:szCs w:val="18"/>
                <w:lang w:eastAsia="tr-TR"/>
              </w:rPr>
            </w:pPr>
            <w:r w:rsidRPr="00BD5F7B">
              <w:rPr>
                <w:b/>
                <w:bCs/>
                <w:sz w:val="18"/>
                <w:szCs w:val="18"/>
                <w:lang w:eastAsia="tr-TR"/>
              </w:rPr>
              <w:t>Bireysel Kredi Kartları-TP</w:t>
            </w:r>
          </w:p>
        </w:tc>
        <w:tc>
          <w:tcPr>
            <w:tcW w:w="1493" w:type="dxa"/>
            <w:tcBorders>
              <w:top w:val="nil"/>
              <w:left w:val="nil"/>
              <w:bottom w:val="nil"/>
              <w:right w:val="nil"/>
            </w:tcBorders>
            <w:shd w:val="clear" w:color="auto" w:fill="auto"/>
            <w:vAlign w:val="center"/>
            <w:hideMark/>
          </w:tcPr>
          <w:p w14:paraId="28A8CD53" w14:textId="77777777" w:rsidR="00BD5F7B" w:rsidRPr="00BD5F7B" w:rsidRDefault="00BD5F7B" w:rsidP="00BD5F7B">
            <w:pPr>
              <w:jc w:val="right"/>
              <w:rPr>
                <w:b/>
                <w:bCs/>
                <w:sz w:val="18"/>
                <w:szCs w:val="18"/>
                <w:lang w:eastAsia="tr-TR"/>
              </w:rPr>
            </w:pPr>
            <w:r w:rsidRPr="00BD5F7B">
              <w:rPr>
                <w:b/>
                <w:bCs/>
                <w:sz w:val="18"/>
                <w:szCs w:val="18"/>
                <w:lang w:eastAsia="tr-TR"/>
              </w:rPr>
              <w:t>545,514</w:t>
            </w:r>
          </w:p>
        </w:tc>
        <w:tc>
          <w:tcPr>
            <w:tcW w:w="1493" w:type="dxa"/>
            <w:tcBorders>
              <w:top w:val="nil"/>
              <w:left w:val="nil"/>
              <w:bottom w:val="nil"/>
              <w:right w:val="nil"/>
            </w:tcBorders>
            <w:shd w:val="clear" w:color="auto" w:fill="auto"/>
            <w:vAlign w:val="center"/>
            <w:hideMark/>
          </w:tcPr>
          <w:p w14:paraId="6ED9A684" w14:textId="77777777" w:rsidR="00BD5F7B" w:rsidRPr="00BD5F7B" w:rsidRDefault="00BD5F7B" w:rsidP="00BD5F7B">
            <w:pPr>
              <w:jc w:val="right"/>
              <w:rPr>
                <w:b/>
                <w:bCs/>
                <w:sz w:val="18"/>
                <w:szCs w:val="18"/>
                <w:lang w:eastAsia="tr-TR"/>
              </w:rPr>
            </w:pPr>
            <w:r w:rsidRPr="00BD5F7B">
              <w:rPr>
                <w:b/>
                <w:bCs/>
                <w:sz w:val="18"/>
                <w:szCs w:val="18"/>
                <w:lang w:eastAsia="tr-TR"/>
              </w:rPr>
              <w:t>70</w:t>
            </w:r>
          </w:p>
        </w:tc>
        <w:tc>
          <w:tcPr>
            <w:tcW w:w="1493" w:type="dxa"/>
            <w:tcBorders>
              <w:top w:val="nil"/>
              <w:left w:val="nil"/>
              <w:bottom w:val="nil"/>
              <w:right w:val="nil"/>
            </w:tcBorders>
            <w:shd w:val="clear" w:color="auto" w:fill="auto"/>
            <w:vAlign w:val="center"/>
            <w:hideMark/>
          </w:tcPr>
          <w:p w14:paraId="2ED60D17" w14:textId="77777777" w:rsidR="00BD5F7B" w:rsidRPr="00BD5F7B" w:rsidRDefault="00BD5F7B" w:rsidP="00BD5F7B">
            <w:pPr>
              <w:jc w:val="right"/>
              <w:rPr>
                <w:b/>
                <w:bCs/>
                <w:sz w:val="18"/>
                <w:szCs w:val="18"/>
                <w:lang w:eastAsia="tr-TR"/>
              </w:rPr>
            </w:pPr>
            <w:r w:rsidRPr="00BD5F7B">
              <w:rPr>
                <w:b/>
                <w:bCs/>
                <w:sz w:val="18"/>
                <w:szCs w:val="18"/>
                <w:lang w:eastAsia="tr-TR"/>
              </w:rPr>
              <w:t>545,584</w:t>
            </w:r>
          </w:p>
        </w:tc>
      </w:tr>
      <w:tr w:rsidR="00BD5F7B" w:rsidRPr="00BD5F7B" w14:paraId="77816559"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5ADD2D40" w14:textId="77777777" w:rsidR="00BD5F7B" w:rsidRPr="00BD5F7B" w:rsidRDefault="00BD5F7B" w:rsidP="00BD5F7B">
            <w:pPr>
              <w:jc w:val="both"/>
              <w:rPr>
                <w:sz w:val="18"/>
                <w:szCs w:val="18"/>
                <w:lang w:eastAsia="tr-TR"/>
              </w:rPr>
            </w:pPr>
            <w:r w:rsidRPr="00BD5F7B">
              <w:rPr>
                <w:sz w:val="18"/>
                <w:szCs w:val="18"/>
                <w:lang w:eastAsia="tr-TR"/>
              </w:rPr>
              <w:t>Taksitli</w:t>
            </w:r>
          </w:p>
        </w:tc>
        <w:tc>
          <w:tcPr>
            <w:tcW w:w="1493" w:type="dxa"/>
            <w:tcBorders>
              <w:top w:val="nil"/>
              <w:left w:val="nil"/>
              <w:bottom w:val="nil"/>
              <w:right w:val="nil"/>
            </w:tcBorders>
            <w:shd w:val="clear" w:color="auto" w:fill="auto"/>
            <w:vAlign w:val="center"/>
            <w:hideMark/>
          </w:tcPr>
          <w:p w14:paraId="721DD5A0" w14:textId="77777777" w:rsidR="00BD5F7B" w:rsidRPr="00BD5F7B" w:rsidRDefault="00BD5F7B" w:rsidP="00BD5F7B">
            <w:pPr>
              <w:jc w:val="right"/>
              <w:rPr>
                <w:sz w:val="18"/>
                <w:szCs w:val="18"/>
                <w:lang w:eastAsia="tr-TR"/>
              </w:rPr>
            </w:pPr>
            <w:r w:rsidRPr="00BD5F7B">
              <w:rPr>
                <w:sz w:val="18"/>
                <w:szCs w:val="18"/>
                <w:lang w:eastAsia="tr-TR"/>
              </w:rPr>
              <w:t>121,360</w:t>
            </w:r>
          </w:p>
        </w:tc>
        <w:tc>
          <w:tcPr>
            <w:tcW w:w="1493" w:type="dxa"/>
            <w:tcBorders>
              <w:top w:val="nil"/>
              <w:left w:val="nil"/>
              <w:bottom w:val="nil"/>
              <w:right w:val="nil"/>
            </w:tcBorders>
            <w:shd w:val="clear" w:color="auto" w:fill="auto"/>
            <w:vAlign w:val="center"/>
            <w:hideMark/>
          </w:tcPr>
          <w:p w14:paraId="7D99521C" w14:textId="77777777" w:rsidR="00BD5F7B" w:rsidRPr="00BD5F7B" w:rsidRDefault="00BD5F7B" w:rsidP="00BD5F7B">
            <w:pPr>
              <w:jc w:val="right"/>
              <w:rPr>
                <w:sz w:val="18"/>
                <w:szCs w:val="18"/>
                <w:lang w:eastAsia="tr-TR"/>
              </w:rPr>
            </w:pPr>
            <w:r w:rsidRPr="00BD5F7B">
              <w:rPr>
                <w:sz w:val="18"/>
                <w:szCs w:val="18"/>
                <w:lang w:eastAsia="tr-TR"/>
              </w:rPr>
              <w:t>70</w:t>
            </w:r>
          </w:p>
        </w:tc>
        <w:tc>
          <w:tcPr>
            <w:tcW w:w="1493" w:type="dxa"/>
            <w:tcBorders>
              <w:top w:val="nil"/>
              <w:left w:val="nil"/>
              <w:bottom w:val="nil"/>
              <w:right w:val="nil"/>
            </w:tcBorders>
            <w:shd w:val="clear" w:color="auto" w:fill="auto"/>
            <w:vAlign w:val="center"/>
            <w:hideMark/>
          </w:tcPr>
          <w:p w14:paraId="7DEFE717" w14:textId="77777777" w:rsidR="00BD5F7B" w:rsidRPr="00BD5F7B" w:rsidRDefault="00BD5F7B" w:rsidP="00BD5F7B">
            <w:pPr>
              <w:jc w:val="right"/>
              <w:rPr>
                <w:sz w:val="18"/>
                <w:szCs w:val="18"/>
                <w:lang w:eastAsia="tr-TR"/>
              </w:rPr>
            </w:pPr>
            <w:r w:rsidRPr="00BD5F7B">
              <w:rPr>
                <w:sz w:val="18"/>
                <w:szCs w:val="18"/>
                <w:lang w:eastAsia="tr-TR"/>
              </w:rPr>
              <w:t>121,430</w:t>
            </w:r>
          </w:p>
        </w:tc>
      </w:tr>
      <w:tr w:rsidR="00BD5F7B" w:rsidRPr="00BD5F7B" w14:paraId="5A7EEC3B"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3A19FB3F" w14:textId="77777777" w:rsidR="00BD5F7B" w:rsidRPr="00BD5F7B" w:rsidRDefault="00BD5F7B" w:rsidP="00BD5F7B">
            <w:pPr>
              <w:jc w:val="both"/>
              <w:rPr>
                <w:sz w:val="18"/>
                <w:szCs w:val="18"/>
                <w:lang w:eastAsia="tr-TR"/>
              </w:rPr>
            </w:pPr>
            <w:r w:rsidRPr="00BD5F7B">
              <w:rPr>
                <w:sz w:val="18"/>
                <w:szCs w:val="18"/>
                <w:lang w:eastAsia="tr-TR"/>
              </w:rPr>
              <w:t>Taksitsiz</w:t>
            </w:r>
          </w:p>
        </w:tc>
        <w:tc>
          <w:tcPr>
            <w:tcW w:w="1493" w:type="dxa"/>
            <w:tcBorders>
              <w:top w:val="nil"/>
              <w:left w:val="nil"/>
              <w:bottom w:val="nil"/>
              <w:right w:val="nil"/>
            </w:tcBorders>
            <w:shd w:val="clear" w:color="auto" w:fill="auto"/>
            <w:vAlign w:val="center"/>
            <w:hideMark/>
          </w:tcPr>
          <w:p w14:paraId="11C879BB" w14:textId="77777777" w:rsidR="00BD5F7B" w:rsidRPr="00BD5F7B" w:rsidRDefault="00BD5F7B" w:rsidP="00BD5F7B">
            <w:pPr>
              <w:jc w:val="right"/>
              <w:rPr>
                <w:sz w:val="18"/>
                <w:szCs w:val="18"/>
                <w:lang w:eastAsia="tr-TR"/>
              </w:rPr>
            </w:pPr>
            <w:r w:rsidRPr="00BD5F7B">
              <w:rPr>
                <w:sz w:val="18"/>
                <w:szCs w:val="18"/>
                <w:lang w:eastAsia="tr-TR"/>
              </w:rPr>
              <w:t>424,154</w:t>
            </w:r>
          </w:p>
        </w:tc>
        <w:tc>
          <w:tcPr>
            <w:tcW w:w="1493" w:type="dxa"/>
            <w:tcBorders>
              <w:top w:val="nil"/>
              <w:left w:val="nil"/>
              <w:bottom w:val="nil"/>
              <w:right w:val="nil"/>
            </w:tcBorders>
            <w:shd w:val="clear" w:color="auto" w:fill="auto"/>
            <w:vAlign w:val="center"/>
            <w:hideMark/>
          </w:tcPr>
          <w:p w14:paraId="52F2A63E"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41E071EA" w14:textId="77777777" w:rsidR="00BD5F7B" w:rsidRPr="00BD5F7B" w:rsidRDefault="00BD5F7B" w:rsidP="00BD5F7B">
            <w:pPr>
              <w:jc w:val="right"/>
              <w:rPr>
                <w:sz w:val="18"/>
                <w:szCs w:val="18"/>
                <w:lang w:eastAsia="tr-TR"/>
              </w:rPr>
            </w:pPr>
            <w:r w:rsidRPr="00BD5F7B">
              <w:rPr>
                <w:sz w:val="18"/>
                <w:szCs w:val="18"/>
                <w:lang w:eastAsia="tr-TR"/>
              </w:rPr>
              <w:t>424,154</w:t>
            </w:r>
          </w:p>
        </w:tc>
      </w:tr>
      <w:tr w:rsidR="00BD5F7B" w:rsidRPr="00BD5F7B" w14:paraId="1B7E4267"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5239858C" w14:textId="77777777" w:rsidR="00BD5F7B" w:rsidRPr="00BD5F7B" w:rsidRDefault="00BD5F7B" w:rsidP="00BD5F7B">
            <w:pPr>
              <w:jc w:val="both"/>
              <w:rPr>
                <w:b/>
                <w:bCs/>
                <w:sz w:val="18"/>
                <w:szCs w:val="18"/>
                <w:lang w:eastAsia="tr-TR"/>
              </w:rPr>
            </w:pPr>
            <w:r w:rsidRPr="00BD5F7B">
              <w:rPr>
                <w:b/>
                <w:bCs/>
                <w:sz w:val="18"/>
                <w:szCs w:val="18"/>
                <w:lang w:eastAsia="tr-TR"/>
              </w:rPr>
              <w:t>Bireysel Kredi Kartları-YP</w:t>
            </w:r>
          </w:p>
        </w:tc>
        <w:tc>
          <w:tcPr>
            <w:tcW w:w="1493" w:type="dxa"/>
            <w:tcBorders>
              <w:top w:val="nil"/>
              <w:left w:val="nil"/>
              <w:bottom w:val="nil"/>
              <w:right w:val="nil"/>
            </w:tcBorders>
            <w:shd w:val="clear" w:color="auto" w:fill="auto"/>
            <w:vAlign w:val="center"/>
            <w:hideMark/>
          </w:tcPr>
          <w:p w14:paraId="03C53E34"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nil"/>
              <w:right w:val="nil"/>
            </w:tcBorders>
            <w:shd w:val="clear" w:color="auto" w:fill="auto"/>
            <w:vAlign w:val="center"/>
            <w:hideMark/>
          </w:tcPr>
          <w:p w14:paraId="40F00B69"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nil"/>
              <w:right w:val="nil"/>
            </w:tcBorders>
            <w:shd w:val="clear" w:color="auto" w:fill="auto"/>
            <w:vAlign w:val="center"/>
            <w:hideMark/>
          </w:tcPr>
          <w:p w14:paraId="53F28FAA"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0BBB09E4"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55C6347F" w14:textId="77777777" w:rsidR="00BD5F7B" w:rsidRPr="00BD5F7B" w:rsidRDefault="00BD5F7B" w:rsidP="00BD5F7B">
            <w:pPr>
              <w:jc w:val="both"/>
              <w:rPr>
                <w:sz w:val="18"/>
                <w:szCs w:val="18"/>
                <w:lang w:eastAsia="tr-TR"/>
              </w:rPr>
            </w:pPr>
            <w:r w:rsidRPr="00BD5F7B">
              <w:rPr>
                <w:sz w:val="18"/>
                <w:szCs w:val="18"/>
                <w:lang w:eastAsia="tr-TR"/>
              </w:rPr>
              <w:t>Taksitli</w:t>
            </w:r>
          </w:p>
        </w:tc>
        <w:tc>
          <w:tcPr>
            <w:tcW w:w="1493" w:type="dxa"/>
            <w:tcBorders>
              <w:top w:val="nil"/>
              <w:left w:val="nil"/>
              <w:bottom w:val="nil"/>
              <w:right w:val="nil"/>
            </w:tcBorders>
            <w:shd w:val="clear" w:color="auto" w:fill="auto"/>
            <w:vAlign w:val="center"/>
            <w:hideMark/>
          </w:tcPr>
          <w:p w14:paraId="2FD8C620"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2A35993C"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654463F1"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3710E21F"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2177348A" w14:textId="77777777" w:rsidR="00BD5F7B" w:rsidRPr="00BD5F7B" w:rsidRDefault="00BD5F7B" w:rsidP="00BD5F7B">
            <w:pPr>
              <w:jc w:val="both"/>
              <w:rPr>
                <w:sz w:val="18"/>
                <w:szCs w:val="18"/>
                <w:lang w:eastAsia="tr-TR"/>
              </w:rPr>
            </w:pPr>
            <w:r w:rsidRPr="00BD5F7B">
              <w:rPr>
                <w:sz w:val="18"/>
                <w:szCs w:val="18"/>
                <w:lang w:eastAsia="tr-TR"/>
              </w:rPr>
              <w:t>Taksitsiz</w:t>
            </w:r>
          </w:p>
        </w:tc>
        <w:tc>
          <w:tcPr>
            <w:tcW w:w="1493" w:type="dxa"/>
            <w:tcBorders>
              <w:top w:val="nil"/>
              <w:left w:val="nil"/>
              <w:bottom w:val="nil"/>
              <w:right w:val="nil"/>
            </w:tcBorders>
            <w:shd w:val="clear" w:color="auto" w:fill="auto"/>
            <w:vAlign w:val="center"/>
            <w:hideMark/>
          </w:tcPr>
          <w:p w14:paraId="75275B43"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01E4FDF9"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48EFEAD6"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448B9D8B"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1DBF8998" w14:textId="77777777" w:rsidR="00BD5F7B" w:rsidRPr="00BD5F7B" w:rsidRDefault="00BD5F7B" w:rsidP="00BD5F7B">
            <w:pPr>
              <w:jc w:val="both"/>
              <w:rPr>
                <w:b/>
                <w:bCs/>
                <w:sz w:val="18"/>
                <w:szCs w:val="18"/>
                <w:lang w:eastAsia="tr-TR"/>
              </w:rPr>
            </w:pPr>
            <w:r w:rsidRPr="00BD5F7B">
              <w:rPr>
                <w:b/>
                <w:bCs/>
                <w:sz w:val="18"/>
                <w:szCs w:val="18"/>
                <w:lang w:eastAsia="tr-TR"/>
              </w:rPr>
              <w:t>Personel Kredileri-TP</w:t>
            </w:r>
          </w:p>
        </w:tc>
        <w:tc>
          <w:tcPr>
            <w:tcW w:w="1493" w:type="dxa"/>
            <w:tcBorders>
              <w:top w:val="nil"/>
              <w:left w:val="nil"/>
              <w:bottom w:val="nil"/>
              <w:right w:val="nil"/>
            </w:tcBorders>
            <w:shd w:val="clear" w:color="auto" w:fill="auto"/>
            <w:vAlign w:val="center"/>
            <w:hideMark/>
          </w:tcPr>
          <w:p w14:paraId="580E46E3" w14:textId="77777777" w:rsidR="00BD5F7B" w:rsidRPr="00BD5F7B" w:rsidRDefault="00BD5F7B" w:rsidP="00BD5F7B">
            <w:pPr>
              <w:jc w:val="right"/>
              <w:rPr>
                <w:b/>
                <w:bCs/>
                <w:sz w:val="18"/>
                <w:szCs w:val="18"/>
                <w:lang w:eastAsia="tr-TR"/>
              </w:rPr>
            </w:pPr>
            <w:r w:rsidRPr="00BD5F7B">
              <w:rPr>
                <w:b/>
                <w:bCs/>
                <w:sz w:val="18"/>
                <w:szCs w:val="18"/>
                <w:lang w:eastAsia="tr-TR"/>
              </w:rPr>
              <w:t>2,088</w:t>
            </w:r>
          </w:p>
        </w:tc>
        <w:tc>
          <w:tcPr>
            <w:tcW w:w="1493" w:type="dxa"/>
            <w:tcBorders>
              <w:top w:val="nil"/>
              <w:left w:val="nil"/>
              <w:bottom w:val="nil"/>
              <w:right w:val="nil"/>
            </w:tcBorders>
            <w:shd w:val="clear" w:color="auto" w:fill="auto"/>
            <w:vAlign w:val="center"/>
            <w:hideMark/>
          </w:tcPr>
          <w:p w14:paraId="36C254EC" w14:textId="77777777" w:rsidR="00BD5F7B" w:rsidRPr="00BD5F7B" w:rsidRDefault="00BD5F7B" w:rsidP="00BD5F7B">
            <w:pPr>
              <w:jc w:val="right"/>
              <w:rPr>
                <w:b/>
                <w:bCs/>
                <w:sz w:val="18"/>
                <w:szCs w:val="18"/>
                <w:lang w:eastAsia="tr-TR"/>
              </w:rPr>
            </w:pPr>
            <w:r w:rsidRPr="00BD5F7B">
              <w:rPr>
                <w:b/>
                <w:bCs/>
                <w:sz w:val="18"/>
                <w:szCs w:val="18"/>
                <w:lang w:eastAsia="tr-TR"/>
              </w:rPr>
              <w:t>24,413</w:t>
            </w:r>
          </w:p>
        </w:tc>
        <w:tc>
          <w:tcPr>
            <w:tcW w:w="1493" w:type="dxa"/>
            <w:tcBorders>
              <w:top w:val="nil"/>
              <w:left w:val="nil"/>
              <w:bottom w:val="nil"/>
              <w:right w:val="nil"/>
            </w:tcBorders>
            <w:shd w:val="clear" w:color="auto" w:fill="auto"/>
            <w:vAlign w:val="center"/>
            <w:hideMark/>
          </w:tcPr>
          <w:p w14:paraId="5840AF22" w14:textId="77777777" w:rsidR="00BD5F7B" w:rsidRPr="00BD5F7B" w:rsidRDefault="00BD5F7B" w:rsidP="00BD5F7B">
            <w:pPr>
              <w:jc w:val="right"/>
              <w:rPr>
                <w:b/>
                <w:bCs/>
                <w:sz w:val="18"/>
                <w:szCs w:val="18"/>
                <w:lang w:eastAsia="tr-TR"/>
              </w:rPr>
            </w:pPr>
            <w:r w:rsidRPr="00BD5F7B">
              <w:rPr>
                <w:b/>
                <w:bCs/>
                <w:sz w:val="18"/>
                <w:szCs w:val="18"/>
                <w:lang w:eastAsia="tr-TR"/>
              </w:rPr>
              <w:t>26,501</w:t>
            </w:r>
          </w:p>
        </w:tc>
      </w:tr>
      <w:tr w:rsidR="00BD5F7B" w:rsidRPr="00BD5F7B" w14:paraId="2A7A0FE9"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3B27B071" w14:textId="77777777" w:rsidR="00BD5F7B" w:rsidRPr="00BD5F7B" w:rsidRDefault="00BD5F7B" w:rsidP="00BD5F7B">
            <w:pPr>
              <w:jc w:val="both"/>
              <w:rPr>
                <w:sz w:val="18"/>
                <w:szCs w:val="18"/>
                <w:lang w:eastAsia="tr-TR"/>
              </w:rPr>
            </w:pPr>
            <w:r w:rsidRPr="00BD5F7B">
              <w:rPr>
                <w:sz w:val="18"/>
                <w:szCs w:val="18"/>
                <w:lang w:eastAsia="tr-TR"/>
              </w:rPr>
              <w:t>Konut Kredisi</w:t>
            </w:r>
          </w:p>
        </w:tc>
        <w:tc>
          <w:tcPr>
            <w:tcW w:w="1493" w:type="dxa"/>
            <w:tcBorders>
              <w:top w:val="nil"/>
              <w:left w:val="nil"/>
              <w:bottom w:val="nil"/>
              <w:right w:val="nil"/>
            </w:tcBorders>
            <w:shd w:val="clear" w:color="auto" w:fill="auto"/>
            <w:vAlign w:val="center"/>
            <w:hideMark/>
          </w:tcPr>
          <w:p w14:paraId="7CA8BBCF"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7039EF74" w14:textId="77777777" w:rsidR="00BD5F7B" w:rsidRPr="00BD5F7B" w:rsidRDefault="00BD5F7B" w:rsidP="00BD5F7B">
            <w:pPr>
              <w:jc w:val="right"/>
              <w:rPr>
                <w:sz w:val="18"/>
                <w:szCs w:val="18"/>
                <w:lang w:eastAsia="tr-TR"/>
              </w:rPr>
            </w:pPr>
            <w:r w:rsidRPr="00BD5F7B">
              <w:rPr>
                <w:sz w:val="18"/>
                <w:szCs w:val="18"/>
                <w:lang w:eastAsia="tr-TR"/>
              </w:rPr>
              <w:t>2,124</w:t>
            </w:r>
          </w:p>
        </w:tc>
        <w:tc>
          <w:tcPr>
            <w:tcW w:w="1493" w:type="dxa"/>
            <w:tcBorders>
              <w:top w:val="nil"/>
              <w:left w:val="nil"/>
              <w:bottom w:val="nil"/>
              <w:right w:val="nil"/>
            </w:tcBorders>
            <w:shd w:val="clear" w:color="auto" w:fill="auto"/>
            <w:vAlign w:val="center"/>
            <w:hideMark/>
          </w:tcPr>
          <w:p w14:paraId="79A42DB2" w14:textId="77777777" w:rsidR="00BD5F7B" w:rsidRPr="00BD5F7B" w:rsidRDefault="00BD5F7B" w:rsidP="00BD5F7B">
            <w:pPr>
              <w:jc w:val="right"/>
              <w:rPr>
                <w:sz w:val="18"/>
                <w:szCs w:val="18"/>
                <w:lang w:eastAsia="tr-TR"/>
              </w:rPr>
            </w:pPr>
            <w:r w:rsidRPr="00BD5F7B">
              <w:rPr>
                <w:sz w:val="18"/>
                <w:szCs w:val="18"/>
                <w:lang w:eastAsia="tr-TR"/>
              </w:rPr>
              <w:t>2,124</w:t>
            </w:r>
          </w:p>
        </w:tc>
      </w:tr>
      <w:tr w:rsidR="00BD5F7B" w:rsidRPr="00BD5F7B" w14:paraId="13AE485D"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27C11611" w14:textId="77777777" w:rsidR="00BD5F7B" w:rsidRPr="00BD5F7B" w:rsidRDefault="00BD5F7B" w:rsidP="00BD5F7B">
            <w:pPr>
              <w:jc w:val="both"/>
              <w:rPr>
                <w:sz w:val="18"/>
                <w:szCs w:val="18"/>
                <w:lang w:eastAsia="tr-TR"/>
              </w:rPr>
            </w:pPr>
            <w:r w:rsidRPr="00BD5F7B">
              <w:rPr>
                <w:sz w:val="18"/>
                <w:szCs w:val="18"/>
                <w:lang w:eastAsia="tr-TR"/>
              </w:rPr>
              <w:t>Taşıt Kredisi</w:t>
            </w:r>
          </w:p>
        </w:tc>
        <w:tc>
          <w:tcPr>
            <w:tcW w:w="1493" w:type="dxa"/>
            <w:tcBorders>
              <w:top w:val="nil"/>
              <w:left w:val="nil"/>
              <w:bottom w:val="nil"/>
              <w:right w:val="nil"/>
            </w:tcBorders>
            <w:shd w:val="clear" w:color="auto" w:fill="auto"/>
            <w:vAlign w:val="center"/>
            <w:hideMark/>
          </w:tcPr>
          <w:p w14:paraId="35785B66" w14:textId="77777777" w:rsidR="00BD5F7B" w:rsidRPr="00BD5F7B" w:rsidRDefault="00BD5F7B" w:rsidP="00BD5F7B">
            <w:pPr>
              <w:jc w:val="right"/>
              <w:rPr>
                <w:sz w:val="18"/>
                <w:szCs w:val="18"/>
                <w:lang w:eastAsia="tr-TR"/>
              </w:rPr>
            </w:pPr>
            <w:r w:rsidRPr="00BD5F7B">
              <w:rPr>
                <w:sz w:val="18"/>
                <w:szCs w:val="18"/>
                <w:lang w:eastAsia="tr-TR"/>
              </w:rPr>
              <w:t>694</w:t>
            </w:r>
          </w:p>
        </w:tc>
        <w:tc>
          <w:tcPr>
            <w:tcW w:w="1493" w:type="dxa"/>
            <w:tcBorders>
              <w:top w:val="nil"/>
              <w:left w:val="nil"/>
              <w:bottom w:val="nil"/>
              <w:right w:val="nil"/>
            </w:tcBorders>
            <w:shd w:val="clear" w:color="auto" w:fill="auto"/>
            <w:vAlign w:val="center"/>
            <w:hideMark/>
          </w:tcPr>
          <w:p w14:paraId="65572DFF" w14:textId="77777777" w:rsidR="00BD5F7B" w:rsidRPr="00BD5F7B" w:rsidRDefault="00BD5F7B" w:rsidP="00BD5F7B">
            <w:pPr>
              <w:jc w:val="right"/>
              <w:rPr>
                <w:sz w:val="18"/>
                <w:szCs w:val="18"/>
                <w:lang w:eastAsia="tr-TR"/>
              </w:rPr>
            </w:pPr>
            <w:r w:rsidRPr="00BD5F7B">
              <w:rPr>
                <w:sz w:val="18"/>
                <w:szCs w:val="18"/>
                <w:lang w:eastAsia="tr-TR"/>
              </w:rPr>
              <w:t>15,816</w:t>
            </w:r>
          </w:p>
        </w:tc>
        <w:tc>
          <w:tcPr>
            <w:tcW w:w="1493" w:type="dxa"/>
            <w:tcBorders>
              <w:top w:val="nil"/>
              <w:left w:val="nil"/>
              <w:bottom w:val="nil"/>
              <w:right w:val="nil"/>
            </w:tcBorders>
            <w:shd w:val="clear" w:color="auto" w:fill="auto"/>
            <w:vAlign w:val="center"/>
            <w:hideMark/>
          </w:tcPr>
          <w:p w14:paraId="5C8C7696" w14:textId="77777777" w:rsidR="00BD5F7B" w:rsidRPr="00BD5F7B" w:rsidRDefault="00BD5F7B" w:rsidP="00BD5F7B">
            <w:pPr>
              <w:jc w:val="right"/>
              <w:rPr>
                <w:sz w:val="18"/>
                <w:szCs w:val="18"/>
                <w:lang w:eastAsia="tr-TR"/>
              </w:rPr>
            </w:pPr>
            <w:r w:rsidRPr="00BD5F7B">
              <w:rPr>
                <w:sz w:val="18"/>
                <w:szCs w:val="18"/>
                <w:lang w:eastAsia="tr-TR"/>
              </w:rPr>
              <w:t>16,510</w:t>
            </w:r>
          </w:p>
        </w:tc>
      </w:tr>
      <w:tr w:rsidR="00BD5F7B" w:rsidRPr="00BD5F7B" w14:paraId="72CDD030"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201AD288" w14:textId="77777777" w:rsidR="00BD5F7B" w:rsidRPr="00BD5F7B" w:rsidRDefault="00BD5F7B" w:rsidP="00BD5F7B">
            <w:pPr>
              <w:jc w:val="both"/>
              <w:rPr>
                <w:sz w:val="18"/>
                <w:szCs w:val="18"/>
                <w:lang w:eastAsia="tr-TR"/>
              </w:rPr>
            </w:pPr>
            <w:r w:rsidRPr="00BD5F7B">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400B6E78" w14:textId="77777777" w:rsidR="00BD5F7B" w:rsidRPr="00BD5F7B" w:rsidRDefault="00BD5F7B" w:rsidP="00BD5F7B">
            <w:pPr>
              <w:jc w:val="right"/>
              <w:rPr>
                <w:sz w:val="18"/>
                <w:szCs w:val="18"/>
                <w:lang w:eastAsia="tr-TR"/>
              </w:rPr>
            </w:pPr>
            <w:r w:rsidRPr="00BD5F7B">
              <w:rPr>
                <w:sz w:val="18"/>
                <w:szCs w:val="18"/>
                <w:lang w:eastAsia="tr-TR"/>
              </w:rPr>
              <w:t>1,393</w:t>
            </w:r>
          </w:p>
        </w:tc>
        <w:tc>
          <w:tcPr>
            <w:tcW w:w="1493" w:type="dxa"/>
            <w:tcBorders>
              <w:top w:val="nil"/>
              <w:left w:val="nil"/>
              <w:bottom w:val="nil"/>
              <w:right w:val="nil"/>
            </w:tcBorders>
            <w:shd w:val="clear" w:color="auto" w:fill="auto"/>
            <w:vAlign w:val="center"/>
            <w:hideMark/>
          </w:tcPr>
          <w:p w14:paraId="1199BAE0" w14:textId="77777777" w:rsidR="00BD5F7B" w:rsidRPr="00BD5F7B" w:rsidRDefault="00BD5F7B" w:rsidP="00BD5F7B">
            <w:pPr>
              <w:jc w:val="right"/>
              <w:rPr>
                <w:sz w:val="18"/>
                <w:szCs w:val="18"/>
                <w:lang w:eastAsia="tr-TR"/>
              </w:rPr>
            </w:pPr>
            <w:r w:rsidRPr="00BD5F7B">
              <w:rPr>
                <w:sz w:val="18"/>
                <w:szCs w:val="18"/>
                <w:lang w:eastAsia="tr-TR"/>
              </w:rPr>
              <w:t>6,473</w:t>
            </w:r>
          </w:p>
        </w:tc>
        <w:tc>
          <w:tcPr>
            <w:tcW w:w="1493" w:type="dxa"/>
            <w:tcBorders>
              <w:top w:val="nil"/>
              <w:left w:val="nil"/>
              <w:bottom w:val="nil"/>
              <w:right w:val="nil"/>
            </w:tcBorders>
            <w:shd w:val="clear" w:color="auto" w:fill="auto"/>
            <w:vAlign w:val="center"/>
            <w:hideMark/>
          </w:tcPr>
          <w:p w14:paraId="51A2EF94" w14:textId="77777777" w:rsidR="00BD5F7B" w:rsidRPr="00BD5F7B" w:rsidRDefault="00BD5F7B" w:rsidP="00BD5F7B">
            <w:pPr>
              <w:jc w:val="right"/>
              <w:rPr>
                <w:sz w:val="18"/>
                <w:szCs w:val="18"/>
                <w:lang w:eastAsia="tr-TR"/>
              </w:rPr>
            </w:pPr>
            <w:r w:rsidRPr="00BD5F7B">
              <w:rPr>
                <w:sz w:val="18"/>
                <w:szCs w:val="18"/>
                <w:lang w:eastAsia="tr-TR"/>
              </w:rPr>
              <w:t>7,866</w:t>
            </w:r>
          </w:p>
        </w:tc>
      </w:tr>
      <w:tr w:rsidR="00BD5F7B" w:rsidRPr="00BD5F7B" w14:paraId="769926B5"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5CB8AFF5" w14:textId="77777777" w:rsidR="00BD5F7B" w:rsidRPr="00BD5F7B" w:rsidRDefault="00BD5F7B" w:rsidP="00BD5F7B">
            <w:pPr>
              <w:jc w:val="both"/>
              <w:rPr>
                <w:sz w:val="18"/>
                <w:szCs w:val="18"/>
                <w:lang w:eastAsia="tr-TR"/>
              </w:rPr>
            </w:pPr>
            <w:r w:rsidRPr="00BD5F7B">
              <w:rPr>
                <w:sz w:val="18"/>
                <w:szCs w:val="18"/>
                <w:lang w:eastAsia="tr-TR"/>
              </w:rPr>
              <w:t>Diğer</w:t>
            </w:r>
          </w:p>
        </w:tc>
        <w:tc>
          <w:tcPr>
            <w:tcW w:w="1493" w:type="dxa"/>
            <w:tcBorders>
              <w:top w:val="nil"/>
              <w:left w:val="nil"/>
              <w:bottom w:val="nil"/>
              <w:right w:val="nil"/>
            </w:tcBorders>
            <w:shd w:val="clear" w:color="auto" w:fill="auto"/>
            <w:vAlign w:val="center"/>
            <w:hideMark/>
          </w:tcPr>
          <w:p w14:paraId="344320D9" w14:textId="77777777" w:rsidR="00BD5F7B" w:rsidRPr="00BD5F7B" w:rsidRDefault="00BD5F7B" w:rsidP="00BD5F7B">
            <w:pPr>
              <w:jc w:val="right"/>
              <w:rPr>
                <w:sz w:val="18"/>
                <w:szCs w:val="18"/>
                <w:lang w:eastAsia="tr-TR"/>
              </w:rPr>
            </w:pPr>
            <w:r w:rsidRPr="00BD5F7B">
              <w:rPr>
                <w:sz w:val="18"/>
                <w:szCs w:val="18"/>
                <w:lang w:eastAsia="tr-TR"/>
              </w:rPr>
              <w:t>1</w:t>
            </w:r>
          </w:p>
        </w:tc>
        <w:tc>
          <w:tcPr>
            <w:tcW w:w="1493" w:type="dxa"/>
            <w:tcBorders>
              <w:top w:val="nil"/>
              <w:left w:val="nil"/>
              <w:bottom w:val="nil"/>
              <w:right w:val="nil"/>
            </w:tcBorders>
            <w:shd w:val="clear" w:color="auto" w:fill="auto"/>
            <w:vAlign w:val="center"/>
            <w:hideMark/>
          </w:tcPr>
          <w:p w14:paraId="0E4FEC51"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2B299DD8" w14:textId="77777777" w:rsidR="00BD5F7B" w:rsidRPr="00BD5F7B" w:rsidRDefault="00BD5F7B" w:rsidP="00BD5F7B">
            <w:pPr>
              <w:jc w:val="right"/>
              <w:rPr>
                <w:sz w:val="18"/>
                <w:szCs w:val="18"/>
                <w:lang w:eastAsia="tr-TR"/>
              </w:rPr>
            </w:pPr>
            <w:r w:rsidRPr="00BD5F7B">
              <w:rPr>
                <w:sz w:val="18"/>
                <w:szCs w:val="18"/>
                <w:lang w:eastAsia="tr-TR"/>
              </w:rPr>
              <w:t>1</w:t>
            </w:r>
          </w:p>
        </w:tc>
      </w:tr>
      <w:tr w:rsidR="00BD5F7B" w:rsidRPr="00BD5F7B" w14:paraId="33AC4152"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6C6ED348" w14:textId="77777777" w:rsidR="00BD5F7B" w:rsidRPr="00BD5F7B" w:rsidRDefault="00BD5F7B" w:rsidP="00BD5F7B">
            <w:pPr>
              <w:jc w:val="both"/>
              <w:rPr>
                <w:b/>
                <w:bCs/>
                <w:sz w:val="18"/>
                <w:szCs w:val="18"/>
                <w:lang w:eastAsia="tr-TR"/>
              </w:rPr>
            </w:pPr>
            <w:r w:rsidRPr="00BD5F7B">
              <w:rPr>
                <w:b/>
                <w:bCs/>
                <w:sz w:val="18"/>
                <w:szCs w:val="18"/>
                <w:lang w:eastAsia="tr-TR"/>
              </w:rPr>
              <w:t>Personel Kredileri-Dövize Endeksli</w:t>
            </w:r>
          </w:p>
        </w:tc>
        <w:tc>
          <w:tcPr>
            <w:tcW w:w="1493" w:type="dxa"/>
            <w:tcBorders>
              <w:top w:val="nil"/>
              <w:left w:val="nil"/>
              <w:bottom w:val="nil"/>
              <w:right w:val="nil"/>
            </w:tcBorders>
            <w:shd w:val="clear" w:color="auto" w:fill="auto"/>
            <w:vAlign w:val="center"/>
            <w:hideMark/>
          </w:tcPr>
          <w:p w14:paraId="72AC4FCA"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nil"/>
              <w:right w:val="nil"/>
            </w:tcBorders>
            <w:shd w:val="clear" w:color="auto" w:fill="auto"/>
            <w:vAlign w:val="center"/>
            <w:hideMark/>
          </w:tcPr>
          <w:p w14:paraId="577DE21B"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nil"/>
              <w:right w:val="nil"/>
            </w:tcBorders>
            <w:shd w:val="clear" w:color="auto" w:fill="auto"/>
            <w:vAlign w:val="center"/>
            <w:hideMark/>
          </w:tcPr>
          <w:p w14:paraId="13580B0A"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3CB1F6EF"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7252B396" w14:textId="77777777" w:rsidR="00BD5F7B" w:rsidRPr="00BD5F7B" w:rsidRDefault="00BD5F7B" w:rsidP="00BD5F7B">
            <w:pPr>
              <w:jc w:val="both"/>
              <w:rPr>
                <w:sz w:val="18"/>
                <w:szCs w:val="18"/>
                <w:lang w:eastAsia="tr-TR"/>
              </w:rPr>
            </w:pPr>
            <w:r w:rsidRPr="00BD5F7B">
              <w:rPr>
                <w:sz w:val="18"/>
                <w:szCs w:val="18"/>
                <w:lang w:eastAsia="tr-TR"/>
              </w:rPr>
              <w:t>Konut Kredisi</w:t>
            </w:r>
          </w:p>
        </w:tc>
        <w:tc>
          <w:tcPr>
            <w:tcW w:w="1493" w:type="dxa"/>
            <w:tcBorders>
              <w:top w:val="nil"/>
              <w:left w:val="nil"/>
              <w:bottom w:val="nil"/>
              <w:right w:val="nil"/>
            </w:tcBorders>
            <w:shd w:val="clear" w:color="auto" w:fill="auto"/>
            <w:vAlign w:val="center"/>
            <w:hideMark/>
          </w:tcPr>
          <w:p w14:paraId="69C088A9"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1A47AF50"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4B1D4377"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5C2C0091"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125B0C56" w14:textId="77777777" w:rsidR="00BD5F7B" w:rsidRPr="00BD5F7B" w:rsidRDefault="00BD5F7B" w:rsidP="00BD5F7B">
            <w:pPr>
              <w:jc w:val="both"/>
              <w:rPr>
                <w:sz w:val="18"/>
                <w:szCs w:val="18"/>
                <w:lang w:eastAsia="tr-TR"/>
              </w:rPr>
            </w:pPr>
            <w:r w:rsidRPr="00BD5F7B">
              <w:rPr>
                <w:sz w:val="18"/>
                <w:szCs w:val="18"/>
                <w:lang w:eastAsia="tr-TR"/>
              </w:rPr>
              <w:t>Taşıt Kredisi</w:t>
            </w:r>
          </w:p>
        </w:tc>
        <w:tc>
          <w:tcPr>
            <w:tcW w:w="1493" w:type="dxa"/>
            <w:tcBorders>
              <w:top w:val="nil"/>
              <w:left w:val="nil"/>
              <w:bottom w:val="nil"/>
              <w:right w:val="nil"/>
            </w:tcBorders>
            <w:shd w:val="clear" w:color="auto" w:fill="auto"/>
            <w:vAlign w:val="center"/>
            <w:hideMark/>
          </w:tcPr>
          <w:p w14:paraId="49F50D18"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590420FE"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0E7290DC"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479982D9"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1F1EA0CE" w14:textId="77777777" w:rsidR="00BD5F7B" w:rsidRPr="00BD5F7B" w:rsidRDefault="00BD5F7B" w:rsidP="00BD5F7B">
            <w:pPr>
              <w:jc w:val="both"/>
              <w:rPr>
                <w:sz w:val="18"/>
                <w:szCs w:val="18"/>
                <w:lang w:eastAsia="tr-TR"/>
              </w:rPr>
            </w:pPr>
            <w:r w:rsidRPr="00BD5F7B">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750BC86A"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60147295"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0B7CA383"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24CAF741"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673DA9C1" w14:textId="77777777" w:rsidR="00BD5F7B" w:rsidRPr="00BD5F7B" w:rsidRDefault="00BD5F7B" w:rsidP="00BD5F7B">
            <w:pPr>
              <w:jc w:val="both"/>
              <w:rPr>
                <w:sz w:val="18"/>
                <w:szCs w:val="18"/>
                <w:lang w:eastAsia="tr-TR"/>
              </w:rPr>
            </w:pPr>
            <w:r w:rsidRPr="00BD5F7B">
              <w:rPr>
                <w:sz w:val="18"/>
                <w:szCs w:val="18"/>
                <w:lang w:eastAsia="tr-TR"/>
              </w:rPr>
              <w:t>Diğer</w:t>
            </w:r>
          </w:p>
        </w:tc>
        <w:tc>
          <w:tcPr>
            <w:tcW w:w="1493" w:type="dxa"/>
            <w:tcBorders>
              <w:top w:val="nil"/>
              <w:left w:val="nil"/>
              <w:bottom w:val="nil"/>
              <w:right w:val="nil"/>
            </w:tcBorders>
            <w:shd w:val="clear" w:color="auto" w:fill="auto"/>
            <w:vAlign w:val="center"/>
            <w:hideMark/>
          </w:tcPr>
          <w:p w14:paraId="43A632AC"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59F2B6FE"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4F630531"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75FE1D0D"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197C32E9" w14:textId="77777777" w:rsidR="00BD5F7B" w:rsidRPr="00BD5F7B" w:rsidRDefault="00BD5F7B" w:rsidP="00BD5F7B">
            <w:pPr>
              <w:jc w:val="both"/>
              <w:rPr>
                <w:b/>
                <w:bCs/>
                <w:sz w:val="18"/>
                <w:szCs w:val="18"/>
                <w:lang w:eastAsia="tr-TR"/>
              </w:rPr>
            </w:pPr>
            <w:r w:rsidRPr="00BD5F7B">
              <w:rPr>
                <w:b/>
                <w:bCs/>
                <w:sz w:val="18"/>
                <w:szCs w:val="18"/>
                <w:lang w:eastAsia="tr-TR"/>
              </w:rPr>
              <w:t>Personel Kredileri-YP</w:t>
            </w:r>
          </w:p>
        </w:tc>
        <w:tc>
          <w:tcPr>
            <w:tcW w:w="1493" w:type="dxa"/>
            <w:tcBorders>
              <w:top w:val="nil"/>
              <w:left w:val="nil"/>
              <w:bottom w:val="nil"/>
              <w:right w:val="nil"/>
            </w:tcBorders>
            <w:shd w:val="clear" w:color="auto" w:fill="auto"/>
            <w:vAlign w:val="center"/>
            <w:hideMark/>
          </w:tcPr>
          <w:p w14:paraId="4CB9D442"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nil"/>
              <w:right w:val="nil"/>
            </w:tcBorders>
            <w:shd w:val="clear" w:color="auto" w:fill="auto"/>
            <w:vAlign w:val="center"/>
            <w:hideMark/>
          </w:tcPr>
          <w:p w14:paraId="1010C9FC"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nil"/>
              <w:right w:val="nil"/>
            </w:tcBorders>
            <w:shd w:val="clear" w:color="auto" w:fill="auto"/>
            <w:vAlign w:val="center"/>
            <w:hideMark/>
          </w:tcPr>
          <w:p w14:paraId="6F219280"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3EDA321C"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30AD72EF" w14:textId="77777777" w:rsidR="00BD5F7B" w:rsidRPr="00BD5F7B" w:rsidRDefault="00BD5F7B" w:rsidP="00BD5F7B">
            <w:pPr>
              <w:jc w:val="both"/>
              <w:rPr>
                <w:sz w:val="18"/>
                <w:szCs w:val="18"/>
                <w:lang w:eastAsia="tr-TR"/>
              </w:rPr>
            </w:pPr>
            <w:r w:rsidRPr="00BD5F7B">
              <w:rPr>
                <w:sz w:val="18"/>
                <w:szCs w:val="18"/>
                <w:lang w:eastAsia="tr-TR"/>
              </w:rPr>
              <w:t>Konut Kredisi</w:t>
            </w:r>
          </w:p>
        </w:tc>
        <w:tc>
          <w:tcPr>
            <w:tcW w:w="1493" w:type="dxa"/>
            <w:tcBorders>
              <w:top w:val="nil"/>
              <w:left w:val="nil"/>
              <w:bottom w:val="nil"/>
              <w:right w:val="nil"/>
            </w:tcBorders>
            <w:shd w:val="clear" w:color="auto" w:fill="auto"/>
            <w:vAlign w:val="center"/>
            <w:hideMark/>
          </w:tcPr>
          <w:p w14:paraId="091F145E"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085D0FF3"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7539A0C9" w14:textId="77777777" w:rsidR="00BD5F7B" w:rsidRPr="00BD5F7B" w:rsidRDefault="00BD5F7B" w:rsidP="00BD5F7B">
            <w:pPr>
              <w:jc w:val="right"/>
              <w:rPr>
                <w:sz w:val="18"/>
                <w:szCs w:val="18"/>
                <w:lang w:eastAsia="tr-TR"/>
              </w:rPr>
            </w:pPr>
            <w:r w:rsidRPr="00BD5F7B">
              <w:rPr>
                <w:sz w:val="18"/>
                <w:szCs w:val="18"/>
                <w:lang w:eastAsia="tr-TR"/>
              </w:rPr>
              <w:t>-</w:t>
            </w:r>
          </w:p>
        </w:tc>
      </w:tr>
      <w:tr w:rsidR="00BD5F7B" w:rsidRPr="00BD5F7B" w14:paraId="47AC9C26"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53C13603" w14:textId="77777777" w:rsidR="00BD5F7B" w:rsidRPr="00BD5F7B" w:rsidRDefault="00BD5F7B" w:rsidP="00BD5F7B">
            <w:pPr>
              <w:jc w:val="both"/>
              <w:rPr>
                <w:sz w:val="18"/>
                <w:szCs w:val="18"/>
                <w:lang w:eastAsia="tr-TR"/>
              </w:rPr>
            </w:pPr>
            <w:r w:rsidRPr="00BD5F7B">
              <w:rPr>
                <w:sz w:val="18"/>
                <w:szCs w:val="18"/>
                <w:lang w:eastAsia="tr-TR"/>
              </w:rPr>
              <w:t>Taşıt Kredisi</w:t>
            </w:r>
          </w:p>
        </w:tc>
        <w:tc>
          <w:tcPr>
            <w:tcW w:w="1493" w:type="dxa"/>
            <w:tcBorders>
              <w:top w:val="nil"/>
              <w:left w:val="nil"/>
              <w:bottom w:val="nil"/>
              <w:right w:val="nil"/>
            </w:tcBorders>
            <w:shd w:val="clear" w:color="auto" w:fill="auto"/>
            <w:vAlign w:val="center"/>
            <w:hideMark/>
          </w:tcPr>
          <w:p w14:paraId="3641E2C3"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18A52C3B"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139EA1A9" w14:textId="77777777" w:rsidR="00BD5F7B" w:rsidRPr="00BD5F7B" w:rsidRDefault="00BD5F7B" w:rsidP="00BD5F7B">
            <w:pPr>
              <w:jc w:val="right"/>
              <w:rPr>
                <w:sz w:val="18"/>
                <w:szCs w:val="18"/>
                <w:lang w:eastAsia="tr-TR"/>
              </w:rPr>
            </w:pPr>
            <w:r w:rsidRPr="00BD5F7B">
              <w:rPr>
                <w:sz w:val="18"/>
                <w:szCs w:val="18"/>
                <w:lang w:eastAsia="tr-TR"/>
              </w:rPr>
              <w:t>-</w:t>
            </w:r>
          </w:p>
        </w:tc>
      </w:tr>
      <w:tr w:rsidR="00BD5F7B" w:rsidRPr="00BD5F7B" w14:paraId="4AE87C24"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43EF29C8" w14:textId="77777777" w:rsidR="00BD5F7B" w:rsidRPr="00BD5F7B" w:rsidRDefault="00BD5F7B" w:rsidP="00BD5F7B">
            <w:pPr>
              <w:jc w:val="both"/>
              <w:rPr>
                <w:sz w:val="18"/>
                <w:szCs w:val="18"/>
                <w:lang w:eastAsia="tr-TR"/>
              </w:rPr>
            </w:pPr>
            <w:r w:rsidRPr="00BD5F7B">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4922BE8A"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54F488A7"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442B4450" w14:textId="77777777" w:rsidR="00BD5F7B" w:rsidRPr="00BD5F7B" w:rsidRDefault="00BD5F7B" w:rsidP="00BD5F7B">
            <w:pPr>
              <w:jc w:val="right"/>
              <w:rPr>
                <w:sz w:val="18"/>
                <w:szCs w:val="18"/>
                <w:lang w:eastAsia="tr-TR"/>
              </w:rPr>
            </w:pPr>
            <w:r w:rsidRPr="00BD5F7B">
              <w:rPr>
                <w:sz w:val="18"/>
                <w:szCs w:val="18"/>
                <w:lang w:eastAsia="tr-TR"/>
              </w:rPr>
              <w:t>-</w:t>
            </w:r>
          </w:p>
        </w:tc>
      </w:tr>
      <w:tr w:rsidR="00BD5F7B" w:rsidRPr="00BD5F7B" w14:paraId="55F6B44A"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53EF4B11" w14:textId="77777777" w:rsidR="00BD5F7B" w:rsidRPr="00BD5F7B" w:rsidRDefault="00BD5F7B" w:rsidP="00BD5F7B">
            <w:pPr>
              <w:jc w:val="both"/>
              <w:rPr>
                <w:sz w:val="18"/>
                <w:szCs w:val="18"/>
                <w:lang w:eastAsia="tr-TR"/>
              </w:rPr>
            </w:pPr>
            <w:r w:rsidRPr="00BD5F7B">
              <w:rPr>
                <w:sz w:val="18"/>
                <w:szCs w:val="18"/>
                <w:lang w:eastAsia="tr-TR"/>
              </w:rPr>
              <w:t>Diğer</w:t>
            </w:r>
          </w:p>
        </w:tc>
        <w:tc>
          <w:tcPr>
            <w:tcW w:w="1493" w:type="dxa"/>
            <w:tcBorders>
              <w:top w:val="nil"/>
              <w:left w:val="nil"/>
              <w:bottom w:val="nil"/>
              <w:right w:val="nil"/>
            </w:tcBorders>
            <w:shd w:val="clear" w:color="auto" w:fill="auto"/>
            <w:vAlign w:val="center"/>
            <w:hideMark/>
          </w:tcPr>
          <w:p w14:paraId="1E1FAAC9"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3FE7B22B"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36AAEA99" w14:textId="77777777" w:rsidR="00BD5F7B" w:rsidRPr="00BD5F7B" w:rsidRDefault="00BD5F7B" w:rsidP="00BD5F7B">
            <w:pPr>
              <w:jc w:val="right"/>
              <w:rPr>
                <w:sz w:val="18"/>
                <w:szCs w:val="18"/>
                <w:lang w:eastAsia="tr-TR"/>
              </w:rPr>
            </w:pPr>
            <w:r w:rsidRPr="00BD5F7B">
              <w:rPr>
                <w:sz w:val="18"/>
                <w:szCs w:val="18"/>
                <w:lang w:eastAsia="tr-TR"/>
              </w:rPr>
              <w:t>-</w:t>
            </w:r>
          </w:p>
        </w:tc>
      </w:tr>
      <w:tr w:rsidR="00BD5F7B" w:rsidRPr="00BD5F7B" w14:paraId="2FCB5423"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746F6A60" w14:textId="77777777" w:rsidR="00BD5F7B" w:rsidRPr="00BD5F7B" w:rsidRDefault="00BD5F7B" w:rsidP="00BD5F7B">
            <w:pPr>
              <w:jc w:val="both"/>
              <w:rPr>
                <w:b/>
                <w:bCs/>
                <w:sz w:val="18"/>
                <w:szCs w:val="18"/>
                <w:lang w:eastAsia="tr-TR"/>
              </w:rPr>
            </w:pPr>
            <w:r w:rsidRPr="00BD5F7B">
              <w:rPr>
                <w:b/>
                <w:bCs/>
                <w:sz w:val="18"/>
                <w:szCs w:val="18"/>
                <w:lang w:eastAsia="tr-TR"/>
              </w:rPr>
              <w:t>Personel Kredi Kartları-TP</w:t>
            </w:r>
          </w:p>
        </w:tc>
        <w:tc>
          <w:tcPr>
            <w:tcW w:w="1493" w:type="dxa"/>
            <w:tcBorders>
              <w:top w:val="nil"/>
              <w:left w:val="nil"/>
              <w:bottom w:val="nil"/>
              <w:right w:val="nil"/>
            </w:tcBorders>
            <w:shd w:val="clear" w:color="auto" w:fill="auto"/>
            <w:vAlign w:val="center"/>
            <w:hideMark/>
          </w:tcPr>
          <w:p w14:paraId="7150C980" w14:textId="77777777" w:rsidR="00BD5F7B" w:rsidRPr="00BD5F7B" w:rsidRDefault="00BD5F7B" w:rsidP="00BD5F7B">
            <w:pPr>
              <w:jc w:val="right"/>
              <w:rPr>
                <w:b/>
                <w:bCs/>
                <w:sz w:val="18"/>
                <w:szCs w:val="18"/>
                <w:lang w:eastAsia="tr-TR"/>
              </w:rPr>
            </w:pPr>
            <w:r w:rsidRPr="00BD5F7B">
              <w:rPr>
                <w:b/>
                <w:bCs/>
                <w:sz w:val="18"/>
                <w:szCs w:val="18"/>
                <w:lang w:eastAsia="tr-TR"/>
              </w:rPr>
              <w:t>14,379</w:t>
            </w:r>
          </w:p>
        </w:tc>
        <w:tc>
          <w:tcPr>
            <w:tcW w:w="1493" w:type="dxa"/>
            <w:tcBorders>
              <w:top w:val="nil"/>
              <w:left w:val="nil"/>
              <w:bottom w:val="nil"/>
              <w:right w:val="nil"/>
            </w:tcBorders>
            <w:shd w:val="clear" w:color="auto" w:fill="auto"/>
            <w:vAlign w:val="center"/>
            <w:hideMark/>
          </w:tcPr>
          <w:p w14:paraId="434F319B" w14:textId="77777777" w:rsidR="00BD5F7B" w:rsidRPr="00BD5F7B" w:rsidRDefault="00BD5F7B" w:rsidP="00BD5F7B">
            <w:pPr>
              <w:jc w:val="right"/>
              <w:rPr>
                <w:b/>
                <w:bCs/>
                <w:sz w:val="18"/>
                <w:szCs w:val="18"/>
                <w:lang w:eastAsia="tr-TR"/>
              </w:rPr>
            </w:pPr>
            <w:r w:rsidRPr="00BD5F7B">
              <w:rPr>
                <w:b/>
                <w:bCs/>
                <w:sz w:val="18"/>
                <w:szCs w:val="18"/>
                <w:lang w:eastAsia="tr-TR"/>
              </w:rPr>
              <w:t>21</w:t>
            </w:r>
          </w:p>
        </w:tc>
        <w:tc>
          <w:tcPr>
            <w:tcW w:w="1493" w:type="dxa"/>
            <w:tcBorders>
              <w:top w:val="nil"/>
              <w:left w:val="nil"/>
              <w:bottom w:val="nil"/>
              <w:right w:val="nil"/>
            </w:tcBorders>
            <w:shd w:val="clear" w:color="auto" w:fill="auto"/>
            <w:vAlign w:val="center"/>
            <w:hideMark/>
          </w:tcPr>
          <w:p w14:paraId="502ED5C2" w14:textId="77777777" w:rsidR="00BD5F7B" w:rsidRPr="00BD5F7B" w:rsidRDefault="00BD5F7B" w:rsidP="00BD5F7B">
            <w:pPr>
              <w:jc w:val="right"/>
              <w:rPr>
                <w:b/>
                <w:bCs/>
                <w:sz w:val="18"/>
                <w:szCs w:val="18"/>
                <w:lang w:eastAsia="tr-TR"/>
              </w:rPr>
            </w:pPr>
            <w:r w:rsidRPr="00BD5F7B">
              <w:rPr>
                <w:b/>
                <w:bCs/>
                <w:sz w:val="18"/>
                <w:szCs w:val="18"/>
                <w:lang w:eastAsia="tr-TR"/>
              </w:rPr>
              <w:t>14,400</w:t>
            </w:r>
          </w:p>
        </w:tc>
      </w:tr>
      <w:tr w:rsidR="00BD5F7B" w:rsidRPr="00BD5F7B" w14:paraId="43C4AD5A"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26678255" w14:textId="77777777" w:rsidR="00BD5F7B" w:rsidRPr="00BD5F7B" w:rsidRDefault="00BD5F7B" w:rsidP="00BD5F7B">
            <w:pPr>
              <w:jc w:val="both"/>
              <w:rPr>
                <w:sz w:val="18"/>
                <w:szCs w:val="18"/>
                <w:lang w:eastAsia="tr-TR"/>
              </w:rPr>
            </w:pPr>
            <w:r w:rsidRPr="00BD5F7B">
              <w:rPr>
                <w:sz w:val="18"/>
                <w:szCs w:val="18"/>
                <w:lang w:eastAsia="tr-TR"/>
              </w:rPr>
              <w:t xml:space="preserve">Taksitli </w:t>
            </w:r>
          </w:p>
        </w:tc>
        <w:tc>
          <w:tcPr>
            <w:tcW w:w="1493" w:type="dxa"/>
            <w:tcBorders>
              <w:top w:val="nil"/>
              <w:left w:val="nil"/>
              <w:bottom w:val="nil"/>
              <w:right w:val="nil"/>
            </w:tcBorders>
            <w:shd w:val="clear" w:color="auto" w:fill="auto"/>
            <w:vAlign w:val="center"/>
            <w:hideMark/>
          </w:tcPr>
          <w:p w14:paraId="6BFFB285" w14:textId="77777777" w:rsidR="00BD5F7B" w:rsidRPr="00BD5F7B" w:rsidRDefault="00BD5F7B" w:rsidP="00BD5F7B">
            <w:pPr>
              <w:jc w:val="right"/>
              <w:rPr>
                <w:sz w:val="18"/>
                <w:szCs w:val="18"/>
                <w:lang w:eastAsia="tr-TR"/>
              </w:rPr>
            </w:pPr>
            <w:r w:rsidRPr="00BD5F7B">
              <w:rPr>
                <w:sz w:val="18"/>
                <w:szCs w:val="18"/>
                <w:lang w:eastAsia="tr-TR"/>
              </w:rPr>
              <w:t>5,141</w:t>
            </w:r>
          </w:p>
        </w:tc>
        <w:tc>
          <w:tcPr>
            <w:tcW w:w="1493" w:type="dxa"/>
            <w:tcBorders>
              <w:top w:val="nil"/>
              <w:left w:val="nil"/>
              <w:bottom w:val="nil"/>
              <w:right w:val="nil"/>
            </w:tcBorders>
            <w:shd w:val="clear" w:color="auto" w:fill="auto"/>
            <w:vAlign w:val="center"/>
            <w:hideMark/>
          </w:tcPr>
          <w:p w14:paraId="4B7088A2" w14:textId="77777777" w:rsidR="00BD5F7B" w:rsidRPr="00BD5F7B" w:rsidRDefault="00BD5F7B" w:rsidP="00BD5F7B">
            <w:pPr>
              <w:jc w:val="right"/>
              <w:rPr>
                <w:sz w:val="18"/>
                <w:szCs w:val="18"/>
                <w:lang w:eastAsia="tr-TR"/>
              </w:rPr>
            </w:pPr>
            <w:r w:rsidRPr="00BD5F7B">
              <w:rPr>
                <w:sz w:val="18"/>
                <w:szCs w:val="18"/>
                <w:lang w:eastAsia="tr-TR"/>
              </w:rPr>
              <w:t>21</w:t>
            </w:r>
          </w:p>
        </w:tc>
        <w:tc>
          <w:tcPr>
            <w:tcW w:w="1493" w:type="dxa"/>
            <w:tcBorders>
              <w:top w:val="nil"/>
              <w:left w:val="nil"/>
              <w:bottom w:val="nil"/>
              <w:right w:val="nil"/>
            </w:tcBorders>
            <w:shd w:val="clear" w:color="auto" w:fill="auto"/>
            <w:vAlign w:val="center"/>
            <w:hideMark/>
          </w:tcPr>
          <w:p w14:paraId="3736937B" w14:textId="77777777" w:rsidR="00BD5F7B" w:rsidRPr="00BD5F7B" w:rsidRDefault="00BD5F7B" w:rsidP="00BD5F7B">
            <w:pPr>
              <w:jc w:val="right"/>
              <w:rPr>
                <w:sz w:val="18"/>
                <w:szCs w:val="18"/>
                <w:lang w:eastAsia="tr-TR"/>
              </w:rPr>
            </w:pPr>
            <w:r w:rsidRPr="00BD5F7B">
              <w:rPr>
                <w:sz w:val="18"/>
                <w:szCs w:val="18"/>
                <w:lang w:eastAsia="tr-TR"/>
              </w:rPr>
              <w:t>5,162</w:t>
            </w:r>
          </w:p>
        </w:tc>
      </w:tr>
      <w:tr w:rsidR="00BD5F7B" w:rsidRPr="00BD5F7B" w14:paraId="2AD747C6"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6B3B1D1A" w14:textId="77777777" w:rsidR="00BD5F7B" w:rsidRPr="00BD5F7B" w:rsidRDefault="00BD5F7B" w:rsidP="00BD5F7B">
            <w:pPr>
              <w:jc w:val="both"/>
              <w:rPr>
                <w:sz w:val="18"/>
                <w:szCs w:val="18"/>
                <w:lang w:eastAsia="tr-TR"/>
              </w:rPr>
            </w:pPr>
            <w:r w:rsidRPr="00BD5F7B">
              <w:rPr>
                <w:sz w:val="18"/>
                <w:szCs w:val="18"/>
                <w:lang w:eastAsia="tr-TR"/>
              </w:rPr>
              <w:t>Taksitsiz</w:t>
            </w:r>
          </w:p>
        </w:tc>
        <w:tc>
          <w:tcPr>
            <w:tcW w:w="1493" w:type="dxa"/>
            <w:tcBorders>
              <w:top w:val="nil"/>
              <w:left w:val="nil"/>
              <w:bottom w:val="nil"/>
              <w:right w:val="nil"/>
            </w:tcBorders>
            <w:shd w:val="clear" w:color="auto" w:fill="auto"/>
            <w:vAlign w:val="center"/>
            <w:hideMark/>
          </w:tcPr>
          <w:p w14:paraId="55D84C41" w14:textId="77777777" w:rsidR="00BD5F7B" w:rsidRPr="00BD5F7B" w:rsidRDefault="00BD5F7B" w:rsidP="00BD5F7B">
            <w:pPr>
              <w:jc w:val="right"/>
              <w:rPr>
                <w:sz w:val="18"/>
                <w:szCs w:val="18"/>
                <w:lang w:eastAsia="tr-TR"/>
              </w:rPr>
            </w:pPr>
            <w:r w:rsidRPr="00BD5F7B">
              <w:rPr>
                <w:sz w:val="18"/>
                <w:szCs w:val="18"/>
                <w:lang w:eastAsia="tr-TR"/>
              </w:rPr>
              <w:t>9,238</w:t>
            </w:r>
          </w:p>
        </w:tc>
        <w:tc>
          <w:tcPr>
            <w:tcW w:w="1493" w:type="dxa"/>
            <w:tcBorders>
              <w:top w:val="nil"/>
              <w:left w:val="nil"/>
              <w:bottom w:val="nil"/>
              <w:right w:val="nil"/>
            </w:tcBorders>
            <w:shd w:val="clear" w:color="auto" w:fill="auto"/>
            <w:vAlign w:val="center"/>
            <w:hideMark/>
          </w:tcPr>
          <w:p w14:paraId="65F24356"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1A0E1F66" w14:textId="77777777" w:rsidR="00BD5F7B" w:rsidRPr="00BD5F7B" w:rsidRDefault="00BD5F7B" w:rsidP="00BD5F7B">
            <w:pPr>
              <w:jc w:val="right"/>
              <w:rPr>
                <w:sz w:val="18"/>
                <w:szCs w:val="18"/>
                <w:lang w:eastAsia="tr-TR"/>
              </w:rPr>
            </w:pPr>
            <w:r w:rsidRPr="00BD5F7B">
              <w:rPr>
                <w:sz w:val="18"/>
                <w:szCs w:val="18"/>
                <w:lang w:eastAsia="tr-TR"/>
              </w:rPr>
              <w:t>9,238</w:t>
            </w:r>
          </w:p>
        </w:tc>
      </w:tr>
      <w:tr w:rsidR="00BD5F7B" w:rsidRPr="00BD5F7B" w14:paraId="6BAA65B1"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1FE947DB" w14:textId="77777777" w:rsidR="00BD5F7B" w:rsidRPr="00BD5F7B" w:rsidRDefault="00BD5F7B" w:rsidP="00BD5F7B">
            <w:pPr>
              <w:jc w:val="both"/>
              <w:rPr>
                <w:b/>
                <w:bCs/>
                <w:sz w:val="18"/>
                <w:szCs w:val="18"/>
                <w:lang w:eastAsia="tr-TR"/>
              </w:rPr>
            </w:pPr>
            <w:r w:rsidRPr="00BD5F7B">
              <w:rPr>
                <w:b/>
                <w:bCs/>
                <w:sz w:val="18"/>
                <w:szCs w:val="18"/>
                <w:lang w:eastAsia="tr-TR"/>
              </w:rPr>
              <w:t>Personel Kredi Kartları-YP</w:t>
            </w:r>
          </w:p>
        </w:tc>
        <w:tc>
          <w:tcPr>
            <w:tcW w:w="1493" w:type="dxa"/>
            <w:tcBorders>
              <w:top w:val="nil"/>
              <w:left w:val="nil"/>
              <w:bottom w:val="nil"/>
              <w:right w:val="nil"/>
            </w:tcBorders>
            <w:shd w:val="clear" w:color="auto" w:fill="auto"/>
            <w:vAlign w:val="center"/>
            <w:hideMark/>
          </w:tcPr>
          <w:p w14:paraId="537656A1"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nil"/>
              <w:right w:val="nil"/>
            </w:tcBorders>
            <w:shd w:val="clear" w:color="auto" w:fill="auto"/>
            <w:vAlign w:val="center"/>
            <w:hideMark/>
          </w:tcPr>
          <w:p w14:paraId="7DE62F8F"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nil"/>
              <w:right w:val="nil"/>
            </w:tcBorders>
            <w:shd w:val="clear" w:color="auto" w:fill="auto"/>
            <w:vAlign w:val="center"/>
            <w:hideMark/>
          </w:tcPr>
          <w:p w14:paraId="02BB6F53"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4CB38DF7"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030C2D65" w14:textId="77777777" w:rsidR="00BD5F7B" w:rsidRPr="00BD5F7B" w:rsidRDefault="00BD5F7B" w:rsidP="00BD5F7B">
            <w:pPr>
              <w:jc w:val="both"/>
              <w:rPr>
                <w:sz w:val="18"/>
                <w:szCs w:val="18"/>
                <w:lang w:eastAsia="tr-TR"/>
              </w:rPr>
            </w:pPr>
            <w:r w:rsidRPr="00BD5F7B">
              <w:rPr>
                <w:sz w:val="18"/>
                <w:szCs w:val="18"/>
                <w:lang w:eastAsia="tr-TR"/>
              </w:rPr>
              <w:t xml:space="preserve">Taksitli </w:t>
            </w:r>
          </w:p>
        </w:tc>
        <w:tc>
          <w:tcPr>
            <w:tcW w:w="1493" w:type="dxa"/>
            <w:tcBorders>
              <w:top w:val="nil"/>
              <w:left w:val="nil"/>
              <w:bottom w:val="nil"/>
              <w:right w:val="nil"/>
            </w:tcBorders>
            <w:shd w:val="clear" w:color="auto" w:fill="auto"/>
            <w:vAlign w:val="center"/>
            <w:hideMark/>
          </w:tcPr>
          <w:p w14:paraId="05362A13"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09F8DF18"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2B934B11" w14:textId="77777777" w:rsidR="00BD5F7B" w:rsidRPr="00BD5F7B" w:rsidRDefault="00BD5F7B" w:rsidP="00BD5F7B">
            <w:pPr>
              <w:jc w:val="right"/>
              <w:rPr>
                <w:sz w:val="18"/>
                <w:szCs w:val="18"/>
                <w:lang w:eastAsia="tr-TR"/>
              </w:rPr>
            </w:pPr>
            <w:r w:rsidRPr="00BD5F7B">
              <w:rPr>
                <w:sz w:val="18"/>
                <w:szCs w:val="18"/>
                <w:lang w:eastAsia="tr-TR"/>
              </w:rPr>
              <w:t>-</w:t>
            </w:r>
          </w:p>
        </w:tc>
      </w:tr>
      <w:tr w:rsidR="00BD5F7B" w:rsidRPr="00BD5F7B" w14:paraId="3A849E89"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1F5A17EC" w14:textId="77777777" w:rsidR="00BD5F7B" w:rsidRPr="00BD5F7B" w:rsidRDefault="00BD5F7B" w:rsidP="00BD5F7B">
            <w:pPr>
              <w:jc w:val="both"/>
              <w:rPr>
                <w:sz w:val="18"/>
                <w:szCs w:val="18"/>
                <w:lang w:eastAsia="tr-TR"/>
              </w:rPr>
            </w:pPr>
            <w:r w:rsidRPr="00BD5F7B">
              <w:rPr>
                <w:sz w:val="18"/>
                <w:szCs w:val="18"/>
                <w:lang w:eastAsia="tr-TR"/>
              </w:rPr>
              <w:t>Taksitsiz</w:t>
            </w:r>
          </w:p>
        </w:tc>
        <w:tc>
          <w:tcPr>
            <w:tcW w:w="1493" w:type="dxa"/>
            <w:tcBorders>
              <w:top w:val="nil"/>
              <w:left w:val="nil"/>
              <w:bottom w:val="nil"/>
              <w:right w:val="nil"/>
            </w:tcBorders>
            <w:shd w:val="clear" w:color="auto" w:fill="auto"/>
            <w:vAlign w:val="center"/>
            <w:hideMark/>
          </w:tcPr>
          <w:p w14:paraId="5E546E62"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681B8189" w14:textId="77777777" w:rsidR="00BD5F7B" w:rsidRPr="00BD5F7B" w:rsidRDefault="00BD5F7B" w:rsidP="00BD5F7B">
            <w:pPr>
              <w:jc w:val="right"/>
              <w:rPr>
                <w:sz w:val="18"/>
                <w:szCs w:val="18"/>
                <w:lang w:eastAsia="tr-TR"/>
              </w:rPr>
            </w:pPr>
            <w:r w:rsidRPr="00BD5F7B">
              <w:rPr>
                <w:sz w:val="18"/>
                <w:szCs w:val="18"/>
                <w:lang w:eastAsia="tr-TR"/>
              </w:rPr>
              <w:t>-</w:t>
            </w:r>
          </w:p>
        </w:tc>
        <w:tc>
          <w:tcPr>
            <w:tcW w:w="1493" w:type="dxa"/>
            <w:tcBorders>
              <w:top w:val="nil"/>
              <w:left w:val="nil"/>
              <w:bottom w:val="nil"/>
              <w:right w:val="nil"/>
            </w:tcBorders>
            <w:shd w:val="clear" w:color="auto" w:fill="auto"/>
            <w:vAlign w:val="center"/>
            <w:hideMark/>
          </w:tcPr>
          <w:p w14:paraId="0245601B" w14:textId="77777777" w:rsidR="00BD5F7B" w:rsidRPr="00BD5F7B" w:rsidRDefault="00BD5F7B" w:rsidP="00BD5F7B">
            <w:pPr>
              <w:jc w:val="right"/>
              <w:rPr>
                <w:sz w:val="18"/>
                <w:szCs w:val="18"/>
                <w:lang w:eastAsia="tr-TR"/>
              </w:rPr>
            </w:pPr>
            <w:r w:rsidRPr="00BD5F7B">
              <w:rPr>
                <w:sz w:val="18"/>
                <w:szCs w:val="18"/>
                <w:lang w:eastAsia="tr-TR"/>
              </w:rPr>
              <w:t>-</w:t>
            </w:r>
          </w:p>
        </w:tc>
      </w:tr>
      <w:tr w:rsidR="00BD5F7B" w:rsidRPr="00BD5F7B" w14:paraId="5C4098C5" w14:textId="77777777" w:rsidTr="006B1072">
        <w:trPr>
          <w:divId w:val="278537566"/>
          <w:trHeight w:val="272"/>
        </w:trPr>
        <w:tc>
          <w:tcPr>
            <w:tcW w:w="4738" w:type="dxa"/>
            <w:tcBorders>
              <w:top w:val="nil"/>
              <w:left w:val="nil"/>
              <w:bottom w:val="nil"/>
              <w:right w:val="nil"/>
            </w:tcBorders>
            <w:shd w:val="clear" w:color="auto" w:fill="auto"/>
            <w:vAlign w:val="center"/>
            <w:hideMark/>
          </w:tcPr>
          <w:p w14:paraId="0CC2C67E" w14:textId="77777777" w:rsidR="00BD5F7B" w:rsidRPr="00BD5F7B" w:rsidRDefault="00BD5F7B" w:rsidP="00BD5F7B">
            <w:pPr>
              <w:jc w:val="both"/>
              <w:rPr>
                <w:b/>
                <w:bCs/>
                <w:sz w:val="18"/>
                <w:szCs w:val="18"/>
                <w:lang w:eastAsia="tr-TR"/>
              </w:rPr>
            </w:pPr>
            <w:r w:rsidRPr="00BD5F7B">
              <w:rPr>
                <w:b/>
                <w:bCs/>
                <w:sz w:val="18"/>
                <w:szCs w:val="18"/>
                <w:lang w:eastAsia="tr-TR"/>
              </w:rPr>
              <w:t>Kredili Mevduat Hesabı-TP (Gerçek Kişi)</w:t>
            </w:r>
          </w:p>
        </w:tc>
        <w:tc>
          <w:tcPr>
            <w:tcW w:w="1493" w:type="dxa"/>
            <w:tcBorders>
              <w:top w:val="nil"/>
              <w:left w:val="nil"/>
              <w:bottom w:val="nil"/>
              <w:right w:val="nil"/>
            </w:tcBorders>
            <w:shd w:val="clear" w:color="auto" w:fill="auto"/>
            <w:vAlign w:val="center"/>
            <w:hideMark/>
          </w:tcPr>
          <w:p w14:paraId="2745764A"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nil"/>
              <w:right w:val="nil"/>
            </w:tcBorders>
            <w:shd w:val="clear" w:color="auto" w:fill="auto"/>
            <w:vAlign w:val="center"/>
            <w:hideMark/>
          </w:tcPr>
          <w:p w14:paraId="2ED7B64C"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nil"/>
              <w:right w:val="nil"/>
            </w:tcBorders>
            <w:shd w:val="clear" w:color="auto" w:fill="auto"/>
            <w:vAlign w:val="center"/>
            <w:hideMark/>
          </w:tcPr>
          <w:p w14:paraId="24794B0B"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31F904BA" w14:textId="77777777" w:rsidTr="006B1072">
        <w:trPr>
          <w:divId w:val="278537566"/>
          <w:trHeight w:val="290"/>
        </w:trPr>
        <w:tc>
          <w:tcPr>
            <w:tcW w:w="4738" w:type="dxa"/>
            <w:tcBorders>
              <w:top w:val="nil"/>
              <w:left w:val="nil"/>
              <w:bottom w:val="single" w:sz="8" w:space="0" w:color="auto"/>
              <w:right w:val="nil"/>
            </w:tcBorders>
            <w:shd w:val="clear" w:color="auto" w:fill="auto"/>
            <w:vAlign w:val="center"/>
            <w:hideMark/>
          </w:tcPr>
          <w:p w14:paraId="3531AB1D" w14:textId="77777777" w:rsidR="00BD5F7B" w:rsidRPr="00BD5F7B" w:rsidRDefault="00BD5F7B" w:rsidP="00BD5F7B">
            <w:pPr>
              <w:jc w:val="both"/>
              <w:rPr>
                <w:b/>
                <w:bCs/>
                <w:sz w:val="18"/>
                <w:szCs w:val="18"/>
                <w:lang w:eastAsia="tr-TR"/>
              </w:rPr>
            </w:pPr>
            <w:r w:rsidRPr="00BD5F7B">
              <w:rPr>
                <w:b/>
                <w:bCs/>
                <w:sz w:val="18"/>
                <w:szCs w:val="18"/>
                <w:lang w:eastAsia="tr-TR"/>
              </w:rPr>
              <w:t>Kredili Mevduat Hesabı-YP (Gerçek Kişi)</w:t>
            </w:r>
          </w:p>
        </w:tc>
        <w:tc>
          <w:tcPr>
            <w:tcW w:w="1493" w:type="dxa"/>
            <w:tcBorders>
              <w:top w:val="nil"/>
              <w:left w:val="nil"/>
              <w:bottom w:val="single" w:sz="8" w:space="0" w:color="auto"/>
              <w:right w:val="nil"/>
            </w:tcBorders>
            <w:shd w:val="clear" w:color="auto" w:fill="auto"/>
            <w:vAlign w:val="center"/>
            <w:hideMark/>
          </w:tcPr>
          <w:p w14:paraId="4D7E4071"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single" w:sz="8" w:space="0" w:color="auto"/>
              <w:right w:val="nil"/>
            </w:tcBorders>
            <w:shd w:val="clear" w:color="auto" w:fill="auto"/>
            <w:vAlign w:val="center"/>
            <w:hideMark/>
          </w:tcPr>
          <w:p w14:paraId="7F7AFEC5"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93" w:type="dxa"/>
            <w:tcBorders>
              <w:top w:val="nil"/>
              <w:left w:val="nil"/>
              <w:bottom w:val="single" w:sz="8" w:space="0" w:color="auto"/>
              <w:right w:val="nil"/>
            </w:tcBorders>
            <w:shd w:val="clear" w:color="auto" w:fill="auto"/>
            <w:vAlign w:val="center"/>
            <w:hideMark/>
          </w:tcPr>
          <w:p w14:paraId="2C8CD5F6"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6FE85665" w14:textId="77777777" w:rsidTr="006B1072">
        <w:trPr>
          <w:divId w:val="278537566"/>
          <w:trHeight w:val="290"/>
        </w:trPr>
        <w:tc>
          <w:tcPr>
            <w:tcW w:w="4738" w:type="dxa"/>
            <w:tcBorders>
              <w:top w:val="nil"/>
              <w:left w:val="nil"/>
              <w:bottom w:val="double" w:sz="6" w:space="0" w:color="auto"/>
              <w:right w:val="nil"/>
            </w:tcBorders>
            <w:shd w:val="clear" w:color="auto" w:fill="auto"/>
            <w:vAlign w:val="center"/>
            <w:hideMark/>
          </w:tcPr>
          <w:p w14:paraId="39371C8D" w14:textId="77777777" w:rsidR="00BD5F7B" w:rsidRPr="00BD5F7B" w:rsidRDefault="00BD5F7B" w:rsidP="00BD5F7B">
            <w:pPr>
              <w:jc w:val="both"/>
              <w:rPr>
                <w:b/>
                <w:bCs/>
                <w:sz w:val="18"/>
                <w:szCs w:val="18"/>
                <w:lang w:eastAsia="tr-TR"/>
              </w:rPr>
            </w:pPr>
            <w:r w:rsidRPr="00BD5F7B">
              <w:rPr>
                <w:b/>
                <w:bCs/>
                <w:sz w:val="18"/>
                <w:szCs w:val="18"/>
                <w:lang w:eastAsia="tr-TR"/>
              </w:rPr>
              <w:t>Toplam</w:t>
            </w:r>
          </w:p>
        </w:tc>
        <w:tc>
          <w:tcPr>
            <w:tcW w:w="1493" w:type="dxa"/>
            <w:tcBorders>
              <w:top w:val="nil"/>
              <w:left w:val="nil"/>
              <w:bottom w:val="double" w:sz="6" w:space="0" w:color="auto"/>
              <w:right w:val="nil"/>
            </w:tcBorders>
            <w:shd w:val="clear" w:color="auto" w:fill="auto"/>
            <w:vAlign w:val="center"/>
            <w:hideMark/>
          </w:tcPr>
          <w:p w14:paraId="124F23EB" w14:textId="77777777" w:rsidR="00BD5F7B" w:rsidRPr="00BD5F7B" w:rsidRDefault="00BD5F7B" w:rsidP="00BD5F7B">
            <w:pPr>
              <w:jc w:val="right"/>
              <w:rPr>
                <w:b/>
                <w:bCs/>
                <w:sz w:val="18"/>
                <w:szCs w:val="18"/>
                <w:lang w:eastAsia="tr-TR"/>
              </w:rPr>
            </w:pPr>
            <w:r w:rsidRPr="00BD5F7B">
              <w:rPr>
                <w:b/>
                <w:bCs/>
                <w:sz w:val="18"/>
                <w:szCs w:val="18"/>
                <w:lang w:eastAsia="tr-TR"/>
              </w:rPr>
              <w:t>637,315</w:t>
            </w:r>
          </w:p>
        </w:tc>
        <w:tc>
          <w:tcPr>
            <w:tcW w:w="1493" w:type="dxa"/>
            <w:tcBorders>
              <w:top w:val="nil"/>
              <w:left w:val="nil"/>
              <w:bottom w:val="double" w:sz="6" w:space="0" w:color="auto"/>
              <w:right w:val="nil"/>
            </w:tcBorders>
            <w:shd w:val="clear" w:color="auto" w:fill="auto"/>
            <w:vAlign w:val="center"/>
            <w:hideMark/>
          </w:tcPr>
          <w:p w14:paraId="0121A7EC" w14:textId="77777777" w:rsidR="00BD5F7B" w:rsidRPr="00BD5F7B" w:rsidRDefault="00BD5F7B" w:rsidP="00BD5F7B">
            <w:pPr>
              <w:jc w:val="right"/>
              <w:rPr>
                <w:b/>
                <w:bCs/>
                <w:sz w:val="18"/>
                <w:szCs w:val="18"/>
                <w:lang w:eastAsia="tr-TR"/>
              </w:rPr>
            </w:pPr>
            <w:r w:rsidRPr="00BD5F7B">
              <w:rPr>
                <w:b/>
                <w:bCs/>
                <w:sz w:val="18"/>
                <w:szCs w:val="18"/>
                <w:lang w:eastAsia="tr-TR"/>
              </w:rPr>
              <w:t>12,954,629</w:t>
            </w:r>
          </w:p>
        </w:tc>
        <w:tc>
          <w:tcPr>
            <w:tcW w:w="1493" w:type="dxa"/>
            <w:tcBorders>
              <w:top w:val="nil"/>
              <w:left w:val="nil"/>
              <w:bottom w:val="double" w:sz="6" w:space="0" w:color="auto"/>
              <w:right w:val="nil"/>
            </w:tcBorders>
            <w:shd w:val="clear" w:color="auto" w:fill="auto"/>
            <w:vAlign w:val="center"/>
            <w:hideMark/>
          </w:tcPr>
          <w:p w14:paraId="0333A908" w14:textId="77777777" w:rsidR="00BD5F7B" w:rsidRPr="00BD5F7B" w:rsidRDefault="00BD5F7B" w:rsidP="00BD5F7B">
            <w:pPr>
              <w:jc w:val="right"/>
              <w:rPr>
                <w:b/>
                <w:bCs/>
                <w:sz w:val="18"/>
                <w:szCs w:val="18"/>
                <w:lang w:eastAsia="tr-TR"/>
              </w:rPr>
            </w:pPr>
            <w:r w:rsidRPr="00BD5F7B">
              <w:rPr>
                <w:b/>
                <w:bCs/>
                <w:sz w:val="18"/>
                <w:szCs w:val="18"/>
                <w:lang w:eastAsia="tr-TR"/>
              </w:rPr>
              <w:t>13,591,944</w:t>
            </w:r>
          </w:p>
        </w:tc>
      </w:tr>
    </w:tbl>
    <w:p w14:paraId="7CEFDE49" w14:textId="545AA142" w:rsidR="00F94AE1" w:rsidRPr="00BD5F7B" w:rsidRDefault="00F94AE1" w:rsidP="006B1072">
      <w:pPr>
        <w:tabs>
          <w:tab w:val="left" w:pos="709"/>
        </w:tabs>
        <w:autoSpaceDE w:val="0"/>
        <w:autoSpaceDN w:val="0"/>
        <w:adjustRightInd w:val="0"/>
        <w:ind w:hanging="567"/>
        <w:rPr>
          <w:lang w:val="en-GB" w:eastAsia="en-GB"/>
        </w:rPr>
      </w:pPr>
    </w:p>
    <w:tbl>
      <w:tblPr>
        <w:tblW w:w="9257" w:type="dxa"/>
        <w:tblCellMar>
          <w:left w:w="70" w:type="dxa"/>
          <w:right w:w="70" w:type="dxa"/>
        </w:tblCellMar>
        <w:tblLook w:val="04A0" w:firstRow="1" w:lastRow="0" w:firstColumn="1" w:lastColumn="0" w:noHBand="0" w:noVBand="1"/>
      </w:tblPr>
      <w:tblGrid>
        <w:gridCol w:w="5387"/>
        <w:gridCol w:w="1697"/>
        <w:gridCol w:w="1232"/>
        <w:gridCol w:w="941"/>
      </w:tblGrid>
      <w:tr w:rsidR="00F94AE1" w:rsidRPr="00BD5F7B" w14:paraId="0F8BBB76" w14:textId="77777777" w:rsidTr="006B1072">
        <w:trPr>
          <w:divId w:val="779182521"/>
          <w:trHeight w:val="555"/>
        </w:trPr>
        <w:tc>
          <w:tcPr>
            <w:tcW w:w="5387" w:type="dxa"/>
            <w:tcBorders>
              <w:top w:val="double" w:sz="6" w:space="0" w:color="auto"/>
              <w:left w:val="nil"/>
              <w:bottom w:val="single" w:sz="8" w:space="0" w:color="auto"/>
              <w:right w:val="nil"/>
            </w:tcBorders>
            <w:shd w:val="clear" w:color="auto" w:fill="auto"/>
            <w:vAlign w:val="center"/>
            <w:hideMark/>
          </w:tcPr>
          <w:p w14:paraId="167EDC4F" w14:textId="71985B34" w:rsidR="00F94AE1" w:rsidRPr="00BD5F7B" w:rsidRDefault="00F94AE1" w:rsidP="00F94AE1">
            <w:pPr>
              <w:jc w:val="both"/>
              <w:rPr>
                <w:sz w:val="18"/>
                <w:szCs w:val="18"/>
                <w:lang w:eastAsia="tr-TR"/>
              </w:rPr>
            </w:pPr>
            <w:r w:rsidRPr="00BD5F7B">
              <w:rPr>
                <w:sz w:val="18"/>
                <w:szCs w:val="18"/>
                <w:lang w:eastAsia="tr-TR"/>
              </w:rPr>
              <w:t>Önceki Dönem</w:t>
            </w:r>
          </w:p>
        </w:tc>
        <w:tc>
          <w:tcPr>
            <w:tcW w:w="1697" w:type="dxa"/>
            <w:tcBorders>
              <w:top w:val="double" w:sz="6" w:space="0" w:color="auto"/>
              <w:left w:val="nil"/>
              <w:bottom w:val="single" w:sz="8" w:space="0" w:color="auto"/>
              <w:right w:val="nil"/>
            </w:tcBorders>
            <w:shd w:val="clear" w:color="000000" w:fill="FFFFFF"/>
            <w:vAlign w:val="center"/>
            <w:hideMark/>
          </w:tcPr>
          <w:p w14:paraId="1BD68B3B" w14:textId="77777777" w:rsidR="00F94AE1" w:rsidRPr="00BD5F7B" w:rsidRDefault="00F94AE1" w:rsidP="00F94AE1">
            <w:pPr>
              <w:jc w:val="right"/>
              <w:rPr>
                <w:b/>
                <w:bCs/>
                <w:sz w:val="18"/>
                <w:szCs w:val="18"/>
                <w:lang w:eastAsia="tr-TR"/>
              </w:rPr>
            </w:pPr>
            <w:r w:rsidRPr="00BD5F7B">
              <w:rPr>
                <w:b/>
                <w:bCs/>
                <w:sz w:val="18"/>
                <w:szCs w:val="18"/>
                <w:lang w:eastAsia="tr-TR"/>
              </w:rPr>
              <w:t>Kısa Vadeli</w:t>
            </w:r>
          </w:p>
        </w:tc>
        <w:tc>
          <w:tcPr>
            <w:tcW w:w="1232" w:type="dxa"/>
            <w:tcBorders>
              <w:top w:val="double" w:sz="6" w:space="0" w:color="auto"/>
              <w:left w:val="nil"/>
              <w:bottom w:val="single" w:sz="8" w:space="0" w:color="auto"/>
              <w:right w:val="nil"/>
            </w:tcBorders>
            <w:shd w:val="clear" w:color="auto" w:fill="auto"/>
            <w:vAlign w:val="center"/>
            <w:hideMark/>
          </w:tcPr>
          <w:p w14:paraId="10A829AF" w14:textId="77777777" w:rsidR="00F94AE1" w:rsidRPr="00BD5F7B" w:rsidRDefault="00F94AE1" w:rsidP="00F94AE1">
            <w:pPr>
              <w:jc w:val="right"/>
              <w:rPr>
                <w:b/>
                <w:bCs/>
                <w:sz w:val="18"/>
                <w:szCs w:val="18"/>
                <w:lang w:eastAsia="tr-TR"/>
              </w:rPr>
            </w:pPr>
            <w:r w:rsidRPr="00BD5F7B">
              <w:rPr>
                <w:b/>
                <w:bCs/>
                <w:sz w:val="18"/>
                <w:szCs w:val="18"/>
                <w:lang w:eastAsia="tr-TR"/>
              </w:rPr>
              <w:t>Orta ve Uzun Vadeli</w:t>
            </w:r>
          </w:p>
        </w:tc>
        <w:tc>
          <w:tcPr>
            <w:tcW w:w="941" w:type="dxa"/>
            <w:tcBorders>
              <w:top w:val="double" w:sz="6" w:space="0" w:color="auto"/>
              <w:left w:val="nil"/>
              <w:bottom w:val="single" w:sz="8" w:space="0" w:color="auto"/>
              <w:right w:val="nil"/>
            </w:tcBorders>
            <w:shd w:val="clear" w:color="auto" w:fill="auto"/>
            <w:vAlign w:val="center"/>
            <w:hideMark/>
          </w:tcPr>
          <w:p w14:paraId="1E53CA7C" w14:textId="77777777" w:rsidR="00F94AE1" w:rsidRPr="00BD5F7B" w:rsidRDefault="00F94AE1" w:rsidP="00F94AE1">
            <w:pPr>
              <w:jc w:val="right"/>
              <w:rPr>
                <w:b/>
                <w:bCs/>
                <w:sz w:val="18"/>
                <w:szCs w:val="18"/>
                <w:lang w:eastAsia="tr-TR"/>
              </w:rPr>
            </w:pPr>
            <w:r w:rsidRPr="00BD5F7B">
              <w:rPr>
                <w:b/>
                <w:bCs/>
                <w:sz w:val="18"/>
                <w:szCs w:val="18"/>
                <w:lang w:eastAsia="tr-TR"/>
              </w:rPr>
              <w:t>Toplam</w:t>
            </w:r>
          </w:p>
        </w:tc>
      </w:tr>
      <w:tr w:rsidR="00F94AE1" w:rsidRPr="00BD5F7B" w14:paraId="1884B5F5"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7EA34B1F" w14:textId="77777777" w:rsidR="00F94AE1" w:rsidRPr="00BD5F7B" w:rsidRDefault="00F94AE1" w:rsidP="00F94AE1">
            <w:pPr>
              <w:jc w:val="both"/>
              <w:rPr>
                <w:b/>
                <w:bCs/>
                <w:sz w:val="18"/>
                <w:szCs w:val="18"/>
                <w:lang w:eastAsia="tr-TR"/>
              </w:rPr>
            </w:pPr>
            <w:r w:rsidRPr="00BD5F7B">
              <w:rPr>
                <w:b/>
                <w:bCs/>
                <w:sz w:val="18"/>
                <w:szCs w:val="18"/>
                <w:lang w:eastAsia="tr-TR"/>
              </w:rPr>
              <w:t>Tüketici Kredileri-TP</w:t>
            </w:r>
          </w:p>
        </w:tc>
        <w:tc>
          <w:tcPr>
            <w:tcW w:w="1697" w:type="dxa"/>
            <w:tcBorders>
              <w:top w:val="nil"/>
              <w:left w:val="nil"/>
              <w:bottom w:val="nil"/>
              <w:right w:val="nil"/>
            </w:tcBorders>
            <w:shd w:val="clear" w:color="000000" w:fill="FFFFFF"/>
            <w:vAlign w:val="center"/>
            <w:hideMark/>
          </w:tcPr>
          <w:p w14:paraId="5985D960" w14:textId="77777777" w:rsidR="00F94AE1" w:rsidRPr="00BD5F7B" w:rsidRDefault="00F94AE1" w:rsidP="00F94AE1">
            <w:pPr>
              <w:jc w:val="right"/>
              <w:rPr>
                <w:b/>
                <w:bCs/>
                <w:sz w:val="18"/>
                <w:szCs w:val="18"/>
                <w:lang w:eastAsia="tr-TR"/>
              </w:rPr>
            </w:pPr>
            <w:r w:rsidRPr="00BD5F7B">
              <w:rPr>
                <w:b/>
                <w:bCs/>
                <w:sz w:val="18"/>
                <w:szCs w:val="18"/>
                <w:lang w:eastAsia="tr-TR"/>
              </w:rPr>
              <w:t>75,033</w:t>
            </w:r>
          </w:p>
        </w:tc>
        <w:tc>
          <w:tcPr>
            <w:tcW w:w="1232" w:type="dxa"/>
            <w:tcBorders>
              <w:top w:val="nil"/>
              <w:left w:val="nil"/>
              <w:bottom w:val="nil"/>
              <w:right w:val="nil"/>
            </w:tcBorders>
            <w:shd w:val="clear" w:color="auto" w:fill="auto"/>
            <w:vAlign w:val="center"/>
            <w:hideMark/>
          </w:tcPr>
          <w:p w14:paraId="7EF10E1D" w14:textId="77777777" w:rsidR="00F94AE1" w:rsidRPr="00BD5F7B" w:rsidRDefault="00F94AE1" w:rsidP="00F94AE1">
            <w:pPr>
              <w:jc w:val="right"/>
              <w:rPr>
                <w:b/>
                <w:bCs/>
                <w:sz w:val="18"/>
                <w:szCs w:val="18"/>
                <w:lang w:eastAsia="tr-TR"/>
              </w:rPr>
            </w:pPr>
            <w:r w:rsidRPr="00BD5F7B">
              <w:rPr>
                <w:b/>
                <w:bCs/>
                <w:sz w:val="18"/>
                <w:szCs w:val="18"/>
                <w:lang w:eastAsia="tr-TR"/>
              </w:rPr>
              <w:t>7,726,981</w:t>
            </w:r>
          </w:p>
        </w:tc>
        <w:tc>
          <w:tcPr>
            <w:tcW w:w="941" w:type="dxa"/>
            <w:tcBorders>
              <w:top w:val="nil"/>
              <w:left w:val="nil"/>
              <w:bottom w:val="nil"/>
              <w:right w:val="nil"/>
            </w:tcBorders>
            <w:shd w:val="clear" w:color="auto" w:fill="auto"/>
            <w:vAlign w:val="center"/>
            <w:hideMark/>
          </w:tcPr>
          <w:p w14:paraId="00B7715D" w14:textId="77777777" w:rsidR="00F94AE1" w:rsidRPr="00BD5F7B" w:rsidRDefault="00F94AE1" w:rsidP="00F94AE1">
            <w:pPr>
              <w:jc w:val="right"/>
              <w:rPr>
                <w:b/>
                <w:bCs/>
                <w:sz w:val="18"/>
                <w:szCs w:val="18"/>
                <w:lang w:eastAsia="tr-TR"/>
              </w:rPr>
            </w:pPr>
            <w:r w:rsidRPr="00BD5F7B">
              <w:rPr>
                <w:b/>
                <w:bCs/>
                <w:sz w:val="18"/>
                <w:szCs w:val="18"/>
                <w:lang w:eastAsia="tr-TR"/>
              </w:rPr>
              <w:t>7,802,014</w:t>
            </w:r>
          </w:p>
        </w:tc>
      </w:tr>
      <w:tr w:rsidR="00F94AE1" w:rsidRPr="00BD5F7B" w14:paraId="41EF7FFE"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3645422F" w14:textId="77777777" w:rsidR="00F94AE1" w:rsidRPr="00BD5F7B" w:rsidRDefault="00F94AE1" w:rsidP="00F94AE1">
            <w:pPr>
              <w:jc w:val="both"/>
              <w:rPr>
                <w:sz w:val="18"/>
                <w:szCs w:val="18"/>
                <w:lang w:eastAsia="tr-TR"/>
              </w:rPr>
            </w:pPr>
            <w:r w:rsidRPr="00BD5F7B">
              <w:rPr>
                <w:sz w:val="18"/>
                <w:szCs w:val="18"/>
                <w:lang w:eastAsia="tr-TR"/>
              </w:rPr>
              <w:t>Konut Kredisi</w:t>
            </w:r>
          </w:p>
        </w:tc>
        <w:tc>
          <w:tcPr>
            <w:tcW w:w="1697" w:type="dxa"/>
            <w:tcBorders>
              <w:top w:val="nil"/>
              <w:left w:val="nil"/>
              <w:bottom w:val="nil"/>
              <w:right w:val="nil"/>
            </w:tcBorders>
            <w:shd w:val="clear" w:color="000000" w:fill="FFFFFF"/>
            <w:vAlign w:val="center"/>
            <w:hideMark/>
          </w:tcPr>
          <w:p w14:paraId="1A08E3AD" w14:textId="77777777" w:rsidR="00F94AE1" w:rsidRPr="00BD5F7B" w:rsidRDefault="00F94AE1" w:rsidP="00F94AE1">
            <w:pPr>
              <w:jc w:val="right"/>
              <w:rPr>
                <w:sz w:val="18"/>
                <w:szCs w:val="18"/>
                <w:lang w:eastAsia="tr-TR"/>
              </w:rPr>
            </w:pPr>
            <w:r w:rsidRPr="00BD5F7B">
              <w:rPr>
                <w:sz w:val="18"/>
                <w:szCs w:val="18"/>
                <w:lang w:eastAsia="tr-TR"/>
              </w:rPr>
              <w:t>22,116</w:t>
            </w:r>
          </w:p>
        </w:tc>
        <w:tc>
          <w:tcPr>
            <w:tcW w:w="1232" w:type="dxa"/>
            <w:tcBorders>
              <w:top w:val="nil"/>
              <w:left w:val="nil"/>
              <w:bottom w:val="nil"/>
              <w:right w:val="nil"/>
            </w:tcBorders>
            <w:shd w:val="clear" w:color="auto" w:fill="auto"/>
            <w:vAlign w:val="center"/>
            <w:hideMark/>
          </w:tcPr>
          <w:p w14:paraId="62131081" w14:textId="77777777" w:rsidR="00F94AE1" w:rsidRPr="00BD5F7B" w:rsidRDefault="00F94AE1" w:rsidP="00F94AE1">
            <w:pPr>
              <w:jc w:val="right"/>
              <w:rPr>
                <w:sz w:val="18"/>
                <w:szCs w:val="18"/>
                <w:lang w:eastAsia="tr-TR"/>
              </w:rPr>
            </w:pPr>
            <w:r w:rsidRPr="00BD5F7B">
              <w:rPr>
                <w:sz w:val="18"/>
                <w:szCs w:val="18"/>
                <w:lang w:eastAsia="tr-TR"/>
              </w:rPr>
              <w:t>6,470,571</w:t>
            </w:r>
          </w:p>
        </w:tc>
        <w:tc>
          <w:tcPr>
            <w:tcW w:w="941" w:type="dxa"/>
            <w:tcBorders>
              <w:top w:val="nil"/>
              <w:left w:val="nil"/>
              <w:bottom w:val="nil"/>
              <w:right w:val="nil"/>
            </w:tcBorders>
            <w:shd w:val="clear" w:color="auto" w:fill="auto"/>
            <w:vAlign w:val="center"/>
            <w:hideMark/>
          </w:tcPr>
          <w:p w14:paraId="106D0899" w14:textId="77777777" w:rsidR="00F94AE1" w:rsidRPr="00BD5F7B" w:rsidRDefault="00F94AE1" w:rsidP="00F94AE1">
            <w:pPr>
              <w:jc w:val="right"/>
              <w:rPr>
                <w:sz w:val="18"/>
                <w:szCs w:val="18"/>
                <w:lang w:eastAsia="tr-TR"/>
              </w:rPr>
            </w:pPr>
            <w:r w:rsidRPr="00BD5F7B">
              <w:rPr>
                <w:sz w:val="18"/>
                <w:szCs w:val="18"/>
                <w:lang w:eastAsia="tr-TR"/>
              </w:rPr>
              <w:t>6,492,687</w:t>
            </w:r>
          </w:p>
        </w:tc>
      </w:tr>
      <w:tr w:rsidR="00F94AE1" w:rsidRPr="00BD5F7B" w14:paraId="0FA13C37"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1C0E05C6" w14:textId="77777777" w:rsidR="00F94AE1" w:rsidRPr="00BD5F7B" w:rsidRDefault="00F94AE1" w:rsidP="00F94AE1">
            <w:pPr>
              <w:jc w:val="both"/>
              <w:rPr>
                <w:sz w:val="18"/>
                <w:szCs w:val="18"/>
                <w:lang w:eastAsia="tr-TR"/>
              </w:rPr>
            </w:pPr>
            <w:r w:rsidRPr="00BD5F7B">
              <w:rPr>
                <w:sz w:val="18"/>
                <w:szCs w:val="18"/>
                <w:lang w:eastAsia="tr-TR"/>
              </w:rPr>
              <w:t>Taşıt Kredisi</w:t>
            </w:r>
          </w:p>
        </w:tc>
        <w:tc>
          <w:tcPr>
            <w:tcW w:w="1697" w:type="dxa"/>
            <w:tcBorders>
              <w:top w:val="nil"/>
              <w:left w:val="nil"/>
              <w:bottom w:val="nil"/>
              <w:right w:val="nil"/>
            </w:tcBorders>
            <w:shd w:val="clear" w:color="000000" w:fill="FFFFFF"/>
            <w:vAlign w:val="center"/>
            <w:hideMark/>
          </w:tcPr>
          <w:p w14:paraId="61002FE1" w14:textId="77777777" w:rsidR="00F94AE1" w:rsidRPr="00BD5F7B" w:rsidRDefault="00F94AE1" w:rsidP="00F94AE1">
            <w:pPr>
              <w:jc w:val="right"/>
              <w:rPr>
                <w:sz w:val="18"/>
                <w:szCs w:val="18"/>
                <w:lang w:eastAsia="tr-TR"/>
              </w:rPr>
            </w:pPr>
            <w:r w:rsidRPr="00BD5F7B">
              <w:rPr>
                <w:sz w:val="18"/>
                <w:szCs w:val="18"/>
                <w:lang w:eastAsia="tr-TR"/>
              </w:rPr>
              <w:t>31,568</w:t>
            </w:r>
          </w:p>
        </w:tc>
        <w:tc>
          <w:tcPr>
            <w:tcW w:w="1232" w:type="dxa"/>
            <w:tcBorders>
              <w:top w:val="nil"/>
              <w:left w:val="nil"/>
              <w:bottom w:val="nil"/>
              <w:right w:val="nil"/>
            </w:tcBorders>
            <w:shd w:val="clear" w:color="auto" w:fill="auto"/>
            <w:vAlign w:val="center"/>
            <w:hideMark/>
          </w:tcPr>
          <w:p w14:paraId="5F39B85B" w14:textId="77777777" w:rsidR="00F94AE1" w:rsidRPr="00BD5F7B" w:rsidRDefault="00F94AE1" w:rsidP="00F94AE1">
            <w:pPr>
              <w:jc w:val="right"/>
              <w:rPr>
                <w:sz w:val="18"/>
                <w:szCs w:val="18"/>
                <w:lang w:eastAsia="tr-TR"/>
              </w:rPr>
            </w:pPr>
            <w:r w:rsidRPr="00BD5F7B">
              <w:rPr>
                <w:sz w:val="18"/>
                <w:szCs w:val="18"/>
                <w:lang w:eastAsia="tr-TR"/>
              </w:rPr>
              <w:t>963,169</w:t>
            </w:r>
          </w:p>
        </w:tc>
        <w:tc>
          <w:tcPr>
            <w:tcW w:w="941" w:type="dxa"/>
            <w:tcBorders>
              <w:top w:val="nil"/>
              <w:left w:val="nil"/>
              <w:bottom w:val="nil"/>
              <w:right w:val="nil"/>
            </w:tcBorders>
            <w:shd w:val="clear" w:color="auto" w:fill="auto"/>
            <w:vAlign w:val="center"/>
            <w:hideMark/>
          </w:tcPr>
          <w:p w14:paraId="4462714C" w14:textId="77777777" w:rsidR="00F94AE1" w:rsidRPr="00BD5F7B" w:rsidRDefault="00F94AE1" w:rsidP="00F94AE1">
            <w:pPr>
              <w:jc w:val="right"/>
              <w:rPr>
                <w:sz w:val="18"/>
                <w:szCs w:val="18"/>
                <w:lang w:eastAsia="tr-TR"/>
              </w:rPr>
            </w:pPr>
            <w:r w:rsidRPr="00BD5F7B">
              <w:rPr>
                <w:sz w:val="18"/>
                <w:szCs w:val="18"/>
                <w:lang w:eastAsia="tr-TR"/>
              </w:rPr>
              <w:t>994,737</w:t>
            </w:r>
          </w:p>
        </w:tc>
      </w:tr>
      <w:tr w:rsidR="00F94AE1" w:rsidRPr="00BD5F7B" w14:paraId="599EAD52"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378FC806" w14:textId="77777777" w:rsidR="00F94AE1" w:rsidRPr="00BD5F7B" w:rsidRDefault="00F94AE1" w:rsidP="00F94AE1">
            <w:pPr>
              <w:jc w:val="both"/>
              <w:rPr>
                <w:sz w:val="18"/>
                <w:szCs w:val="18"/>
                <w:lang w:eastAsia="tr-TR"/>
              </w:rPr>
            </w:pPr>
            <w:r w:rsidRPr="00BD5F7B">
              <w:rPr>
                <w:sz w:val="18"/>
                <w:szCs w:val="18"/>
                <w:lang w:eastAsia="tr-TR"/>
              </w:rPr>
              <w:t>İhtiyaç Kredisi</w:t>
            </w:r>
          </w:p>
        </w:tc>
        <w:tc>
          <w:tcPr>
            <w:tcW w:w="1697" w:type="dxa"/>
            <w:tcBorders>
              <w:top w:val="nil"/>
              <w:left w:val="nil"/>
              <w:bottom w:val="nil"/>
              <w:right w:val="nil"/>
            </w:tcBorders>
            <w:shd w:val="clear" w:color="000000" w:fill="FFFFFF"/>
            <w:vAlign w:val="center"/>
            <w:hideMark/>
          </w:tcPr>
          <w:p w14:paraId="21F950F1" w14:textId="77777777" w:rsidR="00F94AE1" w:rsidRPr="00BD5F7B" w:rsidRDefault="00F94AE1" w:rsidP="00F94AE1">
            <w:pPr>
              <w:jc w:val="right"/>
              <w:rPr>
                <w:sz w:val="18"/>
                <w:szCs w:val="18"/>
                <w:lang w:eastAsia="tr-TR"/>
              </w:rPr>
            </w:pPr>
            <w:r w:rsidRPr="00BD5F7B">
              <w:rPr>
                <w:sz w:val="18"/>
                <w:szCs w:val="18"/>
                <w:lang w:eastAsia="tr-TR"/>
              </w:rPr>
              <w:t>20,214</w:t>
            </w:r>
          </w:p>
        </w:tc>
        <w:tc>
          <w:tcPr>
            <w:tcW w:w="1232" w:type="dxa"/>
            <w:tcBorders>
              <w:top w:val="nil"/>
              <w:left w:val="nil"/>
              <w:bottom w:val="nil"/>
              <w:right w:val="nil"/>
            </w:tcBorders>
            <w:shd w:val="clear" w:color="auto" w:fill="auto"/>
            <w:vAlign w:val="center"/>
            <w:hideMark/>
          </w:tcPr>
          <w:p w14:paraId="74A30151" w14:textId="77777777" w:rsidR="00F94AE1" w:rsidRPr="00BD5F7B" w:rsidRDefault="00F94AE1" w:rsidP="00F94AE1">
            <w:pPr>
              <w:jc w:val="right"/>
              <w:rPr>
                <w:sz w:val="18"/>
                <w:szCs w:val="18"/>
                <w:lang w:eastAsia="tr-TR"/>
              </w:rPr>
            </w:pPr>
            <w:r w:rsidRPr="00BD5F7B">
              <w:rPr>
                <w:sz w:val="18"/>
                <w:szCs w:val="18"/>
                <w:lang w:eastAsia="tr-TR"/>
              </w:rPr>
              <w:t>219,628</w:t>
            </w:r>
          </w:p>
        </w:tc>
        <w:tc>
          <w:tcPr>
            <w:tcW w:w="941" w:type="dxa"/>
            <w:tcBorders>
              <w:top w:val="nil"/>
              <w:left w:val="nil"/>
              <w:bottom w:val="nil"/>
              <w:right w:val="nil"/>
            </w:tcBorders>
            <w:shd w:val="clear" w:color="auto" w:fill="auto"/>
            <w:vAlign w:val="center"/>
            <w:hideMark/>
          </w:tcPr>
          <w:p w14:paraId="2C76837A" w14:textId="77777777" w:rsidR="00F94AE1" w:rsidRPr="00BD5F7B" w:rsidRDefault="00F94AE1" w:rsidP="00F94AE1">
            <w:pPr>
              <w:jc w:val="right"/>
              <w:rPr>
                <w:sz w:val="18"/>
                <w:szCs w:val="18"/>
                <w:lang w:eastAsia="tr-TR"/>
              </w:rPr>
            </w:pPr>
            <w:r w:rsidRPr="00BD5F7B">
              <w:rPr>
                <w:sz w:val="18"/>
                <w:szCs w:val="18"/>
                <w:lang w:eastAsia="tr-TR"/>
              </w:rPr>
              <w:t>239,842</w:t>
            </w:r>
          </w:p>
        </w:tc>
      </w:tr>
      <w:tr w:rsidR="00F94AE1" w:rsidRPr="00BD5F7B" w14:paraId="790830BE"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376C0000" w14:textId="77777777" w:rsidR="00F94AE1" w:rsidRPr="00BD5F7B" w:rsidRDefault="00F94AE1" w:rsidP="00F94AE1">
            <w:pPr>
              <w:jc w:val="both"/>
              <w:rPr>
                <w:sz w:val="18"/>
                <w:szCs w:val="18"/>
                <w:lang w:eastAsia="tr-TR"/>
              </w:rPr>
            </w:pPr>
            <w:r w:rsidRPr="00BD5F7B">
              <w:rPr>
                <w:sz w:val="18"/>
                <w:szCs w:val="18"/>
                <w:lang w:eastAsia="tr-TR"/>
              </w:rPr>
              <w:t>Diğer</w:t>
            </w:r>
          </w:p>
        </w:tc>
        <w:tc>
          <w:tcPr>
            <w:tcW w:w="1697" w:type="dxa"/>
            <w:tcBorders>
              <w:top w:val="nil"/>
              <w:left w:val="nil"/>
              <w:bottom w:val="nil"/>
              <w:right w:val="nil"/>
            </w:tcBorders>
            <w:shd w:val="clear" w:color="000000" w:fill="FFFFFF"/>
            <w:vAlign w:val="center"/>
            <w:hideMark/>
          </w:tcPr>
          <w:p w14:paraId="4548D857" w14:textId="77777777" w:rsidR="00F94AE1" w:rsidRPr="00BD5F7B" w:rsidRDefault="00F94AE1" w:rsidP="00F94AE1">
            <w:pPr>
              <w:jc w:val="right"/>
              <w:rPr>
                <w:sz w:val="18"/>
                <w:szCs w:val="18"/>
                <w:lang w:eastAsia="tr-TR"/>
              </w:rPr>
            </w:pPr>
            <w:r w:rsidRPr="00BD5F7B">
              <w:rPr>
                <w:sz w:val="18"/>
                <w:szCs w:val="18"/>
                <w:lang w:eastAsia="tr-TR"/>
              </w:rPr>
              <w:t>1,135</w:t>
            </w:r>
          </w:p>
        </w:tc>
        <w:tc>
          <w:tcPr>
            <w:tcW w:w="1232" w:type="dxa"/>
            <w:tcBorders>
              <w:top w:val="nil"/>
              <w:left w:val="nil"/>
              <w:bottom w:val="nil"/>
              <w:right w:val="nil"/>
            </w:tcBorders>
            <w:shd w:val="clear" w:color="auto" w:fill="auto"/>
            <w:vAlign w:val="center"/>
            <w:hideMark/>
          </w:tcPr>
          <w:p w14:paraId="16A0615E" w14:textId="77777777" w:rsidR="00F94AE1" w:rsidRPr="00BD5F7B" w:rsidRDefault="00F94AE1" w:rsidP="00F94AE1">
            <w:pPr>
              <w:jc w:val="right"/>
              <w:rPr>
                <w:sz w:val="18"/>
                <w:szCs w:val="18"/>
                <w:lang w:eastAsia="tr-TR"/>
              </w:rPr>
            </w:pPr>
            <w:r w:rsidRPr="00BD5F7B">
              <w:rPr>
                <w:sz w:val="18"/>
                <w:szCs w:val="18"/>
                <w:lang w:eastAsia="tr-TR"/>
              </w:rPr>
              <w:t>73,613</w:t>
            </w:r>
          </w:p>
        </w:tc>
        <w:tc>
          <w:tcPr>
            <w:tcW w:w="941" w:type="dxa"/>
            <w:tcBorders>
              <w:top w:val="nil"/>
              <w:left w:val="nil"/>
              <w:bottom w:val="nil"/>
              <w:right w:val="nil"/>
            </w:tcBorders>
            <w:shd w:val="clear" w:color="auto" w:fill="auto"/>
            <w:vAlign w:val="center"/>
            <w:hideMark/>
          </w:tcPr>
          <w:p w14:paraId="21C40BDF" w14:textId="77777777" w:rsidR="00F94AE1" w:rsidRPr="00BD5F7B" w:rsidRDefault="00F94AE1" w:rsidP="00F94AE1">
            <w:pPr>
              <w:jc w:val="right"/>
              <w:rPr>
                <w:sz w:val="18"/>
                <w:szCs w:val="18"/>
                <w:lang w:eastAsia="tr-TR"/>
              </w:rPr>
            </w:pPr>
            <w:r w:rsidRPr="00BD5F7B">
              <w:rPr>
                <w:sz w:val="18"/>
                <w:szCs w:val="18"/>
                <w:lang w:eastAsia="tr-TR"/>
              </w:rPr>
              <w:t>74,748</w:t>
            </w:r>
          </w:p>
        </w:tc>
      </w:tr>
      <w:tr w:rsidR="00F94AE1" w:rsidRPr="00BD5F7B" w14:paraId="59729462"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4A42D4D8" w14:textId="77777777" w:rsidR="00F94AE1" w:rsidRPr="00BD5F7B" w:rsidRDefault="00F94AE1" w:rsidP="00F94AE1">
            <w:pPr>
              <w:jc w:val="both"/>
              <w:rPr>
                <w:b/>
                <w:bCs/>
                <w:sz w:val="18"/>
                <w:szCs w:val="18"/>
                <w:lang w:eastAsia="tr-TR"/>
              </w:rPr>
            </w:pPr>
            <w:r w:rsidRPr="00BD5F7B">
              <w:rPr>
                <w:b/>
                <w:bCs/>
                <w:sz w:val="18"/>
                <w:szCs w:val="18"/>
                <w:lang w:eastAsia="tr-TR"/>
              </w:rPr>
              <w:t>Tüketici Kredileri-Dövize Endeksli</w:t>
            </w:r>
          </w:p>
        </w:tc>
        <w:tc>
          <w:tcPr>
            <w:tcW w:w="1697" w:type="dxa"/>
            <w:tcBorders>
              <w:top w:val="nil"/>
              <w:left w:val="nil"/>
              <w:bottom w:val="nil"/>
              <w:right w:val="nil"/>
            </w:tcBorders>
            <w:shd w:val="clear" w:color="000000" w:fill="FFFFFF"/>
            <w:vAlign w:val="center"/>
            <w:hideMark/>
          </w:tcPr>
          <w:p w14:paraId="00EC4AFF"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1232" w:type="dxa"/>
            <w:tcBorders>
              <w:top w:val="nil"/>
              <w:left w:val="nil"/>
              <w:bottom w:val="nil"/>
              <w:right w:val="nil"/>
            </w:tcBorders>
            <w:shd w:val="clear" w:color="auto" w:fill="auto"/>
            <w:vAlign w:val="center"/>
            <w:hideMark/>
          </w:tcPr>
          <w:p w14:paraId="0405DB07"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941" w:type="dxa"/>
            <w:tcBorders>
              <w:top w:val="nil"/>
              <w:left w:val="nil"/>
              <w:bottom w:val="nil"/>
              <w:right w:val="nil"/>
            </w:tcBorders>
            <w:shd w:val="clear" w:color="auto" w:fill="auto"/>
            <w:vAlign w:val="center"/>
            <w:hideMark/>
          </w:tcPr>
          <w:p w14:paraId="6FB04C78"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0BF347BF"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1BB346B3" w14:textId="77777777" w:rsidR="00F94AE1" w:rsidRPr="00BD5F7B" w:rsidRDefault="00F94AE1" w:rsidP="00F94AE1">
            <w:pPr>
              <w:jc w:val="both"/>
              <w:rPr>
                <w:sz w:val="18"/>
                <w:szCs w:val="18"/>
                <w:lang w:eastAsia="tr-TR"/>
              </w:rPr>
            </w:pPr>
            <w:r w:rsidRPr="00BD5F7B">
              <w:rPr>
                <w:sz w:val="18"/>
                <w:szCs w:val="18"/>
                <w:lang w:eastAsia="tr-TR"/>
              </w:rPr>
              <w:t>Konut Kredisi</w:t>
            </w:r>
          </w:p>
        </w:tc>
        <w:tc>
          <w:tcPr>
            <w:tcW w:w="1697" w:type="dxa"/>
            <w:tcBorders>
              <w:top w:val="nil"/>
              <w:left w:val="nil"/>
              <w:bottom w:val="nil"/>
              <w:right w:val="nil"/>
            </w:tcBorders>
            <w:shd w:val="clear" w:color="000000" w:fill="FFFFFF"/>
            <w:vAlign w:val="center"/>
            <w:hideMark/>
          </w:tcPr>
          <w:p w14:paraId="47AC055D"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2D568D70"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6C7CD48E" w14:textId="77777777" w:rsidR="00F94AE1" w:rsidRPr="00BD5F7B" w:rsidRDefault="00F94AE1" w:rsidP="00F94AE1">
            <w:pPr>
              <w:jc w:val="right"/>
              <w:rPr>
                <w:sz w:val="18"/>
                <w:szCs w:val="18"/>
                <w:lang w:eastAsia="tr-TR"/>
              </w:rPr>
            </w:pPr>
            <w:r w:rsidRPr="00BD5F7B">
              <w:rPr>
                <w:sz w:val="18"/>
                <w:szCs w:val="18"/>
                <w:lang w:eastAsia="tr-TR"/>
              </w:rPr>
              <w:t>-</w:t>
            </w:r>
          </w:p>
        </w:tc>
      </w:tr>
      <w:tr w:rsidR="00F94AE1" w:rsidRPr="00BD5F7B" w14:paraId="279C316F"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0F141D1E" w14:textId="77777777" w:rsidR="00F94AE1" w:rsidRPr="00BD5F7B" w:rsidRDefault="00F94AE1" w:rsidP="00F94AE1">
            <w:pPr>
              <w:jc w:val="both"/>
              <w:rPr>
                <w:sz w:val="18"/>
                <w:szCs w:val="18"/>
                <w:lang w:eastAsia="tr-TR"/>
              </w:rPr>
            </w:pPr>
            <w:r w:rsidRPr="00BD5F7B">
              <w:rPr>
                <w:sz w:val="18"/>
                <w:szCs w:val="18"/>
                <w:lang w:eastAsia="tr-TR"/>
              </w:rPr>
              <w:t>Taşıt Kredisi</w:t>
            </w:r>
          </w:p>
        </w:tc>
        <w:tc>
          <w:tcPr>
            <w:tcW w:w="1697" w:type="dxa"/>
            <w:tcBorders>
              <w:top w:val="nil"/>
              <w:left w:val="nil"/>
              <w:bottom w:val="nil"/>
              <w:right w:val="nil"/>
            </w:tcBorders>
            <w:shd w:val="clear" w:color="000000" w:fill="FFFFFF"/>
            <w:vAlign w:val="center"/>
            <w:hideMark/>
          </w:tcPr>
          <w:p w14:paraId="11ADBA41"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50CF057C"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311256E4" w14:textId="77777777" w:rsidR="00F94AE1" w:rsidRPr="00BD5F7B" w:rsidRDefault="00F94AE1" w:rsidP="00F94AE1">
            <w:pPr>
              <w:jc w:val="right"/>
              <w:rPr>
                <w:sz w:val="18"/>
                <w:szCs w:val="18"/>
                <w:lang w:eastAsia="tr-TR"/>
              </w:rPr>
            </w:pPr>
            <w:r w:rsidRPr="00BD5F7B">
              <w:rPr>
                <w:sz w:val="18"/>
                <w:szCs w:val="18"/>
                <w:lang w:eastAsia="tr-TR"/>
              </w:rPr>
              <w:t>-</w:t>
            </w:r>
          </w:p>
        </w:tc>
      </w:tr>
      <w:tr w:rsidR="00F94AE1" w:rsidRPr="00BD5F7B" w14:paraId="795524D4"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2E21498A" w14:textId="77777777" w:rsidR="00F94AE1" w:rsidRPr="00BD5F7B" w:rsidRDefault="00F94AE1" w:rsidP="00F94AE1">
            <w:pPr>
              <w:jc w:val="both"/>
              <w:rPr>
                <w:sz w:val="18"/>
                <w:szCs w:val="18"/>
                <w:lang w:eastAsia="tr-TR"/>
              </w:rPr>
            </w:pPr>
            <w:r w:rsidRPr="00BD5F7B">
              <w:rPr>
                <w:sz w:val="18"/>
                <w:szCs w:val="18"/>
                <w:lang w:eastAsia="tr-TR"/>
              </w:rPr>
              <w:t>İhtiyaç Kredisi</w:t>
            </w:r>
          </w:p>
        </w:tc>
        <w:tc>
          <w:tcPr>
            <w:tcW w:w="1697" w:type="dxa"/>
            <w:tcBorders>
              <w:top w:val="nil"/>
              <w:left w:val="nil"/>
              <w:bottom w:val="nil"/>
              <w:right w:val="nil"/>
            </w:tcBorders>
            <w:shd w:val="clear" w:color="000000" w:fill="FFFFFF"/>
            <w:vAlign w:val="center"/>
            <w:hideMark/>
          </w:tcPr>
          <w:p w14:paraId="4E0F0148"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30B1124E"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14180A70" w14:textId="77777777" w:rsidR="00F94AE1" w:rsidRPr="00BD5F7B" w:rsidRDefault="00F94AE1" w:rsidP="00F94AE1">
            <w:pPr>
              <w:jc w:val="right"/>
              <w:rPr>
                <w:sz w:val="18"/>
                <w:szCs w:val="18"/>
                <w:lang w:eastAsia="tr-TR"/>
              </w:rPr>
            </w:pPr>
            <w:r w:rsidRPr="00BD5F7B">
              <w:rPr>
                <w:sz w:val="18"/>
                <w:szCs w:val="18"/>
                <w:lang w:eastAsia="tr-TR"/>
              </w:rPr>
              <w:t>-</w:t>
            </w:r>
          </w:p>
        </w:tc>
      </w:tr>
      <w:tr w:rsidR="00F94AE1" w:rsidRPr="00BD5F7B" w14:paraId="0CB54CC4"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5272D76B" w14:textId="77777777" w:rsidR="00F94AE1" w:rsidRPr="00BD5F7B" w:rsidRDefault="00F94AE1" w:rsidP="00F94AE1">
            <w:pPr>
              <w:jc w:val="both"/>
              <w:rPr>
                <w:sz w:val="18"/>
                <w:szCs w:val="18"/>
                <w:lang w:eastAsia="tr-TR"/>
              </w:rPr>
            </w:pPr>
            <w:r w:rsidRPr="00BD5F7B">
              <w:rPr>
                <w:sz w:val="18"/>
                <w:szCs w:val="18"/>
                <w:lang w:eastAsia="tr-TR"/>
              </w:rPr>
              <w:t xml:space="preserve">Diğer </w:t>
            </w:r>
          </w:p>
        </w:tc>
        <w:tc>
          <w:tcPr>
            <w:tcW w:w="1697" w:type="dxa"/>
            <w:tcBorders>
              <w:top w:val="nil"/>
              <w:left w:val="nil"/>
              <w:bottom w:val="nil"/>
              <w:right w:val="nil"/>
            </w:tcBorders>
            <w:shd w:val="clear" w:color="000000" w:fill="FFFFFF"/>
            <w:vAlign w:val="center"/>
            <w:hideMark/>
          </w:tcPr>
          <w:p w14:paraId="1ABF0E32"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2E906457"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74661EB7" w14:textId="77777777" w:rsidR="00F94AE1" w:rsidRPr="00BD5F7B" w:rsidRDefault="00F94AE1" w:rsidP="00F94AE1">
            <w:pPr>
              <w:jc w:val="right"/>
              <w:rPr>
                <w:sz w:val="18"/>
                <w:szCs w:val="18"/>
                <w:lang w:eastAsia="tr-TR"/>
              </w:rPr>
            </w:pPr>
            <w:r w:rsidRPr="00BD5F7B">
              <w:rPr>
                <w:sz w:val="18"/>
                <w:szCs w:val="18"/>
                <w:lang w:eastAsia="tr-TR"/>
              </w:rPr>
              <w:t>-</w:t>
            </w:r>
          </w:p>
        </w:tc>
      </w:tr>
      <w:tr w:rsidR="00F94AE1" w:rsidRPr="00BD5F7B" w14:paraId="14555F69"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224EBF77" w14:textId="77777777" w:rsidR="00F94AE1" w:rsidRPr="00BD5F7B" w:rsidRDefault="00F94AE1" w:rsidP="00F94AE1">
            <w:pPr>
              <w:jc w:val="both"/>
              <w:rPr>
                <w:b/>
                <w:bCs/>
                <w:sz w:val="18"/>
                <w:szCs w:val="18"/>
                <w:lang w:eastAsia="tr-TR"/>
              </w:rPr>
            </w:pPr>
            <w:r w:rsidRPr="00BD5F7B">
              <w:rPr>
                <w:b/>
                <w:bCs/>
                <w:sz w:val="18"/>
                <w:szCs w:val="18"/>
                <w:lang w:eastAsia="tr-TR"/>
              </w:rPr>
              <w:t>Tüketici Kredileri-YP</w:t>
            </w:r>
          </w:p>
        </w:tc>
        <w:tc>
          <w:tcPr>
            <w:tcW w:w="1697" w:type="dxa"/>
            <w:tcBorders>
              <w:top w:val="nil"/>
              <w:left w:val="nil"/>
              <w:bottom w:val="nil"/>
              <w:right w:val="nil"/>
            </w:tcBorders>
            <w:shd w:val="clear" w:color="000000" w:fill="FFFFFF"/>
            <w:vAlign w:val="center"/>
            <w:hideMark/>
          </w:tcPr>
          <w:p w14:paraId="4213FDEA"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1232" w:type="dxa"/>
            <w:tcBorders>
              <w:top w:val="nil"/>
              <w:left w:val="nil"/>
              <w:bottom w:val="nil"/>
              <w:right w:val="nil"/>
            </w:tcBorders>
            <w:shd w:val="clear" w:color="auto" w:fill="auto"/>
            <w:vAlign w:val="center"/>
            <w:hideMark/>
          </w:tcPr>
          <w:p w14:paraId="1400D101" w14:textId="77777777" w:rsidR="00F94AE1" w:rsidRPr="00BD5F7B" w:rsidRDefault="00F94AE1" w:rsidP="00F94AE1">
            <w:pPr>
              <w:jc w:val="right"/>
              <w:rPr>
                <w:b/>
                <w:bCs/>
                <w:sz w:val="18"/>
                <w:szCs w:val="18"/>
                <w:lang w:eastAsia="tr-TR"/>
              </w:rPr>
            </w:pPr>
            <w:r w:rsidRPr="00BD5F7B">
              <w:rPr>
                <w:b/>
                <w:bCs/>
                <w:sz w:val="18"/>
                <w:szCs w:val="18"/>
                <w:lang w:eastAsia="tr-TR"/>
              </w:rPr>
              <w:t>79,276</w:t>
            </w:r>
          </w:p>
        </w:tc>
        <w:tc>
          <w:tcPr>
            <w:tcW w:w="941" w:type="dxa"/>
            <w:tcBorders>
              <w:top w:val="nil"/>
              <w:left w:val="nil"/>
              <w:bottom w:val="nil"/>
              <w:right w:val="nil"/>
            </w:tcBorders>
            <w:shd w:val="clear" w:color="auto" w:fill="auto"/>
            <w:vAlign w:val="center"/>
            <w:hideMark/>
          </w:tcPr>
          <w:p w14:paraId="7E5EC26A" w14:textId="77777777" w:rsidR="00F94AE1" w:rsidRPr="00BD5F7B" w:rsidRDefault="00F94AE1" w:rsidP="00F94AE1">
            <w:pPr>
              <w:jc w:val="right"/>
              <w:rPr>
                <w:b/>
                <w:bCs/>
                <w:sz w:val="18"/>
                <w:szCs w:val="18"/>
                <w:lang w:eastAsia="tr-TR"/>
              </w:rPr>
            </w:pPr>
            <w:r w:rsidRPr="00BD5F7B">
              <w:rPr>
                <w:b/>
                <w:bCs/>
                <w:sz w:val="18"/>
                <w:szCs w:val="18"/>
                <w:lang w:eastAsia="tr-TR"/>
              </w:rPr>
              <w:t>79,276</w:t>
            </w:r>
          </w:p>
        </w:tc>
      </w:tr>
      <w:tr w:rsidR="00F94AE1" w:rsidRPr="00BD5F7B" w14:paraId="4F2EB17F"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2A39FF36" w14:textId="77777777" w:rsidR="00F94AE1" w:rsidRPr="00BD5F7B" w:rsidRDefault="00F94AE1" w:rsidP="00F94AE1">
            <w:pPr>
              <w:jc w:val="both"/>
              <w:rPr>
                <w:sz w:val="18"/>
                <w:szCs w:val="18"/>
                <w:lang w:eastAsia="tr-TR"/>
              </w:rPr>
            </w:pPr>
            <w:r w:rsidRPr="00BD5F7B">
              <w:rPr>
                <w:sz w:val="18"/>
                <w:szCs w:val="18"/>
                <w:lang w:eastAsia="tr-TR"/>
              </w:rPr>
              <w:t>Konut Kredisi</w:t>
            </w:r>
          </w:p>
        </w:tc>
        <w:tc>
          <w:tcPr>
            <w:tcW w:w="1697" w:type="dxa"/>
            <w:tcBorders>
              <w:top w:val="nil"/>
              <w:left w:val="nil"/>
              <w:bottom w:val="nil"/>
              <w:right w:val="nil"/>
            </w:tcBorders>
            <w:shd w:val="clear" w:color="000000" w:fill="FFFFFF"/>
            <w:vAlign w:val="center"/>
            <w:hideMark/>
          </w:tcPr>
          <w:p w14:paraId="0E0079B6"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4349EC58" w14:textId="77777777" w:rsidR="00F94AE1" w:rsidRPr="00BD5F7B" w:rsidRDefault="00F94AE1" w:rsidP="00F94AE1">
            <w:pPr>
              <w:jc w:val="right"/>
              <w:rPr>
                <w:sz w:val="18"/>
                <w:szCs w:val="18"/>
                <w:lang w:eastAsia="tr-TR"/>
              </w:rPr>
            </w:pPr>
            <w:r w:rsidRPr="00BD5F7B">
              <w:rPr>
                <w:sz w:val="18"/>
                <w:szCs w:val="18"/>
                <w:lang w:eastAsia="tr-TR"/>
              </w:rPr>
              <w:t>46,824</w:t>
            </w:r>
          </w:p>
        </w:tc>
        <w:tc>
          <w:tcPr>
            <w:tcW w:w="941" w:type="dxa"/>
            <w:tcBorders>
              <w:top w:val="nil"/>
              <w:left w:val="nil"/>
              <w:bottom w:val="nil"/>
              <w:right w:val="nil"/>
            </w:tcBorders>
            <w:shd w:val="clear" w:color="auto" w:fill="auto"/>
            <w:vAlign w:val="center"/>
            <w:hideMark/>
          </w:tcPr>
          <w:p w14:paraId="05FCD2C6" w14:textId="77777777" w:rsidR="00F94AE1" w:rsidRPr="00BD5F7B" w:rsidRDefault="00F94AE1" w:rsidP="00F94AE1">
            <w:pPr>
              <w:jc w:val="right"/>
              <w:rPr>
                <w:sz w:val="18"/>
                <w:szCs w:val="18"/>
                <w:lang w:eastAsia="tr-TR"/>
              </w:rPr>
            </w:pPr>
            <w:r w:rsidRPr="00BD5F7B">
              <w:rPr>
                <w:sz w:val="18"/>
                <w:szCs w:val="18"/>
                <w:lang w:eastAsia="tr-TR"/>
              </w:rPr>
              <w:t>46,824</w:t>
            </w:r>
          </w:p>
        </w:tc>
      </w:tr>
      <w:tr w:rsidR="00F94AE1" w:rsidRPr="00BD5F7B" w14:paraId="07CB642F"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4D5C3E7C" w14:textId="77777777" w:rsidR="00F94AE1" w:rsidRPr="00BD5F7B" w:rsidRDefault="00F94AE1" w:rsidP="00F94AE1">
            <w:pPr>
              <w:jc w:val="both"/>
              <w:rPr>
                <w:sz w:val="18"/>
                <w:szCs w:val="18"/>
                <w:lang w:eastAsia="tr-TR"/>
              </w:rPr>
            </w:pPr>
            <w:r w:rsidRPr="00BD5F7B">
              <w:rPr>
                <w:sz w:val="18"/>
                <w:szCs w:val="18"/>
                <w:lang w:eastAsia="tr-TR"/>
              </w:rPr>
              <w:t>Taşıt Kredisi</w:t>
            </w:r>
          </w:p>
        </w:tc>
        <w:tc>
          <w:tcPr>
            <w:tcW w:w="1697" w:type="dxa"/>
            <w:tcBorders>
              <w:top w:val="nil"/>
              <w:left w:val="nil"/>
              <w:bottom w:val="nil"/>
              <w:right w:val="nil"/>
            </w:tcBorders>
            <w:shd w:val="clear" w:color="000000" w:fill="FFFFFF"/>
            <w:vAlign w:val="center"/>
            <w:hideMark/>
          </w:tcPr>
          <w:p w14:paraId="66D603B8"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3B59A088"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78705074" w14:textId="77777777" w:rsidR="00F94AE1" w:rsidRPr="00BD5F7B" w:rsidRDefault="00F94AE1" w:rsidP="00F94AE1">
            <w:pPr>
              <w:jc w:val="right"/>
              <w:rPr>
                <w:sz w:val="18"/>
                <w:szCs w:val="18"/>
                <w:lang w:eastAsia="tr-TR"/>
              </w:rPr>
            </w:pPr>
            <w:r w:rsidRPr="00BD5F7B">
              <w:rPr>
                <w:sz w:val="18"/>
                <w:szCs w:val="18"/>
                <w:lang w:eastAsia="tr-TR"/>
              </w:rPr>
              <w:t>-</w:t>
            </w:r>
          </w:p>
        </w:tc>
      </w:tr>
      <w:tr w:rsidR="00F94AE1" w:rsidRPr="00BD5F7B" w14:paraId="263FB9E5"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20CF243C" w14:textId="77777777" w:rsidR="00F94AE1" w:rsidRPr="00BD5F7B" w:rsidRDefault="00F94AE1" w:rsidP="00F94AE1">
            <w:pPr>
              <w:jc w:val="both"/>
              <w:rPr>
                <w:sz w:val="18"/>
                <w:szCs w:val="18"/>
                <w:lang w:eastAsia="tr-TR"/>
              </w:rPr>
            </w:pPr>
            <w:r w:rsidRPr="00BD5F7B">
              <w:rPr>
                <w:sz w:val="18"/>
                <w:szCs w:val="18"/>
                <w:lang w:eastAsia="tr-TR"/>
              </w:rPr>
              <w:t>İhtiyaç Kredisi</w:t>
            </w:r>
          </w:p>
        </w:tc>
        <w:tc>
          <w:tcPr>
            <w:tcW w:w="1697" w:type="dxa"/>
            <w:tcBorders>
              <w:top w:val="nil"/>
              <w:left w:val="nil"/>
              <w:bottom w:val="nil"/>
              <w:right w:val="nil"/>
            </w:tcBorders>
            <w:shd w:val="clear" w:color="000000" w:fill="FFFFFF"/>
            <w:vAlign w:val="center"/>
            <w:hideMark/>
          </w:tcPr>
          <w:p w14:paraId="45ADDE60"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3A38D4C7" w14:textId="77777777" w:rsidR="00F94AE1" w:rsidRPr="00BD5F7B" w:rsidRDefault="00F94AE1" w:rsidP="00F94AE1">
            <w:pPr>
              <w:jc w:val="right"/>
              <w:rPr>
                <w:sz w:val="18"/>
                <w:szCs w:val="18"/>
                <w:lang w:eastAsia="tr-TR"/>
              </w:rPr>
            </w:pPr>
            <w:r w:rsidRPr="00BD5F7B">
              <w:rPr>
                <w:sz w:val="18"/>
                <w:szCs w:val="18"/>
                <w:lang w:eastAsia="tr-TR"/>
              </w:rPr>
              <w:t>28,626</w:t>
            </w:r>
          </w:p>
        </w:tc>
        <w:tc>
          <w:tcPr>
            <w:tcW w:w="941" w:type="dxa"/>
            <w:tcBorders>
              <w:top w:val="nil"/>
              <w:left w:val="nil"/>
              <w:bottom w:val="nil"/>
              <w:right w:val="nil"/>
            </w:tcBorders>
            <w:shd w:val="clear" w:color="auto" w:fill="auto"/>
            <w:vAlign w:val="center"/>
            <w:hideMark/>
          </w:tcPr>
          <w:p w14:paraId="3147B035" w14:textId="77777777" w:rsidR="00F94AE1" w:rsidRPr="00BD5F7B" w:rsidRDefault="00F94AE1" w:rsidP="00F94AE1">
            <w:pPr>
              <w:jc w:val="right"/>
              <w:rPr>
                <w:sz w:val="18"/>
                <w:szCs w:val="18"/>
                <w:lang w:eastAsia="tr-TR"/>
              </w:rPr>
            </w:pPr>
            <w:r w:rsidRPr="00BD5F7B">
              <w:rPr>
                <w:sz w:val="18"/>
                <w:szCs w:val="18"/>
                <w:lang w:eastAsia="tr-TR"/>
              </w:rPr>
              <w:t>28,626</w:t>
            </w:r>
          </w:p>
        </w:tc>
      </w:tr>
      <w:tr w:rsidR="00F94AE1" w:rsidRPr="00BD5F7B" w14:paraId="3DF4059D"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75CB5B75" w14:textId="77777777" w:rsidR="00F94AE1" w:rsidRPr="00BD5F7B" w:rsidRDefault="00F94AE1" w:rsidP="00F94AE1">
            <w:pPr>
              <w:jc w:val="both"/>
              <w:rPr>
                <w:sz w:val="18"/>
                <w:szCs w:val="18"/>
                <w:lang w:eastAsia="tr-TR"/>
              </w:rPr>
            </w:pPr>
            <w:r w:rsidRPr="00BD5F7B">
              <w:rPr>
                <w:sz w:val="18"/>
                <w:szCs w:val="18"/>
                <w:lang w:eastAsia="tr-TR"/>
              </w:rPr>
              <w:t xml:space="preserve">Diğer </w:t>
            </w:r>
          </w:p>
        </w:tc>
        <w:tc>
          <w:tcPr>
            <w:tcW w:w="1697" w:type="dxa"/>
            <w:tcBorders>
              <w:top w:val="nil"/>
              <w:left w:val="nil"/>
              <w:bottom w:val="nil"/>
              <w:right w:val="nil"/>
            </w:tcBorders>
            <w:shd w:val="clear" w:color="000000" w:fill="FFFFFF"/>
            <w:vAlign w:val="center"/>
            <w:hideMark/>
          </w:tcPr>
          <w:p w14:paraId="15808C78"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7F999FE5" w14:textId="77777777" w:rsidR="00F94AE1" w:rsidRPr="00BD5F7B" w:rsidRDefault="00F94AE1" w:rsidP="00F94AE1">
            <w:pPr>
              <w:jc w:val="right"/>
              <w:rPr>
                <w:sz w:val="18"/>
                <w:szCs w:val="18"/>
                <w:lang w:eastAsia="tr-TR"/>
              </w:rPr>
            </w:pPr>
            <w:r w:rsidRPr="00BD5F7B">
              <w:rPr>
                <w:sz w:val="18"/>
                <w:szCs w:val="18"/>
                <w:lang w:eastAsia="tr-TR"/>
              </w:rPr>
              <w:t>3,826</w:t>
            </w:r>
          </w:p>
        </w:tc>
        <w:tc>
          <w:tcPr>
            <w:tcW w:w="941" w:type="dxa"/>
            <w:tcBorders>
              <w:top w:val="nil"/>
              <w:left w:val="nil"/>
              <w:bottom w:val="nil"/>
              <w:right w:val="nil"/>
            </w:tcBorders>
            <w:shd w:val="clear" w:color="auto" w:fill="auto"/>
            <w:vAlign w:val="center"/>
            <w:hideMark/>
          </w:tcPr>
          <w:p w14:paraId="43981F42" w14:textId="77777777" w:rsidR="00F94AE1" w:rsidRPr="00BD5F7B" w:rsidRDefault="00F94AE1" w:rsidP="00F94AE1">
            <w:pPr>
              <w:jc w:val="right"/>
              <w:rPr>
                <w:sz w:val="18"/>
                <w:szCs w:val="18"/>
                <w:lang w:eastAsia="tr-TR"/>
              </w:rPr>
            </w:pPr>
            <w:r w:rsidRPr="00BD5F7B">
              <w:rPr>
                <w:sz w:val="18"/>
                <w:szCs w:val="18"/>
                <w:lang w:eastAsia="tr-TR"/>
              </w:rPr>
              <w:t>3,826</w:t>
            </w:r>
          </w:p>
        </w:tc>
      </w:tr>
      <w:tr w:rsidR="00F94AE1" w:rsidRPr="00BD5F7B" w14:paraId="2178EC95"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55881B52" w14:textId="77777777" w:rsidR="00F94AE1" w:rsidRPr="00BD5F7B" w:rsidRDefault="00F94AE1" w:rsidP="00F94AE1">
            <w:pPr>
              <w:jc w:val="both"/>
              <w:rPr>
                <w:b/>
                <w:bCs/>
                <w:sz w:val="18"/>
                <w:szCs w:val="18"/>
                <w:lang w:eastAsia="tr-TR"/>
              </w:rPr>
            </w:pPr>
            <w:r w:rsidRPr="00BD5F7B">
              <w:rPr>
                <w:b/>
                <w:bCs/>
                <w:sz w:val="18"/>
                <w:szCs w:val="18"/>
                <w:lang w:eastAsia="tr-TR"/>
              </w:rPr>
              <w:t>Bireysel Kredi Kartları-TP</w:t>
            </w:r>
          </w:p>
        </w:tc>
        <w:tc>
          <w:tcPr>
            <w:tcW w:w="1697" w:type="dxa"/>
            <w:tcBorders>
              <w:top w:val="nil"/>
              <w:left w:val="nil"/>
              <w:bottom w:val="nil"/>
              <w:right w:val="nil"/>
            </w:tcBorders>
            <w:shd w:val="clear" w:color="000000" w:fill="FFFFFF"/>
            <w:vAlign w:val="center"/>
            <w:hideMark/>
          </w:tcPr>
          <w:p w14:paraId="618CF6F9" w14:textId="77777777" w:rsidR="00F94AE1" w:rsidRPr="00BD5F7B" w:rsidRDefault="00F94AE1" w:rsidP="00F94AE1">
            <w:pPr>
              <w:jc w:val="right"/>
              <w:rPr>
                <w:b/>
                <w:bCs/>
                <w:sz w:val="18"/>
                <w:szCs w:val="18"/>
                <w:lang w:eastAsia="tr-TR"/>
              </w:rPr>
            </w:pPr>
            <w:r w:rsidRPr="00BD5F7B">
              <w:rPr>
                <w:b/>
                <w:bCs/>
                <w:sz w:val="18"/>
                <w:szCs w:val="18"/>
                <w:lang w:eastAsia="tr-TR"/>
              </w:rPr>
              <w:t>456,724</w:t>
            </w:r>
          </w:p>
        </w:tc>
        <w:tc>
          <w:tcPr>
            <w:tcW w:w="1232" w:type="dxa"/>
            <w:tcBorders>
              <w:top w:val="nil"/>
              <w:left w:val="nil"/>
              <w:bottom w:val="nil"/>
              <w:right w:val="nil"/>
            </w:tcBorders>
            <w:shd w:val="clear" w:color="auto" w:fill="auto"/>
            <w:vAlign w:val="center"/>
            <w:hideMark/>
          </w:tcPr>
          <w:p w14:paraId="77EB94A8" w14:textId="77777777" w:rsidR="00F94AE1" w:rsidRPr="00BD5F7B" w:rsidRDefault="00F94AE1" w:rsidP="00F94AE1">
            <w:pPr>
              <w:jc w:val="right"/>
              <w:rPr>
                <w:b/>
                <w:bCs/>
                <w:sz w:val="18"/>
                <w:szCs w:val="18"/>
                <w:lang w:eastAsia="tr-TR"/>
              </w:rPr>
            </w:pPr>
            <w:r w:rsidRPr="00BD5F7B">
              <w:rPr>
                <w:b/>
                <w:bCs/>
                <w:sz w:val="18"/>
                <w:szCs w:val="18"/>
                <w:lang w:eastAsia="tr-TR"/>
              </w:rPr>
              <w:t>73</w:t>
            </w:r>
          </w:p>
        </w:tc>
        <w:tc>
          <w:tcPr>
            <w:tcW w:w="941" w:type="dxa"/>
            <w:tcBorders>
              <w:top w:val="nil"/>
              <w:left w:val="nil"/>
              <w:bottom w:val="nil"/>
              <w:right w:val="nil"/>
            </w:tcBorders>
            <w:shd w:val="clear" w:color="auto" w:fill="auto"/>
            <w:vAlign w:val="center"/>
            <w:hideMark/>
          </w:tcPr>
          <w:p w14:paraId="23B2E7F2" w14:textId="77777777" w:rsidR="00F94AE1" w:rsidRPr="00BD5F7B" w:rsidRDefault="00F94AE1" w:rsidP="00F94AE1">
            <w:pPr>
              <w:jc w:val="right"/>
              <w:rPr>
                <w:b/>
                <w:bCs/>
                <w:sz w:val="18"/>
                <w:szCs w:val="18"/>
                <w:lang w:eastAsia="tr-TR"/>
              </w:rPr>
            </w:pPr>
            <w:r w:rsidRPr="00BD5F7B">
              <w:rPr>
                <w:b/>
                <w:bCs/>
                <w:sz w:val="18"/>
                <w:szCs w:val="18"/>
                <w:lang w:eastAsia="tr-TR"/>
              </w:rPr>
              <w:t>456,797</w:t>
            </w:r>
          </w:p>
        </w:tc>
      </w:tr>
      <w:tr w:rsidR="00F94AE1" w:rsidRPr="00BD5F7B" w14:paraId="5AD286EF"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3718D66A" w14:textId="77777777" w:rsidR="00F94AE1" w:rsidRPr="00BD5F7B" w:rsidRDefault="00F94AE1" w:rsidP="00F94AE1">
            <w:pPr>
              <w:jc w:val="both"/>
              <w:rPr>
                <w:sz w:val="18"/>
                <w:szCs w:val="18"/>
                <w:lang w:eastAsia="tr-TR"/>
              </w:rPr>
            </w:pPr>
            <w:r w:rsidRPr="00BD5F7B">
              <w:rPr>
                <w:sz w:val="18"/>
                <w:szCs w:val="18"/>
                <w:lang w:eastAsia="tr-TR"/>
              </w:rPr>
              <w:t>Taksitli</w:t>
            </w:r>
          </w:p>
        </w:tc>
        <w:tc>
          <w:tcPr>
            <w:tcW w:w="1697" w:type="dxa"/>
            <w:tcBorders>
              <w:top w:val="nil"/>
              <w:left w:val="nil"/>
              <w:bottom w:val="nil"/>
              <w:right w:val="nil"/>
            </w:tcBorders>
            <w:shd w:val="clear" w:color="000000" w:fill="FFFFFF"/>
            <w:vAlign w:val="center"/>
            <w:hideMark/>
          </w:tcPr>
          <w:p w14:paraId="4EE66285" w14:textId="77777777" w:rsidR="00F94AE1" w:rsidRPr="00BD5F7B" w:rsidRDefault="00F94AE1" w:rsidP="00F94AE1">
            <w:pPr>
              <w:jc w:val="right"/>
              <w:rPr>
                <w:sz w:val="18"/>
                <w:szCs w:val="18"/>
                <w:lang w:eastAsia="tr-TR"/>
              </w:rPr>
            </w:pPr>
            <w:r w:rsidRPr="00BD5F7B">
              <w:rPr>
                <w:sz w:val="18"/>
                <w:szCs w:val="18"/>
                <w:lang w:eastAsia="tr-TR"/>
              </w:rPr>
              <w:t>98,257</w:t>
            </w:r>
          </w:p>
        </w:tc>
        <w:tc>
          <w:tcPr>
            <w:tcW w:w="1232" w:type="dxa"/>
            <w:tcBorders>
              <w:top w:val="nil"/>
              <w:left w:val="nil"/>
              <w:bottom w:val="nil"/>
              <w:right w:val="nil"/>
            </w:tcBorders>
            <w:shd w:val="clear" w:color="auto" w:fill="auto"/>
            <w:vAlign w:val="center"/>
            <w:hideMark/>
          </w:tcPr>
          <w:p w14:paraId="775E6320" w14:textId="77777777" w:rsidR="00F94AE1" w:rsidRPr="00BD5F7B" w:rsidRDefault="00F94AE1" w:rsidP="00F94AE1">
            <w:pPr>
              <w:jc w:val="right"/>
              <w:rPr>
                <w:sz w:val="18"/>
                <w:szCs w:val="18"/>
                <w:lang w:eastAsia="tr-TR"/>
              </w:rPr>
            </w:pPr>
            <w:r w:rsidRPr="00BD5F7B">
              <w:rPr>
                <w:sz w:val="18"/>
                <w:szCs w:val="18"/>
                <w:lang w:eastAsia="tr-TR"/>
              </w:rPr>
              <w:t>73</w:t>
            </w:r>
          </w:p>
        </w:tc>
        <w:tc>
          <w:tcPr>
            <w:tcW w:w="941" w:type="dxa"/>
            <w:tcBorders>
              <w:top w:val="nil"/>
              <w:left w:val="nil"/>
              <w:bottom w:val="nil"/>
              <w:right w:val="nil"/>
            </w:tcBorders>
            <w:shd w:val="clear" w:color="auto" w:fill="auto"/>
            <w:vAlign w:val="center"/>
            <w:hideMark/>
          </w:tcPr>
          <w:p w14:paraId="7B0DC885" w14:textId="77777777" w:rsidR="00F94AE1" w:rsidRPr="00BD5F7B" w:rsidRDefault="00F94AE1" w:rsidP="00F94AE1">
            <w:pPr>
              <w:jc w:val="right"/>
              <w:rPr>
                <w:sz w:val="18"/>
                <w:szCs w:val="18"/>
                <w:lang w:eastAsia="tr-TR"/>
              </w:rPr>
            </w:pPr>
            <w:r w:rsidRPr="00BD5F7B">
              <w:rPr>
                <w:sz w:val="18"/>
                <w:szCs w:val="18"/>
                <w:lang w:eastAsia="tr-TR"/>
              </w:rPr>
              <w:t>98,330</w:t>
            </w:r>
          </w:p>
        </w:tc>
      </w:tr>
      <w:tr w:rsidR="00F94AE1" w:rsidRPr="00BD5F7B" w14:paraId="5FCE54D5"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598F58F6" w14:textId="77777777" w:rsidR="00F94AE1" w:rsidRPr="00BD5F7B" w:rsidRDefault="00F94AE1" w:rsidP="00F94AE1">
            <w:pPr>
              <w:jc w:val="both"/>
              <w:rPr>
                <w:sz w:val="18"/>
                <w:szCs w:val="18"/>
                <w:lang w:eastAsia="tr-TR"/>
              </w:rPr>
            </w:pPr>
            <w:r w:rsidRPr="00BD5F7B">
              <w:rPr>
                <w:sz w:val="18"/>
                <w:szCs w:val="18"/>
                <w:lang w:eastAsia="tr-TR"/>
              </w:rPr>
              <w:t>Taksitsiz</w:t>
            </w:r>
          </w:p>
        </w:tc>
        <w:tc>
          <w:tcPr>
            <w:tcW w:w="1697" w:type="dxa"/>
            <w:tcBorders>
              <w:top w:val="nil"/>
              <w:left w:val="nil"/>
              <w:bottom w:val="nil"/>
              <w:right w:val="nil"/>
            </w:tcBorders>
            <w:shd w:val="clear" w:color="000000" w:fill="FFFFFF"/>
            <w:vAlign w:val="center"/>
            <w:hideMark/>
          </w:tcPr>
          <w:p w14:paraId="6B54C2E9" w14:textId="77777777" w:rsidR="00F94AE1" w:rsidRPr="00BD5F7B" w:rsidRDefault="00F94AE1" w:rsidP="00F94AE1">
            <w:pPr>
              <w:jc w:val="right"/>
              <w:rPr>
                <w:sz w:val="18"/>
                <w:szCs w:val="18"/>
                <w:lang w:eastAsia="tr-TR"/>
              </w:rPr>
            </w:pPr>
            <w:r w:rsidRPr="00BD5F7B">
              <w:rPr>
                <w:sz w:val="18"/>
                <w:szCs w:val="18"/>
                <w:lang w:eastAsia="tr-TR"/>
              </w:rPr>
              <w:t>358,467</w:t>
            </w:r>
          </w:p>
        </w:tc>
        <w:tc>
          <w:tcPr>
            <w:tcW w:w="1232" w:type="dxa"/>
            <w:tcBorders>
              <w:top w:val="nil"/>
              <w:left w:val="nil"/>
              <w:bottom w:val="nil"/>
              <w:right w:val="nil"/>
            </w:tcBorders>
            <w:shd w:val="clear" w:color="auto" w:fill="auto"/>
            <w:vAlign w:val="center"/>
            <w:hideMark/>
          </w:tcPr>
          <w:p w14:paraId="2DC653EA"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2C8E07CF" w14:textId="77777777" w:rsidR="00F94AE1" w:rsidRPr="00BD5F7B" w:rsidRDefault="00F94AE1" w:rsidP="00F94AE1">
            <w:pPr>
              <w:jc w:val="right"/>
              <w:rPr>
                <w:sz w:val="18"/>
                <w:szCs w:val="18"/>
                <w:lang w:eastAsia="tr-TR"/>
              </w:rPr>
            </w:pPr>
            <w:r w:rsidRPr="00BD5F7B">
              <w:rPr>
                <w:sz w:val="18"/>
                <w:szCs w:val="18"/>
                <w:lang w:eastAsia="tr-TR"/>
              </w:rPr>
              <w:t>358,467</w:t>
            </w:r>
          </w:p>
        </w:tc>
      </w:tr>
      <w:tr w:rsidR="00F94AE1" w:rsidRPr="00BD5F7B" w14:paraId="391381BE"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099957E8" w14:textId="77777777" w:rsidR="00F94AE1" w:rsidRPr="00BD5F7B" w:rsidRDefault="00F94AE1" w:rsidP="00F94AE1">
            <w:pPr>
              <w:jc w:val="both"/>
              <w:rPr>
                <w:b/>
                <w:bCs/>
                <w:sz w:val="18"/>
                <w:szCs w:val="18"/>
                <w:lang w:eastAsia="tr-TR"/>
              </w:rPr>
            </w:pPr>
            <w:r w:rsidRPr="00BD5F7B">
              <w:rPr>
                <w:b/>
                <w:bCs/>
                <w:sz w:val="18"/>
                <w:szCs w:val="18"/>
                <w:lang w:eastAsia="tr-TR"/>
              </w:rPr>
              <w:t>Bireysel Kredi Kartları-YP</w:t>
            </w:r>
          </w:p>
        </w:tc>
        <w:tc>
          <w:tcPr>
            <w:tcW w:w="1697" w:type="dxa"/>
            <w:tcBorders>
              <w:top w:val="nil"/>
              <w:left w:val="nil"/>
              <w:bottom w:val="nil"/>
              <w:right w:val="nil"/>
            </w:tcBorders>
            <w:shd w:val="clear" w:color="000000" w:fill="FFFFFF"/>
            <w:vAlign w:val="center"/>
            <w:hideMark/>
          </w:tcPr>
          <w:p w14:paraId="5ACE21AB"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1232" w:type="dxa"/>
            <w:tcBorders>
              <w:top w:val="nil"/>
              <w:left w:val="nil"/>
              <w:bottom w:val="nil"/>
              <w:right w:val="nil"/>
            </w:tcBorders>
            <w:shd w:val="clear" w:color="auto" w:fill="auto"/>
            <w:vAlign w:val="center"/>
            <w:hideMark/>
          </w:tcPr>
          <w:p w14:paraId="30EE746A"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941" w:type="dxa"/>
            <w:tcBorders>
              <w:top w:val="nil"/>
              <w:left w:val="nil"/>
              <w:bottom w:val="nil"/>
              <w:right w:val="nil"/>
            </w:tcBorders>
            <w:shd w:val="clear" w:color="auto" w:fill="auto"/>
            <w:vAlign w:val="center"/>
            <w:hideMark/>
          </w:tcPr>
          <w:p w14:paraId="46F4D170"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5D20E246"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3C651783" w14:textId="77777777" w:rsidR="00F94AE1" w:rsidRPr="00BD5F7B" w:rsidRDefault="00F94AE1" w:rsidP="00F94AE1">
            <w:pPr>
              <w:jc w:val="both"/>
              <w:rPr>
                <w:sz w:val="18"/>
                <w:szCs w:val="18"/>
                <w:lang w:eastAsia="tr-TR"/>
              </w:rPr>
            </w:pPr>
            <w:r w:rsidRPr="00BD5F7B">
              <w:rPr>
                <w:sz w:val="18"/>
                <w:szCs w:val="18"/>
                <w:lang w:eastAsia="tr-TR"/>
              </w:rPr>
              <w:t>Taksitli</w:t>
            </w:r>
          </w:p>
        </w:tc>
        <w:tc>
          <w:tcPr>
            <w:tcW w:w="1697" w:type="dxa"/>
            <w:tcBorders>
              <w:top w:val="nil"/>
              <w:left w:val="nil"/>
              <w:bottom w:val="nil"/>
              <w:right w:val="nil"/>
            </w:tcBorders>
            <w:shd w:val="clear" w:color="000000" w:fill="FFFFFF"/>
            <w:vAlign w:val="center"/>
            <w:hideMark/>
          </w:tcPr>
          <w:p w14:paraId="0D43CCFE"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7D1BDBED"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30D10105"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2B8C97FC"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51957FE1" w14:textId="77777777" w:rsidR="00F94AE1" w:rsidRPr="00BD5F7B" w:rsidRDefault="00F94AE1" w:rsidP="00F94AE1">
            <w:pPr>
              <w:jc w:val="both"/>
              <w:rPr>
                <w:sz w:val="18"/>
                <w:szCs w:val="18"/>
                <w:lang w:eastAsia="tr-TR"/>
              </w:rPr>
            </w:pPr>
            <w:r w:rsidRPr="00BD5F7B">
              <w:rPr>
                <w:sz w:val="18"/>
                <w:szCs w:val="18"/>
                <w:lang w:eastAsia="tr-TR"/>
              </w:rPr>
              <w:t>Taksitsiz</w:t>
            </w:r>
          </w:p>
        </w:tc>
        <w:tc>
          <w:tcPr>
            <w:tcW w:w="1697" w:type="dxa"/>
            <w:tcBorders>
              <w:top w:val="nil"/>
              <w:left w:val="nil"/>
              <w:bottom w:val="nil"/>
              <w:right w:val="nil"/>
            </w:tcBorders>
            <w:shd w:val="clear" w:color="000000" w:fill="FFFFFF"/>
            <w:vAlign w:val="center"/>
            <w:hideMark/>
          </w:tcPr>
          <w:p w14:paraId="6F57BC84"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13E815BB"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4996717D"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3E7B5C13"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4BAF74A4" w14:textId="77777777" w:rsidR="00F94AE1" w:rsidRPr="00BD5F7B" w:rsidRDefault="00F94AE1" w:rsidP="00F94AE1">
            <w:pPr>
              <w:jc w:val="both"/>
              <w:rPr>
                <w:b/>
                <w:bCs/>
                <w:sz w:val="18"/>
                <w:szCs w:val="18"/>
                <w:lang w:eastAsia="tr-TR"/>
              </w:rPr>
            </w:pPr>
            <w:r w:rsidRPr="00BD5F7B">
              <w:rPr>
                <w:b/>
                <w:bCs/>
                <w:sz w:val="18"/>
                <w:szCs w:val="18"/>
                <w:lang w:eastAsia="tr-TR"/>
              </w:rPr>
              <w:t>Personel Kredileri-TP</w:t>
            </w:r>
          </w:p>
        </w:tc>
        <w:tc>
          <w:tcPr>
            <w:tcW w:w="1697" w:type="dxa"/>
            <w:tcBorders>
              <w:top w:val="nil"/>
              <w:left w:val="nil"/>
              <w:bottom w:val="nil"/>
              <w:right w:val="nil"/>
            </w:tcBorders>
            <w:shd w:val="clear" w:color="000000" w:fill="FFFFFF"/>
            <w:vAlign w:val="center"/>
            <w:hideMark/>
          </w:tcPr>
          <w:p w14:paraId="251A861B" w14:textId="77777777" w:rsidR="00F94AE1" w:rsidRPr="00BD5F7B" w:rsidRDefault="00F94AE1" w:rsidP="00F94AE1">
            <w:pPr>
              <w:jc w:val="right"/>
              <w:rPr>
                <w:b/>
                <w:bCs/>
                <w:sz w:val="18"/>
                <w:szCs w:val="18"/>
                <w:lang w:eastAsia="tr-TR"/>
              </w:rPr>
            </w:pPr>
            <w:r w:rsidRPr="00BD5F7B">
              <w:rPr>
                <w:b/>
                <w:bCs/>
                <w:sz w:val="18"/>
                <w:szCs w:val="18"/>
                <w:lang w:eastAsia="tr-TR"/>
              </w:rPr>
              <w:t>1,912</w:t>
            </w:r>
          </w:p>
        </w:tc>
        <w:tc>
          <w:tcPr>
            <w:tcW w:w="1232" w:type="dxa"/>
            <w:tcBorders>
              <w:top w:val="nil"/>
              <w:left w:val="nil"/>
              <w:bottom w:val="nil"/>
              <w:right w:val="nil"/>
            </w:tcBorders>
            <w:shd w:val="clear" w:color="auto" w:fill="auto"/>
            <w:vAlign w:val="center"/>
            <w:hideMark/>
          </w:tcPr>
          <w:p w14:paraId="05977B13" w14:textId="77777777" w:rsidR="00F94AE1" w:rsidRPr="00BD5F7B" w:rsidRDefault="00F94AE1" w:rsidP="00F94AE1">
            <w:pPr>
              <w:jc w:val="right"/>
              <w:rPr>
                <w:b/>
                <w:bCs/>
                <w:sz w:val="18"/>
                <w:szCs w:val="18"/>
                <w:lang w:eastAsia="tr-TR"/>
              </w:rPr>
            </w:pPr>
            <w:r w:rsidRPr="00BD5F7B">
              <w:rPr>
                <w:b/>
                <w:bCs/>
                <w:sz w:val="18"/>
                <w:szCs w:val="18"/>
                <w:lang w:eastAsia="tr-TR"/>
              </w:rPr>
              <w:t>16,998</w:t>
            </w:r>
          </w:p>
        </w:tc>
        <w:tc>
          <w:tcPr>
            <w:tcW w:w="941" w:type="dxa"/>
            <w:tcBorders>
              <w:top w:val="nil"/>
              <w:left w:val="nil"/>
              <w:bottom w:val="nil"/>
              <w:right w:val="nil"/>
            </w:tcBorders>
            <w:shd w:val="clear" w:color="auto" w:fill="auto"/>
            <w:vAlign w:val="center"/>
            <w:hideMark/>
          </w:tcPr>
          <w:p w14:paraId="1F594366" w14:textId="77777777" w:rsidR="00F94AE1" w:rsidRPr="00BD5F7B" w:rsidRDefault="00F94AE1" w:rsidP="00F94AE1">
            <w:pPr>
              <w:jc w:val="right"/>
              <w:rPr>
                <w:b/>
                <w:bCs/>
                <w:sz w:val="18"/>
                <w:szCs w:val="18"/>
                <w:lang w:eastAsia="tr-TR"/>
              </w:rPr>
            </w:pPr>
            <w:r w:rsidRPr="00BD5F7B">
              <w:rPr>
                <w:b/>
                <w:bCs/>
                <w:sz w:val="18"/>
                <w:szCs w:val="18"/>
                <w:lang w:eastAsia="tr-TR"/>
              </w:rPr>
              <w:t>18,910</w:t>
            </w:r>
          </w:p>
        </w:tc>
      </w:tr>
      <w:tr w:rsidR="00F94AE1" w:rsidRPr="00BD5F7B" w14:paraId="52D9F53F"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1D880B56" w14:textId="77777777" w:rsidR="00F94AE1" w:rsidRPr="00BD5F7B" w:rsidRDefault="00F94AE1" w:rsidP="00F94AE1">
            <w:pPr>
              <w:jc w:val="both"/>
              <w:rPr>
                <w:sz w:val="18"/>
                <w:szCs w:val="18"/>
                <w:lang w:eastAsia="tr-TR"/>
              </w:rPr>
            </w:pPr>
            <w:r w:rsidRPr="00BD5F7B">
              <w:rPr>
                <w:sz w:val="18"/>
                <w:szCs w:val="18"/>
                <w:lang w:eastAsia="tr-TR"/>
              </w:rPr>
              <w:t>Konut Kredisi</w:t>
            </w:r>
          </w:p>
        </w:tc>
        <w:tc>
          <w:tcPr>
            <w:tcW w:w="1697" w:type="dxa"/>
            <w:tcBorders>
              <w:top w:val="nil"/>
              <w:left w:val="nil"/>
              <w:bottom w:val="nil"/>
              <w:right w:val="nil"/>
            </w:tcBorders>
            <w:shd w:val="clear" w:color="000000" w:fill="FFFFFF"/>
            <w:vAlign w:val="center"/>
            <w:hideMark/>
          </w:tcPr>
          <w:p w14:paraId="0727B232"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18EBD460" w14:textId="77777777" w:rsidR="00F94AE1" w:rsidRPr="00BD5F7B" w:rsidRDefault="00F94AE1" w:rsidP="00F94AE1">
            <w:pPr>
              <w:jc w:val="right"/>
              <w:rPr>
                <w:sz w:val="18"/>
                <w:szCs w:val="18"/>
                <w:lang w:eastAsia="tr-TR"/>
              </w:rPr>
            </w:pPr>
            <w:r w:rsidRPr="00BD5F7B">
              <w:rPr>
                <w:sz w:val="18"/>
                <w:szCs w:val="18"/>
                <w:lang w:eastAsia="tr-TR"/>
              </w:rPr>
              <w:t>1,410</w:t>
            </w:r>
          </w:p>
        </w:tc>
        <w:tc>
          <w:tcPr>
            <w:tcW w:w="941" w:type="dxa"/>
            <w:tcBorders>
              <w:top w:val="nil"/>
              <w:left w:val="nil"/>
              <w:bottom w:val="nil"/>
              <w:right w:val="nil"/>
            </w:tcBorders>
            <w:shd w:val="clear" w:color="auto" w:fill="auto"/>
            <w:vAlign w:val="center"/>
            <w:hideMark/>
          </w:tcPr>
          <w:p w14:paraId="2A3F20CC" w14:textId="77777777" w:rsidR="00F94AE1" w:rsidRPr="00BD5F7B" w:rsidRDefault="00F94AE1" w:rsidP="00F94AE1">
            <w:pPr>
              <w:jc w:val="right"/>
              <w:rPr>
                <w:sz w:val="18"/>
                <w:szCs w:val="18"/>
                <w:lang w:eastAsia="tr-TR"/>
              </w:rPr>
            </w:pPr>
            <w:r w:rsidRPr="00BD5F7B">
              <w:rPr>
                <w:sz w:val="18"/>
                <w:szCs w:val="18"/>
                <w:lang w:eastAsia="tr-TR"/>
              </w:rPr>
              <w:t>1,410</w:t>
            </w:r>
          </w:p>
        </w:tc>
      </w:tr>
      <w:tr w:rsidR="00F94AE1" w:rsidRPr="00BD5F7B" w14:paraId="53205F52"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0EA24223" w14:textId="77777777" w:rsidR="00F94AE1" w:rsidRPr="00BD5F7B" w:rsidRDefault="00F94AE1" w:rsidP="00F94AE1">
            <w:pPr>
              <w:jc w:val="both"/>
              <w:rPr>
                <w:sz w:val="18"/>
                <w:szCs w:val="18"/>
                <w:lang w:eastAsia="tr-TR"/>
              </w:rPr>
            </w:pPr>
            <w:r w:rsidRPr="00BD5F7B">
              <w:rPr>
                <w:sz w:val="18"/>
                <w:szCs w:val="18"/>
                <w:lang w:eastAsia="tr-TR"/>
              </w:rPr>
              <w:t>Taşıt Kredisi</w:t>
            </w:r>
          </w:p>
        </w:tc>
        <w:tc>
          <w:tcPr>
            <w:tcW w:w="1697" w:type="dxa"/>
            <w:tcBorders>
              <w:top w:val="nil"/>
              <w:left w:val="nil"/>
              <w:bottom w:val="nil"/>
              <w:right w:val="nil"/>
            </w:tcBorders>
            <w:shd w:val="clear" w:color="000000" w:fill="FFFFFF"/>
            <w:vAlign w:val="center"/>
            <w:hideMark/>
          </w:tcPr>
          <w:p w14:paraId="01D000CD" w14:textId="77777777" w:rsidR="00F94AE1" w:rsidRPr="00BD5F7B" w:rsidRDefault="00F94AE1" w:rsidP="00F94AE1">
            <w:pPr>
              <w:jc w:val="right"/>
              <w:rPr>
                <w:sz w:val="18"/>
                <w:szCs w:val="18"/>
                <w:lang w:eastAsia="tr-TR"/>
              </w:rPr>
            </w:pPr>
            <w:r w:rsidRPr="00BD5F7B">
              <w:rPr>
                <w:sz w:val="18"/>
                <w:szCs w:val="18"/>
                <w:lang w:eastAsia="tr-TR"/>
              </w:rPr>
              <w:t>596</w:t>
            </w:r>
          </w:p>
        </w:tc>
        <w:tc>
          <w:tcPr>
            <w:tcW w:w="1232" w:type="dxa"/>
            <w:tcBorders>
              <w:top w:val="nil"/>
              <w:left w:val="nil"/>
              <w:bottom w:val="nil"/>
              <w:right w:val="nil"/>
            </w:tcBorders>
            <w:shd w:val="clear" w:color="auto" w:fill="auto"/>
            <w:vAlign w:val="center"/>
            <w:hideMark/>
          </w:tcPr>
          <w:p w14:paraId="23BB61E9" w14:textId="77777777" w:rsidR="00F94AE1" w:rsidRPr="00BD5F7B" w:rsidRDefault="00F94AE1" w:rsidP="00F94AE1">
            <w:pPr>
              <w:jc w:val="right"/>
              <w:rPr>
                <w:sz w:val="18"/>
                <w:szCs w:val="18"/>
                <w:lang w:eastAsia="tr-TR"/>
              </w:rPr>
            </w:pPr>
            <w:r w:rsidRPr="00BD5F7B">
              <w:rPr>
                <w:sz w:val="18"/>
                <w:szCs w:val="18"/>
                <w:lang w:eastAsia="tr-TR"/>
              </w:rPr>
              <w:t>12,096</w:t>
            </w:r>
          </w:p>
        </w:tc>
        <w:tc>
          <w:tcPr>
            <w:tcW w:w="941" w:type="dxa"/>
            <w:tcBorders>
              <w:top w:val="nil"/>
              <w:left w:val="nil"/>
              <w:bottom w:val="nil"/>
              <w:right w:val="nil"/>
            </w:tcBorders>
            <w:shd w:val="clear" w:color="auto" w:fill="auto"/>
            <w:vAlign w:val="center"/>
            <w:hideMark/>
          </w:tcPr>
          <w:p w14:paraId="66A7EC47" w14:textId="77777777" w:rsidR="00F94AE1" w:rsidRPr="00BD5F7B" w:rsidRDefault="00F94AE1" w:rsidP="00F94AE1">
            <w:pPr>
              <w:jc w:val="right"/>
              <w:rPr>
                <w:sz w:val="18"/>
                <w:szCs w:val="18"/>
                <w:lang w:eastAsia="tr-TR"/>
              </w:rPr>
            </w:pPr>
            <w:r w:rsidRPr="00BD5F7B">
              <w:rPr>
                <w:sz w:val="18"/>
                <w:szCs w:val="18"/>
                <w:lang w:eastAsia="tr-TR"/>
              </w:rPr>
              <w:t>12,692</w:t>
            </w:r>
          </w:p>
        </w:tc>
      </w:tr>
      <w:tr w:rsidR="00F94AE1" w:rsidRPr="00BD5F7B" w14:paraId="0B8DBDED"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1BF5AC7A" w14:textId="77777777" w:rsidR="00F94AE1" w:rsidRPr="00BD5F7B" w:rsidRDefault="00F94AE1" w:rsidP="00F94AE1">
            <w:pPr>
              <w:jc w:val="both"/>
              <w:rPr>
                <w:sz w:val="18"/>
                <w:szCs w:val="18"/>
                <w:lang w:eastAsia="tr-TR"/>
              </w:rPr>
            </w:pPr>
            <w:r w:rsidRPr="00BD5F7B">
              <w:rPr>
                <w:sz w:val="18"/>
                <w:szCs w:val="18"/>
                <w:lang w:eastAsia="tr-TR"/>
              </w:rPr>
              <w:t>İhtiyaç Kredisi</w:t>
            </w:r>
          </w:p>
        </w:tc>
        <w:tc>
          <w:tcPr>
            <w:tcW w:w="1697" w:type="dxa"/>
            <w:tcBorders>
              <w:top w:val="nil"/>
              <w:left w:val="nil"/>
              <w:bottom w:val="nil"/>
              <w:right w:val="nil"/>
            </w:tcBorders>
            <w:shd w:val="clear" w:color="000000" w:fill="FFFFFF"/>
            <w:vAlign w:val="center"/>
            <w:hideMark/>
          </w:tcPr>
          <w:p w14:paraId="3AE67613" w14:textId="77777777" w:rsidR="00F94AE1" w:rsidRPr="00BD5F7B" w:rsidRDefault="00F94AE1" w:rsidP="00F94AE1">
            <w:pPr>
              <w:jc w:val="right"/>
              <w:rPr>
                <w:sz w:val="18"/>
                <w:szCs w:val="18"/>
                <w:lang w:eastAsia="tr-TR"/>
              </w:rPr>
            </w:pPr>
            <w:r w:rsidRPr="00BD5F7B">
              <w:rPr>
                <w:sz w:val="18"/>
                <w:szCs w:val="18"/>
                <w:lang w:eastAsia="tr-TR"/>
              </w:rPr>
              <w:t>1,315</w:t>
            </w:r>
          </w:p>
        </w:tc>
        <w:tc>
          <w:tcPr>
            <w:tcW w:w="1232" w:type="dxa"/>
            <w:tcBorders>
              <w:top w:val="nil"/>
              <w:left w:val="nil"/>
              <w:bottom w:val="nil"/>
              <w:right w:val="nil"/>
            </w:tcBorders>
            <w:shd w:val="clear" w:color="auto" w:fill="auto"/>
            <w:vAlign w:val="center"/>
            <w:hideMark/>
          </w:tcPr>
          <w:p w14:paraId="364C81C2" w14:textId="77777777" w:rsidR="00F94AE1" w:rsidRPr="00BD5F7B" w:rsidRDefault="00F94AE1" w:rsidP="00F94AE1">
            <w:pPr>
              <w:jc w:val="right"/>
              <w:rPr>
                <w:sz w:val="18"/>
                <w:szCs w:val="18"/>
                <w:lang w:eastAsia="tr-TR"/>
              </w:rPr>
            </w:pPr>
            <w:r w:rsidRPr="00BD5F7B">
              <w:rPr>
                <w:sz w:val="18"/>
                <w:szCs w:val="18"/>
                <w:lang w:eastAsia="tr-TR"/>
              </w:rPr>
              <w:t>3,492</w:t>
            </w:r>
          </w:p>
        </w:tc>
        <w:tc>
          <w:tcPr>
            <w:tcW w:w="941" w:type="dxa"/>
            <w:tcBorders>
              <w:top w:val="nil"/>
              <w:left w:val="nil"/>
              <w:bottom w:val="nil"/>
              <w:right w:val="nil"/>
            </w:tcBorders>
            <w:shd w:val="clear" w:color="auto" w:fill="auto"/>
            <w:vAlign w:val="center"/>
            <w:hideMark/>
          </w:tcPr>
          <w:p w14:paraId="301AB490" w14:textId="77777777" w:rsidR="00F94AE1" w:rsidRPr="00BD5F7B" w:rsidRDefault="00F94AE1" w:rsidP="00F94AE1">
            <w:pPr>
              <w:jc w:val="right"/>
              <w:rPr>
                <w:sz w:val="18"/>
                <w:szCs w:val="18"/>
                <w:lang w:eastAsia="tr-TR"/>
              </w:rPr>
            </w:pPr>
            <w:r w:rsidRPr="00BD5F7B">
              <w:rPr>
                <w:sz w:val="18"/>
                <w:szCs w:val="18"/>
                <w:lang w:eastAsia="tr-TR"/>
              </w:rPr>
              <w:t>4,807</w:t>
            </w:r>
          </w:p>
        </w:tc>
      </w:tr>
      <w:tr w:rsidR="00F94AE1" w:rsidRPr="00BD5F7B" w14:paraId="17A39673"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57BBD6C2" w14:textId="77777777" w:rsidR="00F94AE1" w:rsidRPr="00BD5F7B" w:rsidRDefault="00F94AE1" w:rsidP="00F94AE1">
            <w:pPr>
              <w:jc w:val="both"/>
              <w:rPr>
                <w:sz w:val="18"/>
                <w:szCs w:val="18"/>
                <w:lang w:eastAsia="tr-TR"/>
              </w:rPr>
            </w:pPr>
            <w:r w:rsidRPr="00BD5F7B">
              <w:rPr>
                <w:sz w:val="18"/>
                <w:szCs w:val="18"/>
                <w:lang w:eastAsia="tr-TR"/>
              </w:rPr>
              <w:t>Diğer</w:t>
            </w:r>
          </w:p>
        </w:tc>
        <w:tc>
          <w:tcPr>
            <w:tcW w:w="1697" w:type="dxa"/>
            <w:tcBorders>
              <w:top w:val="nil"/>
              <w:left w:val="nil"/>
              <w:bottom w:val="nil"/>
              <w:right w:val="nil"/>
            </w:tcBorders>
            <w:shd w:val="clear" w:color="000000" w:fill="FFFFFF"/>
            <w:vAlign w:val="center"/>
            <w:hideMark/>
          </w:tcPr>
          <w:p w14:paraId="5C2AAA04" w14:textId="77777777" w:rsidR="00F94AE1" w:rsidRPr="00BD5F7B" w:rsidRDefault="00F94AE1" w:rsidP="00F94AE1">
            <w:pPr>
              <w:jc w:val="right"/>
              <w:rPr>
                <w:sz w:val="18"/>
                <w:szCs w:val="18"/>
                <w:lang w:eastAsia="tr-TR"/>
              </w:rPr>
            </w:pPr>
            <w:r w:rsidRPr="00BD5F7B">
              <w:rPr>
                <w:sz w:val="18"/>
                <w:szCs w:val="18"/>
                <w:lang w:eastAsia="tr-TR"/>
              </w:rPr>
              <w:t>1</w:t>
            </w:r>
          </w:p>
        </w:tc>
        <w:tc>
          <w:tcPr>
            <w:tcW w:w="1232" w:type="dxa"/>
            <w:tcBorders>
              <w:top w:val="nil"/>
              <w:left w:val="nil"/>
              <w:bottom w:val="nil"/>
              <w:right w:val="nil"/>
            </w:tcBorders>
            <w:shd w:val="clear" w:color="auto" w:fill="auto"/>
            <w:vAlign w:val="center"/>
            <w:hideMark/>
          </w:tcPr>
          <w:p w14:paraId="6BC9379D"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21676BE9" w14:textId="77777777" w:rsidR="00F94AE1" w:rsidRPr="00BD5F7B" w:rsidRDefault="00F94AE1" w:rsidP="00F94AE1">
            <w:pPr>
              <w:jc w:val="right"/>
              <w:rPr>
                <w:sz w:val="18"/>
                <w:szCs w:val="18"/>
                <w:lang w:eastAsia="tr-TR"/>
              </w:rPr>
            </w:pPr>
            <w:r w:rsidRPr="00BD5F7B">
              <w:rPr>
                <w:sz w:val="18"/>
                <w:szCs w:val="18"/>
                <w:lang w:eastAsia="tr-TR"/>
              </w:rPr>
              <w:t>1</w:t>
            </w:r>
          </w:p>
        </w:tc>
      </w:tr>
      <w:tr w:rsidR="00F94AE1" w:rsidRPr="00BD5F7B" w14:paraId="3EF64F1F"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79CF7438" w14:textId="77777777" w:rsidR="00F94AE1" w:rsidRPr="00BD5F7B" w:rsidRDefault="00F94AE1" w:rsidP="00F94AE1">
            <w:pPr>
              <w:jc w:val="both"/>
              <w:rPr>
                <w:b/>
                <w:bCs/>
                <w:sz w:val="18"/>
                <w:szCs w:val="18"/>
                <w:lang w:eastAsia="tr-TR"/>
              </w:rPr>
            </w:pPr>
            <w:r w:rsidRPr="00BD5F7B">
              <w:rPr>
                <w:b/>
                <w:bCs/>
                <w:sz w:val="18"/>
                <w:szCs w:val="18"/>
                <w:lang w:eastAsia="tr-TR"/>
              </w:rPr>
              <w:t>Personel Kredileri-Dövize Endeksli</w:t>
            </w:r>
          </w:p>
        </w:tc>
        <w:tc>
          <w:tcPr>
            <w:tcW w:w="1697" w:type="dxa"/>
            <w:tcBorders>
              <w:top w:val="nil"/>
              <w:left w:val="nil"/>
              <w:bottom w:val="nil"/>
              <w:right w:val="nil"/>
            </w:tcBorders>
            <w:shd w:val="clear" w:color="000000" w:fill="FFFFFF"/>
            <w:vAlign w:val="center"/>
            <w:hideMark/>
          </w:tcPr>
          <w:p w14:paraId="26AA7C42"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1232" w:type="dxa"/>
            <w:tcBorders>
              <w:top w:val="nil"/>
              <w:left w:val="nil"/>
              <w:bottom w:val="nil"/>
              <w:right w:val="nil"/>
            </w:tcBorders>
            <w:shd w:val="clear" w:color="auto" w:fill="auto"/>
            <w:vAlign w:val="center"/>
            <w:hideMark/>
          </w:tcPr>
          <w:p w14:paraId="756DC9D0"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941" w:type="dxa"/>
            <w:tcBorders>
              <w:top w:val="nil"/>
              <w:left w:val="nil"/>
              <w:bottom w:val="nil"/>
              <w:right w:val="nil"/>
            </w:tcBorders>
            <w:shd w:val="clear" w:color="auto" w:fill="auto"/>
            <w:vAlign w:val="center"/>
            <w:hideMark/>
          </w:tcPr>
          <w:p w14:paraId="0FE4289A"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4F85C070"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0A46346D" w14:textId="77777777" w:rsidR="00F94AE1" w:rsidRPr="00BD5F7B" w:rsidRDefault="00F94AE1" w:rsidP="00F94AE1">
            <w:pPr>
              <w:jc w:val="both"/>
              <w:rPr>
                <w:sz w:val="18"/>
                <w:szCs w:val="18"/>
                <w:lang w:eastAsia="tr-TR"/>
              </w:rPr>
            </w:pPr>
            <w:r w:rsidRPr="00BD5F7B">
              <w:rPr>
                <w:sz w:val="18"/>
                <w:szCs w:val="18"/>
                <w:lang w:eastAsia="tr-TR"/>
              </w:rPr>
              <w:t>Konut Kredisi</w:t>
            </w:r>
          </w:p>
        </w:tc>
        <w:tc>
          <w:tcPr>
            <w:tcW w:w="1697" w:type="dxa"/>
            <w:tcBorders>
              <w:top w:val="nil"/>
              <w:left w:val="nil"/>
              <w:bottom w:val="nil"/>
              <w:right w:val="nil"/>
            </w:tcBorders>
            <w:shd w:val="clear" w:color="000000" w:fill="FFFFFF"/>
            <w:vAlign w:val="center"/>
            <w:hideMark/>
          </w:tcPr>
          <w:p w14:paraId="4255FD1C"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77DBE7E5"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4A5C3C65"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04C64105"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5934690B" w14:textId="77777777" w:rsidR="00F94AE1" w:rsidRPr="00BD5F7B" w:rsidRDefault="00F94AE1" w:rsidP="00F94AE1">
            <w:pPr>
              <w:jc w:val="both"/>
              <w:rPr>
                <w:sz w:val="18"/>
                <w:szCs w:val="18"/>
                <w:lang w:eastAsia="tr-TR"/>
              </w:rPr>
            </w:pPr>
            <w:r w:rsidRPr="00BD5F7B">
              <w:rPr>
                <w:sz w:val="18"/>
                <w:szCs w:val="18"/>
                <w:lang w:eastAsia="tr-TR"/>
              </w:rPr>
              <w:t>Taşıt Kredisi</w:t>
            </w:r>
          </w:p>
        </w:tc>
        <w:tc>
          <w:tcPr>
            <w:tcW w:w="1697" w:type="dxa"/>
            <w:tcBorders>
              <w:top w:val="nil"/>
              <w:left w:val="nil"/>
              <w:bottom w:val="nil"/>
              <w:right w:val="nil"/>
            </w:tcBorders>
            <w:shd w:val="clear" w:color="000000" w:fill="FFFFFF"/>
            <w:vAlign w:val="center"/>
            <w:hideMark/>
          </w:tcPr>
          <w:p w14:paraId="4AAEBB77"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2C5A905C"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2960E1E1"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36F215F5"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44B90CD8" w14:textId="77777777" w:rsidR="00F94AE1" w:rsidRPr="00BD5F7B" w:rsidRDefault="00F94AE1" w:rsidP="00F94AE1">
            <w:pPr>
              <w:jc w:val="both"/>
              <w:rPr>
                <w:sz w:val="18"/>
                <w:szCs w:val="18"/>
                <w:lang w:eastAsia="tr-TR"/>
              </w:rPr>
            </w:pPr>
            <w:r w:rsidRPr="00BD5F7B">
              <w:rPr>
                <w:sz w:val="18"/>
                <w:szCs w:val="18"/>
                <w:lang w:eastAsia="tr-TR"/>
              </w:rPr>
              <w:t>İhtiyaç Kredisi</w:t>
            </w:r>
          </w:p>
        </w:tc>
        <w:tc>
          <w:tcPr>
            <w:tcW w:w="1697" w:type="dxa"/>
            <w:tcBorders>
              <w:top w:val="nil"/>
              <w:left w:val="nil"/>
              <w:bottom w:val="nil"/>
              <w:right w:val="nil"/>
            </w:tcBorders>
            <w:shd w:val="clear" w:color="000000" w:fill="FFFFFF"/>
            <w:vAlign w:val="center"/>
            <w:hideMark/>
          </w:tcPr>
          <w:p w14:paraId="0A2EA4DF"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3A77AFCA"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1C9FBBBD"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4D49FA99"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004118BF" w14:textId="77777777" w:rsidR="00F94AE1" w:rsidRPr="00BD5F7B" w:rsidRDefault="00F94AE1" w:rsidP="00F94AE1">
            <w:pPr>
              <w:jc w:val="both"/>
              <w:rPr>
                <w:sz w:val="18"/>
                <w:szCs w:val="18"/>
                <w:lang w:eastAsia="tr-TR"/>
              </w:rPr>
            </w:pPr>
            <w:r w:rsidRPr="00BD5F7B">
              <w:rPr>
                <w:sz w:val="18"/>
                <w:szCs w:val="18"/>
                <w:lang w:eastAsia="tr-TR"/>
              </w:rPr>
              <w:t>Diğer</w:t>
            </w:r>
          </w:p>
        </w:tc>
        <w:tc>
          <w:tcPr>
            <w:tcW w:w="1697" w:type="dxa"/>
            <w:tcBorders>
              <w:top w:val="nil"/>
              <w:left w:val="nil"/>
              <w:bottom w:val="nil"/>
              <w:right w:val="nil"/>
            </w:tcBorders>
            <w:shd w:val="clear" w:color="000000" w:fill="FFFFFF"/>
            <w:vAlign w:val="center"/>
            <w:hideMark/>
          </w:tcPr>
          <w:p w14:paraId="5C5F0877"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44D49619"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2A8F0F48"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04C3758B"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2A1F9753" w14:textId="77777777" w:rsidR="00F94AE1" w:rsidRPr="00BD5F7B" w:rsidRDefault="00F94AE1" w:rsidP="00F94AE1">
            <w:pPr>
              <w:jc w:val="both"/>
              <w:rPr>
                <w:b/>
                <w:bCs/>
                <w:sz w:val="18"/>
                <w:szCs w:val="18"/>
                <w:lang w:eastAsia="tr-TR"/>
              </w:rPr>
            </w:pPr>
            <w:r w:rsidRPr="00BD5F7B">
              <w:rPr>
                <w:b/>
                <w:bCs/>
                <w:sz w:val="18"/>
                <w:szCs w:val="18"/>
                <w:lang w:eastAsia="tr-TR"/>
              </w:rPr>
              <w:t>Personel Kredileri-YP</w:t>
            </w:r>
          </w:p>
        </w:tc>
        <w:tc>
          <w:tcPr>
            <w:tcW w:w="1697" w:type="dxa"/>
            <w:tcBorders>
              <w:top w:val="nil"/>
              <w:left w:val="nil"/>
              <w:bottom w:val="nil"/>
              <w:right w:val="nil"/>
            </w:tcBorders>
            <w:shd w:val="clear" w:color="000000" w:fill="FFFFFF"/>
            <w:vAlign w:val="center"/>
            <w:hideMark/>
          </w:tcPr>
          <w:p w14:paraId="18FD1988"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1232" w:type="dxa"/>
            <w:tcBorders>
              <w:top w:val="nil"/>
              <w:left w:val="nil"/>
              <w:bottom w:val="nil"/>
              <w:right w:val="nil"/>
            </w:tcBorders>
            <w:shd w:val="clear" w:color="auto" w:fill="auto"/>
            <w:vAlign w:val="center"/>
            <w:hideMark/>
          </w:tcPr>
          <w:p w14:paraId="40C929BB"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941" w:type="dxa"/>
            <w:tcBorders>
              <w:top w:val="nil"/>
              <w:left w:val="nil"/>
              <w:bottom w:val="nil"/>
              <w:right w:val="nil"/>
            </w:tcBorders>
            <w:shd w:val="clear" w:color="auto" w:fill="auto"/>
            <w:vAlign w:val="center"/>
            <w:hideMark/>
          </w:tcPr>
          <w:p w14:paraId="0052D509"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3C1AA752"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5980FC9C" w14:textId="77777777" w:rsidR="00F94AE1" w:rsidRPr="00BD5F7B" w:rsidRDefault="00F94AE1" w:rsidP="00F94AE1">
            <w:pPr>
              <w:jc w:val="both"/>
              <w:rPr>
                <w:sz w:val="18"/>
                <w:szCs w:val="18"/>
                <w:lang w:eastAsia="tr-TR"/>
              </w:rPr>
            </w:pPr>
            <w:r w:rsidRPr="00BD5F7B">
              <w:rPr>
                <w:sz w:val="18"/>
                <w:szCs w:val="18"/>
                <w:lang w:eastAsia="tr-TR"/>
              </w:rPr>
              <w:t>Konut Kredisi</w:t>
            </w:r>
          </w:p>
        </w:tc>
        <w:tc>
          <w:tcPr>
            <w:tcW w:w="1697" w:type="dxa"/>
            <w:tcBorders>
              <w:top w:val="nil"/>
              <w:left w:val="nil"/>
              <w:bottom w:val="nil"/>
              <w:right w:val="nil"/>
            </w:tcBorders>
            <w:shd w:val="clear" w:color="000000" w:fill="FFFFFF"/>
            <w:vAlign w:val="center"/>
            <w:hideMark/>
          </w:tcPr>
          <w:p w14:paraId="4467CDD7"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5D508AA5"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75E3B81A" w14:textId="77777777" w:rsidR="00F94AE1" w:rsidRPr="00BD5F7B" w:rsidRDefault="00F94AE1" w:rsidP="00F94AE1">
            <w:pPr>
              <w:jc w:val="right"/>
              <w:rPr>
                <w:sz w:val="18"/>
                <w:szCs w:val="18"/>
                <w:lang w:eastAsia="tr-TR"/>
              </w:rPr>
            </w:pPr>
            <w:r w:rsidRPr="00BD5F7B">
              <w:rPr>
                <w:sz w:val="18"/>
                <w:szCs w:val="18"/>
                <w:lang w:eastAsia="tr-TR"/>
              </w:rPr>
              <w:t>-</w:t>
            </w:r>
          </w:p>
        </w:tc>
      </w:tr>
      <w:tr w:rsidR="00F94AE1" w:rsidRPr="00BD5F7B" w14:paraId="71CE64EE"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6591C197" w14:textId="77777777" w:rsidR="00F94AE1" w:rsidRPr="00BD5F7B" w:rsidRDefault="00F94AE1" w:rsidP="00F94AE1">
            <w:pPr>
              <w:jc w:val="both"/>
              <w:rPr>
                <w:sz w:val="18"/>
                <w:szCs w:val="18"/>
                <w:lang w:eastAsia="tr-TR"/>
              </w:rPr>
            </w:pPr>
            <w:r w:rsidRPr="00BD5F7B">
              <w:rPr>
                <w:sz w:val="18"/>
                <w:szCs w:val="18"/>
                <w:lang w:eastAsia="tr-TR"/>
              </w:rPr>
              <w:t>Taşıt Kredisi</w:t>
            </w:r>
          </w:p>
        </w:tc>
        <w:tc>
          <w:tcPr>
            <w:tcW w:w="1697" w:type="dxa"/>
            <w:tcBorders>
              <w:top w:val="nil"/>
              <w:left w:val="nil"/>
              <w:bottom w:val="nil"/>
              <w:right w:val="nil"/>
            </w:tcBorders>
            <w:shd w:val="clear" w:color="000000" w:fill="FFFFFF"/>
            <w:vAlign w:val="center"/>
            <w:hideMark/>
          </w:tcPr>
          <w:p w14:paraId="23BC9EAA"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161FAD50"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58488976" w14:textId="77777777" w:rsidR="00F94AE1" w:rsidRPr="00BD5F7B" w:rsidRDefault="00F94AE1" w:rsidP="00F94AE1">
            <w:pPr>
              <w:jc w:val="right"/>
              <w:rPr>
                <w:sz w:val="18"/>
                <w:szCs w:val="18"/>
                <w:lang w:eastAsia="tr-TR"/>
              </w:rPr>
            </w:pPr>
            <w:r w:rsidRPr="00BD5F7B">
              <w:rPr>
                <w:sz w:val="18"/>
                <w:szCs w:val="18"/>
                <w:lang w:eastAsia="tr-TR"/>
              </w:rPr>
              <w:t>-</w:t>
            </w:r>
          </w:p>
        </w:tc>
      </w:tr>
      <w:tr w:rsidR="00F94AE1" w:rsidRPr="00BD5F7B" w14:paraId="2C45D692"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16030256" w14:textId="77777777" w:rsidR="00F94AE1" w:rsidRPr="00BD5F7B" w:rsidRDefault="00F94AE1" w:rsidP="00F94AE1">
            <w:pPr>
              <w:jc w:val="both"/>
              <w:rPr>
                <w:sz w:val="18"/>
                <w:szCs w:val="18"/>
                <w:lang w:eastAsia="tr-TR"/>
              </w:rPr>
            </w:pPr>
            <w:r w:rsidRPr="00BD5F7B">
              <w:rPr>
                <w:sz w:val="18"/>
                <w:szCs w:val="18"/>
                <w:lang w:eastAsia="tr-TR"/>
              </w:rPr>
              <w:t>İhtiyaç Kredisi</w:t>
            </w:r>
          </w:p>
        </w:tc>
        <w:tc>
          <w:tcPr>
            <w:tcW w:w="1697" w:type="dxa"/>
            <w:tcBorders>
              <w:top w:val="nil"/>
              <w:left w:val="nil"/>
              <w:bottom w:val="nil"/>
              <w:right w:val="nil"/>
            </w:tcBorders>
            <w:shd w:val="clear" w:color="000000" w:fill="FFFFFF"/>
            <w:vAlign w:val="center"/>
            <w:hideMark/>
          </w:tcPr>
          <w:p w14:paraId="0C7D6B19"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428246FE"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1AEA5EDC" w14:textId="77777777" w:rsidR="00F94AE1" w:rsidRPr="00BD5F7B" w:rsidRDefault="00F94AE1" w:rsidP="00F94AE1">
            <w:pPr>
              <w:jc w:val="right"/>
              <w:rPr>
                <w:sz w:val="18"/>
                <w:szCs w:val="18"/>
                <w:lang w:eastAsia="tr-TR"/>
              </w:rPr>
            </w:pPr>
            <w:r w:rsidRPr="00BD5F7B">
              <w:rPr>
                <w:sz w:val="18"/>
                <w:szCs w:val="18"/>
                <w:lang w:eastAsia="tr-TR"/>
              </w:rPr>
              <w:t>-</w:t>
            </w:r>
          </w:p>
        </w:tc>
      </w:tr>
      <w:tr w:rsidR="00F94AE1" w:rsidRPr="00BD5F7B" w14:paraId="5CA9C0FB"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0E455ECE" w14:textId="77777777" w:rsidR="00F94AE1" w:rsidRPr="00BD5F7B" w:rsidRDefault="00F94AE1" w:rsidP="00F94AE1">
            <w:pPr>
              <w:jc w:val="both"/>
              <w:rPr>
                <w:sz w:val="18"/>
                <w:szCs w:val="18"/>
                <w:lang w:eastAsia="tr-TR"/>
              </w:rPr>
            </w:pPr>
            <w:r w:rsidRPr="00BD5F7B">
              <w:rPr>
                <w:sz w:val="18"/>
                <w:szCs w:val="18"/>
                <w:lang w:eastAsia="tr-TR"/>
              </w:rPr>
              <w:t>Diğer</w:t>
            </w:r>
          </w:p>
        </w:tc>
        <w:tc>
          <w:tcPr>
            <w:tcW w:w="1697" w:type="dxa"/>
            <w:tcBorders>
              <w:top w:val="nil"/>
              <w:left w:val="nil"/>
              <w:bottom w:val="nil"/>
              <w:right w:val="nil"/>
            </w:tcBorders>
            <w:shd w:val="clear" w:color="000000" w:fill="FFFFFF"/>
            <w:vAlign w:val="center"/>
            <w:hideMark/>
          </w:tcPr>
          <w:p w14:paraId="1652CE6B"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01C5A096"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15AE596F" w14:textId="77777777" w:rsidR="00F94AE1" w:rsidRPr="00BD5F7B" w:rsidRDefault="00F94AE1" w:rsidP="00F94AE1">
            <w:pPr>
              <w:jc w:val="right"/>
              <w:rPr>
                <w:sz w:val="18"/>
                <w:szCs w:val="18"/>
                <w:lang w:eastAsia="tr-TR"/>
              </w:rPr>
            </w:pPr>
            <w:r w:rsidRPr="00BD5F7B">
              <w:rPr>
                <w:sz w:val="18"/>
                <w:szCs w:val="18"/>
                <w:lang w:eastAsia="tr-TR"/>
              </w:rPr>
              <w:t>-</w:t>
            </w:r>
          </w:p>
        </w:tc>
      </w:tr>
      <w:tr w:rsidR="00F94AE1" w:rsidRPr="00BD5F7B" w14:paraId="0D534362"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775D3CDD" w14:textId="77777777" w:rsidR="00F94AE1" w:rsidRPr="00BD5F7B" w:rsidRDefault="00F94AE1" w:rsidP="00F94AE1">
            <w:pPr>
              <w:jc w:val="both"/>
              <w:rPr>
                <w:b/>
                <w:bCs/>
                <w:sz w:val="18"/>
                <w:szCs w:val="18"/>
                <w:lang w:eastAsia="tr-TR"/>
              </w:rPr>
            </w:pPr>
            <w:r w:rsidRPr="00BD5F7B">
              <w:rPr>
                <w:b/>
                <w:bCs/>
                <w:sz w:val="18"/>
                <w:szCs w:val="18"/>
                <w:lang w:eastAsia="tr-TR"/>
              </w:rPr>
              <w:t>Personel Kredi Kartları-TP</w:t>
            </w:r>
          </w:p>
        </w:tc>
        <w:tc>
          <w:tcPr>
            <w:tcW w:w="1697" w:type="dxa"/>
            <w:tcBorders>
              <w:top w:val="nil"/>
              <w:left w:val="nil"/>
              <w:bottom w:val="nil"/>
              <w:right w:val="nil"/>
            </w:tcBorders>
            <w:shd w:val="clear" w:color="000000" w:fill="FFFFFF"/>
            <w:vAlign w:val="center"/>
            <w:hideMark/>
          </w:tcPr>
          <w:p w14:paraId="4EF4E8C3" w14:textId="77777777" w:rsidR="00F94AE1" w:rsidRPr="00BD5F7B" w:rsidRDefault="00F94AE1" w:rsidP="00F94AE1">
            <w:pPr>
              <w:jc w:val="right"/>
              <w:rPr>
                <w:b/>
                <w:bCs/>
                <w:sz w:val="18"/>
                <w:szCs w:val="18"/>
                <w:lang w:eastAsia="tr-TR"/>
              </w:rPr>
            </w:pPr>
            <w:r w:rsidRPr="00BD5F7B">
              <w:rPr>
                <w:b/>
                <w:bCs/>
                <w:sz w:val="18"/>
                <w:szCs w:val="18"/>
                <w:lang w:eastAsia="tr-TR"/>
              </w:rPr>
              <w:t>11,025</w:t>
            </w:r>
          </w:p>
        </w:tc>
        <w:tc>
          <w:tcPr>
            <w:tcW w:w="1232" w:type="dxa"/>
            <w:tcBorders>
              <w:top w:val="nil"/>
              <w:left w:val="nil"/>
              <w:bottom w:val="nil"/>
              <w:right w:val="nil"/>
            </w:tcBorders>
            <w:shd w:val="clear" w:color="auto" w:fill="auto"/>
            <w:vAlign w:val="center"/>
            <w:hideMark/>
          </w:tcPr>
          <w:p w14:paraId="2492720F" w14:textId="77777777" w:rsidR="00F94AE1" w:rsidRPr="00BD5F7B" w:rsidRDefault="00F94AE1" w:rsidP="00F94AE1">
            <w:pPr>
              <w:jc w:val="right"/>
              <w:rPr>
                <w:b/>
                <w:bCs/>
                <w:sz w:val="18"/>
                <w:szCs w:val="18"/>
                <w:lang w:eastAsia="tr-TR"/>
              </w:rPr>
            </w:pPr>
            <w:r w:rsidRPr="00BD5F7B">
              <w:rPr>
                <w:b/>
                <w:bCs/>
                <w:sz w:val="18"/>
                <w:szCs w:val="18"/>
                <w:lang w:eastAsia="tr-TR"/>
              </w:rPr>
              <w:t>60</w:t>
            </w:r>
          </w:p>
        </w:tc>
        <w:tc>
          <w:tcPr>
            <w:tcW w:w="941" w:type="dxa"/>
            <w:tcBorders>
              <w:top w:val="nil"/>
              <w:left w:val="nil"/>
              <w:bottom w:val="nil"/>
              <w:right w:val="nil"/>
            </w:tcBorders>
            <w:shd w:val="clear" w:color="auto" w:fill="auto"/>
            <w:vAlign w:val="center"/>
            <w:hideMark/>
          </w:tcPr>
          <w:p w14:paraId="212E6E89" w14:textId="77777777" w:rsidR="00F94AE1" w:rsidRPr="00BD5F7B" w:rsidRDefault="00F94AE1" w:rsidP="00F94AE1">
            <w:pPr>
              <w:jc w:val="right"/>
              <w:rPr>
                <w:b/>
                <w:bCs/>
                <w:sz w:val="18"/>
                <w:szCs w:val="18"/>
                <w:lang w:eastAsia="tr-TR"/>
              </w:rPr>
            </w:pPr>
            <w:r w:rsidRPr="00BD5F7B">
              <w:rPr>
                <w:b/>
                <w:bCs/>
                <w:sz w:val="18"/>
                <w:szCs w:val="18"/>
                <w:lang w:eastAsia="tr-TR"/>
              </w:rPr>
              <w:t>11,085</w:t>
            </w:r>
          </w:p>
        </w:tc>
      </w:tr>
      <w:tr w:rsidR="00F94AE1" w:rsidRPr="00BD5F7B" w14:paraId="340DCF6E"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4E4CB043" w14:textId="77777777" w:rsidR="00F94AE1" w:rsidRPr="00BD5F7B" w:rsidRDefault="00F94AE1" w:rsidP="00F94AE1">
            <w:pPr>
              <w:jc w:val="both"/>
              <w:rPr>
                <w:sz w:val="18"/>
                <w:szCs w:val="18"/>
                <w:lang w:eastAsia="tr-TR"/>
              </w:rPr>
            </w:pPr>
            <w:r w:rsidRPr="00BD5F7B">
              <w:rPr>
                <w:sz w:val="18"/>
                <w:szCs w:val="18"/>
                <w:lang w:eastAsia="tr-TR"/>
              </w:rPr>
              <w:t xml:space="preserve">Taksitli </w:t>
            </w:r>
          </w:p>
        </w:tc>
        <w:tc>
          <w:tcPr>
            <w:tcW w:w="1697" w:type="dxa"/>
            <w:tcBorders>
              <w:top w:val="nil"/>
              <w:left w:val="nil"/>
              <w:bottom w:val="nil"/>
              <w:right w:val="nil"/>
            </w:tcBorders>
            <w:shd w:val="clear" w:color="000000" w:fill="FFFFFF"/>
            <w:vAlign w:val="center"/>
            <w:hideMark/>
          </w:tcPr>
          <w:p w14:paraId="6F12D3E0" w14:textId="77777777" w:rsidR="00F94AE1" w:rsidRPr="00BD5F7B" w:rsidRDefault="00F94AE1" w:rsidP="00F94AE1">
            <w:pPr>
              <w:jc w:val="right"/>
              <w:rPr>
                <w:sz w:val="18"/>
                <w:szCs w:val="18"/>
                <w:lang w:eastAsia="tr-TR"/>
              </w:rPr>
            </w:pPr>
            <w:r w:rsidRPr="00BD5F7B">
              <w:rPr>
                <w:sz w:val="18"/>
                <w:szCs w:val="18"/>
                <w:lang w:eastAsia="tr-TR"/>
              </w:rPr>
              <w:t>4,229</w:t>
            </w:r>
          </w:p>
        </w:tc>
        <w:tc>
          <w:tcPr>
            <w:tcW w:w="1232" w:type="dxa"/>
            <w:tcBorders>
              <w:top w:val="nil"/>
              <w:left w:val="nil"/>
              <w:bottom w:val="nil"/>
              <w:right w:val="nil"/>
            </w:tcBorders>
            <w:shd w:val="clear" w:color="auto" w:fill="auto"/>
            <w:vAlign w:val="center"/>
            <w:hideMark/>
          </w:tcPr>
          <w:p w14:paraId="40573AE7" w14:textId="77777777" w:rsidR="00F94AE1" w:rsidRPr="00BD5F7B" w:rsidRDefault="00F94AE1" w:rsidP="00F94AE1">
            <w:pPr>
              <w:jc w:val="right"/>
              <w:rPr>
                <w:sz w:val="18"/>
                <w:szCs w:val="18"/>
                <w:lang w:eastAsia="tr-TR"/>
              </w:rPr>
            </w:pPr>
            <w:r w:rsidRPr="00BD5F7B">
              <w:rPr>
                <w:sz w:val="18"/>
                <w:szCs w:val="18"/>
                <w:lang w:eastAsia="tr-TR"/>
              </w:rPr>
              <w:t>60</w:t>
            </w:r>
          </w:p>
        </w:tc>
        <w:tc>
          <w:tcPr>
            <w:tcW w:w="941" w:type="dxa"/>
            <w:tcBorders>
              <w:top w:val="nil"/>
              <w:left w:val="nil"/>
              <w:bottom w:val="nil"/>
              <w:right w:val="nil"/>
            </w:tcBorders>
            <w:shd w:val="clear" w:color="auto" w:fill="auto"/>
            <w:vAlign w:val="center"/>
            <w:hideMark/>
          </w:tcPr>
          <w:p w14:paraId="6D7B7393" w14:textId="77777777" w:rsidR="00F94AE1" w:rsidRPr="00BD5F7B" w:rsidRDefault="00F94AE1" w:rsidP="00F94AE1">
            <w:pPr>
              <w:jc w:val="right"/>
              <w:rPr>
                <w:sz w:val="18"/>
                <w:szCs w:val="18"/>
                <w:lang w:eastAsia="tr-TR"/>
              </w:rPr>
            </w:pPr>
            <w:r w:rsidRPr="00BD5F7B">
              <w:rPr>
                <w:sz w:val="18"/>
                <w:szCs w:val="18"/>
                <w:lang w:eastAsia="tr-TR"/>
              </w:rPr>
              <w:t>4,289</w:t>
            </w:r>
          </w:p>
        </w:tc>
      </w:tr>
      <w:tr w:rsidR="00F94AE1" w:rsidRPr="00BD5F7B" w14:paraId="23DE9D36"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10DB80B6" w14:textId="77777777" w:rsidR="00F94AE1" w:rsidRPr="00BD5F7B" w:rsidRDefault="00F94AE1" w:rsidP="00F94AE1">
            <w:pPr>
              <w:jc w:val="both"/>
              <w:rPr>
                <w:sz w:val="18"/>
                <w:szCs w:val="18"/>
                <w:lang w:eastAsia="tr-TR"/>
              </w:rPr>
            </w:pPr>
            <w:r w:rsidRPr="00BD5F7B">
              <w:rPr>
                <w:sz w:val="18"/>
                <w:szCs w:val="18"/>
                <w:lang w:eastAsia="tr-TR"/>
              </w:rPr>
              <w:t>Taksitsiz</w:t>
            </w:r>
          </w:p>
        </w:tc>
        <w:tc>
          <w:tcPr>
            <w:tcW w:w="1697" w:type="dxa"/>
            <w:tcBorders>
              <w:top w:val="nil"/>
              <w:left w:val="nil"/>
              <w:bottom w:val="nil"/>
              <w:right w:val="nil"/>
            </w:tcBorders>
            <w:shd w:val="clear" w:color="000000" w:fill="FFFFFF"/>
            <w:vAlign w:val="center"/>
            <w:hideMark/>
          </w:tcPr>
          <w:p w14:paraId="4FE5801C" w14:textId="77777777" w:rsidR="00F94AE1" w:rsidRPr="00BD5F7B" w:rsidRDefault="00F94AE1" w:rsidP="00F94AE1">
            <w:pPr>
              <w:jc w:val="right"/>
              <w:rPr>
                <w:sz w:val="18"/>
                <w:szCs w:val="18"/>
                <w:lang w:eastAsia="tr-TR"/>
              </w:rPr>
            </w:pPr>
            <w:r w:rsidRPr="00BD5F7B">
              <w:rPr>
                <w:sz w:val="18"/>
                <w:szCs w:val="18"/>
                <w:lang w:eastAsia="tr-TR"/>
              </w:rPr>
              <w:t>6,796</w:t>
            </w:r>
          </w:p>
        </w:tc>
        <w:tc>
          <w:tcPr>
            <w:tcW w:w="1232" w:type="dxa"/>
            <w:tcBorders>
              <w:top w:val="nil"/>
              <w:left w:val="nil"/>
              <w:bottom w:val="nil"/>
              <w:right w:val="nil"/>
            </w:tcBorders>
            <w:shd w:val="clear" w:color="auto" w:fill="auto"/>
            <w:vAlign w:val="center"/>
            <w:hideMark/>
          </w:tcPr>
          <w:p w14:paraId="3270A2A4"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261C39B5" w14:textId="77777777" w:rsidR="00F94AE1" w:rsidRPr="00BD5F7B" w:rsidRDefault="00F94AE1" w:rsidP="00F94AE1">
            <w:pPr>
              <w:jc w:val="right"/>
              <w:rPr>
                <w:sz w:val="18"/>
                <w:szCs w:val="18"/>
                <w:lang w:eastAsia="tr-TR"/>
              </w:rPr>
            </w:pPr>
            <w:r w:rsidRPr="00BD5F7B">
              <w:rPr>
                <w:sz w:val="18"/>
                <w:szCs w:val="18"/>
                <w:lang w:eastAsia="tr-TR"/>
              </w:rPr>
              <w:t>6,796</w:t>
            </w:r>
          </w:p>
        </w:tc>
      </w:tr>
      <w:tr w:rsidR="00F94AE1" w:rsidRPr="00BD5F7B" w14:paraId="415E956E"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2E41ECE5" w14:textId="77777777" w:rsidR="00F94AE1" w:rsidRPr="00BD5F7B" w:rsidRDefault="00F94AE1" w:rsidP="00F94AE1">
            <w:pPr>
              <w:jc w:val="both"/>
              <w:rPr>
                <w:b/>
                <w:bCs/>
                <w:sz w:val="18"/>
                <w:szCs w:val="18"/>
                <w:lang w:eastAsia="tr-TR"/>
              </w:rPr>
            </w:pPr>
            <w:r w:rsidRPr="00BD5F7B">
              <w:rPr>
                <w:b/>
                <w:bCs/>
                <w:sz w:val="18"/>
                <w:szCs w:val="18"/>
                <w:lang w:eastAsia="tr-TR"/>
              </w:rPr>
              <w:t>Personel Kredi Kartları-YP</w:t>
            </w:r>
          </w:p>
        </w:tc>
        <w:tc>
          <w:tcPr>
            <w:tcW w:w="1697" w:type="dxa"/>
            <w:tcBorders>
              <w:top w:val="nil"/>
              <w:left w:val="nil"/>
              <w:bottom w:val="nil"/>
              <w:right w:val="nil"/>
            </w:tcBorders>
            <w:shd w:val="clear" w:color="000000" w:fill="FFFFFF"/>
            <w:vAlign w:val="center"/>
            <w:hideMark/>
          </w:tcPr>
          <w:p w14:paraId="3229E396"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1232" w:type="dxa"/>
            <w:tcBorders>
              <w:top w:val="nil"/>
              <w:left w:val="nil"/>
              <w:bottom w:val="nil"/>
              <w:right w:val="nil"/>
            </w:tcBorders>
            <w:shd w:val="clear" w:color="auto" w:fill="auto"/>
            <w:vAlign w:val="center"/>
            <w:hideMark/>
          </w:tcPr>
          <w:p w14:paraId="0C0CB588"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941" w:type="dxa"/>
            <w:tcBorders>
              <w:top w:val="nil"/>
              <w:left w:val="nil"/>
              <w:bottom w:val="nil"/>
              <w:right w:val="nil"/>
            </w:tcBorders>
            <w:shd w:val="clear" w:color="auto" w:fill="auto"/>
            <w:vAlign w:val="center"/>
            <w:hideMark/>
          </w:tcPr>
          <w:p w14:paraId="5E9CD32F"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3E6A85C1"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64977141" w14:textId="77777777" w:rsidR="00F94AE1" w:rsidRPr="00BD5F7B" w:rsidRDefault="00F94AE1" w:rsidP="00F94AE1">
            <w:pPr>
              <w:jc w:val="both"/>
              <w:rPr>
                <w:sz w:val="18"/>
                <w:szCs w:val="18"/>
                <w:lang w:eastAsia="tr-TR"/>
              </w:rPr>
            </w:pPr>
            <w:r w:rsidRPr="00BD5F7B">
              <w:rPr>
                <w:sz w:val="18"/>
                <w:szCs w:val="18"/>
                <w:lang w:eastAsia="tr-TR"/>
              </w:rPr>
              <w:t xml:space="preserve">Taksitli </w:t>
            </w:r>
          </w:p>
        </w:tc>
        <w:tc>
          <w:tcPr>
            <w:tcW w:w="1697" w:type="dxa"/>
            <w:tcBorders>
              <w:top w:val="nil"/>
              <w:left w:val="nil"/>
              <w:bottom w:val="nil"/>
              <w:right w:val="nil"/>
            </w:tcBorders>
            <w:shd w:val="clear" w:color="000000" w:fill="FFFFFF"/>
            <w:vAlign w:val="center"/>
            <w:hideMark/>
          </w:tcPr>
          <w:p w14:paraId="20E0B1B8"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670E90EB"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34DA869A" w14:textId="77777777" w:rsidR="00F94AE1" w:rsidRPr="00BD5F7B" w:rsidRDefault="00F94AE1" w:rsidP="00F94AE1">
            <w:pPr>
              <w:jc w:val="right"/>
              <w:rPr>
                <w:sz w:val="18"/>
                <w:szCs w:val="18"/>
                <w:lang w:eastAsia="tr-TR"/>
              </w:rPr>
            </w:pPr>
            <w:r w:rsidRPr="00BD5F7B">
              <w:rPr>
                <w:sz w:val="18"/>
                <w:szCs w:val="18"/>
                <w:lang w:eastAsia="tr-TR"/>
              </w:rPr>
              <w:t>-</w:t>
            </w:r>
          </w:p>
        </w:tc>
      </w:tr>
      <w:tr w:rsidR="00F94AE1" w:rsidRPr="00BD5F7B" w14:paraId="36A2F398"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179A25B7" w14:textId="77777777" w:rsidR="00F94AE1" w:rsidRPr="00BD5F7B" w:rsidRDefault="00F94AE1" w:rsidP="00F94AE1">
            <w:pPr>
              <w:jc w:val="both"/>
              <w:rPr>
                <w:sz w:val="18"/>
                <w:szCs w:val="18"/>
                <w:lang w:eastAsia="tr-TR"/>
              </w:rPr>
            </w:pPr>
            <w:r w:rsidRPr="00BD5F7B">
              <w:rPr>
                <w:sz w:val="18"/>
                <w:szCs w:val="18"/>
                <w:lang w:eastAsia="tr-TR"/>
              </w:rPr>
              <w:t>Taksitsiz</w:t>
            </w:r>
          </w:p>
        </w:tc>
        <w:tc>
          <w:tcPr>
            <w:tcW w:w="1697" w:type="dxa"/>
            <w:tcBorders>
              <w:top w:val="nil"/>
              <w:left w:val="nil"/>
              <w:bottom w:val="nil"/>
              <w:right w:val="nil"/>
            </w:tcBorders>
            <w:shd w:val="clear" w:color="000000" w:fill="FFFFFF"/>
            <w:vAlign w:val="center"/>
            <w:hideMark/>
          </w:tcPr>
          <w:p w14:paraId="0FA5A6D7" w14:textId="77777777" w:rsidR="00F94AE1" w:rsidRPr="00BD5F7B" w:rsidRDefault="00F94AE1" w:rsidP="00F94AE1">
            <w:pPr>
              <w:jc w:val="right"/>
              <w:rPr>
                <w:sz w:val="18"/>
                <w:szCs w:val="18"/>
                <w:lang w:eastAsia="tr-TR"/>
              </w:rPr>
            </w:pPr>
            <w:r w:rsidRPr="00BD5F7B">
              <w:rPr>
                <w:sz w:val="18"/>
                <w:szCs w:val="18"/>
                <w:lang w:eastAsia="tr-TR"/>
              </w:rPr>
              <w:t>-</w:t>
            </w:r>
          </w:p>
        </w:tc>
        <w:tc>
          <w:tcPr>
            <w:tcW w:w="1232" w:type="dxa"/>
            <w:tcBorders>
              <w:top w:val="nil"/>
              <w:left w:val="nil"/>
              <w:bottom w:val="nil"/>
              <w:right w:val="nil"/>
            </w:tcBorders>
            <w:shd w:val="clear" w:color="auto" w:fill="auto"/>
            <w:vAlign w:val="center"/>
            <w:hideMark/>
          </w:tcPr>
          <w:p w14:paraId="60FE32E9" w14:textId="77777777" w:rsidR="00F94AE1" w:rsidRPr="00BD5F7B" w:rsidRDefault="00F94AE1" w:rsidP="00F94AE1">
            <w:pPr>
              <w:jc w:val="right"/>
              <w:rPr>
                <w:sz w:val="18"/>
                <w:szCs w:val="18"/>
                <w:lang w:eastAsia="tr-TR"/>
              </w:rPr>
            </w:pPr>
            <w:r w:rsidRPr="00BD5F7B">
              <w:rPr>
                <w:sz w:val="18"/>
                <w:szCs w:val="18"/>
                <w:lang w:eastAsia="tr-TR"/>
              </w:rPr>
              <w:t>-</w:t>
            </w:r>
          </w:p>
        </w:tc>
        <w:tc>
          <w:tcPr>
            <w:tcW w:w="941" w:type="dxa"/>
            <w:tcBorders>
              <w:top w:val="nil"/>
              <w:left w:val="nil"/>
              <w:bottom w:val="nil"/>
              <w:right w:val="nil"/>
            </w:tcBorders>
            <w:shd w:val="clear" w:color="auto" w:fill="auto"/>
            <w:vAlign w:val="center"/>
            <w:hideMark/>
          </w:tcPr>
          <w:p w14:paraId="12F40650" w14:textId="77777777" w:rsidR="00F94AE1" w:rsidRPr="00BD5F7B" w:rsidRDefault="00F94AE1" w:rsidP="00F94AE1">
            <w:pPr>
              <w:jc w:val="right"/>
              <w:rPr>
                <w:sz w:val="18"/>
                <w:szCs w:val="18"/>
                <w:lang w:eastAsia="tr-TR"/>
              </w:rPr>
            </w:pPr>
            <w:r w:rsidRPr="00BD5F7B">
              <w:rPr>
                <w:sz w:val="18"/>
                <w:szCs w:val="18"/>
                <w:lang w:eastAsia="tr-TR"/>
              </w:rPr>
              <w:t>-</w:t>
            </w:r>
          </w:p>
        </w:tc>
      </w:tr>
      <w:tr w:rsidR="00F94AE1" w:rsidRPr="00BD5F7B" w14:paraId="519CC379" w14:textId="77777777" w:rsidTr="006B1072">
        <w:trPr>
          <w:divId w:val="779182521"/>
          <w:trHeight w:val="260"/>
        </w:trPr>
        <w:tc>
          <w:tcPr>
            <w:tcW w:w="5387" w:type="dxa"/>
            <w:tcBorders>
              <w:top w:val="nil"/>
              <w:left w:val="nil"/>
              <w:bottom w:val="nil"/>
              <w:right w:val="nil"/>
            </w:tcBorders>
            <w:shd w:val="clear" w:color="auto" w:fill="auto"/>
            <w:vAlign w:val="center"/>
            <w:hideMark/>
          </w:tcPr>
          <w:p w14:paraId="2467E177" w14:textId="77777777" w:rsidR="00F94AE1" w:rsidRPr="00BD5F7B" w:rsidRDefault="00F94AE1" w:rsidP="00F94AE1">
            <w:pPr>
              <w:jc w:val="both"/>
              <w:rPr>
                <w:b/>
                <w:bCs/>
                <w:sz w:val="18"/>
                <w:szCs w:val="18"/>
                <w:lang w:eastAsia="tr-TR"/>
              </w:rPr>
            </w:pPr>
            <w:r w:rsidRPr="00BD5F7B">
              <w:rPr>
                <w:b/>
                <w:bCs/>
                <w:sz w:val="18"/>
                <w:szCs w:val="18"/>
                <w:lang w:eastAsia="tr-TR"/>
              </w:rPr>
              <w:t>Kredili Mevduat Hesabı-TP (Gerçek Kişi)</w:t>
            </w:r>
          </w:p>
        </w:tc>
        <w:tc>
          <w:tcPr>
            <w:tcW w:w="1697" w:type="dxa"/>
            <w:tcBorders>
              <w:top w:val="nil"/>
              <w:left w:val="nil"/>
              <w:bottom w:val="nil"/>
              <w:right w:val="nil"/>
            </w:tcBorders>
            <w:shd w:val="clear" w:color="000000" w:fill="FFFFFF"/>
            <w:vAlign w:val="center"/>
            <w:hideMark/>
          </w:tcPr>
          <w:p w14:paraId="40416481"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1232" w:type="dxa"/>
            <w:tcBorders>
              <w:top w:val="nil"/>
              <w:left w:val="nil"/>
              <w:bottom w:val="nil"/>
              <w:right w:val="nil"/>
            </w:tcBorders>
            <w:shd w:val="clear" w:color="auto" w:fill="auto"/>
            <w:vAlign w:val="center"/>
            <w:hideMark/>
          </w:tcPr>
          <w:p w14:paraId="27B96D46"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941" w:type="dxa"/>
            <w:tcBorders>
              <w:top w:val="nil"/>
              <w:left w:val="nil"/>
              <w:bottom w:val="nil"/>
              <w:right w:val="nil"/>
            </w:tcBorders>
            <w:shd w:val="clear" w:color="auto" w:fill="auto"/>
            <w:vAlign w:val="center"/>
            <w:hideMark/>
          </w:tcPr>
          <w:p w14:paraId="0FA1EA0E"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2DFA422A" w14:textId="77777777" w:rsidTr="006B1072">
        <w:trPr>
          <w:divId w:val="779182521"/>
          <w:trHeight w:val="277"/>
        </w:trPr>
        <w:tc>
          <w:tcPr>
            <w:tcW w:w="5387" w:type="dxa"/>
            <w:tcBorders>
              <w:top w:val="nil"/>
              <w:left w:val="nil"/>
              <w:bottom w:val="single" w:sz="8" w:space="0" w:color="auto"/>
              <w:right w:val="nil"/>
            </w:tcBorders>
            <w:shd w:val="clear" w:color="auto" w:fill="auto"/>
            <w:vAlign w:val="center"/>
            <w:hideMark/>
          </w:tcPr>
          <w:p w14:paraId="0603CF21" w14:textId="77777777" w:rsidR="00F94AE1" w:rsidRPr="00BD5F7B" w:rsidRDefault="00F94AE1" w:rsidP="00F94AE1">
            <w:pPr>
              <w:jc w:val="both"/>
              <w:rPr>
                <w:b/>
                <w:bCs/>
                <w:sz w:val="18"/>
                <w:szCs w:val="18"/>
                <w:lang w:eastAsia="tr-TR"/>
              </w:rPr>
            </w:pPr>
            <w:r w:rsidRPr="00BD5F7B">
              <w:rPr>
                <w:b/>
                <w:bCs/>
                <w:sz w:val="18"/>
                <w:szCs w:val="18"/>
                <w:lang w:eastAsia="tr-TR"/>
              </w:rPr>
              <w:t>Kredili Mevduat Hesabı-YP (Gerçek Kişi)</w:t>
            </w:r>
          </w:p>
        </w:tc>
        <w:tc>
          <w:tcPr>
            <w:tcW w:w="1697" w:type="dxa"/>
            <w:tcBorders>
              <w:top w:val="nil"/>
              <w:left w:val="nil"/>
              <w:bottom w:val="single" w:sz="8" w:space="0" w:color="auto"/>
              <w:right w:val="nil"/>
            </w:tcBorders>
            <w:shd w:val="clear" w:color="000000" w:fill="FFFFFF"/>
            <w:vAlign w:val="center"/>
            <w:hideMark/>
          </w:tcPr>
          <w:p w14:paraId="5B2DD41E"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1232" w:type="dxa"/>
            <w:tcBorders>
              <w:top w:val="nil"/>
              <w:left w:val="nil"/>
              <w:bottom w:val="single" w:sz="8" w:space="0" w:color="auto"/>
              <w:right w:val="nil"/>
            </w:tcBorders>
            <w:shd w:val="clear" w:color="auto" w:fill="auto"/>
            <w:vAlign w:val="center"/>
            <w:hideMark/>
          </w:tcPr>
          <w:p w14:paraId="082F6668" w14:textId="77777777" w:rsidR="00F94AE1" w:rsidRPr="00BD5F7B" w:rsidRDefault="00F94AE1" w:rsidP="00F94AE1">
            <w:pPr>
              <w:jc w:val="right"/>
              <w:rPr>
                <w:b/>
                <w:bCs/>
                <w:sz w:val="18"/>
                <w:szCs w:val="18"/>
                <w:lang w:eastAsia="tr-TR"/>
              </w:rPr>
            </w:pPr>
            <w:r w:rsidRPr="00BD5F7B">
              <w:rPr>
                <w:b/>
                <w:bCs/>
                <w:sz w:val="18"/>
                <w:szCs w:val="18"/>
                <w:lang w:eastAsia="tr-TR"/>
              </w:rPr>
              <w:t>-</w:t>
            </w:r>
          </w:p>
        </w:tc>
        <w:tc>
          <w:tcPr>
            <w:tcW w:w="941" w:type="dxa"/>
            <w:tcBorders>
              <w:top w:val="nil"/>
              <w:left w:val="nil"/>
              <w:bottom w:val="single" w:sz="8" w:space="0" w:color="auto"/>
              <w:right w:val="nil"/>
            </w:tcBorders>
            <w:shd w:val="clear" w:color="auto" w:fill="auto"/>
            <w:vAlign w:val="center"/>
            <w:hideMark/>
          </w:tcPr>
          <w:p w14:paraId="1D785FA7" w14:textId="77777777" w:rsidR="00F94AE1" w:rsidRPr="00BD5F7B" w:rsidRDefault="00F94AE1" w:rsidP="00F94AE1">
            <w:pPr>
              <w:jc w:val="right"/>
              <w:rPr>
                <w:b/>
                <w:bCs/>
                <w:sz w:val="18"/>
                <w:szCs w:val="18"/>
                <w:lang w:eastAsia="tr-TR"/>
              </w:rPr>
            </w:pPr>
            <w:r w:rsidRPr="00BD5F7B">
              <w:rPr>
                <w:b/>
                <w:bCs/>
                <w:sz w:val="18"/>
                <w:szCs w:val="18"/>
                <w:lang w:eastAsia="tr-TR"/>
              </w:rPr>
              <w:t>-</w:t>
            </w:r>
          </w:p>
        </w:tc>
      </w:tr>
      <w:tr w:rsidR="00F94AE1" w:rsidRPr="00BD5F7B" w14:paraId="19D73EFE" w14:textId="77777777" w:rsidTr="006B1072">
        <w:trPr>
          <w:divId w:val="779182521"/>
          <w:trHeight w:val="277"/>
        </w:trPr>
        <w:tc>
          <w:tcPr>
            <w:tcW w:w="5387" w:type="dxa"/>
            <w:tcBorders>
              <w:top w:val="nil"/>
              <w:left w:val="nil"/>
              <w:bottom w:val="double" w:sz="6" w:space="0" w:color="auto"/>
              <w:right w:val="nil"/>
            </w:tcBorders>
            <w:shd w:val="clear" w:color="auto" w:fill="auto"/>
            <w:vAlign w:val="center"/>
            <w:hideMark/>
          </w:tcPr>
          <w:p w14:paraId="74C91D72" w14:textId="77777777" w:rsidR="00F94AE1" w:rsidRPr="00BD5F7B" w:rsidRDefault="00F94AE1" w:rsidP="00F94AE1">
            <w:pPr>
              <w:jc w:val="both"/>
              <w:rPr>
                <w:b/>
                <w:bCs/>
                <w:sz w:val="18"/>
                <w:szCs w:val="18"/>
                <w:lang w:eastAsia="tr-TR"/>
              </w:rPr>
            </w:pPr>
            <w:r w:rsidRPr="00BD5F7B">
              <w:rPr>
                <w:b/>
                <w:bCs/>
                <w:sz w:val="18"/>
                <w:szCs w:val="18"/>
                <w:lang w:eastAsia="tr-TR"/>
              </w:rPr>
              <w:t>Toplam</w:t>
            </w:r>
          </w:p>
        </w:tc>
        <w:tc>
          <w:tcPr>
            <w:tcW w:w="1697" w:type="dxa"/>
            <w:tcBorders>
              <w:top w:val="nil"/>
              <w:left w:val="nil"/>
              <w:bottom w:val="double" w:sz="6" w:space="0" w:color="auto"/>
              <w:right w:val="nil"/>
            </w:tcBorders>
            <w:shd w:val="clear" w:color="000000" w:fill="FFFFFF"/>
            <w:vAlign w:val="center"/>
            <w:hideMark/>
          </w:tcPr>
          <w:p w14:paraId="627B9699" w14:textId="77777777" w:rsidR="00F94AE1" w:rsidRPr="00BD5F7B" w:rsidRDefault="00F94AE1" w:rsidP="00F94AE1">
            <w:pPr>
              <w:jc w:val="right"/>
              <w:rPr>
                <w:b/>
                <w:bCs/>
                <w:sz w:val="18"/>
                <w:szCs w:val="18"/>
                <w:lang w:eastAsia="tr-TR"/>
              </w:rPr>
            </w:pPr>
            <w:r w:rsidRPr="00BD5F7B">
              <w:rPr>
                <w:b/>
                <w:bCs/>
                <w:sz w:val="18"/>
                <w:szCs w:val="18"/>
                <w:lang w:eastAsia="tr-TR"/>
              </w:rPr>
              <w:t>544,694</w:t>
            </w:r>
          </w:p>
        </w:tc>
        <w:tc>
          <w:tcPr>
            <w:tcW w:w="1232" w:type="dxa"/>
            <w:tcBorders>
              <w:top w:val="nil"/>
              <w:left w:val="nil"/>
              <w:bottom w:val="double" w:sz="6" w:space="0" w:color="auto"/>
              <w:right w:val="nil"/>
            </w:tcBorders>
            <w:shd w:val="clear" w:color="auto" w:fill="auto"/>
            <w:vAlign w:val="center"/>
            <w:hideMark/>
          </w:tcPr>
          <w:p w14:paraId="3A4D52E9" w14:textId="77777777" w:rsidR="00F94AE1" w:rsidRPr="00BD5F7B" w:rsidRDefault="00F94AE1" w:rsidP="00F94AE1">
            <w:pPr>
              <w:jc w:val="right"/>
              <w:rPr>
                <w:b/>
                <w:bCs/>
                <w:sz w:val="18"/>
                <w:szCs w:val="18"/>
                <w:lang w:eastAsia="tr-TR"/>
              </w:rPr>
            </w:pPr>
            <w:r w:rsidRPr="00BD5F7B">
              <w:rPr>
                <w:b/>
                <w:bCs/>
                <w:sz w:val="18"/>
                <w:szCs w:val="18"/>
                <w:lang w:eastAsia="tr-TR"/>
              </w:rPr>
              <w:t>7,823,388</w:t>
            </w:r>
          </w:p>
        </w:tc>
        <w:tc>
          <w:tcPr>
            <w:tcW w:w="941" w:type="dxa"/>
            <w:tcBorders>
              <w:top w:val="nil"/>
              <w:left w:val="nil"/>
              <w:bottom w:val="double" w:sz="6" w:space="0" w:color="auto"/>
              <w:right w:val="nil"/>
            </w:tcBorders>
            <w:shd w:val="clear" w:color="auto" w:fill="auto"/>
            <w:vAlign w:val="center"/>
            <w:hideMark/>
          </w:tcPr>
          <w:p w14:paraId="43727AA1" w14:textId="77777777" w:rsidR="00F94AE1" w:rsidRPr="00BD5F7B" w:rsidRDefault="00F94AE1" w:rsidP="00F94AE1">
            <w:pPr>
              <w:jc w:val="right"/>
              <w:rPr>
                <w:b/>
                <w:bCs/>
                <w:sz w:val="18"/>
                <w:szCs w:val="18"/>
                <w:lang w:eastAsia="tr-TR"/>
              </w:rPr>
            </w:pPr>
            <w:r w:rsidRPr="00BD5F7B">
              <w:rPr>
                <w:b/>
                <w:bCs/>
                <w:sz w:val="18"/>
                <w:szCs w:val="18"/>
                <w:lang w:eastAsia="tr-TR"/>
              </w:rPr>
              <w:t>8,368,082</w:t>
            </w:r>
          </w:p>
        </w:tc>
      </w:tr>
    </w:tbl>
    <w:p w14:paraId="3380FA29" w14:textId="4D9DA15B" w:rsidR="00D22163" w:rsidRPr="00270CE6" w:rsidRDefault="00D22163" w:rsidP="0018704C">
      <w:pPr>
        <w:autoSpaceDE w:val="0"/>
        <w:autoSpaceDN w:val="0"/>
        <w:adjustRightInd w:val="0"/>
        <w:ind w:left="720"/>
        <w:jc w:val="both"/>
        <w:rPr>
          <w:highlight w:val="yellow"/>
          <w:lang w:val="en-GB" w:eastAsia="en-GB"/>
        </w:rPr>
      </w:pPr>
    </w:p>
    <w:p w14:paraId="5BAACCBA" w14:textId="49CC802E" w:rsidR="0018704C" w:rsidRPr="00270CE6" w:rsidRDefault="0018704C" w:rsidP="0018704C">
      <w:pPr>
        <w:autoSpaceDE w:val="0"/>
        <w:autoSpaceDN w:val="0"/>
        <w:adjustRightInd w:val="0"/>
        <w:ind w:left="720"/>
        <w:jc w:val="both"/>
        <w:rPr>
          <w:b/>
          <w:sz w:val="22"/>
          <w:highlight w:val="yellow"/>
        </w:rPr>
      </w:pPr>
    </w:p>
    <w:p w14:paraId="5021CC47" w14:textId="77777777" w:rsidR="00356C26" w:rsidRPr="00BD5F7B" w:rsidRDefault="00E253C8" w:rsidP="00356C26">
      <w:pPr>
        <w:autoSpaceDE w:val="0"/>
        <w:autoSpaceDN w:val="0"/>
        <w:adjustRightInd w:val="0"/>
        <w:ind w:hanging="567"/>
        <w:jc w:val="both"/>
      </w:pPr>
      <w:r w:rsidRPr="00270CE6">
        <w:rPr>
          <w:rFonts w:eastAsia="Arial Unicode MS"/>
          <w:highlight w:val="yellow"/>
        </w:rPr>
        <w:br w:type="page"/>
      </w:r>
      <w:r w:rsidR="004478F0" w:rsidRPr="00BD5F7B">
        <w:rPr>
          <w:b/>
        </w:rPr>
        <w:lastRenderedPageBreak/>
        <w:t>1.5.</w:t>
      </w:r>
      <w:r w:rsidR="00C95B75" w:rsidRPr="00BD5F7B">
        <w:rPr>
          <w:b/>
        </w:rPr>
        <w:t>5</w:t>
      </w:r>
      <w:r w:rsidR="004478F0" w:rsidRPr="00BD5F7B">
        <w:tab/>
      </w:r>
      <w:r w:rsidRPr="00BD5F7B">
        <w:t>Taksitli ticari krediler ve kurumsal kredi kartlarına ilişkin bilgiler:</w:t>
      </w:r>
    </w:p>
    <w:p w14:paraId="7993C1F1" w14:textId="10272BEB" w:rsidR="00BD5F7B" w:rsidRPr="00BD5F7B" w:rsidRDefault="00BD5F7B" w:rsidP="00BD5F7B">
      <w:pPr>
        <w:autoSpaceDE w:val="0"/>
        <w:autoSpaceDN w:val="0"/>
        <w:adjustRightInd w:val="0"/>
        <w:ind w:hanging="567"/>
        <w:jc w:val="both"/>
      </w:pPr>
    </w:p>
    <w:tbl>
      <w:tblPr>
        <w:tblW w:w="9142" w:type="dxa"/>
        <w:tblCellMar>
          <w:left w:w="70" w:type="dxa"/>
          <w:right w:w="70" w:type="dxa"/>
        </w:tblCellMar>
        <w:tblLook w:val="04A0" w:firstRow="1" w:lastRow="0" w:firstColumn="1" w:lastColumn="0" w:noHBand="0" w:noVBand="1"/>
      </w:tblPr>
      <w:tblGrid>
        <w:gridCol w:w="4699"/>
        <w:gridCol w:w="1481"/>
        <w:gridCol w:w="1481"/>
        <w:gridCol w:w="1481"/>
      </w:tblGrid>
      <w:tr w:rsidR="00BD5F7B" w:rsidRPr="00BD5F7B" w14:paraId="50807EC4" w14:textId="77777777" w:rsidTr="006B1072">
        <w:trPr>
          <w:divId w:val="951403516"/>
          <w:trHeight w:val="612"/>
        </w:trPr>
        <w:tc>
          <w:tcPr>
            <w:tcW w:w="4699" w:type="dxa"/>
            <w:tcBorders>
              <w:top w:val="double" w:sz="6" w:space="0" w:color="auto"/>
              <w:left w:val="nil"/>
              <w:bottom w:val="single" w:sz="8" w:space="0" w:color="auto"/>
              <w:right w:val="nil"/>
            </w:tcBorders>
            <w:shd w:val="clear" w:color="auto" w:fill="auto"/>
            <w:vAlign w:val="center"/>
            <w:hideMark/>
          </w:tcPr>
          <w:p w14:paraId="428EFFAF" w14:textId="1641E8FC" w:rsidR="00BD5F7B" w:rsidRPr="00BD5F7B" w:rsidRDefault="00BD5F7B" w:rsidP="00BD5F7B">
            <w:pPr>
              <w:jc w:val="both"/>
              <w:rPr>
                <w:b/>
                <w:bCs/>
                <w:sz w:val="18"/>
                <w:szCs w:val="18"/>
                <w:lang w:eastAsia="tr-TR"/>
              </w:rPr>
            </w:pPr>
            <w:r w:rsidRPr="00BD5F7B">
              <w:rPr>
                <w:b/>
                <w:bCs/>
                <w:sz w:val="18"/>
                <w:szCs w:val="18"/>
                <w:lang w:eastAsia="tr-TR"/>
              </w:rPr>
              <w:t>Cari Dönem</w:t>
            </w:r>
          </w:p>
        </w:tc>
        <w:tc>
          <w:tcPr>
            <w:tcW w:w="1481" w:type="dxa"/>
            <w:tcBorders>
              <w:top w:val="double" w:sz="6" w:space="0" w:color="auto"/>
              <w:left w:val="nil"/>
              <w:bottom w:val="single" w:sz="8" w:space="0" w:color="auto"/>
              <w:right w:val="nil"/>
            </w:tcBorders>
            <w:shd w:val="clear" w:color="auto" w:fill="auto"/>
            <w:vAlign w:val="center"/>
            <w:hideMark/>
          </w:tcPr>
          <w:p w14:paraId="02F3A33C" w14:textId="77777777" w:rsidR="00BD5F7B" w:rsidRPr="00BD5F7B" w:rsidRDefault="00BD5F7B" w:rsidP="00BD5F7B">
            <w:pPr>
              <w:jc w:val="right"/>
              <w:rPr>
                <w:b/>
                <w:bCs/>
                <w:sz w:val="18"/>
                <w:szCs w:val="18"/>
                <w:lang w:eastAsia="tr-TR"/>
              </w:rPr>
            </w:pPr>
            <w:r w:rsidRPr="00BD5F7B">
              <w:rPr>
                <w:b/>
                <w:bCs/>
                <w:sz w:val="18"/>
                <w:szCs w:val="18"/>
                <w:lang w:eastAsia="tr-TR"/>
              </w:rPr>
              <w:t>Kısa Vadeli</w:t>
            </w:r>
          </w:p>
        </w:tc>
        <w:tc>
          <w:tcPr>
            <w:tcW w:w="1481" w:type="dxa"/>
            <w:tcBorders>
              <w:top w:val="double" w:sz="6" w:space="0" w:color="auto"/>
              <w:left w:val="nil"/>
              <w:bottom w:val="single" w:sz="8" w:space="0" w:color="auto"/>
              <w:right w:val="nil"/>
            </w:tcBorders>
            <w:shd w:val="clear" w:color="auto" w:fill="auto"/>
            <w:vAlign w:val="center"/>
            <w:hideMark/>
          </w:tcPr>
          <w:p w14:paraId="57C9F349" w14:textId="77777777" w:rsidR="00BD5F7B" w:rsidRPr="00BD5F7B" w:rsidRDefault="00BD5F7B" w:rsidP="00BD5F7B">
            <w:pPr>
              <w:jc w:val="right"/>
              <w:rPr>
                <w:b/>
                <w:bCs/>
                <w:sz w:val="18"/>
                <w:szCs w:val="18"/>
                <w:lang w:eastAsia="tr-TR"/>
              </w:rPr>
            </w:pPr>
            <w:r w:rsidRPr="00BD5F7B">
              <w:rPr>
                <w:b/>
                <w:bCs/>
                <w:sz w:val="18"/>
                <w:szCs w:val="18"/>
                <w:lang w:eastAsia="tr-TR"/>
              </w:rPr>
              <w:t>Orta ve Uzun Vadeli</w:t>
            </w:r>
          </w:p>
        </w:tc>
        <w:tc>
          <w:tcPr>
            <w:tcW w:w="1481" w:type="dxa"/>
            <w:tcBorders>
              <w:top w:val="double" w:sz="6" w:space="0" w:color="auto"/>
              <w:left w:val="nil"/>
              <w:bottom w:val="single" w:sz="8" w:space="0" w:color="auto"/>
              <w:right w:val="nil"/>
            </w:tcBorders>
            <w:shd w:val="clear" w:color="auto" w:fill="auto"/>
            <w:vAlign w:val="center"/>
            <w:hideMark/>
          </w:tcPr>
          <w:p w14:paraId="79872417" w14:textId="77777777" w:rsidR="00BD5F7B" w:rsidRPr="00BD5F7B" w:rsidRDefault="00BD5F7B" w:rsidP="00BD5F7B">
            <w:pPr>
              <w:jc w:val="right"/>
              <w:rPr>
                <w:b/>
                <w:bCs/>
                <w:sz w:val="18"/>
                <w:szCs w:val="18"/>
                <w:lang w:eastAsia="tr-TR"/>
              </w:rPr>
            </w:pPr>
            <w:r w:rsidRPr="00BD5F7B">
              <w:rPr>
                <w:b/>
                <w:bCs/>
                <w:sz w:val="18"/>
                <w:szCs w:val="18"/>
                <w:lang w:eastAsia="tr-TR"/>
              </w:rPr>
              <w:t>Toplam</w:t>
            </w:r>
          </w:p>
        </w:tc>
      </w:tr>
      <w:tr w:rsidR="00BD5F7B" w:rsidRPr="00BD5F7B" w14:paraId="04FE0847"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6C8BFB25" w14:textId="77777777" w:rsidR="00BD5F7B" w:rsidRPr="00BD5F7B" w:rsidRDefault="00BD5F7B" w:rsidP="00BD5F7B">
            <w:pPr>
              <w:jc w:val="both"/>
              <w:rPr>
                <w:b/>
                <w:bCs/>
                <w:sz w:val="18"/>
                <w:szCs w:val="18"/>
                <w:lang w:eastAsia="tr-TR"/>
              </w:rPr>
            </w:pPr>
            <w:r w:rsidRPr="00BD5F7B">
              <w:rPr>
                <w:b/>
                <w:bCs/>
                <w:sz w:val="18"/>
                <w:szCs w:val="18"/>
                <w:lang w:eastAsia="tr-TR"/>
              </w:rPr>
              <w:t>Taksitli Ticari Krediler-TP</w:t>
            </w:r>
          </w:p>
        </w:tc>
        <w:tc>
          <w:tcPr>
            <w:tcW w:w="1481" w:type="dxa"/>
            <w:tcBorders>
              <w:top w:val="nil"/>
              <w:left w:val="nil"/>
              <w:bottom w:val="nil"/>
              <w:right w:val="nil"/>
            </w:tcBorders>
            <w:shd w:val="clear" w:color="auto" w:fill="auto"/>
            <w:vAlign w:val="center"/>
            <w:hideMark/>
          </w:tcPr>
          <w:p w14:paraId="512EA164" w14:textId="77777777" w:rsidR="00BD5F7B" w:rsidRPr="00BD5F7B" w:rsidRDefault="00BD5F7B" w:rsidP="00BD5F7B">
            <w:pPr>
              <w:jc w:val="right"/>
              <w:rPr>
                <w:b/>
                <w:bCs/>
                <w:sz w:val="18"/>
                <w:szCs w:val="18"/>
                <w:lang w:eastAsia="tr-TR"/>
              </w:rPr>
            </w:pPr>
            <w:r w:rsidRPr="00BD5F7B">
              <w:rPr>
                <w:b/>
                <w:bCs/>
                <w:sz w:val="18"/>
                <w:szCs w:val="18"/>
                <w:lang w:eastAsia="tr-TR"/>
              </w:rPr>
              <w:t>402,354</w:t>
            </w:r>
          </w:p>
        </w:tc>
        <w:tc>
          <w:tcPr>
            <w:tcW w:w="1481" w:type="dxa"/>
            <w:tcBorders>
              <w:top w:val="nil"/>
              <w:left w:val="nil"/>
              <w:bottom w:val="nil"/>
              <w:right w:val="nil"/>
            </w:tcBorders>
            <w:shd w:val="clear" w:color="auto" w:fill="auto"/>
            <w:vAlign w:val="center"/>
            <w:hideMark/>
          </w:tcPr>
          <w:p w14:paraId="04F2695A" w14:textId="77777777" w:rsidR="00BD5F7B" w:rsidRPr="00BD5F7B" w:rsidRDefault="00BD5F7B" w:rsidP="00BD5F7B">
            <w:pPr>
              <w:jc w:val="right"/>
              <w:rPr>
                <w:b/>
                <w:bCs/>
                <w:sz w:val="18"/>
                <w:szCs w:val="18"/>
                <w:lang w:eastAsia="tr-TR"/>
              </w:rPr>
            </w:pPr>
            <w:r w:rsidRPr="00BD5F7B">
              <w:rPr>
                <w:b/>
                <w:bCs/>
                <w:sz w:val="18"/>
                <w:szCs w:val="18"/>
                <w:lang w:eastAsia="tr-TR"/>
              </w:rPr>
              <w:t>8,921,629</w:t>
            </w:r>
          </w:p>
        </w:tc>
        <w:tc>
          <w:tcPr>
            <w:tcW w:w="1481" w:type="dxa"/>
            <w:tcBorders>
              <w:top w:val="nil"/>
              <w:left w:val="nil"/>
              <w:bottom w:val="nil"/>
              <w:right w:val="nil"/>
            </w:tcBorders>
            <w:shd w:val="clear" w:color="auto" w:fill="auto"/>
            <w:vAlign w:val="center"/>
            <w:hideMark/>
          </w:tcPr>
          <w:p w14:paraId="62C04403" w14:textId="77777777" w:rsidR="00BD5F7B" w:rsidRPr="00BD5F7B" w:rsidRDefault="00BD5F7B" w:rsidP="00BD5F7B">
            <w:pPr>
              <w:jc w:val="right"/>
              <w:rPr>
                <w:b/>
                <w:bCs/>
                <w:sz w:val="18"/>
                <w:szCs w:val="18"/>
                <w:lang w:eastAsia="tr-TR"/>
              </w:rPr>
            </w:pPr>
            <w:r w:rsidRPr="00BD5F7B">
              <w:rPr>
                <w:b/>
                <w:bCs/>
                <w:sz w:val="18"/>
                <w:szCs w:val="18"/>
                <w:lang w:eastAsia="tr-TR"/>
              </w:rPr>
              <w:t>9,323,983</w:t>
            </w:r>
          </w:p>
        </w:tc>
      </w:tr>
      <w:tr w:rsidR="00BD5F7B" w:rsidRPr="00BD5F7B" w14:paraId="4C1B362C"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20902F76" w14:textId="77777777" w:rsidR="00BD5F7B" w:rsidRPr="00BD5F7B" w:rsidRDefault="00BD5F7B" w:rsidP="00BD5F7B">
            <w:pPr>
              <w:jc w:val="both"/>
              <w:rPr>
                <w:sz w:val="18"/>
                <w:szCs w:val="18"/>
                <w:lang w:eastAsia="tr-TR"/>
              </w:rPr>
            </w:pPr>
            <w:r w:rsidRPr="00BD5F7B">
              <w:rPr>
                <w:sz w:val="18"/>
                <w:szCs w:val="18"/>
                <w:lang w:eastAsia="tr-TR"/>
              </w:rPr>
              <w:t>İşyeri Kredileri</w:t>
            </w:r>
          </w:p>
        </w:tc>
        <w:tc>
          <w:tcPr>
            <w:tcW w:w="1481" w:type="dxa"/>
            <w:tcBorders>
              <w:top w:val="nil"/>
              <w:left w:val="nil"/>
              <w:bottom w:val="nil"/>
              <w:right w:val="nil"/>
            </w:tcBorders>
            <w:shd w:val="clear" w:color="auto" w:fill="auto"/>
            <w:vAlign w:val="center"/>
            <w:hideMark/>
          </w:tcPr>
          <w:p w14:paraId="56798706" w14:textId="77777777" w:rsidR="00BD5F7B" w:rsidRPr="00BD5F7B" w:rsidRDefault="00BD5F7B" w:rsidP="00BD5F7B">
            <w:pPr>
              <w:jc w:val="right"/>
              <w:rPr>
                <w:sz w:val="18"/>
                <w:szCs w:val="18"/>
                <w:lang w:eastAsia="tr-TR"/>
              </w:rPr>
            </w:pPr>
            <w:r w:rsidRPr="00BD5F7B">
              <w:rPr>
                <w:sz w:val="18"/>
                <w:szCs w:val="18"/>
                <w:lang w:eastAsia="tr-TR"/>
              </w:rPr>
              <w:t>7,004</w:t>
            </w:r>
          </w:p>
        </w:tc>
        <w:tc>
          <w:tcPr>
            <w:tcW w:w="1481" w:type="dxa"/>
            <w:tcBorders>
              <w:top w:val="nil"/>
              <w:left w:val="nil"/>
              <w:bottom w:val="nil"/>
              <w:right w:val="nil"/>
            </w:tcBorders>
            <w:shd w:val="clear" w:color="auto" w:fill="auto"/>
            <w:vAlign w:val="center"/>
            <w:hideMark/>
          </w:tcPr>
          <w:p w14:paraId="0F3DE41F" w14:textId="77777777" w:rsidR="00BD5F7B" w:rsidRPr="00BD5F7B" w:rsidRDefault="00BD5F7B" w:rsidP="00BD5F7B">
            <w:pPr>
              <w:jc w:val="right"/>
              <w:rPr>
                <w:sz w:val="18"/>
                <w:szCs w:val="18"/>
                <w:lang w:eastAsia="tr-TR"/>
              </w:rPr>
            </w:pPr>
            <w:r w:rsidRPr="00BD5F7B">
              <w:rPr>
                <w:sz w:val="18"/>
                <w:szCs w:val="18"/>
                <w:lang w:eastAsia="tr-TR"/>
              </w:rPr>
              <w:t>2,004,434</w:t>
            </w:r>
          </w:p>
        </w:tc>
        <w:tc>
          <w:tcPr>
            <w:tcW w:w="1481" w:type="dxa"/>
            <w:tcBorders>
              <w:top w:val="nil"/>
              <w:left w:val="nil"/>
              <w:bottom w:val="nil"/>
              <w:right w:val="nil"/>
            </w:tcBorders>
            <w:shd w:val="clear" w:color="auto" w:fill="auto"/>
            <w:vAlign w:val="center"/>
            <w:hideMark/>
          </w:tcPr>
          <w:p w14:paraId="5465452A" w14:textId="77777777" w:rsidR="00BD5F7B" w:rsidRPr="00BD5F7B" w:rsidRDefault="00BD5F7B" w:rsidP="00BD5F7B">
            <w:pPr>
              <w:jc w:val="right"/>
              <w:rPr>
                <w:bCs/>
                <w:sz w:val="18"/>
                <w:szCs w:val="18"/>
                <w:lang w:eastAsia="tr-TR"/>
              </w:rPr>
            </w:pPr>
            <w:r w:rsidRPr="00BD5F7B">
              <w:rPr>
                <w:bCs/>
                <w:sz w:val="18"/>
                <w:szCs w:val="18"/>
                <w:lang w:eastAsia="tr-TR"/>
              </w:rPr>
              <w:t>2,011,438</w:t>
            </w:r>
          </w:p>
        </w:tc>
      </w:tr>
      <w:tr w:rsidR="00BD5F7B" w:rsidRPr="00BD5F7B" w14:paraId="34AE88ED"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4AFA0EA0" w14:textId="77777777" w:rsidR="00BD5F7B" w:rsidRPr="00BD5F7B" w:rsidRDefault="00BD5F7B" w:rsidP="00BD5F7B">
            <w:pPr>
              <w:jc w:val="both"/>
              <w:rPr>
                <w:sz w:val="18"/>
                <w:szCs w:val="18"/>
                <w:lang w:eastAsia="tr-TR"/>
              </w:rPr>
            </w:pPr>
            <w:r w:rsidRPr="00BD5F7B">
              <w:rPr>
                <w:sz w:val="18"/>
                <w:szCs w:val="18"/>
                <w:lang w:eastAsia="tr-TR"/>
              </w:rPr>
              <w:t>Taşıt Kredileri</w:t>
            </w:r>
          </w:p>
        </w:tc>
        <w:tc>
          <w:tcPr>
            <w:tcW w:w="1481" w:type="dxa"/>
            <w:tcBorders>
              <w:top w:val="nil"/>
              <w:left w:val="nil"/>
              <w:bottom w:val="nil"/>
              <w:right w:val="nil"/>
            </w:tcBorders>
            <w:shd w:val="clear" w:color="auto" w:fill="auto"/>
            <w:vAlign w:val="center"/>
            <w:hideMark/>
          </w:tcPr>
          <w:p w14:paraId="760FE564" w14:textId="77777777" w:rsidR="00BD5F7B" w:rsidRPr="00BD5F7B" w:rsidRDefault="00BD5F7B" w:rsidP="00BD5F7B">
            <w:pPr>
              <w:jc w:val="right"/>
              <w:rPr>
                <w:sz w:val="18"/>
                <w:szCs w:val="18"/>
                <w:lang w:eastAsia="tr-TR"/>
              </w:rPr>
            </w:pPr>
            <w:r w:rsidRPr="00BD5F7B">
              <w:rPr>
                <w:sz w:val="18"/>
                <w:szCs w:val="18"/>
                <w:lang w:eastAsia="tr-TR"/>
              </w:rPr>
              <w:t>321,986</w:t>
            </w:r>
          </w:p>
        </w:tc>
        <w:tc>
          <w:tcPr>
            <w:tcW w:w="1481" w:type="dxa"/>
            <w:tcBorders>
              <w:top w:val="nil"/>
              <w:left w:val="nil"/>
              <w:bottom w:val="nil"/>
              <w:right w:val="nil"/>
            </w:tcBorders>
            <w:shd w:val="clear" w:color="auto" w:fill="auto"/>
            <w:vAlign w:val="center"/>
            <w:hideMark/>
          </w:tcPr>
          <w:p w14:paraId="5AE0224A" w14:textId="77777777" w:rsidR="00BD5F7B" w:rsidRPr="00BD5F7B" w:rsidRDefault="00BD5F7B" w:rsidP="00BD5F7B">
            <w:pPr>
              <w:jc w:val="right"/>
              <w:rPr>
                <w:sz w:val="18"/>
                <w:szCs w:val="18"/>
                <w:lang w:eastAsia="tr-TR"/>
              </w:rPr>
            </w:pPr>
            <w:r w:rsidRPr="00BD5F7B">
              <w:rPr>
                <w:sz w:val="18"/>
                <w:szCs w:val="18"/>
                <w:lang w:eastAsia="tr-TR"/>
              </w:rPr>
              <w:t>4,400,773</w:t>
            </w:r>
          </w:p>
        </w:tc>
        <w:tc>
          <w:tcPr>
            <w:tcW w:w="1481" w:type="dxa"/>
            <w:tcBorders>
              <w:top w:val="nil"/>
              <w:left w:val="nil"/>
              <w:bottom w:val="nil"/>
              <w:right w:val="nil"/>
            </w:tcBorders>
            <w:shd w:val="clear" w:color="auto" w:fill="auto"/>
            <w:vAlign w:val="center"/>
            <w:hideMark/>
          </w:tcPr>
          <w:p w14:paraId="63905F8D" w14:textId="77777777" w:rsidR="00BD5F7B" w:rsidRPr="00BD5F7B" w:rsidRDefault="00BD5F7B" w:rsidP="00BD5F7B">
            <w:pPr>
              <w:jc w:val="right"/>
              <w:rPr>
                <w:bCs/>
                <w:sz w:val="18"/>
                <w:szCs w:val="18"/>
                <w:lang w:eastAsia="tr-TR"/>
              </w:rPr>
            </w:pPr>
            <w:r w:rsidRPr="00BD5F7B">
              <w:rPr>
                <w:bCs/>
                <w:sz w:val="18"/>
                <w:szCs w:val="18"/>
                <w:lang w:eastAsia="tr-TR"/>
              </w:rPr>
              <w:t>4,722,759</w:t>
            </w:r>
          </w:p>
        </w:tc>
      </w:tr>
      <w:tr w:rsidR="00BD5F7B" w:rsidRPr="00BD5F7B" w14:paraId="08464F41"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26C7CABC" w14:textId="77777777" w:rsidR="00BD5F7B" w:rsidRPr="00BD5F7B" w:rsidRDefault="00BD5F7B" w:rsidP="00BD5F7B">
            <w:pPr>
              <w:jc w:val="both"/>
              <w:rPr>
                <w:sz w:val="18"/>
                <w:szCs w:val="18"/>
                <w:lang w:eastAsia="tr-TR"/>
              </w:rPr>
            </w:pPr>
            <w:r w:rsidRPr="00BD5F7B">
              <w:rPr>
                <w:sz w:val="18"/>
                <w:szCs w:val="18"/>
                <w:lang w:eastAsia="tr-TR"/>
              </w:rPr>
              <w:t>İhtiyaç Kredileri</w:t>
            </w:r>
          </w:p>
        </w:tc>
        <w:tc>
          <w:tcPr>
            <w:tcW w:w="1481" w:type="dxa"/>
            <w:tcBorders>
              <w:top w:val="nil"/>
              <w:left w:val="nil"/>
              <w:bottom w:val="nil"/>
              <w:right w:val="nil"/>
            </w:tcBorders>
            <w:shd w:val="clear" w:color="auto" w:fill="auto"/>
            <w:vAlign w:val="center"/>
            <w:hideMark/>
          </w:tcPr>
          <w:p w14:paraId="59B95195" w14:textId="77777777" w:rsidR="00BD5F7B" w:rsidRPr="00BD5F7B" w:rsidRDefault="00BD5F7B" w:rsidP="00BD5F7B">
            <w:pPr>
              <w:jc w:val="right"/>
              <w:rPr>
                <w:sz w:val="18"/>
                <w:szCs w:val="18"/>
                <w:lang w:eastAsia="tr-TR"/>
              </w:rPr>
            </w:pPr>
            <w:r w:rsidRPr="00BD5F7B">
              <w:rPr>
                <w:sz w:val="18"/>
                <w:szCs w:val="18"/>
                <w:lang w:eastAsia="tr-TR"/>
              </w:rPr>
              <w:t>73,364</w:t>
            </w:r>
          </w:p>
        </w:tc>
        <w:tc>
          <w:tcPr>
            <w:tcW w:w="1481" w:type="dxa"/>
            <w:tcBorders>
              <w:top w:val="nil"/>
              <w:left w:val="nil"/>
              <w:bottom w:val="nil"/>
              <w:right w:val="nil"/>
            </w:tcBorders>
            <w:shd w:val="clear" w:color="auto" w:fill="auto"/>
            <w:vAlign w:val="center"/>
            <w:hideMark/>
          </w:tcPr>
          <w:p w14:paraId="357B9F51" w14:textId="77777777" w:rsidR="00BD5F7B" w:rsidRPr="00BD5F7B" w:rsidRDefault="00BD5F7B" w:rsidP="00BD5F7B">
            <w:pPr>
              <w:jc w:val="right"/>
              <w:rPr>
                <w:sz w:val="18"/>
                <w:szCs w:val="18"/>
                <w:lang w:eastAsia="tr-TR"/>
              </w:rPr>
            </w:pPr>
            <w:r w:rsidRPr="00BD5F7B">
              <w:rPr>
                <w:sz w:val="18"/>
                <w:szCs w:val="18"/>
                <w:lang w:eastAsia="tr-TR"/>
              </w:rPr>
              <w:t>2,516,422</w:t>
            </w:r>
          </w:p>
        </w:tc>
        <w:tc>
          <w:tcPr>
            <w:tcW w:w="1481" w:type="dxa"/>
            <w:tcBorders>
              <w:top w:val="nil"/>
              <w:left w:val="nil"/>
              <w:bottom w:val="nil"/>
              <w:right w:val="nil"/>
            </w:tcBorders>
            <w:shd w:val="clear" w:color="auto" w:fill="auto"/>
            <w:vAlign w:val="center"/>
            <w:hideMark/>
          </w:tcPr>
          <w:p w14:paraId="629BA643" w14:textId="77777777" w:rsidR="00BD5F7B" w:rsidRPr="00BD5F7B" w:rsidRDefault="00BD5F7B" w:rsidP="00BD5F7B">
            <w:pPr>
              <w:jc w:val="right"/>
              <w:rPr>
                <w:bCs/>
                <w:sz w:val="18"/>
                <w:szCs w:val="18"/>
                <w:lang w:eastAsia="tr-TR"/>
              </w:rPr>
            </w:pPr>
            <w:r w:rsidRPr="00BD5F7B">
              <w:rPr>
                <w:bCs/>
                <w:sz w:val="18"/>
                <w:szCs w:val="18"/>
                <w:lang w:eastAsia="tr-TR"/>
              </w:rPr>
              <w:t>2,589,786</w:t>
            </w:r>
          </w:p>
        </w:tc>
      </w:tr>
      <w:tr w:rsidR="00BD5F7B" w:rsidRPr="00BD5F7B" w14:paraId="1773994B"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0C5B2E35" w14:textId="77777777" w:rsidR="00BD5F7B" w:rsidRPr="00BD5F7B" w:rsidRDefault="00BD5F7B" w:rsidP="00BD5F7B">
            <w:pPr>
              <w:jc w:val="both"/>
              <w:rPr>
                <w:sz w:val="18"/>
                <w:szCs w:val="18"/>
                <w:lang w:eastAsia="tr-TR"/>
              </w:rPr>
            </w:pPr>
            <w:r w:rsidRPr="00BD5F7B">
              <w:rPr>
                <w:sz w:val="18"/>
                <w:szCs w:val="18"/>
                <w:lang w:eastAsia="tr-TR"/>
              </w:rPr>
              <w:t>Diğer</w:t>
            </w:r>
          </w:p>
        </w:tc>
        <w:tc>
          <w:tcPr>
            <w:tcW w:w="1481" w:type="dxa"/>
            <w:tcBorders>
              <w:top w:val="nil"/>
              <w:left w:val="nil"/>
              <w:bottom w:val="nil"/>
              <w:right w:val="nil"/>
            </w:tcBorders>
            <w:shd w:val="clear" w:color="auto" w:fill="auto"/>
            <w:vAlign w:val="center"/>
            <w:hideMark/>
          </w:tcPr>
          <w:p w14:paraId="21086692"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5A53B52C"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585A336C" w14:textId="77777777" w:rsidR="00BD5F7B" w:rsidRPr="00BD5F7B" w:rsidRDefault="00BD5F7B" w:rsidP="00BD5F7B">
            <w:pPr>
              <w:jc w:val="right"/>
              <w:rPr>
                <w:bCs/>
                <w:sz w:val="18"/>
                <w:szCs w:val="18"/>
                <w:lang w:eastAsia="tr-TR"/>
              </w:rPr>
            </w:pPr>
            <w:r w:rsidRPr="00BD5F7B">
              <w:rPr>
                <w:bCs/>
                <w:sz w:val="18"/>
                <w:szCs w:val="18"/>
                <w:lang w:eastAsia="tr-TR"/>
              </w:rPr>
              <w:t>-</w:t>
            </w:r>
          </w:p>
        </w:tc>
      </w:tr>
      <w:tr w:rsidR="00BD5F7B" w:rsidRPr="00BD5F7B" w14:paraId="7A327015"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48CC8AAB" w14:textId="77777777" w:rsidR="00BD5F7B" w:rsidRPr="00BD5F7B" w:rsidRDefault="00BD5F7B" w:rsidP="00BD5F7B">
            <w:pPr>
              <w:jc w:val="both"/>
              <w:rPr>
                <w:b/>
                <w:bCs/>
                <w:sz w:val="18"/>
                <w:szCs w:val="18"/>
                <w:lang w:eastAsia="tr-TR"/>
              </w:rPr>
            </w:pPr>
            <w:r w:rsidRPr="00BD5F7B">
              <w:rPr>
                <w:b/>
                <w:bCs/>
                <w:sz w:val="18"/>
                <w:szCs w:val="18"/>
                <w:lang w:eastAsia="tr-TR"/>
              </w:rPr>
              <w:t>Taksitli Ticari Krediler-Dövize Endeksli</w:t>
            </w:r>
          </w:p>
        </w:tc>
        <w:tc>
          <w:tcPr>
            <w:tcW w:w="1481" w:type="dxa"/>
            <w:tcBorders>
              <w:top w:val="nil"/>
              <w:left w:val="nil"/>
              <w:bottom w:val="nil"/>
              <w:right w:val="nil"/>
            </w:tcBorders>
            <w:shd w:val="clear" w:color="auto" w:fill="auto"/>
            <w:vAlign w:val="center"/>
            <w:hideMark/>
          </w:tcPr>
          <w:p w14:paraId="69F09357" w14:textId="77777777" w:rsidR="00BD5F7B" w:rsidRPr="00BD5F7B" w:rsidRDefault="00BD5F7B" w:rsidP="00BD5F7B">
            <w:pPr>
              <w:jc w:val="right"/>
              <w:rPr>
                <w:b/>
                <w:bCs/>
                <w:sz w:val="18"/>
                <w:szCs w:val="18"/>
                <w:lang w:eastAsia="tr-TR"/>
              </w:rPr>
            </w:pPr>
            <w:r w:rsidRPr="00BD5F7B">
              <w:rPr>
                <w:b/>
                <w:bCs/>
                <w:sz w:val="18"/>
                <w:szCs w:val="18"/>
                <w:lang w:eastAsia="tr-TR"/>
              </w:rPr>
              <w:t>527</w:t>
            </w:r>
          </w:p>
        </w:tc>
        <w:tc>
          <w:tcPr>
            <w:tcW w:w="1481" w:type="dxa"/>
            <w:tcBorders>
              <w:top w:val="nil"/>
              <w:left w:val="nil"/>
              <w:bottom w:val="nil"/>
              <w:right w:val="nil"/>
            </w:tcBorders>
            <w:shd w:val="clear" w:color="auto" w:fill="auto"/>
            <w:vAlign w:val="center"/>
            <w:hideMark/>
          </w:tcPr>
          <w:p w14:paraId="4D516CE9" w14:textId="77777777" w:rsidR="00BD5F7B" w:rsidRPr="00BD5F7B" w:rsidRDefault="00BD5F7B" w:rsidP="00BD5F7B">
            <w:pPr>
              <w:jc w:val="right"/>
              <w:rPr>
                <w:b/>
                <w:bCs/>
                <w:sz w:val="18"/>
                <w:szCs w:val="18"/>
                <w:lang w:eastAsia="tr-TR"/>
              </w:rPr>
            </w:pPr>
            <w:r w:rsidRPr="00BD5F7B">
              <w:rPr>
                <w:b/>
                <w:bCs/>
                <w:sz w:val="18"/>
                <w:szCs w:val="18"/>
                <w:lang w:eastAsia="tr-TR"/>
              </w:rPr>
              <w:t>626,680</w:t>
            </w:r>
          </w:p>
        </w:tc>
        <w:tc>
          <w:tcPr>
            <w:tcW w:w="1481" w:type="dxa"/>
            <w:tcBorders>
              <w:top w:val="nil"/>
              <w:left w:val="nil"/>
              <w:bottom w:val="nil"/>
              <w:right w:val="nil"/>
            </w:tcBorders>
            <w:shd w:val="clear" w:color="auto" w:fill="auto"/>
            <w:vAlign w:val="center"/>
            <w:hideMark/>
          </w:tcPr>
          <w:p w14:paraId="47CC0D99" w14:textId="77777777" w:rsidR="00BD5F7B" w:rsidRPr="00BD5F7B" w:rsidRDefault="00BD5F7B" w:rsidP="00BD5F7B">
            <w:pPr>
              <w:jc w:val="right"/>
              <w:rPr>
                <w:b/>
                <w:bCs/>
                <w:sz w:val="18"/>
                <w:szCs w:val="18"/>
                <w:lang w:eastAsia="tr-TR"/>
              </w:rPr>
            </w:pPr>
            <w:r w:rsidRPr="00BD5F7B">
              <w:rPr>
                <w:b/>
                <w:bCs/>
                <w:sz w:val="18"/>
                <w:szCs w:val="18"/>
                <w:lang w:eastAsia="tr-TR"/>
              </w:rPr>
              <w:t>627,207</w:t>
            </w:r>
          </w:p>
        </w:tc>
      </w:tr>
      <w:tr w:rsidR="00BD5F7B" w:rsidRPr="00BD5F7B" w14:paraId="11059947"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7C02DD19" w14:textId="77777777" w:rsidR="00BD5F7B" w:rsidRPr="00BD5F7B" w:rsidRDefault="00BD5F7B" w:rsidP="00BD5F7B">
            <w:pPr>
              <w:jc w:val="both"/>
              <w:rPr>
                <w:sz w:val="18"/>
                <w:szCs w:val="18"/>
                <w:lang w:eastAsia="tr-TR"/>
              </w:rPr>
            </w:pPr>
            <w:r w:rsidRPr="00BD5F7B">
              <w:rPr>
                <w:sz w:val="18"/>
                <w:szCs w:val="18"/>
                <w:lang w:eastAsia="tr-TR"/>
              </w:rPr>
              <w:t>İşyeri Kredileri</w:t>
            </w:r>
          </w:p>
        </w:tc>
        <w:tc>
          <w:tcPr>
            <w:tcW w:w="1481" w:type="dxa"/>
            <w:tcBorders>
              <w:top w:val="nil"/>
              <w:left w:val="nil"/>
              <w:bottom w:val="nil"/>
              <w:right w:val="nil"/>
            </w:tcBorders>
            <w:shd w:val="clear" w:color="auto" w:fill="auto"/>
            <w:vAlign w:val="center"/>
            <w:hideMark/>
          </w:tcPr>
          <w:p w14:paraId="14E8F182" w14:textId="77777777" w:rsidR="00BD5F7B" w:rsidRPr="00BD5F7B" w:rsidRDefault="00BD5F7B" w:rsidP="00BD5F7B">
            <w:pPr>
              <w:jc w:val="right"/>
              <w:rPr>
                <w:sz w:val="18"/>
                <w:szCs w:val="18"/>
                <w:lang w:eastAsia="tr-TR"/>
              </w:rPr>
            </w:pPr>
            <w:r w:rsidRPr="00BD5F7B">
              <w:rPr>
                <w:sz w:val="18"/>
                <w:szCs w:val="18"/>
                <w:lang w:eastAsia="tr-TR"/>
              </w:rPr>
              <w:t>527</w:t>
            </w:r>
          </w:p>
        </w:tc>
        <w:tc>
          <w:tcPr>
            <w:tcW w:w="1481" w:type="dxa"/>
            <w:tcBorders>
              <w:top w:val="nil"/>
              <w:left w:val="nil"/>
              <w:bottom w:val="nil"/>
              <w:right w:val="nil"/>
            </w:tcBorders>
            <w:shd w:val="clear" w:color="auto" w:fill="auto"/>
            <w:vAlign w:val="center"/>
            <w:hideMark/>
          </w:tcPr>
          <w:p w14:paraId="4785D195" w14:textId="77777777" w:rsidR="00BD5F7B" w:rsidRPr="00BD5F7B" w:rsidRDefault="00BD5F7B" w:rsidP="00BD5F7B">
            <w:pPr>
              <w:jc w:val="right"/>
              <w:rPr>
                <w:sz w:val="18"/>
                <w:szCs w:val="18"/>
                <w:lang w:eastAsia="tr-TR"/>
              </w:rPr>
            </w:pPr>
            <w:r w:rsidRPr="00BD5F7B">
              <w:rPr>
                <w:sz w:val="18"/>
                <w:szCs w:val="18"/>
                <w:lang w:eastAsia="tr-TR"/>
              </w:rPr>
              <w:t>91,320</w:t>
            </w:r>
          </w:p>
        </w:tc>
        <w:tc>
          <w:tcPr>
            <w:tcW w:w="1481" w:type="dxa"/>
            <w:tcBorders>
              <w:top w:val="nil"/>
              <w:left w:val="nil"/>
              <w:bottom w:val="nil"/>
              <w:right w:val="nil"/>
            </w:tcBorders>
            <w:shd w:val="clear" w:color="auto" w:fill="auto"/>
            <w:vAlign w:val="center"/>
            <w:hideMark/>
          </w:tcPr>
          <w:p w14:paraId="73C6144C" w14:textId="77777777" w:rsidR="00BD5F7B" w:rsidRPr="00BD5F7B" w:rsidRDefault="00BD5F7B" w:rsidP="00BD5F7B">
            <w:pPr>
              <w:jc w:val="right"/>
              <w:rPr>
                <w:bCs/>
                <w:sz w:val="18"/>
                <w:szCs w:val="18"/>
                <w:lang w:eastAsia="tr-TR"/>
              </w:rPr>
            </w:pPr>
            <w:r w:rsidRPr="00BD5F7B">
              <w:rPr>
                <w:bCs/>
                <w:sz w:val="18"/>
                <w:szCs w:val="18"/>
                <w:lang w:eastAsia="tr-TR"/>
              </w:rPr>
              <w:t>91,847</w:t>
            </w:r>
          </w:p>
        </w:tc>
      </w:tr>
      <w:tr w:rsidR="00BD5F7B" w:rsidRPr="00BD5F7B" w14:paraId="4F573416"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1ED60167" w14:textId="77777777" w:rsidR="00BD5F7B" w:rsidRPr="00BD5F7B" w:rsidRDefault="00BD5F7B" w:rsidP="00BD5F7B">
            <w:pPr>
              <w:jc w:val="both"/>
              <w:rPr>
                <w:sz w:val="18"/>
                <w:szCs w:val="18"/>
                <w:lang w:eastAsia="tr-TR"/>
              </w:rPr>
            </w:pPr>
            <w:r w:rsidRPr="00BD5F7B">
              <w:rPr>
                <w:sz w:val="18"/>
                <w:szCs w:val="18"/>
                <w:lang w:eastAsia="tr-TR"/>
              </w:rPr>
              <w:t>Taşıt Kredileri</w:t>
            </w:r>
          </w:p>
        </w:tc>
        <w:tc>
          <w:tcPr>
            <w:tcW w:w="1481" w:type="dxa"/>
            <w:tcBorders>
              <w:top w:val="nil"/>
              <w:left w:val="nil"/>
              <w:bottom w:val="nil"/>
              <w:right w:val="nil"/>
            </w:tcBorders>
            <w:shd w:val="clear" w:color="auto" w:fill="auto"/>
            <w:vAlign w:val="center"/>
            <w:hideMark/>
          </w:tcPr>
          <w:p w14:paraId="13008045"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1545A538" w14:textId="77777777" w:rsidR="00BD5F7B" w:rsidRPr="00BD5F7B" w:rsidRDefault="00BD5F7B" w:rsidP="00BD5F7B">
            <w:pPr>
              <w:jc w:val="right"/>
              <w:rPr>
                <w:sz w:val="18"/>
                <w:szCs w:val="18"/>
                <w:lang w:eastAsia="tr-TR"/>
              </w:rPr>
            </w:pPr>
            <w:r w:rsidRPr="00BD5F7B">
              <w:rPr>
                <w:sz w:val="18"/>
                <w:szCs w:val="18"/>
                <w:lang w:eastAsia="tr-TR"/>
              </w:rPr>
              <w:t>17,138</w:t>
            </w:r>
          </w:p>
        </w:tc>
        <w:tc>
          <w:tcPr>
            <w:tcW w:w="1481" w:type="dxa"/>
            <w:tcBorders>
              <w:top w:val="nil"/>
              <w:left w:val="nil"/>
              <w:bottom w:val="nil"/>
              <w:right w:val="nil"/>
            </w:tcBorders>
            <w:shd w:val="clear" w:color="auto" w:fill="auto"/>
            <w:vAlign w:val="center"/>
            <w:hideMark/>
          </w:tcPr>
          <w:p w14:paraId="2BE01A21" w14:textId="77777777" w:rsidR="00BD5F7B" w:rsidRPr="00BD5F7B" w:rsidRDefault="00BD5F7B" w:rsidP="00BD5F7B">
            <w:pPr>
              <w:jc w:val="right"/>
              <w:rPr>
                <w:bCs/>
                <w:sz w:val="18"/>
                <w:szCs w:val="18"/>
                <w:lang w:eastAsia="tr-TR"/>
              </w:rPr>
            </w:pPr>
            <w:r w:rsidRPr="00BD5F7B">
              <w:rPr>
                <w:bCs/>
                <w:sz w:val="18"/>
                <w:szCs w:val="18"/>
                <w:lang w:eastAsia="tr-TR"/>
              </w:rPr>
              <w:t>17,138</w:t>
            </w:r>
          </w:p>
        </w:tc>
      </w:tr>
      <w:tr w:rsidR="00BD5F7B" w:rsidRPr="00BD5F7B" w14:paraId="78B1E86E"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5F761080" w14:textId="77777777" w:rsidR="00BD5F7B" w:rsidRPr="00BD5F7B" w:rsidRDefault="00BD5F7B" w:rsidP="00BD5F7B">
            <w:pPr>
              <w:jc w:val="both"/>
              <w:rPr>
                <w:sz w:val="18"/>
                <w:szCs w:val="18"/>
                <w:lang w:eastAsia="tr-TR"/>
              </w:rPr>
            </w:pPr>
            <w:r w:rsidRPr="00BD5F7B">
              <w:rPr>
                <w:sz w:val="18"/>
                <w:szCs w:val="18"/>
                <w:lang w:eastAsia="tr-TR"/>
              </w:rPr>
              <w:t>İhtiyaç Kredileri</w:t>
            </w:r>
          </w:p>
        </w:tc>
        <w:tc>
          <w:tcPr>
            <w:tcW w:w="1481" w:type="dxa"/>
            <w:tcBorders>
              <w:top w:val="nil"/>
              <w:left w:val="nil"/>
              <w:bottom w:val="nil"/>
              <w:right w:val="nil"/>
            </w:tcBorders>
            <w:shd w:val="clear" w:color="auto" w:fill="auto"/>
            <w:vAlign w:val="center"/>
            <w:hideMark/>
          </w:tcPr>
          <w:p w14:paraId="4F63D68A"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442A5662" w14:textId="77777777" w:rsidR="00BD5F7B" w:rsidRPr="00BD5F7B" w:rsidRDefault="00BD5F7B" w:rsidP="00BD5F7B">
            <w:pPr>
              <w:jc w:val="right"/>
              <w:rPr>
                <w:sz w:val="18"/>
                <w:szCs w:val="18"/>
                <w:lang w:eastAsia="tr-TR"/>
              </w:rPr>
            </w:pPr>
            <w:r w:rsidRPr="00BD5F7B">
              <w:rPr>
                <w:sz w:val="18"/>
                <w:szCs w:val="18"/>
                <w:lang w:eastAsia="tr-TR"/>
              </w:rPr>
              <w:t>518,222</w:t>
            </w:r>
          </w:p>
        </w:tc>
        <w:tc>
          <w:tcPr>
            <w:tcW w:w="1481" w:type="dxa"/>
            <w:tcBorders>
              <w:top w:val="nil"/>
              <w:left w:val="nil"/>
              <w:bottom w:val="nil"/>
              <w:right w:val="nil"/>
            </w:tcBorders>
            <w:shd w:val="clear" w:color="auto" w:fill="auto"/>
            <w:vAlign w:val="center"/>
            <w:hideMark/>
          </w:tcPr>
          <w:p w14:paraId="2740B6CF" w14:textId="77777777" w:rsidR="00BD5F7B" w:rsidRPr="00BD5F7B" w:rsidRDefault="00BD5F7B" w:rsidP="00BD5F7B">
            <w:pPr>
              <w:jc w:val="right"/>
              <w:rPr>
                <w:bCs/>
                <w:sz w:val="18"/>
                <w:szCs w:val="18"/>
                <w:lang w:eastAsia="tr-TR"/>
              </w:rPr>
            </w:pPr>
            <w:r w:rsidRPr="00BD5F7B">
              <w:rPr>
                <w:bCs/>
                <w:sz w:val="18"/>
                <w:szCs w:val="18"/>
                <w:lang w:eastAsia="tr-TR"/>
              </w:rPr>
              <w:t>518,222</w:t>
            </w:r>
          </w:p>
        </w:tc>
      </w:tr>
      <w:tr w:rsidR="00BD5F7B" w:rsidRPr="00BD5F7B" w14:paraId="14350032"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5C2EBDDE" w14:textId="77777777" w:rsidR="00BD5F7B" w:rsidRPr="00BD5F7B" w:rsidRDefault="00BD5F7B" w:rsidP="00BD5F7B">
            <w:pPr>
              <w:jc w:val="both"/>
              <w:rPr>
                <w:sz w:val="18"/>
                <w:szCs w:val="18"/>
                <w:lang w:eastAsia="tr-TR"/>
              </w:rPr>
            </w:pPr>
            <w:r w:rsidRPr="00BD5F7B">
              <w:rPr>
                <w:sz w:val="18"/>
                <w:szCs w:val="18"/>
                <w:lang w:eastAsia="tr-TR"/>
              </w:rPr>
              <w:t>Diğer</w:t>
            </w:r>
          </w:p>
        </w:tc>
        <w:tc>
          <w:tcPr>
            <w:tcW w:w="1481" w:type="dxa"/>
            <w:tcBorders>
              <w:top w:val="nil"/>
              <w:left w:val="nil"/>
              <w:bottom w:val="nil"/>
              <w:right w:val="nil"/>
            </w:tcBorders>
            <w:shd w:val="clear" w:color="auto" w:fill="auto"/>
            <w:vAlign w:val="center"/>
            <w:hideMark/>
          </w:tcPr>
          <w:p w14:paraId="0836DBDF"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3B9DB4E8"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2C31F948" w14:textId="77777777" w:rsidR="00BD5F7B" w:rsidRPr="00BD5F7B" w:rsidRDefault="00BD5F7B" w:rsidP="00BD5F7B">
            <w:pPr>
              <w:jc w:val="right"/>
              <w:rPr>
                <w:bCs/>
                <w:sz w:val="18"/>
                <w:szCs w:val="18"/>
                <w:lang w:eastAsia="tr-TR"/>
              </w:rPr>
            </w:pPr>
            <w:r w:rsidRPr="00BD5F7B">
              <w:rPr>
                <w:bCs/>
                <w:sz w:val="18"/>
                <w:szCs w:val="18"/>
                <w:lang w:eastAsia="tr-TR"/>
              </w:rPr>
              <w:t>-</w:t>
            </w:r>
          </w:p>
        </w:tc>
      </w:tr>
      <w:tr w:rsidR="00BD5F7B" w:rsidRPr="00BD5F7B" w14:paraId="30FBBAEC"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50554B1D" w14:textId="77777777" w:rsidR="00BD5F7B" w:rsidRPr="00BD5F7B" w:rsidRDefault="00BD5F7B" w:rsidP="00BD5F7B">
            <w:pPr>
              <w:jc w:val="both"/>
              <w:rPr>
                <w:b/>
                <w:bCs/>
                <w:sz w:val="18"/>
                <w:szCs w:val="18"/>
                <w:lang w:eastAsia="tr-TR"/>
              </w:rPr>
            </w:pPr>
            <w:r w:rsidRPr="00BD5F7B">
              <w:rPr>
                <w:b/>
                <w:bCs/>
                <w:sz w:val="18"/>
                <w:szCs w:val="18"/>
                <w:lang w:eastAsia="tr-TR"/>
              </w:rPr>
              <w:t>Taksitli Ticari Krediler-YP</w:t>
            </w:r>
          </w:p>
        </w:tc>
        <w:tc>
          <w:tcPr>
            <w:tcW w:w="1481" w:type="dxa"/>
            <w:tcBorders>
              <w:top w:val="nil"/>
              <w:left w:val="nil"/>
              <w:bottom w:val="nil"/>
              <w:right w:val="nil"/>
            </w:tcBorders>
            <w:shd w:val="clear" w:color="auto" w:fill="auto"/>
            <w:vAlign w:val="center"/>
            <w:hideMark/>
          </w:tcPr>
          <w:p w14:paraId="732F8647" w14:textId="77777777" w:rsidR="00BD5F7B" w:rsidRPr="00BD5F7B" w:rsidRDefault="00BD5F7B" w:rsidP="00BD5F7B">
            <w:pPr>
              <w:jc w:val="right"/>
              <w:rPr>
                <w:b/>
                <w:bCs/>
                <w:sz w:val="18"/>
                <w:szCs w:val="18"/>
                <w:lang w:eastAsia="tr-TR"/>
              </w:rPr>
            </w:pPr>
            <w:r w:rsidRPr="00BD5F7B">
              <w:rPr>
                <w:b/>
                <w:bCs/>
                <w:sz w:val="18"/>
                <w:szCs w:val="18"/>
                <w:lang w:eastAsia="tr-TR"/>
              </w:rPr>
              <w:t>414</w:t>
            </w:r>
          </w:p>
        </w:tc>
        <w:tc>
          <w:tcPr>
            <w:tcW w:w="1481" w:type="dxa"/>
            <w:tcBorders>
              <w:top w:val="nil"/>
              <w:left w:val="nil"/>
              <w:bottom w:val="nil"/>
              <w:right w:val="nil"/>
            </w:tcBorders>
            <w:shd w:val="clear" w:color="auto" w:fill="auto"/>
            <w:vAlign w:val="center"/>
            <w:hideMark/>
          </w:tcPr>
          <w:p w14:paraId="013F3D78" w14:textId="77777777" w:rsidR="00BD5F7B" w:rsidRPr="00BD5F7B" w:rsidRDefault="00BD5F7B" w:rsidP="00BD5F7B">
            <w:pPr>
              <w:jc w:val="right"/>
              <w:rPr>
                <w:b/>
                <w:bCs/>
                <w:sz w:val="18"/>
                <w:szCs w:val="18"/>
                <w:lang w:eastAsia="tr-TR"/>
              </w:rPr>
            </w:pPr>
            <w:r w:rsidRPr="00BD5F7B">
              <w:rPr>
                <w:b/>
                <w:bCs/>
                <w:sz w:val="18"/>
                <w:szCs w:val="18"/>
                <w:lang w:eastAsia="tr-TR"/>
              </w:rPr>
              <w:t>206,271</w:t>
            </w:r>
          </w:p>
        </w:tc>
        <w:tc>
          <w:tcPr>
            <w:tcW w:w="1481" w:type="dxa"/>
            <w:tcBorders>
              <w:top w:val="nil"/>
              <w:left w:val="nil"/>
              <w:bottom w:val="nil"/>
              <w:right w:val="nil"/>
            </w:tcBorders>
            <w:shd w:val="clear" w:color="auto" w:fill="auto"/>
            <w:vAlign w:val="center"/>
            <w:hideMark/>
          </w:tcPr>
          <w:p w14:paraId="7225D8D1" w14:textId="77777777" w:rsidR="00BD5F7B" w:rsidRPr="00BD5F7B" w:rsidRDefault="00BD5F7B" w:rsidP="00BD5F7B">
            <w:pPr>
              <w:jc w:val="right"/>
              <w:rPr>
                <w:b/>
                <w:bCs/>
                <w:sz w:val="18"/>
                <w:szCs w:val="18"/>
                <w:lang w:eastAsia="tr-TR"/>
              </w:rPr>
            </w:pPr>
            <w:r w:rsidRPr="00BD5F7B">
              <w:rPr>
                <w:b/>
                <w:bCs/>
                <w:sz w:val="18"/>
                <w:szCs w:val="18"/>
                <w:lang w:eastAsia="tr-TR"/>
              </w:rPr>
              <w:t>206,685</w:t>
            </w:r>
          </w:p>
        </w:tc>
      </w:tr>
      <w:tr w:rsidR="00BD5F7B" w:rsidRPr="00BD5F7B" w14:paraId="75FED25F"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443EAB74" w14:textId="77777777" w:rsidR="00BD5F7B" w:rsidRPr="00BD5F7B" w:rsidRDefault="00BD5F7B" w:rsidP="00BD5F7B">
            <w:pPr>
              <w:jc w:val="both"/>
              <w:rPr>
                <w:sz w:val="18"/>
                <w:szCs w:val="18"/>
                <w:lang w:eastAsia="tr-TR"/>
              </w:rPr>
            </w:pPr>
            <w:r w:rsidRPr="00BD5F7B">
              <w:rPr>
                <w:sz w:val="18"/>
                <w:szCs w:val="18"/>
                <w:lang w:eastAsia="tr-TR"/>
              </w:rPr>
              <w:t>İşyeri Kredileri</w:t>
            </w:r>
          </w:p>
        </w:tc>
        <w:tc>
          <w:tcPr>
            <w:tcW w:w="1481" w:type="dxa"/>
            <w:tcBorders>
              <w:top w:val="nil"/>
              <w:left w:val="nil"/>
              <w:bottom w:val="nil"/>
              <w:right w:val="nil"/>
            </w:tcBorders>
            <w:shd w:val="clear" w:color="auto" w:fill="auto"/>
            <w:vAlign w:val="center"/>
            <w:hideMark/>
          </w:tcPr>
          <w:p w14:paraId="33445210"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5F0D103E" w14:textId="77777777" w:rsidR="00BD5F7B" w:rsidRPr="00BD5F7B" w:rsidRDefault="00BD5F7B" w:rsidP="00BD5F7B">
            <w:pPr>
              <w:jc w:val="right"/>
              <w:rPr>
                <w:sz w:val="18"/>
                <w:szCs w:val="18"/>
                <w:lang w:eastAsia="tr-TR"/>
              </w:rPr>
            </w:pPr>
            <w:r w:rsidRPr="00BD5F7B">
              <w:rPr>
                <w:sz w:val="18"/>
                <w:szCs w:val="18"/>
                <w:lang w:eastAsia="tr-TR"/>
              </w:rPr>
              <w:t>114,751</w:t>
            </w:r>
          </w:p>
        </w:tc>
        <w:tc>
          <w:tcPr>
            <w:tcW w:w="1481" w:type="dxa"/>
            <w:tcBorders>
              <w:top w:val="nil"/>
              <w:left w:val="nil"/>
              <w:bottom w:val="nil"/>
              <w:right w:val="nil"/>
            </w:tcBorders>
            <w:shd w:val="clear" w:color="auto" w:fill="auto"/>
            <w:vAlign w:val="center"/>
            <w:hideMark/>
          </w:tcPr>
          <w:p w14:paraId="133511F6" w14:textId="77777777" w:rsidR="00BD5F7B" w:rsidRPr="00BD5F7B" w:rsidRDefault="00BD5F7B" w:rsidP="00BD5F7B">
            <w:pPr>
              <w:jc w:val="right"/>
              <w:rPr>
                <w:bCs/>
                <w:sz w:val="18"/>
                <w:szCs w:val="18"/>
                <w:lang w:eastAsia="tr-TR"/>
              </w:rPr>
            </w:pPr>
            <w:r w:rsidRPr="00BD5F7B">
              <w:rPr>
                <w:bCs/>
                <w:sz w:val="18"/>
                <w:szCs w:val="18"/>
                <w:lang w:eastAsia="tr-TR"/>
              </w:rPr>
              <w:t>114,751</w:t>
            </w:r>
          </w:p>
        </w:tc>
      </w:tr>
      <w:tr w:rsidR="00BD5F7B" w:rsidRPr="00BD5F7B" w14:paraId="0BE5B215"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4BD975B4" w14:textId="77777777" w:rsidR="00BD5F7B" w:rsidRPr="00BD5F7B" w:rsidRDefault="00BD5F7B" w:rsidP="00BD5F7B">
            <w:pPr>
              <w:jc w:val="both"/>
              <w:rPr>
                <w:sz w:val="18"/>
                <w:szCs w:val="18"/>
                <w:lang w:eastAsia="tr-TR"/>
              </w:rPr>
            </w:pPr>
            <w:r w:rsidRPr="00BD5F7B">
              <w:rPr>
                <w:sz w:val="18"/>
                <w:szCs w:val="18"/>
                <w:lang w:eastAsia="tr-TR"/>
              </w:rPr>
              <w:t>Taşıt Kredileri</w:t>
            </w:r>
          </w:p>
        </w:tc>
        <w:tc>
          <w:tcPr>
            <w:tcW w:w="1481" w:type="dxa"/>
            <w:tcBorders>
              <w:top w:val="nil"/>
              <w:left w:val="nil"/>
              <w:bottom w:val="nil"/>
              <w:right w:val="nil"/>
            </w:tcBorders>
            <w:shd w:val="clear" w:color="auto" w:fill="auto"/>
            <w:vAlign w:val="center"/>
            <w:hideMark/>
          </w:tcPr>
          <w:p w14:paraId="70856982" w14:textId="77777777" w:rsidR="00BD5F7B" w:rsidRPr="00BD5F7B" w:rsidRDefault="00BD5F7B" w:rsidP="00BD5F7B">
            <w:pPr>
              <w:jc w:val="right"/>
              <w:rPr>
                <w:sz w:val="18"/>
                <w:szCs w:val="18"/>
                <w:lang w:eastAsia="tr-TR"/>
              </w:rPr>
            </w:pPr>
            <w:r w:rsidRPr="00BD5F7B">
              <w:rPr>
                <w:sz w:val="18"/>
                <w:szCs w:val="18"/>
                <w:lang w:eastAsia="tr-TR"/>
              </w:rPr>
              <w:t>414</w:t>
            </w:r>
          </w:p>
        </w:tc>
        <w:tc>
          <w:tcPr>
            <w:tcW w:w="1481" w:type="dxa"/>
            <w:tcBorders>
              <w:top w:val="nil"/>
              <w:left w:val="nil"/>
              <w:bottom w:val="nil"/>
              <w:right w:val="nil"/>
            </w:tcBorders>
            <w:shd w:val="clear" w:color="auto" w:fill="auto"/>
            <w:vAlign w:val="center"/>
            <w:hideMark/>
          </w:tcPr>
          <w:p w14:paraId="492D8860" w14:textId="77777777" w:rsidR="00BD5F7B" w:rsidRPr="00BD5F7B" w:rsidRDefault="00BD5F7B" w:rsidP="00BD5F7B">
            <w:pPr>
              <w:jc w:val="right"/>
              <w:rPr>
                <w:sz w:val="18"/>
                <w:szCs w:val="18"/>
                <w:lang w:eastAsia="tr-TR"/>
              </w:rPr>
            </w:pPr>
            <w:r w:rsidRPr="00BD5F7B">
              <w:rPr>
                <w:sz w:val="18"/>
                <w:szCs w:val="18"/>
                <w:lang w:eastAsia="tr-TR"/>
              </w:rPr>
              <w:t>91,520</w:t>
            </w:r>
          </w:p>
        </w:tc>
        <w:tc>
          <w:tcPr>
            <w:tcW w:w="1481" w:type="dxa"/>
            <w:tcBorders>
              <w:top w:val="nil"/>
              <w:left w:val="nil"/>
              <w:bottom w:val="nil"/>
              <w:right w:val="nil"/>
            </w:tcBorders>
            <w:shd w:val="clear" w:color="auto" w:fill="auto"/>
            <w:vAlign w:val="center"/>
            <w:hideMark/>
          </w:tcPr>
          <w:p w14:paraId="72D5B74B" w14:textId="77777777" w:rsidR="00BD5F7B" w:rsidRPr="00BD5F7B" w:rsidRDefault="00BD5F7B" w:rsidP="00BD5F7B">
            <w:pPr>
              <w:jc w:val="right"/>
              <w:rPr>
                <w:bCs/>
                <w:sz w:val="18"/>
                <w:szCs w:val="18"/>
                <w:lang w:eastAsia="tr-TR"/>
              </w:rPr>
            </w:pPr>
            <w:r w:rsidRPr="00BD5F7B">
              <w:rPr>
                <w:bCs/>
                <w:sz w:val="18"/>
                <w:szCs w:val="18"/>
                <w:lang w:eastAsia="tr-TR"/>
              </w:rPr>
              <w:t>91,934</w:t>
            </w:r>
          </w:p>
        </w:tc>
      </w:tr>
      <w:tr w:rsidR="00BD5F7B" w:rsidRPr="00BD5F7B" w14:paraId="28F3A329"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05ED9098" w14:textId="77777777" w:rsidR="00BD5F7B" w:rsidRPr="00BD5F7B" w:rsidRDefault="00BD5F7B" w:rsidP="00BD5F7B">
            <w:pPr>
              <w:jc w:val="both"/>
              <w:rPr>
                <w:sz w:val="18"/>
                <w:szCs w:val="18"/>
                <w:lang w:eastAsia="tr-TR"/>
              </w:rPr>
            </w:pPr>
            <w:r w:rsidRPr="00BD5F7B">
              <w:rPr>
                <w:sz w:val="18"/>
                <w:szCs w:val="18"/>
                <w:lang w:eastAsia="tr-TR"/>
              </w:rPr>
              <w:t>İhtiyaç Kredileri</w:t>
            </w:r>
          </w:p>
        </w:tc>
        <w:tc>
          <w:tcPr>
            <w:tcW w:w="1481" w:type="dxa"/>
            <w:tcBorders>
              <w:top w:val="nil"/>
              <w:left w:val="nil"/>
              <w:bottom w:val="nil"/>
              <w:right w:val="nil"/>
            </w:tcBorders>
            <w:shd w:val="clear" w:color="auto" w:fill="auto"/>
            <w:vAlign w:val="center"/>
            <w:hideMark/>
          </w:tcPr>
          <w:p w14:paraId="05D0DD35"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38C2E065"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272747A1" w14:textId="77777777" w:rsidR="00BD5F7B" w:rsidRPr="00BD5F7B" w:rsidRDefault="00BD5F7B" w:rsidP="00BD5F7B">
            <w:pPr>
              <w:jc w:val="right"/>
              <w:rPr>
                <w:bCs/>
                <w:sz w:val="18"/>
                <w:szCs w:val="18"/>
                <w:lang w:eastAsia="tr-TR"/>
              </w:rPr>
            </w:pPr>
            <w:r w:rsidRPr="00BD5F7B">
              <w:rPr>
                <w:bCs/>
                <w:sz w:val="18"/>
                <w:szCs w:val="18"/>
                <w:lang w:eastAsia="tr-TR"/>
              </w:rPr>
              <w:t>-</w:t>
            </w:r>
          </w:p>
        </w:tc>
      </w:tr>
      <w:tr w:rsidR="00BD5F7B" w:rsidRPr="00BD5F7B" w14:paraId="48E4266F"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25C73429" w14:textId="77777777" w:rsidR="00BD5F7B" w:rsidRPr="00BD5F7B" w:rsidRDefault="00BD5F7B" w:rsidP="00BD5F7B">
            <w:pPr>
              <w:jc w:val="both"/>
              <w:rPr>
                <w:sz w:val="18"/>
                <w:szCs w:val="18"/>
                <w:lang w:eastAsia="tr-TR"/>
              </w:rPr>
            </w:pPr>
            <w:r w:rsidRPr="00BD5F7B">
              <w:rPr>
                <w:sz w:val="18"/>
                <w:szCs w:val="18"/>
                <w:lang w:eastAsia="tr-TR"/>
              </w:rPr>
              <w:t>Diğer</w:t>
            </w:r>
          </w:p>
        </w:tc>
        <w:tc>
          <w:tcPr>
            <w:tcW w:w="1481" w:type="dxa"/>
            <w:tcBorders>
              <w:top w:val="nil"/>
              <w:left w:val="nil"/>
              <w:bottom w:val="nil"/>
              <w:right w:val="nil"/>
            </w:tcBorders>
            <w:shd w:val="clear" w:color="auto" w:fill="auto"/>
            <w:vAlign w:val="center"/>
            <w:hideMark/>
          </w:tcPr>
          <w:p w14:paraId="6628E1AF"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4966D9C7"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09BD9404" w14:textId="77777777" w:rsidR="00BD5F7B" w:rsidRPr="00BD5F7B" w:rsidRDefault="00BD5F7B" w:rsidP="00BD5F7B">
            <w:pPr>
              <w:jc w:val="right"/>
              <w:rPr>
                <w:bCs/>
                <w:sz w:val="18"/>
                <w:szCs w:val="18"/>
                <w:lang w:eastAsia="tr-TR"/>
              </w:rPr>
            </w:pPr>
            <w:r w:rsidRPr="00BD5F7B">
              <w:rPr>
                <w:bCs/>
                <w:sz w:val="18"/>
                <w:szCs w:val="18"/>
                <w:lang w:eastAsia="tr-TR"/>
              </w:rPr>
              <w:t>-</w:t>
            </w:r>
          </w:p>
        </w:tc>
      </w:tr>
      <w:tr w:rsidR="00BD5F7B" w:rsidRPr="00BD5F7B" w14:paraId="6F576B7D"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73A34703" w14:textId="77777777" w:rsidR="00BD5F7B" w:rsidRPr="00BD5F7B" w:rsidRDefault="00BD5F7B" w:rsidP="00BD5F7B">
            <w:pPr>
              <w:jc w:val="both"/>
              <w:rPr>
                <w:b/>
                <w:bCs/>
                <w:sz w:val="18"/>
                <w:szCs w:val="18"/>
                <w:lang w:eastAsia="tr-TR"/>
              </w:rPr>
            </w:pPr>
            <w:r w:rsidRPr="00BD5F7B">
              <w:rPr>
                <w:b/>
                <w:bCs/>
                <w:sz w:val="18"/>
                <w:szCs w:val="18"/>
                <w:lang w:eastAsia="tr-TR"/>
              </w:rPr>
              <w:t>Kurumsal Kredi Kartları-TP</w:t>
            </w:r>
          </w:p>
        </w:tc>
        <w:tc>
          <w:tcPr>
            <w:tcW w:w="1481" w:type="dxa"/>
            <w:tcBorders>
              <w:top w:val="nil"/>
              <w:left w:val="nil"/>
              <w:bottom w:val="nil"/>
              <w:right w:val="nil"/>
            </w:tcBorders>
            <w:shd w:val="clear" w:color="auto" w:fill="auto"/>
            <w:vAlign w:val="center"/>
            <w:hideMark/>
          </w:tcPr>
          <w:p w14:paraId="59E8445C" w14:textId="77777777" w:rsidR="00BD5F7B" w:rsidRPr="00BD5F7B" w:rsidRDefault="00BD5F7B" w:rsidP="00BD5F7B">
            <w:pPr>
              <w:jc w:val="right"/>
              <w:rPr>
                <w:b/>
                <w:bCs/>
                <w:sz w:val="18"/>
                <w:szCs w:val="18"/>
                <w:lang w:eastAsia="tr-TR"/>
              </w:rPr>
            </w:pPr>
            <w:r w:rsidRPr="00BD5F7B">
              <w:rPr>
                <w:b/>
                <w:bCs/>
                <w:sz w:val="18"/>
                <w:szCs w:val="18"/>
                <w:lang w:eastAsia="tr-TR"/>
              </w:rPr>
              <w:t>745,334</w:t>
            </w:r>
          </w:p>
        </w:tc>
        <w:tc>
          <w:tcPr>
            <w:tcW w:w="1481" w:type="dxa"/>
            <w:tcBorders>
              <w:top w:val="nil"/>
              <w:left w:val="nil"/>
              <w:bottom w:val="nil"/>
              <w:right w:val="nil"/>
            </w:tcBorders>
            <w:shd w:val="clear" w:color="auto" w:fill="auto"/>
            <w:vAlign w:val="center"/>
            <w:hideMark/>
          </w:tcPr>
          <w:p w14:paraId="3E936A71"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81" w:type="dxa"/>
            <w:tcBorders>
              <w:top w:val="nil"/>
              <w:left w:val="nil"/>
              <w:bottom w:val="nil"/>
              <w:right w:val="nil"/>
            </w:tcBorders>
            <w:shd w:val="clear" w:color="auto" w:fill="auto"/>
            <w:vAlign w:val="center"/>
            <w:hideMark/>
          </w:tcPr>
          <w:p w14:paraId="386755E8" w14:textId="77777777" w:rsidR="00BD5F7B" w:rsidRPr="00BD5F7B" w:rsidRDefault="00BD5F7B" w:rsidP="00BD5F7B">
            <w:pPr>
              <w:jc w:val="right"/>
              <w:rPr>
                <w:b/>
                <w:bCs/>
                <w:sz w:val="18"/>
                <w:szCs w:val="18"/>
                <w:lang w:eastAsia="tr-TR"/>
              </w:rPr>
            </w:pPr>
            <w:r w:rsidRPr="00BD5F7B">
              <w:rPr>
                <w:b/>
                <w:bCs/>
                <w:sz w:val="18"/>
                <w:szCs w:val="18"/>
                <w:lang w:eastAsia="tr-TR"/>
              </w:rPr>
              <w:t>745,334</w:t>
            </w:r>
          </w:p>
        </w:tc>
      </w:tr>
      <w:tr w:rsidR="00BD5F7B" w:rsidRPr="00BD5F7B" w14:paraId="6026AEF5"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07C37BD2" w14:textId="77777777" w:rsidR="00BD5F7B" w:rsidRPr="00BD5F7B" w:rsidRDefault="00BD5F7B" w:rsidP="00BD5F7B">
            <w:pPr>
              <w:jc w:val="both"/>
              <w:rPr>
                <w:sz w:val="18"/>
                <w:szCs w:val="18"/>
                <w:lang w:eastAsia="tr-TR"/>
              </w:rPr>
            </w:pPr>
            <w:r w:rsidRPr="00BD5F7B">
              <w:rPr>
                <w:sz w:val="18"/>
                <w:szCs w:val="18"/>
                <w:lang w:eastAsia="tr-TR"/>
              </w:rPr>
              <w:t xml:space="preserve">Taksitli </w:t>
            </w:r>
          </w:p>
        </w:tc>
        <w:tc>
          <w:tcPr>
            <w:tcW w:w="1481" w:type="dxa"/>
            <w:tcBorders>
              <w:top w:val="nil"/>
              <w:left w:val="nil"/>
              <w:bottom w:val="nil"/>
              <w:right w:val="nil"/>
            </w:tcBorders>
            <w:shd w:val="clear" w:color="auto" w:fill="auto"/>
            <w:vAlign w:val="center"/>
            <w:hideMark/>
          </w:tcPr>
          <w:p w14:paraId="7171DFDB" w14:textId="77777777" w:rsidR="00BD5F7B" w:rsidRPr="00BD5F7B" w:rsidRDefault="00BD5F7B" w:rsidP="00BD5F7B">
            <w:pPr>
              <w:jc w:val="right"/>
              <w:rPr>
                <w:sz w:val="18"/>
                <w:szCs w:val="18"/>
                <w:lang w:eastAsia="tr-TR"/>
              </w:rPr>
            </w:pPr>
            <w:r w:rsidRPr="00BD5F7B">
              <w:rPr>
                <w:sz w:val="18"/>
                <w:szCs w:val="18"/>
                <w:lang w:eastAsia="tr-TR"/>
              </w:rPr>
              <w:t>288,465</w:t>
            </w:r>
          </w:p>
        </w:tc>
        <w:tc>
          <w:tcPr>
            <w:tcW w:w="1481" w:type="dxa"/>
            <w:tcBorders>
              <w:top w:val="nil"/>
              <w:left w:val="nil"/>
              <w:bottom w:val="nil"/>
              <w:right w:val="nil"/>
            </w:tcBorders>
            <w:shd w:val="clear" w:color="auto" w:fill="auto"/>
            <w:vAlign w:val="center"/>
            <w:hideMark/>
          </w:tcPr>
          <w:p w14:paraId="38A5DA15"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4DAC257B" w14:textId="77777777" w:rsidR="00BD5F7B" w:rsidRPr="00BD5F7B" w:rsidRDefault="00BD5F7B" w:rsidP="00BD5F7B">
            <w:pPr>
              <w:jc w:val="right"/>
              <w:rPr>
                <w:bCs/>
                <w:sz w:val="18"/>
                <w:szCs w:val="18"/>
                <w:lang w:eastAsia="tr-TR"/>
              </w:rPr>
            </w:pPr>
            <w:r w:rsidRPr="00BD5F7B">
              <w:rPr>
                <w:bCs/>
                <w:sz w:val="18"/>
                <w:szCs w:val="18"/>
                <w:lang w:eastAsia="tr-TR"/>
              </w:rPr>
              <w:t>288,465</w:t>
            </w:r>
          </w:p>
        </w:tc>
      </w:tr>
      <w:tr w:rsidR="00BD5F7B" w:rsidRPr="00BD5F7B" w14:paraId="10354441"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4712CD96" w14:textId="77777777" w:rsidR="00BD5F7B" w:rsidRPr="00BD5F7B" w:rsidRDefault="00BD5F7B" w:rsidP="00BD5F7B">
            <w:pPr>
              <w:jc w:val="both"/>
              <w:rPr>
                <w:sz w:val="18"/>
                <w:szCs w:val="18"/>
                <w:lang w:eastAsia="tr-TR"/>
              </w:rPr>
            </w:pPr>
            <w:r w:rsidRPr="00BD5F7B">
              <w:rPr>
                <w:sz w:val="18"/>
                <w:szCs w:val="18"/>
                <w:lang w:eastAsia="tr-TR"/>
              </w:rPr>
              <w:t>Taksitsiz</w:t>
            </w:r>
          </w:p>
        </w:tc>
        <w:tc>
          <w:tcPr>
            <w:tcW w:w="1481" w:type="dxa"/>
            <w:tcBorders>
              <w:top w:val="nil"/>
              <w:left w:val="nil"/>
              <w:bottom w:val="nil"/>
              <w:right w:val="nil"/>
            </w:tcBorders>
            <w:shd w:val="clear" w:color="auto" w:fill="auto"/>
            <w:vAlign w:val="center"/>
            <w:hideMark/>
          </w:tcPr>
          <w:p w14:paraId="3765D281" w14:textId="77777777" w:rsidR="00BD5F7B" w:rsidRPr="00BD5F7B" w:rsidRDefault="00BD5F7B" w:rsidP="00BD5F7B">
            <w:pPr>
              <w:jc w:val="right"/>
              <w:rPr>
                <w:sz w:val="18"/>
                <w:szCs w:val="18"/>
                <w:lang w:eastAsia="tr-TR"/>
              </w:rPr>
            </w:pPr>
            <w:r w:rsidRPr="00BD5F7B">
              <w:rPr>
                <w:sz w:val="18"/>
                <w:szCs w:val="18"/>
                <w:lang w:eastAsia="tr-TR"/>
              </w:rPr>
              <w:t>456,869</w:t>
            </w:r>
          </w:p>
        </w:tc>
        <w:tc>
          <w:tcPr>
            <w:tcW w:w="1481" w:type="dxa"/>
            <w:tcBorders>
              <w:top w:val="nil"/>
              <w:left w:val="nil"/>
              <w:bottom w:val="nil"/>
              <w:right w:val="nil"/>
            </w:tcBorders>
            <w:shd w:val="clear" w:color="auto" w:fill="auto"/>
            <w:vAlign w:val="center"/>
            <w:hideMark/>
          </w:tcPr>
          <w:p w14:paraId="58495EA0"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11C01012" w14:textId="77777777" w:rsidR="00BD5F7B" w:rsidRPr="00BD5F7B" w:rsidRDefault="00BD5F7B" w:rsidP="00BD5F7B">
            <w:pPr>
              <w:jc w:val="right"/>
              <w:rPr>
                <w:bCs/>
                <w:sz w:val="18"/>
                <w:szCs w:val="18"/>
                <w:lang w:eastAsia="tr-TR"/>
              </w:rPr>
            </w:pPr>
            <w:r w:rsidRPr="00BD5F7B">
              <w:rPr>
                <w:bCs/>
                <w:sz w:val="18"/>
                <w:szCs w:val="18"/>
                <w:lang w:eastAsia="tr-TR"/>
              </w:rPr>
              <w:t>456,869</w:t>
            </w:r>
          </w:p>
        </w:tc>
      </w:tr>
      <w:tr w:rsidR="00BD5F7B" w:rsidRPr="00BD5F7B" w14:paraId="68E78EEE"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6688308D" w14:textId="77777777" w:rsidR="00BD5F7B" w:rsidRPr="00BD5F7B" w:rsidRDefault="00BD5F7B" w:rsidP="00BD5F7B">
            <w:pPr>
              <w:jc w:val="both"/>
              <w:rPr>
                <w:b/>
                <w:bCs/>
                <w:sz w:val="18"/>
                <w:szCs w:val="18"/>
                <w:lang w:eastAsia="tr-TR"/>
              </w:rPr>
            </w:pPr>
            <w:r w:rsidRPr="00BD5F7B">
              <w:rPr>
                <w:b/>
                <w:bCs/>
                <w:sz w:val="18"/>
                <w:szCs w:val="18"/>
                <w:lang w:eastAsia="tr-TR"/>
              </w:rPr>
              <w:t>Kurumsal Kredi Kartları-YP</w:t>
            </w:r>
          </w:p>
        </w:tc>
        <w:tc>
          <w:tcPr>
            <w:tcW w:w="1481" w:type="dxa"/>
            <w:tcBorders>
              <w:top w:val="nil"/>
              <w:left w:val="nil"/>
              <w:bottom w:val="nil"/>
              <w:right w:val="nil"/>
            </w:tcBorders>
            <w:shd w:val="clear" w:color="auto" w:fill="auto"/>
            <w:vAlign w:val="center"/>
            <w:hideMark/>
          </w:tcPr>
          <w:p w14:paraId="11BB813E"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81" w:type="dxa"/>
            <w:tcBorders>
              <w:top w:val="nil"/>
              <w:left w:val="nil"/>
              <w:bottom w:val="nil"/>
              <w:right w:val="nil"/>
            </w:tcBorders>
            <w:shd w:val="clear" w:color="auto" w:fill="auto"/>
            <w:vAlign w:val="center"/>
            <w:hideMark/>
          </w:tcPr>
          <w:p w14:paraId="6159F034"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81" w:type="dxa"/>
            <w:tcBorders>
              <w:top w:val="nil"/>
              <w:left w:val="nil"/>
              <w:bottom w:val="nil"/>
              <w:right w:val="nil"/>
            </w:tcBorders>
            <w:shd w:val="clear" w:color="auto" w:fill="auto"/>
            <w:vAlign w:val="center"/>
            <w:hideMark/>
          </w:tcPr>
          <w:p w14:paraId="5260DC12"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0B3B2D85"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16632BFC" w14:textId="77777777" w:rsidR="00BD5F7B" w:rsidRPr="00BD5F7B" w:rsidRDefault="00BD5F7B" w:rsidP="00BD5F7B">
            <w:pPr>
              <w:jc w:val="both"/>
              <w:rPr>
                <w:sz w:val="18"/>
                <w:szCs w:val="18"/>
                <w:lang w:eastAsia="tr-TR"/>
              </w:rPr>
            </w:pPr>
            <w:r w:rsidRPr="00BD5F7B">
              <w:rPr>
                <w:sz w:val="18"/>
                <w:szCs w:val="18"/>
                <w:lang w:eastAsia="tr-TR"/>
              </w:rPr>
              <w:t xml:space="preserve">Taksitli </w:t>
            </w:r>
          </w:p>
        </w:tc>
        <w:tc>
          <w:tcPr>
            <w:tcW w:w="1481" w:type="dxa"/>
            <w:tcBorders>
              <w:top w:val="nil"/>
              <w:left w:val="nil"/>
              <w:bottom w:val="nil"/>
              <w:right w:val="nil"/>
            </w:tcBorders>
            <w:shd w:val="clear" w:color="auto" w:fill="auto"/>
            <w:vAlign w:val="center"/>
            <w:hideMark/>
          </w:tcPr>
          <w:p w14:paraId="759B2F1F"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5D6BAA87"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0679D709" w14:textId="77777777" w:rsidR="00BD5F7B" w:rsidRPr="00BD5F7B" w:rsidRDefault="00BD5F7B" w:rsidP="00BD5F7B">
            <w:pPr>
              <w:jc w:val="right"/>
              <w:rPr>
                <w:bCs/>
                <w:sz w:val="18"/>
                <w:szCs w:val="18"/>
                <w:lang w:eastAsia="tr-TR"/>
              </w:rPr>
            </w:pPr>
            <w:r w:rsidRPr="00BD5F7B">
              <w:rPr>
                <w:bCs/>
                <w:sz w:val="18"/>
                <w:szCs w:val="18"/>
                <w:lang w:eastAsia="tr-TR"/>
              </w:rPr>
              <w:t>-</w:t>
            </w:r>
          </w:p>
        </w:tc>
      </w:tr>
      <w:tr w:rsidR="00BD5F7B" w:rsidRPr="00BD5F7B" w14:paraId="5A70F88E"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784DF219" w14:textId="77777777" w:rsidR="00BD5F7B" w:rsidRPr="00BD5F7B" w:rsidRDefault="00BD5F7B" w:rsidP="00BD5F7B">
            <w:pPr>
              <w:jc w:val="both"/>
              <w:rPr>
                <w:sz w:val="18"/>
                <w:szCs w:val="18"/>
                <w:lang w:eastAsia="tr-TR"/>
              </w:rPr>
            </w:pPr>
            <w:r w:rsidRPr="00BD5F7B">
              <w:rPr>
                <w:sz w:val="18"/>
                <w:szCs w:val="18"/>
                <w:lang w:eastAsia="tr-TR"/>
              </w:rPr>
              <w:t>Taksitsiz</w:t>
            </w:r>
          </w:p>
        </w:tc>
        <w:tc>
          <w:tcPr>
            <w:tcW w:w="1481" w:type="dxa"/>
            <w:tcBorders>
              <w:top w:val="nil"/>
              <w:left w:val="nil"/>
              <w:bottom w:val="nil"/>
              <w:right w:val="nil"/>
            </w:tcBorders>
            <w:shd w:val="clear" w:color="auto" w:fill="auto"/>
            <w:vAlign w:val="center"/>
            <w:hideMark/>
          </w:tcPr>
          <w:p w14:paraId="614D9E6B"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79C35A17" w14:textId="77777777" w:rsidR="00BD5F7B" w:rsidRPr="00BD5F7B" w:rsidRDefault="00BD5F7B" w:rsidP="00BD5F7B">
            <w:pPr>
              <w:jc w:val="right"/>
              <w:rPr>
                <w:sz w:val="18"/>
                <w:szCs w:val="18"/>
                <w:lang w:eastAsia="tr-TR"/>
              </w:rPr>
            </w:pPr>
            <w:r w:rsidRPr="00BD5F7B">
              <w:rPr>
                <w:sz w:val="18"/>
                <w:szCs w:val="18"/>
                <w:lang w:eastAsia="tr-TR"/>
              </w:rPr>
              <w:t>-</w:t>
            </w:r>
          </w:p>
        </w:tc>
        <w:tc>
          <w:tcPr>
            <w:tcW w:w="1481" w:type="dxa"/>
            <w:tcBorders>
              <w:top w:val="nil"/>
              <w:left w:val="nil"/>
              <w:bottom w:val="nil"/>
              <w:right w:val="nil"/>
            </w:tcBorders>
            <w:shd w:val="clear" w:color="auto" w:fill="auto"/>
            <w:vAlign w:val="center"/>
            <w:hideMark/>
          </w:tcPr>
          <w:p w14:paraId="566421C9" w14:textId="77777777" w:rsidR="00BD5F7B" w:rsidRPr="00BD5F7B" w:rsidRDefault="00BD5F7B" w:rsidP="00BD5F7B">
            <w:pPr>
              <w:jc w:val="right"/>
              <w:rPr>
                <w:bCs/>
                <w:sz w:val="18"/>
                <w:szCs w:val="18"/>
                <w:lang w:eastAsia="tr-TR"/>
              </w:rPr>
            </w:pPr>
            <w:r w:rsidRPr="00BD5F7B">
              <w:rPr>
                <w:bCs/>
                <w:sz w:val="18"/>
                <w:szCs w:val="18"/>
                <w:lang w:eastAsia="tr-TR"/>
              </w:rPr>
              <w:t>-</w:t>
            </w:r>
          </w:p>
        </w:tc>
      </w:tr>
      <w:tr w:rsidR="00BD5F7B" w:rsidRPr="00BD5F7B" w14:paraId="32668A4F" w14:textId="77777777" w:rsidTr="006B1072">
        <w:trPr>
          <w:divId w:val="951403516"/>
          <w:trHeight w:val="244"/>
        </w:trPr>
        <w:tc>
          <w:tcPr>
            <w:tcW w:w="4699" w:type="dxa"/>
            <w:tcBorders>
              <w:top w:val="nil"/>
              <w:left w:val="nil"/>
              <w:bottom w:val="nil"/>
              <w:right w:val="nil"/>
            </w:tcBorders>
            <w:shd w:val="clear" w:color="auto" w:fill="auto"/>
            <w:vAlign w:val="center"/>
            <w:hideMark/>
          </w:tcPr>
          <w:p w14:paraId="3AFC45F0" w14:textId="77777777" w:rsidR="00BD5F7B" w:rsidRPr="00BD5F7B" w:rsidRDefault="00BD5F7B" w:rsidP="00BD5F7B">
            <w:pPr>
              <w:jc w:val="both"/>
              <w:rPr>
                <w:b/>
                <w:bCs/>
                <w:sz w:val="18"/>
                <w:szCs w:val="18"/>
                <w:lang w:eastAsia="tr-TR"/>
              </w:rPr>
            </w:pPr>
            <w:r w:rsidRPr="00BD5F7B">
              <w:rPr>
                <w:b/>
                <w:bCs/>
                <w:sz w:val="18"/>
                <w:szCs w:val="18"/>
                <w:lang w:eastAsia="tr-TR"/>
              </w:rPr>
              <w:t>Kredili Mevduat Hesabı-TP (Tüzel Kişi)</w:t>
            </w:r>
          </w:p>
        </w:tc>
        <w:tc>
          <w:tcPr>
            <w:tcW w:w="1481" w:type="dxa"/>
            <w:tcBorders>
              <w:top w:val="nil"/>
              <w:left w:val="nil"/>
              <w:bottom w:val="nil"/>
              <w:right w:val="nil"/>
            </w:tcBorders>
            <w:shd w:val="clear" w:color="auto" w:fill="auto"/>
            <w:vAlign w:val="center"/>
            <w:hideMark/>
          </w:tcPr>
          <w:p w14:paraId="7B13E6AB"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81" w:type="dxa"/>
            <w:tcBorders>
              <w:top w:val="nil"/>
              <w:left w:val="nil"/>
              <w:bottom w:val="nil"/>
              <w:right w:val="nil"/>
            </w:tcBorders>
            <w:shd w:val="clear" w:color="auto" w:fill="auto"/>
            <w:vAlign w:val="center"/>
            <w:hideMark/>
          </w:tcPr>
          <w:p w14:paraId="45853032"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81" w:type="dxa"/>
            <w:tcBorders>
              <w:top w:val="nil"/>
              <w:left w:val="nil"/>
              <w:bottom w:val="nil"/>
              <w:right w:val="nil"/>
            </w:tcBorders>
            <w:shd w:val="clear" w:color="auto" w:fill="auto"/>
            <w:vAlign w:val="center"/>
            <w:hideMark/>
          </w:tcPr>
          <w:p w14:paraId="2196D498"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70307A4A" w14:textId="77777777" w:rsidTr="006B1072">
        <w:trPr>
          <w:divId w:val="951403516"/>
          <w:trHeight w:val="259"/>
        </w:trPr>
        <w:tc>
          <w:tcPr>
            <w:tcW w:w="4699" w:type="dxa"/>
            <w:tcBorders>
              <w:top w:val="nil"/>
              <w:left w:val="nil"/>
              <w:bottom w:val="single" w:sz="8" w:space="0" w:color="auto"/>
              <w:right w:val="nil"/>
            </w:tcBorders>
            <w:shd w:val="clear" w:color="auto" w:fill="auto"/>
            <w:vAlign w:val="center"/>
            <w:hideMark/>
          </w:tcPr>
          <w:p w14:paraId="22D4D04B" w14:textId="77777777" w:rsidR="00BD5F7B" w:rsidRPr="00BD5F7B" w:rsidRDefault="00BD5F7B" w:rsidP="00BD5F7B">
            <w:pPr>
              <w:jc w:val="both"/>
              <w:rPr>
                <w:b/>
                <w:bCs/>
                <w:sz w:val="18"/>
                <w:szCs w:val="18"/>
                <w:lang w:eastAsia="tr-TR"/>
              </w:rPr>
            </w:pPr>
            <w:r w:rsidRPr="00BD5F7B">
              <w:rPr>
                <w:b/>
                <w:bCs/>
                <w:sz w:val="18"/>
                <w:szCs w:val="18"/>
                <w:lang w:eastAsia="tr-TR"/>
              </w:rPr>
              <w:t>Kredili Mevduat Hesabı-YP (Tüzel Kişi)</w:t>
            </w:r>
          </w:p>
        </w:tc>
        <w:tc>
          <w:tcPr>
            <w:tcW w:w="1481" w:type="dxa"/>
            <w:tcBorders>
              <w:top w:val="nil"/>
              <w:left w:val="nil"/>
              <w:bottom w:val="single" w:sz="8" w:space="0" w:color="auto"/>
              <w:right w:val="nil"/>
            </w:tcBorders>
            <w:shd w:val="clear" w:color="auto" w:fill="auto"/>
            <w:vAlign w:val="center"/>
            <w:hideMark/>
          </w:tcPr>
          <w:p w14:paraId="59478DAF"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81" w:type="dxa"/>
            <w:tcBorders>
              <w:top w:val="nil"/>
              <w:left w:val="nil"/>
              <w:bottom w:val="single" w:sz="8" w:space="0" w:color="auto"/>
              <w:right w:val="nil"/>
            </w:tcBorders>
            <w:shd w:val="clear" w:color="auto" w:fill="auto"/>
            <w:vAlign w:val="center"/>
            <w:hideMark/>
          </w:tcPr>
          <w:p w14:paraId="29135482" w14:textId="77777777" w:rsidR="00BD5F7B" w:rsidRPr="00BD5F7B" w:rsidRDefault="00BD5F7B" w:rsidP="00BD5F7B">
            <w:pPr>
              <w:jc w:val="right"/>
              <w:rPr>
                <w:b/>
                <w:bCs/>
                <w:sz w:val="18"/>
                <w:szCs w:val="18"/>
                <w:lang w:eastAsia="tr-TR"/>
              </w:rPr>
            </w:pPr>
            <w:r w:rsidRPr="00BD5F7B">
              <w:rPr>
                <w:b/>
                <w:bCs/>
                <w:sz w:val="18"/>
                <w:szCs w:val="18"/>
                <w:lang w:eastAsia="tr-TR"/>
              </w:rPr>
              <w:t>-</w:t>
            </w:r>
          </w:p>
        </w:tc>
        <w:tc>
          <w:tcPr>
            <w:tcW w:w="1481" w:type="dxa"/>
            <w:tcBorders>
              <w:top w:val="nil"/>
              <w:left w:val="nil"/>
              <w:bottom w:val="single" w:sz="8" w:space="0" w:color="auto"/>
              <w:right w:val="nil"/>
            </w:tcBorders>
            <w:shd w:val="clear" w:color="auto" w:fill="auto"/>
            <w:vAlign w:val="center"/>
            <w:hideMark/>
          </w:tcPr>
          <w:p w14:paraId="659DC236" w14:textId="77777777" w:rsidR="00BD5F7B" w:rsidRPr="00BD5F7B" w:rsidRDefault="00BD5F7B" w:rsidP="00BD5F7B">
            <w:pPr>
              <w:jc w:val="right"/>
              <w:rPr>
                <w:b/>
                <w:bCs/>
                <w:sz w:val="18"/>
                <w:szCs w:val="18"/>
                <w:lang w:eastAsia="tr-TR"/>
              </w:rPr>
            </w:pPr>
            <w:r w:rsidRPr="00BD5F7B">
              <w:rPr>
                <w:b/>
                <w:bCs/>
                <w:sz w:val="18"/>
                <w:szCs w:val="18"/>
                <w:lang w:eastAsia="tr-TR"/>
              </w:rPr>
              <w:t>-</w:t>
            </w:r>
          </w:p>
        </w:tc>
      </w:tr>
      <w:tr w:rsidR="00BD5F7B" w:rsidRPr="00BD5F7B" w14:paraId="06BCDB9E" w14:textId="77777777" w:rsidTr="006B1072">
        <w:trPr>
          <w:divId w:val="951403516"/>
          <w:trHeight w:val="259"/>
        </w:trPr>
        <w:tc>
          <w:tcPr>
            <w:tcW w:w="4699" w:type="dxa"/>
            <w:tcBorders>
              <w:top w:val="nil"/>
              <w:left w:val="nil"/>
              <w:bottom w:val="double" w:sz="6" w:space="0" w:color="auto"/>
              <w:right w:val="nil"/>
            </w:tcBorders>
            <w:shd w:val="clear" w:color="auto" w:fill="auto"/>
            <w:vAlign w:val="center"/>
            <w:hideMark/>
          </w:tcPr>
          <w:p w14:paraId="0ED05F93" w14:textId="77777777" w:rsidR="00BD5F7B" w:rsidRPr="00BD5F7B" w:rsidRDefault="00BD5F7B" w:rsidP="00BD5F7B">
            <w:pPr>
              <w:jc w:val="both"/>
              <w:rPr>
                <w:b/>
                <w:bCs/>
                <w:sz w:val="18"/>
                <w:szCs w:val="18"/>
                <w:lang w:eastAsia="tr-TR"/>
              </w:rPr>
            </w:pPr>
            <w:r w:rsidRPr="00BD5F7B">
              <w:rPr>
                <w:b/>
                <w:bCs/>
                <w:sz w:val="18"/>
                <w:szCs w:val="18"/>
                <w:lang w:eastAsia="tr-TR"/>
              </w:rPr>
              <w:t>Toplam</w:t>
            </w:r>
          </w:p>
        </w:tc>
        <w:tc>
          <w:tcPr>
            <w:tcW w:w="1481" w:type="dxa"/>
            <w:tcBorders>
              <w:top w:val="nil"/>
              <w:left w:val="nil"/>
              <w:bottom w:val="double" w:sz="6" w:space="0" w:color="auto"/>
              <w:right w:val="nil"/>
            </w:tcBorders>
            <w:shd w:val="clear" w:color="auto" w:fill="auto"/>
            <w:vAlign w:val="center"/>
            <w:hideMark/>
          </w:tcPr>
          <w:p w14:paraId="6AEF3316" w14:textId="77777777" w:rsidR="00BD5F7B" w:rsidRPr="00BD5F7B" w:rsidRDefault="00BD5F7B" w:rsidP="00BD5F7B">
            <w:pPr>
              <w:jc w:val="right"/>
              <w:rPr>
                <w:b/>
                <w:bCs/>
                <w:sz w:val="18"/>
                <w:szCs w:val="18"/>
                <w:lang w:eastAsia="tr-TR"/>
              </w:rPr>
            </w:pPr>
            <w:r w:rsidRPr="00BD5F7B">
              <w:rPr>
                <w:b/>
                <w:bCs/>
                <w:sz w:val="18"/>
                <w:szCs w:val="18"/>
                <w:lang w:eastAsia="tr-TR"/>
              </w:rPr>
              <w:t>1,148,629</w:t>
            </w:r>
          </w:p>
        </w:tc>
        <w:tc>
          <w:tcPr>
            <w:tcW w:w="1481" w:type="dxa"/>
            <w:tcBorders>
              <w:top w:val="nil"/>
              <w:left w:val="nil"/>
              <w:bottom w:val="double" w:sz="6" w:space="0" w:color="auto"/>
              <w:right w:val="nil"/>
            </w:tcBorders>
            <w:shd w:val="clear" w:color="auto" w:fill="auto"/>
            <w:vAlign w:val="center"/>
            <w:hideMark/>
          </w:tcPr>
          <w:p w14:paraId="7587C508" w14:textId="77777777" w:rsidR="00BD5F7B" w:rsidRPr="00BD5F7B" w:rsidRDefault="00BD5F7B" w:rsidP="00BD5F7B">
            <w:pPr>
              <w:jc w:val="right"/>
              <w:rPr>
                <w:b/>
                <w:bCs/>
                <w:sz w:val="18"/>
                <w:szCs w:val="18"/>
                <w:lang w:eastAsia="tr-TR"/>
              </w:rPr>
            </w:pPr>
            <w:r w:rsidRPr="00BD5F7B">
              <w:rPr>
                <w:b/>
                <w:bCs/>
                <w:sz w:val="18"/>
                <w:szCs w:val="18"/>
                <w:lang w:eastAsia="tr-TR"/>
              </w:rPr>
              <w:t>9,754,580</w:t>
            </w:r>
          </w:p>
        </w:tc>
        <w:tc>
          <w:tcPr>
            <w:tcW w:w="1481" w:type="dxa"/>
            <w:tcBorders>
              <w:top w:val="nil"/>
              <w:left w:val="nil"/>
              <w:bottom w:val="double" w:sz="6" w:space="0" w:color="auto"/>
              <w:right w:val="nil"/>
            </w:tcBorders>
            <w:shd w:val="clear" w:color="auto" w:fill="auto"/>
            <w:vAlign w:val="center"/>
            <w:hideMark/>
          </w:tcPr>
          <w:p w14:paraId="749EAF6D" w14:textId="77777777" w:rsidR="00BD5F7B" w:rsidRPr="00BD5F7B" w:rsidRDefault="00BD5F7B" w:rsidP="00BD5F7B">
            <w:pPr>
              <w:jc w:val="right"/>
              <w:rPr>
                <w:b/>
                <w:bCs/>
                <w:sz w:val="18"/>
                <w:szCs w:val="18"/>
                <w:lang w:eastAsia="tr-TR"/>
              </w:rPr>
            </w:pPr>
            <w:r w:rsidRPr="00BD5F7B">
              <w:rPr>
                <w:b/>
                <w:bCs/>
                <w:sz w:val="18"/>
                <w:szCs w:val="18"/>
                <w:lang w:eastAsia="tr-TR"/>
              </w:rPr>
              <w:t>10,903,209</w:t>
            </w:r>
          </w:p>
        </w:tc>
      </w:tr>
    </w:tbl>
    <w:p w14:paraId="0A66F07D" w14:textId="57772083" w:rsidR="00482AF6" w:rsidRPr="00BD5F7B" w:rsidRDefault="00482AF6" w:rsidP="00055FF4">
      <w:pPr>
        <w:tabs>
          <w:tab w:val="num" w:pos="3060"/>
        </w:tabs>
        <w:autoSpaceDE w:val="0"/>
        <w:autoSpaceDN w:val="0"/>
        <w:adjustRightInd w:val="0"/>
        <w:rPr>
          <w:lang w:val="en-GB" w:eastAsia="en-GB"/>
        </w:rPr>
      </w:pPr>
    </w:p>
    <w:tbl>
      <w:tblPr>
        <w:tblW w:w="9108" w:type="dxa"/>
        <w:tblCellMar>
          <w:left w:w="70" w:type="dxa"/>
          <w:right w:w="70" w:type="dxa"/>
        </w:tblCellMar>
        <w:tblLook w:val="04A0" w:firstRow="1" w:lastRow="0" w:firstColumn="1" w:lastColumn="0" w:noHBand="0" w:noVBand="1"/>
      </w:tblPr>
      <w:tblGrid>
        <w:gridCol w:w="4594"/>
        <w:gridCol w:w="1628"/>
        <w:gridCol w:w="1443"/>
        <w:gridCol w:w="1443"/>
      </w:tblGrid>
      <w:tr w:rsidR="00482AF6" w:rsidRPr="00BD5F7B" w14:paraId="297FFF54" w14:textId="77777777" w:rsidTr="00BA637F">
        <w:trPr>
          <w:divId w:val="376323408"/>
          <w:trHeight w:val="462"/>
        </w:trPr>
        <w:tc>
          <w:tcPr>
            <w:tcW w:w="4594" w:type="dxa"/>
            <w:tcBorders>
              <w:top w:val="double" w:sz="6" w:space="0" w:color="auto"/>
              <w:left w:val="nil"/>
              <w:bottom w:val="single" w:sz="8" w:space="0" w:color="auto"/>
              <w:right w:val="nil"/>
            </w:tcBorders>
            <w:shd w:val="clear" w:color="000000" w:fill="FFFFFF"/>
            <w:vAlign w:val="center"/>
            <w:hideMark/>
          </w:tcPr>
          <w:p w14:paraId="3DAFEC62" w14:textId="2BF8FF4D" w:rsidR="00482AF6" w:rsidRPr="00BD5F7B" w:rsidRDefault="00482AF6" w:rsidP="00482AF6">
            <w:pPr>
              <w:rPr>
                <w:b/>
                <w:bCs/>
                <w:sz w:val="18"/>
                <w:szCs w:val="18"/>
                <w:lang w:eastAsia="tr-TR"/>
              </w:rPr>
            </w:pPr>
            <w:r w:rsidRPr="00BD5F7B">
              <w:rPr>
                <w:b/>
                <w:bCs/>
                <w:sz w:val="18"/>
                <w:szCs w:val="18"/>
                <w:lang w:eastAsia="tr-TR"/>
              </w:rPr>
              <w:t>Önceki Dönem</w:t>
            </w:r>
          </w:p>
        </w:tc>
        <w:tc>
          <w:tcPr>
            <w:tcW w:w="1628" w:type="dxa"/>
            <w:tcBorders>
              <w:top w:val="double" w:sz="6" w:space="0" w:color="auto"/>
              <w:left w:val="nil"/>
              <w:bottom w:val="single" w:sz="8" w:space="0" w:color="auto"/>
              <w:right w:val="nil"/>
            </w:tcBorders>
            <w:shd w:val="clear" w:color="000000" w:fill="FFFFFF"/>
            <w:vAlign w:val="center"/>
            <w:hideMark/>
          </w:tcPr>
          <w:p w14:paraId="210C516E" w14:textId="77777777" w:rsidR="00482AF6" w:rsidRPr="00BD5F7B" w:rsidRDefault="00482AF6" w:rsidP="00482AF6">
            <w:pPr>
              <w:jc w:val="right"/>
              <w:rPr>
                <w:b/>
                <w:bCs/>
                <w:sz w:val="18"/>
                <w:szCs w:val="18"/>
                <w:lang w:eastAsia="tr-TR"/>
              </w:rPr>
            </w:pPr>
            <w:r w:rsidRPr="00BD5F7B">
              <w:rPr>
                <w:b/>
                <w:bCs/>
                <w:sz w:val="18"/>
                <w:szCs w:val="18"/>
                <w:lang w:eastAsia="tr-TR"/>
              </w:rPr>
              <w:t>Kısa Vadeli</w:t>
            </w:r>
          </w:p>
        </w:tc>
        <w:tc>
          <w:tcPr>
            <w:tcW w:w="1443" w:type="dxa"/>
            <w:tcBorders>
              <w:top w:val="double" w:sz="6" w:space="0" w:color="auto"/>
              <w:left w:val="nil"/>
              <w:bottom w:val="single" w:sz="8" w:space="0" w:color="auto"/>
              <w:right w:val="nil"/>
            </w:tcBorders>
            <w:shd w:val="clear" w:color="auto" w:fill="auto"/>
            <w:vAlign w:val="center"/>
            <w:hideMark/>
          </w:tcPr>
          <w:p w14:paraId="709CBD07" w14:textId="77777777" w:rsidR="00482AF6" w:rsidRPr="00BD5F7B" w:rsidRDefault="00482AF6" w:rsidP="00482AF6">
            <w:pPr>
              <w:jc w:val="right"/>
              <w:rPr>
                <w:b/>
                <w:bCs/>
                <w:sz w:val="18"/>
                <w:szCs w:val="18"/>
                <w:lang w:eastAsia="tr-TR"/>
              </w:rPr>
            </w:pPr>
            <w:r w:rsidRPr="00BD5F7B">
              <w:rPr>
                <w:b/>
                <w:bCs/>
                <w:sz w:val="18"/>
                <w:szCs w:val="18"/>
                <w:lang w:eastAsia="tr-TR"/>
              </w:rPr>
              <w:t>Orta ve Uzun Vadeli</w:t>
            </w:r>
          </w:p>
        </w:tc>
        <w:tc>
          <w:tcPr>
            <w:tcW w:w="1443" w:type="dxa"/>
            <w:tcBorders>
              <w:top w:val="double" w:sz="6" w:space="0" w:color="auto"/>
              <w:left w:val="nil"/>
              <w:bottom w:val="single" w:sz="8" w:space="0" w:color="auto"/>
              <w:right w:val="nil"/>
            </w:tcBorders>
            <w:shd w:val="clear" w:color="auto" w:fill="auto"/>
            <w:vAlign w:val="center"/>
            <w:hideMark/>
          </w:tcPr>
          <w:p w14:paraId="480CAE1A" w14:textId="77777777" w:rsidR="00482AF6" w:rsidRPr="00BD5F7B" w:rsidRDefault="00482AF6" w:rsidP="00482AF6">
            <w:pPr>
              <w:jc w:val="right"/>
              <w:rPr>
                <w:b/>
                <w:bCs/>
                <w:sz w:val="18"/>
                <w:szCs w:val="18"/>
                <w:lang w:eastAsia="tr-TR"/>
              </w:rPr>
            </w:pPr>
            <w:r w:rsidRPr="00BD5F7B">
              <w:rPr>
                <w:b/>
                <w:bCs/>
                <w:sz w:val="18"/>
                <w:szCs w:val="18"/>
                <w:lang w:eastAsia="tr-TR"/>
              </w:rPr>
              <w:t>Toplam</w:t>
            </w:r>
          </w:p>
        </w:tc>
      </w:tr>
      <w:tr w:rsidR="00482AF6" w:rsidRPr="00BD5F7B" w14:paraId="6718AB1F"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2E72F1DD" w14:textId="77777777" w:rsidR="00482AF6" w:rsidRPr="00BD5F7B" w:rsidRDefault="00482AF6" w:rsidP="00482AF6">
            <w:pPr>
              <w:jc w:val="both"/>
              <w:rPr>
                <w:b/>
                <w:bCs/>
                <w:sz w:val="18"/>
                <w:szCs w:val="18"/>
                <w:lang w:eastAsia="tr-TR"/>
              </w:rPr>
            </w:pPr>
            <w:r w:rsidRPr="00BD5F7B">
              <w:rPr>
                <w:b/>
                <w:bCs/>
                <w:sz w:val="18"/>
                <w:szCs w:val="18"/>
                <w:lang w:eastAsia="tr-TR"/>
              </w:rPr>
              <w:t>Taksitli Ticari Krediler-TP</w:t>
            </w:r>
          </w:p>
        </w:tc>
        <w:tc>
          <w:tcPr>
            <w:tcW w:w="1628" w:type="dxa"/>
            <w:tcBorders>
              <w:top w:val="nil"/>
              <w:left w:val="nil"/>
              <w:bottom w:val="nil"/>
              <w:right w:val="nil"/>
            </w:tcBorders>
            <w:shd w:val="clear" w:color="000000" w:fill="FFFFFF"/>
            <w:vAlign w:val="center"/>
            <w:hideMark/>
          </w:tcPr>
          <w:p w14:paraId="0AB5758B" w14:textId="77777777" w:rsidR="00482AF6" w:rsidRPr="00BD5F7B" w:rsidRDefault="00482AF6" w:rsidP="00482AF6">
            <w:pPr>
              <w:jc w:val="right"/>
              <w:rPr>
                <w:b/>
                <w:bCs/>
                <w:sz w:val="18"/>
                <w:szCs w:val="18"/>
                <w:lang w:eastAsia="tr-TR"/>
              </w:rPr>
            </w:pPr>
            <w:r w:rsidRPr="00BD5F7B">
              <w:rPr>
                <w:b/>
                <w:bCs/>
                <w:sz w:val="18"/>
                <w:szCs w:val="18"/>
                <w:lang w:eastAsia="tr-TR"/>
              </w:rPr>
              <w:t>248,040</w:t>
            </w:r>
          </w:p>
        </w:tc>
        <w:tc>
          <w:tcPr>
            <w:tcW w:w="1443" w:type="dxa"/>
            <w:tcBorders>
              <w:top w:val="nil"/>
              <w:left w:val="nil"/>
              <w:bottom w:val="nil"/>
              <w:right w:val="nil"/>
            </w:tcBorders>
            <w:shd w:val="clear" w:color="auto" w:fill="auto"/>
            <w:vAlign w:val="center"/>
            <w:hideMark/>
          </w:tcPr>
          <w:p w14:paraId="6E6B0932" w14:textId="77777777" w:rsidR="00482AF6" w:rsidRPr="00BD5F7B" w:rsidRDefault="00482AF6" w:rsidP="00482AF6">
            <w:pPr>
              <w:jc w:val="right"/>
              <w:rPr>
                <w:b/>
                <w:bCs/>
                <w:sz w:val="18"/>
                <w:szCs w:val="18"/>
                <w:lang w:eastAsia="tr-TR"/>
              </w:rPr>
            </w:pPr>
            <w:r w:rsidRPr="00BD5F7B">
              <w:rPr>
                <w:b/>
                <w:bCs/>
                <w:sz w:val="18"/>
                <w:szCs w:val="18"/>
                <w:lang w:eastAsia="tr-TR"/>
              </w:rPr>
              <w:t>4,929,680</w:t>
            </w:r>
          </w:p>
        </w:tc>
        <w:tc>
          <w:tcPr>
            <w:tcW w:w="1443" w:type="dxa"/>
            <w:tcBorders>
              <w:top w:val="nil"/>
              <w:left w:val="nil"/>
              <w:bottom w:val="nil"/>
              <w:right w:val="nil"/>
            </w:tcBorders>
            <w:shd w:val="clear" w:color="auto" w:fill="auto"/>
            <w:vAlign w:val="center"/>
            <w:hideMark/>
          </w:tcPr>
          <w:p w14:paraId="1B4CA9BE" w14:textId="77777777" w:rsidR="00482AF6" w:rsidRPr="00BD5F7B" w:rsidRDefault="00482AF6" w:rsidP="00482AF6">
            <w:pPr>
              <w:jc w:val="right"/>
              <w:rPr>
                <w:b/>
                <w:bCs/>
                <w:sz w:val="18"/>
                <w:szCs w:val="18"/>
                <w:lang w:eastAsia="tr-TR"/>
              </w:rPr>
            </w:pPr>
            <w:r w:rsidRPr="00BD5F7B">
              <w:rPr>
                <w:b/>
                <w:bCs/>
                <w:sz w:val="18"/>
                <w:szCs w:val="18"/>
                <w:lang w:eastAsia="tr-TR"/>
              </w:rPr>
              <w:t>5,177,720</w:t>
            </w:r>
          </w:p>
        </w:tc>
      </w:tr>
      <w:tr w:rsidR="00482AF6" w:rsidRPr="00BD5F7B" w14:paraId="77920A81"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3869C0F1" w14:textId="77777777" w:rsidR="00482AF6" w:rsidRPr="00BD5F7B" w:rsidRDefault="00482AF6" w:rsidP="00482AF6">
            <w:pPr>
              <w:jc w:val="both"/>
              <w:rPr>
                <w:sz w:val="18"/>
                <w:szCs w:val="18"/>
                <w:lang w:eastAsia="tr-TR"/>
              </w:rPr>
            </w:pPr>
            <w:r w:rsidRPr="00BD5F7B">
              <w:rPr>
                <w:sz w:val="18"/>
                <w:szCs w:val="18"/>
                <w:lang w:eastAsia="tr-TR"/>
              </w:rPr>
              <w:t>İşyeri Kredileri</w:t>
            </w:r>
          </w:p>
        </w:tc>
        <w:tc>
          <w:tcPr>
            <w:tcW w:w="1628" w:type="dxa"/>
            <w:tcBorders>
              <w:top w:val="nil"/>
              <w:left w:val="nil"/>
              <w:bottom w:val="nil"/>
              <w:right w:val="nil"/>
            </w:tcBorders>
            <w:shd w:val="clear" w:color="000000" w:fill="FFFFFF"/>
            <w:vAlign w:val="center"/>
            <w:hideMark/>
          </w:tcPr>
          <w:p w14:paraId="4C1BC0FB" w14:textId="77777777" w:rsidR="00482AF6" w:rsidRPr="00BD5F7B" w:rsidRDefault="00482AF6" w:rsidP="00482AF6">
            <w:pPr>
              <w:jc w:val="right"/>
              <w:rPr>
                <w:sz w:val="18"/>
                <w:szCs w:val="18"/>
                <w:lang w:eastAsia="tr-TR"/>
              </w:rPr>
            </w:pPr>
            <w:r w:rsidRPr="00BD5F7B">
              <w:rPr>
                <w:sz w:val="18"/>
                <w:szCs w:val="18"/>
                <w:lang w:eastAsia="tr-TR"/>
              </w:rPr>
              <w:t>18,447</w:t>
            </w:r>
          </w:p>
        </w:tc>
        <w:tc>
          <w:tcPr>
            <w:tcW w:w="1443" w:type="dxa"/>
            <w:tcBorders>
              <w:top w:val="nil"/>
              <w:left w:val="nil"/>
              <w:bottom w:val="nil"/>
              <w:right w:val="nil"/>
            </w:tcBorders>
            <w:shd w:val="clear" w:color="auto" w:fill="auto"/>
            <w:vAlign w:val="center"/>
            <w:hideMark/>
          </w:tcPr>
          <w:p w14:paraId="5FC73872" w14:textId="77777777" w:rsidR="00482AF6" w:rsidRPr="00BD5F7B" w:rsidRDefault="00482AF6" w:rsidP="00482AF6">
            <w:pPr>
              <w:jc w:val="right"/>
              <w:rPr>
                <w:sz w:val="18"/>
                <w:szCs w:val="18"/>
                <w:lang w:eastAsia="tr-TR"/>
              </w:rPr>
            </w:pPr>
            <w:r w:rsidRPr="00BD5F7B">
              <w:rPr>
                <w:sz w:val="18"/>
                <w:szCs w:val="18"/>
                <w:lang w:eastAsia="tr-TR"/>
              </w:rPr>
              <w:t>1,248,841</w:t>
            </w:r>
          </w:p>
        </w:tc>
        <w:tc>
          <w:tcPr>
            <w:tcW w:w="1443" w:type="dxa"/>
            <w:tcBorders>
              <w:top w:val="nil"/>
              <w:left w:val="nil"/>
              <w:bottom w:val="nil"/>
              <w:right w:val="nil"/>
            </w:tcBorders>
            <w:shd w:val="clear" w:color="auto" w:fill="auto"/>
            <w:vAlign w:val="center"/>
            <w:hideMark/>
          </w:tcPr>
          <w:p w14:paraId="78CD5064" w14:textId="77777777" w:rsidR="00482AF6" w:rsidRPr="00BD5F7B" w:rsidRDefault="00482AF6" w:rsidP="00482AF6">
            <w:pPr>
              <w:jc w:val="right"/>
              <w:rPr>
                <w:bCs/>
                <w:sz w:val="18"/>
                <w:szCs w:val="18"/>
                <w:lang w:eastAsia="tr-TR"/>
              </w:rPr>
            </w:pPr>
            <w:r w:rsidRPr="00BD5F7B">
              <w:rPr>
                <w:bCs/>
                <w:sz w:val="18"/>
                <w:szCs w:val="18"/>
                <w:lang w:eastAsia="tr-TR"/>
              </w:rPr>
              <w:t>1,267,288</w:t>
            </w:r>
          </w:p>
        </w:tc>
      </w:tr>
      <w:tr w:rsidR="00482AF6" w:rsidRPr="00BD5F7B" w14:paraId="3DBE7062"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38A9F292" w14:textId="77777777" w:rsidR="00482AF6" w:rsidRPr="00BD5F7B" w:rsidRDefault="00482AF6" w:rsidP="00482AF6">
            <w:pPr>
              <w:jc w:val="both"/>
              <w:rPr>
                <w:sz w:val="18"/>
                <w:szCs w:val="18"/>
                <w:lang w:eastAsia="tr-TR"/>
              </w:rPr>
            </w:pPr>
            <w:r w:rsidRPr="00BD5F7B">
              <w:rPr>
                <w:sz w:val="18"/>
                <w:szCs w:val="18"/>
                <w:lang w:eastAsia="tr-TR"/>
              </w:rPr>
              <w:t>Taşıt Kredileri</w:t>
            </w:r>
          </w:p>
        </w:tc>
        <w:tc>
          <w:tcPr>
            <w:tcW w:w="1628" w:type="dxa"/>
            <w:tcBorders>
              <w:top w:val="nil"/>
              <w:left w:val="nil"/>
              <w:bottom w:val="nil"/>
              <w:right w:val="nil"/>
            </w:tcBorders>
            <w:shd w:val="clear" w:color="000000" w:fill="FFFFFF"/>
            <w:vAlign w:val="center"/>
            <w:hideMark/>
          </w:tcPr>
          <w:p w14:paraId="6ACBA0AE" w14:textId="77777777" w:rsidR="00482AF6" w:rsidRPr="00BD5F7B" w:rsidRDefault="00482AF6" w:rsidP="00482AF6">
            <w:pPr>
              <w:jc w:val="right"/>
              <w:rPr>
                <w:sz w:val="18"/>
                <w:szCs w:val="18"/>
                <w:lang w:eastAsia="tr-TR"/>
              </w:rPr>
            </w:pPr>
            <w:r w:rsidRPr="00BD5F7B">
              <w:rPr>
                <w:sz w:val="18"/>
                <w:szCs w:val="18"/>
                <w:lang w:eastAsia="tr-TR"/>
              </w:rPr>
              <w:t>194,640</w:t>
            </w:r>
          </w:p>
        </w:tc>
        <w:tc>
          <w:tcPr>
            <w:tcW w:w="1443" w:type="dxa"/>
            <w:tcBorders>
              <w:top w:val="nil"/>
              <w:left w:val="nil"/>
              <w:bottom w:val="nil"/>
              <w:right w:val="nil"/>
            </w:tcBorders>
            <w:shd w:val="clear" w:color="auto" w:fill="auto"/>
            <w:vAlign w:val="center"/>
            <w:hideMark/>
          </w:tcPr>
          <w:p w14:paraId="20E024A8" w14:textId="77777777" w:rsidR="00482AF6" w:rsidRPr="00BD5F7B" w:rsidRDefault="00482AF6" w:rsidP="00482AF6">
            <w:pPr>
              <w:jc w:val="right"/>
              <w:rPr>
                <w:sz w:val="18"/>
                <w:szCs w:val="18"/>
                <w:lang w:eastAsia="tr-TR"/>
              </w:rPr>
            </w:pPr>
            <w:r w:rsidRPr="00BD5F7B">
              <w:rPr>
                <w:sz w:val="18"/>
                <w:szCs w:val="18"/>
                <w:lang w:eastAsia="tr-TR"/>
              </w:rPr>
              <w:t>2,385,462</w:t>
            </w:r>
          </w:p>
        </w:tc>
        <w:tc>
          <w:tcPr>
            <w:tcW w:w="1443" w:type="dxa"/>
            <w:tcBorders>
              <w:top w:val="nil"/>
              <w:left w:val="nil"/>
              <w:bottom w:val="nil"/>
              <w:right w:val="nil"/>
            </w:tcBorders>
            <w:shd w:val="clear" w:color="auto" w:fill="auto"/>
            <w:vAlign w:val="center"/>
            <w:hideMark/>
          </w:tcPr>
          <w:p w14:paraId="51EAF4CE" w14:textId="77777777" w:rsidR="00482AF6" w:rsidRPr="00BD5F7B" w:rsidRDefault="00482AF6" w:rsidP="00482AF6">
            <w:pPr>
              <w:jc w:val="right"/>
              <w:rPr>
                <w:bCs/>
                <w:sz w:val="18"/>
                <w:szCs w:val="18"/>
                <w:lang w:eastAsia="tr-TR"/>
              </w:rPr>
            </w:pPr>
            <w:r w:rsidRPr="00BD5F7B">
              <w:rPr>
                <w:bCs/>
                <w:sz w:val="18"/>
                <w:szCs w:val="18"/>
                <w:lang w:eastAsia="tr-TR"/>
              </w:rPr>
              <w:t>2,580,102</w:t>
            </w:r>
          </w:p>
        </w:tc>
      </w:tr>
      <w:tr w:rsidR="00482AF6" w:rsidRPr="00BD5F7B" w14:paraId="1E4B8990"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4DEA2882" w14:textId="77777777" w:rsidR="00482AF6" w:rsidRPr="00BD5F7B" w:rsidRDefault="00482AF6" w:rsidP="00482AF6">
            <w:pPr>
              <w:jc w:val="both"/>
              <w:rPr>
                <w:sz w:val="18"/>
                <w:szCs w:val="18"/>
                <w:lang w:eastAsia="tr-TR"/>
              </w:rPr>
            </w:pPr>
            <w:r w:rsidRPr="00BD5F7B">
              <w:rPr>
                <w:sz w:val="18"/>
                <w:szCs w:val="18"/>
                <w:lang w:eastAsia="tr-TR"/>
              </w:rPr>
              <w:t>İhtiyaç Kredileri</w:t>
            </w:r>
          </w:p>
        </w:tc>
        <w:tc>
          <w:tcPr>
            <w:tcW w:w="1628" w:type="dxa"/>
            <w:tcBorders>
              <w:top w:val="nil"/>
              <w:left w:val="nil"/>
              <w:bottom w:val="nil"/>
              <w:right w:val="nil"/>
            </w:tcBorders>
            <w:shd w:val="clear" w:color="000000" w:fill="FFFFFF"/>
            <w:vAlign w:val="center"/>
            <w:hideMark/>
          </w:tcPr>
          <w:p w14:paraId="2B20D2F4" w14:textId="77777777" w:rsidR="00482AF6" w:rsidRPr="00BD5F7B" w:rsidRDefault="00482AF6" w:rsidP="00482AF6">
            <w:pPr>
              <w:jc w:val="right"/>
              <w:rPr>
                <w:sz w:val="18"/>
                <w:szCs w:val="18"/>
                <w:lang w:eastAsia="tr-TR"/>
              </w:rPr>
            </w:pPr>
            <w:r w:rsidRPr="00BD5F7B">
              <w:rPr>
                <w:sz w:val="18"/>
                <w:szCs w:val="18"/>
                <w:lang w:eastAsia="tr-TR"/>
              </w:rPr>
              <w:t>34,953</w:t>
            </w:r>
          </w:p>
        </w:tc>
        <w:tc>
          <w:tcPr>
            <w:tcW w:w="1443" w:type="dxa"/>
            <w:tcBorders>
              <w:top w:val="nil"/>
              <w:left w:val="nil"/>
              <w:bottom w:val="nil"/>
              <w:right w:val="nil"/>
            </w:tcBorders>
            <w:shd w:val="clear" w:color="auto" w:fill="auto"/>
            <w:vAlign w:val="center"/>
            <w:hideMark/>
          </w:tcPr>
          <w:p w14:paraId="2549984F" w14:textId="77777777" w:rsidR="00482AF6" w:rsidRPr="00BD5F7B" w:rsidRDefault="00482AF6" w:rsidP="00482AF6">
            <w:pPr>
              <w:jc w:val="right"/>
              <w:rPr>
                <w:sz w:val="18"/>
                <w:szCs w:val="18"/>
                <w:lang w:eastAsia="tr-TR"/>
              </w:rPr>
            </w:pPr>
            <w:r w:rsidRPr="00BD5F7B">
              <w:rPr>
                <w:sz w:val="18"/>
                <w:szCs w:val="18"/>
                <w:lang w:eastAsia="tr-TR"/>
              </w:rPr>
              <w:t>1,295,377</w:t>
            </w:r>
          </w:p>
        </w:tc>
        <w:tc>
          <w:tcPr>
            <w:tcW w:w="1443" w:type="dxa"/>
            <w:tcBorders>
              <w:top w:val="nil"/>
              <w:left w:val="nil"/>
              <w:bottom w:val="nil"/>
              <w:right w:val="nil"/>
            </w:tcBorders>
            <w:shd w:val="clear" w:color="auto" w:fill="auto"/>
            <w:vAlign w:val="center"/>
            <w:hideMark/>
          </w:tcPr>
          <w:p w14:paraId="1364D4FC" w14:textId="77777777" w:rsidR="00482AF6" w:rsidRPr="00BD5F7B" w:rsidRDefault="00482AF6" w:rsidP="00482AF6">
            <w:pPr>
              <w:jc w:val="right"/>
              <w:rPr>
                <w:bCs/>
                <w:sz w:val="18"/>
                <w:szCs w:val="18"/>
                <w:lang w:eastAsia="tr-TR"/>
              </w:rPr>
            </w:pPr>
            <w:r w:rsidRPr="00BD5F7B">
              <w:rPr>
                <w:bCs/>
                <w:sz w:val="18"/>
                <w:szCs w:val="18"/>
                <w:lang w:eastAsia="tr-TR"/>
              </w:rPr>
              <w:t>1,330,330</w:t>
            </w:r>
          </w:p>
        </w:tc>
      </w:tr>
      <w:tr w:rsidR="00482AF6" w:rsidRPr="00BD5F7B" w14:paraId="5927F568"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52E90DC3" w14:textId="77777777" w:rsidR="00482AF6" w:rsidRPr="00BD5F7B" w:rsidRDefault="00482AF6" w:rsidP="00482AF6">
            <w:pPr>
              <w:jc w:val="both"/>
              <w:rPr>
                <w:sz w:val="18"/>
                <w:szCs w:val="18"/>
                <w:lang w:eastAsia="tr-TR"/>
              </w:rPr>
            </w:pPr>
            <w:r w:rsidRPr="00BD5F7B">
              <w:rPr>
                <w:sz w:val="18"/>
                <w:szCs w:val="18"/>
                <w:lang w:eastAsia="tr-TR"/>
              </w:rPr>
              <w:t>Diğer</w:t>
            </w:r>
          </w:p>
        </w:tc>
        <w:tc>
          <w:tcPr>
            <w:tcW w:w="1628" w:type="dxa"/>
            <w:tcBorders>
              <w:top w:val="nil"/>
              <w:left w:val="nil"/>
              <w:bottom w:val="nil"/>
              <w:right w:val="nil"/>
            </w:tcBorders>
            <w:shd w:val="clear" w:color="000000" w:fill="FFFFFF"/>
            <w:vAlign w:val="center"/>
            <w:hideMark/>
          </w:tcPr>
          <w:p w14:paraId="51C1D15F"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138A1A0F"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34165E2F" w14:textId="77777777" w:rsidR="00482AF6" w:rsidRPr="00BD5F7B" w:rsidRDefault="00482AF6" w:rsidP="00482AF6">
            <w:pPr>
              <w:jc w:val="right"/>
              <w:rPr>
                <w:bCs/>
                <w:sz w:val="18"/>
                <w:szCs w:val="18"/>
                <w:lang w:eastAsia="tr-TR"/>
              </w:rPr>
            </w:pPr>
            <w:r w:rsidRPr="00BD5F7B">
              <w:rPr>
                <w:bCs/>
                <w:sz w:val="18"/>
                <w:szCs w:val="18"/>
                <w:lang w:eastAsia="tr-TR"/>
              </w:rPr>
              <w:t>-</w:t>
            </w:r>
          </w:p>
        </w:tc>
      </w:tr>
      <w:tr w:rsidR="00482AF6" w:rsidRPr="00BD5F7B" w14:paraId="56689924"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6CFE89CB" w14:textId="77777777" w:rsidR="00482AF6" w:rsidRPr="00BD5F7B" w:rsidRDefault="00482AF6" w:rsidP="00482AF6">
            <w:pPr>
              <w:jc w:val="both"/>
              <w:rPr>
                <w:b/>
                <w:bCs/>
                <w:sz w:val="18"/>
                <w:szCs w:val="18"/>
                <w:lang w:eastAsia="tr-TR"/>
              </w:rPr>
            </w:pPr>
            <w:r w:rsidRPr="00BD5F7B">
              <w:rPr>
                <w:b/>
                <w:bCs/>
                <w:sz w:val="18"/>
                <w:szCs w:val="18"/>
                <w:lang w:eastAsia="tr-TR"/>
              </w:rPr>
              <w:t>Taksitli Ticari Krediler-Dövize Endeksli</w:t>
            </w:r>
          </w:p>
        </w:tc>
        <w:tc>
          <w:tcPr>
            <w:tcW w:w="1628" w:type="dxa"/>
            <w:tcBorders>
              <w:top w:val="nil"/>
              <w:left w:val="nil"/>
              <w:bottom w:val="nil"/>
              <w:right w:val="nil"/>
            </w:tcBorders>
            <w:shd w:val="clear" w:color="000000" w:fill="FFFFFF"/>
            <w:vAlign w:val="center"/>
            <w:hideMark/>
          </w:tcPr>
          <w:p w14:paraId="7BF929FA" w14:textId="77777777" w:rsidR="00482AF6" w:rsidRPr="00BD5F7B" w:rsidRDefault="00482AF6" w:rsidP="00482AF6">
            <w:pPr>
              <w:jc w:val="right"/>
              <w:rPr>
                <w:b/>
                <w:bCs/>
                <w:sz w:val="18"/>
                <w:szCs w:val="18"/>
                <w:lang w:eastAsia="tr-TR"/>
              </w:rPr>
            </w:pPr>
            <w:r w:rsidRPr="00BD5F7B">
              <w:rPr>
                <w:b/>
                <w:bCs/>
                <w:sz w:val="18"/>
                <w:szCs w:val="18"/>
                <w:lang w:eastAsia="tr-TR"/>
              </w:rPr>
              <w:t>3,221</w:t>
            </w:r>
          </w:p>
        </w:tc>
        <w:tc>
          <w:tcPr>
            <w:tcW w:w="1443" w:type="dxa"/>
            <w:tcBorders>
              <w:top w:val="nil"/>
              <w:left w:val="nil"/>
              <w:bottom w:val="nil"/>
              <w:right w:val="nil"/>
            </w:tcBorders>
            <w:shd w:val="clear" w:color="auto" w:fill="auto"/>
            <w:vAlign w:val="center"/>
            <w:hideMark/>
          </w:tcPr>
          <w:p w14:paraId="20CC5821" w14:textId="77777777" w:rsidR="00482AF6" w:rsidRPr="00BD5F7B" w:rsidRDefault="00482AF6" w:rsidP="00482AF6">
            <w:pPr>
              <w:jc w:val="right"/>
              <w:rPr>
                <w:b/>
                <w:bCs/>
                <w:sz w:val="18"/>
                <w:szCs w:val="18"/>
                <w:lang w:eastAsia="tr-TR"/>
              </w:rPr>
            </w:pPr>
            <w:r w:rsidRPr="00BD5F7B">
              <w:rPr>
                <w:b/>
                <w:bCs/>
                <w:sz w:val="18"/>
                <w:szCs w:val="18"/>
                <w:lang w:eastAsia="tr-TR"/>
              </w:rPr>
              <w:t>844,575</w:t>
            </w:r>
          </w:p>
        </w:tc>
        <w:tc>
          <w:tcPr>
            <w:tcW w:w="1443" w:type="dxa"/>
            <w:tcBorders>
              <w:top w:val="nil"/>
              <w:left w:val="nil"/>
              <w:bottom w:val="nil"/>
              <w:right w:val="nil"/>
            </w:tcBorders>
            <w:shd w:val="clear" w:color="auto" w:fill="auto"/>
            <w:vAlign w:val="center"/>
            <w:hideMark/>
          </w:tcPr>
          <w:p w14:paraId="5A5DAAA6" w14:textId="77777777" w:rsidR="00482AF6" w:rsidRPr="00BD5F7B" w:rsidRDefault="00482AF6" w:rsidP="00482AF6">
            <w:pPr>
              <w:jc w:val="right"/>
              <w:rPr>
                <w:b/>
                <w:bCs/>
                <w:sz w:val="18"/>
                <w:szCs w:val="18"/>
                <w:lang w:eastAsia="tr-TR"/>
              </w:rPr>
            </w:pPr>
            <w:r w:rsidRPr="00BD5F7B">
              <w:rPr>
                <w:b/>
                <w:bCs/>
                <w:sz w:val="18"/>
                <w:szCs w:val="18"/>
                <w:lang w:eastAsia="tr-TR"/>
              </w:rPr>
              <w:t>847,796</w:t>
            </w:r>
          </w:p>
        </w:tc>
      </w:tr>
      <w:tr w:rsidR="00482AF6" w:rsidRPr="00BD5F7B" w14:paraId="4FFF340D"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05C7D711" w14:textId="77777777" w:rsidR="00482AF6" w:rsidRPr="00BD5F7B" w:rsidRDefault="00482AF6" w:rsidP="00482AF6">
            <w:pPr>
              <w:jc w:val="both"/>
              <w:rPr>
                <w:sz w:val="18"/>
                <w:szCs w:val="18"/>
                <w:lang w:eastAsia="tr-TR"/>
              </w:rPr>
            </w:pPr>
            <w:r w:rsidRPr="00BD5F7B">
              <w:rPr>
                <w:sz w:val="18"/>
                <w:szCs w:val="18"/>
                <w:lang w:eastAsia="tr-TR"/>
              </w:rPr>
              <w:t>İşyeri Kredileri</w:t>
            </w:r>
          </w:p>
        </w:tc>
        <w:tc>
          <w:tcPr>
            <w:tcW w:w="1628" w:type="dxa"/>
            <w:tcBorders>
              <w:top w:val="nil"/>
              <w:left w:val="nil"/>
              <w:bottom w:val="nil"/>
              <w:right w:val="nil"/>
            </w:tcBorders>
            <w:shd w:val="clear" w:color="000000" w:fill="FFFFFF"/>
            <w:vAlign w:val="center"/>
            <w:hideMark/>
          </w:tcPr>
          <w:p w14:paraId="5E926A9C" w14:textId="77777777" w:rsidR="00482AF6" w:rsidRPr="00BD5F7B" w:rsidRDefault="00482AF6" w:rsidP="00482AF6">
            <w:pPr>
              <w:jc w:val="right"/>
              <w:rPr>
                <w:sz w:val="18"/>
                <w:szCs w:val="18"/>
                <w:lang w:eastAsia="tr-TR"/>
              </w:rPr>
            </w:pPr>
            <w:r w:rsidRPr="00BD5F7B">
              <w:rPr>
                <w:sz w:val="18"/>
                <w:szCs w:val="18"/>
                <w:lang w:eastAsia="tr-TR"/>
              </w:rPr>
              <w:t>3,221</w:t>
            </w:r>
          </w:p>
        </w:tc>
        <w:tc>
          <w:tcPr>
            <w:tcW w:w="1443" w:type="dxa"/>
            <w:tcBorders>
              <w:top w:val="nil"/>
              <w:left w:val="nil"/>
              <w:bottom w:val="nil"/>
              <w:right w:val="nil"/>
            </w:tcBorders>
            <w:shd w:val="clear" w:color="auto" w:fill="auto"/>
            <w:vAlign w:val="center"/>
            <w:hideMark/>
          </w:tcPr>
          <w:p w14:paraId="3210CECB" w14:textId="77777777" w:rsidR="00482AF6" w:rsidRPr="00BD5F7B" w:rsidRDefault="00482AF6" w:rsidP="00482AF6">
            <w:pPr>
              <w:jc w:val="right"/>
              <w:rPr>
                <w:sz w:val="18"/>
                <w:szCs w:val="18"/>
                <w:lang w:eastAsia="tr-TR"/>
              </w:rPr>
            </w:pPr>
            <w:r w:rsidRPr="00BD5F7B">
              <w:rPr>
                <w:sz w:val="18"/>
                <w:szCs w:val="18"/>
                <w:lang w:eastAsia="tr-TR"/>
              </w:rPr>
              <w:t>183,927</w:t>
            </w:r>
          </w:p>
        </w:tc>
        <w:tc>
          <w:tcPr>
            <w:tcW w:w="1443" w:type="dxa"/>
            <w:tcBorders>
              <w:top w:val="nil"/>
              <w:left w:val="nil"/>
              <w:bottom w:val="nil"/>
              <w:right w:val="nil"/>
            </w:tcBorders>
            <w:shd w:val="clear" w:color="auto" w:fill="auto"/>
            <w:vAlign w:val="center"/>
            <w:hideMark/>
          </w:tcPr>
          <w:p w14:paraId="49DA1FB5" w14:textId="77777777" w:rsidR="00482AF6" w:rsidRPr="00BD5F7B" w:rsidRDefault="00482AF6" w:rsidP="00482AF6">
            <w:pPr>
              <w:jc w:val="right"/>
              <w:rPr>
                <w:bCs/>
                <w:sz w:val="18"/>
                <w:szCs w:val="18"/>
                <w:lang w:eastAsia="tr-TR"/>
              </w:rPr>
            </w:pPr>
            <w:r w:rsidRPr="00BD5F7B">
              <w:rPr>
                <w:bCs/>
                <w:sz w:val="18"/>
                <w:szCs w:val="18"/>
                <w:lang w:eastAsia="tr-TR"/>
              </w:rPr>
              <w:t>187,148</w:t>
            </w:r>
          </w:p>
        </w:tc>
      </w:tr>
      <w:tr w:rsidR="00482AF6" w:rsidRPr="00BD5F7B" w14:paraId="66ECE263"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0C7CB3A3" w14:textId="77777777" w:rsidR="00482AF6" w:rsidRPr="00BD5F7B" w:rsidRDefault="00482AF6" w:rsidP="00482AF6">
            <w:pPr>
              <w:jc w:val="both"/>
              <w:rPr>
                <w:sz w:val="18"/>
                <w:szCs w:val="18"/>
                <w:lang w:eastAsia="tr-TR"/>
              </w:rPr>
            </w:pPr>
            <w:r w:rsidRPr="00BD5F7B">
              <w:rPr>
                <w:sz w:val="18"/>
                <w:szCs w:val="18"/>
                <w:lang w:eastAsia="tr-TR"/>
              </w:rPr>
              <w:t>Taşıt Kredileri</w:t>
            </w:r>
          </w:p>
        </w:tc>
        <w:tc>
          <w:tcPr>
            <w:tcW w:w="1628" w:type="dxa"/>
            <w:tcBorders>
              <w:top w:val="nil"/>
              <w:left w:val="nil"/>
              <w:bottom w:val="nil"/>
              <w:right w:val="nil"/>
            </w:tcBorders>
            <w:shd w:val="clear" w:color="000000" w:fill="FFFFFF"/>
            <w:vAlign w:val="center"/>
            <w:hideMark/>
          </w:tcPr>
          <w:p w14:paraId="270430AF"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66CC7374" w14:textId="77777777" w:rsidR="00482AF6" w:rsidRPr="00BD5F7B" w:rsidRDefault="00482AF6" w:rsidP="00482AF6">
            <w:pPr>
              <w:jc w:val="right"/>
              <w:rPr>
                <w:sz w:val="18"/>
                <w:szCs w:val="18"/>
                <w:lang w:eastAsia="tr-TR"/>
              </w:rPr>
            </w:pPr>
            <w:r w:rsidRPr="00BD5F7B">
              <w:rPr>
                <w:sz w:val="18"/>
                <w:szCs w:val="18"/>
                <w:lang w:eastAsia="tr-TR"/>
              </w:rPr>
              <w:t>71,904</w:t>
            </w:r>
          </w:p>
        </w:tc>
        <w:tc>
          <w:tcPr>
            <w:tcW w:w="1443" w:type="dxa"/>
            <w:tcBorders>
              <w:top w:val="nil"/>
              <w:left w:val="nil"/>
              <w:bottom w:val="nil"/>
              <w:right w:val="nil"/>
            </w:tcBorders>
            <w:shd w:val="clear" w:color="auto" w:fill="auto"/>
            <w:vAlign w:val="center"/>
            <w:hideMark/>
          </w:tcPr>
          <w:p w14:paraId="4C7606BA" w14:textId="77777777" w:rsidR="00482AF6" w:rsidRPr="00BD5F7B" w:rsidRDefault="00482AF6" w:rsidP="00482AF6">
            <w:pPr>
              <w:jc w:val="right"/>
              <w:rPr>
                <w:bCs/>
                <w:sz w:val="18"/>
                <w:szCs w:val="18"/>
                <w:lang w:eastAsia="tr-TR"/>
              </w:rPr>
            </w:pPr>
            <w:r w:rsidRPr="00BD5F7B">
              <w:rPr>
                <w:bCs/>
                <w:sz w:val="18"/>
                <w:szCs w:val="18"/>
                <w:lang w:eastAsia="tr-TR"/>
              </w:rPr>
              <w:t>71,904</w:t>
            </w:r>
          </w:p>
        </w:tc>
      </w:tr>
      <w:tr w:rsidR="00482AF6" w:rsidRPr="00BD5F7B" w14:paraId="2039CA7B"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28B5E17C" w14:textId="77777777" w:rsidR="00482AF6" w:rsidRPr="00BD5F7B" w:rsidRDefault="00482AF6" w:rsidP="00482AF6">
            <w:pPr>
              <w:jc w:val="both"/>
              <w:rPr>
                <w:sz w:val="18"/>
                <w:szCs w:val="18"/>
                <w:lang w:eastAsia="tr-TR"/>
              </w:rPr>
            </w:pPr>
            <w:r w:rsidRPr="00BD5F7B">
              <w:rPr>
                <w:sz w:val="18"/>
                <w:szCs w:val="18"/>
                <w:lang w:eastAsia="tr-TR"/>
              </w:rPr>
              <w:t>İhtiyaç Kredileri</w:t>
            </w:r>
          </w:p>
        </w:tc>
        <w:tc>
          <w:tcPr>
            <w:tcW w:w="1628" w:type="dxa"/>
            <w:tcBorders>
              <w:top w:val="nil"/>
              <w:left w:val="nil"/>
              <w:bottom w:val="nil"/>
              <w:right w:val="nil"/>
            </w:tcBorders>
            <w:shd w:val="clear" w:color="000000" w:fill="FFFFFF"/>
            <w:vAlign w:val="center"/>
            <w:hideMark/>
          </w:tcPr>
          <w:p w14:paraId="64980CA4"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3829CB11" w14:textId="77777777" w:rsidR="00482AF6" w:rsidRPr="00BD5F7B" w:rsidRDefault="00482AF6" w:rsidP="00482AF6">
            <w:pPr>
              <w:jc w:val="right"/>
              <w:rPr>
                <w:sz w:val="18"/>
                <w:szCs w:val="18"/>
                <w:lang w:eastAsia="tr-TR"/>
              </w:rPr>
            </w:pPr>
            <w:r w:rsidRPr="00BD5F7B">
              <w:rPr>
                <w:sz w:val="18"/>
                <w:szCs w:val="18"/>
                <w:lang w:eastAsia="tr-TR"/>
              </w:rPr>
              <w:t>588,744</w:t>
            </w:r>
          </w:p>
        </w:tc>
        <w:tc>
          <w:tcPr>
            <w:tcW w:w="1443" w:type="dxa"/>
            <w:tcBorders>
              <w:top w:val="nil"/>
              <w:left w:val="nil"/>
              <w:bottom w:val="nil"/>
              <w:right w:val="nil"/>
            </w:tcBorders>
            <w:shd w:val="clear" w:color="auto" w:fill="auto"/>
            <w:vAlign w:val="center"/>
            <w:hideMark/>
          </w:tcPr>
          <w:p w14:paraId="36601CB3" w14:textId="77777777" w:rsidR="00482AF6" w:rsidRPr="00BD5F7B" w:rsidRDefault="00482AF6" w:rsidP="00482AF6">
            <w:pPr>
              <w:jc w:val="right"/>
              <w:rPr>
                <w:bCs/>
                <w:sz w:val="18"/>
                <w:szCs w:val="18"/>
                <w:lang w:eastAsia="tr-TR"/>
              </w:rPr>
            </w:pPr>
            <w:r w:rsidRPr="00BD5F7B">
              <w:rPr>
                <w:bCs/>
                <w:sz w:val="18"/>
                <w:szCs w:val="18"/>
                <w:lang w:eastAsia="tr-TR"/>
              </w:rPr>
              <w:t>588,744</w:t>
            </w:r>
          </w:p>
        </w:tc>
      </w:tr>
      <w:tr w:rsidR="00482AF6" w:rsidRPr="00BD5F7B" w14:paraId="265E947E"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6419A726" w14:textId="77777777" w:rsidR="00482AF6" w:rsidRPr="00BD5F7B" w:rsidRDefault="00482AF6" w:rsidP="00482AF6">
            <w:pPr>
              <w:jc w:val="both"/>
              <w:rPr>
                <w:sz w:val="18"/>
                <w:szCs w:val="18"/>
                <w:lang w:eastAsia="tr-TR"/>
              </w:rPr>
            </w:pPr>
            <w:r w:rsidRPr="00BD5F7B">
              <w:rPr>
                <w:sz w:val="18"/>
                <w:szCs w:val="18"/>
                <w:lang w:eastAsia="tr-TR"/>
              </w:rPr>
              <w:t>Diğer</w:t>
            </w:r>
          </w:p>
        </w:tc>
        <w:tc>
          <w:tcPr>
            <w:tcW w:w="1628" w:type="dxa"/>
            <w:tcBorders>
              <w:top w:val="nil"/>
              <w:left w:val="nil"/>
              <w:bottom w:val="nil"/>
              <w:right w:val="nil"/>
            </w:tcBorders>
            <w:shd w:val="clear" w:color="000000" w:fill="FFFFFF"/>
            <w:vAlign w:val="center"/>
            <w:hideMark/>
          </w:tcPr>
          <w:p w14:paraId="472E4E2C"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5679C101"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17EE2718" w14:textId="77777777" w:rsidR="00482AF6" w:rsidRPr="00BD5F7B" w:rsidRDefault="00482AF6" w:rsidP="00482AF6">
            <w:pPr>
              <w:jc w:val="right"/>
              <w:rPr>
                <w:bCs/>
                <w:sz w:val="18"/>
                <w:szCs w:val="18"/>
                <w:lang w:eastAsia="tr-TR"/>
              </w:rPr>
            </w:pPr>
            <w:r w:rsidRPr="00BD5F7B">
              <w:rPr>
                <w:bCs/>
                <w:sz w:val="18"/>
                <w:szCs w:val="18"/>
                <w:lang w:eastAsia="tr-TR"/>
              </w:rPr>
              <w:t>-</w:t>
            </w:r>
          </w:p>
        </w:tc>
      </w:tr>
      <w:tr w:rsidR="00482AF6" w:rsidRPr="00BD5F7B" w14:paraId="0C8536B8"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15737846" w14:textId="77777777" w:rsidR="00482AF6" w:rsidRPr="00BD5F7B" w:rsidRDefault="00482AF6" w:rsidP="00482AF6">
            <w:pPr>
              <w:jc w:val="both"/>
              <w:rPr>
                <w:b/>
                <w:bCs/>
                <w:sz w:val="18"/>
                <w:szCs w:val="18"/>
                <w:lang w:eastAsia="tr-TR"/>
              </w:rPr>
            </w:pPr>
            <w:r w:rsidRPr="00BD5F7B">
              <w:rPr>
                <w:b/>
                <w:bCs/>
                <w:sz w:val="18"/>
                <w:szCs w:val="18"/>
                <w:lang w:eastAsia="tr-TR"/>
              </w:rPr>
              <w:t>Taksitli Ticari Krediler-YP</w:t>
            </w:r>
          </w:p>
        </w:tc>
        <w:tc>
          <w:tcPr>
            <w:tcW w:w="1628" w:type="dxa"/>
            <w:tcBorders>
              <w:top w:val="nil"/>
              <w:left w:val="nil"/>
              <w:bottom w:val="nil"/>
              <w:right w:val="nil"/>
            </w:tcBorders>
            <w:shd w:val="clear" w:color="000000" w:fill="FFFFFF"/>
            <w:vAlign w:val="center"/>
            <w:hideMark/>
          </w:tcPr>
          <w:p w14:paraId="09D9C862" w14:textId="77777777" w:rsidR="00482AF6" w:rsidRPr="00BD5F7B" w:rsidRDefault="00482AF6" w:rsidP="00482AF6">
            <w:pPr>
              <w:jc w:val="right"/>
              <w:rPr>
                <w:b/>
                <w:bCs/>
                <w:sz w:val="18"/>
                <w:szCs w:val="18"/>
                <w:lang w:eastAsia="tr-TR"/>
              </w:rPr>
            </w:pPr>
            <w:r w:rsidRPr="00BD5F7B">
              <w:rPr>
                <w:b/>
                <w:bCs/>
                <w:sz w:val="18"/>
                <w:szCs w:val="18"/>
                <w:lang w:eastAsia="tr-TR"/>
              </w:rPr>
              <w:t>1,106</w:t>
            </w:r>
          </w:p>
        </w:tc>
        <w:tc>
          <w:tcPr>
            <w:tcW w:w="1443" w:type="dxa"/>
            <w:tcBorders>
              <w:top w:val="nil"/>
              <w:left w:val="nil"/>
              <w:bottom w:val="nil"/>
              <w:right w:val="nil"/>
            </w:tcBorders>
            <w:shd w:val="clear" w:color="auto" w:fill="auto"/>
            <w:vAlign w:val="center"/>
            <w:hideMark/>
          </w:tcPr>
          <w:p w14:paraId="02E91EDD" w14:textId="77777777" w:rsidR="00482AF6" w:rsidRPr="00BD5F7B" w:rsidRDefault="00482AF6" w:rsidP="00482AF6">
            <w:pPr>
              <w:jc w:val="right"/>
              <w:rPr>
                <w:b/>
                <w:bCs/>
                <w:sz w:val="18"/>
                <w:szCs w:val="18"/>
                <w:lang w:eastAsia="tr-TR"/>
              </w:rPr>
            </w:pPr>
            <w:r w:rsidRPr="00BD5F7B">
              <w:rPr>
                <w:b/>
                <w:bCs/>
                <w:sz w:val="18"/>
                <w:szCs w:val="18"/>
                <w:lang w:eastAsia="tr-TR"/>
              </w:rPr>
              <w:t>155,325</w:t>
            </w:r>
          </w:p>
        </w:tc>
        <w:tc>
          <w:tcPr>
            <w:tcW w:w="1443" w:type="dxa"/>
            <w:tcBorders>
              <w:top w:val="nil"/>
              <w:left w:val="nil"/>
              <w:bottom w:val="nil"/>
              <w:right w:val="nil"/>
            </w:tcBorders>
            <w:shd w:val="clear" w:color="auto" w:fill="auto"/>
            <w:vAlign w:val="center"/>
            <w:hideMark/>
          </w:tcPr>
          <w:p w14:paraId="4451ADCC" w14:textId="77777777" w:rsidR="00482AF6" w:rsidRPr="00BD5F7B" w:rsidRDefault="00482AF6" w:rsidP="00482AF6">
            <w:pPr>
              <w:jc w:val="right"/>
              <w:rPr>
                <w:b/>
                <w:bCs/>
                <w:sz w:val="18"/>
                <w:szCs w:val="18"/>
                <w:lang w:eastAsia="tr-TR"/>
              </w:rPr>
            </w:pPr>
            <w:r w:rsidRPr="00BD5F7B">
              <w:rPr>
                <w:b/>
                <w:bCs/>
                <w:sz w:val="18"/>
                <w:szCs w:val="18"/>
                <w:lang w:eastAsia="tr-TR"/>
              </w:rPr>
              <w:t>156,431</w:t>
            </w:r>
          </w:p>
        </w:tc>
      </w:tr>
      <w:tr w:rsidR="00482AF6" w:rsidRPr="00BD5F7B" w14:paraId="7712AFCE"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6D90DF86" w14:textId="77777777" w:rsidR="00482AF6" w:rsidRPr="00BD5F7B" w:rsidRDefault="00482AF6" w:rsidP="00482AF6">
            <w:pPr>
              <w:jc w:val="both"/>
              <w:rPr>
                <w:sz w:val="18"/>
                <w:szCs w:val="18"/>
                <w:lang w:eastAsia="tr-TR"/>
              </w:rPr>
            </w:pPr>
            <w:r w:rsidRPr="00BD5F7B">
              <w:rPr>
                <w:sz w:val="18"/>
                <w:szCs w:val="18"/>
                <w:lang w:eastAsia="tr-TR"/>
              </w:rPr>
              <w:t>İşyeri Kredileri</w:t>
            </w:r>
          </w:p>
        </w:tc>
        <w:tc>
          <w:tcPr>
            <w:tcW w:w="1628" w:type="dxa"/>
            <w:tcBorders>
              <w:top w:val="nil"/>
              <w:left w:val="nil"/>
              <w:bottom w:val="nil"/>
              <w:right w:val="nil"/>
            </w:tcBorders>
            <w:shd w:val="clear" w:color="000000" w:fill="FFFFFF"/>
            <w:vAlign w:val="center"/>
            <w:hideMark/>
          </w:tcPr>
          <w:p w14:paraId="69DBF7BC"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36BBE268" w14:textId="77777777" w:rsidR="00482AF6" w:rsidRPr="00BD5F7B" w:rsidRDefault="00482AF6" w:rsidP="00482AF6">
            <w:pPr>
              <w:jc w:val="right"/>
              <w:rPr>
                <w:sz w:val="18"/>
                <w:szCs w:val="18"/>
                <w:lang w:eastAsia="tr-TR"/>
              </w:rPr>
            </w:pPr>
            <w:r w:rsidRPr="00BD5F7B">
              <w:rPr>
                <w:sz w:val="18"/>
                <w:szCs w:val="18"/>
                <w:lang w:eastAsia="tr-TR"/>
              </w:rPr>
              <w:t>98,790</w:t>
            </w:r>
          </w:p>
        </w:tc>
        <w:tc>
          <w:tcPr>
            <w:tcW w:w="1443" w:type="dxa"/>
            <w:tcBorders>
              <w:top w:val="nil"/>
              <w:left w:val="nil"/>
              <w:bottom w:val="nil"/>
              <w:right w:val="nil"/>
            </w:tcBorders>
            <w:shd w:val="clear" w:color="auto" w:fill="auto"/>
            <w:vAlign w:val="center"/>
            <w:hideMark/>
          </w:tcPr>
          <w:p w14:paraId="60E973F7" w14:textId="77777777" w:rsidR="00482AF6" w:rsidRPr="00BD5F7B" w:rsidRDefault="00482AF6" w:rsidP="00482AF6">
            <w:pPr>
              <w:jc w:val="right"/>
              <w:rPr>
                <w:bCs/>
                <w:sz w:val="18"/>
                <w:szCs w:val="18"/>
                <w:lang w:eastAsia="tr-TR"/>
              </w:rPr>
            </w:pPr>
            <w:r w:rsidRPr="00BD5F7B">
              <w:rPr>
                <w:bCs/>
                <w:sz w:val="18"/>
                <w:szCs w:val="18"/>
                <w:lang w:eastAsia="tr-TR"/>
              </w:rPr>
              <w:t>98,790</w:t>
            </w:r>
          </w:p>
        </w:tc>
      </w:tr>
      <w:tr w:rsidR="00482AF6" w:rsidRPr="00BD5F7B" w14:paraId="23A0BC23"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22EF7350" w14:textId="77777777" w:rsidR="00482AF6" w:rsidRPr="00BD5F7B" w:rsidRDefault="00482AF6" w:rsidP="00482AF6">
            <w:pPr>
              <w:jc w:val="both"/>
              <w:rPr>
                <w:sz w:val="18"/>
                <w:szCs w:val="18"/>
                <w:lang w:eastAsia="tr-TR"/>
              </w:rPr>
            </w:pPr>
            <w:r w:rsidRPr="00BD5F7B">
              <w:rPr>
                <w:sz w:val="18"/>
                <w:szCs w:val="18"/>
                <w:lang w:eastAsia="tr-TR"/>
              </w:rPr>
              <w:t>Taşıt Kredileri</w:t>
            </w:r>
          </w:p>
        </w:tc>
        <w:tc>
          <w:tcPr>
            <w:tcW w:w="1628" w:type="dxa"/>
            <w:tcBorders>
              <w:top w:val="nil"/>
              <w:left w:val="nil"/>
              <w:bottom w:val="nil"/>
              <w:right w:val="nil"/>
            </w:tcBorders>
            <w:shd w:val="clear" w:color="000000" w:fill="FFFFFF"/>
            <w:vAlign w:val="center"/>
            <w:hideMark/>
          </w:tcPr>
          <w:p w14:paraId="5727991B" w14:textId="77777777" w:rsidR="00482AF6" w:rsidRPr="00BD5F7B" w:rsidRDefault="00482AF6" w:rsidP="00482AF6">
            <w:pPr>
              <w:jc w:val="right"/>
              <w:rPr>
                <w:sz w:val="18"/>
                <w:szCs w:val="18"/>
                <w:lang w:eastAsia="tr-TR"/>
              </w:rPr>
            </w:pPr>
            <w:r w:rsidRPr="00BD5F7B">
              <w:rPr>
                <w:sz w:val="18"/>
                <w:szCs w:val="18"/>
                <w:lang w:eastAsia="tr-TR"/>
              </w:rPr>
              <w:t>1,106</w:t>
            </w:r>
          </w:p>
        </w:tc>
        <w:tc>
          <w:tcPr>
            <w:tcW w:w="1443" w:type="dxa"/>
            <w:tcBorders>
              <w:top w:val="nil"/>
              <w:left w:val="nil"/>
              <w:bottom w:val="nil"/>
              <w:right w:val="nil"/>
            </w:tcBorders>
            <w:shd w:val="clear" w:color="auto" w:fill="auto"/>
            <w:vAlign w:val="center"/>
            <w:hideMark/>
          </w:tcPr>
          <w:p w14:paraId="252980DE" w14:textId="77777777" w:rsidR="00482AF6" w:rsidRPr="00BD5F7B" w:rsidRDefault="00482AF6" w:rsidP="00482AF6">
            <w:pPr>
              <w:jc w:val="right"/>
              <w:rPr>
                <w:sz w:val="18"/>
                <w:szCs w:val="18"/>
                <w:lang w:eastAsia="tr-TR"/>
              </w:rPr>
            </w:pPr>
            <w:r w:rsidRPr="00BD5F7B">
              <w:rPr>
                <w:sz w:val="18"/>
                <w:szCs w:val="18"/>
                <w:lang w:eastAsia="tr-TR"/>
              </w:rPr>
              <w:t>56,535</w:t>
            </w:r>
          </w:p>
        </w:tc>
        <w:tc>
          <w:tcPr>
            <w:tcW w:w="1443" w:type="dxa"/>
            <w:tcBorders>
              <w:top w:val="nil"/>
              <w:left w:val="nil"/>
              <w:bottom w:val="nil"/>
              <w:right w:val="nil"/>
            </w:tcBorders>
            <w:shd w:val="clear" w:color="auto" w:fill="auto"/>
            <w:vAlign w:val="center"/>
            <w:hideMark/>
          </w:tcPr>
          <w:p w14:paraId="4441993E" w14:textId="77777777" w:rsidR="00482AF6" w:rsidRPr="00BD5F7B" w:rsidRDefault="00482AF6" w:rsidP="00482AF6">
            <w:pPr>
              <w:jc w:val="right"/>
              <w:rPr>
                <w:bCs/>
                <w:sz w:val="18"/>
                <w:szCs w:val="18"/>
                <w:lang w:eastAsia="tr-TR"/>
              </w:rPr>
            </w:pPr>
            <w:r w:rsidRPr="00BD5F7B">
              <w:rPr>
                <w:bCs/>
                <w:sz w:val="18"/>
                <w:szCs w:val="18"/>
                <w:lang w:eastAsia="tr-TR"/>
              </w:rPr>
              <w:t>57,641</w:t>
            </w:r>
          </w:p>
        </w:tc>
      </w:tr>
      <w:tr w:rsidR="00482AF6" w:rsidRPr="00BD5F7B" w14:paraId="724587A3"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685E51AB" w14:textId="77777777" w:rsidR="00482AF6" w:rsidRPr="00BD5F7B" w:rsidRDefault="00482AF6" w:rsidP="00482AF6">
            <w:pPr>
              <w:jc w:val="both"/>
              <w:rPr>
                <w:sz w:val="18"/>
                <w:szCs w:val="18"/>
                <w:lang w:eastAsia="tr-TR"/>
              </w:rPr>
            </w:pPr>
            <w:r w:rsidRPr="00BD5F7B">
              <w:rPr>
                <w:sz w:val="18"/>
                <w:szCs w:val="18"/>
                <w:lang w:eastAsia="tr-TR"/>
              </w:rPr>
              <w:t>İhtiyaç Kredileri</w:t>
            </w:r>
          </w:p>
        </w:tc>
        <w:tc>
          <w:tcPr>
            <w:tcW w:w="1628" w:type="dxa"/>
            <w:tcBorders>
              <w:top w:val="nil"/>
              <w:left w:val="nil"/>
              <w:bottom w:val="nil"/>
              <w:right w:val="nil"/>
            </w:tcBorders>
            <w:shd w:val="clear" w:color="000000" w:fill="FFFFFF"/>
            <w:vAlign w:val="center"/>
            <w:hideMark/>
          </w:tcPr>
          <w:p w14:paraId="05700DDA"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36D019EB"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687F2F46" w14:textId="77777777" w:rsidR="00482AF6" w:rsidRPr="00BD5F7B" w:rsidRDefault="00482AF6" w:rsidP="00482AF6">
            <w:pPr>
              <w:jc w:val="right"/>
              <w:rPr>
                <w:bCs/>
                <w:sz w:val="18"/>
                <w:szCs w:val="18"/>
                <w:lang w:eastAsia="tr-TR"/>
              </w:rPr>
            </w:pPr>
            <w:r w:rsidRPr="00BD5F7B">
              <w:rPr>
                <w:bCs/>
                <w:sz w:val="18"/>
                <w:szCs w:val="18"/>
                <w:lang w:eastAsia="tr-TR"/>
              </w:rPr>
              <w:t>-</w:t>
            </w:r>
          </w:p>
        </w:tc>
      </w:tr>
      <w:tr w:rsidR="00482AF6" w:rsidRPr="00BD5F7B" w14:paraId="33058081"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7071780A" w14:textId="77777777" w:rsidR="00482AF6" w:rsidRPr="00BD5F7B" w:rsidRDefault="00482AF6" w:rsidP="00482AF6">
            <w:pPr>
              <w:jc w:val="both"/>
              <w:rPr>
                <w:sz w:val="18"/>
                <w:szCs w:val="18"/>
                <w:lang w:eastAsia="tr-TR"/>
              </w:rPr>
            </w:pPr>
            <w:r w:rsidRPr="00BD5F7B">
              <w:rPr>
                <w:sz w:val="18"/>
                <w:szCs w:val="18"/>
                <w:lang w:eastAsia="tr-TR"/>
              </w:rPr>
              <w:t>Diğer</w:t>
            </w:r>
          </w:p>
        </w:tc>
        <w:tc>
          <w:tcPr>
            <w:tcW w:w="1628" w:type="dxa"/>
            <w:tcBorders>
              <w:top w:val="nil"/>
              <w:left w:val="nil"/>
              <w:bottom w:val="nil"/>
              <w:right w:val="nil"/>
            </w:tcBorders>
            <w:shd w:val="clear" w:color="000000" w:fill="FFFFFF"/>
            <w:vAlign w:val="center"/>
            <w:hideMark/>
          </w:tcPr>
          <w:p w14:paraId="4C171357"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2C4DC640"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3EBB5054" w14:textId="77777777" w:rsidR="00482AF6" w:rsidRPr="00BD5F7B" w:rsidRDefault="00482AF6" w:rsidP="00482AF6">
            <w:pPr>
              <w:jc w:val="right"/>
              <w:rPr>
                <w:bCs/>
                <w:sz w:val="18"/>
                <w:szCs w:val="18"/>
                <w:lang w:eastAsia="tr-TR"/>
              </w:rPr>
            </w:pPr>
            <w:r w:rsidRPr="00BD5F7B">
              <w:rPr>
                <w:bCs/>
                <w:sz w:val="18"/>
                <w:szCs w:val="18"/>
                <w:lang w:eastAsia="tr-TR"/>
              </w:rPr>
              <w:t>-</w:t>
            </w:r>
          </w:p>
        </w:tc>
      </w:tr>
      <w:tr w:rsidR="00482AF6" w:rsidRPr="00BD5F7B" w14:paraId="7BA38CF3"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751FB478" w14:textId="77777777" w:rsidR="00482AF6" w:rsidRPr="00BD5F7B" w:rsidRDefault="00482AF6" w:rsidP="00482AF6">
            <w:pPr>
              <w:jc w:val="both"/>
              <w:rPr>
                <w:b/>
                <w:bCs/>
                <w:sz w:val="18"/>
                <w:szCs w:val="18"/>
                <w:lang w:eastAsia="tr-TR"/>
              </w:rPr>
            </w:pPr>
            <w:r w:rsidRPr="00BD5F7B">
              <w:rPr>
                <w:b/>
                <w:bCs/>
                <w:sz w:val="18"/>
                <w:szCs w:val="18"/>
                <w:lang w:eastAsia="tr-TR"/>
              </w:rPr>
              <w:t>Kurumsal Kredi Kartları-TP</w:t>
            </w:r>
          </w:p>
        </w:tc>
        <w:tc>
          <w:tcPr>
            <w:tcW w:w="1628" w:type="dxa"/>
            <w:tcBorders>
              <w:top w:val="nil"/>
              <w:left w:val="nil"/>
              <w:bottom w:val="nil"/>
              <w:right w:val="nil"/>
            </w:tcBorders>
            <w:shd w:val="clear" w:color="000000" w:fill="FFFFFF"/>
            <w:vAlign w:val="center"/>
            <w:hideMark/>
          </w:tcPr>
          <w:p w14:paraId="5C5B571A" w14:textId="77777777" w:rsidR="00482AF6" w:rsidRPr="00BD5F7B" w:rsidRDefault="00482AF6" w:rsidP="00482AF6">
            <w:pPr>
              <w:jc w:val="right"/>
              <w:rPr>
                <w:b/>
                <w:bCs/>
                <w:sz w:val="18"/>
                <w:szCs w:val="18"/>
                <w:lang w:eastAsia="tr-TR"/>
              </w:rPr>
            </w:pPr>
            <w:r w:rsidRPr="00BD5F7B">
              <w:rPr>
                <w:b/>
                <w:bCs/>
                <w:sz w:val="18"/>
                <w:szCs w:val="18"/>
                <w:lang w:eastAsia="tr-TR"/>
              </w:rPr>
              <w:t>620,612</w:t>
            </w:r>
          </w:p>
        </w:tc>
        <w:tc>
          <w:tcPr>
            <w:tcW w:w="1443" w:type="dxa"/>
            <w:tcBorders>
              <w:top w:val="nil"/>
              <w:left w:val="nil"/>
              <w:bottom w:val="nil"/>
              <w:right w:val="nil"/>
            </w:tcBorders>
            <w:shd w:val="clear" w:color="auto" w:fill="auto"/>
            <w:vAlign w:val="center"/>
            <w:hideMark/>
          </w:tcPr>
          <w:p w14:paraId="372975DC" w14:textId="77777777" w:rsidR="00482AF6" w:rsidRPr="00BD5F7B" w:rsidRDefault="00482AF6" w:rsidP="00482AF6">
            <w:pPr>
              <w:jc w:val="right"/>
              <w:rPr>
                <w:b/>
                <w:bCs/>
                <w:sz w:val="18"/>
                <w:szCs w:val="18"/>
                <w:lang w:eastAsia="tr-TR"/>
              </w:rPr>
            </w:pPr>
            <w:r w:rsidRPr="00BD5F7B">
              <w:rPr>
                <w:b/>
                <w:bCs/>
                <w:sz w:val="18"/>
                <w:szCs w:val="18"/>
                <w:lang w:eastAsia="tr-TR"/>
              </w:rPr>
              <w:t>-</w:t>
            </w:r>
          </w:p>
        </w:tc>
        <w:tc>
          <w:tcPr>
            <w:tcW w:w="1443" w:type="dxa"/>
            <w:tcBorders>
              <w:top w:val="nil"/>
              <w:left w:val="nil"/>
              <w:bottom w:val="nil"/>
              <w:right w:val="nil"/>
            </w:tcBorders>
            <w:shd w:val="clear" w:color="auto" w:fill="auto"/>
            <w:vAlign w:val="center"/>
            <w:hideMark/>
          </w:tcPr>
          <w:p w14:paraId="4C9B4499" w14:textId="77777777" w:rsidR="00482AF6" w:rsidRPr="00BD5F7B" w:rsidRDefault="00482AF6" w:rsidP="00482AF6">
            <w:pPr>
              <w:jc w:val="right"/>
              <w:rPr>
                <w:b/>
                <w:bCs/>
                <w:sz w:val="18"/>
                <w:szCs w:val="18"/>
                <w:lang w:eastAsia="tr-TR"/>
              </w:rPr>
            </w:pPr>
            <w:r w:rsidRPr="00BD5F7B">
              <w:rPr>
                <w:b/>
                <w:bCs/>
                <w:sz w:val="18"/>
                <w:szCs w:val="18"/>
                <w:lang w:eastAsia="tr-TR"/>
              </w:rPr>
              <w:t>620,612</w:t>
            </w:r>
          </w:p>
        </w:tc>
      </w:tr>
      <w:tr w:rsidR="00482AF6" w:rsidRPr="00BD5F7B" w14:paraId="5F39B018"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4C6351A5" w14:textId="77777777" w:rsidR="00482AF6" w:rsidRPr="00BD5F7B" w:rsidRDefault="00482AF6" w:rsidP="00482AF6">
            <w:pPr>
              <w:jc w:val="both"/>
              <w:rPr>
                <w:sz w:val="18"/>
                <w:szCs w:val="18"/>
                <w:lang w:eastAsia="tr-TR"/>
              </w:rPr>
            </w:pPr>
            <w:r w:rsidRPr="00BD5F7B">
              <w:rPr>
                <w:sz w:val="18"/>
                <w:szCs w:val="18"/>
                <w:lang w:eastAsia="tr-TR"/>
              </w:rPr>
              <w:t xml:space="preserve">Taksitli </w:t>
            </w:r>
          </w:p>
        </w:tc>
        <w:tc>
          <w:tcPr>
            <w:tcW w:w="1628" w:type="dxa"/>
            <w:tcBorders>
              <w:top w:val="nil"/>
              <w:left w:val="nil"/>
              <w:bottom w:val="nil"/>
              <w:right w:val="nil"/>
            </w:tcBorders>
            <w:shd w:val="clear" w:color="000000" w:fill="FFFFFF"/>
            <w:vAlign w:val="center"/>
            <w:hideMark/>
          </w:tcPr>
          <w:p w14:paraId="193FFB17" w14:textId="77777777" w:rsidR="00482AF6" w:rsidRPr="00BD5F7B" w:rsidRDefault="00482AF6" w:rsidP="00482AF6">
            <w:pPr>
              <w:jc w:val="right"/>
              <w:rPr>
                <w:sz w:val="18"/>
                <w:szCs w:val="18"/>
                <w:lang w:eastAsia="tr-TR"/>
              </w:rPr>
            </w:pPr>
            <w:r w:rsidRPr="00BD5F7B">
              <w:rPr>
                <w:sz w:val="18"/>
                <w:szCs w:val="18"/>
                <w:lang w:eastAsia="tr-TR"/>
              </w:rPr>
              <w:t>207,219</w:t>
            </w:r>
          </w:p>
        </w:tc>
        <w:tc>
          <w:tcPr>
            <w:tcW w:w="1443" w:type="dxa"/>
            <w:tcBorders>
              <w:top w:val="nil"/>
              <w:left w:val="nil"/>
              <w:bottom w:val="nil"/>
              <w:right w:val="nil"/>
            </w:tcBorders>
            <w:shd w:val="clear" w:color="auto" w:fill="auto"/>
            <w:vAlign w:val="center"/>
            <w:hideMark/>
          </w:tcPr>
          <w:p w14:paraId="46905428"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29F96237" w14:textId="77777777" w:rsidR="00482AF6" w:rsidRPr="00BD5F7B" w:rsidRDefault="00482AF6" w:rsidP="00482AF6">
            <w:pPr>
              <w:jc w:val="right"/>
              <w:rPr>
                <w:bCs/>
                <w:sz w:val="18"/>
                <w:szCs w:val="18"/>
                <w:lang w:eastAsia="tr-TR"/>
              </w:rPr>
            </w:pPr>
            <w:r w:rsidRPr="00BD5F7B">
              <w:rPr>
                <w:bCs/>
                <w:sz w:val="18"/>
                <w:szCs w:val="18"/>
                <w:lang w:eastAsia="tr-TR"/>
              </w:rPr>
              <w:t>207,219</w:t>
            </w:r>
          </w:p>
        </w:tc>
      </w:tr>
      <w:tr w:rsidR="00482AF6" w:rsidRPr="00BD5F7B" w14:paraId="11E7C993"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432579EF" w14:textId="77777777" w:rsidR="00482AF6" w:rsidRPr="00BD5F7B" w:rsidRDefault="00482AF6" w:rsidP="00482AF6">
            <w:pPr>
              <w:jc w:val="both"/>
              <w:rPr>
                <w:sz w:val="18"/>
                <w:szCs w:val="18"/>
                <w:lang w:eastAsia="tr-TR"/>
              </w:rPr>
            </w:pPr>
            <w:r w:rsidRPr="00BD5F7B">
              <w:rPr>
                <w:sz w:val="18"/>
                <w:szCs w:val="18"/>
                <w:lang w:eastAsia="tr-TR"/>
              </w:rPr>
              <w:t>Taksitsiz</w:t>
            </w:r>
          </w:p>
        </w:tc>
        <w:tc>
          <w:tcPr>
            <w:tcW w:w="1628" w:type="dxa"/>
            <w:tcBorders>
              <w:top w:val="nil"/>
              <w:left w:val="nil"/>
              <w:bottom w:val="nil"/>
              <w:right w:val="nil"/>
            </w:tcBorders>
            <w:shd w:val="clear" w:color="000000" w:fill="FFFFFF"/>
            <w:vAlign w:val="center"/>
            <w:hideMark/>
          </w:tcPr>
          <w:p w14:paraId="0FC3B146" w14:textId="77777777" w:rsidR="00482AF6" w:rsidRPr="00BD5F7B" w:rsidRDefault="00482AF6" w:rsidP="00482AF6">
            <w:pPr>
              <w:jc w:val="right"/>
              <w:rPr>
                <w:sz w:val="18"/>
                <w:szCs w:val="18"/>
                <w:lang w:eastAsia="tr-TR"/>
              </w:rPr>
            </w:pPr>
            <w:r w:rsidRPr="00BD5F7B">
              <w:rPr>
                <w:sz w:val="18"/>
                <w:szCs w:val="18"/>
                <w:lang w:eastAsia="tr-TR"/>
              </w:rPr>
              <w:t>413,393</w:t>
            </w:r>
          </w:p>
        </w:tc>
        <w:tc>
          <w:tcPr>
            <w:tcW w:w="1443" w:type="dxa"/>
            <w:tcBorders>
              <w:top w:val="nil"/>
              <w:left w:val="nil"/>
              <w:bottom w:val="nil"/>
              <w:right w:val="nil"/>
            </w:tcBorders>
            <w:shd w:val="clear" w:color="auto" w:fill="auto"/>
            <w:vAlign w:val="center"/>
            <w:hideMark/>
          </w:tcPr>
          <w:p w14:paraId="61749009"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4FC69FA8" w14:textId="77777777" w:rsidR="00482AF6" w:rsidRPr="00BD5F7B" w:rsidRDefault="00482AF6" w:rsidP="00482AF6">
            <w:pPr>
              <w:jc w:val="right"/>
              <w:rPr>
                <w:bCs/>
                <w:sz w:val="18"/>
                <w:szCs w:val="18"/>
                <w:lang w:eastAsia="tr-TR"/>
              </w:rPr>
            </w:pPr>
            <w:r w:rsidRPr="00BD5F7B">
              <w:rPr>
                <w:bCs/>
                <w:sz w:val="18"/>
                <w:szCs w:val="18"/>
                <w:lang w:eastAsia="tr-TR"/>
              </w:rPr>
              <w:t>413,393</w:t>
            </w:r>
          </w:p>
        </w:tc>
      </w:tr>
      <w:tr w:rsidR="00482AF6" w:rsidRPr="00BD5F7B" w14:paraId="5C2A90D4"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042CC234" w14:textId="77777777" w:rsidR="00482AF6" w:rsidRPr="00BD5F7B" w:rsidRDefault="00482AF6" w:rsidP="00482AF6">
            <w:pPr>
              <w:jc w:val="both"/>
              <w:rPr>
                <w:b/>
                <w:bCs/>
                <w:sz w:val="18"/>
                <w:szCs w:val="18"/>
                <w:lang w:eastAsia="tr-TR"/>
              </w:rPr>
            </w:pPr>
            <w:r w:rsidRPr="00BD5F7B">
              <w:rPr>
                <w:b/>
                <w:bCs/>
                <w:sz w:val="18"/>
                <w:szCs w:val="18"/>
                <w:lang w:eastAsia="tr-TR"/>
              </w:rPr>
              <w:t>Kurumsal Kredi Kartları-YP</w:t>
            </w:r>
          </w:p>
        </w:tc>
        <w:tc>
          <w:tcPr>
            <w:tcW w:w="1628" w:type="dxa"/>
            <w:tcBorders>
              <w:top w:val="nil"/>
              <w:left w:val="nil"/>
              <w:bottom w:val="nil"/>
              <w:right w:val="nil"/>
            </w:tcBorders>
            <w:shd w:val="clear" w:color="000000" w:fill="FFFFFF"/>
            <w:vAlign w:val="center"/>
            <w:hideMark/>
          </w:tcPr>
          <w:p w14:paraId="44230867" w14:textId="77777777" w:rsidR="00482AF6" w:rsidRPr="00BD5F7B" w:rsidRDefault="00482AF6" w:rsidP="00482AF6">
            <w:pPr>
              <w:jc w:val="right"/>
              <w:rPr>
                <w:b/>
                <w:bCs/>
                <w:sz w:val="18"/>
                <w:szCs w:val="18"/>
                <w:lang w:eastAsia="tr-TR"/>
              </w:rPr>
            </w:pPr>
            <w:r w:rsidRPr="00BD5F7B">
              <w:rPr>
                <w:b/>
                <w:bCs/>
                <w:sz w:val="18"/>
                <w:szCs w:val="18"/>
                <w:lang w:eastAsia="tr-TR"/>
              </w:rPr>
              <w:t>-</w:t>
            </w:r>
          </w:p>
        </w:tc>
        <w:tc>
          <w:tcPr>
            <w:tcW w:w="1443" w:type="dxa"/>
            <w:tcBorders>
              <w:top w:val="nil"/>
              <w:left w:val="nil"/>
              <w:bottom w:val="nil"/>
              <w:right w:val="nil"/>
            </w:tcBorders>
            <w:shd w:val="clear" w:color="auto" w:fill="auto"/>
            <w:vAlign w:val="center"/>
            <w:hideMark/>
          </w:tcPr>
          <w:p w14:paraId="0F062426" w14:textId="77777777" w:rsidR="00482AF6" w:rsidRPr="00BD5F7B" w:rsidRDefault="00482AF6" w:rsidP="00482AF6">
            <w:pPr>
              <w:jc w:val="right"/>
              <w:rPr>
                <w:b/>
                <w:bCs/>
                <w:sz w:val="18"/>
                <w:szCs w:val="18"/>
                <w:lang w:eastAsia="tr-TR"/>
              </w:rPr>
            </w:pPr>
            <w:r w:rsidRPr="00BD5F7B">
              <w:rPr>
                <w:b/>
                <w:bCs/>
                <w:sz w:val="18"/>
                <w:szCs w:val="18"/>
                <w:lang w:eastAsia="tr-TR"/>
              </w:rPr>
              <w:t>-</w:t>
            </w:r>
          </w:p>
        </w:tc>
        <w:tc>
          <w:tcPr>
            <w:tcW w:w="1443" w:type="dxa"/>
            <w:tcBorders>
              <w:top w:val="nil"/>
              <w:left w:val="nil"/>
              <w:bottom w:val="nil"/>
              <w:right w:val="nil"/>
            </w:tcBorders>
            <w:shd w:val="clear" w:color="auto" w:fill="auto"/>
            <w:vAlign w:val="center"/>
            <w:hideMark/>
          </w:tcPr>
          <w:p w14:paraId="79A57947" w14:textId="77777777" w:rsidR="00482AF6" w:rsidRPr="00BD5F7B" w:rsidRDefault="00482AF6" w:rsidP="00482AF6">
            <w:pPr>
              <w:jc w:val="right"/>
              <w:rPr>
                <w:b/>
                <w:bCs/>
                <w:sz w:val="18"/>
                <w:szCs w:val="18"/>
                <w:lang w:eastAsia="tr-TR"/>
              </w:rPr>
            </w:pPr>
            <w:r w:rsidRPr="00BD5F7B">
              <w:rPr>
                <w:b/>
                <w:bCs/>
                <w:sz w:val="18"/>
                <w:szCs w:val="18"/>
                <w:lang w:eastAsia="tr-TR"/>
              </w:rPr>
              <w:t>-</w:t>
            </w:r>
          </w:p>
        </w:tc>
      </w:tr>
      <w:tr w:rsidR="00482AF6" w:rsidRPr="00BD5F7B" w14:paraId="6F300F03"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6802EE8E" w14:textId="77777777" w:rsidR="00482AF6" w:rsidRPr="00BD5F7B" w:rsidRDefault="00482AF6" w:rsidP="00482AF6">
            <w:pPr>
              <w:jc w:val="both"/>
              <w:rPr>
                <w:sz w:val="18"/>
                <w:szCs w:val="18"/>
                <w:lang w:eastAsia="tr-TR"/>
              </w:rPr>
            </w:pPr>
            <w:r w:rsidRPr="00BD5F7B">
              <w:rPr>
                <w:sz w:val="18"/>
                <w:szCs w:val="18"/>
                <w:lang w:eastAsia="tr-TR"/>
              </w:rPr>
              <w:t xml:space="preserve">Taksitli </w:t>
            </w:r>
          </w:p>
        </w:tc>
        <w:tc>
          <w:tcPr>
            <w:tcW w:w="1628" w:type="dxa"/>
            <w:tcBorders>
              <w:top w:val="nil"/>
              <w:left w:val="nil"/>
              <w:bottom w:val="nil"/>
              <w:right w:val="nil"/>
            </w:tcBorders>
            <w:shd w:val="clear" w:color="000000" w:fill="FFFFFF"/>
            <w:vAlign w:val="center"/>
            <w:hideMark/>
          </w:tcPr>
          <w:p w14:paraId="538699BF"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6DC51E42"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3E26BD11" w14:textId="77777777" w:rsidR="00482AF6" w:rsidRPr="00BD5F7B" w:rsidRDefault="00482AF6" w:rsidP="00482AF6">
            <w:pPr>
              <w:jc w:val="right"/>
              <w:rPr>
                <w:bCs/>
                <w:sz w:val="18"/>
                <w:szCs w:val="18"/>
                <w:lang w:eastAsia="tr-TR"/>
              </w:rPr>
            </w:pPr>
            <w:r w:rsidRPr="00BD5F7B">
              <w:rPr>
                <w:bCs/>
                <w:sz w:val="18"/>
                <w:szCs w:val="18"/>
                <w:lang w:eastAsia="tr-TR"/>
              </w:rPr>
              <w:t>-</w:t>
            </w:r>
          </w:p>
        </w:tc>
      </w:tr>
      <w:tr w:rsidR="00482AF6" w:rsidRPr="00BD5F7B" w14:paraId="57316C1D"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21BCDE21" w14:textId="77777777" w:rsidR="00482AF6" w:rsidRPr="00BD5F7B" w:rsidRDefault="00482AF6" w:rsidP="00482AF6">
            <w:pPr>
              <w:jc w:val="both"/>
              <w:rPr>
                <w:sz w:val="18"/>
                <w:szCs w:val="18"/>
                <w:lang w:eastAsia="tr-TR"/>
              </w:rPr>
            </w:pPr>
            <w:r w:rsidRPr="00BD5F7B">
              <w:rPr>
                <w:sz w:val="18"/>
                <w:szCs w:val="18"/>
                <w:lang w:eastAsia="tr-TR"/>
              </w:rPr>
              <w:t>Taksitsiz</w:t>
            </w:r>
          </w:p>
        </w:tc>
        <w:tc>
          <w:tcPr>
            <w:tcW w:w="1628" w:type="dxa"/>
            <w:tcBorders>
              <w:top w:val="nil"/>
              <w:left w:val="nil"/>
              <w:bottom w:val="nil"/>
              <w:right w:val="nil"/>
            </w:tcBorders>
            <w:shd w:val="clear" w:color="000000" w:fill="FFFFFF"/>
            <w:vAlign w:val="center"/>
            <w:hideMark/>
          </w:tcPr>
          <w:p w14:paraId="65A24B2A"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1E2A666C" w14:textId="77777777" w:rsidR="00482AF6" w:rsidRPr="00BD5F7B" w:rsidRDefault="00482AF6" w:rsidP="00482AF6">
            <w:pPr>
              <w:jc w:val="right"/>
              <w:rPr>
                <w:sz w:val="18"/>
                <w:szCs w:val="18"/>
                <w:lang w:eastAsia="tr-TR"/>
              </w:rPr>
            </w:pPr>
            <w:r w:rsidRPr="00BD5F7B">
              <w:rPr>
                <w:sz w:val="18"/>
                <w:szCs w:val="18"/>
                <w:lang w:eastAsia="tr-TR"/>
              </w:rPr>
              <w:t>-</w:t>
            </w:r>
          </w:p>
        </w:tc>
        <w:tc>
          <w:tcPr>
            <w:tcW w:w="1443" w:type="dxa"/>
            <w:tcBorders>
              <w:top w:val="nil"/>
              <w:left w:val="nil"/>
              <w:bottom w:val="nil"/>
              <w:right w:val="nil"/>
            </w:tcBorders>
            <w:shd w:val="clear" w:color="auto" w:fill="auto"/>
            <w:vAlign w:val="center"/>
            <w:hideMark/>
          </w:tcPr>
          <w:p w14:paraId="5BA800BE" w14:textId="77777777" w:rsidR="00482AF6" w:rsidRPr="00BD5F7B" w:rsidRDefault="00482AF6" w:rsidP="00482AF6">
            <w:pPr>
              <w:jc w:val="right"/>
              <w:rPr>
                <w:bCs/>
                <w:sz w:val="18"/>
                <w:szCs w:val="18"/>
                <w:lang w:eastAsia="tr-TR"/>
              </w:rPr>
            </w:pPr>
            <w:r w:rsidRPr="00BD5F7B">
              <w:rPr>
                <w:bCs/>
                <w:sz w:val="18"/>
                <w:szCs w:val="18"/>
                <w:lang w:eastAsia="tr-TR"/>
              </w:rPr>
              <w:t>-</w:t>
            </w:r>
          </w:p>
        </w:tc>
      </w:tr>
      <w:tr w:rsidR="00482AF6" w:rsidRPr="00BD5F7B" w14:paraId="0CB40B14" w14:textId="77777777" w:rsidTr="00BA637F">
        <w:trPr>
          <w:divId w:val="376323408"/>
          <w:trHeight w:val="183"/>
        </w:trPr>
        <w:tc>
          <w:tcPr>
            <w:tcW w:w="4594" w:type="dxa"/>
            <w:tcBorders>
              <w:top w:val="nil"/>
              <w:left w:val="nil"/>
              <w:bottom w:val="nil"/>
              <w:right w:val="nil"/>
            </w:tcBorders>
            <w:shd w:val="clear" w:color="auto" w:fill="auto"/>
            <w:vAlign w:val="center"/>
            <w:hideMark/>
          </w:tcPr>
          <w:p w14:paraId="1E0D6E60" w14:textId="77777777" w:rsidR="00482AF6" w:rsidRPr="00BD5F7B" w:rsidRDefault="00482AF6" w:rsidP="00482AF6">
            <w:pPr>
              <w:jc w:val="both"/>
              <w:rPr>
                <w:b/>
                <w:bCs/>
                <w:sz w:val="18"/>
                <w:szCs w:val="18"/>
                <w:lang w:eastAsia="tr-TR"/>
              </w:rPr>
            </w:pPr>
            <w:r w:rsidRPr="00BD5F7B">
              <w:rPr>
                <w:b/>
                <w:bCs/>
                <w:sz w:val="18"/>
                <w:szCs w:val="18"/>
                <w:lang w:eastAsia="tr-TR"/>
              </w:rPr>
              <w:t>Kredili Mevduat Hesabı-TP (Tüzel Kişi)</w:t>
            </w:r>
          </w:p>
        </w:tc>
        <w:tc>
          <w:tcPr>
            <w:tcW w:w="1628" w:type="dxa"/>
            <w:tcBorders>
              <w:top w:val="nil"/>
              <w:left w:val="nil"/>
              <w:bottom w:val="nil"/>
              <w:right w:val="nil"/>
            </w:tcBorders>
            <w:shd w:val="clear" w:color="000000" w:fill="FFFFFF"/>
            <w:vAlign w:val="center"/>
            <w:hideMark/>
          </w:tcPr>
          <w:p w14:paraId="04502A8D" w14:textId="77777777" w:rsidR="00482AF6" w:rsidRPr="00BD5F7B" w:rsidRDefault="00482AF6" w:rsidP="00482AF6">
            <w:pPr>
              <w:jc w:val="right"/>
              <w:rPr>
                <w:b/>
                <w:bCs/>
                <w:sz w:val="18"/>
                <w:szCs w:val="18"/>
                <w:lang w:eastAsia="tr-TR"/>
              </w:rPr>
            </w:pPr>
            <w:r w:rsidRPr="00BD5F7B">
              <w:rPr>
                <w:b/>
                <w:bCs/>
                <w:sz w:val="18"/>
                <w:szCs w:val="18"/>
                <w:lang w:eastAsia="tr-TR"/>
              </w:rPr>
              <w:t>-</w:t>
            </w:r>
          </w:p>
        </w:tc>
        <w:tc>
          <w:tcPr>
            <w:tcW w:w="1443" w:type="dxa"/>
            <w:tcBorders>
              <w:top w:val="nil"/>
              <w:left w:val="nil"/>
              <w:bottom w:val="nil"/>
              <w:right w:val="nil"/>
            </w:tcBorders>
            <w:shd w:val="clear" w:color="auto" w:fill="auto"/>
            <w:vAlign w:val="center"/>
            <w:hideMark/>
          </w:tcPr>
          <w:p w14:paraId="127D1640" w14:textId="77777777" w:rsidR="00482AF6" w:rsidRPr="00BD5F7B" w:rsidRDefault="00482AF6" w:rsidP="00482AF6">
            <w:pPr>
              <w:jc w:val="right"/>
              <w:rPr>
                <w:b/>
                <w:bCs/>
                <w:sz w:val="18"/>
                <w:szCs w:val="18"/>
                <w:lang w:eastAsia="tr-TR"/>
              </w:rPr>
            </w:pPr>
            <w:r w:rsidRPr="00BD5F7B">
              <w:rPr>
                <w:b/>
                <w:bCs/>
                <w:sz w:val="18"/>
                <w:szCs w:val="18"/>
                <w:lang w:eastAsia="tr-TR"/>
              </w:rPr>
              <w:t>-</w:t>
            </w:r>
          </w:p>
        </w:tc>
        <w:tc>
          <w:tcPr>
            <w:tcW w:w="1443" w:type="dxa"/>
            <w:tcBorders>
              <w:top w:val="nil"/>
              <w:left w:val="nil"/>
              <w:bottom w:val="nil"/>
              <w:right w:val="nil"/>
            </w:tcBorders>
            <w:shd w:val="clear" w:color="auto" w:fill="auto"/>
            <w:vAlign w:val="center"/>
            <w:hideMark/>
          </w:tcPr>
          <w:p w14:paraId="63CB6379" w14:textId="77777777" w:rsidR="00482AF6" w:rsidRPr="00BD5F7B" w:rsidRDefault="00482AF6" w:rsidP="00482AF6">
            <w:pPr>
              <w:jc w:val="right"/>
              <w:rPr>
                <w:b/>
                <w:bCs/>
                <w:sz w:val="18"/>
                <w:szCs w:val="18"/>
                <w:lang w:eastAsia="tr-TR"/>
              </w:rPr>
            </w:pPr>
            <w:r w:rsidRPr="00BD5F7B">
              <w:rPr>
                <w:b/>
                <w:bCs/>
                <w:sz w:val="18"/>
                <w:szCs w:val="18"/>
                <w:lang w:eastAsia="tr-TR"/>
              </w:rPr>
              <w:t>-</w:t>
            </w:r>
          </w:p>
        </w:tc>
      </w:tr>
      <w:tr w:rsidR="00482AF6" w:rsidRPr="00BD5F7B" w14:paraId="289CA371" w14:textId="77777777" w:rsidTr="00BA637F">
        <w:trPr>
          <w:divId w:val="376323408"/>
          <w:trHeight w:val="195"/>
        </w:trPr>
        <w:tc>
          <w:tcPr>
            <w:tcW w:w="4594" w:type="dxa"/>
            <w:tcBorders>
              <w:top w:val="nil"/>
              <w:left w:val="nil"/>
              <w:bottom w:val="single" w:sz="8" w:space="0" w:color="auto"/>
              <w:right w:val="nil"/>
            </w:tcBorders>
            <w:shd w:val="clear" w:color="auto" w:fill="auto"/>
            <w:vAlign w:val="center"/>
            <w:hideMark/>
          </w:tcPr>
          <w:p w14:paraId="7219A3E0" w14:textId="77777777" w:rsidR="00482AF6" w:rsidRPr="00BD5F7B" w:rsidRDefault="00482AF6" w:rsidP="00482AF6">
            <w:pPr>
              <w:jc w:val="both"/>
              <w:rPr>
                <w:b/>
                <w:bCs/>
                <w:sz w:val="18"/>
                <w:szCs w:val="18"/>
                <w:lang w:eastAsia="tr-TR"/>
              </w:rPr>
            </w:pPr>
            <w:r w:rsidRPr="00BD5F7B">
              <w:rPr>
                <w:b/>
                <w:bCs/>
                <w:sz w:val="18"/>
                <w:szCs w:val="18"/>
                <w:lang w:eastAsia="tr-TR"/>
              </w:rPr>
              <w:t>Kredili Mevduat Hesabı-YP (Tüzel Kişi)</w:t>
            </w:r>
          </w:p>
        </w:tc>
        <w:tc>
          <w:tcPr>
            <w:tcW w:w="1628" w:type="dxa"/>
            <w:tcBorders>
              <w:top w:val="nil"/>
              <w:left w:val="nil"/>
              <w:bottom w:val="single" w:sz="8" w:space="0" w:color="auto"/>
              <w:right w:val="nil"/>
            </w:tcBorders>
            <w:shd w:val="clear" w:color="000000" w:fill="FFFFFF"/>
            <w:vAlign w:val="center"/>
            <w:hideMark/>
          </w:tcPr>
          <w:p w14:paraId="5CB0CF9F" w14:textId="77777777" w:rsidR="00482AF6" w:rsidRPr="00BD5F7B" w:rsidRDefault="00482AF6" w:rsidP="00482AF6">
            <w:pPr>
              <w:jc w:val="right"/>
              <w:rPr>
                <w:b/>
                <w:bCs/>
                <w:sz w:val="18"/>
                <w:szCs w:val="18"/>
                <w:lang w:eastAsia="tr-TR"/>
              </w:rPr>
            </w:pPr>
            <w:r w:rsidRPr="00BD5F7B">
              <w:rPr>
                <w:b/>
                <w:bCs/>
                <w:sz w:val="18"/>
                <w:szCs w:val="18"/>
                <w:lang w:eastAsia="tr-TR"/>
              </w:rPr>
              <w:t>-</w:t>
            </w:r>
          </w:p>
        </w:tc>
        <w:tc>
          <w:tcPr>
            <w:tcW w:w="1443" w:type="dxa"/>
            <w:tcBorders>
              <w:top w:val="nil"/>
              <w:left w:val="nil"/>
              <w:bottom w:val="single" w:sz="8" w:space="0" w:color="auto"/>
              <w:right w:val="nil"/>
            </w:tcBorders>
            <w:shd w:val="clear" w:color="auto" w:fill="auto"/>
            <w:vAlign w:val="center"/>
            <w:hideMark/>
          </w:tcPr>
          <w:p w14:paraId="0619DB5C" w14:textId="77777777" w:rsidR="00482AF6" w:rsidRPr="00BD5F7B" w:rsidRDefault="00482AF6" w:rsidP="00482AF6">
            <w:pPr>
              <w:jc w:val="right"/>
              <w:rPr>
                <w:b/>
                <w:bCs/>
                <w:sz w:val="18"/>
                <w:szCs w:val="18"/>
                <w:lang w:eastAsia="tr-TR"/>
              </w:rPr>
            </w:pPr>
            <w:r w:rsidRPr="00BD5F7B">
              <w:rPr>
                <w:b/>
                <w:bCs/>
                <w:sz w:val="18"/>
                <w:szCs w:val="18"/>
                <w:lang w:eastAsia="tr-TR"/>
              </w:rPr>
              <w:t>-</w:t>
            </w:r>
          </w:p>
        </w:tc>
        <w:tc>
          <w:tcPr>
            <w:tcW w:w="1443" w:type="dxa"/>
            <w:tcBorders>
              <w:top w:val="nil"/>
              <w:left w:val="nil"/>
              <w:bottom w:val="single" w:sz="8" w:space="0" w:color="auto"/>
              <w:right w:val="nil"/>
            </w:tcBorders>
            <w:shd w:val="clear" w:color="auto" w:fill="auto"/>
            <w:vAlign w:val="center"/>
            <w:hideMark/>
          </w:tcPr>
          <w:p w14:paraId="29010EAC" w14:textId="77777777" w:rsidR="00482AF6" w:rsidRPr="00BD5F7B" w:rsidRDefault="00482AF6" w:rsidP="00482AF6">
            <w:pPr>
              <w:jc w:val="right"/>
              <w:rPr>
                <w:b/>
                <w:bCs/>
                <w:sz w:val="18"/>
                <w:szCs w:val="18"/>
                <w:lang w:eastAsia="tr-TR"/>
              </w:rPr>
            </w:pPr>
            <w:r w:rsidRPr="00BD5F7B">
              <w:rPr>
                <w:b/>
                <w:bCs/>
                <w:sz w:val="18"/>
                <w:szCs w:val="18"/>
                <w:lang w:eastAsia="tr-TR"/>
              </w:rPr>
              <w:t>-</w:t>
            </w:r>
          </w:p>
        </w:tc>
      </w:tr>
      <w:tr w:rsidR="00482AF6" w:rsidRPr="00BD5F7B" w14:paraId="4715D77F" w14:textId="77777777" w:rsidTr="00BA637F">
        <w:trPr>
          <w:divId w:val="376323408"/>
          <w:trHeight w:val="195"/>
        </w:trPr>
        <w:tc>
          <w:tcPr>
            <w:tcW w:w="4594" w:type="dxa"/>
            <w:tcBorders>
              <w:top w:val="nil"/>
              <w:left w:val="nil"/>
              <w:bottom w:val="double" w:sz="6" w:space="0" w:color="auto"/>
              <w:right w:val="nil"/>
            </w:tcBorders>
            <w:shd w:val="clear" w:color="auto" w:fill="auto"/>
            <w:vAlign w:val="center"/>
            <w:hideMark/>
          </w:tcPr>
          <w:p w14:paraId="1C37006B" w14:textId="77777777" w:rsidR="00482AF6" w:rsidRPr="00BD5F7B" w:rsidRDefault="00482AF6" w:rsidP="00482AF6">
            <w:pPr>
              <w:jc w:val="both"/>
              <w:rPr>
                <w:b/>
                <w:bCs/>
                <w:sz w:val="18"/>
                <w:szCs w:val="18"/>
                <w:lang w:eastAsia="tr-TR"/>
              </w:rPr>
            </w:pPr>
            <w:r w:rsidRPr="00BD5F7B">
              <w:rPr>
                <w:b/>
                <w:bCs/>
                <w:sz w:val="18"/>
                <w:szCs w:val="18"/>
                <w:lang w:eastAsia="tr-TR"/>
              </w:rPr>
              <w:t>Toplam</w:t>
            </w:r>
          </w:p>
        </w:tc>
        <w:tc>
          <w:tcPr>
            <w:tcW w:w="1628" w:type="dxa"/>
            <w:tcBorders>
              <w:top w:val="nil"/>
              <w:left w:val="nil"/>
              <w:bottom w:val="double" w:sz="6" w:space="0" w:color="auto"/>
              <w:right w:val="nil"/>
            </w:tcBorders>
            <w:shd w:val="clear" w:color="000000" w:fill="FFFFFF"/>
            <w:vAlign w:val="center"/>
            <w:hideMark/>
          </w:tcPr>
          <w:p w14:paraId="0517BE99" w14:textId="77777777" w:rsidR="00482AF6" w:rsidRPr="00BD5F7B" w:rsidRDefault="00482AF6" w:rsidP="00482AF6">
            <w:pPr>
              <w:jc w:val="right"/>
              <w:rPr>
                <w:b/>
                <w:bCs/>
                <w:sz w:val="18"/>
                <w:szCs w:val="18"/>
                <w:lang w:eastAsia="tr-TR"/>
              </w:rPr>
            </w:pPr>
            <w:r w:rsidRPr="00BD5F7B">
              <w:rPr>
                <w:b/>
                <w:bCs/>
                <w:sz w:val="18"/>
                <w:szCs w:val="18"/>
                <w:lang w:eastAsia="tr-TR"/>
              </w:rPr>
              <w:t>872,979</w:t>
            </w:r>
          </w:p>
        </w:tc>
        <w:tc>
          <w:tcPr>
            <w:tcW w:w="1443" w:type="dxa"/>
            <w:tcBorders>
              <w:top w:val="nil"/>
              <w:left w:val="nil"/>
              <w:bottom w:val="double" w:sz="6" w:space="0" w:color="auto"/>
              <w:right w:val="nil"/>
            </w:tcBorders>
            <w:shd w:val="clear" w:color="auto" w:fill="auto"/>
            <w:vAlign w:val="center"/>
            <w:hideMark/>
          </w:tcPr>
          <w:p w14:paraId="7AF7B01F" w14:textId="77777777" w:rsidR="00482AF6" w:rsidRPr="00BD5F7B" w:rsidRDefault="00482AF6" w:rsidP="00482AF6">
            <w:pPr>
              <w:jc w:val="right"/>
              <w:rPr>
                <w:b/>
                <w:bCs/>
                <w:sz w:val="18"/>
                <w:szCs w:val="18"/>
                <w:lang w:eastAsia="tr-TR"/>
              </w:rPr>
            </w:pPr>
            <w:r w:rsidRPr="00BD5F7B">
              <w:rPr>
                <w:b/>
                <w:bCs/>
                <w:sz w:val="18"/>
                <w:szCs w:val="18"/>
                <w:lang w:eastAsia="tr-TR"/>
              </w:rPr>
              <w:t>5,929,580</w:t>
            </w:r>
          </w:p>
        </w:tc>
        <w:tc>
          <w:tcPr>
            <w:tcW w:w="1443" w:type="dxa"/>
            <w:tcBorders>
              <w:top w:val="nil"/>
              <w:left w:val="nil"/>
              <w:bottom w:val="double" w:sz="6" w:space="0" w:color="auto"/>
              <w:right w:val="nil"/>
            </w:tcBorders>
            <w:shd w:val="clear" w:color="auto" w:fill="auto"/>
            <w:vAlign w:val="center"/>
            <w:hideMark/>
          </w:tcPr>
          <w:p w14:paraId="0B2C8C7A" w14:textId="77777777" w:rsidR="00482AF6" w:rsidRPr="00BD5F7B" w:rsidRDefault="00482AF6" w:rsidP="00482AF6">
            <w:pPr>
              <w:jc w:val="right"/>
              <w:rPr>
                <w:b/>
                <w:bCs/>
                <w:sz w:val="18"/>
                <w:szCs w:val="18"/>
                <w:lang w:eastAsia="tr-TR"/>
              </w:rPr>
            </w:pPr>
            <w:r w:rsidRPr="00BD5F7B">
              <w:rPr>
                <w:b/>
                <w:bCs/>
                <w:sz w:val="18"/>
                <w:szCs w:val="18"/>
                <w:lang w:eastAsia="tr-TR"/>
              </w:rPr>
              <w:t>6,802,559</w:t>
            </w:r>
          </w:p>
        </w:tc>
      </w:tr>
    </w:tbl>
    <w:p w14:paraId="0BE2DC37" w14:textId="7AF0B6C6" w:rsidR="00055FF4" w:rsidRDefault="00055FF4" w:rsidP="00055FF4">
      <w:pPr>
        <w:autoSpaceDE w:val="0"/>
        <w:autoSpaceDN w:val="0"/>
        <w:adjustRightInd w:val="0"/>
      </w:pPr>
    </w:p>
    <w:p w14:paraId="1AC8DC60" w14:textId="4BFB22BE" w:rsidR="00BA637F" w:rsidRDefault="00BA637F">
      <w:pPr>
        <w:rPr>
          <w:highlight w:val="yellow"/>
        </w:rPr>
      </w:pPr>
      <w:r>
        <w:rPr>
          <w:highlight w:val="yellow"/>
        </w:rPr>
        <w:br w:type="page"/>
      </w:r>
    </w:p>
    <w:p w14:paraId="5718CD19" w14:textId="77777777" w:rsidR="00501C76" w:rsidRPr="00753D80" w:rsidRDefault="00501C76" w:rsidP="00501C76">
      <w:pPr>
        <w:tabs>
          <w:tab w:val="left" w:pos="709"/>
        </w:tabs>
        <w:autoSpaceDE w:val="0"/>
        <w:autoSpaceDN w:val="0"/>
        <w:adjustRightInd w:val="0"/>
        <w:ind w:hanging="567"/>
        <w:rPr>
          <w:b/>
        </w:rPr>
      </w:pPr>
      <w:r w:rsidRPr="00753D80">
        <w:rPr>
          <w:b/>
        </w:rPr>
        <w:lastRenderedPageBreak/>
        <w:t>1.5.6</w:t>
      </w:r>
      <w:r w:rsidRPr="00753D80">
        <w:t>.</w:t>
      </w:r>
      <w:r w:rsidRPr="00753D80">
        <w:tab/>
        <w:t>Kredilerin kullanıcılara göre dağılımı:</w:t>
      </w:r>
    </w:p>
    <w:p w14:paraId="6D811B82" w14:textId="77777777" w:rsidR="00501C76" w:rsidRPr="00753D80" w:rsidRDefault="00501C76" w:rsidP="00501C76">
      <w:pPr>
        <w:tabs>
          <w:tab w:val="num" w:pos="3060"/>
        </w:tabs>
        <w:autoSpaceDE w:val="0"/>
        <w:autoSpaceDN w:val="0"/>
        <w:adjustRightInd w:val="0"/>
        <w:rPr>
          <w:sz w:val="16"/>
          <w:szCs w:val="16"/>
        </w:rPr>
      </w:pPr>
    </w:p>
    <w:p w14:paraId="19A57180" w14:textId="77777777" w:rsidR="00A65660" w:rsidRPr="00753D80" w:rsidRDefault="00A65660" w:rsidP="00BA637F">
      <w:pPr>
        <w:autoSpaceDE w:val="0"/>
        <w:autoSpaceDN w:val="0"/>
        <w:adjustRightInd w:val="0"/>
        <w:jc w:val="both"/>
      </w:pPr>
      <w:bookmarkStart w:id="15" w:name="_Hlk38747738"/>
      <w:r w:rsidRPr="00753D80">
        <w:t>Bankalarca Kamuya Açıklanacak Finansal Tablolar ile Bunlara İlişkin Açıklama ve Dipnotlar Hakkında Tebliğ’in 25’inci maddesi uyarınca ara dönemde hazırlanmamıştır.</w:t>
      </w:r>
    </w:p>
    <w:bookmarkEnd w:id="15"/>
    <w:p w14:paraId="44101EFC" w14:textId="124996E1" w:rsidR="00501C76" w:rsidRPr="00753D80" w:rsidRDefault="00501C76" w:rsidP="00820548">
      <w:pPr>
        <w:tabs>
          <w:tab w:val="num" w:pos="3060"/>
        </w:tabs>
        <w:autoSpaceDE w:val="0"/>
        <w:autoSpaceDN w:val="0"/>
        <w:adjustRightInd w:val="0"/>
        <w:ind w:left="709" w:hanging="709"/>
      </w:pPr>
    </w:p>
    <w:p w14:paraId="5CF4DC24" w14:textId="12697B1D" w:rsidR="00356C26" w:rsidRPr="00753D80" w:rsidRDefault="0048609D" w:rsidP="00055FF4">
      <w:pPr>
        <w:autoSpaceDE w:val="0"/>
        <w:autoSpaceDN w:val="0"/>
        <w:adjustRightInd w:val="0"/>
        <w:ind w:hanging="567"/>
      </w:pPr>
      <w:r w:rsidRPr="00753D80">
        <w:rPr>
          <w:b/>
        </w:rPr>
        <w:t>1.5.7</w:t>
      </w:r>
      <w:r w:rsidR="00356C26" w:rsidRPr="00753D80">
        <w:rPr>
          <w:b/>
        </w:rPr>
        <w:tab/>
      </w:r>
      <w:r w:rsidR="00055FF4" w:rsidRPr="00753D80">
        <w:t>Yurtiçi ve yurtdışı kredilerin dağılımı</w:t>
      </w:r>
      <w:r w:rsidR="00356C26" w:rsidRPr="00753D80">
        <w:t>:</w:t>
      </w:r>
    </w:p>
    <w:p w14:paraId="6AB0A744" w14:textId="4FEEAC02" w:rsidR="00753D80" w:rsidRPr="00311DAB" w:rsidRDefault="00753D80" w:rsidP="00134A72">
      <w:pPr>
        <w:autoSpaceDE w:val="0"/>
        <w:autoSpaceDN w:val="0"/>
        <w:adjustRightInd w:val="0"/>
        <w:rPr>
          <w:lang w:eastAsia="en-GB"/>
        </w:rPr>
      </w:pPr>
    </w:p>
    <w:tbl>
      <w:tblPr>
        <w:tblW w:w="9164" w:type="dxa"/>
        <w:tblCellMar>
          <w:left w:w="70" w:type="dxa"/>
          <w:right w:w="70" w:type="dxa"/>
        </w:tblCellMar>
        <w:tblLook w:val="04A0" w:firstRow="1" w:lastRow="0" w:firstColumn="1" w:lastColumn="0" w:noHBand="0" w:noVBand="1"/>
      </w:tblPr>
      <w:tblGrid>
        <w:gridCol w:w="5620"/>
        <w:gridCol w:w="1772"/>
        <w:gridCol w:w="1772"/>
      </w:tblGrid>
      <w:tr w:rsidR="00753D80" w:rsidRPr="00753D80" w14:paraId="2117A40F" w14:textId="77777777" w:rsidTr="006B1072">
        <w:trPr>
          <w:divId w:val="1498769752"/>
          <w:trHeight w:val="248"/>
        </w:trPr>
        <w:tc>
          <w:tcPr>
            <w:tcW w:w="5620" w:type="dxa"/>
            <w:tcBorders>
              <w:top w:val="double" w:sz="6" w:space="0" w:color="auto"/>
              <w:left w:val="nil"/>
              <w:bottom w:val="single" w:sz="8" w:space="0" w:color="auto"/>
              <w:right w:val="nil"/>
            </w:tcBorders>
            <w:shd w:val="clear" w:color="auto" w:fill="auto"/>
            <w:vAlign w:val="center"/>
            <w:hideMark/>
          </w:tcPr>
          <w:p w14:paraId="7EED72D8" w14:textId="6CC207C3" w:rsidR="00753D80" w:rsidRPr="00753D80" w:rsidRDefault="00753D80" w:rsidP="00753D80">
            <w:pPr>
              <w:jc w:val="both"/>
              <w:rPr>
                <w:sz w:val="18"/>
                <w:szCs w:val="18"/>
                <w:lang w:eastAsia="tr-TR"/>
              </w:rPr>
            </w:pPr>
            <w:r w:rsidRPr="00753D80">
              <w:rPr>
                <w:sz w:val="18"/>
                <w:szCs w:val="18"/>
                <w:lang w:eastAsia="tr-TR"/>
              </w:rPr>
              <w:t> </w:t>
            </w:r>
          </w:p>
        </w:tc>
        <w:tc>
          <w:tcPr>
            <w:tcW w:w="1772" w:type="dxa"/>
            <w:tcBorders>
              <w:top w:val="double" w:sz="6" w:space="0" w:color="auto"/>
              <w:left w:val="nil"/>
              <w:bottom w:val="single" w:sz="8" w:space="0" w:color="auto"/>
              <w:right w:val="nil"/>
            </w:tcBorders>
            <w:shd w:val="clear" w:color="auto" w:fill="auto"/>
            <w:vAlign w:val="center"/>
            <w:hideMark/>
          </w:tcPr>
          <w:p w14:paraId="765BD0C3" w14:textId="77777777" w:rsidR="00753D80" w:rsidRPr="00753D80" w:rsidRDefault="00753D80" w:rsidP="00753D80">
            <w:pPr>
              <w:jc w:val="right"/>
              <w:rPr>
                <w:b/>
                <w:bCs/>
                <w:sz w:val="18"/>
                <w:szCs w:val="18"/>
                <w:lang w:eastAsia="tr-TR"/>
              </w:rPr>
            </w:pPr>
            <w:r w:rsidRPr="00753D80">
              <w:rPr>
                <w:b/>
                <w:bCs/>
                <w:sz w:val="18"/>
                <w:szCs w:val="18"/>
                <w:lang w:eastAsia="tr-TR"/>
              </w:rPr>
              <w:t>Cari Dönem</w:t>
            </w:r>
          </w:p>
        </w:tc>
        <w:tc>
          <w:tcPr>
            <w:tcW w:w="1772" w:type="dxa"/>
            <w:tcBorders>
              <w:top w:val="double" w:sz="6" w:space="0" w:color="auto"/>
              <w:left w:val="nil"/>
              <w:bottom w:val="single" w:sz="8" w:space="0" w:color="auto"/>
              <w:right w:val="nil"/>
            </w:tcBorders>
            <w:shd w:val="clear" w:color="auto" w:fill="auto"/>
            <w:vAlign w:val="center"/>
            <w:hideMark/>
          </w:tcPr>
          <w:p w14:paraId="3B64B244" w14:textId="77777777" w:rsidR="00753D80" w:rsidRPr="00753D80" w:rsidRDefault="00753D80" w:rsidP="00753D80">
            <w:pPr>
              <w:jc w:val="right"/>
              <w:rPr>
                <w:b/>
                <w:bCs/>
                <w:sz w:val="18"/>
                <w:szCs w:val="18"/>
                <w:lang w:eastAsia="tr-TR"/>
              </w:rPr>
            </w:pPr>
            <w:r w:rsidRPr="00753D80">
              <w:rPr>
                <w:b/>
                <w:bCs/>
                <w:sz w:val="18"/>
                <w:szCs w:val="18"/>
                <w:lang w:eastAsia="tr-TR"/>
              </w:rPr>
              <w:t>Önceki Dönem</w:t>
            </w:r>
          </w:p>
        </w:tc>
      </w:tr>
      <w:tr w:rsidR="00753D80" w:rsidRPr="00753D80" w14:paraId="5AF98BFF" w14:textId="77777777" w:rsidTr="006B1072">
        <w:trPr>
          <w:divId w:val="1498769752"/>
          <w:trHeight w:val="220"/>
        </w:trPr>
        <w:tc>
          <w:tcPr>
            <w:tcW w:w="5620" w:type="dxa"/>
            <w:tcBorders>
              <w:top w:val="nil"/>
              <w:left w:val="nil"/>
              <w:bottom w:val="nil"/>
              <w:right w:val="nil"/>
            </w:tcBorders>
            <w:shd w:val="clear" w:color="auto" w:fill="auto"/>
            <w:vAlign w:val="center"/>
            <w:hideMark/>
          </w:tcPr>
          <w:p w14:paraId="22FDA69F" w14:textId="77777777" w:rsidR="00753D80" w:rsidRPr="00753D80" w:rsidRDefault="00753D80" w:rsidP="00753D80">
            <w:pPr>
              <w:jc w:val="both"/>
              <w:rPr>
                <w:sz w:val="18"/>
                <w:szCs w:val="18"/>
                <w:lang w:eastAsia="tr-TR"/>
              </w:rPr>
            </w:pPr>
            <w:r w:rsidRPr="00753D80">
              <w:rPr>
                <w:sz w:val="18"/>
                <w:szCs w:val="18"/>
                <w:lang w:eastAsia="tr-TR"/>
              </w:rPr>
              <w:t>Yurtiçi Krediler</w:t>
            </w:r>
          </w:p>
        </w:tc>
        <w:tc>
          <w:tcPr>
            <w:tcW w:w="1772" w:type="dxa"/>
            <w:tcBorders>
              <w:top w:val="nil"/>
              <w:left w:val="nil"/>
              <w:bottom w:val="nil"/>
              <w:right w:val="nil"/>
            </w:tcBorders>
            <w:shd w:val="clear" w:color="auto" w:fill="auto"/>
            <w:vAlign w:val="center"/>
            <w:hideMark/>
          </w:tcPr>
          <w:p w14:paraId="77EDED10" w14:textId="77777777" w:rsidR="00753D80" w:rsidRPr="00753D80" w:rsidRDefault="00753D80" w:rsidP="00753D80">
            <w:pPr>
              <w:jc w:val="right"/>
              <w:rPr>
                <w:sz w:val="18"/>
                <w:szCs w:val="18"/>
                <w:lang w:eastAsia="tr-TR"/>
              </w:rPr>
            </w:pPr>
            <w:r w:rsidRPr="00753D80">
              <w:rPr>
                <w:sz w:val="18"/>
                <w:szCs w:val="18"/>
                <w:lang w:eastAsia="tr-TR"/>
              </w:rPr>
              <w:t>70,602,419</w:t>
            </w:r>
          </w:p>
        </w:tc>
        <w:tc>
          <w:tcPr>
            <w:tcW w:w="1772" w:type="dxa"/>
            <w:tcBorders>
              <w:top w:val="nil"/>
              <w:left w:val="nil"/>
              <w:bottom w:val="nil"/>
              <w:right w:val="nil"/>
            </w:tcBorders>
            <w:shd w:val="clear" w:color="auto" w:fill="auto"/>
            <w:vAlign w:val="center"/>
            <w:hideMark/>
          </w:tcPr>
          <w:p w14:paraId="7DAC6DB4" w14:textId="77777777" w:rsidR="00753D80" w:rsidRPr="00753D80" w:rsidRDefault="00753D80" w:rsidP="00753D80">
            <w:pPr>
              <w:jc w:val="right"/>
              <w:rPr>
                <w:sz w:val="18"/>
                <w:szCs w:val="18"/>
                <w:lang w:eastAsia="tr-TR"/>
              </w:rPr>
            </w:pPr>
            <w:r w:rsidRPr="00753D80">
              <w:rPr>
                <w:sz w:val="18"/>
                <w:szCs w:val="18"/>
                <w:lang w:eastAsia="tr-TR"/>
              </w:rPr>
              <w:t>47,120,720</w:t>
            </w:r>
          </w:p>
        </w:tc>
      </w:tr>
      <w:tr w:rsidR="00753D80" w:rsidRPr="00753D80" w14:paraId="6B126C98" w14:textId="77777777" w:rsidTr="006B1072">
        <w:trPr>
          <w:divId w:val="1498769752"/>
          <w:trHeight w:val="234"/>
        </w:trPr>
        <w:tc>
          <w:tcPr>
            <w:tcW w:w="5620" w:type="dxa"/>
            <w:tcBorders>
              <w:top w:val="nil"/>
              <w:left w:val="nil"/>
              <w:bottom w:val="nil"/>
              <w:right w:val="nil"/>
            </w:tcBorders>
            <w:shd w:val="clear" w:color="auto" w:fill="auto"/>
            <w:vAlign w:val="center"/>
            <w:hideMark/>
          </w:tcPr>
          <w:p w14:paraId="327CAE59" w14:textId="77777777" w:rsidR="00753D80" w:rsidRPr="00753D80" w:rsidRDefault="00753D80" w:rsidP="00753D80">
            <w:pPr>
              <w:jc w:val="both"/>
              <w:rPr>
                <w:sz w:val="18"/>
                <w:szCs w:val="18"/>
                <w:lang w:eastAsia="tr-TR"/>
              </w:rPr>
            </w:pPr>
            <w:r w:rsidRPr="00753D80">
              <w:rPr>
                <w:sz w:val="18"/>
                <w:szCs w:val="18"/>
                <w:lang w:eastAsia="tr-TR"/>
              </w:rPr>
              <w:t xml:space="preserve">Yurtdışı Krediler </w:t>
            </w:r>
          </w:p>
        </w:tc>
        <w:tc>
          <w:tcPr>
            <w:tcW w:w="1772" w:type="dxa"/>
            <w:tcBorders>
              <w:top w:val="nil"/>
              <w:left w:val="nil"/>
              <w:bottom w:val="nil"/>
              <w:right w:val="nil"/>
            </w:tcBorders>
            <w:shd w:val="clear" w:color="auto" w:fill="auto"/>
            <w:vAlign w:val="center"/>
            <w:hideMark/>
          </w:tcPr>
          <w:p w14:paraId="743957B5" w14:textId="77777777" w:rsidR="00753D80" w:rsidRPr="00753D80" w:rsidRDefault="00753D80" w:rsidP="00753D80">
            <w:pPr>
              <w:jc w:val="right"/>
              <w:rPr>
                <w:sz w:val="18"/>
                <w:szCs w:val="18"/>
                <w:lang w:eastAsia="tr-TR"/>
              </w:rPr>
            </w:pPr>
            <w:r w:rsidRPr="00753D80">
              <w:rPr>
                <w:sz w:val="18"/>
                <w:szCs w:val="18"/>
                <w:lang w:eastAsia="tr-TR"/>
              </w:rPr>
              <w:t>869,697</w:t>
            </w:r>
          </w:p>
        </w:tc>
        <w:tc>
          <w:tcPr>
            <w:tcW w:w="1772" w:type="dxa"/>
            <w:tcBorders>
              <w:top w:val="nil"/>
              <w:left w:val="nil"/>
              <w:bottom w:val="nil"/>
              <w:right w:val="nil"/>
            </w:tcBorders>
            <w:shd w:val="clear" w:color="auto" w:fill="auto"/>
            <w:vAlign w:val="center"/>
            <w:hideMark/>
          </w:tcPr>
          <w:p w14:paraId="56E6B09D" w14:textId="77777777" w:rsidR="00753D80" w:rsidRPr="00753D80" w:rsidRDefault="00753D80" w:rsidP="00753D80">
            <w:pPr>
              <w:jc w:val="right"/>
              <w:rPr>
                <w:sz w:val="18"/>
                <w:szCs w:val="18"/>
                <w:lang w:eastAsia="tr-TR"/>
              </w:rPr>
            </w:pPr>
            <w:r w:rsidRPr="00753D80">
              <w:rPr>
                <w:sz w:val="18"/>
                <w:szCs w:val="18"/>
                <w:lang w:eastAsia="tr-TR"/>
              </w:rPr>
              <w:t>6,054,055</w:t>
            </w:r>
          </w:p>
        </w:tc>
      </w:tr>
      <w:tr w:rsidR="00753D80" w:rsidRPr="00753D80" w14:paraId="0949BC1B" w14:textId="77777777" w:rsidTr="006B1072">
        <w:trPr>
          <w:divId w:val="1498769752"/>
          <w:trHeight w:val="234"/>
        </w:trPr>
        <w:tc>
          <w:tcPr>
            <w:tcW w:w="5620" w:type="dxa"/>
            <w:tcBorders>
              <w:top w:val="single" w:sz="8" w:space="0" w:color="auto"/>
              <w:left w:val="nil"/>
              <w:bottom w:val="double" w:sz="6" w:space="0" w:color="auto"/>
              <w:right w:val="nil"/>
            </w:tcBorders>
            <w:shd w:val="clear" w:color="auto" w:fill="auto"/>
            <w:vAlign w:val="center"/>
            <w:hideMark/>
          </w:tcPr>
          <w:p w14:paraId="3CDD0332" w14:textId="77777777" w:rsidR="00753D80" w:rsidRPr="00753D80" w:rsidRDefault="00753D80" w:rsidP="00753D80">
            <w:pPr>
              <w:jc w:val="both"/>
              <w:rPr>
                <w:b/>
                <w:bCs/>
                <w:sz w:val="18"/>
                <w:szCs w:val="18"/>
                <w:lang w:eastAsia="tr-TR"/>
              </w:rPr>
            </w:pPr>
            <w:r w:rsidRPr="00753D80">
              <w:rPr>
                <w:b/>
                <w:bCs/>
                <w:sz w:val="18"/>
                <w:szCs w:val="18"/>
                <w:lang w:eastAsia="tr-TR"/>
              </w:rPr>
              <w:t>Toplam</w:t>
            </w:r>
          </w:p>
        </w:tc>
        <w:tc>
          <w:tcPr>
            <w:tcW w:w="1772" w:type="dxa"/>
            <w:tcBorders>
              <w:top w:val="single" w:sz="8" w:space="0" w:color="auto"/>
              <w:left w:val="nil"/>
              <w:bottom w:val="double" w:sz="6" w:space="0" w:color="auto"/>
              <w:right w:val="nil"/>
            </w:tcBorders>
            <w:shd w:val="clear" w:color="auto" w:fill="auto"/>
            <w:vAlign w:val="center"/>
            <w:hideMark/>
          </w:tcPr>
          <w:p w14:paraId="05D0784C" w14:textId="77777777" w:rsidR="00753D80" w:rsidRPr="00753D80" w:rsidRDefault="00753D80" w:rsidP="00753D80">
            <w:pPr>
              <w:jc w:val="right"/>
              <w:rPr>
                <w:b/>
                <w:bCs/>
                <w:sz w:val="18"/>
                <w:szCs w:val="18"/>
                <w:lang w:eastAsia="tr-TR"/>
              </w:rPr>
            </w:pPr>
            <w:r w:rsidRPr="00753D80">
              <w:rPr>
                <w:b/>
                <w:bCs/>
                <w:sz w:val="18"/>
                <w:szCs w:val="18"/>
                <w:lang w:eastAsia="tr-TR"/>
              </w:rPr>
              <w:t>71,472,116</w:t>
            </w:r>
          </w:p>
        </w:tc>
        <w:tc>
          <w:tcPr>
            <w:tcW w:w="1772" w:type="dxa"/>
            <w:tcBorders>
              <w:top w:val="single" w:sz="8" w:space="0" w:color="auto"/>
              <w:left w:val="nil"/>
              <w:bottom w:val="double" w:sz="6" w:space="0" w:color="auto"/>
              <w:right w:val="nil"/>
            </w:tcBorders>
            <w:shd w:val="clear" w:color="auto" w:fill="auto"/>
            <w:vAlign w:val="center"/>
            <w:hideMark/>
          </w:tcPr>
          <w:p w14:paraId="29A3BB00" w14:textId="77777777" w:rsidR="00753D80" w:rsidRPr="00753D80" w:rsidRDefault="00753D80" w:rsidP="00753D80">
            <w:pPr>
              <w:jc w:val="right"/>
              <w:rPr>
                <w:b/>
                <w:bCs/>
                <w:sz w:val="18"/>
                <w:szCs w:val="18"/>
                <w:lang w:eastAsia="tr-TR"/>
              </w:rPr>
            </w:pPr>
            <w:r w:rsidRPr="00753D80">
              <w:rPr>
                <w:b/>
                <w:bCs/>
                <w:sz w:val="18"/>
                <w:szCs w:val="18"/>
                <w:lang w:eastAsia="tr-TR"/>
              </w:rPr>
              <w:t>53,174,775</w:t>
            </w:r>
          </w:p>
        </w:tc>
      </w:tr>
    </w:tbl>
    <w:p w14:paraId="3834B0DE" w14:textId="42A50647" w:rsidR="005A1EDE" w:rsidRPr="00753D80" w:rsidRDefault="005A1EDE" w:rsidP="00134A72">
      <w:pPr>
        <w:autoSpaceDE w:val="0"/>
        <w:autoSpaceDN w:val="0"/>
        <w:adjustRightInd w:val="0"/>
        <w:rPr>
          <w:rFonts w:eastAsia="Arial Unicode MS"/>
          <w:sz w:val="16"/>
          <w:szCs w:val="16"/>
        </w:rPr>
      </w:pPr>
    </w:p>
    <w:p w14:paraId="2D8F0BBC" w14:textId="1ED09306" w:rsidR="00D22163" w:rsidRPr="00753D80" w:rsidRDefault="004478F0" w:rsidP="00D22163">
      <w:pPr>
        <w:ind w:hanging="567"/>
      </w:pPr>
      <w:r w:rsidRPr="00753D80">
        <w:rPr>
          <w:b/>
        </w:rPr>
        <w:t>1.5.</w:t>
      </w:r>
      <w:r w:rsidR="0048609D" w:rsidRPr="00753D80">
        <w:rPr>
          <w:b/>
        </w:rPr>
        <w:t>8</w:t>
      </w:r>
      <w:r w:rsidRPr="00753D80">
        <w:tab/>
      </w:r>
      <w:r w:rsidR="00E253C8" w:rsidRPr="00753D80">
        <w:t xml:space="preserve">Bağlı ortaklık ve iştiraklere verilen </w:t>
      </w:r>
      <w:r w:rsidR="00032F11" w:rsidRPr="00753D80">
        <w:t>krediler:</w:t>
      </w:r>
    </w:p>
    <w:p w14:paraId="3EE52EE8" w14:textId="02C01ACB" w:rsidR="00753D80" w:rsidRPr="00753D80" w:rsidRDefault="00753D80" w:rsidP="00014525">
      <w:pPr>
        <w:pStyle w:val="BodyTextIndent"/>
        <w:jc w:val="left"/>
        <w:rPr>
          <w:lang w:val="en-GB" w:eastAsia="en-GB"/>
        </w:rPr>
      </w:pPr>
    </w:p>
    <w:tbl>
      <w:tblPr>
        <w:tblW w:w="9143" w:type="dxa"/>
        <w:tblCellMar>
          <w:left w:w="70" w:type="dxa"/>
          <w:right w:w="70" w:type="dxa"/>
        </w:tblCellMar>
        <w:tblLook w:val="04A0" w:firstRow="1" w:lastRow="0" w:firstColumn="1" w:lastColumn="0" w:noHBand="0" w:noVBand="1"/>
      </w:tblPr>
      <w:tblGrid>
        <w:gridCol w:w="5607"/>
        <w:gridCol w:w="1768"/>
        <w:gridCol w:w="1768"/>
      </w:tblGrid>
      <w:tr w:rsidR="00753D80" w:rsidRPr="00753D80" w14:paraId="42022649" w14:textId="77777777" w:rsidTr="006B1072">
        <w:trPr>
          <w:divId w:val="1955096262"/>
          <w:trHeight w:val="248"/>
        </w:trPr>
        <w:tc>
          <w:tcPr>
            <w:tcW w:w="5607" w:type="dxa"/>
            <w:tcBorders>
              <w:top w:val="double" w:sz="6" w:space="0" w:color="auto"/>
              <w:left w:val="nil"/>
              <w:bottom w:val="single" w:sz="8" w:space="0" w:color="auto"/>
              <w:right w:val="nil"/>
            </w:tcBorders>
            <w:shd w:val="clear" w:color="auto" w:fill="auto"/>
            <w:vAlign w:val="center"/>
            <w:hideMark/>
          </w:tcPr>
          <w:p w14:paraId="58D18C80" w14:textId="09092536" w:rsidR="00753D80" w:rsidRPr="00753D80" w:rsidRDefault="00753D80" w:rsidP="00753D80">
            <w:pPr>
              <w:jc w:val="both"/>
              <w:rPr>
                <w:sz w:val="18"/>
                <w:szCs w:val="18"/>
                <w:lang w:eastAsia="tr-TR"/>
              </w:rPr>
            </w:pPr>
            <w:r w:rsidRPr="00753D80">
              <w:rPr>
                <w:sz w:val="18"/>
                <w:szCs w:val="18"/>
                <w:lang w:eastAsia="tr-TR"/>
              </w:rPr>
              <w:t> </w:t>
            </w:r>
          </w:p>
        </w:tc>
        <w:tc>
          <w:tcPr>
            <w:tcW w:w="1768" w:type="dxa"/>
            <w:tcBorders>
              <w:top w:val="double" w:sz="6" w:space="0" w:color="auto"/>
              <w:left w:val="nil"/>
              <w:bottom w:val="single" w:sz="8" w:space="0" w:color="auto"/>
              <w:right w:val="nil"/>
            </w:tcBorders>
            <w:shd w:val="clear" w:color="auto" w:fill="auto"/>
            <w:vAlign w:val="center"/>
            <w:hideMark/>
          </w:tcPr>
          <w:p w14:paraId="7A07FCFD" w14:textId="77777777" w:rsidR="00753D80" w:rsidRPr="00753D80" w:rsidRDefault="00753D80" w:rsidP="00753D80">
            <w:pPr>
              <w:jc w:val="right"/>
              <w:rPr>
                <w:b/>
                <w:bCs/>
                <w:sz w:val="18"/>
                <w:szCs w:val="18"/>
                <w:lang w:eastAsia="tr-TR"/>
              </w:rPr>
            </w:pPr>
            <w:r w:rsidRPr="00753D80">
              <w:rPr>
                <w:b/>
                <w:bCs/>
                <w:sz w:val="18"/>
                <w:szCs w:val="18"/>
                <w:lang w:eastAsia="tr-TR"/>
              </w:rPr>
              <w:t>Cari Dönem</w:t>
            </w:r>
          </w:p>
        </w:tc>
        <w:tc>
          <w:tcPr>
            <w:tcW w:w="1768" w:type="dxa"/>
            <w:tcBorders>
              <w:top w:val="double" w:sz="6" w:space="0" w:color="auto"/>
              <w:left w:val="nil"/>
              <w:bottom w:val="single" w:sz="8" w:space="0" w:color="auto"/>
              <w:right w:val="nil"/>
            </w:tcBorders>
            <w:shd w:val="clear" w:color="auto" w:fill="auto"/>
            <w:vAlign w:val="center"/>
            <w:hideMark/>
          </w:tcPr>
          <w:p w14:paraId="1F8164BB" w14:textId="77777777" w:rsidR="00753D80" w:rsidRPr="00753D80" w:rsidRDefault="00753D80" w:rsidP="00753D80">
            <w:pPr>
              <w:jc w:val="right"/>
              <w:rPr>
                <w:b/>
                <w:bCs/>
                <w:sz w:val="18"/>
                <w:szCs w:val="18"/>
                <w:lang w:eastAsia="tr-TR"/>
              </w:rPr>
            </w:pPr>
            <w:r w:rsidRPr="00753D80">
              <w:rPr>
                <w:b/>
                <w:bCs/>
                <w:sz w:val="18"/>
                <w:szCs w:val="18"/>
                <w:lang w:eastAsia="tr-TR"/>
              </w:rPr>
              <w:t>Önceki Dönem</w:t>
            </w:r>
          </w:p>
        </w:tc>
      </w:tr>
      <w:tr w:rsidR="00753D80" w:rsidRPr="00753D80" w14:paraId="299DCEEE" w14:textId="77777777" w:rsidTr="006B1072">
        <w:trPr>
          <w:divId w:val="1955096262"/>
          <w:trHeight w:val="220"/>
        </w:trPr>
        <w:tc>
          <w:tcPr>
            <w:tcW w:w="5607" w:type="dxa"/>
            <w:tcBorders>
              <w:top w:val="nil"/>
              <w:left w:val="nil"/>
              <w:bottom w:val="nil"/>
              <w:right w:val="nil"/>
            </w:tcBorders>
            <w:shd w:val="clear" w:color="auto" w:fill="auto"/>
            <w:vAlign w:val="center"/>
            <w:hideMark/>
          </w:tcPr>
          <w:p w14:paraId="67839BE1" w14:textId="77777777" w:rsidR="00753D80" w:rsidRPr="00753D80" w:rsidRDefault="00753D80" w:rsidP="00753D80">
            <w:pPr>
              <w:jc w:val="both"/>
              <w:rPr>
                <w:sz w:val="18"/>
                <w:szCs w:val="18"/>
                <w:lang w:eastAsia="tr-TR"/>
              </w:rPr>
            </w:pPr>
            <w:r w:rsidRPr="00753D80">
              <w:rPr>
                <w:sz w:val="18"/>
                <w:szCs w:val="18"/>
                <w:lang w:eastAsia="tr-TR"/>
              </w:rPr>
              <w:t>Bağlı Ortaklık ve İştiraklere Verilen Doğrudan Krediler</w:t>
            </w:r>
          </w:p>
        </w:tc>
        <w:tc>
          <w:tcPr>
            <w:tcW w:w="1768" w:type="dxa"/>
            <w:tcBorders>
              <w:top w:val="nil"/>
              <w:left w:val="nil"/>
              <w:bottom w:val="nil"/>
              <w:right w:val="nil"/>
            </w:tcBorders>
            <w:shd w:val="clear" w:color="auto" w:fill="auto"/>
            <w:vAlign w:val="center"/>
            <w:hideMark/>
          </w:tcPr>
          <w:p w14:paraId="3EFFED04" w14:textId="77777777" w:rsidR="00753D80" w:rsidRPr="00753D80" w:rsidRDefault="00753D80" w:rsidP="00753D80">
            <w:pPr>
              <w:jc w:val="right"/>
              <w:rPr>
                <w:sz w:val="18"/>
                <w:szCs w:val="18"/>
                <w:lang w:eastAsia="tr-TR"/>
              </w:rPr>
            </w:pPr>
            <w:r w:rsidRPr="00753D80">
              <w:rPr>
                <w:sz w:val="18"/>
                <w:szCs w:val="18"/>
                <w:lang w:eastAsia="tr-TR"/>
              </w:rPr>
              <w:t>194,529</w:t>
            </w:r>
          </w:p>
        </w:tc>
        <w:tc>
          <w:tcPr>
            <w:tcW w:w="1768" w:type="dxa"/>
            <w:tcBorders>
              <w:top w:val="nil"/>
              <w:left w:val="nil"/>
              <w:bottom w:val="nil"/>
              <w:right w:val="nil"/>
            </w:tcBorders>
            <w:shd w:val="clear" w:color="auto" w:fill="auto"/>
            <w:vAlign w:val="center"/>
            <w:hideMark/>
          </w:tcPr>
          <w:p w14:paraId="7B3489F7" w14:textId="77777777" w:rsidR="00753D80" w:rsidRPr="00753D80" w:rsidRDefault="00753D80" w:rsidP="00753D80">
            <w:pPr>
              <w:jc w:val="right"/>
              <w:rPr>
                <w:sz w:val="18"/>
                <w:szCs w:val="18"/>
                <w:lang w:eastAsia="tr-TR"/>
              </w:rPr>
            </w:pPr>
            <w:r w:rsidRPr="00753D80">
              <w:rPr>
                <w:sz w:val="18"/>
                <w:szCs w:val="18"/>
                <w:lang w:eastAsia="tr-TR"/>
              </w:rPr>
              <w:t>178,601</w:t>
            </w:r>
          </w:p>
        </w:tc>
      </w:tr>
      <w:tr w:rsidR="00753D80" w:rsidRPr="00753D80" w14:paraId="28ED208B" w14:textId="77777777" w:rsidTr="006B1072">
        <w:trPr>
          <w:divId w:val="1955096262"/>
          <w:trHeight w:val="234"/>
        </w:trPr>
        <w:tc>
          <w:tcPr>
            <w:tcW w:w="5607" w:type="dxa"/>
            <w:tcBorders>
              <w:top w:val="nil"/>
              <w:left w:val="nil"/>
              <w:bottom w:val="nil"/>
              <w:right w:val="nil"/>
            </w:tcBorders>
            <w:shd w:val="clear" w:color="auto" w:fill="auto"/>
            <w:vAlign w:val="center"/>
            <w:hideMark/>
          </w:tcPr>
          <w:p w14:paraId="2618403A" w14:textId="77777777" w:rsidR="00753D80" w:rsidRPr="00753D80" w:rsidRDefault="00753D80" w:rsidP="00753D80">
            <w:pPr>
              <w:jc w:val="both"/>
              <w:rPr>
                <w:sz w:val="18"/>
                <w:szCs w:val="18"/>
                <w:lang w:eastAsia="tr-TR"/>
              </w:rPr>
            </w:pPr>
            <w:r w:rsidRPr="00753D80">
              <w:rPr>
                <w:sz w:val="18"/>
                <w:szCs w:val="18"/>
                <w:lang w:eastAsia="tr-TR"/>
              </w:rPr>
              <w:t>Bağlı Ortaklık ve İştiraklere Verilen Dolaylı Krediler</w:t>
            </w:r>
          </w:p>
        </w:tc>
        <w:tc>
          <w:tcPr>
            <w:tcW w:w="1768" w:type="dxa"/>
            <w:tcBorders>
              <w:top w:val="nil"/>
              <w:left w:val="nil"/>
              <w:bottom w:val="nil"/>
              <w:right w:val="nil"/>
            </w:tcBorders>
            <w:shd w:val="clear" w:color="auto" w:fill="auto"/>
            <w:vAlign w:val="center"/>
            <w:hideMark/>
          </w:tcPr>
          <w:p w14:paraId="0B64BAA7" w14:textId="77777777" w:rsidR="00753D80" w:rsidRPr="00753D80" w:rsidRDefault="00753D80" w:rsidP="00753D80">
            <w:pPr>
              <w:jc w:val="right"/>
              <w:rPr>
                <w:sz w:val="18"/>
                <w:szCs w:val="18"/>
                <w:lang w:eastAsia="tr-TR"/>
              </w:rPr>
            </w:pPr>
            <w:r w:rsidRPr="00753D80">
              <w:rPr>
                <w:sz w:val="18"/>
                <w:szCs w:val="18"/>
                <w:lang w:eastAsia="tr-TR"/>
              </w:rPr>
              <w:t>-</w:t>
            </w:r>
          </w:p>
        </w:tc>
        <w:tc>
          <w:tcPr>
            <w:tcW w:w="1768" w:type="dxa"/>
            <w:tcBorders>
              <w:top w:val="nil"/>
              <w:left w:val="nil"/>
              <w:bottom w:val="nil"/>
              <w:right w:val="nil"/>
            </w:tcBorders>
            <w:shd w:val="clear" w:color="auto" w:fill="auto"/>
            <w:vAlign w:val="center"/>
            <w:hideMark/>
          </w:tcPr>
          <w:p w14:paraId="32595A62" w14:textId="77777777" w:rsidR="00753D80" w:rsidRPr="00753D80" w:rsidRDefault="00753D80" w:rsidP="00753D80">
            <w:pPr>
              <w:jc w:val="right"/>
              <w:rPr>
                <w:sz w:val="18"/>
                <w:szCs w:val="18"/>
                <w:lang w:eastAsia="tr-TR"/>
              </w:rPr>
            </w:pPr>
            <w:r w:rsidRPr="00753D80">
              <w:rPr>
                <w:sz w:val="18"/>
                <w:szCs w:val="18"/>
                <w:lang w:eastAsia="tr-TR"/>
              </w:rPr>
              <w:t>-</w:t>
            </w:r>
          </w:p>
        </w:tc>
      </w:tr>
      <w:tr w:rsidR="00753D80" w:rsidRPr="00753D80" w14:paraId="6FFE477B" w14:textId="77777777" w:rsidTr="006B1072">
        <w:trPr>
          <w:divId w:val="1955096262"/>
          <w:trHeight w:val="234"/>
        </w:trPr>
        <w:tc>
          <w:tcPr>
            <w:tcW w:w="5607" w:type="dxa"/>
            <w:tcBorders>
              <w:top w:val="single" w:sz="8" w:space="0" w:color="auto"/>
              <w:left w:val="nil"/>
              <w:bottom w:val="double" w:sz="6" w:space="0" w:color="auto"/>
              <w:right w:val="nil"/>
            </w:tcBorders>
            <w:shd w:val="clear" w:color="auto" w:fill="auto"/>
            <w:vAlign w:val="center"/>
            <w:hideMark/>
          </w:tcPr>
          <w:p w14:paraId="2C063E27" w14:textId="77777777" w:rsidR="00753D80" w:rsidRPr="00753D80" w:rsidRDefault="00753D80" w:rsidP="00753D80">
            <w:pPr>
              <w:jc w:val="both"/>
              <w:rPr>
                <w:b/>
                <w:bCs/>
                <w:sz w:val="18"/>
                <w:szCs w:val="18"/>
                <w:lang w:eastAsia="tr-TR"/>
              </w:rPr>
            </w:pPr>
            <w:r w:rsidRPr="00753D80">
              <w:rPr>
                <w:b/>
                <w:bCs/>
                <w:sz w:val="18"/>
                <w:szCs w:val="18"/>
                <w:lang w:eastAsia="tr-TR"/>
              </w:rPr>
              <w:t>Toplam</w:t>
            </w:r>
          </w:p>
        </w:tc>
        <w:tc>
          <w:tcPr>
            <w:tcW w:w="1768" w:type="dxa"/>
            <w:tcBorders>
              <w:top w:val="single" w:sz="8" w:space="0" w:color="auto"/>
              <w:left w:val="nil"/>
              <w:bottom w:val="double" w:sz="6" w:space="0" w:color="auto"/>
              <w:right w:val="nil"/>
            </w:tcBorders>
            <w:shd w:val="clear" w:color="auto" w:fill="auto"/>
            <w:vAlign w:val="center"/>
            <w:hideMark/>
          </w:tcPr>
          <w:p w14:paraId="068B26DA" w14:textId="77777777" w:rsidR="00753D80" w:rsidRPr="00753D80" w:rsidRDefault="00753D80" w:rsidP="00753D80">
            <w:pPr>
              <w:jc w:val="right"/>
              <w:rPr>
                <w:b/>
                <w:bCs/>
                <w:sz w:val="18"/>
                <w:szCs w:val="18"/>
                <w:lang w:eastAsia="tr-TR"/>
              </w:rPr>
            </w:pPr>
            <w:r w:rsidRPr="00753D80">
              <w:rPr>
                <w:b/>
                <w:bCs/>
                <w:sz w:val="18"/>
                <w:szCs w:val="18"/>
                <w:lang w:eastAsia="tr-TR"/>
              </w:rPr>
              <w:t>194,529</w:t>
            </w:r>
          </w:p>
        </w:tc>
        <w:tc>
          <w:tcPr>
            <w:tcW w:w="1768" w:type="dxa"/>
            <w:tcBorders>
              <w:top w:val="single" w:sz="8" w:space="0" w:color="auto"/>
              <w:left w:val="nil"/>
              <w:bottom w:val="double" w:sz="6" w:space="0" w:color="auto"/>
              <w:right w:val="nil"/>
            </w:tcBorders>
            <w:shd w:val="clear" w:color="auto" w:fill="auto"/>
            <w:vAlign w:val="center"/>
            <w:hideMark/>
          </w:tcPr>
          <w:p w14:paraId="235E3404" w14:textId="77777777" w:rsidR="00753D80" w:rsidRPr="00753D80" w:rsidRDefault="00753D80" w:rsidP="00753D80">
            <w:pPr>
              <w:jc w:val="right"/>
              <w:rPr>
                <w:b/>
                <w:bCs/>
                <w:sz w:val="18"/>
                <w:szCs w:val="18"/>
                <w:lang w:eastAsia="tr-TR"/>
              </w:rPr>
            </w:pPr>
            <w:r w:rsidRPr="00753D80">
              <w:rPr>
                <w:b/>
                <w:bCs/>
                <w:sz w:val="18"/>
                <w:szCs w:val="18"/>
                <w:lang w:eastAsia="tr-TR"/>
              </w:rPr>
              <w:t>178,601</w:t>
            </w:r>
          </w:p>
        </w:tc>
      </w:tr>
    </w:tbl>
    <w:p w14:paraId="1454C634" w14:textId="77777777" w:rsidR="00A3058E" w:rsidRPr="00753D80" w:rsidRDefault="00A3058E" w:rsidP="00A3058E">
      <w:pPr>
        <w:pStyle w:val="BodyTextIndent"/>
        <w:jc w:val="left"/>
        <w:rPr>
          <w:rFonts w:eastAsia="Arial Unicode MS"/>
          <w:sz w:val="16"/>
          <w:szCs w:val="16"/>
        </w:rPr>
      </w:pPr>
    </w:p>
    <w:p w14:paraId="13446DF1" w14:textId="52152AE9" w:rsidR="00B917D9" w:rsidRPr="00753D80" w:rsidRDefault="00E07A34" w:rsidP="00E07A34">
      <w:pPr>
        <w:tabs>
          <w:tab w:val="num" w:pos="3060"/>
        </w:tabs>
        <w:autoSpaceDE w:val="0"/>
        <w:autoSpaceDN w:val="0"/>
        <w:adjustRightInd w:val="0"/>
        <w:ind w:hanging="567"/>
      </w:pPr>
      <w:r w:rsidRPr="00753D80">
        <w:rPr>
          <w:b/>
        </w:rPr>
        <w:t>1</w:t>
      </w:r>
      <w:r w:rsidR="00E253C8" w:rsidRPr="00753D80">
        <w:rPr>
          <w:b/>
        </w:rPr>
        <w:t>.</w:t>
      </w:r>
      <w:r w:rsidRPr="00753D80">
        <w:rPr>
          <w:b/>
        </w:rPr>
        <w:t>5.</w:t>
      </w:r>
      <w:r w:rsidR="0048609D" w:rsidRPr="00753D80">
        <w:rPr>
          <w:b/>
        </w:rPr>
        <w:t>9</w:t>
      </w:r>
      <w:r w:rsidR="00E253C8" w:rsidRPr="00753D80">
        <w:tab/>
        <w:t xml:space="preserve">Kredilere ilişkin olarak ayrılan özel </w:t>
      </w:r>
      <w:r w:rsidR="00032F11" w:rsidRPr="00753D80">
        <w:t>karşılıklar</w:t>
      </w:r>
      <w:r w:rsidR="00B917D9" w:rsidRPr="00753D80">
        <w:t xml:space="preserve"> veya temerrüt (Üçüncü Aşama) karşılıkları</w:t>
      </w:r>
    </w:p>
    <w:p w14:paraId="5C90A7BE" w14:textId="5AF2940A" w:rsidR="00753D80" w:rsidRPr="00311DAB" w:rsidRDefault="00753D80" w:rsidP="00134A72">
      <w:pPr>
        <w:pStyle w:val="BodyTextIndent"/>
        <w:jc w:val="left"/>
        <w:rPr>
          <w:lang w:eastAsia="en-GB"/>
        </w:rPr>
      </w:pPr>
    </w:p>
    <w:tbl>
      <w:tblPr>
        <w:tblW w:w="9149" w:type="dxa"/>
        <w:tblCellMar>
          <w:left w:w="70" w:type="dxa"/>
          <w:right w:w="70" w:type="dxa"/>
        </w:tblCellMar>
        <w:tblLook w:val="04A0" w:firstRow="1" w:lastRow="0" w:firstColumn="1" w:lastColumn="0" w:noHBand="0" w:noVBand="1"/>
      </w:tblPr>
      <w:tblGrid>
        <w:gridCol w:w="5611"/>
        <w:gridCol w:w="1769"/>
        <w:gridCol w:w="1769"/>
      </w:tblGrid>
      <w:tr w:rsidR="00753D80" w:rsidRPr="00753D80" w14:paraId="27889CC8" w14:textId="77777777" w:rsidTr="006B1072">
        <w:trPr>
          <w:divId w:val="895240085"/>
          <w:trHeight w:val="257"/>
        </w:trPr>
        <w:tc>
          <w:tcPr>
            <w:tcW w:w="5611" w:type="dxa"/>
            <w:tcBorders>
              <w:top w:val="double" w:sz="6" w:space="0" w:color="auto"/>
              <w:left w:val="nil"/>
              <w:bottom w:val="single" w:sz="8" w:space="0" w:color="auto"/>
              <w:right w:val="nil"/>
            </w:tcBorders>
            <w:shd w:val="clear" w:color="auto" w:fill="auto"/>
            <w:vAlign w:val="center"/>
            <w:hideMark/>
          </w:tcPr>
          <w:p w14:paraId="4CCA426F" w14:textId="7E855812" w:rsidR="00753D80" w:rsidRPr="00753D80" w:rsidRDefault="00753D80" w:rsidP="00753D80">
            <w:pPr>
              <w:jc w:val="both"/>
              <w:rPr>
                <w:b/>
                <w:bCs/>
                <w:sz w:val="18"/>
                <w:szCs w:val="18"/>
                <w:lang w:eastAsia="tr-TR"/>
              </w:rPr>
            </w:pPr>
            <w:r w:rsidRPr="00753D80">
              <w:rPr>
                <w:b/>
                <w:bCs/>
                <w:sz w:val="18"/>
                <w:szCs w:val="18"/>
                <w:lang w:eastAsia="tr-TR"/>
              </w:rPr>
              <w:t> </w:t>
            </w:r>
          </w:p>
        </w:tc>
        <w:tc>
          <w:tcPr>
            <w:tcW w:w="1769" w:type="dxa"/>
            <w:tcBorders>
              <w:top w:val="double" w:sz="6" w:space="0" w:color="auto"/>
              <w:left w:val="nil"/>
              <w:bottom w:val="single" w:sz="8" w:space="0" w:color="auto"/>
              <w:right w:val="nil"/>
            </w:tcBorders>
            <w:shd w:val="clear" w:color="auto" w:fill="auto"/>
            <w:vAlign w:val="center"/>
            <w:hideMark/>
          </w:tcPr>
          <w:p w14:paraId="066385FA" w14:textId="77777777" w:rsidR="00753D80" w:rsidRPr="00753D80" w:rsidRDefault="00753D80" w:rsidP="00753D80">
            <w:pPr>
              <w:jc w:val="right"/>
              <w:rPr>
                <w:b/>
                <w:bCs/>
                <w:sz w:val="18"/>
                <w:szCs w:val="18"/>
                <w:lang w:eastAsia="tr-TR"/>
              </w:rPr>
            </w:pPr>
            <w:r w:rsidRPr="00753D80">
              <w:rPr>
                <w:b/>
                <w:bCs/>
                <w:sz w:val="18"/>
                <w:szCs w:val="18"/>
                <w:lang w:eastAsia="tr-TR"/>
              </w:rPr>
              <w:t>Cari Dönem</w:t>
            </w:r>
          </w:p>
        </w:tc>
        <w:tc>
          <w:tcPr>
            <w:tcW w:w="1769" w:type="dxa"/>
            <w:tcBorders>
              <w:top w:val="double" w:sz="6" w:space="0" w:color="auto"/>
              <w:left w:val="nil"/>
              <w:bottom w:val="single" w:sz="8" w:space="0" w:color="auto"/>
              <w:right w:val="nil"/>
            </w:tcBorders>
            <w:shd w:val="clear" w:color="auto" w:fill="auto"/>
            <w:vAlign w:val="center"/>
            <w:hideMark/>
          </w:tcPr>
          <w:p w14:paraId="33177FA5" w14:textId="77777777" w:rsidR="00753D80" w:rsidRPr="00753D80" w:rsidRDefault="00753D80" w:rsidP="00753D80">
            <w:pPr>
              <w:jc w:val="right"/>
              <w:rPr>
                <w:b/>
                <w:bCs/>
                <w:sz w:val="18"/>
                <w:szCs w:val="18"/>
                <w:lang w:eastAsia="tr-TR"/>
              </w:rPr>
            </w:pPr>
            <w:r w:rsidRPr="00753D80">
              <w:rPr>
                <w:b/>
                <w:bCs/>
                <w:sz w:val="18"/>
                <w:szCs w:val="18"/>
                <w:lang w:eastAsia="tr-TR"/>
              </w:rPr>
              <w:t>Önceki Dönem</w:t>
            </w:r>
          </w:p>
        </w:tc>
      </w:tr>
      <w:tr w:rsidR="00753D80" w:rsidRPr="00753D80" w14:paraId="697812EF" w14:textId="77777777" w:rsidTr="006B1072">
        <w:trPr>
          <w:divId w:val="895240085"/>
          <w:trHeight w:val="228"/>
        </w:trPr>
        <w:tc>
          <w:tcPr>
            <w:tcW w:w="5611" w:type="dxa"/>
            <w:tcBorders>
              <w:top w:val="nil"/>
              <w:left w:val="nil"/>
              <w:bottom w:val="nil"/>
              <w:right w:val="nil"/>
            </w:tcBorders>
            <w:shd w:val="clear" w:color="auto" w:fill="auto"/>
            <w:vAlign w:val="center"/>
            <w:hideMark/>
          </w:tcPr>
          <w:p w14:paraId="3EF37534" w14:textId="77777777" w:rsidR="00753D80" w:rsidRPr="00753D80" w:rsidRDefault="00753D80" w:rsidP="00753D80">
            <w:pPr>
              <w:jc w:val="both"/>
              <w:rPr>
                <w:sz w:val="18"/>
                <w:szCs w:val="18"/>
                <w:lang w:eastAsia="tr-TR"/>
              </w:rPr>
            </w:pPr>
            <w:r w:rsidRPr="00753D80">
              <w:rPr>
                <w:sz w:val="18"/>
                <w:szCs w:val="18"/>
                <w:lang w:eastAsia="tr-TR"/>
              </w:rPr>
              <w:t xml:space="preserve">Tahsil </w:t>
            </w:r>
            <w:proofErr w:type="gramStart"/>
            <w:r w:rsidRPr="00753D80">
              <w:rPr>
                <w:sz w:val="18"/>
                <w:szCs w:val="18"/>
                <w:lang w:eastAsia="tr-TR"/>
              </w:rPr>
              <w:t>İmkanı</w:t>
            </w:r>
            <w:proofErr w:type="gramEnd"/>
            <w:r w:rsidRPr="00753D80">
              <w:rPr>
                <w:sz w:val="18"/>
                <w:szCs w:val="18"/>
                <w:lang w:eastAsia="tr-TR"/>
              </w:rPr>
              <w:t xml:space="preserve"> Sınırlı Krediler İçin Ayrılanlar</w:t>
            </w:r>
          </w:p>
        </w:tc>
        <w:tc>
          <w:tcPr>
            <w:tcW w:w="1769" w:type="dxa"/>
            <w:tcBorders>
              <w:top w:val="nil"/>
              <w:left w:val="nil"/>
              <w:bottom w:val="nil"/>
              <w:right w:val="nil"/>
            </w:tcBorders>
            <w:shd w:val="clear" w:color="auto" w:fill="auto"/>
            <w:vAlign w:val="center"/>
            <w:hideMark/>
          </w:tcPr>
          <w:p w14:paraId="1CE42FD9" w14:textId="77777777" w:rsidR="00753D80" w:rsidRPr="00753D80" w:rsidRDefault="00753D80" w:rsidP="00753D80">
            <w:pPr>
              <w:jc w:val="right"/>
              <w:rPr>
                <w:sz w:val="18"/>
                <w:szCs w:val="18"/>
                <w:lang w:eastAsia="tr-TR"/>
              </w:rPr>
            </w:pPr>
            <w:r w:rsidRPr="00753D80">
              <w:rPr>
                <w:sz w:val="18"/>
                <w:szCs w:val="18"/>
                <w:lang w:eastAsia="tr-TR"/>
              </w:rPr>
              <w:t>5,663</w:t>
            </w:r>
          </w:p>
        </w:tc>
        <w:tc>
          <w:tcPr>
            <w:tcW w:w="1769" w:type="dxa"/>
            <w:tcBorders>
              <w:top w:val="nil"/>
              <w:left w:val="nil"/>
              <w:bottom w:val="nil"/>
              <w:right w:val="nil"/>
            </w:tcBorders>
            <w:shd w:val="clear" w:color="auto" w:fill="auto"/>
            <w:vAlign w:val="center"/>
            <w:hideMark/>
          </w:tcPr>
          <w:p w14:paraId="790C5725" w14:textId="77777777" w:rsidR="00753D80" w:rsidRPr="00753D80" w:rsidRDefault="00753D80" w:rsidP="00753D80">
            <w:pPr>
              <w:jc w:val="right"/>
              <w:rPr>
                <w:sz w:val="18"/>
                <w:szCs w:val="18"/>
                <w:lang w:eastAsia="tr-TR"/>
              </w:rPr>
            </w:pPr>
            <w:r w:rsidRPr="00753D80">
              <w:rPr>
                <w:sz w:val="18"/>
                <w:szCs w:val="18"/>
                <w:lang w:eastAsia="tr-TR"/>
              </w:rPr>
              <w:t>209,492</w:t>
            </w:r>
          </w:p>
        </w:tc>
      </w:tr>
      <w:tr w:rsidR="00753D80" w:rsidRPr="00753D80" w14:paraId="62DAFC5B" w14:textId="77777777" w:rsidTr="006B1072">
        <w:trPr>
          <w:divId w:val="895240085"/>
          <w:trHeight w:val="228"/>
        </w:trPr>
        <w:tc>
          <w:tcPr>
            <w:tcW w:w="5611" w:type="dxa"/>
            <w:tcBorders>
              <w:top w:val="nil"/>
              <w:left w:val="nil"/>
              <w:bottom w:val="nil"/>
              <w:right w:val="nil"/>
            </w:tcBorders>
            <w:shd w:val="clear" w:color="auto" w:fill="auto"/>
            <w:vAlign w:val="center"/>
            <w:hideMark/>
          </w:tcPr>
          <w:p w14:paraId="3E7B5BA0" w14:textId="77777777" w:rsidR="00753D80" w:rsidRPr="00753D80" w:rsidRDefault="00753D80" w:rsidP="00753D80">
            <w:pPr>
              <w:jc w:val="both"/>
              <w:rPr>
                <w:sz w:val="18"/>
                <w:szCs w:val="18"/>
                <w:lang w:eastAsia="tr-TR"/>
              </w:rPr>
            </w:pPr>
            <w:r w:rsidRPr="00753D80">
              <w:rPr>
                <w:sz w:val="18"/>
                <w:szCs w:val="18"/>
                <w:lang w:eastAsia="tr-TR"/>
              </w:rPr>
              <w:t>Tahsili Şüpheli Krediler İçin Ayrılanlar</w:t>
            </w:r>
          </w:p>
        </w:tc>
        <w:tc>
          <w:tcPr>
            <w:tcW w:w="1769" w:type="dxa"/>
            <w:tcBorders>
              <w:top w:val="nil"/>
              <w:left w:val="nil"/>
              <w:bottom w:val="nil"/>
              <w:right w:val="nil"/>
            </w:tcBorders>
            <w:shd w:val="clear" w:color="auto" w:fill="auto"/>
            <w:vAlign w:val="center"/>
            <w:hideMark/>
          </w:tcPr>
          <w:p w14:paraId="1D76EC2F" w14:textId="77777777" w:rsidR="00753D80" w:rsidRPr="00753D80" w:rsidRDefault="00753D80" w:rsidP="00753D80">
            <w:pPr>
              <w:jc w:val="right"/>
              <w:rPr>
                <w:sz w:val="18"/>
                <w:szCs w:val="18"/>
                <w:lang w:eastAsia="tr-TR"/>
              </w:rPr>
            </w:pPr>
            <w:r w:rsidRPr="00753D80">
              <w:rPr>
                <w:sz w:val="18"/>
                <w:szCs w:val="18"/>
                <w:lang w:eastAsia="tr-TR"/>
              </w:rPr>
              <w:t>506,115</w:t>
            </w:r>
          </w:p>
        </w:tc>
        <w:tc>
          <w:tcPr>
            <w:tcW w:w="1769" w:type="dxa"/>
            <w:tcBorders>
              <w:top w:val="nil"/>
              <w:left w:val="nil"/>
              <w:bottom w:val="nil"/>
              <w:right w:val="nil"/>
            </w:tcBorders>
            <w:shd w:val="clear" w:color="auto" w:fill="auto"/>
            <w:vAlign w:val="center"/>
            <w:hideMark/>
          </w:tcPr>
          <w:p w14:paraId="764F7F7E" w14:textId="77777777" w:rsidR="00753D80" w:rsidRPr="00753D80" w:rsidRDefault="00753D80" w:rsidP="00753D80">
            <w:pPr>
              <w:jc w:val="right"/>
              <w:rPr>
                <w:sz w:val="18"/>
                <w:szCs w:val="18"/>
                <w:lang w:eastAsia="tr-TR"/>
              </w:rPr>
            </w:pPr>
            <w:r w:rsidRPr="00753D80">
              <w:rPr>
                <w:sz w:val="18"/>
                <w:szCs w:val="18"/>
                <w:lang w:eastAsia="tr-TR"/>
              </w:rPr>
              <w:t>228,439</w:t>
            </w:r>
          </w:p>
        </w:tc>
      </w:tr>
      <w:tr w:rsidR="00753D80" w:rsidRPr="00753D80" w14:paraId="0623355E" w14:textId="77777777" w:rsidTr="006B1072">
        <w:trPr>
          <w:divId w:val="895240085"/>
          <w:trHeight w:val="242"/>
        </w:trPr>
        <w:tc>
          <w:tcPr>
            <w:tcW w:w="5611" w:type="dxa"/>
            <w:tcBorders>
              <w:top w:val="nil"/>
              <w:left w:val="nil"/>
              <w:bottom w:val="nil"/>
              <w:right w:val="nil"/>
            </w:tcBorders>
            <w:shd w:val="clear" w:color="auto" w:fill="auto"/>
            <w:vAlign w:val="center"/>
            <w:hideMark/>
          </w:tcPr>
          <w:p w14:paraId="06102B5E" w14:textId="77777777" w:rsidR="00753D80" w:rsidRPr="00753D80" w:rsidRDefault="00753D80" w:rsidP="00753D80">
            <w:pPr>
              <w:jc w:val="both"/>
              <w:rPr>
                <w:sz w:val="18"/>
                <w:szCs w:val="18"/>
                <w:lang w:eastAsia="tr-TR"/>
              </w:rPr>
            </w:pPr>
            <w:r w:rsidRPr="00753D80">
              <w:rPr>
                <w:sz w:val="18"/>
                <w:szCs w:val="18"/>
                <w:lang w:eastAsia="tr-TR"/>
              </w:rPr>
              <w:t>Zarar Niteliğindeki Krediler İçin Ayrılanlar</w:t>
            </w:r>
          </w:p>
        </w:tc>
        <w:tc>
          <w:tcPr>
            <w:tcW w:w="1769" w:type="dxa"/>
            <w:tcBorders>
              <w:top w:val="nil"/>
              <w:left w:val="nil"/>
              <w:bottom w:val="nil"/>
              <w:right w:val="nil"/>
            </w:tcBorders>
            <w:shd w:val="clear" w:color="auto" w:fill="auto"/>
            <w:vAlign w:val="center"/>
            <w:hideMark/>
          </w:tcPr>
          <w:p w14:paraId="355C75BD" w14:textId="77777777" w:rsidR="00753D80" w:rsidRPr="00753D80" w:rsidRDefault="00753D80" w:rsidP="00753D80">
            <w:pPr>
              <w:jc w:val="right"/>
              <w:rPr>
                <w:sz w:val="18"/>
                <w:szCs w:val="18"/>
                <w:lang w:eastAsia="tr-TR"/>
              </w:rPr>
            </w:pPr>
            <w:r w:rsidRPr="00753D80">
              <w:rPr>
                <w:sz w:val="18"/>
                <w:szCs w:val="18"/>
                <w:lang w:eastAsia="tr-TR"/>
              </w:rPr>
              <w:t>1,587,957</w:t>
            </w:r>
          </w:p>
        </w:tc>
        <w:tc>
          <w:tcPr>
            <w:tcW w:w="1769" w:type="dxa"/>
            <w:tcBorders>
              <w:top w:val="nil"/>
              <w:left w:val="nil"/>
              <w:bottom w:val="nil"/>
              <w:right w:val="nil"/>
            </w:tcBorders>
            <w:shd w:val="clear" w:color="auto" w:fill="auto"/>
            <w:vAlign w:val="center"/>
            <w:hideMark/>
          </w:tcPr>
          <w:p w14:paraId="371D9D2A" w14:textId="77777777" w:rsidR="00753D80" w:rsidRPr="00753D80" w:rsidRDefault="00753D80" w:rsidP="00753D80">
            <w:pPr>
              <w:jc w:val="right"/>
              <w:rPr>
                <w:sz w:val="18"/>
                <w:szCs w:val="18"/>
                <w:lang w:eastAsia="tr-TR"/>
              </w:rPr>
            </w:pPr>
            <w:r w:rsidRPr="00753D80">
              <w:rPr>
                <w:sz w:val="18"/>
                <w:szCs w:val="18"/>
                <w:lang w:eastAsia="tr-TR"/>
              </w:rPr>
              <w:t>1,094,439</w:t>
            </w:r>
          </w:p>
        </w:tc>
      </w:tr>
      <w:tr w:rsidR="00753D80" w:rsidRPr="00753D80" w14:paraId="752A9AE6" w14:textId="77777777" w:rsidTr="006B1072">
        <w:trPr>
          <w:divId w:val="895240085"/>
          <w:trHeight w:val="242"/>
        </w:trPr>
        <w:tc>
          <w:tcPr>
            <w:tcW w:w="5611" w:type="dxa"/>
            <w:tcBorders>
              <w:top w:val="single" w:sz="8" w:space="0" w:color="auto"/>
              <w:left w:val="nil"/>
              <w:bottom w:val="double" w:sz="6" w:space="0" w:color="auto"/>
              <w:right w:val="nil"/>
            </w:tcBorders>
            <w:shd w:val="clear" w:color="auto" w:fill="auto"/>
            <w:vAlign w:val="center"/>
            <w:hideMark/>
          </w:tcPr>
          <w:p w14:paraId="0FC31A36" w14:textId="77777777" w:rsidR="00753D80" w:rsidRPr="00753D80" w:rsidRDefault="00753D80" w:rsidP="00753D80">
            <w:pPr>
              <w:jc w:val="both"/>
              <w:rPr>
                <w:b/>
                <w:bCs/>
                <w:sz w:val="18"/>
                <w:szCs w:val="18"/>
                <w:lang w:eastAsia="tr-TR"/>
              </w:rPr>
            </w:pPr>
            <w:r w:rsidRPr="00753D80">
              <w:rPr>
                <w:b/>
                <w:bCs/>
                <w:sz w:val="18"/>
                <w:szCs w:val="18"/>
                <w:lang w:eastAsia="tr-TR"/>
              </w:rPr>
              <w:t>Toplam</w:t>
            </w:r>
          </w:p>
        </w:tc>
        <w:tc>
          <w:tcPr>
            <w:tcW w:w="1769" w:type="dxa"/>
            <w:tcBorders>
              <w:top w:val="single" w:sz="8" w:space="0" w:color="auto"/>
              <w:left w:val="nil"/>
              <w:bottom w:val="double" w:sz="6" w:space="0" w:color="auto"/>
              <w:right w:val="nil"/>
            </w:tcBorders>
            <w:shd w:val="clear" w:color="auto" w:fill="auto"/>
            <w:vAlign w:val="center"/>
            <w:hideMark/>
          </w:tcPr>
          <w:p w14:paraId="4AD152E6" w14:textId="77777777" w:rsidR="00753D80" w:rsidRPr="00753D80" w:rsidRDefault="00753D80" w:rsidP="00753D80">
            <w:pPr>
              <w:jc w:val="right"/>
              <w:rPr>
                <w:b/>
                <w:bCs/>
                <w:sz w:val="18"/>
                <w:szCs w:val="18"/>
                <w:lang w:eastAsia="tr-TR"/>
              </w:rPr>
            </w:pPr>
            <w:r w:rsidRPr="00753D80">
              <w:rPr>
                <w:b/>
                <w:bCs/>
                <w:sz w:val="18"/>
                <w:szCs w:val="18"/>
                <w:lang w:eastAsia="tr-TR"/>
              </w:rPr>
              <w:t>2,099,735</w:t>
            </w:r>
          </w:p>
        </w:tc>
        <w:tc>
          <w:tcPr>
            <w:tcW w:w="1769" w:type="dxa"/>
            <w:tcBorders>
              <w:top w:val="single" w:sz="8" w:space="0" w:color="auto"/>
              <w:left w:val="nil"/>
              <w:bottom w:val="double" w:sz="6" w:space="0" w:color="auto"/>
              <w:right w:val="nil"/>
            </w:tcBorders>
            <w:shd w:val="clear" w:color="auto" w:fill="auto"/>
            <w:vAlign w:val="center"/>
            <w:hideMark/>
          </w:tcPr>
          <w:p w14:paraId="5B660DC1" w14:textId="77777777" w:rsidR="00753D80" w:rsidRPr="00753D80" w:rsidRDefault="00753D80" w:rsidP="00753D80">
            <w:pPr>
              <w:jc w:val="right"/>
              <w:rPr>
                <w:b/>
                <w:bCs/>
                <w:sz w:val="18"/>
                <w:szCs w:val="18"/>
                <w:lang w:eastAsia="tr-TR"/>
              </w:rPr>
            </w:pPr>
            <w:r w:rsidRPr="00753D80">
              <w:rPr>
                <w:b/>
                <w:bCs/>
                <w:sz w:val="18"/>
                <w:szCs w:val="18"/>
                <w:lang w:eastAsia="tr-TR"/>
              </w:rPr>
              <w:t>1,532,370</w:t>
            </w:r>
          </w:p>
        </w:tc>
      </w:tr>
    </w:tbl>
    <w:p w14:paraId="188FA8E9" w14:textId="77777777" w:rsidR="00820548" w:rsidRPr="00753D80" w:rsidRDefault="00820548" w:rsidP="00134A72">
      <w:pPr>
        <w:pStyle w:val="BodyTextIndent"/>
        <w:jc w:val="left"/>
        <w:rPr>
          <w:rFonts w:eastAsia="Arial Unicode MS"/>
          <w:sz w:val="16"/>
          <w:szCs w:val="16"/>
        </w:rPr>
      </w:pPr>
    </w:p>
    <w:p w14:paraId="3F72F63E" w14:textId="71C3A589" w:rsidR="005A1EDE" w:rsidRPr="00753D80" w:rsidRDefault="00E07A34" w:rsidP="00E07A34">
      <w:pPr>
        <w:tabs>
          <w:tab w:val="num" w:pos="3060"/>
        </w:tabs>
        <w:autoSpaceDE w:val="0"/>
        <w:autoSpaceDN w:val="0"/>
        <w:adjustRightInd w:val="0"/>
        <w:ind w:hanging="567"/>
      </w:pPr>
      <w:r w:rsidRPr="00753D80">
        <w:rPr>
          <w:b/>
        </w:rPr>
        <w:t>1.5.</w:t>
      </w:r>
      <w:r w:rsidR="0048609D" w:rsidRPr="00753D80">
        <w:rPr>
          <w:b/>
        </w:rPr>
        <w:t>10.</w:t>
      </w:r>
      <w:r w:rsidR="00E253C8" w:rsidRPr="00753D80">
        <w:tab/>
        <w:t>Donuk alacaklara ilişkin bilgiler (Net</w:t>
      </w:r>
      <w:proofErr w:type="gramStart"/>
      <w:r w:rsidR="00E253C8" w:rsidRPr="00753D80">
        <w:t>) :</w:t>
      </w:r>
      <w:proofErr w:type="gramEnd"/>
    </w:p>
    <w:p w14:paraId="385D7567" w14:textId="4E60110D" w:rsidR="005A1EDE" w:rsidRPr="00753D80" w:rsidRDefault="005A1EDE" w:rsidP="00134A72">
      <w:pPr>
        <w:pStyle w:val="BodyTextIndent"/>
        <w:jc w:val="left"/>
        <w:rPr>
          <w:rFonts w:eastAsia="Arial Unicode MS"/>
          <w:sz w:val="16"/>
          <w:szCs w:val="16"/>
        </w:rPr>
      </w:pPr>
    </w:p>
    <w:p w14:paraId="746DB1D4" w14:textId="5633A43E" w:rsidR="005A1EDE" w:rsidRPr="00753D80" w:rsidRDefault="00E07A34" w:rsidP="00A023D6">
      <w:pPr>
        <w:ind w:hanging="567"/>
        <w:jc w:val="both"/>
        <w:rPr>
          <w:iCs/>
        </w:rPr>
      </w:pPr>
      <w:r w:rsidRPr="00753D80">
        <w:rPr>
          <w:b/>
          <w:iCs/>
        </w:rPr>
        <w:t>1</w:t>
      </w:r>
      <w:r w:rsidR="00E253C8" w:rsidRPr="00753D80">
        <w:rPr>
          <w:b/>
          <w:iCs/>
        </w:rPr>
        <w:t>.</w:t>
      </w:r>
      <w:r w:rsidR="00990912" w:rsidRPr="00753D80">
        <w:rPr>
          <w:b/>
          <w:iCs/>
        </w:rPr>
        <w:t>5.</w:t>
      </w:r>
      <w:r w:rsidR="0048609D" w:rsidRPr="00753D80">
        <w:rPr>
          <w:b/>
        </w:rPr>
        <w:t>10</w:t>
      </w:r>
      <w:r w:rsidRPr="00753D80">
        <w:rPr>
          <w:b/>
          <w:iCs/>
        </w:rPr>
        <w:t>.1</w:t>
      </w:r>
      <w:r w:rsidR="00E97B58" w:rsidRPr="00753D80">
        <w:rPr>
          <w:iCs/>
        </w:rPr>
        <w:t xml:space="preserve"> </w:t>
      </w:r>
      <w:r w:rsidR="00E253C8" w:rsidRPr="00753D80">
        <w:rPr>
          <w:iCs/>
        </w:rPr>
        <w:t xml:space="preserve">Donuk alacaklardan Bankaca yeniden yapılandırılan ya da yeni bir itfa planına bağlanan krediler ve diğer </w:t>
      </w:r>
      <w:r w:rsidRPr="00753D80">
        <w:rPr>
          <w:iCs/>
        </w:rPr>
        <w:t xml:space="preserve"> </w:t>
      </w:r>
      <w:r w:rsidR="008E42CD" w:rsidRPr="00753D80">
        <w:rPr>
          <w:iCs/>
        </w:rPr>
        <w:t xml:space="preserve"> </w:t>
      </w:r>
      <w:r w:rsidR="00E253C8" w:rsidRPr="00753D80">
        <w:rPr>
          <w:iCs/>
        </w:rPr>
        <w:t xml:space="preserve">alacaklara ilişkin bilgiler: </w:t>
      </w:r>
    </w:p>
    <w:p w14:paraId="6A5848E7" w14:textId="6401032D" w:rsidR="00753D80" w:rsidRPr="00311DAB" w:rsidRDefault="00753D80" w:rsidP="00134A72">
      <w:pPr>
        <w:rPr>
          <w:lang w:eastAsia="en-GB"/>
        </w:rPr>
      </w:pPr>
    </w:p>
    <w:tbl>
      <w:tblPr>
        <w:tblW w:w="9082" w:type="dxa"/>
        <w:tblCellMar>
          <w:left w:w="70" w:type="dxa"/>
          <w:right w:w="70" w:type="dxa"/>
        </w:tblCellMar>
        <w:tblLook w:val="04A0" w:firstRow="1" w:lastRow="0" w:firstColumn="1" w:lastColumn="0" w:noHBand="0" w:noVBand="1"/>
      </w:tblPr>
      <w:tblGrid>
        <w:gridCol w:w="4659"/>
        <w:gridCol w:w="1469"/>
        <w:gridCol w:w="1469"/>
        <w:gridCol w:w="1485"/>
      </w:tblGrid>
      <w:tr w:rsidR="00753D80" w:rsidRPr="00753D80" w14:paraId="588FE948" w14:textId="77777777" w:rsidTr="006B1072">
        <w:trPr>
          <w:divId w:val="2099862524"/>
          <w:trHeight w:val="233"/>
        </w:trPr>
        <w:tc>
          <w:tcPr>
            <w:tcW w:w="4659" w:type="dxa"/>
            <w:tcBorders>
              <w:top w:val="double" w:sz="6" w:space="0" w:color="auto"/>
              <w:left w:val="nil"/>
              <w:bottom w:val="nil"/>
              <w:right w:val="nil"/>
            </w:tcBorders>
            <w:shd w:val="clear" w:color="auto" w:fill="auto"/>
            <w:vAlign w:val="center"/>
            <w:hideMark/>
          </w:tcPr>
          <w:p w14:paraId="6B335DC2" w14:textId="29F9AC6B" w:rsidR="00753D80" w:rsidRPr="00753D80" w:rsidRDefault="00753D80" w:rsidP="00753D80">
            <w:pPr>
              <w:jc w:val="both"/>
              <w:rPr>
                <w:sz w:val="18"/>
                <w:szCs w:val="18"/>
                <w:lang w:eastAsia="tr-TR"/>
              </w:rPr>
            </w:pPr>
            <w:r w:rsidRPr="00753D80">
              <w:rPr>
                <w:sz w:val="18"/>
                <w:szCs w:val="18"/>
                <w:lang w:eastAsia="tr-TR"/>
              </w:rPr>
              <w:t xml:space="preserve">  </w:t>
            </w:r>
          </w:p>
        </w:tc>
        <w:tc>
          <w:tcPr>
            <w:tcW w:w="1469" w:type="dxa"/>
            <w:tcBorders>
              <w:top w:val="double" w:sz="6" w:space="0" w:color="auto"/>
              <w:left w:val="nil"/>
              <w:bottom w:val="single" w:sz="8" w:space="0" w:color="auto"/>
              <w:right w:val="nil"/>
            </w:tcBorders>
            <w:shd w:val="clear" w:color="auto" w:fill="auto"/>
            <w:vAlign w:val="center"/>
            <w:hideMark/>
          </w:tcPr>
          <w:p w14:paraId="2CA0BDEF" w14:textId="77777777" w:rsidR="00753D80" w:rsidRPr="00753D80" w:rsidRDefault="00753D80" w:rsidP="00753D80">
            <w:pPr>
              <w:jc w:val="right"/>
              <w:rPr>
                <w:b/>
                <w:bCs/>
                <w:sz w:val="18"/>
                <w:szCs w:val="18"/>
                <w:lang w:eastAsia="tr-TR"/>
              </w:rPr>
            </w:pPr>
            <w:r w:rsidRPr="00753D80">
              <w:rPr>
                <w:b/>
                <w:bCs/>
                <w:sz w:val="18"/>
                <w:szCs w:val="18"/>
                <w:lang w:eastAsia="tr-TR"/>
              </w:rPr>
              <w:t>III. Grup</w:t>
            </w:r>
          </w:p>
        </w:tc>
        <w:tc>
          <w:tcPr>
            <w:tcW w:w="1469" w:type="dxa"/>
            <w:tcBorders>
              <w:top w:val="double" w:sz="6" w:space="0" w:color="auto"/>
              <w:left w:val="nil"/>
              <w:bottom w:val="single" w:sz="8" w:space="0" w:color="auto"/>
              <w:right w:val="nil"/>
            </w:tcBorders>
            <w:shd w:val="clear" w:color="auto" w:fill="auto"/>
            <w:vAlign w:val="center"/>
            <w:hideMark/>
          </w:tcPr>
          <w:p w14:paraId="2DA34760" w14:textId="77777777" w:rsidR="00753D80" w:rsidRPr="00753D80" w:rsidRDefault="00753D80" w:rsidP="00753D80">
            <w:pPr>
              <w:jc w:val="right"/>
              <w:rPr>
                <w:b/>
                <w:bCs/>
                <w:sz w:val="18"/>
                <w:szCs w:val="18"/>
                <w:lang w:eastAsia="tr-TR"/>
              </w:rPr>
            </w:pPr>
            <w:r w:rsidRPr="00753D80">
              <w:rPr>
                <w:b/>
                <w:bCs/>
                <w:sz w:val="18"/>
                <w:szCs w:val="18"/>
                <w:lang w:eastAsia="tr-TR"/>
              </w:rPr>
              <w:t>IV. Grup</w:t>
            </w:r>
          </w:p>
        </w:tc>
        <w:tc>
          <w:tcPr>
            <w:tcW w:w="1485" w:type="dxa"/>
            <w:tcBorders>
              <w:top w:val="double" w:sz="6" w:space="0" w:color="auto"/>
              <w:left w:val="nil"/>
              <w:bottom w:val="single" w:sz="8" w:space="0" w:color="auto"/>
              <w:right w:val="nil"/>
            </w:tcBorders>
            <w:shd w:val="clear" w:color="auto" w:fill="auto"/>
            <w:vAlign w:val="center"/>
            <w:hideMark/>
          </w:tcPr>
          <w:p w14:paraId="6BF607A3" w14:textId="77777777" w:rsidR="00753D80" w:rsidRPr="00753D80" w:rsidRDefault="00753D80" w:rsidP="00753D80">
            <w:pPr>
              <w:jc w:val="right"/>
              <w:rPr>
                <w:b/>
                <w:bCs/>
                <w:sz w:val="18"/>
                <w:szCs w:val="18"/>
                <w:lang w:eastAsia="tr-TR"/>
              </w:rPr>
            </w:pPr>
            <w:r w:rsidRPr="00753D80">
              <w:rPr>
                <w:b/>
                <w:bCs/>
                <w:sz w:val="18"/>
                <w:szCs w:val="18"/>
                <w:lang w:eastAsia="tr-TR"/>
              </w:rPr>
              <w:t>V. Grup</w:t>
            </w:r>
          </w:p>
        </w:tc>
      </w:tr>
      <w:tr w:rsidR="00753D80" w:rsidRPr="00753D80" w14:paraId="7EBD9054" w14:textId="77777777" w:rsidTr="006B1072">
        <w:trPr>
          <w:divId w:val="2099862524"/>
          <w:trHeight w:val="363"/>
        </w:trPr>
        <w:tc>
          <w:tcPr>
            <w:tcW w:w="4659" w:type="dxa"/>
            <w:vMerge w:val="restart"/>
            <w:tcBorders>
              <w:top w:val="nil"/>
              <w:left w:val="nil"/>
              <w:bottom w:val="single" w:sz="8" w:space="0" w:color="000000"/>
              <w:right w:val="nil"/>
            </w:tcBorders>
            <w:shd w:val="clear" w:color="auto" w:fill="auto"/>
            <w:vAlign w:val="center"/>
            <w:hideMark/>
          </w:tcPr>
          <w:p w14:paraId="23F54CBE" w14:textId="77777777" w:rsidR="00753D80" w:rsidRPr="00753D80" w:rsidRDefault="00753D80" w:rsidP="00753D80">
            <w:pPr>
              <w:jc w:val="right"/>
              <w:rPr>
                <w:b/>
                <w:bCs/>
                <w:sz w:val="18"/>
                <w:szCs w:val="18"/>
                <w:lang w:eastAsia="tr-TR"/>
              </w:rPr>
            </w:pPr>
          </w:p>
        </w:tc>
        <w:tc>
          <w:tcPr>
            <w:tcW w:w="1469" w:type="dxa"/>
            <w:vMerge w:val="restart"/>
            <w:tcBorders>
              <w:top w:val="nil"/>
              <w:left w:val="nil"/>
              <w:bottom w:val="single" w:sz="8" w:space="0" w:color="000000"/>
              <w:right w:val="nil"/>
            </w:tcBorders>
            <w:shd w:val="clear" w:color="auto" w:fill="auto"/>
            <w:vAlign w:val="center"/>
            <w:hideMark/>
          </w:tcPr>
          <w:p w14:paraId="148DE9D8" w14:textId="77777777" w:rsidR="00753D80" w:rsidRPr="00753D80" w:rsidRDefault="00753D80" w:rsidP="00753D80">
            <w:pPr>
              <w:jc w:val="center"/>
              <w:rPr>
                <w:b/>
                <w:bCs/>
                <w:sz w:val="18"/>
                <w:szCs w:val="18"/>
                <w:lang w:eastAsia="tr-TR"/>
              </w:rPr>
            </w:pPr>
            <w:r w:rsidRPr="00753D80">
              <w:rPr>
                <w:b/>
                <w:bCs/>
                <w:sz w:val="18"/>
                <w:szCs w:val="18"/>
                <w:lang w:eastAsia="tr-TR"/>
              </w:rPr>
              <w:t xml:space="preserve">Tahsil </w:t>
            </w:r>
            <w:proofErr w:type="gramStart"/>
            <w:r w:rsidRPr="00753D80">
              <w:rPr>
                <w:b/>
                <w:bCs/>
                <w:sz w:val="18"/>
                <w:szCs w:val="18"/>
                <w:lang w:eastAsia="tr-TR"/>
              </w:rPr>
              <w:t>imkanı</w:t>
            </w:r>
            <w:proofErr w:type="gramEnd"/>
            <w:r w:rsidRPr="00753D80">
              <w:rPr>
                <w:b/>
                <w:bCs/>
                <w:sz w:val="18"/>
                <w:szCs w:val="18"/>
                <w:lang w:eastAsia="tr-TR"/>
              </w:rPr>
              <w:t xml:space="preserve"> sınırlı krediler ve diğer alacaklar</w:t>
            </w:r>
          </w:p>
        </w:tc>
        <w:tc>
          <w:tcPr>
            <w:tcW w:w="1469" w:type="dxa"/>
            <w:vMerge w:val="restart"/>
            <w:tcBorders>
              <w:top w:val="nil"/>
              <w:left w:val="nil"/>
              <w:bottom w:val="single" w:sz="8" w:space="0" w:color="000000"/>
              <w:right w:val="nil"/>
            </w:tcBorders>
            <w:shd w:val="clear" w:color="auto" w:fill="auto"/>
            <w:vAlign w:val="center"/>
            <w:hideMark/>
          </w:tcPr>
          <w:p w14:paraId="2350CEA0" w14:textId="77777777" w:rsidR="00753D80" w:rsidRPr="00753D80" w:rsidRDefault="00753D80" w:rsidP="00753D80">
            <w:pPr>
              <w:jc w:val="right"/>
              <w:rPr>
                <w:b/>
                <w:bCs/>
                <w:sz w:val="18"/>
                <w:szCs w:val="18"/>
                <w:lang w:eastAsia="tr-TR"/>
              </w:rPr>
            </w:pPr>
            <w:r w:rsidRPr="00753D80">
              <w:rPr>
                <w:b/>
                <w:bCs/>
                <w:sz w:val="18"/>
                <w:szCs w:val="18"/>
                <w:lang w:eastAsia="tr-TR"/>
              </w:rPr>
              <w:t xml:space="preserve">Tahsili </w:t>
            </w:r>
            <w:proofErr w:type="gramStart"/>
            <w:r w:rsidRPr="00753D80">
              <w:rPr>
                <w:b/>
                <w:bCs/>
                <w:sz w:val="18"/>
                <w:szCs w:val="18"/>
                <w:lang w:eastAsia="tr-TR"/>
              </w:rPr>
              <w:t>imkanı</w:t>
            </w:r>
            <w:proofErr w:type="gramEnd"/>
            <w:r w:rsidRPr="00753D80">
              <w:rPr>
                <w:b/>
                <w:bCs/>
                <w:sz w:val="18"/>
                <w:szCs w:val="18"/>
                <w:lang w:eastAsia="tr-TR"/>
              </w:rPr>
              <w:t xml:space="preserve"> şüpheli krediler ve diğer alacaklar</w:t>
            </w:r>
          </w:p>
        </w:tc>
        <w:tc>
          <w:tcPr>
            <w:tcW w:w="1485" w:type="dxa"/>
            <w:vMerge w:val="restart"/>
            <w:tcBorders>
              <w:top w:val="nil"/>
              <w:left w:val="nil"/>
              <w:bottom w:val="single" w:sz="8" w:space="0" w:color="000000"/>
              <w:right w:val="nil"/>
            </w:tcBorders>
            <w:shd w:val="clear" w:color="auto" w:fill="auto"/>
            <w:vAlign w:val="center"/>
            <w:hideMark/>
          </w:tcPr>
          <w:p w14:paraId="6E138AB7" w14:textId="77777777" w:rsidR="00753D80" w:rsidRPr="00753D80" w:rsidRDefault="00753D80" w:rsidP="00753D80">
            <w:pPr>
              <w:jc w:val="right"/>
              <w:rPr>
                <w:b/>
                <w:bCs/>
                <w:sz w:val="18"/>
                <w:szCs w:val="18"/>
                <w:lang w:eastAsia="tr-TR"/>
              </w:rPr>
            </w:pPr>
            <w:r w:rsidRPr="00753D80">
              <w:rPr>
                <w:b/>
                <w:bCs/>
                <w:sz w:val="18"/>
                <w:szCs w:val="18"/>
                <w:lang w:eastAsia="tr-TR"/>
              </w:rPr>
              <w:t>Zarar niteliğindeki krediler ve diğer alacaklar</w:t>
            </w:r>
          </w:p>
        </w:tc>
      </w:tr>
      <w:tr w:rsidR="00753D80" w:rsidRPr="00753D80" w14:paraId="144A789C" w14:textId="77777777" w:rsidTr="006B1072">
        <w:trPr>
          <w:divId w:val="2099862524"/>
          <w:trHeight w:val="230"/>
        </w:trPr>
        <w:tc>
          <w:tcPr>
            <w:tcW w:w="4659" w:type="dxa"/>
            <w:vMerge/>
            <w:tcBorders>
              <w:top w:val="nil"/>
              <w:left w:val="nil"/>
              <w:bottom w:val="single" w:sz="8" w:space="0" w:color="000000"/>
              <w:right w:val="nil"/>
            </w:tcBorders>
            <w:vAlign w:val="center"/>
            <w:hideMark/>
          </w:tcPr>
          <w:p w14:paraId="4956DE7A" w14:textId="77777777" w:rsidR="00753D80" w:rsidRPr="00753D80" w:rsidRDefault="00753D80" w:rsidP="00753D80">
            <w:pPr>
              <w:rPr>
                <w:b/>
                <w:bCs/>
                <w:sz w:val="18"/>
                <w:szCs w:val="18"/>
                <w:lang w:eastAsia="tr-TR"/>
              </w:rPr>
            </w:pPr>
          </w:p>
        </w:tc>
        <w:tc>
          <w:tcPr>
            <w:tcW w:w="1469" w:type="dxa"/>
            <w:vMerge/>
            <w:tcBorders>
              <w:top w:val="nil"/>
              <w:left w:val="nil"/>
              <w:bottom w:val="single" w:sz="8" w:space="0" w:color="000000"/>
              <w:right w:val="nil"/>
            </w:tcBorders>
            <w:vAlign w:val="center"/>
            <w:hideMark/>
          </w:tcPr>
          <w:p w14:paraId="24A1C0D1" w14:textId="77777777" w:rsidR="00753D80" w:rsidRPr="00753D80" w:rsidRDefault="00753D80" w:rsidP="00753D80">
            <w:pPr>
              <w:rPr>
                <w:b/>
                <w:bCs/>
                <w:sz w:val="18"/>
                <w:szCs w:val="18"/>
                <w:lang w:eastAsia="tr-TR"/>
              </w:rPr>
            </w:pPr>
          </w:p>
        </w:tc>
        <w:tc>
          <w:tcPr>
            <w:tcW w:w="1469" w:type="dxa"/>
            <w:vMerge/>
            <w:tcBorders>
              <w:top w:val="nil"/>
              <w:left w:val="nil"/>
              <w:bottom w:val="single" w:sz="8" w:space="0" w:color="000000"/>
              <w:right w:val="nil"/>
            </w:tcBorders>
            <w:vAlign w:val="center"/>
            <w:hideMark/>
          </w:tcPr>
          <w:p w14:paraId="6C6EEB3D" w14:textId="77777777" w:rsidR="00753D80" w:rsidRPr="00753D80" w:rsidRDefault="00753D80" w:rsidP="00753D80">
            <w:pPr>
              <w:rPr>
                <w:b/>
                <w:bCs/>
                <w:sz w:val="18"/>
                <w:szCs w:val="18"/>
                <w:lang w:eastAsia="tr-TR"/>
              </w:rPr>
            </w:pPr>
          </w:p>
        </w:tc>
        <w:tc>
          <w:tcPr>
            <w:tcW w:w="1485" w:type="dxa"/>
            <w:vMerge/>
            <w:tcBorders>
              <w:top w:val="nil"/>
              <w:left w:val="nil"/>
              <w:bottom w:val="single" w:sz="8" w:space="0" w:color="000000"/>
              <w:right w:val="nil"/>
            </w:tcBorders>
            <w:vAlign w:val="center"/>
            <w:hideMark/>
          </w:tcPr>
          <w:p w14:paraId="764370C7" w14:textId="77777777" w:rsidR="00753D80" w:rsidRPr="00753D80" w:rsidRDefault="00753D80" w:rsidP="00753D80">
            <w:pPr>
              <w:rPr>
                <w:b/>
                <w:bCs/>
                <w:sz w:val="18"/>
                <w:szCs w:val="18"/>
                <w:lang w:eastAsia="tr-TR"/>
              </w:rPr>
            </w:pPr>
          </w:p>
        </w:tc>
      </w:tr>
      <w:tr w:rsidR="00753D80" w:rsidRPr="00753D80" w14:paraId="0164604D" w14:textId="77777777" w:rsidTr="006B1072">
        <w:trPr>
          <w:divId w:val="2099862524"/>
          <w:trHeight w:val="208"/>
        </w:trPr>
        <w:tc>
          <w:tcPr>
            <w:tcW w:w="4659" w:type="dxa"/>
            <w:tcBorders>
              <w:top w:val="nil"/>
              <w:left w:val="nil"/>
              <w:bottom w:val="nil"/>
              <w:right w:val="nil"/>
            </w:tcBorders>
            <w:shd w:val="clear" w:color="auto" w:fill="auto"/>
            <w:vAlign w:val="center"/>
            <w:hideMark/>
          </w:tcPr>
          <w:p w14:paraId="0801A4F5" w14:textId="77777777" w:rsidR="00753D80" w:rsidRPr="00753D80" w:rsidRDefault="00753D80" w:rsidP="00753D80">
            <w:pPr>
              <w:jc w:val="both"/>
              <w:rPr>
                <w:b/>
                <w:bCs/>
                <w:sz w:val="18"/>
                <w:szCs w:val="18"/>
                <w:lang w:eastAsia="tr-TR"/>
              </w:rPr>
            </w:pPr>
            <w:r w:rsidRPr="00753D80">
              <w:rPr>
                <w:b/>
                <w:bCs/>
                <w:sz w:val="18"/>
                <w:szCs w:val="18"/>
                <w:lang w:eastAsia="tr-TR"/>
              </w:rPr>
              <w:t>Cari Dönem</w:t>
            </w:r>
          </w:p>
        </w:tc>
        <w:tc>
          <w:tcPr>
            <w:tcW w:w="1469" w:type="dxa"/>
            <w:tcBorders>
              <w:top w:val="nil"/>
              <w:left w:val="nil"/>
              <w:bottom w:val="nil"/>
              <w:right w:val="nil"/>
            </w:tcBorders>
            <w:shd w:val="clear" w:color="auto" w:fill="auto"/>
            <w:vAlign w:val="center"/>
            <w:hideMark/>
          </w:tcPr>
          <w:p w14:paraId="42220BE4" w14:textId="77777777" w:rsidR="00753D80" w:rsidRPr="00753D80" w:rsidRDefault="00753D80" w:rsidP="00753D80">
            <w:pPr>
              <w:jc w:val="right"/>
              <w:rPr>
                <w:b/>
                <w:bCs/>
                <w:sz w:val="18"/>
                <w:szCs w:val="18"/>
                <w:lang w:eastAsia="tr-TR"/>
              </w:rPr>
            </w:pPr>
            <w:r w:rsidRPr="00753D80">
              <w:rPr>
                <w:b/>
                <w:bCs/>
                <w:sz w:val="18"/>
                <w:szCs w:val="18"/>
                <w:lang w:eastAsia="tr-TR"/>
              </w:rPr>
              <w:t>-</w:t>
            </w:r>
          </w:p>
        </w:tc>
        <w:tc>
          <w:tcPr>
            <w:tcW w:w="1469" w:type="dxa"/>
            <w:tcBorders>
              <w:top w:val="nil"/>
              <w:left w:val="nil"/>
              <w:bottom w:val="nil"/>
              <w:right w:val="nil"/>
            </w:tcBorders>
            <w:shd w:val="clear" w:color="auto" w:fill="auto"/>
            <w:vAlign w:val="center"/>
            <w:hideMark/>
          </w:tcPr>
          <w:p w14:paraId="2F2F0F35" w14:textId="77777777" w:rsidR="00753D80" w:rsidRPr="00753D80" w:rsidRDefault="00753D80" w:rsidP="00753D80">
            <w:pPr>
              <w:jc w:val="right"/>
              <w:rPr>
                <w:b/>
                <w:bCs/>
                <w:sz w:val="18"/>
                <w:szCs w:val="18"/>
                <w:lang w:eastAsia="tr-TR"/>
              </w:rPr>
            </w:pPr>
            <w:r w:rsidRPr="00753D80">
              <w:rPr>
                <w:b/>
                <w:bCs/>
                <w:sz w:val="18"/>
                <w:szCs w:val="18"/>
                <w:lang w:eastAsia="tr-TR"/>
              </w:rPr>
              <w:t>61,218</w:t>
            </w:r>
          </w:p>
        </w:tc>
        <w:tc>
          <w:tcPr>
            <w:tcW w:w="1485" w:type="dxa"/>
            <w:tcBorders>
              <w:top w:val="nil"/>
              <w:left w:val="nil"/>
              <w:bottom w:val="nil"/>
              <w:right w:val="nil"/>
            </w:tcBorders>
            <w:shd w:val="clear" w:color="auto" w:fill="auto"/>
            <w:vAlign w:val="center"/>
            <w:hideMark/>
          </w:tcPr>
          <w:p w14:paraId="3B6734E1" w14:textId="77777777" w:rsidR="00753D80" w:rsidRPr="00753D80" w:rsidRDefault="00753D80" w:rsidP="00753D80">
            <w:pPr>
              <w:jc w:val="right"/>
              <w:rPr>
                <w:b/>
                <w:bCs/>
                <w:sz w:val="18"/>
                <w:szCs w:val="18"/>
                <w:lang w:eastAsia="tr-TR"/>
              </w:rPr>
            </w:pPr>
            <w:r w:rsidRPr="00753D80">
              <w:rPr>
                <w:b/>
                <w:bCs/>
                <w:sz w:val="18"/>
                <w:szCs w:val="18"/>
                <w:lang w:eastAsia="tr-TR"/>
              </w:rPr>
              <w:t>-</w:t>
            </w:r>
          </w:p>
        </w:tc>
      </w:tr>
      <w:tr w:rsidR="00753D80" w:rsidRPr="00753D80" w14:paraId="36A2BB72" w14:textId="77777777" w:rsidTr="006B1072">
        <w:trPr>
          <w:divId w:val="2099862524"/>
          <w:trHeight w:val="208"/>
        </w:trPr>
        <w:tc>
          <w:tcPr>
            <w:tcW w:w="4659" w:type="dxa"/>
            <w:tcBorders>
              <w:top w:val="nil"/>
              <w:left w:val="nil"/>
              <w:bottom w:val="nil"/>
              <w:right w:val="nil"/>
            </w:tcBorders>
            <w:shd w:val="clear" w:color="auto" w:fill="auto"/>
            <w:vAlign w:val="center"/>
            <w:hideMark/>
          </w:tcPr>
          <w:p w14:paraId="02CF252C" w14:textId="77777777" w:rsidR="00753D80" w:rsidRPr="00753D80" w:rsidRDefault="00753D80" w:rsidP="00753D80">
            <w:pPr>
              <w:jc w:val="both"/>
              <w:rPr>
                <w:sz w:val="18"/>
                <w:szCs w:val="18"/>
                <w:lang w:eastAsia="tr-TR"/>
              </w:rPr>
            </w:pPr>
            <w:r w:rsidRPr="00753D80">
              <w:rPr>
                <w:sz w:val="18"/>
                <w:szCs w:val="18"/>
                <w:lang w:eastAsia="tr-TR"/>
              </w:rPr>
              <w:t>Karşılıklardan Önceki Brüt Tutarlar</w:t>
            </w:r>
          </w:p>
        </w:tc>
        <w:tc>
          <w:tcPr>
            <w:tcW w:w="1469" w:type="dxa"/>
            <w:tcBorders>
              <w:top w:val="nil"/>
              <w:left w:val="nil"/>
              <w:bottom w:val="nil"/>
              <w:right w:val="nil"/>
            </w:tcBorders>
            <w:shd w:val="clear" w:color="auto" w:fill="auto"/>
            <w:vAlign w:val="center"/>
            <w:hideMark/>
          </w:tcPr>
          <w:p w14:paraId="5FD1A921" w14:textId="77777777" w:rsidR="00753D80" w:rsidRPr="00753D80" w:rsidRDefault="00753D80" w:rsidP="00753D80">
            <w:pPr>
              <w:jc w:val="right"/>
              <w:rPr>
                <w:sz w:val="18"/>
                <w:szCs w:val="18"/>
                <w:lang w:eastAsia="tr-TR"/>
              </w:rPr>
            </w:pPr>
            <w:r w:rsidRPr="00753D80">
              <w:rPr>
                <w:sz w:val="18"/>
                <w:szCs w:val="18"/>
                <w:lang w:eastAsia="tr-TR"/>
              </w:rPr>
              <w:t>-</w:t>
            </w:r>
          </w:p>
        </w:tc>
        <w:tc>
          <w:tcPr>
            <w:tcW w:w="1469" w:type="dxa"/>
            <w:tcBorders>
              <w:top w:val="nil"/>
              <w:left w:val="nil"/>
              <w:bottom w:val="nil"/>
              <w:right w:val="nil"/>
            </w:tcBorders>
            <w:shd w:val="clear" w:color="auto" w:fill="auto"/>
            <w:vAlign w:val="center"/>
            <w:hideMark/>
          </w:tcPr>
          <w:p w14:paraId="09523968" w14:textId="59743CEB" w:rsidR="00753D80" w:rsidRPr="00753D80" w:rsidRDefault="000C71C2" w:rsidP="00753D80">
            <w:pPr>
              <w:jc w:val="right"/>
              <w:rPr>
                <w:sz w:val="18"/>
                <w:szCs w:val="18"/>
                <w:lang w:eastAsia="tr-TR"/>
              </w:rPr>
            </w:pPr>
            <w:r>
              <w:rPr>
                <w:sz w:val="18"/>
                <w:szCs w:val="18"/>
                <w:lang w:eastAsia="tr-TR"/>
              </w:rPr>
              <w:t>-</w:t>
            </w:r>
          </w:p>
        </w:tc>
        <w:tc>
          <w:tcPr>
            <w:tcW w:w="1485" w:type="dxa"/>
            <w:tcBorders>
              <w:top w:val="nil"/>
              <w:left w:val="nil"/>
              <w:bottom w:val="nil"/>
              <w:right w:val="nil"/>
            </w:tcBorders>
            <w:shd w:val="clear" w:color="auto" w:fill="auto"/>
            <w:vAlign w:val="center"/>
            <w:hideMark/>
          </w:tcPr>
          <w:p w14:paraId="327110EA" w14:textId="77777777" w:rsidR="00753D80" w:rsidRPr="00753D80" w:rsidRDefault="00753D80" w:rsidP="00753D80">
            <w:pPr>
              <w:jc w:val="right"/>
              <w:rPr>
                <w:sz w:val="18"/>
                <w:szCs w:val="18"/>
                <w:lang w:eastAsia="tr-TR"/>
              </w:rPr>
            </w:pPr>
            <w:r w:rsidRPr="00753D80">
              <w:rPr>
                <w:sz w:val="18"/>
                <w:szCs w:val="18"/>
                <w:lang w:eastAsia="tr-TR"/>
              </w:rPr>
              <w:t>-</w:t>
            </w:r>
          </w:p>
        </w:tc>
      </w:tr>
      <w:tr w:rsidR="00753D80" w:rsidRPr="00753D80" w14:paraId="4EEA6326" w14:textId="77777777" w:rsidTr="006B1072">
        <w:trPr>
          <w:divId w:val="2099862524"/>
          <w:trHeight w:val="208"/>
        </w:trPr>
        <w:tc>
          <w:tcPr>
            <w:tcW w:w="4659" w:type="dxa"/>
            <w:tcBorders>
              <w:top w:val="nil"/>
              <w:left w:val="nil"/>
              <w:bottom w:val="nil"/>
              <w:right w:val="nil"/>
            </w:tcBorders>
            <w:shd w:val="clear" w:color="auto" w:fill="auto"/>
            <w:vAlign w:val="center"/>
            <w:hideMark/>
          </w:tcPr>
          <w:p w14:paraId="1BFDE779" w14:textId="77777777" w:rsidR="00753D80" w:rsidRPr="00753D80" w:rsidRDefault="00753D80" w:rsidP="00753D80">
            <w:pPr>
              <w:jc w:val="both"/>
              <w:rPr>
                <w:sz w:val="18"/>
                <w:szCs w:val="18"/>
                <w:lang w:eastAsia="tr-TR"/>
              </w:rPr>
            </w:pPr>
            <w:r w:rsidRPr="00753D80">
              <w:rPr>
                <w:sz w:val="18"/>
                <w:szCs w:val="18"/>
                <w:lang w:eastAsia="tr-TR"/>
              </w:rPr>
              <w:t>Yeniden Yapılandırılan Krediler</w:t>
            </w:r>
          </w:p>
        </w:tc>
        <w:tc>
          <w:tcPr>
            <w:tcW w:w="1469" w:type="dxa"/>
            <w:tcBorders>
              <w:top w:val="nil"/>
              <w:left w:val="nil"/>
              <w:bottom w:val="nil"/>
              <w:right w:val="nil"/>
            </w:tcBorders>
            <w:shd w:val="clear" w:color="auto" w:fill="auto"/>
            <w:vAlign w:val="center"/>
            <w:hideMark/>
          </w:tcPr>
          <w:p w14:paraId="76A5C560" w14:textId="77777777" w:rsidR="00753D80" w:rsidRPr="00753D80" w:rsidRDefault="00753D80" w:rsidP="00753D80">
            <w:pPr>
              <w:jc w:val="right"/>
              <w:rPr>
                <w:sz w:val="18"/>
                <w:szCs w:val="18"/>
                <w:lang w:eastAsia="tr-TR"/>
              </w:rPr>
            </w:pPr>
            <w:r w:rsidRPr="00753D80">
              <w:rPr>
                <w:sz w:val="18"/>
                <w:szCs w:val="18"/>
                <w:lang w:eastAsia="tr-TR"/>
              </w:rPr>
              <w:t>-</w:t>
            </w:r>
          </w:p>
        </w:tc>
        <w:tc>
          <w:tcPr>
            <w:tcW w:w="1469" w:type="dxa"/>
            <w:tcBorders>
              <w:top w:val="nil"/>
              <w:left w:val="nil"/>
              <w:bottom w:val="nil"/>
              <w:right w:val="nil"/>
            </w:tcBorders>
            <w:shd w:val="clear" w:color="auto" w:fill="auto"/>
            <w:vAlign w:val="center"/>
            <w:hideMark/>
          </w:tcPr>
          <w:p w14:paraId="5091EB76" w14:textId="5DEFF419" w:rsidR="00753D80" w:rsidRPr="00753D80" w:rsidRDefault="000C71C2" w:rsidP="00753D80">
            <w:pPr>
              <w:jc w:val="right"/>
              <w:rPr>
                <w:sz w:val="18"/>
                <w:szCs w:val="18"/>
                <w:lang w:eastAsia="tr-TR"/>
              </w:rPr>
            </w:pPr>
            <w:r>
              <w:rPr>
                <w:sz w:val="18"/>
                <w:szCs w:val="18"/>
                <w:lang w:eastAsia="tr-TR"/>
              </w:rPr>
              <w:t>61,218</w:t>
            </w:r>
          </w:p>
        </w:tc>
        <w:tc>
          <w:tcPr>
            <w:tcW w:w="1485" w:type="dxa"/>
            <w:tcBorders>
              <w:top w:val="nil"/>
              <w:left w:val="nil"/>
              <w:bottom w:val="nil"/>
              <w:right w:val="nil"/>
            </w:tcBorders>
            <w:shd w:val="clear" w:color="auto" w:fill="auto"/>
            <w:vAlign w:val="center"/>
            <w:hideMark/>
          </w:tcPr>
          <w:p w14:paraId="0902E3D0" w14:textId="77777777" w:rsidR="00753D80" w:rsidRPr="00753D80" w:rsidRDefault="00753D80" w:rsidP="00753D80">
            <w:pPr>
              <w:jc w:val="right"/>
              <w:rPr>
                <w:sz w:val="18"/>
                <w:szCs w:val="18"/>
                <w:lang w:eastAsia="tr-TR"/>
              </w:rPr>
            </w:pPr>
            <w:r w:rsidRPr="00753D80">
              <w:rPr>
                <w:sz w:val="18"/>
                <w:szCs w:val="18"/>
                <w:lang w:eastAsia="tr-TR"/>
              </w:rPr>
              <w:t>-</w:t>
            </w:r>
          </w:p>
        </w:tc>
      </w:tr>
      <w:tr w:rsidR="00753D80" w:rsidRPr="00753D80" w14:paraId="0630B0E5" w14:textId="77777777" w:rsidTr="006B1072">
        <w:trPr>
          <w:divId w:val="2099862524"/>
          <w:trHeight w:val="208"/>
        </w:trPr>
        <w:tc>
          <w:tcPr>
            <w:tcW w:w="4659" w:type="dxa"/>
            <w:tcBorders>
              <w:top w:val="nil"/>
              <w:left w:val="nil"/>
              <w:bottom w:val="nil"/>
              <w:right w:val="nil"/>
            </w:tcBorders>
            <w:shd w:val="clear" w:color="auto" w:fill="auto"/>
            <w:vAlign w:val="center"/>
            <w:hideMark/>
          </w:tcPr>
          <w:p w14:paraId="10EA98AD" w14:textId="77777777" w:rsidR="00753D80" w:rsidRPr="00753D80" w:rsidRDefault="00753D80" w:rsidP="00753D80">
            <w:pPr>
              <w:jc w:val="both"/>
              <w:rPr>
                <w:b/>
                <w:bCs/>
                <w:sz w:val="18"/>
                <w:szCs w:val="18"/>
                <w:lang w:eastAsia="tr-TR"/>
              </w:rPr>
            </w:pPr>
            <w:r w:rsidRPr="00753D80">
              <w:rPr>
                <w:b/>
                <w:bCs/>
                <w:sz w:val="18"/>
                <w:szCs w:val="18"/>
                <w:lang w:eastAsia="tr-TR"/>
              </w:rPr>
              <w:t>Önceki Dönem</w:t>
            </w:r>
          </w:p>
        </w:tc>
        <w:tc>
          <w:tcPr>
            <w:tcW w:w="1469" w:type="dxa"/>
            <w:tcBorders>
              <w:top w:val="nil"/>
              <w:left w:val="nil"/>
              <w:bottom w:val="nil"/>
              <w:right w:val="nil"/>
            </w:tcBorders>
            <w:shd w:val="clear" w:color="auto" w:fill="auto"/>
            <w:vAlign w:val="center"/>
            <w:hideMark/>
          </w:tcPr>
          <w:p w14:paraId="12EFDF98" w14:textId="77777777" w:rsidR="00753D80" w:rsidRPr="00753D80" w:rsidRDefault="00753D80" w:rsidP="00753D80">
            <w:pPr>
              <w:jc w:val="right"/>
              <w:rPr>
                <w:b/>
                <w:bCs/>
                <w:sz w:val="18"/>
                <w:szCs w:val="18"/>
                <w:lang w:eastAsia="tr-TR"/>
              </w:rPr>
            </w:pPr>
            <w:r w:rsidRPr="00753D80">
              <w:rPr>
                <w:b/>
                <w:bCs/>
                <w:sz w:val="18"/>
                <w:szCs w:val="18"/>
                <w:lang w:eastAsia="tr-TR"/>
              </w:rPr>
              <w:t>-</w:t>
            </w:r>
          </w:p>
        </w:tc>
        <w:tc>
          <w:tcPr>
            <w:tcW w:w="1469" w:type="dxa"/>
            <w:tcBorders>
              <w:top w:val="nil"/>
              <w:left w:val="nil"/>
              <w:bottom w:val="nil"/>
              <w:right w:val="nil"/>
            </w:tcBorders>
            <w:shd w:val="clear" w:color="auto" w:fill="auto"/>
            <w:vAlign w:val="center"/>
            <w:hideMark/>
          </w:tcPr>
          <w:p w14:paraId="17618D48" w14:textId="77777777" w:rsidR="00753D80" w:rsidRPr="00753D80" w:rsidRDefault="00753D80" w:rsidP="00753D80">
            <w:pPr>
              <w:jc w:val="right"/>
              <w:rPr>
                <w:b/>
                <w:bCs/>
                <w:sz w:val="18"/>
                <w:szCs w:val="18"/>
                <w:lang w:eastAsia="tr-TR"/>
              </w:rPr>
            </w:pPr>
            <w:r w:rsidRPr="00753D80">
              <w:rPr>
                <w:b/>
                <w:bCs/>
                <w:sz w:val="18"/>
                <w:szCs w:val="18"/>
                <w:lang w:eastAsia="tr-TR"/>
              </w:rPr>
              <w:t>65,699</w:t>
            </w:r>
          </w:p>
        </w:tc>
        <w:tc>
          <w:tcPr>
            <w:tcW w:w="1485" w:type="dxa"/>
            <w:tcBorders>
              <w:top w:val="nil"/>
              <w:left w:val="nil"/>
              <w:bottom w:val="nil"/>
              <w:right w:val="nil"/>
            </w:tcBorders>
            <w:shd w:val="clear" w:color="auto" w:fill="auto"/>
            <w:vAlign w:val="center"/>
            <w:hideMark/>
          </w:tcPr>
          <w:p w14:paraId="1475CC70" w14:textId="77777777" w:rsidR="00753D80" w:rsidRPr="00753D80" w:rsidRDefault="00753D80" w:rsidP="00753D80">
            <w:pPr>
              <w:jc w:val="right"/>
              <w:rPr>
                <w:b/>
                <w:bCs/>
                <w:sz w:val="18"/>
                <w:szCs w:val="18"/>
                <w:lang w:eastAsia="tr-TR"/>
              </w:rPr>
            </w:pPr>
            <w:r w:rsidRPr="00753D80">
              <w:rPr>
                <w:b/>
                <w:bCs/>
                <w:sz w:val="18"/>
                <w:szCs w:val="18"/>
                <w:lang w:eastAsia="tr-TR"/>
              </w:rPr>
              <w:t>-</w:t>
            </w:r>
          </w:p>
        </w:tc>
      </w:tr>
      <w:tr w:rsidR="00753D80" w:rsidRPr="00753D80" w14:paraId="3275EB04" w14:textId="77777777" w:rsidTr="006B1072">
        <w:trPr>
          <w:divId w:val="2099862524"/>
          <w:trHeight w:val="208"/>
        </w:trPr>
        <w:tc>
          <w:tcPr>
            <w:tcW w:w="4659" w:type="dxa"/>
            <w:tcBorders>
              <w:top w:val="nil"/>
              <w:left w:val="nil"/>
              <w:bottom w:val="nil"/>
              <w:right w:val="nil"/>
            </w:tcBorders>
            <w:shd w:val="clear" w:color="auto" w:fill="auto"/>
            <w:vAlign w:val="center"/>
            <w:hideMark/>
          </w:tcPr>
          <w:p w14:paraId="14FEEA41" w14:textId="77777777" w:rsidR="00753D80" w:rsidRPr="00753D80" w:rsidRDefault="00753D80" w:rsidP="00753D80">
            <w:pPr>
              <w:jc w:val="both"/>
              <w:rPr>
                <w:sz w:val="18"/>
                <w:szCs w:val="18"/>
                <w:lang w:eastAsia="tr-TR"/>
              </w:rPr>
            </w:pPr>
            <w:r w:rsidRPr="00753D80">
              <w:rPr>
                <w:sz w:val="18"/>
                <w:szCs w:val="18"/>
                <w:lang w:eastAsia="tr-TR"/>
              </w:rPr>
              <w:t>Karşılıklardan Önceki Brüt Tutarlar</w:t>
            </w:r>
          </w:p>
        </w:tc>
        <w:tc>
          <w:tcPr>
            <w:tcW w:w="1469" w:type="dxa"/>
            <w:tcBorders>
              <w:top w:val="nil"/>
              <w:left w:val="nil"/>
              <w:bottom w:val="nil"/>
              <w:right w:val="nil"/>
            </w:tcBorders>
            <w:shd w:val="clear" w:color="auto" w:fill="auto"/>
            <w:vAlign w:val="center"/>
            <w:hideMark/>
          </w:tcPr>
          <w:p w14:paraId="126D87C6" w14:textId="77777777" w:rsidR="00753D80" w:rsidRPr="00753D80" w:rsidRDefault="00753D80" w:rsidP="00753D80">
            <w:pPr>
              <w:jc w:val="right"/>
              <w:rPr>
                <w:sz w:val="18"/>
                <w:szCs w:val="18"/>
                <w:lang w:eastAsia="tr-TR"/>
              </w:rPr>
            </w:pPr>
            <w:r w:rsidRPr="00753D80">
              <w:rPr>
                <w:sz w:val="18"/>
                <w:szCs w:val="18"/>
                <w:lang w:eastAsia="tr-TR"/>
              </w:rPr>
              <w:t>-</w:t>
            </w:r>
          </w:p>
        </w:tc>
        <w:tc>
          <w:tcPr>
            <w:tcW w:w="1469" w:type="dxa"/>
            <w:tcBorders>
              <w:top w:val="nil"/>
              <w:left w:val="nil"/>
              <w:bottom w:val="nil"/>
              <w:right w:val="nil"/>
            </w:tcBorders>
            <w:shd w:val="clear" w:color="auto" w:fill="auto"/>
            <w:vAlign w:val="center"/>
            <w:hideMark/>
          </w:tcPr>
          <w:p w14:paraId="0EFE6756" w14:textId="514600C4" w:rsidR="00753D80" w:rsidRPr="00753D80" w:rsidRDefault="000C71C2" w:rsidP="00753D80">
            <w:pPr>
              <w:jc w:val="right"/>
              <w:rPr>
                <w:sz w:val="18"/>
                <w:szCs w:val="18"/>
                <w:lang w:eastAsia="tr-TR"/>
              </w:rPr>
            </w:pPr>
            <w:r>
              <w:rPr>
                <w:sz w:val="18"/>
                <w:szCs w:val="18"/>
                <w:lang w:eastAsia="tr-TR"/>
              </w:rPr>
              <w:t>-</w:t>
            </w:r>
          </w:p>
        </w:tc>
        <w:tc>
          <w:tcPr>
            <w:tcW w:w="1485" w:type="dxa"/>
            <w:tcBorders>
              <w:top w:val="nil"/>
              <w:left w:val="nil"/>
              <w:bottom w:val="nil"/>
              <w:right w:val="nil"/>
            </w:tcBorders>
            <w:shd w:val="clear" w:color="auto" w:fill="auto"/>
            <w:vAlign w:val="center"/>
            <w:hideMark/>
          </w:tcPr>
          <w:p w14:paraId="50CF0EC1" w14:textId="77777777" w:rsidR="00753D80" w:rsidRPr="00753D80" w:rsidRDefault="00753D80" w:rsidP="00753D80">
            <w:pPr>
              <w:jc w:val="right"/>
              <w:rPr>
                <w:sz w:val="18"/>
                <w:szCs w:val="18"/>
                <w:lang w:eastAsia="tr-TR"/>
              </w:rPr>
            </w:pPr>
            <w:r w:rsidRPr="00753D80">
              <w:rPr>
                <w:sz w:val="18"/>
                <w:szCs w:val="18"/>
                <w:lang w:eastAsia="tr-TR"/>
              </w:rPr>
              <w:t>-</w:t>
            </w:r>
          </w:p>
        </w:tc>
      </w:tr>
      <w:tr w:rsidR="00753D80" w:rsidRPr="00753D80" w14:paraId="4AB201BE" w14:textId="77777777" w:rsidTr="006B1072">
        <w:trPr>
          <w:divId w:val="2099862524"/>
          <w:trHeight w:val="221"/>
        </w:trPr>
        <w:tc>
          <w:tcPr>
            <w:tcW w:w="4659" w:type="dxa"/>
            <w:tcBorders>
              <w:top w:val="nil"/>
              <w:left w:val="nil"/>
              <w:bottom w:val="double" w:sz="6" w:space="0" w:color="auto"/>
              <w:right w:val="nil"/>
            </w:tcBorders>
            <w:shd w:val="clear" w:color="auto" w:fill="auto"/>
            <w:vAlign w:val="center"/>
            <w:hideMark/>
          </w:tcPr>
          <w:p w14:paraId="70C5B751" w14:textId="77777777" w:rsidR="00753D80" w:rsidRPr="00753D80" w:rsidRDefault="00753D80" w:rsidP="00753D80">
            <w:pPr>
              <w:jc w:val="both"/>
              <w:rPr>
                <w:sz w:val="18"/>
                <w:szCs w:val="18"/>
                <w:lang w:eastAsia="tr-TR"/>
              </w:rPr>
            </w:pPr>
            <w:r w:rsidRPr="00753D80">
              <w:rPr>
                <w:sz w:val="18"/>
                <w:szCs w:val="18"/>
                <w:lang w:eastAsia="tr-TR"/>
              </w:rPr>
              <w:t>Yeniden Yapılandırılan Krediler</w:t>
            </w:r>
          </w:p>
        </w:tc>
        <w:tc>
          <w:tcPr>
            <w:tcW w:w="1469" w:type="dxa"/>
            <w:tcBorders>
              <w:top w:val="nil"/>
              <w:left w:val="nil"/>
              <w:bottom w:val="double" w:sz="6" w:space="0" w:color="auto"/>
              <w:right w:val="nil"/>
            </w:tcBorders>
            <w:shd w:val="clear" w:color="auto" w:fill="auto"/>
            <w:vAlign w:val="center"/>
            <w:hideMark/>
          </w:tcPr>
          <w:p w14:paraId="6C168779" w14:textId="77777777" w:rsidR="00753D80" w:rsidRPr="00753D80" w:rsidRDefault="00753D80" w:rsidP="00753D80">
            <w:pPr>
              <w:jc w:val="right"/>
              <w:rPr>
                <w:sz w:val="18"/>
                <w:szCs w:val="18"/>
                <w:lang w:eastAsia="tr-TR"/>
              </w:rPr>
            </w:pPr>
            <w:r w:rsidRPr="00753D80">
              <w:rPr>
                <w:sz w:val="18"/>
                <w:szCs w:val="18"/>
                <w:lang w:eastAsia="tr-TR"/>
              </w:rPr>
              <w:t>-</w:t>
            </w:r>
          </w:p>
        </w:tc>
        <w:tc>
          <w:tcPr>
            <w:tcW w:w="1469" w:type="dxa"/>
            <w:tcBorders>
              <w:top w:val="nil"/>
              <w:left w:val="nil"/>
              <w:bottom w:val="double" w:sz="6" w:space="0" w:color="auto"/>
              <w:right w:val="nil"/>
            </w:tcBorders>
            <w:shd w:val="clear" w:color="auto" w:fill="auto"/>
            <w:vAlign w:val="center"/>
            <w:hideMark/>
          </w:tcPr>
          <w:p w14:paraId="37582046" w14:textId="603681AB" w:rsidR="00753D80" w:rsidRPr="00753D80" w:rsidRDefault="000C71C2" w:rsidP="00753D80">
            <w:pPr>
              <w:jc w:val="right"/>
              <w:rPr>
                <w:sz w:val="18"/>
                <w:szCs w:val="18"/>
                <w:lang w:eastAsia="tr-TR"/>
              </w:rPr>
            </w:pPr>
            <w:r>
              <w:rPr>
                <w:sz w:val="18"/>
                <w:szCs w:val="18"/>
                <w:lang w:eastAsia="tr-TR"/>
              </w:rPr>
              <w:t>65,699</w:t>
            </w:r>
          </w:p>
        </w:tc>
        <w:tc>
          <w:tcPr>
            <w:tcW w:w="1485" w:type="dxa"/>
            <w:tcBorders>
              <w:top w:val="nil"/>
              <w:left w:val="nil"/>
              <w:bottom w:val="double" w:sz="6" w:space="0" w:color="auto"/>
              <w:right w:val="nil"/>
            </w:tcBorders>
            <w:shd w:val="clear" w:color="auto" w:fill="auto"/>
            <w:vAlign w:val="center"/>
            <w:hideMark/>
          </w:tcPr>
          <w:p w14:paraId="4ADAE5E3" w14:textId="77777777" w:rsidR="00753D80" w:rsidRPr="00753D80" w:rsidRDefault="00753D80" w:rsidP="00753D80">
            <w:pPr>
              <w:jc w:val="right"/>
              <w:rPr>
                <w:sz w:val="18"/>
                <w:szCs w:val="18"/>
                <w:lang w:eastAsia="tr-TR"/>
              </w:rPr>
            </w:pPr>
            <w:r w:rsidRPr="00753D80">
              <w:rPr>
                <w:sz w:val="18"/>
                <w:szCs w:val="18"/>
                <w:lang w:eastAsia="tr-TR"/>
              </w:rPr>
              <w:t>-</w:t>
            </w:r>
          </w:p>
        </w:tc>
      </w:tr>
    </w:tbl>
    <w:p w14:paraId="544327A5" w14:textId="77777777" w:rsidR="0093071A" w:rsidRPr="00753D80" w:rsidRDefault="0093071A" w:rsidP="00134A72">
      <w:pPr>
        <w:rPr>
          <w:iCs/>
          <w:sz w:val="16"/>
          <w:szCs w:val="16"/>
        </w:rPr>
      </w:pPr>
    </w:p>
    <w:p w14:paraId="19FB2389" w14:textId="77777777" w:rsidR="00BA637F" w:rsidRDefault="00BA637F">
      <w:pPr>
        <w:rPr>
          <w:b/>
          <w:iCs/>
        </w:rPr>
      </w:pPr>
      <w:r>
        <w:rPr>
          <w:b/>
          <w:iCs/>
        </w:rPr>
        <w:br w:type="page"/>
      </w:r>
    </w:p>
    <w:p w14:paraId="4B5C2121" w14:textId="47AEDA57" w:rsidR="005A1EDE" w:rsidRPr="00004514" w:rsidRDefault="00990912" w:rsidP="00055FF4">
      <w:pPr>
        <w:tabs>
          <w:tab w:val="left" w:pos="0"/>
        </w:tabs>
        <w:ind w:left="-567"/>
        <w:rPr>
          <w:b/>
          <w:iCs/>
        </w:rPr>
      </w:pPr>
      <w:r w:rsidRPr="00004514">
        <w:rPr>
          <w:b/>
          <w:iCs/>
        </w:rPr>
        <w:lastRenderedPageBreak/>
        <w:t>1.5.</w:t>
      </w:r>
      <w:r w:rsidR="0048609D" w:rsidRPr="00004514">
        <w:rPr>
          <w:b/>
          <w:iCs/>
        </w:rPr>
        <w:t xml:space="preserve">10.2. </w:t>
      </w:r>
      <w:r w:rsidR="00E253C8" w:rsidRPr="00004514">
        <w:rPr>
          <w:iCs/>
        </w:rPr>
        <w:t xml:space="preserve">Toplam donuk alacak hareketlerine ilişkin </w:t>
      </w:r>
      <w:r w:rsidR="00032F11" w:rsidRPr="00004514">
        <w:rPr>
          <w:iCs/>
        </w:rPr>
        <w:t>bilgiler:</w:t>
      </w:r>
    </w:p>
    <w:p w14:paraId="7A29653F" w14:textId="5964645F" w:rsidR="00004514" w:rsidRPr="00004514" w:rsidRDefault="00535CF4" w:rsidP="00AC28B2">
      <w:pPr>
        <w:tabs>
          <w:tab w:val="left" w:pos="900"/>
        </w:tabs>
        <w:rPr>
          <w:lang w:val="en-GB" w:eastAsia="en-GB"/>
        </w:rPr>
      </w:pPr>
      <w:r w:rsidRPr="00004514">
        <w:rPr>
          <w:iCs/>
          <w:sz w:val="2"/>
        </w:rPr>
        <w:br/>
      </w:r>
    </w:p>
    <w:tbl>
      <w:tblPr>
        <w:tblW w:w="9164" w:type="dxa"/>
        <w:tblCellMar>
          <w:left w:w="70" w:type="dxa"/>
          <w:right w:w="70" w:type="dxa"/>
        </w:tblCellMar>
        <w:tblLook w:val="04A0" w:firstRow="1" w:lastRow="0" w:firstColumn="1" w:lastColumn="0" w:noHBand="0" w:noVBand="1"/>
      </w:tblPr>
      <w:tblGrid>
        <w:gridCol w:w="4314"/>
        <w:gridCol w:w="1852"/>
        <w:gridCol w:w="1543"/>
        <w:gridCol w:w="1455"/>
      </w:tblGrid>
      <w:tr w:rsidR="00004514" w:rsidRPr="00004514" w14:paraId="08203D69" w14:textId="77777777" w:rsidTr="00A43E58">
        <w:trPr>
          <w:divId w:val="1321931135"/>
          <w:trHeight w:val="137"/>
        </w:trPr>
        <w:tc>
          <w:tcPr>
            <w:tcW w:w="4314" w:type="dxa"/>
            <w:tcBorders>
              <w:top w:val="double" w:sz="6" w:space="0" w:color="auto"/>
              <w:left w:val="nil"/>
              <w:bottom w:val="nil"/>
              <w:right w:val="nil"/>
            </w:tcBorders>
            <w:shd w:val="clear" w:color="auto" w:fill="auto"/>
            <w:vAlign w:val="center"/>
            <w:hideMark/>
          </w:tcPr>
          <w:p w14:paraId="46C5623E" w14:textId="77CC7820" w:rsidR="00004514" w:rsidRPr="00004514" w:rsidRDefault="00004514" w:rsidP="00004514">
            <w:pPr>
              <w:jc w:val="right"/>
              <w:rPr>
                <w:sz w:val="18"/>
                <w:szCs w:val="18"/>
                <w:lang w:eastAsia="tr-TR"/>
              </w:rPr>
            </w:pPr>
            <w:r w:rsidRPr="00004514">
              <w:rPr>
                <w:sz w:val="18"/>
                <w:szCs w:val="18"/>
                <w:lang w:eastAsia="tr-TR"/>
              </w:rPr>
              <w:t xml:space="preserve">  </w:t>
            </w:r>
          </w:p>
        </w:tc>
        <w:tc>
          <w:tcPr>
            <w:tcW w:w="1852" w:type="dxa"/>
            <w:tcBorders>
              <w:top w:val="double" w:sz="6" w:space="0" w:color="auto"/>
              <w:left w:val="nil"/>
              <w:bottom w:val="single" w:sz="8" w:space="0" w:color="auto"/>
              <w:right w:val="nil"/>
            </w:tcBorders>
            <w:shd w:val="clear" w:color="auto" w:fill="auto"/>
            <w:vAlign w:val="center"/>
            <w:hideMark/>
          </w:tcPr>
          <w:p w14:paraId="1D56B347" w14:textId="77777777" w:rsidR="00004514" w:rsidRPr="00004514" w:rsidRDefault="00004514" w:rsidP="00004514">
            <w:pPr>
              <w:jc w:val="right"/>
              <w:rPr>
                <w:b/>
                <w:bCs/>
                <w:sz w:val="18"/>
                <w:szCs w:val="18"/>
                <w:lang w:eastAsia="tr-TR"/>
              </w:rPr>
            </w:pPr>
            <w:r w:rsidRPr="00004514">
              <w:rPr>
                <w:b/>
                <w:bCs/>
                <w:sz w:val="18"/>
                <w:szCs w:val="18"/>
                <w:lang w:eastAsia="tr-TR"/>
              </w:rPr>
              <w:t>III. Grup</w:t>
            </w:r>
          </w:p>
        </w:tc>
        <w:tc>
          <w:tcPr>
            <w:tcW w:w="1543" w:type="dxa"/>
            <w:tcBorders>
              <w:top w:val="double" w:sz="6" w:space="0" w:color="auto"/>
              <w:left w:val="nil"/>
              <w:bottom w:val="single" w:sz="8" w:space="0" w:color="auto"/>
              <w:right w:val="nil"/>
            </w:tcBorders>
            <w:shd w:val="clear" w:color="auto" w:fill="auto"/>
            <w:vAlign w:val="center"/>
            <w:hideMark/>
          </w:tcPr>
          <w:p w14:paraId="22285A99" w14:textId="77777777" w:rsidR="00004514" w:rsidRPr="00004514" w:rsidRDefault="00004514" w:rsidP="00004514">
            <w:pPr>
              <w:jc w:val="right"/>
              <w:rPr>
                <w:b/>
                <w:bCs/>
                <w:sz w:val="18"/>
                <w:szCs w:val="18"/>
                <w:lang w:eastAsia="tr-TR"/>
              </w:rPr>
            </w:pPr>
            <w:r w:rsidRPr="00004514">
              <w:rPr>
                <w:b/>
                <w:bCs/>
                <w:sz w:val="18"/>
                <w:szCs w:val="18"/>
                <w:lang w:eastAsia="tr-TR"/>
              </w:rPr>
              <w:t>IV. Grup</w:t>
            </w:r>
          </w:p>
        </w:tc>
        <w:tc>
          <w:tcPr>
            <w:tcW w:w="1455" w:type="dxa"/>
            <w:tcBorders>
              <w:top w:val="double" w:sz="6" w:space="0" w:color="auto"/>
              <w:left w:val="nil"/>
              <w:bottom w:val="single" w:sz="8" w:space="0" w:color="auto"/>
              <w:right w:val="nil"/>
            </w:tcBorders>
            <w:shd w:val="clear" w:color="auto" w:fill="auto"/>
            <w:vAlign w:val="center"/>
            <w:hideMark/>
          </w:tcPr>
          <w:p w14:paraId="01287514" w14:textId="77777777" w:rsidR="00004514" w:rsidRPr="00004514" w:rsidRDefault="00004514" w:rsidP="00004514">
            <w:pPr>
              <w:jc w:val="right"/>
              <w:rPr>
                <w:b/>
                <w:bCs/>
                <w:sz w:val="18"/>
                <w:szCs w:val="18"/>
                <w:lang w:eastAsia="tr-TR"/>
              </w:rPr>
            </w:pPr>
            <w:r w:rsidRPr="00004514">
              <w:rPr>
                <w:b/>
                <w:bCs/>
                <w:sz w:val="18"/>
                <w:szCs w:val="18"/>
                <w:lang w:eastAsia="tr-TR"/>
              </w:rPr>
              <w:t>V. Grup</w:t>
            </w:r>
          </w:p>
        </w:tc>
      </w:tr>
      <w:tr w:rsidR="00004514" w:rsidRPr="00004514" w14:paraId="70F5FD03" w14:textId="77777777" w:rsidTr="00A43E58">
        <w:trPr>
          <w:divId w:val="1321931135"/>
          <w:trHeight w:val="650"/>
        </w:trPr>
        <w:tc>
          <w:tcPr>
            <w:tcW w:w="4314" w:type="dxa"/>
            <w:tcBorders>
              <w:top w:val="nil"/>
              <w:left w:val="nil"/>
              <w:bottom w:val="single" w:sz="8" w:space="0" w:color="auto"/>
              <w:right w:val="nil"/>
            </w:tcBorders>
            <w:shd w:val="clear" w:color="auto" w:fill="auto"/>
            <w:vAlign w:val="center"/>
            <w:hideMark/>
          </w:tcPr>
          <w:p w14:paraId="57E0A103" w14:textId="77777777" w:rsidR="00004514" w:rsidRPr="00004514" w:rsidRDefault="00004514" w:rsidP="00004514">
            <w:pPr>
              <w:jc w:val="both"/>
              <w:rPr>
                <w:b/>
                <w:sz w:val="18"/>
                <w:szCs w:val="18"/>
                <w:lang w:eastAsia="tr-TR"/>
              </w:rPr>
            </w:pPr>
            <w:r w:rsidRPr="00004514">
              <w:rPr>
                <w:b/>
                <w:sz w:val="18"/>
                <w:szCs w:val="18"/>
                <w:lang w:eastAsia="tr-TR"/>
              </w:rPr>
              <w:t>Cari Dönem</w:t>
            </w:r>
          </w:p>
        </w:tc>
        <w:tc>
          <w:tcPr>
            <w:tcW w:w="1852" w:type="dxa"/>
            <w:tcBorders>
              <w:top w:val="nil"/>
              <w:left w:val="nil"/>
              <w:bottom w:val="single" w:sz="8" w:space="0" w:color="auto"/>
              <w:right w:val="nil"/>
            </w:tcBorders>
            <w:shd w:val="clear" w:color="auto" w:fill="auto"/>
            <w:vAlign w:val="center"/>
            <w:hideMark/>
          </w:tcPr>
          <w:p w14:paraId="5F8DDA73" w14:textId="77777777" w:rsidR="00004514" w:rsidRPr="00004514" w:rsidRDefault="00004514" w:rsidP="00004514">
            <w:pPr>
              <w:jc w:val="right"/>
              <w:rPr>
                <w:b/>
                <w:bCs/>
                <w:sz w:val="18"/>
                <w:szCs w:val="18"/>
                <w:lang w:eastAsia="tr-TR"/>
              </w:rPr>
            </w:pPr>
            <w:r w:rsidRPr="00004514">
              <w:rPr>
                <w:b/>
                <w:bCs/>
                <w:sz w:val="18"/>
                <w:szCs w:val="18"/>
                <w:lang w:eastAsia="tr-TR"/>
              </w:rPr>
              <w:t xml:space="preserve">Tahsil </w:t>
            </w:r>
            <w:proofErr w:type="gramStart"/>
            <w:r w:rsidRPr="00004514">
              <w:rPr>
                <w:b/>
                <w:bCs/>
                <w:sz w:val="18"/>
                <w:szCs w:val="18"/>
                <w:lang w:eastAsia="tr-TR"/>
              </w:rPr>
              <w:t>imkanı</w:t>
            </w:r>
            <w:proofErr w:type="gramEnd"/>
            <w:r w:rsidRPr="00004514">
              <w:rPr>
                <w:b/>
                <w:bCs/>
                <w:sz w:val="18"/>
                <w:szCs w:val="18"/>
                <w:lang w:eastAsia="tr-TR"/>
              </w:rPr>
              <w:t xml:space="preserve"> sınırlı krediler ve diğer alacaklar</w:t>
            </w:r>
          </w:p>
        </w:tc>
        <w:tc>
          <w:tcPr>
            <w:tcW w:w="1543" w:type="dxa"/>
            <w:tcBorders>
              <w:top w:val="nil"/>
              <w:left w:val="nil"/>
              <w:bottom w:val="single" w:sz="8" w:space="0" w:color="auto"/>
              <w:right w:val="nil"/>
            </w:tcBorders>
            <w:shd w:val="clear" w:color="auto" w:fill="auto"/>
            <w:vAlign w:val="center"/>
            <w:hideMark/>
          </w:tcPr>
          <w:p w14:paraId="60025494" w14:textId="77777777" w:rsidR="00004514" w:rsidRPr="00004514" w:rsidRDefault="00004514" w:rsidP="00004514">
            <w:pPr>
              <w:jc w:val="right"/>
              <w:rPr>
                <w:b/>
                <w:bCs/>
                <w:sz w:val="18"/>
                <w:szCs w:val="18"/>
                <w:lang w:eastAsia="tr-TR"/>
              </w:rPr>
            </w:pPr>
            <w:r w:rsidRPr="00004514">
              <w:rPr>
                <w:b/>
                <w:bCs/>
                <w:sz w:val="18"/>
                <w:szCs w:val="18"/>
                <w:lang w:eastAsia="tr-TR"/>
              </w:rPr>
              <w:t>Tahsili şüpheli krediler ve diğer alacaklar</w:t>
            </w:r>
          </w:p>
        </w:tc>
        <w:tc>
          <w:tcPr>
            <w:tcW w:w="1455" w:type="dxa"/>
            <w:tcBorders>
              <w:top w:val="nil"/>
              <w:left w:val="nil"/>
              <w:bottom w:val="single" w:sz="8" w:space="0" w:color="auto"/>
              <w:right w:val="nil"/>
            </w:tcBorders>
            <w:shd w:val="clear" w:color="auto" w:fill="auto"/>
            <w:vAlign w:val="center"/>
            <w:hideMark/>
          </w:tcPr>
          <w:p w14:paraId="547393B2" w14:textId="77777777" w:rsidR="00004514" w:rsidRPr="00004514" w:rsidRDefault="00004514" w:rsidP="00004514">
            <w:pPr>
              <w:jc w:val="right"/>
              <w:rPr>
                <w:b/>
                <w:bCs/>
                <w:sz w:val="18"/>
                <w:szCs w:val="18"/>
                <w:lang w:eastAsia="tr-TR"/>
              </w:rPr>
            </w:pPr>
            <w:r w:rsidRPr="00004514">
              <w:rPr>
                <w:b/>
                <w:bCs/>
                <w:sz w:val="18"/>
                <w:szCs w:val="18"/>
                <w:lang w:eastAsia="tr-TR"/>
              </w:rPr>
              <w:t>Zarar niteliğindeki krediler ve diğer alacaklar</w:t>
            </w:r>
          </w:p>
        </w:tc>
      </w:tr>
      <w:tr w:rsidR="00A43E58" w:rsidRPr="00004514" w14:paraId="481DFB44" w14:textId="77777777" w:rsidTr="00A43E58">
        <w:trPr>
          <w:divId w:val="1321931135"/>
          <w:trHeight w:val="221"/>
        </w:trPr>
        <w:tc>
          <w:tcPr>
            <w:tcW w:w="4314" w:type="dxa"/>
            <w:tcBorders>
              <w:top w:val="nil"/>
              <w:left w:val="nil"/>
              <w:bottom w:val="nil"/>
              <w:right w:val="nil"/>
            </w:tcBorders>
            <w:shd w:val="clear" w:color="auto" w:fill="auto"/>
            <w:vAlign w:val="center"/>
            <w:hideMark/>
          </w:tcPr>
          <w:p w14:paraId="27F844C4" w14:textId="77777777" w:rsidR="00A43E58" w:rsidRPr="00004514" w:rsidRDefault="00A43E58" w:rsidP="00A43E58">
            <w:pPr>
              <w:jc w:val="both"/>
              <w:rPr>
                <w:b/>
                <w:bCs/>
                <w:sz w:val="18"/>
                <w:szCs w:val="18"/>
                <w:lang w:eastAsia="tr-TR"/>
              </w:rPr>
            </w:pPr>
            <w:r w:rsidRPr="00004514">
              <w:rPr>
                <w:b/>
                <w:bCs/>
                <w:sz w:val="18"/>
                <w:szCs w:val="18"/>
                <w:lang w:eastAsia="tr-TR"/>
              </w:rPr>
              <w:t>Önceki dönem sonu bakiyesi 31.12.2019</w:t>
            </w:r>
          </w:p>
        </w:tc>
        <w:tc>
          <w:tcPr>
            <w:tcW w:w="1852" w:type="dxa"/>
            <w:tcBorders>
              <w:top w:val="nil"/>
              <w:left w:val="nil"/>
              <w:bottom w:val="nil"/>
              <w:right w:val="nil"/>
            </w:tcBorders>
            <w:shd w:val="clear" w:color="auto" w:fill="auto"/>
            <w:vAlign w:val="center"/>
            <w:hideMark/>
          </w:tcPr>
          <w:p w14:paraId="7A72E399" w14:textId="51056064" w:rsidR="00A43E58" w:rsidRPr="00004514" w:rsidRDefault="00A43E58" w:rsidP="00A43E58">
            <w:pPr>
              <w:jc w:val="right"/>
              <w:rPr>
                <w:b/>
                <w:bCs/>
                <w:sz w:val="18"/>
                <w:szCs w:val="18"/>
                <w:lang w:eastAsia="tr-TR"/>
              </w:rPr>
            </w:pPr>
            <w:r w:rsidRPr="008B23B5">
              <w:rPr>
                <w:b/>
                <w:bCs/>
                <w:sz w:val="18"/>
                <w:szCs w:val="18"/>
                <w:lang w:eastAsia="tr-TR"/>
              </w:rPr>
              <w:t>250,407</w:t>
            </w:r>
          </w:p>
        </w:tc>
        <w:tc>
          <w:tcPr>
            <w:tcW w:w="1543" w:type="dxa"/>
            <w:tcBorders>
              <w:top w:val="nil"/>
              <w:left w:val="nil"/>
              <w:bottom w:val="nil"/>
              <w:right w:val="nil"/>
            </w:tcBorders>
            <w:shd w:val="clear" w:color="auto" w:fill="auto"/>
            <w:vAlign w:val="center"/>
            <w:hideMark/>
          </w:tcPr>
          <w:p w14:paraId="249260F7" w14:textId="4D344876" w:rsidR="00A43E58" w:rsidRPr="00004514" w:rsidRDefault="00A43E58" w:rsidP="00A43E58">
            <w:pPr>
              <w:jc w:val="right"/>
              <w:rPr>
                <w:b/>
                <w:bCs/>
                <w:sz w:val="18"/>
                <w:szCs w:val="18"/>
                <w:lang w:eastAsia="tr-TR"/>
              </w:rPr>
            </w:pPr>
            <w:r w:rsidRPr="008B23B5">
              <w:rPr>
                <w:b/>
                <w:bCs/>
                <w:sz w:val="18"/>
                <w:szCs w:val="18"/>
                <w:lang w:eastAsia="tr-TR"/>
              </w:rPr>
              <w:t>318,133</w:t>
            </w:r>
          </w:p>
        </w:tc>
        <w:tc>
          <w:tcPr>
            <w:tcW w:w="1455" w:type="dxa"/>
            <w:tcBorders>
              <w:top w:val="nil"/>
              <w:left w:val="nil"/>
              <w:bottom w:val="nil"/>
              <w:right w:val="nil"/>
            </w:tcBorders>
            <w:shd w:val="clear" w:color="auto" w:fill="auto"/>
            <w:vAlign w:val="center"/>
            <w:hideMark/>
          </w:tcPr>
          <w:p w14:paraId="1E9EAB4A" w14:textId="6EBA895E" w:rsidR="00A43E58" w:rsidRPr="00004514" w:rsidRDefault="00A43E58" w:rsidP="00A43E58">
            <w:pPr>
              <w:jc w:val="right"/>
              <w:rPr>
                <w:b/>
                <w:bCs/>
                <w:sz w:val="18"/>
                <w:szCs w:val="18"/>
                <w:lang w:eastAsia="tr-TR"/>
              </w:rPr>
            </w:pPr>
            <w:r w:rsidRPr="008B23B5">
              <w:rPr>
                <w:b/>
                <w:bCs/>
                <w:sz w:val="18"/>
                <w:szCs w:val="18"/>
                <w:lang w:eastAsia="tr-TR"/>
              </w:rPr>
              <w:t>1,475,134</w:t>
            </w:r>
          </w:p>
        </w:tc>
      </w:tr>
      <w:tr w:rsidR="00A43E58" w:rsidRPr="00004514" w14:paraId="286D05D1" w14:textId="77777777" w:rsidTr="00A43E58">
        <w:trPr>
          <w:divId w:val="1321931135"/>
          <w:trHeight w:val="235"/>
        </w:trPr>
        <w:tc>
          <w:tcPr>
            <w:tcW w:w="4314" w:type="dxa"/>
            <w:tcBorders>
              <w:top w:val="nil"/>
              <w:left w:val="nil"/>
              <w:bottom w:val="nil"/>
              <w:right w:val="nil"/>
            </w:tcBorders>
            <w:shd w:val="clear" w:color="auto" w:fill="auto"/>
            <w:vAlign w:val="center"/>
            <w:hideMark/>
          </w:tcPr>
          <w:p w14:paraId="413D412F" w14:textId="77777777" w:rsidR="00A43E58" w:rsidRPr="00004514" w:rsidRDefault="00A43E58" w:rsidP="00A43E58">
            <w:pPr>
              <w:jc w:val="both"/>
              <w:rPr>
                <w:sz w:val="18"/>
                <w:szCs w:val="18"/>
                <w:lang w:eastAsia="tr-TR"/>
              </w:rPr>
            </w:pPr>
            <w:r w:rsidRPr="00004514">
              <w:rPr>
                <w:sz w:val="18"/>
                <w:szCs w:val="18"/>
                <w:lang w:eastAsia="tr-TR"/>
              </w:rPr>
              <w:t>Dönem içinde intikal (+)</w:t>
            </w:r>
          </w:p>
        </w:tc>
        <w:tc>
          <w:tcPr>
            <w:tcW w:w="1852" w:type="dxa"/>
            <w:tcBorders>
              <w:top w:val="nil"/>
              <w:left w:val="nil"/>
              <w:bottom w:val="nil"/>
              <w:right w:val="nil"/>
            </w:tcBorders>
            <w:shd w:val="clear" w:color="auto" w:fill="auto"/>
            <w:vAlign w:val="center"/>
            <w:hideMark/>
          </w:tcPr>
          <w:p w14:paraId="65FA8DFA" w14:textId="57DB5CEC" w:rsidR="00A43E58" w:rsidRPr="00004514" w:rsidRDefault="00A43E58" w:rsidP="00A43E58">
            <w:pPr>
              <w:jc w:val="right"/>
              <w:rPr>
                <w:sz w:val="18"/>
                <w:szCs w:val="18"/>
                <w:lang w:eastAsia="tr-TR"/>
              </w:rPr>
            </w:pPr>
            <w:r w:rsidRPr="008B23B5">
              <w:rPr>
                <w:sz w:val="18"/>
                <w:szCs w:val="18"/>
                <w:lang w:eastAsia="tr-TR"/>
              </w:rPr>
              <w:t>183,412</w:t>
            </w:r>
          </w:p>
        </w:tc>
        <w:tc>
          <w:tcPr>
            <w:tcW w:w="1543" w:type="dxa"/>
            <w:tcBorders>
              <w:top w:val="nil"/>
              <w:left w:val="nil"/>
              <w:bottom w:val="nil"/>
              <w:right w:val="nil"/>
            </w:tcBorders>
            <w:shd w:val="clear" w:color="auto" w:fill="auto"/>
            <w:vAlign w:val="center"/>
            <w:hideMark/>
          </w:tcPr>
          <w:p w14:paraId="58258ADB" w14:textId="3A397F0F" w:rsidR="00A43E58" w:rsidRPr="00004514" w:rsidRDefault="00A43E58" w:rsidP="00A43E58">
            <w:pPr>
              <w:jc w:val="right"/>
              <w:rPr>
                <w:sz w:val="18"/>
                <w:szCs w:val="18"/>
                <w:lang w:eastAsia="tr-TR"/>
              </w:rPr>
            </w:pPr>
            <w:r w:rsidRPr="008B23B5">
              <w:rPr>
                <w:sz w:val="18"/>
                <w:szCs w:val="18"/>
                <w:lang w:eastAsia="tr-TR"/>
              </w:rPr>
              <w:t>408,371</w:t>
            </w:r>
          </w:p>
        </w:tc>
        <w:tc>
          <w:tcPr>
            <w:tcW w:w="1455" w:type="dxa"/>
            <w:tcBorders>
              <w:top w:val="nil"/>
              <w:left w:val="nil"/>
              <w:bottom w:val="nil"/>
              <w:right w:val="nil"/>
            </w:tcBorders>
            <w:shd w:val="clear" w:color="auto" w:fill="auto"/>
            <w:vAlign w:val="center"/>
            <w:hideMark/>
          </w:tcPr>
          <w:p w14:paraId="334CE800" w14:textId="19C70253" w:rsidR="00A43E58" w:rsidRPr="00004514" w:rsidRDefault="00A43E58" w:rsidP="00A43E58">
            <w:pPr>
              <w:jc w:val="right"/>
              <w:rPr>
                <w:sz w:val="18"/>
                <w:szCs w:val="18"/>
                <w:lang w:eastAsia="tr-TR"/>
              </w:rPr>
            </w:pPr>
            <w:r w:rsidRPr="008B23B5">
              <w:rPr>
                <w:sz w:val="18"/>
                <w:szCs w:val="18"/>
                <w:lang w:eastAsia="tr-TR"/>
              </w:rPr>
              <w:t>245,093</w:t>
            </w:r>
          </w:p>
        </w:tc>
      </w:tr>
      <w:tr w:rsidR="00A43E58" w:rsidRPr="00004514" w14:paraId="2F43B7CD" w14:textId="77777777" w:rsidTr="00A43E58">
        <w:trPr>
          <w:divId w:val="1321931135"/>
          <w:trHeight w:val="235"/>
        </w:trPr>
        <w:tc>
          <w:tcPr>
            <w:tcW w:w="4314" w:type="dxa"/>
            <w:tcBorders>
              <w:top w:val="nil"/>
              <w:left w:val="nil"/>
              <w:bottom w:val="nil"/>
              <w:right w:val="nil"/>
            </w:tcBorders>
            <w:shd w:val="clear" w:color="auto" w:fill="auto"/>
            <w:vAlign w:val="center"/>
            <w:hideMark/>
          </w:tcPr>
          <w:p w14:paraId="7984F724" w14:textId="77777777" w:rsidR="00A43E58" w:rsidRPr="00004514" w:rsidRDefault="00A43E58" w:rsidP="00A43E58">
            <w:pPr>
              <w:jc w:val="both"/>
              <w:rPr>
                <w:sz w:val="18"/>
                <w:szCs w:val="18"/>
                <w:lang w:eastAsia="tr-TR"/>
              </w:rPr>
            </w:pPr>
            <w:r w:rsidRPr="00004514">
              <w:rPr>
                <w:sz w:val="18"/>
                <w:szCs w:val="18"/>
                <w:lang w:eastAsia="tr-TR"/>
              </w:rPr>
              <w:t>Diğer donuk alacak hesaplarından giriş (+)</w:t>
            </w:r>
          </w:p>
        </w:tc>
        <w:tc>
          <w:tcPr>
            <w:tcW w:w="1852" w:type="dxa"/>
            <w:tcBorders>
              <w:top w:val="nil"/>
              <w:left w:val="nil"/>
              <w:bottom w:val="nil"/>
              <w:right w:val="nil"/>
            </w:tcBorders>
            <w:shd w:val="clear" w:color="auto" w:fill="auto"/>
            <w:vAlign w:val="center"/>
            <w:hideMark/>
          </w:tcPr>
          <w:p w14:paraId="7D0A2692" w14:textId="554A65A2" w:rsidR="00A43E58" w:rsidRPr="00004514" w:rsidRDefault="00A43E58" w:rsidP="00A43E58">
            <w:pPr>
              <w:jc w:val="right"/>
              <w:rPr>
                <w:sz w:val="18"/>
                <w:szCs w:val="18"/>
                <w:lang w:eastAsia="tr-TR"/>
              </w:rPr>
            </w:pPr>
            <w:r w:rsidRPr="008B23B5">
              <w:rPr>
                <w:sz w:val="18"/>
                <w:szCs w:val="18"/>
                <w:lang w:eastAsia="tr-TR"/>
              </w:rPr>
              <w:t>8,521</w:t>
            </w:r>
          </w:p>
        </w:tc>
        <w:tc>
          <w:tcPr>
            <w:tcW w:w="1543" w:type="dxa"/>
            <w:tcBorders>
              <w:top w:val="nil"/>
              <w:left w:val="nil"/>
              <w:bottom w:val="nil"/>
              <w:right w:val="nil"/>
            </w:tcBorders>
            <w:shd w:val="clear" w:color="auto" w:fill="auto"/>
            <w:vAlign w:val="center"/>
            <w:hideMark/>
          </w:tcPr>
          <w:p w14:paraId="0976B10B" w14:textId="3D550E53" w:rsidR="00A43E58" w:rsidRPr="00004514" w:rsidRDefault="00A43E58" w:rsidP="00A43E58">
            <w:pPr>
              <w:jc w:val="right"/>
              <w:rPr>
                <w:sz w:val="18"/>
                <w:szCs w:val="18"/>
                <w:lang w:eastAsia="tr-TR"/>
              </w:rPr>
            </w:pPr>
            <w:r w:rsidRPr="008B23B5">
              <w:rPr>
                <w:sz w:val="18"/>
                <w:szCs w:val="18"/>
                <w:lang w:eastAsia="tr-TR"/>
              </w:rPr>
              <w:t>401,386</w:t>
            </w:r>
          </w:p>
        </w:tc>
        <w:tc>
          <w:tcPr>
            <w:tcW w:w="1455" w:type="dxa"/>
            <w:tcBorders>
              <w:top w:val="nil"/>
              <w:left w:val="nil"/>
              <w:bottom w:val="nil"/>
              <w:right w:val="nil"/>
            </w:tcBorders>
            <w:shd w:val="clear" w:color="auto" w:fill="auto"/>
            <w:vAlign w:val="center"/>
            <w:hideMark/>
          </w:tcPr>
          <w:p w14:paraId="2972AC2B" w14:textId="185F3012" w:rsidR="00A43E58" w:rsidRPr="00004514" w:rsidRDefault="00A43E58" w:rsidP="00A43E58">
            <w:pPr>
              <w:jc w:val="right"/>
              <w:rPr>
                <w:sz w:val="18"/>
                <w:szCs w:val="18"/>
                <w:lang w:eastAsia="tr-TR"/>
              </w:rPr>
            </w:pPr>
            <w:r w:rsidRPr="008B23B5">
              <w:rPr>
                <w:sz w:val="18"/>
                <w:szCs w:val="18"/>
                <w:lang w:eastAsia="tr-TR"/>
              </w:rPr>
              <w:t>412,034</w:t>
            </w:r>
          </w:p>
        </w:tc>
      </w:tr>
      <w:tr w:rsidR="00A43E58" w:rsidRPr="00004514" w14:paraId="524DA5F3" w14:textId="77777777" w:rsidTr="00A43E58">
        <w:trPr>
          <w:divId w:val="1321931135"/>
          <w:trHeight w:val="235"/>
        </w:trPr>
        <w:tc>
          <w:tcPr>
            <w:tcW w:w="4314" w:type="dxa"/>
            <w:tcBorders>
              <w:top w:val="nil"/>
              <w:left w:val="nil"/>
              <w:bottom w:val="nil"/>
              <w:right w:val="nil"/>
            </w:tcBorders>
            <w:shd w:val="clear" w:color="auto" w:fill="auto"/>
            <w:vAlign w:val="center"/>
            <w:hideMark/>
          </w:tcPr>
          <w:p w14:paraId="53EF0691" w14:textId="77777777" w:rsidR="00A43E58" w:rsidRPr="00004514" w:rsidRDefault="00A43E58" w:rsidP="00A43E58">
            <w:pPr>
              <w:jc w:val="both"/>
              <w:rPr>
                <w:sz w:val="18"/>
                <w:szCs w:val="18"/>
                <w:lang w:eastAsia="tr-TR"/>
              </w:rPr>
            </w:pPr>
            <w:r w:rsidRPr="00004514">
              <w:rPr>
                <w:sz w:val="18"/>
                <w:szCs w:val="18"/>
                <w:lang w:eastAsia="tr-TR"/>
              </w:rPr>
              <w:t xml:space="preserve">Diğer donuk alacak hesaplarına </w:t>
            </w:r>
            <w:proofErr w:type="gramStart"/>
            <w:r w:rsidRPr="00004514">
              <w:rPr>
                <w:sz w:val="18"/>
                <w:szCs w:val="18"/>
                <w:lang w:eastAsia="tr-TR"/>
              </w:rPr>
              <w:t>çıkış(</w:t>
            </w:r>
            <w:proofErr w:type="gramEnd"/>
            <w:r w:rsidRPr="00004514">
              <w:rPr>
                <w:sz w:val="18"/>
                <w:szCs w:val="18"/>
                <w:lang w:eastAsia="tr-TR"/>
              </w:rPr>
              <w:t>-)</w:t>
            </w:r>
          </w:p>
        </w:tc>
        <w:tc>
          <w:tcPr>
            <w:tcW w:w="1852" w:type="dxa"/>
            <w:tcBorders>
              <w:top w:val="nil"/>
              <w:left w:val="nil"/>
              <w:bottom w:val="nil"/>
              <w:right w:val="nil"/>
            </w:tcBorders>
            <w:shd w:val="clear" w:color="auto" w:fill="auto"/>
            <w:vAlign w:val="center"/>
            <w:hideMark/>
          </w:tcPr>
          <w:p w14:paraId="13DBD360" w14:textId="7343B120" w:rsidR="00A43E58" w:rsidRPr="00004514" w:rsidRDefault="00A43E58" w:rsidP="00A43E58">
            <w:pPr>
              <w:jc w:val="right"/>
              <w:rPr>
                <w:sz w:val="18"/>
                <w:szCs w:val="18"/>
                <w:lang w:eastAsia="tr-TR"/>
              </w:rPr>
            </w:pPr>
            <w:r w:rsidRPr="008B23B5">
              <w:rPr>
                <w:sz w:val="18"/>
                <w:szCs w:val="18"/>
                <w:lang w:eastAsia="tr-TR"/>
              </w:rPr>
              <w:t>400,538</w:t>
            </w:r>
          </w:p>
        </w:tc>
        <w:tc>
          <w:tcPr>
            <w:tcW w:w="1543" w:type="dxa"/>
            <w:tcBorders>
              <w:top w:val="nil"/>
              <w:left w:val="nil"/>
              <w:bottom w:val="nil"/>
              <w:right w:val="nil"/>
            </w:tcBorders>
            <w:shd w:val="clear" w:color="auto" w:fill="auto"/>
            <w:vAlign w:val="center"/>
            <w:hideMark/>
          </w:tcPr>
          <w:p w14:paraId="7348D686" w14:textId="1984DDA3" w:rsidR="00A43E58" w:rsidRPr="00004514" w:rsidRDefault="00A43E58" w:rsidP="00A43E58">
            <w:pPr>
              <w:jc w:val="right"/>
              <w:rPr>
                <w:sz w:val="18"/>
                <w:szCs w:val="18"/>
                <w:lang w:eastAsia="tr-TR"/>
              </w:rPr>
            </w:pPr>
            <w:r w:rsidRPr="008B23B5">
              <w:rPr>
                <w:sz w:val="18"/>
                <w:szCs w:val="18"/>
                <w:lang w:eastAsia="tr-TR"/>
              </w:rPr>
              <w:t>412,008</w:t>
            </w:r>
          </w:p>
        </w:tc>
        <w:tc>
          <w:tcPr>
            <w:tcW w:w="1455" w:type="dxa"/>
            <w:tcBorders>
              <w:top w:val="nil"/>
              <w:left w:val="nil"/>
              <w:bottom w:val="nil"/>
              <w:right w:val="nil"/>
            </w:tcBorders>
            <w:shd w:val="clear" w:color="auto" w:fill="auto"/>
            <w:vAlign w:val="center"/>
            <w:hideMark/>
          </w:tcPr>
          <w:p w14:paraId="4C5ACBEA" w14:textId="7DC49E22" w:rsidR="00A43E58" w:rsidRPr="00004514" w:rsidRDefault="00A43E58" w:rsidP="00A43E58">
            <w:pPr>
              <w:jc w:val="right"/>
              <w:rPr>
                <w:sz w:val="18"/>
                <w:szCs w:val="18"/>
                <w:lang w:eastAsia="tr-TR"/>
              </w:rPr>
            </w:pPr>
            <w:r w:rsidRPr="008B23B5">
              <w:rPr>
                <w:sz w:val="18"/>
                <w:szCs w:val="18"/>
                <w:lang w:eastAsia="tr-TR"/>
              </w:rPr>
              <w:t>9,395</w:t>
            </w:r>
          </w:p>
        </w:tc>
      </w:tr>
      <w:tr w:rsidR="00A43E58" w:rsidRPr="00004514" w14:paraId="6DB5F7C3" w14:textId="77777777" w:rsidTr="00A43E58">
        <w:trPr>
          <w:divId w:val="1321931135"/>
          <w:trHeight w:val="221"/>
        </w:trPr>
        <w:tc>
          <w:tcPr>
            <w:tcW w:w="4314" w:type="dxa"/>
            <w:tcBorders>
              <w:top w:val="nil"/>
              <w:left w:val="nil"/>
              <w:bottom w:val="nil"/>
              <w:right w:val="nil"/>
            </w:tcBorders>
            <w:shd w:val="clear" w:color="auto" w:fill="auto"/>
            <w:vAlign w:val="center"/>
            <w:hideMark/>
          </w:tcPr>
          <w:p w14:paraId="07E4423C" w14:textId="77777777" w:rsidR="00A43E58" w:rsidRPr="00004514" w:rsidRDefault="00A43E58" w:rsidP="00A43E58">
            <w:pPr>
              <w:jc w:val="both"/>
              <w:rPr>
                <w:sz w:val="18"/>
                <w:szCs w:val="18"/>
                <w:lang w:eastAsia="tr-TR"/>
              </w:rPr>
            </w:pPr>
            <w:r w:rsidRPr="00004514">
              <w:rPr>
                <w:sz w:val="18"/>
                <w:szCs w:val="18"/>
                <w:lang w:eastAsia="tr-TR"/>
              </w:rPr>
              <w:t xml:space="preserve">Dönem içinde tahsilat (-) </w:t>
            </w:r>
          </w:p>
        </w:tc>
        <w:tc>
          <w:tcPr>
            <w:tcW w:w="1852" w:type="dxa"/>
            <w:tcBorders>
              <w:top w:val="nil"/>
              <w:left w:val="nil"/>
              <w:bottom w:val="nil"/>
              <w:right w:val="nil"/>
            </w:tcBorders>
            <w:shd w:val="clear" w:color="auto" w:fill="auto"/>
            <w:vAlign w:val="center"/>
            <w:hideMark/>
          </w:tcPr>
          <w:p w14:paraId="5ACD9AF0" w14:textId="6A08C23B" w:rsidR="00A43E58" w:rsidRPr="00004514" w:rsidRDefault="00A43E58" w:rsidP="00A43E58">
            <w:pPr>
              <w:jc w:val="right"/>
              <w:rPr>
                <w:sz w:val="18"/>
                <w:szCs w:val="18"/>
                <w:lang w:eastAsia="tr-TR"/>
              </w:rPr>
            </w:pPr>
            <w:r w:rsidRPr="008B23B5">
              <w:rPr>
                <w:sz w:val="18"/>
                <w:szCs w:val="18"/>
                <w:lang w:eastAsia="tr-TR"/>
              </w:rPr>
              <w:t>18,369</w:t>
            </w:r>
          </w:p>
        </w:tc>
        <w:tc>
          <w:tcPr>
            <w:tcW w:w="1543" w:type="dxa"/>
            <w:tcBorders>
              <w:top w:val="nil"/>
              <w:left w:val="nil"/>
              <w:bottom w:val="nil"/>
              <w:right w:val="nil"/>
            </w:tcBorders>
            <w:shd w:val="clear" w:color="auto" w:fill="auto"/>
            <w:vAlign w:val="center"/>
            <w:hideMark/>
          </w:tcPr>
          <w:p w14:paraId="1CBDCA4C" w14:textId="22FF4F95" w:rsidR="00A43E58" w:rsidRPr="00004514" w:rsidRDefault="00A43E58" w:rsidP="00A43E58">
            <w:pPr>
              <w:jc w:val="right"/>
              <w:rPr>
                <w:sz w:val="18"/>
                <w:szCs w:val="18"/>
                <w:lang w:eastAsia="tr-TR"/>
              </w:rPr>
            </w:pPr>
            <w:r w:rsidRPr="008B23B5">
              <w:rPr>
                <w:sz w:val="18"/>
                <w:szCs w:val="18"/>
                <w:lang w:eastAsia="tr-TR"/>
              </w:rPr>
              <w:t>24,254</w:t>
            </w:r>
          </w:p>
        </w:tc>
        <w:tc>
          <w:tcPr>
            <w:tcW w:w="1455" w:type="dxa"/>
            <w:tcBorders>
              <w:top w:val="nil"/>
              <w:left w:val="nil"/>
              <w:bottom w:val="nil"/>
              <w:right w:val="nil"/>
            </w:tcBorders>
            <w:shd w:val="clear" w:color="auto" w:fill="auto"/>
            <w:vAlign w:val="center"/>
            <w:hideMark/>
          </w:tcPr>
          <w:p w14:paraId="380688AC" w14:textId="165E7390" w:rsidR="00A43E58" w:rsidRPr="00004514" w:rsidRDefault="00A43E58" w:rsidP="00A43E58">
            <w:pPr>
              <w:jc w:val="right"/>
              <w:rPr>
                <w:sz w:val="18"/>
                <w:szCs w:val="18"/>
                <w:lang w:eastAsia="tr-TR"/>
              </w:rPr>
            </w:pPr>
            <w:r w:rsidRPr="008B23B5">
              <w:rPr>
                <w:sz w:val="18"/>
                <w:szCs w:val="18"/>
                <w:lang w:eastAsia="tr-TR"/>
              </w:rPr>
              <w:t>150,665</w:t>
            </w:r>
          </w:p>
        </w:tc>
      </w:tr>
      <w:tr w:rsidR="00A43E58" w:rsidRPr="00004514" w14:paraId="49B3A345" w14:textId="77777777" w:rsidTr="00A43E58">
        <w:trPr>
          <w:divId w:val="1321931135"/>
          <w:trHeight w:val="221"/>
        </w:trPr>
        <w:tc>
          <w:tcPr>
            <w:tcW w:w="4314" w:type="dxa"/>
            <w:tcBorders>
              <w:top w:val="nil"/>
              <w:left w:val="nil"/>
              <w:bottom w:val="nil"/>
              <w:right w:val="nil"/>
            </w:tcBorders>
            <w:shd w:val="clear" w:color="auto" w:fill="auto"/>
            <w:vAlign w:val="center"/>
            <w:hideMark/>
          </w:tcPr>
          <w:p w14:paraId="78EEE667" w14:textId="77777777" w:rsidR="00A43E58" w:rsidRPr="00004514" w:rsidRDefault="00A43E58" w:rsidP="00A43E58">
            <w:pPr>
              <w:jc w:val="both"/>
              <w:rPr>
                <w:sz w:val="18"/>
                <w:szCs w:val="18"/>
                <w:lang w:eastAsia="tr-TR"/>
              </w:rPr>
            </w:pPr>
            <w:r w:rsidRPr="00004514">
              <w:rPr>
                <w:sz w:val="18"/>
                <w:szCs w:val="18"/>
                <w:lang w:eastAsia="tr-TR"/>
              </w:rPr>
              <w:t>Aktiften silinen (-)</w:t>
            </w:r>
          </w:p>
        </w:tc>
        <w:tc>
          <w:tcPr>
            <w:tcW w:w="1852" w:type="dxa"/>
            <w:tcBorders>
              <w:top w:val="nil"/>
              <w:left w:val="nil"/>
              <w:bottom w:val="nil"/>
              <w:right w:val="nil"/>
            </w:tcBorders>
            <w:shd w:val="clear" w:color="auto" w:fill="auto"/>
            <w:vAlign w:val="center"/>
            <w:hideMark/>
          </w:tcPr>
          <w:p w14:paraId="0009F349" w14:textId="298DBB23" w:rsidR="00A43E58" w:rsidRPr="00004514" w:rsidRDefault="00A43E58" w:rsidP="00A43E58">
            <w:pPr>
              <w:jc w:val="right"/>
              <w:rPr>
                <w:sz w:val="18"/>
                <w:szCs w:val="18"/>
                <w:lang w:eastAsia="tr-TR"/>
              </w:rPr>
            </w:pPr>
            <w:r w:rsidRPr="008B23B5">
              <w:rPr>
                <w:sz w:val="18"/>
                <w:szCs w:val="18"/>
                <w:lang w:eastAsia="tr-TR"/>
              </w:rPr>
              <w:t>-</w:t>
            </w:r>
          </w:p>
        </w:tc>
        <w:tc>
          <w:tcPr>
            <w:tcW w:w="1543" w:type="dxa"/>
            <w:tcBorders>
              <w:top w:val="nil"/>
              <w:left w:val="nil"/>
              <w:bottom w:val="nil"/>
              <w:right w:val="nil"/>
            </w:tcBorders>
            <w:shd w:val="clear" w:color="auto" w:fill="auto"/>
            <w:vAlign w:val="center"/>
            <w:hideMark/>
          </w:tcPr>
          <w:p w14:paraId="18C6E05C" w14:textId="65DE43D0" w:rsidR="00A43E58" w:rsidRPr="00004514" w:rsidRDefault="00A43E58" w:rsidP="00A43E58">
            <w:pPr>
              <w:jc w:val="right"/>
              <w:rPr>
                <w:sz w:val="18"/>
                <w:szCs w:val="18"/>
                <w:lang w:eastAsia="tr-TR"/>
              </w:rPr>
            </w:pPr>
            <w:r w:rsidRPr="008B23B5">
              <w:rPr>
                <w:sz w:val="18"/>
                <w:szCs w:val="18"/>
                <w:lang w:eastAsia="tr-TR"/>
              </w:rPr>
              <w:t>-</w:t>
            </w:r>
          </w:p>
        </w:tc>
        <w:tc>
          <w:tcPr>
            <w:tcW w:w="1455" w:type="dxa"/>
            <w:tcBorders>
              <w:top w:val="nil"/>
              <w:left w:val="nil"/>
              <w:bottom w:val="nil"/>
              <w:right w:val="nil"/>
            </w:tcBorders>
            <w:shd w:val="clear" w:color="auto" w:fill="auto"/>
            <w:vAlign w:val="center"/>
            <w:hideMark/>
          </w:tcPr>
          <w:p w14:paraId="2099DCAD" w14:textId="13F6DFE7" w:rsidR="00A43E58" w:rsidRPr="00004514" w:rsidRDefault="00A43E58" w:rsidP="00A43E58">
            <w:pPr>
              <w:jc w:val="right"/>
              <w:rPr>
                <w:sz w:val="18"/>
                <w:szCs w:val="18"/>
                <w:lang w:eastAsia="tr-TR"/>
              </w:rPr>
            </w:pPr>
            <w:r w:rsidRPr="008B23B5">
              <w:rPr>
                <w:sz w:val="18"/>
                <w:szCs w:val="18"/>
                <w:lang w:eastAsia="tr-TR"/>
              </w:rPr>
              <w:t>-</w:t>
            </w:r>
          </w:p>
        </w:tc>
      </w:tr>
      <w:tr w:rsidR="00A43E58" w:rsidRPr="00004514" w14:paraId="01BC05F9" w14:textId="77777777" w:rsidTr="00A43E58">
        <w:trPr>
          <w:divId w:val="1321931135"/>
          <w:trHeight w:val="221"/>
        </w:trPr>
        <w:tc>
          <w:tcPr>
            <w:tcW w:w="4314" w:type="dxa"/>
            <w:tcBorders>
              <w:top w:val="nil"/>
              <w:left w:val="nil"/>
              <w:bottom w:val="nil"/>
              <w:right w:val="nil"/>
            </w:tcBorders>
            <w:shd w:val="clear" w:color="auto" w:fill="auto"/>
            <w:vAlign w:val="center"/>
            <w:hideMark/>
          </w:tcPr>
          <w:p w14:paraId="0B8B6E34" w14:textId="77777777" w:rsidR="00A43E58" w:rsidRPr="00004514" w:rsidRDefault="00A43E58" w:rsidP="00A43E58">
            <w:pPr>
              <w:jc w:val="both"/>
              <w:rPr>
                <w:b/>
                <w:bCs/>
                <w:sz w:val="18"/>
                <w:szCs w:val="18"/>
                <w:lang w:eastAsia="tr-TR"/>
              </w:rPr>
            </w:pPr>
            <w:r w:rsidRPr="00004514">
              <w:rPr>
                <w:b/>
                <w:bCs/>
                <w:sz w:val="18"/>
                <w:szCs w:val="18"/>
                <w:lang w:eastAsia="tr-TR"/>
              </w:rPr>
              <w:t>Satılan (</w:t>
            </w:r>
            <w:proofErr w:type="gramStart"/>
            <w:r w:rsidRPr="00004514">
              <w:rPr>
                <w:b/>
                <w:bCs/>
                <w:sz w:val="18"/>
                <w:szCs w:val="18"/>
                <w:lang w:eastAsia="tr-TR"/>
              </w:rPr>
              <w:t>-)(</w:t>
            </w:r>
            <w:proofErr w:type="gramEnd"/>
            <w:r w:rsidRPr="00004514">
              <w:rPr>
                <w:b/>
                <w:bCs/>
                <w:sz w:val="18"/>
                <w:szCs w:val="18"/>
                <w:lang w:eastAsia="tr-TR"/>
              </w:rPr>
              <w:t>*)</w:t>
            </w:r>
          </w:p>
        </w:tc>
        <w:tc>
          <w:tcPr>
            <w:tcW w:w="1852" w:type="dxa"/>
            <w:tcBorders>
              <w:top w:val="nil"/>
              <w:left w:val="nil"/>
              <w:bottom w:val="nil"/>
              <w:right w:val="nil"/>
            </w:tcBorders>
            <w:shd w:val="clear" w:color="auto" w:fill="auto"/>
            <w:vAlign w:val="center"/>
            <w:hideMark/>
          </w:tcPr>
          <w:p w14:paraId="7F0F7616" w14:textId="51F8764B" w:rsidR="00A43E58" w:rsidRPr="00004514" w:rsidRDefault="00A43E58" w:rsidP="00A43E58">
            <w:pPr>
              <w:jc w:val="right"/>
              <w:rPr>
                <w:b/>
                <w:sz w:val="18"/>
                <w:szCs w:val="18"/>
                <w:lang w:eastAsia="tr-TR"/>
              </w:rPr>
            </w:pPr>
            <w:r w:rsidRPr="008B23B5">
              <w:rPr>
                <w:b/>
                <w:sz w:val="18"/>
                <w:szCs w:val="18"/>
                <w:lang w:eastAsia="tr-TR"/>
              </w:rPr>
              <w:t>-</w:t>
            </w:r>
          </w:p>
        </w:tc>
        <w:tc>
          <w:tcPr>
            <w:tcW w:w="1543" w:type="dxa"/>
            <w:tcBorders>
              <w:top w:val="nil"/>
              <w:left w:val="nil"/>
              <w:bottom w:val="nil"/>
              <w:right w:val="nil"/>
            </w:tcBorders>
            <w:shd w:val="clear" w:color="auto" w:fill="auto"/>
            <w:vAlign w:val="center"/>
            <w:hideMark/>
          </w:tcPr>
          <w:p w14:paraId="0F3228D9" w14:textId="5CF9D848" w:rsidR="00A43E58" w:rsidRPr="00004514" w:rsidRDefault="00A43E58" w:rsidP="00A43E58">
            <w:pPr>
              <w:jc w:val="right"/>
              <w:rPr>
                <w:b/>
                <w:sz w:val="18"/>
                <w:szCs w:val="18"/>
                <w:lang w:eastAsia="tr-TR"/>
              </w:rPr>
            </w:pPr>
            <w:r w:rsidRPr="008B23B5">
              <w:rPr>
                <w:b/>
                <w:sz w:val="18"/>
                <w:szCs w:val="18"/>
                <w:lang w:eastAsia="tr-TR"/>
              </w:rPr>
              <w:t>-</w:t>
            </w:r>
          </w:p>
        </w:tc>
        <w:tc>
          <w:tcPr>
            <w:tcW w:w="1455" w:type="dxa"/>
            <w:tcBorders>
              <w:top w:val="nil"/>
              <w:left w:val="nil"/>
              <w:bottom w:val="nil"/>
              <w:right w:val="nil"/>
            </w:tcBorders>
            <w:shd w:val="clear" w:color="auto" w:fill="auto"/>
            <w:vAlign w:val="center"/>
            <w:hideMark/>
          </w:tcPr>
          <w:p w14:paraId="1255D43E" w14:textId="115BBA49" w:rsidR="00A43E58" w:rsidRPr="00004514" w:rsidRDefault="00A43E58" w:rsidP="00A43E58">
            <w:pPr>
              <w:jc w:val="right"/>
              <w:rPr>
                <w:b/>
                <w:sz w:val="18"/>
                <w:szCs w:val="18"/>
                <w:lang w:eastAsia="tr-TR"/>
              </w:rPr>
            </w:pPr>
            <w:r w:rsidRPr="008B23B5">
              <w:rPr>
                <w:b/>
                <w:sz w:val="18"/>
                <w:szCs w:val="18"/>
                <w:lang w:eastAsia="tr-TR"/>
              </w:rPr>
              <w:t>110,353</w:t>
            </w:r>
          </w:p>
        </w:tc>
      </w:tr>
      <w:tr w:rsidR="00A43E58" w:rsidRPr="00004514" w14:paraId="217EA57B" w14:textId="77777777" w:rsidTr="00A43E58">
        <w:trPr>
          <w:divId w:val="1321931135"/>
          <w:trHeight w:val="221"/>
        </w:trPr>
        <w:tc>
          <w:tcPr>
            <w:tcW w:w="4314" w:type="dxa"/>
            <w:tcBorders>
              <w:top w:val="nil"/>
              <w:left w:val="nil"/>
              <w:bottom w:val="nil"/>
              <w:right w:val="nil"/>
            </w:tcBorders>
            <w:shd w:val="clear" w:color="auto" w:fill="auto"/>
            <w:vAlign w:val="center"/>
            <w:hideMark/>
          </w:tcPr>
          <w:p w14:paraId="253DE4D2" w14:textId="77777777" w:rsidR="00A43E58" w:rsidRPr="00004514" w:rsidRDefault="00A43E58" w:rsidP="00A43E58">
            <w:pPr>
              <w:ind w:firstLineChars="100" w:firstLine="180"/>
              <w:rPr>
                <w:sz w:val="18"/>
                <w:szCs w:val="18"/>
                <w:lang w:eastAsia="tr-TR"/>
              </w:rPr>
            </w:pPr>
            <w:r w:rsidRPr="00004514">
              <w:rPr>
                <w:sz w:val="18"/>
                <w:szCs w:val="18"/>
                <w:lang w:eastAsia="tr-TR"/>
              </w:rPr>
              <w:t xml:space="preserve">    Kurumsal ve ticari krediler</w:t>
            </w:r>
          </w:p>
        </w:tc>
        <w:tc>
          <w:tcPr>
            <w:tcW w:w="1852" w:type="dxa"/>
            <w:tcBorders>
              <w:top w:val="nil"/>
              <w:left w:val="nil"/>
              <w:bottom w:val="nil"/>
              <w:right w:val="nil"/>
            </w:tcBorders>
            <w:shd w:val="clear" w:color="auto" w:fill="auto"/>
            <w:vAlign w:val="center"/>
            <w:hideMark/>
          </w:tcPr>
          <w:p w14:paraId="52800B15" w14:textId="16F8AACA" w:rsidR="00A43E58" w:rsidRPr="00004514" w:rsidRDefault="00A43E58" w:rsidP="00A43E58">
            <w:pPr>
              <w:jc w:val="right"/>
              <w:rPr>
                <w:sz w:val="18"/>
                <w:szCs w:val="18"/>
                <w:lang w:eastAsia="tr-TR"/>
              </w:rPr>
            </w:pPr>
            <w:r w:rsidRPr="008B23B5">
              <w:rPr>
                <w:sz w:val="18"/>
                <w:szCs w:val="18"/>
                <w:lang w:eastAsia="tr-TR"/>
              </w:rPr>
              <w:t>-</w:t>
            </w:r>
          </w:p>
        </w:tc>
        <w:tc>
          <w:tcPr>
            <w:tcW w:w="1543" w:type="dxa"/>
            <w:tcBorders>
              <w:top w:val="nil"/>
              <w:left w:val="nil"/>
              <w:bottom w:val="nil"/>
              <w:right w:val="nil"/>
            </w:tcBorders>
            <w:shd w:val="clear" w:color="auto" w:fill="auto"/>
            <w:vAlign w:val="center"/>
            <w:hideMark/>
          </w:tcPr>
          <w:p w14:paraId="1535F75A" w14:textId="5302716F" w:rsidR="00A43E58" w:rsidRPr="00004514" w:rsidRDefault="00A43E58" w:rsidP="00A43E58">
            <w:pPr>
              <w:jc w:val="right"/>
              <w:rPr>
                <w:sz w:val="18"/>
                <w:szCs w:val="18"/>
                <w:lang w:eastAsia="tr-TR"/>
              </w:rPr>
            </w:pPr>
            <w:r w:rsidRPr="008B23B5">
              <w:rPr>
                <w:sz w:val="18"/>
                <w:szCs w:val="18"/>
                <w:lang w:eastAsia="tr-TR"/>
              </w:rPr>
              <w:t>-</w:t>
            </w:r>
          </w:p>
        </w:tc>
        <w:tc>
          <w:tcPr>
            <w:tcW w:w="1455" w:type="dxa"/>
            <w:tcBorders>
              <w:top w:val="nil"/>
              <w:left w:val="nil"/>
              <w:bottom w:val="nil"/>
              <w:right w:val="nil"/>
            </w:tcBorders>
            <w:shd w:val="clear" w:color="auto" w:fill="auto"/>
            <w:vAlign w:val="center"/>
            <w:hideMark/>
          </w:tcPr>
          <w:p w14:paraId="525EFF8D" w14:textId="1E5AE400" w:rsidR="00A43E58" w:rsidRPr="00004514" w:rsidRDefault="00A43E58" w:rsidP="00A43E58">
            <w:pPr>
              <w:jc w:val="right"/>
              <w:rPr>
                <w:sz w:val="18"/>
                <w:szCs w:val="18"/>
                <w:lang w:eastAsia="tr-TR"/>
              </w:rPr>
            </w:pPr>
            <w:r w:rsidRPr="008B23B5">
              <w:rPr>
                <w:sz w:val="18"/>
                <w:szCs w:val="18"/>
                <w:lang w:eastAsia="tr-TR"/>
              </w:rPr>
              <w:t>110,353</w:t>
            </w:r>
          </w:p>
        </w:tc>
      </w:tr>
      <w:tr w:rsidR="00A43E58" w:rsidRPr="00004514" w14:paraId="5A13F7F1" w14:textId="77777777" w:rsidTr="00A43E58">
        <w:trPr>
          <w:divId w:val="1321931135"/>
          <w:trHeight w:val="221"/>
        </w:trPr>
        <w:tc>
          <w:tcPr>
            <w:tcW w:w="4314" w:type="dxa"/>
            <w:tcBorders>
              <w:top w:val="nil"/>
              <w:left w:val="nil"/>
              <w:bottom w:val="nil"/>
              <w:right w:val="nil"/>
            </w:tcBorders>
            <w:shd w:val="clear" w:color="auto" w:fill="auto"/>
            <w:vAlign w:val="center"/>
            <w:hideMark/>
          </w:tcPr>
          <w:p w14:paraId="129F30AF" w14:textId="77777777" w:rsidR="00A43E58" w:rsidRPr="00004514" w:rsidRDefault="00A43E58" w:rsidP="00A43E58">
            <w:pPr>
              <w:ind w:firstLineChars="100" w:firstLine="180"/>
              <w:rPr>
                <w:sz w:val="18"/>
                <w:szCs w:val="18"/>
                <w:lang w:eastAsia="tr-TR"/>
              </w:rPr>
            </w:pPr>
            <w:r w:rsidRPr="00004514">
              <w:rPr>
                <w:sz w:val="18"/>
                <w:szCs w:val="18"/>
                <w:lang w:eastAsia="tr-TR"/>
              </w:rPr>
              <w:t xml:space="preserve">    Bireysel krediler</w:t>
            </w:r>
            <w:r w:rsidRPr="00004514">
              <w:rPr>
                <w:rFonts w:eastAsia="Arial Unicode MS"/>
                <w:sz w:val="18"/>
                <w:szCs w:val="18"/>
                <w:lang w:eastAsia="tr-TR"/>
              </w:rPr>
              <w:t xml:space="preserve"> </w:t>
            </w:r>
          </w:p>
        </w:tc>
        <w:tc>
          <w:tcPr>
            <w:tcW w:w="1852" w:type="dxa"/>
            <w:tcBorders>
              <w:top w:val="nil"/>
              <w:left w:val="nil"/>
              <w:bottom w:val="nil"/>
              <w:right w:val="nil"/>
            </w:tcBorders>
            <w:shd w:val="clear" w:color="auto" w:fill="auto"/>
            <w:vAlign w:val="center"/>
            <w:hideMark/>
          </w:tcPr>
          <w:p w14:paraId="001B6A9E" w14:textId="610FB62D" w:rsidR="00A43E58" w:rsidRPr="00004514" w:rsidRDefault="00A43E58" w:rsidP="00A43E58">
            <w:pPr>
              <w:jc w:val="right"/>
              <w:rPr>
                <w:sz w:val="18"/>
                <w:szCs w:val="18"/>
                <w:lang w:eastAsia="tr-TR"/>
              </w:rPr>
            </w:pPr>
            <w:r w:rsidRPr="008B23B5">
              <w:rPr>
                <w:sz w:val="18"/>
                <w:szCs w:val="18"/>
                <w:lang w:eastAsia="tr-TR"/>
              </w:rPr>
              <w:t>-</w:t>
            </w:r>
          </w:p>
        </w:tc>
        <w:tc>
          <w:tcPr>
            <w:tcW w:w="1543" w:type="dxa"/>
            <w:tcBorders>
              <w:top w:val="nil"/>
              <w:left w:val="nil"/>
              <w:bottom w:val="nil"/>
              <w:right w:val="nil"/>
            </w:tcBorders>
            <w:shd w:val="clear" w:color="auto" w:fill="auto"/>
            <w:vAlign w:val="center"/>
            <w:hideMark/>
          </w:tcPr>
          <w:p w14:paraId="36D5D5FD" w14:textId="730B9A62" w:rsidR="00A43E58" w:rsidRPr="00004514" w:rsidRDefault="00A43E58" w:rsidP="00A43E58">
            <w:pPr>
              <w:jc w:val="right"/>
              <w:rPr>
                <w:sz w:val="18"/>
                <w:szCs w:val="18"/>
                <w:lang w:eastAsia="tr-TR"/>
              </w:rPr>
            </w:pPr>
            <w:r w:rsidRPr="008B23B5">
              <w:rPr>
                <w:sz w:val="18"/>
                <w:szCs w:val="18"/>
                <w:lang w:eastAsia="tr-TR"/>
              </w:rPr>
              <w:t>-</w:t>
            </w:r>
          </w:p>
        </w:tc>
        <w:tc>
          <w:tcPr>
            <w:tcW w:w="1455" w:type="dxa"/>
            <w:tcBorders>
              <w:top w:val="nil"/>
              <w:left w:val="nil"/>
              <w:bottom w:val="nil"/>
              <w:right w:val="nil"/>
            </w:tcBorders>
            <w:shd w:val="clear" w:color="auto" w:fill="auto"/>
            <w:vAlign w:val="center"/>
            <w:hideMark/>
          </w:tcPr>
          <w:p w14:paraId="447F134B" w14:textId="57929528" w:rsidR="00A43E58" w:rsidRPr="00004514" w:rsidRDefault="00A43E58" w:rsidP="00A43E58">
            <w:pPr>
              <w:jc w:val="right"/>
              <w:rPr>
                <w:sz w:val="18"/>
                <w:szCs w:val="18"/>
                <w:lang w:eastAsia="tr-TR"/>
              </w:rPr>
            </w:pPr>
            <w:r w:rsidRPr="008B23B5">
              <w:rPr>
                <w:sz w:val="18"/>
                <w:szCs w:val="18"/>
                <w:lang w:eastAsia="tr-TR"/>
              </w:rPr>
              <w:t>-</w:t>
            </w:r>
          </w:p>
        </w:tc>
      </w:tr>
      <w:tr w:rsidR="00A43E58" w:rsidRPr="00004514" w14:paraId="08AEA8CA" w14:textId="77777777" w:rsidTr="00A43E58">
        <w:trPr>
          <w:divId w:val="1321931135"/>
          <w:trHeight w:val="221"/>
        </w:trPr>
        <w:tc>
          <w:tcPr>
            <w:tcW w:w="4314" w:type="dxa"/>
            <w:tcBorders>
              <w:top w:val="nil"/>
              <w:left w:val="nil"/>
              <w:bottom w:val="nil"/>
              <w:right w:val="nil"/>
            </w:tcBorders>
            <w:shd w:val="clear" w:color="auto" w:fill="auto"/>
            <w:vAlign w:val="center"/>
            <w:hideMark/>
          </w:tcPr>
          <w:p w14:paraId="4B1BAE45" w14:textId="77777777" w:rsidR="00A43E58" w:rsidRPr="00004514" w:rsidRDefault="00A43E58" w:rsidP="00A43E58">
            <w:pPr>
              <w:ind w:firstLineChars="100" w:firstLine="180"/>
              <w:rPr>
                <w:sz w:val="18"/>
                <w:szCs w:val="18"/>
                <w:lang w:eastAsia="tr-TR"/>
              </w:rPr>
            </w:pPr>
            <w:r w:rsidRPr="00004514">
              <w:rPr>
                <w:sz w:val="18"/>
                <w:szCs w:val="18"/>
                <w:lang w:eastAsia="tr-TR"/>
              </w:rPr>
              <w:t xml:space="preserve">    Kredi kartları</w:t>
            </w:r>
          </w:p>
        </w:tc>
        <w:tc>
          <w:tcPr>
            <w:tcW w:w="1852" w:type="dxa"/>
            <w:tcBorders>
              <w:top w:val="nil"/>
              <w:left w:val="nil"/>
              <w:bottom w:val="nil"/>
              <w:right w:val="nil"/>
            </w:tcBorders>
            <w:shd w:val="clear" w:color="auto" w:fill="auto"/>
            <w:vAlign w:val="center"/>
            <w:hideMark/>
          </w:tcPr>
          <w:p w14:paraId="7FF95F1C" w14:textId="6257E077" w:rsidR="00A43E58" w:rsidRPr="00004514" w:rsidRDefault="00A43E58" w:rsidP="00A43E58">
            <w:pPr>
              <w:jc w:val="right"/>
              <w:rPr>
                <w:sz w:val="18"/>
                <w:szCs w:val="18"/>
                <w:lang w:eastAsia="tr-TR"/>
              </w:rPr>
            </w:pPr>
            <w:r w:rsidRPr="008B23B5">
              <w:rPr>
                <w:sz w:val="18"/>
                <w:szCs w:val="18"/>
                <w:lang w:eastAsia="tr-TR"/>
              </w:rPr>
              <w:t>-</w:t>
            </w:r>
          </w:p>
        </w:tc>
        <w:tc>
          <w:tcPr>
            <w:tcW w:w="1543" w:type="dxa"/>
            <w:tcBorders>
              <w:top w:val="nil"/>
              <w:left w:val="nil"/>
              <w:bottom w:val="nil"/>
              <w:right w:val="nil"/>
            </w:tcBorders>
            <w:shd w:val="clear" w:color="auto" w:fill="auto"/>
            <w:vAlign w:val="center"/>
            <w:hideMark/>
          </w:tcPr>
          <w:p w14:paraId="1CC2B168" w14:textId="3EC3E6B7" w:rsidR="00A43E58" w:rsidRPr="00004514" w:rsidRDefault="00A43E58" w:rsidP="00A43E58">
            <w:pPr>
              <w:jc w:val="right"/>
              <w:rPr>
                <w:sz w:val="18"/>
                <w:szCs w:val="18"/>
                <w:lang w:eastAsia="tr-TR"/>
              </w:rPr>
            </w:pPr>
            <w:r w:rsidRPr="008B23B5">
              <w:rPr>
                <w:sz w:val="18"/>
                <w:szCs w:val="18"/>
                <w:lang w:eastAsia="tr-TR"/>
              </w:rPr>
              <w:t>-</w:t>
            </w:r>
          </w:p>
        </w:tc>
        <w:tc>
          <w:tcPr>
            <w:tcW w:w="1455" w:type="dxa"/>
            <w:tcBorders>
              <w:top w:val="nil"/>
              <w:left w:val="nil"/>
              <w:bottom w:val="nil"/>
              <w:right w:val="nil"/>
            </w:tcBorders>
            <w:shd w:val="clear" w:color="auto" w:fill="auto"/>
            <w:vAlign w:val="center"/>
            <w:hideMark/>
          </w:tcPr>
          <w:p w14:paraId="741C9C8C" w14:textId="740A12FC" w:rsidR="00A43E58" w:rsidRPr="00004514" w:rsidRDefault="00A43E58" w:rsidP="00A43E58">
            <w:pPr>
              <w:jc w:val="right"/>
              <w:rPr>
                <w:sz w:val="18"/>
                <w:szCs w:val="18"/>
                <w:lang w:eastAsia="tr-TR"/>
              </w:rPr>
            </w:pPr>
            <w:r w:rsidRPr="008B23B5">
              <w:rPr>
                <w:sz w:val="18"/>
                <w:szCs w:val="18"/>
                <w:lang w:eastAsia="tr-TR"/>
              </w:rPr>
              <w:t>-</w:t>
            </w:r>
          </w:p>
        </w:tc>
      </w:tr>
      <w:tr w:rsidR="00A43E58" w:rsidRPr="00004514" w14:paraId="5510F046" w14:textId="77777777" w:rsidTr="00A43E58">
        <w:trPr>
          <w:divId w:val="1321931135"/>
          <w:trHeight w:val="221"/>
        </w:trPr>
        <w:tc>
          <w:tcPr>
            <w:tcW w:w="4314" w:type="dxa"/>
            <w:tcBorders>
              <w:top w:val="nil"/>
              <w:left w:val="nil"/>
              <w:bottom w:val="nil"/>
              <w:right w:val="nil"/>
            </w:tcBorders>
            <w:shd w:val="clear" w:color="auto" w:fill="auto"/>
            <w:vAlign w:val="center"/>
            <w:hideMark/>
          </w:tcPr>
          <w:p w14:paraId="2F8DFFA9" w14:textId="77777777" w:rsidR="00A43E58" w:rsidRPr="00004514" w:rsidRDefault="00A43E58" w:rsidP="00A43E58">
            <w:pPr>
              <w:ind w:firstLineChars="100" w:firstLine="180"/>
              <w:rPr>
                <w:sz w:val="18"/>
                <w:szCs w:val="18"/>
                <w:lang w:eastAsia="tr-TR"/>
              </w:rPr>
            </w:pPr>
            <w:r w:rsidRPr="00004514">
              <w:rPr>
                <w:sz w:val="18"/>
                <w:szCs w:val="18"/>
                <w:lang w:eastAsia="tr-TR"/>
              </w:rPr>
              <w:t xml:space="preserve">    Diğer</w:t>
            </w:r>
          </w:p>
        </w:tc>
        <w:tc>
          <w:tcPr>
            <w:tcW w:w="1852" w:type="dxa"/>
            <w:tcBorders>
              <w:top w:val="nil"/>
              <w:left w:val="nil"/>
              <w:bottom w:val="nil"/>
              <w:right w:val="nil"/>
            </w:tcBorders>
            <w:shd w:val="clear" w:color="auto" w:fill="auto"/>
            <w:vAlign w:val="center"/>
            <w:hideMark/>
          </w:tcPr>
          <w:p w14:paraId="7595CBA9" w14:textId="7FF50287" w:rsidR="00A43E58" w:rsidRPr="00004514" w:rsidRDefault="00A43E58" w:rsidP="00A43E58">
            <w:pPr>
              <w:jc w:val="right"/>
              <w:rPr>
                <w:sz w:val="18"/>
                <w:szCs w:val="18"/>
                <w:lang w:eastAsia="tr-TR"/>
              </w:rPr>
            </w:pPr>
            <w:r w:rsidRPr="008B23B5">
              <w:rPr>
                <w:sz w:val="18"/>
                <w:szCs w:val="18"/>
                <w:lang w:eastAsia="tr-TR"/>
              </w:rPr>
              <w:t>-</w:t>
            </w:r>
          </w:p>
        </w:tc>
        <w:tc>
          <w:tcPr>
            <w:tcW w:w="1543" w:type="dxa"/>
            <w:tcBorders>
              <w:top w:val="nil"/>
              <w:left w:val="nil"/>
              <w:bottom w:val="nil"/>
              <w:right w:val="nil"/>
            </w:tcBorders>
            <w:shd w:val="clear" w:color="auto" w:fill="auto"/>
            <w:vAlign w:val="center"/>
            <w:hideMark/>
          </w:tcPr>
          <w:p w14:paraId="0EB3075C" w14:textId="3A48004A" w:rsidR="00A43E58" w:rsidRPr="00004514" w:rsidRDefault="00A43E58" w:rsidP="00A43E58">
            <w:pPr>
              <w:jc w:val="right"/>
              <w:rPr>
                <w:sz w:val="18"/>
                <w:szCs w:val="18"/>
                <w:lang w:eastAsia="tr-TR"/>
              </w:rPr>
            </w:pPr>
            <w:r w:rsidRPr="008B23B5">
              <w:rPr>
                <w:sz w:val="18"/>
                <w:szCs w:val="18"/>
                <w:lang w:eastAsia="tr-TR"/>
              </w:rPr>
              <w:t>-</w:t>
            </w:r>
          </w:p>
        </w:tc>
        <w:tc>
          <w:tcPr>
            <w:tcW w:w="1455" w:type="dxa"/>
            <w:tcBorders>
              <w:top w:val="nil"/>
              <w:left w:val="nil"/>
              <w:bottom w:val="nil"/>
              <w:right w:val="nil"/>
            </w:tcBorders>
            <w:shd w:val="clear" w:color="auto" w:fill="auto"/>
            <w:vAlign w:val="center"/>
            <w:hideMark/>
          </w:tcPr>
          <w:p w14:paraId="052E1CBB" w14:textId="6B8CB4AB" w:rsidR="00A43E58" w:rsidRPr="00004514" w:rsidRDefault="00A43E58" w:rsidP="00A43E58">
            <w:pPr>
              <w:jc w:val="right"/>
              <w:rPr>
                <w:sz w:val="18"/>
                <w:szCs w:val="18"/>
                <w:lang w:eastAsia="tr-TR"/>
              </w:rPr>
            </w:pPr>
            <w:r w:rsidRPr="008B23B5">
              <w:rPr>
                <w:sz w:val="18"/>
                <w:szCs w:val="18"/>
                <w:lang w:eastAsia="tr-TR"/>
              </w:rPr>
              <w:t>-</w:t>
            </w:r>
          </w:p>
        </w:tc>
      </w:tr>
      <w:tr w:rsidR="00A43E58" w:rsidRPr="00004514" w14:paraId="1EC358A6" w14:textId="77777777" w:rsidTr="00A43E58">
        <w:trPr>
          <w:divId w:val="1321931135"/>
          <w:trHeight w:val="221"/>
        </w:trPr>
        <w:tc>
          <w:tcPr>
            <w:tcW w:w="4314" w:type="dxa"/>
            <w:tcBorders>
              <w:top w:val="nil"/>
              <w:left w:val="nil"/>
              <w:bottom w:val="nil"/>
              <w:right w:val="nil"/>
            </w:tcBorders>
            <w:shd w:val="clear" w:color="auto" w:fill="auto"/>
            <w:vAlign w:val="center"/>
            <w:hideMark/>
          </w:tcPr>
          <w:p w14:paraId="05DE8C11" w14:textId="77777777" w:rsidR="00A43E58" w:rsidRPr="00004514" w:rsidRDefault="00A43E58" w:rsidP="00A43E58">
            <w:pPr>
              <w:jc w:val="both"/>
              <w:rPr>
                <w:b/>
                <w:bCs/>
                <w:sz w:val="18"/>
                <w:szCs w:val="18"/>
                <w:lang w:eastAsia="tr-TR"/>
              </w:rPr>
            </w:pPr>
            <w:r w:rsidRPr="00004514">
              <w:rPr>
                <w:b/>
                <w:bCs/>
                <w:sz w:val="18"/>
                <w:szCs w:val="18"/>
                <w:lang w:eastAsia="tr-TR"/>
              </w:rPr>
              <w:t>Dönem sonu bakiyesi</w:t>
            </w:r>
          </w:p>
        </w:tc>
        <w:tc>
          <w:tcPr>
            <w:tcW w:w="1852" w:type="dxa"/>
            <w:tcBorders>
              <w:top w:val="nil"/>
              <w:left w:val="nil"/>
              <w:bottom w:val="nil"/>
              <w:right w:val="nil"/>
            </w:tcBorders>
            <w:shd w:val="clear" w:color="auto" w:fill="auto"/>
            <w:vAlign w:val="center"/>
            <w:hideMark/>
          </w:tcPr>
          <w:p w14:paraId="45B02B76" w14:textId="514D40C3" w:rsidR="00A43E58" w:rsidRPr="00004514" w:rsidRDefault="00A43E58" w:rsidP="00A43E58">
            <w:pPr>
              <w:jc w:val="right"/>
              <w:rPr>
                <w:b/>
                <w:bCs/>
                <w:sz w:val="18"/>
                <w:szCs w:val="18"/>
                <w:lang w:eastAsia="tr-TR"/>
              </w:rPr>
            </w:pPr>
            <w:r w:rsidRPr="008B23B5">
              <w:rPr>
                <w:b/>
                <w:bCs/>
                <w:sz w:val="18"/>
                <w:szCs w:val="18"/>
                <w:lang w:eastAsia="tr-TR"/>
              </w:rPr>
              <w:t>23,433</w:t>
            </w:r>
          </w:p>
        </w:tc>
        <w:tc>
          <w:tcPr>
            <w:tcW w:w="1543" w:type="dxa"/>
            <w:tcBorders>
              <w:top w:val="nil"/>
              <w:left w:val="nil"/>
              <w:bottom w:val="nil"/>
              <w:right w:val="nil"/>
            </w:tcBorders>
            <w:shd w:val="clear" w:color="auto" w:fill="auto"/>
            <w:vAlign w:val="center"/>
            <w:hideMark/>
          </w:tcPr>
          <w:p w14:paraId="12802C0E" w14:textId="571F4214" w:rsidR="00A43E58" w:rsidRPr="00004514" w:rsidRDefault="00A43E58" w:rsidP="00A43E58">
            <w:pPr>
              <w:jc w:val="right"/>
              <w:rPr>
                <w:b/>
                <w:bCs/>
                <w:sz w:val="18"/>
                <w:szCs w:val="18"/>
                <w:lang w:eastAsia="tr-TR"/>
              </w:rPr>
            </w:pPr>
            <w:r w:rsidRPr="008B23B5">
              <w:rPr>
                <w:b/>
                <w:bCs/>
                <w:sz w:val="18"/>
                <w:szCs w:val="18"/>
                <w:lang w:eastAsia="tr-TR"/>
              </w:rPr>
              <w:t>691,628</w:t>
            </w:r>
          </w:p>
        </w:tc>
        <w:tc>
          <w:tcPr>
            <w:tcW w:w="1455" w:type="dxa"/>
            <w:tcBorders>
              <w:top w:val="nil"/>
              <w:left w:val="nil"/>
              <w:bottom w:val="nil"/>
              <w:right w:val="nil"/>
            </w:tcBorders>
            <w:shd w:val="clear" w:color="auto" w:fill="auto"/>
            <w:vAlign w:val="center"/>
            <w:hideMark/>
          </w:tcPr>
          <w:p w14:paraId="5A26D4EC" w14:textId="0555CD14" w:rsidR="00A43E58" w:rsidRPr="00004514" w:rsidRDefault="00A43E58" w:rsidP="00A43E58">
            <w:pPr>
              <w:jc w:val="right"/>
              <w:rPr>
                <w:b/>
                <w:bCs/>
                <w:sz w:val="18"/>
                <w:szCs w:val="18"/>
                <w:lang w:eastAsia="tr-TR"/>
              </w:rPr>
            </w:pPr>
            <w:r w:rsidRPr="008B23B5">
              <w:rPr>
                <w:b/>
                <w:bCs/>
                <w:sz w:val="18"/>
                <w:szCs w:val="18"/>
                <w:lang w:eastAsia="tr-TR"/>
              </w:rPr>
              <w:t>1,861,848</w:t>
            </w:r>
          </w:p>
        </w:tc>
      </w:tr>
      <w:tr w:rsidR="00A43E58" w:rsidRPr="00004514" w14:paraId="43C177DE" w14:textId="77777777" w:rsidTr="00A43E58">
        <w:trPr>
          <w:divId w:val="1321931135"/>
          <w:trHeight w:val="221"/>
        </w:trPr>
        <w:tc>
          <w:tcPr>
            <w:tcW w:w="4314" w:type="dxa"/>
            <w:tcBorders>
              <w:top w:val="nil"/>
              <w:left w:val="nil"/>
              <w:bottom w:val="nil"/>
              <w:right w:val="nil"/>
            </w:tcBorders>
            <w:shd w:val="clear" w:color="auto" w:fill="auto"/>
            <w:vAlign w:val="center"/>
            <w:hideMark/>
          </w:tcPr>
          <w:p w14:paraId="472C95E5" w14:textId="77777777" w:rsidR="00A43E58" w:rsidRPr="00004514" w:rsidRDefault="00A43E58" w:rsidP="00A43E58">
            <w:pPr>
              <w:ind w:firstLineChars="100" w:firstLine="180"/>
              <w:rPr>
                <w:sz w:val="18"/>
                <w:szCs w:val="18"/>
                <w:lang w:eastAsia="tr-TR"/>
              </w:rPr>
            </w:pPr>
            <w:r w:rsidRPr="00004514">
              <w:rPr>
                <w:sz w:val="18"/>
                <w:szCs w:val="18"/>
                <w:lang w:eastAsia="tr-TR"/>
              </w:rPr>
              <w:t>Karşılık (-)</w:t>
            </w:r>
          </w:p>
        </w:tc>
        <w:tc>
          <w:tcPr>
            <w:tcW w:w="1852" w:type="dxa"/>
            <w:tcBorders>
              <w:top w:val="nil"/>
              <w:left w:val="nil"/>
              <w:bottom w:val="nil"/>
              <w:right w:val="nil"/>
            </w:tcBorders>
            <w:shd w:val="clear" w:color="auto" w:fill="auto"/>
            <w:vAlign w:val="center"/>
            <w:hideMark/>
          </w:tcPr>
          <w:p w14:paraId="147F57DF" w14:textId="3D6227D4" w:rsidR="00A43E58" w:rsidRPr="00004514" w:rsidRDefault="00A43E58" w:rsidP="00A43E58">
            <w:pPr>
              <w:jc w:val="right"/>
              <w:rPr>
                <w:sz w:val="18"/>
                <w:szCs w:val="18"/>
                <w:lang w:eastAsia="tr-TR"/>
              </w:rPr>
            </w:pPr>
            <w:r w:rsidRPr="008B23B5">
              <w:rPr>
                <w:sz w:val="18"/>
                <w:szCs w:val="18"/>
                <w:lang w:eastAsia="tr-TR"/>
              </w:rPr>
              <w:t>5,663</w:t>
            </w:r>
          </w:p>
        </w:tc>
        <w:tc>
          <w:tcPr>
            <w:tcW w:w="1543" w:type="dxa"/>
            <w:tcBorders>
              <w:top w:val="nil"/>
              <w:left w:val="nil"/>
              <w:bottom w:val="nil"/>
              <w:right w:val="nil"/>
            </w:tcBorders>
            <w:shd w:val="clear" w:color="auto" w:fill="auto"/>
            <w:vAlign w:val="center"/>
            <w:hideMark/>
          </w:tcPr>
          <w:p w14:paraId="745ACC24" w14:textId="5BCC8711" w:rsidR="00A43E58" w:rsidRPr="00004514" w:rsidRDefault="00A43E58" w:rsidP="00A43E58">
            <w:pPr>
              <w:jc w:val="right"/>
              <w:rPr>
                <w:sz w:val="18"/>
                <w:szCs w:val="18"/>
                <w:lang w:eastAsia="tr-TR"/>
              </w:rPr>
            </w:pPr>
            <w:r w:rsidRPr="008B23B5">
              <w:rPr>
                <w:sz w:val="18"/>
                <w:szCs w:val="18"/>
                <w:lang w:eastAsia="tr-TR"/>
              </w:rPr>
              <w:t>506,115</w:t>
            </w:r>
          </w:p>
        </w:tc>
        <w:tc>
          <w:tcPr>
            <w:tcW w:w="1455" w:type="dxa"/>
            <w:tcBorders>
              <w:top w:val="nil"/>
              <w:left w:val="nil"/>
              <w:bottom w:val="nil"/>
              <w:right w:val="nil"/>
            </w:tcBorders>
            <w:shd w:val="clear" w:color="auto" w:fill="auto"/>
            <w:vAlign w:val="center"/>
            <w:hideMark/>
          </w:tcPr>
          <w:p w14:paraId="5A5681E1" w14:textId="052CF694" w:rsidR="00A43E58" w:rsidRPr="00004514" w:rsidRDefault="00A43E58" w:rsidP="00A43E58">
            <w:pPr>
              <w:jc w:val="right"/>
              <w:rPr>
                <w:sz w:val="18"/>
                <w:szCs w:val="18"/>
                <w:lang w:eastAsia="tr-TR"/>
              </w:rPr>
            </w:pPr>
            <w:r w:rsidRPr="008B23B5">
              <w:rPr>
                <w:sz w:val="18"/>
                <w:szCs w:val="18"/>
                <w:lang w:eastAsia="tr-TR"/>
              </w:rPr>
              <w:t>1,587,957</w:t>
            </w:r>
          </w:p>
        </w:tc>
      </w:tr>
      <w:tr w:rsidR="00A43E58" w:rsidRPr="00004514" w14:paraId="610AD64F" w14:textId="77777777" w:rsidTr="00A43E58">
        <w:trPr>
          <w:divId w:val="1321931135"/>
          <w:trHeight w:val="235"/>
        </w:trPr>
        <w:tc>
          <w:tcPr>
            <w:tcW w:w="4314" w:type="dxa"/>
            <w:tcBorders>
              <w:top w:val="nil"/>
              <w:left w:val="nil"/>
              <w:bottom w:val="double" w:sz="6" w:space="0" w:color="auto"/>
              <w:right w:val="nil"/>
            </w:tcBorders>
            <w:shd w:val="clear" w:color="auto" w:fill="auto"/>
            <w:vAlign w:val="center"/>
            <w:hideMark/>
          </w:tcPr>
          <w:p w14:paraId="70206566" w14:textId="77777777" w:rsidR="00A43E58" w:rsidRPr="00004514" w:rsidRDefault="00A43E58" w:rsidP="00A43E58">
            <w:pPr>
              <w:jc w:val="both"/>
              <w:rPr>
                <w:b/>
                <w:bCs/>
                <w:sz w:val="18"/>
                <w:szCs w:val="18"/>
                <w:lang w:eastAsia="tr-TR"/>
              </w:rPr>
            </w:pPr>
            <w:r w:rsidRPr="00004514">
              <w:rPr>
                <w:b/>
                <w:bCs/>
                <w:sz w:val="18"/>
                <w:szCs w:val="18"/>
                <w:lang w:eastAsia="tr-TR"/>
              </w:rPr>
              <w:t>Bilançodaki net bakiyesi</w:t>
            </w:r>
          </w:p>
        </w:tc>
        <w:tc>
          <w:tcPr>
            <w:tcW w:w="1852" w:type="dxa"/>
            <w:tcBorders>
              <w:top w:val="nil"/>
              <w:left w:val="nil"/>
              <w:bottom w:val="double" w:sz="6" w:space="0" w:color="auto"/>
              <w:right w:val="nil"/>
            </w:tcBorders>
            <w:shd w:val="clear" w:color="auto" w:fill="auto"/>
            <w:vAlign w:val="center"/>
            <w:hideMark/>
          </w:tcPr>
          <w:p w14:paraId="25DEED85" w14:textId="6E58531C" w:rsidR="00A43E58" w:rsidRPr="00004514" w:rsidRDefault="00A43E58" w:rsidP="00A43E58">
            <w:pPr>
              <w:jc w:val="right"/>
              <w:rPr>
                <w:b/>
                <w:bCs/>
                <w:sz w:val="18"/>
                <w:szCs w:val="18"/>
                <w:lang w:eastAsia="tr-TR"/>
              </w:rPr>
            </w:pPr>
            <w:r w:rsidRPr="008B23B5">
              <w:rPr>
                <w:b/>
                <w:bCs/>
                <w:sz w:val="18"/>
                <w:szCs w:val="18"/>
                <w:lang w:eastAsia="tr-TR"/>
              </w:rPr>
              <w:t>17,770</w:t>
            </w:r>
          </w:p>
        </w:tc>
        <w:tc>
          <w:tcPr>
            <w:tcW w:w="1543" w:type="dxa"/>
            <w:tcBorders>
              <w:top w:val="nil"/>
              <w:left w:val="nil"/>
              <w:bottom w:val="double" w:sz="6" w:space="0" w:color="auto"/>
              <w:right w:val="nil"/>
            </w:tcBorders>
            <w:shd w:val="clear" w:color="auto" w:fill="auto"/>
            <w:vAlign w:val="center"/>
            <w:hideMark/>
          </w:tcPr>
          <w:p w14:paraId="744ADDB5" w14:textId="40B4A8A9" w:rsidR="00A43E58" w:rsidRPr="00004514" w:rsidRDefault="00A43E58" w:rsidP="00A43E58">
            <w:pPr>
              <w:jc w:val="right"/>
              <w:rPr>
                <w:b/>
                <w:bCs/>
                <w:sz w:val="18"/>
                <w:szCs w:val="18"/>
                <w:lang w:eastAsia="tr-TR"/>
              </w:rPr>
            </w:pPr>
            <w:r w:rsidRPr="008B23B5">
              <w:rPr>
                <w:b/>
                <w:bCs/>
                <w:sz w:val="18"/>
                <w:szCs w:val="18"/>
                <w:lang w:eastAsia="tr-TR"/>
              </w:rPr>
              <w:t>185,513</w:t>
            </w:r>
          </w:p>
        </w:tc>
        <w:tc>
          <w:tcPr>
            <w:tcW w:w="1455" w:type="dxa"/>
            <w:tcBorders>
              <w:top w:val="nil"/>
              <w:left w:val="nil"/>
              <w:bottom w:val="double" w:sz="6" w:space="0" w:color="auto"/>
              <w:right w:val="nil"/>
            </w:tcBorders>
            <w:shd w:val="clear" w:color="auto" w:fill="auto"/>
            <w:vAlign w:val="center"/>
            <w:hideMark/>
          </w:tcPr>
          <w:p w14:paraId="77285326" w14:textId="283A33B4" w:rsidR="00A43E58" w:rsidRPr="00004514" w:rsidRDefault="00A43E58" w:rsidP="00A43E58">
            <w:pPr>
              <w:jc w:val="right"/>
              <w:rPr>
                <w:b/>
                <w:bCs/>
                <w:sz w:val="18"/>
                <w:szCs w:val="18"/>
                <w:lang w:eastAsia="tr-TR"/>
              </w:rPr>
            </w:pPr>
            <w:r w:rsidRPr="008B23B5">
              <w:rPr>
                <w:b/>
                <w:bCs/>
                <w:sz w:val="18"/>
                <w:szCs w:val="18"/>
                <w:lang w:eastAsia="tr-TR"/>
              </w:rPr>
              <w:t>273,891</w:t>
            </w:r>
          </w:p>
        </w:tc>
      </w:tr>
    </w:tbl>
    <w:p w14:paraId="6C1B6FB8" w14:textId="11789121" w:rsidR="00895CCD" w:rsidRPr="00270CE6" w:rsidRDefault="00895CCD" w:rsidP="00AC28B2">
      <w:pPr>
        <w:tabs>
          <w:tab w:val="left" w:pos="900"/>
        </w:tabs>
        <w:rPr>
          <w:iCs/>
          <w:sz w:val="2"/>
          <w:highlight w:val="yellow"/>
        </w:rPr>
      </w:pPr>
    </w:p>
    <w:p w14:paraId="5F3D22D5" w14:textId="77777777" w:rsidR="00895CCD" w:rsidRPr="00270CE6" w:rsidRDefault="00895CCD" w:rsidP="00AC28B2">
      <w:pPr>
        <w:tabs>
          <w:tab w:val="left" w:pos="900"/>
        </w:tabs>
        <w:rPr>
          <w:iCs/>
          <w:sz w:val="2"/>
          <w:highlight w:val="yellow"/>
        </w:rPr>
      </w:pPr>
    </w:p>
    <w:p w14:paraId="015337A3" w14:textId="77777777" w:rsidR="00895CCD" w:rsidRPr="00270CE6" w:rsidRDefault="00895CCD" w:rsidP="00AC28B2">
      <w:pPr>
        <w:tabs>
          <w:tab w:val="left" w:pos="900"/>
        </w:tabs>
        <w:rPr>
          <w:iCs/>
          <w:sz w:val="2"/>
          <w:highlight w:val="yellow"/>
        </w:rPr>
      </w:pPr>
    </w:p>
    <w:p w14:paraId="531A9D34" w14:textId="77777777" w:rsidR="00895CCD" w:rsidRPr="00270CE6" w:rsidRDefault="00895CCD" w:rsidP="00AC28B2">
      <w:pPr>
        <w:tabs>
          <w:tab w:val="left" w:pos="900"/>
        </w:tabs>
        <w:rPr>
          <w:iCs/>
          <w:sz w:val="2"/>
          <w:highlight w:val="yellow"/>
        </w:rPr>
      </w:pPr>
    </w:p>
    <w:p w14:paraId="757B54E0" w14:textId="77777777" w:rsidR="00895CCD" w:rsidRPr="00270CE6" w:rsidRDefault="00895CCD" w:rsidP="00AC28B2">
      <w:pPr>
        <w:tabs>
          <w:tab w:val="left" w:pos="900"/>
        </w:tabs>
        <w:rPr>
          <w:iCs/>
          <w:sz w:val="2"/>
          <w:highlight w:val="yellow"/>
        </w:rPr>
      </w:pPr>
    </w:p>
    <w:p w14:paraId="1E633001" w14:textId="77777777" w:rsidR="00895CCD" w:rsidRPr="00270CE6" w:rsidRDefault="00895CCD" w:rsidP="00AC28B2">
      <w:pPr>
        <w:tabs>
          <w:tab w:val="left" w:pos="900"/>
        </w:tabs>
        <w:rPr>
          <w:iCs/>
          <w:sz w:val="2"/>
          <w:highlight w:val="yellow"/>
        </w:rPr>
      </w:pPr>
    </w:p>
    <w:p w14:paraId="5DCACF2A" w14:textId="77777777" w:rsidR="00895CCD" w:rsidRPr="00270CE6" w:rsidRDefault="00895CCD" w:rsidP="00AC28B2">
      <w:pPr>
        <w:tabs>
          <w:tab w:val="left" w:pos="900"/>
        </w:tabs>
        <w:rPr>
          <w:iCs/>
          <w:sz w:val="2"/>
          <w:highlight w:val="yellow"/>
        </w:rPr>
      </w:pPr>
    </w:p>
    <w:p w14:paraId="16B75319" w14:textId="509150D3" w:rsidR="00C061BA" w:rsidRPr="00004514" w:rsidRDefault="00895CCD" w:rsidP="00BA637F">
      <w:pPr>
        <w:autoSpaceDE w:val="0"/>
        <w:autoSpaceDN w:val="0"/>
        <w:ind w:left="567" w:hanging="567"/>
        <w:jc w:val="both"/>
        <w:rPr>
          <w:iCs/>
          <w:sz w:val="16"/>
        </w:rPr>
      </w:pPr>
      <w:r w:rsidRPr="00004514">
        <w:rPr>
          <w:iCs/>
          <w:sz w:val="16"/>
        </w:rPr>
        <w:t>(*)</w:t>
      </w:r>
      <w:r w:rsidR="001D6E21" w:rsidRPr="00004514">
        <w:rPr>
          <w:iCs/>
          <w:sz w:val="16"/>
        </w:rPr>
        <w:t xml:space="preserve">  </w:t>
      </w:r>
      <w:r w:rsidRPr="00004514">
        <w:rPr>
          <w:iCs/>
          <w:sz w:val="16"/>
        </w:rPr>
        <w:t xml:space="preserve"> </w:t>
      </w:r>
      <w:r w:rsidR="00BA637F">
        <w:rPr>
          <w:iCs/>
          <w:sz w:val="16"/>
        </w:rPr>
        <w:tab/>
      </w:r>
      <w:r w:rsidR="00C061BA" w:rsidRPr="00004514">
        <w:rPr>
          <w:iCs/>
          <w:sz w:val="16"/>
        </w:rPr>
        <w:t>Banka,</w:t>
      </w:r>
      <w:r w:rsidR="00575C03" w:rsidRPr="00004514">
        <w:rPr>
          <w:iCs/>
          <w:sz w:val="16"/>
        </w:rPr>
        <w:t xml:space="preserve"> takipteki kredilerinden yüzde yüz karşılık ayrılmış olan 110,353 TL tutarındaki </w:t>
      </w:r>
      <w:r w:rsidR="00FA6A65" w:rsidRPr="00004514">
        <w:rPr>
          <w:iCs/>
          <w:sz w:val="16"/>
        </w:rPr>
        <w:t>riskini</w:t>
      </w:r>
      <w:r w:rsidR="00C061BA" w:rsidRPr="00004514">
        <w:rPr>
          <w:iCs/>
          <w:sz w:val="16"/>
        </w:rPr>
        <w:t xml:space="preserve"> </w:t>
      </w:r>
      <w:r w:rsidR="00575C03" w:rsidRPr="00004514">
        <w:rPr>
          <w:iCs/>
          <w:sz w:val="16"/>
        </w:rPr>
        <w:t>28,800</w:t>
      </w:r>
      <w:r w:rsidR="007B4BA2" w:rsidRPr="00004514">
        <w:rPr>
          <w:iCs/>
          <w:sz w:val="16"/>
        </w:rPr>
        <w:t xml:space="preserve"> TL</w:t>
      </w:r>
      <w:r w:rsidR="00575C03" w:rsidRPr="00004514">
        <w:rPr>
          <w:iCs/>
          <w:sz w:val="16"/>
        </w:rPr>
        <w:t xml:space="preserve"> bedel karşılığında varlık yönetim şirketine satmıştır.</w:t>
      </w:r>
    </w:p>
    <w:p w14:paraId="1BEC4B62" w14:textId="6D7AAFCE" w:rsidR="00895CCD" w:rsidRPr="00270CE6" w:rsidRDefault="00895CCD" w:rsidP="001D6E21">
      <w:pPr>
        <w:tabs>
          <w:tab w:val="left" w:pos="900"/>
        </w:tabs>
        <w:jc w:val="both"/>
        <w:rPr>
          <w:iCs/>
          <w:sz w:val="16"/>
          <w:highlight w:val="yellow"/>
        </w:rPr>
      </w:pPr>
    </w:p>
    <w:p w14:paraId="668FFA97" w14:textId="651275A7" w:rsidR="00895CCD" w:rsidRPr="00270CE6" w:rsidRDefault="00895CCD" w:rsidP="00AC28B2">
      <w:pPr>
        <w:tabs>
          <w:tab w:val="left" w:pos="900"/>
        </w:tabs>
        <w:rPr>
          <w:iCs/>
          <w:sz w:val="2"/>
          <w:highlight w:val="yellow"/>
        </w:rPr>
      </w:pPr>
    </w:p>
    <w:p w14:paraId="10387DFC" w14:textId="4F33180E" w:rsidR="001D6E21" w:rsidRPr="00270CE6" w:rsidRDefault="001D6E21" w:rsidP="00AC28B2">
      <w:pPr>
        <w:tabs>
          <w:tab w:val="left" w:pos="900"/>
        </w:tabs>
        <w:rPr>
          <w:iCs/>
          <w:sz w:val="2"/>
          <w:highlight w:val="yellow"/>
        </w:rPr>
      </w:pPr>
    </w:p>
    <w:tbl>
      <w:tblPr>
        <w:tblW w:w="9220" w:type="dxa"/>
        <w:tblCellMar>
          <w:left w:w="70" w:type="dxa"/>
          <w:right w:w="70" w:type="dxa"/>
        </w:tblCellMar>
        <w:tblLook w:val="04A0" w:firstRow="1" w:lastRow="0" w:firstColumn="1" w:lastColumn="0" w:noHBand="0" w:noVBand="1"/>
      </w:tblPr>
      <w:tblGrid>
        <w:gridCol w:w="4738"/>
        <w:gridCol w:w="1494"/>
        <w:gridCol w:w="1494"/>
        <w:gridCol w:w="1494"/>
      </w:tblGrid>
      <w:tr w:rsidR="00004514" w:rsidRPr="00004514" w14:paraId="689D7085" w14:textId="77777777" w:rsidTr="00004514">
        <w:trPr>
          <w:divId w:val="487864676"/>
          <w:trHeight w:val="134"/>
        </w:trPr>
        <w:tc>
          <w:tcPr>
            <w:tcW w:w="4738" w:type="dxa"/>
            <w:tcBorders>
              <w:top w:val="double" w:sz="6" w:space="0" w:color="auto"/>
              <w:left w:val="nil"/>
              <w:bottom w:val="single" w:sz="8" w:space="0" w:color="auto"/>
              <w:right w:val="nil"/>
            </w:tcBorders>
            <w:shd w:val="clear" w:color="000000" w:fill="FFFFFF"/>
            <w:vAlign w:val="center"/>
            <w:hideMark/>
          </w:tcPr>
          <w:p w14:paraId="55EF755B" w14:textId="38347971" w:rsidR="00004514" w:rsidRPr="00004514" w:rsidRDefault="00004514" w:rsidP="00004514">
            <w:pPr>
              <w:jc w:val="right"/>
              <w:rPr>
                <w:b/>
                <w:bCs/>
                <w:sz w:val="18"/>
                <w:szCs w:val="18"/>
                <w:lang w:eastAsia="tr-TR"/>
              </w:rPr>
            </w:pPr>
            <w:r w:rsidRPr="00004514">
              <w:rPr>
                <w:b/>
                <w:bCs/>
                <w:sz w:val="18"/>
                <w:szCs w:val="18"/>
                <w:lang w:eastAsia="tr-TR"/>
              </w:rPr>
              <w:t> </w:t>
            </w:r>
          </w:p>
        </w:tc>
        <w:tc>
          <w:tcPr>
            <w:tcW w:w="1494" w:type="dxa"/>
            <w:tcBorders>
              <w:top w:val="double" w:sz="6" w:space="0" w:color="auto"/>
              <w:left w:val="nil"/>
              <w:bottom w:val="single" w:sz="8" w:space="0" w:color="auto"/>
              <w:right w:val="nil"/>
            </w:tcBorders>
            <w:shd w:val="clear" w:color="000000" w:fill="FFFFFF"/>
            <w:vAlign w:val="center"/>
            <w:hideMark/>
          </w:tcPr>
          <w:p w14:paraId="5E760983" w14:textId="77777777" w:rsidR="00004514" w:rsidRPr="00004514" w:rsidRDefault="00004514" w:rsidP="00004514">
            <w:pPr>
              <w:jc w:val="right"/>
              <w:rPr>
                <w:b/>
                <w:bCs/>
                <w:sz w:val="18"/>
                <w:szCs w:val="18"/>
                <w:lang w:eastAsia="tr-TR"/>
              </w:rPr>
            </w:pPr>
            <w:r w:rsidRPr="00004514">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7157BE2E" w14:textId="77777777" w:rsidR="00004514" w:rsidRPr="00004514" w:rsidRDefault="00004514" w:rsidP="00004514">
            <w:pPr>
              <w:jc w:val="right"/>
              <w:rPr>
                <w:b/>
                <w:bCs/>
                <w:sz w:val="18"/>
                <w:szCs w:val="18"/>
                <w:lang w:eastAsia="tr-TR"/>
              </w:rPr>
            </w:pPr>
            <w:r w:rsidRPr="00004514">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4E27D183" w14:textId="77777777" w:rsidR="00004514" w:rsidRPr="00004514" w:rsidRDefault="00004514" w:rsidP="00004514">
            <w:pPr>
              <w:jc w:val="right"/>
              <w:rPr>
                <w:b/>
                <w:bCs/>
                <w:sz w:val="18"/>
                <w:szCs w:val="18"/>
                <w:lang w:eastAsia="tr-TR"/>
              </w:rPr>
            </w:pPr>
            <w:r w:rsidRPr="00004514">
              <w:rPr>
                <w:b/>
                <w:bCs/>
                <w:sz w:val="18"/>
                <w:szCs w:val="18"/>
                <w:lang w:eastAsia="tr-TR"/>
              </w:rPr>
              <w:t>V. Grup</w:t>
            </w:r>
          </w:p>
        </w:tc>
      </w:tr>
      <w:tr w:rsidR="00004514" w:rsidRPr="00004514" w14:paraId="31F50EA1" w14:textId="77777777" w:rsidTr="00004514">
        <w:trPr>
          <w:divId w:val="487864676"/>
          <w:trHeight w:val="636"/>
        </w:trPr>
        <w:tc>
          <w:tcPr>
            <w:tcW w:w="4738" w:type="dxa"/>
            <w:tcBorders>
              <w:top w:val="nil"/>
              <w:left w:val="nil"/>
              <w:bottom w:val="single" w:sz="8" w:space="0" w:color="auto"/>
              <w:right w:val="nil"/>
            </w:tcBorders>
            <w:shd w:val="clear" w:color="000000" w:fill="FFFFFF"/>
            <w:vAlign w:val="center"/>
            <w:hideMark/>
          </w:tcPr>
          <w:p w14:paraId="7AF287AA" w14:textId="77777777" w:rsidR="00004514" w:rsidRPr="00004514" w:rsidRDefault="00004514" w:rsidP="00004514">
            <w:pPr>
              <w:rPr>
                <w:b/>
                <w:bCs/>
                <w:sz w:val="18"/>
                <w:szCs w:val="18"/>
                <w:lang w:eastAsia="tr-TR"/>
              </w:rPr>
            </w:pPr>
            <w:r w:rsidRPr="00004514">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454B6D6F" w14:textId="77777777" w:rsidR="00004514" w:rsidRPr="00004514" w:rsidRDefault="00004514" w:rsidP="00004514">
            <w:pPr>
              <w:jc w:val="right"/>
              <w:rPr>
                <w:b/>
                <w:bCs/>
                <w:sz w:val="18"/>
                <w:szCs w:val="18"/>
                <w:lang w:eastAsia="tr-TR"/>
              </w:rPr>
            </w:pPr>
            <w:r w:rsidRPr="00004514">
              <w:rPr>
                <w:b/>
                <w:bCs/>
                <w:sz w:val="18"/>
                <w:szCs w:val="18"/>
                <w:lang w:eastAsia="tr-TR"/>
              </w:rPr>
              <w:t xml:space="preserve">Tahsil </w:t>
            </w:r>
            <w:proofErr w:type="gramStart"/>
            <w:r w:rsidRPr="00004514">
              <w:rPr>
                <w:b/>
                <w:bCs/>
                <w:sz w:val="18"/>
                <w:szCs w:val="18"/>
                <w:lang w:eastAsia="tr-TR"/>
              </w:rPr>
              <w:t>imkanı</w:t>
            </w:r>
            <w:proofErr w:type="gramEnd"/>
            <w:r w:rsidRPr="00004514">
              <w:rPr>
                <w:b/>
                <w:bCs/>
                <w:sz w:val="18"/>
                <w:szCs w:val="18"/>
                <w:lang w:eastAsia="tr-TR"/>
              </w:rPr>
              <w:t xml:space="preserve"> sınırlı krediler ve diğer alacaklar</w:t>
            </w:r>
          </w:p>
        </w:tc>
        <w:tc>
          <w:tcPr>
            <w:tcW w:w="1494" w:type="dxa"/>
            <w:tcBorders>
              <w:top w:val="nil"/>
              <w:left w:val="nil"/>
              <w:bottom w:val="single" w:sz="8" w:space="0" w:color="auto"/>
              <w:right w:val="nil"/>
            </w:tcBorders>
            <w:shd w:val="clear" w:color="auto" w:fill="auto"/>
            <w:vAlign w:val="center"/>
            <w:hideMark/>
          </w:tcPr>
          <w:p w14:paraId="79B20BB8" w14:textId="77777777" w:rsidR="00004514" w:rsidRPr="00004514" w:rsidRDefault="00004514" w:rsidP="00004514">
            <w:pPr>
              <w:jc w:val="right"/>
              <w:rPr>
                <w:b/>
                <w:bCs/>
                <w:sz w:val="18"/>
                <w:szCs w:val="18"/>
                <w:lang w:eastAsia="tr-TR"/>
              </w:rPr>
            </w:pPr>
            <w:r w:rsidRPr="00004514">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3E788E3A" w14:textId="77777777" w:rsidR="00004514" w:rsidRPr="00004514" w:rsidRDefault="00004514" w:rsidP="00004514">
            <w:pPr>
              <w:jc w:val="right"/>
              <w:rPr>
                <w:b/>
                <w:bCs/>
                <w:sz w:val="18"/>
                <w:szCs w:val="18"/>
                <w:lang w:eastAsia="tr-TR"/>
              </w:rPr>
            </w:pPr>
            <w:r w:rsidRPr="00004514">
              <w:rPr>
                <w:b/>
                <w:bCs/>
                <w:sz w:val="18"/>
                <w:szCs w:val="18"/>
                <w:lang w:eastAsia="tr-TR"/>
              </w:rPr>
              <w:t>Zarar niteliğindeki krediler ve diğer alacaklar</w:t>
            </w:r>
          </w:p>
        </w:tc>
      </w:tr>
      <w:tr w:rsidR="00004514" w:rsidRPr="00004514" w14:paraId="275CC38B" w14:textId="77777777" w:rsidTr="00004514">
        <w:trPr>
          <w:divId w:val="487864676"/>
          <w:trHeight w:val="216"/>
        </w:trPr>
        <w:tc>
          <w:tcPr>
            <w:tcW w:w="4738" w:type="dxa"/>
            <w:tcBorders>
              <w:top w:val="nil"/>
              <w:left w:val="nil"/>
              <w:bottom w:val="nil"/>
              <w:right w:val="nil"/>
            </w:tcBorders>
            <w:shd w:val="clear" w:color="auto" w:fill="auto"/>
            <w:vAlign w:val="center"/>
            <w:hideMark/>
          </w:tcPr>
          <w:p w14:paraId="213EFBE0" w14:textId="77777777" w:rsidR="00004514" w:rsidRPr="00004514" w:rsidRDefault="00004514" w:rsidP="00004514">
            <w:pPr>
              <w:jc w:val="both"/>
              <w:rPr>
                <w:b/>
                <w:bCs/>
                <w:sz w:val="18"/>
                <w:szCs w:val="18"/>
                <w:lang w:eastAsia="tr-TR"/>
              </w:rPr>
            </w:pPr>
            <w:r w:rsidRPr="00004514">
              <w:rPr>
                <w:b/>
                <w:bCs/>
                <w:sz w:val="18"/>
                <w:szCs w:val="18"/>
                <w:lang w:eastAsia="tr-TR"/>
              </w:rPr>
              <w:t>Önceki dönem sonu bakiyesi 31.12.2018</w:t>
            </w:r>
          </w:p>
        </w:tc>
        <w:tc>
          <w:tcPr>
            <w:tcW w:w="1494" w:type="dxa"/>
            <w:tcBorders>
              <w:top w:val="nil"/>
              <w:left w:val="nil"/>
              <w:bottom w:val="nil"/>
              <w:right w:val="nil"/>
            </w:tcBorders>
            <w:shd w:val="clear" w:color="000000" w:fill="FFFFFF"/>
            <w:vAlign w:val="center"/>
            <w:hideMark/>
          </w:tcPr>
          <w:p w14:paraId="08517B7F" w14:textId="77777777" w:rsidR="00004514" w:rsidRPr="00004514" w:rsidRDefault="00004514" w:rsidP="00004514">
            <w:pPr>
              <w:jc w:val="right"/>
              <w:rPr>
                <w:b/>
                <w:bCs/>
                <w:sz w:val="18"/>
                <w:szCs w:val="18"/>
                <w:lang w:eastAsia="tr-TR"/>
              </w:rPr>
            </w:pPr>
            <w:r w:rsidRPr="00004514">
              <w:rPr>
                <w:b/>
                <w:bCs/>
                <w:sz w:val="18"/>
                <w:szCs w:val="18"/>
                <w:lang w:eastAsia="tr-TR"/>
              </w:rPr>
              <w:t>142,629</w:t>
            </w:r>
          </w:p>
        </w:tc>
        <w:tc>
          <w:tcPr>
            <w:tcW w:w="1494" w:type="dxa"/>
            <w:tcBorders>
              <w:top w:val="nil"/>
              <w:left w:val="nil"/>
              <w:bottom w:val="nil"/>
              <w:right w:val="nil"/>
            </w:tcBorders>
            <w:shd w:val="clear" w:color="auto" w:fill="auto"/>
            <w:vAlign w:val="center"/>
            <w:hideMark/>
          </w:tcPr>
          <w:p w14:paraId="38FB76AD" w14:textId="77777777" w:rsidR="00004514" w:rsidRPr="00004514" w:rsidRDefault="00004514" w:rsidP="00004514">
            <w:pPr>
              <w:jc w:val="right"/>
              <w:rPr>
                <w:b/>
                <w:bCs/>
                <w:sz w:val="18"/>
                <w:szCs w:val="18"/>
                <w:lang w:eastAsia="tr-TR"/>
              </w:rPr>
            </w:pPr>
            <w:r w:rsidRPr="00004514">
              <w:rPr>
                <w:b/>
                <w:bCs/>
                <w:sz w:val="18"/>
                <w:szCs w:val="18"/>
                <w:lang w:eastAsia="tr-TR"/>
              </w:rPr>
              <w:t>310,520</w:t>
            </w:r>
          </w:p>
        </w:tc>
        <w:tc>
          <w:tcPr>
            <w:tcW w:w="1494" w:type="dxa"/>
            <w:tcBorders>
              <w:top w:val="nil"/>
              <w:left w:val="nil"/>
              <w:bottom w:val="nil"/>
              <w:right w:val="nil"/>
            </w:tcBorders>
            <w:shd w:val="clear" w:color="auto" w:fill="auto"/>
            <w:vAlign w:val="center"/>
            <w:hideMark/>
          </w:tcPr>
          <w:p w14:paraId="2204A5E3" w14:textId="77777777" w:rsidR="00004514" w:rsidRPr="00004514" w:rsidRDefault="00004514" w:rsidP="00004514">
            <w:pPr>
              <w:jc w:val="right"/>
              <w:rPr>
                <w:b/>
                <w:bCs/>
                <w:sz w:val="18"/>
                <w:szCs w:val="18"/>
                <w:lang w:eastAsia="tr-TR"/>
              </w:rPr>
            </w:pPr>
            <w:r w:rsidRPr="00004514">
              <w:rPr>
                <w:b/>
                <w:bCs/>
                <w:sz w:val="18"/>
                <w:szCs w:val="18"/>
                <w:lang w:eastAsia="tr-TR"/>
              </w:rPr>
              <w:t>726,618</w:t>
            </w:r>
          </w:p>
        </w:tc>
      </w:tr>
      <w:tr w:rsidR="00004514" w:rsidRPr="00004514" w14:paraId="44D21FE8" w14:textId="77777777" w:rsidTr="00004514">
        <w:trPr>
          <w:divId w:val="487864676"/>
          <w:trHeight w:val="230"/>
        </w:trPr>
        <w:tc>
          <w:tcPr>
            <w:tcW w:w="4738" w:type="dxa"/>
            <w:tcBorders>
              <w:top w:val="nil"/>
              <w:left w:val="nil"/>
              <w:bottom w:val="nil"/>
              <w:right w:val="nil"/>
            </w:tcBorders>
            <w:shd w:val="clear" w:color="auto" w:fill="auto"/>
            <w:vAlign w:val="center"/>
            <w:hideMark/>
          </w:tcPr>
          <w:p w14:paraId="2CC66950" w14:textId="77777777" w:rsidR="00004514" w:rsidRPr="00004514" w:rsidRDefault="00004514" w:rsidP="00004514">
            <w:pPr>
              <w:jc w:val="both"/>
              <w:rPr>
                <w:sz w:val="18"/>
                <w:szCs w:val="18"/>
                <w:lang w:eastAsia="tr-TR"/>
              </w:rPr>
            </w:pPr>
            <w:r w:rsidRPr="00004514">
              <w:rPr>
                <w:sz w:val="18"/>
                <w:szCs w:val="18"/>
                <w:lang w:eastAsia="tr-TR"/>
              </w:rPr>
              <w:t>Dönem içinde intikal (+)</w:t>
            </w:r>
          </w:p>
        </w:tc>
        <w:tc>
          <w:tcPr>
            <w:tcW w:w="1494" w:type="dxa"/>
            <w:tcBorders>
              <w:top w:val="nil"/>
              <w:left w:val="nil"/>
              <w:bottom w:val="nil"/>
              <w:right w:val="nil"/>
            </w:tcBorders>
            <w:shd w:val="clear" w:color="000000" w:fill="FFFFFF"/>
            <w:vAlign w:val="center"/>
            <w:hideMark/>
          </w:tcPr>
          <w:p w14:paraId="52C2F648" w14:textId="77777777" w:rsidR="00004514" w:rsidRPr="00004514" w:rsidRDefault="00004514" w:rsidP="00004514">
            <w:pPr>
              <w:jc w:val="right"/>
              <w:rPr>
                <w:sz w:val="18"/>
                <w:szCs w:val="18"/>
                <w:lang w:eastAsia="tr-TR"/>
              </w:rPr>
            </w:pPr>
            <w:r w:rsidRPr="00004514">
              <w:rPr>
                <w:sz w:val="18"/>
                <w:szCs w:val="18"/>
                <w:lang w:eastAsia="tr-TR"/>
              </w:rPr>
              <w:t>806,015</w:t>
            </w:r>
          </w:p>
        </w:tc>
        <w:tc>
          <w:tcPr>
            <w:tcW w:w="1494" w:type="dxa"/>
            <w:tcBorders>
              <w:top w:val="nil"/>
              <w:left w:val="nil"/>
              <w:bottom w:val="nil"/>
              <w:right w:val="nil"/>
            </w:tcBorders>
            <w:shd w:val="clear" w:color="auto" w:fill="auto"/>
            <w:vAlign w:val="center"/>
            <w:hideMark/>
          </w:tcPr>
          <w:p w14:paraId="1C6F084B" w14:textId="77777777" w:rsidR="00004514" w:rsidRPr="00004514" w:rsidRDefault="00004514" w:rsidP="00004514">
            <w:pPr>
              <w:jc w:val="right"/>
              <w:rPr>
                <w:sz w:val="18"/>
                <w:szCs w:val="18"/>
                <w:lang w:eastAsia="tr-TR"/>
              </w:rPr>
            </w:pPr>
            <w:r w:rsidRPr="00004514">
              <w:rPr>
                <w:sz w:val="18"/>
                <w:szCs w:val="18"/>
                <w:lang w:eastAsia="tr-TR"/>
              </w:rPr>
              <w:t>991,658</w:t>
            </w:r>
          </w:p>
        </w:tc>
        <w:tc>
          <w:tcPr>
            <w:tcW w:w="1494" w:type="dxa"/>
            <w:tcBorders>
              <w:top w:val="nil"/>
              <w:left w:val="nil"/>
              <w:bottom w:val="nil"/>
              <w:right w:val="nil"/>
            </w:tcBorders>
            <w:shd w:val="clear" w:color="auto" w:fill="auto"/>
            <w:vAlign w:val="center"/>
            <w:hideMark/>
          </w:tcPr>
          <w:p w14:paraId="6A9DDA71" w14:textId="77777777" w:rsidR="00004514" w:rsidRPr="00004514" w:rsidRDefault="00004514" w:rsidP="00004514">
            <w:pPr>
              <w:jc w:val="right"/>
              <w:rPr>
                <w:sz w:val="18"/>
                <w:szCs w:val="18"/>
                <w:lang w:eastAsia="tr-TR"/>
              </w:rPr>
            </w:pPr>
            <w:r w:rsidRPr="00004514">
              <w:rPr>
                <w:sz w:val="18"/>
                <w:szCs w:val="18"/>
                <w:lang w:eastAsia="tr-TR"/>
              </w:rPr>
              <w:t>472,084</w:t>
            </w:r>
          </w:p>
        </w:tc>
      </w:tr>
      <w:tr w:rsidR="00004514" w:rsidRPr="00004514" w14:paraId="684DC5DD" w14:textId="77777777" w:rsidTr="00004514">
        <w:trPr>
          <w:divId w:val="487864676"/>
          <w:trHeight w:val="230"/>
        </w:trPr>
        <w:tc>
          <w:tcPr>
            <w:tcW w:w="4738" w:type="dxa"/>
            <w:tcBorders>
              <w:top w:val="nil"/>
              <w:left w:val="nil"/>
              <w:bottom w:val="nil"/>
              <w:right w:val="nil"/>
            </w:tcBorders>
            <w:shd w:val="clear" w:color="auto" w:fill="auto"/>
            <w:vAlign w:val="center"/>
            <w:hideMark/>
          </w:tcPr>
          <w:p w14:paraId="4C1ECE9D" w14:textId="77777777" w:rsidR="00004514" w:rsidRPr="00004514" w:rsidRDefault="00004514" w:rsidP="00004514">
            <w:pPr>
              <w:jc w:val="both"/>
              <w:rPr>
                <w:sz w:val="18"/>
                <w:szCs w:val="18"/>
                <w:lang w:eastAsia="tr-TR"/>
              </w:rPr>
            </w:pPr>
            <w:r w:rsidRPr="00004514">
              <w:rPr>
                <w:sz w:val="18"/>
                <w:szCs w:val="18"/>
                <w:lang w:eastAsia="tr-TR"/>
              </w:rPr>
              <w:t>Diğer donuk alacak hesaplarından giriş (+)</w:t>
            </w:r>
          </w:p>
        </w:tc>
        <w:tc>
          <w:tcPr>
            <w:tcW w:w="1494" w:type="dxa"/>
            <w:tcBorders>
              <w:top w:val="nil"/>
              <w:left w:val="nil"/>
              <w:bottom w:val="nil"/>
              <w:right w:val="nil"/>
            </w:tcBorders>
            <w:shd w:val="clear" w:color="000000" w:fill="FFFFFF"/>
            <w:vAlign w:val="center"/>
            <w:hideMark/>
          </w:tcPr>
          <w:p w14:paraId="54E933E0" w14:textId="77777777" w:rsidR="00004514" w:rsidRPr="00004514" w:rsidRDefault="00004514" w:rsidP="00004514">
            <w:pPr>
              <w:jc w:val="right"/>
              <w:rPr>
                <w:sz w:val="18"/>
                <w:szCs w:val="18"/>
                <w:lang w:eastAsia="tr-TR"/>
              </w:rPr>
            </w:pPr>
            <w:r w:rsidRPr="00004514">
              <w:rPr>
                <w:sz w:val="18"/>
                <w:szCs w:val="18"/>
                <w:lang w:eastAsia="tr-TR"/>
              </w:rPr>
              <w:t>100,972</w:t>
            </w:r>
          </w:p>
        </w:tc>
        <w:tc>
          <w:tcPr>
            <w:tcW w:w="1494" w:type="dxa"/>
            <w:tcBorders>
              <w:top w:val="nil"/>
              <w:left w:val="nil"/>
              <w:bottom w:val="nil"/>
              <w:right w:val="nil"/>
            </w:tcBorders>
            <w:shd w:val="clear" w:color="auto" w:fill="auto"/>
            <w:vAlign w:val="center"/>
            <w:hideMark/>
          </w:tcPr>
          <w:p w14:paraId="11780639" w14:textId="77777777" w:rsidR="00004514" w:rsidRPr="00004514" w:rsidRDefault="00004514" w:rsidP="00004514">
            <w:pPr>
              <w:jc w:val="right"/>
              <w:rPr>
                <w:sz w:val="18"/>
                <w:szCs w:val="18"/>
                <w:lang w:eastAsia="tr-TR"/>
              </w:rPr>
            </w:pPr>
            <w:r w:rsidRPr="00004514">
              <w:rPr>
                <w:sz w:val="18"/>
                <w:szCs w:val="18"/>
                <w:lang w:eastAsia="tr-TR"/>
              </w:rPr>
              <w:t>677,421</w:t>
            </w:r>
          </w:p>
        </w:tc>
        <w:tc>
          <w:tcPr>
            <w:tcW w:w="1494" w:type="dxa"/>
            <w:tcBorders>
              <w:top w:val="nil"/>
              <w:left w:val="nil"/>
              <w:bottom w:val="nil"/>
              <w:right w:val="nil"/>
            </w:tcBorders>
            <w:shd w:val="clear" w:color="auto" w:fill="auto"/>
            <w:vAlign w:val="center"/>
            <w:hideMark/>
          </w:tcPr>
          <w:p w14:paraId="4493771F" w14:textId="77777777" w:rsidR="00004514" w:rsidRPr="00004514" w:rsidRDefault="00004514" w:rsidP="00004514">
            <w:pPr>
              <w:jc w:val="right"/>
              <w:rPr>
                <w:sz w:val="18"/>
                <w:szCs w:val="18"/>
                <w:lang w:eastAsia="tr-TR"/>
              </w:rPr>
            </w:pPr>
            <w:r w:rsidRPr="00004514">
              <w:rPr>
                <w:sz w:val="18"/>
                <w:szCs w:val="18"/>
                <w:lang w:eastAsia="tr-TR"/>
              </w:rPr>
              <w:t>1,374,788</w:t>
            </w:r>
          </w:p>
        </w:tc>
      </w:tr>
      <w:tr w:rsidR="00004514" w:rsidRPr="00004514" w14:paraId="005F5F64" w14:textId="77777777" w:rsidTr="00004514">
        <w:trPr>
          <w:divId w:val="487864676"/>
          <w:trHeight w:val="230"/>
        </w:trPr>
        <w:tc>
          <w:tcPr>
            <w:tcW w:w="4738" w:type="dxa"/>
            <w:tcBorders>
              <w:top w:val="nil"/>
              <w:left w:val="nil"/>
              <w:bottom w:val="nil"/>
              <w:right w:val="nil"/>
            </w:tcBorders>
            <w:shd w:val="clear" w:color="auto" w:fill="auto"/>
            <w:vAlign w:val="center"/>
            <w:hideMark/>
          </w:tcPr>
          <w:p w14:paraId="0AAC94D1" w14:textId="77777777" w:rsidR="00004514" w:rsidRPr="00004514" w:rsidRDefault="00004514" w:rsidP="00004514">
            <w:pPr>
              <w:jc w:val="both"/>
              <w:rPr>
                <w:sz w:val="18"/>
                <w:szCs w:val="18"/>
                <w:lang w:eastAsia="tr-TR"/>
              </w:rPr>
            </w:pPr>
            <w:r w:rsidRPr="00004514">
              <w:rPr>
                <w:sz w:val="18"/>
                <w:szCs w:val="18"/>
                <w:lang w:eastAsia="tr-TR"/>
              </w:rPr>
              <w:t>Diğer donuk alacak hesaplarına çıkış (-)</w:t>
            </w:r>
          </w:p>
        </w:tc>
        <w:tc>
          <w:tcPr>
            <w:tcW w:w="1494" w:type="dxa"/>
            <w:tcBorders>
              <w:top w:val="nil"/>
              <w:left w:val="nil"/>
              <w:bottom w:val="nil"/>
              <w:right w:val="nil"/>
            </w:tcBorders>
            <w:shd w:val="clear" w:color="000000" w:fill="FFFFFF"/>
            <w:vAlign w:val="center"/>
            <w:hideMark/>
          </w:tcPr>
          <w:p w14:paraId="19D5CE20" w14:textId="77777777" w:rsidR="00004514" w:rsidRPr="00004514" w:rsidRDefault="00004514" w:rsidP="00004514">
            <w:pPr>
              <w:jc w:val="right"/>
              <w:rPr>
                <w:sz w:val="18"/>
                <w:szCs w:val="18"/>
                <w:lang w:eastAsia="tr-TR"/>
              </w:rPr>
            </w:pPr>
            <w:r w:rsidRPr="00004514">
              <w:rPr>
                <w:sz w:val="18"/>
                <w:szCs w:val="18"/>
                <w:lang w:eastAsia="tr-TR"/>
              </w:rPr>
              <w:t>676,683</w:t>
            </w:r>
          </w:p>
        </w:tc>
        <w:tc>
          <w:tcPr>
            <w:tcW w:w="1494" w:type="dxa"/>
            <w:tcBorders>
              <w:top w:val="nil"/>
              <w:left w:val="nil"/>
              <w:bottom w:val="nil"/>
              <w:right w:val="nil"/>
            </w:tcBorders>
            <w:shd w:val="clear" w:color="auto" w:fill="auto"/>
            <w:vAlign w:val="center"/>
            <w:hideMark/>
          </w:tcPr>
          <w:p w14:paraId="3A515DF1" w14:textId="77777777" w:rsidR="00004514" w:rsidRPr="00004514" w:rsidRDefault="00004514" w:rsidP="00004514">
            <w:pPr>
              <w:jc w:val="right"/>
              <w:rPr>
                <w:sz w:val="18"/>
                <w:szCs w:val="18"/>
                <w:lang w:eastAsia="tr-TR"/>
              </w:rPr>
            </w:pPr>
            <w:r w:rsidRPr="00004514">
              <w:rPr>
                <w:sz w:val="18"/>
                <w:szCs w:val="18"/>
                <w:lang w:eastAsia="tr-TR"/>
              </w:rPr>
              <w:t>1,374,976</w:t>
            </w:r>
          </w:p>
        </w:tc>
        <w:tc>
          <w:tcPr>
            <w:tcW w:w="1494" w:type="dxa"/>
            <w:tcBorders>
              <w:top w:val="nil"/>
              <w:left w:val="nil"/>
              <w:bottom w:val="nil"/>
              <w:right w:val="nil"/>
            </w:tcBorders>
            <w:shd w:val="clear" w:color="auto" w:fill="auto"/>
            <w:vAlign w:val="center"/>
            <w:hideMark/>
          </w:tcPr>
          <w:p w14:paraId="5E8DC8DB" w14:textId="77777777" w:rsidR="00004514" w:rsidRPr="00004514" w:rsidRDefault="00004514" w:rsidP="00004514">
            <w:pPr>
              <w:jc w:val="right"/>
              <w:rPr>
                <w:sz w:val="18"/>
                <w:szCs w:val="18"/>
                <w:lang w:eastAsia="tr-TR"/>
              </w:rPr>
            </w:pPr>
            <w:r w:rsidRPr="00004514">
              <w:rPr>
                <w:sz w:val="18"/>
                <w:szCs w:val="18"/>
                <w:lang w:eastAsia="tr-TR"/>
              </w:rPr>
              <w:t>101,522</w:t>
            </w:r>
          </w:p>
        </w:tc>
      </w:tr>
      <w:tr w:rsidR="00004514" w:rsidRPr="00004514" w14:paraId="40E84E79" w14:textId="77777777" w:rsidTr="00004514">
        <w:trPr>
          <w:divId w:val="487864676"/>
          <w:trHeight w:val="216"/>
        </w:trPr>
        <w:tc>
          <w:tcPr>
            <w:tcW w:w="4738" w:type="dxa"/>
            <w:tcBorders>
              <w:top w:val="nil"/>
              <w:left w:val="nil"/>
              <w:bottom w:val="nil"/>
              <w:right w:val="nil"/>
            </w:tcBorders>
            <w:shd w:val="clear" w:color="auto" w:fill="auto"/>
            <w:vAlign w:val="center"/>
            <w:hideMark/>
          </w:tcPr>
          <w:p w14:paraId="65DB2D08" w14:textId="77777777" w:rsidR="00004514" w:rsidRPr="00004514" w:rsidRDefault="00004514" w:rsidP="00004514">
            <w:pPr>
              <w:jc w:val="both"/>
              <w:rPr>
                <w:sz w:val="18"/>
                <w:szCs w:val="18"/>
                <w:lang w:eastAsia="tr-TR"/>
              </w:rPr>
            </w:pPr>
            <w:r w:rsidRPr="00004514">
              <w:rPr>
                <w:sz w:val="18"/>
                <w:szCs w:val="18"/>
                <w:lang w:eastAsia="tr-TR"/>
              </w:rPr>
              <w:t xml:space="preserve">Dönem içinde tahsilat (-) </w:t>
            </w:r>
          </w:p>
        </w:tc>
        <w:tc>
          <w:tcPr>
            <w:tcW w:w="1494" w:type="dxa"/>
            <w:tcBorders>
              <w:top w:val="nil"/>
              <w:left w:val="nil"/>
              <w:bottom w:val="nil"/>
              <w:right w:val="nil"/>
            </w:tcBorders>
            <w:shd w:val="clear" w:color="000000" w:fill="FFFFFF"/>
            <w:vAlign w:val="center"/>
            <w:hideMark/>
          </w:tcPr>
          <w:p w14:paraId="245B8478" w14:textId="77777777" w:rsidR="00004514" w:rsidRPr="00004514" w:rsidRDefault="00004514" w:rsidP="00004514">
            <w:pPr>
              <w:jc w:val="right"/>
              <w:rPr>
                <w:sz w:val="18"/>
                <w:szCs w:val="18"/>
                <w:lang w:eastAsia="tr-TR"/>
              </w:rPr>
            </w:pPr>
            <w:r w:rsidRPr="00004514">
              <w:rPr>
                <w:sz w:val="18"/>
                <w:szCs w:val="18"/>
                <w:lang w:eastAsia="tr-TR"/>
              </w:rPr>
              <w:t>112,153</w:t>
            </w:r>
          </w:p>
        </w:tc>
        <w:tc>
          <w:tcPr>
            <w:tcW w:w="1494" w:type="dxa"/>
            <w:tcBorders>
              <w:top w:val="nil"/>
              <w:left w:val="nil"/>
              <w:bottom w:val="nil"/>
              <w:right w:val="nil"/>
            </w:tcBorders>
            <w:shd w:val="clear" w:color="auto" w:fill="auto"/>
            <w:vAlign w:val="center"/>
            <w:hideMark/>
          </w:tcPr>
          <w:p w14:paraId="65F5BB6B" w14:textId="77777777" w:rsidR="00004514" w:rsidRPr="00004514" w:rsidRDefault="00004514" w:rsidP="00004514">
            <w:pPr>
              <w:jc w:val="right"/>
              <w:rPr>
                <w:sz w:val="18"/>
                <w:szCs w:val="18"/>
                <w:lang w:eastAsia="tr-TR"/>
              </w:rPr>
            </w:pPr>
            <w:r w:rsidRPr="00004514">
              <w:rPr>
                <w:sz w:val="18"/>
                <w:szCs w:val="18"/>
                <w:lang w:eastAsia="tr-TR"/>
              </w:rPr>
              <w:t>129,774</w:t>
            </w:r>
          </w:p>
        </w:tc>
        <w:tc>
          <w:tcPr>
            <w:tcW w:w="1494" w:type="dxa"/>
            <w:tcBorders>
              <w:top w:val="nil"/>
              <w:left w:val="nil"/>
              <w:bottom w:val="nil"/>
              <w:right w:val="nil"/>
            </w:tcBorders>
            <w:shd w:val="clear" w:color="auto" w:fill="auto"/>
            <w:vAlign w:val="center"/>
            <w:hideMark/>
          </w:tcPr>
          <w:p w14:paraId="1F23F12F" w14:textId="77777777" w:rsidR="00004514" w:rsidRPr="00004514" w:rsidRDefault="00004514" w:rsidP="00004514">
            <w:pPr>
              <w:jc w:val="right"/>
              <w:rPr>
                <w:sz w:val="18"/>
                <w:szCs w:val="18"/>
                <w:lang w:eastAsia="tr-TR"/>
              </w:rPr>
            </w:pPr>
            <w:r w:rsidRPr="00004514">
              <w:rPr>
                <w:sz w:val="18"/>
                <w:szCs w:val="18"/>
                <w:lang w:eastAsia="tr-TR"/>
              </w:rPr>
              <w:t>189,767</w:t>
            </w:r>
          </w:p>
        </w:tc>
      </w:tr>
      <w:tr w:rsidR="00004514" w:rsidRPr="00004514" w14:paraId="3A4FA40B" w14:textId="77777777" w:rsidTr="00004514">
        <w:trPr>
          <w:divId w:val="487864676"/>
          <w:trHeight w:val="216"/>
        </w:trPr>
        <w:tc>
          <w:tcPr>
            <w:tcW w:w="4738" w:type="dxa"/>
            <w:tcBorders>
              <w:top w:val="nil"/>
              <w:left w:val="nil"/>
              <w:bottom w:val="nil"/>
              <w:right w:val="nil"/>
            </w:tcBorders>
            <w:shd w:val="clear" w:color="auto" w:fill="auto"/>
            <w:vAlign w:val="center"/>
            <w:hideMark/>
          </w:tcPr>
          <w:p w14:paraId="2B174CDA" w14:textId="77777777" w:rsidR="00004514" w:rsidRPr="00004514" w:rsidRDefault="00004514" w:rsidP="00004514">
            <w:pPr>
              <w:jc w:val="both"/>
              <w:rPr>
                <w:sz w:val="18"/>
                <w:szCs w:val="18"/>
                <w:lang w:eastAsia="tr-TR"/>
              </w:rPr>
            </w:pPr>
            <w:r w:rsidRPr="00004514">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37EC1951" w14:textId="77777777" w:rsidR="00004514" w:rsidRPr="00004514" w:rsidRDefault="00004514" w:rsidP="00004514">
            <w:pPr>
              <w:jc w:val="right"/>
              <w:rPr>
                <w:sz w:val="18"/>
                <w:szCs w:val="18"/>
                <w:lang w:eastAsia="tr-TR"/>
              </w:rPr>
            </w:pPr>
            <w:r w:rsidRPr="00004514">
              <w:rPr>
                <w:sz w:val="18"/>
                <w:szCs w:val="18"/>
                <w:lang w:eastAsia="tr-TR"/>
              </w:rPr>
              <w:t>10,373</w:t>
            </w:r>
          </w:p>
        </w:tc>
        <w:tc>
          <w:tcPr>
            <w:tcW w:w="1494" w:type="dxa"/>
            <w:tcBorders>
              <w:top w:val="nil"/>
              <w:left w:val="nil"/>
              <w:bottom w:val="nil"/>
              <w:right w:val="nil"/>
            </w:tcBorders>
            <w:shd w:val="clear" w:color="auto" w:fill="auto"/>
            <w:vAlign w:val="center"/>
            <w:hideMark/>
          </w:tcPr>
          <w:p w14:paraId="77941542" w14:textId="77777777" w:rsidR="00004514" w:rsidRPr="00004514" w:rsidRDefault="00004514" w:rsidP="00004514">
            <w:pPr>
              <w:jc w:val="right"/>
              <w:rPr>
                <w:sz w:val="18"/>
                <w:szCs w:val="18"/>
                <w:lang w:eastAsia="tr-TR"/>
              </w:rPr>
            </w:pPr>
            <w:r w:rsidRPr="00004514">
              <w:rPr>
                <w:sz w:val="18"/>
                <w:szCs w:val="18"/>
                <w:lang w:eastAsia="tr-TR"/>
              </w:rPr>
              <w:t>156,716</w:t>
            </w:r>
          </w:p>
        </w:tc>
        <w:tc>
          <w:tcPr>
            <w:tcW w:w="1494" w:type="dxa"/>
            <w:tcBorders>
              <w:top w:val="nil"/>
              <w:left w:val="nil"/>
              <w:bottom w:val="nil"/>
              <w:right w:val="nil"/>
            </w:tcBorders>
            <w:shd w:val="clear" w:color="auto" w:fill="auto"/>
            <w:vAlign w:val="center"/>
            <w:hideMark/>
          </w:tcPr>
          <w:p w14:paraId="07008735" w14:textId="77777777" w:rsidR="00004514" w:rsidRPr="00004514" w:rsidRDefault="00004514" w:rsidP="00004514">
            <w:pPr>
              <w:jc w:val="right"/>
              <w:rPr>
                <w:sz w:val="18"/>
                <w:szCs w:val="18"/>
                <w:lang w:eastAsia="tr-TR"/>
              </w:rPr>
            </w:pPr>
            <w:r w:rsidRPr="00004514">
              <w:rPr>
                <w:sz w:val="18"/>
                <w:szCs w:val="18"/>
                <w:lang w:eastAsia="tr-TR"/>
              </w:rPr>
              <w:t>807,067</w:t>
            </w:r>
          </w:p>
        </w:tc>
      </w:tr>
      <w:tr w:rsidR="00004514" w:rsidRPr="00004514" w14:paraId="2BF833B9" w14:textId="77777777" w:rsidTr="00004514">
        <w:trPr>
          <w:divId w:val="487864676"/>
          <w:trHeight w:val="216"/>
        </w:trPr>
        <w:tc>
          <w:tcPr>
            <w:tcW w:w="4738" w:type="dxa"/>
            <w:tcBorders>
              <w:top w:val="nil"/>
              <w:left w:val="nil"/>
              <w:bottom w:val="nil"/>
              <w:right w:val="nil"/>
            </w:tcBorders>
            <w:shd w:val="clear" w:color="auto" w:fill="auto"/>
            <w:vAlign w:val="center"/>
            <w:hideMark/>
          </w:tcPr>
          <w:p w14:paraId="1C54FEC8" w14:textId="77777777" w:rsidR="00004514" w:rsidRPr="00004514" w:rsidRDefault="00004514" w:rsidP="00004514">
            <w:pPr>
              <w:jc w:val="both"/>
              <w:rPr>
                <w:b/>
                <w:bCs/>
                <w:sz w:val="18"/>
                <w:szCs w:val="18"/>
                <w:lang w:eastAsia="tr-TR"/>
              </w:rPr>
            </w:pPr>
            <w:r w:rsidRPr="00004514">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03BF0EC2" w14:textId="77777777" w:rsidR="00004514" w:rsidRPr="00004514" w:rsidRDefault="00004514" w:rsidP="00004514">
            <w:pPr>
              <w:jc w:val="right"/>
              <w:rPr>
                <w:sz w:val="18"/>
                <w:szCs w:val="18"/>
                <w:lang w:eastAsia="tr-TR"/>
              </w:rPr>
            </w:pPr>
            <w:r w:rsidRPr="00004514">
              <w:rPr>
                <w:sz w:val="18"/>
                <w:szCs w:val="18"/>
                <w:lang w:eastAsia="tr-TR"/>
              </w:rPr>
              <w:t>-</w:t>
            </w:r>
          </w:p>
        </w:tc>
        <w:tc>
          <w:tcPr>
            <w:tcW w:w="1494" w:type="dxa"/>
            <w:tcBorders>
              <w:top w:val="nil"/>
              <w:left w:val="nil"/>
              <w:bottom w:val="nil"/>
              <w:right w:val="nil"/>
            </w:tcBorders>
            <w:shd w:val="clear" w:color="auto" w:fill="auto"/>
            <w:vAlign w:val="center"/>
            <w:hideMark/>
          </w:tcPr>
          <w:p w14:paraId="53A5E29F" w14:textId="77777777" w:rsidR="00004514" w:rsidRPr="00004514" w:rsidRDefault="00004514" w:rsidP="00004514">
            <w:pPr>
              <w:jc w:val="right"/>
              <w:rPr>
                <w:b/>
                <w:bCs/>
                <w:sz w:val="18"/>
                <w:szCs w:val="18"/>
                <w:lang w:eastAsia="tr-TR"/>
              </w:rPr>
            </w:pPr>
            <w:r w:rsidRPr="00004514">
              <w:rPr>
                <w:sz w:val="18"/>
                <w:szCs w:val="18"/>
                <w:lang w:eastAsia="tr-TR"/>
              </w:rPr>
              <w:t>-</w:t>
            </w:r>
          </w:p>
        </w:tc>
        <w:tc>
          <w:tcPr>
            <w:tcW w:w="1494" w:type="dxa"/>
            <w:tcBorders>
              <w:top w:val="nil"/>
              <w:left w:val="nil"/>
              <w:bottom w:val="nil"/>
              <w:right w:val="nil"/>
            </w:tcBorders>
            <w:shd w:val="clear" w:color="auto" w:fill="auto"/>
            <w:vAlign w:val="center"/>
            <w:hideMark/>
          </w:tcPr>
          <w:p w14:paraId="1DF3C5CE" w14:textId="77777777" w:rsidR="00004514" w:rsidRPr="00004514" w:rsidRDefault="00004514" w:rsidP="00004514">
            <w:pPr>
              <w:jc w:val="right"/>
              <w:rPr>
                <w:b/>
                <w:bCs/>
                <w:sz w:val="18"/>
                <w:szCs w:val="18"/>
                <w:lang w:eastAsia="tr-TR"/>
              </w:rPr>
            </w:pPr>
            <w:r w:rsidRPr="00004514">
              <w:rPr>
                <w:lang w:eastAsia="tr-TR"/>
              </w:rPr>
              <w:t>-</w:t>
            </w:r>
          </w:p>
        </w:tc>
      </w:tr>
      <w:tr w:rsidR="00004514" w:rsidRPr="00004514" w14:paraId="0BDEA295" w14:textId="77777777" w:rsidTr="00004514">
        <w:trPr>
          <w:divId w:val="487864676"/>
          <w:trHeight w:val="216"/>
        </w:trPr>
        <w:tc>
          <w:tcPr>
            <w:tcW w:w="4738" w:type="dxa"/>
            <w:tcBorders>
              <w:top w:val="nil"/>
              <w:left w:val="nil"/>
              <w:bottom w:val="nil"/>
              <w:right w:val="nil"/>
            </w:tcBorders>
            <w:shd w:val="clear" w:color="auto" w:fill="auto"/>
            <w:vAlign w:val="center"/>
            <w:hideMark/>
          </w:tcPr>
          <w:p w14:paraId="6BE50969" w14:textId="77777777" w:rsidR="00004514" w:rsidRPr="00004514" w:rsidRDefault="00004514" w:rsidP="00004514">
            <w:pPr>
              <w:ind w:firstLineChars="100" w:firstLine="180"/>
              <w:rPr>
                <w:sz w:val="18"/>
                <w:szCs w:val="18"/>
                <w:lang w:eastAsia="tr-TR"/>
              </w:rPr>
            </w:pPr>
            <w:r w:rsidRPr="00004514">
              <w:rPr>
                <w:sz w:val="18"/>
                <w:szCs w:val="18"/>
                <w:lang w:eastAsia="tr-TR"/>
              </w:rPr>
              <w:t xml:space="preserve">    Kurumsal ve ticari krediler</w:t>
            </w:r>
          </w:p>
        </w:tc>
        <w:tc>
          <w:tcPr>
            <w:tcW w:w="1494" w:type="dxa"/>
            <w:tcBorders>
              <w:top w:val="nil"/>
              <w:left w:val="nil"/>
              <w:bottom w:val="nil"/>
              <w:right w:val="nil"/>
            </w:tcBorders>
            <w:shd w:val="clear" w:color="000000" w:fill="FFFFFF"/>
            <w:vAlign w:val="center"/>
            <w:hideMark/>
          </w:tcPr>
          <w:p w14:paraId="4CA6ECBE" w14:textId="77777777" w:rsidR="00004514" w:rsidRPr="00004514" w:rsidRDefault="00004514" w:rsidP="00004514">
            <w:pPr>
              <w:jc w:val="right"/>
              <w:rPr>
                <w:sz w:val="18"/>
                <w:szCs w:val="18"/>
                <w:lang w:eastAsia="tr-TR"/>
              </w:rPr>
            </w:pPr>
            <w:r w:rsidRPr="00004514">
              <w:rPr>
                <w:sz w:val="18"/>
                <w:szCs w:val="18"/>
                <w:lang w:eastAsia="tr-TR"/>
              </w:rPr>
              <w:t>-</w:t>
            </w:r>
          </w:p>
        </w:tc>
        <w:tc>
          <w:tcPr>
            <w:tcW w:w="1494" w:type="dxa"/>
            <w:tcBorders>
              <w:top w:val="nil"/>
              <w:left w:val="nil"/>
              <w:bottom w:val="nil"/>
              <w:right w:val="nil"/>
            </w:tcBorders>
            <w:shd w:val="clear" w:color="auto" w:fill="auto"/>
            <w:vAlign w:val="center"/>
            <w:hideMark/>
          </w:tcPr>
          <w:p w14:paraId="3AD50892" w14:textId="77777777" w:rsidR="00004514" w:rsidRPr="00004514" w:rsidRDefault="00004514" w:rsidP="00004514">
            <w:pPr>
              <w:jc w:val="right"/>
              <w:rPr>
                <w:sz w:val="18"/>
                <w:szCs w:val="18"/>
                <w:lang w:eastAsia="tr-TR"/>
              </w:rPr>
            </w:pPr>
            <w:r w:rsidRPr="00004514">
              <w:rPr>
                <w:sz w:val="18"/>
                <w:szCs w:val="18"/>
                <w:lang w:eastAsia="tr-TR"/>
              </w:rPr>
              <w:t>-</w:t>
            </w:r>
          </w:p>
        </w:tc>
        <w:tc>
          <w:tcPr>
            <w:tcW w:w="1494" w:type="dxa"/>
            <w:tcBorders>
              <w:top w:val="nil"/>
              <w:left w:val="nil"/>
              <w:bottom w:val="nil"/>
              <w:right w:val="nil"/>
            </w:tcBorders>
            <w:shd w:val="clear" w:color="auto" w:fill="auto"/>
            <w:vAlign w:val="center"/>
            <w:hideMark/>
          </w:tcPr>
          <w:p w14:paraId="19B690D3"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0DA244E3" w14:textId="77777777" w:rsidTr="00004514">
        <w:trPr>
          <w:divId w:val="487864676"/>
          <w:trHeight w:val="216"/>
        </w:trPr>
        <w:tc>
          <w:tcPr>
            <w:tcW w:w="4738" w:type="dxa"/>
            <w:tcBorders>
              <w:top w:val="nil"/>
              <w:left w:val="nil"/>
              <w:bottom w:val="nil"/>
              <w:right w:val="nil"/>
            </w:tcBorders>
            <w:shd w:val="clear" w:color="auto" w:fill="auto"/>
            <w:vAlign w:val="center"/>
            <w:hideMark/>
          </w:tcPr>
          <w:p w14:paraId="770FDCE2" w14:textId="77777777" w:rsidR="00004514" w:rsidRPr="00004514" w:rsidRDefault="00004514" w:rsidP="00004514">
            <w:pPr>
              <w:ind w:firstLineChars="100" w:firstLine="180"/>
              <w:rPr>
                <w:sz w:val="18"/>
                <w:szCs w:val="18"/>
                <w:lang w:eastAsia="tr-TR"/>
              </w:rPr>
            </w:pPr>
            <w:r w:rsidRPr="00004514">
              <w:rPr>
                <w:sz w:val="18"/>
                <w:szCs w:val="18"/>
                <w:lang w:eastAsia="tr-TR"/>
              </w:rPr>
              <w:t xml:space="preserve">    Bireysel krediler</w:t>
            </w:r>
            <w:r w:rsidRPr="00004514">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3699B121" w14:textId="77777777" w:rsidR="00004514" w:rsidRPr="00004514" w:rsidRDefault="00004514" w:rsidP="00004514">
            <w:pPr>
              <w:jc w:val="right"/>
              <w:rPr>
                <w:sz w:val="18"/>
                <w:szCs w:val="18"/>
                <w:lang w:eastAsia="tr-TR"/>
              </w:rPr>
            </w:pPr>
            <w:r w:rsidRPr="00004514">
              <w:rPr>
                <w:sz w:val="18"/>
                <w:szCs w:val="18"/>
                <w:lang w:eastAsia="tr-TR"/>
              </w:rPr>
              <w:t>-</w:t>
            </w:r>
          </w:p>
        </w:tc>
        <w:tc>
          <w:tcPr>
            <w:tcW w:w="1494" w:type="dxa"/>
            <w:tcBorders>
              <w:top w:val="nil"/>
              <w:left w:val="nil"/>
              <w:bottom w:val="nil"/>
              <w:right w:val="nil"/>
            </w:tcBorders>
            <w:shd w:val="clear" w:color="auto" w:fill="auto"/>
            <w:vAlign w:val="center"/>
            <w:hideMark/>
          </w:tcPr>
          <w:p w14:paraId="412D0F89" w14:textId="77777777" w:rsidR="00004514" w:rsidRPr="00004514" w:rsidRDefault="00004514" w:rsidP="00004514">
            <w:pPr>
              <w:jc w:val="right"/>
              <w:rPr>
                <w:sz w:val="18"/>
                <w:szCs w:val="18"/>
                <w:lang w:eastAsia="tr-TR"/>
              </w:rPr>
            </w:pPr>
            <w:r w:rsidRPr="00004514">
              <w:rPr>
                <w:sz w:val="18"/>
                <w:szCs w:val="18"/>
                <w:lang w:eastAsia="tr-TR"/>
              </w:rPr>
              <w:t>-</w:t>
            </w:r>
          </w:p>
        </w:tc>
        <w:tc>
          <w:tcPr>
            <w:tcW w:w="1494" w:type="dxa"/>
            <w:tcBorders>
              <w:top w:val="nil"/>
              <w:left w:val="nil"/>
              <w:bottom w:val="nil"/>
              <w:right w:val="nil"/>
            </w:tcBorders>
            <w:shd w:val="clear" w:color="auto" w:fill="auto"/>
            <w:vAlign w:val="center"/>
            <w:hideMark/>
          </w:tcPr>
          <w:p w14:paraId="78B9DEB9"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2655B7B4" w14:textId="77777777" w:rsidTr="00004514">
        <w:trPr>
          <w:divId w:val="487864676"/>
          <w:trHeight w:val="216"/>
        </w:trPr>
        <w:tc>
          <w:tcPr>
            <w:tcW w:w="4738" w:type="dxa"/>
            <w:tcBorders>
              <w:top w:val="nil"/>
              <w:left w:val="nil"/>
              <w:bottom w:val="nil"/>
              <w:right w:val="nil"/>
            </w:tcBorders>
            <w:shd w:val="clear" w:color="auto" w:fill="auto"/>
            <w:vAlign w:val="center"/>
            <w:hideMark/>
          </w:tcPr>
          <w:p w14:paraId="25397EAD" w14:textId="77777777" w:rsidR="00004514" w:rsidRPr="00004514" w:rsidRDefault="00004514" w:rsidP="00004514">
            <w:pPr>
              <w:ind w:firstLineChars="100" w:firstLine="180"/>
              <w:rPr>
                <w:sz w:val="18"/>
                <w:szCs w:val="18"/>
                <w:lang w:eastAsia="tr-TR"/>
              </w:rPr>
            </w:pPr>
            <w:r w:rsidRPr="00004514">
              <w:rPr>
                <w:sz w:val="18"/>
                <w:szCs w:val="18"/>
                <w:lang w:eastAsia="tr-TR"/>
              </w:rPr>
              <w:t xml:space="preserve">    Kredi kartları</w:t>
            </w:r>
          </w:p>
        </w:tc>
        <w:tc>
          <w:tcPr>
            <w:tcW w:w="1494" w:type="dxa"/>
            <w:tcBorders>
              <w:top w:val="nil"/>
              <w:left w:val="nil"/>
              <w:bottom w:val="nil"/>
              <w:right w:val="nil"/>
            </w:tcBorders>
            <w:shd w:val="clear" w:color="000000" w:fill="FFFFFF"/>
            <w:vAlign w:val="center"/>
            <w:hideMark/>
          </w:tcPr>
          <w:p w14:paraId="29BD6DE5" w14:textId="77777777" w:rsidR="00004514" w:rsidRPr="00004514" w:rsidRDefault="00004514" w:rsidP="00004514">
            <w:pPr>
              <w:jc w:val="right"/>
              <w:rPr>
                <w:sz w:val="18"/>
                <w:szCs w:val="18"/>
                <w:lang w:eastAsia="tr-TR"/>
              </w:rPr>
            </w:pPr>
            <w:r w:rsidRPr="00004514">
              <w:rPr>
                <w:sz w:val="18"/>
                <w:szCs w:val="18"/>
                <w:lang w:eastAsia="tr-TR"/>
              </w:rPr>
              <w:t>-</w:t>
            </w:r>
          </w:p>
        </w:tc>
        <w:tc>
          <w:tcPr>
            <w:tcW w:w="1494" w:type="dxa"/>
            <w:tcBorders>
              <w:top w:val="nil"/>
              <w:left w:val="nil"/>
              <w:bottom w:val="nil"/>
              <w:right w:val="nil"/>
            </w:tcBorders>
            <w:shd w:val="clear" w:color="auto" w:fill="auto"/>
            <w:vAlign w:val="center"/>
            <w:hideMark/>
          </w:tcPr>
          <w:p w14:paraId="632DA2C3" w14:textId="77777777" w:rsidR="00004514" w:rsidRPr="00004514" w:rsidRDefault="00004514" w:rsidP="00004514">
            <w:pPr>
              <w:jc w:val="right"/>
              <w:rPr>
                <w:sz w:val="18"/>
                <w:szCs w:val="18"/>
                <w:lang w:eastAsia="tr-TR"/>
              </w:rPr>
            </w:pPr>
            <w:r w:rsidRPr="00004514">
              <w:rPr>
                <w:sz w:val="18"/>
                <w:szCs w:val="18"/>
                <w:lang w:eastAsia="tr-TR"/>
              </w:rPr>
              <w:t>-</w:t>
            </w:r>
          </w:p>
        </w:tc>
        <w:tc>
          <w:tcPr>
            <w:tcW w:w="1494" w:type="dxa"/>
            <w:tcBorders>
              <w:top w:val="nil"/>
              <w:left w:val="nil"/>
              <w:bottom w:val="nil"/>
              <w:right w:val="nil"/>
            </w:tcBorders>
            <w:shd w:val="clear" w:color="auto" w:fill="auto"/>
            <w:vAlign w:val="center"/>
            <w:hideMark/>
          </w:tcPr>
          <w:p w14:paraId="68C9F1FF"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38FFD048" w14:textId="77777777" w:rsidTr="00004514">
        <w:trPr>
          <w:divId w:val="487864676"/>
          <w:trHeight w:val="216"/>
        </w:trPr>
        <w:tc>
          <w:tcPr>
            <w:tcW w:w="4738" w:type="dxa"/>
            <w:tcBorders>
              <w:top w:val="nil"/>
              <w:left w:val="nil"/>
              <w:bottom w:val="nil"/>
              <w:right w:val="nil"/>
            </w:tcBorders>
            <w:shd w:val="clear" w:color="auto" w:fill="auto"/>
            <w:vAlign w:val="center"/>
            <w:hideMark/>
          </w:tcPr>
          <w:p w14:paraId="417535BA" w14:textId="77777777" w:rsidR="00004514" w:rsidRPr="00004514" w:rsidRDefault="00004514" w:rsidP="00004514">
            <w:pPr>
              <w:ind w:firstLineChars="100" w:firstLine="180"/>
              <w:rPr>
                <w:sz w:val="18"/>
                <w:szCs w:val="18"/>
                <w:lang w:eastAsia="tr-TR"/>
              </w:rPr>
            </w:pPr>
            <w:r w:rsidRPr="00004514">
              <w:rPr>
                <w:sz w:val="18"/>
                <w:szCs w:val="18"/>
                <w:lang w:eastAsia="tr-TR"/>
              </w:rPr>
              <w:t xml:space="preserve">    Diğer</w:t>
            </w:r>
          </w:p>
        </w:tc>
        <w:tc>
          <w:tcPr>
            <w:tcW w:w="1494" w:type="dxa"/>
            <w:tcBorders>
              <w:top w:val="nil"/>
              <w:left w:val="nil"/>
              <w:bottom w:val="nil"/>
              <w:right w:val="nil"/>
            </w:tcBorders>
            <w:shd w:val="clear" w:color="000000" w:fill="FFFFFF"/>
            <w:vAlign w:val="center"/>
            <w:hideMark/>
          </w:tcPr>
          <w:p w14:paraId="489B0965" w14:textId="77777777" w:rsidR="00004514" w:rsidRPr="00004514" w:rsidRDefault="00004514" w:rsidP="00004514">
            <w:pPr>
              <w:jc w:val="right"/>
              <w:rPr>
                <w:sz w:val="18"/>
                <w:szCs w:val="18"/>
                <w:lang w:eastAsia="tr-TR"/>
              </w:rPr>
            </w:pPr>
            <w:r w:rsidRPr="00004514">
              <w:rPr>
                <w:sz w:val="18"/>
                <w:szCs w:val="18"/>
                <w:lang w:eastAsia="tr-TR"/>
              </w:rPr>
              <w:t>-</w:t>
            </w:r>
          </w:p>
        </w:tc>
        <w:tc>
          <w:tcPr>
            <w:tcW w:w="1494" w:type="dxa"/>
            <w:tcBorders>
              <w:top w:val="nil"/>
              <w:left w:val="nil"/>
              <w:bottom w:val="nil"/>
              <w:right w:val="nil"/>
            </w:tcBorders>
            <w:shd w:val="clear" w:color="auto" w:fill="auto"/>
            <w:vAlign w:val="center"/>
            <w:hideMark/>
          </w:tcPr>
          <w:p w14:paraId="7EC445F3" w14:textId="77777777" w:rsidR="00004514" w:rsidRPr="00004514" w:rsidRDefault="00004514" w:rsidP="00004514">
            <w:pPr>
              <w:jc w:val="right"/>
              <w:rPr>
                <w:sz w:val="18"/>
                <w:szCs w:val="18"/>
                <w:lang w:eastAsia="tr-TR"/>
              </w:rPr>
            </w:pPr>
            <w:r w:rsidRPr="00004514">
              <w:rPr>
                <w:sz w:val="18"/>
                <w:szCs w:val="18"/>
                <w:lang w:eastAsia="tr-TR"/>
              </w:rPr>
              <w:t>-</w:t>
            </w:r>
          </w:p>
        </w:tc>
        <w:tc>
          <w:tcPr>
            <w:tcW w:w="1494" w:type="dxa"/>
            <w:tcBorders>
              <w:top w:val="nil"/>
              <w:left w:val="nil"/>
              <w:bottom w:val="nil"/>
              <w:right w:val="nil"/>
            </w:tcBorders>
            <w:shd w:val="clear" w:color="auto" w:fill="auto"/>
            <w:vAlign w:val="center"/>
            <w:hideMark/>
          </w:tcPr>
          <w:p w14:paraId="4ABC6873"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7145A2EE" w14:textId="77777777" w:rsidTr="00004514">
        <w:trPr>
          <w:divId w:val="487864676"/>
          <w:trHeight w:val="216"/>
        </w:trPr>
        <w:tc>
          <w:tcPr>
            <w:tcW w:w="4738" w:type="dxa"/>
            <w:tcBorders>
              <w:top w:val="nil"/>
              <w:left w:val="nil"/>
              <w:bottom w:val="nil"/>
              <w:right w:val="nil"/>
            </w:tcBorders>
            <w:shd w:val="clear" w:color="auto" w:fill="auto"/>
            <w:vAlign w:val="center"/>
            <w:hideMark/>
          </w:tcPr>
          <w:p w14:paraId="48E61F17" w14:textId="77777777" w:rsidR="00004514" w:rsidRPr="00004514" w:rsidRDefault="00004514" w:rsidP="00004514">
            <w:pPr>
              <w:jc w:val="both"/>
              <w:rPr>
                <w:b/>
                <w:bCs/>
                <w:sz w:val="18"/>
                <w:szCs w:val="18"/>
                <w:lang w:eastAsia="tr-TR"/>
              </w:rPr>
            </w:pPr>
            <w:r w:rsidRPr="00004514">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3F439364" w14:textId="77777777" w:rsidR="00004514" w:rsidRPr="00004514" w:rsidRDefault="00004514" w:rsidP="00004514">
            <w:pPr>
              <w:jc w:val="right"/>
              <w:rPr>
                <w:b/>
                <w:bCs/>
                <w:sz w:val="18"/>
                <w:szCs w:val="18"/>
                <w:lang w:eastAsia="tr-TR"/>
              </w:rPr>
            </w:pPr>
            <w:r w:rsidRPr="00004514">
              <w:rPr>
                <w:b/>
                <w:bCs/>
                <w:sz w:val="18"/>
                <w:szCs w:val="18"/>
                <w:lang w:eastAsia="tr-TR"/>
              </w:rPr>
              <w:t>250,407</w:t>
            </w:r>
          </w:p>
        </w:tc>
        <w:tc>
          <w:tcPr>
            <w:tcW w:w="1494" w:type="dxa"/>
            <w:tcBorders>
              <w:top w:val="nil"/>
              <w:left w:val="nil"/>
              <w:bottom w:val="nil"/>
              <w:right w:val="nil"/>
            </w:tcBorders>
            <w:shd w:val="clear" w:color="auto" w:fill="auto"/>
            <w:vAlign w:val="center"/>
            <w:hideMark/>
          </w:tcPr>
          <w:p w14:paraId="1E7A3B99" w14:textId="77777777" w:rsidR="00004514" w:rsidRPr="00004514" w:rsidRDefault="00004514" w:rsidP="00004514">
            <w:pPr>
              <w:jc w:val="right"/>
              <w:rPr>
                <w:b/>
                <w:bCs/>
                <w:sz w:val="18"/>
                <w:szCs w:val="18"/>
                <w:lang w:eastAsia="tr-TR"/>
              </w:rPr>
            </w:pPr>
            <w:r w:rsidRPr="00004514">
              <w:rPr>
                <w:b/>
                <w:bCs/>
                <w:sz w:val="18"/>
                <w:szCs w:val="18"/>
                <w:lang w:eastAsia="tr-TR"/>
              </w:rPr>
              <w:t>318,133</w:t>
            </w:r>
          </w:p>
        </w:tc>
        <w:tc>
          <w:tcPr>
            <w:tcW w:w="1494" w:type="dxa"/>
            <w:tcBorders>
              <w:top w:val="nil"/>
              <w:left w:val="nil"/>
              <w:bottom w:val="nil"/>
              <w:right w:val="nil"/>
            </w:tcBorders>
            <w:shd w:val="clear" w:color="auto" w:fill="auto"/>
            <w:vAlign w:val="center"/>
            <w:hideMark/>
          </w:tcPr>
          <w:p w14:paraId="524D0F02" w14:textId="77777777" w:rsidR="00004514" w:rsidRPr="00004514" w:rsidRDefault="00004514" w:rsidP="00004514">
            <w:pPr>
              <w:jc w:val="right"/>
              <w:rPr>
                <w:b/>
                <w:bCs/>
                <w:sz w:val="18"/>
                <w:szCs w:val="18"/>
                <w:lang w:eastAsia="tr-TR"/>
              </w:rPr>
            </w:pPr>
            <w:r w:rsidRPr="00004514">
              <w:rPr>
                <w:b/>
                <w:bCs/>
                <w:sz w:val="18"/>
                <w:szCs w:val="18"/>
                <w:lang w:eastAsia="tr-TR"/>
              </w:rPr>
              <w:t>1,475,134</w:t>
            </w:r>
          </w:p>
        </w:tc>
      </w:tr>
      <w:tr w:rsidR="00004514" w:rsidRPr="00004514" w14:paraId="665A97C0" w14:textId="77777777" w:rsidTr="00004514">
        <w:trPr>
          <w:divId w:val="487864676"/>
          <w:trHeight w:val="216"/>
        </w:trPr>
        <w:tc>
          <w:tcPr>
            <w:tcW w:w="4738" w:type="dxa"/>
            <w:tcBorders>
              <w:top w:val="nil"/>
              <w:left w:val="nil"/>
              <w:bottom w:val="nil"/>
              <w:right w:val="nil"/>
            </w:tcBorders>
            <w:shd w:val="clear" w:color="auto" w:fill="auto"/>
            <w:vAlign w:val="center"/>
            <w:hideMark/>
          </w:tcPr>
          <w:p w14:paraId="1788712F" w14:textId="77777777" w:rsidR="00004514" w:rsidRPr="00004514" w:rsidRDefault="00004514" w:rsidP="00004514">
            <w:pPr>
              <w:ind w:firstLineChars="100" w:firstLine="180"/>
              <w:rPr>
                <w:sz w:val="18"/>
                <w:szCs w:val="18"/>
                <w:lang w:eastAsia="tr-TR"/>
              </w:rPr>
            </w:pPr>
            <w:r w:rsidRPr="00004514">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686AE121" w14:textId="77777777" w:rsidR="00004514" w:rsidRPr="00004514" w:rsidRDefault="00004514" w:rsidP="00004514">
            <w:pPr>
              <w:jc w:val="right"/>
              <w:rPr>
                <w:sz w:val="18"/>
                <w:szCs w:val="18"/>
                <w:lang w:eastAsia="tr-TR"/>
              </w:rPr>
            </w:pPr>
            <w:r w:rsidRPr="00004514">
              <w:rPr>
                <w:sz w:val="18"/>
                <w:szCs w:val="18"/>
                <w:lang w:eastAsia="tr-TR"/>
              </w:rPr>
              <w:t>209,492</w:t>
            </w:r>
          </w:p>
        </w:tc>
        <w:tc>
          <w:tcPr>
            <w:tcW w:w="1494" w:type="dxa"/>
            <w:tcBorders>
              <w:top w:val="nil"/>
              <w:left w:val="nil"/>
              <w:bottom w:val="nil"/>
              <w:right w:val="nil"/>
            </w:tcBorders>
            <w:shd w:val="clear" w:color="auto" w:fill="auto"/>
            <w:vAlign w:val="center"/>
            <w:hideMark/>
          </w:tcPr>
          <w:p w14:paraId="674B8CA6" w14:textId="77777777" w:rsidR="00004514" w:rsidRPr="00004514" w:rsidRDefault="00004514" w:rsidP="00004514">
            <w:pPr>
              <w:jc w:val="right"/>
              <w:rPr>
                <w:sz w:val="18"/>
                <w:szCs w:val="18"/>
                <w:lang w:eastAsia="tr-TR"/>
              </w:rPr>
            </w:pPr>
            <w:r w:rsidRPr="00004514">
              <w:rPr>
                <w:sz w:val="18"/>
                <w:szCs w:val="18"/>
                <w:lang w:eastAsia="tr-TR"/>
              </w:rPr>
              <w:t>228,439</w:t>
            </w:r>
          </w:p>
        </w:tc>
        <w:tc>
          <w:tcPr>
            <w:tcW w:w="1494" w:type="dxa"/>
            <w:tcBorders>
              <w:top w:val="nil"/>
              <w:left w:val="nil"/>
              <w:bottom w:val="nil"/>
              <w:right w:val="nil"/>
            </w:tcBorders>
            <w:shd w:val="clear" w:color="auto" w:fill="auto"/>
            <w:vAlign w:val="center"/>
            <w:hideMark/>
          </w:tcPr>
          <w:p w14:paraId="585F9817" w14:textId="77777777" w:rsidR="00004514" w:rsidRPr="00004514" w:rsidRDefault="00004514" w:rsidP="00004514">
            <w:pPr>
              <w:jc w:val="right"/>
              <w:rPr>
                <w:sz w:val="18"/>
                <w:szCs w:val="18"/>
                <w:lang w:eastAsia="tr-TR"/>
              </w:rPr>
            </w:pPr>
            <w:r w:rsidRPr="00004514">
              <w:rPr>
                <w:sz w:val="18"/>
                <w:szCs w:val="18"/>
                <w:lang w:eastAsia="tr-TR"/>
              </w:rPr>
              <w:t>1,094,439</w:t>
            </w:r>
          </w:p>
        </w:tc>
      </w:tr>
      <w:tr w:rsidR="00004514" w:rsidRPr="00004514" w14:paraId="747B45DF" w14:textId="77777777" w:rsidTr="00004514">
        <w:trPr>
          <w:divId w:val="487864676"/>
          <w:trHeight w:val="230"/>
        </w:trPr>
        <w:tc>
          <w:tcPr>
            <w:tcW w:w="4738" w:type="dxa"/>
            <w:tcBorders>
              <w:top w:val="nil"/>
              <w:left w:val="nil"/>
              <w:bottom w:val="double" w:sz="6" w:space="0" w:color="auto"/>
              <w:right w:val="nil"/>
            </w:tcBorders>
            <w:shd w:val="clear" w:color="auto" w:fill="auto"/>
            <w:vAlign w:val="center"/>
            <w:hideMark/>
          </w:tcPr>
          <w:p w14:paraId="3C7C8215" w14:textId="77777777" w:rsidR="00004514" w:rsidRPr="00004514" w:rsidRDefault="00004514" w:rsidP="00004514">
            <w:pPr>
              <w:jc w:val="both"/>
              <w:rPr>
                <w:b/>
                <w:bCs/>
                <w:sz w:val="18"/>
                <w:szCs w:val="18"/>
                <w:lang w:eastAsia="tr-TR"/>
              </w:rPr>
            </w:pPr>
            <w:r w:rsidRPr="00004514">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0F973799" w14:textId="77777777" w:rsidR="00004514" w:rsidRPr="00004514" w:rsidRDefault="00004514" w:rsidP="00004514">
            <w:pPr>
              <w:jc w:val="right"/>
              <w:rPr>
                <w:b/>
                <w:bCs/>
                <w:sz w:val="18"/>
                <w:szCs w:val="18"/>
                <w:lang w:eastAsia="tr-TR"/>
              </w:rPr>
            </w:pPr>
            <w:r w:rsidRPr="00004514">
              <w:rPr>
                <w:b/>
                <w:bCs/>
                <w:sz w:val="18"/>
                <w:szCs w:val="18"/>
                <w:lang w:eastAsia="tr-TR"/>
              </w:rPr>
              <w:t>40,915</w:t>
            </w:r>
          </w:p>
        </w:tc>
        <w:tc>
          <w:tcPr>
            <w:tcW w:w="1494" w:type="dxa"/>
            <w:tcBorders>
              <w:top w:val="nil"/>
              <w:left w:val="nil"/>
              <w:bottom w:val="double" w:sz="6" w:space="0" w:color="auto"/>
              <w:right w:val="nil"/>
            </w:tcBorders>
            <w:shd w:val="clear" w:color="auto" w:fill="auto"/>
            <w:vAlign w:val="center"/>
            <w:hideMark/>
          </w:tcPr>
          <w:p w14:paraId="373CA580" w14:textId="77777777" w:rsidR="00004514" w:rsidRPr="00004514" w:rsidRDefault="00004514" w:rsidP="00004514">
            <w:pPr>
              <w:jc w:val="right"/>
              <w:rPr>
                <w:b/>
                <w:bCs/>
                <w:sz w:val="18"/>
                <w:szCs w:val="18"/>
                <w:lang w:eastAsia="tr-TR"/>
              </w:rPr>
            </w:pPr>
            <w:r w:rsidRPr="00004514">
              <w:rPr>
                <w:b/>
                <w:bCs/>
                <w:sz w:val="18"/>
                <w:szCs w:val="18"/>
                <w:lang w:eastAsia="tr-TR"/>
              </w:rPr>
              <w:t>89,694</w:t>
            </w:r>
          </w:p>
        </w:tc>
        <w:tc>
          <w:tcPr>
            <w:tcW w:w="1494" w:type="dxa"/>
            <w:tcBorders>
              <w:top w:val="nil"/>
              <w:left w:val="nil"/>
              <w:bottom w:val="double" w:sz="6" w:space="0" w:color="auto"/>
              <w:right w:val="nil"/>
            </w:tcBorders>
            <w:shd w:val="clear" w:color="auto" w:fill="auto"/>
            <w:vAlign w:val="center"/>
            <w:hideMark/>
          </w:tcPr>
          <w:p w14:paraId="2CA5ECD4" w14:textId="77777777" w:rsidR="00004514" w:rsidRPr="00004514" w:rsidRDefault="00004514" w:rsidP="00004514">
            <w:pPr>
              <w:jc w:val="right"/>
              <w:rPr>
                <w:b/>
                <w:bCs/>
                <w:sz w:val="18"/>
                <w:szCs w:val="18"/>
                <w:lang w:eastAsia="tr-TR"/>
              </w:rPr>
            </w:pPr>
            <w:r w:rsidRPr="00004514">
              <w:rPr>
                <w:b/>
                <w:bCs/>
                <w:sz w:val="18"/>
                <w:szCs w:val="18"/>
                <w:lang w:eastAsia="tr-TR"/>
              </w:rPr>
              <w:t>380,695</w:t>
            </w:r>
          </w:p>
        </w:tc>
      </w:tr>
    </w:tbl>
    <w:p w14:paraId="1528548C" w14:textId="47402CA4" w:rsidR="00BA637F" w:rsidRDefault="00BA637F">
      <w:pPr>
        <w:rPr>
          <w:b/>
          <w:iCs/>
        </w:rPr>
      </w:pPr>
    </w:p>
    <w:p w14:paraId="32ACF7B4" w14:textId="51D5E112" w:rsidR="00903D7A" w:rsidRPr="00004514" w:rsidRDefault="00711F83" w:rsidP="00985AFC">
      <w:pPr>
        <w:tabs>
          <w:tab w:val="left" w:pos="0"/>
        </w:tabs>
        <w:ind w:left="-567"/>
        <w:rPr>
          <w:iCs/>
        </w:rPr>
      </w:pPr>
      <w:proofErr w:type="gramStart"/>
      <w:r w:rsidRPr="00004514">
        <w:rPr>
          <w:b/>
          <w:iCs/>
        </w:rPr>
        <w:t>1.5.</w:t>
      </w:r>
      <w:r w:rsidR="0048609D" w:rsidRPr="00004514">
        <w:rPr>
          <w:b/>
          <w:iCs/>
        </w:rPr>
        <w:t>10</w:t>
      </w:r>
      <w:r w:rsidRPr="00004514">
        <w:rPr>
          <w:b/>
          <w:iCs/>
        </w:rPr>
        <w:t>.3</w:t>
      </w:r>
      <w:r w:rsidRPr="00004514">
        <w:rPr>
          <w:iCs/>
        </w:rPr>
        <w:t xml:space="preserve">  Yabancı</w:t>
      </w:r>
      <w:proofErr w:type="gramEnd"/>
      <w:r w:rsidRPr="00004514">
        <w:rPr>
          <w:iCs/>
        </w:rPr>
        <w:t xml:space="preserve"> para olarak kullandırılan kredilerden kaynaklanan donuk alacaklara ilişkin bilgiler:</w:t>
      </w:r>
    </w:p>
    <w:p w14:paraId="05D341C7" w14:textId="59A438D3" w:rsidR="00004514" w:rsidRPr="00311DAB" w:rsidRDefault="00004514" w:rsidP="00004514">
      <w:pPr>
        <w:tabs>
          <w:tab w:val="left" w:pos="0"/>
        </w:tabs>
        <w:ind w:left="-567"/>
        <w:rPr>
          <w:lang w:eastAsia="en-GB"/>
        </w:rPr>
      </w:pPr>
    </w:p>
    <w:tbl>
      <w:tblPr>
        <w:tblW w:w="9146" w:type="dxa"/>
        <w:tblCellMar>
          <w:left w:w="70" w:type="dxa"/>
          <w:right w:w="70" w:type="dxa"/>
        </w:tblCellMar>
        <w:tblLook w:val="04A0" w:firstRow="1" w:lastRow="0" w:firstColumn="1" w:lastColumn="0" w:noHBand="0" w:noVBand="1"/>
      </w:tblPr>
      <w:tblGrid>
        <w:gridCol w:w="4693"/>
        <w:gridCol w:w="1479"/>
        <w:gridCol w:w="1479"/>
        <w:gridCol w:w="1495"/>
      </w:tblGrid>
      <w:tr w:rsidR="00004514" w:rsidRPr="00004514" w14:paraId="72452F64" w14:textId="77777777" w:rsidTr="00004514">
        <w:trPr>
          <w:divId w:val="622929388"/>
          <w:trHeight w:val="263"/>
        </w:trPr>
        <w:tc>
          <w:tcPr>
            <w:tcW w:w="4693" w:type="dxa"/>
            <w:tcBorders>
              <w:top w:val="double" w:sz="6" w:space="0" w:color="auto"/>
              <w:left w:val="nil"/>
              <w:bottom w:val="nil"/>
              <w:right w:val="nil"/>
            </w:tcBorders>
            <w:shd w:val="clear" w:color="auto" w:fill="auto"/>
            <w:vAlign w:val="center"/>
            <w:hideMark/>
          </w:tcPr>
          <w:p w14:paraId="53BEB13D" w14:textId="793BCA77" w:rsidR="00004514" w:rsidRPr="00004514" w:rsidRDefault="00004514" w:rsidP="00004514">
            <w:pPr>
              <w:jc w:val="both"/>
              <w:rPr>
                <w:sz w:val="18"/>
                <w:szCs w:val="18"/>
                <w:lang w:eastAsia="tr-TR"/>
              </w:rPr>
            </w:pPr>
            <w:r w:rsidRPr="00004514">
              <w:rPr>
                <w:sz w:val="18"/>
                <w:szCs w:val="18"/>
                <w:lang w:eastAsia="tr-TR"/>
              </w:rPr>
              <w:t xml:space="preserve">  </w:t>
            </w:r>
          </w:p>
        </w:tc>
        <w:tc>
          <w:tcPr>
            <w:tcW w:w="1479" w:type="dxa"/>
            <w:vMerge w:val="restart"/>
            <w:tcBorders>
              <w:top w:val="double" w:sz="6" w:space="0" w:color="auto"/>
              <w:left w:val="nil"/>
              <w:bottom w:val="single" w:sz="8" w:space="0" w:color="auto"/>
              <w:right w:val="nil"/>
            </w:tcBorders>
            <w:shd w:val="clear" w:color="auto" w:fill="auto"/>
            <w:vAlign w:val="center"/>
            <w:hideMark/>
          </w:tcPr>
          <w:p w14:paraId="55A255A3" w14:textId="77777777" w:rsidR="00004514" w:rsidRPr="00004514" w:rsidRDefault="00004514" w:rsidP="00004514">
            <w:pPr>
              <w:jc w:val="right"/>
              <w:rPr>
                <w:b/>
                <w:bCs/>
                <w:sz w:val="18"/>
                <w:szCs w:val="18"/>
                <w:lang w:eastAsia="tr-TR"/>
              </w:rPr>
            </w:pPr>
            <w:r w:rsidRPr="00004514">
              <w:rPr>
                <w:b/>
                <w:bCs/>
                <w:sz w:val="18"/>
                <w:szCs w:val="18"/>
                <w:lang w:eastAsia="tr-TR"/>
              </w:rPr>
              <w:t>III. Grup</w:t>
            </w:r>
          </w:p>
        </w:tc>
        <w:tc>
          <w:tcPr>
            <w:tcW w:w="1479" w:type="dxa"/>
            <w:vMerge w:val="restart"/>
            <w:tcBorders>
              <w:top w:val="double" w:sz="6" w:space="0" w:color="auto"/>
              <w:left w:val="nil"/>
              <w:bottom w:val="single" w:sz="8" w:space="0" w:color="auto"/>
              <w:right w:val="nil"/>
            </w:tcBorders>
            <w:shd w:val="clear" w:color="auto" w:fill="auto"/>
            <w:vAlign w:val="center"/>
            <w:hideMark/>
          </w:tcPr>
          <w:p w14:paraId="4FBC3E4F" w14:textId="77777777" w:rsidR="00004514" w:rsidRPr="00004514" w:rsidRDefault="00004514" w:rsidP="00004514">
            <w:pPr>
              <w:jc w:val="right"/>
              <w:rPr>
                <w:b/>
                <w:bCs/>
                <w:sz w:val="18"/>
                <w:szCs w:val="18"/>
                <w:lang w:eastAsia="tr-TR"/>
              </w:rPr>
            </w:pPr>
            <w:r w:rsidRPr="00004514">
              <w:rPr>
                <w:b/>
                <w:bCs/>
                <w:sz w:val="18"/>
                <w:szCs w:val="18"/>
                <w:lang w:eastAsia="tr-TR"/>
              </w:rPr>
              <w:t>IV. Grup</w:t>
            </w:r>
          </w:p>
        </w:tc>
        <w:tc>
          <w:tcPr>
            <w:tcW w:w="1495" w:type="dxa"/>
            <w:vMerge w:val="restart"/>
            <w:tcBorders>
              <w:top w:val="double" w:sz="6" w:space="0" w:color="auto"/>
              <w:left w:val="nil"/>
              <w:bottom w:val="single" w:sz="8" w:space="0" w:color="auto"/>
              <w:right w:val="nil"/>
            </w:tcBorders>
            <w:shd w:val="clear" w:color="auto" w:fill="auto"/>
            <w:vAlign w:val="center"/>
            <w:hideMark/>
          </w:tcPr>
          <w:p w14:paraId="03AF2C5A" w14:textId="77777777" w:rsidR="00004514" w:rsidRPr="00004514" w:rsidRDefault="00004514" w:rsidP="00004514">
            <w:pPr>
              <w:jc w:val="right"/>
              <w:rPr>
                <w:b/>
                <w:bCs/>
                <w:sz w:val="18"/>
                <w:szCs w:val="18"/>
                <w:lang w:eastAsia="tr-TR"/>
              </w:rPr>
            </w:pPr>
            <w:r w:rsidRPr="00004514">
              <w:rPr>
                <w:b/>
                <w:bCs/>
                <w:sz w:val="18"/>
                <w:szCs w:val="18"/>
                <w:lang w:eastAsia="tr-TR"/>
              </w:rPr>
              <w:t>V. Grup</w:t>
            </w:r>
          </w:p>
        </w:tc>
      </w:tr>
      <w:tr w:rsidR="00004514" w:rsidRPr="00004514" w14:paraId="5237B6EB" w14:textId="77777777" w:rsidTr="00004514">
        <w:trPr>
          <w:divId w:val="622929388"/>
          <w:trHeight w:val="195"/>
        </w:trPr>
        <w:tc>
          <w:tcPr>
            <w:tcW w:w="4693" w:type="dxa"/>
            <w:tcBorders>
              <w:top w:val="nil"/>
              <w:left w:val="nil"/>
              <w:bottom w:val="single" w:sz="8" w:space="0" w:color="auto"/>
              <w:right w:val="nil"/>
            </w:tcBorders>
            <w:shd w:val="clear" w:color="auto" w:fill="auto"/>
            <w:vAlign w:val="center"/>
            <w:hideMark/>
          </w:tcPr>
          <w:p w14:paraId="63380018" w14:textId="77777777" w:rsidR="00004514" w:rsidRPr="00004514" w:rsidRDefault="00004514" w:rsidP="00004514">
            <w:pPr>
              <w:jc w:val="both"/>
              <w:rPr>
                <w:sz w:val="18"/>
                <w:szCs w:val="18"/>
                <w:lang w:eastAsia="tr-TR"/>
              </w:rPr>
            </w:pPr>
            <w:r w:rsidRPr="00004514">
              <w:rPr>
                <w:sz w:val="18"/>
                <w:szCs w:val="18"/>
                <w:lang w:eastAsia="tr-TR"/>
              </w:rPr>
              <w:t> </w:t>
            </w:r>
          </w:p>
        </w:tc>
        <w:tc>
          <w:tcPr>
            <w:tcW w:w="1479" w:type="dxa"/>
            <w:vMerge/>
            <w:tcBorders>
              <w:top w:val="nil"/>
              <w:left w:val="nil"/>
              <w:bottom w:val="single" w:sz="8" w:space="0" w:color="auto"/>
              <w:right w:val="nil"/>
            </w:tcBorders>
            <w:shd w:val="clear" w:color="auto" w:fill="auto"/>
            <w:vAlign w:val="center"/>
            <w:hideMark/>
          </w:tcPr>
          <w:p w14:paraId="766880CB" w14:textId="77777777" w:rsidR="00004514" w:rsidRPr="00004514" w:rsidRDefault="00004514" w:rsidP="00004514">
            <w:pPr>
              <w:jc w:val="right"/>
              <w:rPr>
                <w:b/>
                <w:bCs/>
                <w:sz w:val="18"/>
                <w:szCs w:val="18"/>
                <w:lang w:eastAsia="tr-TR"/>
              </w:rPr>
            </w:pPr>
          </w:p>
        </w:tc>
        <w:tc>
          <w:tcPr>
            <w:tcW w:w="1479" w:type="dxa"/>
            <w:vMerge/>
            <w:tcBorders>
              <w:top w:val="nil"/>
              <w:left w:val="nil"/>
              <w:bottom w:val="single" w:sz="8" w:space="0" w:color="auto"/>
              <w:right w:val="nil"/>
            </w:tcBorders>
            <w:shd w:val="clear" w:color="auto" w:fill="auto"/>
            <w:vAlign w:val="center"/>
            <w:hideMark/>
          </w:tcPr>
          <w:p w14:paraId="2221D10D" w14:textId="77777777" w:rsidR="00004514" w:rsidRPr="00004514" w:rsidRDefault="00004514" w:rsidP="00004514">
            <w:pPr>
              <w:jc w:val="right"/>
              <w:rPr>
                <w:b/>
                <w:bCs/>
                <w:sz w:val="18"/>
                <w:szCs w:val="18"/>
                <w:lang w:eastAsia="tr-TR"/>
              </w:rPr>
            </w:pPr>
          </w:p>
        </w:tc>
        <w:tc>
          <w:tcPr>
            <w:tcW w:w="1495" w:type="dxa"/>
            <w:vMerge/>
            <w:tcBorders>
              <w:top w:val="nil"/>
              <w:left w:val="nil"/>
              <w:bottom w:val="single" w:sz="8" w:space="0" w:color="auto"/>
              <w:right w:val="nil"/>
            </w:tcBorders>
            <w:shd w:val="clear" w:color="auto" w:fill="auto"/>
            <w:vAlign w:val="center"/>
            <w:hideMark/>
          </w:tcPr>
          <w:p w14:paraId="065DA962" w14:textId="77777777" w:rsidR="00004514" w:rsidRPr="00004514" w:rsidRDefault="00004514" w:rsidP="00004514">
            <w:pPr>
              <w:jc w:val="right"/>
              <w:rPr>
                <w:b/>
                <w:bCs/>
                <w:sz w:val="18"/>
                <w:szCs w:val="18"/>
                <w:lang w:eastAsia="tr-TR"/>
              </w:rPr>
            </w:pPr>
          </w:p>
        </w:tc>
      </w:tr>
      <w:tr w:rsidR="00004514" w:rsidRPr="00004514" w14:paraId="400D0618" w14:textId="77777777" w:rsidTr="00004514">
        <w:trPr>
          <w:divId w:val="622929388"/>
          <w:trHeight w:val="233"/>
        </w:trPr>
        <w:tc>
          <w:tcPr>
            <w:tcW w:w="4693" w:type="dxa"/>
            <w:tcBorders>
              <w:top w:val="nil"/>
              <w:left w:val="nil"/>
              <w:bottom w:val="nil"/>
              <w:right w:val="nil"/>
            </w:tcBorders>
            <w:shd w:val="clear" w:color="auto" w:fill="auto"/>
            <w:vAlign w:val="center"/>
            <w:hideMark/>
          </w:tcPr>
          <w:p w14:paraId="3E71368E" w14:textId="77777777" w:rsidR="00004514" w:rsidRPr="00004514" w:rsidRDefault="00004514" w:rsidP="00004514">
            <w:pPr>
              <w:jc w:val="both"/>
              <w:rPr>
                <w:b/>
                <w:bCs/>
                <w:sz w:val="18"/>
                <w:szCs w:val="18"/>
                <w:lang w:eastAsia="tr-TR"/>
              </w:rPr>
            </w:pPr>
            <w:r w:rsidRPr="00004514">
              <w:rPr>
                <w:b/>
                <w:bCs/>
                <w:sz w:val="18"/>
                <w:szCs w:val="18"/>
                <w:lang w:eastAsia="tr-TR"/>
              </w:rPr>
              <w:t>Cari Dönem</w:t>
            </w:r>
          </w:p>
        </w:tc>
        <w:tc>
          <w:tcPr>
            <w:tcW w:w="1479" w:type="dxa"/>
            <w:tcBorders>
              <w:top w:val="nil"/>
              <w:left w:val="nil"/>
              <w:bottom w:val="nil"/>
              <w:right w:val="nil"/>
            </w:tcBorders>
            <w:shd w:val="clear" w:color="auto" w:fill="auto"/>
            <w:vAlign w:val="center"/>
            <w:hideMark/>
          </w:tcPr>
          <w:p w14:paraId="1846AF9E" w14:textId="77777777" w:rsidR="00004514" w:rsidRPr="00004514" w:rsidRDefault="00004514" w:rsidP="00004514">
            <w:pPr>
              <w:jc w:val="both"/>
              <w:rPr>
                <w:b/>
                <w:bCs/>
                <w:sz w:val="18"/>
                <w:szCs w:val="18"/>
                <w:lang w:eastAsia="tr-TR"/>
              </w:rPr>
            </w:pPr>
          </w:p>
        </w:tc>
        <w:tc>
          <w:tcPr>
            <w:tcW w:w="1479" w:type="dxa"/>
            <w:tcBorders>
              <w:top w:val="nil"/>
              <w:left w:val="nil"/>
              <w:bottom w:val="nil"/>
              <w:right w:val="nil"/>
            </w:tcBorders>
            <w:shd w:val="clear" w:color="auto" w:fill="auto"/>
            <w:vAlign w:val="center"/>
            <w:hideMark/>
          </w:tcPr>
          <w:p w14:paraId="6ACC058E" w14:textId="77777777" w:rsidR="00004514" w:rsidRPr="00004514" w:rsidRDefault="00004514" w:rsidP="00004514">
            <w:pPr>
              <w:jc w:val="both"/>
              <w:rPr>
                <w:lang w:eastAsia="tr-TR"/>
              </w:rPr>
            </w:pPr>
          </w:p>
        </w:tc>
        <w:tc>
          <w:tcPr>
            <w:tcW w:w="1495" w:type="dxa"/>
            <w:tcBorders>
              <w:top w:val="nil"/>
              <w:left w:val="nil"/>
              <w:bottom w:val="nil"/>
              <w:right w:val="nil"/>
            </w:tcBorders>
            <w:shd w:val="clear" w:color="auto" w:fill="auto"/>
            <w:vAlign w:val="center"/>
            <w:hideMark/>
          </w:tcPr>
          <w:p w14:paraId="2FFE0B87" w14:textId="77777777" w:rsidR="00004514" w:rsidRPr="00004514" w:rsidRDefault="00004514" w:rsidP="00004514">
            <w:pPr>
              <w:jc w:val="both"/>
              <w:rPr>
                <w:lang w:eastAsia="tr-TR"/>
              </w:rPr>
            </w:pPr>
          </w:p>
        </w:tc>
      </w:tr>
      <w:tr w:rsidR="00004514" w:rsidRPr="00004514" w14:paraId="202D3E73" w14:textId="77777777" w:rsidTr="00004514">
        <w:trPr>
          <w:divId w:val="622929388"/>
          <w:trHeight w:val="233"/>
        </w:trPr>
        <w:tc>
          <w:tcPr>
            <w:tcW w:w="4693" w:type="dxa"/>
            <w:tcBorders>
              <w:top w:val="nil"/>
              <w:left w:val="nil"/>
              <w:bottom w:val="nil"/>
              <w:right w:val="nil"/>
            </w:tcBorders>
            <w:shd w:val="clear" w:color="auto" w:fill="auto"/>
            <w:vAlign w:val="center"/>
            <w:hideMark/>
          </w:tcPr>
          <w:p w14:paraId="4EAFAE92" w14:textId="77777777" w:rsidR="00004514" w:rsidRPr="00004514" w:rsidRDefault="00004514" w:rsidP="00004514">
            <w:pPr>
              <w:jc w:val="both"/>
              <w:rPr>
                <w:sz w:val="18"/>
                <w:szCs w:val="18"/>
                <w:lang w:eastAsia="tr-TR"/>
              </w:rPr>
            </w:pPr>
            <w:r w:rsidRPr="00004514">
              <w:rPr>
                <w:sz w:val="18"/>
                <w:szCs w:val="18"/>
                <w:lang w:eastAsia="tr-TR"/>
              </w:rPr>
              <w:t>Dönem Sonu Bakiyesi</w:t>
            </w:r>
          </w:p>
        </w:tc>
        <w:tc>
          <w:tcPr>
            <w:tcW w:w="1479" w:type="dxa"/>
            <w:tcBorders>
              <w:top w:val="nil"/>
              <w:left w:val="nil"/>
              <w:bottom w:val="nil"/>
              <w:right w:val="nil"/>
            </w:tcBorders>
            <w:shd w:val="clear" w:color="auto" w:fill="auto"/>
            <w:vAlign w:val="center"/>
            <w:hideMark/>
          </w:tcPr>
          <w:p w14:paraId="44C8E770" w14:textId="77777777" w:rsidR="00004514" w:rsidRPr="00004514" w:rsidRDefault="00004514" w:rsidP="00004514">
            <w:pPr>
              <w:jc w:val="right"/>
              <w:rPr>
                <w:sz w:val="18"/>
                <w:szCs w:val="18"/>
                <w:lang w:eastAsia="tr-TR"/>
              </w:rPr>
            </w:pPr>
            <w:r w:rsidRPr="00004514">
              <w:rPr>
                <w:sz w:val="18"/>
                <w:szCs w:val="18"/>
                <w:lang w:eastAsia="tr-TR"/>
              </w:rPr>
              <w:t>2,124</w:t>
            </w:r>
          </w:p>
        </w:tc>
        <w:tc>
          <w:tcPr>
            <w:tcW w:w="1479" w:type="dxa"/>
            <w:tcBorders>
              <w:top w:val="nil"/>
              <w:left w:val="nil"/>
              <w:bottom w:val="nil"/>
              <w:right w:val="nil"/>
            </w:tcBorders>
            <w:shd w:val="clear" w:color="auto" w:fill="auto"/>
            <w:vAlign w:val="center"/>
            <w:hideMark/>
          </w:tcPr>
          <w:p w14:paraId="6A6389B4" w14:textId="77777777" w:rsidR="00004514" w:rsidRPr="00004514" w:rsidRDefault="00004514" w:rsidP="00004514">
            <w:pPr>
              <w:jc w:val="right"/>
              <w:rPr>
                <w:sz w:val="18"/>
                <w:szCs w:val="18"/>
                <w:lang w:eastAsia="tr-TR"/>
              </w:rPr>
            </w:pPr>
            <w:r w:rsidRPr="00004514">
              <w:rPr>
                <w:sz w:val="18"/>
                <w:szCs w:val="18"/>
                <w:lang w:eastAsia="tr-TR"/>
              </w:rPr>
              <w:t>211,475</w:t>
            </w:r>
          </w:p>
        </w:tc>
        <w:tc>
          <w:tcPr>
            <w:tcW w:w="1495" w:type="dxa"/>
            <w:tcBorders>
              <w:top w:val="nil"/>
              <w:left w:val="nil"/>
              <w:bottom w:val="nil"/>
              <w:right w:val="nil"/>
            </w:tcBorders>
            <w:shd w:val="clear" w:color="auto" w:fill="auto"/>
            <w:vAlign w:val="center"/>
            <w:hideMark/>
          </w:tcPr>
          <w:p w14:paraId="07A6AC50" w14:textId="77777777" w:rsidR="00004514" w:rsidRPr="00004514" w:rsidRDefault="00004514" w:rsidP="00004514">
            <w:pPr>
              <w:jc w:val="right"/>
              <w:rPr>
                <w:sz w:val="18"/>
                <w:szCs w:val="18"/>
                <w:lang w:eastAsia="tr-TR"/>
              </w:rPr>
            </w:pPr>
            <w:r w:rsidRPr="00004514">
              <w:rPr>
                <w:sz w:val="18"/>
                <w:szCs w:val="18"/>
                <w:lang w:eastAsia="tr-TR"/>
              </w:rPr>
              <w:t>114,035</w:t>
            </w:r>
          </w:p>
        </w:tc>
      </w:tr>
      <w:tr w:rsidR="00004514" w:rsidRPr="00004514" w14:paraId="3E9A77B3" w14:textId="77777777" w:rsidTr="00004514">
        <w:trPr>
          <w:divId w:val="622929388"/>
          <w:trHeight w:val="233"/>
        </w:trPr>
        <w:tc>
          <w:tcPr>
            <w:tcW w:w="4693" w:type="dxa"/>
            <w:tcBorders>
              <w:top w:val="nil"/>
              <w:left w:val="nil"/>
              <w:bottom w:val="nil"/>
              <w:right w:val="nil"/>
            </w:tcBorders>
            <w:shd w:val="clear" w:color="auto" w:fill="auto"/>
            <w:vAlign w:val="center"/>
            <w:hideMark/>
          </w:tcPr>
          <w:p w14:paraId="02C17CE6" w14:textId="77777777" w:rsidR="00004514" w:rsidRPr="00004514" w:rsidRDefault="00004514" w:rsidP="00004514">
            <w:pPr>
              <w:jc w:val="both"/>
              <w:rPr>
                <w:sz w:val="18"/>
                <w:szCs w:val="18"/>
                <w:lang w:eastAsia="tr-TR"/>
              </w:rPr>
            </w:pPr>
            <w:r w:rsidRPr="00004514">
              <w:rPr>
                <w:sz w:val="18"/>
                <w:szCs w:val="18"/>
                <w:lang w:eastAsia="tr-TR"/>
              </w:rPr>
              <w:t xml:space="preserve">Karşılık </w:t>
            </w:r>
            <w:proofErr w:type="gramStart"/>
            <w:r w:rsidRPr="00004514">
              <w:rPr>
                <w:sz w:val="18"/>
                <w:szCs w:val="18"/>
                <w:lang w:eastAsia="tr-TR"/>
              </w:rPr>
              <w:t>Tutarı(</w:t>
            </w:r>
            <w:proofErr w:type="gramEnd"/>
            <w:r w:rsidRPr="00004514">
              <w:rPr>
                <w:sz w:val="18"/>
                <w:szCs w:val="18"/>
                <w:lang w:eastAsia="tr-TR"/>
              </w:rPr>
              <w:t>-)</w:t>
            </w:r>
          </w:p>
        </w:tc>
        <w:tc>
          <w:tcPr>
            <w:tcW w:w="1479" w:type="dxa"/>
            <w:tcBorders>
              <w:top w:val="nil"/>
              <w:left w:val="nil"/>
              <w:bottom w:val="nil"/>
              <w:right w:val="nil"/>
            </w:tcBorders>
            <w:shd w:val="clear" w:color="auto" w:fill="auto"/>
            <w:vAlign w:val="center"/>
            <w:hideMark/>
          </w:tcPr>
          <w:p w14:paraId="53E14318" w14:textId="77777777" w:rsidR="00004514" w:rsidRPr="00004514" w:rsidRDefault="00004514" w:rsidP="00004514">
            <w:pPr>
              <w:jc w:val="right"/>
              <w:rPr>
                <w:sz w:val="18"/>
                <w:szCs w:val="18"/>
                <w:lang w:eastAsia="tr-TR"/>
              </w:rPr>
            </w:pPr>
            <w:r w:rsidRPr="00004514">
              <w:rPr>
                <w:sz w:val="18"/>
                <w:szCs w:val="18"/>
                <w:lang w:eastAsia="tr-TR"/>
              </w:rPr>
              <w:t>1,678</w:t>
            </w:r>
          </w:p>
        </w:tc>
        <w:tc>
          <w:tcPr>
            <w:tcW w:w="1479" w:type="dxa"/>
            <w:tcBorders>
              <w:top w:val="nil"/>
              <w:left w:val="nil"/>
              <w:bottom w:val="nil"/>
              <w:right w:val="nil"/>
            </w:tcBorders>
            <w:shd w:val="clear" w:color="auto" w:fill="auto"/>
            <w:vAlign w:val="center"/>
            <w:hideMark/>
          </w:tcPr>
          <w:p w14:paraId="03D7CAC3" w14:textId="77777777" w:rsidR="00004514" w:rsidRPr="00004514" w:rsidRDefault="00004514" w:rsidP="00004514">
            <w:pPr>
              <w:jc w:val="right"/>
              <w:rPr>
                <w:sz w:val="18"/>
                <w:szCs w:val="18"/>
                <w:lang w:eastAsia="tr-TR"/>
              </w:rPr>
            </w:pPr>
            <w:r w:rsidRPr="00004514">
              <w:rPr>
                <w:sz w:val="18"/>
                <w:szCs w:val="18"/>
                <w:lang w:eastAsia="tr-TR"/>
              </w:rPr>
              <w:t>142,243</w:t>
            </w:r>
          </w:p>
        </w:tc>
        <w:tc>
          <w:tcPr>
            <w:tcW w:w="1495" w:type="dxa"/>
            <w:tcBorders>
              <w:top w:val="nil"/>
              <w:left w:val="nil"/>
              <w:bottom w:val="nil"/>
              <w:right w:val="nil"/>
            </w:tcBorders>
            <w:shd w:val="clear" w:color="auto" w:fill="auto"/>
            <w:vAlign w:val="center"/>
            <w:hideMark/>
          </w:tcPr>
          <w:p w14:paraId="088A598F" w14:textId="77777777" w:rsidR="00004514" w:rsidRPr="00004514" w:rsidRDefault="00004514" w:rsidP="00004514">
            <w:pPr>
              <w:jc w:val="right"/>
              <w:rPr>
                <w:sz w:val="18"/>
                <w:szCs w:val="18"/>
                <w:lang w:eastAsia="tr-TR"/>
              </w:rPr>
            </w:pPr>
            <w:r w:rsidRPr="00004514">
              <w:rPr>
                <w:sz w:val="18"/>
                <w:szCs w:val="18"/>
                <w:lang w:eastAsia="tr-TR"/>
              </w:rPr>
              <w:t>97,009</w:t>
            </w:r>
          </w:p>
        </w:tc>
      </w:tr>
      <w:tr w:rsidR="00004514" w:rsidRPr="00004514" w14:paraId="3B341553" w14:textId="77777777" w:rsidTr="00004514">
        <w:trPr>
          <w:divId w:val="622929388"/>
          <w:trHeight w:val="233"/>
        </w:trPr>
        <w:tc>
          <w:tcPr>
            <w:tcW w:w="4693" w:type="dxa"/>
            <w:tcBorders>
              <w:top w:val="nil"/>
              <w:left w:val="nil"/>
              <w:bottom w:val="nil"/>
              <w:right w:val="nil"/>
            </w:tcBorders>
            <w:shd w:val="clear" w:color="auto" w:fill="auto"/>
            <w:vAlign w:val="center"/>
            <w:hideMark/>
          </w:tcPr>
          <w:p w14:paraId="46EEE312" w14:textId="77777777" w:rsidR="00004514" w:rsidRPr="00004514" w:rsidRDefault="00004514" w:rsidP="00004514">
            <w:pPr>
              <w:jc w:val="both"/>
              <w:rPr>
                <w:b/>
                <w:bCs/>
                <w:sz w:val="18"/>
                <w:szCs w:val="18"/>
                <w:lang w:eastAsia="tr-TR"/>
              </w:rPr>
            </w:pPr>
            <w:r w:rsidRPr="00004514">
              <w:rPr>
                <w:b/>
                <w:bCs/>
                <w:sz w:val="18"/>
                <w:szCs w:val="18"/>
                <w:lang w:eastAsia="tr-TR"/>
              </w:rPr>
              <w:t>Bilançodaki Net Bakiyesi</w:t>
            </w:r>
          </w:p>
        </w:tc>
        <w:tc>
          <w:tcPr>
            <w:tcW w:w="1479" w:type="dxa"/>
            <w:tcBorders>
              <w:top w:val="nil"/>
              <w:left w:val="nil"/>
              <w:bottom w:val="nil"/>
              <w:right w:val="nil"/>
            </w:tcBorders>
            <w:shd w:val="clear" w:color="auto" w:fill="auto"/>
            <w:vAlign w:val="center"/>
            <w:hideMark/>
          </w:tcPr>
          <w:p w14:paraId="558A0999" w14:textId="77777777" w:rsidR="00004514" w:rsidRPr="00004514" w:rsidRDefault="00004514" w:rsidP="00004514">
            <w:pPr>
              <w:jc w:val="right"/>
              <w:rPr>
                <w:b/>
                <w:bCs/>
                <w:sz w:val="18"/>
                <w:szCs w:val="18"/>
                <w:lang w:eastAsia="tr-TR"/>
              </w:rPr>
            </w:pPr>
            <w:r w:rsidRPr="00004514">
              <w:rPr>
                <w:b/>
                <w:bCs/>
                <w:sz w:val="18"/>
                <w:szCs w:val="18"/>
                <w:lang w:eastAsia="tr-TR"/>
              </w:rPr>
              <w:t>446</w:t>
            </w:r>
          </w:p>
        </w:tc>
        <w:tc>
          <w:tcPr>
            <w:tcW w:w="1479" w:type="dxa"/>
            <w:tcBorders>
              <w:top w:val="nil"/>
              <w:left w:val="nil"/>
              <w:bottom w:val="nil"/>
              <w:right w:val="nil"/>
            </w:tcBorders>
            <w:shd w:val="clear" w:color="auto" w:fill="auto"/>
            <w:vAlign w:val="center"/>
            <w:hideMark/>
          </w:tcPr>
          <w:p w14:paraId="2B9F072D" w14:textId="77777777" w:rsidR="00004514" w:rsidRPr="00004514" w:rsidRDefault="00004514" w:rsidP="00004514">
            <w:pPr>
              <w:jc w:val="right"/>
              <w:rPr>
                <w:b/>
                <w:bCs/>
                <w:sz w:val="18"/>
                <w:szCs w:val="18"/>
                <w:lang w:eastAsia="tr-TR"/>
              </w:rPr>
            </w:pPr>
            <w:r w:rsidRPr="00004514">
              <w:rPr>
                <w:b/>
                <w:bCs/>
                <w:sz w:val="18"/>
                <w:szCs w:val="18"/>
                <w:lang w:eastAsia="tr-TR"/>
              </w:rPr>
              <w:t>69,232</w:t>
            </w:r>
          </w:p>
        </w:tc>
        <w:tc>
          <w:tcPr>
            <w:tcW w:w="1495" w:type="dxa"/>
            <w:tcBorders>
              <w:top w:val="nil"/>
              <w:left w:val="nil"/>
              <w:bottom w:val="nil"/>
              <w:right w:val="nil"/>
            </w:tcBorders>
            <w:shd w:val="clear" w:color="auto" w:fill="auto"/>
            <w:vAlign w:val="center"/>
            <w:hideMark/>
          </w:tcPr>
          <w:p w14:paraId="0EE325F6" w14:textId="77777777" w:rsidR="00004514" w:rsidRPr="00004514" w:rsidRDefault="00004514" w:rsidP="00004514">
            <w:pPr>
              <w:jc w:val="right"/>
              <w:rPr>
                <w:b/>
                <w:bCs/>
                <w:sz w:val="18"/>
                <w:szCs w:val="18"/>
                <w:lang w:eastAsia="tr-TR"/>
              </w:rPr>
            </w:pPr>
            <w:r w:rsidRPr="00004514">
              <w:rPr>
                <w:b/>
                <w:bCs/>
                <w:sz w:val="18"/>
                <w:szCs w:val="18"/>
                <w:lang w:eastAsia="tr-TR"/>
              </w:rPr>
              <w:t>17,026</w:t>
            </w:r>
          </w:p>
        </w:tc>
      </w:tr>
      <w:tr w:rsidR="00004514" w:rsidRPr="00004514" w14:paraId="7E883DA5" w14:textId="77777777" w:rsidTr="00004514">
        <w:trPr>
          <w:divId w:val="622929388"/>
          <w:trHeight w:val="233"/>
        </w:trPr>
        <w:tc>
          <w:tcPr>
            <w:tcW w:w="4693" w:type="dxa"/>
            <w:tcBorders>
              <w:top w:val="nil"/>
              <w:left w:val="nil"/>
              <w:bottom w:val="nil"/>
              <w:right w:val="nil"/>
            </w:tcBorders>
            <w:shd w:val="clear" w:color="auto" w:fill="auto"/>
            <w:vAlign w:val="center"/>
            <w:hideMark/>
          </w:tcPr>
          <w:p w14:paraId="5822EB84" w14:textId="77777777" w:rsidR="00004514" w:rsidRPr="00004514" w:rsidRDefault="00004514" w:rsidP="00004514">
            <w:pPr>
              <w:jc w:val="both"/>
              <w:rPr>
                <w:b/>
                <w:bCs/>
                <w:sz w:val="18"/>
                <w:szCs w:val="18"/>
                <w:lang w:eastAsia="tr-TR"/>
              </w:rPr>
            </w:pPr>
            <w:r w:rsidRPr="00004514">
              <w:rPr>
                <w:b/>
                <w:bCs/>
                <w:sz w:val="18"/>
                <w:szCs w:val="18"/>
                <w:lang w:eastAsia="tr-TR"/>
              </w:rPr>
              <w:t>Önceki Dönem</w:t>
            </w:r>
          </w:p>
        </w:tc>
        <w:tc>
          <w:tcPr>
            <w:tcW w:w="1479" w:type="dxa"/>
            <w:tcBorders>
              <w:top w:val="nil"/>
              <w:left w:val="nil"/>
              <w:bottom w:val="nil"/>
              <w:right w:val="nil"/>
            </w:tcBorders>
            <w:shd w:val="clear" w:color="auto" w:fill="auto"/>
            <w:vAlign w:val="center"/>
            <w:hideMark/>
          </w:tcPr>
          <w:p w14:paraId="4EB2030A" w14:textId="77777777" w:rsidR="00004514" w:rsidRPr="00004514" w:rsidRDefault="00004514" w:rsidP="00004514">
            <w:pPr>
              <w:jc w:val="both"/>
              <w:rPr>
                <w:b/>
                <w:bCs/>
                <w:sz w:val="18"/>
                <w:szCs w:val="18"/>
                <w:lang w:eastAsia="tr-TR"/>
              </w:rPr>
            </w:pPr>
          </w:p>
        </w:tc>
        <w:tc>
          <w:tcPr>
            <w:tcW w:w="1479" w:type="dxa"/>
            <w:tcBorders>
              <w:top w:val="nil"/>
              <w:left w:val="nil"/>
              <w:bottom w:val="nil"/>
              <w:right w:val="nil"/>
            </w:tcBorders>
            <w:shd w:val="clear" w:color="auto" w:fill="auto"/>
            <w:vAlign w:val="center"/>
            <w:hideMark/>
          </w:tcPr>
          <w:p w14:paraId="1E2B798A" w14:textId="77777777" w:rsidR="00004514" w:rsidRPr="00004514" w:rsidRDefault="00004514" w:rsidP="00004514">
            <w:pPr>
              <w:jc w:val="right"/>
              <w:rPr>
                <w:lang w:eastAsia="tr-TR"/>
              </w:rPr>
            </w:pPr>
          </w:p>
        </w:tc>
        <w:tc>
          <w:tcPr>
            <w:tcW w:w="1495" w:type="dxa"/>
            <w:tcBorders>
              <w:top w:val="nil"/>
              <w:left w:val="nil"/>
              <w:bottom w:val="nil"/>
              <w:right w:val="nil"/>
            </w:tcBorders>
            <w:shd w:val="clear" w:color="auto" w:fill="auto"/>
            <w:vAlign w:val="center"/>
            <w:hideMark/>
          </w:tcPr>
          <w:p w14:paraId="04E273FC" w14:textId="77777777" w:rsidR="00004514" w:rsidRPr="00004514" w:rsidRDefault="00004514" w:rsidP="00004514">
            <w:pPr>
              <w:jc w:val="right"/>
              <w:rPr>
                <w:lang w:eastAsia="tr-TR"/>
              </w:rPr>
            </w:pPr>
          </w:p>
        </w:tc>
      </w:tr>
      <w:tr w:rsidR="00004514" w:rsidRPr="00004514" w14:paraId="566AE13B" w14:textId="77777777" w:rsidTr="00004514">
        <w:trPr>
          <w:divId w:val="622929388"/>
          <w:trHeight w:val="233"/>
        </w:trPr>
        <w:tc>
          <w:tcPr>
            <w:tcW w:w="4693" w:type="dxa"/>
            <w:tcBorders>
              <w:top w:val="nil"/>
              <w:left w:val="nil"/>
              <w:bottom w:val="nil"/>
              <w:right w:val="nil"/>
            </w:tcBorders>
            <w:shd w:val="clear" w:color="auto" w:fill="auto"/>
            <w:vAlign w:val="center"/>
            <w:hideMark/>
          </w:tcPr>
          <w:p w14:paraId="4BB1DE7F" w14:textId="77777777" w:rsidR="00004514" w:rsidRPr="00004514" w:rsidRDefault="00004514" w:rsidP="00004514">
            <w:pPr>
              <w:jc w:val="both"/>
              <w:rPr>
                <w:sz w:val="18"/>
                <w:szCs w:val="18"/>
                <w:lang w:eastAsia="tr-TR"/>
              </w:rPr>
            </w:pPr>
            <w:r w:rsidRPr="00004514">
              <w:rPr>
                <w:sz w:val="18"/>
                <w:szCs w:val="18"/>
                <w:lang w:eastAsia="tr-TR"/>
              </w:rPr>
              <w:t>Dönem Sonu Bakiyesi</w:t>
            </w:r>
          </w:p>
        </w:tc>
        <w:tc>
          <w:tcPr>
            <w:tcW w:w="1479" w:type="dxa"/>
            <w:tcBorders>
              <w:top w:val="nil"/>
              <w:left w:val="nil"/>
              <w:bottom w:val="nil"/>
              <w:right w:val="nil"/>
            </w:tcBorders>
            <w:shd w:val="clear" w:color="auto" w:fill="auto"/>
            <w:vAlign w:val="center"/>
            <w:hideMark/>
          </w:tcPr>
          <w:p w14:paraId="01B19C36" w14:textId="77777777" w:rsidR="00004514" w:rsidRPr="00004514" w:rsidRDefault="00004514" w:rsidP="00004514">
            <w:pPr>
              <w:jc w:val="right"/>
              <w:rPr>
                <w:sz w:val="18"/>
                <w:szCs w:val="18"/>
                <w:lang w:eastAsia="tr-TR"/>
              </w:rPr>
            </w:pPr>
            <w:r w:rsidRPr="00004514">
              <w:rPr>
                <w:sz w:val="18"/>
                <w:szCs w:val="18"/>
                <w:lang w:eastAsia="tr-TR"/>
              </w:rPr>
              <w:t>79,218</w:t>
            </w:r>
          </w:p>
        </w:tc>
        <w:tc>
          <w:tcPr>
            <w:tcW w:w="1479" w:type="dxa"/>
            <w:tcBorders>
              <w:top w:val="nil"/>
              <w:left w:val="nil"/>
              <w:bottom w:val="nil"/>
              <w:right w:val="nil"/>
            </w:tcBorders>
            <w:shd w:val="clear" w:color="auto" w:fill="auto"/>
            <w:vAlign w:val="center"/>
            <w:hideMark/>
          </w:tcPr>
          <w:p w14:paraId="15C27094" w14:textId="77777777" w:rsidR="00004514" w:rsidRPr="00004514" w:rsidRDefault="00004514" w:rsidP="00004514">
            <w:pPr>
              <w:jc w:val="right"/>
              <w:rPr>
                <w:sz w:val="18"/>
                <w:szCs w:val="18"/>
                <w:lang w:eastAsia="tr-TR"/>
              </w:rPr>
            </w:pPr>
            <w:r w:rsidRPr="00004514">
              <w:rPr>
                <w:sz w:val="18"/>
                <w:szCs w:val="18"/>
                <w:lang w:eastAsia="tr-TR"/>
              </w:rPr>
              <w:t>5,454</w:t>
            </w:r>
          </w:p>
        </w:tc>
        <w:tc>
          <w:tcPr>
            <w:tcW w:w="1495" w:type="dxa"/>
            <w:tcBorders>
              <w:top w:val="nil"/>
              <w:left w:val="nil"/>
              <w:bottom w:val="nil"/>
              <w:right w:val="nil"/>
            </w:tcBorders>
            <w:shd w:val="clear" w:color="auto" w:fill="auto"/>
            <w:vAlign w:val="center"/>
            <w:hideMark/>
          </w:tcPr>
          <w:p w14:paraId="5F6590A5" w14:textId="77777777" w:rsidR="00004514" w:rsidRPr="00004514" w:rsidRDefault="00004514" w:rsidP="00004514">
            <w:pPr>
              <w:jc w:val="right"/>
              <w:rPr>
                <w:sz w:val="18"/>
                <w:szCs w:val="18"/>
                <w:lang w:eastAsia="tr-TR"/>
              </w:rPr>
            </w:pPr>
            <w:r w:rsidRPr="00004514">
              <w:rPr>
                <w:sz w:val="18"/>
                <w:szCs w:val="18"/>
                <w:lang w:eastAsia="tr-TR"/>
              </w:rPr>
              <w:t>61,345</w:t>
            </w:r>
          </w:p>
        </w:tc>
      </w:tr>
      <w:tr w:rsidR="00004514" w:rsidRPr="00004514" w14:paraId="59F2D257" w14:textId="77777777" w:rsidTr="00004514">
        <w:trPr>
          <w:divId w:val="622929388"/>
          <w:trHeight w:val="233"/>
        </w:trPr>
        <w:tc>
          <w:tcPr>
            <w:tcW w:w="4693" w:type="dxa"/>
            <w:tcBorders>
              <w:top w:val="nil"/>
              <w:left w:val="nil"/>
              <w:bottom w:val="nil"/>
              <w:right w:val="nil"/>
            </w:tcBorders>
            <w:shd w:val="clear" w:color="auto" w:fill="auto"/>
            <w:vAlign w:val="center"/>
            <w:hideMark/>
          </w:tcPr>
          <w:p w14:paraId="5D4F85B9" w14:textId="77777777" w:rsidR="00004514" w:rsidRPr="00004514" w:rsidRDefault="00004514" w:rsidP="00004514">
            <w:pPr>
              <w:jc w:val="both"/>
              <w:rPr>
                <w:sz w:val="18"/>
                <w:szCs w:val="18"/>
                <w:lang w:eastAsia="tr-TR"/>
              </w:rPr>
            </w:pPr>
            <w:r w:rsidRPr="00004514">
              <w:rPr>
                <w:sz w:val="18"/>
                <w:szCs w:val="18"/>
                <w:lang w:eastAsia="tr-TR"/>
              </w:rPr>
              <w:t xml:space="preserve">Karşılık </w:t>
            </w:r>
            <w:proofErr w:type="gramStart"/>
            <w:r w:rsidRPr="00004514">
              <w:rPr>
                <w:sz w:val="18"/>
                <w:szCs w:val="18"/>
                <w:lang w:eastAsia="tr-TR"/>
              </w:rPr>
              <w:t>Tutarı(</w:t>
            </w:r>
            <w:proofErr w:type="gramEnd"/>
            <w:r w:rsidRPr="00004514">
              <w:rPr>
                <w:sz w:val="18"/>
                <w:szCs w:val="18"/>
                <w:lang w:eastAsia="tr-TR"/>
              </w:rPr>
              <w:t>-)</w:t>
            </w:r>
          </w:p>
        </w:tc>
        <w:tc>
          <w:tcPr>
            <w:tcW w:w="1479" w:type="dxa"/>
            <w:tcBorders>
              <w:top w:val="nil"/>
              <w:left w:val="nil"/>
              <w:bottom w:val="nil"/>
              <w:right w:val="nil"/>
            </w:tcBorders>
            <w:shd w:val="clear" w:color="auto" w:fill="auto"/>
            <w:vAlign w:val="center"/>
            <w:hideMark/>
          </w:tcPr>
          <w:p w14:paraId="4EC9FC9F" w14:textId="77777777" w:rsidR="00004514" w:rsidRPr="00004514" w:rsidRDefault="00004514" w:rsidP="00004514">
            <w:pPr>
              <w:jc w:val="right"/>
              <w:rPr>
                <w:sz w:val="18"/>
                <w:szCs w:val="18"/>
                <w:lang w:eastAsia="tr-TR"/>
              </w:rPr>
            </w:pPr>
            <w:r w:rsidRPr="00004514">
              <w:rPr>
                <w:sz w:val="18"/>
                <w:szCs w:val="18"/>
                <w:lang w:eastAsia="tr-TR"/>
              </w:rPr>
              <w:t>48,407</w:t>
            </w:r>
          </w:p>
        </w:tc>
        <w:tc>
          <w:tcPr>
            <w:tcW w:w="1479" w:type="dxa"/>
            <w:tcBorders>
              <w:top w:val="nil"/>
              <w:left w:val="nil"/>
              <w:bottom w:val="nil"/>
              <w:right w:val="nil"/>
            </w:tcBorders>
            <w:shd w:val="clear" w:color="auto" w:fill="auto"/>
            <w:vAlign w:val="center"/>
            <w:hideMark/>
          </w:tcPr>
          <w:p w14:paraId="35ED479D" w14:textId="77777777" w:rsidR="00004514" w:rsidRPr="00004514" w:rsidRDefault="00004514" w:rsidP="00004514">
            <w:pPr>
              <w:jc w:val="right"/>
              <w:rPr>
                <w:sz w:val="18"/>
                <w:szCs w:val="18"/>
                <w:lang w:eastAsia="tr-TR"/>
              </w:rPr>
            </w:pPr>
            <w:r w:rsidRPr="00004514">
              <w:rPr>
                <w:sz w:val="18"/>
                <w:szCs w:val="18"/>
                <w:lang w:eastAsia="tr-TR"/>
              </w:rPr>
              <w:t>4,640</w:t>
            </w:r>
          </w:p>
        </w:tc>
        <w:tc>
          <w:tcPr>
            <w:tcW w:w="1495" w:type="dxa"/>
            <w:tcBorders>
              <w:top w:val="nil"/>
              <w:left w:val="nil"/>
              <w:bottom w:val="nil"/>
              <w:right w:val="nil"/>
            </w:tcBorders>
            <w:shd w:val="clear" w:color="auto" w:fill="auto"/>
            <w:vAlign w:val="center"/>
            <w:hideMark/>
          </w:tcPr>
          <w:p w14:paraId="6AE1226E" w14:textId="77777777" w:rsidR="00004514" w:rsidRPr="00004514" w:rsidRDefault="00004514" w:rsidP="00004514">
            <w:pPr>
              <w:jc w:val="right"/>
              <w:rPr>
                <w:sz w:val="18"/>
                <w:szCs w:val="18"/>
                <w:lang w:eastAsia="tr-TR"/>
              </w:rPr>
            </w:pPr>
            <w:r w:rsidRPr="00004514">
              <w:rPr>
                <w:sz w:val="18"/>
                <w:szCs w:val="18"/>
                <w:lang w:eastAsia="tr-TR"/>
              </w:rPr>
              <w:t>44,173</w:t>
            </w:r>
          </w:p>
        </w:tc>
      </w:tr>
      <w:tr w:rsidR="00004514" w:rsidRPr="00004514" w14:paraId="469FBDA9" w14:textId="77777777" w:rsidTr="00004514">
        <w:trPr>
          <w:divId w:val="622929388"/>
          <w:trHeight w:val="248"/>
        </w:trPr>
        <w:tc>
          <w:tcPr>
            <w:tcW w:w="4693" w:type="dxa"/>
            <w:tcBorders>
              <w:top w:val="nil"/>
              <w:left w:val="nil"/>
              <w:bottom w:val="double" w:sz="6" w:space="0" w:color="auto"/>
              <w:right w:val="nil"/>
            </w:tcBorders>
            <w:shd w:val="clear" w:color="auto" w:fill="auto"/>
            <w:vAlign w:val="center"/>
            <w:hideMark/>
          </w:tcPr>
          <w:p w14:paraId="537C4186" w14:textId="77777777" w:rsidR="00004514" w:rsidRPr="00004514" w:rsidRDefault="00004514" w:rsidP="00004514">
            <w:pPr>
              <w:jc w:val="both"/>
              <w:rPr>
                <w:b/>
                <w:bCs/>
                <w:sz w:val="18"/>
                <w:szCs w:val="18"/>
                <w:lang w:eastAsia="tr-TR"/>
              </w:rPr>
            </w:pPr>
            <w:r w:rsidRPr="00004514">
              <w:rPr>
                <w:b/>
                <w:bCs/>
                <w:sz w:val="18"/>
                <w:szCs w:val="18"/>
                <w:lang w:eastAsia="tr-TR"/>
              </w:rPr>
              <w:t>Bilançodaki Net Bakiyesi</w:t>
            </w:r>
          </w:p>
        </w:tc>
        <w:tc>
          <w:tcPr>
            <w:tcW w:w="1479" w:type="dxa"/>
            <w:tcBorders>
              <w:top w:val="nil"/>
              <w:left w:val="nil"/>
              <w:bottom w:val="double" w:sz="6" w:space="0" w:color="auto"/>
              <w:right w:val="nil"/>
            </w:tcBorders>
            <w:shd w:val="clear" w:color="auto" w:fill="auto"/>
            <w:vAlign w:val="center"/>
            <w:hideMark/>
          </w:tcPr>
          <w:p w14:paraId="60EA9D6D" w14:textId="77777777" w:rsidR="00004514" w:rsidRPr="00004514" w:rsidRDefault="00004514" w:rsidP="00004514">
            <w:pPr>
              <w:jc w:val="right"/>
              <w:rPr>
                <w:b/>
                <w:bCs/>
                <w:sz w:val="18"/>
                <w:szCs w:val="18"/>
                <w:lang w:eastAsia="tr-TR"/>
              </w:rPr>
            </w:pPr>
            <w:r w:rsidRPr="00004514">
              <w:rPr>
                <w:b/>
                <w:bCs/>
                <w:sz w:val="18"/>
                <w:szCs w:val="18"/>
                <w:lang w:eastAsia="tr-TR"/>
              </w:rPr>
              <w:t>30,811</w:t>
            </w:r>
          </w:p>
        </w:tc>
        <w:tc>
          <w:tcPr>
            <w:tcW w:w="1479" w:type="dxa"/>
            <w:tcBorders>
              <w:top w:val="nil"/>
              <w:left w:val="nil"/>
              <w:bottom w:val="double" w:sz="6" w:space="0" w:color="auto"/>
              <w:right w:val="nil"/>
            </w:tcBorders>
            <w:shd w:val="clear" w:color="auto" w:fill="auto"/>
            <w:vAlign w:val="center"/>
            <w:hideMark/>
          </w:tcPr>
          <w:p w14:paraId="23A64015" w14:textId="77777777" w:rsidR="00004514" w:rsidRPr="00004514" w:rsidRDefault="00004514" w:rsidP="00004514">
            <w:pPr>
              <w:jc w:val="right"/>
              <w:rPr>
                <w:b/>
                <w:bCs/>
                <w:sz w:val="18"/>
                <w:szCs w:val="18"/>
                <w:lang w:eastAsia="tr-TR"/>
              </w:rPr>
            </w:pPr>
            <w:r w:rsidRPr="00004514">
              <w:rPr>
                <w:b/>
                <w:bCs/>
                <w:sz w:val="18"/>
                <w:szCs w:val="18"/>
                <w:lang w:eastAsia="tr-TR"/>
              </w:rPr>
              <w:t>814</w:t>
            </w:r>
          </w:p>
        </w:tc>
        <w:tc>
          <w:tcPr>
            <w:tcW w:w="1495" w:type="dxa"/>
            <w:tcBorders>
              <w:top w:val="nil"/>
              <w:left w:val="nil"/>
              <w:bottom w:val="double" w:sz="6" w:space="0" w:color="auto"/>
              <w:right w:val="nil"/>
            </w:tcBorders>
            <w:shd w:val="clear" w:color="auto" w:fill="auto"/>
            <w:vAlign w:val="center"/>
            <w:hideMark/>
          </w:tcPr>
          <w:p w14:paraId="3BF5252B" w14:textId="77777777" w:rsidR="00004514" w:rsidRPr="00004514" w:rsidRDefault="00004514" w:rsidP="00004514">
            <w:pPr>
              <w:jc w:val="right"/>
              <w:rPr>
                <w:b/>
                <w:bCs/>
                <w:sz w:val="18"/>
                <w:szCs w:val="18"/>
                <w:lang w:eastAsia="tr-TR"/>
              </w:rPr>
            </w:pPr>
            <w:r w:rsidRPr="00004514">
              <w:rPr>
                <w:b/>
                <w:bCs/>
                <w:sz w:val="18"/>
                <w:szCs w:val="18"/>
                <w:lang w:eastAsia="tr-TR"/>
              </w:rPr>
              <w:t>17,172</w:t>
            </w:r>
          </w:p>
        </w:tc>
      </w:tr>
    </w:tbl>
    <w:p w14:paraId="45389ECD" w14:textId="64F9AE65" w:rsidR="00F84D50" w:rsidRPr="00004514" w:rsidRDefault="00F84D50" w:rsidP="00535CF4">
      <w:pPr>
        <w:tabs>
          <w:tab w:val="left" w:pos="0"/>
        </w:tabs>
        <w:rPr>
          <w:iCs/>
        </w:rPr>
      </w:pPr>
    </w:p>
    <w:p w14:paraId="60EB8474" w14:textId="03FD68BF" w:rsidR="00BA637F" w:rsidRDefault="00BA637F">
      <w:pPr>
        <w:rPr>
          <w:iCs/>
          <w:sz w:val="16"/>
          <w:szCs w:val="16"/>
        </w:rPr>
      </w:pPr>
      <w:r>
        <w:rPr>
          <w:iCs/>
          <w:sz w:val="16"/>
          <w:szCs w:val="16"/>
        </w:rPr>
        <w:br w:type="page"/>
      </w:r>
    </w:p>
    <w:p w14:paraId="55745856" w14:textId="146A4797" w:rsidR="00356EE0" w:rsidRPr="00004514" w:rsidRDefault="00990912" w:rsidP="00985AFC">
      <w:pPr>
        <w:pStyle w:val="BodyTextIndent"/>
        <w:tabs>
          <w:tab w:val="left" w:pos="0"/>
        </w:tabs>
        <w:ind w:left="0" w:hanging="567"/>
        <w:jc w:val="left"/>
      </w:pPr>
      <w:r w:rsidRPr="00004514">
        <w:rPr>
          <w:b/>
        </w:rPr>
        <w:lastRenderedPageBreak/>
        <w:t>1.5.</w:t>
      </w:r>
      <w:r w:rsidR="0048609D" w:rsidRPr="00004514">
        <w:rPr>
          <w:b/>
        </w:rPr>
        <w:t>10</w:t>
      </w:r>
      <w:r w:rsidR="008E42CD" w:rsidRPr="00004514">
        <w:rPr>
          <w:b/>
        </w:rPr>
        <w:t>.4</w:t>
      </w:r>
      <w:r w:rsidR="0048609D" w:rsidRPr="00004514">
        <w:t>.</w:t>
      </w:r>
      <w:r w:rsidR="008E42CD" w:rsidRPr="00004514">
        <w:t xml:space="preserve"> </w:t>
      </w:r>
      <w:r w:rsidR="00E253C8" w:rsidRPr="00004514">
        <w:t xml:space="preserve">Donuk alacakların kullanıcı gruplarına göre brüt ve net tutarlarının </w:t>
      </w:r>
      <w:r w:rsidR="00032F11" w:rsidRPr="00004514">
        <w:t>gösterimi:</w:t>
      </w:r>
      <w:r w:rsidR="00E253C8" w:rsidRPr="00004514">
        <w:t xml:space="preserve"> </w:t>
      </w:r>
    </w:p>
    <w:p w14:paraId="78746BEF" w14:textId="6D68B521" w:rsidR="00D22163" w:rsidRPr="00311DAB" w:rsidRDefault="00D22163" w:rsidP="00833BD7">
      <w:pPr>
        <w:pStyle w:val="BodyTextIndent"/>
        <w:tabs>
          <w:tab w:val="left" w:pos="0"/>
        </w:tabs>
        <w:ind w:left="0" w:hanging="567"/>
        <w:jc w:val="left"/>
        <w:rPr>
          <w:lang w:eastAsia="en-GB"/>
        </w:rPr>
      </w:pPr>
    </w:p>
    <w:tbl>
      <w:tblPr>
        <w:tblW w:w="9133" w:type="dxa"/>
        <w:tblCellMar>
          <w:left w:w="70" w:type="dxa"/>
          <w:right w:w="70" w:type="dxa"/>
        </w:tblCellMar>
        <w:tblLook w:val="04A0" w:firstRow="1" w:lastRow="0" w:firstColumn="1" w:lastColumn="0" w:noHBand="0" w:noVBand="1"/>
      </w:tblPr>
      <w:tblGrid>
        <w:gridCol w:w="5455"/>
        <w:gridCol w:w="1248"/>
        <w:gridCol w:w="1299"/>
        <w:gridCol w:w="1131"/>
      </w:tblGrid>
      <w:tr w:rsidR="00004514" w:rsidRPr="00004514" w14:paraId="073699FF" w14:textId="77777777" w:rsidTr="00A43E58">
        <w:trPr>
          <w:divId w:val="1031688707"/>
          <w:trHeight w:val="270"/>
        </w:trPr>
        <w:tc>
          <w:tcPr>
            <w:tcW w:w="5455" w:type="dxa"/>
            <w:tcBorders>
              <w:top w:val="double" w:sz="6" w:space="0" w:color="auto"/>
              <w:left w:val="nil"/>
              <w:bottom w:val="nil"/>
              <w:right w:val="nil"/>
            </w:tcBorders>
            <w:shd w:val="clear" w:color="auto" w:fill="auto"/>
            <w:vAlign w:val="center"/>
            <w:hideMark/>
          </w:tcPr>
          <w:p w14:paraId="5F43F555" w14:textId="651C1636" w:rsidR="00004514" w:rsidRPr="00004514" w:rsidRDefault="00004514" w:rsidP="00004514">
            <w:pPr>
              <w:jc w:val="both"/>
              <w:rPr>
                <w:sz w:val="18"/>
                <w:szCs w:val="18"/>
                <w:lang w:eastAsia="tr-TR"/>
              </w:rPr>
            </w:pPr>
            <w:r w:rsidRPr="00004514">
              <w:rPr>
                <w:sz w:val="18"/>
                <w:szCs w:val="18"/>
                <w:lang w:eastAsia="tr-TR"/>
              </w:rPr>
              <w:t xml:space="preserve">  </w:t>
            </w:r>
          </w:p>
        </w:tc>
        <w:tc>
          <w:tcPr>
            <w:tcW w:w="1248" w:type="dxa"/>
            <w:tcBorders>
              <w:top w:val="double" w:sz="6" w:space="0" w:color="auto"/>
              <w:left w:val="nil"/>
              <w:bottom w:val="single" w:sz="8" w:space="0" w:color="auto"/>
              <w:right w:val="nil"/>
            </w:tcBorders>
            <w:shd w:val="clear" w:color="auto" w:fill="auto"/>
            <w:vAlign w:val="center"/>
            <w:hideMark/>
          </w:tcPr>
          <w:p w14:paraId="4D27B829" w14:textId="77777777" w:rsidR="00004514" w:rsidRPr="00004514" w:rsidRDefault="00004514" w:rsidP="00004514">
            <w:pPr>
              <w:jc w:val="right"/>
              <w:rPr>
                <w:b/>
                <w:bCs/>
                <w:sz w:val="18"/>
                <w:szCs w:val="18"/>
                <w:lang w:eastAsia="tr-TR"/>
              </w:rPr>
            </w:pPr>
            <w:r w:rsidRPr="00004514">
              <w:rPr>
                <w:b/>
                <w:bCs/>
                <w:sz w:val="18"/>
                <w:szCs w:val="18"/>
                <w:lang w:eastAsia="tr-TR"/>
              </w:rPr>
              <w:t>III. Grup</w:t>
            </w:r>
          </w:p>
        </w:tc>
        <w:tc>
          <w:tcPr>
            <w:tcW w:w="1299" w:type="dxa"/>
            <w:tcBorders>
              <w:top w:val="double" w:sz="6" w:space="0" w:color="auto"/>
              <w:left w:val="nil"/>
              <w:bottom w:val="single" w:sz="8" w:space="0" w:color="auto"/>
              <w:right w:val="nil"/>
            </w:tcBorders>
            <w:shd w:val="clear" w:color="auto" w:fill="auto"/>
            <w:vAlign w:val="center"/>
            <w:hideMark/>
          </w:tcPr>
          <w:p w14:paraId="07D0E785" w14:textId="77777777" w:rsidR="00004514" w:rsidRPr="00004514" w:rsidRDefault="00004514" w:rsidP="00004514">
            <w:pPr>
              <w:jc w:val="right"/>
              <w:rPr>
                <w:b/>
                <w:bCs/>
                <w:sz w:val="18"/>
                <w:szCs w:val="18"/>
                <w:lang w:eastAsia="tr-TR"/>
              </w:rPr>
            </w:pPr>
            <w:r w:rsidRPr="00004514">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744E9EFF" w14:textId="77777777" w:rsidR="00004514" w:rsidRPr="00004514" w:rsidRDefault="00004514" w:rsidP="00004514">
            <w:pPr>
              <w:jc w:val="right"/>
              <w:rPr>
                <w:b/>
                <w:bCs/>
                <w:sz w:val="18"/>
                <w:szCs w:val="18"/>
                <w:lang w:eastAsia="tr-TR"/>
              </w:rPr>
            </w:pPr>
            <w:r w:rsidRPr="00004514">
              <w:rPr>
                <w:b/>
                <w:bCs/>
                <w:sz w:val="18"/>
                <w:szCs w:val="18"/>
                <w:lang w:eastAsia="tr-TR"/>
              </w:rPr>
              <w:t>V. Grup</w:t>
            </w:r>
          </w:p>
        </w:tc>
      </w:tr>
      <w:tr w:rsidR="00004514" w:rsidRPr="00004514" w14:paraId="1EADF520" w14:textId="77777777" w:rsidTr="00A43E58">
        <w:trPr>
          <w:divId w:val="1031688707"/>
          <w:trHeight w:val="573"/>
        </w:trPr>
        <w:tc>
          <w:tcPr>
            <w:tcW w:w="5455" w:type="dxa"/>
            <w:tcBorders>
              <w:top w:val="nil"/>
              <w:left w:val="nil"/>
              <w:bottom w:val="single" w:sz="8" w:space="0" w:color="auto"/>
              <w:right w:val="nil"/>
            </w:tcBorders>
            <w:shd w:val="clear" w:color="auto" w:fill="auto"/>
            <w:vAlign w:val="center"/>
            <w:hideMark/>
          </w:tcPr>
          <w:p w14:paraId="54BE7AC4" w14:textId="77777777" w:rsidR="00004514" w:rsidRPr="00004514" w:rsidRDefault="00004514" w:rsidP="00004514">
            <w:pPr>
              <w:jc w:val="both"/>
              <w:rPr>
                <w:sz w:val="18"/>
                <w:szCs w:val="18"/>
                <w:lang w:eastAsia="tr-TR"/>
              </w:rPr>
            </w:pPr>
            <w:r w:rsidRPr="00004514">
              <w:rPr>
                <w:sz w:val="18"/>
                <w:szCs w:val="18"/>
                <w:lang w:eastAsia="tr-TR"/>
              </w:rPr>
              <w:t> </w:t>
            </w:r>
          </w:p>
        </w:tc>
        <w:tc>
          <w:tcPr>
            <w:tcW w:w="1248" w:type="dxa"/>
            <w:tcBorders>
              <w:top w:val="nil"/>
              <w:left w:val="nil"/>
              <w:bottom w:val="single" w:sz="8" w:space="0" w:color="auto"/>
              <w:right w:val="nil"/>
            </w:tcBorders>
            <w:shd w:val="clear" w:color="auto" w:fill="auto"/>
            <w:vAlign w:val="center"/>
            <w:hideMark/>
          </w:tcPr>
          <w:p w14:paraId="2A7894B6" w14:textId="77777777" w:rsidR="00004514" w:rsidRPr="00004514" w:rsidRDefault="00004514" w:rsidP="00004514">
            <w:pPr>
              <w:jc w:val="right"/>
              <w:rPr>
                <w:b/>
                <w:bCs/>
                <w:sz w:val="18"/>
                <w:szCs w:val="18"/>
                <w:lang w:eastAsia="tr-TR"/>
              </w:rPr>
            </w:pPr>
            <w:r w:rsidRPr="00004514">
              <w:rPr>
                <w:b/>
                <w:bCs/>
                <w:sz w:val="18"/>
                <w:szCs w:val="18"/>
                <w:lang w:eastAsia="tr-TR"/>
              </w:rPr>
              <w:t xml:space="preserve">Tahsil </w:t>
            </w:r>
            <w:proofErr w:type="gramStart"/>
            <w:r w:rsidRPr="00004514">
              <w:rPr>
                <w:b/>
                <w:bCs/>
                <w:sz w:val="18"/>
                <w:szCs w:val="18"/>
                <w:lang w:eastAsia="tr-TR"/>
              </w:rPr>
              <w:t>İmkanı</w:t>
            </w:r>
            <w:proofErr w:type="gramEnd"/>
            <w:r w:rsidRPr="00004514">
              <w:rPr>
                <w:b/>
                <w:bCs/>
                <w:sz w:val="18"/>
                <w:szCs w:val="18"/>
                <w:lang w:eastAsia="tr-TR"/>
              </w:rPr>
              <w:t xml:space="preserve"> Sınırlı Krediler</w:t>
            </w:r>
          </w:p>
        </w:tc>
        <w:tc>
          <w:tcPr>
            <w:tcW w:w="1299" w:type="dxa"/>
            <w:tcBorders>
              <w:top w:val="nil"/>
              <w:left w:val="nil"/>
              <w:bottom w:val="single" w:sz="8" w:space="0" w:color="auto"/>
              <w:right w:val="nil"/>
            </w:tcBorders>
            <w:shd w:val="clear" w:color="auto" w:fill="auto"/>
            <w:vAlign w:val="center"/>
            <w:hideMark/>
          </w:tcPr>
          <w:p w14:paraId="6EEDC5FB" w14:textId="77777777" w:rsidR="00004514" w:rsidRPr="00004514" w:rsidRDefault="00004514" w:rsidP="00004514">
            <w:pPr>
              <w:jc w:val="right"/>
              <w:rPr>
                <w:b/>
                <w:bCs/>
                <w:sz w:val="18"/>
                <w:szCs w:val="18"/>
                <w:lang w:eastAsia="tr-TR"/>
              </w:rPr>
            </w:pPr>
            <w:r w:rsidRPr="00004514">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32D13368" w14:textId="77777777" w:rsidR="00004514" w:rsidRPr="00004514" w:rsidRDefault="00004514" w:rsidP="00004514">
            <w:pPr>
              <w:jc w:val="right"/>
              <w:rPr>
                <w:b/>
                <w:bCs/>
                <w:sz w:val="18"/>
                <w:szCs w:val="18"/>
                <w:lang w:eastAsia="tr-TR"/>
              </w:rPr>
            </w:pPr>
            <w:r w:rsidRPr="00004514">
              <w:rPr>
                <w:b/>
                <w:bCs/>
                <w:sz w:val="18"/>
                <w:szCs w:val="18"/>
                <w:lang w:eastAsia="tr-TR"/>
              </w:rPr>
              <w:t>Zarar Niteliğindeki Krediler</w:t>
            </w:r>
          </w:p>
        </w:tc>
      </w:tr>
      <w:tr w:rsidR="00A43E58" w:rsidRPr="00004514" w14:paraId="5C9AD013" w14:textId="77777777" w:rsidTr="00A43E58">
        <w:trPr>
          <w:divId w:val="1031688707"/>
          <w:trHeight w:val="240"/>
        </w:trPr>
        <w:tc>
          <w:tcPr>
            <w:tcW w:w="5455" w:type="dxa"/>
            <w:tcBorders>
              <w:top w:val="nil"/>
              <w:left w:val="nil"/>
              <w:bottom w:val="nil"/>
              <w:right w:val="nil"/>
            </w:tcBorders>
            <w:shd w:val="clear" w:color="auto" w:fill="auto"/>
            <w:vAlign w:val="center"/>
            <w:hideMark/>
          </w:tcPr>
          <w:p w14:paraId="12A18606" w14:textId="77777777" w:rsidR="00A43E58" w:rsidRPr="00004514" w:rsidRDefault="00A43E58" w:rsidP="00A43E58">
            <w:pPr>
              <w:jc w:val="both"/>
              <w:rPr>
                <w:b/>
                <w:bCs/>
                <w:sz w:val="18"/>
                <w:szCs w:val="18"/>
                <w:lang w:eastAsia="tr-TR"/>
              </w:rPr>
            </w:pPr>
            <w:r w:rsidRPr="00004514">
              <w:rPr>
                <w:b/>
                <w:bCs/>
                <w:sz w:val="18"/>
                <w:szCs w:val="18"/>
                <w:lang w:eastAsia="tr-TR"/>
              </w:rPr>
              <w:t>Cari Dönem (Net)</w:t>
            </w:r>
          </w:p>
        </w:tc>
        <w:tc>
          <w:tcPr>
            <w:tcW w:w="1248" w:type="dxa"/>
            <w:tcBorders>
              <w:top w:val="nil"/>
              <w:left w:val="nil"/>
              <w:bottom w:val="nil"/>
              <w:right w:val="nil"/>
            </w:tcBorders>
            <w:shd w:val="clear" w:color="auto" w:fill="auto"/>
            <w:vAlign w:val="center"/>
            <w:hideMark/>
          </w:tcPr>
          <w:p w14:paraId="599F4CE6" w14:textId="62207A66" w:rsidR="00A43E58" w:rsidRPr="00004514" w:rsidRDefault="00A43E58" w:rsidP="00A43E58">
            <w:pPr>
              <w:jc w:val="right"/>
              <w:rPr>
                <w:b/>
                <w:bCs/>
                <w:sz w:val="18"/>
                <w:szCs w:val="18"/>
                <w:lang w:eastAsia="tr-TR"/>
              </w:rPr>
            </w:pPr>
            <w:r w:rsidRPr="008B23B5">
              <w:rPr>
                <w:b/>
                <w:bCs/>
                <w:sz w:val="18"/>
                <w:szCs w:val="18"/>
                <w:lang w:eastAsia="tr-TR"/>
              </w:rPr>
              <w:t>17,770</w:t>
            </w:r>
          </w:p>
        </w:tc>
        <w:tc>
          <w:tcPr>
            <w:tcW w:w="1299" w:type="dxa"/>
            <w:tcBorders>
              <w:top w:val="nil"/>
              <w:left w:val="nil"/>
              <w:bottom w:val="nil"/>
              <w:right w:val="nil"/>
            </w:tcBorders>
            <w:shd w:val="clear" w:color="auto" w:fill="auto"/>
            <w:vAlign w:val="center"/>
            <w:hideMark/>
          </w:tcPr>
          <w:p w14:paraId="4F5600A6" w14:textId="302462E9" w:rsidR="00A43E58" w:rsidRPr="00004514" w:rsidRDefault="00A43E58" w:rsidP="00A43E58">
            <w:pPr>
              <w:jc w:val="right"/>
              <w:rPr>
                <w:b/>
                <w:bCs/>
                <w:sz w:val="18"/>
                <w:szCs w:val="18"/>
                <w:lang w:eastAsia="tr-TR"/>
              </w:rPr>
            </w:pPr>
            <w:r w:rsidRPr="008B23B5">
              <w:rPr>
                <w:b/>
                <w:bCs/>
                <w:sz w:val="18"/>
                <w:szCs w:val="18"/>
                <w:lang w:eastAsia="tr-TR"/>
              </w:rPr>
              <w:t>185,513</w:t>
            </w:r>
          </w:p>
        </w:tc>
        <w:tc>
          <w:tcPr>
            <w:tcW w:w="1131" w:type="dxa"/>
            <w:tcBorders>
              <w:top w:val="nil"/>
              <w:left w:val="nil"/>
              <w:bottom w:val="nil"/>
              <w:right w:val="nil"/>
            </w:tcBorders>
            <w:shd w:val="clear" w:color="auto" w:fill="auto"/>
            <w:vAlign w:val="center"/>
            <w:hideMark/>
          </w:tcPr>
          <w:p w14:paraId="3163CC21" w14:textId="5A348471" w:rsidR="00A43E58" w:rsidRPr="00004514" w:rsidRDefault="00A43E58" w:rsidP="00A43E58">
            <w:pPr>
              <w:jc w:val="right"/>
              <w:rPr>
                <w:b/>
                <w:bCs/>
                <w:sz w:val="18"/>
                <w:szCs w:val="18"/>
                <w:lang w:eastAsia="tr-TR"/>
              </w:rPr>
            </w:pPr>
            <w:r w:rsidRPr="008B23B5">
              <w:rPr>
                <w:b/>
                <w:bCs/>
                <w:sz w:val="18"/>
                <w:szCs w:val="18"/>
                <w:lang w:eastAsia="tr-TR"/>
              </w:rPr>
              <w:t>273,891</w:t>
            </w:r>
          </w:p>
        </w:tc>
      </w:tr>
      <w:tr w:rsidR="00A43E58" w:rsidRPr="00004514" w14:paraId="1A7E4ACD"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3A2D4AAF" w14:textId="77777777" w:rsidR="00A43E58" w:rsidRPr="00004514" w:rsidRDefault="00A43E58" w:rsidP="00A43E58">
            <w:pPr>
              <w:rPr>
                <w:sz w:val="18"/>
                <w:szCs w:val="18"/>
                <w:lang w:eastAsia="tr-TR"/>
              </w:rPr>
            </w:pPr>
            <w:r w:rsidRPr="00004514">
              <w:rPr>
                <w:sz w:val="18"/>
                <w:szCs w:val="18"/>
                <w:lang w:eastAsia="tr-TR"/>
              </w:rPr>
              <w:t>Gerçek ve tüzel kişilere kullandırılan krediler (brüt)</w:t>
            </w:r>
          </w:p>
        </w:tc>
        <w:tc>
          <w:tcPr>
            <w:tcW w:w="1248" w:type="dxa"/>
            <w:tcBorders>
              <w:top w:val="nil"/>
              <w:left w:val="nil"/>
              <w:bottom w:val="nil"/>
              <w:right w:val="nil"/>
            </w:tcBorders>
            <w:shd w:val="clear" w:color="auto" w:fill="auto"/>
            <w:vAlign w:val="center"/>
            <w:hideMark/>
          </w:tcPr>
          <w:p w14:paraId="7696F6FC" w14:textId="760CC0BD" w:rsidR="00A43E58" w:rsidRPr="00004514" w:rsidRDefault="00A43E58" w:rsidP="00A43E58">
            <w:pPr>
              <w:jc w:val="right"/>
              <w:rPr>
                <w:sz w:val="18"/>
                <w:szCs w:val="18"/>
                <w:lang w:eastAsia="tr-TR"/>
              </w:rPr>
            </w:pPr>
            <w:r w:rsidRPr="008B23B5">
              <w:rPr>
                <w:sz w:val="18"/>
                <w:szCs w:val="18"/>
                <w:lang w:eastAsia="tr-TR"/>
              </w:rPr>
              <w:t>23,433</w:t>
            </w:r>
          </w:p>
        </w:tc>
        <w:tc>
          <w:tcPr>
            <w:tcW w:w="1299" w:type="dxa"/>
            <w:tcBorders>
              <w:top w:val="nil"/>
              <w:left w:val="nil"/>
              <w:bottom w:val="nil"/>
              <w:right w:val="nil"/>
            </w:tcBorders>
            <w:shd w:val="clear" w:color="auto" w:fill="auto"/>
            <w:vAlign w:val="center"/>
            <w:hideMark/>
          </w:tcPr>
          <w:p w14:paraId="188E1277" w14:textId="727ED84B" w:rsidR="00A43E58" w:rsidRPr="00004514" w:rsidRDefault="00A43E58" w:rsidP="00A43E58">
            <w:pPr>
              <w:jc w:val="right"/>
              <w:rPr>
                <w:sz w:val="18"/>
                <w:szCs w:val="18"/>
                <w:lang w:eastAsia="tr-TR"/>
              </w:rPr>
            </w:pPr>
            <w:r w:rsidRPr="008B23B5">
              <w:rPr>
                <w:sz w:val="18"/>
                <w:szCs w:val="18"/>
                <w:lang w:eastAsia="tr-TR"/>
              </w:rPr>
              <w:t>691,628</w:t>
            </w:r>
          </w:p>
        </w:tc>
        <w:tc>
          <w:tcPr>
            <w:tcW w:w="1131" w:type="dxa"/>
            <w:tcBorders>
              <w:top w:val="nil"/>
              <w:left w:val="nil"/>
              <w:bottom w:val="nil"/>
              <w:right w:val="nil"/>
            </w:tcBorders>
            <w:shd w:val="clear" w:color="auto" w:fill="auto"/>
            <w:vAlign w:val="center"/>
            <w:hideMark/>
          </w:tcPr>
          <w:p w14:paraId="1D672EE2" w14:textId="3B0D5C5C" w:rsidR="00A43E58" w:rsidRPr="00004514" w:rsidRDefault="00A43E58" w:rsidP="00A43E58">
            <w:pPr>
              <w:jc w:val="right"/>
              <w:rPr>
                <w:sz w:val="18"/>
                <w:szCs w:val="18"/>
                <w:lang w:eastAsia="tr-TR"/>
              </w:rPr>
            </w:pPr>
            <w:r w:rsidRPr="008B23B5">
              <w:rPr>
                <w:sz w:val="18"/>
                <w:szCs w:val="18"/>
                <w:lang w:eastAsia="tr-TR"/>
              </w:rPr>
              <w:t>1,861,848</w:t>
            </w:r>
          </w:p>
        </w:tc>
      </w:tr>
      <w:tr w:rsidR="00A43E58" w:rsidRPr="00004514" w14:paraId="049A2627"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7A0864E0" w14:textId="77777777" w:rsidR="00A43E58" w:rsidRPr="00004514" w:rsidRDefault="00A43E58" w:rsidP="00A43E58">
            <w:pPr>
              <w:rPr>
                <w:sz w:val="18"/>
                <w:szCs w:val="18"/>
                <w:lang w:eastAsia="tr-TR"/>
              </w:rPr>
            </w:pPr>
            <w:r w:rsidRPr="00004514">
              <w:rPr>
                <w:sz w:val="18"/>
                <w:szCs w:val="18"/>
                <w:lang w:eastAsia="tr-TR"/>
              </w:rPr>
              <w:t>Karşılık tutarı (-)</w:t>
            </w:r>
          </w:p>
        </w:tc>
        <w:tc>
          <w:tcPr>
            <w:tcW w:w="1248" w:type="dxa"/>
            <w:tcBorders>
              <w:top w:val="nil"/>
              <w:left w:val="nil"/>
              <w:bottom w:val="nil"/>
              <w:right w:val="nil"/>
            </w:tcBorders>
            <w:shd w:val="clear" w:color="auto" w:fill="auto"/>
            <w:vAlign w:val="center"/>
            <w:hideMark/>
          </w:tcPr>
          <w:p w14:paraId="2F12CD60" w14:textId="471466DD" w:rsidR="00A43E58" w:rsidRPr="00004514" w:rsidRDefault="00A43E58" w:rsidP="00A43E58">
            <w:pPr>
              <w:jc w:val="right"/>
              <w:rPr>
                <w:sz w:val="18"/>
                <w:szCs w:val="18"/>
                <w:lang w:eastAsia="tr-TR"/>
              </w:rPr>
            </w:pPr>
            <w:r w:rsidRPr="008B23B5">
              <w:rPr>
                <w:sz w:val="18"/>
                <w:szCs w:val="18"/>
                <w:lang w:eastAsia="tr-TR"/>
              </w:rPr>
              <w:t>5,663</w:t>
            </w:r>
          </w:p>
        </w:tc>
        <w:tc>
          <w:tcPr>
            <w:tcW w:w="1299" w:type="dxa"/>
            <w:tcBorders>
              <w:top w:val="nil"/>
              <w:left w:val="nil"/>
              <w:bottom w:val="nil"/>
              <w:right w:val="nil"/>
            </w:tcBorders>
            <w:shd w:val="clear" w:color="auto" w:fill="auto"/>
            <w:vAlign w:val="center"/>
            <w:hideMark/>
          </w:tcPr>
          <w:p w14:paraId="7F5DBA35" w14:textId="472B9CAF" w:rsidR="00A43E58" w:rsidRPr="00004514" w:rsidRDefault="00A43E58" w:rsidP="00A43E58">
            <w:pPr>
              <w:jc w:val="right"/>
              <w:rPr>
                <w:sz w:val="18"/>
                <w:szCs w:val="18"/>
                <w:lang w:eastAsia="tr-TR"/>
              </w:rPr>
            </w:pPr>
            <w:r w:rsidRPr="008B23B5">
              <w:rPr>
                <w:sz w:val="18"/>
                <w:szCs w:val="18"/>
                <w:lang w:eastAsia="tr-TR"/>
              </w:rPr>
              <w:t>506,115</w:t>
            </w:r>
          </w:p>
        </w:tc>
        <w:tc>
          <w:tcPr>
            <w:tcW w:w="1131" w:type="dxa"/>
            <w:tcBorders>
              <w:top w:val="nil"/>
              <w:left w:val="nil"/>
              <w:bottom w:val="nil"/>
              <w:right w:val="nil"/>
            </w:tcBorders>
            <w:shd w:val="clear" w:color="auto" w:fill="auto"/>
            <w:vAlign w:val="center"/>
            <w:hideMark/>
          </w:tcPr>
          <w:p w14:paraId="49BD7764" w14:textId="3BAFA102" w:rsidR="00A43E58" w:rsidRPr="00004514" w:rsidRDefault="00A43E58" w:rsidP="00A43E58">
            <w:pPr>
              <w:jc w:val="right"/>
              <w:rPr>
                <w:sz w:val="18"/>
                <w:szCs w:val="18"/>
                <w:lang w:eastAsia="tr-TR"/>
              </w:rPr>
            </w:pPr>
            <w:r w:rsidRPr="008B23B5">
              <w:rPr>
                <w:sz w:val="18"/>
                <w:szCs w:val="18"/>
                <w:lang w:eastAsia="tr-TR"/>
              </w:rPr>
              <w:t>1,587,957</w:t>
            </w:r>
          </w:p>
        </w:tc>
      </w:tr>
      <w:tr w:rsidR="00A43E58" w:rsidRPr="00004514" w14:paraId="0AAC9B9F"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28B64C15" w14:textId="77777777" w:rsidR="00A43E58" w:rsidRPr="00004514" w:rsidRDefault="00A43E58" w:rsidP="00A43E58">
            <w:pPr>
              <w:rPr>
                <w:b/>
                <w:bCs/>
                <w:sz w:val="18"/>
                <w:szCs w:val="18"/>
                <w:lang w:eastAsia="tr-TR"/>
              </w:rPr>
            </w:pPr>
            <w:r w:rsidRPr="00004514">
              <w:rPr>
                <w:b/>
                <w:bCs/>
                <w:sz w:val="18"/>
                <w:szCs w:val="18"/>
                <w:lang w:eastAsia="tr-TR"/>
              </w:rPr>
              <w:t>Gerçek ve tüzel kişilere kullandırılan krediler (net)</w:t>
            </w:r>
          </w:p>
        </w:tc>
        <w:tc>
          <w:tcPr>
            <w:tcW w:w="1248" w:type="dxa"/>
            <w:tcBorders>
              <w:top w:val="nil"/>
              <w:left w:val="nil"/>
              <w:bottom w:val="nil"/>
              <w:right w:val="nil"/>
            </w:tcBorders>
            <w:shd w:val="clear" w:color="auto" w:fill="auto"/>
            <w:vAlign w:val="center"/>
            <w:hideMark/>
          </w:tcPr>
          <w:p w14:paraId="74919805" w14:textId="0935B901" w:rsidR="00A43E58" w:rsidRPr="00004514" w:rsidRDefault="00A43E58" w:rsidP="00A43E58">
            <w:pPr>
              <w:jc w:val="right"/>
              <w:rPr>
                <w:b/>
                <w:bCs/>
                <w:sz w:val="18"/>
                <w:szCs w:val="18"/>
                <w:lang w:eastAsia="tr-TR"/>
              </w:rPr>
            </w:pPr>
            <w:r w:rsidRPr="008B23B5">
              <w:rPr>
                <w:b/>
                <w:bCs/>
                <w:sz w:val="18"/>
                <w:szCs w:val="18"/>
                <w:lang w:eastAsia="tr-TR"/>
              </w:rPr>
              <w:t>17,770</w:t>
            </w:r>
          </w:p>
        </w:tc>
        <w:tc>
          <w:tcPr>
            <w:tcW w:w="1299" w:type="dxa"/>
            <w:tcBorders>
              <w:top w:val="nil"/>
              <w:left w:val="nil"/>
              <w:bottom w:val="nil"/>
              <w:right w:val="nil"/>
            </w:tcBorders>
            <w:shd w:val="clear" w:color="auto" w:fill="auto"/>
            <w:vAlign w:val="center"/>
            <w:hideMark/>
          </w:tcPr>
          <w:p w14:paraId="1081E238" w14:textId="4515C5A7" w:rsidR="00A43E58" w:rsidRPr="00004514" w:rsidRDefault="00A43E58" w:rsidP="00A43E58">
            <w:pPr>
              <w:jc w:val="right"/>
              <w:rPr>
                <w:b/>
                <w:bCs/>
                <w:sz w:val="18"/>
                <w:szCs w:val="18"/>
                <w:lang w:eastAsia="tr-TR"/>
              </w:rPr>
            </w:pPr>
            <w:r w:rsidRPr="008B23B5">
              <w:rPr>
                <w:b/>
                <w:bCs/>
                <w:sz w:val="18"/>
                <w:szCs w:val="18"/>
                <w:lang w:eastAsia="tr-TR"/>
              </w:rPr>
              <w:t>185,513</w:t>
            </w:r>
          </w:p>
        </w:tc>
        <w:tc>
          <w:tcPr>
            <w:tcW w:w="1131" w:type="dxa"/>
            <w:tcBorders>
              <w:top w:val="nil"/>
              <w:left w:val="nil"/>
              <w:bottom w:val="nil"/>
              <w:right w:val="nil"/>
            </w:tcBorders>
            <w:shd w:val="clear" w:color="auto" w:fill="auto"/>
            <w:vAlign w:val="center"/>
            <w:hideMark/>
          </w:tcPr>
          <w:p w14:paraId="61D02F1F" w14:textId="6454C6C2" w:rsidR="00A43E58" w:rsidRPr="00004514" w:rsidRDefault="00A43E58" w:rsidP="00A43E58">
            <w:pPr>
              <w:jc w:val="right"/>
              <w:rPr>
                <w:b/>
                <w:bCs/>
                <w:sz w:val="18"/>
                <w:szCs w:val="18"/>
                <w:lang w:eastAsia="tr-TR"/>
              </w:rPr>
            </w:pPr>
            <w:r w:rsidRPr="008B23B5">
              <w:rPr>
                <w:b/>
                <w:bCs/>
                <w:sz w:val="18"/>
                <w:szCs w:val="18"/>
                <w:lang w:eastAsia="tr-TR"/>
              </w:rPr>
              <w:t>273,891</w:t>
            </w:r>
          </w:p>
        </w:tc>
      </w:tr>
      <w:tr w:rsidR="00004514" w:rsidRPr="00004514" w14:paraId="4CD18031"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1ADAD0B2" w14:textId="77777777" w:rsidR="00004514" w:rsidRPr="00004514" w:rsidRDefault="00004514" w:rsidP="00004514">
            <w:pPr>
              <w:rPr>
                <w:sz w:val="18"/>
                <w:szCs w:val="18"/>
                <w:lang w:eastAsia="tr-TR"/>
              </w:rPr>
            </w:pPr>
            <w:r w:rsidRPr="00004514">
              <w:rPr>
                <w:sz w:val="18"/>
                <w:szCs w:val="18"/>
                <w:lang w:eastAsia="tr-TR"/>
              </w:rPr>
              <w:t>Bankalar (brüt)</w:t>
            </w:r>
          </w:p>
        </w:tc>
        <w:tc>
          <w:tcPr>
            <w:tcW w:w="1248" w:type="dxa"/>
            <w:tcBorders>
              <w:top w:val="nil"/>
              <w:left w:val="nil"/>
              <w:bottom w:val="nil"/>
              <w:right w:val="nil"/>
            </w:tcBorders>
            <w:shd w:val="clear" w:color="auto" w:fill="auto"/>
            <w:vAlign w:val="center"/>
            <w:hideMark/>
          </w:tcPr>
          <w:p w14:paraId="5784FD67" w14:textId="77777777" w:rsidR="00004514" w:rsidRPr="00004514" w:rsidRDefault="00004514" w:rsidP="00004514">
            <w:pPr>
              <w:jc w:val="right"/>
              <w:rPr>
                <w:sz w:val="18"/>
                <w:szCs w:val="18"/>
                <w:lang w:eastAsia="tr-TR"/>
              </w:rPr>
            </w:pPr>
            <w:r w:rsidRPr="00004514">
              <w:rPr>
                <w:sz w:val="18"/>
                <w:szCs w:val="18"/>
                <w:lang w:eastAsia="tr-TR"/>
              </w:rPr>
              <w:t>-</w:t>
            </w:r>
          </w:p>
        </w:tc>
        <w:tc>
          <w:tcPr>
            <w:tcW w:w="1299" w:type="dxa"/>
            <w:tcBorders>
              <w:top w:val="nil"/>
              <w:left w:val="nil"/>
              <w:bottom w:val="nil"/>
              <w:right w:val="nil"/>
            </w:tcBorders>
            <w:shd w:val="clear" w:color="auto" w:fill="auto"/>
            <w:vAlign w:val="center"/>
            <w:hideMark/>
          </w:tcPr>
          <w:p w14:paraId="23FA2FDC" w14:textId="77777777" w:rsidR="00004514" w:rsidRPr="00004514" w:rsidRDefault="00004514" w:rsidP="00004514">
            <w:pPr>
              <w:jc w:val="right"/>
              <w:rPr>
                <w:sz w:val="18"/>
                <w:szCs w:val="18"/>
                <w:lang w:eastAsia="tr-TR"/>
              </w:rPr>
            </w:pPr>
            <w:r w:rsidRPr="00004514">
              <w:rPr>
                <w:sz w:val="18"/>
                <w:szCs w:val="18"/>
                <w:lang w:eastAsia="tr-TR"/>
              </w:rPr>
              <w:t>-</w:t>
            </w:r>
          </w:p>
        </w:tc>
        <w:tc>
          <w:tcPr>
            <w:tcW w:w="1131" w:type="dxa"/>
            <w:tcBorders>
              <w:top w:val="nil"/>
              <w:left w:val="nil"/>
              <w:bottom w:val="nil"/>
              <w:right w:val="nil"/>
            </w:tcBorders>
            <w:shd w:val="clear" w:color="auto" w:fill="auto"/>
            <w:vAlign w:val="center"/>
            <w:hideMark/>
          </w:tcPr>
          <w:p w14:paraId="500AE3C9"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5408CD05"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1C2FC067" w14:textId="77777777" w:rsidR="00004514" w:rsidRPr="00004514" w:rsidRDefault="00004514" w:rsidP="00004514">
            <w:pPr>
              <w:rPr>
                <w:sz w:val="18"/>
                <w:szCs w:val="18"/>
                <w:lang w:eastAsia="tr-TR"/>
              </w:rPr>
            </w:pPr>
            <w:r w:rsidRPr="00004514">
              <w:rPr>
                <w:sz w:val="18"/>
                <w:szCs w:val="18"/>
                <w:lang w:eastAsia="tr-TR"/>
              </w:rPr>
              <w:t>Karşılık tutarı (-)</w:t>
            </w:r>
          </w:p>
        </w:tc>
        <w:tc>
          <w:tcPr>
            <w:tcW w:w="1248" w:type="dxa"/>
            <w:tcBorders>
              <w:top w:val="nil"/>
              <w:left w:val="nil"/>
              <w:bottom w:val="nil"/>
              <w:right w:val="nil"/>
            </w:tcBorders>
            <w:shd w:val="clear" w:color="auto" w:fill="auto"/>
            <w:vAlign w:val="center"/>
            <w:hideMark/>
          </w:tcPr>
          <w:p w14:paraId="6EF4F8C5" w14:textId="77777777" w:rsidR="00004514" w:rsidRPr="00004514" w:rsidRDefault="00004514" w:rsidP="00004514">
            <w:pPr>
              <w:jc w:val="right"/>
              <w:rPr>
                <w:sz w:val="18"/>
                <w:szCs w:val="18"/>
                <w:lang w:eastAsia="tr-TR"/>
              </w:rPr>
            </w:pPr>
            <w:r w:rsidRPr="00004514">
              <w:rPr>
                <w:sz w:val="18"/>
                <w:szCs w:val="18"/>
                <w:lang w:eastAsia="tr-TR"/>
              </w:rPr>
              <w:t>-</w:t>
            </w:r>
          </w:p>
        </w:tc>
        <w:tc>
          <w:tcPr>
            <w:tcW w:w="1299" w:type="dxa"/>
            <w:tcBorders>
              <w:top w:val="nil"/>
              <w:left w:val="nil"/>
              <w:bottom w:val="nil"/>
              <w:right w:val="nil"/>
            </w:tcBorders>
            <w:shd w:val="clear" w:color="auto" w:fill="auto"/>
            <w:vAlign w:val="center"/>
            <w:hideMark/>
          </w:tcPr>
          <w:p w14:paraId="46F8971A" w14:textId="77777777" w:rsidR="00004514" w:rsidRPr="00004514" w:rsidRDefault="00004514" w:rsidP="00004514">
            <w:pPr>
              <w:jc w:val="right"/>
              <w:rPr>
                <w:sz w:val="18"/>
                <w:szCs w:val="18"/>
                <w:lang w:eastAsia="tr-TR"/>
              </w:rPr>
            </w:pPr>
            <w:r w:rsidRPr="00004514">
              <w:rPr>
                <w:sz w:val="18"/>
                <w:szCs w:val="18"/>
                <w:lang w:eastAsia="tr-TR"/>
              </w:rPr>
              <w:t>-</w:t>
            </w:r>
          </w:p>
        </w:tc>
        <w:tc>
          <w:tcPr>
            <w:tcW w:w="1131" w:type="dxa"/>
            <w:tcBorders>
              <w:top w:val="nil"/>
              <w:left w:val="nil"/>
              <w:bottom w:val="nil"/>
              <w:right w:val="nil"/>
            </w:tcBorders>
            <w:shd w:val="clear" w:color="auto" w:fill="auto"/>
            <w:vAlign w:val="center"/>
            <w:hideMark/>
          </w:tcPr>
          <w:p w14:paraId="49C98BE6"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323B4BB8"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70AE2A2E" w14:textId="77777777" w:rsidR="00004514" w:rsidRPr="00004514" w:rsidRDefault="00004514" w:rsidP="00004514">
            <w:pPr>
              <w:rPr>
                <w:sz w:val="18"/>
                <w:szCs w:val="18"/>
                <w:lang w:eastAsia="tr-TR"/>
              </w:rPr>
            </w:pPr>
            <w:r w:rsidRPr="00004514">
              <w:rPr>
                <w:sz w:val="18"/>
                <w:szCs w:val="18"/>
                <w:lang w:eastAsia="tr-TR"/>
              </w:rPr>
              <w:t>Bankalar (net)</w:t>
            </w:r>
          </w:p>
        </w:tc>
        <w:tc>
          <w:tcPr>
            <w:tcW w:w="1248" w:type="dxa"/>
            <w:tcBorders>
              <w:top w:val="nil"/>
              <w:left w:val="nil"/>
              <w:bottom w:val="nil"/>
              <w:right w:val="nil"/>
            </w:tcBorders>
            <w:shd w:val="clear" w:color="auto" w:fill="auto"/>
            <w:vAlign w:val="center"/>
            <w:hideMark/>
          </w:tcPr>
          <w:p w14:paraId="64952018" w14:textId="77777777" w:rsidR="00004514" w:rsidRPr="00004514" w:rsidRDefault="00004514" w:rsidP="00004514">
            <w:pPr>
              <w:jc w:val="right"/>
              <w:rPr>
                <w:sz w:val="18"/>
                <w:szCs w:val="18"/>
                <w:lang w:eastAsia="tr-TR"/>
              </w:rPr>
            </w:pPr>
            <w:r w:rsidRPr="00004514">
              <w:rPr>
                <w:sz w:val="18"/>
                <w:szCs w:val="18"/>
                <w:lang w:eastAsia="tr-TR"/>
              </w:rPr>
              <w:t>-</w:t>
            </w:r>
          </w:p>
        </w:tc>
        <w:tc>
          <w:tcPr>
            <w:tcW w:w="1299" w:type="dxa"/>
            <w:tcBorders>
              <w:top w:val="nil"/>
              <w:left w:val="nil"/>
              <w:bottom w:val="nil"/>
              <w:right w:val="nil"/>
            </w:tcBorders>
            <w:shd w:val="clear" w:color="auto" w:fill="auto"/>
            <w:vAlign w:val="center"/>
            <w:hideMark/>
          </w:tcPr>
          <w:p w14:paraId="47FD1C73" w14:textId="77777777" w:rsidR="00004514" w:rsidRPr="00004514" w:rsidRDefault="00004514" w:rsidP="00004514">
            <w:pPr>
              <w:jc w:val="right"/>
              <w:rPr>
                <w:sz w:val="18"/>
                <w:szCs w:val="18"/>
                <w:lang w:eastAsia="tr-TR"/>
              </w:rPr>
            </w:pPr>
            <w:r w:rsidRPr="00004514">
              <w:rPr>
                <w:sz w:val="18"/>
                <w:szCs w:val="18"/>
                <w:lang w:eastAsia="tr-TR"/>
              </w:rPr>
              <w:t>-</w:t>
            </w:r>
          </w:p>
        </w:tc>
        <w:tc>
          <w:tcPr>
            <w:tcW w:w="1131" w:type="dxa"/>
            <w:tcBorders>
              <w:top w:val="nil"/>
              <w:left w:val="nil"/>
              <w:bottom w:val="nil"/>
              <w:right w:val="nil"/>
            </w:tcBorders>
            <w:shd w:val="clear" w:color="auto" w:fill="auto"/>
            <w:vAlign w:val="center"/>
            <w:hideMark/>
          </w:tcPr>
          <w:p w14:paraId="5439388D"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3D01FDFD"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27D4AB29" w14:textId="77777777" w:rsidR="00004514" w:rsidRPr="00004514" w:rsidRDefault="00004514" w:rsidP="00004514">
            <w:pPr>
              <w:rPr>
                <w:sz w:val="18"/>
                <w:szCs w:val="18"/>
                <w:lang w:eastAsia="tr-TR"/>
              </w:rPr>
            </w:pPr>
            <w:r w:rsidRPr="00004514">
              <w:rPr>
                <w:sz w:val="18"/>
                <w:szCs w:val="18"/>
                <w:lang w:eastAsia="tr-TR"/>
              </w:rPr>
              <w:t>Diğer kredi ve alacaklar (brüt)</w:t>
            </w:r>
          </w:p>
        </w:tc>
        <w:tc>
          <w:tcPr>
            <w:tcW w:w="1248" w:type="dxa"/>
            <w:tcBorders>
              <w:top w:val="nil"/>
              <w:left w:val="nil"/>
              <w:bottom w:val="nil"/>
              <w:right w:val="nil"/>
            </w:tcBorders>
            <w:shd w:val="clear" w:color="auto" w:fill="auto"/>
            <w:vAlign w:val="center"/>
            <w:hideMark/>
          </w:tcPr>
          <w:p w14:paraId="24B70B27" w14:textId="77777777" w:rsidR="00004514" w:rsidRPr="00004514" w:rsidRDefault="00004514" w:rsidP="00004514">
            <w:pPr>
              <w:jc w:val="right"/>
              <w:rPr>
                <w:sz w:val="18"/>
                <w:szCs w:val="18"/>
                <w:lang w:eastAsia="tr-TR"/>
              </w:rPr>
            </w:pPr>
            <w:r w:rsidRPr="00004514">
              <w:rPr>
                <w:sz w:val="18"/>
                <w:szCs w:val="18"/>
                <w:lang w:eastAsia="tr-TR"/>
              </w:rPr>
              <w:t>-</w:t>
            </w:r>
          </w:p>
        </w:tc>
        <w:tc>
          <w:tcPr>
            <w:tcW w:w="1299" w:type="dxa"/>
            <w:tcBorders>
              <w:top w:val="nil"/>
              <w:left w:val="nil"/>
              <w:bottom w:val="nil"/>
              <w:right w:val="nil"/>
            </w:tcBorders>
            <w:shd w:val="clear" w:color="auto" w:fill="auto"/>
            <w:vAlign w:val="center"/>
            <w:hideMark/>
          </w:tcPr>
          <w:p w14:paraId="1D33A70B" w14:textId="77777777" w:rsidR="00004514" w:rsidRPr="00004514" w:rsidRDefault="00004514" w:rsidP="00004514">
            <w:pPr>
              <w:jc w:val="right"/>
              <w:rPr>
                <w:sz w:val="18"/>
                <w:szCs w:val="18"/>
                <w:lang w:eastAsia="tr-TR"/>
              </w:rPr>
            </w:pPr>
            <w:r w:rsidRPr="00004514">
              <w:rPr>
                <w:sz w:val="18"/>
                <w:szCs w:val="18"/>
                <w:lang w:eastAsia="tr-TR"/>
              </w:rPr>
              <w:t>-</w:t>
            </w:r>
          </w:p>
        </w:tc>
        <w:tc>
          <w:tcPr>
            <w:tcW w:w="1131" w:type="dxa"/>
            <w:tcBorders>
              <w:top w:val="nil"/>
              <w:left w:val="nil"/>
              <w:bottom w:val="nil"/>
              <w:right w:val="nil"/>
            </w:tcBorders>
            <w:shd w:val="clear" w:color="auto" w:fill="auto"/>
            <w:vAlign w:val="center"/>
            <w:hideMark/>
          </w:tcPr>
          <w:p w14:paraId="619C1C99"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06A879CD"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107995AD" w14:textId="77777777" w:rsidR="00004514" w:rsidRPr="00004514" w:rsidRDefault="00004514" w:rsidP="00004514">
            <w:pPr>
              <w:rPr>
                <w:sz w:val="18"/>
                <w:szCs w:val="18"/>
                <w:lang w:eastAsia="tr-TR"/>
              </w:rPr>
            </w:pPr>
            <w:r w:rsidRPr="00004514">
              <w:rPr>
                <w:sz w:val="18"/>
                <w:szCs w:val="18"/>
                <w:lang w:eastAsia="tr-TR"/>
              </w:rPr>
              <w:t>Karşılık tutarı (-)</w:t>
            </w:r>
          </w:p>
        </w:tc>
        <w:tc>
          <w:tcPr>
            <w:tcW w:w="1248" w:type="dxa"/>
            <w:tcBorders>
              <w:top w:val="nil"/>
              <w:left w:val="nil"/>
              <w:bottom w:val="nil"/>
              <w:right w:val="nil"/>
            </w:tcBorders>
            <w:shd w:val="clear" w:color="auto" w:fill="auto"/>
            <w:vAlign w:val="center"/>
            <w:hideMark/>
          </w:tcPr>
          <w:p w14:paraId="236FBB42" w14:textId="77777777" w:rsidR="00004514" w:rsidRPr="00004514" w:rsidRDefault="00004514" w:rsidP="00004514">
            <w:pPr>
              <w:jc w:val="right"/>
              <w:rPr>
                <w:sz w:val="18"/>
                <w:szCs w:val="18"/>
                <w:lang w:eastAsia="tr-TR"/>
              </w:rPr>
            </w:pPr>
            <w:r w:rsidRPr="00004514">
              <w:rPr>
                <w:sz w:val="18"/>
                <w:szCs w:val="18"/>
                <w:lang w:eastAsia="tr-TR"/>
              </w:rPr>
              <w:t>-</w:t>
            </w:r>
          </w:p>
        </w:tc>
        <w:tc>
          <w:tcPr>
            <w:tcW w:w="1299" w:type="dxa"/>
            <w:tcBorders>
              <w:top w:val="nil"/>
              <w:left w:val="nil"/>
              <w:bottom w:val="nil"/>
              <w:right w:val="nil"/>
            </w:tcBorders>
            <w:shd w:val="clear" w:color="auto" w:fill="auto"/>
            <w:vAlign w:val="center"/>
            <w:hideMark/>
          </w:tcPr>
          <w:p w14:paraId="106F894E" w14:textId="77777777" w:rsidR="00004514" w:rsidRPr="00004514" w:rsidRDefault="00004514" w:rsidP="00004514">
            <w:pPr>
              <w:jc w:val="right"/>
              <w:rPr>
                <w:sz w:val="18"/>
                <w:szCs w:val="18"/>
                <w:lang w:eastAsia="tr-TR"/>
              </w:rPr>
            </w:pPr>
            <w:r w:rsidRPr="00004514">
              <w:rPr>
                <w:sz w:val="18"/>
                <w:szCs w:val="18"/>
                <w:lang w:eastAsia="tr-TR"/>
              </w:rPr>
              <w:t>-</w:t>
            </w:r>
          </w:p>
        </w:tc>
        <w:tc>
          <w:tcPr>
            <w:tcW w:w="1131" w:type="dxa"/>
            <w:tcBorders>
              <w:top w:val="nil"/>
              <w:left w:val="nil"/>
              <w:bottom w:val="nil"/>
              <w:right w:val="nil"/>
            </w:tcBorders>
            <w:shd w:val="clear" w:color="auto" w:fill="auto"/>
            <w:vAlign w:val="center"/>
            <w:hideMark/>
          </w:tcPr>
          <w:p w14:paraId="21F31CE6"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0FE7AC01"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08556393" w14:textId="77777777" w:rsidR="00004514" w:rsidRPr="00004514" w:rsidRDefault="00004514" w:rsidP="00004514">
            <w:pPr>
              <w:rPr>
                <w:sz w:val="18"/>
                <w:szCs w:val="18"/>
                <w:lang w:eastAsia="tr-TR"/>
              </w:rPr>
            </w:pPr>
            <w:r w:rsidRPr="00004514">
              <w:rPr>
                <w:sz w:val="18"/>
                <w:szCs w:val="18"/>
                <w:lang w:eastAsia="tr-TR"/>
              </w:rPr>
              <w:t>Diğer kredi ve alacaklar (net)</w:t>
            </w:r>
          </w:p>
        </w:tc>
        <w:tc>
          <w:tcPr>
            <w:tcW w:w="1248" w:type="dxa"/>
            <w:tcBorders>
              <w:top w:val="nil"/>
              <w:left w:val="nil"/>
              <w:bottom w:val="nil"/>
              <w:right w:val="nil"/>
            </w:tcBorders>
            <w:shd w:val="clear" w:color="auto" w:fill="auto"/>
            <w:vAlign w:val="center"/>
            <w:hideMark/>
          </w:tcPr>
          <w:p w14:paraId="4ED9B76C" w14:textId="77777777" w:rsidR="00004514" w:rsidRPr="00004514" w:rsidRDefault="00004514" w:rsidP="00004514">
            <w:pPr>
              <w:jc w:val="right"/>
              <w:rPr>
                <w:sz w:val="18"/>
                <w:szCs w:val="18"/>
                <w:lang w:eastAsia="tr-TR"/>
              </w:rPr>
            </w:pPr>
            <w:r w:rsidRPr="00004514">
              <w:rPr>
                <w:sz w:val="18"/>
                <w:szCs w:val="18"/>
                <w:lang w:eastAsia="tr-TR"/>
              </w:rPr>
              <w:t>-</w:t>
            </w:r>
          </w:p>
        </w:tc>
        <w:tc>
          <w:tcPr>
            <w:tcW w:w="1299" w:type="dxa"/>
            <w:tcBorders>
              <w:top w:val="nil"/>
              <w:left w:val="nil"/>
              <w:bottom w:val="nil"/>
              <w:right w:val="nil"/>
            </w:tcBorders>
            <w:shd w:val="clear" w:color="auto" w:fill="auto"/>
            <w:vAlign w:val="center"/>
            <w:hideMark/>
          </w:tcPr>
          <w:p w14:paraId="115E8CD8" w14:textId="77777777" w:rsidR="00004514" w:rsidRPr="00004514" w:rsidRDefault="00004514" w:rsidP="00004514">
            <w:pPr>
              <w:jc w:val="right"/>
              <w:rPr>
                <w:sz w:val="18"/>
                <w:szCs w:val="18"/>
                <w:lang w:eastAsia="tr-TR"/>
              </w:rPr>
            </w:pPr>
            <w:r w:rsidRPr="00004514">
              <w:rPr>
                <w:sz w:val="18"/>
                <w:szCs w:val="18"/>
                <w:lang w:eastAsia="tr-TR"/>
              </w:rPr>
              <w:t>-</w:t>
            </w:r>
          </w:p>
        </w:tc>
        <w:tc>
          <w:tcPr>
            <w:tcW w:w="1131" w:type="dxa"/>
            <w:tcBorders>
              <w:top w:val="nil"/>
              <w:left w:val="nil"/>
              <w:bottom w:val="nil"/>
              <w:right w:val="nil"/>
            </w:tcBorders>
            <w:shd w:val="clear" w:color="auto" w:fill="auto"/>
            <w:vAlign w:val="center"/>
            <w:hideMark/>
          </w:tcPr>
          <w:p w14:paraId="734DEF71"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615E96B4" w14:textId="77777777" w:rsidTr="00A43E58">
        <w:trPr>
          <w:divId w:val="1031688707"/>
          <w:trHeight w:val="240"/>
        </w:trPr>
        <w:tc>
          <w:tcPr>
            <w:tcW w:w="5455" w:type="dxa"/>
            <w:tcBorders>
              <w:top w:val="nil"/>
              <w:left w:val="nil"/>
              <w:bottom w:val="nil"/>
              <w:right w:val="nil"/>
            </w:tcBorders>
            <w:shd w:val="clear" w:color="auto" w:fill="auto"/>
            <w:vAlign w:val="center"/>
            <w:hideMark/>
          </w:tcPr>
          <w:p w14:paraId="45BE4FD8" w14:textId="77777777" w:rsidR="00004514" w:rsidRPr="00004514" w:rsidRDefault="00004514" w:rsidP="00004514">
            <w:pPr>
              <w:jc w:val="right"/>
              <w:rPr>
                <w:sz w:val="18"/>
                <w:szCs w:val="18"/>
                <w:lang w:eastAsia="tr-TR"/>
              </w:rPr>
            </w:pPr>
          </w:p>
        </w:tc>
        <w:tc>
          <w:tcPr>
            <w:tcW w:w="1248" w:type="dxa"/>
            <w:tcBorders>
              <w:top w:val="nil"/>
              <w:left w:val="nil"/>
              <w:bottom w:val="nil"/>
              <w:right w:val="nil"/>
            </w:tcBorders>
            <w:shd w:val="clear" w:color="auto" w:fill="auto"/>
            <w:vAlign w:val="center"/>
            <w:hideMark/>
          </w:tcPr>
          <w:p w14:paraId="3109F520" w14:textId="77777777" w:rsidR="00004514" w:rsidRPr="00004514" w:rsidRDefault="00004514" w:rsidP="00004514">
            <w:pPr>
              <w:jc w:val="both"/>
              <w:rPr>
                <w:lang w:eastAsia="tr-TR"/>
              </w:rPr>
            </w:pPr>
          </w:p>
        </w:tc>
        <w:tc>
          <w:tcPr>
            <w:tcW w:w="1299" w:type="dxa"/>
            <w:tcBorders>
              <w:top w:val="nil"/>
              <w:left w:val="nil"/>
              <w:bottom w:val="nil"/>
              <w:right w:val="nil"/>
            </w:tcBorders>
            <w:shd w:val="clear" w:color="auto" w:fill="auto"/>
            <w:vAlign w:val="center"/>
            <w:hideMark/>
          </w:tcPr>
          <w:p w14:paraId="660D966D" w14:textId="77777777" w:rsidR="00004514" w:rsidRPr="00004514" w:rsidRDefault="00004514" w:rsidP="00004514">
            <w:pPr>
              <w:jc w:val="right"/>
              <w:rPr>
                <w:lang w:eastAsia="tr-TR"/>
              </w:rPr>
            </w:pPr>
          </w:p>
        </w:tc>
        <w:tc>
          <w:tcPr>
            <w:tcW w:w="1131" w:type="dxa"/>
            <w:tcBorders>
              <w:top w:val="nil"/>
              <w:left w:val="nil"/>
              <w:bottom w:val="nil"/>
              <w:right w:val="nil"/>
            </w:tcBorders>
            <w:shd w:val="clear" w:color="auto" w:fill="auto"/>
            <w:vAlign w:val="center"/>
            <w:hideMark/>
          </w:tcPr>
          <w:p w14:paraId="3250D094" w14:textId="77777777" w:rsidR="00004514" w:rsidRPr="00004514" w:rsidRDefault="00004514" w:rsidP="00004514">
            <w:pPr>
              <w:jc w:val="right"/>
              <w:rPr>
                <w:lang w:eastAsia="tr-TR"/>
              </w:rPr>
            </w:pPr>
          </w:p>
        </w:tc>
      </w:tr>
      <w:tr w:rsidR="00004514" w:rsidRPr="00004514" w14:paraId="7AD3009F" w14:textId="77777777" w:rsidTr="00A43E58">
        <w:trPr>
          <w:divId w:val="1031688707"/>
          <w:trHeight w:val="240"/>
        </w:trPr>
        <w:tc>
          <w:tcPr>
            <w:tcW w:w="5455" w:type="dxa"/>
            <w:tcBorders>
              <w:top w:val="nil"/>
              <w:left w:val="nil"/>
              <w:bottom w:val="nil"/>
              <w:right w:val="nil"/>
            </w:tcBorders>
            <w:shd w:val="clear" w:color="auto" w:fill="auto"/>
            <w:vAlign w:val="center"/>
            <w:hideMark/>
          </w:tcPr>
          <w:p w14:paraId="04C86889" w14:textId="77777777" w:rsidR="00004514" w:rsidRPr="00004514" w:rsidRDefault="00004514" w:rsidP="00004514">
            <w:pPr>
              <w:jc w:val="both"/>
              <w:rPr>
                <w:b/>
                <w:bCs/>
                <w:sz w:val="18"/>
                <w:szCs w:val="18"/>
                <w:lang w:eastAsia="tr-TR"/>
              </w:rPr>
            </w:pPr>
            <w:r w:rsidRPr="00004514">
              <w:rPr>
                <w:b/>
                <w:bCs/>
                <w:sz w:val="18"/>
                <w:szCs w:val="18"/>
                <w:lang w:eastAsia="tr-TR"/>
              </w:rPr>
              <w:t>Önceki Dönem (Net)</w:t>
            </w:r>
          </w:p>
        </w:tc>
        <w:tc>
          <w:tcPr>
            <w:tcW w:w="1248" w:type="dxa"/>
            <w:tcBorders>
              <w:top w:val="nil"/>
              <w:left w:val="nil"/>
              <w:bottom w:val="nil"/>
              <w:right w:val="nil"/>
            </w:tcBorders>
            <w:shd w:val="clear" w:color="auto" w:fill="auto"/>
            <w:vAlign w:val="center"/>
            <w:hideMark/>
          </w:tcPr>
          <w:p w14:paraId="175F0DE3" w14:textId="77777777" w:rsidR="00004514" w:rsidRPr="00004514" w:rsidRDefault="00004514" w:rsidP="00004514">
            <w:pPr>
              <w:jc w:val="right"/>
              <w:rPr>
                <w:b/>
                <w:bCs/>
                <w:sz w:val="18"/>
                <w:szCs w:val="18"/>
                <w:lang w:eastAsia="tr-TR"/>
              </w:rPr>
            </w:pPr>
            <w:r w:rsidRPr="00004514">
              <w:rPr>
                <w:b/>
                <w:bCs/>
                <w:sz w:val="18"/>
                <w:szCs w:val="18"/>
                <w:lang w:eastAsia="tr-TR"/>
              </w:rPr>
              <w:t>40,915</w:t>
            </w:r>
          </w:p>
        </w:tc>
        <w:tc>
          <w:tcPr>
            <w:tcW w:w="1299" w:type="dxa"/>
            <w:tcBorders>
              <w:top w:val="nil"/>
              <w:left w:val="nil"/>
              <w:bottom w:val="nil"/>
              <w:right w:val="nil"/>
            </w:tcBorders>
            <w:shd w:val="clear" w:color="auto" w:fill="auto"/>
            <w:vAlign w:val="center"/>
            <w:hideMark/>
          </w:tcPr>
          <w:p w14:paraId="34A48732" w14:textId="77777777" w:rsidR="00004514" w:rsidRPr="00004514" w:rsidRDefault="00004514" w:rsidP="00004514">
            <w:pPr>
              <w:jc w:val="right"/>
              <w:rPr>
                <w:b/>
                <w:bCs/>
                <w:sz w:val="18"/>
                <w:szCs w:val="18"/>
                <w:lang w:eastAsia="tr-TR"/>
              </w:rPr>
            </w:pPr>
            <w:r w:rsidRPr="00004514">
              <w:rPr>
                <w:b/>
                <w:bCs/>
                <w:sz w:val="18"/>
                <w:szCs w:val="18"/>
                <w:lang w:eastAsia="tr-TR"/>
              </w:rPr>
              <w:t>89,694</w:t>
            </w:r>
          </w:p>
        </w:tc>
        <w:tc>
          <w:tcPr>
            <w:tcW w:w="1131" w:type="dxa"/>
            <w:tcBorders>
              <w:top w:val="nil"/>
              <w:left w:val="nil"/>
              <w:bottom w:val="nil"/>
              <w:right w:val="nil"/>
            </w:tcBorders>
            <w:shd w:val="clear" w:color="auto" w:fill="auto"/>
            <w:vAlign w:val="center"/>
            <w:hideMark/>
          </w:tcPr>
          <w:p w14:paraId="26E358D1" w14:textId="77777777" w:rsidR="00004514" w:rsidRPr="00004514" w:rsidRDefault="00004514" w:rsidP="00004514">
            <w:pPr>
              <w:jc w:val="right"/>
              <w:rPr>
                <w:b/>
                <w:bCs/>
                <w:sz w:val="18"/>
                <w:szCs w:val="18"/>
                <w:lang w:eastAsia="tr-TR"/>
              </w:rPr>
            </w:pPr>
            <w:r w:rsidRPr="00004514">
              <w:rPr>
                <w:b/>
                <w:bCs/>
                <w:sz w:val="18"/>
                <w:szCs w:val="18"/>
                <w:lang w:eastAsia="tr-TR"/>
              </w:rPr>
              <w:t>380,695</w:t>
            </w:r>
          </w:p>
        </w:tc>
      </w:tr>
      <w:tr w:rsidR="00004514" w:rsidRPr="00004514" w14:paraId="1443BE8B"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0BCBC488" w14:textId="77777777" w:rsidR="00004514" w:rsidRPr="00004514" w:rsidRDefault="00004514" w:rsidP="00004514">
            <w:pPr>
              <w:rPr>
                <w:sz w:val="18"/>
                <w:szCs w:val="18"/>
                <w:lang w:eastAsia="tr-TR"/>
              </w:rPr>
            </w:pPr>
            <w:r w:rsidRPr="00004514">
              <w:rPr>
                <w:sz w:val="18"/>
                <w:szCs w:val="18"/>
                <w:lang w:eastAsia="tr-TR"/>
              </w:rPr>
              <w:t>Gerçek ve tüzel kişilere kullandırılan krediler (brüt)</w:t>
            </w:r>
          </w:p>
        </w:tc>
        <w:tc>
          <w:tcPr>
            <w:tcW w:w="1248" w:type="dxa"/>
            <w:tcBorders>
              <w:top w:val="nil"/>
              <w:left w:val="nil"/>
              <w:bottom w:val="nil"/>
              <w:right w:val="nil"/>
            </w:tcBorders>
            <w:shd w:val="clear" w:color="auto" w:fill="auto"/>
            <w:vAlign w:val="center"/>
            <w:hideMark/>
          </w:tcPr>
          <w:p w14:paraId="233F571F" w14:textId="77777777" w:rsidR="00004514" w:rsidRPr="00004514" w:rsidRDefault="00004514" w:rsidP="00004514">
            <w:pPr>
              <w:jc w:val="right"/>
              <w:rPr>
                <w:sz w:val="18"/>
                <w:szCs w:val="18"/>
                <w:lang w:eastAsia="tr-TR"/>
              </w:rPr>
            </w:pPr>
            <w:r w:rsidRPr="00004514">
              <w:rPr>
                <w:sz w:val="18"/>
                <w:szCs w:val="18"/>
                <w:lang w:eastAsia="tr-TR"/>
              </w:rPr>
              <w:t>250,407</w:t>
            </w:r>
          </w:p>
        </w:tc>
        <w:tc>
          <w:tcPr>
            <w:tcW w:w="1299" w:type="dxa"/>
            <w:tcBorders>
              <w:top w:val="nil"/>
              <w:left w:val="nil"/>
              <w:bottom w:val="nil"/>
              <w:right w:val="nil"/>
            </w:tcBorders>
            <w:shd w:val="clear" w:color="auto" w:fill="auto"/>
            <w:vAlign w:val="center"/>
            <w:hideMark/>
          </w:tcPr>
          <w:p w14:paraId="4FFDFF33" w14:textId="77777777" w:rsidR="00004514" w:rsidRPr="00004514" w:rsidRDefault="00004514" w:rsidP="00004514">
            <w:pPr>
              <w:jc w:val="right"/>
              <w:rPr>
                <w:sz w:val="18"/>
                <w:szCs w:val="18"/>
                <w:lang w:eastAsia="tr-TR"/>
              </w:rPr>
            </w:pPr>
            <w:r w:rsidRPr="00004514">
              <w:rPr>
                <w:sz w:val="18"/>
                <w:szCs w:val="18"/>
                <w:lang w:eastAsia="tr-TR"/>
              </w:rPr>
              <w:t>318,133</w:t>
            </w:r>
          </w:p>
        </w:tc>
        <w:tc>
          <w:tcPr>
            <w:tcW w:w="1131" w:type="dxa"/>
            <w:tcBorders>
              <w:top w:val="nil"/>
              <w:left w:val="nil"/>
              <w:bottom w:val="nil"/>
              <w:right w:val="nil"/>
            </w:tcBorders>
            <w:shd w:val="clear" w:color="auto" w:fill="auto"/>
            <w:vAlign w:val="center"/>
            <w:hideMark/>
          </w:tcPr>
          <w:p w14:paraId="5E34378B" w14:textId="77777777" w:rsidR="00004514" w:rsidRPr="00004514" w:rsidRDefault="00004514" w:rsidP="00004514">
            <w:pPr>
              <w:jc w:val="right"/>
              <w:rPr>
                <w:sz w:val="18"/>
                <w:szCs w:val="18"/>
                <w:lang w:eastAsia="tr-TR"/>
              </w:rPr>
            </w:pPr>
            <w:r w:rsidRPr="00004514">
              <w:rPr>
                <w:sz w:val="18"/>
                <w:szCs w:val="18"/>
                <w:lang w:eastAsia="tr-TR"/>
              </w:rPr>
              <w:t>1,475,134</w:t>
            </w:r>
          </w:p>
        </w:tc>
      </w:tr>
      <w:tr w:rsidR="00004514" w:rsidRPr="00004514" w14:paraId="47DAD825"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05F19552" w14:textId="77777777" w:rsidR="00004514" w:rsidRPr="00004514" w:rsidRDefault="00004514" w:rsidP="00004514">
            <w:pPr>
              <w:rPr>
                <w:sz w:val="18"/>
                <w:szCs w:val="18"/>
                <w:lang w:eastAsia="tr-TR"/>
              </w:rPr>
            </w:pPr>
            <w:r w:rsidRPr="00004514">
              <w:rPr>
                <w:sz w:val="18"/>
                <w:szCs w:val="18"/>
                <w:lang w:eastAsia="tr-TR"/>
              </w:rPr>
              <w:t>Özel karşılık tutarı (-)</w:t>
            </w:r>
          </w:p>
        </w:tc>
        <w:tc>
          <w:tcPr>
            <w:tcW w:w="1248" w:type="dxa"/>
            <w:tcBorders>
              <w:top w:val="nil"/>
              <w:left w:val="nil"/>
              <w:bottom w:val="nil"/>
              <w:right w:val="nil"/>
            </w:tcBorders>
            <w:shd w:val="clear" w:color="auto" w:fill="auto"/>
            <w:vAlign w:val="center"/>
            <w:hideMark/>
          </w:tcPr>
          <w:p w14:paraId="1FFA0E75" w14:textId="77777777" w:rsidR="00004514" w:rsidRPr="00004514" w:rsidRDefault="00004514" w:rsidP="00004514">
            <w:pPr>
              <w:jc w:val="right"/>
              <w:rPr>
                <w:sz w:val="18"/>
                <w:szCs w:val="18"/>
                <w:lang w:eastAsia="tr-TR"/>
              </w:rPr>
            </w:pPr>
            <w:r w:rsidRPr="00004514">
              <w:rPr>
                <w:sz w:val="18"/>
                <w:szCs w:val="18"/>
                <w:lang w:eastAsia="tr-TR"/>
              </w:rPr>
              <w:t>209,492</w:t>
            </w:r>
          </w:p>
        </w:tc>
        <w:tc>
          <w:tcPr>
            <w:tcW w:w="1299" w:type="dxa"/>
            <w:tcBorders>
              <w:top w:val="nil"/>
              <w:left w:val="nil"/>
              <w:bottom w:val="nil"/>
              <w:right w:val="nil"/>
            </w:tcBorders>
            <w:shd w:val="clear" w:color="auto" w:fill="auto"/>
            <w:vAlign w:val="center"/>
            <w:hideMark/>
          </w:tcPr>
          <w:p w14:paraId="570963A9" w14:textId="77777777" w:rsidR="00004514" w:rsidRPr="00004514" w:rsidRDefault="00004514" w:rsidP="00004514">
            <w:pPr>
              <w:jc w:val="right"/>
              <w:rPr>
                <w:sz w:val="18"/>
                <w:szCs w:val="18"/>
                <w:lang w:eastAsia="tr-TR"/>
              </w:rPr>
            </w:pPr>
            <w:r w:rsidRPr="00004514">
              <w:rPr>
                <w:sz w:val="18"/>
                <w:szCs w:val="18"/>
                <w:lang w:eastAsia="tr-TR"/>
              </w:rPr>
              <w:t>228,439</w:t>
            </w:r>
          </w:p>
        </w:tc>
        <w:tc>
          <w:tcPr>
            <w:tcW w:w="1131" w:type="dxa"/>
            <w:tcBorders>
              <w:top w:val="nil"/>
              <w:left w:val="nil"/>
              <w:bottom w:val="nil"/>
              <w:right w:val="nil"/>
            </w:tcBorders>
            <w:shd w:val="clear" w:color="auto" w:fill="auto"/>
            <w:vAlign w:val="center"/>
            <w:hideMark/>
          </w:tcPr>
          <w:p w14:paraId="1E413D56" w14:textId="77777777" w:rsidR="00004514" w:rsidRPr="00004514" w:rsidRDefault="00004514" w:rsidP="00004514">
            <w:pPr>
              <w:jc w:val="right"/>
              <w:rPr>
                <w:sz w:val="18"/>
                <w:szCs w:val="18"/>
                <w:lang w:eastAsia="tr-TR"/>
              </w:rPr>
            </w:pPr>
            <w:r w:rsidRPr="00004514">
              <w:rPr>
                <w:sz w:val="18"/>
                <w:szCs w:val="18"/>
                <w:lang w:eastAsia="tr-TR"/>
              </w:rPr>
              <w:t>1,094,439</w:t>
            </w:r>
          </w:p>
        </w:tc>
      </w:tr>
      <w:tr w:rsidR="00004514" w:rsidRPr="00004514" w14:paraId="40F3C5EC"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31A2DD5B" w14:textId="77777777" w:rsidR="00004514" w:rsidRPr="00004514" w:rsidRDefault="00004514" w:rsidP="00004514">
            <w:pPr>
              <w:rPr>
                <w:b/>
                <w:bCs/>
                <w:sz w:val="18"/>
                <w:szCs w:val="18"/>
                <w:lang w:eastAsia="tr-TR"/>
              </w:rPr>
            </w:pPr>
            <w:r w:rsidRPr="00004514">
              <w:rPr>
                <w:b/>
                <w:bCs/>
                <w:sz w:val="18"/>
                <w:szCs w:val="18"/>
                <w:lang w:eastAsia="tr-TR"/>
              </w:rPr>
              <w:t>Gerçek ve tüzel kişilere kullandırılan krediler (net)</w:t>
            </w:r>
          </w:p>
        </w:tc>
        <w:tc>
          <w:tcPr>
            <w:tcW w:w="1248" w:type="dxa"/>
            <w:tcBorders>
              <w:top w:val="nil"/>
              <w:left w:val="nil"/>
              <w:bottom w:val="nil"/>
              <w:right w:val="nil"/>
            </w:tcBorders>
            <w:shd w:val="clear" w:color="auto" w:fill="auto"/>
            <w:vAlign w:val="center"/>
            <w:hideMark/>
          </w:tcPr>
          <w:p w14:paraId="5012C4B3" w14:textId="77777777" w:rsidR="00004514" w:rsidRPr="00004514" w:rsidRDefault="00004514" w:rsidP="00004514">
            <w:pPr>
              <w:jc w:val="right"/>
              <w:rPr>
                <w:b/>
                <w:bCs/>
                <w:sz w:val="18"/>
                <w:szCs w:val="18"/>
                <w:lang w:eastAsia="tr-TR"/>
              </w:rPr>
            </w:pPr>
            <w:r w:rsidRPr="00004514">
              <w:rPr>
                <w:b/>
                <w:bCs/>
                <w:sz w:val="18"/>
                <w:szCs w:val="18"/>
                <w:lang w:eastAsia="tr-TR"/>
              </w:rPr>
              <w:t>40,915</w:t>
            </w:r>
          </w:p>
        </w:tc>
        <w:tc>
          <w:tcPr>
            <w:tcW w:w="1299" w:type="dxa"/>
            <w:tcBorders>
              <w:top w:val="nil"/>
              <w:left w:val="nil"/>
              <w:bottom w:val="nil"/>
              <w:right w:val="nil"/>
            </w:tcBorders>
            <w:shd w:val="clear" w:color="auto" w:fill="auto"/>
            <w:vAlign w:val="center"/>
            <w:hideMark/>
          </w:tcPr>
          <w:p w14:paraId="7B10DC4B" w14:textId="77777777" w:rsidR="00004514" w:rsidRPr="00004514" w:rsidRDefault="00004514" w:rsidP="00004514">
            <w:pPr>
              <w:jc w:val="right"/>
              <w:rPr>
                <w:b/>
                <w:bCs/>
                <w:sz w:val="18"/>
                <w:szCs w:val="18"/>
                <w:lang w:eastAsia="tr-TR"/>
              </w:rPr>
            </w:pPr>
            <w:r w:rsidRPr="00004514">
              <w:rPr>
                <w:b/>
                <w:bCs/>
                <w:sz w:val="18"/>
                <w:szCs w:val="18"/>
                <w:lang w:eastAsia="tr-TR"/>
              </w:rPr>
              <w:t>89,694</w:t>
            </w:r>
          </w:p>
        </w:tc>
        <w:tc>
          <w:tcPr>
            <w:tcW w:w="1131" w:type="dxa"/>
            <w:tcBorders>
              <w:top w:val="nil"/>
              <w:left w:val="nil"/>
              <w:bottom w:val="nil"/>
              <w:right w:val="nil"/>
            </w:tcBorders>
            <w:shd w:val="clear" w:color="auto" w:fill="auto"/>
            <w:vAlign w:val="center"/>
            <w:hideMark/>
          </w:tcPr>
          <w:p w14:paraId="50E01E35" w14:textId="77777777" w:rsidR="00004514" w:rsidRPr="00004514" w:rsidRDefault="00004514" w:rsidP="00004514">
            <w:pPr>
              <w:jc w:val="right"/>
              <w:rPr>
                <w:b/>
                <w:bCs/>
                <w:sz w:val="18"/>
                <w:szCs w:val="18"/>
                <w:lang w:eastAsia="tr-TR"/>
              </w:rPr>
            </w:pPr>
            <w:r w:rsidRPr="00004514">
              <w:rPr>
                <w:b/>
                <w:bCs/>
                <w:sz w:val="18"/>
                <w:szCs w:val="18"/>
                <w:lang w:eastAsia="tr-TR"/>
              </w:rPr>
              <w:t>380,695</w:t>
            </w:r>
          </w:p>
        </w:tc>
      </w:tr>
      <w:tr w:rsidR="00004514" w:rsidRPr="00004514" w14:paraId="0A613038"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62FCD370" w14:textId="77777777" w:rsidR="00004514" w:rsidRPr="00004514" w:rsidRDefault="00004514" w:rsidP="00004514">
            <w:pPr>
              <w:rPr>
                <w:sz w:val="18"/>
                <w:szCs w:val="18"/>
                <w:lang w:eastAsia="tr-TR"/>
              </w:rPr>
            </w:pPr>
            <w:r w:rsidRPr="00004514">
              <w:rPr>
                <w:sz w:val="18"/>
                <w:szCs w:val="18"/>
                <w:lang w:eastAsia="tr-TR"/>
              </w:rPr>
              <w:t>Bankalar (brüt)</w:t>
            </w:r>
          </w:p>
        </w:tc>
        <w:tc>
          <w:tcPr>
            <w:tcW w:w="1248" w:type="dxa"/>
            <w:tcBorders>
              <w:top w:val="nil"/>
              <w:left w:val="nil"/>
              <w:bottom w:val="nil"/>
              <w:right w:val="nil"/>
            </w:tcBorders>
            <w:shd w:val="clear" w:color="auto" w:fill="auto"/>
            <w:vAlign w:val="center"/>
            <w:hideMark/>
          </w:tcPr>
          <w:p w14:paraId="18484E53" w14:textId="77777777" w:rsidR="00004514" w:rsidRPr="00004514" w:rsidRDefault="00004514" w:rsidP="00004514">
            <w:pPr>
              <w:jc w:val="right"/>
              <w:rPr>
                <w:sz w:val="18"/>
                <w:szCs w:val="18"/>
                <w:lang w:eastAsia="tr-TR"/>
              </w:rPr>
            </w:pPr>
            <w:r w:rsidRPr="00004514">
              <w:rPr>
                <w:sz w:val="18"/>
                <w:szCs w:val="18"/>
                <w:lang w:eastAsia="tr-TR"/>
              </w:rPr>
              <w:t>-</w:t>
            </w:r>
          </w:p>
        </w:tc>
        <w:tc>
          <w:tcPr>
            <w:tcW w:w="1299" w:type="dxa"/>
            <w:tcBorders>
              <w:top w:val="nil"/>
              <w:left w:val="nil"/>
              <w:bottom w:val="nil"/>
              <w:right w:val="nil"/>
            </w:tcBorders>
            <w:shd w:val="clear" w:color="auto" w:fill="auto"/>
            <w:vAlign w:val="center"/>
            <w:hideMark/>
          </w:tcPr>
          <w:p w14:paraId="28F18971" w14:textId="77777777" w:rsidR="00004514" w:rsidRPr="00004514" w:rsidRDefault="00004514" w:rsidP="00004514">
            <w:pPr>
              <w:jc w:val="right"/>
              <w:rPr>
                <w:sz w:val="18"/>
                <w:szCs w:val="18"/>
                <w:lang w:eastAsia="tr-TR"/>
              </w:rPr>
            </w:pPr>
            <w:r w:rsidRPr="00004514">
              <w:rPr>
                <w:sz w:val="18"/>
                <w:szCs w:val="18"/>
                <w:lang w:eastAsia="tr-TR"/>
              </w:rPr>
              <w:t>-</w:t>
            </w:r>
          </w:p>
        </w:tc>
        <w:tc>
          <w:tcPr>
            <w:tcW w:w="1131" w:type="dxa"/>
            <w:tcBorders>
              <w:top w:val="nil"/>
              <w:left w:val="nil"/>
              <w:bottom w:val="nil"/>
              <w:right w:val="nil"/>
            </w:tcBorders>
            <w:shd w:val="clear" w:color="auto" w:fill="auto"/>
            <w:vAlign w:val="center"/>
            <w:hideMark/>
          </w:tcPr>
          <w:p w14:paraId="55326BDF"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31B35D64"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4D837E87" w14:textId="77777777" w:rsidR="00004514" w:rsidRPr="00004514" w:rsidRDefault="00004514" w:rsidP="00004514">
            <w:pPr>
              <w:rPr>
                <w:sz w:val="18"/>
                <w:szCs w:val="18"/>
                <w:lang w:eastAsia="tr-TR"/>
              </w:rPr>
            </w:pPr>
            <w:r w:rsidRPr="00004514">
              <w:rPr>
                <w:sz w:val="18"/>
                <w:szCs w:val="18"/>
                <w:lang w:eastAsia="tr-TR"/>
              </w:rPr>
              <w:t>Özel karşılık tutarı (-)</w:t>
            </w:r>
          </w:p>
        </w:tc>
        <w:tc>
          <w:tcPr>
            <w:tcW w:w="1248" w:type="dxa"/>
            <w:tcBorders>
              <w:top w:val="nil"/>
              <w:left w:val="nil"/>
              <w:bottom w:val="nil"/>
              <w:right w:val="nil"/>
            </w:tcBorders>
            <w:shd w:val="clear" w:color="auto" w:fill="auto"/>
            <w:vAlign w:val="center"/>
            <w:hideMark/>
          </w:tcPr>
          <w:p w14:paraId="4899E4FF" w14:textId="77777777" w:rsidR="00004514" w:rsidRPr="00004514" w:rsidRDefault="00004514" w:rsidP="00004514">
            <w:pPr>
              <w:jc w:val="right"/>
              <w:rPr>
                <w:sz w:val="18"/>
                <w:szCs w:val="18"/>
                <w:lang w:eastAsia="tr-TR"/>
              </w:rPr>
            </w:pPr>
            <w:r w:rsidRPr="00004514">
              <w:rPr>
                <w:sz w:val="18"/>
                <w:szCs w:val="18"/>
                <w:lang w:eastAsia="tr-TR"/>
              </w:rPr>
              <w:t>-</w:t>
            </w:r>
          </w:p>
        </w:tc>
        <w:tc>
          <w:tcPr>
            <w:tcW w:w="1299" w:type="dxa"/>
            <w:tcBorders>
              <w:top w:val="nil"/>
              <w:left w:val="nil"/>
              <w:bottom w:val="nil"/>
              <w:right w:val="nil"/>
            </w:tcBorders>
            <w:shd w:val="clear" w:color="auto" w:fill="auto"/>
            <w:vAlign w:val="center"/>
            <w:hideMark/>
          </w:tcPr>
          <w:p w14:paraId="52F2F050" w14:textId="77777777" w:rsidR="00004514" w:rsidRPr="00004514" w:rsidRDefault="00004514" w:rsidP="00004514">
            <w:pPr>
              <w:jc w:val="right"/>
              <w:rPr>
                <w:sz w:val="18"/>
                <w:szCs w:val="18"/>
                <w:lang w:eastAsia="tr-TR"/>
              </w:rPr>
            </w:pPr>
            <w:r w:rsidRPr="00004514">
              <w:rPr>
                <w:sz w:val="18"/>
                <w:szCs w:val="18"/>
                <w:lang w:eastAsia="tr-TR"/>
              </w:rPr>
              <w:t>-</w:t>
            </w:r>
          </w:p>
        </w:tc>
        <w:tc>
          <w:tcPr>
            <w:tcW w:w="1131" w:type="dxa"/>
            <w:tcBorders>
              <w:top w:val="nil"/>
              <w:left w:val="nil"/>
              <w:bottom w:val="nil"/>
              <w:right w:val="nil"/>
            </w:tcBorders>
            <w:shd w:val="clear" w:color="auto" w:fill="auto"/>
            <w:vAlign w:val="center"/>
            <w:hideMark/>
          </w:tcPr>
          <w:p w14:paraId="4CFA198F"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370B4B57"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49128205" w14:textId="77777777" w:rsidR="00004514" w:rsidRPr="00004514" w:rsidRDefault="00004514" w:rsidP="00004514">
            <w:pPr>
              <w:rPr>
                <w:sz w:val="18"/>
                <w:szCs w:val="18"/>
                <w:lang w:eastAsia="tr-TR"/>
              </w:rPr>
            </w:pPr>
            <w:r w:rsidRPr="00004514">
              <w:rPr>
                <w:sz w:val="18"/>
                <w:szCs w:val="18"/>
                <w:lang w:eastAsia="tr-TR"/>
              </w:rPr>
              <w:t>Bankalar (net)</w:t>
            </w:r>
          </w:p>
        </w:tc>
        <w:tc>
          <w:tcPr>
            <w:tcW w:w="1248" w:type="dxa"/>
            <w:tcBorders>
              <w:top w:val="nil"/>
              <w:left w:val="nil"/>
              <w:bottom w:val="nil"/>
              <w:right w:val="nil"/>
            </w:tcBorders>
            <w:shd w:val="clear" w:color="auto" w:fill="auto"/>
            <w:vAlign w:val="center"/>
            <w:hideMark/>
          </w:tcPr>
          <w:p w14:paraId="6612D899" w14:textId="77777777" w:rsidR="00004514" w:rsidRPr="00004514" w:rsidRDefault="00004514" w:rsidP="00004514">
            <w:pPr>
              <w:jc w:val="right"/>
              <w:rPr>
                <w:sz w:val="18"/>
                <w:szCs w:val="18"/>
                <w:lang w:eastAsia="tr-TR"/>
              </w:rPr>
            </w:pPr>
            <w:r w:rsidRPr="00004514">
              <w:rPr>
                <w:sz w:val="18"/>
                <w:szCs w:val="18"/>
                <w:lang w:eastAsia="tr-TR"/>
              </w:rPr>
              <w:t>-</w:t>
            </w:r>
          </w:p>
        </w:tc>
        <w:tc>
          <w:tcPr>
            <w:tcW w:w="1299" w:type="dxa"/>
            <w:tcBorders>
              <w:top w:val="nil"/>
              <w:left w:val="nil"/>
              <w:bottom w:val="nil"/>
              <w:right w:val="nil"/>
            </w:tcBorders>
            <w:shd w:val="clear" w:color="auto" w:fill="auto"/>
            <w:vAlign w:val="center"/>
            <w:hideMark/>
          </w:tcPr>
          <w:p w14:paraId="7C0C5D2A" w14:textId="77777777" w:rsidR="00004514" w:rsidRPr="00004514" w:rsidRDefault="00004514" w:rsidP="00004514">
            <w:pPr>
              <w:jc w:val="right"/>
              <w:rPr>
                <w:sz w:val="18"/>
                <w:szCs w:val="18"/>
                <w:lang w:eastAsia="tr-TR"/>
              </w:rPr>
            </w:pPr>
            <w:r w:rsidRPr="00004514">
              <w:rPr>
                <w:sz w:val="18"/>
                <w:szCs w:val="18"/>
                <w:lang w:eastAsia="tr-TR"/>
              </w:rPr>
              <w:t>-</w:t>
            </w:r>
          </w:p>
        </w:tc>
        <w:tc>
          <w:tcPr>
            <w:tcW w:w="1131" w:type="dxa"/>
            <w:tcBorders>
              <w:top w:val="nil"/>
              <w:left w:val="nil"/>
              <w:bottom w:val="nil"/>
              <w:right w:val="nil"/>
            </w:tcBorders>
            <w:shd w:val="clear" w:color="auto" w:fill="auto"/>
            <w:vAlign w:val="center"/>
            <w:hideMark/>
          </w:tcPr>
          <w:p w14:paraId="015F1091"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78D511AA"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47561914" w14:textId="77777777" w:rsidR="00004514" w:rsidRPr="00004514" w:rsidRDefault="00004514" w:rsidP="00004514">
            <w:pPr>
              <w:rPr>
                <w:sz w:val="18"/>
                <w:szCs w:val="18"/>
                <w:lang w:eastAsia="tr-TR"/>
              </w:rPr>
            </w:pPr>
            <w:r w:rsidRPr="00004514">
              <w:rPr>
                <w:sz w:val="18"/>
                <w:szCs w:val="18"/>
                <w:lang w:eastAsia="tr-TR"/>
              </w:rPr>
              <w:t>Diğer kredi ve alacaklar (brüt)</w:t>
            </w:r>
          </w:p>
        </w:tc>
        <w:tc>
          <w:tcPr>
            <w:tcW w:w="1248" w:type="dxa"/>
            <w:tcBorders>
              <w:top w:val="nil"/>
              <w:left w:val="nil"/>
              <w:bottom w:val="nil"/>
              <w:right w:val="nil"/>
            </w:tcBorders>
            <w:shd w:val="clear" w:color="auto" w:fill="auto"/>
            <w:vAlign w:val="center"/>
            <w:hideMark/>
          </w:tcPr>
          <w:p w14:paraId="4D0CFCB7" w14:textId="77777777" w:rsidR="00004514" w:rsidRPr="00004514" w:rsidRDefault="00004514" w:rsidP="00004514">
            <w:pPr>
              <w:jc w:val="right"/>
              <w:rPr>
                <w:sz w:val="18"/>
                <w:szCs w:val="18"/>
                <w:lang w:eastAsia="tr-TR"/>
              </w:rPr>
            </w:pPr>
            <w:r w:rsidRPr="00004514">
              <w:rPr>
                <w:sz w:val="18"/>
                <w:szCs w:val="18"/>
                <w:lang w:eastAsia="tr-TR"/>
              </w:rPr>
              <w:t>-</w:t>
            </w:r>
          </w:p>
        </w:tc>
        <w:tc>
          <w:tcPr>
            <w:tcW w:w="1299" w:type="dxa"/>
            <w:tcBorders>
              <w:top w:val="nil"/>
              <w:left w:val="nil"/>
              <w:bottom w:val="nil"/>
              <w:right w:val="nil"/>
            </w:tcBorders>
            <w:shd w:val="clear" w:color="auto" w:fill="auto"/>
            <w:vAlign w:val="center"/>
            <w:hideMark/>
          </w:tcPr>
          <w:p w14:paraId="0647DA44" w14:textId="77777777" w:rsidR="00004514" w:rsidRPr="00004514" w:rsidRDefault="00004514" w:rsidP="00004514">
            <w:pPr>
              <w:jc w:val="right"/>
              <w:rPr>
                <w:sz w:val="18"/>
                <w:szCs w:val="18"/>
                <w:lang w:eastAsia="tr-TR"/>
              </w:rPr>
            </w:pPr>
            <w:r w:rsidRPr="00004514">
              <w:rPr>
                <w:sz w:val="18"/>
                <w:szCs w:val="18"/>
                <w:lang w:eastAsia="tr-TR"/>
              </w:rPr>
              <w:t>-</w:t>
            </w:r>
          </w:p>
        </w:tc>
        <w:tc>
          <w:tcPr>
            <w:tcW w:w="1131" w:type="dxa"/>
            <w:tcBorders>
              <w:top w:val="nil"/>
              <w:left w:val="nil"/>
              <w:bottom w:val="nil"/>
              <w:right w:val="nil"/>
            </w:tcBorders>
            <w:shd w:val="clear" w:color="auto" w:fill="auto"/>
            <w:vAlign w:val="center"/>
            <w:hideMark/>
          </w:tcPr>
          <w:p w14:paraId="0D8D17C1"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6DD1F662" w14:textId="77777777" w:rsidTr="00A43E58">
        <w:trPr>
          <w:divId w:val="1031688707"/>
          <w:trHeight w:val="240"/>
        </w:trPr>
        <w:tc>
          <w:tcPr>
            <w:tcW w:w="5455" w:type="dxa"/>
            <w:tcBorders>
              <w:top w:val="nil"/>
              <w:left w:val="nil"/>
              <w:bottom w:val="nil"/>
              <w:right w:val="nil"/>
            </w:tcBorders>
            <w:shd w:val="clear" w:color="auto" w:fill="auto"/>
            <w:noWrap/>
            <w:vAlign w:val="center"/>
            <w:hideMark/>
          </w:tcPr>
          <w:p w14:paraId="21139CB2" w14:textId="77777777" w:rsidR="00004514" w:rsidRPr="00004514" w:rsidRDefault="00004514" w:rsidP="00004514">
            <w:pPr>
              <w:rPr>
                <w:sz w:val="18"/>
                <w:szCs w:val="18"/>
                <w:lang w:eastAsia="tr-TR"/>
              </w:rPr>
            </w:pPr>
            <w:r w:rsidRPr="00004514">
              <w:rPr>
                <w:sz w:val="18"/>
                <w:szCs w:val="18"/>
                <w:lang w:eastAsia="tr-TR"/>
              </w:rPr>
              <w:t>Özel karşılık tutarı (-)</w:t>
            </w:r>
          </w:p>
        </w:tc>
        <w:tc>
          <w:tcPr>
            <w:tcW w:w="1248" w:type="dxa"/>
            <w:tcBorders>
              <w:top w:val="nil"/>
              <w:left w:val="nil"/>
              <w:bottom w:val="nil"/>
              <w:right w:val="nil"/>
            </w:tcBorders>
            <w:shd w:val="clear" w:color="auto" w:fill="auto"/>
            <w:vAlign w:val="center"/>
            <w:hideMark/>
          </w:tcPr>
          <w:p w14:paraId="086F2EE9" w14:textId="77777777" w:rsidR="00004514" w:rsidRPr="00004514" w:rsidRDefault="00004514" w:rsidP="00004514">
            <w:pPr>
              <w:jc w:val="right"/>
              <w:rPr>
                <w:sz w:val="18"/>
                <w:szCs w:val="18"/>
                <w:lang w:eastAsia="tr-TR"/>
              </w:rPr>
            </w:pPr>
            <w:r w:rsidRPr="00004514">
              <w:rPr>
                <w:sz w:val="18"/>
                <w:szCs w:val="18"/>
                <w:lang w:eastAsia="tr-TR"/>
              </w:rPr>
              <w:t>-</w:t>
            </w:r>
          </w:p>
        </w:tc>
        <w:tc>
          <w:tcPr>
            <w:tcW w:w="1299" w:type="dxa"/>
            <w:tcBorders>
              <w:top w:val="nil"/>
              <w:left w:val="nil"/>
              <w:bottom w:val="nil"/>
              <w:right w:val="nil"/>
            </w:tcBorders>
            <w:shd w:val="clear" w:color="auto" w:fill="auto"/>
            <w:vAlign w:val="center"/>
            <w:hideMark/>
          </w:tcPr>
          <w:p w14:paraId="2C6756BF" w14:textId="77777777" w:rsidR="00004514" w:rsidRPr="00004514" w:rsidRDefault="00004514" w:rsidP="00004514">
            <w:pPr>
              <w:jc w:val="right"/>
              <w:rPr>
                <w:sz w:val="18"/>
                <w:szCs w:val="18"/>
                <w:lang w:eastAsia="tr-TR"/>
              </w:rPr>
            </w:pPr>
            <w:r w:rsidRPr="00004514">
              <w:rPr>
                <w:sz w:val="18"/>
                <w:szCs w:val="18"/>
                <w:lang w:eastAsia="tr-TR"/>
              </w:rPr>
              <w:t>-</w:t>
            </w:r>
          </w:p>
        </w:tc>
        <w:tc>
          <w:tcPr>
            <w:tcW w:w="1131" w:type="dxa"/>
            <w:tcBorders>
              <w:top w:val="nil"/>
              <w:left w:val="nil"/>
              <w:bottom w:val="nil"/>
              <w:right w:val="nil"/>
            </w:tcBorders>
            <w:shd w:val="clear" w:color="auto" w:fill="auto"/>
            <w:vAlign w:val="center"/>
            <w:hideMark/>
          </w:tcPr>
          <w:p w14:paraId="13779669" w14:textId="77777777" w:rsidR="00004514" w:rsidRPr="00004514" w:rsidRDefault="00004514" w:rsidP="00004514">
            <w:pPr>
              <w:jc w:val="right"/>
              <w:rPr>
                <w:sz w:val="18"/>
                <w:szCs w:val="18"/>
                <w:lang w:eastAsia="tr-TR"/>
              </w:rPr>
            </w:pPr>
            <w:r w:rsidRPr="00004514">
              <w:rPr>
                <w:sz w:val="18"/>
                <w:szCs w:val="18"/>
                <w:lang w:eastAsia="tr-TR"/>
              </w:rPr>
              <w:t>-</w:t>
            </w:r>
          </w:p>
        </w:tc>
      </w:tr>
      <w:tr w:rsidR="00004514" w:rsidRPr="00004514" w14:paraId="2E509976" w14:textId="77777777" w:rsidTr="00A43E58">
        <w:trPr>
          <w:divId w:val="1031688707"/>
          <w:trHeight w:val="256"/>
        </w:trPr>
        <w:tc>
          <w:tcPr>
            <w:tcW w:w="5455" w:type="dxa"/>
            <w:tcBorders>
              <w:top w:val="nil"/>
              <w:left w:val="nil"/>
              <w:bottom w:val="double" w:sz="6" w:space="0" w:color="auto"/>
              <w:right w:val="nil"/>
            </w:tcBorders>
            <w:shd w:val="clear" w:color="auto" w:fill="auto"/>
            <w:noWrap/>
            <w:vAlign w:val="center"/>
            <w:hideMark/>
          </w:tcPr>
          <w:p w14:paraId="2AE60F4E" w14:textId="77777777" w:rsidR="00004514" w:rsidRPr="00004514" w:rsidRDefault="00004514" w:rsidP="00004514">
            <w:pPr>
              <w:rPr>
                <w:sz w:val="18"/>
                <w:szCs w:val="18"/>
                <w:lang w:eastAsia="tr-TR"/>
              </w:rPr>
            </w:pPr>
            <w:r w:rsidRPr="00004514">
              <w:rPr>
                <w:sz w:val="18"/>
                <w:szCs w:val="18"/>
                <w:lang w:eastAsia="tr-TR"/>
              </w:rPr>
              <w:t>Diğer kredi ve alacaklar (net)</w:t>
            </w:r>
          </w:p>
        </w:tc>
        <w:tc>
          <w:tcPr>
            <w:tcW w:w="1248" w:type="dxa"/>
            <w:tcBorders>
              <w:top w:val="nil"/>
              <w:left w:val="nil"/>
              <w:bottom w:val="double" w:sz="6" w:space="0" w:color="auto"/>
              <w:right w:val="nil"/>
            </w:tcBorders>
            <w:shd w:val="clear" w:color="auto" w:fill="auto"/>
            <w:noWrap/>
            <w:vAlign w:val="center"/>
            <w:hideMark/>
          </w:tcPr>
          <w:p w14:paraId="56E5E6FF" w14:textId="77777777" w:rsidR="00004514" w:rsidRPr="00004514" w:rsidRDefault="00004514" w:rsidP="00004514">
            <w:pPr>
              <w:jc w:val="right"/>
              <w:rPr>
                <w:sz w:val="18"/>
                <w:szCs w:val="18"/>
                <w:lang w:eastAsia="tr-TR"/>
              </w:rPr>
            </w:pPr>
            <w:r w:rsidRPr="00004514">
              <w:rPr>
                <w:sz w:val="18"/>
                <w:szCs w:val="18"/>
                <w:lang w:eastAsia="tr-TR"/>
              </w:rPr>
              <w:t>-</w:t>
            </w:r>
          </w:p>
        </w:tc>
        <w:tc>
          <w:tcPr>
            <w:tcW w:w="1299" w:type="dxa"/>
            <w:tcBorders>
              <w:top w:val="nil"/>
              <w:left w:val="nil"/>
              <w:bottom w:val="double" w:sz="6" w:space="0" w:color="auto"/>
              <w:right w:val="nil"/>
            </w:tcBorders>
            <w:shd w:val="clear" w:color="auto" w:fill="auto"/>
            <w:noWrap/>
            <w:vAlign w:val="center"/>
            <w:hideMark/>
          </w:tcPr>
          <w:p w14:paraId="4CDB9F4D" w14:textId="77777777" w:rsidR="00004514" w:rsidRPr="00004514" w:rsidRDefault="00004514" w:rsidP="00004514">
            <w:pPr>
              <w:jc w:val="right"/>
              <w:rPr>
                <w:sz w:val="18"/>
                <w:szCs w:val="18"/>
                <w:lang w:eastAsia="tr-TR"/>
              </w:rPr>
            </w:pPr>
            <w:r w:rsidRPr="00004514">
              <w:rPr>
                <w:sz w:val="18"/>
                <w:szCs w:val="18"/>
                <w:lang w:eastAsia="tr-TR"/>
              </w:rPr>
              <w:t>-</w:t>
            </w:r>
          </w:p>
        </w:tc>
        <w:tc>
          <w:tcPr>
            <w:tcW w:w="1131" w:type="dxa"/>
            <w:tcBorders>
              <w:top w:val="nil"/>
              <w:left w:val="nil"/>
              <w:bottom w:val="double" w:sz="6" w:space="0" w:color="auto"/>
              <w:right w:val="nil"/>
            </w:tcBorders>
            <w:shd w:val="clear" w:color="auto" w:fill="auto"/>
            <w:noWrap/>
            <w:vAlign w:val="center"/>
            <w:hideMark/>
          </w:tcPr>
          <w:p w14:paraId="207B1E92" w14:textId="77777777" w:rsidR="00004514" w:rsidRPr="00004514" w:rsidRDefault="00004514" w:rsidP="00004514">
            <w:pPr>
              <w:jc w:val="right"/>
              <w:rPr>
                <w:sz w:val="18"/>
                <w:szCs w:val="18"/>
                <w:lang w:eastAsia="tr-TR"/>
              </w:rPr>
            </w:pPr>
            <w:r w:rsidRPr="00004514">
              <w:rPr>
                <w:sz w:val="18"/>
                <w:szCs w:val="18"/>
                <w:lang w:eastAsia="tr-TR"/>
              </w:rPr>
              <w:t>-</w:t>
            </w:r>
          </w:p>
        </w:tc>
      </w:tr>
    </w:tbl>
    <w:p w14:paraId="284EEC00" w14:textId="71ECB14E" w:rsidR="00017451" w:rsidRPr="00004514" w:rsidRDefault="00C0549A" w:rsidP="00311DAB">
      <w:pPr>
        <w:pStyle w:val="BodyTextIndent"/>
        <w:tabs>
          <w:tab w:val="left" w:pos="0"/>
        </w:tabs>
        <w:ind w:left="0" w:hanging="567"/>
        <w:rPr>
          <w:spacing w:val="-6"/>
        </w:rPr>
      </w:pPr>
      <w:r w:rsidRPr="00004514">
        <w:rPr>
          <w:spacing w:val="-6"/>
        </w:rPr>
        <w:br/>
      </w:r>
      <w:r w:rsidR="00E253C8" w:rsidRPr="00004514">
        <w:rPr>
          <w:spacing w:val="-6"/>
        </w:rPr>
        <w:t xml:space="preserve">Banka’nın donuk alacak niteliğindeki krediler için almış olduğu nakit, ipotek, rehin, müşteri çek senedi gibi teminatları </w:t>
      </w:r>
      <w:r w:rsidRPr="00004514">
        <w:rPr>
          <w:spacing w:val="-6"/>
        </w:rPr>
        <w:t xml:space="preserve">  </w:t>
      </w:r>
      <w:r w:rsidR="00E253C8" w:rsidRPr="00004514">
        <w:rPr>
          <w:spacing w:val="-6"/>
        </w:rPr>
        <w:t>bulunmaktadır.</w:t>
      </w:r>
    </w:p>
    <w:p w14:paraId="0AD04CA4" w14:textId="547CC1BD" w:rsidR="00501C76" w:rsidRPr="00270CE6" w:rsidRDefault="00501C76" w:rsidP="00833BD7">
      <w:pPr>
        <w:pStyle w:val="BodyTextIndent"/>
        <w:tabs>
          <w:tab w:val="left" w:pos="0"/>
        </w:tabs>
        <w:ind w:left="0" w:hanging="567"/>
        <w:jc w:val="left"/>
        <w:rPr>
          <w:spacing w:val="-6"/>
          <w:highlight w:val="yellow"/>
        </w:rPr>
      </w:pPr>
    </w:p>
    <w:p w14:paraId="5BB5F547" w14:textId="0CEB1ABE" w:rsidR="00501C76" w:rsidRPr="00753D80" w:rsidRDefault="00501C76" w:rsidP="00BA637F">
      <w:pPr>
        <w:pStyle w:val="BodyTextIndent"/>
        <w:ind w:left="0" w:hanging="798"/>
      </w:pPr>
      <w:r w:rsidRPr="00753D80">
        <w:rPr>
          <w:b/>
        </w:rPr>
        <w:t>1.5.10.5.</w:t>
      </w:r>
      <w:r w:rsidRPr="00753D80">
        <w:t xml:space="preserve"> </w:t>
      </w:r>
      <w:r w:rsidR="00BA637F">
        <w:tab/>
      </w:r>
      <w:r w:rsidRPr="00753D80">
        <w:t>Finansal araç sınıfları itibarıyla, vadesi geçmiş ancak değer düşüklüğüne uğramamış finansal va</w:t>
      </w:r>
      <w:r w:rsidR="00DE4629" w:rsidRPr="00753D80">
        <w:t xml:space="preserve">rlıkların yaşlandırma </w:t>
      </w:r>
      <w:r w:rsidRPr="00753D80">
        <w:t>analizi aşağıdaki gibidir:</w:t>
      </w:r>
    </w:p>
    <w:p w14:paraId="713BDD9E" w14:textId="065B26D0" w:rsidR="00D22163" w:rsidRPr="00753D80" w:rsidRDefault="00D22163" w:rsidP="00501C76">
      <w:pPr>
        <w:pStyle w:val="BodyTextIndent"/>
        <w:ind w:left="360" w:firstLine="0"/>
        <w:jc w:val="left"/>
      </w:pPr>
    </w:p>
    <w:p w14:paraId="2EA170F3" w14:textId="258BFC4F" w:rsidR="00E251C9" w:rsidRPr="00753D80" w:rsidRDefault="00E251C9" w:rsidP="00BA637F">
      <w:pPr>
        <w:pStyle w:val="BodyTextIndent"/>
        <w:ind w:left="0" w:firstLine="0"/>
      </w:pPr>
      <w:bookmarkStart w:id="16" w:name="_Hlk38747801"/>
      <w:r w:rsidRPr="00753D80">
        <w:t>Bankalarca Kamuya Açıklanacak Finansal Tablolar ile Bunlara İlişkin Açıklama ve Dipnotlar Hakkında Tebliğ’in 25’inci maddesi uyarınca ara dönemde hazırlanmamıştır.</w:t>
      </w:r>
    </w:p>
    <w:bookmarkEnd w:id="16"/>
    <w:p w14:paraId="76C089C6" w14:textId="0634661E" w:rsidR="0030639E" w:rsidRPr="00270CE6" w:rsidRDefault="0030639E" w:rsidP="00E251C9">
      <w:pPr>
        <w:pStyle w:val="BodyTextIndent"/>
        <w:tabs>
          <w:tab w:val="left" w:pos="0"/>
        </w:tabs>
        <w:ind w:left="0" w:hanging="567"/>
        <w:jc w:val="left"/>
        <w:rPr>
          <w:spacing w:val="-6"/>
          <w:highlight w:val="yellow"/>
        </w:rPr>
      </w:pPr>
    </w:p>
    <w:p w14:paraId="53725F99" w14:textId="5540CAC5" w:rsidR="00926F0C" w:rsidRPr="00046D7E" w:rsidRDefault="00990912" w:rsidP="00BA637F">
      <w:pPr>
        <w:pStyle w:val="BodyTextIndent"/>
        <w:tabs>
          <w:tab w:val="left" w:pos="709"/>
        </w:tabs>
        <w:ind w:left="0" w:hanging="772"/>
        <w:rPr>
          <w:b/>
        </w:rPr>
      </w:pPr>
      <w:r w:rsidRPr="00046D7E">
        <w:rPr>
          <w:b/>
        </w:rPr>
        <w:t>1.5.</w:t>
      </w:r>
      <w:r w:rsidR="0048609D" w:rsidRPr="00046D7E">
        <w:rPr>
          <w:b/>
        </w:rPr>
        <w:t>10</w:t>
      </w:r>
      <w:r w:rsidR="00926F0C" w:rsidRPr="00046D7E">
        <w:rPr>
          <w:b/>
        </w:rPr>
        <w:t>.</w:t>
      </w:r>
      <w:r w:rsidR="0048609D" w:rsidRPr="00046D7E">
        <w:rPr>
          <w:b/>
        </w:rPr>
        <w:t xml:space="preserve">6 </w:t>
      </w:r>
      <w:r w:rsidR="00BA637F">
        <w:rPr>
          <w:b/>
        </w:rPr>
        <w:tab/>
      </w:r>
      <w:r w:rsidR="00926F0C" w:rsidRPr="00046D7E">
        <w:rPr>
          <w:spacing w:val="-8"/>
        </w:rPr>
        <w:t xml:space="preserve">Donuk alacaklar için hesaplanan kâr payı tahakkukları, reeskontları ve değerleme farkları ile bunların </w:t>
      </w:r>
      <w:proofErr w:type="spellStart"/>
      <w:r w:rsidR="00926F0C" w:rsidRPr="00046D7E">
        <w:rPr>
          <w:spacing w:val="-8"/>
        </w:rPr>
        <w:t>kaşılıklarına</w:t>
      </w:r>
      <w:proofErr w:type="spellEnd"/>
      <w:r w:rsidR="00926F0C" w:rsidRPr="00046D7E">
        <w:rPr>
          <w:spacing w:val="-8"/>
        </w:rPr>
        <w:t xml:space="preserve"> </w:t>
      </w:r>
      <w:r w:rsidR="001D6FD9" w:rsidRPr="00046D7E">
        <w:rPr>
          <w:spacing w:val="-8"/>
        </w:rPr>
        <w:t xml:space="preserve">ilişkin     </w:t>
      </w:r>
      <w:proofErr w:type="gramStart"/>
      <w:r w:rsidR="001D6FD9" w:rsidRPr="00046D7E">
        <w:rPr>
          <w:spacing w:val="-8"/>
        </w:rPr>
        <w:t>bilgiler</w:t>
      </w:r>
      <w:r w:rsidR="00926F0C" w:rsidRPr="00046D7E">
        <w:rPr>
          <w:spacing w:val="-8"/>
        </w:rPr>
        <w:t xml:space="preserve"> :</w:t>
      </w:r>
      <w:proofErr w:type="gramEnd"/>
    </w:p>
    <w:p w14:paraId="08237271" w14:textId="3C32DC26" w:rsidR="00C96D27" w:rsidRPr="00311DAB" w:rsidRDefault="00C96D27" w:rsidP="00932FED">
      <w:pPr>
        <w:pStyle w:val="BodyTextIndent"/>
        <w:tabs>
          <w:tab w:val="left" w:pos="709"/>
        </w:tabs>
        <w:ind w:left="0" w:firstLine="0"/>
        <w:rPr>
          <w:lang w:eastAsia="en-GB"/>
        </w:rPr>
      </w:pPr>
    </w:p>
    <w:tbl>
      <w:tblPr>
        <w:tblW w:w="9280" w:type="dxa"/>
        <w:tblCellMar>
          <w:left w:w="70" w:type="dxa"/>
          <w:right w:w="70" w:type="dxa"/>
        </w:tblCellMar>
        <w:tblLook w:val="04A0" w:firstRow="1" w:lastRow="0" w:firstColumn="1" w:lastColumn="0" w:noHBand="0" w:noVBand="1"/>
      </w:tblPr>
      <w:tblGrid>
        <w:gridCol w:w="4762"/>
        <w:gridCol w:w="1501"/>
        <w:gridCol w:w="1501"/>
        <w:gridCol w:w="1516"/>
      </w:tblGrid>
      <w:tr w:rsidR="00C96D27" w:rsidRPr="00C96D27" w14:paraId="5B4265ED" w14:textId="77777777" w:rsidTr="009E4D69">
        <w:trPr>
          <w:divId w:val="432896614"/>
          <w:trHeight w:val="165"/>
        </w:trPr>
        <w:tc>
          <w:tcPr>
            <w:tcW w:w="4762" w:type="dxa"/>
            <w:tcBorders>
              <w:top w:val="single" w:sz="4" w:space="0" w:color="auto"/>
              <w:left w:val="single" w:sz="4" w:space="0" w:color="auto"/>
              <w:bottom w:val="nil"/>
              <w:right w:val="single" w:sz="4" w:space="0" w:color="auto"/>
            </w:tcBorders>
            <w:shd w:val="clear" w:color="auto" w:fill="auto"/>
            <w:vAlign w:val="center"/>
            <w:hideMark/>
          </w:tcPr>
          <w:p w14:paraId="4E014212" w14:textId="58567716" w:rsidR="00C96D27" w:rsidRPr="00C96D27" w:rsidRDefault="00C96D27" w:rsidP="00C96D27">
            <w:pPr>
              <w:jc w:val="both"/>
              <w:rPr>
                <w:sz w:val="18"/>
                <w:szCs w:val="18"/>
                <w:lang w:eastAsia="tr-TR"/>
              </w:rPr>
            </w:pPr>
            <w:r w:rsidRPr="00C96D27">
              <w:rPr>
                <w:sz w:val="18"/>
                <w:szCs w:val="18"/>
                <w:lang w:eastAsia="tr-TR"/>
              </w:rPr>
              <w:t xml:space="preserve">  </w:t>
            </w:r>
          </w:p>
        </w:tc>
        <w:tc>
          <w:tcPr>
            <w:tcW w:w="1501" w:type="dxa"/>
            <w:tcBorders>
              <w:top w:val="double" w:sz="6" w:space="0" w:color="auto"/>
              <w:left w:val="nil"/>
              <w:bottom w:val="single" w:sz="4" w:space="0" w:color="auto"/>
              <w:right w:val="nil"/>
            </w:tcBorders>
            <w:shd w:val="clear" w:color="auto" w:fill="auto"/>
            <w:vAlign w:val="center"/>
            <w:hideMark/>
          </w:tcPr>
          <w:p w14:paraId="21508748" w14:textId="77777777" w:rsidR="00C96D27" w:rsidRPr="00C96D27" w:rsidRDefault="00C96D27" w:rsidP="00C96D27">
            <w:pPr>
              <w:jc w:val="right"/>
              <w:rPr>
                <w:b/>
                <w:bCs/>
                <w:sz w:val="18"/>
                <w:szCs w:val="18"/>
                <w:lang w:eastAsia="tr-TR"/>
              </w:rPr>
            </w:pPr>
            <w:r w:rsidRPr="00C96D27">
              <w:rPr>
                <w:b/>
                <w:bCs/>
                <w:sz w:val="18"/>
                <w:szCs w:val="18"/>
                <w:lang w:eastAsia="tr-TR"/>
              </w:rPr>
              <w:t>III. Grup</w:t>
            </w:r>
          </w:p>
        </w:tc>
        <w:tc>
          <w:tcPr>
            <w:tcW w:w="1501" w:type="dxa"/>
            <w:tcBorders>
              <w:top w:val="double" w:sz="6" w:space="0" w:color="auto"/>
              <w:left w:val="nil"/>
              <w:bottom w:val="single" w:sz="4" w:space="0" w:color="auto"/>
              <w:right w:val="nil"/>
            </w:tcBorders>
            <w:shd w:val="clear" w:color="auto" w:fill="auto"/>
            <w:vAlign w:val="center"/>
            <w:hideMark/>
          </w:tcPr>
          <w:p w14:paraId="2962875C" w14:textId="77777777" w:rsidR="00C96D27" w:rsidRPr="00C96D27" w:rsidRDefault="00C96D27" w:rsidP="00C96D27">
            <w:pPr>
              <w:jc w:val="right"/>
              <w:rPr>
                <w:b/>
                <w:bCs/>
                <w:sz w:val="18"/>
                <w:szCs w:val="18"/>
                <w:lang w:eastAsia="tr-TR"/>
              </w:rPr>
            </w:pPr>
            <w:r w:rsidRPr="00C96D27">
              <w:rPr>
                <w:b/>
                <w:bCs/>
                <w:sz w:val="18"/>
                <w:szCs w:val="18"/>
                <w:lang w:eastAsia="tr-TR"/>
              </w:rPr>
              <w:t>IV. Grup</w:t>
            </w:r>
          </w:p>
        </w:tc>
        <w:tc>
          <w:tcPr>
            <w:tcW w:w="1516" w:type="dxa"/>
            <w:tcBorders>
              <w:top w:val="double" w:sz="6" w:space="0" w:color="auto"/>
              <w:left w:val="nil"/>
              <w:bottom w:val="single" w:sz="8" w:space="0" w:color="auto"/>
              <w:right w:val="single" w:sz="4" w:space="0" w:color="auto"/>
            </w:tcBorders>
            <w:shd w:val="clear" w:color="auto" w:fill="auto"/>
            <w:vAlign w:val="center"/>
            <w:hideMark/>
          </w:tcPr>
          <w:p w14:paraId="43EFA2B9" w14:textId="77777777" w:rsidR="00C96D27" w:rsidRPr="00C96D27" w:rsidRDefault="00C96D27" w:rsidP="00C96D27">
            <w:pPr>
              <w:jc w:val="right"/>
              <w:rPr>
                <w:b/>
                <w:bCs/>
                <w:sz w:val="18"/>
                <w:szCs w:val="18"/>
                <w:lang w:eastAsia="tr-TR"/>
              </w:rPr>
            </w:pPr>
            <w:r w:rsidRPr="00C96D27">
              <w:rPr>
                <w:b/>
                <w:bCs/>
                <w:sz w:val="18"/>
                <w:szCs w:val="18"/>
                <w:lang w:eastAsia="tr-TR"/>
              </w:rPr>
              <w:t>V. Grup</w:t>
            </w:r>
          </w:p>
        </w:tc>
      </w:tr>
      <w:tr w:rsidR="00C96D27" w:rsidRPr="00C96D27" w14:paraId="6E24E500" w14:textId="77777777" w:rsidTr="009E4D69">
        <w:trPr>
          <w:divId w:val="432896614"/>
          <w:trHeight w:val="259"/>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1D4D2352" w14:textId="77777777" w:rsidR="00C96D27" w:rsidRPr="00C96D27" w:rsidRDefault="00C96D27" w:rsidP="00C96D27">
            <w:pPr>
              <w:jc w:val="both"/>
              <w:rPr>
                <w:sz w:val="18"/>
                <w:szCs w:val="18"/>
                <w:lang w:eastAsia="tr-TR"/>
              </w:rPr>
            </w:pPr>
            <w:r w:rsidRPr="00C96D27">
              <w:rPr>
                <w:sz w:val="18"/>
                <w:szCs w:val="18"/>
                <w:lang w:eastAsia="tr-TR"/>
              </w:rPr>
              <w:t> </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3350BBAF" w14:textId="77777777" w:rsidR="00C96D27" w:rsidRPr="00C96D27" w:rsidRDefault="00C96D27" w:rsidP="00C96D27">
            <w:pPr>
              <w:jc w:val="right"/>
              <w:rPr>
                <w:b/>
                <w:bCs/>
                <w:sz w:val="18"/>
                <w:szCs w:val="18"/>
                <w:lang w:eastAsia="tr-TR"/>
              </w:rPr>
            </w:pPr>
            <w:r w:rsidRPr="00C96D27">
              <w:rPr>
                <w:b/>
                <w:bCs/>
                <w:sz w:val="18"/>
                <w:szCs w:val="18"/>
                <w:lang w:eastAsia="tr-TR"/>
              </w:rPr>
              <w:t xml:space="preserve">Tahsil </w:t>
            </w:r>
            <w:proofErr w:type="gramStart"/>
            <w:r w:rsidRPr="00C96D27">
              <w:rPr>
                <w:b/>
                <w:bCs/>
                <w:sz w:val="18"/>
                <w:szCs w:val="18"/>
                <w:lang w:eastAsia="tr-TR"/>
              </w:rPr>
              <w:t>İmkanı</w:t>
            </w:r>
            <w:proofErr w:type="gramEnd"/>
            <w:r w:rsidRPr="00C96D27">
              <w:rPr>
                <w:b/>
                <w:bCs/>
                <w:sz w:val="18"/>
                <w:szCs w:val="18"/>
                <w:lang w:eastAsia="tr-TR"/>
              </w:rPr>
              <w:t xml:space="preserve"> Sınırlı Krediler </w:t>
            </w:r>
          </w:p>
        </w:tc>
        <w:tc>
          <w:tcPr>
            <w:tcW w:w="1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CF993" w14:textId="77777777" w:rsidR="00C96D27" w:rsidRPr="00C96D27" w:rsidRDefault="00C96D27" w:rsidP="00C96D27">
            <w:pPr>
              <w:jc w:val="right"/>
              <w:rPr>
                <w:b/>
                <w:bCs/>
                <w:sz w:val="18"/>
                <w:szCs w:val="18"/>
                <w:lang w:eastAsia="tr-TR"/>
              </w:rPr>
            </w:pPr>
            <w:r w:rsidRPr="00C96D27">
              <w:rPr>
                <w:b/>
                <w:bCs/>
                <w:sz w:val="18"/>
                <w:szCs w:val="18"/>
                <w:lang w:eastAsia="tr-TR"/>
              </w:rPr>
              <w:t xml:space="preserve">Tahsili Şüpheli Krediler </w:t>
            </w:r>
          </w:p>
        </w:tc>
        <w:tc>
          <w:tcPr>
            <w:tcW w:w="1516"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2D3F3D71" w14:textId="77777777" w:rsidR="00C96D27" w:rsidRPr="00C96D27" w:rsidRDefault="00C96D27" w:rsidP="00C96D27">
            <w:pPr>
              <w:jc w:val="right"/>
              <w:rPr>
                <w:b/>
                <w:bCs/>
                <w:sz w:val="18"/>
                <w:szCs w:val="18"/>
                <w:lang w:eastAsia="tr-TR"/>
              </w:rPr>
            </w:pPr>
            <w:r w:rsidRPr="00C96D27">
              <w:rPr>
                <w:b/>
                <w:bCs/>
                <w:sz w:val="18"/>
                <w:szCs w:val="18"/>
                <w:lang w:eastAsia="tr-TR"/>
              </w:rPr>
              <w:t xml:space="preserve">Zarar Niteliğindeki Krediler </w:t>
            </w:r>
          </w:p>
        </w:tc>
      </w:tr>
      <w:tr w:rsidR="00C96D27" w:rsidRPr="00C96D27" w14:paraId="2614C153" w14:textId="77777777" w:rsidTr="009E4D69">
        <w:trPr>
          <w:divId w:val="432896614"/>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18721FBF" w14:textId="77777777" w:rsidR="00C96D27" w:rsidRPr="00C96D27" w:rsidRDefault="00C96D27" w:rsidP="00C96D27">
            <w:pPr>
              <w:jc w:val="both"/>
              <w:rPr>
                <w:b/>
                <w:bCs/>
                <w:sz w:val="18"/>
                <w:szCs w:val="18"/>
                <w:lang w:eastAsia="tr-TR"/>
              </w:rPr>
            </w:pPr>
            <w:r w:rsidRPr="00C96D27">
              <w:rPr>
                <w:b/>
                <w:bCs/>
                <w:sz w:val="18"/>
                <w:szCs w:val="18"/>
                <w:lang w:eastAsia="tr-TR"/>
              </w:rPr>
              <w:t>Cari Dönem (Net)</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6D38A7D8" w14:textId="77777777" w:rsidR="00C96D27" w:rsidRPr="00C96D27" w:rsidRDefault="00C96D27" w:rsidP="00C96D27">
            <w:pPr>
              <w:jc w:val="right"/>
              <w:rPr>
                <w:b/>
                <w:bCs/>
                <w:sz w:val="18"/>
                <w:szCs w:val="18"/>
                <w:lang w:eastAsia="tr-TR"/>
              </w:rPr>
            </w:pPr>
            <w:r w:rsidRPr="00C96D27">
              <w:rPr>
                <w:b/>
                <w:bCs/>
                <w:sz w:val="18"/>
                <w:szCs w:val="18"/>
                <w:lang w:eastAsia="tr-TR"/>
              </w:rPr>
              <w:t>423</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318BF1EC" w14:textId="77777777" w:rsidR="00C96D27" w:rsidRPr="00C96D27" w:rsidRDefault="00C96D27" w:rsidP="00C96D27">
            <w:pPr>
              <w:jc w:val="right"/>
              <w:rPr>
                <w:b/>
                <w:bCs/>
                <w:sz w:val="18"/>
                <w:szCs w:val="18"/>
                <w:lang w:eastAsia="tr-TR"/>
              </w:rPr>
            </w:pPr>
            <w:r w:rsidRPr="00C96D27">
              <w:rPr>
                <w:b/>
                <w:bCs/>
                <w:sz w:val="18"/>
                <w:szCs w:val="18"/>
                <w:lang w:eastAsia="tr-TR"/>
              </w:rPr>
              <w:t>34,750</w:t>
            </w:r>
          </w:p>
        </w:tc>
        <w:tc>
          <w:tcPr>
            <w:tcW w:w="1516" w:type="dxa"/>
            <w:tcBorders>
              <w:top w:val="single" w:sz="4" w:space="0" w:color="auto"/>
              <w:left w:val="nil"/>
              <w:bottom w:val="single" w:sz="4" w:space="0" w:color="auto"/>
              <w:right w:val="single" w:sz="4" w:space="0" w:color="auto"/>
            </w:tcBorders>
            <w:shd w:val="clear" w:color="auto" w:fill="auto"/>
            <w:vAlign w:val="center"/>
            <w:hideMark/>
          </w:tcPr>
          <w:p w14:paraId="60CCA64D" w14:textId="77777777" w:rsidR="00C96D27" w:rsidRPr="00C96D27" w:rsidRDefault="00C96D27" w:rsidP="00C96D27">
            <w:pPr>
              <w:jc w:val="right"/>
              <w:rPr>
                <w:b/>
                <w:bCs/>
                <w:sz w:val="18"/>
                <w:szCs w:val="18"/>
                <w:lang w:eastAsia="tr-TR"/>
              </w:rPr>
            </w:pPr>
            <w:r w:rsidRPr="00C96D27">
              <w:rPr>
                <w:b/>
                <w:bCs/>
                <w:sz w:val="18"/>
                <w:szCs w:val="18"/>
                <w:lang w:eastAsia="tr-TR"/>
              </w:rPr>
              <w:t>26,247</w:t>
            </w:r>
          </w:p>
        </w:tc>
      </w:tr>
      <w:tr w:rsidR="00C96D27" w:rsidRPr="00C96D27" w14:paraId="07296C34" w14:textId="77777777" w:rsidTr="00C96D27">
        <w:trPr>
          <w:divId w:val="432896614"/>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05494F78" w14:textId="77777777" w:rsidR="00C96D27" w:rsidRPr="00C96D27" w:rsidRDefault="00C96D27" w:rsidP="00C96D27">
            <w:pPr>
              <w:jc w:val="both"/>
              <w:rPr>
                <w:sz w:val="18"/>
                <w:szCs w:val="18"/>
                <w:lang w:eastAsia="tr-TR"/>
              </w:rPr>
            </w:pPr>
            <w:r w:rsidRPr="00C96D27">
              <w:rPr>
                <w:sz w:val="18"/>
                <w:szCs w:val="18"/>
                <w:lang w:eastAsia="tr-TR"/>
              </w:rPr>
              <w:t>Kar Payı Tahakkuk ve Reeskontları ile Değerleme Farkları</w:t>
            </w:r>
          </w:p>
        </w:tc>
        <w:tc>
          <w:tcPr>
            <w:tcW w:w="1501" w:type="dxa"/>
            <w:tcBorders>
              <w:top w:val="nil"/>
              <w:left w:val="nil"/>
              <w:bottom w:val="single" w:sz="4" w:space="0" w:color="auto"/>
              <w:right w:val="single" w:sz="4" w:space="0" w:color="auto"/>
            </w:tcBorders>
            <w:shd w:val="clear" w:color="auto" w:fill="auto"/>
            <w:vAlign w:val="center"/>
            <w:hideMark/>
          </w:tcPr>
          <w:p w14:paraId="687A588D" w14:textId="77777777" w:rsidR="00C96D27" w:rsidRPr="00C96D27" w:rsidRDefault="00C96D27" w:rsidP="00C96D27">
            <w:pPr>
              <w:jc w:val="right"/>
              <w:rPr>
                <w:sz w:val="18"/>
                <w:szCs w:val="18"/>
                <w:lang w:eastAsia="tr-TR"/>
              </w:rPr>
            </w:pPr>
            <w:r w:rsidRPr="00C96D27">
              <w:rPr>
                <w:sz w:val="18"/>
                <w:szCs w:val="18"/>
                <w:lang w:eastAsia="tr-TR"/>
              </w:rPr>
              <w:t>868</w:t>
            </w:r>
          </w:p>
        </w:tc>
        <w:tc>
          <w:tcPr>
            <w:tcW w:w="1501" w:type="dxa"/>
            <w:tcBorders>
              <w:top w:val="nil"/>
              <w:left w:val="nil"/>
              <w:bottom w:val="single" w:sz="4" w:space="0" w:color="auto"/>
              <w:right w:val="single" w:sz="4" w:space="0" w:color="auto"/>
            </w:tcBorders>
            <w:shd w:val="clear" w:color="auto" w:fill="auto"/>
            <w:vAlign w:val="center"/>
            <w:hideMark/>
          </w:tcPr>
          <w:p w14:paraId="38A40EA3" w14:textId="77777777" w:rsidR="00C96D27" w:rsidRPr="00C96D27" w:rsidRDefault="00C96D27" w:rsidP="00C96D27">
            <w:pPr>
              <w:jc w:val="right"/>
              <w:rPr>
                <w:sz w:val="18"/>
                <w:szCs w:val="18"/>
                <w:lang w:eastAsia="tr-TR"/>
              </w:rPr>
            </w:pPr>
            <w:r w:rsidRPr="00C96D27">
              <w:rPr>
                <w:sz w:val="18"/>
                <w:szCs w:val="18"/>
                <w:lang w:eastAsia="tr-TR"/>
              </w:rPr>
              <w:t>92,636</w:t>
            </w:r>
          </w:p>
        </w:tc>
        <w:tc>
          <w:tcPr>
            <w:tcW w:w="1516" w:type="dxa"/>
            <w:tcBorders>
              <w:top w:val="nil"/>
              <w:left w:val="nil"/>
              <w:bottom w:val="single" w:sz="4" w:space="0" w:color="auto"/>
              <w:right w:val="single" w:sz="4" w:space="0" w:color="auto"/>
            </w:tcBorders>
            <w:shd w:val="clear" w:color="auto" w:fill="auto"/>
            <w:vAlign w:val="center"/>
            <w:hideMark/>
          </w:tcPr>
          <w:p w14:paraId="08D24EE5" w14:textId="77777777" w:rsidR="00C96D27" w:rsidRPr="00C96D27" w:rsidRDefault="00C96D27" w:rsidP="00C96D27">
            <w:pPr>
              <w:jc w:val="right"/>
              <w:rPr>
                <w:sz w:val="18"/>
                <w:szCs w:val="18"/>
                <w:lang w:eastAsia="tr-TR"/>
              </w:rPr>
            </w:pPr>
            <w:r w:rsidRPr="00C96D27">
              <w:rPr>
                <w:sz w:val="18"/>
                <w:szCs w:val="18"/>
                <w:lang w:eastAsia="tr-TR"/>
              </w:rPr>
              <w:t>233,425</w:t>
            </w:r>
          </w:p>
        </w:tc>
      </w:tr>
      <w:tr w:rsidR="00C96D27" w:rsidRPr="00C96D27" w14:paraId="15EDA16C" w14:textId="77777777" w:rsidTr="00C96D27">
        <w:trPr>
          <w:divId w:val="432896614"/>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5B28C588" w14:textId="77777777" w:rsidR="00C96D27" w:rsidRPr="00C96D27" w:rsidRDefault="00C96D27" w:rsidP="00C96D27">
            <w:pPr>
              <w:jc w:val="both"/>
              <w:rPr>
                <w:sz w:val="18"/>
                <w:szCs w:val="18"/>
                <w:lang w:eastAsia="tr-TR"/>
              </w:rPr>
            </w:pPr>
            <w:r w:rsidRPr="00C96D27">
              <w:rPr>
                <w:sz w:val="18"/>
                <w:szCs w:val="18"/>
                <w:lang w:eastAsia="tr-TR"/>
              </w:rPr>
              <w:t>Karşılık Tutarı (-)</w:t>
            </w:r>
          </w:p>
        </w:tc>
        <w:tc>
          <w:tcPr>
            <w:tcW w:w="1501" w:type="dxa"/>
            <w:tcBorders>
              <w:top w:val="nil"/>
              <w:left w:val="nil"/>
              <w:bottom w:val="single" w:sz="4" w:space="0" w:color="auto"/>
              <w:right w:val="single" w:sz="4" w:space="0" w:color="auto"/>
            </w:tcBorders>
            <w:shd w:val="clear" w:color="auto" w:fill="auto"/>
            <w:vAlign w:val="center"/>
            <w:hideMark/>
          </w:tcPr>
          <w:p w14:paraId="462EC68D" w14:textId="77777777" w:rsidR="00C96D27" w:rsidRPr="00C96D27" w:rsidRDefault="00C96D27" w:rsidP="00C96D27">
            <w:pPr>
              <w:jc w:val="right"/>
              <w:rPr>
                <w:sz w:val="18"/>
                <w:szCs w:val="18"/>
                <w:lang w:eastAsia="tr-TR"/>
              </w:rPr>
            </w:pPr>
            <w:r w:rsidRPr="00C96D27">
              <w:rPr>
                <w:sz w:val="18"/>
                <w:szCs w:val="18"/>
                <w:lang w:eastAsia="tr-TR"/>
              </w:rPr>
              <w:t>445</w:t>
            </w:r>
          </w:p>
        </w:tc>
        <w:tc>
          <w:tcPr>
            <w:tcW w:w="1501" w:type="dxa"/>
            <w:tcBorders>
              <w:top w:val="nil"/>
              <w:left w:val="nil"/>
              <w:bottom w:val="single" w:sz="4" w:space="0" w:color="auto"/>
              <w:right w:val="single" w:sz="4" w:space="0" w:color="auto"/>
            </w:tcBorders>
            <w:shd w:val="clear" w:color="auto" w:fill="auto"/>
            <w:vAlign w:val="center"/>
            <w:hideMark/>
          </w:tcPr>
          <w:p w14:paraId="0B83E864" w14:textId="77777777" w:rsidR="00C96D27" w:rsidRPr="00C96D27" w:rsidRDefault="00C96D27" w:rsidP="00C96D27">
            <w:pPr>
              <w:jc w:val="right"/>
              <w:rPr>
                <w:sz w:val="18"/>
                <w:szCs w:val="18"/>
                <w:lang w:eastAsia="tr-TR"/>
              </w:rPr>
            </w:pPr>
            <w:r w:rsidRPr="00C96D27">
              <w:rPr>
                <w:sz w:val="18"/>
                <w:szCs w:val="18"/>
                <w:lang w:eastAsia="tr-TR"/>
              </w:rPr>
              <w:t>57,886</w:t>
            </w:r>
          </w:p>
        </w:tc>
        <w:tc>
          <w:tcPr>
            <w:tcW w:w="1516" w:type="dxa"/>
            <w:tcBorders>
              <w:top w:val="nil"/>
              <w:left w:val="nil"/>
              <w:bottom w:val="single" w:sz="4" w:space="0" w:color="auto"/>
              <w:right w:val="single" w:sz="4" w:space="0" w:color="auto"/>
            </w:tcBorders>
            <w:shd w:val="clear" w:color="auto" w:fill="auto"/>
            <w:vAlign w:val="center"/>
            <w:hideMark/>
          </w:tcPr>
          <w:p w14:paraId="5E76FDA6" w14:textId="77777777" w:rsidR="00C96D27" w:rsidRPr="00C96D27" w:rsidRDefault="00C96D27" w:rsidP="00C96D27">
            <w:pPr>
              <w:jc w:val="right"/>
              <w:rPr>
                <w:sz w:val="18"/>
                <w:szCs w:val="18"/>
                <w:lang w:eastAsia="tr-TR"/>
              </w:rPr>
            </w:pPr>
            <w:r w:rsidRPr="00C96D27">
              <w:rPr>
                <w:sz w:val="18"/>
                <w:szCs w:val="18"/>
                <w:lang w:eastAsia="tr-TR"/>
              </w:rPr>
              <w:t>207,178</w:t>
            </w:r>
          </w:p>
        </w:tc>
      </w:tr>
    </w:tbl>
    <w:p w14:paraId="520218FC" w14:textId="77777777" w:rsidR="009E4D69" w:rsidRPr="00D00B32" w:rsidRDefault="009E4D69" w:rsidP="009E4D69">
      <w:pPr>
        <w:pStyle w:val="BodyTextIndent"/>
        <w:tabs>
          <w:tab w:val="left" w:pos="709"/>
        </w:tabs>
        <w:ind w:left="0" w:firstLine="0"/>
        <w:rPr>
          <w:lang w:eastAsia="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6"/>
        <w:gridCol w:w="1386"/>
        <w:gridCol w:w="1560"/>
        <w:gridCol w:w="1504"/>
      </w:tblGrid>
      <w:tr w:rsidR="009E4D69" w:rsidRPr="00136F01" w14:paraId="63D24B30" w14:textId="77777777" w:rsidTr="009E4D69">
        <w:trPr>
          <w:trHeight w:val="254"/>
        </w:trPr>
        <w:tc>
          <w:tcPr>
            <w:tcW w:w="4846" w:type="dxa"/>
            <w:shd w:val="clear" w:color="auto" w:fill="auto"/>
            <w:vAlign w:val="center"/>
            <w:hideMark/>
          </w:tcPr>
          <w:p w14:paraId="3585534A" w14:textId="77777777" w:rsidR="009E4D69" w:rsidRPr="00136F01" w:rsidRDefault="009E4D69" w:rsidP="00454F41">
            <w:pPr>
              <w:jc w:val="both"/>
              <w:rPr>
                <w:sz w:val="18"/>
                <w:szCs w:val="18"/>
                <w:lang w:eastAsia="tr-TR"/>
              </w:rPr>
            </w:pPr>
            <w:r w:rsidRPr="00136F01">
              <w:rPr>
                <w:sz w:val="18"/>
                <w:szCs w:val="18"/>
                <w:lang w:eastAsia="tr-TR"/>
              </w:rPr>
              <w:t xml:space="preserve">  </w:t>
            </w:r>
          </w:p>
        </w:tc>
        <w:tc>
          <w:tcPr>
            <w:tcW w:w="1386" w:type="dxa"/>
            <w:shd w:val="clear" w:color="auto" w:fill="auto"/>
            <w:vAlign w:val="center"/>
            <w:hideMark/>
          </w:tcPr>
          <w:p w14:paraId="56D90C42" w14:textId="77777777" w:rsidR="009E4D69" w:rsidRPr="00136F01" w:rsidRDefault="009E4D69" w:rsidP="00454F41">
            <w:pPr>
              <w:jc w:val="right"/>
              <w:rPr>
                <w:b/>
                <w:bCs/>
                <w:sz w:val="18"/>
                <w:szCs w:val="18"/>
                <w:lang w:eastAsia="tr-TR"/>
              </w:rPr>
            </w:pPr>
            <w:r w:rsidRPr="00136F01">
              <w:rPr>
                <w:b/>
                <w:bCs/>
                <w:sz w:val="18"/>
                <w:szCs w:val="18"/>
                <w:lang w:eastAsia="tr-TR"/>
              </w:rPr>
              <w:t>III. Grup</w:t>
            </w:r>
          </w:p>
        </w:tc>
        <w:tc>
          <w:tcPr>
            <w:tcW w:w="1560" w:type="dxa"/>
            <w:shd w:val="clear" w:color="auto" w:fill="auto"/>
            <w:vAlign w:val="center"/>
            <w:hideMark/>
          </w:tcPr>
          <w:p w14:paraId="5FB819AA" w14:textId="77777777" w:rsidR="009E4D69" w:rsidRPr="00136F01" w:rsidRDefault="009E4D69" w:rsidP="00454F41">
            <w:pPr>
              <w:jc w:val="right"/>
              <w:rPr>
                <w:b/>
                <w:bCs/>
                <w:sz w:val="18"/>
                <w:szCs w:val="18"/>
                <w:lang w:eastAsia="tr-TR"/>
              </w:rPr>
            </w:pPr>
            <w:r w:rsidRPr="00136F01">
              <w:rPr>
                <w:b/>
                <w:bCs/>
                <w:sz w:val="18"/>
                <w:szCs w:val="18"/>
                <w:lang w:eastAsia="tr-TR"/>
              </w:rPr>
              <w:t>IV. Grup</w:t>
            </w:r>
          </w:p>
        </w:tc>
        <w:tc>
          <w:tcPr>
            <w:tcW w:w="1504" w:type="dxa"/>
            <w:shd w:val="clear" w:color="auto" w:fill="auto"/>
            <w:vAlign w:val="center"/>
            <w:hideMark/>
          </w:tcPr>
          <w:p w14:paraId="34BD78DB" w14:textId="77777777" w:rsidR="009E4D69" w:rsidRPr="00136F01" w:rsidRDefault="009E4D69" w:rsidP="00454F41">
            <w:pPr>
              <w:jc w:val="right"/>
              <w:rPr>
                <w:b/>
                <w:bCs/>
                <w:sz w:val="18"/>
                <w:szCs w:val="18"/>
                <w:lang w:eastAsia="tr-TR"/>
              </w:rPr>
            </w:pPr>
            <w:r w:rsidRPr="00136F01">
              <w:rPr>
                <w:b/>
                <w:bCs/>
                <w:sz w:val="18"/>
                <w:szCs w:val="18"/>
                <w:lang w:eastAsia="tr-TR"/>
              </w:rPr>
              <w:t>V. Grup</w:t>
            </w:r>
          </w:p>
        </w:tc>
      </w:tr>
      <w:tr w:rsidR="009E4D69" w:rsidRPr="00136F01" w14:paraId="4F6270B4" w14:textId="77777777" w:rsidTr="009E4D69">
        <w:trPr>
          <w:trHeight w:val="396"/>
        </w:trPr>
        <w:tc>
          <w:tcPr>
            <w:tcW w:w="4846" w:type="dxa"/>
            <w:shd w:val="clear" w:color="auto" w:fill="auto"/>
            <w:vAlign w:val="center"/>
            <w:hideMark/>
          </w:tcPr>
          <w:p w14:paraId="159B6448" w14:textId="77777777" w:rsidR="009E4D69" w:rsidRPr="00136F01" w:rsidRDefault="009E4D69" w:rsidP="00454F41">
            <w:pPr>
              <w:jc w:val="both"/>
              <w:rPr>
                <w:sz w:val="18"/>
                <w:szCs w:val="18"/>
                <w:lang w:eastAsia="tr-TR"/>
              </w:rPr>
            </w:pPr>
            <w:r w:rsidRPr="00136F01">
              <w:rPr>
                <w:sz w:val="18"/>
                <w:szCs w:val="18"/>
                <w:lang w:eastAsia="tr-TR"/>
              </w:rPr>
              <w:t> </w:t>
            </w:r>
          </w:p>
        </w:tc>
        <w:tc>
          <w:tcPr>
            <w:tcW w:w="1386" w:type="dxa"/>
            <w:shd w:val="clear" w:color="auto" w:fill="auto"/>
            <w:vAlign w:val="center"/>
            <w:hideMark/>
          </w:tcPr>
          <w:p w14:paraId="0562CA98" w14:textId="77777777" w:rsidR="009E4D69" w:rsidRPr="00136F01" w:rsidRDefault="009E4D69" w:rsidP="00454F41">
            <w:pPr>
              <w:jc w:val="right"/>
              <w:rPr>
                <w:b/>
                <w:bCs/>
                <w:sz w:val="18"/>
                <w:szCs w:val="18"/>
                <w:lang w:eastAsia="tr-TR"/>
              </w:rPr>
            </w:pPr>
            <w:r w:rsidRPr="00136F01">
              <w:rPr>
                <w:b/>
                <w:bCs/>
                <w:sz w:val="18"/>
                <w:szCs w:val="18"/>
                <w:lang w:eastAsia="tr-TR"/>
              </w:rPr>
              <w:t xml:space="preserve">Tahsil </w:t>
            </w:r>
            <w:proofErr w:type="gramStart"/>
            <w:r w:rsidRPr="00136F01">
              <w:rPr>
                <w:b/>
                <w:bCs/>
                <w:sz w:val="18"/>
                <w:szCs w:val="18"/>
                <w:lang w:eastAsia="tr-TR"/>
              </w:rPr>
              <w:t>İmkanı</w:t>
            </w:r>
            <w:proofErr w:type="gramEnd"/>
            <w:r w:rsidRPr="00136F01">
              <w:rPr>
                <w:b/>
                <w:bCs/>
                <w:sz w:val="18"/>
                <w:szCs w:val="18"/>
                <w:lang w:eastAsia="tr-TR"/>
              </w:rPr>
              <w:t xml:space="preserve"> Sınırlı Krediler </w:t>
            </w:r>
          </w:p>
        </w:tc>
        <w:tc>
          <w:tcPr>
            <w:tcW w:w="1560" w:type="dxa"/>
            <w:shd w:val="clear" w:color="auto" w:fill="auto"/>
            <w:vAlign w:val="center"/>
            <w:hideMark/>
          </w:tcPr>
          <w:p w14:paraId="3A02D1AE" w14:textId="77777777" w:rsidR="009E4D69" w:rsidRPr="00136F01" w:rsidRDefault="009E4D69" w:rsidP="00454F41">
            <w:pPr>
              <w:jc w:val="right"/>
              <w:rPr>
                <w:b/>
                <w:bCs/>
                <w:sz w:val="18"/>
                <w:szCs w:val="18"/>
                <w:lang w:eastAsia="tr-TR"/>
              </w:rPr>
            </w:pPr>
            <w:r w:rsidRPr="00136F01">
              <w:rPr>
                <w:b/>
                <w:bCs/>
                <w:sz w:val="18"/>
                <w:szCs w:val="18"/>
                <w:lang w:eastAsia="tr-TR"/>
              </w:rPr>
              <w:t xml:space="preserve">Tahsili Şüpheli Krediler </w:t>
            </w:r>
          </w:p>
        </w:tc>
        <w:tc>
          <w:tcPr>
            <w:tcW w:w="1504" w:type="dxa"/>
            <w:shd w:val="clear" w:color="auto" w:fill="auto"/>
            <w:vAlign w:val="center"/>
            <w:hideMark/>
          </w:tcPr>
          <w:p w14:paraId="1932DD59" w14:textId="77777777" w:rsidR="009E4D69" w:rsidRPr="00136F01" w:rsidRDefault="009E4D69" w:rsidP="00454F41">
            <w:pPr>
              <w:jc w:val="right"/>
              <w:rPr>
                <w:b/>
                <w:bCs/>
                <w:sz w:val="18"/>
                <w:szCs w:val="18"/>
                <w:lang w:eastAsia="tr-TR"/>
              </w:rPr>
            </w:pPr>
            <w:r w:rsidRPr="00136F01">
              <w:rPr>
                <w:b/>
                <w:bCs/>
                <w:sz w:val="18"/>
                <w:szCs w:val="18"/>
                <w:lang w:eastAsia="tr-TR"/>
              </w:rPr>
              <w:t xml:space="preserve">Zarar Niteliğindeki Krediler </w:t>
            </w:r>
          </w:p>
        </w:tc>
      </w:tr>
      <w:tr w:rsidR="009E4D69" w:rsidRPr="00136F01" w14:paraId="3F49CA2F" w14:textId="77777777" w:rsidTr="009E4D69">
        <w:trPr>
          <w:trHeight w:val="226"/>
        </w:trPr>
        <w:tc>
          <w:tcPr>
            <w:tcW w:w="4846" w:type="dxa"/>
            <w:shd w:val="clear" w:color="auto" w:fill="auto"/>
            <w:vAlign w:val="center"/>
            <w:hideMark/>
          </w:tcPr>
          <w:p w14:paraId="0E8A8D46" w14:textId="0CB3BC1D" w:rsidR="009E4D69" w:rsidRPr="00136F01" w:rsidRDefault="00C5468E" w:rsidP="00454F41">
            <w:pPr>
              <w:jc w:val="both"/>
              <w:rPr>
                <w:b/>
                <w:bCs/>
                <w:sz w:val="18"/>
                <w:szCs w:val="18"/>
                <w:lang w:eastAsia="tr-TR"/>
              </w:rPr>
            </w:pPr>
            <w:r>
              <w:rPr>
                <w:b/>
                <w:bCs/>
                <w:sz w:val="18"/>
                <w:szCs w:val="18"/>
                <w:lang w:eastAsia="tr-TR"/>
              </w:rPr>
              <w:t>Önceki</w:t>
            </w:r>
            <w:r w:rsidR="009E4D69" w:rsidRPr="00136F01">
              <w:rPr>
                <w:b/>
                <w:bCs/>
                <w:sz w:val="18"/>
                <w:szCs w:val="18"/>
                <w:lang w:eastAsia="tr-TR"/>
              </w:rPr>
              <w:t xml:space="preserve"> Dönem (Net)</w:t>
            </w:r>
          </w:p>
        </w:tc>
        <w:tc>
          <w:tcPr>
            <w:tcW w:w="1386" w:type="dxa"/>
            <w:shd w:val="clear" w:color="auto" w:fill="auto"/>
            <w:vAlign w:val="center"/>
            <w:hideMark/>
          </w:tcPr>
          <w:p w14:paraId="745A6EC6" w14:textId="77777777" w:rsidR="009E4D69" w:rsidRPr="00136F01" w:rsidRDefault="009E4D69" w:rsidP="00454F41">
            <w:pPr>
              <w:jc w:val="right"/>
              <w:rPr>
                <w:b/>
                <w:bCs/>
                <w:sz w:val="18"/>
                <w:szCs w:val="18"/>
                <w:lang w:eastAsia="tr-TR"/>
              </w:rPr>
            </w:pPr>
            <w:r w:rsidRPr="00136F01">
              <w:rPr>
                <w:b/>
                <w:bCs/>
                <w:sz w:val="18"/>
                <w:szCs w:val="18"/>
                <w:lang w:eastAsia="tr-TR"/>
              </w:rPr>
              <w:t>7,824</w:t>
            </w:r>
          </w:p>
        </w:tc>
        <w:tc>
          <w:tcPr>
            <w:tcW w:w="1560" w:type="dxa"/>
            <w:shd w:val="clear" w:color="auto" w:fill="auto"/>
            <w:vAlign w:val="center"/>
            <w:hideMark/>
          </w:tcPr>
          <w:p w14:paraId="4C58928C" w14:textId="77777777" w:rsidR="009E4D69" w:rsidRPr="00136F01" w:rsidRDefault="009E4D69" w:rsidP="00454F41">
            <w:pPr>
              <w:jc w:val="right"/>
              <w:rPr>
                <w:b/>
                <w:bCs/>
                <w:sz w:val="18"/>
                <w:szCs w:val="18"/>
                <w:lang w:eastAsia="tr-TR"/>
              </w:rPr>
            </w:pPr>
            <w:r w:rsidRPr="00136F01">
              <w:rPr>
                <w:b/>
                <w:bCs/>
                <w:sz w:val="18"/>
                <w:szCs w:val="18"/>
                <w:lang w:eastAsia="tr-TR"/>
              </w:rPr>
              <w:t>8,150</w:t>
            </w:r>
          </w:p>
        </w:tc>
        <w:tc>
          <w:tcPr>
            <w:tcW w:w="1504" w:type="dxa"/>
            <w:shd w:val="clear" w:color="auto" w:fill="auto"/>
            <w:vAlign w:val="center"/>
            <w:hideMark/>
          </w:tcPr>
          <w:p w14:paraId="7CFADEFF" w14:textId="77777777" w:rsidR="009E4D69" w:rsidRPr="00136F01" w:rsidRDefault="009E4D69" w:rsidP="00454F41">
            <w:pPr>
              <w:jc w:val="right"/>
              <w:rPr>
                <w:b/>
                <w:bCs/>
                <w:sz w:val="18"/>
                <w:szCs w:val="18"/>
                <w:lang w:eastAsia="tr-TR"/>
              </w:rPr>
            </w:pPr>
            <w:r w:rsidRPr="00136F01">
              <w:rPr>
                <w:b/>
                <w:bCs/>
                <w:sz w:val="18"/>
                <w:szCs w:val="18"/>
                <w:lang w:eastAsia="tr-TR"/>
              </w:rPr>
              <w:t>43,927</w:t>
            </w:r>
          </w:p>
        </w:tc>
      </w:tr>
      <w:tr w:rsidR="009E4D69" w:rsidRPr="00136F01" w14:paraId="05D7E716" w14:textId="77777777" w:rsidTr="009E4D69">
        <w:trPr>
          <w:trHeight w:val="226"/>
        </w:trPr>
        <w:tc>
          <w:tcPr>
            <w:tcW w:w="4846" w:type="dxa"/>
            <w:shd w:val="clear" w:color="auto" w:fill="auto"/>
            <w:vAlign w:val="center"/>
            <w:hideMark/>
          </w:tcPr>
          <w:p w14:paraId="0CDE3622" w14:textId="77777777" w:rsidR="009E4D69" w:rsidRPr="00136F01" w:rsidRDefault="009E4D69" w:rsidP="00454F41">
            <w:pPr>
              <w:jc w:val="both"/>
              <w:rPr>
                <w:sz w:val="18"/>
                <w:szCs w:val="18"/>
                <w:lang w:eastAsia="tr-TR"/>
              </w:rPr>
            </w:pPr>
            <w:r w:rsidRPr="00136F01">
              <w:rPr>
                <w:sz w:val="18"/>
                <w:szCs w:val="18"/>
                <w:lang w:eastAsia="tr-TR"/>
              </w:rPr>
              <w:t>Kar Payı Tahakkuk ve Reeskontları ile Değerleme Farkları</w:t>
            </w:r>
          </w:p>
        </w:tc>
        <w:tc>
          <w:tcPr>
            <w:tcW w:w="1386" w:type="dxa"/>
            <w:shd w:val="clear" w:color="auto" w:fill="auto"/>
            <w:vAlign w:val="center"/>
            <w:hideMark/>
          </w:tcPr>
          <w:p w14:paraId="43CF6DA6" w14:textId="77777777" w:rsidR="009E4D69" w:rsidRPr="00136F01" w:rsidRDefault="009E4D69" w:rsidP="00454F41">
            <w:pPr>
              <w:jc w:val="right"/>
              <w:rPr>
                <w:sz w:val="18"/>
                <w:szCs w:val="18"/>
                <w:lang w:eastAsia="tr-TR"/>
              </w:rPr>
            </w:pPr>
            <w:r w:rsidRPr="00136F01">
              <w:rPr>
                <w:sz w:val="18"/>
                <w:szCs w:val="18"/>
                <w:lang w:eastAsia="tr-TR"/>
              </w:rPr>
              <w:t>18,748</w:t>
            </w:r>
          </w:p>
        </w:tc>
        <w:tc>
          <w:tcPr>
            <w:tcW w:w="1560" w:type="dxa"/>
            <w:shd w:val="clear" w:color="auto" w:fill="auto"/>
            <w:vAlign w:val="center"/>
            <w:hideMark/>
          </w:tcPr>
          <w:p w14:paraId="07AE5518" w14:textId="77777777" w:rsidR="009E4D69" w:rsidRPr="00136F01" w:rsidRDefault="009E4D69" w:rsidP="00454F41">
            <w:pPr>
              <w:jc w:val="right"/>
              <w:rPr>
                <w:sz w:val="18"/>
                <w:szCs w:val="18"/>
                <w:lang w:eastAsia="tr-TR"/>
              </w:rPr>
            </w:pPr>
            <w:r w:rsidRPr="00136F01">
              <w:rPr>
                <w:sz w:val="18"/>
                <w:szCs w:val="18"/>
                <w:lang w:eastAsia="tr-TR"/>
              </w:rPr>
              <w:t>25,908</w:t>
            </w:r>
          </w:p>
        </w:tc>
        <w:tc>
          <w:tcPr>
            <w:tcW w:w="1504" w:type="dxa"/>
            <w:shd w:val="clear" w:color="auto" w:fill="auto"/>
            <w:vAlign w:val="center"/>
            <w:hideMark/>
          </w:tcPr>
          <w:p w14:paraId="460340C0" w14:textId="77777777" w:rsidR="009E4D69" w:rsidRPr="00136F01" w:rsidRDefault="009E4D69" w:rsidP="00454F41">
            <w:pPr>
              <w:jc w:val="right"/>
              <w:rPr>
                <w:sz w:val="18"/>
                <w:szCs w:val="18"/>
                <w:lang w:eastAsia="tr-TR"/>
              </w:rPr>
            </w:pPr>
            <w:r w:rsidRPr="00136F01">
              <w:rPr>
                <w:sz w:val="18"/>
                <w:szCs w:val="18"/>
                <w:lang w:eastAsia="tr-TR"/>
              </w:rPr>
              <w:t>207,675</w:t>
            </w:r>
          </w:p>
        </w:tc>
      </w:tr>
      <w:tr w:rsidR="009E4D69" w:rsidRPr="00136F01" w14:paraId="65FCFA71" w14:textId="77777777" w:rsidTr="009E4D69">
        <w:trPr>
          <w:trHeight w:val="226"/>
        </w:trPr>
        <w:tc>
          <w:tcPr>
            <w:tcW w:w="4846" w:type="dxa"/>
            <w:shd w:val="clear" w:color="auto" w:fill="auto"/>
            <w:vAlign w:val="center"/>
            <w:hideMark/>
          </w:tcPr>
          <w:p w14:paraId="46C8E898" w14:textId="77777777" w:rsidR="009E4D69" w:rsidRPr="00136F01" w:rsidRDefault="009E4D69" w:rsidP="00454F41">
            <w:pPr>
              <w:jc w:val="both"/>
              <w:rPr>
                <w:sz w:val="18"/>
                <w:szCs w:val="18"/>
                <w:lang w:eastAsia="tr-TR"/>
              </w:rPr>
            </w:pPr>
            <w:r w:rsidRPr="00136F01">
              <w:rPr>
                <w:sz w:val="18"/>
                <w:szCs w:val="18"/>
                <w:lang w:eastAsia="tr-TR"/>
              </w:rPr>
              <w:t>Karşılık Tutarı (-)</w:t>
            </w:r>
          </w:p>
        </w:tc>
        <w:tc>
          <w:tcPr>
            <w:tcW w:w="1386" w:type="dxa"/>
            <w:shd w:val="clear" w:color="auto" w:fill="auto"/>
            <w:vAlign w:val="center"/>
            <w:hideMark/>
          </w:tcPr>
          <w:p w14:paraId="248FF280" w14:textId="77777777" w:rsidR="009E4D69" w:rsidRPr="00136F01" w:rsidRDefault="009E4D69" w:rsidP="00454F41">
            <w:pPr>
              <w:jc w:val="right"/>
              <w:rPr>
                <w:sz w:val="18"/>
                <w:szCs w:val="18"/>
                <w:lang w:eastAsia="tr-TR"/>
              </w:rPr>
            </w:pPr>
            <w:r w:rsidRPr="00136F01">
              <w:rPr>
                <w:sz w:val="18"/>
                <w:szCs w:val="18"/>
                <w:lang w:eastAsia="tr-TR"/>
              </w:rPr>
              <w:t>10,924</w:t>
            </w:r>
          </w:p>
        </w:tc>
        <w:tc>
          <w:tcPr>
            <w:tcW w:w="1560" w:type="dxa"/>
            <w:shd w:val="clear" w:color="auto" w:fill="auto"/>
            <w:vAlign w:val="center"/>
            <w:hideMark/>
          </w:tcPr>
          <w:p w14:paraId="4156E5D4" w14:textId="77777777" w:rsidR="009E4D69" w:rsidRPr="00136F01" w:rsidRDefault="009E4D69" w:rsidP="00454F41">
            <w:pPr>
              <w:jc w:val="right"/>
              <w:rPr>
                <w:sz w:val="18"/>
                <w:szCs w:val="18"/>
                <w:lang w:eastAsia="tr-TR"/>
              </w:rPr>
            </w:pPr>
            <w:r w:rsidRPr="00136F01">
              <w:rPr>
                <w:sz w:val="18"/>
                <w:szCs w:val="18"/>
                <w:lang w:eastAsia="tr-TR"/>
              </w:rPr>
              <w:t>17,758</w:t>
            </w:r>
          </w:p>
        </w:tc>
        <w:tc>
          <w:tcPr>
            <w:tcW w:w="1504" w:type="dxa"/>
            <w:shd w:val="clear" w:color="auto" w:fill="auto"/>
            <w:vAlign w:val="center"/>
            <w:hideMark/>
          </w:tcPr>
          <w:p w14:paraId="3DBBBAE0" w14:textId="77777777" w:rsidR="009E4D69" w:rsidRPr="00136F01" w:rsidRDefault="009E4D69" w:rsidP="00454F41">
            <w:pPr>
              <w:jc w:val="right"/>
              <w:rPr>
                <w:sz w:val="18"/>
                <w:szCs w:val="18"/>
                <w:lang w:eastAsia="tr-TR"/>
              </w:rPr>
            </w:pPr>
            <w:r w:rsidRPr="00136F01">
              <w:rPr>
                <w:sz w:val="18"/>
                <w:szCs w:val="18"/>
                <w:lang w:eastAsia="tr-TR"/>
              </w:rPr>
              <w:t>163,748</w:t>
            </w:r>
          </w:p>
        </w:tc>
      </w:tr>
    </w:tbl>
    <w:p w14:paraId="3B24C09A" w14:textId="258D208F" w:rsidR="00BA637F" w:rsidRDefault="00BA637F" w:rsidP="00932FED">
      <w:pPr>
        <w:pStyle w:val="BodyTextIndent"/>
        <w:tabs>
          <w:tab w:val="left" w:pos="709"/>
        </w:tabs>
        <w:ind w:left="0" w:firstLine="0"/>
        <w:rPr>
          <w:b/>
          <w:highlight w:val="yellow"/>
        </w:rPr>
      </w:pPr>
    </w:p>
    <w:p w14:paraId="11668871" w14:textId="77777777" w:rsidR="00BA637F" w:rsidRDefault="00BA637F">
      <w:pPr>
        <w:rPr>
          <w:b/>
          <w:highlight w:val="yellow"/>
          <w:lang w:eastAsia="x-none"/>
        </w:rPr>
      </w:pPr>
      <w:r>
        <w:rPr>
          <w:b/>
          <w:highlight w:val="yellow"/>
        </w:rPr>
        <w:br w:type="page"/>
      </w:r>
    </w:p>
    <w:p w14:paraId="0BFDA865" w14:textId="6CF982A4" w:rsidR="00BD26C1" w:rsidRPr="00753D80" w:rsidRDefault="00B43D83" w:rsidP="00A023D6">
      <w:pPr>
        <w:pStyle w:val="BodyTextIndent"/>
        <w:tabs>
          <w:tab w:val="left" w:pos="709"/>
        </w:tabs>
        <w:ind w:left="0" w:hanging="567"/>
      </w:pPr>
      <w:r w:rsidRPr="00753D80">
        <w:rPr>
          <w:b/>
        </w:rPr>
        <w:lastRenderedPageBreak/>
        <w:t>1.5.</w:t>
      </w:r>
      <w:r w:rsidR="00C95B75" w:rsidRPr="00753D80">
        <w:rPr>
          <w:b/>
        </w:rPr>
        <w:t>1</w:t>
      </w:r>
      <w:r w:rsidR="00040BD7" w:rsidRPr="00753D80">
        <w:rPr>
          <w:b/>
        </w:rPr>
        <w:t>1</w:t>
      </w:r>
      <w:r w:rsidR="0048609D" w:rsidRPr="00753D80">
        <w:rPr>
          <w:b/>
        </w:rPr>
        <w:t>.</w:t>
      </w:r>
      <w:r w:rsidR="0048609D" w:rsidRPr="00753D80">
        <w:t xml:space="preserve"> </w:t>
      </w:r>
      <w:r w:rsidRPr="00753D80">
        <w:t>Zarar niteliğindeki krediler ve diğer alacaklar için tasfiye politikasının ana hatları:</w:t>
      </w:r>
    </w:p>
    <w:p w14:paraId="1D31D301" w14:textId="77777777" w:rsidR="007E73EB" w:rsidRPr="00753D80" w:rsidRDefault="007E73EB" w:rsidP="00B17EF5">
      <w:pPr>
        <w:autoSpaceDE w:val="0"/>
        <w:autoSpaceDN w:val="0"/>
        <w:adjustRightInd w:val="0"/>
        <w:ind w:left="540"/>
        <w:jc w:val="both"/>
        <w:rPr>
          <w:rFonts w:eastAsia="Arial Unicode MS"/>
          <w:sz w:val="16"/>
          <w:szCs w:val="16"/>
        </w:rPr>
      </w:pPr>
    </w:p>
    <w:p w14:paraId="3864EFB7" w14:textId="77777777" w:rsidR="00A65660" w:rsidRPr="00753D80" w:rsidRDefault="00A65660" w:rsidP="00BA637F">
      <w:pPr>
        <w:autoSpaceDE w:val="0"/>
        <w:autoSpaceDN w:val="0"/>
        <w:adjustRightInd w:val="0"/>
        <w:jc w:val="both"/>
      </w:pPr>
      <w:bookmarkStart w:id="17" w:name="_Hlk38747849"/>
      <w:r w:rsidRPr="00753D80">
        <w:t>Bankalarca Kamuya Açıklanacak Finansal Tablolar ile Bunlara İlişkin Açıklama ve Dipnotlar Hakkında Tebliğ’in 25’inci maddesi uyarınca ara dönemde hazırlanmamıştır.</w:t>
      </w:r>
    </w:p>
    <w:bookmarkEnd w:id="17"/>
    <w:p w14:paraId="2BC00CEE" w14:textId="77777777" w:rsidR="009E4D69" w:rsidRPr="00753D80" w:rsidRDefault="009E4D69" w:rsidP="00501C76">
      <w:pPr>
        <w:autoSpaceDE w:val="0"/>
        <w:autoSpaceDN w:val="0"/>
        <w:adjustRightInd w:val="0"/>
        <w:jc w:val="both"/>
        <w:rPr>
          <w:rFonts w:eastAsia="Arial Unicode MS"/>
          <w:sz w:val="16"/>
          <w:szCs w:val="16"/>
        </w:rPr>
      </w:pPr>
    </w:p>
    <w:p w14:paraId="13BE7C3B" w14:textId="4DBB0C75" w:rsidR="006B4EDA" w:rsidRPr="00753D80" w:rsidRDefault="008E42CD" w:rsidP="008E42CD">
      <w:pPr>
        <w:tabs>
          <w:tab w:val="num" w:pos="3060"/>
        </w:tabs>
        <w:autoSpaceDE w:val="0"/>
        <w:autoSpaceDN w:val="0"/>
        <w:adjustRightInd w:val="0"/>
        <w:ind w:hanging="567"/>
      </w:pPr>
      <w:r w:rsidRPr="00753D80">
        <w:rPr>
          <w:b/>
        </w:rPr>
        <w:t>1</w:t>
      </w:r>
      <w:r w:rsidR="00E253C8" w:rsidRPr="00753D80">
        <w:rPr>
          <w:b/>
        </w:rPr>
        <w:t>.</w:t>
      </w:r>
      <w:r w:rsidRPr="00753D80">
        <w:rPr>
          <w:b/>
        </w:rPr>
        <w:t>5.1</w:t>
      </w:r>
      <w:r w:rsidR="00040BD7" w:rsidRPr="00753D80">
        <w:rPr>
          <w:b/>
        </w:rPr>
        <w:t>2</w:t>
      </w:r>
      <w:r w:rsidR="0048609D" w:rsidRPr="00753D80">
        <w:rPr>
          <w:b/>
        </w:rPr>
        <w:t>.</w:t>
      </w:r>
      <w:r w:rsidR="00E253C8" w:rsidRPr="00753D80">
        <w:tab/>
      </w:r>
      <w:r w:rsidR="0048609D" w:rsidRPr="00753D80">
        <w:t xml:space="preserve"> </w:t>
      </w:r>
      <w:r w:rsidR="00E253C8" w:rsidRPr="00753D80">
        <w:t xml:space="preserve">Aktiften silme politikasına ilişkin </w:t>
      </w:r>
      <w:r w:rsidR="00032F11" w:rsidRPr="00753D80">
        <w:t>açıklamalar:</w:t>
      </w:r>
    </w:p>
    <w:p w14:paraId="2E57F714" w14:textId="77777777" w:rsidR="001E4705" w:rsidRPr="00753D80" w:rsidRDefault="001E4705" w:rsidP="008E42CD">
      <w:pPr>
        <w:tabs>
          <w:tab w:val="num" w:pos="3060"/>
        </w:tabs>
        <w:autoSpaceDE w:val="0"/>
        <w:autoSpaceDN w:val="0"/>
        <w:adjustRightInd w:val="0"/>
        <w:ind w:hanging="567"/>
      </w:pPr>
    </w:p>
    <w:p w14:paraId="2B413600" w14:textId="77777777" w:rsidR="00A65660" w:rsidRPr="00753D80" w:rsidRDefault="00A65660" w:rsidP="00BA637F">
      <w:pPr>
        <w:autoSpaceDE w:val="0"/>
        <w:autoSpaceDN w:val="0"/>
        <w:adjustRightInd w:val="0"/>
        <w:jc w:val="both"/>
      </w:pPr>
      <w:r w:rsidRPr="00753D80">
        <w:t>Bankalarca Kamuya Açıklanacak Finansal Tablolar ile Bunlara İlişkin Açıklama ve Dipnotlar Hakkında Tebliğ’in 25’inci maddesi uyarınca ara dönemde hazırlanmamıştır.</w:t>
      </w:r>
    </w:p>
    <w:p w14:paraId="05BE3D53" w14:textId="77777777" w:rsidR="00AC28B2" w:rsidRPr="00270CE6" w:rsidRDefault="00AC28B2" w:rsidP="004C4FA7">
      <w:pPr>
        <w:autoSpaceDE w:val="0"/>
        <w:autoSpaceDN w:val="0"/>
        <w:adjustRightInd w:val="0"/>
        <w:rPr>
          <w:rFonts w:eastAsia="Arial Unicode MS"/>
          <w:sz w:val="14"/>
          <w:highlight w:val="yellow"/>
        </w:rPr>
      </w:pPr>
    </w:p>
    <w:p w14:paraId="7CAB9686" w14:textId="77777777" w:rsidR="00F548F1" w:rsidRPr="006D71DD" w:rsidRDefault="00F548F1" w:rsidP="00B74DDB">
      <w:pPr>
        <w:autoSpaceDE w:val="0"/>
        <w:autoSpaceDN w:val="0"/>
        <w:adjustRightInd w:val="0"/>
        <w:ind w:hanging="567"/>
        <w:rPr>
          <w:b/>
          <w:bCs/>
          <w:iCs/>
        </w:rPr>
      </w:pPr>
    </w:p>
    <w:p w14:paraId="0A0716F7" w14:textId="4BF70266" w:rsidR="00AC28B2" w:rsidRPr="006D71DD" w:rsidRDefault="005E4E22" w:rsidP="00B74DDB">
      <w:pPr>
        <w:autoSpaceDE w:val="0"/>
        <w:autoSpaceDN w:val="0"/>
        <w:adjustRightInd w:val="0"/>
        <w:ind w:hanging="567"/>
        <w:rPr>
          <w:b/>
          <w:bCs/>
          <w:iCs/>
        </w:rPr>
      </w:pPr>
      <w:r w:rsidRPr="006D71DD">
        <w:rPr>
          <w:b/>
          <w:bCs/>
          <w:iCs/>
        </w:rPr>
        <w:t>1.6</w:t>
      </w:r>
      <w:r w:rsidRPr="006D71DD">
        <w:rPr>
          <w:b/>
          <w:bCs/>
          <w:iCs/>
        </w:rPr>
        <w:tab/>
      </w:r>
      <w:r w:rsidR="00343017" w:rsidRPr="006D71DD">
        <w:rPr>
          <w:b/>
          <w:bCs/>
          <w:iCs/>
        </w:rPr>
        <w:t xml:space="preserve">İtfa </w:t>
      </w:r>
      <w:r w:rsidR="00995BB5" w:rsidRPr="006D71DD">
        <w:rPr>
          <w:b/>
          <w:bCs/>
          <w:iCs/>
        </w:rPr>
        <w:t>E</w:t>
      </w:r>
      <w:r w:rsidR="00343017" w:rsidRPr="006D71DD">
        <w:rPr>
          <w:b/>
          <w:bCs/>
          <w:iCs/>
        </w:rPr>
        <w:t xml:space="preserve">dilmiş </w:t>
      </w:r>
      <w:r w:rsidR="00995BB5" w:rsidRPr="006D71DD">
        <w:rPr>
          <w:b/>
          <w:bCs/>
          <w:iCs/>
        </w:rPr>
        <w:t>M</w:t>
      </w:r>
      <w:r w:rsidR="00343017" w:rsidRPr="006D71DD">
        <w:rPr>
          <w:b/>
          <w:bCs/>
          <w:iCs/>
        </w:rPr>
        <w:t xml:space="preserve">aliyeti </w:t>
      </w:r>
      <w:r w:rsidR="00995BB5" w:rsidRPr="006D71DD">
        <w:rPr>
          <w:b/>
          <w:bCs/>
          <w:iCs/>
        </w:rPr>
        <w:t>Üzerinden Değerlenen</w:t>
      </w:r>
      <w:r w:rsidR="00413077" w:rsidRPr="006D71DD">
        <w:rPr>
          <w:b/>
          <w:bCs/>
          <w:iCs/>
        </w:rPr>
        <w:t xml:space="preserve"> </w:t>
      </w:r>
      <w:r w:rsidR="00995BB5" w:rsidRPr="006D71DD">
        <w:rPr>
          <w:b/>
          <w:bCs/>
          <w:iCs/>
        </w:rPr>
        <w:t>D</w:t>
      </w:r>
      <w:r w:rsidR="00413077" w:rsidRPr="006D71DD">
        <w:rPr>
          <w:b/>
          <w:bCs/>
          <w:iCs/>
        </w:rPr>
        <w:t>iğer</w:t>
      </w:r>
      <w:r w:rsidR="00343017" w:rsidRPr="006D71DD">
        <w:rPr>
          <w:b/>
          <w:bCs/>
          <w:iCs/>
        </w:rPr>
        <w:t xml:space="preserve"> </w:t>
      </w:r>
      <w:r w:rsidR="00995BB5" w:rsidRPr="006D71DD">
        <w:rPr>
          <w:b/>
          <w:bCs/>
          <w:iCs/>
        </w:rPr>
        <w:t>F</w:t>
      </w:r>
      <w:r w:rsidR="00343017" w:rsidRPr="006D71DD">
        <w:rPr>
          <w:b/>
          <w:bCs/>
          <w:iCs/>
        </w:rPr>
        <w:t xml:space="preserve">inansal </w:t>
      </w:r>
      <w:r w:rsidR="00995BB5" w:rsidRPr="006D71DD">
        <w:rPr>
          <w:b/>
          <w:bCs/>
          <w:iCs/>
        </w:rPr>
        <w:t>V</w:t>
      </w:r>
      <w:r w:rsidR="00343017" w:rsidRPr="006D71DD">
        <w:rPr>
          <w:b/>
          <w:bCs/>
          <w:iCs/>
        </w:rPr>
        <w:t>arlıklar</w:t>
      </w:r>
      <w:r w:rsidR="00032F11" w:rsidRPr="006D71DD">
        <w:rPr>
          <w:b/>
          <w:bCs/>
          <w:iCs/>
        </w:rPr>
        <w:t>:</w:t>
      </w:r>
    </w:p>
    <w:p w14:paraId="52D0A723" w14:textId="0720023A" w:rsidR="00281FAB" w:rsidRPr="006D71DD" w:rsidRDefault="00281FAB" w:rsidP="00B74DDB">
      <w:pPr>
        <w:autoSpaceDE w:val="0"/>
        <w:autoSpaceDN w:val="0"/>
        <w:adjustRightInd w:val="0"/>
        <w:ind w:hanging="567"/>
        <w:rPr>
          <w:b/>
          <w:bCs/>
          <w:iCs/>
        </w:rPr>
      </w:pPr>
    </w:p>
    <w:p w14:paraId="720225F6" w14:textId="4CEED780" w:rsidR="00281FAB" w:rsidRPr="006D71DD" w:rsidRDefault="00281FAB" w:rsidP="00BA637F">
      <w:pPr>
        <w:autoSpaceDE w:val="0"/>
        <w:autoSpaceDN w:val="0"/>
        <w:adjustRightInd w:val="0"/>
        <w:ind w:hanging="567"/>
        <w:jc w:val="both"/>
        <w:rPr>
          <w:b/>
          <w:bCs/>
          <w:iCs/>
        </w:rPr>
      </w:pPr>
      <w:r w:rsidRPr="006D71DD">
        <w:rPr>
          <w:b/>
          <w:bCs/>
          <w:iCs/>
        </w:rPr>
        <w:t>1.6.1</w:t>
      </w:r>
      <w:r w:rsidRPr="006D71DD">
        <w:rPr>
          <w:b/>
          <w:bCs/>
          <w:iCs/>
        </w:rPr>
        <w:tab/>
      </w:r>
      <w:r w:rsidR="00995BB5" w:rsidRPr="006D71DD">
        <w:t xml:space="preserve">Net değerleriyle ve karşılaştırmalı olacak şekilde, repo işlemlerine konu olanlar ve teminata verilen /bloke edilenlere ilişkin </w:t>
      </w:r>
      <w:proofErr w:type="gramStart"/>
      <w:r w:rsidR="00995BB5" w:rsidRPr="006D71DD">
        <w:t>bilgiler :</w:t>
      </w:r>
      <w:proofErr w:type="gramEnd"/>
      <w:r w:rsidR="00995BB5" w:rsidRPr="006D71DD">
        <w:t xml:space="preserve"> Yoktur. </w:t>
      </w:r>
      <w:proofErr w:type="gramStart"/>
      <w:r w:rsidR="00995BB5" w:rsidRPr="006D71DD">
        <w:t>( 31</w:t>
      </w:r>
      <w:proofErr w:type="gramEnd"/>
      <w:r w:rsidR="00995BB5" w:rsidRPr="006D71DD">
        <w:t xml:space="preserve"> Aralık 2019 – Yoktur)</w:t>
      </w:r>
    </w:p>
    <w:p w14:paraId="15BAD80D" w14:textId="01CE340D" w:rsidR="00281FAB" w:rsidRPr="006D71DD" w:rsidRDefault="00281FAB" w:rsidP="00BA637F">
      <w:pPr>
        <w:autoSpaceDE w:val="0"/>
        <w:autoSpaceDN w:val="0"/>
        <w:adjustRightInd w:val="0"/>
        <w:ind w:hanging="567"/>
        <w:jc w:val="both"/>
        <w:rPr>
          <w:b/>
          <w:bCs/>
          <w:iCs/>
        </w:rPr>
      </w:pPr>
    </w:p>
    <w:p w14:paraId="7EFED884" w14:textId="036DACAB" w:rsidR="00995BB5" w:rsidRPr="006D71DD" w:rsidRDefault="00995BB5" w:rsidP="00BA637F">
      <w:pPr>
        <w:autoSpaceDE w:val="0"/>
        <w:autoSpaceDN w:val="0"/>
        <w:adjustRightInd w:val="0"/>
        <w:ind w:hanging="567"/>
        <w:jc w:val="both"/>
        <w:rPr>
          <w:b/>
          <w:bCs/>
          <w:iCs/>
        </w:rPr>
      </w:pPr>
      <w:r w:rsidRPr="006D71DD">
        <w:rPr>
          <w:b/>
          <w:bCs/>
          <w:iCs/>
        </w:rPr>
        <w:t>1.6.2</w:t>
      </w:r>
      <w:r w:rsidRPr="006D71DD">
        <w:rPr>
          <w:b/>
          <w:bCs/>
          <w:iCs/>
        </w:rPr>
        <w:tab/>
      </w:r>
      <w:r w:rsidRPr="006D71DD">
        <w:t xml:space="preserve">İtfa Edilmiş Maliyeti Üzerinden Değerlenen vadeye kadar elde tutulacak devlet borçlanma senetlerine ilişkin bilgiler: Yoktur. </w:t>
      </w:r>
      <w:proofErr w:type="gramStart"/>
      <w:r w:rsidRPr="006D71DD">
        <w:t>( 31</w:t>
      </w:r>
      <w:proofErr w:type="gramEnd"/>
      <w:r w:rsidRPr="006D71DD">
        <w:t xml:space="preserve"> Aralık 2019 – Yoktur)</w:t>
      </w:r>
    </w:p>
    <w:p w14:paraId="4D08B222" w14:textId="77777777" w:rsidR="0030639E" w:rsidRPr="006D71DD" w:rsidRDefault="0030639E" w:rsidP="00BA637F">
      <w:pPr>
        <w:autoSpaceDE w:val="0"/>
        <w:autoSpaceDN w:val="0"/>
        <w:adjustRightInd w:val="0"/>
        <w:ind w:hanging="567"/>
        <w:jc w:val="both"/>
        <w:rPr>
          <w:b/>
          <w:bCs/>
          <w:iCs/>
          <w:sz w:val="12"/>
        </w:rPr>
      </w:pPr>
    </w:p>
    <w:p w14:paraId="61A6A93A" w14:textId="0E4383A7" w:rsidR="0055403E" w:rsidRDefault="0055403E" w:rsidP="00BA637F">
      <w:pPr>
        <w:autoSpaceDE w:val="0"/>
        <w:autoSpaceDN w:val="0"/>
        <w:adjustRightInd w:val="0"/>
        <w:ind w:hanging="567"/>
        <w:jc w:val="both"/>
      </w:pPr>
      <w:r w:rsidRPr="006D71DD">
        <w:rPr>
          <w:b/>
          <w:bCs/>
          <w:iCs/>
        </w:rPr>
        <w:t>1.6.1</w:t>
      </w:r>
      <w:r w:rsidRPr="006D71DD">
        <w:rPr>
          <w:b/>
          <w:bCs/>
          <w:iCs/>
        </w:rPr>
        <w:tab/>
      </w:r>
      <w:r w:rsidRPr="006D71DD">
        <w:t xml:space="preserve">İtfa Edilmiş Maliyeti ile Ölçülen </w:t>
      </w:r>
      <w:r w:rsidR="00413077" w:rsidRPr="006D71DD">
        <w:t xml:space="preserve">Diğer </w:t>
      </w:r>
      <w:r w:rsidRPr="006D71DD">
        <w:t>Finansal Varlıklara İlişkin Bilgiler</w:t>
      </w:r>
    </w:p>
    <w:p w14:paraId="4F1E55F0" w14:textId="77777777" w:rsidR="009E4D69" w:rsidRPr="006D71DD" w:rsidRDefault="009E4D69" w:rsidP="0055403E">
      <w:pPr>
        <w:autoSpaceDE w:val="0"/>
        <w:autoSpaceDN w:val="0"/>
        <w:adjustRightInd w:val="0"/>
        <w:ind w:hanging="567"/>
      </w:pPr>
    </w:p>
    <w:tbl>
      <w:tblPr>
        <w:tblW w:w="9211" w:type="dxa"/>
        <w:tblCellMar>
          <w:left w:w="70" w:type="dxa"/>
          <w:right w:w="70" w:type="dxa"/>
        </w:tblCellMar>
        <w:tblLook w:val="04A0" w:firstRow="1" w:lastRow="0" w:firstColumn="1" w:lastColumn="0" w:noHBand="0" w:noVBand="1"/>
      </w:tblPr>
      <w:tblGrid>
        <w:gridCol w:w="5685"/>
        <w:gridCol w:w="1793"/>
        <w:gridCol w:w="1733"/>
      </w:tblGrid>
      <w:tr w:rsidR="006D71DD" w:rsidRPr="006D71DD" w14:paraId="2C24BBFE" w14:textId="77777777" w:rsidTr="00BA637F">
        <w:trPr>
          <w:divId w:val="1601260712"/>
          <w:trHeight w:val="263"/>
        </w:trPr>
        <w:tc>
          <w:tcPr>
            <w:tcW w:w="5685" w:type="dxa"/>
            <w:tcBorders>
              <w:top w:val="double" w:sz="6" w:space="0" w:color="auto"/>
              <w:left w:val="nil"/>
              <w:bottom w:val="single" w:sz="8" w:space="0" w:color="auto"/>
              <w:right w:val="nil"/>
            </w:tcBorders>
            <w:shd w:val="clear" w:color="auto" w:fill="auto"/>
            <w:vAlign w:val="center"/>
            <w:hideMark/>
          </w:tcPr>
          <w:p w14:paraId="6CBD4794" w14:textId="5881EDDF" w:rsidR="006D71DD" w:rsidRPr="006D71DD" w:rsidRDefault="006D71DD" w:rsidP="006D71DD">
            <w:pPr>
              <w:jc w:val="both"/>
              <w:rPr>
                <w:sz w:val="18"/>
                <w:szCs w:val="18"/>
                <w:lang w:eastAsia="tr-TR"/>
              </w:rPr>
            </w:pPr>
            <w:r w:rsidRPr="006D71DD">
              <w:rPr>
                <w:sz w:val="18"/>
                <w:szCs w:val="18"/>
                <w:lang w:eastAsia="tr-TR"/>
              </w:rPr>
              <w:t> </w:t>
            </w:r>
          </w:p>
        </w:tc>
        <w:tc>
          <w:tcPr>
            <w:tcW w:w="1793" w:type="dxa"/>
            <w:tcBorders>
              <w:top w:val="double" w:sz="6" w:space="0" w:color="auto"/>
              <w:left w:val="nil"/>
              <w:bottom w:val="single" w:sz="8" w:space="0" w:color="auto"/>
              <w:right w:val="nil"/>
            </w:tcBorders>
            <w:shd w:val="clear" w:color="auto" w:fill="auto"/>
            <w:vAlign w:val="center"/>
            <w:hideMark/>
          </w:tcPr>
          <w:p w14:paraId="346FF320" w14:textId="77777777" w:rsidR="006D71DD" w:rsidRPr="006D71DD" w:rsidRDefault="006D71DD" w:rsidP="006D71DD">
            <w:pPr>
              <w:jc w:val="right"/>
              <w:rPr>
                <w:b/>
                <w:bCs/>
                <w:sz w:val="18"/>
                <w:szCs w:val="18"/>
                <w:lang w:eastAsia="tr-TR"/>
              </w:rPr>
            </w:pPr>
            <w:r w:rsidRPr="006D71DD">
              <w:rPr>
                <w:b/>
                <w:bCs/>
                <w:sz w:val="18"/>
                <w:szCs w:val="18"/>
                <w:lang w:eastAsia="tr-TR"/>
              </w:rPr>
              <w:t>Cari Dönem</w:t>
            </w:r>
          </w:p>
        </w:tc>
        <w:tc>
          <w:tcPr>
            <w:tcW w:w="1733" w:type="dxa"/>
            <w:tcBorders>
              <w:top w:val="double" w:sz="6" w:space="0" w:color="auto"/>
              <w:left w:val="nil"/>
              <w:bottom w:val="single" w:sz="8" w:space="0" w:color="auto"/>
              <w:right w:val="nil"/>
            </w:tcBorders>
            <w:shd w:val="clear" w:color="auto" w:fill="auto"/>
            <w:vAlign w:val="center"/>
            <w:hideMark/>
          </w:tcPr>
          <w:p w14:paraId="45CEDDEE" w14:textId="77777777" w:rsidR="006D71DD" w:rsidRPr="006D71DD" w:rsidRDefault="006D71DD" w:rsidP="006D71DD">
            <w:pPr>
              <w:jc w:val="right"/>
              <w:rPr>
                <w:b/>
                <w:bCs/>
                <w:sz w:val="18"/>
                <w:szCs w:val="18"/>
                <w:lang w:eastAsia="tr-TR"/>
              </w:rPr>
            </w:pPr>
            <w:r w:rsidRPr="006D71DD">
              <w:rPr>
                <w:b/>
                <w:bCs/>
                <w:sz w:val="18"/>
                <w:szCs w:val="18"/>
                <w:lang w:eastAsia="tr-TR"/>
              </w:rPr>
              <w:t>Önceki Dönem</w:t>
            </w:r>
          </w:p>
        </w:tc>
      </w:tr>
      <w:tr w:rsidR="006D71DD" w:rsidRPr="006D71DD" w14:paraId="05F78F54" w14:textId="77777777" w:rsidTr="00BA637F">
        <w:trPr>
          <w:divId w:val="1601260712"/>
          <w:trHeight w:val="234"/>
        </w:trPr>
        <w:tc>
          <w:tcPr>
            <w:tcW w:w="5685" w:type="dxa"/>
            <w:tcBorders>
              <w:top w:val="nil"/>
              <w:left w:val="nil"/>
              <w:bottom w:val="nil"/>
              <w:right w:val="nil"/>
            </w:tcBorders>
            <w:shd w:val="clear" w:color="auto" w:fill="auto"/>
            <w:vAlign w:val="center"/>
            <w:hideMark/>
          </w:tcPr>
          <w:p w14:paraId="184CD286" w14:textId="77777777" w:rsidR="006D71DD" w:rsidRPr="006D71DD" w:rsidRDefault="006D71DD" w:rsidP="006D71DD">
            <w:pPr>
              <w:jc w:val="both"/>
              <w:rPr>
                <w:b/>
                <w:bCs/>
                <w:sz w:val="18"/>
                <w:szCs w:val="18"/>
                <w:lang w:eastAsia="tr-TR"/>
              </w:rPr>
            </w:pPr>
            <w:r w:rsidRPr="006D71DD">
              <w:rPr>
                <w:b/>
                <w:bCs/>
                <w:sz w:val="18"/>
                <w:szCs w:val="18"/>
                <w:lang w:eastAsia="tr-TR"/>
              </w:rPr>
              <w:t>Borçlanma Senetleri</w:t>
            </w:r>
          </w:p>
        </w:tc>
        <w:tc>
          <w:tcPr>
            <w:tcW w:w="1793" w:type="dxa"/>
            <w:tcBorders>
              <w:top w:val="nil"/>
              <w:left w:val="nil"/>
              <w:bottom w:val="nil"/>
              <w:right w:val="nil"/>
            </w:tcBorders>
            <w:shd w:val="clear" w:color="auto" w:fill="auto"/>
            <w:vAlign w:val="center"/>
            <w:hideMark/>
          </w:tcPr>
          <w:p w14:paraId="56350A96" w14:textId="77777777" w:rsidR="006D71DD" w:rsidRPr="006D71DD" w:rsidRDefault="006D71DD" w:rsidP="006D71DD">
            <w:pPr>
              <w:jc w:val="right"/>
              <w:rPr>
                <w:b/>
                <w:bCs/>
                <w:sz w:val="18"/>
                <w:szCs w:val="18"/>
                <w:lang w:eastAsia="tr-TR"/>
              </w:rPr>
            </w:pPr>
            <w:r w:rsidRPr="006D71DD">
              <w:rPr>
                <w:b/>
                <w:bCs/>
                <w:sz w:val="18"/>
                <w:szCs w:val="18"/>
                <w:lang w:eastAsia="tr-TR"/>
              </w:rPr>
              <w:t>5,999,181</w:t>
            </w:r>
          </w:p>
        </w:tc>
        <w:tc>
          <w:tcPr>
            <w:tcW w:w="1733" w:type="dxa"/>
            <w:tcBorders>
              <w:top w:val="nil"/>
              <w:left w:val="nil"/>
              <w:bottom w:val="nil"/>
              <w:right w:val="nil"/>
            </w:tcBorders>
            <w:shd w:val="clear" w:color="auto" w:fill="auto"/>
            <w:vAlign w:val="center"/>
            <w:hideMark/>
          </w:tcPr>
          <w:p w14:paraId="4BE40744" w14:textId="77777777" w:rsidR="006D71DD" w:rsidRPr="006D71DD" w:rsidRDefault="006D71DD" w:rsidP="006D71DD">
            <w:pPr>
              <w:jc w:val="right"/>
              <w:rPr>
                <w:b/>
                <w:bCs/>
                <w:sz w:val="18"/>
                <w:szCs w:val="18"/>
                <w:lang w:eastAsia="tr-TR"/>
              </w:rPr>
            </w:pPr>
            <w:r w:rsidRPr="006D71DD">
              <w:rPr>
                <w:b/>
                <w:bCs/>
                <w:sz w:val="18"/>
                <w:szCs w:val="18"/>
                <w:lang w:eastAsia="tr-TR"/>
              </w:rPr>
              <w:t>2,630,914</w:t>
            </w:r>
          </w:p>
        </w:tc>
      </w:tr>
      <w:tr w:rsidR="006D71DD" w:rsidRPr="006D71DD" w14:paraId="755A7E8C" w14:textId="77777777" w:rsidTr="00BA637F">
        <w:trPr>
          <w:divId w:val="1601260712"/>
          <w:trHeight w:val="234"/>
        </w:trPr>
        <w:tc>
          <w:tcPr>
            <w:tcW w:w="5685" w:type="dxa"/>
            <w:tcBorders>
              <w:top w:val="nil"/>
              <w:left w:val="nil"/>
              <w:bottom w:val="nil"/>
              <w:right w:val="nil"/>
            </w:tcBorders>
            <w:shd w:val="clear" w:color="auto" w:fill="auto"/>
            <w:vAlign w:val="center"/>
            <w:hideMark/>
          </w:tcPr>
          <w:p w14:paraId="054231E8" w14:textId="77777777" w:rsidR="006D71DD" w:rsidRPr="006D71DD" w:rsidRDefault="006D71DD" w:rsidP="006D71DD">
            <w:pPr>
              <w:jc w:val="both"/>
              <w:rPr>
                <w:sz w:val="18"/>
                <w:szCs w:val="18"/>
                <w:lang w:eastAsia="tr-TR"/>
              </w:rPr>
            </w:pPr>
            <w:r w:rsidRPr="006D71DD">
              <w:rPr>
                <w:sz w:val="18"/>
                <w:szCs w:val="18"/>
                <w:lang w:eastAsia="tr-TR"/>
              </w:rPr>
              <w:t>Borsada İşlem Görenler</w:t>
            </w:r>
          </w:p>
        </w:tc>
        <w:tc>
          <w:tcPr>
            <w:tcW w:w="1793" w:type="dxa"/>
            <w:tcBorders>
              <w:top w:val="nil"/>
              <w:left w:val="nil"/>
              <w:bottom w:val="nil"/>
              <w:right w:val="nil"/>
            </w:tcBorders>
            <w:shd w:val="clear" w:color="auto" w:fill="auto"/>
            <w:vAlign w:val="center"/>
            <w:hideMark/>
          </w:tcPr>
          <w:p w14:paraId="57814116" w14:textId="77777777" w:rsidR="006D71DD" w:rsidRPr="006D71DD" w:rsidRDefault="006D71DD" w:rsidP="006D71DD">
            <w:pPr>
              <w:jc w:val="right"/>
              <w:rPr>
                <w:sz w:val="18"/>
                <w:szCs w:val="18"/>
                <w:lang w:eastAsia="tr-TR"/>
              </w:rPr>
            </w:pPr>
            <w:r w:rsidRPr="006D71DD">
              <w:rPr>
                <w:sz w:val="18"/>
                <w:szCs w:val="18"/>
                <w:lang w:eastAsia="tr-TR"/>
              </w:rPr>
              <w:t>5,999,181</w:t>
            </w:r>
          </w:p>
        </w:tc>
        <w:tc>
          <w:tcPr>
            <w:tcW w:w="1733" w:type="dxa"/>
            <w:tcBorders>
              <w:top w:val="nil"/>
              <w:left w:val="nil"/>
              <w:bottom w:val="nil"/>
              <w:right w:val="nil"/>
            </w:tcBorders>
            <w:shd w:val="clear" w:color="auto" w:fill="auto"/>
            <w:vAlign w:val="center"/>
            <w:hideMark/>
          </w:tcPr>
          <w:p w14:paraId="14AABE7D" w14:textId="77777777" w:rsidR="006D71DD" w:rsidRPr="006D71DD" w:rsidRDefault="006D71DD" w:rsidP="006D71DD">
            <w:pPr>
              <w:jc w:val="right"/>
              <w:rPr>
                <w:sz w:val="18"/>
                <w:szCs w:val="18"/>
                <w:lang w:eastAsia="tr-TR"/>
              </w:rPr>
            </w:pPr>
            <w:r w:rsidRPr="006D71DD">
              <w:rPr>
                <w:sz w:val="18"/>
                <w:szCs w:val="18"/>
                <w:lang w:eastAsia="tr-TR"/>
              </w:rPr>
              <w:t>2,630,914</w:t>
            </w:r>
          </w:p>
        </w:tc>
      </w:tr>
      <w:tr w:rsidR="006D71DD" w:rsidRPr="006D71DD" w14:paraId="6F6801A9" w14:textId="77777777" w:rsidTr="00BA637F">
        <w:trPr>
          <w:divId w:val="1601260712"/>
          <w:trHeight w:val="234"/>
        </w:trPr>
        <w:tc>
          <w:tcPr>
            <w:tcW w:w="5685" w:type="dxa"/>
            <w:tcBorders>
              <w:top w:val="nil"/>
              <w:left w:val="nil"/>
              <w:bottom w:val="nil"/>
              <w:right w:val="nil"/>
            </w:tcBorders>
            <w:shd w:val="clear" w:color="auto" w:fill="auto"/>
            <w:vAlign w:val="center"/>
            <w:hideMark/>
          </w:tcPr>
          <w:p w14:paraId="2BB5C975" w14:textId="77777777" w:rsidR="006D71DD" w:rsidRPr="006D71DD" w:rsidRDefault="006D71DD" w:rsidP="006D71DD">
            <w:pPr>
              <w:jc w:val="both"/>
              <w:rPr>
                <w:sz w:val="18"/>
                <w:szCs w:val="18"/>
                <w:lang w:eastAsia="tr-TR"/>
              </w:rPr>
            </w:pPr>
            <w:r w:rsidRPr="006D71DD">
              <w:rPr>
                <w:sz w:val="18"/>
                <w:szCs w:val="18"/>
                <w:lang w:eastAsia="tr-TR"/>
              </w:rPr>
              <w:t>Borsada İşlem Görmeyenler</w:t>
            </w:r>
          </w:p>
        </w:tc>
        <w:tc>
          <w:tcPr>
            <w:tcW w:w="1793" w:type="dxa"/>
            <w:tcBorders>
              <w:top w:val="nil"/>
              <w:left w:val="nil"/>
              <w:bottom w:val="nil"/>
              <w:right w:val="nil"/>
            </w:tcBorders>
            <w:shd w:val="clear" w:color="auto" w:fill="auto"/>
            <w:vAlign w:val="center"/>
            <w:hideMark/>
          </w:tcPr>
          <w:p w14:paraId="77FE4612" w14:textId="77777777" w:rsidR="006D71DD" w:rsidRPr="006D71DD" w:rsidRDefault="006D71DD" w:rsidP="006D71DD">
            <w:pPr>
              <w:jc w:val="right"/>
              <w:rPr>
                <w:sz w:val="18"/>
                <w:szCs w:val="18"/>
                <w:lang w:eastAsia="tr-TR"/>
              </w:rPr>
            </w:pPr>
            <w:r w:rsidRPr="006D71DD">
              <w:rPr>
                <w:sz w:val="18"/>
                <w:szCs w:val="18"/>
                <w:lang w:eastAsia="tr-TR"/>
              </w:rPr>
              <w:t>-</w:t>
            </w:r>
          </w:p>
        </w:tc>
        <w:tc>
          <w:tcPr>
            <w:tcW w:w="1733" w:type="dxa"/>
            <w:tcBorders>
              <w:top w:val="nil"/>
              <w:left w:val="nil"/>
              <w:bottom w:val="nil"/>
              <w:right w:val="nil"/>
            </w:tcBorders>
            <w:shd w:val="clear" w:color="auto" w:fill="auto"/>
            <w:vAlign w:val="center"/>
            <w:hideMark/>
          </w:tcPr>
          <w:p w14:paraId="70D3260F" w14:textId="77777777" w:rsidR="006D71DD" w:rsidRPr="006D71DD" w:rsidRDefault="006D71DD" w:rsidP="006D71DD">
            <w:pPr>
              <w:jc w:val="right"/>
              <w:rPr>
                <w:sz w:val="18"/>
                <w:szCs w:val="18"/>
                <w:lang w:eastAsia="tr-TR"/>
              </w:rPr>
            </w:pPr>
            <w:r w:rsidRPr="006D71DD">
              <w:rPr>
                <w:sz w:val="18"/>
                <w:szCs w:val="18"/>
                <w:lang w:eastAsia="tr-TR"/>
              </w:rPr>
              <w:t>-</w:t>
            </w:r>
          </w:p>
        </w:tc>
      </w:tr>
      <w:tr w:rsidR="006D71DD" w:rsidRPr="006D71DD" w14:paraId="6F31C417" w14:textId="77777777" w:rsidTr="00BA637F">
        <w:trPr>
          <w:divId w:val="1601260712"/>
          <w:trHeight w:val="249"/>
        </w:trPr>
        <w:tc>
          <w:tcPr>
            <w:tcW w:w="5685" w:type="dxa"/>
            <w:tcBorders>
              <w:top w:val="nil"/>
              <w:left w:val="nil"/>
              <w:bottom w:val="nil"/>
              <w:right w:val="nil"/>
            </w:tcBorders>
            <w:shd w:val="clear" w:color="auto" w:fill="auto"/>
            <w:vAlign w:val="center"/>
            <w:hideMark/>
          </w:tcPr>
          <w:p w14:paraId="0414A61C" w14:textId="77777777" w:rsidR="006D71DD" w:rsidRPr="006D71DD" w:rsidRDefault="006D71DD" w:rsidP="006D71DD">
            <w:pPr>
              <w:jc w:val="both"/>
              <w:rPr>
                <w:b/>
                <w:bCs/>
                <w:sz w:val="18"/>
                <w:szCs w:val="18"/>
                <w:lang w:eastAsia="tr-TR"/>
              </w:rPr>
            </w:pPr>
            <w:r w:rsidRPr="006D71DD">
              <w:rPr>
                <w:b/>
                <w:bCs/>
                <w:sz w:val="18"/>
                <w:szCs w:val="18"/>
                <w:lang w:eastAsia="tr-TR"/>
              </w:rPr>
              <w:t>Değer Azalma Karşılığı (-)</w:t>
            </w:r>
          </w:p>
        </w:tc>
        <w:tc>
          <w:tcPr>
            <w:tcW w:w="1793" w:type="dxa"/>
            <w:tcBorders>
              <w:top w:val="nil"/>
              <w:left w:val="nil"/>
              <w:bottom w:val="nil"/>
              <w:right w:val="nil"/>
            </w:tcBorders>
            <w:shd w:val="clear" w:color="auto" w:fill="auto"/>
            <w:vAlign w:val="center"/>
            <w:hideMark/>
          </w:tcPr>
          <w:p w14:paraId="27354170" w14:textId="77777777" w:rsidR="006D71DD" w:rsidRPr="006D71DD" w:rsidRDefault="006D71DD" w:rsidP="006D71DD">
            <w:pPr>
              <w:jc w:val="right"/>
              <w:rPr>
                <w:b/>
                <w:bCs/>
                <w:sz w:val="18"/>
                <w:szCs w:val="18"/>
                <w:lang w:eastAsia="tr-TR"/>
              </w:rPr>
            </w:pPr>
            <w:r w:rsidRPr="006D71DD">
              <w:rPr>
                <w:b/>
                <w:bCs/>
                <w:sz w:val="18"/>
                <w:szCs w:val="18"/>
                <w:lang w:eastAsia="tr-TR"/>
              </w:rPr>
              <w:t>1,697</w:t>
            </w:r>
          </w:p>
        </w:tc>
        <w:tc>
          <w:tcPr>
            <w:tcW w:w="1733" w:type="dxa"/>
            <w:tcBorders>
              <w:top w:val="nil"/>
              <w:left w:val="nil"/>
              <w:bottom w:val="nil"/>
              <w:right w:val="nil"/>
            </w:tcBorders>
            <w:shd w:val="clear" w:color="auto" w:fill="auto"/>
            <w:vAlign w:val="center"/>
            <w:hideMark/>
          </w:tcPr>
          <w:p w14:paraId="411C212E" w14:textId="77777777" w:rsidR="006D71DD" w:rsidRPr="006D71DD" w:rsidRDefault="006D71DD" w:rsidP="006D71DD">
            <w:pPr>
              <w:jc w:val="right"/>
              <w:rPr>
                <w:b/>
                <w:bCs/>
                <w:sz w:val="18"/>
                <w:szCs w:val="18"/>
                <w:lang w:eastAsia="tr-TR"/>
              </w:rPr>
            </w:pPr>
            <w:r w:rsidRPr="006D71DD">
              <w:rPr>
                <w:b/>
                <w:bCs/>
                <w:sz w:val="18"/>
                <w:szCs w:val="18"/>
                <w:lang w:eastAsia="tr-TR"/>
              </w:rPr>
              <w:t>767</w:t>
            </w:r>
          </w:p>
        </w:tc>
      </w:tr>
      <w:tr w:rsidR="006D71DD" w:rsidRPr="006D71DD" w14:paraId="4E240FE0" w14:textId="77777777" w:rsidTr="00BA637F">
        <w:trPr>
          <w:divId w:val="1601260712"/>
          <w:trHeight w:val="249"/>
        </w:trPr>
        <w:tc>
          <w:tcPr>
            <w:tcW w:w="5685" w:type="dxa"/>
            <w:tcBorders>
              <w:top w:val="single" w:sz="8" w:space="0" w:color="auto"/>
              <w:left w:val="nil"/>
              <w:bottom w:val="double" w:sz="6" w:space="0" w:color="auto"/>
              <w:right w:val="nil"/>
            </w:tcBorders>
            <w:shd w:val="clear" w:color="auto" w:fill="auto"/>
            <w:vAlign w:val="center"/>
            <w:hideMark/>
          </w:tcPr>
          <w:p w14:paraId="633C9326" w14:textId="77777777" w:rsidR="006D71DD" w:rsidRPr="006D71DD" w:rsidRDefault="006D71DD" w:rsidP="006D71DD">
            <w:pPr>
              <w:jc w:val="both"/>
              <w:rPr>
                <w:b/>
                <w:bCs/>
                <w:sz w:val="18"/>
                <w:szCs w:val="18"/>
                <w:lang w:eastAsia="tr-TR"/>
              </w:rPr>
            </w:pPr>
            <w:r w:rsidRPr="006D71DD">
              <w:rPr>
                <w:b/>
                <w:bCs/>
                <w:sz w:val="18"/>
                <w:szCs w:val="18"/>
                <w:lang w:eastAsia="tr-TR"/>
              </w:rPr>
              <w:t>Toplam</w:t>
            </w:r>
          </w:p>
        </w:tc>
        <w:tc>
          <w:tcPr>
            <w:tcW w:w="1793" w:type="dxa"/>
            <w:tcBorders>
              <w:top w:val="single" w:sz="8" w:space="0" w:color="auto"/>
              <w:left w:val="nil"/>
              <w:bottom w:val="double" w:sz="6" w:space="0" w:color="auto"/>
              <w:right w:val="nil"/>
            </w:tcBorders>
            <w:shd w:val="clear" w:color="auto" w:fill="auto"/>
            <w:vAlign w:val="center"/>
            <w:hideMark/>
          </w:tcPr>
          <w:p w14:paraId="25E60F1E" w14:textId="77777777" w:rsidR="006D71DD" w:rsidRPr="006D71DD" w:rsidRDefault="006D71DD" w:rsidP="006D71DD">
            <w:pPr>
              <w:jc w:val="right"/>
              <w:rPr>
                <w:b/>
                <w:bCs/>
                <w:sz w:val="18"/>
                <w:szCs w:val="18"/>
                <w:lang w:eastAsia="tr-TR"/>
              </w:rPr>
            </w:pPr>
            <w:r w:rsidRPr="006D71DD">
              <w:rPr>
                <w:b/>
                <w:bCs/>
                <w:sz w:val="18"/>
                <w:szCs w:val="18"/>
                <w:lang w:eastAsia="tr-TR"/>
              </w:rPr>
              <w:t>5,997,484</w:t>
            </w:r>
          </w:p>
        </w:tc>
        <w:tc>
          <w:tcPr>
            <w:tcW w:w="1733" w:type="dxa"/>
            <w:tcBorders>
              <w:top w:val="single" w:sz="8" w:space="0" w:color="auto"/>
              <w:left w:val="nil"/>
              <w:bottom w:val="double" w:sz="6" w:space="0" w:color="auto"/>
              <w:right w:val="nil"/>
            </w:tcBorders>
            <w:shd w:val="clear" w:color="auto" w:fill="auto"/>
            <w:vAlign w:val="center"/>
            <w:hideMark/>
          </w:tcPr>
          <w:p w14:paraId="05DEC479" w14:textId="77777777" w:rsidR="006D71DD" w:rsidRPr="006D71DD" w:rsidRDefault="006D71DD" w:rsidP="006D71DD">
            <w:pPr>
              <w:jc w:val="right"/>
              <w:rPr>
                <w:b/>
                <w:bCs/>
                <w:sz w:val="18"/>
                <w:szCs w:val="18"/>
                <w:lang w:eastAsia="tr-TR"/>
              </w:rPr>
            </w:pPr>
            <w:r w:rsidRPr="006D71DD">
              <w:rPr>
                <w:b/>
                <w:bCs/>
                <w:sz w:val="18"/>
                <w:szCs w:val="18"/>
                <w:lang w:eastAsia="tr-TR"/>
              </w:rPr>
              <w:t>2,630,147</w:t>
            </w:r>
          </w:p>
        </w:tc>
      </w:tr>
    </w:tbl>
    <w:p w14:paraId="06F6AD5A" w14:textId="77777777" w:rsidR="009E4D69" w:rsidRDefault="009E4D69" w:rsidP="006D71DD">
      <w:pPr>
        <w:autoSpaceDE w:val="0"/>
        <w:autoSpaceDN w:val="0"/>
        <w:adjustRightInd w:val="0"/>
        <w:ind w:hanging="567"/>
        <w:rPr>
          <w:b/>
          <w:bCs/>
          <w:iCs/>
        </w:rPr>
      </w:pPr>
    </w:p>
    <w:p w14:paraId="7CA01C20" w14:textId="3E2AB1E0" w:rsidR="006D71DD" w:rsidRPr="00311DAB" w:rsidRDefault="00211AAF" w:rsidP="006D71DD">
      <w:pPr>
        <w:autoSpaceDE w:val="0"/>
        <w:autoSpaceDN w:val="0"/>
        <w:adjustRightInd w:val="0"/>
        <w:ind w:hanging="567"/>
        <w:rPr>
          <w:lang w:eastAsia="en-GB"/>
        </w:rPr>
      </w:pPr>
      <w:r w:rsidRPr="006D71DD">
        <w:rPr>
          <w:b/>
          <w:bCs/>
          <w:iCs/>
        </w:rPr>
        <w:t>1.6.2</w:t>
      </w:r>
      <w:r w:rsidRPr="006D71DD">
        <w:tab/>
        <w:t>İtfa Edilmiş Maliyeti ile Ölçülen Diğer Finansal Varlıkların Yıl İçerisindeki Hareketleri</w:t>
      </w:r>
      <w:r w:rsidRPr="006D71DD">
        <w:rPr>
          <w:b/>
          <w:bCs/>
          <w:iCs/>
        </w:rPr>
        <w:br/>
      </w:r>
    </w:p>
    <w:tbl>
      <w:tblPr>
        <w:tblW w:w="9225" w:type="dxa"/>
        <w:tblCellMar>
          <w:left w:w="70" w:type="dxa"/>
          <w:right w:w="70" w:type="dxa"/>
        </w:tblCellMar>
        <w:tblLook w:val="04A0" w:firstRow="1" w:lastRow="0" w:firstColumn="1" w:lastColumn="0" w:noHBand="0" w:noVBand="1"/>
      </w:tblPr>
      <w:tblGrid>
        <w:gridCol w:w="5700"/>
        <w:gridCol w:w="1798"/>
        <w:gridCol w:w="1727"/>
      </w:tblGrid>
      <w:tr w:rsidR="006D71DD" w:rsidRPr="006D71DD" w14:paraId="115384A1" w14:textId="77777777" w:rsidTr="00BA637F">
        <w:trPr>
          <w:divId w:val="49232526"/>
          <w:trHeight w:val="268"/>
        </w:trPr>
        <w:tc>
          <w:tcPr>
            <w:tcW w:w="5700" w:type="dxa"/>
            <w:tcBorders>
              <w:top w:val="double" w:sz="6" w:space="0" w:color="auto"/>
              <w:left w:val="nil"/>
              <w:bottom w:val="single" w:sz="8" w:space="0" w:color="auto"/>
              <w:right w:val="nil"/>
            </w:tcBorders>
            <w:shd w:val="clear" w:color="auto" w:fill="auto"/>
            <w:vAlign w:val="center"/>
            <w:hideMark/>
          </w:tcPr>
          <w:p w14:paraId="6BA5B920" w14:textId="33EBEAEC" w:rsidR="006D71DD" w:rsidRPr="006D71DD" w:rsidRDefault="006D71DD" w:rsidP="006D71DD">
            <w:pPr>
              <w:jc w:val="both"/>
              <w:rPr>
                <w:sz w:val="18"/>
                <w:szCs w:val="18"/>
                <w:lang w:eastAsia="tr-TR"/>
              </w:rPr>
            </w:pPr>
            <w:r w:rsidRPr="006D71DD">
              <w:rPr>
                <w:sz w:val="18"/>
                <w:szCs w:val="18"/>
                <w:lang w:eastAsia="tr-TR"/>
              </w:rPr>
              <w:t> </w:t>
            </w:r>
          </w:p>
        </w:tc>
        <w:tc>
          <w:tcPr>
            <w:tcW w:w="1798" w:type="dxa"/>
            <w:tcBorders>
              <w:top w:val="double" w:sz="6" w:space="0" w:color="auto"/>
              <w:left w:val="nil"/>
              <w:bottom w:val="single" w:sz="8" w:space="0" w:color="auto"/>
              <w:right w:val="nil"/>
            </w:tcBorders>
            <w:shd w:val="clear" w:color="auto" w:fill="auto"/>
            <w:vAlign w:val="center"/>
            <w:hideMark/>
          </w:tcPr>
          <w:p w14:paraId="4FBBF224" w14:textId="77777777" w:rsidR="006D71DD" w:rsidRPr="006D71DD" w:rsidRDefault="006D71DD" w:rsidP="006D71DD">
            <w:pPr>
              <w:jc w:val="right"/>
              <w:rPr>
                <w:b/>
                <w:bCs/>
                <w:sz w:val="18"/>
                <w:szCs w:val="18"/>
                <w:lang w:eastAsia="tr-TR"/>
              </w:rPr>
            </w:pPr>
            <w:r w:rsidRPr="006D71DD">
              <w:rPr>
                <w:b/>
                <w:bCs/>
                <w:sz w:val="18"/>
                <w:szCs w:val="18"/>
                <w:lang w:eastAsia="tr-TR"/>
              </w:rPr>
              <w:t>Cari Dönem</w:t>
            </w:r>
          </w:p>
        </w:tc>
        <w:tc>
          <w:tcPr>
            <w:tcW w:w="1727" w:type="dxa"/>
            <w:tcBorders>
              <w:top w:val="double" w:sz="6" w:space="0" w:color="auto"/>
              <w:left w:val="nil"/>
              <w:bottom w:val="single" w:sz="8" w:space="0" w:color="auto"/>
              <w:right w:val="nil"/>
            </w:tcBorders>
            <w:shd w:val="clear" w:color="auto" w:fill="auto"/>
            <w:vAlign w:val="center"/>
            <w:hideMark/>
          </w:tcPr>
          <w:p w14:paraId="7845301B" w14:textId="77777777" w:rsidR="006D71DD" w:rsidRPr="006D71DD" w:rsidRDefault="006D71DD" w:rsidP="006D71DD">
            <w:pPr>
              <w:jc w:val="right"/>
              <w:rPr>
                <w:b/>
                <w:bCs/>
                <w:sz w:val="18"/>
                <w:szCs w:val="18"/>
                <w:lang w:eastAsia="tr-TR"/>
              </w:rPr>
            </w:pPr>
            <w:r w:rsidRPr="006D71DD">
              <w:rPr>
                <w:b/>
                <w:bCs/>
                <w:sz w:val="18"/>
                <w:szCs w:val="18"/>
                <w:lang w:eastAsia="tr-TR"/>
              </w:rPr>
              <w:t>Önceki Dönem</w:t>
            </w:r>
          </w:p>
        </w:tc>
      </w:tr>
      <w:tr w:rsidR="006D71DD" w:rsidRPr="006D71DD" w14:paraId="271B21FD" w14:textId="77777777" w:rsidTr="00BA637F">
        <w:trPr>
          <w:divId w:val="49232526"/>
          <w:trHeight w:val="238"/>
        </w:trPr>
        <w:tc>
          <w:tcPr>
            <w:tcW w:w="5700" w:type="dxa"/>
            <w:tcBorders>
              <w:top w:val="nil"/>
              <w:left w:val="nil"/>
              <w:bottom w:val="nil"/>
              <w:right w:val="nil"/>
            </w:tcBorders>
            <w:shd w:val="clear" w:color="auto" w:fill="auto"/>
            <w:vAlign w:val="center"/>
            <w:hideMark/>
          </w:tcPr>
          <w:p w14:paraId="4C13E20A" w14:textId="77777777" w:rsidR="006D71DD" w:rsidRPr="006D71DD" w:rsidRDefault="006D71DD" w:rsidP="006D71DD">
            <w:pPr>
              <w:jc w:val="both"/>
              <w:rPr>
                <w:b/>
                <w:bCs/>
                <w:sz w:val="18"/>
                <w:szCs w:val="18"/>
                <w:lang w:eastAsia="tr-TR"/>
              </w:rPr>
            </w:pPr>
            <w:r w:rsidRPr="006D71DD">
              <w:rPr>
                <w:b/>
                <w:bCs/>
                <w:sz w:val="18"/>
                <w:szCs w:val="18"/>
                <w:lang w:eastAsia="tr-TR"/>
              </w:rPr>
              <w:t xml:space="preserve">Dönem Başındaki Değer </w:t>
            </w:r>
          </w:p>
        </w:tc>
        <w:tc>
          <w:tcPr>
            <w:tcW w:w="1798" w:type="dxa"/>
            <w:tcBorders>
              <w:top w:val="nil"/>
              <w:left w:val="nil"/>
              <w:bottom w:val="nil"/>
              <w:right w:val="nil"/>
            </w:tcBorders>
            <w:shd w:val="clear" w:color="auto" w:fill="auto"/>
            <w:vAlign w:val="center"/>
            <w:hideMark/>
          </w:tcPr>
          <w:p w14:paraId="31D37366" w14:textId="77777777" w:rsidR="006D71DD" w:rsidRPr="006D71DD" w:rsidRDefault="006D71DD" w:rsidP="006D71DD">
            <w:pPr>
              <w:jc w:val="right"/>
              <w:rPr>
                <w:b/>
                <w:bCs/>
                <w:sz w:val="18"/>
                <w:szCs w:val="18"/>
                <w:lang w:eastAsia="tr-TR"/>
              </w:rPr>
            </w:pPr>
            <w:r w:rsidRPr="006D71DD">
              <w:rPr>
                <w:b/>
                <w:bCs/>
                <w:sz w:val="18"/>
                <w:szCs w:val="18"/>
                <w:lang w:eastAsia="tr-TR"/>
              </w:rPr>
              <w:t>2,630,914</w:t>
            </w:r>
          </w:p>
        </w:tc>
        <w:tc>
          <w:tcPr>
            <w:tcW w:w="1727" w:type="dxa"/>
            <w:tcBorders>
              <w:top w:val="nil"/>
              <w:left w:val="nil"/>
              <w:bottom w:val="nil"/>
              <w:right w:val="nil"/>
            </w:tcBorders>
            <w:shd w:val="clear" w:color="auto" w:fill="auto"/>
            <w:vAlign w:val="center"/>
            <w:hideMark/>
          </w:tcPr>
          <w:p w14:paraId="17FEDAC3" w14:textId="77777777" w:rsidR="006D71DD" w:rsidRPr="006D71DD" w:rsidRDefault="006D71DD" w:rsidP="006D71DD">
            <w:pPr>
              <w:jc w:val="right"/>
              <w:rPr>
                <w:b/>
                <w:bCs/>
                <w:sz w:val="18"/>
                <w:szCs w:val="18"/>
                <w:lang w:eastAsia="tr-TR"/>
              </w:rPr>
            </w:pPr>
            <w:r w:rsidRPr="006D71DD">
              <w:rPr>
                <w:b/>
                <w:bCs/>
                <w:sz w:val="18"/>
                <w:szCs w:val="18"/>
                <w:lang w:eastAsia="tr-TR"/>
              </w:rPr>
              <w:t>-</w:t>
            </w:r>
          </w:p>
        </w:tc>
      </w:tr>
      <w:tr w:rsidR="006D71DD" w:rsidRPr="006D71DD" w14:paraId="4613DEE8" w14:textId="77777777" w:rsidTr="00BA637F">
        <w:trPr>
          <w:divId w:val="49232526"/>
          <w:trHeight w:val="238"/>
        </w:trPr>
        <w:tc>
          <w:tcPr>
            <w:tcW w:w="5700" w:type="dxa"/>
            <w:tcBorders>
              <w:top w:val="nil"/>
              <w:left w:val="nil"/>
              <w:bottom w:val="nil"/>
              <w:right w:val="nil"/>
            </w:tcBorders>
            <w:shd w:val="clear" w:color="auto" w:fill="auto"/>
            <w:vAlign w:val="center"/>
            <w:hideMark/>
          </w:tcPr>
          <w:p w14:paraId="56F3B4C2" w14:textId="77777777" w:rsidR="006D71DD" w:rsidRPr="006D71DD" w:rsidRDefault="006D71DD" w:rsidP="006D71DD">
            <w:pPr>
              <w:jc w:val="both"/>
              <w:rPr>
                <w:sz w:val="18"/>
                <w:szCs w:val="18"/>
                <w:lang w:eastAsia="tr-TR"/>
              </w:rPr>
            </w:pPr>
            <w:r w:rsidRPr="006D71DD">
              <w:rPr>
                <w:sz w:val="18"/>
                <w:szCs w:val="18"/>
                <w:lang w:eastAsia="tr-TR"/>
              </w:rPr>
              <w:t>Parasal Varlıklarda Meydana Gelen Kur Farkları</w:t>
            </w:r>
          </w:p>
        </w:tc>
        <w:tc>
          <w:tcPr>
            <w:tcW w:w="1798" w:type="dxa"/>
            <w:tcBorders>
              <w:top w:val="nil"/>
              <w:left w:val="nil"/>
              <w:bottom w:val="nil"/>
              <w:right w:val="nil"/>
            </w:tcBorders>
            <w:shd w:val="clear" w:color="auto" w:fill="auto"/>
            <w:vAlign w:val="center"/>
            <w:hideMark/>
          </w:tcPr>
          <w:p w14:paraId="5E6A6C1D" w14:textId="77777777" w:rsidR="006D71DD" w:rsidRPr="006D71DD" w:rsidRDefault="006D71DD" w:rsidP="006D71DD">
            <w:pPr>
              <w:jc w:val="right"/>
              <w:rPr>
                <w:sz w:val="18"/>
                <w:szCs w:val="18"/>
                <w:lang w:eastAsia="tr-TR"/>
              </w:rPr>
            </w:pPr>
            <w:r w:rsidRPr="006D71DD">
              <w:rPr>
                <w:sz w:val="18"/>
                <w:szCs w:val="18"/>
                <w:lang w:eastAsia="tr-TR"/>
              </w:rPr>
              <w:t>-</w:t>
            </w:r>
          </w:p>
        </w:tc>
        <w:tc>
          <w:tcPr>
            <w:tcW w:w="1727" w:type="dxa"/>
            <w:tcBorders>
              <w:top w:val="nil"/>
              <w:left w:val="nil"/>
              <w:bottom w:val="nil"/>
              <w:right w:val="nil"/>
            </w:tcBorders>
            <w:shd w:val="clear" w:color="auto" w:fill="auto"/>
            <w:vAlign w:val="center"/>
            <w:hideMark/>
          </w:tcPr>
          <w:p w14:paraId="33C2751E" w14:textId="77777777" w:rsidR="006D71DD" w:rsidRPr="006D71DD" w:rsidRDefault="006D71DD" w:rsidP="006D71DD">
            <w:pPr>
              <w:jc w:val="right"/>
              <w:rPr>
                <w:sz w:val="18"/>
                <w:szCs w:val="18"/>
                <w:lang w:eastAsia="tr-TR"/>
              </w:rPr>
            </w:pPr>
            <w:r w:rsidRPr="006D71DD">
              <w:rPr>
                <w:sz w:val="18"/>
                <w:szCs w:val="18"/>
                <w:lang w:eastAsia="tr-TR"/>
              </w:rPr>
              <w:t>-</w:t>
            </w:r>
          </w:p>
        </w:tc>
      </w:tr>
      <w:tr w:rsidR="006D71DD" w:rsidRPr="006D71DD" w14:paraId="6A9E2975" w14:textId="77777777" w:rsidTr="00BA637F">
        <w:trPr>
          <w:divId w:val="49232526"/>
          <w:trHeight w:val="238"/>
        </w:trPr>
        <w:tc>
          <w:tcPr>
            <w:tcW w:w="5700" w:type="dxa"/>
            <w:tcBorders>
              <w:top w:val="nil"/>
              <w:left w:val="nil"/>
              <w:bottom w:val="nil"/>
              <w:right w:val="nil"/>
            </w:tcBorders>
            <w:shd w:val="clear" w:color="auto" w:fill="auto"/>
            <w:vAlign w:val="center"/>
            <w:hideMark/>
          </w:tcPr>
          <w:p w14:paraId="035B506A" w14:textId="77777777" w:rsidR="006D71DD" w:rsidRPr="006D71DD" w:rsidRDefault="006D71DD" w:rsidP="006D71DD">
            <w:pPr>
              <w:jc w:val="both"/>
              <w:rPr>
                <w:sz w:val="18"/>
                <w:szCs w:val="18"/>
                <w:lang w:eastAsia="tr-TR"/>
              </w:rPr>
            </w:pPr>
            <w:r w:rsidRPr="006D71DD">
              <w:rPr>
                <w:sz w:val="18"/>
                <w:szCs w:val="18"/>
                <w:lang w:eastAsia="tr-TR"/>
              </w:rPr>
              <w:t>Yıl İçindeki Alımlar</w:t>
            </w:r>
          </w:p>
        </w:tc>
        <w:tc>
          <w:tcPr>
            <w:tcW w:w="1798" w:type="dxa"/>
            <w:tcBorders>
              <w:top w:val="nil"/>
              <w:left w:val="nil"/>
              <w:bottom w:val="nil"/>
              <w:right w:val="nil"/>
            </w:tcBorders>
            <w:shd w:val="clear" w:color="auto" w:fill="auto"/>
            <w:vAlign w:val="center"/>
            <w:hideMark/>
          </w:tcPr>
          <w:p w14:paraId="612895B9" w14:textId="77777777" w:rsidR="006D71DD" w:rsidRPr="006D71DD" w:rsidRDefault="006D71DD" w:rsidP="006D71DD">
            <w:pPr>
              <w:jc w:val="right"/>
              <w:rPr>
                <w:sz w:val="18"/>
                <w:szCs w:val="18"/>
                <w:lang w:eastAsia="tr-TR"/>
              </w:rPr>
            </w:pPr>
            <w:r w:rsidRPr="006D71DD">
              <w:rPr>
                <w:sz w:val="18"/>
                <w:szCs w:val="18"/>
                <w:lang w:eastAsia="tr-TR"/>
              </w:rPr>
              <w:t>3,368,267</w:t>
            </w:r>
          </w:p>
        </w:tc>
        <w:tc>
          <w:tcPr>
            <w:tcW w:w="1727" w:type="dxa"/>
            <w:tcBorders>
              <w:top w:val="nil"/>
              <w:left w:val="nil"/>
              <w:bottom w:val="nil"/>
              <w:right w:val="nil"/>
            </w:tcBorders>
            <w:shd w:val="clear" w:color="auto" w:fill="auto"/>
            <w:vAlign w:val="center"/>
            <w:hideMark/>
          </w:tcPr>
          <w:p w14:paraId="6D04C248" w14:textId="77777777" w:rsidR="006D71DD" w:rsidRPr="006D71DD" w:rsidRDefault="006D71DD" w:rsidP="006D71DD">
            <w:pPr>
              <w:jc w:val="right"/>
              <w:rPr>
                <w:sz w:val="18"/>
                <w:szCs w:val="18"/>
                <w:lang w:eastAsia="tr-TR"/>
              </w:rPr>
            </w:pPr>
            <w:r w:rsidRPr="006D71DD">
              <w:rPr>
                <w:sz w:val="18"/>
                <w:szCs w:val="18"/>
                <w:lang w:eastAsia="tr-TR"/>
              </w:rPr>
              <w:t>2,630,914</w:t>
            </w:r>
          </w:p>
        </w:tc>
      </w:tr>
      <w:tr w:rsidR="006D71DD" w:rsidRPr="006D71DD" w14:paraId="66FD1C56" w14:textId="77777777" w:rsidTr="00BA637F">
        <w:trPr>
          <w:divId w:val="49232526"/>
          <w:trHeight w:val="238"/>
        </w:trPr>
        <w:tc>
          <w:tcPr>
            <w:tcW w:w="5700" w:type="dxa"/>
            <w:tcBorders>
              <w:top w:val="nil"/>
              <w:left w:val="nil"/>
              <w:bottom w:val="nil"/>
              <w:right w:val="nil"/>
            </w:tcBorders>
            <w:shd w:val="clear" w:color="auto" w:fill="auto"/>
            <w:vAlign w:val="center"/>
            <w:hideMark/>
          </w:tcPr>
          <w:p w14:paraId="50A95D85" w14:textId="77777777" w:rsidR="006D71DD" w:rsidRPr="006D71DD" w:rsidRDefault="006D71DD" w:rsidP="006D71DD">
            <w:pPr>
              <w:jc w:val="both"/>
              <w:rPr>
                <w:sz w:val="18"/>
                <w:szCs w:val="18"/>
                <w:lang w:eastAsia="tr-TR"/>
              </w:rPr>
            </w:pPr>
            <w:r w:rsidRPr="006D71DD">
              <w:rPr>
                <w:sz w:val="18"/>
                <w:szCs w:val="18"/>
                <w:lang w:eastAsia="tr-TR"/>
              </w:rPr>
              <w:t>Satış ve İtfa Yolu İle Elden Çıkarılanlar</w:t>
            </w:r>
          </w:p>
        </w:tc>
        <w:tc>
          <w:tcPr>
            <w:tcW w:w="1798" w:type="dxa"/>
            <w:tcBorders>
              <w:top w:val="nil"/>
              <w:left w:val="nil"/>
              <w:bottom w:val="nil"/>
              <w:right w:val="nil"/>
            </w:tcBorders>
            <w:shd w:val="clear" w:color="auto" w:fill="auto"/>
            <w:vAlign w:val="center"/>
            <w:hideMark/>
          </w:tcPr>
          <w:p w14:paraId="0C75A65D" w14:textId="77777777" w:rsidR="006D71DD" w:rsidRPr="006D71DD" w:rsidRDefault="006D71DD" w:rsidP="006D71DD">
            <w:pPr>
              <w:jc w:val="right"/>
              <w:rPr>
                <w:sz w:val="18"/>
                <w:szCs w:val="18"/>
                <w:lang w:eastAsia="tr-TR"/>
              </w:rPr>
            </w:pPr>
            <w:r w:rsidRPr="006D71DD">
              <w:rPr>
                <w:sz w:val="18"/>
                <w:szCs w:val="18"/>
                <w:lang w:eastAsia="tr-TR"/>
              </w:rPr>
              <w:t>-</w:t>
            </w:r>
          </w:p>
        </w:tc>
        <w:tc>
          <w:tcPr>
            <w:tcW w:w="1727" w:type="dxa"/>
            <w:tcBorders>
              <w:top w:val="nil"/>
              <w:left w:val="nil"/>
              <w:bottom w:val="nil"/>
              <w:right w:val="nil"/>
            </w:tcBorders>
            <w:shd w:val="clear" w:color="auto" w:fill="auto"/>
            <w:vAlign w:val="center"/>
            <w:hideMark/>
          </w:tcPr>
          <w:p w14:paraId="187BF89B" w14:textId="77777777" w:rsidR="006D71DD" w:rsidRPr="006D71DD" w:rsidRDefault="006D71DD" w:rsidP="006D71DD">
            <w:pPr>
              <w:jc w:val="right"/>
              <w:rPr>
                <w:sz w:val="18"/>
                <w:szCs w:val="18"/>
                <w:lang w:eastAsia="tr-TR"/>
              </w:rPr>
            </w:pPr>
            <w:r w:rsidRPr="006D71DD">
              <w:rPr>
                <w:sz w:val="18"/>
                <w:szCs w:val="18"/>
                <w:lang w:eastAsia="tr-TR"/>
              </w:rPr>
              <w:t>-</w:t>
            </w:r>
          </w:p>
        </w:tc>
      </w:tr>
      <w:tr w:rsidR="006D71DD" w:rsidRPr="006D71DD" w14:paraId="42F720DD" w14:textId="77777777" w:rsidTr="00BA637F">
        <w:trPr>
          <w:divId w:val="49232526"/>
          <w:trHeight w:val="253"/>
        </w:trPr>
        <w:tc>
          <w:tcPr>
            <w:tcW w:w="5700" w:type="dxa"/>
            <w:tcBorders>
              <w:top w:val="nil"/>
              <w:left w:val="nil"/>
              <w:bottom w:val="nil"/>
              <w:right w:val="nil"/>
            </w:tcBorders>
            <w:shd w:val="clear" w:color="auto" w:fill="auto"/>
            <w:vAlign w:val="center"/>
            <w:hideMark/>
          </w:tcPr>
          <w:p w14:paraId="1734FAC4" w14:textId="77777777" w:rsidR="006D71DD" w:rsidRPr="006D71DD" w:rsidRDefault="006D71DD" w:rsidP="006D71DD">
            <w:pPr>
              <w:jc w:val="both"/>
              <w:rPr>
                <w:b/>
                <w:bCs/>
                <w:sz w:val="18"/>
                <w:szCs w:val="18"/>
                <w:lang w:eastAsia="tr-TR"/>
              </w:rPr>
            </w:pPr>
            <w:r w:rsidRPr="006D71DD">
              <w:rPr>
                <w:b/>
                <w:bCs/>
                <w:sz w:val="18"/>
                <w:szCs w:val="18"/>
                <w:lang w:eastAsia="tr-TR"/>
              </w:rPr>
              <w:t>Değer Azalışı Karşılığı (-)</w:t>
            </w:r>
          </w:p>
        </w:tc>
        <w:tc>
          <w:tcPr>
            <w:tcW w:w="1798" w:type="dxa"/>
            <w:tcBorders>
              <w:top w:val="nil"/>
              <w:left w:val="nil"/>
              <w:bottom w:val="nil"/>
              <w:right w:val="nil"/>
            </w:tcBorders>
            <w:shd w:val="clear" w:color="auto" w:fill="auto"/>
            <w:vAlign w:val="center"/>
            <w:hideMark/>
          </w:tcPr>
          <w:p w14:paraId="6684FDC7" w14:textId="77777777" w:rsidR="006D71DD" w:rsidRPr="006D71DD" w:rsidRDefault="006D71DD" w:rsidP="006D71DD">
            <w:pPr>
              <w:jc w:val="right"/>
              <w:rPr>
                <w:b/>
                <w:bCs/>
                <w:sz w:val="18"/>
                <w:szCs w:val="18"/>
                <w:lang w:eastAsia="tr-TR"/>
              </w:rPr>
            </w:pPr>
            <w:r w:rsidRPr="006D71DD">
              <w:rPr>
                <w:b/>
                <w:bCs/>
                <w:sz w:val="18"/>
                <w:szCs w:val="18"/>
                <w:lang w:eastAsia="tr-TR"/>
              </w:rPr>
              <w:t>1,697</w:t>
            </w:r>
          </w:p>
        </w:tc>
        <w:tc>
          <w:tcPr>
            <w:tcW w:w="1727" w:type="dxa"/>
            <w:tcBorders>
              <w:top w:val="nil"/>
              <w:left w:val="nil"/>
              <w:bottom w:val="nil"/>
              <w:right w:val="nil"/>
            </w:tcBorders>
            <w:shd w:val="clear" w:color="auto" w:fill="auto"/>
            <w:vAlign w:val="center"/>
            <w:hideMark/>
          </w:tcPr>
          <w:p w14:paraId="1708AD90" w14:textId="77777777" w:rsidR="006D71DD" w:rsidRPr="006D71DD" w:rsidRDefault="006D71DD" w:rsidP="006D71DD">
            <w:pPr>
              <w:jc w:val="right"/>
              <w:rPr>
                <w:b/>
                <w:bCs/>
                <w:sz w:val="18"/>
                <w:szCs w:val="18"/>
                <w:lang w:eastAsia="tr-TR"/>
              </w:rPr>
            </w:pPr>
            <w:r w:rsidRPr="006D71DD">
              <w:rPr>
                <w:b/>
                <w:bCs/>
                <w:sz w:val="18"/>
                <w:szCs w:val="18"/>
                <w:lang w:eastAsia="tr-TR"/>
              </w:rPr>
              <w:t>767</w:t>
            </w:r>
          </w:p>
        </w:tc>
      </w:tr>
      <w:tr w:rsidR="006D71DD" w:rsidRPr="006D71DD" w14:paraId="2F2830FB" w14:textId="77777777" w:rsidTr="00BA637F">
        <w:trPr>
          <w:divId w:val="49232526"/>
          <w:trHeight w:val="253"/>
        </w:trPr>
        <w:tc>
          <w:tcPr>
            <w:tcW w:w="5700" w:type="dxa"/>
            <w:tcBorders>
              <w:top w:val="single" w:sz="8" w:space="0" w:color="auto"/>
              <w:left w:val="nil"/>
              <w:bottom w:val="double" w:sz="6" w:space="0" w:color="auto"/>
              <w:right w:val="nil"/>
            </w:tcBorders>
            <w:shd w:val="clear" w:color="auto" w:fill="auto"/>
            <w:vAlign w:val="center"/>
            <w:hideMark/>
          </w:tcPr>
          <w:p w14:paraId="1DB496EE" w14:textId="77777777" w:rsidR="006D71DD" w:rsidRPr="006D71DD" w:rsidRDefault="006D71DD" w:rsidP="006D71DD">
            <w:pPr>
              <w:jc w:val="both"/>
              <w:rPr>
                <w:b/>
                <w:bCs/>
                <w:sz w:val="18"/>
                <w:szCs w:val="18"/>
                <w:lang w:eastAsia="tr-TR"/>
              </w:rPr>
            </w:pPr>
            <w:r w:rsidRPr="006D71DD">
              <w:rPr>
                <w:b/>
                <w:bCs/>
                <w:sz w:val="18"/>
                <w:szCs w:val="18"/>
                <w:lang w:eastAsia="tr-TR"/>
              </w:rPr>
              <w:t>Toplam</w:t>
            </w:r>
          </w:p>
        </w:tc>
        <w:tc>
          <w:tcPr>
            <w:tcW w:w="1798" w:type="dxa"/>
            <w:tcBorders>
              <w:top w:val="single" w:sz="8" w:space="0" w:color="auto"/>
              <w:left w:val="nil"/>
              <w:bottom w:val="double" w:sz="6" w:space="0" w:color="auto"/>
              <w:right w:val="nil"/>
            </w:tcBorders>
            <w:shd w:val="clear" w:color="auto" w:fill="auto"/>
            <w:vAlign w:val="center"/>
            <w:hideMark/>
          </w:tcPr>
          <w:p w14:paraId="340ED75E" w14:textId="77777777" w:rsidR="006D71DD" w:rsidRPr="006D71DD" w:rsidRDefault="006D71DD" w:rsidP="006D71DD">
            <w:pPr>
              <w:jc w:val="right"/>
              <w:rPr>
                <w:b/>
                <w:bCs/>
                <w:sz w:val="18"/>
                <w:szCs w:val="18"/>
                <w:lang w:eastAsia="tr-TR"/>
              </w:rPr>
            </w:pPr>
            <w:r w:rsidRPr="006D71DD">
              <w:rPr>
                <w:b/>
                <w:bCs/>
                <w:sz w:val="18"/>
                <w:szCs w:val="18"/>
                <w:lang w:eastAsia="tr-TR"/>
              </w:rPr>
              <w:t>5,997,484</w:t>
            </w:r>
          </w:p>
        </w:tc>
        <w:tc>
          <w:tcPr>
            <w:tcW w:w="1727" w:type="dxa"/>
            <w:tcBorders>
              <w:top w:val="single" w:sz="8" w:space="0" w:color="auto"/>
              <w:left w:val="nil"/>
              <w:bottom w:val="double" w:sz="6" w:space="0" w:color="auto"/>
              <w:right w:val="nil"/>
            </w:tcBorders>
            <w:shd w:val="clear" w:color="auto" w:fill="auto"/>
            <w:vAlign w:val="center"/>
            <w:hideMark/>
          </w:tcPr>
          <w:p w14:paraId="3868FFC0" w14:textId="77777777" w:rsidR="006D71DD" w:rsidRPr="006D71DD" w:rsidRDefault="006D71DD" w:rsidP="006D71DD">
            <w:pPr>
              <w:jc w:val="right"/>
              <w:rPr>
                <w:b/>
                <w:bCs/>
                <w:sz w:val="18"/>
                <w:szCs w:val="18"/>
                <w:lang w:eastAsia="tr-TR"/>
              </w:rPr>
            </w:pPr>
            <w:r w:rsidRPr="006D71DD">
              <w:rPr>
                <w:b/>
                <w:bCs/>
                <w:sz w:val="18"/>
                <w:szCs w:val="18"/>
                <w:lang w:eastAsia="tr-TR"/>
              </w:rPr>
              <w:t>2,630,147</w:t>
            </w:r>
          </w:p>
        </w:tc>
      </w:tr>
    </w:tbl>
    <w:p w14:paraId="309A29CA" w14:textId="087F4F87" w:rsidR="00356EE0" w:rsidRPr="006D71DD" w:rsidRDefault="00356EE0" w:rsidP="00206622">
      <w:pPr>
        <w:autoSpaceDE w:val="0"/>
        <w:autoSpaceDN w:val="0"/>
        <w:adjustRightInd w:val="0"/>
        <w:rPr>
          <w:b/>
          <w:bCs/>
          <w:iCs/>
          <w:sz w:val="4"/>
          <w:szCs w:val="16"/>
        </w:rPr>
      </w:pPr>
    </w:p>
    <w:p w14:paraId="64EDD5CF" w14:textId="77777777" w:rsidR="00995BB5" w:rsidRDefault="00995BB5" w:rsidP="005E4E22">
      <w:pPr>
        <w:autoSpaceDE w:val="0"/>
        <w:autoSpaceDN w:val="0"/>
        <w:adjustRightInd w:val="0"/>
        <w:ind w:hanging="567"/>
        <w:rPr>
          <w:b/>
          <w:bCs/>
          <w:iCs/>
        </w:rPr>
      </w:pPr>
    </w:p>
    <w:p w14:paraId="2541FFE1" w14:textId="0F2E768D" w:rsidR="006B4EDA" w:rsidRDefault="005E4E22" w:rsidP="005E4E22">
      <w:pPr>
        <w:autoSpaceDE w:val="0"/>
        <w:autoSpaceDN w:val="0"/>
        <w:adjustRightInd w:val="0"/>
        <w:ind w:hanging="567"/>
        <w:rPr>
          <w:b/>
          <w:bCs/>
          <w:iCs/>
        </w:rPr>
      </w:pPr>
      <w:r w:rsidRPr="00414788">
        <w:rPr>
          <w:b/>
          <w:bCs/>
          <w:iCs/>
        </w:rPr>
        <w:t>1.7</w:t>
      </w:r>
      <w:r w:rsidRPr="00414788">
        <w:rPr>
          <w:b/>
          <w:bCs/>
          <w:iCs/>
        </w:rPr>
        <w:tab/>
      </w:r>
      <w:r w:rsidR="00E253C8" w:rsidRPr="00414788">
        <w:rPr>
          <w:b/>
          <w:bCs/>
          <w:iCs/>
        </w:rPr>
        <w:t xml:space="preserve">İştiraklere ilişkin bilgiler (Net): </w:t>
      </w:r>
    </w:p>
    <w:p w14:paraId="0486ABA9" w14:textId="77777777" w:rsidR="004B1E23" w:rsidRPr="00414788" w:rsidRDefault="004B1E23" w:rsidP="005E4E22">
      <w:pPr>
        <w:autoSpaceDE w:val="0"/>
        <w:autoSpaceDN w:val="0"/>
        <w:adjustRightInd w:val="0"/>
        <w:ind w:hanging="567"/>
        <w:rPr>
          <w:b/>
          <w:bCs/>
          <w:iCs/>
        </w:rPr>
      </w:pPr>
    </w:p>
    <w:p w14:paraId="700217E1" w14:textId="77777777" w:rsidR="006B4EDA" w:rsidRPr="00414788" w:rsidRDefault="006B4EDA">
      <w:pPr>
        <w:tabs>
          <w:tab w:val="num" w:pos="720"/>
        </w:tabs>
        <w:autoSpaceDE w:val="0"/>
        <w:autoSpaceDN w:val="0"/>
        <w:adjustRightInd w:val="0"/>
        <w:ind w:left="180"/>
        <w:rPr>
          <w:sz w:val="6"/>
          <w:szCs w:val="16"/>
        </w:rPr>
      </w:pPr>
    </w:p>
    <w:p w14:paraId="07BECF4B" w14:textId="77777777" w:rsidR="000D5462" w:rsidRDefault="00E253C8" w:rsidP="000D5462">
      <w:pPr>
        <w:tabs>
          <w:tab w:val="left" w:pos="0"/>
        </w:tabs>
        <w:ind w:hanging="567"/>
        <w:jc w:val="both"/>
        <w:rPr>
          <w:iCs/>
        </w:rPr>
      </w:pPr>
      <w:r w:rsidRPr="00414788">
        <w:rPr>
          <w:b/>
          <w:iCs/>
        </w:rPr>
        <w:t>1.</w:t>
      </w:r>
      <w:r w:rsidR="005E4E22" w:rsidRPr="00414788">
        <w:rPr>
          <w:b/>
          <w:iCs/>
        </w:rPr>
        <w:t>7.1</w:t>
      </w:r>
      <w:r w:rsidRPr="00414788">
        <w:rPr>
          <w:iCs/>
        </w:rPr>
        <w:tab/>
      </w:r>
      <w:r w:rsidR="000D5462" w:rsidRPr="00414788">
        <w:rPr>
          <w:iCs/>
        </w:rPr>
        <w:t xml:space="preserve">Ana Ortaklık Banka, Kredi Garanti Fonu </w:t>
      </w:r>
      <w:proofErr w:type="spellStart"/>
      <w:r w:rsidR="000D5462" w:rsidRPr="00414788">
        <w:rPr>
          <w:iCs/>
        </w:rPr>
        <w:t>A.Ş.’deki</w:t>
      </w:r>
      <w:proofErr w:type="spellEnd"/>
      <w:r w:rsidR="000D5462" w:rsidRPr="00414788">
        <w:rPr>
          <w:iCs/>
        </w:rPr>
        <w:t xml:space="preserve"> %1.49 oranında sahipliğe denk gelen 7,659 TL (31 Aralık 2019 – 7,659 TL) tutarındaki hisseyi, </w:t>
      </w:r>
      <w:proofErr w:type="spellStart"/>
      <w:r w:rsidR="000D5462" w:rsidRPr="00414788">
        <w:rPr>
          <w:iCs/>
        </w:rPr>
        <w:t>Islamic</w:t>
      </w:r>
      <w:proofErr w:type="spellEnd"/>
      <w:r w:rsidR="000D5462" w:rsidRPr="00414788">
        <w:rPr>
          <w:iCs/>
        </w:rPr>
        <w:t xml:space="preserve"> International </w:t>
      </w:r>
      <w:proofErr w:type="spellStart"/>
      <w:r w:rsidR="000D5462" w:rsidRPr="00414788">
        <w:rPr>
          <w:iCs/>
        </w:rPr>
        <w:t>Rating</w:t>
      </w:r>
      <w:proofErr w:type="spellEnd"/>
      <w:r w:rsidR="000D5462" w:rsidRPr="00414788">
        <w:rPr>
          <w:iCs/>
        </w:rPr>
        <w:t xml:space="preserve"> </w:t>
      </w:r>
      <w:proofErr w:type="spellStart"/>
      <w:r w:rsidR="000D5462" w:rsidRPr="00414788">
        <w:rPr>
          <w:iCs/>
        </w:rPr>
        <w:t>Agency’deki</w:t>
      </w:r>
      <w:proofErr w:type="spellEnd"/>
      <w:r w:rsidR="000D5462" w:rsidRPr="00414788">
        <w:rPr>
          <w:iCs/>
        </w:rPr>
        <w:t xml:space="preserve"> %1.15’a denk gelen 33 TL (31 Aralık 2019 - 33 TL) tutarındaki hisseyi, 390 TL (31 Aralık 2019 - 390 TL) tutarında Swift hissesini, Borsa İstanbul </w:t>
      </w:r>
      <w:proofErr w:type="spellStart"/>
      <w:r w:rsidR="000D5462" w:rsidRPr="00414788">
        <w:rPr>
          <w:iCs/>
        </w:rPr>
        <w:t>A.Ş’deki</w:t>
      </w:r>
      <w:proofErr w:type="spellEnd"/>
      <w:r w:rsidR="000D5462" w:rsidRPr="00414788">
        <w:rPr>
          <w:iCs/>
        </w:rPr>
        <w:t xml:space="preserve"> % 0.0035 oranında sahipliğe denk gelen 15 TL (31 Aralık 2019 - 15 TL) tutarındaki hissesini</w:t>
      </w:r>
      <w:r w:rsidR="000D5462">
        <w:rPr>
          <w:iCs/>
        </w:rPr>
        <w:t xml:space="preserve"> ve</w:t>
      </w:r>
      <w:r w:rsidR="000D5462" w:rsidRPr="00414788">
        <w:rPr>
          <w:iCs/>
        </w:rPr>
        <w:t xml:space="preserve"> JCR Avrasya Derecelendirme A.Ş. deki %2.86 oranında sahipliğe denk gelen 2,755 TL (31 Aralık 2019 – 0 TL) tutarındaki hissesini söz konusu ortaklıklardaki hisse oranları %10`un altında olduğundan ve önemli etkinliğe sahip olunmadığından, gerçeğe uygun değer farkı diğer kapsamlı gelire yansıtılan finansal varlıklar hesabında takip etmektedir.</w:t>
      </w:r>
    </w:p>
    <w:p w14:paraId="3E231B8E" w14:textId="77777777" w:rsidR="000D5462" w:rsidRDefault="000D5462" w:rsidP="000D5462">
      <w:pPr>
        <w:tabs>
          <w:tab w:val="left" w:pos="0"/>
        </w:tabs>
        <w:ind w:hanging="567"/>
        <w:jc w:val="both"/>
        <w:rPr>
          <w:color w:val="0D0D0D"/>
          <w:spacing w:val="-4"/>
          <w:sz w:val="8"/>
          <w:highlight w:val="yellow"/>
        </w:rPr>
      </w:pPr>
    </w:p>
    <w:p w14:paraId="63E4EFF9" w14:textId="77777777" w:rsidR="000D5462" w:rsidRDefault="000D5462" w:rsidP="000D5462">
      <w:pPr>
        <w:tabs>
          <w:tab w:val="left" w:pos="0"/>
        </w:tabs>
        <w:ind w:hanging="567"/>
        <w:jc w:val="both"/>
        <w:rPr>
          <w:color w:val="0D0D0D"/>
          <w:spacing w:val="-4"/>
          <w:sz w:val="8"/>
          <w:highlight w:val="yellow"/>
        </w:rPr>
      </w:pPr>
    </w:p>
    <w:p w14:paraId="60D7180B" w14:textId="3C6422FE" w:rsidR="000D5462" w:rsidRDefault="000D5462" w:rsidP="00B55E3A">
      <w:pPr>
        <w:tabs>
          <w:tab w:val="left" w:pos="0"/>
        </w:tabs>
        <w:ind w:hanging="567"/>
        <w:jc w:val="both"/>
        <w:rPr>
          <w:color w:val="0D0D0D"/>
          <w:spacing w:val="-4"/>
          <w:sz w:val="8"/>
          <w:highlight w:val="yellow"/>
        </w:rPr>
      </w:pPr>
      <w:r>
        <w:rPr>
          <w:iCs/>
        </w:rPr>
        <w:tab/>
      </w:r>
    </w:p>
    <w:p w14:paraId="497ED86C" w14:textId="2A472E0F" w:rsidR="00171C8A" w:rsidRDefault="00171C8A" w:rsidP="00745657">
      <w:pPr>
        <w:tabs>
          <w:tab w:val="left" w:pos="0"/>
        </w:tabs>
        <w:ind w:hanging="567"/>
        <w:jc w:val="both"/>
        <w:rPr>
          <w:iCs/>
        </w:rPr>
      </w:pPr>
    </w:p>
    <w:p w14:paraId="4252893E" w14:textId="7367D73A" w:rsidR="00745657" w:rsidRDefault="00745657" w:rsidP="00745657">
      <w:pPr>
        <w:tabs>
          <w:tab w:val="left" w:pos="0"/>
        </w:tabs>
        <w:ind w:hanging="567"/>
        <w:jc w:val="both"/>
        <w:rPr>
          <w:color w:val="0D0D0D"/>
          <w:spacing w:val="-4"/>
          <w:sz w:val="8"/>
          <w:highlight w:val="yellow"/>
        </w:rPr>
      </w:pPr>
    </w:p>
    <w:p w14:paraId="4D356EB8" w14:textId="15E55580" w:rsidR="00745657" w:rsidRDefault="00745657" w:rsidP="00745657">
      <w:pPr>
        <w:tabs>
          <w:tab w:val="left" w:pos="0"/>
        </w:tabs>
        <w:ind w:hanging="567"/>
        <w:jc w:val="both"/>
        <w:rPr>
          <w:color w:val="0D0D0D"/>
          <w:spacing w:val="-4"/>
          <w:sz w:val="8"/>
          <w:highlight w:val="yellow"/>
        </w:rPr>
      </w:pPr>
    </w:p>
    <w:p w14:paraId="1A0DBC03" w14:textId="77777777" w:rsidR="00745657" w:rsidRPr="00270CE6" w:rsidRDefault="00745657" w:rsidP="00745657">
      <w:pPr>
        <w:tabs>
          <w:tab w:val="left" w:pos="0"/>
        </w:tabs>
        <w:ind w:hanging="567"/>
        <w:jc w:val="both"/>
        <w:rPr>
          <w:color w:val="0D0D0D"/>
          <w:spacing w:val="-4"/>
          <w:sz w:val="8"/>
          <w:highlight w:val="yellow"/>
        </w:rPr>
      </w:pPr>
    </w:p>
    <w:p w14:paraId="5E24D72D" w14:textId="77777777" w:rsidR="00BA637F" w:rsidRDefault="00BA637F">
      <w:pPr>
        <w:rPr>
          <w:b/>
          <w:iCs/>
        </w:rPr>
      </w:pPr>
      <w:r>
        <w:rPr>
          <w:b/>
          <w:iCs/>
        </w:rPr>
        <w:br w:type="page"/>
      </w:r>
    </w:p>
    <w:p w14:paraId="161EC4B4" w14:textId="4A66A06A" w:rsidR="006B4EDA" w:rsidRPr="00414788" w:rsidRDefault="00DC1240" w:rsidP="00DC1240">
      <w:pPr>
        <w:tabs>
          <w:tab w:val="num" w:pos="0"/>
        </w:tabs>
        <w:ind w:left="709" w:hanging="1276"/>
        <w:rPr>
          <w:iCs/>
        </w:rPr>
      </w:pPr>
      <w:r w:rsidRPr="00414788">
        <w:rPr>
          <w:b/>
          <w:iCs/>
        </w:rPr>
        <w:lastRenderedPageBreak/>
        <w:t>1</w:t>
      </w:r>
      <w:r w:rsidR="00E253C8" w:rsidRPr="00414788">
        <w:rPr>
          <w:b/>
          <w:iCs/>
        </w:rPr>
        <w:t>.</w:t>
      </w:r>
      <w:r w:rsidRPr="00414788">
        <w:rPr>
          <w:b/>
          <w:iCs/>
        </w:rPr>
        <w:t>7.2</w:t>
      </w:r>
      <w:r w:rsidR="00E253C8" w:rsidRPr="00414788">
        <w:rPr>
          <w:iCs/>
        </w:rPr>
        <w:tab/>
        <w:t>Konsolide edilmeyen iştiraklere ilişkin bilgiler: Yoktur</w:t>
      </w:r>
      <w:r w:rsidR="004C2C98" w:rsidRPr="00414788">
        <w:rPr>
          <w:iCs/>
        </w:rPr>
        <w:t xml:space="preserve"> (</w:t>
      </w:r>
      <w:r w:rsidR="005C6CC3" w:rsidRPr="00414788">
        <w:rPr>
          <w:iCs/>
        </w:rPr>
        <w:t xml:space="preserve">31 Aralık </w:t>
      </w:r>
      <w:proofErr w:type="gramStart"/>
      <w:r w:rsidR="001E6CA1" w:rsidRPr="00414788">
        <w:rPr>
          <w:iCs/>
        </w:rPr>
        <w:t>201</w:t>
      </w:r>
      <w:r w:rsidR="00A973B0" w:rsidRPr="00414788">
        <w:rPr>
          <w:iCs/>
        </w:rPr>
        <w:t>9</w:t>
      </w:r>
      <w:r w:rsidR="00723E97" w:rsidRPr="00414788">
        <w:rPr>
          <w:iCs/>
        </w:rPr>
        <w:t xml:space="preserve"> -</w:t>
      </w:r>
      <w:proofErr w:type="gramEnd"/>
      <w:r w:rsidR="00921F53" w:rsidRPr="00414788">
        <w:rPr>
          <w:iCs/>
        </w:rPr>
        <w:t xml:space="preserve"> </w:t>
      </w:r>
      <w:r w:rsidR="006B423B" w:rsidRPr="00414788">
        <w:rPr>
          <w:iCs/>
        </w:rPr>
        <w:t>Y</w:t>
      </w:r>
      <w:r w:rsidR="004C2C98" w:rsidRPr="00414788">
        <w:rPr>
          <w:iCs/>
        </w:rPr>
        <w:t>oktur).</w:t>
      </w:r>
    </w:p>
    <w:p w14:paraId="356CFB18" w14:textId="77777777" w:rsidR="00C4723A" w:rsidRPr="00414788" w:rsidRDefault="00C4723A" w:rsidP="00B74DDB">
      <w:pPr>
        <w:ind w:hanging="567"/>
        <w:rPr>
          <w:b/>
          <w:bCs/>
          <w:iCs/>
          <w:sz w:val="14"/>
        </w:rPr>
      </w:pPr>
    </w:p>
    <w:p w14:paraId="30E9890F" w14:textId="1752C476" w:rsidR="00B43D83" w:rsidRDefault="00DC1240" w:rsidP="00B74DDB">
      <w:pPr>
        <w:ind w:hanging="567"/>
        <w:rPr>
          <w:iCs/>
        </w:rPr>
      </w:pPr>
      <w:r w:rsidRPr="00414788">
        <w:rPr>
          <w:b/>
          <w:bCs/>
          <w:iCs/>
        </w:rPr>
        <w:t>1.7.3</w:t>
      </w:r>
      <w:r w:rsidR="00E253C8" w:rsidRPr="00414788">
        <w:rPr>
          <w:bCs/>
          <w:iCs/>
        </w:rPr>
        <w:tab/>
        <w:t>Konsolide edilen</w:t>
      </w:r>
      <w:r w:rsidR="00E253C8" w:rsidRPr="00414788">
        <w:rPr>
          <w:bCs/>
        </w:rPr>
        <w:t xml:space="preserve"> iştiraklere ilişkin bilgiler</w:t>
      </w:r>
      <w:r w:rsidR="00E253C8" w:rsidRPr="00414788">
        <w:rPr>
          <w:iCs/>
        </w:rPr>
        <w:t>: Yoktur</w:t>
      </w:r>
      <w:r w:rsidR="004C2C98" w:rsidRPr="00414788">
        <w:rPr>
          <w:iCs/>
        </w:rPr>
        <w:t xml:space="preserve"> (</w:t>
      </w:r>
      <w:r w:rsidR="005C6CC3" w:rsidRPr="00414788">
        <w:rPr>
          <w:iCs/>
        </w:rPr>
        <w:t xml:space="preserve">31 Aralık </w:t>
      </w:r>
      <w:proofErr w:type="gramStart"/>
      <w:r w:rsidR="001E6CA1" w:rsidRPr="00414788">
        <w:rPr>
          <w:iCs/>
        </w:rPr>
        <w:t>201</w:t>
      </w:r>
      <w:r w:rsidR="00A973B0" w:rsidRPr="00414788">
        <w:rPr>
          <w:iCs/>
        </w:rPr>
        <w:t>9</w:t>
      </w:r>
      <w:r w:rsidR="00723E97" w:rsidRPr="00414788">
        <w:rPr>
          <w:iCs/>
        </w:rPr>
        <w:t xml:space="preserve"> -</w:t>
      </w:r>
      <w:proofErr w:type="gramEnd"/>
      <w:r w:rsidR="00921F53" w:rsidRPr="00414788">
        <w:rPr>
          <w:iCs/>
        </w:rPr>
        <w:t xml:space="preserve"> </w:t>
      </w:r>
      <w:r w:rsidR="006B423B" w:rsidRPr="00414788">
        <w:rPr>
          <w:iCs/>
        </w:rPr>
        <w:t>Y</w:t>
      </w:r>
      <w:r w:rsidR="00B74DDB" w:rsidRPr="00414788">
        <w:rPr>
          <w:iCs/>
        </w:rPr>
        <w:t>oktur)</w:t>
      </w:r>
    </w:p>
    <w:p w14:paraId="5D479212" w14:textId="1DBBA704" w:rsidR="004B1E23" w:rsidRDefault="004B1E23" w:rsidP="00B74DDB">
      <w:pPr>
        <w:ind w:hanging="567"/>
        <w:rPr>
          <w:iCs/>
        </w:rPr>
      </w:pPr>
    </w:p>
    <w:p w14:paraId="64920FC2" w14:textId="716B519D" w:rsidR="004B1E23" w:rsidRPr="004B1E23" w:rsidRDefault="004B1E23" w:rsidP="004B1E23">
      <w:pPr>
        <w:ind w:hanging="567"/>
        <w:rPr>
          <w:b/>
          <w:bCs/>
          <w:iCs/>
        </w:rPr>
      </w:pPr>
      <w:r w:rsidRPr="00414788">
        <w:rPr>
          <w:b/>
          <w:bCs/>
          <w:iCs/>
        </w:rPr>
        <w:t>1.7.3</w:t>
      </w:r>
      <w:r w:rsidRPr="004B1E23">
        <w:rPr>
          <w:b/>
          <w:bCs/>
          <w:iCs/>
        </w:rPr>
        <w:tab/>
      </w:r>
      <w:r w:rsidRPr="004B1E23">
        <w:rPr>
          <w:bCs/>
          <w:iCs/>
        </w:rPr>
        <w:t xml:space="preserve">Konsolide iştiraklere ilişkin sektör bilgileri ve bunlara ilişkin kayıtlı tutarlar: Yoktur (31 Aralık </w:t>
      </w:r>
      <w:proofErr w:type="gramStart"/>
      <w:r w:rsidRPr="004B1E23">
        <w:rPr>
          <w:bCs/>
          <w:iCs/>
        </w:rPr>
        <w:t>2019 -</w:t>
      </w:r>
      <w:proofErr w:type="gramEnd"/>
      <w:r w:rsidRPr="004B1E23">
        <w:rPr>
          <w:bCs/>
          <w:iCs/>
        </w:rPr>
        <w:t xml:space="preserve"> Yoktur)</w:t>
      </w:r>
    </w:p>
    <w:p w14:paraId="4302FC33" w14:textId="52738082" w:rsidR="004B1E23" w:rsidRDefault="004B1E23" w:rsidP="00B74DDB">
      <w:pPr>
        <w:ind w:hanging="567"/>
        <w:rPr>
          <w:iCs/>
        </w:rPr>
      </w:pPr>
    </w:p>
    <w:p w14:paraId="46116E09" w14:textId="7B032A15" w:rsidR="004B1E23" w:rsidRPr="00414788" w:rsidRDefault="004B1E23" w:rsidP="004B1E23">
      <w:pPr>
        <w:ind w:hanging="567"/>
        <w:rPr>
          <w:iCs/>
        </w:rPr>
      </w:pPr>
      <w:r w:rsidRPr="00414788">
        <w:rPr>
          <w:b/>
          <w:bCs/>
          <w:iCs/>
        </w:rPr>
        <w:t>1.7.3</w:t>
      </w:r>
      <w:r w:rsidRPr="00414788">
        <w:rPr>
          <w:bCs/>
          <w:iCs/>
        </w:rPr>
        <w:tab/>
      </w:r>
      <w:r>
        <w:t xml:space="preserve">Borsaya </w:t>
      </w:r>
      <w:proofErr w:type="spellStart"/>
      <w:r>
        <w:t>kote</w:t>
      </w:r>
      <w:proofErr w:type="spellEnd"/>
      <w:r>
        <w:t xml:space="preserve"> konsolide edilen iştirakler:</w:t>
      </w:r>
      <w:r w:rsidRPr="00414788">
        <w:rPr>
          <w:iCs/>
        </w:rPr>
        <w:t xml:space="preserve"> Yoktur (31 Aralık </w:t>
      </w:r>
      <w:proofErr w:type="gramStart"/>
      <w:r w:rsidRPr="00414788">
        <w:rPr>
          <w:iCs/>
        </w:rPr>
        <w:t>2019 -</w:t>
      </w:r>
      <w:proofErr w:type="gramEnd"/>
      <w:r w:rsidRPr="00414788">
        <w:rPr>
          <w:iCs/>
        </w:rPr>
        <w:t xml:space="preserve"> Yoktur)</w:t>
      </w:r>
    </w:p>
    <w:p w14:paraId="46686A19" w14:textId="2EBB24AA" w:rsidR="0080177D" w:rsidRDefault="0080177D" w:rsidP="00B74DDB">
      <w:pPr>
        <w:ind w:hanging="567"/>
        <w:rPr>
          <w:iCs/>
        </w:rPr>
      </w:pPr>
    </w:p>
    <w:p w14:paraId="4F2FBDB7" w14:textId="485B35F0" w:rsidR="00B43D83" w:rsidRPr="006D71DD" w:rsidRDefault="003A0C10" w:rsidP="00B43D83">
      <w:pPr>
        <w:ind w:hanging="567"/>
        <w:rPr>
          <w:iCs/>
        </w:rPr>
      </w:pPr>
      <w:r>
        <w:rPr>
          <w:b/>
          <w:bCs/>
          <w:iCs/>
        </w:rPr>
        <w:t>1.8</w:t>
      </w:r>
      <w:r w:rsidR="00B43D83" w:rsidRPr="006D71DD">
        <w:rPr>
          <w:b/>
          <w:bCs/>
          <w:iCs/>
        </w:rPr>
        <w:tab/>
        <w:t>Bağlı ortaklıklara ilişkin bilgiler (Net):</w:t>
      </w:r>
    </w:p>
    <w:p w14:paraId="4AC230F9" w14:textId="1AD8C160" w:rsidR="00694090" w:rsidRPr="006D71DD" w:rsidRDefault="00694090">
      <w:pPr>
        <w:rPr>
          <w:lang w:val="en-GB" w:eastAsia="en-GB"/>
        </w:rPr>
      </w:pPr>
    </w:p>
    <w:p w14:paraId="758DF623" w14:textId="0A0271EA" w:rsidR="006B4EDA" w:rsidRPr="006D71DD" w:rsidRDefault="006B4EDA">
      <w:pPr>
        <w:rPr>
          <w:sz w:val="2"/>
          <w:szCs w:val="16"/>
        </w:rPr>
      </w:pPr>
    </w:p>
    <w:p w14:paraId="472AA262" w14:textId="1BF26E86" w:rsidR="003F7875" w:rsidRDefault="003A0C10" w:rsidP="00D227A9">
      <w:pPr>
        <w:autoSpaceDE w:val="0"/>
        <w:autoSpaceDN w:val="0"/>
        <w:adjustRightInd w:val="0"/>
        <w:ind w:hanging="567"/>
        <w:jc w:val="both"/>
        <w:rPr>
          <w:bCs/>
        </w:rPr>
      </w:pPr>
      <w:r>
        <w:rPr>
          <w:b/>
          <w:bCs/>
          <w:iCs/>
        </w:rPr>
        <w:t>1.8</w:t>
      </w:r>
      <w:r w:rsidR="00DC1240" w:rsidRPr="006D71DD">
        <w:rPr>
          <w:b/>
        </w:rPr>
        <w:t>.1</w:t>
      </w:r>
      <w:r w:rsidR="00E253C8" w:rsidRPr="006D71DD">
        <w:tab/>
      </w:r>
      <w:r w:rsidR="00E253C8" w:rsidRPr="006D71DD">
        <w:rPr>
          <w:bCs/>
        </w:rPr>
        <w:t xml:space="preserve">Banka’nın bünyesinde bulundurduğu mali olmayan bağlı ortaklıklarının sermayesinde ve yönetiminde kontrol gücünü elinde bulundurmasına rağmen, 8 Kasım 2006 tarih ve 26340 sayılı </w:t>
      </w:r>
      <w:proofErr w:type="gramStart"/>
      <w:r w:rsidR="00E253C8" w:rsidRPr="006D71DD">
        <w:rPr>
          <w:bCs/>
        </w:rPr>
        <w:t>Resmi</w:t>
      </w:r>
      <w:proofErr w:type="gramEnd"/>
      <w:r w:rsidR="00E253C8" w:rsidRPr="006D71DD">
        <w:rPr>
          <w:bCs/>
        </w:rPr>
        <w:t xml:space="preserve"> </w:t>
      </w:r>
      <w:proofErr w:type="spellStart"/>
      <w:r w:rsidR="00E253C8" w:rsidRPr="006D71DD">
        <w:rPr>
          <w:bCs/>
        </w:rPr>
        <w:t>Gazete’de</w:t>
      </w:r>
      <w:proofErr w:type="spellEnd"/>
      <w:r w:rsidR="00E253C8" w:rsidRPr="006D71DD">
        <w:rPr>
          <w:bCs/>
        </w:rPr>
        <w:t xml:space="preserve"> yayımlanan “Bankaların Konsolide Finansal Tablolarının Düzenlenmesine İlişkin </w:t>
      </w:r>
      <w:proofErr w:type="spellStart"/>
      <w:r w:rsidR="00E253C8" w:rsidRPr="006D71DD">
        <w:rPr>
          <w:bCs/>
        </w:rPr>
        <w:t>Tebliğ”de</w:t>
      </w:r>
      <w:proofErr w:type="spellEnd"/>
      <w:r w:rsidR="00E253C8" w:rsidRPr="006D71DD">
        <w:rPr>
          <w:bCs/>
        </w:rPr>
        <w:t xml:space="preserve"> belirtilen mali ortak</w:t>
      </w:r>
      <w:r w:rsidR="00787B2F" w:rsidRPr="006D71DD">
        <w:rPr>
          <w:bCs/>
        </w:rPr>
        <w:t>lık tanımına uymadığ</w:t>
      </w:r>
      <w:r w:rsidR="00E253C8" w:rsidRPr="006D71DD">
        <w:rPr>
          <w:bCs/>
        </w:rPr>
        <w:t xml:space="preserve">ından dolayı </w:t>
      </w:r>
      <w:r w:rsidR="00A91A68" w:rsidRPr="006D71DD">
        <w:rPr>
          <w:bCs/>
        </w:rPr>
        <w:t xml:space="preserve">Körfez Tatil Beldesi Turistik Tesisler ve </w:t>
      </w:r>
      <w:proofErr w:type="spellStart"/>
      <w:r w:rsidR="00A91A68" w:rsidRPr="006D71DD">
        <w:rPr>
          <w:bCs/>
        </w:rPr>
        <w:t>Devre</w:t>
      </w:r>
      <w:r w:rsidR="00091478" w:rsidRPr="006D71DD">
        <w:rPr>
          <w:bCs/>
        </w:rPr>
        <w:t>mü</w:t>
      </w:r>
      <w:r w:rsidR="00A91A68" w:rsidRPr="006D71DD">
        <w:rPr>
          <w:bCs/>
        </w:rPr>
        <w:t>lk</w:t>
      </w:r>
      <w:proofErr w:type="spellEnd"/>
      <w:r w:rsidR="00A91A68" w:rsidRPr="006D71DD">
        <w:rPr>
          <w:bCs/>
        </w:rPr>
        <w:t xml:space="preserve"> İşletmeciliği San. Ve Tic. A.Ş.</w:t>
      </w:r>
      <w:r w:rsidR="001805FA" w:rsidRPr="006D71DD">
        <w:rPr>
          <w:bCs/>
        </w:rPr>
        <w:t>”</w:t>
      </w:r>
      <w:r w:rsidR="00787B2F" w:rsidRPr="006D71DD">
        <w:rPr>
          <w:bCs/>
        </w:rPr>
        <w:t xml:space="preserve"> bağlı ortaklığı</w:t>
      </w:r>
      <w:r w:rsidR="00B81F91" w:rsidRPr="006D71DD">
        <w:rPr>
          <w:bCs/>
        </w:rPr>
        <w:t>nı konsolide etmemiştir</w:t>
      </w:r>
      <w:r w:rsidR="00E253C8" w:rsidRPr="006D71DD">
        <w:rPr>
          <w:bCs/>
        </w:rPr>
        <w:t>. Banka, bağlı ortaklıklarını konsolide olmayan finansal tablolarda 31 Aralık 2004 tarihine kadar enflasyona göre düzeltilmiş değerlerinden varsa değer düşüş karşılığı ayırarak kayıtlarına yansıtmaktadır.</w:t>
      </w:r>
    </w:p>
    <w:p w14:paraId="6029BE35" w14:textId="77777777" w:rsidR="000D5462" w:rsidRDefault="000D5462" w:rsidP="00D227A9">
      <w:pPr>
        <w:autoSpaceDE w:val="0"/>
        <w:autoSpaceDN w:val="0"/>
        <w:adjustRightInd w:val="0"/>
        <w:ind w:hanging="567"/>
        <w:jc w:val="both"/>
        <w:rPr>
          <w:bCs/>
        </w:rPr>
      </w:pPr>
    </w:p>
    <w:p w14:paraId="44842BC0" w14:textId="465FCA90" w:rsidR="00A810F5" w:rsidRPr="00D83E2C" w:rsidRDefault="003A0C10" w:rsidP="00DF3FC0">
      <w:pPr>
        <w:tabs>
          <w:tab w:val="left" w:pos="720"/>
          <w:tab w:val="left" w:pos="1440"/>
          <w:tab w:val="left" w:pos="2160"/>
          <w:tab w:val="left" w:pos="3070"/>
        </w:tabs>
        <w:autoSpaceDE w:val="0"/>
        <w:autoSpaceDN w:val="0"/>
        <w:adjustRightInd w:val="0"/>
        <w:ind w:hanging="567"/>
        <w:jc w:val="both"/>
        <w:rPr>
          <w:iCs/>
        </w:rPr>
      </w:pPr>
      <w:r>
        <w:rPr>
          <w:b/>
          <w:bCs/>
          <w:iCs/>
        </w:rPr>
        <w:t>1.8</w:t>
      </w:r>
      <w:r w:rsidR="0080177D" w:rsidRPr="00D83E2C">
        <w:rPr>
          <w:b/>
        </w:rPr>
        <w:t>.</w:t>
      </w:r>
      <w:r w:rsidR="00DC1240" w:rsidRPr="00D83E2C">
        <w:rPr>
          <w:b/>
          <w:iCs/>
        </w:rPr>
        <w:t>2</w:t>
      </w:r>
      <w:r w:rsidR="00E253C8" w:rsidRPr="00D83E2C">
        <w:rPr>
          <w:iCs/>
        </w:rPr>
        <w:tab/>
        <w:t>Bağlı ortaklıklara ilişkin bilgiler:</w:t>
      </w:r>
    </w:p>
    <w:p w14:paraId="25DF4980" w14:textId="23C65047" w:rsidR="00D83E2C" w:rsidRPr="00D83E2C" w:rsidRDefault="00D83E2C" w:rsidP="00960253">
      <w:pPr>
        <w:rPr>
          <w:lang w:val="en-GB" w:eastAsia="en-GB"/>
        </w:rPr>
      </w:pPr>
    </w:p>
    <w:tbl>
      <w:tblPr>
        <w:tblW w:w="9210" w:type="dxa"/>
        <w:tblCellMar>
          <w:left w:w="70" w:type="dxa"/>
          <w:right w:w="70" w:type="dxa"/>
        </w:tblCellMar>
        <w:tblLook w:val="04A0" w:firstRow="1" w:lastRow="0" w:firstColumn="1" w:lastColumn="0" w:noHBand="0" w:noVBand="1"/>
      </w:tblPr>
      <w:tblGrid>
        <w:gridCol w:w="279"/>
        <w:gridCol w:w="3827"/>
        <w:gridCol w:w="2126"/>
        <w:gridCol w:w="1349"/>
        <w:gridCol w:w="1629"/>
      </w:tblGrid>
      <w:tr w:rsidR="00C84541" w:rsidRPr="005D0319" w14:paraId="715FA9EC" w14:textId="77777777" w:rsidTr="0060078F">
        <w:trPr>
          <w:trHeight w:val="51"/>
        </w:trPr>
        <w:tc>
          <w:tcPr>
            <w:tcW w:w="279" w:type="dxa"/>
            <w:tcBorders>
              <w:top w:val="single" w:sz="4" w:space="0" w:color="auto"/>
              <w:left w:val="single" w:sz="4" w:space="0" w:color="auto"/>
              <w:bottom w:val="single" w:sz="4" w:space="0" w:color="auto"/>
              <w:right w:val="nil"/>
            </w:tcBorders>
            <w:shd w:val="clear" w:color="auto" w:fill="auto"/>
            <w:noWrap/>
            <w:vAlign w:val="bottom"/>
            <w:hideMark/>
          </w:tcPr>
          <w:p w14:paraId="7AC2ACE0" w14:textId="77777777" w:rsidR="00C84541" w:rsidRPr="005D0319" w:rsidRDefault="00C84541" w:rsidP="00454F41">
            <w:pPr>
              <w:rPr>
                <w:sz w:val="18"/>
                <w:szCs w:val="18"/>
                <w:lang w:eastAsia="tr-TR"/>
              </w:rPr>
            </w:pPr>
            <w:r w:rsidRPr="005D0319">
              <w:rPr>
                <w:sz w:val="18"/>
                <w:szCs w:val="18"/>
                <w:lang w:eastAsia="tr-TR"/>
              </w:rPr>
              <w:t> </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F04E3" w14:textId="77777777" w:rsidR="00C84541" w:rsidRPr="005D0319" w:rsidRDefault="00C84541" w:rsidP="00454F41">
            <w:pPr>
              <w:jc w:val="both"/>
              <w:rPr>
                <w:b/>
                <w:bCs/>
                <w:sz w:val="18"/>
                <w:szCs w:val="18"/>
                <w:lang w:eastAsia="tr-TR"/>
              </w:rPr>
            </w:pPr>
            <w:r w:rsidRPr="005D0319">
              <w:rPr>
                <w:b/>
                <w:bCs/>
                <w:sz w:val="18"/>
                <w:szCs w:val="18"/>
                <w:lang w:eastAsia="tr-TR"/>
              </w:rPr>
              <w:t>Unvanı</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31B4783" w14:textId="77777777" w:rsidR="00C84541" w:rsidRPr="005D0319" w:rsidRDefault="00C84541" w:rsidP="00454F41">
            <w:pPr>
              <w:jc w:val="center"/>
              <w:rPr>
                <w:b/>
                <w:bCs/>
                <w:sz w:val="18"/>
                <w:szCs w:val="18"/>
                <w:lang w:eastAsia="tr-TR"/>
              </w:rPr>
            </w:pPr>
            <w:r w:rsidRPr="005D0319">
              <w:rPr>
                <w:b/>
                <w:bCs/>
                <w:sz w:val="18"/>
                <w:szCs w:val="18"/>
                <w:lang w:eastAsia="tr-TR"/>
              </w:rPr>
              <w:t xml:space="preserve">Adres </w:t>
            </w:r>
            <w:proofErr w:type="gramStart"/>
            <w:r w:rsidRPr="005D0319">
              <w:rPr>
                <w:b/>
                <w:bCs/>
                <w:sz w:val="18"/>
                <w:szCs w:val="18"/>
                <w:lang w:eastAsia="tr-TR"/>
              </w:rPr>
              <w:t>( Şehir</w:t>
            </w:r>
            <w:proofErr w:type="gramEnd"/>
            <w:r w:rsidRPr="005D0319">
              <w:rPr>
                <w:b/>
                <w:bCs/>
                <w:sz w:val="18"/>
                <w:szCs w:val="18"/>
                <w:lang w:eastAsia="tr-TR"/>
              </w:rPr>
              <w:t>/Ülke)</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14:paraId="58935EA1" w14:textId="77777777" w:rsidR="00C84541" w:rsidRPr="005D0319" w:rsidRDefault="00C84541" w:rsidP="00454F41">
            <w:pPr>
              <w:jc w:val="center"/>
              <w:rPr>
                <w:b/>
                <w:bCs/>
                <w:sz w:val="18"/>
                <w:szCs w:val="18"/>
                <w:lang w:eastAsia="tr-TR"/>
              </w:rPr>
            </w:pPr>
            <w:r w:rsidRPr="005D0319">
              <w:rPr>
                <w:b/>
                <w:bCs/>
                <w:sz w:val="18"/>
                <w:szCs w:val="18"/>
                <w:lang w:eastAsia="tr-TR"/>
              </w:rPr>
              <w:t xml:space="preserve">Banka'nın pay oranı-farklıysa oy </w:t>
            </w:r>
            <w:proofErr w:type="spellStart"/>
            <w:proofErr w:type="gramStart"/>
            <w:r w:rsidRPr="005D0319">
              <w:rPr>
                <w:b/>
                <w:bCs/>
                <w:sz w:val="18"/>
                <w:szCs w:val="18"/>
                <w:lang w:eastAsia="tr-TR"/>
              </w:rPr>
              <w:t>ornaı</w:t>
            </w:r>
            <w:proofErr w:type="spellEnd"/>
            <w:r w:rsidRPr="005D0319">
              <w:rPr>
                <w:b/>
                <w:bCs/>
                <w:sz w:val="18"/>
                <w:szCs w:val="18"/>
                <w:lang w:eastAsia="tr-TR"/>
              </w:rPr>
              <w:t>(</w:t>
            </w:r>
            <w:proofErr w:type="gramEnd"/>
            <w:r w:rsidRPr="005D0319">
              <w:rPr>
                <w:b/>
                <w:bCs/>
                <w:sz w:val="18"/>
                <w:szCs w:val="18"/>
                <w:lang w:eastAsia="tr-TR"/>
              </w:rPr>
              <w:t>%)</w:t>
            </w:r>
          </w:p>
        </w:tc>
        <w:tc>
          <w:tcPr>
            <w:tcW w:w="1629" w:type="dxa"/>
            <w:tcBorders>
              <w:top w:val="single" w:sz="4" w:space="0" w:color="auto"/>
              <w:left w:val="nil"/>
              <w:bottom w:val="single" w:sz="4" w:space="0" w:color="auto"/>
              <w:right w:val="single" w:sz="4" w:space="0" w:color="auto"/>
            </w:tcBorders>
            <w:shd w:val="clear" w:color="auto" w:fill="auto"/>
            <w:vAlign w:val="center"/>
            <w:hideMark/>
          </w:tcPr>
          <w:p w14:paraId="28A231DD" w14:textId="77777777" w:rsidR="00C84541" w:rsidRPr="005D0319" w:rsidRDefault="00C84541" w:rsidP="00454F41">
            <w:pPr>
              <w:jc w:val="center"/>
              <w:rPr>
                <w:b/>
                <w:bCs/>
                <w:sz w:val="18"/>
                <w:szCs w:val="18"/>
                <w:lang w:eastAsia="tr-TR"/>
              </w:rPr>
            </w:pPr>
            <w:r w:rsidRPr="005D0319">
              <w:rPr>
                <w:b/>
                <w:bCs/>
                <w:sz w:val="18"/>
                <w:szCs w:val="18"/>
                <w:lang w:eastAsia="tr-TR"/>
              </w:rPr>
              <w:t>Banka risk grubu pay oranı (%)</w:t>
            </w:r>
          </w:p>
        </w:tc>
      </w:tr>
      <w:tr w:rsidR="00C84541" w:rsidRPr="005D0319" w14:paraId="7B77F7F2" w14:textId="77777777" w:rsidTr="0060078F">
        <w:trPr>
          <w:trHeight w:val="42"/>
        </w:trPr>
        <w:tc>
          <w:tcPr>
            <w:tcW w:w="279" w:type="dxa"/>
            <w:tcBorders>
              <w:top w:val="single" w:sz="4" w:space="0" w:color="auto"/>
              <w:left w:val="single" w:sz="4" w:space="0" w:color="auto"/>
              <w:bottom w:val="single" w:sz="4" w:space="0" w:color="auto"/>
              <w:right w:val="nil"/>
            </w:tcBorders>
            <w:shd w:val="clear" w:color="auto" w:fill="auto"/>
            <w:vAlign w:val="center"/>
            <w:hideMark/>
          </w:tcPr>
          <w:p w14:paraId="7E06BD3D" w14:textId="77777777" w:rsidR="00C84541" w:rsidRPr="005D0319" w:rsidRDefault="00C84541" w:rsidP="00454F41">
            <w:pPr>
              <w:jc w:val="center"/>
              <w:rPr>
                <w:sz w:val="18"/>
                <w:szCs w:val="18"/>
                <w:lang w:eastAsia="tr-TR"/>
              </w:rPr>
            </w:pPr>
            <w:r w:rsidRPr="005D0319">
              <w:rPr>
                <w:sz w:val="18"/>
                <w:szCs w:val="18"/>
                <w:lang w:eastAsia="tr-TR"/>
              </w:rPr>
              <w:t>1</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14:paraId="6396CCC3" w14:textId="77777777" w:rsidR="00C84541" w:rsidRPr="005D0319" w:rsidRDefault="00C84541" w:rsidP="00454F41">
            <w:pPr>
              <w:rPr>
                <w:sz w:val="16"/>
                <w:szCs w:val="16"/>
                <w:lang w:eastAsia="tr-TR"/>
              </w:rPr>
            </w:pPr>
            <w:r w:rsidRPr="005D0319">
              <w:rPr>
                <w:sz w:val="16"/>
                <w:szCs w:val="16"/>
                <w:lang w:eastAsia="tr-TR"/>
              </w:rPr>
              <w:t xml:space="preserve">Körfez Tatil Beldesi Turistik Tesisler ve </w:t>
            </w:r>
            <w:proofErr w:type="spellStart"/>
            <w:r w:rsidRPr="005D0319">
              <w:rPr>
                <w:sz w:val="16"/>
                <w:szCs w:val="16"/>
                <w:lang w:eastAsia="tr-TR"/>
              </w:rPr>
              <w:t>Devremülk</w:t>
            </w:r>
            <w:proofErr w:type="spellEnd"/>
            <w:r w:rsidRPr="005D0319">
              <w:rPr>
                <w:sz w:val="16"/>
                <w:szCs w:val="16"/>
                <w:lang w:eastAsia="tr-TR"/>
              </w:rPr>
              <w:t xml:space="preserve"> İşletmeciliği San.ve Tic. A.Ş. (**)</w:t>
            </w:r>
          </w:p>
        </w:tc>
        <w:tc>
          <w:tcPr>
            <w:tcW w:w="2126" w:type="dxa"/>
            <w:tcBorders>
              <w:top w:val="nil"/>
              <w:left w:val="nil"/>
              <w:bottom w:val="single" w:sz="4" w:space="0" w:color="auto"/>
              <w:right w:val="single" w:sz="4" w:space="0" w:color="auto"/>
            </w:tcBorders>
            <w:shd w:val="clear" w:color="auto" w:fill="auto"/>
            <w:vAlign w:val="center"/>
            <w:hideMark/>
          </w:tcPr>
          <w:p w14:paraId="2B3A3B91" w14:textId="77777777" w:rsidR="00C84541" w:rsidRPr="005D0319" w:rsidRDefault="00C84541" w:rsidP="00454F41">
            <w:pPr>
              <w:jc w:val="right"/>
              <w:rPr>
                <w:sz w:val="16"/>
                <w:szCs w:val="16"/>
                <w:lang w:eastAsia="tr-TR"/>
              </w:rPr>
            </w:pPr>
            <w:r w:rsidRPr="005D0319">
              <w:rPr>
                <w:sz w:val="16"/>
                <w:szCs w:val="16"/>
                <w:lang w:eastAsia="tr-TR"/>
              </w:rPr>
              <w:t>İstanbul/Türkiye</w:t>
            </w:r>
          </w:p>
        </w:tc>
        <w:tc>
          <w:tcPr>
            <w:tcW w:w="1349" w:type="dxa"/>
            <w:tcBorders>
              <w:top w:val="nil"/>
              <w:left w:val="nil"/>
              <w:bottom w:val="single" w:sz="4" w:space="0" w:color="auto"/>
              <w:right w:val="single" w:sz="4" w:space="0" w:color="auto"/>
            </w:tcBorders>
            <w:shd w:val="clear" w:color="auto" w:fill="auto"/>
            <w:vAlign w:val="center"/>
            <w:hideMark/>
          </w:tcPr>
          <w:p w14:paraId="740C04A3" w14:textId="77777777" w:rsidR="00C84541" w:rsidRPr="005D0319" w:rsidRDefault="00C84541" w:rsidP="00454F41">
            <w:pPr>
              <w:jc w:val="right"/>
              <w:rPr>
                <w:sz w:val="16"/>
                <w:szCs w:val="16"/>
                <w:lang w:eastAsia="tr-TR"/>
              </w:rPr>
            </w:pPr>
            <w:r w:rsidRPr="005D0319">
              <w:rPr>
                <w:sz w:val="16"/>
                <w:szCs w:val="16"/>
                <w:lang w:eastAsia="tr-TR"/>
              </w:rPr>
              <w:t>99.99</w:t>
            </w:r>
          </w:p>
        </w:tc>
        <w:tc>
          <w:tcPr>
            <w:tcW w:w="1629" w:type="dxa"/>
            <w:tcBorders>
              <w:top w:val="nil"/>
              <w:left w:val="nil"/>
              <w:bottom w:val="single" w:sz="4" w:space="0" w:color="auto"/>
              <w:right w:val="single" w:sz="4" w:space="0" w:color="auto"/>
            </w:tcBorders>
            <w:shd w:val="clear" w:color="auto" w:fill="auto"/>
            <w:vAlign w:val="center"/>
            <w:hideMark/>
          </w:tcPr>
          <w:p w14:paraId="0C1ACEB0" w14:textId="77777777" w:rsidR="00C84541" w:rsidRPr="005D0319" w:rsidRDefault="00C84541" w:rsidP="00454F41">
            <w:pPr>
              <w:jc w:val="right"/>
              <w:rPr>
                <w:sz w:val="16"/>
                <w:szCs w:val="16"/>
                <w:lang w:eastAsia="tr-TR"/>
              </w:rPr>
            </w:pPr>
            <w:r w:rsidRPr="005D0319">
              <w:rPr>
                <w:sz w:val="16"/>
                <w:szCs w:val="16"/>
                <w:lang w:eastAsia="tr-TR"/>
              </w:rPr>
              <w:t>99.99</w:t>
            </w:r>
          </w:p>
        </w:tc>
      </w:tr>
      <w:tr w:rsidR="00C84541" w:rsidRPr="005D0319" w14:paraId="29FA9190" w14:textId="77777777" w:rsidTr="0060078F">
        <w:trPr>
          <w:trHeight w:val="172"/>
        </w:trPr>
        <w:tc>
          <w:tcPr>
            <w:tcW w:w="279" w:type="dxa"/>
            <w:tcBorders>
              <w:top w:val="single" w:sz="4" w:space="0" w:color="auto"/>
              <w:left w:val="single" w:sz="4" w:space="0" w:color="auto"/>
              <w:bottom w:val="single" w:sz="4" w:space="0" w:color="auto"/>
              <w:right w:val="nil"/>
            </w:tcBorders>
            <w:shd w:val="clear" w:color="auto" w:fill="auto"/>
            <w:vAlign w:val="center"/>
            <w:hideMark/>
          </w:tcPr>
          <w:p w14:paraId="44700017" w14:textId="77777777" w:rsidR="00C84541" w:rsidRPr="005D0319" w:rsidRDefault="00C84541" w:rsidP="00454F41">
            <w:pPr>
              <w:jc w:val="center"/>
              <w:rPr>
                <w:sz w:val="18"/>
                <w:szCs w:val="18"/>
                <w:lang w:eastAsia="tr-TR"/>
              </w:rPr>
            </w:pPr>
            <w:r w:rsidRPr="005D0319">
              <w:rPr>
                <w:sz w:val="18"/>
                <w:szCs w:val="18"/>
                <w:lang w:eastAsia="tr-TR"/>
              </w:rPr>
              <w:t>2</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14:paraId="17C051E4" w14:textId="77777777" w:rsidR="00C84541" w:rsidRPr="005D0319" w:rsidRDefault="00C84541" w:rsidP="00454F41">
            <w:pPr>
              <w:rPr>
                <w:sz w:val="16"/>
                <w:szCs w:val="16"/>
                <w:lang w:eastAsia="tr-TR"/>
              </w:rPr>
            </w:pPr>
            <w:r w:rsidRPr="005D0319">
              <w:rPr>
                <w:sz w:val="16"/>
                <w:szCs w:val="16"/>
                <w:lang w:eastAsia="tr-TR"/>
              </w:rPr>
              <w:t>Körfez Gayrimenkul Yatırım Ortaklığı A.Ş.</w:t>
            </w:r>
          </w:p>
        </w:tc>
        <w:tc>
          <w:tcPr>
            <w:tcW w:w="2126" w:type="dxa"/>
            <w:tcBorders>
              <w:top w:val="nil"/>
              <w:left w:val="nil"/>
              <w:bottom w:val="single" w:sz="4" w:space="0" w:color="auto"/>
              <w:right w:val="single" w:sz="4" w:space="0" w:color="auto"/>
            </w:tcBorders>
            <w:shd w:val="clear" w:color="auto" w:fill="auto"/>
            <w:vAlign w:val="center"/>
            <w:hideMark/>
          </w:tcPr>
          <w:p w14:paraId="48126202" w14:textId="77777777" w:rsidR="00C84541" w:rsidRPr="005D0319" w:rsidRDefault="00C84541" w:rsidP="00454F41">
            <w:pPr>
              <w:jc w:val="right"/>
              <w:rPr>
                <w:sz w:val="16"/>
                <w:szCs w:val="16"/>
                <w:lang w:eastAsia="tr-TR"/>
              </w:rPr>
            </w:pPr>
            <w:r w:rsidRPr="005D0319">
              <w:rPr>
                <w:sz w:val="16"/>
                <w:szCs w:val="16"/>
                <w:lang w:eastAsia="tr-TR"/>
              </w:rPr>
              <w:t>İstanbul/Türkiye</w:t>
            </w:r>
          </w:p>
        </w:tc>
        <w:tc>
          <w:tcPr>
            <w:tcW w:w="1349" w:type="dxa"/>
            <w:tcBorders>
              <w:top w:val="nil"/>
              <w:left w:val="nil"/>
              <w:bottom w:val="single" w:sz="4" w:space="0" w:color="auto"/>
              <w:right w:val="single" w:sz="4" w:space="0" w:color="auto"/>
            </w:tcBorders>
            <w:shd w:val="clear" w:color="auto" w:fill="auto"/>
            <w:vAlign w:val="center"/>
            <w:hideMark/>
          </w:tcPr>
          <w:p w14:paraId="0446B9D3" w14:textId="77777777" w:rsidR="00C84541" w:rsidRPr="005D0319" w:rsidRDefault="00C84541" w:rsidP="00454F41">
            <w:pPr>
              <w:jc w:val="right"/>
              <w:rPr>
                <w:sz w:val="16"/>
                <w:szCs w:val="16"/>
                <w:lang w:eastAsia="tr-TR"/>
              </w:rPr>
            </w:pPr>
            <w:r w:rsidRPr="005D0319">
              <w:rPr>
                <w:sz w:val="16"/>
                <w:szCs w:val="16"/>
                <w:lang w:eastAsia="tr-TR"/>
              </w:rPr>
              <w:t>75.00</w:t>
            </w:r>
          </w:p>
        </w:tc>
        <w:tc>
          <w:tcPr>
            <w:tcW w:w="1629" w:type="dxa"/>
            <w:tcBorders>
              <w:top w:val="nil"/>
              <w:left w:val="nil"/>
              <w:bottom w:val="single" w:sz="4" w:space="0" w:color="auto"/>
              <w:right w:val="single" w:sz="4" w:space="0" w:color="auto"/>
            </w:tcBorders>
            <w:shd w:val="clear" w:color="auto" w:fill="auto"/>
            <w:vAlign w:val="center"/>
            <w:hideMark/>
          </w:tcPr>
          <w:p w14:paraId="285397FD" w14:textId="77777777" w:rsidR="00C84541" w:rsidRPr="005D0319" w:rsidRDefault="00C84541" w:rsidP="00454F41">
            <w:pPr>
              <w:jc w:val="right"/>
              <w:rPr>
                <w:sz w:val="16"/>
                <w:szCs w:val="16"/>
                <w:lang w:eastAsia="tr-TR"/>
              </w:rPr>
            </w:pPr>
            <w:r w:rsidRPr="005D0319">
              <w:rPr>
                <w:sz w:val="16"/>
                <w:szCs w:val="16"/>
                <w:lang w:eastAsia="tr-TR"/>
              </w:rPr>
              <w:t>83.26</w:t>
            </w:r>
          </w:p>
        </w:tc>
      </w:tr>
      <w:tr w:rsidR="00C84541" w:rsidRPr="005D0319" w14:paraId="41C46DD0" w14:textId="77777777" w:rsidTr="0060078F">
        <w:trPr>
          <w:trHeight w:val="129"/>
        </w:trPr>
        <w:tc>
          <w:tcPr>
            <w:tcW w:w="279" w:type="dxa"/>
            <w:tcBorders>
              <w:top w:val="single" w:sz="4" w:space="0" w:color="auto"/>
              <w:left w:val="single" w:sz="4" w:space="0" w:color="auto"/>
              <w:bottom w:val="single" w:sz="4" w:space="0" w:color="auto"/>
              <w:right w:val="nil"/>
            </w:tcBorders>
            <w:shd w:val="clear" w:color="auto" w:fill="auto"/>
            <w:vAlign w:val="center"/>
            <w:hideMark/>
          </w:tcPr>
          <w:p w14:paraId="0CAF1430" w14:textId="77777777" w:rsidR="00C84541" w:rsidRPr="005D0319" w:rsidRDefault="00C84541" w:rsidP="00454F41">
            <w:pPr>
              <w:jc w:val="center"/>
              <w:rPr>
                <w:sz w:val="18"/>
                <w:szCs w:val="18"/>
                <w:lang w:eastAsia="tr-TR"/>
              </w:rPr>
            </w:pPr>
            <w:r w:rsidRPr="005D0319">
              <w:rPr>
                <w:sz w:val="18"/>
                <w:szCs w:val="18"/>
                <w:lang w:eastAsia="tr-TR"/>
              </w:rPr>
              <w:t>3</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14:paraId="33A624DE" w14:textId="77777777" w:rsidR="00C84541" w:rsidRPr="005D0319" w:rsidRDefault="00C84541" w:rsidP="00454F41">
            <w:pPr>
              <w:rPr>
                <w:sz w:val="16"/>
                <w:szCs w:val="16"/>
                <w:lang w:eastAsia="tr-TR"/>
              </w:rPr>
            </w:pPr>
            <w:r w:rsidRPr="005D0319">
              <w:rPr>
                <w:sz w:val="16"/>
                <w:szCs w:val="16"/>
                <w:lang w:eastAsia="tr-TR"/>
              </w:rPr>
              <w:t>KT Sukuk Varlık Kiralama A.Ş.</w:t>
            </w:r>
          </w:p>
        </w:tc>
        <w:tc>
          <w:tcPr>
            <w:tcW w:w="2126" w:type="dxa"/>
            <w:tcBorders>
              <w:top w:val="nil"/>
              <w:left w:val="nil"/>
              <w:bottom w:val="single" w:sz="4" w:space="0" w:color="auto"/>
              <w:right w:val="single" w:sz="4" w:space="0" w:color="auto"/>
            </w:tcBorders>
            <w:shd w:val="clear" w:color="auto" w:fill="auto"/>
            <w:vAlign w:val="center"/>
            <w:hideMark/>
          </w:tcPr>
          <w:p w14:paraId="07E131AB" w14:textId="77777777" w:rsidR="00C84541" w:rsidRPr="005D0319" w:rsidRDefault="00C84541" w:rsidP="00454F41">
            <w:pPr>
              <w:jc w:val="right"/>
              <w:rPr>
                <w:sz w:val="16"/>
                <w:szCs w:val="16"/>
                <w:lang w:eastAsia="tr-TR"/>
              </w:rPr>
            </w:pPr>
            <w:r w:rsidRPr="005D0319">
              <w:rPr>
                <w:sz w:val="16"/>
                <w:szCs w:val="16"/>
                <w:lang w:eastAsia="tr-TR"/>
              </w:rPr>
              <w:t>İstanbul/Türkiye</w:t>
            </w:r>
          </w:p>
        </w:tc>
        <w:tc>
          <w:tcPr>
            <w:tcW w:w="1349" w:type="dxa"/>
            <w:tcBorders>
              <w:top w:val="nil"/>
              <w:left w:val="nil"/>
              <w:bottom w:val="single" w:sz="4" w:space="0" w:color="auto"/>
              <w:right w:val="single" w:sz="4" w:space="0" w:color="auto"/>
            </w:tcBorders>
            <w:shd w:val="clear" w:color="auto" w:fill="auto"/>
            <w:vAlign w:val="center"/>
            <w:hideMark/>
          </w:tcPr>
          <w:p w14:paraId="653B1881" w14:textId="77777777" w:rsidR="00C84541" w:rsidRPr="005D0319" w:rsidRDefault="00C84541" w:rsidP="00454F41">
            <w:pPr>
              <w:jc w:val="right"/>
              <w:rPr>
                <w:sz w:val="16"/>
                <w:szCs w:val="16"/>
                <w:lang w:eastAsia="tr-TR"/>
              </w:rPr>
            </w:pPr>
            <w:r w:rsidRPr="005D0319">
              <w:rPr>
                <w:sz w:val="16"/>
                <w:szCs w:val="16"/>
                <w:lang w:eastAsia="tr-TR"/>
              </w:rPr>
              <w:t>100.00</w:t>
            </w:r>
          </w:p>
        </w:tc>
        <w:tc>
          <w:tcPr>
            <w:tcW w:w="1629" w:type="dxa"/>
            <w:tcBorders>
              <w:top w:val="nil"/>
              <w:left w:val="nil"/>
              <w:bottom w:val="single" w:sz="4" w:space="0" w:color="auto"/>
              <w:right w:val="single" w:sz="4" w:space="0" w:color="auto"/>
            </w:tcBorders>
            <w:shd w:val="clear" w:color="auto" w:fill="auto"/>
            <w:vAlign w:val="center"/>
            <w:hideMark/>
          </w:tcPr>
          <w:p w14:paraId="2727ED39" w14:textId="77777777" w:rsidR="00C84541" w:rsidRPr="005D0319" w:rsidRDefault="00C84541" w:rsidP="00454F41">
            <w:pPr>
              <w:jc w:val="right"/>
              <w:rPr>
                <w:sz w:val="16"/>
                <w:szCs w:val="16"/>
                <w:lang w:eastAsia="tr-TR"/>
              </w:rPr>
            </w:pPr>
            <w:r w:rsidRPr="005D0319">
              <w:rPr>
                <w:sz w:val="16"/>
                <w:szCs w:val="16"/>
                <w:lang w:eastAsia="tr-TR"/>
              </w:rPr>
              <w:t>100.00</w:t>
            </w:r>
          </w:p>
        </w:tc>
      </w:tr>
      <w:tr w:rsidR="00C84541" w:rsidRPr="005D0319" w14:paraId="6D4B1E22" w14:textId="77777777" w:rsidTr="0060078F">
        <w:trPr>
          <w:trHeight w:val="172"/>
        </w:trPr>
        <w:tc>
          <w:tcPr>
            <w:tcW w:w="279" w:type="dxa"/>
            <w:tcBorders>
              <w:top w:val="single" w:sz="4" w:space="0" w:color="auto"/>
              <w:left w:val="single" w:sz="4" w:space="0" w:color="auto"/>
              <w:bottom w:val="single" w:sz="4" w:space="0" w:color="auto"/>
              <w:right w:val="nil"/>
            </w:tcBorders>
            <w:shd w:val="clear" w:color="auto" w:fill="auto"/>
            <w:vAlign w:val="center"/>
            <w:hideMark/>
          </w:tcPr>
          <w:p w14:paraId="27B590B1" w14:textId="77777777" w:rsidR="00C84541" w:rsidRPr="005D0319" w:rsidRDefault="00C84541" w:rsidP="00454F41">
            <w:pPr>
              <w:jc w:val="center"/>
              <w:rPr>
                <w:sz w:val="18"/>
                <w:szCs w:val="18"/>
                <w:lang w:eastAsia="tr-TR"/>
              </w:rPr>
            </w:pPr>
            <w:r w:rsidRPr="005D0319">
              <w:rPr>
                <w:sz w:val="18"/>
                <w:szCs w:val="18"/>
                <w:lang w:eastAsia="tr-TR"/>
              </w:rPr>
              <w:t>4</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14:paraId="7B7C9EC1" w14:textId="77777777" w:rsidR="00C84541" w:rsidRPr="005D0319" w:rsidRDefault="00C84541" w:rsidP="00454F41">
            <w:pPr>
              <w:rPr>
                <w:sz w:val="16"/>
                <w:szCs w:val="16"/>
                <w:lang w:eastAsia="tr-TR"/>
              </w:rPr>
            </w:pPr>
            <w:r w:rsidRPr="005D0319">
              <w:rPr>
                <w:sz w:val="16"/>
                <w:szCs w:val="16"/>
                <w:lang w:eastAsia="tr-TR"/>
              </w:rPr>
              <w:t>KT Kira Sertifikaları Varlık Kiralama A.Ş.</w:t>
            </w:r>
          </w:p>
        </w:tc>
        <w:tc>
          <w:tcPr>
            <w:tcW w:w="2126" w:type="dxa"/>
            <w:tcBorders>
              <w:top w:val="nil"/>
              <w:left w:val="nil"/>
              <w:bottom w:val="single" w:sz="4" w:space="0" w:color="auto"/>
              <w:right w:val="single" w:sz="4" w:space="0" w:color="auto"/>
            </w:tcBorders>
            <w:shd w:val="clear" w:color="auto" w:fill="auto"/>
            <w:vAlign w:val="center"/>
            <w:hideMark/>
          </w:tcPr>
          <w:p w14:paraId="76E344C0" w14:textId="77777777" w:rsidR="00C84541" w:rsidRPr="005D0319" w:rsidRDefault="00C84541" w:rsidP="00454F41">
            <w:pPr>
              <w:jc w:val="right"/>
              <w:rPr>
                <w:sz w:val="16"/>
                <w:szCs w:val="16"/>
                <w:lang w:eastAsia="tr-TR"/>
              </w:rPr>
            </w:pPr>
            <w:r w:rsidRPr="005D0319">
              <w:rPr>
                <w:sz w:val="16"/>
                <w:szCs w:val="16"/>
                <w:lang w:eastAsia="tr-TR"/>
              </w:rPr>
              <w:t>İstanbul/Türkiye</w:t>
            </w:r>
          </w:p>
        </w:tc>
        <w:tc>
          <w:tcPr>
            <w:tcW w:w="1349" w:type="dxa"/>
            <w:tcBorders>
              <w:top w:val="nil"/>
              <w:left w:val="nil"/>
              <w:bottom w:val="single" w:sz="4" w:space="0" w:color="auto"/>
              <w:right w:val="single" w:sz="4" w:space="0" w:color="auto"/>
            </w:tcBorders>
            <w:shd w:val="clear" w:color="auto" w:fill="auto"/>
            <w:vAlign w:val="center"/>
            <w:hideMark/>
          </w:tcPr>
          <w:p w14:paraId="07D176A9" w14:textId="77777777" w:rsidR="00C84541" w:rsidRPr="005D0319" w:rsidRDefault="00C84541" w:rsidP="00454F41">
            <w:pPr>
              <w:jc w:val="right"/>
              <w:rPr>
                <w:sz w:val="16"/>
                <w:szCs w:val="16"/>
                <w:lang w:eastAsia="tr-TR"/>
              </w:rPr>
            </w:pPr>
            <w:r w:rsidRPr="005D0319">
              <w:rPr>
                <w:sz w:val="16"/>
                <w:szCs w:val="16"/>
                <w:lang w:eastAsia="tr-TR"/>
              </w:rPr>
              <w:t>100.00</w:t>
            </w:r>
          </w:p>
        </w:tc>
        <w:tc>
          <w:tcPr>
            <w:tcW w:w="1629" w:type="dxa"/>
            <w:tcBorders>
              <w:top w:val="nil"/>
              <w:left w:val="nil"/>
              <w:bottom w:val="single" w:sz="4" w:space="0" w:color="auto"/>
              <w:right w:val="single" w:sz="4" w:space="0" w:color="auto"/>
            </w:tcBorders>
            <w:shd w:val="clear" w:color="auto" w:fill="auto"/>
            <w:vAlign w:val="center"/>
            <w:hideMark/>
          </w:tcPr>
          <w:p w14:paraId="09C1DD15" w14:textId="77777777" w:rsidR="00C84541" w:rsidRPr="005D0319" w:rsidRDefault="00C84541" w:rsidP="00454F41">
            <w:pPr>
              <w:jc w:val="right"/>
              <w:rPr>
                <w:sz w:val="16"/>
                <w:szCs w:val="16"/>
                <w:lang w:eastAsia="tr-TR"/>
              </w:rPr>
            </w:pPr>
            <w:r w:rsidRPr="005D0319">
              <w:rPr>
                <w:sz w:val="16"/>
                <w:szCs w:val="16"/>
                <w:lang w:eastAsia="tr-TR"/>
              </w:rPr>
              <w:t>100.00</w:t>
            </w:r>
          </w:p>
        </w:tc>
      </w:tr>
      <w:tr w:rsidR="00C84541" w:rsidRPr="005D0319" w14:paraId="2E87AC58" w14:textId="77777777" w:rsidTr="0060078F">
        <w:trPr>
          <w:trHeight w:val="44"/>
        </w:trPr>
        <w:tc>
          <w:tcPr>
            <w:tcW w:w="279" w:type="dxa"/>
            <w:tcBorders>
              <w:top w:val="single" w:sz="4" w:space="0" w:color="auto"/>
              <w:left w:val="single" w:sz="4" w:space="0" w:color="auto"/>
              <w:bottom w:val="single" w:sz="4" w:space="0" w:color="auto"/>
              <w:right w:val="nil"/>
            </w:tcBorders>
            <w:shd w:val="clear" w:color="auto" w:fill="auto"/>
            <w:vAlign w:val="center"/>
            <w:hideMark/>
          </w:tcPr>
          <w:p w14:paraId="75CFDE55" w14:textId="77777777" w:rsidR="00C84541" w:rsidRPr="005D0319" w:rsidRDefault="00C84541" w:rsidP="00454F41">
            <w:pPr>
              <w:jc w:val="center"/>
              <w:rPr>
                <w:sz w:val="18"/>
                <w:szCs w:val="18"/>
                <w:lang w:eastAsia="tr-TR"/>
              </w:rPr>
            </w:pPr>
            <w:r w:rsidRPr="005D0319">
              <w:rPr>
                <w:sz w:val="18"/>
                <w:szCs w:val="18"/>
                <w:lang w:eastAsia="tr-TR"/>
              </w:rPr>
              <w:t>5</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14:paraId="429156F1" w14:textId="77777777" w:rsidR="00C84541" w:rsidRPr="005D0319" w:rsidRDefault="00C84541" w:rsidP="00454F41">
            <w:pPr>
              <w:rPr>
                <w:sz w:val="16"/>
                <w:szCs w:val="16"/>
                <w:lang w:eastAsia="tr-TR"/>
              </w:rPr>
            </w:pPr>
            <w:r w:rsidRPr="005D0319">
              <w:rPr>
                <w:sz w:val="16"/>
                <w:szCs w:val="16"/>
                <w:lang w:eastAsia="tr-TR"/>
              </w:rPr>
              <w:t>KT Bank AG (*)</w:t>
            </w:r>
          </w:p>
        </w:tc>
        <w:tc>
          <w:tcPr>
            <w:tcW w:w="2126" w:type="dxa"/>
            <w:tcBorders>
              <w:top w:val="nil"/>
              <w:left w:val="nil"/>
              <w:bottom w:val="single" w:sz="4" w:space="0" w:color="auto"/>
              <w:right w:val="single" w:sz="4" w:space="0" w:color="auto"/>
            </w:tcBorders>
            <w:shd w:val="clear" w:color="auto" w:fill="auto"/>
            <w:vAlign w:val="center"/>
            <w:hideMark/>
          </w:tcPr>
          <w:p w14:paraId="5CC14353" w14:textId="77777777" w:rsidR="00C84541" w:rsidRPr="005D0319" w:rsidRDefault="00C84541" w:rsidP="00454F41">
            <w:pPr>
              <w:jc w:val="right"/>
              <w:rPr>
                <w:sz w:val="16"/>
                <w:szCs w:val="16"/>
                <w:lang w:eastAsia="tr-TR"/>
              </w:rPr>
            </w:pPr>
            <w:r w:rsidRPr="005D0319">
              <w:rPr>
                <w:sz w:val="16"/>
                <w:szCs w:val="16"/>
                <w:lang w:eastAsia="tr-TR"/>
              </w:rPr>
              <w:t>Frankfurt/Almanya</w:t>
            </w:r>
          </w:p>
        </w:tc>
        <w:tc>
          <w:tcPr>
            <w:tcW w:w="1349" w:type="dxa"/>
            <w:tcBorders>
              <w:top w:val="nil"/>
              <w:left w:val="nil"/>
              <w:bottom w:val="single" w:sz="4" w:space="0" w:color="auto"/>
              <w:right w:val="single" w:sz="4" w:space="0" w:color="auto"/>
            </w:tcBorders>
            <w:shd w:val="clear" w:color="auto" w:fill="auto"/>
            <w:vAlign w:val="center"/>
            <w:hideMark/>
          </w:tcPr>
          <w:p w14:paraId="7D40B6F1" w14:textId="77777777" w:rsidR="00C84541" w:rsidRPr="005D0319" w:rsidRDefault="00C84541" w:rsidP="00454F41">
            <w:pPr>
              <w:jc w:val="right"/>
              <w:rPr>
                <w:sz w:val="16"/>
                <w:szCs w:val="16"/>
                <w:lang w:eastAsia="tr-TR"/>
              </w:rPr>
            </w:pPr>
            <w:r w:rsidRPr="005D0319">
              <w:rPr>
                <w:sz w:val="16"/>
                <w:szCs w:val="16"/>
                <w:lang w:eastAsia="tr-TR"/>
              </w:rPr>
              <w:t>100.00</w:t>
            </w:r>
          </w:p>
        </w:tc>
        <w:tc>
          <w:tcPr>
            <w:tcW w:w="1629" w:type="dxa"/>
            <w:tcBorders>
              <w:top w:val="nil"/>
              <w:left w:val="nil"/>
              <w:bottom w:val="single" w:sz="4" w:space="0" w:color="auto"/>
              <w:right w:val="single" w:sz="4" w:space="0" w:color="auto"/>
            </w:tcBorders>
            <w:shd w:val="clear" w:color="auto" w:fill="auto"/>
            <w:vAlign w:val="center"/>
            <w:hideMark/>
          </w:tcPr>
          <w:p w14:paraId="36B73C0E" w14:textId="77777777" w:rsidR="00C84541" w:rsidRPr="005D0319" w:rsidRDefault="00C84541" w:rsidP="00454F41">
            <w:pPr>
              <w:jc w:val="right"/>
              <w:rPr>
                <w:sz w:val="16"/>
                <w:szCs w:val="16"/>
                <w:lang w:eastAsia="tr-TR"/>
              </w:rPr>
            </w:pPr>
            <w:r w:rsidRPr="005D0319">
              <w:rPr>
                <w:sz w:val="16"/>
                <w:szCs w:val="16"/>
                <w:lang w:eastAsia="tr-TR"/>
              </w:rPr>
              <w:t>100.00</w:t>
            </w:r>
          </w:p>
        </w:tc>
      </w:tr>
      <w:tr w:rsidR="00C84541" w:rsidRPr="005D0319" w14:paraId="533C1715" w14:textId="77777777" w:rsidTr="0060078F">
        <w:trPr>
          <w:trHeight w:val="42"/>
        </w:trPr>
        <w:tc>
          <w:tcPr>
            <w:tcW w:w="279" w:type="dxa"/>
            <w:tcBorders>
              <w:top w:val="single" w:sz="4" w:space="0" w:color="auto"/>
              <w:left w:val="single" w:sz="4" w:space="0" w:color="auto"/>
              <w:bottom w:val="single" w:sz="4" w:space="0" w:color="auto"/>
              <w:right w:val="nil"/>
            </w:tcBorders>
            <w:shd w:val="clear" w:color="auto" w:fill="auto"/>
            <w:vAlign w:val="center"/>
            <w:hideMark/>
          </w:tcPr>
          <w:p w14:paraId="25EB7BD8" w14:textId="77777777" w:rsidR="00C84541" w:rsidRPr="005D0319" w:rsidRDefault="00C84541" w:rsidP="00454F41">
            <w:pPr>
              <w:jc w:val="center"/>
              <w:rPr>
                <w:sz w:val="18"/>
                <w:szCs w:val="18"/>
                <w:lang w:eastAsia="tr-TR"/>
              </w:rPr>
            </w:pPr>
            <w:r w:rsidRPr="005D0319">
              <w:rPr>
                <w:sz w:val="18"/>
                <w:szCs w:val="18"/>
                <w:lang w:eastAsia="tr-TR"/>
              </w:rPr>
              <w:t>6</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14:paraId="55FAD912" w14:textId="77777777" w:rsidR="00C84541" w:rsidRPr="005D0319" w:rsidRDefault="00C84541" w:rsidP="00454F41">
            <w:pPr>
              <w:rPr>
                <w:sz w:val="16"/>
                <w:szCs w:val="16"/>
                <w:lang w:eastAsia="tr-TR"/>
              </w:rPr>
            </w:pPr>
            <w:proofErr w:type="spellStart"/>
            <w:r w:rsidRPr="005D0319">
              <w:rPr>
                <w:sz w:val="16"/>
                <w:szCs w:val="16"/>
                <w:lang w:eastAsia="tr-TR"/>
              </w:rPr>
              <w:t>Architecht</w:t>
            </w:r>
            <w:proofErr w:type="spellEnd"/>
            <w:r w:rsidRPr="005D0319">
              <w:rPr>
                <w:sz w:val="16"/>
                <w:szCs w:val="16"/>
                <w:lang w:eastAsia="tr-TR"/>
              </w:rPr>
              <w:t xml:space="preserve"> Bilişim Sistemleri ve Pazarlama </w:t>
            </w:r>
            <w:proofErr w:type="spellStart"/>
            <w:r w:rsidRPr="005D0319">
              <w:rPr>
                <w:sz w:val="16"/>
                <w:szCs w:val="16"/>
                <w:lang w:eastAsia="tr-TR"/>
              </w:rPr>
              <w:t>Tic</w:t>
            </w:r>
            <w:proofErr w:type="spellEnd"/>
            <w:r w:rsidRPr="005D0319">
              <w:rPr>
                <w:sz w:val="16"/>
                <w:szCs w:val="16"/>
                <w:lang w:eastAsia="tr-TR"/>
              </w:rPr>
              <w:t xml:space="preserve"> A.Ş (**)</w:t>
            </w:r>
          </w:p>
        </w:tc>
        <w:tc>
          <w:tcPr>
            <w:tcW w:w="2126" w:type="dxa"/>
            <w:tcBorders>
              <w:top w:val="nil"/>
              <w:left w:val="nil"/>
              <w:bottom w:val="single" w:sz="4" w:space="0" w:color="auto"/>
              <w:right w:val="single" w:sz="4" w:space="0" w:color="auto"/>
            </w:tcBorders>
            <w:shd w:val="clear" w:color="auto" w:fill="auto"/>
            <w:vAlign w:val="center"/>
            <w:hideMark/>
          </w:tcPr>
          <w:p w14:paraId="13666BF2" w14:textId="77777777" w:rsidR="00C84541" w:rsidRPr="005D0319" w:rsidRDefault="00C84541" w:rsidP="00454F41">
            <w:pPr>
              <w:jc w:val="right"/>
              <w:rPr>
                <w:sz w:val="16"/>
                <w:szCs w:val="16"/>
                <w:lang w:eastAsia="tr-TR"/>
              </w:rPr>
            </w:pPr>
            <w:r w:rsidRPr="005D0319">
              <w:rPr>
                <w:sz w:val="16"/>
                <w:szCs w:val="16"/>
                <w:lang w:eastAsia="tr-TR"/>
              </w:rPr>
              <w:t>İstanbul/Türkiye</w:t>
            </w:r>
          </w:p>
        </w:tc>
        <w:tc>
          <w:tcPr>
            <w:tcW w:w="1349" w:type="dxa"/>
            <w:tcBorders>
              <w:top w:val="nil"/>
              <w:left w:val="nil"/>
              <w:bottom w:val="single" w:sz="4" w:space="0" w:color="auto"/>
              <w:right w:val="single" w:sz="4" w:space="0" w:color="auto"/>
            </w:tcBorders>
            <w:shd w:val="clear" w:color="auto" w:fill="auto"/>
            <w:vAlign w:val="center"/>
            <w:hideMark/>
          </w:tcPr>
          <w:p w14:paraId="5B47E5AD" w14:textId="77777777" w:rsidR="00C84541" w:rsidRPr="005D0319" w:rsidRDefault="00C84541" w:rsidP="00454F41">
            <w:pPr>
              <w:jc w:val="right"/>
              <w:rPr>
                <w:sz w:val="16"/>
                <w:szCs w:val="16"/>
                <w:lang w:eastAsia="tr-TR"/>
              </w:rPr>
            </w:pPr>
            <w:r w:rsidRPr="005D0319">
              <w:rPr>
                <w:sz w:val="16"/>
                <w:szCs w:val="16"/>
                <w:lang w:eastAsia="tr-TR"/>
              </w:rPr>
              <w:t>100.00</w:t>
            </w:r>
          </w:p>
        </w:tc>
        <w:tc>
          <w:tcPr>
            <w:tcW w:w="1629" w:type="dxa"/>
            <w:tcBorders>
              <w:top w:val="nil"/>
              <w:left w:val="nil"/>
              <w:bottom w:val="single" w:sz="4" w:space="0" w:color="auto"/>
              <w:right w:val="single" w:sz="4" w:space="0" w:color="auto"/>
            </w:tcBorders>
            <w:shd w:val="clear" w:color="auto" w:fill="auto"/>
            <w:vAlign w:val="center"/>
            <w:hideMark/>
          </w:tcPr>
          <w:p w14:paraId="7042F19D" w14:textId="77777777" w:rsidR="00C84541" w:rsidRPr="005D0319" w:rsidRDefault="00C84541" w:rsidP="00454F41">
            <w:pPr>
              <w:jc w:val="right"/>
              <w:rPr>
                <w:sz w:val="16"/>
                <w:szCs w:val="16"/>
                <w:lang w:eastAsia="tr-TR"/>
              </w:rPr>
            </w:pPr>
            <w:r w:rsidRPr="005D0319">
              <w:rPr>
                <w:sz w:val="16"/>
                <w:szCs w:val="16"/>
                <w:lang w:eastAsia="tr-TR"/>
              </w:rPr>
              <w:t>100.00</w:t>
            </w:r>
          </w:p>
        </w:tc>
      </w:tr>
      <w:tr w:rsidR="00C84541" w:rsidRPr="005D0319" w14:paraId="4A4E5AFA" w14:textId="77777777" w:rsidTr="0060078F">
        <w:trPr>
          <w:trHeight w:val="146"/>
        </w:trPr>
        <w:tc>
          <w:tcPr>
            <w:tcW w:w="279" w:type="dxa"/>
            <w:tcBorders>
              <w:top w:val="single" w:sz="4" w:space="0" w:color="auto"/>
              <w:left w:val="single" w:sz="4" w:space="0" w:color="auto"/>
              <w:bottom w:val="single" w:sz="4" w:space="0" w:color="auto"/>
              <w:right w:val="nil"/>
            </w:tcBorders>
            <w:shd w:val="clear" w:color="auto" w:fill="auto"/>
            <w:vAlign w:val="center"/>
            <w:hideMark/>
          </w:tcPr>
          <w:p w14:paraId="434E74FE" w14:textId="77777777" w:rsidR="00C84541" w:rsidRPr="005D0319" w:rsidRDefault="00C84541" w:rsidP="00454F41">
            <w:pPr>
              <w:jc w:val="center"/>
              <w:rPr>
                <w:sz w:val="18"/>
                <w:szCs w:val="18"/>
                <w:lang w:eastAsia="tr-TR"/>
              </w:rPr>
            </w:pPr>
            <w:r w:rsidRPr="005D0319">
              <w:rPr>
                <w:sz w:val="18"/>
                <w:szCs w:val="18"/>
                <w:lang w:eastAsia="tr-TR"/>
              </w:rPr>
              <w:t>7</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14:paraId="33EB117C" w14:textId="77777777" w:rsidR="00C84541" w:rsidRPr="005D0319" w:rsidRDefault="00C84541" w:rsidP="00454F41">
            <w:pPr>
              <w:rPr>
                <w:sz w:val="16"/>
                <w:szCs w:val="16"/>
                <w:lang w:eastAsia="tr-TR"/>
              </w:rPr>
            </w:pPr>
            <w:r w:rsidRPr="005D0319">
              <w:rPr>
                <w:sz w:val="16"/>
                <w:szCs w:val="16"/>
                <w:lang w:eastAsia="tr-TR"/>
              </w:rPr>
              <w:t xml:space="preserve">KT Sukuk </w:t>
            </w:r>
            <w:proofErr w:type="spellStart"/>
            <w:r w:rsidRPr="005D0319">
              <w:rPr>
                <w:sz w:val="16"/>
                <w:szCs w:val="16"/>
                <w:lang w:eastAsia="tr-TR"/>
              </w:rPr>
              <w:t>Company</w:t>
            </w:r>
            <w:proofErr w:type="spellEnd"/>
            <w:r w:rsidRPr="005D0319">
              <w:rPr>
                <w:sz w:val="16"/>
                <w:szCs w:val="16"/>
                <w:lang w:eastAsia="tr-TR"/>
              </w:rPr>
              <w:t xml:space="preserve"> Limited (***)</w:t>
            </w:r>
          </w:p>
        </w:tc>
        <w:tc>
          <w:tcPr>
            <w:tcW w:w="2126" w:type="dxa"/>
            <w:tcBorders>
              <w:top w:val="nil"/>
              <w:left w:val="nil"/>
              <w:bottom w:val="single" w:sz="4" w:space="0" w:color="auto"/>
              <w:right w:val="single" w:sz="4" w:space="0" w:color="auto"/>
            </w:tcBorders>
            <w:shd w:val="clear" w:color="auto" w:fill="auto"/>
            <w:vAlign w:val="center"/>
            <w:hideMark/>
          </w:tcPr>
          <w:p w14:paraId="5C0A9A63" w14:textId="77777777" w:rsidR="00C84541" w:rsidRPr="005D0319" w:rsidRDefault="00C84541" w:rsidP="00454F41">
            <w:pPr>
              <w:jc w:val="right"/>
              <w:rPr>
                <w:sz w:val="16"/>
                <w:szCs w:val="16"/>
                <w:lang w:eastAsia="tr-TR"/>
              </w:rPr>
            </w:pPr>
            <w:r w:rsidRPr="005D0319">
              <w:rPr>
                <w:sz w:val="16"/>
                <w:szCs w:val="16"/>
                <w:lang w:eastAsia="tr-TR"/>
              </w:rPr>
              <w:t xml:space="preserve">George </w:t>
            </w:r>
            <w:proofErr w:type="spellStart"/>
            <w:r w:rsidRPr="005D0319">
              <w:rPr>
                <w:sz w:val="16"/>
                <w:szCs w:val="16"/>
                <w:lang w:eastAsia="tr-TR"/>
              </w:rPr>
              <w:t>Town</w:t>
            </w:r>
            <w:proofErr w:type="spellEnd"/>
            <w:r w:rsidRPr="005D0319">
              <w:rPr>
                <w:sz w:val="16"/>
                <w:szCs w:val="16"/>
                <w:lang w:eastAsia="tr-TR"/>
              </w:rPr>
              <w:t>/Cayman Adaları</w:t>
            </w:r>
          </w:p>
        </w:tc>
        <w:tc>
          <w:tcPr>
            <w:tcW w:w="1349" w:type="dxa"/>
            <w:tcBorders>
              <w:top w:val="nil"/>
              <w:left w:val="nil"/>
              <w:bottom w:val="single" w:sz="4" w:space="0" w:color="auto"/>
              <w:right w:val="single" w:sz="4" w:space="0" w:color="auto"/>
            </w:tcBorders>
            <w:shd w:val="clear" w:color="auto" w:fill="auto"/>
            <w:vAlign w:val="center"/>
            <w:hideMark/>
          </w:tcPr>
          <w:p w14:paraId="1DD1A7BA" w14:textId="77777777" w:rsidR="00C84541" w:rsidRPr="005D0319" w:rsidRDefault="00C84541" w:rsidP="00454F41">
            <w:pPr>
              <w:jc w:val="right"/>
              <w:rPr>
                <w:sz w:val="16"/>
                <w:szCs w:val="16"/>
                <w:lang w:eastAsia="tr-TR"/>
              </w:rPr>
            </w:pPr>
            <w:r w:rsidRPr="005D0319">
              <w:rPr>
                <w:sz w:val="16"/>
                <w:szCs w:val="16"/>
                <w:lang w:eastAsia="tr-TR"/>
              </w:rPr>
              <w:t>100.00</w:t>
            </w:r>
          </w:p>
        </w:tc>
        <w:tc>
          <w:tcPr>
            <w:tcW w:w="1629" w:type="dxa"/>
            <w:tcBorders>
              <w:top w:val="nil"/>
              <w:left w:val="nil"/>
              <w:bottom w:val="single" w:sz="4" w:space="0" w:color="auto"/>
              <w:right w:val="single" w:sz="4" w:space="0" w:color="auto"/>
            </w:tcBorders>
            <w:shd w:val="clear" w:color="auto" w:fill="auto"/>
            <w:vAlign w:val="center"/>
            <w:hideMark/>
          </w:tcPr>
          <w:p w14:paraId="0F1C434B" w14:textId="77777777" w:rsidR="00C84541" w:rsidRPr="005D0319" w:rsidRDefault="00C84541" w:rsidP="00454F41">
            <w:pPr>
              <w:jc w:val="right"/>
              <w:rPr>
                <w:sz w:val="16"/>
                <w:szCs w:val="16"/>
                <w:lang w:eastAsia="tr-TR"/>
              </w:rPr>
            </w:pPr>
            <w:r w:rsidRPr="005D0319">
              <w:rPr>
                <w:sz w:val="16"/>
                <w:szCs w:val="16"/>
                <w:lang w:eastAsia="tr-TR"/>
              </w:rPr>
              <w:t>100.00</w:t>
            </w:r>
          </w:p>
        </w:tc>
      </w:tr>
      <w:tr w:rsidR="00C84541" w:rsidRPr="005D0319" w14:paraId="46B04102" w14:textId="77777777" w:rsidTr="0060078F">
        <w:trPr>
          <w:trHeight w:val="33"/>
        </w:trPr>
        <w:tc>
          <w:tcPr>
            <w:tcW w:w="279" w:type="dxa"/>
            <w:tcBorders>
              <w:top w:val="single" w:sz="4" w:space="0" w:color="auto"/>
              <w:left w:val="single" w:sz="4" w:space="0" w:color="auto"/>
              <w:bottom w:val="single" w:sz="4" w:space="0" w:color="auto"/>
              <w:right w:val="nil"/>
            </w:tcBorders>
            <w:shd w:val="clear" w:color="auto" w:fill="auto"/>
            <w:vAlign w:val="center"/>
            <w:hideMark/>
          </w:tcPr>
          <w:p w14:paraId="3B0514A5" w14:textId="77777777" w:rsidR="00C84541" w:rsidRPr="005D0319" w:rsidRDefault="00C84541" w:rsidP="00454F41">
            <w:pPr>
              <w:jc w:val="center"/>
              <w:rPr>
                <w:sz w:val="18"/>
                <w:szCs w:val="18"/>
                <w:lang w:eastAsia="tr-TR"/>
              </w:rPr>
            </w:pPr>
            <w:r w:rsidRPr="005D0319">
              <w:rPr>
                <w:sz w:val="18"/>
                <w:szCs w:val="18"/>
                <w:lang w:eastAsia="tr-TR"/>
              </w:rPr>
              <w:t>8</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14:paraId="4CF5C007" w14:textId="77777777" w:rsidR="00C84541" w:rsidRPr="005D0319" w:rsidRDefault="00C84541" w:rsidP="00454F41">
            <w:pPr>
              <w:rPr>
                <w:sz w:val="16"/>
                <w:szCs w:val="16"/>
                <w:lang w:eastAsia="tr-TR"/>
              </w:rPr>
            </w:pPr>
            <w:r w:rsidRPr="005D0319">
              <w:rPr>
                <w:sz w:val="16"/>
                <w:szCs w:val="16"/>
                <w:lang w:eastAsia="tr-TR"/>
              </w:rPr>
              <w:t>KT Portföy Yönetimi A.Ş.</w:t>
            </w:r>
          </w:p>
        </w:tc>
        <w:tc>
          <w:tcPr>
            <w:tcW w:w="2126" w:type="dxa"/>
            <w:tcBorders>
              <w:top w:val="nil"/>
              <w:left w:val="nil"/>
              <w:bottom w:val="single" w:sz="4" w:space="0" w:color="auto"/>
              <w:right w:val="single" w:sz="4" w:space="0" w:color="auto"/>
            </w:tcBorders>
            <w:shd w:val="clear" w:color="auto" w:fill="auto"/>
            <w:vAlign w:val="center"/>
            <w:hideMark/>
          </w:tcPr>
          <w:p w14:paraId="0AD4AE54" w14:textId="77777777" w:rsidR="00C84541" w:rsidRPr="005D0319" w:rsidRDefault="00C84541" w:rsidP="00454F41">
            <w:pPr>
              <w:jc w:val="right"/>
              <w:rPr>
                <w:sz w:val="16"/>
                <w:szCs w:val="16"/>
                <w:lang w:eastAsia="tr-TR"/>
              </w:rPr>
            </w:pPr>
            <w:r w:rsidRPr="005D0319">
              <w:rPr>
                <w:sz w:val="16"/>
                <w:szCs w:val="16"/>
                <w:lang w:eastAsia="tr-TR"/>
              </w:rPr>
              <w:t>İstanbul/Türkiye</w:t>
            </w:r>
          </w:p>
        </w:tc>
        <w:tc>
          <w:tcPr>
            <w:tcW w:w="1349" w:type="dxa"/>
            <w:tcBorders>
              <w:top w:val="nil"/>
              <w:left w:val="nil"/>
              <w:bottom w:val="single" w:sz="4" w:space="0" w:color="auto"/>
              <w:right w:val="single" w:sz="4" w:space="0" w:color="auto"/>
            </w:tcBorders>
            <w:shd w:val="clear" w:color="auto" w:fill="auto"/>
            <w:vAlign w:val="center"/>
            <w:hideMark/>
          </w:tcPr>
          <w:p w14:paraId="1C308191" w14:textId="77777777" w:rsidR="00C84541" w:rsidRPr="005D0319" w:rsidRDefault="00C84541" w:rsidP="00454F41">
            <w:pPr>
              <w:jc w:val="right"/>
              <w:rPr>
                <w:sz w:val="16"/>
                <w:szCs w:val="16"/>
                <w:lang w:eastAsia="tr-TR"/>
              </w:rPr>
            </w:pPr>
            <w:r w:rsidRPr="005D0319">
              <w:rPr>
                <w:sz w:val="16"/>
                <w:szCs w:val="16"/>
                <w:lang w:eastAsia="tr-TR"/>
              </w:rPr>
              <w:t>100.00</w:t>
            </w:r>
          </w:p>
        </w:tc>
        <w:tc>
          <w:tcPr>
            <w:tcW w:w="1629" w:type="dxa"/>
            <w:tcBorders>
              <w:top w:val="nil"/>
              <w:left w:val="nil"/>
              <w:bottom w:val="single" w:sz="4" w:space="0" w:color="auto"/>
              <w:right w:val="single" w:sz="4" w:space="0" w:color="auto"/>
            </w:tcBorders>
            <w:shd w:val="clear" w:color="auto" w:fill="auto"/>
            <w:vAlign w:val="center"/>
            <w:hideMark/>
          </w:tcPr>
          <w:p w14:paraId="0BE7623C" w14:textId="77777777" w:rsidR="00C84541" w:rsidRPr="005D0319" w:rsidRDefault="00C84541" w:rsidP="00454F41">
            <w:pPr>
              <w:jc w:val="right"/>
              <w:rPr>
                <w:sz w:val="16"/>
                <w:szCs w:val="16"/>
                <w:lang w:eastAsia="tr-TR"/>
              </w:rPr>
            </w:pPr>
            <w:r w:rsidRPr="005D0319">
              <w:rPr>
                <w:sz w:val="16"/>
                <w:szCs w:val="16"/>
                <w:lang w:eastAsia="tr-TR"/>
              </w:rPr>
              <w:t>100.00</w:t>
            </w:r>
          </w:p>
        </w:tc>
      </w:tr>
      <w:tr w:rsidR="00C84541" w:rsidRPr="005D0319" w14:paraId="572F921A" w14:textId="77777777" w:rsidTr="0060078F">
        <w:trPr>
          <w:trHeight w:val="33"/>
        </w:trPr>
        <w:tc>
          <w:tcPr>
            <w:tcW w:w="279" w:type="dxa"/>
            <w:tcBorders>
              <w:top w:val="single" w:sz="4" w:space="0" w:color="auto"/>
              <w:left w:val="single" w:sz="4" w:space="0" w:color="auto"/>
              <w:bottom w:val="single" w:sz="4" w:space="0" w:color="auto"/>
              <w:right w:val="nil"/>
            </w:tcBorders>
            <w:shd w:val="clear" w:color="auto" w:fill="auto"/>
            <w:vAlign w:val="center"/>
            <w:hideMark/>
          </w:tcPr>
          <w:p w14:paraId="72BABFD1" w14:textId="77777777" w:rsidR="00C84541" w:rsidRPr="005D0319" w:rsidRDefault="00C84541" w:rsidP="00454F41">
            <w:pPr>
              <w:jc w:val="center"/>
              <w:rPr>
                <w:sz w:val="18"/>
                <w:szCs w:val="18"/>
                <w:lang w:eastAsia="tr-TR"/>
              </w:rPr>
            </w:pPr>
            <w:r w:rsidRPr="005D0319">
              <w:rPr>
                <w:sz w:val="18"/>
                <w:szCs w:val="18"/>
                <w:lang w:eastAsia="tr-TR"/>
              </w:rPr>
              <w:t>9</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14:paraId="015DA9D1" w14:textId="77777777" w:rsidR="00C84541" w:rsidRPr="005D0319" w:rsidRDefault="00C84541" w:rsidP="00454F41">
            <w:pPr>
              <w:rPr>
                <w:sz w:val="16"/>
                <w:szCs w:val="16"/>
                <w:lang w:eastAsia="tr-TR"/>
              </w:rPr>
            </w:pPr>
            <w:proofErr w:type="spellStart"/>
            <w:r w:rsidRPr="005D0319">
              <w:rPr>
                <w:sz w:val="16"/>
                <w:szCs w:val="16"/>
                <w:lang w:eastAsia="tr-TR"/>
              </w:rPr>
              <w:t>Neova</w:t>
            </w:r>
            <w:proofErr w:type="spellEnd"/>
            <w:r w:rsidRPr="005D0319">
              <w:rPr>
                <w:sz w:val="16"/>
                <w:szCs w:val="16"/>
                <w:lang w:eastAsia="tr-TR"/>
              </w:rPr>
              <w:t xml:space="preserve"> Sigorta A.Ş.</w:t>
            </w:r>
          </w:p>
        </w:tc>
        <w:tc>
          <w:tcPr>
            <w:tcW w:w="2126" w:type="dxa"/>
            <w:tcBorders>
              <w:top w:val="nil"/>
              <w:left w:val="nil"/>
              <w:bottom w:val="single" w:sz="4" w:space="0" w:color="auto"/>
              <w:right w:val="single" w:sz="4" w:space="0" w:color="auto"/>
            </w:tcBorders>
            <w:shd w:val="clear" w:color="auto" w:fill="auto"/>
            <w:vAlign w:val="center"/>
            <w:hideMark/>
          </w:tcPr>
          <w:p w14:paraId="01487831" w14:textId="77777777" w:rsidR="00C84541" w:rsidRPr="005D0319" w:rsidRDefault="00C84541" w:rsidP="00454F41">
            <w:pPr>
              <w:jc w:val="right"/>
              <w:rPr>
                <w:sz w:val="16"/>
                <w:szCs w:val="16"/>
                <w:lang w:eastAsia="tr-TR"/>
              </w:rPr>
            </w:pPr>
            <w:r w:rsidRPr="005D0319">
              <w:rPr>
                <w:sz w:val="16"/>
                <w:szCs w:val="16"/>
                <w:lang w:eastAsia="tr-TR"/>
              </w:rPr>
              <w:t>İstanbul/Türkiye</w:t>
            </w:r>
          </w:p>
        </w:tc>
        <w:tc>
          <w:tcPr>
            <w:tcW w:w="1349" w:type="dxa"/>
            <w:tcBorders>
              <w:top w:val="nil"/>
              <w:left w:val="nil"/>
              <w:bottom w:val="single" w:sz="4" w:space="0" w:color="auto"/>
              <w:right w:val="single" w:sz="4" w:space="0" w:color="auto"/>
            </w:tcBorders>
            <w:shd w:val="clear" w:color="auto" w:fill="auto"/>
            <w:vAlign w:val="center"/>
            <w:hideMark/>
          </w:tcPr>
          <w:p w14:paraId="5437AB4B" w14:textId="77777777" w:rsidR="00C84541" w:rsidRPr="005D0319" w:rsidRDefault="00C84541" w:rsidP="00454F41">
            <w:pPr>
              <w:jc w:val="right"/>
              <w:rPr>
                <w:sz w:val="16"/>
                <w:szCs w:val="16"/>
                <w:lang w:eastAsia="tr-TR"/>
              </w:rPr>
            </w:pPr>
            <w:r w:rsidRPr="005D0319">
              <w:rPr>
                <w:sz w:val="16"/>
                <w:szCs w:val="16"/>
                <w:lang w:eastAsia="tr-TR"/>
              </w:rPr>
              <w:t>100.00</w:t>
            </w:r>
          </w:p>
        </w:tc>
        <w:tc>
          <w:tcPr>
            <w:tcW w:w="1629" w:type="dxa"/>
            <w:tcBorders>
              <w:top w:val="nil"/>
              <w:left w:val="nil"/>
              <w:bottom w:val="single" w:sz="4" w:space="0" w:color="auto"/>
              <w:right w:val="single" w:sz="4" w:space="0" w:color="auto"/>
            </w:tcBorders>
            <w:shd w:val="clear" w:color="auto" w:fill="auto"/>
            <w:vAlign w:val="center"/>
            <w:hideMark/>
          </w:tcPr>
          <w:p w14:paraId="76B34A20" w14:textId="77777777" w:rsidR="00C84541" w:rsidRPr="005D0319" w:rsidRDefault="00C84541" w:rsidP="00454F41">
            <w:pPr>
              <w:jc w:val="right"/>
              <w:rPr>
                <w:sz w:val="16"/>
                <w:szCs w:val="16"/>
                <w:lang w:eastAsia="tr-TR"/>
              </w:rPr>
            </w:pPr>
            <w:r w:rsidRPr="005D0319">
              <w:rPr>
                <w:sz w:val="16"/>
                <w:szCs w:val="16"/>
                <w:lang w:eastAsia="tr-TR"/>
              </w:rPr>
              <w:t>100.00</w:t>
            </w:r>
          </w:p>
        </w:tc>
      </w:tr>
    </w:tbl>
    <w:p w14:paraId="3B40164B" w14:textId="036A658C" w:rsidR="004B1E23" w:rsidRDefault="004B1E23" w:rsidP="00960253">
      <w:pPr>
        <w:rPr>
          <w:bCs/>
          <w:iCs/>
          <w:sz w:val="16"/>
          <w:szCs w:val="16"/>
        </w:rPr>
      </w:pPr>
    </w:p>
    <w:p w14:paraId="43D805F5" w14:textId="4A15A3F7" w:rsidR="006B4EDA" w:rsidRPr="00D83E2C" w:rsidRDefault="00E253C8" w:rsidP="00960253">
      <w:pPr>
        <w:rPr>
          <w:bCs/>
        </w:rPr>
      </w:pPr>
      <w:r w:rsidRPr="00D83E2C">
        <w:rPr>
          <w:bCs/>
        </w:rPr>
        <w:t>Yukarıda yer alan sıraya göre bağlı ortaklıklara ilişkin bilgiler:</w:t>
      </w:r>
    </w:p>
    <w:p w14:paraId="0E4FA596" w14:textId="25428162" w:rsidR="00D83E2C" w:rsidRPr="00311DAB" w:rsidRDefault="00D83E2C" w:rsidP="00C34D48">
      <w:pPr>
        <w:rPr>
          <w:lang w:eastAsia="en-GB"/>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9"/>
        <w:gridCol w:w="1433"/>
        <w:gridCol w:w="1144"/>
        <w:gridCol w:w="817"/>
        <w:gridCol w:w="826"/>
        <w:gridCol w:w="964"/>
        <w:gridCol w:w="1112"/>
        <w:gridCol w:w="1404"/>
        <w:gridCol w:w="1257"/>
      </w:tblGrid>
      <w:tr w:rsidR="00C84541" w:rsidRPr="005D0319" w14:paraId="54F11E0A" w14:textId="77777777" w:rsidTr="0060078F">
        <w:trPr>
          <w:trHeight w:val="301"/>
        </w:trPr>
        <w:tc>
          <w:tcPr>
            <w:tcW w:w="279" w:type="dxa"/>
            <w:tcBorders>
              <w:top w:val="single" w:sz="4" w:space="0" w:color="auto"/>
              <w:left w:val="single" w:sz="4" w:space="0" w:color="auto"/>
              <w:bottom w:val="nil"/>
              <w:right w:val="single" w:sz="4" w:space="0" w:color="auto"/>
            </w:tcBorders>
            <w:shd w:val="clear" w:color="auto" w:fill="auto"/>
            <w:vAlign w:val="center"/>
            <w:hideMark/>
          </w:tcPr>
          <w:p w14:paraId="21FE84F1" w14:textId="77777777" w:rsidR="00C84541" w:rsidRPr="005D0319" w:rsidRDefault="00C84541" w:rsidP="00454F41">
            <w:pPr>
              <w:jc w:val="center"/>
              <w:rPr>
                <w:b/>
                <w:bCs/>
                <w:sz w:val="18"/>
                <w:szCs w:val="18"/>
                <w:lang w:eastAsia="tr-TR"/>
              </w:rPr>
            </w:pPr>
            <w:r w:rsidRPr="005D0319">
              <w:rPr>
                <w:b/>
                <w:bCs/>
                <w:sz w:val="18"/>
                <w:szCs w:val="18"/>
                <w:lang w:eastAsia="tr-TR"/>
              </w:rPr>
              <w:t> </w:t>
            </w:r>
          </w:p>
        </w:tc>
        <w:tc>
          <w:tcPr>
            <w:tcW w:w="1433" w:type="dxa"/>
            <w:vMerge w:val="restart"/>
            <w:tcBorders>
              <w:left w:val="single" w:sz="4" w:space="0" w:color="auto"/>
            </w:tcBorders>
            <w:shd w:val="clear" w:color="auto" w:fill="auto"/>
            <w:vAlign w:val="center"/>
            <w:hideMark/>
          </w:tcPr>
          <w:p w14:paraId="3C3EE70B" w14:textId="77777777" w:rsidR="00C84541" w:rsidRPr="005D0319" w:rsidRDefault="00C84541" w:rsidP="00454F41">
            <w:pPr>
              <w:jc w:val="right"/>
              <w:rPr>
                <w:b/>
                <w:bCs/>
                <w:sz w:val="18"/>
                <w:szCs w:val="18"/>
                <w:lang w:eastAsia="tr-TR"/>
              </w:rPr>
            </w:pPr>
            <w:r w:rsidRPr="005D0319">
              <w:rPr>
                <w:b/>
                <w:bCs/>
                <w:sz w:val="18"/>
                <w:szCs w:val="18"/>
                <w:lang w:eastAsia="tr-TR"/>
              </w:rPr>
              <w:t>Aktif Toplamı</w:t>
            </w:r>
          </w:p>
        </w:tc>
        <w:tc>
          <w:tcPr>
            <w:tcW w:w="1144" w:type="dxa"/>
            <w:vMerge w:val="restart"/>
            <w:shd w:val="clear" w:color="auto" w:fill="auto"/>
            <w:vAlign w:val="center"/>
            <w:hideMark/>
          </w:tcPr>
          <w:p w14:paraId="54327480" w14:textId="77777777" w:rsidR="00C84541" w:rsidRPr="005D0319" w:rsidRDefault="00C84541" w:rsidP="00454F41">
            <w:pPr>
              <w:jc w:val="right"/>
              <w:rPr>
                <w:b/>
                <w:bCs/>
                <w:sz w:val="18"/>
                <w:szCs w:val="18"/>
                <w:lang w:eastAsia="tr-TR"/>
              </w:rPr>
            </w:pPr>
            <w:proofErr w:type="spellStart"/>
            <w:r w:rsidRPr="005D0319">
              <w:rPr>
                <w:b/>
                <w:bCs/>
                <w:sz w:val="18"/>
                <w:szCs w:val="18"/>
                <w:lang w:eastAsia="tr-TR"/>
              </w:rPr>
              <w:t>Özkaynak</w:t>
            </w:r>
            <w:proofErr w:type="spellEnd"/>
          </w:p>
        </w:tc>
        <w:tc>
          <w:tcPr>
            <w:tcW w:w="817" w:type="dxa"/>
            <w:vMerge w:val="restart"/>
            <w:shd w:val="clear" w:color="auto" w:fill="auto"/>
            <w:vAlign w:val="center"/>
            <w:hideMark/>
          </w:tcPr>
          <w:p w14:paraId="2EAC34BB" w14:textId="77777777" w:rsidR="00C84541" w:rsidRPr="005D0319" w:rsidRDefault="00C84541" w:rsidP="00454F41">
            <w:pPr>
              <w:jc w:val="right"/>
              <w:rPr>
                <w:b/>
                <w:bCs/>
                <w:sz w:val="18"/>
                <w:szCs w:val="18"/>
                <w:lang w:eastAsia="tr-TR"/>
              </w:rPr>
            </w:pPr>
            <w:r w:rsidRPr="005D0319">
              <w:rPr>
                <w:b/>
                <w:bCs/>
                <w:sz w:val="18"/>
                <w:szCs w:val="18"/>
                <w:lang w:eastAsia="tr-TR"/>
              </w:rPr>
              <w:t>Sabit Varlık Toplamı</w:t>
            </w:r>
          </w:p>
        </w:tc>
        <w:tc>
          <w:tcPr>
            <w:tcW w:w="826" w:type="dxa"/>
            <w:vMerge w:val="restart"/>
            <w:shd w:val="clear" w:color="auto" w:fill="auto"/>
            <w:vAlign w:val="center"/>
            <w:hideMark/>
          </w:tcPr>
          <w:p w14:paraId="1F6FC8CC" w14:textId="77777777" w:rsidR="00C84541" w:rsidRPr="005D0319" w:rsidRDefault="00C84541" w:rsidP="00454F41">
            <w:pPr>
              <w:jc w:val="center"/>
              <w:rPr>
                <w:b/>
                <w:bCs/>
                <w:sz w:val="18"/>
                <w:szCs w:val="18"/>
                <w:lang w:eastAsia="tr-TR"/>
              </w:rPr>
            </w:pPr>
            <w:r w:rsidRPr="005D0319">
              <w:rPr>
                <w:b/>
                <w:bCs/>
                <w:sz w:val="18"/>
                <w:szCs w:val="18"/>
                <w:lang w:eastAsia="tr-TR"/>
              </w:rPr>
              <w:t>Kar Payı Gelirleri</w:t>
            </w:r>
          </w:p>
        </w:tc>
        <w:tc>
          <w:tcPr>
            <w:tcW w:w="964" w:type="dxa"/>
            <w:vMerge w:val="restart"/>
            <w:shd w:val="clear" w:color="auto" w:fill="auto"/>
            <w:vAlign w:val="center"/>
            <w:hideMark/>
          </w:tcPr>
          <w:p w14:paraId="1E76EBF0" w14:textId="77777777" w:rsidR="00C84541" w:rsidRPr="005D0319" w:rsidRDefault="00C84541" w:rsidP="00454F41">
            <w:pPr>
              <w:jc w:val="right"/>
              <w:rPr>
                <w:b/>
                <w:bCs/>
                <w:sz w:val="18"/>
                <w:szCs w:val="18"/>
                <w:lang w:eastAsia="tr-TR"/>
              </w:rPr>
            </w:pPr>
            <w:r w:rsidRPr="005D0319">
              <w:rPr>
                <w:b/>
                <w:bCs/>
                <w:sz w:val="18"/>
                <w:szCs w:val="18"/>
                <w:lang w:eastAsia="tr-TR"/>
              </w:rPr>
              <w:t>Menkul Değer Gelirleri</w:t>
            </w:r>
          </w:p>
        </w:tc>
        <w:tc>
          <w:tcPr>
            <w:tcW w:w="1112" w:type="dxa"/>
            <w:vMerge w:val="restart"/>
            <w:shd w:val="clear" w:color="000000" w:fill="FFFFFF"/>
            <w:vAlign w:val="center"/>
            <w:hideMark/>
          </w:tcPr>
          <w:p w14:paraId="53462802" w14:textId="77777777" w:rsidR="00C84541" w:rsidRPr="005D0319" w:rsidRDefault="00C84541" w:rsidP="00454F41">
            <w:pPr>
              <w:jc w:val="right"/>
              <w:rPr>
                <w:b/>
                <w:bCs/>
                <w:sz w:val="18"/>
                <w:szCs w:val="18"/>
                <w:lang w:eastAsia="tr-TR"/>
              </w:rPr>
            </w:pPr>
            <w:r w:rsidRPr="005D0319">
              <w:rPr>
                <w:b/>
                <w:bCs/>
                <w:sz w:val="18"/>
                <w:szCs w:val="18"/>
                <w:lang w:eastAsia="tr-TR"/>
              </w:rPr>
              <w:t>Cari Dönem Kar/Zararı</w:t>
            </w:r>
          </w:p>
        </w:tc>
        <w:tc>
          <w:tcPr>
            <w:tcW w:w="1404" w:type="dxa"/>
            <w:vMerge w:val="restart"/>
            <w:shd w:val="clear" w:color="auto" w:fill="auto"/>
            <w:vAlign w:val="center"/>
            <w:hideMark/>
          </w:tcPr>
          <w:p w14:paraId="4579BC0D" w14:textId="77777777" w:rsidR="00C84541" w:rsidRPr="005D0319" w:rsidRDefault="00C84541" w:rsidP="00454F41">
            <w:pPr>
              <w:jc w:val="right"/>
              <w:rPr>
                <w:b/>
                <w:bCs/>
                <w:sz w:val="18"/>
                <w:szCs w:val="18"/>
                <w:lang w:eastAsia="tr-TR"/>
              </w:rPr>
            </w:pPr>
            <w:r w:rsidRPr="005D0319">
              <w:rPr>
                <w:b/>
                <w:bCs/>
                <w:sz w:val="18"/>
                <w:szCs w:val="18"/>
                <w:lang w:eastAsia="tr-TR"/>
              </w:rPr>
              <w:t>Önceki Dönem Kar/Zararı</w:t>
            </w:r>
          </w:p>
        </w:tc>
        <w:tc>
          <w:tcPr>
            <w:tcW w:w="1257" w:type="dxa"/>
            <w:vMerge w:val="restart"/>
            <w:shd w:val="clear" w:color="auto" w:fill="auto"/>
            <w:vAlign w:val="center"/>
            <w:hideMark/>
          </w:tcPr>
          <w:p w14:paraId="6A302B11" w14:textId="77777777" w:rsidR="00C84541" w:rsidRPr="005D0319" w:rsidRDefault="00C84541" w:rsidP="00454F41">
            <w:pPr>
              <w:jc w:val="right"/>
              <w:rPr>
                <w:b/>
                <w:bCs/>
                <w:sz w:val="18"/>
                <w:szCs w:val="18"/>
                <w:lang w:eastAsia="tr-TR"/>
              </w:rPr>
            </w:pPr>
            <w:r w:rsidRPr="005D0319">
              <w:rPr>
                <w:b/>
                <w:bCs/>
                <w:sz w:val="18"/>
                <w:szCs w:val="18"/>
                <w:lang w:eastAsia="tr-TR"/>
              </w:rPr>
              <w:t>Gerçeğe Uygun Değer</w:t>
            </w:r>
          </w:p>
        </w:tc>
      </w:tr>
      <w:tr w:rsidR="00C84541" w:rsidRPr="005D0319" w14:paraId="769F4587" w14:textId="77777777" w:rsidTr="0060078F">
        <w:trPr>
          <w:trHeight w:val="462"/>
        </w:trPr>
        <w:tc>
          <w:tcPr>
            <w:tcW w:w="279" w:type="dxa"/>
            <w:tcBorders>
              <w:top w:val="nil"/>
              <w:left w:val="single" w:sz="4" w:space="0" w:color="auto"/>
              <w:bottom w:val="single" w:sz="4" w:space="0" w:color="auto"/>
              <w:right w:val="single" w:sz="4" w:space="0" w:color="auto"/>
            </w:tcBorders>
            <w:shd w:val="clear" w:color="auto" w:fill="auto"/>
            <w:vAlign w:val="center"/>
            <w:hideMark/>
          </w:tcPr>
          <w:p w14:paraId="411A50EE" w14:textId="77777777" w:rsidR="00C84541" w:rsidRPr="005D0319" w:rsidRDefault="00C84541" w:rsidP="00454F41">
            <w:pPr>
              <w:jc w:val="center"/>
              <w:rPr>
                <w:b/>
                <w:bCs/>
                <w:sz w:val="18"/>
                <w:szCs w:val="18"/>
                <w:lang w:eastAsia="tr-TR"/>
              </w:rPr>
            </w:pPr>
            <w:r w:rsidRPr="005D0319">
              <w:rPr>
                <w:b/>
                <w:bCs/>
                <w:sz w:val="18"/>
                <w:szCs w:val="18"/>
                <w:lang w:eastAsia="tr-TR"/>
              </w:rPr>
              <w:t> </w:t>
            </w:r>
          </w:p>
        </w:tc>
        <w:tc>
          <w:tcPr>
            <w:tcW w:w="1433" w:type="dxa"/>
            <w:vMerge/>
            <w:tcBorders>
              <w:left w:val="single" w:sz="4" w:space="0" w:color="auto"/>
            </w:tcBorders>
            <w:vAlign w:val="center"/>
            <w:hideMark/>
          </w:tcPr>
          <w:p w14:paraId="299F987F" w14:textId="77777777" w:rsidR="00C84541" w:rsidRPr="005D0319" w:rsidRDefault="00C84541" w:rsidP="00454F41">
            <w:pPr>
              <w:rPr>
                <w:b/>
                <w:bCs/>
                <w:sz w:val="18"/>
                <w:szCs w:val="18"/>
                <w:lang w:eastAsia="tr-TR"/>
              </w:rPr>
            </w:pPr>
          </w:p>
        </w:tc>
        <w:tc>
          <w:tcPr>
            <w:tcW w:w="1144" w:type="dxa"/>
            <w:vMerge/>
            <w:vAlign w:val="center"/>
            <w:hideMark/>
          </w:tcPr>
          <w:p w14:paraId="6AAA1866" w14:textId="77777777" w:rsidR="00C84541" w:rsidRPr="005D0319" w:rsidRDefault="00C84541" w:rsidP="00454F41">
            <w:pPr>
              <w:rPr>
                <w:b/>
                <w:bCs/>
                <w:sz w:val="18"/>
                <w:szCs w:val="18"/>
                <w:lang w:eastAsia="tr-TR"/>
              </w:rPr>
            </w:pPr>
          </w:p>
        </w:tc>
        <w:tc>
          <w:tcPr>
            <w:tcW w:w="817" w:type="dxa"/>
            <w:vMerge/>
            <w:vAlign w:val="center"/>
            <w:hideMark/>
          </w:tcPr>
          <w:p w14:paraId="1A770036" w14:textId="77777777" w:rsidR="00C84541" w:rsidRPr="005D0319" w:rsidRDefault="00C84541" w:rsidP="00454F41">
            <w:pPr>
              <w:rPr>
                <w:b/>
                <w:bCs/>
                <w:sz w:val="18"/>
                <w:szCs w:val="18"/>
                <w:lang w:eastAsia="tr-TR"/>
              </w:rPr>
            </w:pPr>
          </w:p>
        </w:tc>
        <w:tc>
          <w:tcPr>
            <w:tcW w:w="826" w:type="dxa"/>
            <w:vMerge/>
            <w:vAlign w:val="center"/>
            <w:hideMark/>
          </w:tcPr>
          <w:p w14:paraId="624FD475" w14:textId="77777777" w:rsidR="00C84541" w:rsidRPr="005D0319" w:rsidRDefault="00C84541" w:rsidP="00454F41">
            <w:pPr>
              <w:rPr>
                <w:b/>
                <w:bCs/>
                <w:sz w:val="18"/>
                <w:szCs w:val="18"/>
                <w:lang w:eastAsia="tr-TR"/>
              </w:rPr>
            </w:pPr>
          </w:p>
        </w:tc>
        <w:tc>
          <w:tcPr>
            <w:tcW w:w="964" w:type="dxa"/>
            <w:vMerge/>
            <w:vAlign w:val="center"/>
            <w:hideMark/>
          </w:tcPr>
          <w:p w14:paraId="2B96793A" w14:textId="77777777" w:rsidR="00C84541" w:rsidRPr="005D0319" w:rsidRDefault="00C84541" w:rsidP="00454F41">
            <w:pPr>
              <w:rPr>
                <w:b/>
                <w:bCs/>
                <w:sz w:val="18"/>
                <w:szCs w:val="18"/>
                <w:lang w:eastAsia="tr-TR"/>
              </w:rPr>
            </w:pPr>
          </w:p>
        </w:tc>
        <w:tc>
          <w:tcPr>
            <w:tcW w:w="1112" w:type="dxa"/>
            <w:vMerge/>
            <w:vAlign w:val="center"/>
            <w:hideMark/>
          </w:tcPr>
          <w:p w14:paraId="46B56F0D" w14:textId="77777777" w:rsidR="00C84541" w:rsidRPr="005D0319" w:rsidRDefault="00C84541" w:rsidP="00454F41">
            <w:pPr>
              <w:rPr>
                <w:b/>
                <w:bCs/>
                <w:sz w:val="18"/>
                <w:szCs w:val="18"/>
                <w:lang w:eastAsia="tr-TR"/>
              </w:rPr>
            </w:pPr>
          </w:p>
        </w:tc>
        <w:tc>
          <w:tcPr>
            <w:tcW w:w="1404" w:type="dxa"/>
            <w:vMerge/>
            <w:vAlign w:val="center"/>
            <w:hideMark/>
          </w:tcPr>
          <w:p w14:paraId="39721C6A" w14:textId="77777777" w:rsidR="00C84541" w:rsidRPr="005D0319" w:rsidRDefault="00C84541" w:rsidP="00454F41">
            <w:pPr>
              <w:rPr>
                <w:b/>
                <w:bCs/>
                <w:sz w:val="18"/>
                <w:szCs w:val="18"/>
                <w:lang w:eastAsia="tr-TR"/>
              </w:rPr>
            </w:pPr>
          </w:p>
        </w:tc>
        <w:tc>
          <w:tcPr>
            <w:tcW w:w="1257" w:type="dxa"/>
            <w:vMerge/>
            <w:vAlign w:val="center"/>
            <w:hideMark/>
          </w:tcPr>
          <w:p w14:paraId="69B8EE6A" w14:textId="77777777" w:rsidR="00C84541" w:rsidRPr="005D0319" w:rsidRDefault="00C84541" w:rsidP="00454F41">
            <w:pPr>
              <w:rPr>
                <w:b/>
                <w:bCs/>
                <w:sz w:val="18"/>
                <w:szCs w:val="18"/>
                <w:lang w:eastAsia="tr-TR"/>
              </w:rPr>
            </w:pPr>
          </w:p>
        </w:tc>
      </w:tr>
      <w:tr w:rsidR="00C84541" w:rsidRPr="005D0319" w14:paraId="510A7C7D" w14:textId="77777777" w:rsidTr="0060078F">
        <w:trPr>
          <w:trHeight w:val="177"/>
        </w:trPr>
        <w:tc>
          <w:tcPr>
            <w:tcW w:w="279" w:type="dxa"/>
            <w:tcBorders>
              <w:top w:val="single" w:sz="4" w:space="0" w:color="auto"/>
            </w:tcBorders>
            <w:shd w:val="clear" w:color="auto" w:fill="auto"/>
            <w:vAlign w:val="center"/>
            <w:hideMark/>
          </w:tcPr>
          <w:p w14:paraId="573B30E5" w14:textId="77777777" w:rsidR="00C84541" w:rsidRPr="005D0319" w:rsidRDefault="00C84541" w:rsidP="00454F41">
            <w:pPr>
              <w:jc w:val="center"/>
              <w:rPr>
                <w:sz w:val="18"/>
                <w:szCs w:val="18"/>
                <w:lang w:eastAsia="tr-TR"/>
              </w:rPr>
            </w:pPr>
            <w:r w:rsidRPr="005D0319">
              <w:rPr>
                <w:sz w:val="18"/>
                <w:szCs w:val="18"/>
                <w:lang w:eastAsia="tr-TR"/>
              </w:rPr>
              <w:t>1</w:t>
            </w:r>
          </w:p>
        </w:tc>
        <w:tc>
          <w:tcPr>
            <w:tcW w:w="1433" w:type="dxa"/>
            <w:shd w:val="clear" w:color="auto" w:fill="auto"/>
            <w:vAlign w:val="center"/>
            <w:hideMark/>
          </w:tcPr>
          <w:p w14:paraId="14CFADEA" w14:textId="77777777" w:rsidR="00C84541" w:rsidRPr="005D0319" w:rsidRDefault="00C84541" w:rsidP="00454F41">
            <w:pPr>
              <w:jc w:val="right"/>
              <w:rPr>
                <w:sz w:val="18"/>
                <w:szCs w:val="18"/>
                <w:lang w:eastAsia="tr-TR"/>
              </w:rPr>
            </w:pPr>
            <w:r w:rsidRPr="005D0319">
              <w:rPr>
                <w:sz w:val="18"/>
                <w:szCs w:val="18"/>
                <w:lang w:eastAsia="tr-TR"/>
              </w:rPr>
              <w:t>38,227</w:t>
            </w:r>
          </w:p>
        </w:tc>
        <w:tc>
          <w:tcPr>
            <w:tcW w:w="1144" w:type="dxa"/>
            <w:shd w:val="clear" w:color="auto" w:fill="auto"/>
            <w:vAlign w:val="center"/>
            <w:hideMark/>
          </w:tcPr>
          <w:p w14:paraId="7E4FB2FC" w14:textId="77777777" w:rsidR="00C84541" w:rsidRPr="005D0319" w:rsidRDefault="00C84541" w:rsidP="00454F41">
            <w:pPr>
              <w:jc w:val="right"/>
              <w:rPr>
                <w:sz w:val="18"/>
                <w:szCs w:val="18"/>
                <w:lang w:eastAsia="tr-TR"/>
              </w:rPr>
            </w:pPr>
            <w:r w:rsidRPr="005D0319">
              <w:rPr>
                <w:sz w:val="18"/>
                <w:szCs w:val="18"/>
                <w:lang w:eastAsia="tr-TR"/>
              </w:rPr>
              <w:t>35,182</w:t>
            </w:r>
          </w:p>
        </w:tc>
        <w:tc>
          <w:tcPr>
            <w:tcW w:w="817" w:type="dxa"/>
            <w:shd w:val="clear" w:color="auto" w:fill="auto"/>
            <w:vAlign w:val="center"/>
            <w:hideMark/>
          </w:tcPr>
          <w:p w14:paraId="52926A9A" w14:textId="77777777" w:rsidR="00C84541" w:rsidRPr="005D0319" w:rsidRDefault="00C84541" w:rsidP="00454F41">
            <w:pPr>
              <w:jc w:val="right"/>
              <w:rPr>
                <w:sz w:val="18"/>
                <w:szCs w:val="18"/>
                <w:lang w:eastAsia="tr-TR"/>
              </w:rPr>
            </w:pPr>
            <w:r w:rsidRPr="005D0319">
              <w:rPr>
                <w:sz w:val="18"/>
                <w:szCs w:val="18"/>
                <w:lang w:eastAsia="tr-TR"/>
              </w:rPr>
              <w:t>-</w:t>
            </w:r>
          </w:p>
        </w:tc>
        <w:tc>
          <w:tcPr>
            <w:tcW w:w="826" w:type="dxa"/>
            <w:shd w:val="clear" w:color="auto" w:fill="auto"/>
            <w:vAlign w:val="center"/>
            <w:hideMark/>
          </w:tcPr>
          <w:p w14:paraId="561075ED" w14:textId="77777777" w:rsidR="00C84541" w:rsidRPr="005D0319" w:rsidRDefault="00C84541" w:rsidP="00454F41">
            <w:pPr>
              <w:jc w:val="right"/>
              <w:rPr>
                <w:sz w:val="18"/>
                <w:szCs w:val="18"/>
                <w:lang w:eastAsia="tr-TR"/>
              </w:rPr>
            </w:pPr>
            <w:r w:rsidRPr="005D0319">
              <w:rPr>
                <w:sz w:val="18"/>
                <w:szCs w:val="18"/>
                <w:lang w:eastAsia="tr-TR"/>
              </w:rPr>
              <w:t>-</w:t>
            </w:r>
          </w:p>
        </w:tc>
        <w:tc>
          <w:tcPr>
            <w:tcW w:w="964" w:type="dxa"/>
            <w:shd w:val="clear" w:color="auto" w:fill="auto"/>
            <w:vAlign w:val="center"/>
            <w:hideMark/>
          </w:tcPr>
          <w:p w14:paraId="5088F916" w14:textId="77777777" w:rsidR="00C84541" w:rsidRPr="005D0319" w:rsidRDefault="00C84541" w:rsidP="00454F41">
            <w:pPr>
              <w:jc w:val="right"/>
              <w:rPr>
                <w:sz w:val="18"/>
                <w:szCs w:val="18"/>
                <w:lang w:eastAsia="tr-TR"/>
              </w:rPr>
            </w:pPr>
            <w:r w:rsidRPr="005D0319">
              <w:rPr>
                <w:sz w:val="18"/>
                <w:szCs w:val="18"/>
                <w:lang w:eastAsia="tr-TR"/>
              </w:rPr>
              <w:t>-</w:t>
            </w:r>
          </w:p>
        </w:tc>
        <w:tc>
          <w:tcPr>
            <w:tcW w:w="1112" w:type="dxa"/>
            <w:shd w:val="clear" w:color="auto" w:fill="auto"/>
            <w:vAlign w:val="center"/>
            <w:hideMark/>
          </w:tcPr>
          <w:p w14:paraId="31C8A1BA" w14:textId="77777777" w:rsidR="00C84541" w:rsidRPr="005D0319" w:rsidRDefault="00C84541" w:rsidP="00454F41">
            <w:pPr>
              <w:jc w:val="right"/>
              <w:rPr>
                <w:sz w:val="18"/>
                <w:szCs w:val="18"/>
                <w:lang w:eastAsia="tr-TR"/>
              </w:rPr>
            </w:pPr>
            <w:r w:rsidRPr="005D0319">
              <w:rPr>
                <w:sz w:val="18"/>
                <w:szCs w:val="18"/>
                <w:lang w:eastAsia="tr-TR"/>
              </w:rPr>
              <w:t>5,750</w:t>
            </w:r>
          </w:p>
        </w:tc>
        <w:tc>
          <w:tcPr>
            <w:tcW w:w="1404" w:type="dxa"/>
            <w:shd w:val="clear" w:color="auto" w:fill="auto"/>
            <w:vAlign w:val="center"/>
            <w:hideMark/>
          </w:tcPr>
          <w:p w14:paraId="78F12326" w14:textId="77777777" w:rsidR="00C84541" w:rsidRPr="005D0319" w:rsidRDefault="00C84541" w:rsidP="00454F41">
            <w:pPr>
              <w:jc w:val="right"/>
              <w:rPr>
                <w:sz w:val="18"/>
                <w:szCs w:val="18"/>
                <w:lang w:eastAsia="tr-TR"/>
              </w:rPr>
            </w:pPr>
            <w:r w:rsidRPr="005D0319">
              <w:rPr>
                <w:sz w:val="18"/>
                <w:szCs w:val="18"/>
                <w:lang w:eastAsia="tr-TR"/>
              </w:rPr>
              <w:t>477</w:t>
            </w:r>
          </w:p>
        </w:tc>
        <w:tc>
          <w:tcPr>
            <w:tcW w:w="1257" w:type="dxa"/>
            <w:shd w:val="clear" w:color="auto" w:fill="auto"/>
            <w:vAlign w:val="center"/>
            <w:hideMark/>
          </w:tcPr>
          <w:p w14:paraId="55DE6D0D" w14:textId="77777777" w:rsidR="00C84541" w:rsidRPr="005D0319" w:rsidRDefault="00C84541" w:rsidP="00454F41">
            <w:pPr>
              <w:jc w:val="right"/>
              <w:rPr>
                <w:sz w:val="18"/>
                <w:szCs w:val="18"/>
                <w:lang w:eastAsia="tr-TR"/>
              </w:rPr>
            </w:pPr>
            <w:r w:rsidRPr="005D0319">
              <w:rPr>
                <w:sz w:val="18"/>
                <w:szCs w:val="18"/>
                <w:lang w:eastAsia="tr-TR"/>
              </w:rPr>
              <w:t>-</w:t>
            </w:r>
          </w:p>
        </w:tc>
      </w:tr>
      <w:tr w:rsidR="00C84541" w:rsidRPr="005D0319" w14:paraId="599549AF" w14:textId="77777777" w:rsidTr="0060078F">
        <w:trPr>
          <w:trHeight w:val="177"/>
        </w:trPr>
        <w:tc>
          <w:tcPr>
            <w:tcW w:w="279" w:type="dxa"/>
            <w:shd w:val="clear" w:color="auto" w:fill="auto"/>
            <w:vAlign w:val="center"/>
            <w:hideMark/>
          </w:tcPr>
          <w:p w14:paraId="1A56AF6A" w14:textId="77777777" w:rsidR="00C84541" w:rsidRPr="005D0319" w:rsidRDefault="00C84541" w:rsidP="00454F41">
            <w:pPr>
              <w:jc w:val="center"/>
              <w:rPr>
                <w:sz w:val="18"/>
                <w:szCs w:val="18"/>
                <w:lang w:eastAsia="tr-TR"/>
              </w:rPr>
            </w:pPr>
            <w:r w:rsidRPr="005D0319">
              <w:rPr>
                <w:sz w:val="18"/>
                <w:szCs w:val="18"/>
                <w:lang w:eastAsia="tr-TR"/>
              </w:rPr>
              <w:t>2</w:t>
            </w:r>
          </w:p>
        </w:tc>
        <w:tc>
          <w:tcPr>
            <w:tcW w:w="1433" w:type="dxa"/>
            <w:shd w:val="clear" w:color="auto" w:fill="auto"/>
            <w:vAlign w:val="center"/>
            <w:hideMark/>
          </w:tcPr>
          <w:p w14:paraId="0A942D7C" w14:textId="77777777" w:rsidR="00C84541" w:rsidRPr="005D0319" w:rsidRDefault="00C84541" w:rsidP="00454F41">
            <w:pPr>
              <w:jc w:val="right"/>
              <w:rPr>
                <w:sz w:val="18"/>
                <w:szCs w:val="18"/>
                <w:lang w:eastAsia="tr-TR"/>
              </w:rPr>
            </w:pPr>
            <w:r w:rsidRPr="005D0319">
              <w:rPr>
                <w:sz w:val="18"/>
                <w:szCs w:val="18"/>
                <w:lang w:eastAsia="tr-TR"/>
              </w:rPr>
              <w:t>132,012</w:t>
            </w:r>
          </w:p>
        </w:tc>
        <w:tc>
          <w:tcPr>
            <w:tcW w:w="1144" w:type="dxa"/>
            <w:shd w:val="clear" w:color="auto" w:fill="auto"/>
            <w:vAlign w:val="center"/>
            <w:hideMark/>
          </w:tcPr>
          <w:p w14:paraId="71A19575" w14:textId="77777777" w:rsidR="00C84541" w:rsidRPr="005D0319" w:rsidRDefault="00C84541" w:rsidP="00454F41">
            <w:pPr>
              <w:jc w:val="right"/>
              <w:rPr>
                <w:sz w:val="18"/>
                <w:szCs w:val="18"/>
                <w:lang w:eastAsia="tr-TR"/>
              </w:rPr>
            </w:pPr>
            <w:r w:rsidRPr="005D0319">
              <w:rPr>
                <w:sz w:val="18"/>
                <w:szCs w:val="18"/>
                <w:lang w:eastAsia="tr-TR"/>
              </w:rPr>
              <w:t>118,046</w:t>
            </w:r>
          </w:p>
        </w:tc>
        <w:tc>
          <w:tcPr>
            <w:tcW w:w="817" w:type="dxa"/>
            <w:shd w:val="clear" w:color="auto" w:fill="auto"/>
            <w:vAlign w:val="center"/>
            <w:hideMark/>
          </w:tcPr>
          <w:p w14:paraId="5EEF982C" w14:textId="77777777" w:rsidR="00C84541" w:rsidRPr="005D0319" w:rsidRDefault="00C84541" w:rsidP="00454F41">
            <w:pPr>
              <w:jc w:val="right"/>
              <w:rPr>
                <w:sz w:val="18"/>
                <w:szCs w:val="18"/>
                <w:lang w:eastAsia="tr-TR"/>
              </w:rPr>
            </w:pPr>
            <w:r w:rsidRPr="005D0319">
              <w:rPr>
                <w:sz w:val="18"/>
                <w:szCs w:val="18"/>
                <w:lang w:eastAsia="tr-TR"/>
              </w:rPr>
              <w:t>5</w:t>
            </w:r>
          </w:p>
        </w:tc>
        <w:tc>
          <w:tcPr>
            <w:tcW w:w="826" w:type="dxa"/>
            <w:shd w:val="clear" w:color="auto" w:fill="auto"/>
            <w:vAlign w:val="center"/>
            <w:hideMark/>
          </w:tcPr>
          <w:p w14:paraId="28ADB4C4" w14:textId="77777777" w:rsidR="00C84541" w:rsidRPr="005D0319" w:rsidRDefault="00C84541" w:rsidP="00454F41">
            <w:pPr>
              <w:jc w:val="right"/>
              <w:rPr>
                <w:sz w:val="18"/>
                <w:szCs w:val="18"/>
                <w:lang w:eastAsia="tr-TR"/>
              </w:rPr>
            </w:pPr>
            <w:r w:rsidRPr="005D0319">
              <w:rPr>
                <w:sz w:val="18"/>
                <w:szCs w:val="18"/>
                <w:lang w:eastAsia="tr-TR"/>
              </w:rPr>
              <w:t>-</w:t>
            </w:r>
          </w:p>
        </w:tc>
        <w:tc>
          <w:tcPr>
            <w:tcW w:w="964" w:type="dxa"/>
            <w:shd w:val="clear" w:color="auto" w:fill="auto"/>
            <w:vAlign w:val="center"/>
            <w:hideMark/>
          </w:tcPr>
          <w:p w14:paraId="2AFC8272" w14:textId="77777777" w:rsidR="00C84541" w:rsidRPr="005D0319" w:rsidRDefault="00C84541" w:rsidP="00454F41">
            <w:pPr>
              <w:jc w:val="right"/>
              <w:rPr>
                <w:sz w:val="18"/>
                <w:szCs w:val="18"/>
                <w:lang w:eastAsia="tr-TR"/>
              </w:rPr>
            </w:pPr>
            <w:r w:rsidRPr="005D0319">
              <w:rPr>
                <w:sz w:val="18"/>
                <w:szCs w:val="18"/>
                <w:lang w:eastAsia="tr-TR"/>
              </w:rPr>
              <w:t>-</w:t>
            </w:r>
          </w:p>
        </w:tc>
        <w:tc>
          <w:tcPr>
            <w:tcW w:w="1112" w:type="dxa"/>
            <w:shd w:val="clear" w:color="auto" w:fill="auto"/>
            <w:vAlign w:val="center"/>
            <w:hideMark/>
          </w:tcPr>
          <w:p w14:paraId="34250E94" w14:textId="77777777" w:rsidR="00C84541" w:rsidRPr="005D0319" w:rsidRDefault="00C84541" w:rsidP="00454F41">
            <w:pPr>
              <w:jc w:val="right"/>
              <w:rPr>
                <w:sz w:val="18"/>
                <w:szCs w:val="18"/>
                <w:lang w:eastAsia="tr-TR"/>
              </w:rPr>
            </w:pPr>
            <w:r w:rsidRPr="005D0319">
              <w:rPr>
                <w:sz w:val="18"/>
                <w:szCs w:val="18"/>
                <w:lang w:eastAsia="tr-TR"/>
              </w:rPr>
              <w:t>4,229</w:t>
            </w:r>
          </w:p>
        </w:tc>
        <w:tc>
          <w:tcPr>
            <w:tcW w:w="1404" w:type="dxa"/>
            <w:shd w:val="clear" w:color="auto" w:fill="auto"/>
            <w:vAlign w:val="center"/>
            <w:hideMark/>
          </w:tcPr>
          <w:p w14:paraId="0CAD2254" w14:textId="77777777" w:rsidR="00C84541" w:rsidRPr="005D0319" w:rsidRDefault="00C84541" w:rsidP="00454F41">
            <w:pPr>
              <w:jc w:val="right"/>
              <w:rPr>
                <w:sz w:val="18"/>
                <w:szCs w:val="18"/>
                <w:lang w:eastAsia="tr-TR"/>
              </w:rPr>
            </w:pPr>
            <w:r w:rsidRPr="005D0319">
              <w:rPr>
                <w:sz w:val="18"/>
                <w:szCs w:val="18"/>
                <w:lang w:eastAsia="tr-TR"/>
              </w:rPr>
              <w:t>1,513</w:t>
            </w:r>
          </w:p>
        </w:tc>
        <w:tc>
          <w:tcPr>
            <w:tcW w:w="1257" w:type="dxa"/>
            <w:shd w:val="clear" w:color="auto" w:fill="auto"/>
            <w:vAlign w:val="center"/>
            <w:hideMark/>
          </w:tcPr>
          <w:p w14:paraId="690AACD5" w14:textId="77777777" w:rsidR="00C84541" w:rsidRPr="005D0319" w:rsidRDefault="00C84541" w:rsidP="00454F41">
            <w:pPr>
              <w:jc w:val="right"/>
              <w:rPr>
                <w:sz w:val="18"/>
                <w:szCs w:val="18"/>
                <w:lang w:eastAsia="tr-TR"/>
              </w:rPr>
            </w:pPr>
            <w:r w:rsidRPr="005D0319">
              <w:rPr>
                <w:sz w:val="18"/>
                <w:szCs w:val="18"/>
                <w:lang w:eastAsia="tr-TR"/>
              </w:rPr>
              <w:t>-</w:t>
            </w:r>
          </w:p>
        </w:tc>
      </w:tr>
      <w:tr w:rsidR="00C84541" w:rsidRPr="005D0319" w14:paraId="56AD7C80" w14:textId="77777777" w:rsidTr="0060078F">
        <w:trPr>
          <w:trHeight w:val="177"/>
        </w:trPr>
        <w:tc>
          <w:tcPr>
            <w:tcW w:w="279" w:type="dxa"/>
            <w:shd w:val="clear" w:color="auto" w:fill="auto"/>
            <w:vAlign w:val="center"/>
            <w:hideMark/>
          </w:tcPr>
          <w:p w14:paraId="4F38A467" w14:textId="77777777" w:rsidR="00C84541" w:rsidRPr="005D0319" w:rsidRDefault="00C84541" w:rsidP="00454F41">
            <w:pPr>
              <w:jc w:val="center"/>
              <w:rPr>
                <w:sz w:val="18"/>
                <w:szCs w:val="18"/>
                <w:lang w:eastAsia="tr-TR"/>
              </w:rPr>
            </w:pPr>
            <w:r w:rsidRPr="005D0319">
              <w:rPr>
                <w:sz w:val="18"/>
                <w:szCs w:val="18"/>
                <w:lang w:eastAsia="tr-TR"/>
              </w:rPr>
              <w:t>3</w:t>
            </w:r>
          </w:p>
        </w:tc>
        <w:tc>
          <w:tcPr>
            <w:tcW w:w="1433" w:type="dxa"/>
            <w:shd w:val="clear" w:color="auto" w:fill="auto"/>
            <w:vAlign w:val="center"/>
            <w:hideMark/>
          </w:tcPr>
          <w:p w14:paraId="4B07D77D" w14:textId="77777777" w:rsidR="00C84541" w:rsidRPr="005D0319" w:rsidRDefault="00C84541" w:rsidP="00454F41">
            <w:pPr>
              <w:jc w:val="right"/>
              <w:rPr>
                <w:sz w:val="18"/>
                <w:szCs w:val="18"/>
                <w:lang w:eastAsia="tr-TR"/>
              </w:rPr>
            </w:pPr>
            <w:r w:rsidRPr="005D0319">
              <w:rPr>
                <w:sz w:val="18"/>
                <w:szCs w:val="18"/>
                <w:lang w:eastAsia="tr-TR"/>
              </w:rPr>
              <w:t>657</w:t>
            </w:r>
          </w:p>
        </w:tc>
        <w:tc>
          <w:tcPr>
            <w:tcW w:w="1144" w:type="dxa"/>
            <w:shd w:val="clear" w:color="auto" w:fill="auto"/>
            <w:vAlign w:val="center"/>
            <w:hideMark/>
          </w:tcPr>
          <w:p w14:paraId="06E2A89C" w14:textId="77777777" w:rsidR="00C84541" w:rsidRPr="005D0319" w:rsidRDefault="00C84541" w:rsidP="00454F41">
            <w:pPr>
              <w:jc w:val="right"/>
              <w:rPr>
                <w:sz w:val="18"/>
                <w:szCs w:val="18"/>
                <w:lang w:eastAsia="tr-TR"/>
              </w:rPr>
            </w:pPr>
            <w:r w:rsidRPr="005D0319">
              <w:rPr>
                <w:sz w:val="18"/>
                <w:szCs w:val="18"/>
                <w:lang w:eastAsia="tr-TR"/>
              </w:rPr>
              <w:t>644</w:t>
            </w:r>
          </w:p>
        </w:tc>
        <w:tc>
          <w:tcPr>
            <w:tcW w:w="817" w:type="dxa"/>
            <w:shd w:val="clear" w:color="auto" w:fill="auto"/>
            <w:vAlign w:val="center"/>
            <w:hideMark/>
          </w:tcPr>
          <w:p w14:paraId="406B261D" w14:textId="77777777" w:rsidR="00C84541" w:rsidRPr="005D0319" w:rsidRDefault="00C84541" w:rsidP="00454F41">
            <w:pPr>
              <w:jc w:val="right"/>
              <w:rPr>
                <w:sz w:val="18"/>
                <w:szCs w:val="18"/>
                <w:lang w:eastAsia="tr-TR"/>
              </w:rPr>
            </w:pPr>
            <w:r w:rsidRPr="005D0319">
              <w:rPr>
                <w:sz w:val="18"/>
                <w:szCs w:val="18"/>
                <w:lang w:eastAsia="tr-TR"/>
              </w:rPr>
              <w:t>-</w:t>
            </w:r>
          </w:p>
        </w:tc>
        <w:tc>
          <w:tcPr>
            <w:tcW w:w="826" w:type="dxa"/>
            <w:shd w:val="clear" w:color="auto" w:fill="auto"/>
            <w:vAlign w:val="center"/>
            <w:hideMark/>
          </w:tcPr>
          <w:p w14:paraId="69A1FE46" w14:textId="77777777" w:rsidR="00C84541" w:rsidRPr="005D0319" w:rsidRDefault="00C84541" w:rsidP="00454F41">
            <w:pPr>
              <w:jc w:val="right"/>
              <w:rPr>
                <w:sz w:val="18"/>
                <w:szCs w:val="18"/>
                <w:lang w:eastAsia="tr-TR"/>
              </w:rPr>
            </w:pPr>
            <w:r w:rsidRPr="005D0319">
              <w:rPr>
                <w:sz w:val="18"/>
                <w:szCs w:val="18"/>
                <w:lang w:eastAsia="tr-TR"/>
              </w:rPr>
              <w:t>-</w:t>
            </w:r>
          </w:p>
        </w:tc>
        <w:tc>
          <w:tcPr>
            <w:tcW w:w="964" w:type="dxa"/>
            <w:shd w:val="clear" w:color="auto" w:fill="auto"/>
            <w:vAlign w:val="center"/>
            <w:hideMark/>
          </w:tcPr>
          <w:p w14:paraId="06A4B82C" w14:textId="77777777" w:rsidR="00C84541" w:rsidRPr="005D0319" w:rsidRDefault="00C84541" w:rsidP="00454F41">
            <w:pPr>
              <w:jc w:val="right"/>
              <w:rPr>
                <w:sz w:val="18"/>
                <w:szCs w:val="18"/>
                <w:lang w:eastAsia="tr-TR"/>
              </w:rPr>
            </w:pPr>
            <w:r w:rsidRPr="005D0319">
              <w:rPr>
                <w:sz w:val="18"/>
                <w:szCs w:val="18"/>
                <w:lang w:eastAsia="tr-TR"/>
              </w:rPr>
              <w:t>-</w:t>
            </w:r>
          </w:p>
        </w:tc>
        <w:tc>
          <w:tcPr>
            <w:tcW w:w="1112" w:type="dxa"/>
            <w:shd w:val="clear" w:color="auto" w:fill="auto"/>
            <w:vAlign w:val="center"/>
            <w:hideMark/>
          </w:tcPr>
          <w:p w14:paraId="783A234F" w14:textId="77777777" w:rsidR="00C84541" w:rsidRPr="005D0319" w:rsidRDefault="00C84541" w:rsidP="00454F41">
            <w:pPr>
              <w:jc w:val="right"/>
              <w:rPr>
                <w:sz w:val="18"/>
                <w:szCs w:val="18"/>
                <w:lang w:eastAsia="tr-TR"/>
              </w:rPr>
            </w:pPr>
            <w:r w:rsidRPr="005D0319">
              <w:rPr>
                <w:sz w:val="18"/>
                <w:szCs w:val="18"/>
                <w:lang w:eastAsia="tr-TR"/>
              </w:rPr>
              <w:t>6</w:t>
            </w:r>
          </w:p>
        </w:tc>
        <w:tc>
          <w:tcPr>
            <w:tcW w:w="1404" w:type="dxa"/>
            <w:shd w:val="clear" w:color="auto" w:fill="auto"/>
            <w:vAlign w:val="center"/>
            <w:hideMark/>
          </w:tcPr>
          <w:p w14:paraId="696977CC" w14:textId="77777777" w:rsidR="00C84541" w:rsidRPr="005D0319" w:rsidRDefault="00C84541" w:rsidP="00454F41">
            <w:pPr>
              <w:jc w:val="right"/>
              <w:rPr>
                <w:sz w:val="18"/>
                <w:szCs w:val="18"/>
                <w:lang w:eastAsia="tr-TR"/>
              </w:rPr>
            </w:pPr>
            <w:r w:rsidRPr="005D0319">
              <w:rPr>
                <w:sz w:val="18"/>
                <w:szCs w:val="18"/>
                <w:lang w:eastAsia="tr-TR"/>
              </w:rPr>
              <w:t>140</w:t>
            </w:r>
          </w:p>
        </w:tc>
        <w:tc>
          <w:tcPr>
            <w:tcW w:w="1257" w:type="dxa"/>
            <w:shd w:val="clear" w:color="auto" w:fill="auto"/>
            <w:vAlign w:val="center"/>
            <w:hideMark/>
          </w:tcPr>
          <w:p w14:paraId="0E25AEBF" w14:textId="77777777" w:rsidR="00C84541" w:rsidRPr="005D0319" w:rsidRDefault="00C84541" w:rsidP="00454F41">
            <w:pPr>
              <w:jc w:val="right"/>
              <w:rPr>
                <w:sz w:val="18"/>
                <w:szCs w:val="18"/>
                <w:lang w:eastAsia="tr-TR"/>
              </w:rPr>
            </w:pPr>
            <w:r w:rsidRPr="005D0319">
              <w:rPr>
                <w:sz w:val="18"/>
                <w:szCs w:val="18"/>
                <w:lang w:eastAsia="tr-TR"/>
              </w:rPr>
              <w:t>-</w:t>
            </w:r>
          </w:p>
        </w:tc>
      </w:tr>
      <w:tr w:rsidR="00C84541" w:rsidRPr="005D0319" w14:paraId="1CDF9636" w14:textId="77777777" w:rsidTr="0060078F">
        <w:trPr>
          <w:trHeight w:val="177"/>
        </w:trPr>
        <w:tc>
          <w:tcPr>
            <w:tcW w:w="279" w:type="dxa"/>
            <w:shd w:val="clear" w:color="auto" w:fill="auto"/>
            <w:vAlign w:val="center"/>
            <w:hideMark/>
          </w:tcPr>
          <w:p w14:paraId="588E0D4B" w14:textId="77777777" w:rsidR="00C84541" w:rsidRPr="005D0319" w:rsidRDefault="00C84541" w:rsidP="00454F41">
            <w:pPr>
              <w:jc w:val="center"/>
              <w:rPr>
                <w:sz w:val="18"/>
                <w:szCs w:val="18"/>
                <w:lang w:eastAsia="tr-TR"/>
              </w:rPr>
            </w:pPr>
            <w:r w:rsidRPr="005D0319">
              <w:rPr>
                <w:sz w:val="18"/>
                <w:szCs w:val="18"/>
                <w:lang w:eastAsia="tr-TR"/>
              </w:rPr>
              <w:t>4</w:t>
            </w:r>
          </w:p>
        </w:tc>
        <w:tc>
          <w:tcPr>
            <w:tcW w:w="1433" w:type="dxa"/>
            <w:shd w:val="clear" w:color="auto" w:fill="auto"/>
            <w:vAlign w:val="center"/>
            <w:hideMark/>
          </w:tcPr>
          <w:p w14:paraId="5CA0EB6F" w14:textId="77777777" w:rsidR="00C84541" w:rsidRPr="005D0319" w:rsidRDefault="00C84541" w:rsidP="00454F41">
            <w:pPr>
              <w:jc w:val="right"/>
              <w:rPr>
                <w:sz w:val="18"/>
                <w:szCs w:val="18"/>
                <w:lang w:eastAsia="tr-TR"/>
              </w:rPr>
            </w:pPr>
            <w:r w:rsidRPr="005D0319">
              <w:rPr>
                <w:sz w:val="18"/>
                <w:szCs w:val="18"/>
                <w:lang w:eastAsia="tr-TR"/>
              </w:rPr>
              <w:t>6,123,575</w:t>
            </w:r>
          </w:p>
        </w:tc>
        <w:tc>
          <w:tcPr>
            <w:tcW w:w="1144" w:type="dxa"/>
            <w:shd w:val="clear" w:color="auto" w:fill="auto"/>
            <w:vAlign w:val="center"/>
            <w:hideMark/>
          </w:tcPr>
          <w:p w14:paraId="2474DE76" w14:textId="77777777" w:rsidR="00C84541" w:rsidRPr="005D0319" w:rsidRDefault="00C84541" w:rsidP="00454F41">
            <w:pPr>
              <w:jc w:val="right"/>
              <w:rPr>
                <w:sz w:val="18"/>
                <w:szCs w:val="18"/>
                <w:lang w:eastAsia="tr-TR"/>
              </w:rPr>
            </w:pPr>
            <w:r w:rsidRPr="005D0319">
              <w:rPr>
                <w:sz w:val="18"/>
                <w:szCs w:val="18"/>
                <w:lang w:eastAsia="tr-TR"/>
              </w:rPr>
              <w:t>319</w:t>
            </w:r>
          </w:p>
        </w:tc>
        <w:tc>
          <w:tcPr>
            <w:tcW w:w="817" w:type="dxa"/>
            <w:shd w:val="clear" w:color="auto" w:fill="auto"/>
            <w:vAlign w:val="center"/>
            <w:hideMark/>
          </w:tcPr>
          <w:p w14:paraId="3287263E" w14:textId="77777777" w:rsidR="00C84541" w:rsidRPr="005D0319" w:rsidRDefault="00C84541" w:rsidP="00454F41">
            <w:pPr>
              <w:jc w:val="right"/>
              <w:rPr>
                <w:sz w:val="18"/>
                <w:szCs w:val="18"/>
                <w:lang w:eastAsia="tr-TR"/>
              </w:rPr>
            </w:pPr>
            <w:r w:rsidRPr="005D0319">
              <w:rPr>
                <w:sz w:val="18"/>
                <w:szCs w:val="18"/>
                <w:lang w:eastAsia="tr-TR"/>
              </w:rPr>
              <w:t>-</w:t>
            </w:r>
          </w:p>
        </w:tc>
        <w:tc>
          <w:tcPr>
            <w:tcW w:w="826" w:type="dxa"/>
            <w:shd w:val="clear" w:color="auto" w:fill="auto"/>
            <w:vAlign w:val="center"/>
            <w:hideMark/>
          </w:tcPr>
          <w:p w14:paraId="05D2D60B" w14:textId="77777777" w:rsidR="00C84541" w:rsidRPr="005D0319" w:rsidRDefault="00C84541" w:rsidP="00454F41">
            <w:pPr>
              <w:jc w:val="right"/>
              <w:rPr>
                <w:sz w:val="18"/>
                <w:szCs w:val="18"/>
                <w:lang w:eastAsia="tr-TR"/>
              </w:rPr>
            </w:pPr>
            <w:r w:rsidRPr="005D0319">
              <w:rPr>
                <w:sz w:val="18"/>
                <w:szCs w:val="18"/>
                <w:lang w:eastAsia="tr-TR"/>
              </w:rPr>
              <w:t>-</w:t>
            </w:r>
          </w:p>
        </w:tc>
        <w:tc>
          <w:tcPr>
            <w:tcW w:w="964" w:type="dxa"/>
            <w:shd w:val="clear" w:color="auto" w:fill="auto"/>
            <w:vAlign w:val="center"/>
            <w:hideMark/>
          </w:tcPr>
          <w:p w14:paraId="046A1C59" w14:textId="77777777" w:rsidR="00C84541" w:rsidRPr="005D0319" w:rsidRDefault="00C84541" w:rsidP="00454F41">
            <w:pPr>
              <w:jc w:val="right"/>
              <w:rPr>
                <w:sz w:val="18"/>
                <w:szCs w:val="18"/>
                <w:lang w:eastAsia="tr-TR"/>
              </w:rPr>
            </w:pPr>
            <w:r w:rsidRPr="005D0319">
              <w:rPr>
                <w:sz w:val="18"/>
                <w:szCs w:val="18"/>
                <w:lang w:eastAsia="tr-TR"/>
              </w:rPr>
              <w:t>-</w:t>
            </w:r>
          </w:p>
        </w:tc>
        <w:tc>
          <w:tcPr>
            <w:tcW w:w="1112" w:type="dxa"/>
            <w:shd w:val="clear" w:color="auto" w:fill="auto"/>
            <w:vAlign w:val="center"/>
            <w:hideMark/>
          </w:tcPr>
          <w:p w14:paraId="75CE2638" w14:textId="77777777" w:rsidR="00C84541" w:rsidRPr="005D0319" w:rsidRDefault="00C84541" w:rsidP="00454F41">
            <w:pPr>
              <w:jc w:val="right"/>
              <w:rPr>
                <w:sz w:val="18"/>
                <w:szCs w:val="18"/>
                <w:lang w:eastAsia="tr-TR"/>
              </w:rPr>
            </w:pPr>
            <w:r w:rsidRPr="005D0319">
              <w:rPr>
                <w:sz w:val="18"/>
                <w:szCs w:val="18"/>
                <w:lang w:eastAsia="tr-TR"/>
              </w:rPr>
              <w:t>26</w:t>
            </w:r>
          </w:p>
        </w:tc>
        <w:tc>
          <w:tcPr>
            <w:tcW w:w="1404" w:type="dxa"/>
            <w:shd w:val="clear" w:color="auto" w:fill="auto"/>
            <w:vAlign w:val="center"/>
            <w:hideMark/>
          </w:tcPr>
          <w:p w14:paraId="009D32C6" w14:textId="77777777" w:rsidR="00C84541" w:rsidRPr="005D0319" w:rsidRDefault="00C84541" w:rsidP="00454F41">
            <w:pPr>
              <w:jc w:val="right"/>
              <w:rPr>
                <w:sz w:val="18"/>
                <w:szCs w:val="18"/>
                <w:lang w:eastAsia="tr-TR"/>
              </w:rPr>
            </w:pPr>
            <w:r w:rsidRPr="005D0319">
              <w:rPr>
                <w:sz w:val="18"/>
                <w:szCs w:val="18"/>
                <w:lang w:eastAsia="tr-TR"/>
              </w:rPr>
              <w:t>97</w:t>
            </w:r>
          </w:p>
        </w:tc>
        <w:tc>
          <w:tcPr>
            <w:tcW w:w="1257" w:type="dxa"/>
            <w:shd w:val="clear" w:color="auto" w:fill="auto"/>
            <w:vAlign w:val="center"/>
            <w:hideMark/>
          </w:tcPr>
          <w:p w14:paraId="29B1964B" w14:textId="77777777" w:rsidR="00C84541" w:rsidRPr="005D0319" w:rsidRDefault="00C84541" w:rsidP="00454F41">
            <w:pPr>
              <w:jc w:val="right"/>
              <w:rPr>
                <w:sz w:val="18"/>
                <w:szCs w:val="18"/>
                <w:lang w:eastAsia="tr-TR"/>
              </w:rPr>
            </w:pPr>
            <w:r w:rsidRPr="005D0319">
              <w:rPr>
                <w:sz w:val="18"/>
                <w:szCs w:val="18"/>
                <w:lang w:eastAsia="tr-TR"/>
              </w:rPr>
              <w:t>-</w:t>
            </w:r>
          </w:p>
        </w:tc>
      </w:tr>
      <w:tr w:rsidR="00C84541" w:rsidRPr="005D0319" w14:paraId="4AEFA8CC" w14:textId="77777777" w:rsidTr="0060078F">
        <w:trPr>
          <w:trHeight w:val="177"/>
        </w:trPr>
        <w:tc>
          <w:tcPr>
            <w:tcW w:w="279" w:type="dxa"/>
            <w:shd w:val="clear" w:color="auto" w:fill="auto"/>
            <w:vAlign w:val="center"/>
            <w:hideMark/>
          </w:tcPr>
          <w:p w14:paraId="4892683A" w14:textId="77777777" w:rsidR="00C84541" w:rsidRPr="005D0319" w:rsidRDefault="00C84541" w:rsidP="00454F41">
            <w:pPr>
              <w:jc w:val="center"/>
              <w:rPr>
                <w:sz w:val="18"/>
                <w:szCs w:val="18"/>
                <w:lang w:eastAsia="tr-TR"/>
              </w:rPr>
            </w:pPr>
            <w:r w:rsidRPr="005D0319">
              <w:rPr>
                <w:sz w:val="18"/>
                <w:szCs w:val="18"/>
                <w:lang w:eastAsia="tr-TR"/>
              </w:rPr>
              <w:t>5</w:t>
            </w:r>
          </w:p>
        </w:tc>
        <w:tc>
          <w:tcPr>
            <w:tcW w:w="1433" w:type="dxa"/>
            <w:shd w:val="clear" w:color="auto" w:fill="auto"/>
            <w:vAlign w:val="center"/>
            <w:hideMark/>
          </w:tcPr>
          <w:p w14:paraId="33B549A8" w14:textId="77777777" w:rsidR="00C84541" w:rsidRPr="005D0319" w:rsidRDefault="00C84541" w:rsidP="00454F41">
            <w:pPr>
              <w:jc w:val="right"/>
              <w:rPr>
                <w:sz w:val="18"/>
                <w:szCs w:val="18"/>
                <w:lang w:eastAsia="tr-TR"/>
              </w:rPr>
            </w:pPr>
            <w:r w:rsidRPr="005D0319">
              <w:rPr>
                <w:sz w:val="18"/>
                <w:szCs w:val="18"/>
                <w:lang w:eastAsia="tr-TR"/>
              </w:rPr>
              <w:t>6,027,067</w:t>
            </w:r>
          </w:p>
        </w:tc>
        <w:tc>
          <w:tcPr>
            <w:tcW w:w="1144" w:type="dxa"/>
            <w:shd w:val="clear" w:color="auto" w:fill="auto"/>
            <w:vAlign w:val="center"/>
            <w:hideMark/>
          </w:tcPr>
          <w:p w14:paraId="4CD78640" w14:textId="77777777" w:rsidR="00C84541" w:rsidRPr="005D0319" w:rsidRDefault="00C84541" w:rsidP="00454F41">
            <w:pPr>
              <w:jc w:val="right"/>
              <w:rPr>
                <w:sz w:val="18"/>
                <w:szCs w:val="18"/>
                <w:lang w:eastAsia="tr-TR"/>
              </w:rPr>
            </w:pPr>
            <w:r w:rsidRPr="005D0319">
              <w:rPr>
                <w:sz w:val="18"/>
                <w:szCs w:val="18"/>
                <w:lang w:eastAsia="tr-TR"/>
              </w:rPr>
              <w:t>1,267,585</w:t>
            </w:r>
          </w:p>
        </w:tc>
        <w:tc>
          <w:tcPr>
            <w:tcW w:w="817" w:type="dxa"/>
            <w:shd w:val="clear" w:color="auto" w:fill="auto"/>
            <w:vAlign w:val="center"/>
            <w:hideMark/>
          </w:tcPr>
          <w:p w14:paraId="03462563" w14:textId="77777777" w:rsidR="00C84541" w:rsidRPr="005D0319" w:rsidRDefault="00C84541" w:rsidP="00454F41">
            <w:pPr>
              <w:jc w:val="right"/>
              <w:rPr>
                <w:sz w:val="18"/>
                <w:szCs w:val="18"/>
                <w:lang w:eastAsia="tr-TR"/>
              </w:rPr>
            </w:pPr>
            <w:r w:rsidRPr="005D0319">
              <w:rPr>
                <w:sz w:val="18"/>
                <w:szCs w:val="18"/>
                <w:lang w:eastAsia="tr-TR"/>
              </w:rPr>
              <w:t>14,293</w:t>
            </w:r>
          </w:p>
        </w:tc>
        <w:tc>
          <w:tcPr>
            <w:tcW w:w="826" w:type="dxa"/>
            <w:shd w:val="clear" w:color="auto" w:fill="auto"/>
            <w:vAlign w:val="center"/>
            <w:hideMark/>
          </w:tcPr>
          <w:p w14:paraId="3514FC2A" w14:textId="77777777" w:rsidR="00C84541" w:rsidRPr="005D0319" w:rsidRDefault="00C84541" w:rsidP="00454F41">
            <w:pPr>
              <w:jc w:val="right"/>
              <w:rPr>
                <w:sz w:val="18"/>
                <w:szCs w:val="18"/>
                <w:lang w:eastAsia="tr-TR"/>
              </w:rPr>
            </w:pPr>
            <w:r w:rsidRPr="005D0319">
              <w:rPr>
                <w:sz w:val="18"/>
                <w:szCs w:val="18"/>
                <w:lang w:eastAsia="tr-TR"/>
              </w:rPr>
              <w:t>-</w:t>
            </w:r>
          </w:p>
        </w:tc>
        <w:tc>
          <w:tcPr>
            <w:tcW w:w="964" w:type="dxa"/>
            <w:shd w:val="clear" w:color="auto" w:fill="auto"/>
            <w:vAlign w:val="center"/>
            <w:hideMark/>
          </w:tcPr>
          <w:p w14:paraId="011AAFC1" w14:textId="77777777" w:rsidR="00C84541" w:rsidRPr="005D0319" w:rsidRDefault="00C84541" w:rsidP="00454F41">
            <w:pPr>
              <w:jc w:val="right"/>
              <w:rPr>
                <w:sz w:val="18"/>
                <w:szCs w:val="18"/>
                <w:lang w:eastAsia="tr-TR"/>
              </w:rPr>
            </w:pPr>
            <w:r w:rsidRPr="005D0319">
              <w:rPr>
                <w:sz w:val="18"/>
                <w:szCs w:val="18"/>
                <w:lang w:eastAsia="tr-TR"/>
              </w:rPr>
              <w:t>-</w:t>
            </w:r>
          </w:p>
        </w:tc>
        <w:tc>
          <w:tcPr>
            <w:tcW w:w="1112" w:type="dxa"/>
            <w:shd w:val="clear" w:color="auto" w:fill="auto"/>
            <w:vAlign w:val="center"/>
            <w:hideMark/>
          </w:tcPr>
          <w:p w14:paraId="77D53715" w14:textId="77777777" w:rsidR="00C84541" w:rsidRPr="005D0319" w:rsidRDefault="00C84541" w:rsidP="00454F41">
            <w:pPr>
              <w:jc w:val="right"/>
              <w:rPr>
                <w:sz w:val="18"/>
                <w:szCs w:val="18"/>
                <w:lang w:eastAsia="tr-TR"/>
              </w:rPr>
            </w:pPr>
            <w:r w:rsidRPr="005D0319">
              <w:rPr>
                <w:sz w:val="18"/>
                <w:szCs w:val="18"/>
                <w:lang w:eastAsia="tr-TR"/>
              </w:rPr>
              <w:t>6,433</w:t>
            </w:r>
          </w:p>
        </w:tc>
        <w:tc>
          <w:tcPr>
            <w:tcW w:w="1404" w:type="dxa"/>
            <w:shd w:val="clear" w:color="auto" w:fill="auto"/>
            <w:vAlign w:val="center"/>
            <w:hideMark/>
          </w:tcPr>
          <w:p w14:paraId="49AF14C5" w14:textId="77777777" w:rsidR="00C84541" w:rsidRPr="005D0319" w:rsidRDefault="00C84541" w:rsidP="00454F41">
            <w:pPr>
              <w:jc w:val="right"/>
              <w:rPr>
                <w:sz w:val="18"/>
                <w:szCs w:val="18"/>
                <w:lang w:eastAsia="tr-TR"/>
              </w:rPr>
            </w:pPr>
            <w:r w:rsidRPr="005D0319">
              <w:rPr>
                <w:sz w:val="18"/>
                <w:szCs w:val="18"/>
                <w:lang w:eastAsia="tr-TR"/>
              </w:rPr>
              <w:t>(6,258)</w:t>
            </w:r>
          </w:p>
        </w:tc>
        <w:tc>
          <w:tcPr>
            <w:tcW w:w="1257" w:type="dxa"/>
            <w:shd w:val="clear" w:color="auto" w:fill="auto"/>
            <w:vAlign w:val="center"/>
            <w:hideMark/>
          </w:tcPr>
          <w:p w14:paraId="5CBC9D69" w14:textId="77777777" w:rsidR="00C84541" w:rsidRPr="005D0319" w:rsidRDefault="00C84541" w:rsidP="00454F41">
            <w:pPr>
              <w:jc w:val="right"/>
              <w:rPr>
                <w:sz w:val="18"/>
                <w:szCs w:val="18"/>
                <w:lang w:eastAsia="tr-TR"/>
              </w:rPr>
            </w:pPr>
            <w:r w:rsidRPr="005D0319">
              <w:rPr>
                <w:sz w:val="18"/>
                <w:szCs w:val="18"/>
                <w:lang w:eastAsia="tr-TR"/>
              </w:rPr>
              <w:t>-</w:t>
            </w:r>
          </w:p>
        </w:tc>
      </w:tr>
      <w:tr w:rsidR="00C84541" w:rsidRPr="005D0319" w14:paraId="25BB4014" w14:textId="77777777" w:rsidTr="0060078F">
        <w:trPr>
          <w:trHeight w:val="177"/>
        </w:trPr>
        <w:tc>
          <w:tcPr>
            <w:tcW w:w="279" w:type="dxa"/>
            <w:shd w:val="clear" w:color="auto" w:fill="auto"/>
            <w:vAlign w:val="center"/>
            <w:hideMark/>
          </w:tcPr>
          <w:p w14:paraId="672B8A46" w14:textId="77777777" w:rsidR="00C84541" w:rsidRPr="005D0319" w:rsidRDefault="00C84541" w:rsidP="00454F41">
            <w:pPr>
              <w:jc w:val="center"/>
              <w:rPr>
                <w:sz w:val="18"/>
                <w:szCs w:val="18"/>
                <w:lang w:eastAsia="tr-TR"/>
              </w:rPr>
            </w:pPr>
            <w:r w:rsidRPr="005D0319">
              <w:rPr>
                <w:sz w:val="18"/>
                <w:szCs w:val="18"/>
                <w:lang w:eastAsia="tr-TR"/>
              </w:rPr>
              <w:t>6</w:t>
            </w:r>
          </w:p>
        </w:tc>
        <w:tc>
          <w:tcPr>
            <w:tcW w:w="1433" w:type="dxa"/>
            <w:shd w:val="clear" w:color="auto" w:fill="auto"/>
            <w:vAlign w:val="center"/>
            <w:hideMark/>
          </w:tcPr>
          <w:p w14:paraId="0C649C6A" w14:textId="77777777" w:rsidR="00C84541" w:rsidRPr="005D0319" w:rsidRDefault="00C84541" w:rsidP="00454F41">
            <w:pPr>
              <w:jc w:val="right"/>
              <w:rPr>
                <w:sz w:val="18"/>
                <w:szCs w:val="18"/>
                <w:lang w:eastAsia="tr-TR"/>
              </w:rPr>
            </w:pPr>
            <w:r w:rsidRPr="005D0319">
              <w:rPr>
                <w:sz w:val="18"/>
                <w:szCs w:val="18"/>
                <w:lang w:eastAsia="tr-TR"/>
              </w:rPr>
              <w:t>77,478</w:t>
            </w:r>
          </w:p>
        </w:tc>
        <w:tc>
          <w:tcPr>
            <w:tcW w:w="1144" w:type="dxa"/>
            <w:shd w:val="clear" w:color="auto" w:fill="auto"/>
            <w:vAlign w:val="center"/>
            <w:hideMark/>
          </w:tcPr>
          <w:p w14:paraId="0AD14117" w14:textId="77777777" w:rsidR="00C84541" w:rsidRPr="005D0319" w:rsidRDefault="00C84541" w:rsidP="00454F41">
            <w:pPr>
              <w:jc w:val="right"/>
              <w:rPr>
                <w:sz w:val="18"/>
                <w:szCs w:val="18"/>
                <w:lang w:eastAsia="tr-TR"/>
              </w:rPr>
            </w:pPr>
            <w:r w:rsidRPr="005D0319">
              <w:rPr>
                <w:sz w:val="18"/>
                <w:szCs w:val="18"/>
                <w:lang w:eastAsia="tr-TR"/>
              </w:rPr>
              <w:t>50,191</w:t>
            </w:r>
          </w:p>
        </w:tc>
        <w:tc>
          <w:tcPr>
            <w:tcW w:w="817" w:type="dxa"/>
            <w:shd w:val="clear" w:color="auto" w:fill="auto"/>
            <w:vAlign w:val="center"/>
            <w:hideMark/>
          </w:tcPr>
          <w:p w14:paraId="18BAB3C6" w14:textId="77777777" w:rsidR="00C84541" w:rsidRPr="005D0319" w:rsidRDefault="00C84541" w:rsidP="00454F41">
            <w:pPr>
              <w:jc w:val="right"/>
              <w:rPr>
                <w:sz w:val="18"/>
                <w:szCs w:val="18"/>
                <w:lang w:eastAsia="tr-TR"/>
              </w:rPr>
            </w:pPr>
            <w:r w:rsidRPr="005D0319">
              <w:rPr>
                <w:sz w:val="18"/>
                <w:szCs w:val="18"/>
                <w:lang w:eastAsia="tr-TR"/>
              </w:rPr>
              <w:t>5,373</w:t>
            </w:r>
          </w:p>
        </w:tc>
        <w:tc>
          <w:tcPr>
            <w:tcW w:w="826" w:type="dxa"/>
            <w:shd w:val="clear" w:color="auto" w:fill="auto"/>
            <w:vAlign w:val="center"/>
            <w:hideMark/>
          </w:tcPr>
          <w:p w14:paraId="4D8F710B" w14:textId="77777777" w:rsidR="00C84541" w:rsidRPr="005D0319" w:rsidRDefault="00C84541" w:rsidP="00454F41">
            <w:pPr>
              <w:jc w:val="right"/>
              <w:rPr>
                <w:sz w:val="18"/>
                <w:szCs w:val="18"/>
                <w:lang w:eastAsia="tr-TR"/>
              </w:rPr>
            </w:pPr>
            <w:r w:rsidRPr="005D0319">
              <w:rPr>
                <w:sz w:val="18"/>
                <w:szCs w:val="18"/>
                <w:lang w:eastAsia="tr-TR"/>
              </w:rPr>
              <w:t>-</w:t>
            </w:r>
          </w:p>
        </w:tc>
        <w:tc>
          <w:tcPr>
            <w:tcW w:w="964" w:type="dxa"/>
            <w:shd w:val="clear" w:color="auto" w:fill="auto"/>
            <w:vAlign w:val="center"/>
            <w:hideMark/>
          </w:tcPr>
          <w:p w14:paraId="12F0A318" w14:textId="77777777" w:rsidR="00C84541" w:rsidRPr="005D0319" w:rsidRDefault="00C84541" w:rsidP="00454F41">
            <w:pPr>
              <w:jc w:val="right"/>
              <w:rPr>
                <w:sz w:val="18"/>
                <w:szCs w:val="18"/>
                <w:lang w:eastAsia="tr-TR"/>
              </w:rPr>
            </w:pPr>
            <w:r w:rsidRPr="005D0319">
              <w:rPr>
                <w:sz w:val="18"/>
                <w:szCs w:val="18"/>
                <w:lang w:eastAsia="tr-TR"/>
              </w:rPr>
              <w:t>-</w:t>
            </w:r>
          </w:p>
        </w:tc>
        <w:tc>
          <w:tcPr>
            <w:tcW w:w="1112" w:type="dxa"/>
            <w:shd w:val="clear" w:color="auto" w:fill="auto"/>
            <w:vAlign w:val="center"/>
            <w:hideMark/>
          </w:tcPr>
          <w:p w14:paraId="34AD7901" w14:textId="77777777" w:rsidR="00C84541" w:rsidRPr="005D0319" w:rsidRDefault="00C84541" w:rsidP="00454F41">
            <w:pPr>
              <w:jc w:val="right"/>
              <w:rPr>
                <w:sz w:val="18"/>
                <w:szCs w:val="18"/>
                <w:lang w:eastAsia="tr-TR"/>
              </w:rPr>
            </w:pPr>
            <w:r w:rsidRPr="005D0319">
              <w:rPr>
                <w:sz w:val="18"/>
                <w:szCs w:val="18"/>
                <w:lang w:eastAsia="tr-TR"/>
              </w:rPr>
              <w:t>32,163</w:t>
            </w:r>
          </w:p>
        </w:tc>
        <w:tc>
          <w:tcPr>
            <w:tcW w:w="1404" w:type="dxa"/>
            <w:shd w:val="clear" w:color="auto" w:fill="auto"/>
            <w:vAlign w:val="center"/>
            <w:hideMark/>
          </w:tcPr>
          <w:p w14:paraId="7E07F86C" w14:textId="77777777" w:rsidR="00C84541" w:rsidRPr="005D0319" w:rsidRDefault="00C84541" w:rsidP="00454F41">
            <w:pPr>
              <w:jc w:val="right"/>
              <w:rPr>
                <w:sz w:val="18"/>
                <w:szCs w:val="18"/>
                <w:lang w:eastAsia="tr-TR"/>
              </w:rPr>
            </w:pPr>
            <w:r w:rsidRPr="005D0319">
              <w:rPr>
                <w:sz w:val="18"/>
                <w:szCs w:val="18"/>
                <w:lang w:eastAsia="tr-TR"/>
              </w:rPr>
              <w:t>7,931</w:t>
            </w:r>
          </w:p>
        </w:tc>
        <w:tc>
          <w:tcPr>
            <w:tcW w:w="1257" w:type="dxa"/>
            <w:shd w:val="clear" w:color="auto" w:fill="auto"/>
            <w:vAlign w:val="center"/>
            <w:hideMark/>
          </w:tcPr>
          <w:p w14:paraId="12D23801" w14:textId="77777777" w:rsidR="00C84541" w:rsidRPr="005D0319" w:rsidRDefault="00C84541" w:rsidP="00454F41">
            <w:pPr>
              <w:jc w:val="right"/>
              <w:rPr>
                <w:sz w:val="18"/>
                <w:szCs w:val="18"/>
                <w:lang w:eastAsia="tr-TR"/>
              </w:rPr>
            </w:pPr>
            <w:r w:rsidRPr="005D0319">
              <w:rPr>
                <w:sz w:val="18"/>
                <w:szCs w:val="18"/>
                <w:lang w:eastAsia="tr-TR"/>
              </w:rPr>
              <w:t>-</w:t>
            </w:r>
          </w:p>
        </w:tc>
      </w:tr>
      <w:tr w:rsidR="00C84541" w:rsidRPr="005D0319" w14:paraId="39D14ABE" w14:textId="77777777" w:rsidTr="0060078F">
        <w:trPr>
          <w:trHeight w:val="177"/>
        </w:trPr>
        <w:tc>
          <w:tcPr>
            <w:tcW w:w="279" w:type="dxa"/>
            <w:shd w:val="clear" w:color="auto" w:fill="auto"/>
            <w:vAlign w:val="center"/>
            <w:hideMark/>
          </w:tcPr>
          <w:p w14:paraId="1B95FE35" w14:textId="77777777" w:rsidR="00C84541" w:rsidRPr="005D0319" w:rsidRDefault="00C84541" w:rsidP="00454F41">
            <w:pPr>
              <w:jc w:val="center"/>
              <w:rPr>
                <w:sz w:val="18"/>
                <w:szCs w:val="18"/>
                <w:lang w:eastAsia="tr-TR"/>
              </w:rPr>
            </w:pPr>
            <w:r w:rsidRPr="005D0319">
              <w:rPr>
                <w:sz w:val="18"/>
                <w:szCs w:val="18"/>
                <w:lang w:eastAsia="tr-TR"/>
              </w:rPr>
              <w:t>7</w:t>
            </w:r>
          </w:p>
        </w:tc>
        <w:tc>
          <w:tcPr>
            <w:tcW w:w="1433" w:type="dxa"/>
            <w:shd w:val="clear" w:color="auto" w:fill="auto"/>
            <w:vAlign w:val="center"/>
            <w:hideMark/>
          </w:tcPr>
          <w:p w14:paraId="644600E8" w14:textId="77777777" w:rsidR="00C84541" w:rsidRPr="005D0319" w:rsidRDefault="00C84541" w:rsidP="00454F41">
            <w:pPr>
              <w:jc w:val="right"/>
              <w:rPr>
                <w:sz w:val="18"/>
                <w:szCs w:val="18"/>
                <w:lang w:eastAsia="tr-TR"/>
              </w:rPr>
            </w:pPr>
            <w:r w:rsidRPr="005D0319">
              <w:rPr>
                <w:sz w:val="18"/>
                <w:szCs w:val="18"/>
                <w:lang w:eastAsia="tr-TR"/>
              </w:rPr>
              <w:t>2,747,616</w:t>
            </w:r>
          </w:p>
        </w:tc>
        <w:tc>
          <w:tcPr>
            <w:tcW w:w="1144" w:type="dxa"/>
            <w:shd w:val="clear" w:color="auto" w:fill="auto"/>
            <w:vAlign w:val="center"/>
            <w:hideMark/>
          </w:tcPr>
          <w:p w14:paraId="6C9DB353" w14:textId="77777777" w:rsidR="00C84541" w:rsidRPr="005D0319" w:rsidRDefault="00C84541" w:rsidP="00454F41">
            <w:pPr>
              <w:jc w:val="right"/>
              <w:rPr>
                <w:sz w:val="18"/>
                <w:szCs w:val="18"/>
                <w:lang w:eastAsia="tr-TR"/>
              </w:rPr>
            </w:pPr>
            <w:r w:rsidRPr="005D0319">
              <w:rPr>
                <w:sz w:val="18"/>
                <w:szCs w:val="18"/>
                <w:lang w:eastAsia="tr-TR"/>
              </w:rPr>
              <w:t>2</w:t>
            </w:r>
          </w:p>
        </w:tc>
        <w:tc>
          <w:tcPr>
            <w:tcW w:w="817" w:type="dxa"/>
            <w:shd w:val="clear" w:color="auto" w:fill="auto"/>
            <w:vAlign w:val="center"/>
            <w:hideMark/>
          </w:tcPr>
          <w:p w14:paraId="78F55855" w14:textId="77777777" w:rsidR="00C84541" w:rsidRPr="005D0319" w:rsidRDefault="00C84541" w:rsidP="00454F41">
            <w:pPr>
              <w:jc w:val="right"/>
              <w:rPr>
                <w:sz w:val="18"/>
                <w:szCs w:val="18"/>
                <w:lang w:eastAsia="tr-TR"/>
              </w:rPr>
            </w:pPr>
            <w:r w:rsidRPr="005D0319">
              <w:rPr>
                <w:sz w:val="18"/>
                <w:szCs w:val="18"/>
                <w:lang w:eastAsia="tr-TR"/>
              </w:rPr>
              <w:t>-</w:t>
            </w:r>
          </w:p>
        </w:tc>
        <w:tc>
          <w:tcPr>
            <w:tcW w:w="826" w:type="dxa"/>
            <w:shd w:val="clear" w:color="auto" w:fill="auto"/>
            <w:vAlign w:val="center"/>
            <w:hideMark/>
          </w:tcPr>
          <w:p w14:paraId="774AA558" w14:textId="77777777" w:rsidR="00C84541" w:rsidRPr="005D0319" w:rsidRDefault="00C84541" w:rsidP="00454F41">
            <w:pPr>
              <w:jc w:val="right"/>
              <w:rPr>
                <w:sz w:val="18"/>
                <w:szCs w:val="18"/>
                <w:lang w:eastAsia="tr-TR"/>
              </w:rPr>
            </w:pPr>
            <w:r w:rsidRPr="005D0319">
              <w:rPr>
                <w:sz w:val="18"/>
                <w:szCs w:val="18"/>
                <w:lang w:eastAsia="tr-TR"/>
              </w:rPr>
              <w:t>-</w:t>
            </w:r>
          </w:p>
        </w:tc>
        <w:tc>
          <w:tcPr>
            <w:tcW w:w="964" w:type="dxa"/>
            <w:shd w:val="clear" w:color="auto" w:fill="auto"/>
            <w:vAlign w:val="center"/>
            <w:hideMark/>
          </w:tcPr>
          <w:p w14:paraId="05B6138A" w14:textId="77777777" w:rsidR="00C84541" w:rsidRPr="005D0319" w:rsidRDefault="00C84541" w:rsidP="00454F41">
            <w:pPr>
              <w:jc w:val="right"/>
              <w:rPr>
                <w:sz w:val="18"/>
                <w:szCs w:val="18"/>
                <w:lang w:eastAsia="tr-TR"/>
              </w:rPr>
            </w:pPr>
            <w:r w:rsidRPr="005D0319">
              <w:rPr>
                <w:sz w:val="18"/>
                <w:szCs w:val="18"/>
                <w:lang w:eastAsia="tr-TR"/>
              </w:rPr>
              <w:t>-</w:t>
            </w:r>
          </w:p>
        </w:tc>
        <w:tc>
          <w:tcPr>
            <w:tcW w:w="1112" w:type="dxa"/>
            <w:shd w:val="clear" w:color="auto" w:fill="auto"/>
            <w:vAlign w:val="center"/>
            <w:hideMark/>
          </w:tcPr>
          <w:p w14:paraId="35183E45" w14:textId="77777777" w:rsidR="00C84541" w:rsidRPr="005D0319" w:rsidRDefault="00C84541" w:rsidP="00454F41">
            <w:pPr>
              <w:jc w:val="right"/>
              <w:rPr>
                <w:sz w:val="18"/>
                <w:szCs w:val="18"/>
                <w:lang w:eastAsia="tr-TR"/>
              </w:rPr>
            </w:pPr>
            <w:r w:rsidRPr="005D0319">
              <w:rPr>
                <w:sz w:val="18"/>
                <w:szCs w:val="18"/>
                <w:lang w:eastAsia="tr-TR"/>
              </w:rPr>
              <w:t>-</w:t>
            </w:r>
          </w:p>
        </w:tc>
        <w:tc>
          <w:tcPr>
            <w:tcW w:w="1404" w:type="dxa"/>
            <w:shd w:val="clear" w:color="auto" w:fill="auto"/>
            <w:vAlign w:val="center"/>
            <w:hideMark/>
          </w:tcPr>
          <w:p w14:paraId="7E19AC30" w14:textId="77777777" w:rsidR="00C84541" w:rsidRPr="005D0319" w:rsidRDefault="00C84541" w:rsidP="00454F41">
            <w:pPr>
              <w:jc w:val="right"/>
              <w:rPr>
                <w:sz w:val="18"/>
                <w:szCs w:val="18"/>
                <w:lang w:eastAsia="tr-TR"/>
              </w:rPr>
            </w:pPr>
            <w:r w:rsidRPr="005D0319">
              <w:rPr>
                <w:sz w:val="18"/>
                <w:szCs w:val="18"/>
                <w:lang w:eastAsia="tr-TR"/>
              </w:rPr>
              <w:t>-</w:t>
            </w:r>
          </w:p>
        </w:tc>
        <w:tc>
          <w:tcPr>
            <w:tcW w:w="1257" w:type="dxa"/>
            <w:shd w:val="clear" w:color="auto" w:fill="auto"/>
            <w:vAlign w:val="center"/>
            <w:hideMark/>
          </w:tcPr>
          <w:p w14:paraId="39EFA673" w14:textId="77777777" w:rsidR="00C84541" w:rsidRPr="005D0319" w:rsidRDefault="00C84541" w:rsidP="00454F41">
            <w:pPr>
              <w:jc w:val="right"/>
              <w:rPr>
                <w:sz w:val="18"/>
                <w:szCs w:val="18"/>
                <w:lang w:eastAsia="tr-TR"/>
              </w:rPr>
            </w:pPr>
            <w:r w:rsidRPr="005D0319">
              <w:rPr>
                <w:sz w:val="18"/>
                <w:szCs w:val="18"/>
                <w:lang w:eastAsia="tr-TR"/>
              </w:rPr>
              <w:t>-</w:t>
            </w:r>
          </w:p>
        </w:tc>
      </w:tr>
      <w:tr w:rsidR="00C84541" w:rsidRPr="005D0319" w14:paraId="164F927A" w14:textId="77777777" w:rsidTr="0060078F">
        <w:trPr>
          <w:trHeight w:val="177"/>
        </w:trPr>
        <w:tc>
          <w:tcPr>
            <w:tcW w:w="279" w:type="dxa"/>
            <w:shd w:val="clear" w:color="auto" w:fill="auto"/>
            <w:vAlign w:val="center"/>
            <w:hideMark/>
          </w:tcPr>
          <w:p w14:paraId="2D2D2102" w14:textId="77777777" w:rsidR="00C84541" w:rsidRPr="005D0319" w:rsidRDefault="00C84541" w:rsidP="00454F41">
            <w:pPr>
              <w:jc w:val="center"/>
              <w:rPr>
                <w:sz w:val="18"/>
                <w:szCs w:val="18"/>
                <w:lang w:eastAsia="tr-TR"/>
              </w:rPr>
            </w:pPr>
            <w:r w:rsidRPr="005D0319">
              <w:rPr>
                <w:sz w:val="18"/>
                <w:szCs w:val="18"/>
                <w:lang w:eastAsia="tr-TR"/>
              </w:rPr>
              <w:t>8</w:t>
            </w:r>
          </w:p>
        </w:tc>
        <w:tc>
          <w:tcPr>
            <w:tcW w:w="1433" w:type="dxa"/>
            <w:shd w:val="clear" w:color="auto" w:fill="auto"/>
            <w:vAlign w:val="center"/>
            <w:hideMark/>
          </w:tcPr>
          <w:p w14:paraId="3758163B" w14:textId="77777777" w:rsidR="00C84541" w:rsidRPr="005D0319" w:rsidRDefault="00C84541" w:rsidP="00454F41">
            <w:pPr>
              <w:jc w:val="right"/>
              <w:rPr>
                <w:sz w:val="18"/>
                <w:szCs w:val="18"/>
                <w:lang w:eastAsia="tr-TR"/>
              </w:rPr>
            </w:pPr>
            <w:r w:rsidRPr="005D0319">
              <w:rPr>
                <w:sz w:val="18"/>
                <w:szCs w:val="18"/>
                <w:lang w:eastAsia="tr-TR"/>
              </w:rPr>
              <w:t>23,127</w:t>
            </w:r>
          </w:p>
        </w:tc>
        <w:tc>
          <w:tcPr>
            <w:tcW w:w="1144" w:type="dxa"/>
            <w:shd w:val="clear" w:color="auto" w:fill="auto"/>
            <w:vAlign w:val="center"/>
            <w:hideMark/>
          </w:tcPr>
          <w:p w14:paraId="49599A5E" w14:textId="77777777" w:rsidR="00C84541" w:rsidRPr="005D0319" w:rsidRDefault="00C84541" w:rsidP="00454F41">
            <w:pPr>
              <w:jc w:val="right"/>
              <w:rPr>
                <w:sz w:val="18"/>
                <w:szCs w:val="18"/>
                <w:lang w:eastAsia="tr-TR"/>
              </w:rPr>
            </w:pPr>
            <w:r w:rsidRPr="005D0319">
              <w:rPr>
                <w:sz w:val="18"/>
                <w:szCs w:val="18"/>
                <w:lang w:eastAsia="tr-TR"/>
              </w:rPr>
              <w:t>21,551</w:t>
            </w:r>
          </w:p>
        </w:tc>
        <w:tc>
          <w:tcPr>
            <w:tcW w:w="817" w:type="dxa"/>
            <w:shd w:val="clear" w:color="auto" w:fill="auto"/>
            <w:vAlign w:val="center"/>
            <w:hideMark/>
          </w:tcPr>
          <w:p w14:paraId="0D83E630" w14:textId="77777777" w:rsidR="00C84541" w:rsidRPr="005D0319" w:rsidRDefault="00C84541" w:rsidP="00454F41">
            <w:pPr>
              <w:jc w:val="right"/>
              <w:rPr>
                <w:sz w:val="18"/>
                <w:szCs w:val="18"/>
                <w:lang w:eastAsia="tr-TR"/>
              </w:rPr>
            </w:pPr>
            <w:r w:rsidRPr="005D0319">
              <w:rPr>
                <w:sz w:val="18"/>
                <w:szCs w:val="18"/>
                <w:lang w:eastAsia="tr-TR"/>
              </w:rPr>
              <w:t>219</w:t>
            </w:r>
          </w:p>
        </w:tc>
        <w:tc>
          <w:tcPr>
            <w:tcW w:w="826" w:type="dxa"/>
            <w:shd w:val="clear" w:color="auto" w:fill="auto"/>
            <w:vAlign w:val="center"/>
            <w:hideMark/>
          </w:tcPr>
          <w:p w14:paraId="18227158" w14:textId="77777777" w:rsidR="00C84541" w:rsidRPr="005D0319" w:rsidRDefault="00C84541" w:rsidP="00454F41">
            <w:pPr>
              <w:jc w:val="right"/>
              <w:rPr>
                <w:sz w:val="18"/>
                <w:szCs w:val="18"/>
                <w:lang w:eastAsia="tr-TR"/>
              </w:rPr>
            </w:pPr>
            <w:r w:rsidRPr="005D0319">
              <w:rPr>
                <w:sz w:val="18"/>
                <w:szCs w:val="18"/>
                <w:lang w:eastAsia="tr-TR"/>
              </w:rPr>
              <w:t>-</w:t>
            </w:r>
          </w:p>
        </w:tc>
        <w:tc>
          <w:tcPr>
            <w:tcW w:w="964" w:type="dxa"/>
            <w:shd w:val="clear" w:color="auto" w:fill="auto"/>
            <w:vAlign w:val="center"/>
            <w:hideMark/>
          </w:tcPr>
          <w:p w14:paraId="7C62EF64" w14:textId="77777777" w:rsidR="00C84541" w:rsidRPr="005D0319" w:rsidRDefault="00C84541" w:rsidP="00454F41">
            <w:pPr>
              <w:jc w:val="right"/>
              <w:rPr>
                <w:sz w:val="18"/>
                <w:szCs w:val="18"/>
                <w:lang w:eastAsia="tr-TR"/>
              </w:rPr>
            </w:pPr>
            <w:r w:rsidRPr="005D0319">
              <w:rPr>
                <w:sz w:val="18"/>
                <w:szCs w:val="18"/>
                <w:lang w:eastAsia="tr-TR"/>
              </w:rPr>
              <w:t>-</w:t>
            </w:r>
          </w:p>
        </w:tc>
        <w:tc>
          <w:tcPr>
            <w:tcW w:w="1112" w:type="dxa"/>
            <w:shd w:val="clear" w:color="auto" w:fill="auto"/>
            <w:vAlign w:val="center"/>
            <w:hideMark/>
          </w:tcPr>
          <w:p w14:paraId="7A86D8E5" w14:textId="77777777" w:rsidR="00C84541" w:rsidRPr="005D0319" w:rsidRDefault="00C84541" w:rsidP="00454F41">
            <w:pPr>
              <w:jc w:val="right"/>
              <w:rPr>
                <w:sz w:val="18"/>
                <w:szCs w:val="18"/>
                <w:lang w:eastAsia="tr-TR"/>
              </w:rPr>
            </w:pPr>
            <w:r w:rsidRPr="005D0319">
              <w:rPr>
                <w:sz w:val="18"/>
                <w:szCs w:val="18"/>
                <w:lang w:eastAsia="tr-TR"/>
              </w:rPr>
              <w:t>8,866</w:t>
            </w:r>
          </w:p>
        </w:tc>
        <w:tc>
          <w:tcPr>
            <w:tcW w:w="1404" w:type="dxa"/>
            <w:shd w:val="clear" w:color="auto" w:fill="auto"/>
            <w:vAlign w:val="center"/>
            <w:hideMark/>
          </w:tcPr>
          <w:p w14:paraId="223BB5EA" w14:textId="77777777" w:rsidR="00C84541" w:rsidRPr="005D0319" w:rsidRDefault="00C84541" w:rsidP="00454F41">
            <w:pPr>
              <w:jc w:val="right"/>
              <w:rPr>
                <w:sz w:val="18"/>
                <w:szCs w:val="18"/>
                <w:lang w:eastAsia="tr-TR"/>
              </w:rPr>
            </w:pPr>
            <w:r w:rsidRPr="005D0319">
              <w:rPr>
                <w:sz w:val="18"/>
                <w:szCs w:val="18"/>
                <w:lang w:eastAsia="tr-TR"/>
              </w:rPr>
              <w:t>2,753</w:t>
            </w:r>
          </w:p>
        </w:tc>
        <w:tc>
          <w:tcPr>
            <w:tcW w:w="1257" w:type="dxa"/>
            <w:shd w:val="clear" w:color="auto" w:fill="auto"/>
            <w:vAlign w:val="center"/>
            <w:hideMark/>
          </w:tcPr>
          <w:p w14:paraId="67BE9B10" w14:textId="77777777" w:rsidR="00C84541" w:rsidRPr="005D0319" w:rsidRDefault="00C84541" w:rsidP="00454F41">
            <w:pPr>
              <w:jc w:val="right"/>
              <w:rPr>
                <w:sz w:val="18"/>
                <w:szCs w:val="18"/>
                <w:lang w:eastAsia="tr-TR"/>
              </w:rPr>
            </w:pPr>
            <w:r w:rsidRPr="005D0319">
              <w:rPr>
                <w:sz w:val="18"/>
                <w:szCs w:val="18"/>
                <w:lang w:eastAsia="tr-TR"/>
              </w:rPr>
              <w:t>-</w:t>
            </w:r>
          </w:p>
        </w:tc>
      </w:tr>
      <w:tr w:rsidR="000D5462" w:rsidRPr="005D0319" w14:paraId="027D6AD5" w14:textId="77777777" w:rsidTr="0060078F">
        <w:trPr>
          <w:trHeight w:val="284"/>
        </w:trPr>
        <w:tc>
          <w:tcPr>
            <w:tcW w:w="279" w:type="dxa"/>
            <w:shd w:val="clear" w:color="auto" w:fill="auto"/>
            <w:vAlign w:val="center"/>
            <w:hideMark/>
          </w:tcPr>
          <w:p w14:paraId="05B307C0" w14:textId="77777777" w:rsidR="000D5462" w:rsidRPr="005D0319" w:rsidRDefault="000D5462" w:rsidP="000D5462">
            <w:pPr>
              <w:jc w:val="center"/>
              <w:rPr>
                <w:sz w:val="18"/>
                <w:szCs w:val="18"/>
                <w:lang w:eastAsia="tr-TR"/>
              </w:rPr>
            </w:pPr>
            <w:r w:rsidRPr="005D0319">
              <w:rPr>
                <w:sz w:val="18"/>
                <w:szCs w:val="18"/>
                <w:lang w:eastAsia="tr-TR"/>
              </w:rPr>
              <w:t>9</w:t>
            </w:r>
          </w:p>
        </w:tc>
        <w:tc>
          <w:tcPr>
            <w:tcW w:w="1433" w:type="dxa"/>
            <w:shd w:val="clear" w:color="auto" w:fill="auto"/>
            <w:vAlign w:val="center"/>
            <w:hideMark/>
          </w:tcPr>
          <w:p w14:paraId="403CF16B" w14:textId="651C07C8" w:rsidR="000D5462" w:rsidRPr="005D0319" w:rsidRDefault="000D5462" w:rsidP="000D5462">
            <w:pPr>
              <w:jc w:val="right"/>
              <w:rPr>
                <w:sz w:val="18"/>
                <w:szCs w:val="18"/>
                <w:lang w:eastAsia="tr-TR"/>
              </w:rPr>
            </w:pPr>
            <w:r w:rsidRPr="00030F07">
              <w:rPr>
                <w:sz w:val="18"/>
                <w:szCs w:val="18"/>
                <w:lang w:eastAsia="tr-TR"/>
              </w:rPr>
              <w:t>2,775,281</w:t>
            </w:r>
          </w:p>
        </w:tc>
        <w:tc>
          <w:tcPr>
            <w:tcW w:w="1144" w:type="dxa"/>
            <w:shd w:val="clear" w:color="auto" w:fill="auto"/>
            <w:vAlign w:val="center"/>
            <w:hideMark/>
          </w:tcPr>
          <w:p w14:paraId="7D067733" w14:textId="26F769E8" w:rsidR="000D5462" w:rsidRPr="005D0319" w:rsidRDefault="000D5462" w:rsidP="000D5462">
            <w:pPr>
              <w:jc w:val="right"/>
              <w:rPr>
                <w:sz w:val="18"/>
                <w:szCs w:val="18"/>
                <w:lang w:eastAsia="tr-TR"/>
              </w:rPr>
            </w:pPr>
            <w:r w:rsidRPr="00030F07">
              <w:rPr>
                <w:sz w:val="18"/>
                <w:szCs w:val="18"/>
                <w:lang w:eastAsia="tr-TR"/>
              </w:rPr>
              <w:t>593,364</w:t>
            </w:r>
          </w:p>
        </w:tc>
        <w:tc>
          <w:tcPr>
            <w:tcW w:w="817" w:type="dxa"/>
            <w:shd w:val="clear" w:color="auto" w:fill="auto"/>
            <w:vAlign w:val="center"/>
            <w:hideMark/>
          </w:tcPr>
          <w:p w14:paraId="7C17DDDA" w14:textId="2305E00B" w:rsidR="000D5462" w:rsidRPr="005D0319" w:rsidRDefault="000D5462" w:rsidP="000D5462">
            <w:pPr>
              <w:jc w:val="right"/>
              <w:rPr>
                <w:sz w:val="18"/>
                <w:szCs w:val="18"/>
                <w:lang w:eastAsia="tr-TR"/>
              </w:rPr>
            </w:pPr>
            <w:r w:rsidRPr="00030F07">
              <w:rPr>
                <w:sz w:val="18"/>
                <w:szCs w:val="18"/>
                <w:lang w:eastAsia="tr-TR"/>
              </w:rPr>
              <w:t>12,410</w:t>
            </w:r>
          </w:p>
        </w:tc>
        <w:tc>
          <w:tcPr>
            <w:tcW w:w="826" w:type="dxa"/>
            <w:shd w:val="clear" w:color="auto" w:fill="auto"/>
            <w:vAlign w:val="center"/>
            <w:hideMark/>
          </w:tcPr>
          <w:p w14:paraId="3AA6FDFD" w14:textId="06B62690" w:rsidR="000D5462" w:rsidRPr="005D0319" w:rsidRDefault="000D5462" w:rsidP="000D5462">
            <w:pPr>
              <w:jc w:val="right"/>
              <w:rPr>
                <w:sz w:val="18"/>
                <w:szCs w:val="18"/>
                <w:lang w:eastAsia="tr-TR"/>
              </w:rPr>
            </w:pPr>
            <w:r w:rsidRPr="00030F07">
              <w:rPr>
                <w:sz w:val="18"/>
                <w:szCs w:val="18"/>
                <w:lang w:eastAsia="tr-TR"/>
              </w:rPr>
              <w:t>72,264</w:t>
            </w:r>
          </w:p>
        </w:tc>
        <w:tc>
          <w:tcPr>
            <w:tcW w:w="964" w:type="dxa"/>
            <w:shd w:val="clear" w:color="auto" w:fill="auto"/>
            <w:vAlign w:val="center"/>
            <w:hideMark/>
          </w:tcPr>
          <w:p w14:paraId="336AAE40" w14:textId="27C76636" w:rsidR="000D5462" w:rsidRPr="005D0319" w:rsidRDefault="000D5462" w:rsidP="000D5462">
            <w:pPr>
              <w:jc w:val="right"/>
              <w:rPr>
                <w:sz w:val="18"/>
                <w:szCs w:val="18"/>
                <w:lang w:eastAsia="tr-TR"/>
              </w:rPr>
            </w:pPr>
            <w:r w:rsidRPr="00030F07">
              <w:rPr>
                <w:sz w:val="18"/>
                <w:szCs w:val="18"/>
                <w:lang w:eastAsia="tr-TR"/>
              </w:rPr>
              <w:t>64,390</w:t>
            </w:r>
          </w:p>
        </w:tc>
        <w:tc>
          <w:tcPr>
            <w:tcW w:w="1112" w:type="dxa"/>
            <w:shd w:val="clear" w:color="auto" w:fill="auto"/>
            <w:vAlign w:val="center"/>
            <w:hideMark/>
          </w:tcPr>
          <w:p w14:paraId="1EAB90D6" w14:textId="148EB488" w:rsidR="000D5462" w:rsidRPr="005D0319" w:rsidRDefault="000D5462" w:rsidP="000D5462">
            <w:pPr>
              <w:jc w:val="right"/>
              <w:rPr>
                <w:sz w:val="18"/>
                <w:szCs w:val="18"/>
                <w:lang w:eastAsia="tr-TR"/>
              </w:rPr>
            </w:pPr>
            <w:r w:rsidRPr="00030F07">
              <w:rPr>
                <w:sz w:val="18"/>
                <w:szCs w:val="18"/>
                <w:lang w:eastAsia="tr-TR"/>
              </w:rPr>
              <w:t>110,762</w:t>
            </w:r>
          </w:p>
        </w:tc>
        <w:tc>
          <w:tcPr>
            <w:tcW w:w="1404" w:type="dxa"/>
            <w:shd w:val="clear" w:color="auto" w:fill="auto"/>
            <w:vAlign w:val="center"/>
            <w:hideMark/>
          </w:tcPr>
          <w:p w14:paraId="36E03570" w14:textId="29E68A1A" w:rsidR="000D5462" w:rsidRPr="005D0319" w:rsidRDefault="000D5462" w:rsidP="000D5462">
            <w:pPr>
              <w:jc w:val="right"/>
              <w:rPr>
                <w:sz w:val="18"/>
                <w:szCs w:val="18"/>
                <w:lang w:eastAsia="tr-TR"/>
              </w:rPr>
            </w:pPr>
            <w:r w:rsidRPr="00030F07">
              <w:rPr>
                <w:sz w:val="18"/>
                <w:szCs w:val="18"/>
                <w:lang w:eastAsia="tr-TR"/>
              </w:rPr>
              <w:t>308,847</w:t>
            </w:r>
          </w:p>
        </w:tc>
        <w:tc>
          <w:tcPr>
            <w:tcW w:w="1257" w:type="dxa"/>
            <w:shd w:val="clear" w:color="auto" w:fill="auto"/>
            <w:vAlign w:val="center"/>
            <w:hideMark/>
          </w:tcPr>
          <w:p w14:paraId="526EDF68" w14:textId="7BF8845C" w:rsidR="000D5462" w:rsidRPr="005D0319" w:rsidRDefault="000D5462" w:rsidP="000D5462">
            <w:pPr>
              <w:jc w:val="right"/>
              <w:rPr>
                <w:sz w:val="18"/>
                <w:szCs w:val="18"/>
                <w:lang w:eastAsia="tr-TR"/>
              </w:rPr>
            </w:pPr>
            <w:r w:rsidRPr="00030F07">
              <w:rPr>
                <w:sz w:val="18"/>
                <w:szCs w:val="18"/>
                <w:lang w:eastAsia="tr-TR"/>
              </w:rPr>
              <w:t>-</w:t>
            </w:r>
          </w:p>
        </w:tc>
      </w:tr>
    </w:tbl>
    <w:p w14:paraId="3D5A72E0" w14:textId="4D185B09" w:rsidR="006B4EDA" w:rsidRPr="00D83E2C" w:rsidRDefault="006B4EDA" w:rsidP="00C34D48">
      <w:pPr>
        <w:rPr>
          <w:sz w:val="18"/>
          <w:szCs w:val="18"/>
        </w:rPr>
      </w:pPr>
    </w:p>
    <w:p w14:paraId="51F5DB35" w14:textId="161F1CF0" w:rsidR="006B4EDA" w:rsidRPr="00D83E2C" w:rsidRDefault="00D35A9A" w:rsidP="00142C20">
      <w:pPr>
        <w:spacing w:line="214" w:lineRule="auto"/>
        <w:ind w:left="540" w:hanging="540"/>
        <w:jc w:val="both"/>
        <w:rPr>
          <w:sz w:val="16"/>
          <w:szCs w:val="16"/>
        </w:rPr>
      </w:pPr>
      <w:r w:rsidRPr="00D83E2C">
        <w:rPr>
          <w:sz w:val="16"/>
          <w:szCs w:val="16"/>
        </w:rPr>
        <w:t>(*)</w:t>
      </w:r>
      <w:r w:rsidRPr="00D83E2C">
        <w:rPr>
          <w:sz w:val="16"/>
          <w:szCs w:val="16"/>
        </w:rPr>
        <w:tab/>
      </w:r>
      <w:r w:rsidR="00CC1A1A" w:rsidRPr="00D83E2C">
        <w:rPr>
          <w:sz w:val="16"/>
          <w:szCs w:val="16"/>
        </w:rPr>
        <w:t>Söz konusu</w:t>
      </w:r>
      <w:r w:rsidR="005C6CC3" w:rsidRPr="00D83E2C">
        <w:rPr>
          <w:sz w:val="16"/>
          <w:szCs w:val="16"/>
        </w:rPr>
        <w:t xml:space="preserve"> bağlı ortaklığın 3</w:t>
      </w:r>
      <w:r w:rsidR="009179A7" w:rsidRPr="00D83E2C">
        <w:rPr>
          <w:sz w:val="16"/>
          <w:szCs w:val="16"/>
        </w:rPr>
        <w:t>0</w:t>
      </w:r>
      <w:r w:rsidR="005C6CC3" w:rsidRPr="00D83E2C">
        <w:rPr>
          <w:sz w:val="16"/>
          <w:szCs w:val="16"/>
        </w:rPr>
        <w:t xml:space="preserve"> </w:t>
      </w:r>
      <w:r w:rsidR="00414788" w:rsidRPr="00D83E2C">
        <w:rPr>
          <w:sz w:val="16"/>
          <w:szCs w:val="16"/>
        </w:rPr>
        <w:t>Eylül</w:t>
      </w:r>
      <w:r w:rsidR="005C6CC3" w:rsidRPr="00D83E2C">
        <w:rPr>
          <w:sz w:val="16"/>
          <w:szCs w:val="16"/>
        </w:rPr>
        <w:t xml:space="preserve"> </w:t>
      </w:r>
      <w:r w:rsidR="00DC1240" w:rsidRPr="00D83E2C">
        <w:rPr>
          <w:sz w:val="16"/>
          <w:szCs w:val="16"/>
        </w:rPr>
        <w:t>20</w:t>
      </w:r>
      <w:r w:rsidR="009179A7" w:rsidRPr="00D83E2C">
        <w:rPr>
          <w:sz w:val="16"/>
          <w:szCs w:val="16"/>
        </w:rPr>
        <w:t>20</w:t>
      </w:r>
      <w:r w:rsidR="00CC1A1A" w:rsidRPr="00D83E2C">
        <w:rPr>
          <w:sz w:val="16"/>
          <w:szCs w:val="16"/>
        </w:rPr>
        <w:t xml:space="preserve"> tarihli finansal tabloları bulunduğu ülkedeki yasal mevzuata uygun olarak düzenlenmiştir.</w:t>
      </w:r>
    </w:p>
    <w:p w14:paraId="5FE7664E" w14:textId="2ABE0106" w:rsidR="006B4EDA" w:rsidRPr="00D83E2C" w:rsidRDefault="00D35A9A" w:rsidP="00B177D1">
      <w:pPr>
        <w:spacing w:line="214" w:lineRule="auto"/>
        <w:ind w:left="540" w:hanging="540"/>
        <w:jc w:val="both"/>
        <w:rPr>
          <w:sz w:val="16"/>
          <w:szCs w:val="16"/>
        </w:rPr>
      </w:pPr>
      <w:r w:rsidRPr="00D83E2C">
        <w:rPr>
          <w:sz w:val="16"/>
          <w:szCs w:val="16"/>
        </w:rPr>
        <w:t>(**)</w:t>
      </w:r>
      <w:r w:rsidRPr="00D83E2C">
        <w:rPr>
          <w:sz w:val="16"/>
          <w:szCs w:val="16"/>
        </w:rPr>
        <w:tab/>
        <w:t xml:space="preserve">Türk Ticaret Kanunu’na göre düzenlenmiş </w:t>
      </w:r>
      <w:r w:rsidR="009179A7" w:rsidRPr="00D83E2C">
        <w:rPr>
          <w:sz w:val="16"/>
          <w:szCs w:val="16"/>
        </w:rPr>
        <w:t xml:space="preserve">30 </w:t>
      </w:r>
      <w:r w:rsidR="00414788" w:rsidRPr="00D83E2C">
        <w:rPr>
          <w:sz w:val="16"/>
          <w:szCs w:val="16"/>
        </w:rPr>
        <w:t>Eylül</w:t>
      </w:r>
      <w:r w:rsidR="009179A7" w:rsidRPr="00D83E2C">
        <w:rPr>
          <w:sz w:val="16"/>
          <w:szCs w:val="16"/>
        </w:rPr>
        <w:t xml:space="preserve"> 2020</w:t>
      </w:r>
      <w:r w:rsidR="005C6CC3" w:rsidRPr="00D83E2C">
        <w:rPr>
          <w:sz w:val="16"/>
          <w:szCs w:val="16"/>
        </w:rPr>
        <w:t xml:space="preserve"> </w:t>
      </w:r>
      <w:r w:rsidRPr="00D83E2C">
        <w:rPr>
          <w:sz w:val="16"/>
          <w:szCs w:val="16"/>
        </w:rPr>
        <w:t>tarihli yasal finansal tablolardaki tutarlardır.</w:t>
      </w:r>
    </w:p>
    <w:p w14:paraId="0A7C5E18" w14:textId="216F267A" w:rsidR="0072712E" w:rsidRPr="00D83E2C" w:rsidRDefault="000F1B0D" w:rsidP="00EA239C">
      <w:pPr>
        <w:spacing w:line="214" w:lineRule="auto"/>
        <w:ind w:left="540" w:hanging="540"/>
        <w:jc w:val="both"/>
        <w:rPr>
          <w:sz w:val="16"/>
          <w:szCs w:val="16"/>
        </w:rPr>
      </w:pPr>
      <w:r w:rsidRPr="00D83E2C">
        <w:rPr>
          <w:sz w:val="16"/>
          <w:szCs w:val="16"/>
        </w:rPr>
        <w:t>(***)</w:t>
      </w:r>
      <w:r w:rsidRPr="00D83E2C">
        <w:rPr>
          <w:sz w:val="16"/>
          <w:szCs w:val="16"/>
        </w:rPr>
        <w:tab/>
        <w:t xml:space="preserve">KT Sukuk </w:t>
      </w:r>
      <w:proofErr w:type="spellStart"/>
      <w:r w:rsidRPr="00D83E2C">
        <w:rPr>
          <w:sz w:val="16"/>
          <w:szCs w:val="16"/>
        </w:rPr>
        <w:t>Company</w:t>
      </w:r>
      <w:proofErr w:type="spellEnd"/>
      <w:r w:rsidRPr="00D83E2C">
        <w:rPr>
          <w:sz w:val="16"/>
          <w:szCs w:val="16"/>
        </w:rPr>
        <w:t xml:space="preserve"> Limited </w:t>
      </w:r>
      <w:r w:rsidR="008619B9" w:rsidRPr="00D83E2C">
        <w:rPr>
          <w:sz w:val="16"/>
          <w:szCs w:val="16"/>
        </w:rPr>
        <w:t>31 Temmuz 2015</w:t>
      </w:r>
      <w:r w:rsidR="0081319E" w:rsidRPr="00D83E2C">
        <w:rPr>
          <w:sz w:val="16"/>
          <w:szCs w:val="16"/>
        </w:rPr>
        <w:t xml:space="preserve"> tarihinde Cayman</w:t>
      </w:r>
      <w:r w:rsidR="00921F53" w:rsidRPr="00D83E2C">
        <w:rPr>
          <w:sz w:val="16"/>
          <w:szCs w:val="16"/>
        </w:rPr>
        <w:t xml:space="preserve"> Adaları’n</w:t>
      </w:r>
      <w:r w:rsidRPr="00D83E2C">
        <w:rPr>
          <w:sz w:val="16"/>
          <w:szCs w:val="16"/>
        </w:rPr>
        <w:t xml:space="preserve">da </w:t>
      </w:r>
      <w:r w:rsidR="0081319E" w:rsidRPr="00D83E2C">
        <w:rPr>
          <w:sz w:val="16"/>
          <w:szCs w:val="16"/>
        </w:rPr>
        <w:t xml:space="preserve">Banka’nın ikinci </w:t>
      </w:r>
      <w:r w:rsidRPr="00D83E2C">
        <w:rPr>
          <w:sz w:val="16"/>
          <w:szCs w:val="16"/>
        </w:rPr>
        <w:t xml:space="preserve">sermaye benzeri kredi ihracı için kurulmuştur. TFRS 10’un ilgili maddeleri uyarınca </w:t>
      </w:r>
      <w:r w:rsidR="008619B9" w:rsidRPr="00D83E2C">
        <w:rPr>
          <w:sz w:val="16"/>
          <w:szCs w:val="16"/>
        </w:rPr>
        <w:t>bağlı ortaklık olarak nitelendirilmiştir.</w:t>
      </w:r>
    </w:p>
    <w:p w14:paraId="1AF45137" w14:textId="77777777" w:rsidR="00F548F1" w:rsidRPr="00270CE6" w:rsidRDefault="00F548F1" w:rsidP="00EA239C">
      <w:pPr>
        <w:spacing w:line="214" w:lineRule="auto"/>
        <w:ind w:left="540" w:hanging="540"/>
        <w:jc w:val="both"/>
        <w:rPr>
          <w:sz w:val="16"/>
          <w:szCs w:val="16"/>
          <w:highlight w:val="yellow"/>
        </w:rPr>
      </w:pPr>
    </w:p>
    <w:p w14:paraId="56BB6DE5" w14:textId="77777777" w:rsidR="00D73082" w:rsidRPr="00270CE6" w:rsidRDefault="00D73082" w:rsidP="00EA239C">
      <w:pPr>
        <w:spacing w:line="214" w:lineRule="auto"/>
        <w:ind w:left="540" w:hanging="540"/>
        <w:jc w:val="both"/>
        <w:rPr>
          <w:sz w:val="2"/>
          <w:szCs w:val="16"/>
          <w:highlight w:val="yellow"/>
        </w:rPr>
      </w:pPr>
    </w:p>
    <w:p w14:paraId="44E3BB73" w14:textId="77777777" w:rsidR="00BA637F" w:rsidRDefault="00BA637F">
      <w:pPr>
        <w:rPr>
          <w:bCs/>
          <w:iCs/>
          <w:sz w:val="18"/>
          <w:szCs w:val="18"/>
        </w:rPr>
      </w:pPr>
      <w:r>
        <w:rPr>
          <w:bCs/>
          <w:iCs/>
          <w:sz w:val="18"/>
          <w:szCs w:val="18"/>
        </w:rPr>
        <w:br w:type="page"/>
      </w:r>
    </w:p>
    <w:p w14:paraId="6F73CF1E" w14:textId="63EAE1C2" w:rsidR="006B4EDA" w:rsidRPr="00D83E2C" w:rsidRDefault="00E253C8" w:rsidP="00670EF3">
      <w:pPr>
        <w:rPr>
          <w:bCs/>
          <w:iCs/>
          <w:sz w:val="18"/>
          <w:szCs w:val="18"/>
        </w:rPr>
      </w:pPr>
      <w:r w:rsidRPr="00D83E2C">
        <w:rPr>
          <w:bCs/>
          <w:iCs/>
          <w:sz w:val="18"/>
          <w:szCs w:val="18"/>
        </w:rPr>
        <w:lastRenderedPageBreak/>
        <w:t>Bağlı ortaklıklara ilişkin hareket tablosu</w:t>
      </w:r>
    </w:p>
    <w:p w14:paraId="6039964F" w14:textId="1084AE1D" w:rsidR="00D83E2C" w:rsidRPr="00311DAB" w:rsidRDefault="00D83E2C" w:rsidP="004F702F">
      <w:pPr>
        <w:pStyle w:val="Heading1"/>
        <w:rPr>
          <w:b w:val="0"/>
          <w:bCs w:val="0"/>
          <w:sz w:val="20"/>
          <w:szCs w:val="20"/>
          <w:lang w:eastAsia="en-GB"/>
        </w:rPr>
      </w:pPr>
    </w:p>
    <w:tbl>
      <w:tblPr>
        <w:tblW w:w="9169" w:type="dxa"/>
        <w:tblCellMar>
          <w:left w:w="70" w:type="dxa"/>
          <w:right w:w="70" w:type="dxa"/>
        </w:tblCellMar>
        <w:tblLook w:val="04A0" w:firstRow="1" w:lastRow="0" w:firstColumn="1" w:lastColumn="0" w:noHBand="0" w:noVBand="1"/>
      </w:tblPr>
      <w:tblGrid>
        <w:gridCol w:w="6246"/>
        <w:gridCol w:w="1551"/>
        <w:gridCol w:w="1372"/>
      </w:tblGrid>
      <w:tr w:rsidR="00D83E2C" w:rsidRPr="00D83E2C" w14:paraId="4CCA1EE6" w14:textId="77777777" w:rsidTr="00BA637F">
        <w:trPr>
          <w:divId w:val="1466777107"/>
          <w:trHeight w:val="277"/>
        </w:trPr>
        <w:tc>
          <w:tcPr>
            <w:tcW w:w="6246" w:type="dxa"/>
            <w:tcBorders>
              <w:top w:val="double" w:sz="6" w:space="0" w:color="auto"/>
              <w:left w:val="nil"/>
              <w:bottom w:val="single" w:sz="8" w:space="0" w:color="auto"/>
              <w:right w:val="nil"/>
            </w:tcBorders>
            <w:shd w:val="clear" w:color="auto" w:fill="auto"/>
            <w:vAlign w:val="center"/>
            <w:hideMark/>
          </w:tcPr>
          <w:p w14:paraId="02901A1F" w14:textId="6B02A9D1" w:rsidR="00D83E2C" w:rsidRPr="00D83E2C" w:rsidRDefault="00D83E2C" w:rsidP="00D83E2C">
            <w:pPr>
              <w:jc w:val="center"/>
              <w:rPr>
                <w:sz w:val="18"/>
                <w:szCs w:val="18"/>
                <w:lang w:eastAsia="tr-TR"/>
              </w:rPr>
            </w:pPr>
            <w:r w:rsidRPr="00D83E2C">
              <w:rPr>
                <w:sz w:val="18"/>
                <w:szCs w:val="18"/>
                <w:lang w:eastAsia="tr-TR"/>
              </w:rPr>
              <w:t> </w:t>
            </w:r>
          </w:p>
        </w:tc>
        <w:tc>
          <w:tcPr>
            <w:tcW w:w="1551" w:type="dxa"/>
            <w:tcBorders>
              <w:top w:val="double" w:sz="6" w:space="0" w:color="auto"/>
              <w:left w:val="nil"/>
              <w:bottom w:val="single" w:sz="8" w:space="0" w:color="auto"/>
              <w:right w:val="nil"/>
            </w:tcBorders>
            <w:shd w:val="clear" w:color="auto" w:fill="auto"/>
            <w:vAlign w:val="center"/>
            <w:hideMark/>
          </w:tcPr>
          <w:p w14:paraId="6D46B7DA" w14:textId="77777777" w:rsidR="00D83E2C" w:rsidRPr="00D83E2C" w:rsidRDefault="00D83E2C" w:rsidP="00D83E2C">
            <w:pPr>
              <w:jc w:val="right"/>
              <w:rPr>
                <w:b/>
                <w:bCs/>
                <w:sz w:val="18"/>
                <w:szCs w:val="18"/>
                <w:lang w:eastAsia="tr-TR"/>
              </w:rPr>
            </w:pPr>
            <w:r w:rsidRPr="00D83E2C">
              <w:rPr>
                <w:b/>
                <w:bCs/>
                <w:sz w:val="18"/>
                <w:szCs w:val="18"/>
                <w:lang w:eastAsia="tr-TR"/>
              </w:rPr>
              <w:t>Cari Dönem</w:t>
            </w:r>
          </w:p>
        </w:tc>
        <w:tc>
          <w:tcPr>
            <w:tcW w:w="1372" w:type="dxa"/>
            <w:tcBorders>
              <w:top w:val="double" w:sz="6" w:space="0" w:color="auto"/>
              <w:left w:val="nil"/>
              <w:bottom w:val="single" w:sz="8" w:space="0" w:color="auto"/>
              <w:right w:val="nil"/>
            </w:tcBorders>
            <w:shd w:val="clear" w:color="auto" w:fill="auto"/>
            <w:vAlign w:val="center"/>
            <w:hideMark/>
          </w:tcPr>
          <w:p w14:paraId="4D0826ED" w14:textId="77777777" w:rsidR="00D83E2C" w:rsidRPr="00D83E2C" w:rsidRDefault="00D83E2C" w:rsidP="00D83E2C">
            <w:pPr>
              <w:jc w:val="right"/>
              <w:rPr>
                <w:b/>
                <w:bCs/>
                <w:sz w:val="18"/>
                <w:szCs w:val="18"/>
                <w:lang w:eastAsia="tr-TR"/>
              </w:rPr>
            </w:pPr>
            <w:r w:rsidRPr="00D83E2C">
              <w:rPr>
                <w:b/>
                <w:bCs/>
                <w:sz w:val="18"/>
                <w:szCs w:val="18"/>
                <w:lang w:eastAsia="tr-TR"/>
              </w:rPr>
              <w:t>Önceki Dönem</w:t>
            </w:r>
          </w:p>
        </w:tc>
      </w:tr>
      <w:tr w:rsidR="00D83E2C" w:rsidRPr="00D83E2C" w14:paraId="1DBD66E6"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01103E5E" w14:textId="77777777" w:rsidR="00D83E2C" w:rsidRPr="00D83E2C" w:rsidRDefault="00D83E2C" w:rsidP="00D83E2C">
            <w:pPr>
              <w:rPr>
                <w:b/>
                <w:bCs/>
                <w:sz w:val="16"/>
                <w:szCs w:val="16"/>
                <w:lang w:eastAsia="tr-TR"/>
              </w:rPr>
            </w:pPr>
            <w:r w:rsidRPr="00D83E2C">
              <w:rPr>
                <w:b/>
                <w:bCs/>
                <w:sz w:val="16"/>
                <w:szCs w:val="16"/>
                <w:lang w:eastAsia="tr-TR"/>
              </w:rPr>
              <w:t>Dönem başı değeri</w:t>
            </w:r>
          </w:p>
        </w:tc>
        <w:tc>
          <w:tcPr>
            <w:tcW w:w="1551" w:type="dxa"/>
            <w:tcBorders>
              <w:top w:val="nil"/>
              <w:left w:val="nil"/>
              <w:bottom w:val="nil"/>
              <w:right w:val="nil"/>
            </w:tcBorders>
            <w:shd w:val="clear" w:color="auto" w:fill="auto"/>
            <w:vAlign w:val="center"/>
            <w:hideMark/>
          </w:tcPr>
          <w:p w14:paraId="67354355" w14:textId="77777777" w:rsidR="00D83E2C" w:rsidRPr="00D83E2C" w:rsidRDefault="00D83E2C" w:rsidP="00D83E2C">
            <w:pPr>
              <w:jc w:val="right"/>
              <w:rPr>
                <w:b/>
                <w:bCs/>
                <w:sz w:val="18"/>
                <w:szCs w:val="18"/>
                <w:lang w:eastAsia="tr-TR"/>
              </w:rPr>
            </w:pPr>
            <w:r w:rsidRPr="00D83E2C">
              <w:rPr>
                <w:b/>
                <w:bCs/>
                <w:sz w:val="18"/>
                <w:szCs w:val="18"/>
                <w:lang w:eastAsia="tr-TR"/>
              </w:rPr>
              <w:t>544,853</w:t>
            </w:r>
          </w:p>
        </w:tc>
        <w:tc>
          <w:tcPr>
            <w:tcW w:w="1372" w:type="dxa"/>
            <w:tcBorders>
              <w:top w:val="nil"/>
              <w:left w:val="nil"/>
              <w:bottom w:val="nil"/>
              <w:right w:val="nil"/>
            </w:tcBorders>
            <w:shd w:val="clear" w:color="auto" w:fill="auto"/>
            <w:vAlign w:val="center"/>
            <w:hideMark/>
          </w:tcPr>
          <w:p w14:paraId="01651403" w14:textId="77777777" w:rsidR="00D83E2C" w:rsidRPr="00D83E2C" w:rsidRDefault="00D83E2C" w:rsidP="00D83E2C">
            <w:pPr>
              <w:jc w:val="right"/>
              <w:rPr>
                <w:b/>
                <w:bCs/>
                <w:sz w:val="18"/>
                <w:szCs w:val="18"/>
                <w:lang w:eastAsia="tr-TR"/>
              </w:rPr>
            </w:pPr>
            <w:r w:rsidRPr="00D83E2C">
              <w:rPr>
                <w:b/>
                <w:bCs/>
                <w:sz w:val="18"/>
                <w:szCs w:val="18"/>
                <w:lang w:eastAsia="tr-TR"/>
              </w:rPr>
              <w:t>522,950</w:t>
            </w:r>
          </w:p>
        </w:tc>
      </w:tr>
      <w:tr w:rsidR="00D83E2C" w:rsidRPr="00D83E2C" w14:paraId="2AE7EB40"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062134B1" w14:textId="77777777" w:rsidR="00D83E2C" w:rsidRPr="00D83E2C" w:rsidRDefault="00D83E2C" w:rsidP="00D83E2C">
            <w:pPr>
              <w:rPr>
                <w:sz w:val="16"/>
                <w:szCs w:val="16"/>
                <w:lang w:eastAsia="tr-TR"/>
              </w:rPr>
            </w:pPr>
            <w:r w:rsidRPr="00D83E2C">
              <w:rPr>
                <w:sz w:val="16"/>
                <w:szCs w:val="16"/>
                <w:lang w:eastAsia="tr-TR"/>
              </w:rPr>
              <w:t>Dönem içi hareketler</w:t>
            </w:r>
          </w:p>
        </w:tc>
        <w:tc>
          <w:tcPr>
            <w:tcW w:w="1551" w:type="dxa"/>
            <w:tcBorders>
              <w:top w:val="nil"/>
              <w:left w:val="nil"/>
              <w:bottom w:val="nil"/>
              <w:right w:val="nil"/>
            </w:tcBorders>
            <w:shd w:val="clear" w:color="auto" w:fill="auto"/>
            <w:vAlign w:val="center"/>
            <w:hideMark/>
          </w:tcPr>
          <w:p w14:paraId="42EF0C95" w14:textId="77777777" w:rsidR="00D83E2C" w:rsidRPr="00D83E2C" w:rsidRDefault="00D83E2C" w:rsidP="00D83E2C">
            <w:pPr>
              <w:jc w:val="right"/>
              <w:rPr>
                <w:sz w:val="18"/>
                <w:szCs w:val="18"/>
                <w:lang w:eastAsia="tr-TR"/>
              </w:rPr>
            </w:pPr>
            <w:r w:rsidRPr="00D83E2C">
              <w:rPr>
                <w:sz w:val="18"/>
                <w:szCs w:val="18"/>
                <w:lang w:eastAsia="tr-TR"/>
              </w:rPr>
              <w:t>916,162</w:t>
            </w:r>
          </w:p>
        </w:tc>
        <w:tc>
          <w:tcPr>
            <w:tcW w:w="1372" w:type="dxa"/>
            <w:tcBorders>
              <w:top w:val="nil"/>
              <w:left w:val="nil"/>
              <w:bottom w:val="nil"/>
              <w:right w:val="nil"/>
            </w:tcBorders>
            <w:shd w:val="clear" w:color="auto" w:fill="auto"/>
            <w:vAlign w:val="center"/>
            <w:hideMark/>
          </w:tcPr>
          <w:p w14:paraId="67C27AA5" w14:textId="77777777" w:rsidR="00D83E2C" w:rsidRPr="00D83E2C" w:rsidRDefault="00D83E2C" w:rsidP="00D83E2C">
            <w:pPr>
              <w:jc w:val="right"/>
              <w:rPr>
                <w:sz w:val="18"/>
                <w:szCs w:val="18"/>
                <w:lang w:eastAsia="tr-TR"/>
              </w:rPr>
            </w:pPr>
            <w:r w:rsidRPr="00D83E2C">
              <w:rPr>
                <w:sz w:val="18"/>
                <w:szCs w:val="18"/>
                <w:lang w:eastAsia="tr-TR"/>
              </w:rPr>
              <w:t>21,903</w:t>
            </w:r>
          </w:p>
        </w:tc>
      </w:tr>
      <w:tr w:rsidR="00D83E2C" w:rsidRPr="00D83E2C" w14:paraId="35F7C8EB"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1E38D1E4" w14:textId="77777777" w:rsidR="00D83E2C" w:rsidRPr="00D83E2C" w:rsidRDefault="00D83E2C" w:rsidP="00D83E2C">
            <w:pPr>
              <w:ind w:firstLineChars="100" w:firstLine="160"/>
              <w:rPr>
                <w:sz w:val="16"/>
                <w:szCs w:val="16"/>
                <w:lang w:eastAsia="tr-TR"/>
              </w:rPr>
            </w:pPr>
            <w:r w:rsidRPr="00D83E2C">
              <w:rPr>
                <w:sz w:val="16"/>
                <w:szCs w:val="16"/>
                <w:lang w:eastAsia="tr-TR"/>
              </w:rPr>
              <w:t>Alışlar (*)</w:t>
            </w:r>
          </w:p>
        </w:tc>
        <w:tc>
          <w:tcPr>
            <w:tcW w:w="1551" w:type="dxa"/>
            <w:tcBorders>
              <w:top w:val="nil"/>
              <w:left w:val="nil"/>
              <w:bottom w:val="nil"/>
              <w:right w:val="nil"/>
            </w:tcBorders>
            <w:shd w:val="clear" w:color="auto" w:fill="auto"/>
            <w:vAlign w:val="center"/>
            <w:hideMark/>
          </w:tcPr>
          <w:p w14:paraId="04D8D0ED" w14:textId="77777777" w:rsidR="00D83E2C" w:rsidRPr="00D83E2C" w:rsidRDefault="00D83E2C" w:rsidP="00D83E2C">
            <w:pPr>
              <w:jc w:val="right"/>
              <w:rPr>
                <w:sz w:val="18"/>
                <w:szCs w:val="18"/>
                <w:lang w:eastAsia="tr-TR"/>
              </w:rPr>
            </w:pPr>
            <w:r w:rsidRPr="00D83E2C">
              <w:rPr>
                <w:sz w:val="18"/>
                <w:szCs w:val="18"/>
                <w:lang w:eastAsia="tr-TR"/>
              </w:rPr>
              <w:t>916,162</w:t>
            </w:r>
          </w:p>
        </w:tc>
        <w:tc>
          <w:tcPr>
            <w:tcW w:w="1372" w:type="dxa"/>
            <w:tcBorders>
              <w:top w:val="nil"/>
              <w:left w:val="nil"/>
              <w:bottom w:val="nil"/>
              <w:right w:val="nil"/>
            </w:tcBorders>
            <w:shd w:val="clear" w:color="auto" w:fill="auto"/>
            <w:vAlign w:val="center"/>
            <w:hideMark/>
          </w:tcPr>
          <w:p w14:paraId="0CD3D750" w14:textId="77777777" w:rsidR="00D83E2C" w:rsidRPr="00D83E2C" w:rsidRDefault="00D83E2C" w:rsidP="00D83E2C">
            <w:pPr>
              <w:jc w:val="right"/>
              <w:rPr>
                <w:sz w:val="18"/>
                <w:szCs w:val="18"/>
                <w:lang w:eastAsia="tr-TR"/>
              </w:rPr>
            </w:pPr>
            <w:r w:rsidRPr="00D83E2C">
              <w:rPr>
                <w:sz w:val="18"/>
                <w:szCs w:val="18"/>
                <w:lang w:eastAsia="tr-TR"/>
              </w:rPr>
              <w:t>5,002</w:t>
            </w:r>
          </w:p>
        </w:tc>
      </w:tr>
      <w:tr w:rsidR="00D83E2C" w:rsidRPr="00D83E2C" w14:paraId="20CE4E31"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7DE3A354" w14:textId="77777777" w:rsidR="00D83E2C" w:rsidRPr="00D83E2C" w:rsidRDefault="00D83E2C" w:rsidP="00D83E2C">
            <w:pPr>
              <w:ind w:firstLineChars="100" w:firstLine="160"/>
              <w:rPr>
                <w:sz w:val="16"/>
                <w:szCs w:val="16"/>
                <w:lang w:eastAsia="tr-TR"/>
              </w:rPr>
            </w:pPr>
            <w:r w:rsidRPr="00D83E2C">
              <w:rPr>
                <w:sz w:val="16"/>
                <w:szCs w:val="16"/>
                <w:lang w:eastAsia="tr-TR"/>
              </w:rPr>
              <w:t>İştiraklerden transferler (net) (**)</w:t>
            </w:r>
          </w:p>
        </w:tc>
        <w:tc>
          <w:tcPr>
            <w:tcW w:w="1551" w:type="dxa"/>
            <w:tcBorders>
              <w:top w:val="nil"/>
              <w:left w:val="nil"/>
              <w:bottom w:val="nil"/>
              <w:right w:val="nil"/>
            </w:tcBorders>
            <w:shd w:val="clear" w:color="auto" w:fill="auto"/>
            <w:vAlign w:val="center"/>
            <w:hideMark/>
          </w:tcPr>
          <w:p w14:paraId="20FDC40E" w14:textId="77777777" w:rsidR="00D83E2C" w:rsidRPr="00D83E2C" w:rsidRDefault="00D83E2C" w:rsidP="00D83E2C">
            <w:pPr>
              <w:jc w:val="right"/>
              <w:rPr>
                <w:sz w:val="18"/>
                <w:szCs w:val="18"/>
                <w:lang w:eastAsia="tr-TR"/>
              </w:rPr>
            </w:pPr>
            <w:r w:rsidRPr="00D83E2C">
              <w:rPr>
                <w:sz w:val="18"/>
                <w:szCs w:val="18"/>
                <w:lang w:eastAsia="tr-TR"/>
              </w:rPr>
              <w:t>-</w:t>
            </w:r>
          </w:p>
        </w:tc>
        <w:tc>
          <w:tcPr>
            <w:tcW w:w="1372" w:type="dxa"/>
            <w:tcBorders>
              <w:top w:val="nil"/>
              <w:left w:val="nil"/>
              <w:bottom w:val="nil"/>
              <w:right w:val="nil"/>
            </w:tcBorders>
            <w:shd w:val="clear" w:color="auto" w:fill="auto"/>
            <w:vAlign w:val="center"/>
            <w:hideMark/>
          </w:tcPr>
          <w:p w14:paraId="42570E59" w14:textId="77777777" w:rsidR="00D83E2C" w:rsidRPr="00D83E2C" w:rsidRDefault="00D83E2C" w:rsidP="00D83E2C">
            <w:pPr>
              <w:jc w:val="right"/>
              <w:rPr>
                <w:sz w:val="18"/>
                <w:szCs w:val="18"/>
                <w:lang w:eastAsia="tr-TR"/>
              </w:rPr>
            </w:pPr>
            <w:r w:rsidRPr="00D83E2C">
              <w:rPr>
                <w:sz w:val="18"/>
                <w:szCs w:val="18"/>
                <w:lang w:eastAsia="tr-TR"/>
              </w:rPr>
              <w:t>16,901</w:t>
            </w:r>
          </w:p>
        </w:tc>
      </w:tr>
      <w:tr w:rsidR="00D83E2C" w:rsidRPr="00D83E2C" w14:paraId="27B1511B"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259A69D2" w14:textId="77777777" w:rsidR="00D83E2C" w:rsidRPr="00D83E2C" w:rsidRDefault="00D83E2C" w:rsidP="00D83E2C">
            <w:pPr>
              <w:ind w:firstLineChars="100" w:firstLine="160"/>
              <w:rPr>
                <w:sz w:val="16"/>
                <w:szCs w:val="16"/>
                <w:lang w:eastAsia="tr-TR"/>
              </w:rPr>
            </w:pPr>
            <w:r w:rsidRPr="00D83E2C">
              <w:rPr>
                <w:sz w:val="16"/>
                <w:szCs w:val="16"/>
                <w:lang w:eastAsia="tr-TR"/>
              </w:rPr>
              <w:t>Bedelsiz edinilen hisse senetleri</w:t>
            </w:r>
          </w:p>
        </w:tc>
        <w:tc>
          <w:tcPr>
            <w:tcW w:w="1551" w:type="dxa"/>
            <w:tcBorders>
              <w:top w:val="nil"/>
              <w:left w:val="nil"/>
              <w:bottom w:val="nil"/>
              <w:right w:val="nil"/>
            </w:tcBorders>
            <w:shd w:val="clear" w:color="auto" w:fill="auto"/>
            <w:vAlign w:val="center"/>
            <w:hideMark/>
          </w:tcPr>
          <w:p w14:paraId="2FDA63B9" w14:textId="77777777" w:rsidR="00D83E2C" w:rsidRPr="00D83E2C" w:rsidRDefault="00D83E2C" w:rsidP="00D83E2C">
            <w:pPr>
              <w:jc w:val="right"/>
              <w:rPr>
                <w:sz w:val="18"/>
                <w:szCs w:val="18"/>
                <w:lang w:eastAsia="tr-TR"/>
              </w:rPr>
            </w:pPr>
            <w:r w:rsidRPr="00D83E2C">
              <w:rPr>
                <w:sz w:val="18"/>
                <w:szCs w:val="18"/>
                <w:lang w:eastAsia="tr-TR"/>
              </w:rPr>
              <w:t>-</w:t>
            </w:r>
          </w:p>
        </w:tc>
        <w:tc>
          <w:tcPr>
            <w:tcW w:w="1372" w:type="dxa"/>
            <w:tcBorders>
              <w:top w:val="nil"/>
              <w:left w:val="nil"/>
              <w:bottom w:val="nil"/>
              <w:right w:val="nil"/>
            </w:tcBorders>
            <w:shd w:val="clear" w:color="auto" w:fill="auto"/>
            <w:vAlign w:val="center"/>
            <w:hideMark/>
          </w:tcPr>
          <w:p w14:paraId="68308027" w14:textId="77777777" w:rsidR="00D83E2C" w:rsidRPr="00D83E2C" w:rsidRDefault="00D83E2C" w:rsidP="00D83E2C">
            <w:pPr>
              <w:jc w:val="right"/>
              <w:rPr>
                <w:sz w:val="18"/>
                <w:szCs w:val="18"/>
                <w:lang w:eastAsia="tr-TR"/>
              </w:rPr>
            </w:pPr>
            <w:r w:rsidRPr="00D83E2C">
              <w:rPr>
                <w:sz w:val="18"/>
                <w:szCs w:val="18"/>
                <w:lang w:eastAsia="tr-TR"/>
              </w:rPr>
              <w:t>-</w:t>
            </w:r>
          </w:p>
        </w:tc>
      </w:tr>
      <w:tr w:rsidR="00D83E2C" w:rsidRPr="00D83E2C" w14:paraId="031A128B"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588132BA" w14:textId="77777777" w:rsidR="00D83E2C" w:rsidRPr="00D83E2C" w:rsidRDefault="00D83E2C" w:rsidP="00D83E2C">
            <w:pPr>
              <w:ind w:firstLineChars="100" w:firstLine="160"/>
              <w:rPr>
                <w:sz w:val="16"/>
                <w:szCs w:val="16"/>
                <w:lang w:eastAsia="tr-TR"/>
              </w:rPr>
            </w:pPr>
            <w:r w:rsidRPr="00D83E2C">
              <w:rPr>
                <w:sz w:val="16"/>
                <w:szCs w:val="16"/>
                <w:lang w:eastAsia="tr-TR"/>
              </w:rPr>
              <w:t>Cari yıl payından alınan kar</w:t>
            </w:r>
          </w:p>
        </w:tc>
        <w:tc>
          <w:tcPr>
            <w:tcW w:w="1551" w:type="dxa"/>
            <w:tcBorders>
              <w:top w:val="nil"/>
              <w:left w:val="nil"/>
              <w:bottom w:val="nil"/>
              <w:right w:val="nil"/>
            </w:tcBorders>
            <w:shd w:val="clear" w:color="auto" w:fill="auto"/>
            <w:vAlign w:val="center"/>
            <w:hideMark/>
          </w:tcPr>
          <w:p w14:paraId="6F83F311" w14:textId="77777777" w:rsidR="00D83E2C" w:rsidRPr="00D83E2C" w:rsidRDefault="00D83E2C" w:rsidP="00D83E2C">
            <w:pPr>
              <w:jc w:val="right"/>
              <w:rPr>
                <w:sz w:val="18"/>
                <w:szCs w:val="18"/>
                <w:lang w:eastAsia="tr-TR"/>
              </w:rPr>
            </w:pPr>
            <w:r w:rsidRPr="00D83E2C">
              <w:rPr>
                <w:sz w:val="18"/>
                <w:szCs w:val="18"/>
                <w:lang w:eastAsia="tr-TR"/>
              </w:rPr>
              <w:t>-</w:t>
            </w:r>
          </w:p>
        </w:tc>
        <w:tc>
          <w:tcPr>
            <w:tcW w:w="1372" w:type="dxa"/>
            <w:tcBorders>
              <w:top w:val="nil"/>
              <w:left w:val="nil"/>
              <w:bottom w:val="nil"/>
              <w:right w:val="nil"/>
            </w:tcBorders>
            <w:shd w:val="clear" w:color="auto" w:fill="auto"/>
            <w:vAlign w:val="center"/>
            <w:hideMark/>
          </w:tcPr>
          <w:p w14:paraId="3410C9CA" w14:textId="77777777" w:rsidR="00D83E2C" w:rsidRPr="00D83E2C" w:rsidRDefault="00D83E2C" w:rsidP="00D83E2C">
            <w:pPr>
              <w:jc w:val="right"/>
              <w:rPr>
                <w:sz w:val="18"/>
                <w:szCs w:val="18"/>
                <w:lang w:eastAsia="tr-TR"/>
              </w:rPr>
            </w:pPr>
            <w:r w:rsidRPr="00D83E2C">
              <w:rPr>
                <w:sz w:val="18"/>
                <w:szCs w:val="18"/>
                <w:lang w:eastAsia="tr-TR"/>
              </w:rPr>
              <w:t>-</w:t>
            </w:r>
          </w:p>
        </w:tc>
      </w:tr>
      <w:tr w:rsidR="00D83E2C" w:rsidRPr="00D83E2C" w14:paraId="100ABD73"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1A460EE7" w14:textId="77777777" w:rsidR="00D83E2C" w:rsidRPr="00D83E2C" w:rsidRDefault="00D83E2C" w:rsidP="00D83E2C">
            <w:pPr>
              <w:ind w:firstLineChars="100" w:firstLine="160"/>
              <w:rPr>
                <w:sz w:val="16"/>
                <w:szCs w:val="16"/>
                <w:lang w:eastAsia="tr-TR"/>
              </w:rPr>
            </w:pPr>
            <w:r w:rsidRPr="00D83E2C">
              <w:rPr>
                <w:sz w:val="16"/>
                <w:szCs w:val="16"/>
                <w:lang w:eastAsia="tr-TR"/>
              </w:rPr>
              <w:t xml:space="preserve">Satışlar </w:t>
            </w:r>
          </w:p>
        </w:tc>
        <w:tc>
          <w:tcPr>
            <w:tcW w:w="1551" w:type="dxa"/>
            <w:tcBorders>
              <w:top w:val="nil"/>
              <w:left w:val="nil"/>
              <w:bottom w:val="nil"/>
              <w:right w:val="nil"/>
            </w:tcBorders>
            <w:shd w:val="clear" w:color="auto" w:fill="auto"/>
            <w:vAlign w:val="center"/>
            <w:hideMark/>
          </w:tcPr>
          <w:p w14:paraId="0CB67470" w14:textId="77777777" w:rsidR="00D83E2C" w:rsidRPr="00D83E2C" w:rsidRDefault="00D83E2C" w:rsidP="00D83E2C">
            <w:pPr>
              <w:jc w:val="right"/>
              <w:rPr>
                <w:sz w:val="18"/>
                <w:szCs w:val="18"/>
                <w:lang w:eastAsia="tr-TR"/>
              </w:rPr>
            </w:pPr>
            <w:r w:rsidRPr="00D83E2C">
              <w:rPr>
                <w:sz w:val="18"/>
                <w:szCs w:val="18"/>
                <w:lang w:eastAsia="tr-TR"/>
              </w:rPr>
              <w:t>-</w:t>
            </w:r>
          </w:p>
        </w:tc>
        <w:tc>
          <w:tcPr>
            <w:tcW w:w="1372" w:type="dxa"/>
            <w:tcBorders>
              <w:top w:val="nil"/>
              <w:left w:val="nil"/>
              <w:bottom w:val="nil"/>
              <w:right w:val="nil"/>
            </w:tcBorders>
            <w:shd w:val="clear" w:color="auto" w:fill="auto"/>
            <w:vAlign w:val="center"/>
            <w:hideMark/>
          </w:tcPr>
          <w:p w14:paraId="4E9D9FDD" w14:textId="77777777" w:rsidR="00D83E2C" w:rsidRPr="00D83E2C" w:rsidRDefault="00D83E2C" w:rsidP="00D83E2C">
            <w:pPr>
              <w:jc w:val="right"/>
              <w:rPr>
                <w:sz w:val="18"/>
                <w:szCs w:val="18"/>
                <w:lang w:eastAsia="tr-TR"/>
              </w:rPr>
            </w:pPr>
            <w:r w:rsidRPr="00D83E2C">
              <w:rPr>
                <w:sz w:val="18"/>
                <w:szCs w:val="18"/>
                <w:lang w:eastAsia="tr-TR"/>
              </w:rPr>
              <w:t>-</w:t>
            </w:r>
          </w:p>
        </w:tc>
      </w:tr>
      <w:tr w:rsidR="00D83E2C" w:rsidRPr="00D83E2C" w14:paraId="4BDB0856"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0712A84B" w14:textId="77777777" w:rsidR="00D83E2C" w:rsidRPr="00D83E2C" w:rsidRDefault="00D83E2C" w:rsidP="00D83E2C">
            <w:pPr>
              <w:ind w:firstLineChars="100" w:firstLine="160"/>
              <w:rPr>
                <w:sz w:val="16"/>
                <w:szCs w:val="16"/>
                <w:lang w:eastAsia="tr-TR"/>
              </w:rPr>
            </w:pPr>
            <w:r w:rsidRPr="00D83E2C">
              <w:rPr>
                <w:sz w:val="16"/>
                <w:szCs w:val="16"/>
                <w:lang w:eastAsia="tr-TR"/>
              </w:rPr>
              <w:t>Yeniden değerleme artışı</w:t>
            </w:r>
          </w:p>
        </w:tc>
        <w:tc>
          <w:tcPr>
            <w:tcW w:w="1551" w:type="dxa"/>
            <w:tcBorders>
              <w:top w:val="nil"/>
              <w:left w:val="nil"/>
              <w:bottom w:val="nil"/>
              <w:right w:val="nil"/>
            </w:tcBorders>
            <w:shd w:val="clear" w:color="auto" w:fill="auto"/>
            <w:vAlign w:val="center"/>
            <w:hideMark/>
          </w:tcPr>
          <w:p w14:paraId="71CEEB9B" w14:textId="77777777" w:rsidR="00D83E2C" w:rsidRPr="00D83E2C" w:rsidRDefault="00D83E2C" w:rsidP="00D83E2C">
            <w:pPr>
              <w:jc w:val="right"/>
              <w:rPr>
                <w:sz w:val="18"/>
                <w:szCs w:val="18"/>
                <w:lang w:eastAsia="tr-TR"/>
              </w:rPr>
            </w:pPr>
            <w:r w:rsidRPr="00D83E2C">
              <w:rPr>
                <w:sz w:val="18"/>
                <w:szCs w:val="18"/>
                <w:lang w:eastAsia="tr-TR"/>
              </w:rPr>
              <w:t>-</w:t>
            </w:r>
          </w:p>
        </w:tc>
        <w:tc>
          <w:tcPr>
            <w:tcW w:w="1372" w:type="dxa"/>
            <w:tcBorders>
              <w:top w:val="nil"/>
              <w:left w:val="nil"/>
              <w:bottom w:val="nil"/>
              <w:right w:val="nil"/>
            </w:tcBorders>
            <w:shd w:val="clear" w:color="auto" w:fill="auto"/>
            <w:vAlign w:val="center"/>
            <w:hideMark/>
          </w:tcPr>
          <w:p w14:paraId="2A319983" w14:textId="77777777" w:rsidR="00D83E2C" w:rsidRPr="00D83E2C" w:rsidRDefault="00D83E2C" w:rsidP="00D83E2C">
            <w:pPr>
              <w:jc w:val="right"/>
              <w:rPr>
                <w:sz w:val="18"/>
                <w:szCs w:val="18"/>
                <w:lang w:eastAsia="tr-TR"/>
              </w:rPr>
            </w:pPr>
            <w:r w:rsidRPr="00D83E2C">
              <w:rPr>
                <w:sz w:val="18"/>
                <w:szCs w:val="18"/>
                <w:lang w:eastAsia="tr-TR"/>
              </w:rPr>
              <w:t>-</w:t>
            </w:r>
          </w:p>
        </w:tc>
      </w:tr>
      <w:tr w:rsidR="00D83E2C" w:rsidRPr="00D83E2C" w14:paraId="7AAE1EA6"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2CDBAB9A" w14:textId="77777777" w:rsidR="00D83E2C" w:rsidRPr="00D83E2C" w:rsidRDefault="00D83E2C" w:rsidP="00D83E2C">
            <w:pPr>
              <w:ind w:firstLineChars="100" w:firstLine="160"/>
              <w:rPr>
                <w:sz w:val="16"/>
                <w:szCs w:val="16"/>
                <w:lang w:eastAsia="tr-TR"/>
              </w:rPr>
            </w:pPr>
            <w:r w:rsidRPr="00D83E2C">
              <w:rPr>
                <w:sz w:val="16"/>
                <w:szCs w:val="16"/>
                <w:lang w:eastAsia="tr-TR"/>
              </w:rPr>
              <w:t xml:space="preserve">Değer azalma karşılıkları </w:t>
            </w:r>
          </w:p>
        </w:tc>
        <w:tc>
          <w:tcPr>
            <w:tcW w:w="1551" w:type="dxa"/>
            <w:tcBorders>
              <w:top w:val="nil"/>
              <w:left w:val="nil"/>
              <w:bottom w:val="nil"/>
              <w:right w:val="nil"/>
            </w:tcBorders>
            <w:shd w:val="clear" w:color="auto" w:fill="auto"/>
            <w:vAlign w:val="center"/>
            <w:hideMark/>
          </w:tcPr>
          <w:p w14:paraId="0252FD0E" w14:textId="77777777" w:rsidR="00D83E2C" w:rsidRPr="00D83E2C" w:rsidRDefault="00D83E2C" w:rsidP="00D83E2C">
            <w:pPr>
              <w:jc w:val="right"/>
              <w:rPr>
                <w:sz w:val="18"/>
                <w:szCs w:val="18"/>
                <w:lang w:eastAsia="tr-TR"/>
              </w:rPr>
            </w:pPr>
            <w:r w:rsidRPr="00D83E2C">
              <w:rPr>
                <w:sz w:val="18"/>
                <w:szCs w:val="18"/>
                <w:lang w:eastAsia="tr-TR"/>
              </w:rPr>
              <w:t>-</w:t>
            </w:r>
          </w:p>
        </w:tc>
        <w:tc>
          <w:tcPr>
            <w:tcW w:w="1372" w:type="dxa"/>
            <w:tcBorders>
              <w:top w:val="nil"/>
              <w:left w:val="nil"/>
              <w:bottom w:val="nil"/>
              <w:right w:val="nil"/>
            </w:tcBorders>
            <w:shd w:val="clear" w:color="auto" w:fill="auto"/>
            <w:vAlign w:val="center"/>
            <w:hideMark/>
          </w:tcPr>
          <w:p w14:paraId="44C2A7DA" w14:textId="77777777" w:rsidR="00D83E2C" w:rsidRPr="00D83E2C" w:rsidRDefault="00D83E2C" w:rsidP="00D83E2C">
            <w:pPr>
              <w:jc w:val="right"/>
              <w:rPr>
                <w:sz w:val="18"/>
                <w:szCs w:val="18"/>
                <w:lang w:eastAsia="tr-TR"/>
              </w:rPr>
            </w:pPr>
            <w:r w:rsidRPr="00D83E2C">
              <w:rPr>
                <w:sz w:val="18"/>
                <w:szCs w:val="18"/>
                <w:lang w:eastAsia="tr-TR"/>
              </w:rPr>
              <w:t>-</w:t>
            </w:r>
          </w:p>
        </w:tc>
      </w:tr>
      <w:tr w:rsidR="00D83E2C" w:rsidRPr="00D83E2C" w14:paraId="1C848F95"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04DACFF4" w14:textId="77777777" w:rsidR="00D83E2C" w:rsidRPr="00D83E2C" w:rsidRDefault="00D83E2C" w:rsidP="00D83E2C">
            <w:pPr>
              <w:ind w:firstLineChars="100" w:firstLine="160"/>
              <w:rPr>
                <w:sz w:val="16"/>
                <w:szCs w:val="16"/>
                <w:lang w:eastAsia="tr-TR"/>
              </w:rPr>
            </w:pPr>
            <w:r w:rsidRPr="00D83E2C">
              <w:rPr>
                <w:sz w:val="16"/>
                <w:szCs w:val="16"/>
                <w:lang w:eastAsia="tr-TR"/>
              </w:rPr>
              <w:t>Sermaye taahhüt ödemeleri</w:t>
            </w:r>
          </w:p>
        </w:tc>
        <w:tc>
          <w:tcPr>
            <w:tcW w:w="1551" w:type="dxa"/>
            <w:tcBorders>
              <w:top w:val="nil"/>
              <w:left w:val="nil"/>
              <w:bottom w:val="nil"/>
              <w:right w:val="nil"/>
            </w:tcBorders>
            <w:shd w:val="clear" w:color="auto" w:fill="auto"/>
            <w:vAlign w:val="center"/>
            <w:hideMark/>
          </w:tcPr>
          <w:p w14:paraId="59686AAD" w14:textId="77777777" w:rsidR="00D83E2C" w:rsidRPr="00D83E2C" w:rsidRDefault="00D83E2C" w:rsidP="00D83E2C">
            <w:pPr>
              <w:jc w:val="right"/>
              <w:rPr>
                <w:sz w:val="18"/>
                <w:szCs w:val="18"/>
                <w:lang w:eastAsia="tr-TR"/>
              </w:rPr>
            </w:pPr>
            <w:r w:rsidRPr="00D83E2C">
              <w:rPr>
                <w:sz w:val="18"/>
                <w:szCs w:val="18"/>
                <w:lang w:eastAsia="tr-TR"/>
              </w:rPr>
              <w:t>-</w:t>
            </w:r>
          </w:p>
        </w:tc>
        <w:tc>
          <w:tcPr>
            <w:tcW w:w="1372" w:type="dxa"/>
            <w:tcBorders>
              <w:top w:val="nil"/>
              <w:left w:val="nil"/>
              <w:bottom w:val="nil"/>
              <w:right w:val="nil"/>
            </w:tcBorders>
            <w:shd w:val="clear" w:color="auto" w:fill="auto"/>
            <w:vAlign w:val="center"/>
            <w:hideMark/>
          </w:tcPr>
          <w:p w14:paraId="15D1610B" w14:textId="77777777" w:rsidR="00D83E2C" w:rsidRPr="00D83E2C" w:rsidRDefault="00D83E2C" w:rsidP="00D83E2C">
            <w:pPr>
              <w:jc w:val="right"/>
              <w:rPr>
                <w:sz w:val="18"/>
                <w:szCs w:val="18"/>
                <w:lang w:eastAsia="tr-TR"/>
              </w:rPr>
            </w:pPr>
            <w:r w:rsidRPr="00D83E2C">
              <w:rPr>
                <w:sz w:val="18"/>
                <w:szCs w:val="18"/>
                <w:lang w:eastAsia="tr-TR"/>
              </w:rPr>
              <w:t>-</w:t>
            </w:r>
          </w:p>
        </w:tc>
      </w:tr>
      <w:tr w:rsidR="00D83E2C" w:rsidRPr="00D83E2C" w14:paraId="42F07089"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2484FD87" w14:textId="77777777" w:rsidR="00D83E2C" w:rsidRPr="00D83E2C" w:rsidRDefault="00D83E2C" w:rsidP="00D83E2C">
            <w:pPr>
              <w:rPr>
                <w:b/>
                <w:bCs/>
                <w:sz w:val="16"/>
                <w:szCs w:val="16"/>
                <w:lang w:eastAsia="tr-TR"/>
              </w:rPr>
            </w:pPr>
            <w:r w:rsidRPr="00D83E2C">
              <w:rPr>
                <w:b/>
                <w:bCs/>
                <w:sz w:val="16"/>
                <w:szCs w:val="16"/>
                <w:lang w:eastAsia="tr-TR"/>
              </w:rPr>
              <w:t>Dönem sonu değeri</w:t>
            </w:r>
          </w:p>
        </w:tc>
        <w:tc>
          <w:tcPr>
            <w:tcW w:w="1551" w:type="dxa"/>
            <w:tcBorders>
              <w:top w:val="nil"/>
              <w:left w:val="nil"/>
              <w:bottom w:val="nil"/>
              <w:right w:val="nil"/>
            </w:tcBorders>
            <w:shd w:val="clear" w:color="auto" w:fill="auto"/>
            <w:vAlign w:val="center"/>
            <w:hideMark/>
          </w:tcPr>
          <w:p w14:paraId="1CFEF8F0" w14:textId="77777777" w:rsidR="00D83E2C" w:rsidRPr="00D83E2C" w:rsidRDefault="00D83E2C" w:rsidP="00D83E2C">
            <w:pPr>
              <w:jc w:val="right"/>
              <w:rPr>
                <w:b/>
                <w:bCs/>
                <w:sz w:val="18"/>
                <w:szCs w:val="18"/>
                <w:lang w:eastAsia="tr-TR"/>
              </w:rPr>
            </w:pPr>
            <w:r w:rsidRPr="00D83E2C">
              <w:rPr>
                <w:b/>
                <w:bCs/>
                <w:sz w:val="18"/>
                <w:szCs w:val="18"/>
                <w:lang w:eastAsia="tr-TR"/>
              </w:rPr>
              <w:t>1,461,015</w:t>
            </w:r>
          </w:p>
        </w:tc>
        <w:tc>
          <w:tcPr>
            <w:tcW w:w="1372" w:type="dxa"/>
            <w:tcBorders>
              <w:top w:val="nil"/>
              <w:left w:val="nil"/>
              <w:bottom w:val="nil"/>
              <w:right w:val="nil"/>
            </w:tcBorders>
            <w:shd w:val="clear" w:color="auto" w:fill="auto"/>
            <w:vAlign w:val="center"/>
            <w:hideMark/>
          </w:tcPr>
          <w:p w14:paraId="7CA0E14E" w14:textId="77777777" w:rsidR="00D83E2C" w:rsidRPr="00D83E2C" w:rsidRDefault="00D83E2C" w:rsidP="00D83E2C">
            <w:pPr>
              <w:jc w:val="right"/>
              <w:rPr>
                <w:b/>
                <w:bCs/>
                <w:sz w:val="18"/>
                <w:szCs w:val="18"/>
                <w:lang w:eastAsia="tr-TR"/>
              </w:rPr>
            </w:pPr>
            <w:r w:rsidRPr="00D83E2C">
              <w:rPr>
                <w:b/>
                <w:bCs/>
                <w:sz w:val="18"/>
                <w:szCs w:val="18"/>
                <w:lang w:eastAsia="tr-TR"/>
              </w:rPr>
              <w:t>544,853</w:t>
            </w:r>
          </w:p>
        </w:tc>
      </w:tr>
      <w:tr w:rsidR="00D83E2C" w:rsidRPr="00D83E2C" w14:paraId="755E3952"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1D1A13B6" w14:textId="77777777" w:rsidR="00D83E2C" w:rsidRPr="00D83E2C" w:rsidRDefault="00D83E2C" w:rsidP="00D83E2C">
            <w:pPr>
              <w:rPr>
                <w:sz w:val="16"/>
                <w:szCs w:val="16"/>
                <w:lang w:eastAsia="tr-TR"/>
              </w:rPr>
            </w:pPr>
            <w:r w:rsidRPr="00D83E2C">
              <w:rPr>
                <w:sz w:val="16"/>
                <w:szCs w:val="16"/>
                <w:lang w:eastAsia="tr-TR"/>
              </w:rPr>
              <w:t xml:space="preserve">Sermaye taahhütleri </w:t>
            </w:r>
          </w:p>
        </w:tc>
        <w:tc>
          <w:tcPr>
            <w:tcW w:w="1551" w:type="dxa"/>
            <w:tcBorders>
              <w:top w:val="nil"/>
              <w:left w:val="nil"/>
              <w:bottom w:val="nil"/>
              <w:right w:val="nil"/>
            </w:tcBorders>
            <w:shd w:val="clear" w:color="auto" w:fill="auto"/>
            <w:vAlign w:val="center"/>
            <w:hideMark/>
          </w:tcPr>
          <w:p w14:paraId="0C72DBBA" w14:textId="77777777" w:rsidR="00D83E2C" w:rsidRPr="00D83E2C" w:rsidRDefault="00D83E2C" w:rsidP="00D83E2C">
            <w:pPr>
              <w:jc w:val="right"/>
              <w:rPr>
                <w:sz w:val="18"/>
                <w:szCs w:val="18"/>
                <w:lang w:eastAsia="tr-TR"/>
              </w:rPr>
            </w:pPr>
            <w:r w:rsidRPr="00D83E2C">
              <w:rPr>
                <w:sz w:val="18"/>
                <w:szCs w:val="18"/>
                <w:lang w:eastAsia="tr-TR"/>
              </w:rPr>
              <w:t>-</w:t>
            </w:r>
          </w:p>
        </w:tc>
        <w:tc>
          <w:tcPr>
            <w:tcW w:w="1372" w:type="dxa"/>
            <w:tcBorders>
              <w:top w:val="nil"/>
              <w:left w:val="nil"/>
              <w:bottom w:val="nil"/>
              <w:right w:val="nil"/>
            </w:tcBorders>
            <w:shd w:val="clear" w:color="auto" w:fill="auto"/>
            <w:vAlign w:val="center"/>
            <w:hideMark/>
          </w:tcPr>
          <w:p w14:paraId="2D64214C" w14:textId="77777777" w:rsidR="00D83E2C" w:rsidRPr="00D83E2C" w:rsidRDefault="00D83E2C" w:rsidP="00D83E2C">
            <w:pPr>
              <w:jc w:val="right"/>
              <w:rPr>
                <w:sz w:val="18"/>
                <w:szCs w:val="18"/>
                <w:lang w:eastAsia="tr-TR"/>
              </w:rPr>
            </w:pPr>
            <w:r w:rsidRPr="00D83E2C">
              <w:rPr>
                <w:sz w:val="18"/>
                <w:szCs w:val="18"/>
                <w:lang w:eastAsia="tr-TR"/>
              </w:rPr>
              <w:t>-</w:t>
            </w:r>
          </w:p>
        </w:tc>
      </w:tr>
      <w:tr w:rsidR="00D83E2C" w:rsidRPr="00D83E2C" w14:paraId="36801717" w14:textId="77777777" w:rsidTr="00BA637F">
        <w:trPr>
          <w:divId w:val="1466777107"/>
          <w:trHeight w:val="231"/>
        </w:trPr>
        <w:tc>
          <w:tcPr>
            <w:tcW w:w="6246" w:type="dxa"/>
            <w:tcBorders>
              <w:top w:val="nil"/>
              <w:left w:val="nil"/>
              <w:bottom w:val="nil"/>
              <w:right w:val="nil"/>
            </w:tcBorders>
            <w:shd w:val="clear" w:color="auto" w:fill="auto"/>
            <w:noWrap/>
            <w:vAlign w:val="center"/>
            <w:hideMark/>
          </w:tcPr>
          <w:p w14:paraId="3ACA0164" w14:textId="77777777" w:rsidR="00D83E2C" w:rsidRPr="00D83E2C" w:rsidRDefault="00D83E2C" w:rsidP="00D83E2C">
            <w:pPr>
              <w:rPr>
                <w:sz w:val="16"/>
                <w:szCs w:val="16"/>
                <w:lang w:eastAsia="tr-TR"/>
              </w:rPr>
            </w:pPr>
            <w:r w:rsidRPr="00D83E2C">
              <w:rPr>
                <w:sz w:val="16"/>
                <w:szCs w:val="16"/>
                <w:lang w:eastAsia="tr-TR"/>
              </w:rPr>
              <w:t>Dönem sonu sermaye katılma payı (%)</w:t>
            </w:r>
          </w:p>
        </w:tc>
        <w:tc>
          <w:tcPr>
            <w:tcW w:w="1551" w:type="dxa"/>
            <w:tcBorders>
              <w:top w:val="nil"/>
              <w:left w:val="nil"/>
              <w:bottom w:val="nil"/>
              <w:right w:val="nil"/>
            </w:tcBorders>
            <w:shd w:val="clear" w:color="auto" w:fill="auto"/>
            <w:vAlign w:val="center"/>
            <w:hideMark/>
          </w:tcPr>
          <w:p w14:paraId="72A423E1" w14:textId="77777777" w:rsidR="00D83E2C" w:rsidRPr="00D83E2C" w:rsidRDefault="00D83E2C" w:rsidP="00D83E2C">
            <w:pPr>
              <w:jc w:val="right"/>
              <w:rPr>
                <w:sz w:val="18"/>
                <w:szCs w:val="18"/>
                <w:lang w:eastAsia="tr-TR"/>
              </w:rPr>
            </w:pPr>
            <w:r w:rsidRPr="00D83E2C">
              <w:rPr>
                <w:sz w:val="18"/>
                <w:szCs w:val="18"/>
                <w:lang w:eastAsia="tr-TR"/>
              </w:rPr>
              <w:t>-</w:t>
            </w:r>
          </w:p>
        </w:tc>
        <w:tc>
          <w:tcPr>
            <w:tcW w:w="1372" w:type="dxa"/>
            <w:tcBorders>
              <w:top w:val="nil"/>
              <w:left w:val="nil"/>
              <w:bottom w:val="nil"/>
              <w:right w:val="nil"/>
            </w:tcBorders>
            <w:shd w:val="clear" w:color="auto" w:fill="auto"/>
            <w:vAlign w:val="center"/>
            <w:hideMark/>
          </w:tcPr>
          <w:p w14:paraId="1E0164AE" w14:textId="77777777" w:rsidR="00D83E2C" w:rsidRPr="00D83E2C" w:rsidRDefault="00D83E2C" w:rsidP="00D83E2C">
            <w:pPr>
              <w:jc w:val="right"/>
              <w:rPr>
                <w:sz w:val="18"/>
                <w:szCs w:val="18"/>
                <w:lang w:eastAsia="tr-TR"/>
              </w:rPr>
            </w:pPr>
            <w:r w:rsidRPr="00D83E2C">
              <w:rPr>
                <w:sz w:val="18"/>
                <w:szCs w:val="18"/>
                <w:lang w:eastAsia="tr-TR"/>
              </w:rPr>
              <w:t>-</w:t>
            </w:r>
          </w:p>
        </w:tc>
      </w:tr>
    </w:tbl>
    <w:p w14:paraId="15A51FB4" w14:textId="2726A495" w:rsidR="004F702F" w:rsidRPr="00270CE6" w:rsidRDefault="004F702F" w:rsidP="004F702F">
      <w:pPr>
        <w:pStyle w:val="Heading1"/>
        <w:rPr>
          <w:highlight w:val="yellow"/>
          <w:lang w:val="en-GB" w:eastAsia="en-GB"/>
        </w:rPr>
      </w:pPr>
    </w:p>
    <w:p w14:paraId="457C15FD" w14:textId="77EF65E0" w:rsidR="00932FED" w:rsidRPr="00270CE6" w:rsidRDefault="00932FED">
      <w:pPr>
        <w:spacing w:line="214" w:lineRule="auto"/>
        <w:ind w:left="540" w:hanging="540"/>
        <w:rPr>
          <w:bCs/>
          <w:iCs/>
          <w:sz w:val="2"/>
          <w:szCs w:val="16"/>
          <w:highlight w:val="yellow"/>
        </w:rPr>
      </w:pPr>
    </w:p>
    <w:p w14:paraId="559C5F2A" w14:textId="77777777" w:rsidR="00C06B27" w:rsidRPr="006D71DD" w:rsidRDefault="00C06B27" w:rsidP="00C06B27">
      <w:pPr>
        <w:spacing w:line="214" w:lineRule="auto"/>
        <w:ind w:left="540" w:hanging="540"/>
        <w:jc w:val="both"/>
        <w:rPr>
          <w:sz w:val="16"/>
          <w:szCs w:val="16"/>
        </w:rPr>
      </w:pPr>
      <w:r w:rsidRPr="006D71DD">
        <w:rPr>
          <w:sz w:val="16"/>
          <w:szCs w:val="16"/>
        </w:rPr>
        <w:t xml:space="preserve">(*)          Banka’nın bağlı ortaklığı olan KT Bank AG.’ </w:t>
      </w:r>
      <w:proofErr w:type="spellStart"/>
      <w:r w:rsidRPr="006D71DD">
        <w:rPr>
          <w:sz w:val="16"/>
          <w:szCs w:val="16"/>
        </w:rPr>
        <w:t>nin</w:t>
      </w:r>
      <w:proofErr w:type="spellEnd"/>
      <w:r w:rsidRPr="006D71DD">
        <w:rPr>
          <w:sz w:val="16"/>
          <w:szCs w:val="16"/>
        </w:rPr>
        <w:t xml:space="preserve"> 115,000,000 EUR (tam tutar) olan sermayesi 22 Ocak 2020 tarihinde 25,000,000 EUR (tam tutar) arttırılarak 140,000,000 EUR’ a (tam tutar) yükseltilmiştir.  </w:t>
      </w:r>
    </w:p>
    <w:p w14:paraId="3281C0F5" w14:textId="5E034546" w:rsidR="00DA2684" w:rsidRPr="006D71DD" w:rsidRDefault="00DA2684" w:rsidP="00DA2684">
      <w:pPr>
        <w:spacing w:line="214" w:lineRule="auto"/>
        <w:ind w:left="540"/>
        <w:jc w:val="both"/>
        <w:rPr>
          <w:sz w:val="16"/>
          <w:szCs w:val="16"/>
        </w:rPr>
      </w:pPr>
      <w:r w:rsidRPr="006D71DD">
        <w:rPr>
          <w:sz w:val="16"/>
          <w:szCs w:val="16"/>
        </w:rPr>
        <w:t xml:space="preserve">Banka, 05/05/2020 itibarıyla gerekli yasal izinlerin alınmasına müteakip, </w:t>
      </w:r>
      <w:proofErr w:type="spellStart"/>
      <w:r w:rsidRPr="006D71DD">
        <w:rPr>
          <w:sz w:val="16"/>
          <w:szCs w:val="16"/>
        </w:rPr>
        <w:t>Neova</w:t>
      </w:r>
      <w:proofErr w:type="spellEnd"/>
      <w:r w:rsidRPr="006D71DD">
        <w:rPr>
          <w:sz w:val="16"/>
          <w:szCs w:val="16"/>
        </w:rPr>
        <w:t xml:space="preserve"> Sigorta A.Ş. pay devir işlemlerini tamamlayarak satın alma işlemini sonuçlandırmıştır. Satın alma işlemi ile 78,864,212 adet payı 745,860 TL ödeyerek satın almış ve satış öncesi %7 olan </w:t>
      </w:r>
      <w:proofErr w:type="spellStart"/>
      <w:r w:rsidRPr="006D71DD">
        <w:rPr>
          <w:sz w:val="16"/>
          <w:szCs w:val="16"/>
        </w:rPr>
        <w:t>Neova</w:t>
      </w:r>
      <w:proofErr w:type="spellEnd"/>
      <w:r w:rsidRPr="006D71DD">
        <w:rPr>
          <w:sz w:val="16"/>
          <w:szCs w:val="16"/>
        </w:rPr>
        <w:t xml:space="preserve"> Sigorta A.Ş. ortaklık payını tüm hisselere sahip olarak %100’ e çıkarmıştır.</w:t>
      </w:r>
    </w:p>
    <w:p w14:paraId="110AD968" w14:textId="596D40F9" w:rsidR="004F702F" w:rsidRPr="006D71DD" w:rsidRDefault="00C06B27" w:rsidP="00C0549A">
      <w:pPr>
        <w:spacing w:line="214" w:lineRule="auto"/>
        <w:ind w:left="540" w:hanging="540"/>
        <w:jc w:val="both"/>
        <w:rPr>
          <w:sz w:val="16"/>
          <w:szCs w:val="16"/>
        </w:rPr>
      </w:pPr>
      <w:r w:rsidRPr="006D71DD">
        <w:rPr>
          <w:sz w:val="16"/>
          <w:szCs w:val="16"/>
        </w:rPr>
        <w:t>(**</w:t>
      </w:r>
      <w:proofErr w:type="gramStart"/>
      <w:r w:rsidRPr="006D71DD">
        <w:rPr>
          <w:sz w:val="16"/>
          <w:szCs w:val="16"/>
        </w:rPr>
        <w:t xml:space="preserve">)  </w:t>
      </w:r>
      <w:r w:rsidRPr="006D71DD">
        <w:rPr>
          <w:sz w:val="16"/>
          <w:szCs w:val="16"/>
        </w:rPr>
        <w:tab/>
      </w:r>
      <w:proofErr w:type="gramEnd"/>
      <w:r w:rsidRPr="006D71DD">
        <w:rPr>
          <w:sz w:val="16"/>
          <w:szCs w:val="16"/>
        </w:rPr>
        <w:t>Banka, KT Portföy Yönetimi A.Ş.’</w:t>
      </w:r>
      <w:proofErr w:type="spellStart"/>
      <w:r w:rsidRPr="006D71DD">
        <w:rPr>
          <w:sz w:val="16"/>
          <w:szCs w:val="16"/>
        </w:rPr>
        <w:t>nin</w:t>
      </w:r>
      <w:proofErr w:type="spellEnd"/>
      <w:r w:rsidRPr="006D71DD">
        <w:rPr>
          <w:sz w:val="16"/>
          <w:szCs w:val="16"/>
        </w:rPr>
        <w:t xml:space="preserve"> 20 Temmuz 2018 tarihinde KFH Capital </w:t>
      </w:r>
      <w:proofErr w:type="spellStart"/>
      <w:r w:rsidRPr="006D71DD">
        <w:rPr>
          <w:sz w:val="16"/>
          <w:szCs w:val="16"/>
        </w:rPr>
        <w:t>Investment</w:t>
      </w:r>
      <w:proofErr w:type="spellEnd"/>
      <w:r w:rsidRPr="006D71DD">
        <w:rPr>
          <w:sz w:val="16"/>
          <w:szCs w:val="16"/>
        </w:rPr>
        <w:t xml:space="preserve"> </w:t>
      </w:r>
      <w:proofErr w:type="spellStart"/>
      <w:r w:rsidRPr="006D71DD">
        <w:rPr>
          <w:sz w:val="16"/>
          <w:szCs w:val="16"/>
        </w:rPr>
        <w:t>Company</w:t>
      </w:r>
      <w:proofErr w:type="spellEnd"/>
      <w:r w:rsidRPr="006D71DD">
        <w:rPr>
          <w:sz w:val="16"/>
          <w:szCs w:val="16"/>
        </w:rPr>
        <w:t xml:space="preserve"> firmasına devrettiği %50 hissesini 16,901 TL bedel ile 2 Nisan 2019 tarihinde geri almıştır. Bu işlem neticesinde KT Portföy Yönetimi </w:t>
      </w:r>
      <w:proofErr w:type="spellStart"/>
      <w:r w:rsidRPr="006D71DD">
        <w:rPr>
          <w:sz w:val="16"/>
          <w:szCs w:val="16"/>
        </w:rPr>
        <w:t>A.Ş.’ye</w:t>
      </w:r>
      <w:proofErr w:type="spellEnd"/>
      <w:r w:rsidRPr="006D71DD">
        <w:rPr>
          <w:sz w:val="16"/>
          <w:szCs w:val="16"/>
        </w:rPr>
        <w:t xml:space="preserve"> ait tüm bakiye bağlı ortaklıklar satırına taşınmıştır. </w:t>
      </w:r>
    </w:p>
    <w:p w14:paraId="68798329" w14:textId="77777777" w:rsidR="001025E0" w:rsidRPr="00D83E2C" w:rsidRDefault="00E253C8" w:rsidP="001025E0">
      <w:pPr>
        <w:rPr>
          <w:bCs/>
        </w:rPr>
      </w:pPr>
      <w:r w:rsidRPr="00D83E2C">
        <w:rPr>
          <w:bCs/>
        </w:rPr>
        <w:t>Konsolide edilen bağlı ortaklıklara ilişkin sektör bilgileri ve bunlara ilişkin kayıtlı tutarlar:</w:t>
      </w:r>
    </w:p>
    <w:p w14:paraId="181EA34F" w14:textId="166D3DFA" w:rsidR="00D83E2C" w:rsidRPr="00311DAB" w:rsidRDefault="00D83E2C" w:rsidP="003F30A2">
      <w:pPr>
        <w:rPr>
          <w:lang w:eastAsia="en-GB"/>
        </w:rPr>
      </w:pPr>
    </w:p>
    <w:tbl>
      <w:tblPr>
        <w:tblW w:w="9223" w:type="dxa"/>
        <w:tblCellMar>
          <w:left w:w="70" w:type="dxa"/>
          <w:right w:w="70" w:type="dxa"/>
        </w:tblCellMar>
        <w:tblLook w:val="04A0" w:firstRow="1" w:lastRow="0" w:firstColumn="1" w:lastColumn="0" w:noHBand="0" w:noVBand="1"/>
      </w:tblPr>
      <w:tblGrid>
        <w:gridCol w:w="6521"/>
        <w:gridCol w:w="1316"/>
        <w:gridCol w:w="1386"/>
      </w:tblGrid>
      <w:tr w:rsidR="00D83E2C" w:rsidRPr="00D83E2C" w14:paraId="133B2454" w14:textId="77777777" w:rsidTr="00BA637F">
        <w:trPr>
          <w:divId w:val="885801914"/>
          <w:trHeight w:val="270"/>
        </w:trPr>
        <w:tc>
          <w:tcPr>
            <w:tcW w:w="6521" w:type="dxa"/>
            <w:tcBorders>
              <w:top w:val="double" w:sz="6" w:space="0" w:color="auto"/>
              <w:left w:val="nil"/>
              <w:bottom w:val="single" w:sz="8" w:space="0" w:color="auto"/>
              <w:right w:val="nil"/>
            </w:tcBorders>
            <w:shd w:val="clear" w:color="auto" w:fill="auto"/>
            <w:vAlign w:val="center"/>
            <w:hideMark/>
          </w:tcPr>
          <w:p w14:paraId="486D4467" w14:textId="0E8ED218" w:rsidR="00D83E2C" w:rsidRPr="00D83E2C" w:rsidRDefault="00D83E2C" w:rsidP="00D83E2C">
            <w:pPr>
              <w:jc w:val="both"/>
              <w:rPr>
                <w:b/>
                <w:bCs/>
                <w:sz w:val="18"/>
                <w:szCs w:val="18"/>
                <w:lang w:eastAsia="tr-TR"/>
              </w:rPr>
            </w:pPr>
            <w:r w:rsidRPr="00D83E2C">
              <w:rPr>
                <w:b/>
                <w:bCs/>
                <w:sz w:val="18"/>
                <w:szCs w:val="18"/>
                <w:lang w:eastAsia="tr-TR"/>
              </w:rPr>
              <w:t> </w:t>
            </w:r>
          </w:p>
        </w:tc>
        <w:tc>
          <w:tcPr>
            <w:tcW w:w="1316" w:type="dxa"/>
            <w:tcBorders>
              <w:top w:val="double" w:sz="6" w:space="0" w:color="auto"/>
              <w:left w:val="nil"/>
              <w:bottom w:val="single" w:sz="8" w:space="0" w:color="auto"/>
              <w:right w:val="nil"/>
            </w:tcBorders>
            <w:shd w:val="clear" w:color="auto" w:fill="auto"/>
            <w:vAlign w:val="center"/>
            <w:hideMark/>
          </w:tcPr>
          <w:p w14:paraId="22E6050D" w14:textId="77777777" w:rsidR="00D83E2C" w:rsidRPr="00D83E2C" w:rsidRDefault="00D83E2C" w:rsidP="00D83E2C">
            <w:pPr>
              <w:jc w:val="right"/>
              <w:rPr>
                <w:b/>
                <w:bCs/>
                <w:sz w:val="18"/>
                <w:szCs w:val="18"/>
                <w:lang w:eastAsia="tr-TR"/>
              </w:rPr>
            </w:pPr>
            <w:r w:rsidRPr="00D83E2C">
              <w:rPr>
                <w:b/>
                <w:bCs/>
                <w:sz w:val="18"/>
                <w:szCs w:val="18"/>
                <w:lang w:eastAsia="tr-TR"/>
              </w:rPr>
              <w:t>Cari Dönem</w:t>
            </w:r>
          </w:p>
        </w:tc>
        <w:tc>
          <w:tcPr>
            <w:tcW w:w="1386" w:type="dxa"/>
            <w:tcBorders>
              <w:top w:val="double" w:sz="6" w:space="0" w:color="auto"/>
              <w:left w:val="nil"/>
              <w:bottom w:val="single" w:sz="8" w:space="0" w:color="auto"/>
              <w:right w:val="nil"/>
            </w:tcBorders>
            <w:shd w:val="clear" w:color="auto" w:fill="auto"/>
            <w:vAlign w:val="center"/>
            <w:hideMark/>
          </w:tcPr>
          <w:p w14:paraId="6D5C9132" w14:textId="77777777" w:rsidR="00D83E2C" w:rsidRPr="00D83E2C" w:rsidRDefault="00D83E2C" w:rsidP="00D83E2C">
            <w:pPr>
              <w:jc w:val="right"/>
              <w:rPr>
                <w:b/>
                <w:bCs/>
                <w:sz w:val="18"/>
                <w:szCs w:val="18"/>
                <w:lang w:eastAsia="tr-TR"/>
              </w:rPr>
            </w:pPr>
            <w:r w:rsidRPr="00D83E2C">
              <w:rPr>
                <w:b/>
                <w:bCs/>
                <w:sz w:val="18"/>
                <w:szCs w:val="18"/>
                <w:lang w:eastAsia="tr-TR"/>
              </w:rPr>
              <w:t>Önceki Dönem</w:t>
            </w:r>
          </w:p>
        </w:tc>
      </w:tr>
      <w:tr w:rsidR="00D83E2C" w:rsidRPr="00D83E2C" w14:paraId="2112C3F6" w14:textId="77777777" w:rsidTr="00BA637F">
        <w:trPr>
          <w:divId w:val="885801914"/>
          <w:trHeight w:val="240"/>
        </w:trPr>
        <w:tc>
          <w:tcPr>
            <w:tcW w:w="6521" w:type="dxa"/>
            <w:tcBorders>
              <w:top w:val="nil"/>
              <w:left w:val="nil"/>
              <w:bottom w:val="nil"/>
              <w:right w:val="nil"/>
            </w:tcBorders>
            <w:shd w:val="clear" w:color="auto" w:fill="auto"/>
            <w:vAlign w:val="center"/>
            <w:hideMark/>
          </w:tcPr>
          <w:p w14:paraId="5EED530D" w14:textId="77777777" w:rsidR="00D83E2C" w:rsidRPr="00D83E2C" w:rsidRDefault="00D83E2C" w:rsidP="00D83E2C">
            <w:pPr>
              <w:jc w:val="both"/>
              <w:rPr>
                <w:sz w:val="18"/>
                <w:szCs w:val="18"/>
                <w:lang w:eastAsia="tr-TR"/>
              </w:rPr>
            </w:pPr>
            <w:r w:rsidRPr="00D83E2C">
              <w:rPr>
                <w:sz w:val="18"/>
                <w:szCs w:val="18"/>
                <w:lang w:eastAsia="tr-TR"/>
              </w:rPr>
              <w:t xml:space="preserve">Bankalar </w:t>
            </w:r>
          </w:p>
        </w:tc>
        <w:tc>
          <w:tcPr>
            <w:tcW w:w="1316" w:type="dxa"/>
            <w:tcBorders>
              <w:top w:val="nil"/>
              <w:left w:val="nil"/>
              <w:bottom w:val="nil"/>
              <w:right w:val="nil"/>
            </w:tcBorders>
            <w:shd w:val="clear" w:color="auto" w:fill="auto"/>
            <w:vAlign w:val="center"/>
            <w:hideMark/>
          </w:tcPr>
          <w:p w14:paraId="5197FDD3" w14:textId="77777777" w:rsidR="00D83E2C" w:rsidRPr="00D83E2C" w:rsidRDefault="00D83E2C" w:rsidP="00D83E2C">
            <w:pPr>
              <w:jc w:val="right"/>
              <w:rPr>
                <w:sz w:val="18"/>
                <w:szCs w:val="18"/>
                <w:lang w:eastAsia="tr-TR"/>
              </w:rPr>
            </w:pPr>
            <w:r w:rsidRPr="00D83E2C">
              <w:rPr>
                <w:sz w:val="18"/>
                <w:szCs w:val="18"/>
                <w:lang w:eastAsia="tr-TR"/>
              </w:rPr>
              <w:t>610,120</w:t>
            </w:r>
          </w:p>
        </w:tc>
        <w:tc>
          <w:tcPr>
            <w:tcW w:w="1386" w:type="dxa"/>
            <w:tcBorders>
              <w:top w:val="nil"/>
              <w:left w:val="nil"/>
              <w:bottom w:val="nil"/>
              <w:right w:val="nil"/>
            </w:tcBorders>
            <w:shd w:val="clear" w:color="auto" w:fill="auto"/>
            <w:vAlign w:val="center"/>
            <w:hideMark/>
          </w:tcPr>
          <w:p w14:paraId="4EF17B44" w14:textId="77777777" w:rsidR="00D83E2C" w:rsidRPr="00D83E2C" w:rsidRDefault="00D83E2C" w:rsidP="00D83E2C">
            <w:pPr>
              <w:jc w:val="right"/>
              <w:rPr>
                <w:sz w:val="18"/>
                <w:szCs w:val="18"/>
                <w:lang w:eastAsia="tr-TR"/>
              </w:rPr>
            </w:pPr>
            <w:r w:rsidRPr="00D83E2C">
              <w:rPr>
                <w:sz w:val="18"/>
                <w:szCs w:val="18"/>
                <w:lang w:eastAsia="tr-TR"/>
              </w:rPr>
              <w:t>445,754</w:t>
            </w:r>
          </w:p>
        </w:tc>
      </w:tr>
      <w:tr w:rsidR="00D83E2C" w:rsidRPr="00D83E2C" w14:paraId="4179A678" w14:textId="77777777" w:rsidTr="00BA637F">
        <w:trPr>
          <w:divId w:val="885801914"/>
          <w:trHeight w:val="240"/>
        </w:trPr>
        <w:tc>
          <w:tcPr>
            <w:tcW w:w="6521" w:type="dxa"/>
            <w:tcBorders>
              <w:top w:val="nil"/>
              <w:left w:val="nil"/>
              <w:bottom w:val="nil"/>
              <w:right w:val="nil"/>
            </w:tcBorders>
            <w:shd w:val="clear" w:color="auto" w:fill="auto"/>
            <w:vAlign w:val="center"/>
            <w:hideMark/>
          </w:tcPr>
          <w:p w14:paraId="67F46931" w14:textId="701EDC69" w:rsidR="00D83E2C" w:rsidRPr="00D83E2C" w:rsidRDefault="00D83E2C" w:rsidP="00D83E2C">
            <w:pPr>
              <w:jc w:val="both"/>
              <w:rPr>
                <w:sz w:val="18"/>
                <w:szCs w:val="18"/>
                <w:lang w:eastAsia="tr-TR"/>
              </w:rPr>
            </w:pPr>
            <w:r w:rsidRPr="00D83E2C">
              <w:rPr>
                <w:sz w:val="18"/>
                <w:szCs w:val="18"/>
                <w:lang w:eastAsia="tr-TR"/>
              </w:rPr>
              <w:t xml:space="preserve">Sigorta </w:t>
            </w:r>
            <w:proofErr w:type="gramStart"/>
            <w:r w:rsidRPr="00D83E2C">
              <w:rPr>
                <w:sz w:val="18"/>
                <w:szCs w:val="18"/>
                <w:lang w:eastAsia="tr-TR"/>
              </w:rPr>
              <w:t>Şirketleri</w:t>
            </w:r>
            <w:r w:rsidR="00FD74CE">
              <w:rPr>
                <w:sz w:val="18"/>
                <w:szCs w:val="18"/>
                <w:lang w:eastAsia="tr-TR"/>
              </w:rPr>
              <w:t>(</w:t>
            </w:r>
            <w:proofErr w:type="gramEnd"/>
            <w:r w:rsidR="00FD74CE">
              <w:rPr>
                <w:sz w:val="18"/>
                <w:szCs w:val="18"/>
                <w:lang w:eastAsia="tr-TR"/>
              </w:rPr>
              <w:t>*)</w:t>
            </w:r>
          </w:p>
        </w:tc>
        <w:tc>
          <w:tcPr>
            <w:tcW w:w="1316" w:type="dxa"/>
            <w:tcBorders>
              <w:top w:val="nil"/>
              <w:left w:val="nil"/>
              <w:bottom w:val="nil"/>
              <w:right w:val="nil"/>
            </w:tcBorders>
            <w:shd w:val="clear" w:color="auto" w:fill="auto"/>
            <w:vAlign w:val="center"/>
            <w:hideMark/>
          </w:tcPr>
          <w:p w14:paraId="267458D1" w14:textId="77777777" w:rsidR="00D83E2C" w:rsidRPr="00D83E2C" w:rsidRDefault="00D83E2C" w:rsidP="00D83E2C">
            <w:pPr>
              <w:jc w:val="right"/>
              <w:rPr>
                <w:sz w:val="18"/>
                <w:szCs w:val="18"/>
                <w:lang w:eastAsia="tr-TR"/>
              </w:rPr>
            </w:pPr>
            <w:r w:rsidRPr="00D83E2C">
              <w:rPr>
                <w:sz w:val="18"/>
                <w:szCs w:val="18"/>
                <w:lang w:eastAsia="tr-TR"/>
              </w:rPr>
              <w:t>751,796</w:t>
            </w:r>
          </w:p>
        </w:tc>
        <w:tc>
          <w:tcPr>
            <w:tcW w:w="1386" w:type="dxa"/>
            <w:tcBorders>
              <w:top w:val="nil"/>
              <w:left w:val="nil"/>
              <w:bottom w:val="nil"/>
              <w:right w:val="nil"/>
            </w:tcBorders>
            <w:shd w:val="clear" w:color="auto" w:fill="auto"/>
            <w:vAlign w:val="center"/>
            <w:hideMark/>
          </w:tcPr>
          <w:p w14:paraId="587FFF80" w14:textId="77777777" w:rsidR="00D83E2C" w:rsidRPr="00D83E2C" w:rsidRDefault="00D83E2C" w:rsidP="00D83E2C">
            <w:pPr>
              <w:jc w:val="right"/>
              <w:rPr>
                <w:sz w:val="18"/>
                <w:szCs w:val="18"/>
                <w:lang w:eastAsia="tr-TR"/>
              </w:rPr>
            </w:pPr>
            <w:r w:rsidRPr="00D83E2C">
              <w:rPr>
                <w:sz w:val="18"/>
                <w:szCs w:val="18"/>
                <w:lang w:eastAsia="tr-TR"/>
              </w:rPr>
              <w:t>-</w:t>
            </w:r>
          </w:p>
        </w:tc>
      </w:tr>
      <w:tr w:rsidR="00D83E2C" w:rsidRPr="00D83E2C" w14:paraId="182282BE" w14:textId="77777777" w:rsidTr="00BA637F">
        <w:trPr>
          <w:divId w:val="885801914"/>
          <w:trHeight w:val="240"/>
        </w:trPr>
        <w:tc>
          <w:tcPr>
            <w:tcW w:w="6521" w:type="dxa"/>
            <w:tcBorders>
              <w:top w:val="nil"/>
              <w:left w:val="nil"/>
              <w:bottom w:val="nil"/>
              <w:right w:val="nil"/>
            </w:tcBorders>
            <w:shd w:val="clear" w:color="auto" w:fill="auto"/>
            <w:vAlign w:val="center"/>
            <w:hideMark/>
          </w:tcPr>
          <w:p w14:paraId="72F422AE" w14:textId="77777777" w:rsidR="00D83E2C" w:rsidRPr="00D83E2C" w:rsidRDefault="00D83E2C" w:rsidP="00D83E2C">
            <w:pPr>
              <w:jc w:val="both"/>
              <w:rPr>
                <w:sz w:val="18"/>
                <w:szCs w:val="18"/>
                <w:lang w:eastAsia="tr-TR"/>
              </w:rPr>
            </w:pPr>
            <w:r w:rsidRPr="00D83E2C">
              <w:rPr>
                <w:sz w:val="18"/>
                <w:szCs w:val="18"/>
                <w:lang w:eastAsia="tr-TR"/>
              </w:rPr>
              <w:t>Faktoring Şirketleri</w:t>
            </w:r>
          </w:p>
        </w:tc>
        <w:tc>
          <w:tcPr>
            <w:tcW w:w="1316" w:type="dxa"/>
            <w:tcBorders>
              <w:top w:val="nil"/>
              <w:left w:val="nil"/>
              <w:bottom w:val="nil"/>
              <w:right w:val="nil"/>
            </w:tcBorders>
            <w:shd w:val="clear" w:color="auto" w:fill="auto"/>
            <w:vAlign w:val="center"/>
            <w:hideMark/>
          </w:tcPr>
          <w:p w14:paraId="1AE36C4B" w14:textId="77777777" w:rsidR="00D83E2C" w:rsidRPr="00D83E2C" w:rsidRDefault="00D83E2C" w:rsidP="00D83E2C">
            <w:pPr>
              <w:jc w:val="right"/>
              <w:rPr>
                <w:sz w:val="18"/>
                <w:szCs w:val="18"/>
                <w:lang w:eastAsia="tr-TR"/>
              </w:rPr>
            </w:pPr>
            <w:r w:rsidRPr="00D83E2C">
              <w:rPr>
                <w:sz w:val="18"/>
                <w:szCs w:val="18"/>
                <w:lang w:eastAsia="tr-TR"/>
              </w:rPr>
              <w:t>-</w:t>
            </w:r>
          </w:p>
        </w:tc>
        <w:tc>
          <w:tcPr>
            <w:tcW w:w="1386" w:type="dxa"/>
            <w:tcBorders>
              <w:top w:val="nil"/>
              <w:left w:val="nil"/>
              <w:bottom w:val="nil"/>
              <w:right w:val="nil"/>
            </w:tcBorders>
            <w:shd w:val="clear" w:color="auto" w:fill="auto"/>
            <w:vAlign w:val="center"/>
            <w:hideMark/>
          </w:tcPr>
          <w:p w14:paraId="21BE2F1F" w14:textId="77777777" w:rsidR="00D83E2C" w:rsidRPr="00D83E2C" w:rsidRDefault="00D83E2C" w:rsidP="00D83E2C">
            <w:pPr>
              <w:jc w:val="right"/>
              <w:rPr>
                <w:sz w:val="18"/>
                <w:szCs w:val="18"/>
                <w:lang w:eastAsia="tr-TR"/>
              </w:rPr>
            </w:pPr>
            <w:r w:rsidRPr="00D83E2C">
              <w:rPr>
                <w:sz w:val="18"/>
                <w:szCs w:val="18"/>
                <w:lang w:eastAsia="tr-TR"/>
              </w:rPr>
              <w:t>-</w:t>
            </w:r>
          </w:p>
        </w:tc>
      </w:tr>
      <w:tr w:rsidR="00D83E2C" w:rsidRPr="00D83E2C" w14:paraId="2EC99548" w14:textId="77777777" w:rsidTr="00BA637F">
        <w:trPr>
          <w:divId w:val="885801914"/>
          <w:trHeight w:val="240"/>
        </w:trPr>
        <w:tc>
          <w:tcPr>
            <w:tcW w:w="6521" w:type="dxa"/>
            <w:tcBorders>
              <w:top w:val="nil"/>
              <w:left w:val="nil"/>
              <w:bottom w:val="nil"/>
              <w:right w:val="nil"/>
            </w:tcBorders>
            <w:shd w:val="clear" w:color="auto" w:fill="auto"/>
            <w:vAlign w:val="center"/>
            <w:hideMark/>
          </w:tcPr>
          <w:p w14:paraId="7EFE7BA0" w14:textId="77777777" w:rsidR="00D83E2C" w:rsidRPr="00D83E2C" w:rsidRDefault="00D83E2C" w:rsidP="00D83E2C">
            <w:pPr>
              <w:jc w:val="both"/>
              <w:rPr>
                <w:sz w:val="18"/>
                <w:szCs w:val="18"/>
                <w:lang w:eastAsia="tr-TR"/>
              </w:rPr>
            </w:pPr>
            <w:r w:rsidRPr="00D83E2C">
              <w:rPr>
                <w:sz w:val="18"/>
                <w:szCs w:val="18"/>
                <w:lang w:eastAsia="tr-TR"/>
              </w:rPr>
              <w:t>Leasing Şirketleri</w:t>
            </w:r>
          </w:p>
        </w:tc>
        <w:tc>
          <w:tcPr>
            <w:tcW w:w="1316" w:type="dxa"/>
            <w:tcBorders>
              <w:top w:val="nil"/>
              <w:left w:val="nil"/>
              <w:bottom w:val="nil"/>
              <w:right w:val="nil"/>
            </w:tcBorders>
            <w:shd w:val="clear" w:color="auto" w:fill="auto"/>
            <w:vAlign w:val="center"/>
            <w:hideMark/>
          </w:tcPr>
          <w:p w14:paraId="03D9A9B5" w14:textId="77777777" w:rsidR="00D83E2C" w:rsidRPr="00D83E2C" w:rsidRDefault="00D83E2C" w:rsidP="00D83E2C">
            <w:pPr>
              <w:jc w:val="right"/>
              <w:rPr>
                <w:sz w:val="18"/>
                <w:szCs w:val="18"/>
                <w:lang w:eastAsia="tr-TR"/>
              </w:rPr>
            </w:pPr>
            <w:r w:rsidRPr="00D83E2C">
              <w:rPr>
                <w:sz w:val="18"/>
                <w:szCs w:val="18"/>
                <w:lang w:eastAsia="tr-TR"/>
              </w:rPr>
              <w:t>-</w:t>
            </w:r>
          </w:p>
        </w:tc>
        <w:tc>
          <w:tcPr>
            <w:tcW w:w="1386" w:type="dxa"/>
            <w:tcBorders>
              <w:top w:val="nil"/>
              <w:left w:val="nil"/>
              <w:bottom w:val="nil"/>
              <w:right w:val="nil"/>
            </w:tcBorders>
            <w:shd w:val="clear" w:color="auto" w:fill="auto"/>
            <w:vAlign w:val="center"/>
            <w:hideMark/>
          </w:tcPr>
          <w:p w14:paraId="50502C8A" w14:textId="77777777" w:rsidR="00D83E2C" w:rsidRPr="00D83E2C" w:rsidRDefault="00D83E2C" w:rsidP="00D83E2C">
            <w:pPr>
              <w:jc w:val="right"/>
              <w:rPr>
                <w:sz w:val="18"/>
                <w:szCs w:val="18"/>
                <w:lang w:eastAsia="tr-TR"/>
              </w:rPr>
            </w:pPr>
            <w:r w:rsidRPr="00D83E2C">
              <w:rPr>
                <w:sz w:val="18"/>
                <w:szCs w:val="18"/>
                <w:lang w:eastAsia="tr-TR"/>
              </w:rPr>
              <w:t>-</w:t>
            </w:r>
          </w:p>
        </w:tc>
      </w:tr>
      <w:tr w:rsidR="00D83E2C" w:rsidRPr="00D83E2C" w14:paraId="35B49239" w14:textId="77777777" w:rsidTr="00BA637F">
        <w:trPr>
          <w:divId w:val="885801914"/>
          <w:trHeight w:val="240"/>
        </w:trPr>
        <w:tc>
          <w:tcPr>
            <w:tcW w:w="6521" w:type="dxa"/>
            <w:tcBorders>
              <w:top w:val="nil"/>
              <w:left w:val="nil"/>
              <w:bottom w:val="nil"/>
              <w:right w:val="nil"/>
            </w:tcBorders>
            <w:shd w:val="clear" w:color="auto" w:fill="auto"/>
            <w:vAlign w:val="center"/>
            <w:hideMark/>
          </w:tcPr>
          <w:p w14:paraId="0670BB42" w14:textId="77777777" w:rsidR="00D83E2C" w:rsidRPr="00D83E2C" w:rsidRDefault="00D83E2C" w:rsidP="00D83E2C">
            <w:pPr>
              <w:jc w:val="both"/>
              <w:rPr>
                <w:sz w:val="18"/>
                <w:szCs w:val="18"/>
                <w:lang w:eastAsia="tr-TR"/>
              </w:rPr>
            </w:pPr>
            <w:r w:rsidRPr="00D83E2C">
              <w:rPr>
                <w:sz w:val="18"/>
                <w:szCs w:val="18"/>
                <w:lang w:eastAsia="tr-TR"/>
              </w:rPr>
              <w:t>Finansman Şirketleri</w:t>
            </w:r>
          </w:p>
        </w:tc>
        <w:tc>
          <w:tcPr>
            <w:tcW w:w="1316" w:type="dxa"/>
            <w:tcBorders>
              <w:top w:val="nil"/>
              <w:left w:val="nil"/>
              <w:bottom w:val="nil"/>
              <w:right w:val="nil"/>
            </w:tcBorders>
            <w:shd w:val="clear" w:color="auto" w:fill="auto"/>
            <w:vAlign w:val="center"/>
            <w:hideMark/>
          </w:tcPr>
          <w:p w14:paraId="2DCC8D1F" w14:textId="77777777" w:rsidR="00D83E2C" w:rsidRPr="00D83E2C" w:rsidRDefault="00D83E2C" w:rsidP="00D83E2C">
            <w:pPr>
              <w:jc w:val="right"/>
              <w:rPr>
                <w:sz w:val="18"/>
                <w:szCs w:val="18"/>
                <w:lang w:eastAsia="tr-TR"/>
              </w:rPr>
            </w:pPr>
            <w:r w:rsidRPr="00D83E2C">
              <w:rPr>
                <w:sz w:val="18"/>
                <w:szCs w:val="18"/>
                <w:lang w:eastAsia="tr-TR"/>
              </w:rPr>
              <w:t>-</w:t>
            </w:r>
          </w:p>
        </w:tc>
        <w:tc>
          <w:tcPr>
            <w:tcW w:w="1386" w:type="dxa"/>
            <w:tcBorders>
              <w:top w:val="nil"/>
              <w:left w:val="nil"/>
              <w:bottom w:val="nil"/>
              <w:right w:val="nil"/>
            </w:tcBorders>
            <w:shd w:val="clear" w:color="auto" w:fill="auto"/>
            <w:vAlign w:val="center"/>
            <w:hideMark/>
          </w:tcPr>
          <w:p w14:paraId="1B4EB64E" w14:textId="77777777" w:rsidR="00D83E2C" w:rsidRPr="00D83E2C" w:rsidRDefault="00D83E2C" w:rsidP="00D83E2C">
            <w:pPr>
              <w:jc w:val="right"/>
              <w:rPr>
                <w:sz w:val="18"/>
                <w:szCs w:val="18"/>
                <w:lang w:eastAsia="tr-TR"/>
              </w:rPr>
            </w:pPr>
            <w:r w:rsidRPr="00D83E2C">
              <w:rPr>
                <w:sz w:val="18"/>
                <w:szCs w:val="18"/>
                <w:lang w:eastAsia="tr-TR"/>
              </w:rPr>
              <w:t>-</w:t>
            </w:r>
          </w:p>
        </w:tc>
      </w:tr>
      <w:tr w:rsidR="00D83E2C" w:rsidRPr="00D83E2C" w14:paraId="66853751" w14:textId="77777777" w:rsidTr="00BA637F">
        <w:trPr>
          <w:divId w:val="885801914"/>
          <w:trHeight w:val="254"/>
        </w:trPr>
        <w:tc>
          <w:tcPr>
            <w:tcW w:w="6521" w:type="dxa"/>
            <w:tcBorders>
              <w:top w:val="nil"/>
              <w:left w:val="nil"/>
              <w:bottom w:val="single" w:sz="8" w:space="0" w:color="auto"/>
              <w:right w:val="nil"/>
            </w:tcBorders>
            <w:shd w:val="clear" w:color="auto" w:fill="auto"/>
            <w:vAlign w:val="center"/>
            <w:hideMark/>
          </w:tcPr>
          <w:p w14:paraId="6B5A5DE9" w14:textId="77777777" w:rsidR="00D83E2C" w:rsidRPr="00D83E2C" w:rsidRDefault="00D83E2C" w:rsidP="00D83E2C">
            <w:pPr>
              <w:jc w:val="both"/>
              <w:rPr>
                <w:sz w:val="18"/>
                <w:szCs w:val="18"/>
                <w:lang w:eastAsia="tr-TR"/>
              </w:rPr>
            </w:pPr>
            <w:r w:rsidRPr="00D83E2C">
              <w:rPr>
                <w:sz w:val="18"/>
                <w:szCs w:val="18"/>
                <w:lang w:eastAsia="tr-TR"/>
              </w:rPr>
              <w:t>Diğer Bağlı Ortaklıklar</w:t>
            </w:r>
          </w:p>
        </w:tc>
        <w:tc>
          <w:tcPr>
            <w:tcW w:w="1316" w:type="dxa"/>
            <w:tcBorders>
              <w:top w:val="nil"/>
              <w:left w:val="nil"/>
              <w:bottom w:val="single" w:sz="8" w:space="0" w:color="auto"/>
              <w:right w:val="nil"/>
            </w:tcBorders>
            <w:shd w:val="clear" w:color="auto" w:fill="auto"/>
            <w:vAlign w:val="center"/>
            <w:hideMark/>
          </w:tcPr>
          <w:p w14:paraId="04D19F3F" w14:textId="77777777" w:rsidR="00D83E2C" w:rsidRPr="00D83E2C" w:rsidRDefault="00D83E2C" w:rsidP="00D83E2C">
            <w:pPr>
              <w:jc w:val="right"/>
              <w:rPr>
                <w:sz w:val="18"/>
                <w:szCs w:val="18"/>
                <w:lang w:eastAsia="tr-TR"/>
              </w:rPr>
            </w:pPr>
            <w:r w:rsidRPr="00D83E2C">
              <w:rPr>
                <w:sz w:val="18"/>
                <w:szCs w:val="18"/>
                <w:lang w:eastAsia="tr-TR"/>
              </w:rPr>
              <w:t>75,419</w:t>
            </w:r>
          </w:p>
        </w:tc>
        <w:tc>
          <w:tcPr>
            <w:tcW w:w="1386" w:type="dxa"/>
            <w:tcBorders>
              <w:top w:val="nil"/>
              <w:left w:val="nil"/>
              <w:bottom w:val="single" w:sz="8" w:space="0" w:color="auto"/>
              <w:right w:val="nil"/>
            </w:tcBorders>
            <w:shd w:val="clear" w:color="auto" w:fill="auto"/>
            <w:vAlign w:val="center"/>
            <w:hideMark/>
          </w:tcPr>
          <w:p w14:paraId="78D6E111" w14:textId="77777777" w:rsidR="00D83E2C" w:rsidRPr="00D83E2C" w:rsidRDefault="00D83E2C" w:rsidP="00D83E2C">
            <w:pPr>
              <w:jc w:val="right"/>
              <w:rPr>
                <w:sz w:val="18"/>
                <w:szCs w:val="18"/>
                <w:lang w:eastAsia="tr-TR"/>
              </w:rPr>
            </w:pPr>
            <w:r w:rsidRPr="00D83E2C">
              <w:rPr>
                <w:sz w:val="18"/>
                <w:szCs w:val="18"/>
                <w:lang w:eastAsia="tr-TR"/>
              </w:rPr>
              <w:t>75,419</w:t>
            </w:r>
          </w:p>
        </w:tc>
      </w:tr>
      <w:tr w:rsidR="00D83E2C" w:rsidRPr="00D83E2C" w14:paraId="31791E5E" w14:textId="77777777" w:rsidTr="00BA637F">
        <w:trPr>
          <w:divId w:val="885801914"/>
          <w:trHeight w:val="254"/>
        </w:trPr>
        <w:tc>
          <w:tcPr>
            <w:tcW w:w="6521" w:type="dxa"/>
            <w:tcBorders>
              <w:top w:val="nil"/>
              <w:left w:val="nil"/>
              <w:bottom w:val="double" w:sz="6" w:space="0" w:color="auto"/>
              <w:right w:val="nil"/>
            </w:tcBorders>
            <w:shd w:val="clear" w:color="auto" w:fill="auto"/>
            <w:vAlign w:val="center"/>
            <w:hideMark/>
          </w:tcPr>
          <w:p w14:paraId="1FA81F3B" w14:textId="77777777" w:rsidR="00D83E2C" w:rsidRPr="00D83E2C" w:rsidRDefault="00D83E2C" w:rsidP="00D83E2C">
            <w:pPr>
              <w:jc w:val="both"/>
              <w:rPr>
                <w:b/>
                <w:bCs/>
                <w:sz w:val="18"/>
                <w:szCs w:val="18"/>
                <w:lang w:eastAsia="tr-TR"/>
              </w:rPr>
            </w:pPr>
            <w:r w:rsidRPr="00D83E2C">
              <w:rPr>
                <w:b/>
                <w:bCs/>
                <w:sz w:val="18"/>
                <w:szCs w:val="18"/>
                <w:lang w:eastAsia="tr-TR"/>
              </w:rPr>
              <w:t>Toplam</w:t>
            </w:r>
          </w:p>
        </w:tc>
        <w:tc>
          <w:tcPr>
            <w:tcW w:w="1316" w:type="dxa"/>
            <w:tcBorders>
              <w:top w:val="nil"/>
              <w:left w:val="nil"/>
              <w:bottom w:val="double" w:sz="6" w:space="0" w:color="auto"/>
              <w:right w:val="nil"/>
            </w:tcBorders>
            <w:shd w:val="clear" w:color="auto" w:fill="auto"/>
            <w:vAlign w:val="center"/>
            <w:hideMark/>
          </w:tcPr>
          <w:p w14:paraId="0FC2D721" w14:textId="77777777" w:rsidR="00D83E2C" w:rsidRPr="00D83E2C" w:rsidRDefault="00D83E2C" w:rsidP="00D83E2C">
            <w:pPr>
              <w:jc w:val="right"/>
              <w:rPr>
                <w:b/>
                <w:bCs/>
                <w:sz w:val="18"/>
                <w:szCs w:val="18"/>
                <w:lang w:eastAsia="tr-TR"/>
              </w:rPr>
            </w:pPr>
            <w:r w:rsidRPr="00D83E2C">
              <w:rPr>
                <w:b/>
                <w:bCs/>
                <w:sz w:val="18"/>
                <w:szCs w:val="18"/>
                <w:lang w:eastAsia="tr-TR"/>
              </w:rPr>
              <w:t>1,437,335</w:t>
            </w:r>
          </w:p>
        </w:tc>
        <w:tc>
          <w:tcPr>
            <w:tcW w:w="1386" w:type="dxa"/>
            <w:tcBorders>
              <w:top w:val="nil"/>
              <w:left w:val="nil"/>
              <w:bottom w:val="double" w:sz="6" w:space="0" w:color="auto"/>
              <w:right w:val="nil"/>
            </w:tcBorders>
            <w:shd w:val="clear" w:color="auto" w:fill="auto"/>
            <w:vAlign w:val="center"/>
            <w:hideMark/>
          </w:tcPr>
          <w:p w14:paraId="40C3C569" w14:textId="77777777" w:rsidR="00D83E2C" w:rsidRPr="00D83E2C" w:rsidRDefault="00D83E2C" w:rsidP="00D83E2C">
            <w:pPr>
              <w:jc w:val="right"/>
              <w:rPr>
                <w:b/>
                <w:bCs/>
                <w:sz w:val="18"/>
                <w:szCs w:val="18"/>
                <w:lang w:eastAsia="tr-TR"/>
              </w:rPr>
            </w:pPr>
            <w:r w:rsidRPr="00D83E2C">
              <w:rPr>
                <w:b/>
                <w:bCs/>
                <w:sz w:val="18"/>
                <w:szCs w:val="18"/>
                <w:lang w:eastAsia="tr-TR"/>
              </w:rPr>
              <w:t>521,173</w:t>
            </w:r>
          </w:p>
        </w:tc>
      </w:tr>
    </w:tbl>
    <w:p w14:paraId="456B8CD2" w14:textId="77777777" w:rsidR="00BA637F" w:rsidRDefault="00BA637F" w:rsidP="00BA637F">
      <w:pPr>
        <w:ind w:left="567" w:hanging="567"/>
        <w:jc w:val="both"/>
        <w:rPr>
          <w:sz w:val="16"/>
          <w:szCs w:val="16"/>
        </w:rPr>
      </w:pPr>
    </w:p>
    <w:p w14:paraId="18A023FB" w14:textId="3938719E" w:rsidR="00C84541" w:rsidRDefault="00FD74CE" w:rsidP="00BA637F">
      <w:pPr>
        <w:ind w:left="567" w:hanging="567"/>
        <w:jc w:val="both"/>
        <w:rPr>
          <w:sz w:val="16"/>
          <w:szCs w:val="16"/>
        </w:rPr>
      </w:pPr>
      <w:r w:rsidRPr="001741A9">
        <w:rPr>
          <w:sz w:val="16"/>
          <w:szCs w:val="16"/>
        </w:rPr>
        <w:t xml:space="preserve">(*) </w:t>
      </w:r>
      <w:r w:rsidR="00BA637F">
        <w:rPr>
          <w:sz w:val="16"/>
          <w:szCs w:val="16"/>
        </w:rPr>
        <w:tab/>
      </w:r>
      <w:r w:rsidRPr="001741A9">
        <w:rPr>
          <w:sz w:val="16"/>
          <w:szCs w:val="16"/>
        </w:rPr>
        <w:t xml:space="preserve">Banka, 30 Haziran 2020 itibarıyla </w:t>
      </w:r>
      <w:proofErr w:type="spellStart"/>
      <w:r w:rsidRPr="001741A9">
        <w:rPr>
          <w:sz w:val="16"/>
          <w:szCs w:val="16"/>
        </w:rPr>
        <w:t>Neova</w:t>
      </w:r>
      <w:proofErr w:type="spellEnd"/>
      <w:r w:rsidRPr="001741A9">
        <w:rPr>
          <w:sz w:val="16"/>
          <w:szCs w:val="16"/>
        </w:rPr>
        <w:t xml:space="preserve"> Sigorta </w:t>
      </w:r>
      <w:proofErr w:type="spellStart"/>
      <w:proofErr w:type="gramStart"/>
      <w:r w:rsidRPr="001741A9">
        <w:rPr>
          <w:sz w:val="16"/>
          <w:szCs w:val="16"/>
        </w:rPr>
        <w:t>A.Ş’nin</w:t>
      </w:r>
      <w:proofErr w:type="spellEnd"/>
      <w:proofErr w:type="gramEnd"/>
      <w:r w:rsidRPr="001741A9">
        <w:rPr>
          <w:sz w:val="16"/>
          <w:szCs w:val="16"/>
        </w:rPr>
        <w:t xml:space="preserve"> tüm hisselerini satın almıştır. Satın alma işlemi öncesinde </w:t>
      </w:r>
      <w:proofErr w:type="spellStart"/>
      <w:r w:rsidRPr="001741A9">
        <w:rPr>
          <w:sz w:val="16"/>
          <w:szCs w:val="16"/>
        </w:rPr>
        <w:t>Neova</w:t>
      </w:r>
      <w:proofErr w:type="spellEnd"/>
      <w:r w:rsidRPr="001741A9">
        <w:rPr>
          <w:sz w:val="16"/>
          <w:szCs w:val="16"/>
        </w:rPr>
        <w:t xml:space="preserve"> Sigorta A.Ş.’</w:t>
      </w:r>
      <w:proofErr w:type="spellStart"/>
      <w:r w:rsidRPr="001741A9">
        <w:rPr>
          <w:sz w:val="16"/>
          <w:szCs w:val="16"/>
        </w:rPr>
        <w:t>nin</w:t>
      </w:r>
      <w:proofErr w:type="spellEnd"/>
      <w:r w:rsidRPr="001741A9">
        <w:rPr>
          <w:sz w:val="16"/>
          <w:szCs w:val="16"/>
        </w:rPr>
        <w:t xml:space="preserve"> </w:t>
      </w:r>
      <w:r>
        <w:rPr>
          <w:sz w:val="16"/>
          <w:szCs w:val="16"/>
        </w:rPr>
        <w:t xml:space="preserve">Banka’nın elinde bulunan </w:t>
      </w:r>
      <w:r w:rsidRPr="001741A9">
        <w:rPr>
          <w:sz w:val="16"/>
          <w:szCs w:val="16"/>
        </w:rPr>
        <w:t>%7</w:t>
      </w:r>
      <w:r>
        <w:rPr>
          <w:sz w:val="16"/>
          <w:szCs w:val="16"/>
        </w:rPr>
        <w:t xml:space="preserve"> oranındaki</w:t>
      </w:r>
      <w:r w:rsidRPr="001741A9">
        <w:rPr>
          <w:sz w:val="16"/>
          <w:szCs w:val="16"/>
        </w:rPr>
        <w:t xml:space="preserve"> hissesi gerçeğe uygun değer farkı diğer kapsamlı gelire yansıtılan finansal varlıklar kaleminde takip edilmekteydi.</w:t>
      </w:r>
    </w:p>
    <w:p w14:paraId="01E9E9AE" w14:textId="1CAFA02A" w:rsidR="003F30A2" w:rsidRPr="00D83E2C" w:rsidRDefault="003F30A2" w:rsidP="003F30A2">
      <w:pPr>
        <w:rPr>
          <w:bCs/>
        </w:rPr>
      </w:pPr>
      <w:r w:rsidRPr="00D83E2C">
        <w:rPr>
          <w:bCs/>
        </w:rPr>
        <w:t xml:space="preserve">Borsaya </w:t>
      </w:r>
      <w:proofErr w:type="spellStart"/>
      <w:r w:rsidRPr="00D83E2C">
        <w:rPr>
          <w:bCs/>
        </w:rPr>
        <w:t>kote</w:t>
      </w:r>
      <w:proofErr w:type="spellEnd"/>
      <w:r w:rsidRPr="00D83E2C">
        <w:rPr>
          <w:bCs/>
        </w:rPr>
        <w:t xml:space="preserve"> olan konsolide edilen bağlı ortaklıklar</w:t>
      </w:r>
      <w:r w:rsidR="003348FB" w:rsidRPr="00D83E2C">
        <w:rPr>
          <w:bCs/>
        </w:rPr>
        <w:t>:</w:t>
      </w:r>
    </w:p>
    <w:p w14:paraId="1169BA1C" w14:textId="1BB071F3" w:rsidR="00AD0FA6" w:rsidRPr="00D83E2C" w:rsidRDefault="00AD0FA6" w:rsidP="00AD0FA6">
      <w:pPr>
        <w:tabs>
          <w:tab w:val="left" w:pos="709"/>
        </w:tabs>
        <w:rPr>
          <w:lang w:val="en-GB" w:eastAsia="en-GB"/>
        </w:rPr>
      </w:pPr>
    </w:p>
    <w:tbl>
      <w:tblPr>
        <w:tblW w:w="9204" w:type="dxa"/>
        <w:tblCellMar>
          <w:left w:w="70" w:type="dxa"/>
          <w:right w:w="70" w:type="dxa"/>
        </w:tblCellMar>
        <w:tblLook w:val="04A0" w:firstRow="1" w:lastRow="0" w:firstColumn="1" w:lastColumn="0" w:noHBand="0" w:noVBand="1"/>
      </w:tblPr>
      <w:tblGrid>
        <w:gridCol w:w="6521"/>
        <w:gridCol w:w="1300"/>
        <w:gridCol w:w="1383"/>
      </w:tblGrid>
      <w:tr w:rsidR="00AD0FA6" w:rsidRPr="00D83E2C" w14:paraId="6632A08B" w14:textId="77777777" w:rsidTr="00BA637F">
        <w:trPr>
          <w:divId w:val="289825845"/>
          <w:trHeight w:val="291"/>
        </w:trPr>
        <w:tc>
          <w:tcPr>
            <w:tcW w:w="6521" w:type="dxa"/>
            <w:tcBorders>
              <w:top w:val="double" w:sz="6" w:space="0" w:color="auto"/>
              <w:left w:val="nil"/>
              <w:bottom w:val="single" w:sz="8" w:space="0" w:color="auto"/>
              <w:right w:val="nil"/>
            </w:tcBorders>
            <w:shd w:val="clear" w:color="auto" w:fill="auto"/>
            <w:vAlign w:val="center"/>
            <w:hideMark/>
          </w:tcPr>
          <w:p w14:paraId="77FA5E60" w14:textId="2D1172B1" w:rsidR="00AD0FA6" w:rsidRPr="00D83E2C" w:rsidRDefault="00AD0FA6" w:rsidP="00AD0FA6">
            <w:pPr>
              <w:jc w:val="both"/>
              <w:rPr>
                <w:b/>
                <w:bCs/>
                <w:sz w:val="18"/>
                <w:szCs w:val="18"/>
                <w:lang w:eastAsia="tr-TR"/>
              </w:rPr>
            </w:pPr>
            <w:r w:rsidRPr="00D83E2C">
              <w:rPr>
                <w:b/>
                <w:bCs/>
                <w:sz w:val="18"/>
                <w:szCs w:val="18"/>
                <w:lang w:eastAsia="tr-TR"/>
              </w:rPr>
              <w:t> </w:t>
            </w:r>
          </w:p>
        </w:tc>
        <w:tc>
          <w:tcPr>
            <w:tcW w:w="1300" w:type="dxa"/>
            <w:tcBorders>
              <w:top w:val="double" w:sz="6" w:space="0" w:color="auto"/>
              <w:left w:val="nil"/>
              <w:bottom w:val="single" w:sz="8" w:space="0" w:color="auto"/>
              <w:right w:val="nil"/>
            </w:tcBorders>
            <w:shd w:val="clear" w:color="auto" w:fill="auto"/>
            <w:vAlign w:val="center"/>
            <w:hideMark/>
          </w:tcPr>
          <w:p w14:paraId="5B0391EB" w14:textId="77777777" w:rsidR="00AD0FA6" w:rsidRPr="00D83E2C" w:rsidRDefault="00AD0FA6" w:rsidP="00AD0FA6">
            <w:pPr>
              <w:jc w:val="right"/>
              <w:rPr>
                <w:b/>
                <w:bCs/>
                <w:sz w:val="18"/>
                <w:szCs w:val="18"/>
                <w:lang w:eastAsia="tr-TR"/>
              </w:rPr>
            </w:pPr>
            <w:r w:rsidRPr="00D83E2C">
              <w:rPr>
                <w:b/>
                <w:bCs/>
                <w:sz w:val="18"/>
                <w:szCs w:val="18"/>
                <w:lang w:eastAsia="tr-TR"/>
              </w:rPr>
              <w:t>Cari Dönem</w:t>
            </w:r>
          </w:p>
        </w:tc>
        <w:tc>
          <w:tcPr>
            <w:tcW w:w="1383" w:type="dxa"/>
            <w:tcBorders>
              <w:top w:val="double" w:sz="6" w:space="0" w:color="auto"/>
              <w:left w:val="nil"/>
              <w:bottom w:val="single" w:sz="8" w:space="0" w:color="auto"/>
              <w:right w:val="nil"/>
            </w:tcBorders>
            <w:shd w:val="clear" w:color="auto" w:fill="auto"/>
            <w:vAlign w:val="center"/>
            <w:hideMark/>
          </w:tcPr>
          <w:p w14:paraId="3301C6C1" w14:textId="77777777" w:rsidR="00AD0FA6" w:rsidRPr="00D83E2C" w:rsidRDefault="00AD0FA6" w:rsidP="00AD0FA6">
            <w:pPr>
              <w:jc w:val="right"/>
              <w:rPr>
                <w:b/>
                <w:bCs/>
                <w:sz w:val="18"/>
                <w:szCs w:val="18"/>
                <w:lang w:eastAsia="tr-TR"/>
              </w:rPr>
            </w:pPr>
            <w:r w:rsidRPr="00D83E2C">
              <w:rPr>
                <w:b/>
                <w:bCs/>
                <w:sz w:val="18"/>
                <w:szCs w:val="18"/>
                <w:lang w:eastAsia="tr-TR"/>
              </w:rPr>
              <w:t>Önceki Dönem</w:t>
            </w:r>
          </w:p>
        </w:tc>
      </w:tr>
      <w:tr w:rsidR="00AD0FA6" w:rsidRPr="00D83E2C" w14:paraId="19E68069" w14:textId="77777777" w:rsidTr="00BA637F">
        <w:trPr>
          <w:divId w:val="289825845"/>
          <w:trHeight w:val="211"/>
        </w:trPr>
        <w:tc>
          <w:tcPr>
            <w:tcW w:w="6521" w:type="dxa"/>
            <w:tcBorders>
              <w:top w:val="nil"/>
              <w:left w:val="nil"/>
              <w:bottom w:val="nil"/>
              <w:right w:val="nil"/>
            </w:tcBorders>
            <w:shd w:val="clear" w:color="auto" w:fill="auto"/>
            <w:noWrap/>
            <w:vAlign w:val="center"/>
            <w:hideMark/>
          </w:tcPr>
          <w:p w14:paraId="3F45EACF" w14:textId="77777777" w:rsidR="00AD0FA6" w:rsidRPr="00D83E2C" w:rsidRDefault="00AD0FA6" w:rsidP="00AD0FA6">
            <w:pPr>
              <w:rPr>
                <w:sz w:val="18"/>
                <w:szCs w:val="18"/>
                <w:lang w:eastAsia="tr-TR"/>
              </w:rPr>
            </w:pPr>
            <w:r w:rsidRPr="00D83E2C">
              <w:rPr>
                <w:iCs/>
                <w:sz w:val="18"/>
                <w:szCs w:val="18"/>
                <w:lang w:eastAsia="tr-TR"/>
              </w:rPr>
              <w:t xml:space="preserve">Yurtiçi </w:t>
            </w:r>
            <w:r w:rsidRPr="00D83E2C">
              <w:rPr>
                <w:sz w:val="18"/>
                <w:szCs w:val="18"/>
                <w:lang w:eastAsia="tr-TR"/>
              </w:rPr>
              <w:t xml:space="preserve">Borsalara </w:t>
            </w:r>
            <w:proofErr w:type="spellStart"/>
            <w:r w:rsidRPr="00D83E2C">
              <w:rPr>
                <w:sz w:val="18"/>
                <w:szCs w:val="18"/>
                <w:lang w:eastAsia="tr-TR"/>
              </w:rPr>
              <w:t>Kote</w:t>
            </w:r>
            <w:proofErr w:type="spellEnd"/>
            <w:r w:rsidRPr="00D83E2C">
              <w:rPr>
                <w:sz w:val="18"/>
                <w:szCs w:val="18"/>
                <w:lang w:eastAsia="tr-TR"/>
              </w:rPr>
              <w:t xml:space="preserve"> Edilenler</w:t>
            </w:r>
          </w:p>
        </w:tc>
        <w:tc>
          <w:tcPr>
            <w:tcW w:w="1300" w:type="dxa"/>
            <w:tcBorders>
              <w:top w:val="nil"/>
              <w:left w:val="nil"/>
              <w:bottom w:val="nil"/>
              <w:right w:val="nil"/>
            </w:tcBorders>
            <w:shd w:val="clear" w:color="auto" w:fill="auto"/>
            <w:vAlign w:val="center"/>
            <w:hideMark/>
          </w:tcPr>
          <w:p w14:paraId="784DD9C4" w14:textId="77777777" w:rsidR="00AD0FA6" w:rsidRPr="00D83E2C" w:rsidRDefault="00AD0FA6" w:rsidP="00AD0FA6">
            <w:pPr>
              <w:jc w:val="right"/>
              <w:rPr>
                <w:sz w:val="18"/>
                <w:szCs w:val="18"/>
                <w:lang w:eastAsia="tr-TR"/>
              </w:rPr>
            </w:pPr>
            <w:r w:rsidRPr="00D83E2C">
              <w:rPr>
                <w:sz w:val="18"/>
                <w:szCs w:val="18"/>
                <w:lang w:eastAsia="tr-TR"/>
              </w:rPr>
              <w:t>53,418</w:t>
            </w:r>
          </w:p>
        </w:tc>
        <w:tc>
          <w:tcPr>
            <w:tcW w:w="1383" w:type="dxa"/>
            <w:tcBorders>
              <w:top w:val="nil"/>
              <w:left w:val="nil"/>
              <w:bottom w:val="nil"/>
              <w:right w:val="nil"/>
            </w:tcBorders>
            <w:shd w:val="clear" w:color="auto" w:fill="auto"/>
            <w:vAlign w:val="center"/>
            <w:hideMark/>
          </w:tcPr>
          <w:p w14:paraId="5DA83AD9" w14:textId="77777777" w:rsidR="00AD0FA6" w:rsidRPr="00D83E2C" w:rsidRDefault="00AD0FA6" w:rsidP="00AD0FA6">
            <w:pPr>
              <w:jc w:val="right"/>
              <w:rPr>
                <w:sz w:val="18"/>
                <w:szCs w:val="18"/>
                <w:lang w:eastAsia="tr-TR"/>
              </w:rPr>
            </w:pPr>
            <w:r w:rsidRPr="00D83E2C">
              <w:rPr>
                <w:rFonts w:eastAsia="Arial Unicode MS"/>
                <w:sz w:val="18"/>
                <w:szCs w:val="18"/>
                <w:lang w:eastAsia="tr-TR"/>
              </w:rPr>
              <w:t>53,418</w:t>
            </w:r>
          </w:p>
        </w:tc>
      </w:tr>
      <w:tr w:rsidR="00AD0FA6" w:rsidRPr="00D83E2C" w14:paraId="783C2A9B" w14:textId="77777777" w:rsidTr="00BA637F">
        <w:trPr>
          <w:divId w:val="289825845"/>
          <w:trHeight w:val="211"/>
        </w:trPr>
        <w:tc>
          <w:tcPr>
            <w:tcW w:w="6521" w:type="dxa"/>
            <w:tcBorders>
              <w:top w:val="nil"/>
              <w:left w:val="nil"/>
              <w:bottom w:val="nil"/>
              <w:right w:val="nil"/>
            </w:tcBorders>
            <w:shd w:val="clear" w:color="auto" w:fill="auto"/>
            <w:noWrap/>
            <w:vAlign w:val="center"/>
            <w:hideMark/>
          </w:tcPr>
          <w:p w14:paraId="3AD8ED00" w14:textId="77777777" w:rsidR="00AD0FA6" w:rsidRPr="00D83E2C" w:rsidRDefault="00AD0FA6" w:rsidP="00AD0FA6">
            <w:pPr>
              <w:rPr>
                <w:sz w:val="18"/>
                <w:szCs w:val="18"/>
                <w:lang w:eastAsia="tr-TR"/>
              </w:rPr>
            </w:pPr>
            <w:r w:rsidRPr="00D83E2C">
              <w:rPr>
                <w:iCs/>
                <w:sz w:val="18"/>
                <w:szCs w:val="18"/>
                <w:lang w:eastAsia="tr-TR"/>
              </w:rPr>
              <w:t xml:space="preserve">Yurtdışı Borsalara </w:t>
            </w:r>
            <w:proofErr w:type="spellStart"/>
            <w:r w:rsidRPr="00D83E2C">
              <w:rPr>
                <w:iCs/>
                <w:sz w:val="18"/>
                <w:szCs w:val="18"/>
                <w:lang w:eastAsia="tr-TR"/>
              </w:rPr>
              <w:t>Kote</w:t>
            </w:r>
            <w:proofErr w:type="spellEnd"/>
            <w:r w:rsidRPr="00D83E2C">
              <w:rPr>
                <w:iCs/>
                <w:sz w:val="18"/>
                <w:szCs w:val="18"/>
                <w:lang w:eastAsia="tr-TR"/>
              </w:rPr>
              <w:t xml:space="preserve"> Edilenler</w:t>
            </w:r>
          </w:p>
        </w:tc>
        <w:tc>
          <w:tcPr>
            <w:tcW w:w="1300" w:type="dxa"/>
            <w:tcBorders>
              <w:top w:val="nil"/>
              <w:left w:val="nil"/>
              <w:bottom w:val="nil"/>
              <w:right w:val="nil"/>
            </w:tcBorders>
            <w:shd w:val="clear" w:color="auto" w:fill="auto"/>
            <w:vAlign w:val="center"/>
            <w:hideMark/>
          </w:tcPr>
          <w:p w14:paraId="2F08DCF6" w14:textId="77777777" w:rsidR="00AD0FA6" w:rsidRPr="00D83E2C" w:rsidRDefault="00AD0FA6" w:rsidP="00AD0FA6">
            <w:pPr>
              <w:jc w:val="right"/>
              <w:rPr>
                <w:sz w:val="18"/>
                <w:szCs w:val="18"/>
                <w:lang w:eastAsia="tr-TR"/>
              </w:rPr>
            </w:pPr>
            <w:r w:rsidRPr="00D83E2C">
              <w:rPr>
                <w:sz w:val="18"/>
                <w:szCs w:val="18"/>
                <w:lang w:eastAsia="tr-TR"/>
              </w:rPr>
              <w:t>-</w:t>
            </w:r>
          </w:p>
        </w:tc>
        <w:tc>
          <w:tcPr>
            <w:tcW w:w="1383" w:type="dxa"/>
            <w:tcBorders>
              <w:top w:val="nil"/>
              <w:left w:val="nil"/>
              <w:bottom w:val="nil"/>
              <w:right w:val="nil"/>
            </w:tcBorders>
            <w:shd w:val="clear" w:color="auto" w:fill="auto"/>
            <w:vAlign w:val="center"/>
            <w:hideMark/>
          </w:tcPr>
          <w:p w14:paraId="0211998B" w14:textId="77777777" w:rsidR="00AD0FA6" w:rsidRPr="00D83E2C" w:rsidRDefault="00AD0FA6" w:rsidP="00AD0FA6">
            <w:pPr>
              <w:jc w:val="right"/>
              <w:rPr>
                <w:sz w:val="18"/>
                <w:szCs w:val="18"/>
                <w:lang w:eastAsia="tr-TR"/>
              </w:rPr>
            </w:pPr>
            <w:r w:rsidRPr="00D83E2C">
              <w:rPr>
                <w:sz w:val="18"/>
                <w:szCs w:val="18"/>
                <w:lang w:eastAsia="tr-TR"/>
              </w:rPr>
              <w:t>-</w:t>
            </w:r>
          </w:p>
        </w:tc>
      </w:tr>
      <w:tr w:rsidR="00AD0FA6" w:rsidRPr="00D83E2C" w14:paraId="4FC0A89D" w14:textId="77777777" w:rsidTr="00BA637F">
        <w:trPr>
          <w:divId w:val="289825845"/>
          <w:trHeight w:val="225"/>
        </w:trPr>
        <w:tc>
          <w:tcPr>
            <w:tcW w:w="6521" w:type="dxa"/>
            <w:tcBorders>
              <w:top w:val="nil"/>
              <w:left w:val="nil"/>
              <w:bottom w:val="double" w:sz="6" w:space="0" w:color="auto"/>
              <w:right w:val="nil"/>
            </w:tcBorders>
            <w:shd w:val="clear" w:color="auto" w:fill="auto"/>
            <w:vAlign w:val="center"/>
            <w:hideMark/>
          </w:tcPr>
          <w:p w14:paraId="373B7698" w14:textId="77777777" w:rsidR="00AD0FA6" w:rsidRPr="00D83E2C" w:rsidRDefault="00AD0FA6" w:rsidP="00AD0FA6">
            <w:pPr>
              <w:jc w:val="both"/>
              <w:rPr>
                <w:b/>
                <w:bCs/>
                <w:sz w:val="18"/>
                <w:szCs w:val="18"/>
                <w:lang w:eastAsia="tr-TR"/>
              </w:rPr>
            </w:pPr>
            <w:r w:rsidRPr="00D83E2C">
              <w:rPr>
                <w:b/>
                <w:bCs/>
                <w:sz w:val="18"/>
                <w:szCs w:val="18"/>
                <w:lang w:eastAsia="tr-TR"/>
              </w:rPr>
              <w:t>Toplam</w:t>
            </w:r>
          </w:p>
        </w:tc>
        <w:tc>
          <w:tcPr>
            <w:tcW w:w="1300" w:type="dxa"/>
            <w:tcBorders>
              <w:top w:val="nil"/>
              <w:left w:val="nil"/>
              <w:bottom w:val="double" w:sz="6" w:space="0" w:color="auto"/>
              <w:right w:val="nil"/>
            </w:tcBorders>
            <w:shd w:val="clear" w:color="auto" w:fill="auto"/>
            <w:vAlign w:val="center"/>
            <w:hideMark/>
          </w:tcPr>
          <w:p w14:paraId="7F41808E" w14:textId="77777777" w:rsidR="00AD0FA6" w:rsidRPr="00D83E2C" w:rsidRDefault="00AD0FA6" w:rsidP="00AD0FA6">
            <w:pPr>
              <w:jc w:val="right"/>
              <w:rPr>
                <w:b/>
                <w:bCs/>
                <w:sz w:val="18"/>
                <w:szCs w:val="18"/>
                <w:lang w:eastAsia="tr-TR"/>
              </w:rPr>
            </w:pPr>
            <w:r w:rsidRPr="00D83E2C">
              <w:rPr>
                <w:b/>
                <w:bCs/>
                <w:sz w:val="18"/>
                <w:szCs w:val="18"/>
                <w:lang w:eastAsia="tr-TR"/>
              </w:rPr>
              <w:t>53,418</w:t>
            </w:r>
          </w:p>
        </w:tc>
        <w:tc>
          <w:tcPr>
            <w:tcW w:w="1383" w:type="dxa"/>
            <w:tcBorders>
              <w:top w:val="nil"/>
              <w:left w:val="nil"/>
              <w:bottom w:val="double" w:sz="6" w:space="0" w:color="auto"/>
              <w:right w:val="nil"/>
            </w:tcBorders>
            <w:shd w:val="clear" w:color="auto" w:fill="auto"/>
            <w:vAlign w:val="center"/>
            <w:hideMark/>
          </w:tcPr>
          <w:p w14:paraId="0EEDB18A" w14:textId="77777777" w:rsidR="00AD0FA6" w:rsidRPr="00D83E2C" w:rsidRDefault="00AD0FA6" w:rsidP="00AD0FA6">
            <w:pPr>
              <w:jc w:val="right"/>
              <w:rPr>
                <w:b/>
                <w:bCs/>
                <w:sz w:val="18"/>
                <w:szCs w:val="18"/>
                <w:lang w:eastAsia="tr-TR"/>
              </w:rPr>
            </w:pPr>
            <w:r w:rsidRPr="00D83E2C">
              <w:rPr>
                <w:b/>
                <w:bCs/>
                <w:sz w:val="18"/>
                <w:szCs w:val="18"/>
                <w:lang w:eastAsia="tr-TR"/>
              </w:rPr>
              <w:t>53,418</w:t>
            </w:r>
          </w:p>
        </w:tc>
      </w:tr>
    </w:tbl>
    <w:p w14:paraId="17BCBE66" w14:textId="2CC1A3AA" w:rsidR="004F702F" w:rsidRPr="00270CE6" w:rsidRDefault="004F702F" w:rsidP="006F7EEC">
      <w:pPr>
        <w:tabs>
          <w:tab w:val="left" w:pos="709"/>
        </w:tabs>
        <w:ind w:hanging="567"/>
        <w:rPr>
          <w:b/>
          <w:iCs/>
          <w:highlight w:val="yellow"/>
        </w:rPr>
      </w:pPr>
    </w:p>
    <w:p w14:paraId="4D0F6C95" w14:textId="3E986C6D" w:rsidR="00CD5FEF" w:rsidRPr="00D83E2C" w:rsidRDefault="003A0C10" w:rsidP="006F7EEC">
      <w:pPr>
        <w:tabs>
          <w:tab w:val="left" w:pos="709"/>
        </w:tabs>
        <w:ind w:hanging="567"/>
        <w:rPr>
          <w:iCs/>
        </w:rPr>
      </w:pPr>
      <w:r>
        <w:rPr>
          <w:b/>
          <w:bCs/>
          <w:iCs/>
        </w:rPr>
        <w:t>1.8</w:t>
      </w:r>
      <w:r w:rsidR="0080177D" w:rsidRPr="00D83E2C">
        <w:rPr>
          <w:b/>
        </w:rPr>
        <w:t>.</w:t>
      </w:r>
      <w:r w:rsidR="006F7EEC" w:rsidRPr="00D83E2C">
        <w:rPr>
          <w:b/>
          <w:iCs/>
        </w:rPr>
        <w:t>3</w:t>
      </w:r>
      <w:r w:rsidR="00CD5FEF" w:rsidRPr="00D83E2C">
        <w:rPr>
          <w:iCs/>
        </w:rPr>
        <w:tab/>
      </w:r>
      <w:r w:rsidR="00CD797F" w:rsidRPr="00D83E2C">
        <w:rPr>
          <w:iCs/>
        </w:rPr>
        <w:t>Önemli büyüklükteki bağlı ortaklıkların sermaye yeterlilik durumu</w:t>
      </w:r>
      <w:r w:rsidR="00CD5FEF" w:rsidRPr="00D83E2C">
        <w:rPr>
          <w:iCs/>
        </w:rPr>
        <w:t>:</w:t>
      </w:r>
    </w:p>
    <w:p w14:paraId="63C56FA9" w14:textId="77777777" w:rsidR="00CD797F" w:rsidRPr="00D83E2C" w:rsidRDefault="00CD797F" w:rsidP="00CD5FEF">
      <w:pPr>
        <w:tabs>
          <w:tab w:val="left" w:pos="567"/>
        </w:tabs>
        <w:rPr>
          <w:iCs/>
          <w:sz w:val="16"/>
          <w:szCs w:val="16"/>
        </w:rPr>
      </w:pPr>
    </w:p>
    <w:p w14:paraId="285996F0" w14:textId="47E490AD" w:rsidR="004A4715" w:rsidRPr="00D83E2C" w:rsidRDefault="00231E24" w:rsidP="00C46728">
      <w:pPr>
        <w:autoSpaceDE w:val="0"/>
        <w:autoSpaceDN w:val="0"/>
        <w:adjustRightInd w:val="0"/>
        <w:jc w:val="both"/>
        <w:rPr>
          <w:rFonts w:eastAsia="Arial Unicode MS"/>
        </w:rPr>
      </w:pPr>
      <w:r w:rsidRPr="00D83E2C">
        <w:rPr>
          <w:rFonts w:eastAsia="Arial Unicode MS"/>
        </w:rPr>
        <w:t xml:space="preserve">Banka’nın Almanya’da mukim bağlı ortaklığı KT Bank AG’nin </w:t>
      </w:r>
      <w:r w:rsidR="005E0CBE" w:rsidRPr="00D83E2C">
        <w:t xml:space="preserve">30 </w:t>
      </w:r>
      <w:r w:rsidR="00C22046" w:rsidRPr="00D83E2C">
        <w:t>Eylül</w:t>
      </w:r>
      <w:r w:rsidR="005E0CBE" w:rsidRPr="00D83E2C">
        <w:t xml:space="preserve"> 2020</w:t>
      </w:r>
      <w:r w:rsidRPr="00D83E2C">
        <w:rPr>
          <w:rFonts w:eastAsia="Arial Unicode MS"/>
        </w:rPr>
        <w:t xml:space="preserve"> itibariyle hesaplanan </w:t>
      </w:r>
      <w:proofErr w:type="spellStart"/>
      <w:r w:rsidRPr="00D83E2C">
        <w:rPr>
          <w:rFonts w:eastAsia="Arial Unicode MS"/>
        </w:rPr>
        <w:t>özkaynak</w:t>
      </w:r>
      <w:proofErr w:type="spellEnd"/>
      <w:r w:rsidRPr="00D83E2C">
        <w:rPr>
          <w:rFonts w:eastAsia="Arial Unicode MS"/>
        </w:rPr>
        <w:t xml:space="preserve"> tutarı </w:t>
      </w:r>
      <w:r w:rsidR="00E835F9" w:rsidRPr="00D83E2C">
        <w:rPr>
          <w:rFonts w:eastAsia="Arial Unicode MS"/>
        </w:rPr>
        <w:t>108,</w:t>
      </w:r>
      <w:r w:rsidR="00D83E2C" w:rsidRPr="00D83E2C">
        <w:rPr>
          <w:rFonts w:eastAsia="Arial Unicode MS"/>
        </w:rPr>
        <w:t>877</w:t>
      </w:r>
      <w:r w:rsidR="00E835F9" w:rsidRPr="00D83E2C">
        <w:rPr>
          <w:rFonts w:eastAsia="Arial Unicode MS"/>
        </w:rPr>
        <w:t>,</w:t>
      </w:r>
      <w:r w:rsidR="00D83E2C" w:rsidRPr="00D83E2C">
        <w:rPr>
          <w:rFonts w:eastAsia="Arial Unicode MS"/>
        </w:rPr>
        <w:t>546</w:t>
      </w:r>
      <w:r w:rsidRPr="00D83E2C">
        <w:rPr>
          <w:rFonts w:eastAsia="Arial Unicode MS"/>
        </w:rPr>
        <w:t xml:space="preserve"> EUR</w:t>
      </w:r>
      <w:r w:rsidR="00AA735A" w:rsidRPr="00D83E2C">
        <w:rPr>
          <w:rFonts w:eastAsia="Arial Unicode MS"/>
        </w:rPr>
        <w:t xml:space="preserve"> (Tam EUR tutardır)</w:t>
      </w:r>
      <w:r w:rsidRPr="00D83E2C">
        <w:rPr>
          <w:rFonts w:eastAsia="Arial Unicode MS"/>
        </w:rPr>
        <w:t xml:space="preserve"> ve sermaye yeterlilik oranı </w:t>
      </w:r>
      <w:proofErr w:type="gramStart"/>
      <w:r w:rsidRPr="00D83E2C">
        <w:rPr>
          <w:rFonts w:eastAsia="Arial Unicode MS"/>
        </w:rPr>
        <w:t>%</w:t>
      </w:r>
      <w:r w:rsidR="00AC7380" w:rsidRPr="00D83E2C">
        <w:rPr>
          <w:rFonts w:eastAsia="Arial Unicode MS"/>
        </w:rPr>
        <w:t>2</w:t>
      </w:r>
      <w:r w:rsidR="00D83E2C" w:rsidRPr="00D83E2C">
        <w:rPr>
          <w:rFonts w:eastAsia="Arial Unicode MS"/>
        </w:rPr>
        <w:t>2</w:t>
      </w:r>
      <w:r w:rsidRPr="00D83E2C">
        <w:rPr>
          <w:rFonts w:eastAsia="Arial Unicode MS"/>
        </w:rPr>
        <w:t>.</w:t>
      </w:r>
      <w:r w:rsidR="00482AF6" w:rsidRPr="00D83E2C">
        <w:rPr>
          <w:rFonts w:eastAsia="Arial Unicode MS"/>
        </w:rPr>
        <w:t>6</w:t>
      </w:r>
      <w:proofErr w:type="gramEnd"/>
      <w:r w:rsidR="00330C92" w:rsidRPr="00D83E2C">
        <w:rPr>
          <w:rFonts w:eastAsia="Arial Unicode MS"/>
        </w:rPr>
        <w:t>’dir</w:t>
      </w:r>
      <w:r w:rsidRPr="00D83E2C">
        <w:rPr>
          <w:rFonts w:eastAsia="Arial Unicode MS"/>
        </w:rPr>
        <w:t>.</w:t>
      </w:r>
    </w:p>
    <w:p w14:paraId="10004849" w14:textId="77777777" w:rsidR="004A4715" w:rsidRPr="00D83E2C" w:rsidRDefault="004A4715" w:rsidP="00CD5FEF">
      <w:pPr>
        <w:tabs>
          <w:tab w:val="left" w:pos="567"/>
        </w:tabs>
        <w:rPr>
          <w:iCs/>
          <w:sz w:val="16"/>
          <w:szCs w:val="16"/>
        </w:rPr>
      </w:pPr>
    </w:p>
    <w:p w14:paraId="220AEECE" w14:textId="77777777" w:rsidR="00BA637F" w:rsidRDefault="00BA637F">
      <w:pPr>
        <w:rPr>
          <w:b/>
          <w:bCs/>
          <w:iCs/>
        </w:rPr>
      </w:pPr>
      <w:r>
        <w:rPr>
          <w:b/>
          <w:bCs/>
          <w:iCs/>
        </w:rPr>
        <w:br w:type="page"/>
      </w:r>
    </w:p>
    <w:p w14:paraId="75E1DCDA" w14:textId="4D85D360" w:rsidR="00C4164E" w:rsidRPr="00D83E2C" w:rsidRDefault="000C6E76" w:rsidP="001240D7">
      <w:pPr>
        <w:autoSpaceDE w:val="0"/>
        <w:autoSpaceDN w:val="0"/>
        <w:adjustRightInd w:val="0"/>
        <w:ind w:hanging="567"/>
        <w:rPr>
          <w:b/>
          <w:bCs/>
          <w:iCs/>
        </w:rPr>
      </w:pPr>
      <w:r w:rsidRPr="00D83E2C">
        <w:rPr>
          <w:b/>
          <w:bCs/>
          <w:iCs/>
        </w:rPr>
        <w:lastRenderedPageBreak/>
        <w:t>1.</w:t>
      </w:r>
      <w:r w:rsidR="003A0C10">
        <w:rPr>
          <w:b/>
          <w:bCs/>
          <w:iCs/>
        </w:rPr>
        <w:t>9</w:t>
      </w:r>
      <w:r w:rsidRPr="00D83E2C">
        <w:rPr>
          <w:b/>
          <w:bCs/>
          <w:iCs/>
        </w:rPr>
        <w:tab/>
      </w:r>
      <w:r w:rsidR="00E253C8" w:rsidRPr="00D83E2C">
        <w:rPr>
          <w:b/>
          <w:bCs/>
          <w:iCs/>
        </w:rPr>
        <w:t xml:space="preserve">Birlikte kontrol edilen ortaklıklara (iş ortaklıklarına) ilişkin bilgiler (Net): </w:t>
      </w:r>
    </w:p>
    <w:p w14:paraId="0F6C146D" w14:textId="17A84090" w:rsidR="00D83E2C" w:rsidRPr="00D83E2C" w:rsidRDefault="00D83E2C" w:rsidP="00D83E2C">
      <w:pPr>
        <w:spacing w:line="214" w:lineRule="auto"/>
        <w:ind w:right="-1"/>
        <w:rPr>
          <w:lang w:val="en-GB" w:eastAsia="en-GB"/>
        </w:rPr>
      </w:pPr>
    </w:p>
    <w:tbl>
      <w:tblPr>
        <w:tblW w:w="9153" w:type="dxa"/>
        <w:tblCellMar>
          <w:left w:w="70" w:type="dxa"/>
          <w:right w:w="70" w:type="dxa"/>
        </w:tblCellMar>
        <w:tblLook w:val="04A0" w:firstRow="1" w:lastRow="0" w:firstColumn="1" w:lastColumn="0" w:noHBand="0" w:noVBand="1"/>
      </w:tblPr>
      <w:tblGrid>
        <w:gridCol w:w="3004"/>
        <w:gridCol w:w="1115"/>
        <w:gridCol w:w="1155"/>
        <w:gridCol w:w="931"/>
        <w:gridCol w:w="911"/>
        <w:gridCol w:w="1055"/>
        <w:gridCol w:w="982"/>
      </w:tblGrid>
      <w:tr w:rsidR="00D83E2C" w:rsidRPr="00D83E2C" w14:paraId="33888912" w14:textId="77777777" w:rsidTr="006B1072">
        <w:trPr>
          <w:divId w:val="503474030"/>
          <w:trHeight w:val="257"/>
        </w:trPr>
        <w:tc>
          <w:tcPr>
            <w:tcW w:w="3024" w:type="dxa"/>
            <w:tcBorders>
              <w:top w:val="double" w:sz="6" w:space="0" w:color="auto"/>
              <w:left w:val="nil"/>
              <w:bottom w:val="single" w:sz="8" w:space="0" w:color="auto"/>
              <w:right w:val="nil"/>
            </w:tcBorders>
            <w:shd w:val="clear" w:color="auto" w:fill="auto"/>
            <w:vAlign w:val="center"/>
            <w:hideMark/>
          </w:tcPr>
          <w:p w14:paraId="7D0459F4" w14:textId="0EC3FA75" w:rsidR="00D83E2C" w:rsidRPr="00D83E2C" w:rsidRDefault="00D83E2C" w:rsidP="00D83E2C">
            <w:pPr>
              <w:jc w:val="both"/>
              <w:rPr>
                <w:b/>
                <w:bCs/>
                <w:sz w:val="18"/>
                <w:szCs w:val="18"/>
                <w:lang w:eastAsia="tr-TR"/>
              </w:rPr>
            </w:pPr>
            <w:r w:rsidRPr="00D83E2C">
              <w:rPr>
                <w:b/>
                <w:bCs/>
                <w:sz w:val="18"/>
                <w:szCs w:val="18"/>
                <w:lang w:eastAsia="tr-TR"/>
              </w:rPr>
              <w:t> </w:t>
            </w:r>
          </w:p>
        </w:tc>
        <w:tc>
          <w:tcPr>
            <w:tcW w:w="1117" w:type="dxa"/>
            <w:tcBorders>
              <w:top w:val="double" w:sz="6" w:space="0" w:color="auto"/>
              <w:left w:val="nil"/>
              <w:bottom w:val="single" w:sz="8" w:space="0" w:color="auto"/>
              <w:right w:val="nil"/>
            </w:tcBorders>
            <w:shd w:val="clear" w:color="auto" w:fill="auto"/>
            <w:vAlign w:val="center"/>
            <w:hideMark/>
          </w:tcPr>
          <w:p w14:paraId="2AFBCDF1" w14:textId="77777777" w:rsidR="00D83E2C" w:rsidRPr="00D83E2C" w:rsidRDefault="00D83E2C" w:rsidP="00D83E2C">
            <w:pPr>
              <w:jc w:val="center"/>
              <w:rPr>
                <w:b/>
                <w:bCs/>
                <w:sz w:val="18"/>
                <w:szCs w:val="18"/>
                <w:lang w:eastAsia="tr-TR"/>
              </w:rPr>
            </w:pPr>
            <w:r w:rsidRPr="00D83E2C">
              <w:rPr>
                <w:b/>
                <w:bCs/>
                <w:sz w:val="18"/>
                <w:szCs w:val="18"/>
                <w:lang w:eastAsia="tr-TR"/>
              </w:rPr>
              <w:t>Banka'nın payı</w:t>
            </w:r>
          </w:p>
        </w:tc>
        <w:tc>
          <w:tcPr>
            <w:tcW w:w="1158" w:type="dxa"/>
            <w:tcBorders>
              <w:top w:val="double" w:sz="6" w:space="0" w:color="auto"/>
              <w:left w:val="nil"/>
              <w:bottom w:val="single" w:sz="8" w:space="0" w:color="auto"/>
              <w:right w:val="nil"/>
            </w:tcBorders>
            <w:shd w:val="clear" w:color="auto" w:fill="auto"/>
            <w:vAlign w:val="center"/>
            <w:hideMark/>
          </w:tcPr>
          <w:p w14:paraId="19186A66" w14:textId="77777777" w:rsidR="00D83E2C" w:rsidRPr="00D83E2C" w:rsidRDefault="00D83E2C" w:rsidP="00D83E2C">
            <w:pPr>
              <w:jc w:val="center"/>
              <w:rPr>
                <w:b/>
                <w:bCs/>
                <w:sz w:val="18"/>
                <w:szCs w:val="18"/>
                <w:lang w:eastAsia="tr-TR"/>
              </w:rPr>
            </w:pPr>
            <w:r w:rsidRPr="00D83E2C">
              <w:rPr>
                <w:b/>
                <w:bCs/>
                <w:sz w:val="18"/>
                <w:szCs w:val="18"/>
                <w:lang w:eastAsia="tr-TR"/>
              </w:rPr>
              <w:t>Aktif toplamı</w:t>
            </w:r>
          </w:p>
        </w:tc>
        <w:tc>
          <w:tcPr>
            <w:tcW w:w="903" w:type="dxa"/>
            <w:tcBorders>
              <w:top w:val="double" w:sz="6" w:space="0" w:color="auto"/>
              <w:left w:val="nil"/>
              <w:bottom w:val="single" w:sz="8" w:space="0" w:color="auto"/>
              <w:right w:val="nil"/>
            </w:tcBorders>
            <w:shd w:val="clear" w:color="auto" w:fill="auto"/>
            <w:vAlign w:val="center"/>
            <w:hideMark/>
          </w:tcPr>
          <w:p w14:paraId="58B68858" w14:textId="77777777" w:rsidR="00D83E2C" w:rsidRPr="00D83E2C" w:rsidRDefault="00D83E2C" w:rsidP="00D83E2C">
            <w:pPr>
              <w:jc w:val="center"/>
              <w:rPr>
                <w:b/>
                <w:bCs/>
                <w:sz w:val="18"/>
                <w:szCs w:val="18"/>
                <w:lang w:eastAsia="tr-TR"/>
              </w:rPr>
            </w:pPr>
            <w:proofErr w:type="spellStart"/>
            <w:r w:rsidRPr="00D83E2C">
              <w:rPr>
                <w:b/>
                <w:bCs/>
                <w:sz w:val="18"/>
                <w:szCs w:val="18"/>
                <w:lang w:eastAsia="tr-TR"/>
              </w:rPr>
              <w:t>Özkaynak</w:t>
            </w:r>
            <w:proofErr w:type="spellEnd"/>
          </w:p>
        </w:tc>
        <w:tc>
          <w:tcPr>
            <w:tcW w:w="913" w:type="dxa"/>
            <w:tcBorders>
              <w:top w:val="double" w:sz="6" w:space="0" w:color="auto"/>
              <w:left w:val="nil"/>
              <w:bottom w:val="single" w:sz="8" w:space="0" w:color="auto"/>
              <w:right w:val="nil"/>
            </w:tcBorders>
            <w:shd w:val="clear" w:color="auto" w:fill="auto"/>
            <w:vAlign w:val="center"/>
            <w:hideMark/>
          </w:tcPr>
          <w:p w14:paraId="6D998822" w14:textId="77777777" w:rsidR="00D83E2C" w:rsidRPr="00D83E2C" w:rsidRDefault="00D83E2C" w:rsidP="00D83E2C">
            <w:pPr>
              <w:jc w:val="center"/>
              <w:rPr>
                <w:b/>
                <w:bCs/>
                <w:sz w:val="18"/>
                <w:szCs w:val="18"/>
                <w:lang w:eastAsia="tr-TR"/>
              </w:rPr>
            </w:pPr>
            <w:r w:rsidRPr="00D83E2C">
              <w:rPr>
                <w:b/>
                <w:bCs/>
                <w:sz w:val="18"/>
                <w:szCs w:val="18"/>
                <w:lang w:eastAsia="tr-TR"/>
              </w:rPr>
              <w:t>Sabit varlık toplamı</w:t>
            </w:r>
          </w:p>
        </w:tc>
        <w:tc>
          <w:tcPr>
            <w:tcW w:w="1056" w:type="dxa"/>
            <w:tcBorders>
              <w:top w:val="double" w:sz="6" w:space="0" w:color="auto"/>
              <w:left w:val="nil"/>
              <w:bottom w:val="single" w:sz="8" w:space="0" w:color="auto"/>
              <w:right w:val="nil"/>
            </w:tcBorders>
            <w:shd w:val="clear" w:color="auto" w:fill="auto"/>
            <w:vAlign w:val="center"/>
            <w:hideMark/>
          </w:tcPr>
          <w:p w14:paraId="36087D55" w14:textId="77777777" w:rsidR="00D83E2C" w:rsidRPr="00D83E2C" w:rsidRDefault="00D83E2C" w:rsidP="00D83E2C">
            <w:pPr>
              <w:jc w:val="center"/>
              <w:rPr>
                <w:b/>
                <w:bCs/>
                <w:sz w:val="18"/>
                <w:szCs w:val="18"/>
                <w:lang w:eastAsia="tr-TR"/>
              </w:rPr>
            </w:pPr>
            <w:r w:rsidRPr="00D83E2C">
              <w:rPr>
                <w:b/>
                <w:bCs/>
                <w:sz w:val="18"/>
                <w:szCs w:val="18"/>
                <w:lang w:eastAsia="tr-TR"/>
              </w:rPr>
              <w:t>Cari dönem kar/zararı</w:t>
            </w:r>
          </w:p>
        </w:tc>
        <w:tc>
          <w:tcPr>
            <w:tcW w:w="982" w:type="dxa"/>
            <w:tcBorders>
              <w:top w:val="double" w:sz="6" w:space="0" w:color="auto"/>
              <w:left w:val="nil"/>
              <w:bottom w:val="single" w:sz="8" w:space="0" w:color="auto"/>
              <w:right w:val="nil"/>
            </w:tcBorders>
            <w:shd w:val="clear" w:color="000000" w:fill="FFFFFF"/>
            <w:vAlign w:val="center"/>
            <w:hideMark/>
          </w:tcPr>
          <w:p w14:paraId="7EBCFED1" w14:textId="77777777" w:rsidR="00D83E2C" w:rsidRPr="00D83E2C" w:rsidRDefault="00D83E2C" w:rsidP="00D83E2C">
            <w:pPr>
              <w:jc w:val="center"/>
              <w:rPr>
                <w:b/>
                <w:bCs/>
                <w:sz w:val="18"/>
                <w:szCs w:val="18"/>
                <w:lang w:eastAsia="tr-TR"/>
              </w:rPr>
            </w:pPr>
            <w:r w:rsidRPr="00D83E2C">
              <w:rPr>
                <w:b/>
                <w:bCs/>
                <w:sz w:val="18"/>
                <w:szCs w:val="18"/>
                <w:lang w:eastAsia="tr-TR"/>
              </w:rPr>
              <w:t>Önceki dönem kar/zararı</w:t>
            </w:r>
          </w:p>
        </w:tc>
      </w:tr>
      <w:tr w:rsidR="00D83E2C" w:rsidRPr="00D83E2C" w14:paraId="6EF635BC" w14:textId="77777777" w:rsidTr="006B1072">
        <w:trPr>
          <w:divId w:val="503474030"/>
          <w:trHeight w:val="132"/>
        </w:trPr>
        <w:tc>
          <w:tcPr>
            <w:tcW w:w="3024" w:type="dxa"/>
            <w:tcBorders>
              <w:top w:val="nil"/>
              <w:left w:val="nil"/>
              <w:bottom w:val="nil"/>
              <w:right w:val="nil"/>
            </w:tcBorders>
            <w:shd w:val="clear" w:color="auto" w:fill="auto"/>
            <w:vAlign w:val="center"/>
            <w:hideMark/>
          </w:tcPr>
          <w:p w14:paraId="17FF35CF" w14:textId="77777777" w:rsidR="00D83E2C" w:rsidRPr="00D83E2C" w:rsidRDefault="00D83E2C" w:rsidP="00D83E2C">
            <w:pPr>
              <w:jc w:val="center"/>
              <w:rPr>
                <w:b/>
                <w:bCs/>
                <w:sz w:val="18"/>
                <w:szCs w:val="18"/>
                <w:lang w:eastAsia="tr-TR"/>
              </w:rPr>
            </w:pPr>
          </w:p>
        </w:tc>
        <w:tc>
          <w:tcPr>
            <w:tcW w:w="1117" w:type="dxa"/>
            <w:tcBorders>
              <w:top w:val="nil"/>
              <w:left w:val="nil"/>
              <w:bottom w:val="nil"/>
              <w:right w:val="nil"/>
            </w:tcBorders>
            <w:shd w:val="clear" w:color="auto" w:fill="auto"/>
            <w:vAlign w:val="center"/>
            <w:hideMark/>
          </w:tcPr>
          <w:p w14:paraId="34BFF781" w14:textId="77777777" w:rsidR="00D83E2C" w:rsidRPr="00D83E2C" w:rsidRDefault="00D83E2C" w:rsidP="00D83E2C">
            <w:pPr>
              <w:jc w:val="both"/>
              <w:rPr>
                <w:lang w:eastAsia="tr-TR"/>
              </w:rPr>
            </w:pPr>
          </w:p>
        </w:tc>
        <w:tc>
          <w:tcPr>
            <w:tcW w:w="1158" w:type="dxa"/>
            <w:tcBorders>
              <w:top w:val="nil"/>
              <w:left w:val="nil"/>
              <w:bottom w:val="nil"/>
              <w:right w:val="nil"/>
            </w:tcBorders>
            <w:shd w:val="clear" w:color="auto" w:fill="auto"/>
            <w:vAlign w:val="bottom"/>
            <w:hideMark/>
          </w:tcPr>
          <w:p w14:paraId="4386D745" w14:textId="77777777" w:rsidR="00D83E2C" w:rsidRPr="00D83E2C" w:rsidRDefault="00D83E2C" w:rsidP="00D83E2C">
            <w:pPr>
              <w:jc w:val="center"/>
              <w:rPr>
                <w:lang w:eastAsia="tr-TR"/>
              </w:rPr>
            </w:pPr>
          </w:p>
        </w:tc>
        <w:tc>
          <w:tcPr>
            <w:tcW w:w="903" w:type="dxa"/>
            <w:tcBorders>
              <w:top w:val="nil"/>
              <w:left w:val="nil"/>
              <w:bottom w:val="nil"/>
              <w:right w:val="nil"/>
            </w:tcBorders>
            <w:shd w:val="clear" w:color="auto" w:fill="auto"/>
            <w:vAlign w:val="center"/>
            <w:hideMark/>
          </w:tcPr>
          <w:p w14:paraId="26FD4FE1" w14:textId="77777777" w:rsidR="00D83E2C" w:rsidRPr="00D83E2C" w:rsidRDefault="00D83E2C" w:rsidP="00D83E2C">
            <w:pPr>
              <w:rPr>
                <w:lang w:eastAsia="tr-TR"/>
              </w:rPr>
            </w:pPr>
          </w:p>
        </w:tc>
        <w:tc>
          <w:tcPr>
            <w:tcW w:w="913" w:type="dxa"/>
            <w:tcBorders>
              <w:top w:val="nil"/>
              <w:left w:val="nil"/>
              <w:bottom w:val="nil"/>
              <w:right w:val="nil"/>
            </w:tcBorders>
            <w:shd w:val="clear" w:color="auto" w:fill="auto"/>
            <w:vAlign w:val="center"/>
            <w:hideMark/>
          </w:tcPr>
          <w:p w14:paraId="5EEE2E19" w14:textId="77777777" w:rsidR="00D83E2C" w:rsidRPr="00D83E2C" w:rsidRDefault="00D83E2C" w:rsidP="00D83E2C">
            <w:pPr>
              <w:jc w:val="center"/>
              <w:rPr>
                <w:lang w:eastAsia="tr-TR"/>
              </w:rPr>
            </w:pPr>
          </w:p>
        </w:tc>
        <w:tc>
          <w:tcPr>
            <w:tcW w:w="1056" w:type="dxa"/>
            <w:tcBorders>
              <w:top w:val="nil"/>
              <w:left w:val="nil"/>
              <w:bottom w:val="nil"/>
              <w:right w:val="nil"/>
            </w:tcBorders>
            <w:shd w:val="clear" w:color="auto" w:fill="auto"/>
            <w:vAlign w:val="center"/>
            <w:hideMark/>
          </w:tcPr>
          <w:p w14:paraId="726B5A3C" w14:textId="77777777" w:rsidR="00D83E2C" w:rsidRPr="00D83E2C" w:rsidRDefault="00D83E2C" w:rsidP="00D83E2C">
            <w:pPr>
              <w:jc w:val="center"/>
              <w:rPr>
                <w:lang w:eastAsia="tr-TR"/>
              </w:rPr>
            </w:pPr>
          </w:p>
        </w:tc>
        <w:tc>
          <w:tcPr>
            <w:tcW w:w="982" w:type="dxa"/>
            <w:tcBorders>
              <w:top w:val="nil"/>
              <w:left w:val="nil"/>
              <w:bottom w:val="nil"/>
              <w:right w:val="nil"/>
            </w:tcBorders>
            <w:shd w:val="clear" w:color="000000" w:fill="FFFFFF"/>
            <w:vAlign w:val="center"/>
            <w:hideMark/>
          </w:tcPr>
          <w:p w14:paraId="1B7191E1" w14:textId="77777777" w:rsidR="00D83E2C" w:rsidRPr="00D83E2C" w:rsidRDefault="00D83E2C" w:rsidP="00D83E2C">
            <w:pPr>
              <w:jc w:val="center"/>
              <w:rPr>
                <w:b/>
                <w:bCs/>
                <w:sz w:val="18"/>
                <w:szCs w:val="18"/>
                <w:lang w:eastAsia="tr-TR"/>
              </w:rPr>
            </w:pPr>
            <w:r w:rsidRPr="00D83E2C">
              <w:rPr>
                <w:b/>
                <w:bCs/>
                <w:sz w:val="18"/>
                <w:szCs w:val="18"/>
                <w:lang w:eastAsia="tr-TR"/>
              </w:rPr>
              <w:t> </w:t>
            </w:r>
          </w:p>
        </w:tc>
      </w:tr>
      <w:tr w:rsidR="00D83E2C" w:rsidRPr="00D83E2C" w14:paraId="2F59454A" w14:textId="77777777" w:rsidTr="006B1072">
        <w:trPr>
          <w:divId w:val="503474030"/>
          <w:trHeight w:val="141"/>
        </w:trPr>
        <w:tc>
          <w:tcPr>
            <w:tcW w:w="3024" w:type="dxa"/>
            <w:tcBorders>
              <w:top w:val="nil"/>
              <w:left w:val="nil"/>
              <w:bottom w:val="double" w:sz="6" w:space="0" w:color="auto"/>
              <w:right w:val="nil"/>
            </w:tcBorders>
            <w:shd w:val="clear" w:color="auto" w:fill="auto"/>
            <w:vAlign w:val="center"/>
            <w:hideMark/>
          </w:tcPr>
          <w:p w14:paraId="767854B2" w14:textId="77777777" w:rsidR="00D83E2C" w:rsidRPr="00D83E2C" w:rsidRDefault="00D83E2C" w:rsidP="00D83E2C">
            <w:pPr>
              <w:jc w:val="both"/>
              <w:rPr>
                <w:sz w:val="18"/>
                <w:szCs w:val="18"/>
                <w:lang w:eastAsia="tr-TR"/>
              </w:rPr>
            </w:pPr>
            <w:r w:rsidRPr="00D83E2C">
              <w:rPr>
                <w:sz w:val="18"/>
                <w:szCs w:val="18"/>
                <w:lang w:eastAsia="tr-TR"/>
              </w:rPr>
              <w:t>Katılım Emeklilik ve Hayat A.Ş. (*)</w:t>
            </w:r>
          </w:p>
        </w:tc>
        <w:tc>
          <w:tcPr>
            <w:tcW w:w="1117" w:type="dxa"/>
            <w:tcBorders>
              <w:top w:val="nil"/>
              <w:left w:val="nil"/>
              <w:bottom w:val="double" w:sz="6" w:space="0" w:color="auto"/>
              <w:right w:val="nil"/>
            </w:tcBorders>
            <w:shd w:val="clear" w:color="auto" w:fill="auto"/>
            <w:vAlign w:val="center"/>
            <w:hideMark/>
          </w:tcPr>
          <w:p w14:paraId="015623FC" w14:textId="77777777" w:rsidR="00D83E2C" w:rsidRPr="00D83E2C" w:rsidRDefault="00D83E2C" w:rsidP="00D83E2C">
            <w:pPr>
              <w:jc w:val="center"/>
              <w:rPr>
                <w:sz w:val="18"/>
                <w:szCs w:val="18"/>
                <w:lang w:eastAsia="tr-TR"/>
              </w:rPr>
            </w:pPr>
            <w:r w:rsidRPr="00D83E2C">
              <w:rPr>
                <w:sz w:val="18"/>
                <w:szCs w:val="18"/>
                <w:lang w:eastAsia="tr-TR"/>
              </w:rPr>
              <w:t>50%</w:t>
            </w:r>
          </w:p>
        </w:tc>
        <w:tc>
          <w:tcPr>
            <w:tcW w:w="1158" w:type="dxa"/>
            <w:tcBorders>
              <w:top w:val="nil"/>
              <w:left w:val="nil"/>
              <w:bottom w:val="double" w:sz="6" w:space="0" w:color="auto"/>
              <w:right w:val="nil"/>
            </w:tcBorders>
            <w:shd w:val="clear" w:color="auto" w:fill="auto"/>
            <w:vAlign w:val="center"/>
            <w:hideMark/>
          </w:tcPr>
          <w:p w14:paraId="60AF1CA3" w14:textId="77777777" w:rsidR="00D83E2C" w:rsidRPr="00D83E2C" w:rsidRDefault="00D83E2C" w:rsidP="00D83E2C">
            <w:pPr>
              <w:jc w:val="center"/>
              <w:rPr>
                <w:sz w:val="18"/>
                <w:szCs w:val="18"/>
                <w:lang w:eastAsia="tr-TR"/>
              </w:rPr>
            </w:pPr>
            <w:r w:rsidRPr="00D83E2C">
              <w:rPr>
                <w:sz w:val="18"/>
                <w:szCs w:val="18"/>
                <w:lang w:eastAsia="tr-TR"/>
              </w:rPr>
              <w:t>3,744,827</w:t>
            </w:r>
          </w:p>
        </w:tc>
        <w:tc>
          <w:tcPr>
            <w:tcW w:w="903" w:type="dxa"/>
            <w:tcBorders>
              <w:top w:val="nil"/>
              <w:left w:val="nil"/>
              <w:bottom w:val="double" w:sz="6" w:space="0" w:color="auto"/>
              <w:right w:val="nil"/>
            </w:tcBorders>
            <w:shd w:val="clear" w:color="auto" w:fill="auto"/>
            <w:vAlign w:val="center"/>
            <w:hideMark/>
          </w:tcPr>
          <w:p w14:paraId="38EA8BDB" w14:textId="77777777" w:rsidR="00D83E2C" w:rsidRPr="00D83E2C" w:rsidRDefault="00D83E2C" w:rsidP="00D83E2C">
            <w:pPr>
              <w:jc w:val="center"/>
              <w:rPr>
                <w:sz w:val="18"/>
                <w:szCs w:val="18"/>
                <w:lang w:eastAsia="tr-TR"/>
              </w:rPr>
            </w:pPr>
            <w:r w:rsidRPr="00D83E2C">
              <w:rPr>
                <w:sz w:val="18"/>
                <w:szCs w:val="18"/>
                <w:lang w:eastAsia="tr-TR"/>
              </w:rPr>
              <w:t>105,813</w:t>
            </w:r>
          </w:p>
        </w:tc>
        <w:tc>
          <w:tcPr>
            <w:tcW w:w="913" w:type="dxa"/>
            <w:tcBorders>
              <w:top w:val="nil"/>
              <w:left w:val="nil"/>
              <w:bottom w:val="double" w:sz="6" w:space="0" w:color="auto"/>
              <w:right w:val="nil"/>
            </w:tcBorders>
            <w:shd w:val="clear" w:color="auto" w:fill="auto"/>
            <w:vAlign w:val="center"/>
            <w:hideMark/>
          </w:tcPr>
          <w:p w14:paraId="1904326B" w14:textId="77777777" w:rsidR="00D83E2C" w:rsidRPr="00D83E2C" w:rsidRDefault="00D83E2C" w:rsidP="00D83E2C">
            <w:pPr>
              <w:jc w:val="center"/>
              <w:rPr>
                <w:sz w:val="18"/>
                <w:szCs w:val="18"/>
                <w:lang w:eastAsia="tr-TR"/>
              </w:rPr>
            </w:pPr>
            <w:r w:rsidRPr="00D83E2C">
              <w:rPr>
                <w:sz w:val="18"/>
                <w:szCs w:val="18"/>
                <w:lang w:eastAsia="tr-TR"/>
              </w:rPr>
              <w:t>15,058</w:t>
            </w:r>
          </w:p>
        </w:tc>
        <w:tc>
          <w:tcPr>
            <w:tcW w:w="1056" w:type="dxa"/>
            <w:tcBorders>
              <w:top w:val="nil"/>
              <w:left w:val="nil"/>
              <w:bottom w:val="double" w:sz="6" w:space="0" w:color="auto"/>
              <w:right w:val="nil"/>
            </w:tcBorders>
            <w:shd w:val="clear" w:color="auto" w:fill="auto"/>
            <w:vAlign w:val="center"/>
            <w:hideMark/>
          </w:tcPr>
          <w:p w14:paraId="510EEEE3" w14:textId="77777777" w:rsidR="00D83E2C" w:rsidRPr="00D83E2C" w:rsidRDefault="00D83E2C" w:rsidP="00D83E2C">
            <w:pPr>
              <w:jc w:val="center"/>
              <w:rPr>
                <w:sz w:val="18"/>
                <w:szCs w:val="18"/>
                <w:lang w:eastAsia="tr-TR"/>
              </w:rPr>
            </w:pPr>
            <w:r w:rsidRPr="00D83E2C">
              <w:rPr>
                <w:sz w:val="18"/>
                <w:szCs w:val="18"/>
                <w:lang w:eastAsia="tr-TR"/>
              </w:rPr>
              <w:t>30,831</w:t>
            </w:r>
          </w:p>
        </w:tc>
        <w:tc>
          <w:tcPr>
            <w:tcW w:w="982" w:type="dxa"/>
            <w:tcBorders>
              <w:top w:val="nil"/>
              <w:left w:val="nil"/>
              <w:bottom w:val="double" w:sz="6" w:space="0" w:color="auto"/>
              <w:right w:val="nil"/>
            </w:tcBorders>
            <w:shd w:val="clear" w:color="000000" w:fill="FFFFFF"/>
            <w:vAlign w:val="center"/>
            <w:hideMark/>
          </w:tcPr>
          <w:p w14:paraId="44EF6743" w14:textId="77777777" w:rsidR="00D83E2C" w:rsidRPr="00D83E2C" w:rsidRDefault="00D83E2C" w:rsidP="00D83E2C">
            <w:pPr>
              <w:jc w:val="center"/>
              <w:rPr>
                <w:sz w:val="18"/>
                <w:szCs w:val="18"/>
                <w:lang w:eastAsia="tr-TR"/>
              </w:rPr>
            </w:pPr>
            <w:r w:rsidRPr="00D83E2C">
              <w:rPr>
                <w:sz w:val="18"/>
                <w:szCs w:val="18"/>
                <w:lang w:eastAsia="tr-TR"/>
              </w:rPr>
              <w:t>19,699</w:t>
            </w:r>
          </w:p>
        </w:tc>
      </w:tr>
    </w:tbl>
    <w:p w14:paraId="38BF0B5A" w14:textId="69EBD71C" w:rsidR="004A4715" w:rsidRPr="00D83E2C" w:rsidRDefault="004A4715" w:rsidP="0069328A">
      <w:pPr>
        <w:spacing w:line="214" w:lineRule="auto"/>
        <w:ind w:right="-1" w:hanging="426"/>
        <w:rPr>
          <w:spacing w:val="8"/>
          <w:sz w:val="16"/>
          <w:szCs w:val="16"/>
        </w:rPr>
      </w:pPr>
    </w:p>
    <w:p w14:paraId="0FAAE2CD" w14:textId="18782204" w:rsidR="00DE4629" w:rsidRPr="00D83E2C" w:rsidRDefault="004A4715" w:rsidP="00670EF3">
      <w:pPr>
        <w:spacing w:line="214" w:lineRule="auto"/>
        <w:ind w:left="720" w:hanging="720"/>
        <w:jc w:val="both"/>
        <w:rPr>
          <w:sz w:val="16"/>
          <w:szCs w:val="16"/>
        </w:rPr>
      </w:pPr>
      <w:r w:rsidRPr="00D83E2C">
        <w:rPr>
          <w:sz w:val="16"/>
          <w:szCs w:val="16"/>
        </w:rPr>
        <w:t>(*)</w:t>
      </w:r>
      <w:r w:rsidRPr="00D83E2C">
        <w:rPr>
          <w:sz w:val="16"/>
          <w:szCs w:val="16"/>
        </w:rPr>
        <w:tab/>
        <w:t xml:space="preserve">25 Nisan 2013 tarihinde yönetim kurulu kararı ile Kuveyt Türk Katılım Bankası ve Albaraka Türk Katılım Bankası’nın ana pay sahipliklerinde bir bireysel emeklilik şirketi kurulmasına karar verilmiştir. Banka’nın, Albaraka Türk Katılım Bankası ile eşit </w:t>
      </w:r>
      <w:r w:rsidRPr="00D83E2C">
        <w:rPr>
          <w:sz w:val="16"/>
          <w:szCs w:val="16"/>
        </w:rPr>
        <w:br/>
        <w:t xml:space="preserve">pay sahipliği şeklinde kurma kararı aldığı bireysel emeklilik şirketi, 895027 sicil numarası ile 17 Aralık 2013 tarihinde "Katılım Emeklilik ve Hayat </w:t>
      </w:r>
      <w:proofErr w:type="gramStart"/>
      <w:r w:rsidRPr="00D83E2C">
        <w:rPr>
          <w:sz w:val="16"/>
          <w:szCs w:val="16"/>
        </w:rPr>
        <w:t>Anonim  Şirketi</w:t>
      </w:r>
      <w:proofErr w:type="gramEnd"/>
      <w:r w:rsidRPr="00D83E2C">
        <w:rPr>
          <w:sz w:val="16"/>
          <w:szCs w:val="16"/>
        </w:rPr>
        <w:t xml:space="preserve">" ticaret </w:t>
      </w:r>
      <w:proofErr w:type="spellStart"/>
      <w:r w:rsidRPr="00D83E2C">
        <w:rPr>
          <w:sz w:val="16"/>
          <w:szCs w:val="16"/>
        </w:rPr>
        <w:t>ünvanı</w:t>
      </w:r>
      <w:proofErr w:type="spellEnd"/>
      <w:r w:rsidRPr="00D83E2C">
        <w:rPr>
          <w:sz w:val="16"/>
          <w:szCs w:val="16"/>
        </w:rPr>
        <w:t xml:space="preserve"> ile İstanbul Ticaret Sicil Müdürlüğü'nde tescil edilmiştir.</w:t>
      </w:r>
    </w:p>
    <w:p w14:paraId="31FC717F" w14:textId="77777777" w:rsidR="0080177D" w:rsidRDefault="0080177D" w:rsidP="000C6E76">
      <w:pPr>
        <w:tabs>
          <w:tab w:val="left" w:pos="0"/>
        </w:tabs>
        <w:autoSpaceDE w:val="0"/>
        <w:autoSpaceDN w:val="0"/>
        <w:adjustRightInd w:val="0"/>
        <w:ind w:hanging="567"/>
        <w:rPr>
          <w:b/>
          <w:bCs/>
          <w:iCs/>
          <w:highlight w:val="yellow"/>
        </w:rPr>
      </w:pPr>
    </w:p>
    <w:p w14:paraId="5811E8C9" w14:textId="77F30D42" w:rsidR="005A1EDE" w:rsidRPr="00B1775D" w:rsidRDefault="000C6E76" w:rsidP="000C6E76">
      <w:pPr>
        <w:tabs>
          <w:tab w:val="left" w:pos="0"/>
        </w:tabs>
        <w:autoSpaceDE w:val="0"/>
        <w:autoSpaceDN w:val="0"/>
        <w:adjustRightInd w:val="0"/>
        <w:ind w:hanging="567"/>
        <w:rPr>
          <w:b/>
          <w:bCs/>
          <w:iCs/>
        </w:rPr>
      </w:pPr>
      <w:r w:rsidRPr="00B1775D">
        <w:rPr>
          <w:b/>
          <w:bCs/>
          <w:iCs/>
        </w:rPr>
        <w:t>1.1</w:t>
      </w:r>
      <w:r w:rsidR="003A0C10">
        <w:rPr>
          <w:b/>
          <w:bCs/>
          <w:iCs/>
        </w:rPr>
        <w:t>0</w:t>
      </w:r>
      <w:r w:rsidRPr="00B1775D">
        <w:rPr>
          <w:b/>
          <w:bCs/>
          <w:iCs/>
        </w:rPr>
        <w:t xml:space="preserve"> </w:t>
      </w:r>
      <w:r w:rsidRPr="00B1775D">
        <w:rPr>
          <w:b/>
          <w:bCs/>
          <w:iCs/>
        </w:rPr>
        <w:tab/>
      </w:r>
      <w:r w:rsidR="00C4164E" w:rsidRPr="00B1775D">
        <w:rPr>
          <w:b/>
          <w:bCs/>
          <w:iCs/>
        </w:rPr>
        <w:t>Kiralama işlemlerinden alacaklara ilişkin bilgiler (Net):</w:t>
      </w:r>
    </w:p>
    <w:p w14:paraId="421C56BD" w14:textId="77777777" w:rsidR="00C4164E" w:rsidRPr="00B1775D" w:rsidRDefault="00C4164E" w:rsidP="00C4164E">
      <w:pPr>
        <w:autoSpaceDE w:val="0"/>
        <w:autoSpaceDN w:val="0"/>
        <w:adjustRightInd w:val="0"/>
        <w:ind w:left="720"/>
        <w:rPr>
          <w:rFonts w:eastAsia="Arial Unicode MS"/>
          <w:sz w:val="16"/>
          <w:szCs w:val="16"/>
        </w:rPr>
      </w:pPr>
    </w:p>
    <w:p w14:paraId="543863D4" w14:textId="031E93ED" w:rsidR="005A1EDE" w:rsidRPr="00B1775D" w:rsidRDefault="003A0C10" w:rsidP="001240D7">
      <w:pPr>
        <w:autoSpaceDE w:val="0"/>
        <w:autoSpaceDN w:val="0"/>
        <w:adjustRightInd w:val="0"/>
        <w:ind w:hanging="567"/>
      </w:pPr>
      <w:r w:rsidRPr="00B1775D">
        <w:rPr>
          <w:b/>
          <w:bCs/>
          <w:iCs/>
        </w:rPr>
        <w:t>1.1</w:t>
      </w:r>
      <w:r>
        <w:rPr>
          <w:b/>
          <w:bCs/>
          <w:iCs/>
        </w:rPr>
        <w:t>0</w:t>
      </w:r>
      <w:r w:rsidR="000C6E76" w:rsidRPr="00B1775D">
        <w:rPr>
          <w:b/>
        </w:rPr>
        <w:t>.1</w:t>
      </w:r>
      <w:r w:rsidR="000C6E76" w:rsidRPr="00B1775D">
        <w:tab/>
      </w:r>
      <w:r w:rsidR="00E253C8" w:rsidRPr="00B1775D">
        <w:t>Finansal kiralama yöntemiyle kullandırılan fonların kalan vadelerine göre gösterimi:</w:t>
      </w:r>
    </w:p>
    <w:p w14:paraId="4F63EF72" w14:textId="446B781D" w:rsidR="00C35ED5" w:rsidRPr="00B1775D" w:rsidRDefault="00C35ED5" w:rsidP="00A3530B">
      <w:pPr>
        <w:autoSpaceDE w:val="0"/>
        <w:autoSpaceDN w:val="0"/>
        <w:adjustRightInd w:val="0"/>
        <w:ind w:hanging="567"/>
        <w:rPr>
          <w:lang w:val="en-GB" w:eastAsia="en-GB"/>
        </w:rPr>
      </w:pPr>
    </w:p>
    <w:tbl>
      <w:tblPr>
        <w:tblW w:w="9156" w:type="dxa"/>
        <w:tblCellMar>
          <w:left w:w="70" w:type="dxa"/>
          <w:right w:w="70" w:type="dxa"/>
        </w:tblCellMar>
        <w:tblLook w:val="04A0" w:firstRow="1" w:lastRow="0" w:firstColumn="1" w:lastColumn="0" w:noHBand="0" w:noVBand="1"/>
      </w:tblPr>
      <w:tblGrid>
        <w:gridCol w:w="4034"/>
        <w:gridCol w:w="1452"/>
        <w:gridCol w:w="1513"/>
        <w:gridCol w:w="967"/>
        <w:gridCol w:w="1190"/>
      </w:tblGrid>
      <w:tr w:rsidR="00C35ED5" w:rsidRPr="00B1775D" w14:paraId="32BCB2F8" w14:textId="77777777" w:rsidTr="006B1072">
        <w:trPr>
          <w:divId w:val="214774913"/>
          <w:trHeight w:val="258"/>
        </w:trPr>
        <w:tc>
          <w:tcPr>
            <w:tcW w:w="4034" w:type="dxa"/>
            <w:tcBorders>
              <w:top w:val="double" w:sz="6" w:space="0" w:color="auto"/>
              <w:left w:val="nil"/>
              <w:bottom w:val="nil"/>
              <w:right w:val="nil"/>
            </w:tcBorders>
            <w:shd w:val="clear" w:color="auto" w:fill="auto"/>
            <w:vAlign w:val="center"/>
            <w:hideMark/>
          </w:tcPr>
          <w:p w14:paraId="4579FE52" w14:textId="3E11E3FB" w:rsidR="00C35ED5" w:rsidRPr="00B1775D" w:rsidRDefault="00C35ED5" w:rsidP="00C35ED5">
            <w:pPr>
              <w:jc w:val="both"/>
              <w:rPr>
                <w:sz w:val="18"/>
                <w:szCs w:val="18"/>
                <w:lang w:eastAsia="tr-TR"/>
              </w:rPr>
            </w:pPr>
            <w:r w:rsidRPr="00B1775D">
              <w:rPr>
                <w:sz w:val="18"/>
                <w:szCs w:val="18"/>
                <w:lang w:eastAsia="tr-TR"/>
              </w:rPr>
              <w:t> </w:t>
            </w:r>
          </w:p>
        </w:tc>
        <w:tc>
          <w:tcPr>
            <w:tcW w:w="2965" w:type="dxa"/>
            <w:gridSpan w:val="2"/>
            <w:tcBorders>
              <w:top w:val="double" w:sz="6" w:space="0" w:color="auto"/>
              <w:left w:val="nil"/>
              <w:bottom w:val="single" w:sz="8" w:space="0" w:color="auto"/>
              <w:right w:val="nil"/>
            </w:tcBorders>
            <w:shd w:val="clear" w:color="auto" w:fill="auto"/>
            <w:vAlign w:val="center"/>
            <w:hideMark/>
          </w:tcPr>
          <w:p w14:paraId="741E6727" w14:textId="77777777" w:rsidR="00C35ED5" w:rsidRPr="00B1775D" w:rsidRDefault="00C35ED5" w:rsidP="00C35ED5">
            <w:pPr>
              <w:jc w:val="center"/>
              <w:rPr>
                <w:b/>
                <w:bCs/>
                <w:sz w:val="18"/>
                <w:szCs w:val="18"/>
                <w:lang w:eastAsia="tr-TR"/>
              </w:rPr>
            </w:pPr>
            <w:r w:rsidRPr="00B1775D">
              <w:rPr>
                <w:b/>
                <w:bCs/>
                <w:sz w:val="18"/>
                <w:szCs w:val="18"/>
                <w:lang w:eastAsia="tr-TR"/>
              </w:rPr>
              <w:t>Cari Dönem</w:t>
            </w:r>
          </w:p>
        </w:tc>
        <w:tc>
          <w:tcPr>
            <w:tcW w:w="2157" w:type="dxa"/>
            <w:gridSpan w:val="2"/>
            <w:tcBorders>
              <w:top w:val="double" w:sz="6" w:space="0" w:color="auto"/>
              <w:left w:val="nil"/>
              <w:bottom w:val="single" w:sz="8" w:space="0" w:color="auto"/>
              <w:right w:val="nil"/>
            </w:tcBorders>
            <w:shd w:val="clear" w:color="auto" w:fill="auto"/>
            <w:vAlign w:val="center"/>
            <w:hideMark/>
          </w:tcPr>
          <w:p w14:paraId="4D683B6D" w14:textId="77777777" w:rsidR="00C35ED5" w:rsidRPr="00B1775D" w:rsidRDefault="00C35ED5" w:rsidP="00C35ED5">
            <w:pPr>
              <w:jc w:val="center"/>
              <w:rPr>
                <w:b/>
                <w:bCs/>
                <w:sz w:val="18"/>
                <w:szCs w:val="18"/>
                <w:lang w:eastAsia="tr-TR"/>
              </w:rPr>
            </w:pPr>
            <w:r w:rsidRPr="00B1775D">
              <w:rPr>
                <w:b/>
                <w:bCs/>
                <w:sz w:val="18"/>
                <w:szCs w:val="18"/>
                <w:lang w:eastAsia="tr-TR"/>
              </w:rPr>
              <w:t>Önceki Dönem</w:t>
            </w:r>
          </w:p>
        </w:tc>
      </w:tr>
      <w:tr w:rsidR="00C35ED5" w:rsidRPr="00B1775D" w14:paraId="2D5F2B81" w14:textId="77777777" w:rsidTr="006B1072">
        <w:trPr>
          <w:divId w:val="214774913"/>
          <w:trHeight w:val="244"/>
        </w:trPr>
        <w:tc>
          <w:tcPr>
            <w:tcW w:w="4034" w:type="dxa"/>
            <w:tcBorders>
              <w:top w:val="nil"/>
              <w:left w:val="nil"/>
              <w:bottom w:val="single" w:sz="8" w:space="0" w:color="auto"/>
              <w:right w:val="nil"/>
            </w:tcBorders>
            <w:shd w:val="clear" w:color="auto" w:fill="auto"/>
            <w:vAlign w:val="center"/>
            <w:hideMark/>
          </w:tcPr>
          <w:p w14:paraId="0C2A9CED" w14:textId="77777777" w:rsidR="00C35ED5" w:rsidRPr="00B1775D" w:rsidRDefault="00C35ED5" w:rsidP="00C35ED5">
            <w:pPr>
              <w:jc w:val="both"/>
              <w:rPr>
                <w:sz w:val="18"/>
                <w:szCs w:val="18"/>
                <w:lang w:eastAsia="tr-TR"/>
              </w:rPr>
            </w:pPr>
            <w:r w:rsidRPr="00B1775D">
              <w:rPr>
                <w:sz w:val="18"/>
                <w:szCs w:val="18"/>
                <w:lang w:eastAsia="tr-TR"/>
              </w:rPr>
              <w:t> </w:t>
            </w:r>
          </w:p>
        </w:tc>
        <w:tc>
          <w:tcPr>
            <w:tcW w:w="1452" w:type="dxa"/>
            <w:tcBorders>
              <w:top w:val="nil"/>
              <w:left w:val="nil"/>
              <w:bottom w:val="single" w:sz="8" w:space="0" w:color="auto"/>
              <w:right w:val="nil"/>
            </w:tcBorders>
            <w:shd w:val="clear" w:color="auto" w:fill="auto"/>
            <w:vAlign w:val="center"/>
            <w:hideMark/>
          </w:tcPr>
          <w:p w14:paraId="59D2F8DA" w14:textId="77777777" w:rsidR="00C35ED5" w:rsidRPr="00B1775D" w:rsidRDefault="00C35ED5" w:rsidP="00C35ED5">
            <w:pPr>
              <w:jc w:val="right"/>
              <w:rPr>
                <w:b/>
                <w:bCs/>
                <w:sz w:val="18"/>
                <w:szCs w:val="18"/>
                <w:lang w:eastAsia="tr-TR"/>
              </w:rPr>
            </w:pPr>
            <w:r w:rsidRPr="00B1775D">
              <w:rPr>
                <w:b/>
                <w:bCs/>
                <w:sz w:val="18"/>
                <w:szCs w:val="18"/>
                <w:lang w:eastAsia="tr-TR"/>
              </w:rPr>
              <w:t>Brüt</w:t>
            </w:r>
          </w:p>
        </w:tc>
        <w:tc>
          <w:tcPr>
            <w:tcW w:w="1512" w:type="dxa"/>
            <w:tcBorders>
              <w:top w:val="nil"/>
              <w:left w:val="nil"/>
              <w:bottom w:val="single" w:sz="8" w:space="0" w:color="auto"/>
              <w:right w:val="nil"/>
            </w:tcBorders>
            <w:shd w:val="clear" w:color="auto" w:fill="auto"/>
            <w:vAlign w:val="center"/>
            <w:hideMark/>
          </w:tcPr>
          <w:p w14:paraId="0DA1AB59" w14:textId="77777777" w:rsidR="00C35ED5" w:rsidRPr="00B1775D" w:rsidRDefault="00C35ED5" w:rsidP="00C35ED5">
            <w:pPr>
              <w:jc w:val="right"/>
              <w:rPr>
                <w:b/>
                <w:bCs/>
                <w:sz w:val="18"/>
                <w:szCs w:val="18"/>
                <w:lang w:eastAsia="tr-TR"/>
              </w:rPr>
            </w:pPr>
            <w:r w:rsidRPr="00B1775D">
              <w:rPr>
                <w:b/>
                <w:bCs/>
                <w:sz w:val="18"/>
                <w:szCs w:val="18"/>
                <w:lang w:eastAsia="tr-TR"/>
              </w:rPr>
              <w:t>Net</w:t>
            </w:r>
          </w:p>
        </w:tc>
        <w:tc>
          <w:tcPr>
            <w:tcW w:w="967" w:type="dxa"/>
            <w:tcBorders>
              <w:top w:val="nil"/>
              <w:left w:val="nil"/>
              <w:bottom w:val="single" w:sz="8" w:space="0" w:color="auto"/>
              <w:right w:val="nil"/>
            </w:tcBorders>
            <w:shd w:val="clear" w:color="auto" w:fill="auto"/>
            <w:vAlign w:val="center"/>
            <w:hideMark/>
          </w:tcPr>
          <w:p w14:paraId="0E373B3E" w14:textId="77777777" w:rsidR="00C35ED5" w:rsidRPr="00B1775D" w:rsidRDefault="00C35ED5" w:rsidP="00C35ED5">
            <w:pPr>
              <w:jc w:val="right"/>
              <w:rPr>
                <w:b/>
                <w:bCs/>
                <w:sz w:val="18"/>
                <w:szCs w:val="18"/>
                <w:lang w:eastAsia="tr-TR"/>
              </w:rPr>
            </w:pPr>
            <w:r w:rsidRPr="00B1775D">
              <w:rPr>
                <w:b/>
                <w:bCs/>
                <w:sz w:val="18"/>
                <w:szCs w:val="18"/>
                <w:lang w:eastAsia="tr-TR"/>
              </w:rPr>
              <w:t>Brüt</w:t>
            </w:r>
          </w:p>
        </w:tc>
        <w:tc>
          <w:tcPr>
            <w:tcW w:w="1190" w:type="dxa"/>
            <w:tcBorders>
              <w:top w:val="nil"/>
              <w:left w:val="nil"/>
              <w:bottom w:val="single" w:sz="8" w:space="0" w:color="auto"/>
              <w:right w:val="nil"/>
            </w:tcBorders>
            <w:shd w:val="clear" w:color="auto" w:fill="auto"/>
            <w:vAlign w:val="center"/>
            <w:hideMark/>
          </w:tcPr>
          <w:p w14:paraId="77E87F0E" w14:textId="77777777" w:rsidR="00C35ED5" w:rsidRPr="00B1775D" w:rsidRDefault="00C35ED5" w:rsidP="00C35ED5">
            <w:pPr>
              <w:jc w:val="right"/>
              <w:rPr>
                <w:b/>
                <w:bCs/>
                <w:sz w:val="18"/>
                <w:szCs w:val="18"/>
                <w:lang w:eastAsia="tr-TR"/>
              </w:rPr>
            </w:pPr>
            <w:r w:rsidRPr="00B1775D">
              <w:rPr>
                <w:b/>
                <w:bCs/>
                <w:sz w:val="18"/>
                <w:szCs w:val="18"/>
                <w:lang w:eastAsia="tr-TR"/>
              </w:rPr>
              <w:t>Net</w:t>
            </w:r>
          </w:p>
        </w:tc>
      </w:tr>
      <w:tr w:rsidR="00C35ED5" w:rsidRPr="00B1775D" w14:paraId="5BCC2BC7" w14:textId="77777777" w:rsidTr="006B1072">
        <w:trPr>
          <w:divId w:val="214774913"/>
          <w:trHeight w:val="229"/>
        </w:trPr>
        <w:tc>
          <w:tcPr>
            <w:tcW w:w="4034" w:type="dxa"/>
            <w:tcBorders>
              <w:top w:val="nil"/>
              <w:left w:val="nil"/>
              <w:bottom w:val="nil"/>
              <w:right w:val="nil"/>
            </w:tcBorders>
            <w:shd w:val="clear" w:color="auto" w:fill="auto"/>
            <w:vAlign w:val="center"/>
            <w:hideMark/>
          </w:tcPr>
          <w:p w14:paraId="3714D199" w14:textId="77777777" w:rsidR="00C35ED5" w:rsidRPr="00B1775D" w:rsidRDefault="00C35ED5" w:rsidP="00C35ED5">
            <w:pPr>
              <w:jc w:val="both"/>
              <w:rPr>
                <w:sz w:val="18"/>
                <w:szCs w:val="18"/>
                <w:lang w:eastAsia="tr-TR"/>
              </w:rPr>
            </w:pPr>
            <w:r w:rsidRPr="00B1775D">
              <w:rPr>
                <w:sz w:val="18"/>
                <w:szCs w:val="18"/>
                <w:lang w:eastAsia="tr-TR"/>
              </w:rPr>
              <w:t>1 Yıldan Az</w:t>
            </w:r>
          </w:p>
        </w:tc>
        <w:tc>
          <w:tcPr>
            <w:tcW w:w="1452" w:type="dxa"/>
            <w:tcBorders>
              <w:top w:val="nil"/>
              <w:left w:val="nil"/>
              <w:bottom w:val="nil"/>
              <w:right w:val="nil"/>
            </w:tcBorders>
            <w:shd w:val="clear" w:color="auto" w:fill="auto"/>
            <w:vAlign w:val="center"/>
            <w:hideMark/>
          </w:tcPr>
          <w:p w14:paraId="34B9BD57" w14:textId="77777777" w:rsidR="00C35ED5" w:rsidRPr="00B1775D" w:rsidRDefault="00C35ED5" w:rsidP="00C35ED5">
            <w:pPr>
              <w:jc w:val="right"/>
              <w:rPr>
                <w:sz w:val="18"/>
                <w:szCs w:val="18"/>
                <w:lang w:eastAsia="tr-TR"/>
              </w:rPr>
            </w:pPr>
            <w:r w:rsidRPr="00B1775D">
              <w:rPr>
                <w:sz w:val="18"/>
                <w:szCs w:val="18"/>
                <w:lang w:eastAsia="tr-TR"/>
              </w:rPr>
              <w:t>2,171,623</w:t>
            </w:r>
          </w:p>
        </w:tc>
        <w:tc>
          <w:tcPr>
            <w:tcW w:w="1512" w:type="dxa"/>
            <w:tcBorders>
              <w:top w:val="nil"/>
              <w:left w:val="nil"/>
              <w:bottom w:val="nil"/>
              <w:right w:val="nil"/>
            </w:tcBorders>
            <w:shd w:val="clear" w:color="auto" w:fill="auto"/>
            <w:vAlign w:val="center"/>
            <w:hideMark/>
          </w:tcPr>
          <w:p w14:paraId="54A17584" w14:textId="77777777" w:rsidR="00C35ED5" w:rsidRPr="00B1775D" w:rsidRDefault="00C35ED5" w:rsidP="00C35ED5">
            <w:pPr>
              <w:jc w:val="right"/>
              <w:rPr>
                <w:sz w:val="18"/>
                <w:szCs w:val="18"/>
                <w:lang w:eastAsia="tr-TR"/>
              </w:rPr>
            </w:pPr>
            <w:r w:rsidRPr="00B1775D">
              <w:rPr>
                <w:sz w:val="18"/>
                <w:szCs w:val="18"/>
                <w:lang w:eastAsia="tr-TR"/>
              </w:rPr>
              <w:t>1,727,851</w:t>
            </w:r>
          </w:p>
        </w:tc>
        <w:tc>
          <w:tcPr>
            <w:tcW w:w="967" w:type="dxa"/>
            <w:tcBorders>
              <w:top w:val="nil"/>
              <w:left w:val="nil"/>
              <w:bottom w:val="nil"/>
              <w:right w:val="nil"/>
            </w:tcBorders>
            <w:shd w:val="clear" w:color="auto" w:fill="auto"/>
            <w:vAlign w:val="center"/>
            <w:hideMark/>
          </w:tcPr>
          <w:p w14:paraId="51262AA9" w14:textId="77777777" w:rsidR="00C35ED5" w:rsidRPr="00B1775D" w:rsidRDefault="00C35ED5" w:rsidP="00C35ED5">
            <w:pPr>
              <w:jc w:val="right"/>
              <w:rPr>
                <w:sz w:val="18"/>
                <w:szCs w:val="18"/>
                <w:lang w:eastAsia="tr-TR"/>
              </w:rPr>
            </w:pPr>
            <w:r w:rsidRPr="00B1775D">
              <w:rPr>
                <w:sz w:val="18"/>
                <w:szCs w:val="18"/>
                <w:lang w:eastAsia="tr-TR"/>
              </w:rPr>
              <w:t>1,227,784</w:t>
            </w:r>
          </w:p>
        </w:tc>
        <w:tc>
          <w:tcPr>
            <w:tcW w:w="1190" w:type="dxa"/>
            <w:tcBorders>
              <w:top w:val="nil"/>
              <w:left w:val="nil"/>
              <w:bottom w:val="nil"/>
              <w:right w:val="nil"/>
            </w:tcBorders>
            <w:shd w:val="clear" w:color="auto" w:fill="auto"/>
            <w:vAlign w:val="center"/>
            <w:hideMark/>
          </w:tcPr>
          <w:p w14:paraId="403F69D7" w14:textId="77777777" w:rsidR="00C35ED5" w:rsidRPr="00B1775D" w:rsidRDefault="00C35ED5" w:rsidP="00C35ED5">
            <w:pPr>
              <w:jc w:val="right"/>
              <w:rPr>
                <w:sz w:val="18"/>
                <w:szCs w:val="18"/>
                <w:lang w:eastAsia="tr-TR"/>
              </w:rPr>
            </w:pPr>
            <w:r w:rsidRPr="00B1775D">
              <w:rPr>
                <w:sz w:val="18"/>
                <w:szCs w:val="18"/>
                <w:lang w:eastAsia="tr-TR"/>
              </w:rPr>
              <w:t>886,869</w:t>
            </w:r>
          </w:p>
        </w:tc>
      </w:tr>
      <w:tr w:rsidR="00C35ED5" w:rsidRPr="00B1775D" w14:paraId="500F2EDD" w14:textId="77777777" w:rsidTr="006B1072">
        <w:trPr>
          <w:divId w:val="214774913"/>
          <w:trHeight w:val="229"/>
        </w:trPr>
        <w:tc>
          <w:tcPr>
            <w:tcW w:w="4034" w:type="dxa"/>
            <w:tcBorders>
              <w:top w:val="nil"/>
              <w:left w:val="nil"/>
              <w:bottom w:val="nil"/>
              <w:right w:val="nil"/>
            </w:tcBorders>
            <w:shd w:val="clear" w:color="auto" w:fill="auto"/>
            <w:vAlign w:val="center"/>
            <w:hideMark/>
          </w:tcPr>
          <w:p w14:paraId="42B866DB" w14:textId="77777777" w:rsidR="00C35ED5" w:rsidRPr="00B1775D" w:rsidRDefault="00C35ED5" w:rsidP="00C35ED5">
            <w:pPr>
              <w:jc w:val="both"/>
              <w:rPr>
                <w:sz w:val="18"/>
                <w:szCs w:val="18"/>
                <w:lang w:eastAsia="tr-TR"/>
              </w:rPr>
            </w:pPr>
            <w:r w:rsidRPr="00B1775D">
              <w:rPr>
                <w:sz w:val="18"/>
                <w:szCs w:val="18"/>
                <w:lang w:eastAsia="tr-TR"/>
              </w:rPr>
              <w:t>1-4 Yıl Arası</w:t>
            </w:r>
          </w:p>
        </w:tc>
        <w:tc>
          <w:tcPr>
            <w:tcW w:w="1452" w:type="dxa"/>
            <w:tcBorders>
              <w:top w:val="nil"/>
              <w:left w:val="nil"/>
              <w:bottom w:val="nil"/>
              <w:right w:val="nil"/>
            </w:tcBorders>
            <w:shd w:val="clear" w:color="auto" w:fill="auto"/>
            <w:vAlign w:val="center"/>
            <w:hideMark/>
          </w:tcPr>
          <w:p w14:paraId="374EB92C" w14:textId="77777777" w:rsidR="00C35ED5" w:rsidRPr="00B1775D" w:rsidRDefault="00C35ED5" w:rsidP="00C35ED5">
            <w:pPr>
              <w:jc w:val="right"/>
              <w:rPr>
                <w:sz w:val="18"/>
                <w:szCs w:val="18"/>
                <w:lang w:eastAsia="tr-TR"/>
              </w:rPr>
            </w:pPr>
            <w:r w:rsidRPr="00B1775D">
              <w:rPr>
                <w:sz w:val="18"/>
                <w:szCs w:val="18"/>
                <w:lang w:eastAsia="tr-TR"/>
              </w:rPr>
              <w:t>2,728,118</w:t>
            </w:r>
          </w:p>
        </w:tc>
        <w:tc>
          <w:tcPr>
            <w:tcW w:w="1512" w:type="dxa"/>
            <w:tcBorders>
              <w:top w:val="nil"/>
              <w:left w:val="nil"/>
              <w:bottom w:val="nil"/>
              <w:right w:val="nil"/>
            </w:tcBorders>
            <w:shd w:val="clear" w:color="auto" w:fill="auto"/>
            <w:vAlign w:val="center"/>
            <w:hideMark/>
          </w:tcPr>
          <w:p w14:paraId="6222B01D" w14:textId="77777777" w:rsidR="00C35ED5" w:rsidRPr="00B1775D" w:rsidRDefault="00C35ED5" w:rsidP="00C35ED5">
            <w:pPr>
              <w:jc w:val="right"/>
              <w:rPr>
                <w:sz w:val="18"/>
                <w:szCs w:val="18"/>
                <w:lang w:eastAsia="tr-TR"/>
              </w:rPr>
            </w:pPr>
            <w:r w:rsidRPr="00B1775D">
              <w:rPr>
                <w:sz w:val="18"/>
                <w:szCs w:val="18"/>
                <w:lang w:eastAsia="tr-TR"/>
              </w:rPr>
              <w:t>2,546,326</w:t>
            </w:r>
          </w:p>
        </w:tc>
        <w:tc>
          <w:tcPr>
            <w:tcW w:w="967" w:type="dxa"/>
            <w:tcBorders>
              <w:top w:val="nil"/>
              <w:left w:val="nil"/>
              <w:bottom w:val="nil"/>
              <w:right w:val="nil"/>
            </w:tcBorders>
            <w:shd w:val="clear" w:color="auto" w:fill="auto"/>
            <w:vAlign w:val="center"/>
            <w:hideMark/>
          </w:tcPr>
          <w:p w14:paraId="67CB2E49" w14:textId="77777777" w:rsidR="00C35ED5" w:rsidRPr="00B1775D" w:rsidRDefault="00C35ED5" w:rsidP="00C35ED5">
            <w:pPr>
              <w:jc w:val="right"/>
              <w:rPr>
                <w:sz w:val="18"/>
                <w:szCs w:val="18"/>
                <w:lang w:eastAsia="tr-TR"/>
              </w:rPr>
            </w:pPr>
            <w:r w:rsidRPr="00B1775D">
              <w:rPr>
                <w:sz w:val="18"/>
                <w:szCs w:val="18"/>
                <w:lang w:eastAsia="tr-TR"/>
              </w:rPr>
              <w:t>1,572,914</w:t>
            </w:r>
          </w:p>
        </w:tc>
        <w:tc>
          <w:tcPr>
            <w:tcW w:w="1190" w:type="dxa"/>
            <w:tcBorders>
              <w:top w:val="nil"/>
              <w:left w:val="nil"/>
              <w:bottom w:val="nil"/>
              <w:right w:val="nil"/>
            </w:tcBorders>
            <w:shd w:val="clear" w:color="auto" w:fill="auto"/>
            <w:vAlign w:val="center"/>
            <w:hideMark/>
          </w:tcPr>
          <w:p w14:paraId="78BB99FB" w14:textId="77777777" w:rsidR="00C35ED5" w:rsidRPr="00B1775D" w:rsidRDefault="00C35ED5" w:rsidP="00C35ED5">
            <w:pPr>
              <w:jc w:val="right"/>
              <w:rPr>
                <w:sz w:val="18"/>
                <w:szCs w:val="18"/>
                <w:lang w:eastAsia="tr-TR"/>
              </w:rPr>
            </w:pPr>
            <w:r w:rsidRPr="00B1775D">
              <w:rPr>
                <w:sz w:val="18"/>
                <w:szCs w:val="18"/>
                <w:lang w:eastAsia="tr-TR"/>
              </w:rPr>
              <w:t>1,445,267</w:t>
            </w:r>
          </w:p>
        </w:tc>
      </w:tr>
      <w:tr w:rsidR="00C35ED5" w:rsidRPr="00B1775D" w14:paraId="5577BD0F" w14:textId="77777777" w:rsidTr="006B1072">
        <w:trPr>
          <w:divId w:val="214774913"/>
          <w:trHeight w:val="244"/>
        </w:trPr>
        <w:tc>
          <w:tcPr>
            <w:tcW w:w="4034" w:type="dxa"/>
            <w:tcBorders>
              <w:top w:val="nil"/>
              <w:left w:val="nil"/>
              <w:bottom w:val="single" w:sz="8" w:space="0" w:color="auto"/>
              <w:right w:val="nil"/>
            </w:tcBorders>
            <w:shd w:val="clear" w:color="auto" w:fill="auto"/>
            <w:vAlign w:val="center"/>
            <w:hideMark/>
          </w:tcPr>
          <w:p w14:paraId="7185B7B6" w14:textId="77777777" w:rsidR="00C35ED5" w:rsidRPr="00B1775D" w:rsidRDefault="00C35ED5" w:rsidP="00C35ED5">
            <w:pPr>
              <w:jc w:val="both"/>
              <w:rPr>
                <w:sz w:val="18"/>
                <w:szCs w:val="18"/>
                <w:lang w:eastAsia="tr-TR"/>
              </w:rPr>
            </w:pPr>
            <w:r w:rsidRPr="00B1775D">
              <w:rPr>
                <w:sz w:val="18"/>
                <w:szCs w:val="18"/>
                <w:lang w:eastAsia="tr-TR"/>
              </w:rPr>
              <w:t>4 Yıldan Fazla</w:t>
            </w:r>
          </w:p>
        </w:tc>
        <w:tc>
          <w:tcPr>
            <w:tcW w:w="1452" w:type="dxa"/>
            <w:tcBorders>
              <w:top w:val="nil"/>
              <w:left w:val="nil"/>
              <w:bottom w:val="single" w:sz="8" w:space="0" w:color="auto"/>
              <w:right w:val="nil"/>
            </w:tcBorders>
            <w:shd w:val="clear" w:color="auto" w:fill="auto"/>
            <w:vAlign w:val="center"/>
            <w:hideMark/>
          </w:tcPr>
          <w:p w14:paraId="31E5C2BF" w14:textId="77777777" w:rsidR="00C35ED5" w:rsidRPr="00B1775D" w:rsidRDefault="00C35ED5" w:rsidP="00C35ED5">
            <w:pPr>
              <w:jc w:val="right"/>
              <w:rPr>
                <w:sz w:val="18"/>
                <w:szCs w:val="18"/>
                <w:lang w:eastAsia="tr-TR"/>
              </w:rPr>
            </w:pPr>
            <w:r w:rsidRPr="00B1775D">
              <w:rPr>
                <w:sz w:val="18"/>
                <w:szCs w:val="18"/>
                <w:lang w:eastAsia="tr-TR"/>
              </w:rPr>
              <w:t>636,145</w:t>
            </w:r>
          </w:p>
        </w:tc>
        <w:tc>
          <w:tcPr>
            <w:tcW w:w="1512" w:type="dxa"/>
            <w:tcBorders>
              <w:top w:val="nil"/>
              <w:left w:val="nil"/>
              <w:bottom w:val="single" w:sz="8" w:space="0" w:color="auto"/>
              <w:right w:val="nil"/>
            </w:tcBorders>
            <w:shd w:val="clear" w:color="auto" w:fill="auto"/>
            <w:vAlign w:val="center"/>
            <w:hideMark/>
          </w:tcPr>
          <w:p w14:paraId="566CD627" w14:textId="77777777" w:rsidR="00C35ED5" w:rsidRPr="00B1775D" w:rsidRDefault="00C35ED5" w:rsidP="00C35ED5">
            <w:pPr>
              <w:jc w:val="right"/>
              <w:rPr>
                <w:sz w:val="18"/>
                <w:szCs w:val="18"/>
                <w:lang w:eastAsia="tr-TR"/>
              </w:rPr>
            </w:pPr>
            <w:r w:rsidRPr="00B1775D">
              <w:rPr>
                <w:sz w:val="18"/>
                <w:szCs w:val="18"/>
                <w:lang w:eastAsia="tr-TR"/>
              </w:rPr>
              <w:t>609,512</w:t>
            </w:r>
          </w:p>
        </w:tc>
        <w:tc>
          <w:tcPr>
            <w:tcW w:w="967" w:type="dxa"/>
            <w:tcBorders>
              <w:top w:val="nil"/>
              <w:left w:val="nil"/>
              <w:bottom w:val="single" w:sz="8" w:space="0" w:color="auto"/>
              <w:right w:val="nil"/>
            </w:tcBorders>
            <w:shd w:val="clear" w:color="auto" w:fill="auto"/>
            <w:vAlign w:val="center"/>
            <w:hideMark/>
          </w:tcPr>
          <w:p w14:paraId="28607BEC" w14:textId="77777777" w:rsidR="00C35ED5" w:rsidRPr="00B1775D" w:rsidRDefault="00C35ED5" w:rsidP="00C35ED5">
            <w:pPr>
              <w:jc w:val="right"/>
              <w:rPr>
                <w:sz w:val="18"/>
                <w:szCs w:val="18"/>
                <w:lang w:eastAsia="tr-TR"/>
              </w:rPr>
            </w:pPr>
            <w:r w:rsidRPr="00B1775D">
              <w:rPr>
                <w:sz w:val="18"/>
                <w:szCs w:val="18"/>
                <w:lang w:eastAsia="tr-TR"/>
              </w:rPr>
              <w:t>384,461</w:t>
            </w:r>
          </w:p>
        </w:tc>
        <w:tc>
          <w:tcPr>
            <w:tcW w:w="1190" w:type="dxa"/>
            <w:tcBorders>
              <w:top w:val="nil"/>
              <w:left w:val="nil"/>
              <w:bottom w:val="single" w:sz="8" w:space="0" w:color="auto"/>
              <w:right w:val="nil"/>
            </w:tcBorders>
            <w:shd w:val="clear" w:color="auto" w:fill="auto"/>
            <w:vAlign w:val="center"/>
            <w:hideMark/>
          </w:tcPr>
          <w:p w14:paraId="187ED9D7" w14:textId="77777777" w:rsidR="00C35ED5" w:rsidRPr="00B1775D" w:rsidRDefault="00C35ED5" w:rsidP="00C35ED5">
            <w:pPr>
              <w:jc w:val="right"/>
              <w:rPr>
                <w:sz w:val="18"/>
                <w:szCs w:val="18"/>
                <w:lang w:eastAsia="tr-TR"/>
              </w:rPr>
            </w:pPr>
            <w:r w:rsidRPr="00B1775D">
              <w:rPr>
                <w:sz w:val="18"/>
                <w:szCs w:val="18"/>
                <w:lang w:eastAsia="tr-TR"/>
              </w:rPr>
              <w:t>375,384</w:t>
            </w:r>
          </w:p>
        </w:tc>
      </w:tr>
      <w:tr w:rsidR="00C35ED5" w:rsidRPr="00B1775D" w14:paraId="08303FF2" w14:textId="77777777" w:rsidTr="006B1072">
        <w:trPr>
          <w:divId w:val="214774913"/>
          <w:trHeight w:val="244"/>
        </w:trPr>
        <w:tc>
          <w:tcPr>
            <w:tcW w:w="4034" w:type="dxa"/>
            <w:tcBorders>
              <w:top w:val="nil"/>
              <w:left w:val="nil"/>
              <w:bottom w:val="double" w:sz="6" w:space="0" w:color="auto"/>
              <w:right w:val="nil"/>
            </w:tcBorders>
            <w:shd w:val="clear" w:color="auto" w:fill="auto"/>
            <w:vAlign w:val="center"/>
            <w:hideMark/>
          </w:tcPr>
          <w:p w14:paraId="6D9CCBE0" w14:textId="77777777" w:rsidR="00C35ED5" w:rsidRPr="00B1775D" w:rsidRDefault="00C35ED5" w:rsidP="00C35ED5">
            <w:pPr>
              <w:jc w:val="both"/>
              <w:rPr>
                <w:b/>
                <w:bCs/>
                <w:sz w:val="18"/>
                <w:szCs w:val="18"/>
                <w:lang w:eastAsia="tr-TR"/>
              </w:rPr>
            </w:pPr>
            <w:r w:rsidRPr="00B1775D">
              <w:rPr>
                <w:b/>
                <w:bCs/>
                <w:sz w:val="18"/>
                <w:szCs w:val="18"/>
                <w:lang w:eastAsia="tr-TR"/>
              </w:rPr>
              <w:t>Toplam</w:t>
            </w:r>
          </w:p>
        </w:tc>
        <w:tc>
          <w:tcPr>
            <w:tcW w:w="1452" w:type="dxa"/>
            <w:tcBorders>
              <w:top w:val="nil"/>
              <w:left w:val="nil"/>
              <w:bottom w:val="double" w:sz="6" w:space="0" w:color="auto"/>
              <w:right w:val="nil"/>
            </w:tcBorders>
            <w:shd w:val="clear" w:color="auto" w:fill="auto"/>
            <w:vAlign w:val="center"/>
            <w:hideMark/>
          </w:tcPr>
          <w:p w14:paraId="33465201" w14:textId="77777777" w:rsidR="00C35ED5" w:rsidRPr="00B1775D" w:rsidRDefault="00C35ED5" w:rsidP="00C35ED5">
            <w:pPr>
              <w:jc w:val="right"/>
              <w:rPr>
                <w:b/>
                <w:bCs/>
                <w:sz w:val="18"/>
                <w:szCs w:val="18"/>
                <w:lang w:eastAsia="tr-TR"/>
              </w:rPr>
            </w:pPr>
            <w:r w:rsidRPr="00B1775D">
              <w:rPr>
                <w:b/>
                <w:bCs/>
                <w:sz w:val="18"/>
                <w:szCs w:val="18"/>
                <w:lang w:eastAsia="tr-TR"/>
              </w:rPr>
              <w:t>5,535,886</w:t>
            </w:r>
          </w:p>
        </w:tc>
        <w:tc>
          <w:tcPr>
            <w:tcW w:w="1512" w:type="dxa"/>
            <w:tcBorders>
              <w:top w:val="nil"/>
              <w:left w:val="nil"/>
              <w:bottom w:val="double" w:sz="6" w:space="0" w:color="auto"/>
              <w:right w:val="nil"/>
            </w:tcBorders>
            <w:shd w:val="clear" w:color="auto" w:fill="auto"/>
            <w:vAlign w:val="center"/>
            <w:hideMark/>
          </w:tcPr>
          <w:p w14:paraId="2BC4AD22" w14:textId="77777777" w:rsidR="00C35ED5" w:rsidRPr="00B1775D" w:rsidRDefault="00C35ED5" w:rsidP="00C35ED5">
            <w:pPr>
              <w:jc w:val="right"/>
              <w:rPr>
                <w:b/>
                <w:bCs/>
                <w:sz w:val="18"/>
                <w:szCs w:val="18"/>
                <w:lang w:eastAsia="tr-TR"/>
              </w:rPr>
            </w:pPr>
            <w:r w:rsidRPr="00B1775D">
              <w:rPr>
                <w:b/>
                <w:bCs/>
                <w:sz w:val="18"/>
                <w:szCs w:val="18"/>
                <w:lang w:eastAsia="tr-TR"/>
              </w:rPr>
              <w:t>4,883,689</w:t>
            </w:r>
          </w:p>
        </w:tc>
        <w:tc>
          <w:tcPr>
            <w:tcW w:w="967" w:type="dxa"/>
            <w:tcBorders>
              <w:top w:val="nil"/>
              <w:left w:val="nil"/>
              <w:bottom w:val="double" w:sz="6" w:space="0" w:color="auto"/>
              <w:right w:val="nil"/>
            </w:tcBorders>
            <w:shd w:val="clear" w:color="auto" w:fill="auto"/>
            <w:vAlign w:val="center"/>
            <w:hideMark/>
          </w:tcPr>
          <w:p w14:paraId="3332B0BE" w14:textId="77777777" w:rsidR="00C35ED5" w:rsidRPr="00B1775D" w:rsidRDefault="00C35ED5" w:rsidP="00C35ED5">
            <w:pPr>
              <w:jc w:val="right"/>
              <w:rPr>
                <w:b/>
                <w:bCs/>
                <w:sz w:val="18"/>
                <w:szCs w:val="18"/>
                <w:lang w:eastAsia="tr-TR"/>
              </w:rPr>
            </w:pPr>
            <w:r w:rsidRPr="00B1775D">
              <w:rPr>
                <w:b/>
                <w:bCs/>
                <w:sz w:val="18"/>
                <w:szCs w:val="18"/>
                <w:lang w:eastAsia="tr-TR"/>
              </w:rPr>
              <w:t>3,185,159</w:t>
            </w:r>
          </w:p>
        </w:tc>
        <w:tc>
          <w:tcPr>
            <w:tcW w:w="1190" w:type="dxa"/>
            <w:tcBorders>
              <w:top w:val="nil"/>
              <w:left w:val="nil"/>
              <w:bottom w:val="double" w:sz="6" w:space="0" w:color="auto"/>
              <w:right w:val="nil"/>
            </w:tcBorders>
            <w:shd w:val="clear" w:color="auto" w:fill="auto"/>
            <w:vAlign w:val="center"/>
            <w:hideMark/>
          </w:tcPr>
          <w:p w14:paraId="3AB33620" w14:textId="77777777" w:rsidR="00C35ED5" w:rsidRPr="00B1775D" w:rsidRDefault="00C35ED5" w:rsidP="00C35ED5">
            <w:pPr>
              <w:jc w:val="right"/>
              <w:rPr>
                <w:b/>
                <w:bCs/>
                <w:sz w:val="18"/>
                <w:szCs w:val="18"/>
                <w:lang w:eastAsia="tr-TR"/>
              </w:rPr>
            </w:pPr>
            <w:r w:rsidRPr="00B1775D">
              <w:rPr>
                <w:b/>
                <w:bCs/>
                <w:sz w:val="18"/>
                <w:szCs w:val="18"/>
                <w:lang w:eastAsia="tr-TR"/>
              </w:rPr>
              <w:t>2,707,520</w:t>
            </w:r>
          </w:p>
        </w:tc>
      </w:tr>
    </w:tbl>
    <w:p w14:paraId="28757197" w14:textId="666B7B70" w:rsidR="00A3530B" w:rsidRPr="00270CE6" w:rsidRDefault="00A3530B" w:rsidP="00A3530B">
      <w:pPr>
        <w:autoSpaceDE w:val="0"/>
        <w:autoSpaceDN w:val="0"/>
        <w:adjustRightInd w:val="0"/>
        <w:ind w:hanging="567"/>
        <w:rPr>
          <w:sz w:val="16"/>
          <w:szCs w:val="16"/>
          <w:highlight w:val="yellow"/>
        </w:rPr>
      </w:pPr>
    </w:p>
    <w:p w14:paraId="2FFE38F5" w14:textId="58F700F1" w:rsidR="00A90757" w:rsidRPr="00B1775D" w:rsidRDefault="003A0C10" w:rsidP="001240D7">
      <w:pPr>
        <w:tabs>
          <w:tab w:val="left" w:pos="709"/>
        </w:tabs>
        <w:autoSpaceDE w:val="0"/>
        <w:autoSpaceDN w:val="0"/>
        <w:adjustRightInd w:val="0"/>
        <w:spacing w:line="230" w:lineRule="auto"/>
        <w:ind w:hanging="567"/>
      </w:pPr>
      <w:r w:rsidRPr="00B1775D">
        <w:rPr>
          <w:b/>
          <w:bCs/>
          <w:iCs/>
        </w:rPr>
        <w:t>1.1</w:t>
      </w:r>
      <w:r>
        <w:rPr>
          <w:b/>
          <w:bCs/>
          <w:iCs/>
        </w:rPr>
        <w:t>0</w:t>
      </w:r>
      <w:r w:rsidR="00C1120C" w:rsidRPr="00B1775D">
        <w:rPr>
          <w:b/>
        </w:rPr>
        <w:t>.2</w:t>
      </w:r>
      <w:r w:rsidR="00C1120C" w:rsidRPr="00B1775D">
        <w:tab/>
        <w:t>Finansal kiralamaya yapılan net yatırımlara ilişkin bilgiler:</w:t>
      </w:r>
    </w:p>
    <w:p w14:paraId="5B108716" w14:textId="2BC602F0" w:rsidR="00B1775D" w:rsidRPr="00B1775D" w:rsidRDefault="00B1775D" w:rsidP="00B1775D">
      <w:pPr>
        <w:autoSpaceDE w:val="0"/>
        <w:autoSpaceDN w:val="0"/>
        <w:adjustRightInd w:val="0"/>
        <w:spacing w:line="230" w:lineRule="auto"/>
        <w:ind w:hanging="567"/>
        <w:rPr>
          <w:lang w:val="en-GB" w:eastAsia="en-GB"/>
        </w:rPr>
      </w:pPr>
    </w:p>
    <w:tbl>
      <w:tblPr>
        <w:tblW w:w="9168" w:type="dxa"/>
        <w:tblCellMar>
          <w:left w:w="70" w:type="dxa"/>
          <w:right w:w="70" w:type="dxa"/>
        </w:tblCellMar>
        <w:tblLook w:val="04A0" w:firstRow="1" w:lastRow="0" w:firstColumn="1" w:lastColumn="0" w:noHBand="0" w:noVBand="1"/>
      </w:tblPr>
      <w:tblGrid>
        <w:gridCol w:w="5446"/>
        <w:gridCol w:w="1823"/>
        <w:gridCol w:w="1899"/>
      </w:tblGrid>
      <w:tr w:rsidR="00B1775D" w:rsidRPr="00B1775D" w14:paraId="701FD4E8" w14:textId="77777777" w:rsidTr="006B1072">
        <w:trPr>
          <w:divId w:val="732585677"/>
          <w:trHeight w:val="252"/>
        </w:trPr>
        <w:tc>
          <w:tcPr>
            <w:tcW w:w="5446" w:type="dxa"/>
            <w:tcBorders>
              <w:top w:val="double" w:sz="6" w:space="0" w:color="auto"/>
              <w:left w:val="nil"/>
              <w:bottom w:val="single" w:sz="8" w:space="0" w:color="auto"/>
              <w:right w:val="nil"/>
            </w:tcBorders>
            <w:shd w:val="clear" w:color="auto" w:fill="auto"/>
            <w:vAlign w:val="center"/>
            <w:hideMark/>
          </w:tcPr>
          <w:p w14:paraId="0148F593" w14:textId="01FCD1FD" w:rsidR="00B1775D" w:rsidRPr="00B1775D" w:rsidRDefault="00B1775D" w:rsidP="00B1775D">
            <w:pPr>
              <w:jc w:val="center"/>
              <w:rPr>
                <w:sz w:val="18"/>
                <w:szCs w:val="18"/>
                <w:lang w:eastAsia="tr-TR"/>
              </w:rPr>
            </w:pPr>
            <w:r w:rsidRPr="00B1775D">
              <w:rPr>
                <w:sz w:val="18"/>
                <w:szCs w:val="18"/>
                <w:lang w:eastAsia="tr-TR"/>
              </w:rPr>
              <w:t> </w:t>
            </w:r>
          </w:p>
        </w:tc>
        <w:tc>
          <w:tcPr>
            <w:tcW w:w="1823" w:type="dxa"/>
            <w:tcBorders>
              <w:top w:val="double" w:sz="6" w:space="0" w:color="auto"/>
              <w:left w:val="nil"/>
              <w:bottom w:val="single" w:sz="8" w:space="0" w:color="auto"/>
              <w:right w:val="nil"/>
            </w:tcBorders>
            <w:shd w:val="clear" w:color="auto" w:fill="auto"/>
            <w:vAlign w:val="center"/>
            <w:hideMark/>
          </w:tcPr>
          <w:p w14:paraId="6701C16C" w14:textId="77777777" w:rsidR="00B1775D" w:rsidRPr="00B1775D" w:rsidRDefault="00B1775D" w:rsidP="00B1775D">
            <w:pPr>
              <w:jc w:val="right"/>
              <w:rPr>
                <w:b/>
                <w:bCs/>
                <w:sz w:val="18"/>
                <w:szCs w:val="18"/>
                <w:lang w:eastAsia="tr-TR"/>
              </w:rPr>
            </w:pPr>
            <w:r w:rsidRPr="00B1775D">
              <w:rPr>
                <w:b/>
                <w:bCs/>
                <w:sz w:val="18"/>
                <w:szCs w:val="18"/>
                <w:lang w:eastAsia="tr-TR"/>
              </w:rPr>
              <w:t>Cari Dönem</w:t>
            </w:r>
          </w:p>
        </w:tc>
        <w:tc>
          <w:tcPr>
            <w:tcW w:w="1899" w:type="dxa"/>
            <w:tcBorders>
              <w:top w:val="double" w:sz="6" w:space="0" w:color="auto"/>
              <w:left w:val="nil"/>
              <w:bottom w:val="single" w:sz="8" w:space="0" w:color="auto"/>
              <w:right w:val="nil"/>
            </w:tcBorders>
            <w:shd w:val="clear" w:color="auto" w:fill="auto"/>
            <w:vAlign w:val="center"/>
            <w:hideMark/>
          </w:tcPr>
          <w:p w14:paraId="49662ED7" w14:textId="77777777" w:rsidR="00B1775D" w:rsidRPr="00B1775D" w:rsidRDefault="00B1775D" w:rsidP="00B1775D">
            <w:pPr>
              <w:jc w:val="right"/>
              <w:rPr>
                <w:b/>
                <w:bCs/>
                <w:sz w:val="18"/>
                <w:szCs w:val="18"/>
                <w:lang w:eastAsia="tr-TR"/>
              </w:rPr>
            </w:pPr>
            <w:r w:rsidRPr="00B1775D">
              <w:rPr>
                <w:b/>
                <w:bCs/>
                <w:sz w:val="18"/>
                <w:szCs w:val="18"/>
                <w:lang w:eastAsia="tr-TR"/>
              </w:rPr>
              <w:t>Önceki Dönem</w:t>
            </w:r>
          </w:p>
        </w:tc>
      </w:tr>
      <w:tr w:rsidR="00B1775D" w:rsidRPr="00B1775D" w14:paraId="03F0DE00" w14:textId="77777777" w:rsidTr="006B1072">
        <w:trPr>
          <w:divId w:val="732585677"/>
          <w:trHeight w:val="238"/>
        </w:trPr>
        <w:tc>
          <w:tcPr>
            <w:tcW w:w="5446" w:type="dxa"/>
            <w:tcBorders>
              <w:top w:val="nil"/>
              <w:left w:val="nil"/>
              <w:bottom w:val="nil"/>
              <w:right w:val="nil"/>
            </w:tcBorders>
            <w:shd w:val="clear" w:color="auto" w:fill="auto"/>
            <w:vAlign w:val="center"/>
            <w:hideMark/>
          </w:tcPr>
          <w:p w14:paraId="1037AA37" w14:textId="77777777" w:rsidR="00B1775D" w:rsidRPr="00B1775D" w:rsidRDefault="00B1775D" w:rsidP="00B1775D">
            <w:pPr>
              <w:jc w:val="both"/>
              <w:rPr>
                <w:sz w:val="18"/>
                <w:szCs w:val="18"/>
                <w:lang w:eastAsia="tr-TR"/>
              </w:rPr>
            </w:pPr>
            <w:r w:rsidRPr="00B1775D">
              <w:rPr>
                <w:sz w:val="18"/>
                <w:szCs w:val="18"/>
                <w:lang w:eastAsia="tr-TR"/>
              </w:rPr>
              <w:t>Brüt Finansal Kiralama Yatırımı</w:t>
            </w:r>
          </w:p>
        </w:tc>
        <w:tc>
          <w:tcPr>
            <w:tcW w:w="1823" w:type="dxa"/>
            <w:tcBorders>
              <w:top w:val="nil"/>
              <w:left w:val="nil"/>
              <w:bottom w:val="nil"/>
              <w:right w:val="nil"/>
            </w:tcBorders>
            <w:shd w:val="clear" w:color="auto" w:fill="auto"/>
            <w:vAlign w:val="center"/>
            <w:hideMark/>
          </w:tcPr>
          <w:p w14:paraId="4289C30B" w14:textId="77777777" w:rsidR="00B1775D" w:rsidRPr="00B1775D" w:rsidRDefault="00B1775D" w:rsidP="00B1775D">
            <w:pPr>
              <w:jc w:val="right"/>
              <w:rPr>
                <w:sz w:val="18"/>
                <w:szCs w:val="18"/>
                <w:lang w:eastAsia="tr-TR"/>
              </w:rPr>
            </w:pPr>
            <w:r w:rsidRPr="00B1775D">
              <w:rPr>
                <w:sz w:val="18"/>
                <w:szCs w:val="18"/>
                <w:lang w:eastAsia="tr-TR"/>
              </w:rPr>
              <w:t>5,535,885</w:t>
            </w:r>
          </w:p>
        </w:tc>
        <w:tc>
          <w:tcPr>
            <w:tcW w:w="1899" w:type="dxa"/>
            <w:tcBorders>
              <w:top w:val="nil"/>
              <w:left w:val="nil"/>
              <w:bottom w:val="nil"/>
              <w:right w:val="nil"/>
            </w:tcBorders>
            <w:shd w:val="clear" w:color="auto" w:fill="auto"/>
            <w:vAlign w:val="center"/>
            <w:hideMark/>
          </w:tcPr>
          <w:p w14:paraId="3A0C4647" w14:textId="77777777" w:rsidR="00B1775D" w:rsidRPr="00B1775D" w:rsidRDefault="00B1775D" w:rsidP="00B1775D">
            <w:pPr>
              <w:jc w:val="right"/>
              <w:rPr>
                <w:sz w:val="18"/>
                <w:szCs w:val="18"/>
                <w:lang w:eastAsia="tr-TR"/>
              </w:rPr>
            </w:pPr>
            <w:r w:rsidRPr="00B1775D">
              <w:rPr>
                <w:sz w:val="18"/>
                <w:szCs w:val="18"/>
                <w:lang w:eastAsia="tr-TR"/>
              </w:rPr>
              <w:t>3,185,159</w:t>
            </w:r>
          </w:p>
        </w:tc>
      </w:tr>
      <w:tr w:rsidR="00B1775D" w:rsidRPr="00B1775D" w14:paraId="05B9BECD" w14:textId="77777777" w:rsidTr="006B1072">
        <w:trPr>
          <w:divId w:val="732585677"/>
          <w:trHeight w:val="238"/>
        </w:trPr>
        <w:tc>
          <w:tcPr>
            <w:tcW w:w="5446" w:type="dxa"/>
            <w:tcBorders>
              <w:top w:val="nil"/>
              <w:left w:val="nil"/>
              <w:bottom w:val="nil"/>
              <w:right w:val="nil"/>
            </w:tcBorders>
            <w:shd w:val="clear" w:color="auto" w:fill="auto"/>
            <w:vAlign w:val="center"/>
            <w:hideMark/>
          </w:tcPr>
          <w:p w14:paraId="4A814F0F" w14:textId="77777777" w:rsidR="00B1775D" w:rsidRPr="00B1775D" w:rsidRDefault="00B1775D" w:rsidP="00B1775D">
            <w:pPr>
              <w:jc w:val="both"/>
              <w:rPr>
                <w:sz w:val="18"/>
                <w:szCs w:val="18"/>
                <w:lang w:eastAsia="tr-TR"/>
              </w:rPr>
            </w:pPr>
            <w:r w:rsidRPr="00B1775D">
              <w:rPr>
                <w:sz w:val="18"/>
                <w:szCs w:val="18"/>
                <w:lang w:eastAsia="tr-TR"/>
              </w:rPr>
              <w:t>Finansal Kiralamadan Kazanılmamış Finansal Gelirler (-)</w:t>
            </w:r>
          </w:p>
        </w:tc>
        <w:tc>
          <w:tcPr>
            <w:tcW w:w="1823" w:type="dxa"/>
            <w:tcBorders>
              <w:top w:val="nil"/>
              <w:left w:val="nil"/>
              <w:bottom w:val="nil"/>
              <w:right w:val="nil"/>
            </w:tcBorders>
            <w:shd w:val="clear" w:color="auto" w:fill="auto"/>
            <w:vAlign w:val="center"/>
            <w:hideMark/>
          </w:tcPr>
          <w:p w14:paraId="5DC2E0F8" w14:textId="77777777" w:rsidR="00B1775D" w:rsidRPr="00B1775D" w:rsidRDefault="00B1775D" w:rsidP="00B1775D">
            <w:pPr>
              <w:jc w:val="right"/>
              <w:rPr>
                <w:sz w:val="18"/>
                <w:szCs w:val="18"/>
                <w:lang w:eastAsia="tr-TR"/>
              </w:rPr>
            </w:pPr>
            <w:r w:rsidRPr="00B1775D">
              <w:rPr>
                <w:sz w:val="18"/>
                <w:szCs w:val="18"/>
                <w:lang w:eastAsia="tr-TR"/>
              </w:rPr>
              <w:t>(652,196)</w:t>
            </w:r>
          </w:p>
        </w:tc>
        <w:tc>
          <w:tcPr>
            <w:tcW w:w="1899" w:type="dxa"/>
            <w:tcBorders>
              <w:top w:val="nil"/>
              <w:left w:val="nil"/>
              <w:bottom w:val="nil"/>
              <w:right w:val="nil"/>
            </w:tcBorders>
            <w:shd w:val="clear" w:color="auto" w:fill="auto"/>
            <w:vAlign w:val="center"/>
            <w:hideMark/>
          </w:tcPr>
          <w:p w14:paraId="183D60DD" w14:textId="77777777" w:rsidR="00B1775D" w:rsidRPr="00B1775D" w:rsidRDefault="00B1775D" w:rsidP="00B1775D">
            <w:pPr>
              <w:jc w:val="right"/>
              <w:rPr>
                <w:sz w:val="18"/>
                <w:szCs w:val="18"/>
                <w:lang w:eastAsia="tr-TR"/>
              </w:rPr>
            </w:pPr>
            <w:r w:rsidRPr="00B1775D">
              <w:rPr>
                <w:sz w:val="18"/>
                <w:szCs w:val="18"/>
                <w:lang w:eastAsia="tr-TR"/>
              </w:rPr>
              <w:t>(477,639)</w:t>
            </w:r>
          </w:p>
        </w:tc>
      </w:tr>
      <w:tr w:rsidR="00B1775D" w:rsidRPr="00B1775D" w14:paraId="66A6461A" w14:textId="77777777" w:rsidTr="006B1072">
        <w:trPr>
          <w:divId w:val="732585677"/>
          <w:trHeight w:val="238"/>
        </w:trPr>
        <w:tc>
          <w:tcPr>
            <w:tcW w:w="5446" w:type="dxa"/>
            <w:tcBorders>
              <w:top w:val="nil"/>
              <w:left w:val="nil"/>
              <w:bottom w:val="nil"/>
              <w:right w:val="nil"/>
            </w:tcBorders>
            <w:shd w:val="clear" w:color="auto" w:fill="auto"/>
            <w:vAlign w:val="center"/>
            <w:hideMark/>
          </w:tcPr>
          <w:p w14:paraId="41D98102" w14:textId="77777777" w:rsidR="00B1775D" w:rsidRPr="00B1775D" w:rsidRDefault="00B1775D" w:rsidP="00B1775D">
            <w:pPr>
              <w:jc w:val="both"/>
              <w:rPr>
                <w:sz w:val="18"/>
                <w:szCs w:val="18"/>
                <w:lang w:eastAsia="tr-TR"/>
              </w:rPr>
            </w:pPr>
            <w:r w:rsidRPr="00B1775D">
              <w:rPr>
                <w:sz w:val="18"/>
                <w:szCs w:val="18"/>
                <w:lang w:eastAsia="tr-TR"/>
              </w:rPr>
              <w:t xml:space="preserve">İptal Edilen Kiralama Tutarları (-) </w:t>
            </w:r>
          </w:p>
        </w:tc>
        <w:tc>
          <w:tcPr>
            <w:tcW w:w="1823" w:type="dxa"/>
            <w:tcBorders>
              <w:top w:val="nil"/>
              <w:left w:val="nil"/>
              <w:bottom w:val="nil"/>
              <w:right w:val="nil"/>
            </w:tcBorders>
            <w:shd w:val="clear" w:color="auto" w:fill="auto"/>
            <w:vAlign w:val="center"/>
            <w:hideMark/>
          </w:tcPr>
          <w:p w14:paraId="50370EF4" w14:textId="77777777" w:rsidR="00B1775D" w:rsidRPr="00B1775D" w:rsidRDefault="00B1775D" w:rsidP="00B1775D">
            <w:pPr>
              <w:jc w:val="right"/>
              <w:rPr>
                <w:sz w:val="18"/>
                <w:szCs w:val="18"/>
                <w:lang w:eastAsia="tr-TR"/>
              </w:rPr>
            </w:pPr>
            <w:r w:rsidRPr="00B1775D">
              <w:rPr>
                <w:sz w:val="18"/>
                <w:szCs w:val="18"/>
                <w:lang w:eastAsia="tr-TR"/>
              </w:rPr>
              <w:t>-</w:t>
            </w:r>
          </w:p>
        </w:tc>
        <w:tc>
          <w:tcPr>
            <w:tcW w:w="1899" w:type="dxa"/>
            <w:tcBorders>
              <w:top w:val="nil"/>
              <w:left w:val="nil"/>
              <w:bottom w:val="nil"/>
              <w:right w:val="nil"/>
            </w:tcBorders>
            <w:shd w:val="clear" w:color="auto" w:fill="auto"/>
            <w:vAlign w:val="center"/>
            <w:hideMark/>
          </w:tcPr>
          <w:p w14:paraId="6B458FB0" w14:textId="77777777" w:rsidR="00B1775D" w:rsidRPr="00B1775D" w:rsidRDefault="00B1775D" w:rsidP="00B1775D">
            <w:pPr>
              <w:jc w:val="right"/>
              <w:rPr>
                <w:sz w:val="18"/>
                <w:szCs w:val="18"/>
                <w:lang w:eastAsia="tr-TR"/>
              </w:rPr>
            </w:pPr>
            <w:r w:rsidRPr="00B1775D">
              <w:rPr>
                <w:sz w:val="18"/>
                <w:szCs w:val="18"/>
                <w:lang w:eastAsia="tr-TR"/>
              </w:rPr>
              <w:t>-</w:t>
            </w:r>
          </w:p>
        </w:tc>
      </w:tr>
      <w:tr w:rsidR="00B1775D" w:rsidRPr="00B1775D" w14:paraId="320B9917" w14:textId="77777777" w:rsidTr="006B1072">
        <w:trPr>
          <w:divId w:val="732585677"/>
          <w:trHeight w:val="238"/>
        </w:trPr>
        <w:tc>
          <w:tcPr>
            <w:tcW w:w="5446" w:type="dxa"/>
            <w:tcBorders>
              <w:top w:val="single" w:sz="8" w:space="0" w:color="auto"/>
              <w:left w:val="nil"/>
              <w:bottom w:val="double" w:sz="6" w:space="0" w:color="auto"/>
              <w:right w:val="nil"/>
            </w:tcBorders>
            <w:shd w:val="clear" w:color="auto" w:fill="auto"/>
            <w:vAlign w:val="center"/>
            <w:hideMark/>
          </w:tcPr>
          <w:p w14:paraId="13DC3455" w14:textId="77777777" w:rsidR="00B1775D" w:rsidRPr="00B1775D" w:rsidRDefault="00B1775D" w:rsidP="00B1775D">
            <w:pPr>
              <w:jc w:val="both"/>
              <w:rPr>
                <w:b/>
                <w:bCs/>
                <w:sz w:val="18"/>
                <w:szCs w:val="18"/>
                <w:lang w:eastAsia="tr-TR"/>
              </w:rPr>
            </w:pPr>
            <w:r w:rsidRPr="00B1775D">
              <w:rPr>
                <w:b/>
                <w:bCs/>
                <w:sz w:val="18"/>
                <w:szCs w:val="18"/>
                <w:lang w:eastAsia="tr-TR"/>
              </w:rPr>
              <w:t>Net Finansal Kiralama Yatırımı</w:t>
            </w:r>
          </w:p>
        </w:tc>
        <w:tc>
          <w:tcPr>
            <w:tcW w:w="1823" w:type="dxa"/>
            <w:tcBorders>
              <w:top w:val="single" w:sz="8" w:space="0" w:color="auto"/>
              <w:left w:val="nil"/>
              <w:bottom w:val="double" w:sz="6" w:space="0" w:color="auto"/>
              <w:right w:val="nil"/>
            </w:tcBorders>
            <w:shd w:val="clear" w:color="auto" w:fill="auto"/>
            <w:vAlign w:val="center"/>
            <w:hideMark/>
          </w:tcPr>
          <w:p w14:paraId="01D04F0A" w14:textId="77777777" w:rsidR="00B1775D" w:rsidRPr="00B1775D" w:rsidRDefault="00B1775D" w:rsidP="00B1775D">
            <w:pPr>
              <w:jc w:val="right"/>
              <w:rPr>
                <w:b/>
                <w:bCs/>
                <w:sz w:val="18"/>
                <w:szCs w:val="18"/>
                <w:lang w:eastAsia="tr-TR"/>
              </w:rPr>
            </w:pPr>
            <w:r w:rsidRPr="00B1775D">
              <w:rPr>
                <w:b/>
                <w:bCs/>
                <w:sz w:val="18"/>
                <w:szCs w:val="18"/>
                <w:lang w:eastAsia="tr-TR"/>
              </w:rPr>
              <w:t>4,883,689</w:t>
            </w:r>
          </w:p>
        </w:tc>
        <w:tc>
          <w:tcPr>
            <w:tcW w:w="1899" w:type="dxa"/>
            <w:tcBorders>
              <w:top w:val="single" w:sz="8" w:space="0" w:color="auto"/>
              <w:left w:val="nil"/>
              <w:bottom w:val="double" w:sz="6" w:space="0" w:color="auto"/>
              <w:right w:val="nil"/>
            </w:tcBorders>
            <w:shd w:val="clear" w:color="auto" w:fill="auto"/>
            <w:vAlign w:val="center"/>
            <w:hideMark/>
          </w:tcPr>
          <w:p w14:paraId="2F74E1EA" w14:textId="77777777" w:rsidR="00B1775D" w:rsidRPr="00B1775D" w:rsidRDefault="00B1775D" w:rsidP="00B1775D">
            <w:pPr>
              <w:jc w:val="right"/>
              <w:rPr>
                <w:b/>
                <w:bCs/>
                <w:sz w:val="18"/>
                <w:szCs w:val="18"/>
                <w:lang w:eastAsia="tr-TR"/>
              </w:rPr>
            </w:pPr>
            <w:r w:rsidRPr="00B1775D">
              <w:rPr>
                <w:b/>
                <w:bCs/>
                <w:sz w:val="18"/>
                <w:szCs w:val="18"/>
                <w:lang w:eastAsia="tr-TR"/>
              </w:rPr>
              <w:t>2,707,520</w:t>
            </w:r>
          </w:p>
        </w:tc>
      </w:tr>
    </w:tbl>
    <w:p w14:paraId="7657D820" w14:textId="77777777" w:rsidR="006B1072" w:rsidRPr="00270CE6" w:rsidRDefault="006B1072" w:rsidP="004F702F">
      <w:pPr>
        <w:autoSpaceDE w:val="0"/>
        <w:autoSpaceDN w:val="0"/>
        <w:adjustRightInd w:val="0"/>
        <w:spacing w:line="230" w:lineRule="auto"/>
        <w:rPr>
          <w:b/>
          <w:highlight w:val="yellow"/>
        </w:rPr>
      </w:pPr>
    </w:p>
    <w:p w14:paraId="3A13D194" w14:textId="78B4A402" w:rsidR="006D71DD" w:rsidRPr="00FB7F3E" w:rsidRDefault="003A0C10" w:rsidP="006D71DD">
      <w:pPr>
        <w:autoSpaceDE w:val="0"/>
        <w:autoSpaceDN w:val="0"/>
        <w:adjustRightInd w:val="0"/>
        <w:spacing w:line="230" w:lineRule="auto"/>
        <w:ind w:hanging="567"/>
      </w:pPr>
      <w:bookmarkStart w:id="18" w:name="_Hlk55243806"/>
      <w:r w:rsidRPr="00B1775D">
        <w:rPr>
          <w:b/>
          <w:bCs/>
          <w:iCs/>
        </w:rPr>
        <w:t>1.1</w:t>
      </w:r>
      <w:r>
        <w:rPr>
          <w:b/>
          <w:bCs/>
          <w:iCs/>
        </w:rPr>
        <w:t>0</w:t>
      </w:r>
      <w:r w:rsidR="006D71DD" w:rsidRPr="00FB7F3E">
        <w:rPr>
          <w:b/>
        </w:rPr>
        <w:t>.3</w:t>
      </w:r>
      <w:r w:rsidR="006D71DD" w:rsidRPr="00FB7F3E">
        <w:rPr>
          <w:b/>
        </w:rPr>
        <w:tab/>
      </w:r>
      <w:r w:rsidR="006D71DD" w:rsidRPr="00FB7F3E">
        <w:t>Yapılan finansal kiralama sözleşmeleri ile ilgili genel açıklamalar:</w:t>
      </w:r>
    </w:p>
    <w:p w14:paraId="255BFB0E" w14:textId="77777777" w:rsidR="006D71DD" w:rsidRPr="00FB7F3E" w:rsidRDefault="006D71DD" w:rsidP="006D71DD">
      <w:pPr>
        <w:pStyle w:val="BodyTextIndent"/>
        <w:spacing w:line="230" w:lineRule="auto"/>
        <w:ind w:left="0" w:firstLine="0"/>
        <w:rPr>
          <w:sz w:val="10"/>
          <w:szCs w:val="10"/>
          <w:lang w:eastAsia="en-US"/>
        </w:rPr>
      </w:pPr>
    </w:p>
    <w:p w14:paraId="54BAFBDC" w14:textId="1AC994CE" w:rsidR="006D71DD" w:rsidRPr="00FB7F3E" w:rsidRDefault="006D71DD" w:rsidP="006D71DD">
      <w:pPr>
        <w:pStyle w:val="BodyTextIndent"/>
        <w:spacing w:line="230" w:lineRule="auto"/>
        <w:ind w:left="0" w:firstLine="0"/>
        <w:rPr>
          <w:spacing w:val="-6"/>
        </w:rPr>
      </w:pPr>
      <w:r w:rsidRPr="00FB7F3E">
        <w:rPr>
          <w:spacing w:val="-6"/>
        </w:rPr>
        <w:t>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6</w:t>
      </w:r>
      <w:r w:rsidR="00FB7F3E" w:rsidRPr="00FB7F3E">
        <w:rPr>
          <w:spacing w:val="-6"/>
        </w:rPr>
        <w:t>7</w:t>
      </w:r>
      <w:r w:rsidRPr="00FB7F3E">
        <w:rPr>
          <w:spacing w:val="-6"/>
        </w:rPr>
        <w:t>,</w:t>
      </w:r>
      <w:r w:rsidR="00FB7F3E" w:rsidRPr="00FB7F3E">
        <w:rPr>
          <w:spacing w:val="-6"/>
        </w:rPr>
        <w:t>797</w:t>
      </w:r>
      <w:r w:rsidRPr="00FB7F3E">
        <w:rPr>
          <w:spacing w:val="-6"/>
        </w:rPr>
        <w:t xml:space="preserve"> TL’dir (31 Aralık 2019 – 48,391 TL). </w:t>
      </w:r>
    </w:p>
    <w:bookmarkEnd w:id="18"/>
    <w:p w14:paraId="1E630AFE" w14:textId="77777777" w:rsidR="006B4EDA" w:rsidRPr="00270CE6" w:rsidRDefault="006B4EDA" w:rsidP="00A023D6">
      <w:pPr>
        <w:pStyle w:val="BodyTextIndent"/>
        <w:spacing w:line="230" w:lineRule="auto"/>
        <w:ind w:left="0" w:firstLine="0"/>
        <w:jc w:val="left"/>
        <w:rPr>
          <w:sz w:val="12"/>
          <w:szCs w:val="12"/>
          <w:highlight w:val="yellow"/>
        </w:rPr>
      </w:pPr>
    </w:p>
    <w:p w14:paraId="58A97CAD" w14:textId="68BCCA9E" w:rsidR="00143956" w:rsidRPr="006D71DD" w:rsidRDefault="007959C0" w:rsidP="00A023D6">
      <w:pPr>
        <w:tabs>
          <w:tab w:val="left" w:pos="709"/>
        </w:tabs>
        <w:autoSpaceDE w:val="0"/>
        <w:autoSpaceDN w:val="0"/>
        <w:adjustRightInd w:val="0"/>
        <w:spacing w:line="230" w:lineRule="auto"/>
        <w:ind w:hanging="567"/>
        <w:jc w:val="both"/>
        <w:rPr>
          <w:bCs/>
          <w:iCs/>
        </w:rPr>
      </w:pPr>
      <w:r w:rsidRPr="006D71DD">
        <w:rPr>
          <w:b/>
          <w:bCs/>
          <w:iCs/>
        </w:rPr>
        <w:t>1</w:t>
      </w:r>
      <w:r w:rsidR="003A747D" w:rsidRPr="006D71DD">
        <w:rPr>
          <w:b/>
          <w:bCs/>
          <w:iCs/>
        </w:rPr>
        <w:t>.</w:t>
      </w:r>
      <w:r w:rsidRPr="006D71DD">
        <w:rPr>
          <w:b/>
          <w:bCs/>
          <w:iCs/>
        </w:rPr>
        <w:t>1</w:t>
      </w:r>
      <w:r w:rsidR="003A0C10">
        <w:rPr>
          <w:b/>
          <w:bCs/>
          <w:iCs/>
        </w:rPr>
        <w:t>1</w:t>
      </w:r>
      <w:r w:rsidR="003A747D" w:rsidRPr="006D71DD">
        <w:rPr>
          <w:b/>
          <w:bCs/>
          <w:iCs/>
        </w:rPr>
        <w:tab/>
      </w:r>
      <w:r w:rsidR="00E253C8" w:rsidRPr="006D71DD">
        <w:rPr>
          <w:b/>
          <w:bCs/>
          <w:iCs/>
        </w:rPr>
        <w:t xml:space="preserve">Riskten korunma amaçlı türev finansal araçlara ilişkin açıklamalar: </w:t>
      </w:r>
      <w:r w:rsidR="00AB44A5" w:rsidRPr="006D71DD">
        <w:rPr>
          <w:bCs/>
          <w:iCs/>
        </w:rPr>
        <w:t>Yoktur (</w:t>
      </w:r>
      <w:r w:rsidR="00577F0B" w:rsidRPr="006D71DD">
        <w:rPr>
          <w:bCs/>
          <w:iCs/>
        </w:rPr>
        <w:t xml:space="preserve">31 Aralık </w:t>
      </w:r>
      <w:r w:rsidRPr="006D71DD">
        <w:rPr>
          <w:bCs/>
          <w:iCs/>
        </w:rPr>
        <w:t>201</w:t>
      </w:r>
      <w:r w:rsidR="0032126F" w:rsidRPr="006D71DD">
        <w:rPr>
          <w:bCs/>
          <w:iCs/>
        </w:rPr>
        <w:t>9</w:t>
      </w:r>
      <w:r w:rsidR="00921F53" w:rsidRPr="006D71DD">
        <w:rPr>
          <w:bCs/>
          <w:iCs/>
        </w:rPr>
        <w:t xml:space="preserve"> – </w:t>
      </w:r>
      <w:r w:rsidR="006B423B" w:rsidRPr="006D71DD">
        <w:rPr>
          <w:bCs/>
          <w:iCs/>
        </w:rPr>
        <w:t>Y</w:t>
      </w:r>
      <w:r w:rsidR="00E253C8" w:rsidRPr="006D71DD">
        <w:rPr>
          <w:bCs/>
          <w:iCs/>
        </w:rPr>
        <w:t>oktur).</w:t>
      </w:r>
    </w:p>
    <w:p w14:paraId="0EEE972E" w14:textId="77777777" w:rsidR="006B00D3" w:rsidRPr="006D71DD" w:rsidRDefault="006B00D3" w:rsidP="00A023D6">
      <w:pPr>
        <w:tabs>
          <w:tab w:val="left" w:pos="709"/>
        </w:tabs>
        <w:autoSpaceDE w:val="0"/>
        <w:autoSpaceDN w:val="0"/>
        <w:adjustRightInd w:val="0"/>
        <w:spacing w:line="230" w:lineRule="auto"/>
        <w:jc w:val="both"/>
        <w:rPr>
          <w:b/>
          <w:bCs/>
          <w:iCs/>
          <w:sz w:val="10"/>
          <w:szCs w:val="10"/>
        </w:rPr>
      </w:pPr>
    </w:p>
    <w:p w14:paraId="15B331A7" w14:textId="77777777" w:rsidR="004B1E23" w:rsidRPr="006D71DD" w:rsidRDefault="004B1E23" w:rsidP="00C4058F">
      <w:pPr>
        <w:tabs>
          <w:tab w:val="left" w:pos="709"/>
        </w:tabs>
        <w:autoSpaceDE w:val="0"/>
        <w:autoSpaceDN w:val="0"/>
        <w:adjustRightInd w:val="0"/>
        <w:spacing w:line="230" w:lineRule="auto"/>
        <w:ind w:hanging="567"/>
        <w:jc w:val="both"/>
        <w:rPr>
          <w:b/>
          <w:bCs/>
          <w:iCs/>
          <w:sz w:val="6"/>
        </w:rPr>
      </w:pPr>
    </w:p>
    <w:p w14:paraId="4BC1B132" w14:textId="39FA95B7" w:rsidR="001E4705" w:rsidRPr="006D71DD" w:rsidRDefault="001E4705" w:rsidP="00C4058F">
      <w:pPr>
        <w:tabs>
          <w:tab w:val="left" w:pos="709"/>
        </w:tabs>
        <w:autoSpaceDE w:val="0"/>
        <w:autoSpaceDN w:val="0"/>
        <w:adjustRightInd w:val="0"/>
        <w:spacing w:line="230" w:lineRule="auto"/>
        <w:ind w:hanging="567"/>
        <w:jc w:val="both"/>
        <w:rPr>
          <w:b/>
          <w:bCs/>
          <w:iCs/>
        </w:rPr>
      </w:pPr>
      <w:r w:rsidRPr="006D71DD">
        <w:rPr>
          <w:b/>
          <w:bCs/>
          <w:iCs/>
        </w:rPr>
        <w:t>1.1</w:t>
      </w:r>
      <w:r w:rsidR="003A0C10">
        <w:rPr>
          <w:b/>
          <w:bCs/>
          <w:iCs/>
        </w:rPr>
        <w:t>2</w:t>
      </w:r>
      <w:r w:rsidRPr="006D71DD">
        <w:rPr>
          <w:b/>
          <w:bCs/>
          <w:iCs/>
        </w:rPr>
        <w:t>.</w:t>
      </w:r>
      <w:r w:rsidRPr="006D71DD">
        <w:rPr>
          <w:b/>
          <w:bCs/>
          <w:iCs/>
        </w:rPr>
        <w:tab/>
      </w:r>
      <w:bookmarkStart w:id="19" w:name="OLE_LINK15"/>
      <w:r w:rsidRPr="006D71DD">
        <w:rPr>
          <w:b/>
          <w:bCs/>
          <w:iCs/>
        </w:rPr>
        <w:t xml:space="preserve">Maddi duran varlıklara ilişkin bilgiler: </w:t>
      </w:r>
      <w:bookmarkEnd w:id="19"/>
    </w:p>
    <w:p w14:paraId="4E9E2ACC" w14:textId="18FB4416" w:rsidR="00D22163" w:rsidRPr="006D71DD" w:rsidRDefault="00D22163" w:rsidP="001E4705">
      <w:pPr>
        <w:autoSpaceDE w:val="0"/>
        <w:autoSpaceDN w:val="0"/>
        <w:adjustRightInd w:val="0"/>
        <w:ind w:left="540" w:hanging="540"/>
        <w:rPr>
          <w:lang w:val="en-GB" w:eastAsia="en-GB"/>
        </w:rPr>
      </w:pPr>
    </w:p>
    <w:p w14:paraId="511A6D81" w14:textId="53BDAA60" w:rsidR="0018509E" w:rsidRPr="006D71DD" w:rsidRDefault="0018509E" w:rsidP="00BA637F">
      <w:pPr>
        <w:autoSpaceDE w:val="0"/>
        <w:autoSpaceDN w:val="0"/>
        <w:adjustRightInd w:val="0"/>
        <w:jc w:val="both"/>
      </w:pPr>
      <w:r w:rsidRPr="006D71DD">
        <w:t>Bankalarca Kamuya Açıklanacak Finansal Tablolar ile Bunlara İlişkin Açıklama ve Dipnotlar Hakkında Tebliğ’in 25’inci maddesi uyarınca ara dönemde hazırlanmamıştır.</w:t>
      </w:r>
    </w:p>
    <w:p w14:paraId="3D538C7D" w14:textId="4BAB95FF" w:rsidR="001E4705" w:rsidRPr="006D71DD" w:rsidRDefault="001E4705" w:rsidP="001E4705">
      <w:pPr>
        <w:autoSpaceDE w:val="0"/>
        <w:autoSpaceDN w:val="0"/>
        <w:adjustRightInd w:val="0"/>
        <w:jc w:val="both"/>
        <w:rPr>
          <w:bCs/>
          <w:iCs/>
          <w:sz w:val="10"/>
        </w:rPr>
      </w:pPr>
    </w:p>
    <w:p w14:paraId="49415F1E" w14:textId="24C75BFD" w:rsidR="001E4705" w:rsidRPr="006D71DD" w:rsidRDefault="001E4705" w:rsidP="001E4705">
      <w:pPr>
        <w:autoSpaceDE w:val="0"/>
        <w:autoSpaceDN w:val="0"/>
        <w:adjustRightInd w:val="0"/>
        <w:ind w:hanging="567"/>
        <w:rPr>
          <w:b/>
          <w:bCs/>
          <w:iCs/>
        </w:rPr>
      </w:pPr>
      <w:r w:rsidRPr="006D71DD">
        <w:rPr>
          <w:b/>
          <w:bCs/>
          <w:iCs/>
        </w:rPr>
        <w:t>1.1</w:t>
      </w:r>
      <w:r w:rsidR="003A0C10">
        <w:rPr>
          <w:b/>
          <w:bCs/>
          <w:iCs/>
        </w:rPr>
        <w:t>3</w:t>
      </w:r>
      <w:r w:rsidRPr="006D71DD">
        <w:rPr>
          <w:b/>
          <w:bCs/>
          <w:iCs/>
        </w:rPr>
        <w:t>.</w:t>
      </w:r>
      <w:r w:rsidRPr="006D71DD">
        <w:rPr>
          <w:b/>
          <w:bCs/>
          <w:iCs/>
        </w:rPr>
        <w:tab/>
        <w:t>Maddi olmayan duran varlıklara ilişkin açıklamalar:</w:t>
      </w:r>
    </w:p>
    <w:p w14:paraId="6BEAD537" w14:textId="77777777" w:rsidR="001E4705" w:rsidRPr="006D71DD" w:rsidRDefault="001E4705" w:rsidP="001E4705">
      <w:pPr>
        <w:tabs>
          <w:tab w:val="num" w:pos="2340"/>
          <w:tab w:val="num" w:pos="3060"/>
        </w:tabs>
        <w:autoSpaceDE w:val="0"/>
        <w:autoSpaceDN w:val="0"/>
        <w:adjustRightInd w:val="0"/>
        <w:rPr>
          <w:rFonts w:eastAsia="Arial Unicode MS"/>
          <w:b/>
          <w:sz w:val="16"/>
          <w:szCs w:val="16"/>
        </w:rPr>
      </w:pPr>
    </w:p>
    <w:p w14:paraId="52E48FD6" w14:textId="77777777" w:rsidR="00040BD7" w:rsidRPr="006D71DD" w:rsidRDefault="00040BD7" w:rsidP="00BA637F">
      <w:pPr>
        <w:autoSpaceDE w:val="0"/>
        <w:autoSpaceDN w:val="0"/>
        <w:adjustRightInd w:val="0"/>
        <w:jc w:val="both"/>
      </w:pPr>
      <w:bookmarkStart w:id="20" w:name="_Hlk38748169"/>
      <w:r w:rsidRPr="006D71DD">
        <w:t>Bankalarca Kamuya Açıklanacak Finansal Tablolar ile Bunlara İlişkin Açıklama ve Dipnotlar Hakkında Tebliğ’in 25’inci maddesi uyarınca ara dönemde hazırlanmamıştır.</w:t>
      </w:r>
    </w:p>
    <w:bookmarkEnd w:id="20"/>
    <w:p w14:paraId="6483329C" w14:textId="5A47F6C3" w:rsidR="00D000CD" w:rsidRPr="006D71DD" w:rsidRDefault="00D000CD" w:rsidP="001E4705">
      <w:pPr>
        <w:pStyle w:val="BodyTextIndent"/>
        <w:ind w:left="0" w:firstLine="0"/>
        <w:rPr>
          <w:rFonts w:eastAsia="Arial Unicode MS"/>
          <w:spacing w:val="-4"/>
          <w:sz w:val="12"/>
        </w:rPr>
      </w:pPr>
    </w:p>
    <w:p w14:paraId="1C335AB7" w14:textId="77777777" w:rsidR="00BA637F" w:rsidRDefault="00BA637F">
      <w:pPr>
        <w:rPr>
          <w:b/>
          <w:bCs/>
          <w:iCs/>
        </w:rPr>
      </w:pPr>
      <w:r>
        <w:rPr>
          <w:b/>
          <w:bCs/>
          <w:iCs/>
        </w:rPr>
        <w:br w:type="page"/>
      </w:r>
    </w:p>
    <w:p w14:paraId="0DFDB27A" w14:textId="2E3E042F" w:rsidR="001E4705" w:rsidRPr="006D71DD" w:rsidRDefault="001E4705" w:rsidP="001E4705">
      <w:pPr>
        <w:autoSpaceDE w:val="0"/>
        <w:autoSpaceDN w:val="0"/>
        <w:adjustRightInd w:val="0"/>
        <w:ind w:hanging="567"/>
        <w:rPr>
          <w:b/>
          <w:bCs/>
          <w:iCs/>
        </w:rPr>
      </w:pPr>
      <w:r w:rsidRPr="006D71DD">
        <w:rPr>
          <w:b/>
          <w:bCs/>
          <w:iCs/>
        </w:rPr>
        <w:lastRenderedPageBreak/>
        <w:t>1.1</w:t>
      </w:r>
      <w:r w:rsidR="003A0C10">
        <w:rPr>
          <w:b/>
          <w:bCs/>
          <w:iCs/>
        </w:rPr>
        <w:t>4</w:t>
      </w:r>
      <w:r w:rsidRPr="006D71DD">
        <w:rPr>
          <w:b/>
          <w:bCs/>
          <w:iCs/>
        </w:rPr>
        <w:t>.   Yatırım amaçlı gayrimenkullere ilişkin açıklamalar:</w:t>
      </w:r>
    </w:p>
    <w:p w14:paraId="50B0A59D" w14:textId="568B1EFE" w:rsidR="006B00D3" w:rsidRDefault="006B00D3" w:rsidP="001B1E34">
      <w:pPr>
        <w:autoSpaceDE w:val="0"/>
        <w:autoSpaceDN w:val="0"/>
        <w:adjustRightInd w:val="0"/>
        <w:ind w:left="567" w:hanging="567"/>
        <w:jc w:val="both"/>
        <w:rPr>
          <w:lang w:val="en-GB" w:eastAsia="en-GB"/>
        </w:rPr>
      </w:pPr>
    </w:p>
    <w:tbl>
      <w:tblPr>
        <w:tblW w:w="9223" w:type="dxa"/>
        <w:tblCellMar>
          <w:left w:w="70" w:type="dxa"/>
          <w:right w:w="70" w:type="dxa"/>
        </w:tblCellMar>
        <w:tblLook w:val="04A0" w:firstRow="1" w:lastRow="0" w:firstColumn="1" w:lastColumn="0" w:noHBand="0" w:noVBand="1"/>
      </w:tblPr>
      <w:tblGrid>
        <w:gridCol w:w="4631"/>
        <w:gridCol w:w="3012"/>
        <w:gridCol w:w="1580"/>
      </w:tblGrid>
      <w:tr w:rsidR="006B00D3" w:rsidRPr="006B00D3" w14:paraId="166F71A8" w14:textId="77777777" w:rsidTr="00BA637F">
        <w:trPr>
          <w:divId w:val="1326081719"/>
          <w:trHeight w:val="113"/>
        </w:trPr>
        <w:tc>
          <w:tcPr>
            <w:tcW w:w="4631" w:type="dxa"/>
            <w:tcBorders>
              <w:top w:val="single" w:sz="8" w:space="0" w:color="000000"/>
              <w:left w:val="nil"/>
              <w:bottom w:val="single" w:sz="8" w:space="0" w:color="000000"/>
              <w:right w:val="nil"/>
            </w:tcBorders>
            <w:shd w:val="clear" w:color="auto" w:fill="auto"/>
            <w:vAlign w:val="center"/>
            <w:hideMark/>
          </w:tcPr>
          <w:p w14:paraId="1045ABEB" w14:textId="2923779E" w:rsidR="006B00D3" w:rsidRPr="006B00D3" w:rsidRDefault="006B00D3" w:rsidP="006B00D3">
            <w:pPr>
              <w:rPr>
                <w:color w:val="000000"/>
                <w:sz w:val="18"/>
                <w:szCs w:val="18"/>
                <w:lang w:eastAsia="tr-TR"/>
              </w:rPr>
            </w:pPr>
            <w:r w:rsidRPr="006B00D3">
              <w:rPr>
                <w:color w:val="000000"/>
                <w:sz w:val="18"/>
                <w:szCs w:val="18"/>
                <w:lang w:eastAsia="tr-TR"/>
              </w:rPr>
              <w:t xml:space="preserve"> </w:t>
            </w:r>
          </w:p>
        </w:tc>
        <w:tc>
          <w:tcPr>
            <w:tcW w:w="3012" w:type="dxa"/>
            <w:tcBorders>
              <w:top w:val="single" w:sz="8" w:space="0" w:color="000000"/>
              <w:left w:val="nil"/>
              <w:bottom w:val="single" w:sz="8" w:space="0" w:color="000000"/>
              <w:right w:val="nil"/>
            </w:tcBorders>
            <w:shd w:val="clear" w:color="auto" w:fill="auto"/>
            <w:vAlign w:val="center"/>
            <w:hideMark/>
          </w:tcPr>
          <w:p w14:paraId="5BE0FE9B" w14:textId="77777777" w:rsidR="006B00D3" w:rsidRPr="006B00D3" w:rsidRDefault="006B00D3" w:rsidP="006B00D3">
            <w:pPr>
              <w:jc w:val="right"/>
              <w:rPr>
                <w:b/>
                <w:bCs/>
                <w:color w:val="000000"/>
                <w:sz w:val="18"/>
                <w:szCs w:val="18"/>
                <w:lang w:eastAsia="tr-TR"/>
              </w:rPr>
            </w:pPr>
            <w:r w:rsidRPr="006B00D3">
              <w:rPr>
                <w:b/>
                <w:bCs/>
                <w:color w:val="000000"/>
                <w:sz w:val="18"/>
                <w:szCs w:val="18"/>
                <w:lang w:eastAsia="tr-TR"/>
              </w:rPr>
              <w:t>Cari dönem</w:t>
            </w:r>
          </w:p>
        </w:tc>
        <w:tc>
          <w:tcPr>
            <w:tcW w:w="1580" w:type="dxa"/>
            <w:tcBorders>
              <w:top w:val="single" w:sz="8" w:space="0" w:color="000000"/>
              <w:left w:val="nil"/>
              <w:bottom w:val="single" w:sz="8" w:space="0" w:color="000000"/>
              <w:right w:val="nil"/>
            </w:tcBorders>
            <w:shd w:val="clear" w:color="auto" w:fill="auto"/>
            <w:noWrap/>
            <w:vAlign w:val="center"/>
            <w:hideMark/>
          </w:tcPr>
          <w:p w14:paraId="61946EE7" w14:textId="77777777" w:rsidR="006B00D3" w:rsidRPr="006B00D3" w:rsidRDefault="006B00D3" w:rsidP="006B00D3">
            <w:pPr>
              <w:jc w:val="right"/>
              <w:rPr>
                <w:b/>
                <w:bCs/>
                <w:color w:val="000000"/>
                <w:sz w:val="18"/>
                <w:szCs w:val="18"/>
                <w:lang w:eastAsia="tr-TR"/>
              </w:rPr>
            </w:pPr>
            <w:r w:rsidRPr="006B00D3">
              <w:rPr>
                <w:b/>
                <w:bCs/>
                <w:color w:val="000000"/>
                <w:sz w:val="18"/>
                <w:szCs w:val="18"/>
                <w:lang w:eastAsia="tr-TR"/>
              </w:rPr>
              <w:t>Önceki dönem</w:t>
            </w:r>
          </w:p>
        </w:tc>
      </w:tr>
      <w:tr w:rsidR="006B00D3" w:rsidRPr="006B00D3" w14:paraId="6861B744" w14:textId="77777777" w:rsidTr="00BA637F">
        <w:trPr>
          <w:divId w:val="1326081719"/>
          <w:trHeight w:val="113"/>
        </w:trPr>
        <w:tc>
          <w:tcPr>
            <w:tcW w:w="4631" w:type="dxa"/>
            <w:tcBorders>
              <w:top w:val="nil"/>
              <w:left w:val="nil"/>
              <w:bottom w:val="nil"/>
              <w:right w:val="nil"/>
            </w:tcBorders>
            <w:shd w:val="clear" w:color="auto" w:fill="auto"/>
            <w:vAlign w:val="center"/>
            <w:hideMark/>
          </w:tcPr>
          <w:p w14:paraId="4C67F66C" w14:textId="77777777" w:rsidR="006B00D3" w:rsidRPr="006B00D3" w:rsidRDefault="006B00D3" w:rsidP="006B00D3">
            <w:pPr>
              <w:rPr>
                <w:color w:val="000000"/>
                <w:sz w:val="18"/>
                <w:szCs w:val="18"/>
                <w:lang w:eastAsia="tr-TR"/>
              </w:rPr>
            </w:pPr>
            <w:r w:rsidRPr="006B00D3">
              <w:rPr>
                <w:color w:val="000000"/>
                <w:sz w:val="18"/>
                <w:szCs w:val="18"/>
                <w:lang w:eastAsia="tr-TR"/>
              </w:rPr>
              <w:t>Açılış Bakiyesi</w:t>
            </w:r>
          </w:p>
        </w:tc>
        <w:tc>
          <w:tcPr>
            <w:tcW w:w="3012" w:type="dxa"/>
            <w:tcBorders>
              <w:top w:val="nil"/>
              <w:left w:val="nil"/>
              <w:bottom w:val="nil"/>
              <w:right w:val="nil"/>
            </w:tcBorders>
            <w:shd w:val="clear" w:color="auto" w:fill="auto"/>
            <w:vAlign w:val="center"/>
            <w:hideMark/>
          </w:tcPr>
          <w:p w14:paraId="4B657682" w14:textId="77777777" w:rsidR="006B00D3" w:rsidRPr="006B00D3" w:rsidRDefault="006B00D3" w:rsidP="006B00D3">
            <w:pPr>
              <w:jc w:val="right"/>
              <w:rPr>
                <w:color w:val="000000"/>
                <w:sz w:val="18"/>
                <w:szCs w:val="18"/>
                <w:lang w:eastAsia="tr-TR"/>
              </w:rPr>
            </w:pPr>
            <w:r w:rsidRPr="006B00D3">
              <w:rPr>
                <w:color w:val="000000"/>
                <w:sz w:val="18"/>
                <w:szCs w:val="18"/>
                <w:lang w:eastAsia="tr-TR"/>
              </w:rPr>
              <w:t>25,146</w:t>
            </w:r>
          </w:p>
        </w:tc>
        <w:tc>
          <w:tcPr>
            <w:tcW w:w="1580" w:type="dxa"/>
            <w:tcBorders>
              <w:top w:val="nil"/>
              <w:left w:val="nil"/>
              <w:bottom w:val="nil"/>
              <w:right w:val="nil"/>
            </w:tcBorders>
            <w:shd w:val="clear" w:color="auto" w:fill="auto"/>
            <w:vAlign w:val="center"/>
            <w:hideMark/>
          </w:tcPr>
          <w:p w14:paraId="0E803AF0" w14:textId="77777777" w:rsidR="006B00D3" w:rsidRPr="006B00D3" w:rsidRDefault="006B00D3" w:rsidP="006B00D3">
            <w:pPr>
              <w:jc w:val="right"/>
              <w:rPr>
                <w:color w:val="000000"/>
                <w:sz w:val="18"/>
                <w:szCs w:val="18"/>
                <w:lang w:eastAsia="tr-TR"/>
              </w:rPr>
            </w:pPr>
            <w:r w:rsidRPr="006B00D3">
              <w:rPr>
                <w:color w:val="000000"/>
                <w:sz w:val="18"/>
                <w:szCs w:val="18"/>
                <w:lang w:eastAsia="tr-TR"/>
              </w:rPr>
              <w:t>25,305</w:t>
            </w:r>
          </w:p>
        </w:tc>
      </w:tr>
      <w:tr w:rsidR="006B00D3" w:rsidRPr="006B00D3" w14:paraId="280B28EC" w14:textId="77777777" w:rsidTr="00BA637F">
        <w:trPr>
          <w:divId w:val="1326081719"/>
          <w:trHeight w:val="113"/>
        </w:trPr>
        <w:tc>
          <w:tcPr>
            <w:tcW w:w="4631" w:type="dxa"/>
            <w:tcBorders>
              <w:top w:val="nil"/>
              <w:left w:val="nil"/>
              <w:bottom w:val="nil"/>
              <w:right w:val="nil"/>
            </w:tcBorders>
            <w:shd w:val="clear" w:color="auto" w:fill="auto"/>
            <w:vAlign w:val="center"/>
            <w:hideMark/>
          </w:tcPr>
          <w:p w14:paraId="07C0A0BF" w14:textId="77777777" w:rsidR="006B00D3" w:rsidRPr="006B00D3" w:rsidRDefault="006B00D3" w:rsidP="006B00D3">
            <w:pPr>
              <w:rPr>
                <w:color w:val="000000"/>
                <w:sz w:val="18"/>
                <w:szCs w:val="18"/>
                <w:lang w:eastAsia="tr-TR"/>
              </w:rPr>
            </w:pPr>
            <w:r w:rsidRPr="006B00D3">
              <w:rPr>
                <w:color w:val="000000"/>
                <w:sz w:val="18"/>
                <w:szCs w:val="18"/>
                <w:lang w:eastAsia="tr-TR"/>
              </w:rPr>
              <w:t>İktisap Edilenler</w:t>
            </w:r>
          </w:p>
        </w:tc>
        <w:tc>
          <w:tcPr>
            <w:tcW w:w="3012" w:type="dxa"/>
            <w:tcBorders>
              <w:top w:val="nil"/>
              <w:left w:val="nil"/>
              <w:bottom w:val="nil"/>
              <w:right w:val="nil"/>
            </w:tcBorders>
            <w:shd w:val="clear" w:color="auto" w:fill="auto"/>
            <w:vAlign w:val="center"/>
            <w:hideMark/>
          </w:tcPr>
          <w:p w14:paraId="03E3683A" w14:textId="77777777" w:rsidR="006B00D3" w:rsidRPr="006B00D3" w:rsidRDefault="006B00D3" w:rsidP="006B00D3">
            <w:pPr>
              <w:jc w:val="right"/>
              <w:rPr>
                <w:color w:val="000000"/>
                <w:sz w:val="18"/>
                <w:szCs w:val="18"/>
                <w:lang w:eastAsia="tr-TR"/>
              </w:rPr>
            </w:pPr>
            <w:r w:rsidRPr="006B00D3">
              <w:rPr>
                <w:color w:val="000000"/>
                <w:sz w:val="18"/>
                <w:szCs w:val="18"/>
                <w:lang w:eastAsia="tr-TR"/>
              </w:rPr>
              <w:t>1,303</w:t>
            </w:r>
          </w:p>
        </w:tc>
        <w:tc>
          <w:tcPr>
            <w:tcW w:w="1580" w:type="dxa"/>
            <w:tcBorders>
              <w:top w:val="nil"/>
              <w:left w:val="nil"/>
              <w:bottom w:val="nil"/>
              <w:right w:val="nil"/>
            </w:tcBorders>
            <w:shd w:val="clear" w:color="auto" w:fill="auto"/>
            <w:vAlign w:val="center"/>
            <w:hideMark/>
          </w:tcPr>
          <w:p w14:paraId="46222C52" w14:textId="77777777" w:rsidR="006B00D3" w:rsidRPr="006B00D3" w:rsidRDefault="006B00D3" w:rsidP="006B00D3">
            <w:pPr>
              <w:jc w:val="right"/>
              <w:rPr>
                <w:color w:val="000000"/>
                <w:sz w:val="18"/>
                <w:szCs w:val="18"/>
                <w:lang w:eastAsia="tr-TR"/>
              </w:rPr>
            </w:pPr>
            <w:r w:rsidRPr="006B00D3">
              <w:rPr>
                <w:color w:val="000000"/>
                <w:sz w:val="18"/>
                <w:szCs w:val="18"/>
                <w:lang w:eastAsia="tr-TR"/>
              </w:rPr>
              <w:t>1,143</w:t>
            </w:r>
          </w:p>
        </w:tc>
      </w:tr>
      <w:tr w:rsidR="006B00D3" w:rsidRPr="006B00D3" w14:paraId="5DAB39E5" w14:textId="77777777" w:rsidTr="00BA637F">
        <w:trPr>
          <w:divId w:val="1326081719"/>
          <w:trHeight w:val="113"/>
        </w:trPr>
        <w:tc>
          <w:tcPr>
            <w:tcW w:w="4631" w:type="dxa"/>
            <w:tcBorders>
              <w:top w:val="nil"/>
              <w:left w:val="nil"/>
              <w:bottom w:val="nil"/>
              <w:right w:val="nil"/>
            </w:tcBorders>
            <w:shd w:val="clear" w:color="auto" w:fill="auto"/>
            <w:vAlign w:val="center"/>
            <w:hideMark/>
          </w:tcPr>
          <w:p w14:paraId="4F2DA520" w14:textId="77777777" w:rsidR="006B00D3" w:rsidRPr="006B00D3" w:rsidRDefault="006B00D3" w:rsidP="006B00D3">
            <w:pPr>
              <w:rPr>
                <w:color w:val="000000"/>
                <w:sz w:val="18"/>
                <w:szCs w:val="18"/>
                <w:lang w:eastAsia="tr-TR"/>
              </w:rPr>
            </w:pPr>
            <w:r w:rsidRPr="006B00D3">
              <w:rPr>
                <w:color w:val="000000"/>
                <w:sz w:val="18"/>
                <w:szCs w:val="18"/>
                <w:lang w:eastAsia="tr-TR"/>
              </w:rPr>
              <w:t>Elden Çıkarılanlar (-), Net</w:t>
            </w:r>
          </w:p>
        </w:tc>
        <w:tc>
          <w:tcPr>
            <w:tcW w:w="3012" w:type="dxa"/>
            <w:tcBorders>
              <w:top w:val="nil"/>
              <w:left w:val="nil"/>
              <w:bottom w:val="nil"/>
              <w:right w:val="nil"/>
            </w:tcBorders>
            <w:shd w:val="clear" w:color="auto" w:fill="auto"/>
            <w:vAlign w:val="center"/>
            <w:hideMark/>
          </w:tcPr>
          <w:p w14:paraId="252489BA"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c>
          <w:tcPr>
            <w:tcW w:w="1580" w:type="dxa"/>
            <w:tcBorders>
              <w:top w:val="nil"/>
              <w:left w:val="nil"/>
              <w:bottom w:val="nil"/>
              <w:right w:val="nil"/>
            </w:tcBorders>
            <w:shd w:val="clear" w:color="auto" w:fill="auto"/>
            <w:vAlign w:val="center"/>
            <w:hideMark/>
          </w:tcPr>
          <w:p w14:paraId="05C47AE4"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r>
      <w:tr w:rsidR="006B00D3" w:rsidRPr="006B00D3" w14:paraId="4AB1CF9C" w14:textId="77777777" w:rsidTr="00BA637F">
        <w:trPr>
          <w:divId w:val="1326081719"/>
          <w:trHeight w:val="113"/>
        </w:trPr>
        <w:tc>
          <w:tcPr>
            <w:tcW w:w="4631" w:type="dxa"/>
            <w:tcBorders>
              <w:top w:val="nil"/>
              <w:left w:val="nil"/>
              <w:bottom w:val="single" w:sz="8" w:space="0" w:color="auto"/>
              <w:right w:val="nil"/>
            </w:tcBorders>
            <w:shd w:val="clear" w:color="auto" w:fill="auto"/>
            <w:vAlign w:val="center"/>
            <w:hideMark/>
          </w:tcPr>
          <w:p w14:paraId="0CD8E175" w14:textId="77777777" w:rsidR="006B00D3" w:rsidRPr="006B00D3" w:rsidRDefault="006B00D3" w:rsidP="006B00D3">
            <w:pPr>
              <w:rPr>
                <w:color w:val="000000"/>
                <w:sz w:val="18"/>
                <w:szCs w:val="18"/>
                <w:lang w:eastAsia="tr-TR"/>
              </w:rPr>
            </w:pPr>
            <w:r w:rsidRPr="006B00D3">
              <w:rPr>
                <w:color w:val="000000"/>
                <w:sz w:val="18"/>
                <w:szCs w:val="18"/>
                <w:lang w:eastAsia="tr-TR"/>
              </w:rPr>
              <w:t>Amortisman Bedeli (-)</w:t>
            </w:r>
          </w:p>
        </w:tc>
        <w:tc>
          <w:tcPr>
            <w:tcW w:w="3012" w:type="dxa"/>
            <w:tcBorders>
              <w:top w:val="nil"/>
              <w:left w:val="nil"/>
              <w:bottom w:val="single" w:sz="8" w:space="0" w:color="auto"/>
              <w:right w:val="nil"/>
            </w:tcBorders>
            <w:shd w:val="clear" w:color="auto" w:fill="auto"/>
            <w:vAlign w:val="center"/>
            <w:hideMark/>
          </w:tcPr>
          <w:p w14:paraId="774E021E" w14:textId="77777777" w:rsidR="006B00D3" w:rsidRPr="006B00D3" w:rsidRDefault="006B00D3" w:rsidP="006B00D3">
            <w:pPr>
              <w:jc w:val="right"/>
              <w:rPr>
                <w:color w:val="000000"/>
                <w:sz w:val="18"/>
                <w:szCs w:val="18"/>
                <w:lang w:eastAsia="tr-TR"/>
              </w:rPr>
            </w:pPr>
            <w:r w:rsidRPr="006B00D3">
              <w:rPr>
                <w:color w:val="000000"/>
                <w:sz w:val="18"/>
                <w:szCs w:val="18"/>
                <w:lang w:eastAsia="tr-TR"/>
              </w:rPr>
              <w:t>1,422</w:t>
            </w:r>
          </w:p>
        </w:tc>
        <w:tc>
          <w:tcPr>
            <w:tcW w:w="1580" w:type="dxa"/>
            <w:tcBorders>
              <w:top w:val="nil"/>
              <w:left w:val="nil"/>
              <w:bottom w:val="single" w:sz="8" w:space="0" w:color="auto"/>
              <w:right w:val="nil"/>
            </w:tcBorders>
            <w:shd w:val="clear" w:color="auto" w:fill="auto"/>
            <w:vAlign w:val="center"/>
            <w:hideMark/>
          </w:tcPr>
          <w:p w14:paraId="06B43715" w14:textId="77777777" w:rsidR="006B00D3" w:rsidRPr="006B00D3" w:rsidRDefault="006B00D3" w:rsidP="006B00D3">
            <w:pPr>
              <w:jc w:val="right"/>
              <w:rPr>
                <w:color w:val="000000"/>
                <w:sz w:val="18"/>
                <w:szCs w:val="18"/>
                <w:lang w:eastAsia="tr-TR"/>
              </w:rPr>
            </w:pPr>
            <w:r w:rsidRPr="006B00D3">
              <w:rPr>
                <w:color w:val="000000"/>
                <w:sz w:val="18"/>
                <w:szCs w:val="18"/>
                <w:lang w:eastAsia="tr-TR"/>
              </w:rPr>
              <w:t>1,302</w:t>
            </w:r>
          </w:p>
        </w:tc>
      </w:tr>
      <w:tr w:rsidR="006B00D3" w:rsidRPr="006B00D3" w14:paraId="3306DB9A" w14:textId="77777777" w:rsidTr="00BA637F">
        <w:trPr>
          <w:divId w:val="1326081719"/>
          <w:trHeight w:val="113"/>
        </w:trPr>
        <w:tc>
          <w:tcPr>
            <w:tcW w:w="4631" w:type="dxa"/>
            <w:tcBorders>
              <w:top w:val="nil"/>
              <w:left w:val="nil"/>
              <w:bottom w:val="double" w:sz="6" w:space="0" w:color="auto"/>
              <w:right w:val="nil"/>
            </w:tcBorders>
            <w:shd w:val="clear" w:color="auto" w:fill="auto"/>
            <w:vAlign w:val="center"/>
            <w:hideMark/>
          </w:tcPr>
          <w:p w14:paraId="2276693E" w14:textId="77777777" w:rsidR="006B00D3" w:rsidRPr="006B00D3" w:rsidRDefault="006B00D3" w:rsidP="006B00D3">
            <w:pPr>
              <w:rPr>
                <w:b/>
                <w:bCs/>
                <w:color w:val="000000"/>
                <w:sz w:val="18"/>
                <w:szCs w:val="18"/>
                <w:lang w:eastAsia="tr-TR"/>
              </w:rPr>
            </w:pPr>
            <w:r w:rsidRPr="006B00D3">
              <w:rPr>
                <w:b/>
                <w:bCs/>
                <w:color w:val="000000"/>
                <w:sz w:val="18"/>
                <w:szCs w:val="18"/>
                <w:lang w:eastAsia="tr-TR"/>
              </w:rPr>
              <w:t xml:space="preserve">Kapanış Net Defter Değeri </w:t>
            </w:r>
          </w:p>
        </w:tc>
        <w:tc>
          <w:tcPr>
            <w:tcW w:w="3012" w:type="dxa"/>
            <w:tcBorders>
              <w:top w:val="nil"/>
              <w:left w:val="nil"/>
              <w:bottom w:val="double" w:sz="6" w:space="0" w:color="auto"/>
              <w:right w:val="nil"/>
            </w:tcBorders>
            <w:shd w:val="clear" w:color="auto" w:fill="auto"/>
            <w:vAlign w:val="center"/>
            <w:hideMark/>
          </w:tcPr>
          <w:p w14:paraId="33B033A2" w14:textId="77777777" w:rsidR="006B00D3" w:rsidRPr="006B00D3" w:rsidRDefault="006B00D3" w:rsidP="006B00D3">
            <w:pPr>
              <w:jc w:val="right"/>
              <w:rPr>
                <w:b/>
                <w:color w:val="000000"/>
                <w:sz w:val="18"/>
                <w:szCs w:val="18"/>
                <w:lang w:eastAsia="tr-TR"/>
              </w:rPr>
            </w:pPr>
            <w:r w:rsidRPr="006B00D3">
              <w:rPr>
                <w:b/>
                <w:color w:val="000000"/>
                <w:sz w:val="18"/>
                <w:szCs w:val="18"/>
                <w:lang w:eastAsia="tr-TR"/>
              </w:rPr>
              <w:t>25,027</w:t>
            </w:r>
          </w:p>
        </w:tc>
        <w:tc>
          <w:tcPr>
            <w:tcW w:w="1580" w:type="dxa"/>
            <w:tcBorders>
              <w:top w:val="nil"/>
              <w:left w:val="nil"/>
              <w:bottom w:val="double" w:sz="6" w:space="0" w:color="auto"/>
              <w:right w:val="nil"/>
            </w:tcBorders>
            <w:shd w:val="clear" w:color="auto" w:fill="auto"/>
            <w:vAlign w:val="center"/>
            <w:hideMark/>
          </w:tcPr>
          <w:p w14:paraId="09B9ABF7" w14:textId="77777777" w:rsidR="006B00D3" w:rsidRPr="006B00D3" w:rsidRDefault="006B00D3" w:rsidP="006B00D3">
            <w:pPr>
              <w:jc w:val="right"/>
              <w:rPr>
                <w:b/>
                <w:color w:val="000000"/>
                <w:sz w:val="18"/>
                <w:szCs w:val="18"/>
                <w:lang w:eastAsia="tr-TR"/>
              </w:rPr>
            </w:pPr>
            <w:r w:rsidRPr="006B00D3">
              <w:rPr>
                <w:b/>
                <w:color w:val="000000"/>
                <w:sz w:val="18"/>
                <w:szCs w:val="18"/>
                <w:lang w:eastAsia="tr-TR"/>
              </w:rPr>
              <w:t>25,146</w:t>
            </w:r>
          </w:p>
        </w:tc>
      </w:tr>
    </w:tbl>
    <w:p w14:paraId="7FB2B9DF" w14:textId="21FA0BFA" w:rsidR="00DA2684" w:rsidRPr="00270CE6" w:rsidRDefault="00DA2684" w:rsidP="00BA637F">
      <w:pPr>
        <w:autoSpaceDE w:val="0"/>
        <w:autoSpaceDN w:val="0"/>
        <w:adjustRightInd w:val="0"/>
        <w:ind w:left="567" w:hanging="567"/>
        <w:jc w:val="both"/>
        <w:rPr>
          <w:b/>
          <w:bCs/>
          <w:iCs/>
          <w:highlight w:val="yellow"/>
        </w:rPr>
      </w:pPr>
    </w:p>
    <w:p w14:paraId="7D5EC32A" w14:textId="46E8FF57" w:rsidR="008B1E20" w:rsidRPr="00B1775D" w:rsidRDefault="0048609D" w:rsidP="00A023D6">
      <w:pPr>
        <w:tabs>
          <w:tab w:val="left" w:pos="709"/>
        </w:tabs>
        <w:autoSpaceDE w:val="0"/>
        <w:autoSpaceDN w:val="0"/>
        <w:adjustRightInd w:val="0"/>
        <w:spacing w:line="230" w:lineRule="auto"/>
        <w:ind w:hanging="567"/>
        <w:jc w:val="both"/>
        <w:rPr>
          <w:b/>
          <w:bCs/>
          <w:iCs/>
        </w:rPr>
      </w:pPr>
      <w:r w:rsidRPr="00B1775D">
        <w:rPr>
          <w:b/>
          <w:bCs/>
          <w:iCs/>
        </w:rPr>
        <w:t>1.1</w:t>
      </w:r>
      <w:r w:rsidR="003A0C10">
        <w:rPr>
          <w:b/>
          <w:bCs/>
          <w:iCs/>
        </w:rPr>
        <w:t>5</w:t>
      </w:r>
      <w:r w:rsidRPr="00B1775D">
        <w:rPr>
          <w:b/>
          <w:bCs/>
          <w:iCs/>
        </w:rPr>
        <w:t>.</w:t>
      </w:r>
      <w:r w:rsidR="007959C0" w:rsidRPr="00B1775D">
        <w:rPr>
          <w:b/>
          <w:bCs/>
          <w:iCs/>
        </w:rPr>
        <w:tab/>
      </w:r>
      <w:r w:rsidR="00E253C8" w:rsidRPr="00B1775D">
        <w:rPr>
          <w:b/>
          <w:bCs/>
          <w:iCs/>
        </w:rPr>
        <w:t xml:space="preserve">Ertelenmiş vergi </w:t>
      </w:r>
      <w:r w:rsidR="00AE0BAA" w:rsidRPr="00B1775D">
        <w:rPr>
          <w:b/>
          <w:bCs/>
          <w:iCs/>
        </w:rPr>
        <w:t xml:space="preserve">varlığına </w:t>
      </w:r>
      <w:r w:rsidR="00E253C8" w:rsidRPr="00B1775D">
        <w:rPr>
          <w:b/>
          <w:bCs/>
          <w:iCs/>
        </w:rPr>
        <w:t>ilişkin bilgiler:</w:t>
      </w:r>
    </w:p>
    <w:p w14:paraId="37721679" w14:textId="77777777" w:rsidR="00E041AE" w:rsidRPr="00B1775D" w:rsidRDefault="00E041AE" w:rsidP="00A023D6">
      <w:pPr>
        <w:autoSpaceDE w:val="0"/>
        <w:autoSpaceDN w:val="0"/>
        <w:adjustRightInd w:val="0"/>
        <w:spacing w:line="230" w:lineRule="auto"/>
        <w:ind w:left="-180"/>
        <w:rPr>
          <w:b/>
          <w:bCs/>
          <w:iCs/>
          <w:sz w:val="4"/>
          <w:szCs w:val="12"/>
        </w:rPr>
      </w:pPr>
    </w:p>
    <w:p w14:paraId="2ED4EF4F" w14:textId="48F4772B" w:rsidR="008D48A9" w:rsidRPr="00B1775D" w:rsidRDefault="00E253C8" w:rsidP="00A023D6">
      <w:pPr>
        <w:tabs>
          <w:tab w:val="num" w:pos="2340"/>
          <w:tab w:val="num" w:pos="3060"/>
        </w:tabs>
        <w:autoSpaceDE w:val="0"/>
        <w:autoSpaceDN w:val="0"/>
        <w:adjustRightInd w:val="0"/>
        <w:spacing w:line="230" w:lineRule="auto"/>
        <w:jc w:val="both"/>
      </w:pPr>
      <w:r w:rsidRPr="00B1775D">
        <w:rPr>
          <w:color w:val="000000"/>
        </w:rPr>
        <w:t>İlgili düzenlemeler kapsamında</w:t>
      </w:r>
      <w:r w:rsidRPr="00B1775D">
        <w:t xml:space="preserve"> </w:t>
      </w:r>
      <w:r w:rsidR="0076774B" w:rsidRPr="00B1775D">
        <w:rPr>
          <w:rFonts w:eastAsia="Arial Unicode MS"/>
          <w:color w:val="000000"/>
        </w:rPr>
        <w:t xml:space="preserve">30 </w:t>
      </w:r>
      <w:r w:rsidR="002A4B08" w:rsidRPr="00B1775D">
        <w:rPr>
          <w:rFonts w:eastAsia="Arial Unicode MS"/>
          <w:color w:val="000000"/>
        </w:rPr>
        <w:t>Eylül</w:t>
      </w:r>
      <w:r w:rsidR="0076774B" w:rsidRPr="00B1775D">
        <w:rPr>
          <w:rFonts w:eastAsia="Arial Unicode MS"/>
          <w:color w:val="000000"/>
        </w:rPr>
        <w:t xml:space="preserve"> 2020</w:t>
      </w:r>
      <w:r w:rsidRPr="00B1775D">
        <w:t xml:space="preserve"> tarihi </w:t>
      </w:r>
      <w:r w:rsidR="00CF4F17" w:rsidRPr="00B1775D">
        <w:t>itibarıyla</w:t>
      </w:r>
      <w:r w:rsidRPr="00B1775D">
        <w:t xml:space="preserve"> </w:t>
      </w:r>
      <w:r w:rsidR="00C46728" w:rsidRPr="00B1775D">
        <w:t>ertelenmiş vergi</w:t>
      </w:r>
      <w:r w:rsidR="000B766D" w:rsidRPr="00B1775D">
        <w:t xml:space="preserve"> bilançoda</w:t>
      </w:r>
      <w:r w:rsidR="00C46728" w:rsidRPr="00B1775D">
        <w:t xml:space="preserve"> </w:t>
      </w:r>
      <w:r w:rsidR="00B1775D" w:rsidRPr="00B1775D">
        <w:t>594</w:t>
      </w:r>
      <w:r w:rsidR="00796676" w:rsidRPr="00B1775D">
        <w:t>,</w:t>
      </w:r>
      <w:r w:rsidR="00B1775D" w:rsidRPr="00B1775D">
        <w:t>759</w:t>
      </w:r>
      <w:r w:rsidR="00C46728" w:rsidRPr="00B1775D">
        <w:t xml:space="preserve"> TL </w:t>
      </w:r>
      <w:r w:rsidR="000B766D" w:rsidRPr="00B1775D">
        <w:t>olarak netleştirilmiştir. E</w:t>
      </w:r>
      <w:r w:rsidRPr="00B1775D">
        <w:t xml:space="preserve">rtelenmiş vergi </w:t>
      </w:r>
      <w:r w:rsidR="00AE0BAA" w:rsidRPr="00B1775D">
        <w:t xml:space="preserve">varlığı </w:t>
      </w:r>
      <w:r w:rsidR="00B1775D" w:rsidRPr="00B1775D">
        <w:t>910</w:t>
      </w:r>
      <w:r w:rsidR="00796676" w:rsidRPr="00B1775D">
        <w:t>,</w:t>
      </w:r>
      <w:r w:rsidR="00B1775D" w:rsidRPr="00B1775D">
        <w:t>2</w:t>
      </w:r>
      <w:r w:rsidR="004C73F3" w:rsidRPr="00B1775D">
        <w:t>8</w:t>
      </w:r>
      <w:r w:rsidR="00B1775D" w:rsidRPr="00B1775D">
        <w:t>0</w:t>
      </w:r>
      <w:r w:rsidR="0098693C" w:rsidRPr="00B1775D">
        <w:t xml:space="preserve"> </w:t>
      </w:r>
      <w:r w:rsidRPr="00B1775D">
        <w:t>TL (</w:t>
      </w:r>
      <w:r w:rsidR="00577F0B" w:rsidRPr="00B1775D">
        <w:t xml:space="preserve">31 Aralık </w:t>
      </w:r>
      <w:r w:rsidR="007959C0" w:rsidRPr="00B1775D">
        <w:t>201</w:t>
      </w:r>
      <w:r w:rsidR="0032404A" w:rsidRPr="00B1775D">
        <w:t>9</w:t>
      </w:r>
      <w:r w:rsidRPr="00B1775D">
        <w:t xml:space="preserve"> –</w:t>
      </w:r>
      <w:r w:rsidR="00807372" w:rsidRPr="00B1775D">
        <w:t xml:space="preserve"> </w:t>
      </w:r>
      <w:r w:rsidR="0032404A" w:rsidRPr="00B1775D">
        <w:rPr>
          <w:spacing w:val="-10"/>
        </w:rPr>
        <w:t>399,960</w:t>
      </w:r>
      <w:r w:rsidR="003E7862" w:rsidRPr="00B1775D">
        <w:rPr>
          <w:spacing w:val="-10"/>
        </w:rPr>
        <w:t xml:space="preserve"> TL</w:t>
      </w:r>
      <w:r w:rsidRPr="00B1775D">
        <w:t xml:space="preserve">) ertelenmiş vergi </w:t>
      </w:r>
      <w:r w:rsidR="00AE0BAA" w:rsidRPr="00B1775D">
        <w:t xml:space="preserve">borcu </w:t>
      </w:r>
      <w:r w:rsidRPr="00B1775D">
        <w:t xml:space="preserve">ise </w:t>
      </w:r>
      <w:r w:rsidR="00B1775D" w:rsidRPr="00B1775D">
        <w:t>315</w:t>
      </w:r>
      <w:r w:rsidR="00796676" w:rsidRPr="00B1775D">
        <w:t>,</w:t>
      </w:r>
      <w:r w:rsidR="0032000A" w:rsidRPr="00B1775D">
        <w:t>5</w:t>
      </w:r>
      <w:r w:rsidR="00B1775D" w:rsidRPr="00B1775D">
        <w:t>21</w:t>
      </w:r>
      <w:r w:rsidR="004D3E82" w:rsidRPr="00B1775D">
        <w:t xml:space="preserve"> </w:t>
      </w:r>
      <w:r w:rsidRPr="00B1775D">
        <w:t>TL (</w:t>
      </w:r>
      <w:r w:rsidR="00076793" w:rsidRPr="00B1775D">
        <w:t xml:space="preserve">31 Aralık </w:t>
      </w:r>
      <w:r w:rsidR="007959C0" w:rsidRPr="00B1775D">
        <w:t>201</w:t>
      </w:r>
      <w:r w:rsidR="00EC3192" w:rsidRPr="00B1775D">
        <w:t>8</w:t>
      </w:r>
      <w:r w:rsidR="0032404A" w:rsidRPr="00B1775D">
        <w:t>-9</w:t>
      </w:r>
      <w:r w:rsidRPr="00B1775D">
        <w:t xml:space="preserve"> – </w:t>
      </w:r>
      <w:r w:rsidR="0032404A" w:rsidRPr="00B1775D">
        <w:rPr>
          <w:spacing w:val="-10"/>
        </w:rPr>
        <w:t>41,863</w:t>
      </w:r>
      <w:r w:rsidR="003E7862" w:rsidRPr="00B1775D">
        <w:rPr>
          <w:spacing w:val="-10"/>
        </w:rPr>
        <w:t xml:space="preserve"> TL</w:t>
      </w:r>
      <w:r w:rsidRPr="00B1775D">
        <w:t xml:space="preserve">) </w:t>
      </w:r>
      <w:r w:rsidR="00C46728" w:rsidRPr="00B1775D">
        <w:t>hesaplan</w:t>
      </w:r>
      <w:r w:rsidR="000B766D" w:rsidRPr="00B1775D">
        <w:t>mıştır.</w:t>
      </w:r>
    </w:p>
    <w:p w14:paraId="5F05EFF6" w14:textId="012648E5" w:rsidR="006B00D3" w:rsidRPr="00311DAB" w:rsidRDefault="006B00D3" w:rsidP="00A3530B">
      <w:pPr>
        <w:autoSpaceDE w:val="0"/>
        <w:autoSpaceDN w:val="0"/>
        <w:adjustRightInd w:val="0"/>
        <w:spacing w:line="230" w:lineRule="auto"/>
        <w:jc w:val="both"/>
        <w:rPr>
          <w:lang w:eastAsia="en-GB"/>
        </w:rPr>
      </w:pPr>
    </w:p>
    <w:tbl>
      <w:tblPr>
        <w:tblW w:w="9140" w:type="dxa"/>
        <w:tblCellMar>
          <w:left w:w="70" w:type="dxa"/>
          <w:right w:w="70" w:type="dxa"/>
        </w:tblCellMar>
        <w:tblLook w:val="04A0" w:firstRow="1" w:lastRow="0" w:firstColumn="1" w:lastColumn="0" w:noHBand="0" w:noVBand="1"/>
      </w:tblPr>
      <w:tblGrid>
        <w:gridCol w:w="6227"/>
        <w:gridCol w:w="1427"/>
        <w:gridCol w:w="1486"/>
      </w:tblGrid>
      <w:tr w:rsidR="006B00D3" w:rsidRPr="006B00D3" w14:paraId="3A64440A" w14:textId="77777777" w:rsidTr="00BA637F">
        <w:trPr>
          <w:divId w:val="419177423"/>
          <w:trHeight w:val="113"/>
        </w:trPr>
        <w:tc>
          <w:tcPr>
            <w:tcW w:w="6227" w:type="dxa"/>
            <w:tcBorders>
              <w:top w:val="double" w:sz="6" w:space="0" w:color="auto"/>
              <w:left w:val="nil"/>
              <w:bottom w:val="single" w:sz="8" w:space="0" w:color="auto"/>
              <w:right w:val="nil"/>
            </w:tcBorders>
            <w:shd w:val="clear" w:color="auto" w:fill="auto"/>
            <w:vAlign w:val="center"/>
            <w:hideMark/>
          </w:tcPr>
          <w:p w14:paraId="50FCD418" w14:textId="42FF8108" w:rsidR="006B00D3" w:rsidRPr="006B00D3" w:rsidRDefault="006B00D3" w:rsidP="006B00D3">
            <w:pPr>
              <w:jc w:val="both"/>
              <w:rPr>
                <w:sz w:val="18"/>
                <w:szCs w:val="18"/>
                <w:lang w:eastAsia="tr-TR"/>
              </w:rPr>
            </w:pPr>
            <w:r w:rsidRPr="006B00D3">
              <w:rPr>
                <w:sz w:val="18"/>
                <w:szCs w:val="18"/>
                <w:lang w:eastAsia="tr-TR"/>
              </w:rPr>
              <w:t> </w:t>
            </w:r>
          </w:p>
        </w:tc>
        <w:tc>
          <w:tcPr>
            <w:tcW w:w="1427" w:type="dxa"/>
            <w:tcBorders>
              <w:top w:val="double" w:sz="6" w:space="0" w:color="auto"/>
              <w:left w:val="nil"/>
              <w:bottom w:val="single" w:sz="8" w:space="0" w:color="auto"/>
              <w:right w:val="nil"/>
            </w:tcBorders>
            <w:shd w:val="clear" w:color="auto" w:fill="auto"/>
            <w:vAlign w:val="center"/>
            <w:hideMark/>
          </w:tcPr>
          <w:p w14:paraId="0E618DF0" w14:textId="77777777" w:rsidR="006B00D3" w:rsidRPr="006B00D3" w:rsidRDefault="006B00D3" w:rsidP="006B00D3">
            <w:pPr>
              <w:jc w:val="right"/>
              <w:rPr>
                <w:b/>
                <w:bCs/>
                <w:sz w:val="18"/>
                <w:szCs w:val="18"/>
                <w:lang w:eastAsia="tr-TR"/>
              </w:rPr>
            </w:pPr>
            <w:r w:rsidRPr="006B00D3">
              <w:rPr>
                <w:b/>
                <w:bCs/>
                <w:sz w:val="18"/>
                <w:szCs w:val="18"/>
                <w:lang w:eastAsia="tr-TR"/>
              </w:rPr>
              <w:t>Cari Dönem</w:t>
            </w:r>
          </w:p>
        </w:tc>
        <w:tc>
          <w:tcPr>
            <w:tcW w:w="1486" w:type="dxa"/>
            <w:tcBorders>
              <w:top w:val="double" w:sz="6" w:space="0" w:color="auto"/>
              <w:left w:val="nil"/>
              <w:bottom w:val="single" w:sz="8" w:space="0" w:color="auto"/>
              <w:right w:val="nil"/>
            </w:tcBorders>
            <w:shd w:val="clear" w:color="auto" w:fill="auto"/>
            <w:vAlign w:val="center"/>
            <w:hideMark/>
          </w:tcPr>
          <w:p w14:paraId="4F8EF545" w14:textId="77777777" w:rsidR="006B00D3" w:rsidRPr="006B00D3" w:rsidRDefault="006B00D3" w:rsidP="006B00D3">
            <w:pPr>
              <w:jc w:val="right"/>
              <w:rPr>
                <w:b/>
                <w:bCs/>
                <w:sz w:val="18"/>
                <w:szCs w:val="18"/>
                <w:lang w:eastAsia="tr-TR"/>
              </w:rPr>
            </w:pPr>
            <w:r w:rsidRPr="006B00D3">
              <w:rPr>
                <w:b/>
                <w:bCs/>
                <w:sz w:val="18"/>
                <w:szCs w:val="18"/>
                <w:lang w:eastAsia="tr-TR"/>
              </w:rPr>
              <w:t>Önceki Dönem</w:t>
            </w:r>
          </w:p>
        </w:tc>
      </w:tr>
      <w:tr w:rsidR="006B00D3" w:rsidRPr="006B00D3" w14:paraId="5140FC66" w14:textId="77777777" w:rsidTr="00BA637F">
        <w:trPr>
          <w:divId w:val="419177423"/>
          <w:trHeight w:val="113"/>
        </w:trPr>
        <w:tc>
          <w:tcPr>
            <w:tcW w:w="6227" w:type="dxa"/>
            <w:tcBorders>
              <w:top w:val="nil"/>
              <w:left w:val="nil"/>
              <w:bottom w:val="nil"/>
              <w:right w:val="nil"/>
            </w:tcBorders>
            <w:shd w:val="clear" w:color="auto" w:fill="auto"/>
            <w:vAlign w:val="center"/>
            <w:hideMark/>
          </w:tcPr>
          <w:p w14:paraId="339303A8" w14:textId="77777777" w:rsidR="006B00D3" w:rsidRPr="006B00D3" w:rsidRDefault="006B00D3" w:rsidP="006B00D3">
            <w:pPr>
              <w:rPr>
                <w:sz w:val="18"/>
                <w:szCs w:val="18"/>
                <w:lang w:eastAsia="tr-TR"/>
              </w:rPr>
            </w:pPr>
            <w:r w:rsidRPr="006B00D3">
              <w:rPr>
                <w:sz w:val="18"/>
                <w:szCs w:val="18"/>
                <w:lang w:eastAsia="tr-TR"/>
              </w:rPr>
              <w:t>Çalışan Hakları Yükümlülüğü</w:t>
            </w:r>
          </w:p>
        </w:tc>
        <w:tc>
          <w:tcPr>
            <w:tcW w:w="1427" w:type="dxa"/>
            <w:tcBorders>
              <w:top w:val="nil"/>
              <w:left w:val="nil"/>
              <w:bottom w:val="nil"/>
              <w:right w:val="nil"/>
            </w:tcBorders>
            <w:shd w:val="clear" w:color="auto" w:fill="auto"/>
            <w:vAlign w:val="center"/>
            <w:hideMark/>
          </w:tcPr>
          <w:p w14:paraId="2A001D92" w14:textId="77777777" w:rsidR="006B00D3" w:rsidRPr="006B00D3" w:rsidRDefault="006B00D3" w:rsidP="006B00D3">
            <w:pPr>
              <w:jc w:val="right"/>
              <w:rPr>
                <w:sz w:val="18"/>
                <w:szCs w:val="18"/>
                <w:lang w:eastAsia="tr-TR"/>
              </w:rPr>
            </w:pPr>
            <w:r w:rsidRPr="006B00D3">
              <w:rPr>
                <w:sz w:val="18"/>
                <w:szCs w:val="18"/>
                <w:lang w:eastAsia="tr-TR"/>
              </w:rPr>
              <w:t>36,968</w:t>
            </w:r>
          </w:p>
        </w:tc>
        <w:tc>
          <w:tcPr>
            <w:tcW w:w="1486" w:type="dxa"/>
            <w:tcBorders>
              <w:top w:val="nil"/>
              <w:left w:val="nil"/>
              <w:bottom w:val="nil"/>
              <w:right w:val="nil"/>
            </w:tcBorders>
            <w:shd w:val="clear" w:color="auto" w:fill="auto"/>
            <w:vAlign w:val="center"/>
            <w:hideMark/>
          </w:tcPr>
          <w:p w14:paraId="617B4633" w14:textId="77777777" w:rsidR="006B00D3" w:rsidRPr="006B00D3" w:rsidRDefault="006B00D3" w:rsidP="006B00D3">
            <w:pPr>
              <w:jc w:val="right"/>
              <w:rPr>
                <w:sz w:val="18"/>
                <w:szCs w:val="18"/>
                <w:lang w:eastAsia="tr-TR"/>
              </w:rPr>
            </w:pPr>
            <w:r w:rsidRPr="006B00D3">
              <w:rPr>
                <w:sz w:val="18"/>
                <w:szCs w:val="18"/>
                <w:lang w:eastAsia="tr-TR"/>
              </w:rPr>
              <w:t>41,047</w:t>
            </w:r>
          </w:p>
        </w:tc>
      </w:tr>
      <w:tr w:rsidR="006B00D3" w:rsidRPr="006B00D3" w14:paraId="2AA3228E" w14:textId="77777777" w:rsidTr="00BA637F">
        <w:trPr>
          <w:divId w:val="419177423"/>
          <w:trHeight w:val="113"/>
        </w:trPr>
        <w:tc>
          <w:tcPr>
            <w:tcW w:w="6227" w:type="dxa"/>
            <w:tcBorders>
              <w:top w:val="nil"/>
              <w:left w:val="nil"/>
              <w:bottom w:val="nil"/>
              <w:right w:val="nil"/>
            </w:tcBorders>
            <w:shd w:val="clear" w:color="auto" w:fill="auto"/>
            <w:vAlign w:val="center"/>
            <w:hideMark/>
          </w:tcPr>
          <w:p w14:paraId="451FC825" w14:textId="77777777" w:rsidR="006B00D3" w:rsidRPr="006B00D3" w:rsidRDefault="006B00D3" w:rsidP="006B00D3">
            <w:pPr>
              <w:rPr>
                <w:sz w:val="18"/>
                <w:szCs w:val="18"/>
                <w:lang w:eastAsia="tr-TR"/>
              </w:rPr>
            </w:pPr>
            <w:r w:rsidRPr="006B00D3">
              <w:rPr>
                <w:sz w:val="18"/>
                <w:szCs w:val="18"/>
                <w:lang w:eastAsia="tr-TR"/>
              </w:rPr>
              <w:t>Kıdem Tazminatı Yükümlülüğü</w:t>
            </w:r>
          </w:p>
        </w:tc>
        <w:tc>
          <w:tcPr>
            <w:tcW w:w="1427" w:type="dxa"/>
            <w:tcBorders>
              <w:top w:val="nil"/>
              <w:left w:val="nil"/>
              <w:bottom w:val="nil"/>
              <w:right w:val="nil"/>
            </w:tcBorders>
            <w:shd w:val="clear" w:color="auto" w:fill="auto"/>
            <w:vAlign w:val="center"/>
            <w:hideMark/>
          </w:tcPr>
          <w:p w14:paraId="6F4E0D47" w14:textId="77777777" w:rsidR="006B00D3" w:rsidRPr="006B00D3" w:rsidRDefault="006B00D3" w:rsidP="006B00D3">
            <w:pPr>
              <w:jc w:val="right"/>
              <w:rPr>
                <w:sz w:val="18"/>
                <w:szCs w:val="18"/>
                <w:lang w:eastAsia="tr-TR"/>
              </w:rPr>
            </w:pPr>
            <w:r w:rsidRPr="006B00D3">
              <w:rPr>
                <w:sz w:val="18"/>
                <w:szCs w:val="18"/>
                <w:lang w:eastAsia="tr-TR"/>
              </w:rPr>
              <w:t>27,705</w:t>
            </w:r>
          </w:p>
        </w:tc>
        <w:tc>
          <w:tcPr>
            <w:tcW w:w="1486" w:type="dxa"/>
            <w:tcBorders>
              <w:top w:val="nil"/>
              <w:left w:val="nil"/>
              <w:bottom w:val="nil"/>
              <w:right w:val="nil"/>
            </w:tcBorders>
            <w:shd w:val="clear" w:color="auto" w:fill="auto"/>
            <w:vAlign w:val="center"/>
            <w:hideMark/>
          </w:tcPr>
          <w:p w14:paraId="206054D5" w14:textId="77777777" w:rsidR="006B00D3" w:rsidRPr="006B00D3" w:rsidRDefault="006B00D3" w:rsidP="006B00D3">
            <w:pPr>
              <w:jc w:val="right"/>
              <w:rPr>
                <w:sz w:val="18"/>
                <w:szCs w:val="18"/>
                <w:lang w:eastAsia="tr-TR"/>
              </w:rPr>
            </w:pPr>
            <w:r w:rsidRPr="006B00D3">
              <w:rPr>
                <w:sz w:val="18"/>
                <w:szCs w:val="18"/>
                <w:lang w:eastAsia="tr-TR"/>
              </w:rPr>
              <w:t>23,220</w:t>
            </w:r>
          </w:p>
        </w:tc>
      </w:tr>
      <w:tr w:rsidR="006B00D3" w:rsidRPr="006B00D3" w14:paraId="48E68304" w14:textId="77777777" w:rsidTr="00BA637F">
        <w:trPr>
          <w:divId w:val="419177423"/>
          <w:trHeight w:val="113"/>
        </w:trPr>
        <w:tc>
          <w:tcPr>
            <w:tcW w:w="6227" w:type="dxa"/>
            <w:tcBorders>
              <w:top w:val="nil"/>
              <w:left w:val="nil"/>
              <w:bottom w:val="nil"/>
              <w:right w:val="nil"/>
            </w:tcBorders>
            <w:shd w:val="clear" w:color="auto" w:fill="auto"/>
            <w:vAlign w:val="center"/>
            <w:hideMark/>
          </w:tcPr>
          <w:p w14:paraId="4F717DBF" w14:textId="77777777" w:rsidR="006B00D3" w:rsidRPr="006B00D3" w:rsidRDefault="006B00D3" w:rsidP="006B00D3">
            <w:pPr>
              <w:rPr>
                <w:sz w:val="18"/>
                <w:szCs w:val="18"/>
                <w:lang w:eastAsia="tr-TR"/>
              </w:rPr>
            </w:pPr>
            <w:r w:rsidRPr="006B00D3">
              <w:rPr>
                <w:sz w:val="18"/>
                <w:szCs w:val="18"/>
                <w:lang w:eastAsia="tr-TR"/>
              </w:rPr>
              <w:t>Ertelenmiş Gelirler</w:t>
            </w:r>
          </w:p>
        </w:tc>
        <w:tc>
          <w:tcPr>
            <w:tcW w:w="1427" w:type="dxa"/>
            <w:tcBorders>
              <w:top w:val="nil"/>
              <w:left w:val="nil"/>
              <w:bottom w:val="nil"/>
              <w:right w:val="nil"/>
            </w:tcBorders>
            <w:shd w:val="clear" w:color="auto" w:fill="auto"/>
            <w:vAlign w:val="center"/>
            <w:hideMark/>
          </w:tcPr>
          <w:p w14:paraId="4FF1F242" w14:textId="77777777" w:rsidR="006B00D3" w:rsidRPr="006B00D3" w:rsidRDefault="006B00D3" w:rsidP="006B00D3">
            <w:pPr>
              <w:jc w:val="right"/>
              <w:rPr>
                <w:sz w:val="18"/>
                <w:szCs w:val="18"/>
                <w:lang w:eastAsia="tr-TR"/>
              </w:rPr>
            </w:pPr>
            <w:r w:rsidRPr="006B00D3">
              <w:rPr>
                <w:sz w:val="18"/>
                <w:szCs w:val="18"/>
                <w:lang w:eastAsia="tr-TR"/>
              </w:rPr>
              <w:t>75,854</w:t>
            </w:r>
          </w:p>
        </w:tc>
        <w:tc>
          <w:tcPr>
            <w:tcW w:w="1486" w:type="dxa"/>
            <w:tcBorders>
              <w:top w:val="nil"/>
              <w:left w:val="nil"/>
              <w:bottom w:val="nil"/>
              <w:right w:val="nil"/>
            </w:tcBorders>
            <w:shd w:val="clear" w:color="auto" w:fill="auto"/>
            <w:vAlign w:val="center"/>
            <w:hideMark/>
          </w:tcPr>
          <w:p w14:paraId="0FE7C112" w14:textId="77777777" w:rsidR="006B00D3" w:rsidRPr="006B00D3" w:rsidRDefault="006B00D3" w:rsidP="006B00D3">
            <w:pPr>
              <w:jc w:val="right"/>
              <w:rPr>
                <w:sz w:val="18"/>
                <w:szCs w:val="18"/>
                <w:lang w:eastAsia="tr-TR"/>
              </w:rPr>
            </w:pPr>
            <w:r w:rsidRPr="006B00D3">
              <w:rPr>
                <w:sz w:val="18"/>
                <w:szCs w:val="18"/>
                <w:lang w:eastAsia="tr-TR"/>
              </w:rPr>
              <w:t>56,469</w:t>
            </w:r>
          </w:p>
        </w:tc>
      </w:tr>
      <w:tr w:rsidR="006B00D3" w:rsidRPr="006B00D3" w14:paraId="25BBE0F7" w14:textId="77777777" w:rsidTr="00BA637F">
        <w:trPr>
          <w:divId w:val="419177423"/>
          <w:trHeight w:val="113"/>
        </w:trPr>
        <w:tc>
          <w:tcPr>
            <w:tcW w:w="6227" w:type="dxa"/>
            <w:tcBorders>
              <w:top w:val="nil"/>
              <w:left w:val="nil"/>
              <w:bottom w:val="nil"/>
              <w:right w:val="nil"/>
            </w:tcBorders>
            <w:shd w:val="clear" w:color="auto" w:fill="auto"/>
            <w:vAlign w:val="center"/>
            <w:hideMark/>
          </w:tcPr>
          <w:p w14:paraId="4E3D0220" w14:textId="77777777" w:rsidR="006B00D3" w:rsidRPr="006B00D3" w:rsidRDefault="006B00D3" w:rsidP="006B00D3">
            <w:pPr>
              <w:rPr>
                <w:sz w:val="18"/>
                <w:szCs w:val="18"/>
                <w:lang w:eastAsia="tr-TR"/>
              </w:rPr>
            </w:pPr>
            <w:r w:rsidRPr="006B00D3">
              <w:rPr>
                <w:sz w:val="18"/>
                <w:szCs w:val="18"/>
                <w:lang w:eastAsia="tr-TR"/>
              </w:rPr>
              <w:t>Bağlı Ortaklık Sabit Kıymet Ve Elden Çıkarılacak Kıymetler Değer Düşüklüğü Karşılıkları</w:t>
            </w:r>
          </w:p>
        </w:tc>
        <w:tc>
          <w:tcPr>
            <w:tcW w:w="1427" w:type="dxa"/>
            <w:tcBorders>
              <w:top w:val="nil"/>
              <w:left w:val="nil"/>
              <w:bottom w:val="nil"/>
              <w:right w:val="nil"/>
            </w:tcBorders>
            <w:shd w:val="clear" w:color="auto" w:fill="auto"/>
            <w:vAlign w:val="bottom"/>
            <w:hideMark/>
          </w:tcPr>
          <w:p w14:paraId="15875F04" w14:textId="77777777" w:rsidR="006B00D3" w:rsidRPr="006B00D3" w:rsidRDefault="006B00D3" w:rsidP="00BA637F">
            <w:pPr>
              <w:jc w:val="right"/>
              <w:rPr>
                <w:sz w:val="18"/>
                <w:szCs w:val="18"/>
                <w:lang w:eastAsia="tr-TR"/>
              </w:rPr>
            </w:pPr>
            <w:r w:rsidRPr="006B00D3">
              <w:rPr>
                <w:sz w:val="18"/>
                <w:szCs w:val="18"/>
                <w:lang w:eastAsia="tr-TR"/>
              </w:rPr>
              <w:t>2,146</w:t>
            </w:r>
          </w:p>
        </w:tc>
        <w:tc>
          <w:tcPr>
            <w:tcW w:w="1486" w:type="dxa"/>
            <w:tcBorders>
              <w:top w:val="nil"/>
              <w:left w:val="nil"/>
              <w:bottom w:val="nil"/>
              <w:right w:val="nil"/>
            </w:tcBorders>
            <w:shd w:val="clear" w:color="auto" w:fill="auto"/>
            <w:vAlign w:val="bottom"/>
            <w:hideMark/>
          </w:tcPr>
          <w:p w14:paraId="0554EAAF" w14:textId="77777777" w:rsidR="006B00D3" w:rsidRPr="006B00D3" w:rsidRDefault="006B00D3" w:rsidP="00BA637F">
            <w:pPr>
              <w:jc w:val="right"/>
              <w:rPr>
                <w:sz w:val="18"/>
                <w:szCs w:val="18"/>
                <w:lang w:eastAsia="tr-TR"/>
              </w:rPr>
            </w:pPr>
            <w:r w:rsidRPr="006B00D3">
              <w:rPr>
                <w:sz w:val="18"/>
                <w:szCs w:val="18"/>
                <w:lang w:eastAsia="tr-TR"/>
              </w:rPr>
              <w:t>2,523</w:t>
            </w:r>
          </w:p>
        </w:tc>
      </w:tr>
      <w:tr w:rsidR="006B00D3" w:rsidRPr="006B00D3" w14:paraId="4DF289F0" w14:textId="77777777" w:rsidTr="00BA637F">
        <w:trPr>
          <w:divId w:val="419177423"/>
          <w:trHeight w:val="113"/>
        </w:trPr>
        <w:tc>
          <w:tcPr>
            <w:tcW w:w="6227" w:type="dxa"/>
            <w:tcBorders>
              <w:top w:val="nil"/>
              <w:left w:val="nil"/>
              <w:bottom w:val="nil"/>
              <w:right w:val="nil"/>
            </w:tcBorders>
            <w:shd w:val="clear" w:color="auto" w:fill="auto"/>
            <w:vAlign w:val="center"/>
            <w:hideMark/>
          </w:tcPr>
          <w:p w14:paraId="33B22FB5" w14:textId="77777777" w:rsidR="006B00D3" w:rsidRPr="006B00D3" w:rsidRDefault="006B00D3" w:rsidP="006B00D3">
            <w:pPr>
              <w:rPr>
                <w:sz w:val="18"/>
                <w:szCs w:val="18"/>
                <w:lang w:eastAsia="tr-TR"/>
              </w:rPr>
            </w:pPr>
            <w:r w:rsidRPr="006B00D3">
              <w:rPr>
                <w:sz w:val="18"/>
                <w:szCs w:val="18"/>
                <w:lang w:eastAsia="tr-TR"/>
              </w:rPr>
              <w:t>Türev Finansal Araçlar Reeskontları</w:t>
            </w:r>
          </w:p>
        </w:tc>
        <w:tc>
          <w:tcPr>
            <w:tcW w:w="1427" w:type="dxa"/>
            <w:tcBorders>
              <w:top w:val="nil"/>
              <w:left w:val="nil"/>
              <w:bottom w:val="nil"/>
              <w:right w:val="nil"/>
            </w:tcBorders>
            <w:shd w:val="clear" w:color="auto" w:fill="auto"/>
            <w:vAlign w:val="bottom"/>
            <w:hideMark/>
          </w:tcPr>
          <w:p w14:paraId="55DD13A3" w14:textId="77777777" w:rsidR="006B00D3" w:rsidRPr="006B00D3" w:rsidRDefault="006B00D3" w:rsidP="00BA637F">
            <w:pPr>
              <w:jc w:val="right"/>
              <w:rPr>
                <w:sz w:val="18"/>
                <w:szCs w:val="18"/>
                <w:lang w:eastAsia="tr-TR"/>
              </w:rPr>
            </w:pPr>
            <w:r w:rsidRPr="006B00D3">
              <w:rPr>
                <w:sz w:val="18"/>
                <w:szCs w:val="18"/>
                <w:lang w:eastAsia="tr-TR"/>
              </w:rPr>
              <w:t>-</w:t>
            </w:r>
          </w:p>
        </w:tc>
        <w:tc>
          <w:tcPr>
            <w:tcW w:w="1486" w:type="dxa"/>
            <w:tcBorders>
              <w:top w:val="nil"/>
              <w:left w:val="nil"/>
              <w:bottom w:val="nil"/>
              <w:right w:val="nil"/>
            </w:tcBorders>
            <w:shd w:val="clear" w:color="auto" w:fill="auto"/>
            <w:vAlign w:val="bottom"/>
            <w:hideMark/>
          </w:tcPr>
          <w:p w14:paraId="1D4728BD" w14:textId="77777777" w:rsidR="006B00D3" w:rsidRPr="006B00D3" w:rsidRDefault="006B00D3" w:rsidP="00BA637F">
            <w:pPr>
              <w:jc w:val="right"/>
              <w:rPr>
                <w:sz w:val="18"/>
                <w:szCs w:val="18"/>
                <w:lang w:eastAsia="tr-TR"/>
              </w:rPr>
            </w:pPr>
            <w:r w:rsidRPr="006B00D3">
              <w:rPr>
                <w:sz w:val="18"/>
                <w:szCs w:val="18"/>
                <w:lang w:eastAsia="tr-TR"/>
              </w:rPr>
              <w:t>52,909</w:t>
            </w:r>
          </w:p>
        </w:tc>
      </w:tr>
      <w:tr w:rsidR="006B00D3" w:rsidRPr="006B00D3" w14:paraId="053E317C" w14:textId="77777777" w:rsidTr="00BA637F">
        <w:trPr>
          <w:divId w:val="419177423"/>
          <w:trHeight w:val="113"/>
        </w:trPr>
        <w:tc>
          <w:tcPr>
            <w:tcW w:w="6227" w:type="dxa"/>
            <w:tcBorders>
              <w:top w:val="nil"/>
              <w:left w:val="nil"/>
              <w:bottom w:val="nil"/>
              <w:right w:val="nil"/>
            </w:tcBorders>
            <w:shd w:val="clear" w:color="auto" w:fill="auto"/>
            <w:vAlign w:val="center"/>
            <w:hideMark/>
          </w:tcPr>
          <w:p w14:paraId="6CA2ADA0" w14:textId="77777777" w:rsidR="006B00D3" w:rsidRPr="006B00D3" w:rsidRDefault="006B00D3" w:rsidP="006B00D3">
            <w:pPr>
              <w:rPr>
                <w:sz w:val="18"/>
                <w:szCs w:val="18"/>
                <w:lang w:eastAsia="tr-TR"/>
              </w:rPr>
            </w:pPr>
            <w:r w:rsidRPr="006B00D3">
              <w:rPr>
                <w:sz w:val="18"/>
                <w:szCs w:val="18"/>
                <w:lang w:eastAsia="tr-TR"/>
              </w:rPr>
              <w:t>TFRS 9 karşılıkları</w:t>
            </w:r>
          </w:p>
        </w:tc>
        <w:tc>
          <w:tcPr>
            <w:tcW w:w="1427" w:type="dxa"/>
            <w:tcBorders>
              <w:top w:val="nil"/>
              <w:left w:val="nil"/>
              <w:bottom w:val="nil"/>
              <w:right w:val="nil"/>
            </w:tcBorders>
            <w:shd w:val="clear" w:color="auto" w:fill="auto"/>
            <w:vAlign w:val="bottom"/>
            <w:hideMark/>
          </w:tcPr>
          <w:p w14:paraId="37EBD37A" w14:textId="77777777" w:rsidR="006B00D3" w:rsidRPr="001006C1" w:rsidRDefault="006B00D3" w:rsidP="00BA637F">
            <w:pPr>
              <w:jc w:val="right"/>
              <w:rPr>
                <w:sz w:val="18"/>
                <w:szCs w:val="18"/>
                <w:lang w:eastAsia="tr-TR"/>
              </w:rPr>
            </w:pPr>
            <w:r w:rsidRPr="001006C1">
              <w:rPr>
                <w:sz w:val="18"/>
                <w:szCs w:val="18"/>
                <w:lang w:eastAsia="tr-TR"/>
              </w:rPr>
              <w:t>496,238</w:t>
            </w:r>
          </w:p>
        </w:tc>
        <w:tc>
          <w:tcPr>
            <w:tcW w:w="1486" w:type="dxa"/>
            <w:tcBorders>
              <w:top w:val="nil"/>
              <w:left w:val="nil"/>
              <w:bottom w:val="nil"/>
              <w:right w:val="nil"/>
            </w:tcBorders>
            <w:shd w:val="clear" w:color="auto" w:fill="auto"/>
            <w:vAlign w:val="bottom"/>
            <w:hideMark/>
          </w:tcPr>
          <w:p w14:paraId="6D1CCF00" w14:textId="77777777" w:rsidR="006B00D3" w:rsidRPr="006B00D3" w:rsidRDefault="006B00D3" w:rsidP="00BA637F">
            <w:pPr>
              <w:jc w:val="right"/>
              <w:rPr>
                <w:sz w:val="18"/>
                <w:szCs w:val="18"/>
                <w:lang w:eastAsia="tr-TR"/>
              </w:rPr>
            </w:pPr>
            <w:r w:rsidRPr="006B00D3">
              <w:rPr>
                <w:sz w:val="18"/>
                <w:szCs w:val="18"/>
                <w:lang w:eastAsia="tr-TR"/>
              </w:rPr>
              <w:t>214,057</w:t>
            </w:r>
          </w:p>
        </w:tc>
      </w:tr>
      <w:tr w:rsidR="006B00D3" w:rsidRPr="006B00D3" w14:paraId="36C2AEAA" w14:textId="77777777" w:rsidTr="00BA637F">
        <w:trPr>
          <w:divId w:val="419177423"/>
          <w:trHeight w:val="113"/>
        </w:trPr>
        <w:tc>
          <w:tcPr>
            <w:tcW w:w="6227" w:type="dxa"/>
            <w:tcBorders>
              <w:top w:val="nil"/>
              <w:left w:val="nil"/>
              <w:bottom w:val="nil"/>
              <w:right w:val="nil"/>
            </w:tcBorders>
            <w:shd w:val="clear" w:color="auto" w:fill="auto"/>
            <w:vAlign w:val="center"/>
            <w:hideMark/>
          </w:tcPr>
          <w:p w14:paraId="3DFD068A" w14:textId="77777777" w:rsidR="006B00D3" w:rsidRPr="006B00D3" w:rsidRDefault="006B00D3" w:rsidP="006B00D3">
            <w:pPr>
              <w:rPr>
                <w:sz w:val="18"/>
                <w:szCs w:val="18"/>
                <w:lang w:eastAsia="tr-TR"/>
              </w:rPr>
            </w:pPr>
            <w:r w:rsidRPr="006B00D3">
              <w:rPr>
                <w:sz w:val="18"/>
                <w:szCs w:val="18"/>
                <w:lang w:eastAsia="tr-TR"/>
              </w:rPr>
              <w:t>Kıymetli Maden Değerleme Farkı</w:t>
            </w:r>
          </w:p>
        </w:tc>
        <w:tc>
          <w:tcPr>
            <w:tcW w:w="1427" w:type="dxa"/>
            <w:tcBorders>
              <w:top w:val="nil"/>
              <w:left w:val="nil"/>
              <w:bottom w:val="nil"/>
              <w:right w:val="nil"/>
            </w:tcBorders>
            <w:shd w:val="clear" w:color="auto" w:fill="auto"/>
            <w:vAlign w:val="bottom"/>
            <w:hideMark/>
          </w:tcPr>
          <w:p w14:paraId="2EF0A138" w14:textId="77777777" w:rsidR="006B00D3" w:rsidRPr="001006C1" w:rsidRDefault="006B00D3" w:rsidP="00BA637F">
            <w:pPr>
              <w:jc w:val="right"/>
              <w:rPr>
                <w:sz w:val="18"/>
                <w:szCs w:val="18"/>
                <w:lang w:eastAsia="tr-TR"/>
              </w:rPr>
            </w:pPr>
            <w:r w:rsidRPr="001006C1">
              <w:rPr>
                <w:sz w:val="18"/>
                <w:szCs w:val="18"/>
                <w:lang w:eastAsia="tr-TR"/>
              </w:rPr>
              <w:t>226,758</w:t>
            </w:r>
          </w:p>
        </w:tc>
        <w:tc>
          <w:tcPr>
            <w:tcW w:w="1486" w:type="dxa"/>
            <w:tcBorders>
              <w:top w:val="nil"/>
              <w:left w:val="nil"/>
              <w:bottom w:val="nil"/>
              <w:right w:val="nil"/>
            </w:tcBorders>
            <w:shd w:val="clear" w:color="auto" w:fill="auto"/>
            <w:vAlign w:val="bottom"/>
            <w:hideMark/>
          </w:tcPr>
          <w:p w14:paraId="6065A6F3" w14:textId="77777777" w:rsidR="006B00D3" w:rsidRPr="006B00D3" w:rsidRDefault="006B00D3" w:rsidP="00BA637F">
            <w:pPr>
              <w:jc w:val="right"/>
              <w:rPr>
                <w:sz w:val="18"/>
                <w:szCs w:val="18"/>
                <w:lang w:eastAsia="tr-TR"/>
              </w:rPr>
            </w:pPr>
            <w:r w:rsidRPr="006B00D3">
              <w:rPr>
                <w:sz w:val="18"/>
                <w:szCs w:val="18"/>
                <w:lang w:eastAsia="tr-TR"/>
              </w:rPr>
              <w:t>1,454</w:t>
            </w:r>
          </w:p>
        </w:tc>
      </w:tr>
      <w:tr w:rsidR="006B00D3" w:rsidRPr="006B00D3" w14:paraId="1E1832C8" w14:textId="77777777" w:rsidTr="00BA637F">
        <w:trPr>
          <w:divId w:val="419177423"/>
          <w:trHeight w:val="113"/>
        </w:trPr>
        <w:tc>
          <w:tcPr>
            <w:tcW w:w="6227" w:type="dxa"/>
            <w:tcBorders>
              <w:top w:val="nil"/>
              <w:left w:val="nil"/>
              <w:bottom w:val="nil"/>
              <w:right w:val="nil"/>
            </w:tcBorders>
            <w:shd w:val="clear" w:color="auto" w:fill="auto"/>
            <w:vAlign w:val="bottom"/>
            <w:hideMark/>
          </w:tcPr>
          <w:p w14:paraId="65B3894C" w14:textId="49CCD0A4" w:rsidR="006B00D3" w:rsidRPr="006B00D3" w:rsidRDefault="006B00D3" w:rsidP="006B00D3">
            <w:pPr>
              <w:rPr>
                <w:sz w:val="18"/>
                <w:szCs w:val="18"/>
                <w:lang w:eastAsia="tr-TR"/>
              </w:rPr>
            </w:pPr>
            <w:r w:rsidRPr="006B00D3">
              <w:rPr>
                <w:sz w:val="18"/>
                <w:szCs w:val="18"/>
                <w:lang w:eastAsia="tr-TR"/>
              </w:rPr>
              <w:t>Menkul Değerler Değerleme Farkı</w:t>
            </w:r>
          </w:p>
        </w:tc>
        <w:tc>
          <w:tcPr>
            <w:tcW w:w="1427" w:type="dxa"/>
            <w:tcBorders>
              <w:top w:val="nil"/>
              <w:left w:val="nil"/>
              <w:bottom w:val="nil"/>
              <w:right w:val="nil"/>
            </w:tcBorders>
            <w:shd w:val="clear" w:color="auto" w:fill="auto"/>
            <w:vAlign w:val="bottom"/>
            <w:hideMark/>
          </w:tcPr>
          <w:p w14:paraId="33A704C6" w14:textId="607BBE6D" w:rsidR="006B00D3" w:rsidRPr="001006C1" w:rsidRDefault="006B00D3" w:rsidP="00BA637F">
            <w:pPr>
              <w:jc w:val="right"/>
              <w:rPr>
                <w:sz w:val="18"/>
                <w:szCs w:val="18"/>
                <w:lang w:eastAsia="tr-TR"/>
              </w:rPr>
            </w:pPr>
            <w:r w:rsidRPr="001006C1">
              <w:rPr>
                <w:sz w:val="18"/>
                <w:szCs w:val="18"/>
                <w:lang w:eastAsia="tr-TR"/>
              </w:rPr>
              <w:t>36,062</w:t>
            </w:r>
          </w:p>
        </w:tc>
        <w:tc>
          <w:tcPr>
            <w:tcW w:w="1486" w:type="dxa"/>
            <w:tcBorders>
              <w:top w:val="nil"/>
              <w:left w:val="nil"/>
              <w:bottom w:val="nil"/>
              <w:right w:val="nil"/>
            </w:tcBorders>
            <w:shd w:val="clear" w:color="auto" w:fill="auto"/>
            <w:vAlign w:val="bottom"/>
            <w:hideMark/>
          </w:tcPr>
          <w:p w14:paraId="296EE371" w14:textId="2908B0E3" w:rsidR="006B00D3" w:rsidRPr="006B00D3" w:rsidRDefault="006B00D3" w:rsidP="00BA637F">
            <w:pPr>
              <w:jc w:val="right"/>
              <w:rPr>
                <w:sz w:val="18"/>
                <w:szCs w:val="18"/>
                <w:lang w:eastAsia="tr-TR"/>
              </w:rPr>
            </w:pPr>
            <w:r w:rsidRPr="006B00D3">
              <w:rPr>
                <w:sz w:val="18"/>
                <w:szCs w:val="18"/>
                <w:lang w:eastAsia="tr-TR"/>
              </w:rPr>
              <w:t>-</w:t>
            </w:r>
          </w:p>
        </w:tc>
      </w:tr>
      <w:tr w:rsidR="006B00D3" w:rsidRPr="006B00D3" w14:paraId="3A61FA44" w14:textId="77777777" w:rsidTr="00BA637F">
        <w:trPr>
          <w:divId w:val="419177423"/>
          <w:trHeight w:val="113"/>
        </w:trPr>
        <w:tc>
          <w:tcPr>
            <w:tcW w:w="6227" w:type="dxa"/>
            <w:tcBorders>
              <w:top w:val="nil"/>
              <w:left w:val="nil"/>
              <w:bottom w:val="nil"/>
              <w:right w:val="nil"/>
            </w:tcBorders>
            <w:shd w:val="clear" w:color="auto" w:fill="auto"/>
            <w:noWrap/>
            <w:vAlign w:val="center"/>
            <w:hideMark/>
          </w:tcPr>
          <w:p w14:paraId="2160D622" w14:textId="5DBC2736" w:rsidR="006B00D3" w:rsidRPr="006B00D3" w:rsidRDefault="006B00D3" w:rsidP="006B00D3">
            <w:pPr>
              <w:rPr>
                <w:sz w:val="18"/>
                <w:szCs w:val="18"/>
                <w:lang w:eastAsia="tr-TR"/>
              </w:rPr>
            </w:pPr>
            <w:r w:rsidRPr="006B00D3">
              <w:rPr>
                <w:sz w:val="18"/>
                <w:szCs w:val="18"/>
                <w:lang w:eastAsia="tr-TR"/>
              </w:rPr>
              <w:t>Diğer</w:t>
            </w:r>
          </w:p>
        </w:tc>
        <w:tc>
          <w:tcPr>
            <w:tcW w:w="1427" w:type="dxa"/>
            <w:tcBorders>
              <w:top w:val="nil"/>
              <w:left w:val="nil"/>
              <w:bottom w:val="nil"/>
              <w:right w:val="nil"/>
            </w:tcBorders>
            <w:shd w:val="clear" w:color="auto" w:fill="auto"/>
            <w:vAlign w:val="bottom"/>
            <w:hideMark/>
          </w:tcPr>
          <w:p w14:paraId="1B03A807" w14:textId="2927D91E" w:rsidR="006B00D3" w:rsidRPr="001006C1" w:rsidRDefault="006B00D3" w:rsidP="00BA637F">
            <w:pPr>
              <w:jc w:val="right"/>
              <w:rPr>
                <w:sz w:val="18"/>
                <w:szCs w:val="18"/>
                <w:lang w:eastAsia="tr-TR"/>
              </w:rPr>
            </w:pPr>
            <w:r w:rsidRPr="001006C1">
              <w:rPr>
                <w:sz w:val="18"/>
                <w:szCs w:val="18"/>
                <w:lang w:eastAsia="tr-TR"/>
              </w:rPr>
              <w:t>8,549</w:t>
            </w:r>
          </w:p>
        </w:tc>
        <w:tc>
          <w:tcPr>
            <w:tcW w:w="1486" w:type="dxa"/>
            <w:tcBorders>
              <w:top w:val="nil"/>
              <w:left w:val="nil"/>
              <w:bottom w:val="nil"/>
              <w:right w:val="nil"/>
            </w:tcBorders>
            <w:shd w:val="clear" w:color="auto" w:fill="auto"/>
            <w:vAlign w:val="bottom"/>
            <w:hideMark/>
          </w:tcPr>
          <w:p w14:paraId="7651C791" w14:textId="2110D65E" w:rsidR="006B00D3" w:rsidRPr="006B00D3" w:rsidRDefault="006B00D3" w:rsidP="00BA637F">
            <w:pPr>
              <w:jc w:val="right"/>
              <w:rPr>
                <w:sz w:val="18"/>
                <w:szCs w:val="18"/>
                <w:lang w:eastAsia="tr-TR"/>
              </w:rPr>
            </w:pPr>
            <w:r w:rsidRPr="006B00D3">
              <w:rPr>
                <w:sz w:val="18"/>
                <w:szCs w:val="18"/>
                <w:lang w:eastAsia="tr-TR"/>
              </w:rPr>
              <w:t>8,281</w:t>
            </w:r>
          </w:p>
        </w:tc>
      </w:tr>
      <w:tr w:rsidR="006B00D3" w:rsidRPr="006B00D3" w14:paraId="7BF63C31" w14:textId="77777777" w:rsidTr="00BA637F">
        <w:trPr>
          <w:divId w:val="419177423"/>
          <w:trHeight w:val="113"/>
        </w:trPr>
        <w:tc>
          <w:tcPr>
            <w:tcW w:w="6227" w:type="dxa"/>
            <w:tcBorders>
              <w:top w:val="single" w:sz="8" w:space="0" w:color="auto"/>
              <w:left w:val="nil"/>
              <w:bottom w:val="single" w:sz="8" w:space="0" w:color="auto"/>
              <w:right w:val="nil"/>
            </w:tcBorders>
            <w:shd w:val="clear" w:color="auto" w:fill="auto"/>
            <w:vAlign w:val="center"/>
            <w:hideMark/>
          </w:tcPr>
          <w:p w14:paraId="5BCACE74" w14:textId="7E027EBD" w:rsidR="006B00D3" w:rsidRPr="006B00D3" w:rsidRDefault="006B00D3" w:rsidP="006B00D3">
            <w:pPr>
              <w:rPr>
                <w:sz w:val="18"/>
                <w:szCs w:val="18"/>
                <w:lang w:eastAsia="tr-TR"/>
              </w:rPr>
            </w:pPr>
            <w:r w:rsidRPr="006B00D3">
              <w:rPr>
                <w:b/>
                <w:bCs/>
                <w:sz w:val="18"/>
                <w:szCs w:val="18"/>
                <w:lang w:eastAsia="tr-TR"/>
              </w:rPr>
              <w:t>Ertelenmiş Vergi Varlığı</w:t>
            </w:r>
          </w:p>
        </w:tc>
        <w:tc>
          <w:tcPr>
            <w:tcW w:w="1427" w:type="dxa"/>
            <w:tcBorders>
              <w:top w:val="single" w:sz="8" w:space="0" w:color="auto"/>
              <w:left w:val="nil"/>
              <w:bottom w:val="single" w:sz="8" w:space="0" w:color="auto"/>
              <w:right w:val="nil"/>
            </w:tcBorders>
            <w:shd w:val="clear" w:color="auto" w:fill="auto"/>
            <w:vAlign w:val="bottom"/>
            <w:hideMark/>
          </w:tcPr>
          <w:p w14:paraId="0E5F2A7C" w14:textId="64632783" w:rsidR="006B00D3" w:rsidRPr="001006C1" w:rsidRDefault="006B00D3" w:rsidP="00BA637F">
            <w:pPr>
              <w:jc w:val="right"/>
              <w:rPr>
                <w:sz w:val="18"/>
                <w:szCs w:val="18"/>
                <w:lang w:eastAsia="tr-TR"/>
              </w:rPr>
            </w:pPr>
            <w:r w:rsidRPr="001006C1">
              <w:rPr>
                <w:b/>
                <w:bCs/>
                <w:sz w:val="18"/>
                <w:szCs w:val="18"/>
                <w:lang w:eastAsia="tr-TR"/>
              </w:rPr>
              <w:t>910,280</w:t>
            </w:r>
          </w:p>
        </w:tc>
        <w:tc>
          <w:tcPr>
            <w:tcW w:w="1486" w:type="dxa"/>
            <w:tcBorders>
              <w:top w:val="single" w:sz="8" w:space="0" w:color="auto"/>
              <w:left w:val="nil"/>
              <w:bottom w:val="single" w:sz="8" w:space="0" w:color="auto"/>
              <w:right w:val="nil"/>
            </w:tcBorders>
            <w:shd w:val="clear" w:color="auto" w:fill="auto"/>
            <w:vAlign w:val="bottom"/>
            <w:hideMark/>
          </w:tcPr>
          <w:p w14:paraId="73ED9190" w14:textId="6B120A9E" w:rsidR="006B00D3" w:rsidRPr="006B00D3" w:rsidRDefault="006B00D3" w:rsidP="00BA637F">
            <w:pPr>
              <w:jc w:val="right"/>
              <w:rPr>
                <w:sz w:val="18"/>
                <w:szCs w:val="18"/>
                <w:lang w:eastAsia="tr-TR"/>
              </w:rPr>
            </w:pPr>
            <w:r w:rsidRPr="006B00D3">
              <w:rPr>
                <w:b/>
                <w:bCs/>
                <w:sz w:val="18"/>
                <w:szCs w:val="18"/>
                <w:lang w:eastAsia="tr-TR"/>
              </w:rPr>
              <w:t>399,960</w:t>
            </w:r>
          </w:p>
        </w:tc>
      </w:tr>
      <w:tr w:rsidR="006B00D3" w:rsidRPr="006B00D3" w14:paraId="52E69628" w14:textId="77777777" w:rsidTr="00BA637F">
        <w:trPr>
          <w:divId w:val="419177423"/>
          <w:trHeight w:val="113"/>
        </w:trPr>
        <w:tc>
          <w:tcPr>
            <w:tcW w:w="6227" w:type="dxa"/>
            <w:tcBorders>
              <w:top w:val="nil"/>
              <w:left w:val="nil"/>
              <w:bottom w:val="nil"/>
              <w:right w:val="nil"/>
            </w:tcBorders>
            <w:shd w:val="clear" w:color="auto" w:fill="auto"/>
            <w:vAlign w:val="center"/>
            <w:hideMark/>
          </w:tcPr>
          <w:p w14:paraId="30701FCF" w14:textId="3D862899" w:rsidR="006B00D3" w:rsidRPr="006B00D3" w:rsidRDefault="006B00D3" w:rsidP="006B00D3">
            <w:pPr>
              <w:jc w:val="both"/>
              <w:rPr>
                <w:b/>
                <w:bCs/>
                <w:sz w:val="18"/>
                <w:szCs w:val="18"/>
                <w:lang w:eastAsia="tr-TR"/>
              </w:rPr>
            </w:pPr>
            <w:r w:rsidRPr="006B00D3">
              <w:rPr>
                <w:sz w:val="18"/>
                <w:szCs w:val="18"/>
                <w:lang w:eastAsia="tr-TR"/>
              </w:rPr>
              <w:t>Türev İşlemler Değerleme Farkları</w:t>
            </w:r>
          </w:p>
        </w:tc>
        <w:tc>
          <w:tcPr>
            <w:tcW w:w="1427" w:type="dxa"/>
            <w:tcBorders>
              <w:top w:val="nil"/>
              <w:left w:val="nil"/>
              <w:bottom w:val="nil"/>
              <w:right w:val="nil"/>
            </w:tcBorders>
            <w:shd w:val="clear" w:color="auto" w:fill="auto"/>
            <w:vAlign w:val="center"/>
            <w:hideMark/>
          </w:tcPr>
          <w:p w14:paraId="5881135A" w14:textId="779ADE61" w:rsidR="006B00D3" w:rsidRPr="001006C1" w:rsidRDefault="006B00D3" w:rsidP="006B00D3">
            <w:pPr>
              <w:jc w:val="right"/>
              <w:rPr>
                <w:b/>
                <w:bCs/>
                <w:sz w:val="18"/>
                <w:szCs w:val="18"/>
                <w:lang w:eastAsia="tr-TR"/>
              </w:rPr>
            </w:pPr>
            <w:r w:rsidRPr="001006C1">
              <w:rPr>
                <w:sz w:val="18"/>
                <w:szCs w:val="18"/>
                <w:lang w:eastAsia="tr-TR"/>
              </w:rPr>
              <w:t>(289,530)</w:t>
            </w:r>
          </w:p>
        </w:tc>
        <w:tc>
          <w:tcPr>
            <w:tcW w:w="1486" w:type="dxa"/>
            <w:tcBorders>
              <w:top w:val="nil"/>
              <w:left w:val="nil"/>
              <w:bottom w:val="nil"/>
              <w:right w:val="nil"/>
            </w:tcBorders>
            <w:shd w:val="clear" w:color="auto" w:fill="auto"/>
            <w:vAlign w:val="center"/>
            <w:hideMark/>
          </w:tcPr>
          <w:p w14:paraId="6AD044A6" w14:textId="6929C849" w:rsidR="006B00D3" w:rsidRPr="006B00D3" w:rsidRDefault="006B00D3" w:rsidP="006B00D3">
            <w:pPr>
              <w:jc w:val="right"/>
              <w:rPr>
                <w:b/>
                <w:bCs/>
                <w:sz w:val="18"/>
                <w:szCs w:val="18"/>
                <w:lang w:eastAsia="tr-TR"/>
              </w:rPr>
            </w:pPr>
            <w:r w:rsidRPr="006B00D3">
              <w:rPr>
                <w:sz w:val="18"/>
                <w:szCs w:val="18"/>
                <w:lang w:eastAsia="tr-TR"/>
              </w:rPr>
              <w:t>-</w:t>
            </w:r>
          </w:p>
        </w:tc>
      </w:tr>
      <w:tr w:rsidR="006B00D3" w:rsidRPr="006B00D3" w14:paraId="2AB2AD3A" w14:textId="77777777" w:rsidTr="00BA637F">
        <w:trPr>
          <w:divId w:val="419177423"/>
          <w:trHeight w:val="113"/>
        </w:trPr>
        <w:tc>
          <w:tcPr>
            <w:tcW w:w="6227" w:type="dxa"/>
            <w:tcBorders>
              <w:top w:val="nil"/>
              <w:left w:val="nil"/>
              <w:bottom w:val="nil"/>
              <w:right w:val="nil"/>
            </w:tcBorders>
            <w:shd w:val="clear" w:color="auto" w:fill="auto"/>
            <w:vAlign w:val="center"/>
            <w:hideMark/>
          </w:tcPr>
          <w:p w14:paraId="731B4E20" w14:textId="1D95A092" w:rsidR="006B00D3" w:rsidRPr="006B00D3" w:rsidRDefault="006B00D3" w:rsidP="006B00D3">
            <w:pPr>
              <w:jc w:val="both"/>
              <w:rPr>
                <w:sz w:val="18"/>
                <w:szCs w:val="18"/>
                <w:lang w:eastAsia="tr-TR"/>
              </w:rPr>
            </w:pPr>
            <w:r w:rsidRPr="006B00D3">
              <w:rPr>
                <w:sz w:val="18"/>
                <w:szCs w:val="18"/>
                <w:lang w:eastAsia="tr-TR"/>
              </w:rPr>
              <w:t>Maddi Duran Varlıklar Değerleme Farkları</w:t>
            </w:r>
          </w:p>
        </w:tc>
        <w:tc>
          <w:tcPr>
            <w:tcW w:w="1427" w:type="dxa"/>
            <w:tcBorders>
              <w:top w:val="nil"/>
              <w:left w:val="nil"/>
              <w:bottom w:val="nil"/>
              <w:right w:val="nil"/>
            </w:tcBorders>
            <w:shd w:val="clear" w:color="auto" w:fill="auto"/>
            <w:vAlign w:val="center"/>
            <w:hideMark/>
          </w:tcPr>
          <w:p w14:paraId="79911A68" w14:textId="2B936580" w:rsidR="006B00D3" w:rsidRPr="006B00D3" w:rsidRDefault="006B00D3" w:rsidP="006B00D3">
            <w:pPr>
              <w:jc w:val="right"/>
              <w:rPr>
                <w:sz w:val="18"/>
                <w:szCs w:val="18"/>
                <w:lang w:eastAsia="tr-TR"/>
              </w:rPr>
            </w:pPr>
            <w:r w:rsidRPr="006B00D3">
              <w:rPr>
                <w:sz w:val="18"/>
                <w:szCs w:val="18"/>
                <w:lang w:eastAsia="tr-TR"/>
              </w:rPr>
              <w:t>(10,044)</w:t>
            </w:r>
          </w:p>
        </w:tc>
        <w:tc>
          <w:tcPr>
            <w:tcW w:w="1486" w:type="dxa"/>
            <w:tcBorders>
              <w:top w:val="nil"/>
              <w:left w:val="nil"/>
              <w:bottom w:val="nil"/>
              <w:right w:val="nil"/>
            </w:tcBorders>
            <w:shd w:val="clear" w:color="auto" w:fill="auto"/>
            <w:vAlign w:val="center"/>
            <w:hideMark/>
          </w:tcPr>
          <w:p w14:paraId="4EAF007D" w14:textId="15868657" w:rsidR="006B00D3" w:rsidRPr="006B00D3" w:rsidRDefault="006B00D3" w:rsidP="006B00D3">
            <w:pPr>
              <w:jc w:val="right"/>
              <w:rPr>
                <w:sz w:val="18"/>
                <w:szCs w:val="18"/>
                <w:lang w:eastAsia="tr-TR"/>
              </w:rPr>
            </w:pPr>
            <w:r w:rsidRPr="006B00D3">
              <w:rPr>
                <w:sz w:val="18"/>
                <w:szCs w:val="18"/>
                <w:lang w:eastAsia="tr-TR"/>
              </w:rPr>
              <w:t>(9,665)</w:t>
            </w:r>
          </w:p>
        </w:tc>
      </w:tr>
      <w:tr w:rsidR="006B00D3" w:rsidRPr="006B00D3" w14:paraId="673A1E06" w14:textId="77777777" w:rsidTr="00BA637F">
        <w:trPr>
          <w:divId w:val="419177423"/>
          <w:trHeight w:val="113"/>
        </w:trPr>
        <w:tc>
          <w:tcPr>
            <w:tcW w:w="6227" w:type="dxa"/>
            <w:tcBorders>
              <w:top w:val="nil"/>
              <w:left w:val="nil"/>
              <w:bottom w:val="nil"/>
              <w:right w:val="nil"/>
            </w:tcBorders>
            <w:shd w:val="clear" w:color="auto" w:fill="auto"/>
            <w:vAlign w:val="center"/>
            <w:hideMark/>
          </w:tcPr>
          <w:p w14:paraId="23AC608A" w14:textId="7663DD8A" w:rsidR="006B00D3" w:rsidRPr="006B00D3" w:rsidRDefault="006B00D3" w:rsidP="006B00D3">
            <w:pPr>
              <w:jc w:val="both"/>
              <w:rPr>
                <w:sz w:val="18"/>
                <w:szCs w:val="18"/>
                <w:lang w:eastAsia="tr-TR"/>
              </w:rPr>
            </w:pPr>
            <w:r w:rsidRPr="006B00D3">
              <w:rPr>
                <w:sz w:val="18"/>
                <w:szCs w:val="18"/>
                <w:lang w:eastAsia="tr-TR"/>
              </w:rPr>
              <w:t>Finansal Varlıklar Değerleme Farkları</w:t>
            </w:r>
          </w:p>
        </w:tc>
        <w:tc>
          <w:tcPr>
            <w:tcW w:w="1427" w:type="dxa"/>
            <w:tcBorders>
              <w:top w:val="nil"/>
              <w:left w:val="nil"/>
              <w:bottom w:val="nil"/>
              <w:right w:val="nil"/>
            </w:tcBorders>
            <w:shd w:val="clear" w:color="auto" w:fill="auto"/>
            <w:vAlign w:val="center"/>
            <w:hideMark/>
          </w:tcPr>
          <w:p w14:paraId="27005923" w14:textId="07C12FBC" w:rsidR="006B00D3" w:rsidRPr="006B00D3" w:rsidRDefault="006B00D3" w:rsidP="006B00D3">
            <w:pPr>
              <w:jc w:val="right"/>
              <w:rPr>
                <w:sz w:val="18"/>
                <w:szCs w:val="18"/>
                <w:lang w:eastAsia="tr-TR"/>
              </w:rPr>
            </w:pPr>
            <w:r w:rsidRPr="006B00D3">
              <w:rPr>
                <w:sz w:val="18"/>
                <w:szCs w:val="18"/>
                <w:lang w:eastAsia="tr-TR"/>
              </w:rPr>
              <w:t>(11,985)</w:t>
            </w:r>
          </w:p>
        </w:tc>
        <w:tc>
          <w:tcPr>
            <w:tcW w:w="1486" w:type="dxa"/>
            <w:tcBorders>
              <w:top w:val="nil"/>
              <w:left w:val="nil"/>
              <w:bottom w:val="nil"/>
              <w:right w:val="nil"/>
            </w:tcBorders>
            <w:shd w:val="clear" w:color="auto" w:fill="auto"/>
            <w:vAlign w:val="center"/>
            <w:hideMark/>
          </w:tcPr>
          <w:p w14:paraId="536866BC" w14:textId="513F2A72" w:rsidR="006B00D3" w:rsidRPr="006B00D3" w:rsidRDefault="006B00D3" w:rsidP="006B00D3">
            <w:pPr>
              <w:jc w:val="right"/>
              <w:rPr>
                <w:sz w:val="18"/>
                <w:szCs w:val="18"/>
                <w:lang w:eastAsia="tr-TR"/>
              </w:rPr>
            </w:pPr>
            <w:r w:rsidRPr="006B00D3">
              <w:rPr>
                <w:sz w:val="18"/>
                <w:szCs w:val="18"/>
                <w:lang w:eastAsia="tr-TR"/>
              </w:rPr>
              <w:t>(28,833)</w:t>
            </w:r>
          </w:p>
        </w:tc>
      </w:tr>
      <w:tr w:rsidR="006B00D3" w:rsidRPr="006B00D3" w14:paraId="0DA7E0FC" w14:textId="77777777" w:rsidTr="00BA637F">
        <w:trPr>
          <w:divId w:val="419177423"/>
          <w:trHeight w:val="113"/>
        </w:trPr>
        <w:tc>
          <w:tcPr>
            <w:tcW w:w="6227" w:type="dxa"/>
            <w:tcBorders>
              <w:top w:val="nil"/>
              <w:left w:val="nil"/>
              <w:bottom w:val="nil"/>
              <w:right w:val="nil"/>
            </w:tcBorders>
            <w:shd w:val="clear" w:color="auto" w:fill="auto"/>
            <w:vAlign w:val="bottom"/>
            <w:hideMark/>
          </w:tcPr>
          <w:p w14:paraId="3B9EC351" w14:textId="2B0FC502" w:rsidR="006B00D3" w:rsidRPr="006B00D3" w:rsidRDefault="006B00D3" w:rsidP="006B00D3">
            <w:pPr>
              <w:jc w:val="both"/>
              <w:rPr>
                <w:sz w:val="18"/>
                <w:szCs w:val="18"/>
                <w:lang w:eastAsia="tr-TR"/>
              </w:rPr>
            </w:pPr>
            <w:r w:rsidRPr="006B00D3">
              <w:rPr>
                <w:sz w:val="18"/>
                <w:szCs w:val="18"/>
                <w:lang w:eastAsia="tr-TR"/>
              </w:rPr>
              <w:t>Kıymetli Maden Değerleme Farkı</w:t>
            </w:r>
          </w:p>
        </w:tc>
        <w:tc>
          <w:tcPr>
            <w:tcW w:w="1427" w:type="dxa"/>
            <w:tcBorders>
              <w:top w:val="nil"/>
              <w:left w:val="nil"/>
              <w:bottom w:val="nil"/>
              <w:right w:val="nil"/>
            </w:tcBorders>
            <w:shd w:val="clear" w:color="auto" w:fill="auto"/>
            <w:vAlign w:val="center"/>
            <w:hideMark/>
          </w:tcPr>
          <w:p w14:paraId="54B7CCEC" w14:textId="4F661E1C" w:rsidR="006B00D3" w:rsidRPr="006B00D3" w:rsidRDefault="006B00D3" w:rsidP="006B00D3">
            <w:pPr>
              <w:jc w:val="right"/>
              <w:rPr>
                <w:sz w:val="18"/>
                <w:szCs w:val="18"/>
                <w:lang w:eastAsia="tr-TR"/>
              </w:rPr>
            </w:pPr>
            <w:r w:rsidRPr="006B00D3">
              <w:rPr>
                <w:sz w:val="18"/>
                <w:szCs w:val="18"/>
                <w:lang w:eastAsia="tr-TR"/>
              </w:rPr>
              <w:t>-</w:t>
            </w:r>
          </w:p>
        </w:tc>
        <w:tc>
          <w:tcPr>
            <w:tcW w:w="1486" w:type="dxa"/>
            <w:tcBorders>
              <w:top w:val="nil"/>
              <w:left w:val="nil"/>
              <w:bottom w:val="nil"/>
              <w:right w:val="nil"/>
            </w:tcBorders>
            <w:shd w:val="clear" w:color="auto" w:fill="auto"/>
            <w:vAlign w:val="center"/>
            <w:hideMark/>
          </w:tcPr>
          <w:p w14:paraId="2A3D530D" w14:textId="14BEF5C0" w:rsidR="006B00D3" w:rsidRPr="006B00D3" w:rsidRDefault="006B00D3" w:rsidP="006B00D3">
            <w:pPr>
              <w:jc w:val="right"/>
              <w:rPr>
                <w:sz w:val="18"/>
                <w:szCs w:val="18"/>
                <w:lang w:eastAsia="tr-TR"/>
              </w:rPr>
            </w:pPr>
            <w:r w:rsidRPr="006B00D3">
              <w:rPr>
                <w:sz w:val="18"/>
                <w:szCs w:val="18"/>
                <w:lang w:eastAsia="tr-TR"/>
              </w:rPr>
              <w:t>-</w:t>
            </w:r>
          </w:p>
        </w:tc>
      </w:tr>
      <w:tr w:rsidR="006B00D3" w:rsidRPr="006B00D3" w14:paraId="27A3539F" w14:textId="77777777" w:rsidTr="00BA637F">
        <w:trPr>
          <w:divId w:val="419177423"/>
          <w:trHeight w:val="113"/>
        </w:trPr>
        <w:tc>
          <w:tcPr>
            <w:tcW w:w="6227" w:type="dxa"/>
            <w:tcBorders>
              <w:top w:val="nil"/>
              <w:left w:val="nil"/>
              <w:bottom w:val="single" w:sz="8" w:space="0" w:color="auto"/>
              <w:right w:val="nil"/>
            </w:tcBorders>
            <w:shd w:val="clear" w:color="auto" w:fill="auto"/>
            <w:noWrap/>
            <w:vAlign w:val="center"/>
            <w:hideMark/>
          </w:tcPr>
          <w:p w14:paraId="7C6ECD0E" w14:textId="2FB562B6" w:rsidR="006B00D3" w:rsidRPr="006B00D3" w:rsidRDefault="006B00D3" w:rsidP="006B00D3">
            <w:pPr>
              <w:rPr>
                <w:sz w:val="18"/>
                <w:szCs w:val="18"/>
                <w:lang w:eastAsia="tr-TR"/>
              </w:rPr>
            </w:pPr>
            <w:r w:rsidRPr="006B00D3">
              <w:rPr>
                <w:sz w:val="18"/>
                <w:szCs w:val="18"/>
                <w:lang w:eastAsia="tr-TR"/>
              </w:rPr>
              <w:t>Diğer</w:t>
            </w:r>
          </w:p>
        </w:tc>
        <w:tc>
          <w:tcPr>
            <w:tcW w:w="1427" w:type="dxa"/>
            <w:tcBorders>
              <w:top w:val="nil"/>
              <w:left w:val="nil"/>
              <w:bottom w:val="nil"/>
              <w:right w:val="nil"/>
            </w:tcBorders>
            <w:shd w:val="clear" w:color="auto" w:fill="auto"/>
            <w:vAlign w:val="center"/>
            <w:hideMark/>
          </w:tcPr>
          <w:p w14:paraId="41BD840D" w14:textId="67CCD893" w:rsidR="006B00D3" w:rsidRPr="006B00D3" w:rsidRDefault="006B00D3" w:rsidP="006B00D3">
            <w:pPr>
              <w:jc w:val="right"/>
              <w:rPr>
                <w:sz w:val="18"/>
                <w:szCs w:val="18"/>
                <w:lang w:eastAsia="tr-TR"/>
              </w:rPr>
            </w:pPr>
            <w:r w:rsidRPr="006B00D3">
              <w:rPr>
                <w:sz w:val="18"/>
                <w:szCs w:val="18"/>
                <w:lang w:eastAsia="tr-TR"/>
              </w:rPr>
              <w:t>(3,962)</w:t>
            </w:r>
          </w:p>
        </w:tc>
        <w:tc>
          <w:tcPr>
            <w:tcW w:w="1486" w:type="dxa"/>
            <w:tcBorders>
              <w:top w:val="nil"/>
              <w:left w:val="nil"/>
              <w:bottom w:val="nil"/>
              <w:right w:val="nil"/>
            </w:tcBorders>
            <w:shd w:val="clear" w:color="auto" w:fill="auto"/>
            <w:vAlign w:val="center"/>
            <w:hideMark/>
          </w:tcPr>
          <w:p w14:paraId="1E7FCB34" w14:textId="095E1B37" w:rsidR="006B00D3" w:rsidRPr="006B00D3" w:rsidRDefault="006B00D3" w:rsidP="006B00D3">
            <w:pPr>
              <w:jc w:val="right"/>
              <w:rPr>
                <w:sz w:val="18"/>
                <w:szCs w:val="18"/>
                <w:lang w:eastAsia="tr-TR"/>
              </w:rPr>
            </w:pPr>
            <w:r w:rsidRPr="006B00D3">
              <w:rPr>
                <w:sz w:val="18"/>
                <w:szCs w:val="18"/>
                <w:lang w:eastAsia="tr-TR"/>
              </w:rPr>
              <w:t>(3,365)</w:t>
            </w:r>
          </w:p>
        </w:tc>
      </w:tr>
      <w:tr w:rsidR="006B00D3" w:rsidRPr="006B00D3" w14:paraId="05A41709" w14:textId="77777777" w:rsidTr="00BA637F">
        <w:trPr>
          <w:divId w:val="419177423"/>
          <w:trHeight w:val="113"/>
        </w:trPr>
        <w:tc>
          <w:tcPr>
            <w:tcW w:w="6227" w:type="dxa"/>
            <w:tcBorders>
              <w:top w:val="nil"/>
              <w:left w:val="nil"/>
              <w:bottom w:val="single" w:sz="8" w:space="0" w:color="auto"/>
              <w:right w:val="nil"/>
            </w:tcBorders>
            <w:shd w:val="clear" w:color="auto" w:fill="auto"/>
            <w:vAlign w:val="center"/>
            <w:hideMark/>
          </w:tcPr>
          <w:p w14:paraId="3FCBCA69" w14:textId="05BFAC49" w:rsidR="006B00D3" w:rsidRPr="006B00D3" w:rsidRDefault="006B00D3" w:rsidP="006B00D3">
            <w:pPr>
              <w:jc w:val="both"/>
              <w:rPr>
                <w:sz w:val="18"/>
                <w:szCs w:val="18"/>
                <w:lang w:eastAsia="tr-TR"/>
              </w:rPr>
            </w:pPr>
            <w:r w:rsidRPr="006B00D3">
              <w:rPr>
                <w:b/>
                <w:bCs/>
                <w:sz w:val="18"/>
                <w:szCs w:val="18"/>
                <w:lang w:eastAsia="tr-TR"/>
              </w:rPr>
              <w:t>Ertelenmiş Vergi Borcu</w:t>
            </w:r>
          </w:p>
        </w:tc>
        <w:tc>
          <w:tcPr>
            <w:tcW w:w="1427" w:type="dxa"/>
            <w:tcBorders>
              <w:top w:val="single" w:sz="8" w:space="0" w:color="auto"/>
              <w:left w:val="nil"/>
              <w:bottom w:val="single" w:sz="8" w:space="0" w:color="auto"/>
              <w:right w:val="nil"/>
            </w:tcBorders>
            <w:shd w:val="clear" w:color="auto" w:fill="auto"/>
            <w:vAlign w:val="center"/>
            <w:hideMark/>
          </w:tcPr>
          <w:p w14:paraId="0820FB36" w14:textId="4EA3493D" w:rsidR="006B00D3" w:rsidRPr="006B00D3" w:rsidRDefault="006B00D3" w:rsidP="006B00D3">
            <w:pPr>
              <w:jc w:val="right"/>
              <w:rPr>
                <w:sz w:val="18"/>
                <w:szCs w:val="18"/>
                <w:lang w:eastAsia="tr-TR"/>
              </w:rPr>
            </w:pPr>
            <w:r w:rsidRPr="006B00D3">
              <w:rPr>
                <w:b/>
                <w:bCs/>
                <w:sz w:val="18"/>
                <w:szCs w:val="18"/>
                <w:lang w:eastAsia="tr-TR"/>
              </w:rPr>
              <w:t>(315,521)</w:t>
            </w:r>
          </w:p>
        </w:tc>
        <w:tc>
          <w:tcPr>
            <w:tcW w:w="1486" w:type="dxa"/>
            <w:tcBorders>
              <w:top w:val="single" w:sz="8" w:space="0" w:color="auto"/>
              <w:left w:val="nil"/>
              <w:bottom w:val="single" w:sz="8" w:space="0" w:color="auto"/>
              <w:right w:val="nil"/>
            </w:tcBorders>
            <w:shd w:val="clear" w:color="auto" w:fill="auto"/>
            <w:vAlign w:val="center"/>
            <w:hideMark/>
          </w:tcPr>
          <w:p w14:paraId="7451EAA8" w14:textId="796416D2" w:rsidR="006B00D3" w:rsidRPr="006B00D3" w:rsidRDefault="006B00D3" w:rsidP="006B00D3">
            <w:pPr>
              <w:jc w:val="right"/>
              <w:rPr>
                <w:sz w:val="18"/>
                <w:szCs w:val="18"/>
                <w:lang w:eastAsia="tr-TR"/>
              </w:rPr>
            </w:pPr>
            <w:r w:rsidRPr="006B00D3">
              <w:rPr>
                <w:b/>
                <w:bCs/>
                <w:sz w:val="18"/>
                <w:szCs w:val="18"/>
                <w:lang w:eastAsia="tr-TR"/>
              </w:rPr>
              <w:t>(41,863)</w:t>
            </w:r>
          </w:p>
        </w:tc>
      </w:tr>
      <w:tr w:rsidR="006B00D3" w:rsidRPr="006B00D3" w14:paraId="12F05D81" w14:textId="77777777" w:rsidTr="00BA637F">
        <w:trPr>
          <w:divId w:val="419177423"/>
          <w:trHeight w:val="113"/>
        </w:trPr>
        <w:tc>
          <w:tcPr>
            <w:tcW w:w="6227" w:type="dxa"/>
            <w:tcBorders>
              <w:top w:val="nil"/>
              <w:left w:val="nil"/>
              <w:bottom w:val="single" w:sz="8" w:space="0" w:color="auto"/>
              <w:right w:val="nil"/>
            </w:tcBorders>
            <w:shd w:val="clear" w:color="auto" w:fill="auto"/>
            <w:vAlign w:val="center"/>
            <w:hideMark/>
          </w:tcPr>
          <w:p w14:paraId="03146C3F" w14:textId="32DC06A8" w:rsidR="006B00D3" w:rsidRPr="006B00D3" w:rsidRDefault="006B00D3" w:rsidP="006B00D3">
            <w:pPr>
              <w:jc w:val="both"/>
              <w:rPr>
                <w:b/>
                <w:bCs/>
                <w:sz w:val="18"/>
                <w:szCs w:val="18"/>
                <w:lang w:eastAsia="tr-TR"/>
              </w:rPr>
            </w:pPr>
            <w:r w:rsidRPr="006B00D3">
              <w:rPr>
                <w:sz w:val="18"/>
                <w:szCs w:val="18"/>
                <w:lang w:eastAsia="tr-TR"/>
              </w:rPr>
              <w:t> </w:t>
            </w:r>
          </w:p>
        </w:tc>
        <w:tc>
          <w:tcPr>
            <w:tcW w:w="1427" w:type="dxa"/>
            <w:tcBorders>
              <w:top w:val="nil"/>
              <w:left w:val="nil"/>
              <w:bottom w:val="single" w:sz="8" w:space="0" w:color="auto"/>
              <w:right w:val="nil"/>
            </w:tcBorders>
            <w:shd w:val="clear" w:color="auto" w:fill="auto"/>
            <w:vAlign w:val="center"/>
            <w:hideMark/>
          </w:tcPr>
          <w:p w14:paraId="4189544D" w14:textId="76E8B6FB" w:rsidR="006B00D3" w:rsidRPr="006B00D3" w:rsidRDefault="006B00D3" w:rsidP="006B00D3">
            <w:pPr>
              <w:jc w:val="right"/>
              <w:rPr>
                <w:b/>
                <w:bCs/>
                <w:sz w:val="18"/>
                <w:szCs w:val="18"/>
                <w:lang w:eastAsia="tr-TR"/>
              </w:rPr>
            </w:pPr>
            <w:r w:rsidRPr="006B00D3">
              <w:rPr>
                <w:sz w:val="18"/>
                <w:szCs w:val="18"/>
                <w:lang w:eastAsia="tr-TR"/>
              </w:rPr>
              <w:t> </w:t>
            </w:r>
          </w:p>
        </w:tc>
        <w:tc>
          <w:tcPr>
            <w:tcW w:w="1486" w:type="dxa"/>
            <w:tcBorders>
              <w:top w:val="nil"/>
              <w:left w:val="nil"/>
              <w:bottom w:val="single" w:sz="8" w:space="0" w:color="auto"/>
              <w:right w:val="nil"/>
            </w:tcBorders>
            <w:shd w:val="clear" w:color="auto" w:fill="auto"/>
            <w:vAlign w:val="center"/>
            <w:hideMark/>
          </w:tcPr>
          <w:p w14:paraId="4C73D648" w14:textId="747CFB29" w:rsidR="006B00D3" w:rsidRPr="006B00D3" w:rsidRDefault="006B00D3" w:rsidP="006B00D3">
            <w:pPr>
              <w:jc w:val="right"/>
              <w:rPr>
                <w:b/>
                <w:bCs/>
                <w:sz w:val="18"/>
                <w:szCs w:val="18"/>
                <w:lang w:eastAsia="tr-TR"/>
              </w:rPr>
            </w:pPr>
            <w:r w:rsidRPr="006B00D3">
              <w:rPr>
                <w:sz w:val="18"/>
                <w:szCs w:val="18"/>
                <w:lang w:eastAsia="tr-TR"/>
              </w:rPr>
              <w:t> </w:t>
            </w:r>
          </w:p>
        </w:tc>
      </w:tr>
      <w:tr w:rsidR="006B00D3" w:rsidRPr="006B00D3" w14:paraId="67AF6EBD" w14:textId="77777777" w:rsidTr="00BA637F">
        <w:trPr>
          <w:divId w:val="419177423"/>
          <w:trHeight w:val="113"/>
        </w:trPr>
        <w:tc>
          <w:tcPr>
            <w:tcW w:w="6227" w:type="dxa"/>
            <w:tcBorders>
              <w:top w:val="nil"/>
              <w:left w:val="nil"/>
              <w:bottom w:val="single" w:sz="8" w:space="0" w:color="auto"/>
              <w:right w:val="nil"/>
            </w:tcBorders>
            <w:shd w:val="clear" w:color="auto" w:fill="auto"/>
            <w:vAlign w:val="center"/>
            <w:hideMark/>
          </w:tcPr>
          <w:p w14:paraId="2A3FCD12" w14:textId="47804596" w:rsidR="006B00D3" w:rsidRPr="006B00D3" w:rsidRDefault="006B00D3" w:rsidP="006B00D3">
            <w:pPr>
              <w:jc w:val="both"/>
              <w:rPr>
                <w:sz w:val="18"/>
                <w:szCs w:val="18"/>
                <w:lang w:eastAsia="tr-TR"/>
              </w:rPr>
            </w:pPr>
            <w:r w:rsidRPr="006B00D3">
              <w:rPr>
                <w:b/>
                <w:bCs/>
                <w:sz w:val="18"/>
                <w:szCs w:val="18"/>
                <w:lang w:eastAsia="tr-TR"/>
              </w:rPr>
              <w:t>Net Ertelenmiş Vergi Varlığı</w:t>
            </w:r>
          </w:p>
        </w:tc>
        <w:tc>
          <w:tcPr>
            <w:tcW w:w="1427" w:type="dxa"/>
            <w:tcBorders>
              <w:top w:val="nil"/>
              <w:left w:val="nil"/>
              <w:bottom w:val="single" w:sz="8" w:space="0" w:color="auto"/>
              <w:right w:val="nil"/>
            </w:tcBorders>
            <w:shd w:val="clear" w:color="auto" w:fill="auto"/>
            <w:vAlign w:val="center"/>
            <w:hideMark/>
          </w:tcPr>
          <w:p w14:paraId="6CAAEFA5" w14:textId="0844B196" w:rsidR="006B00D3" w:rsidRPr="006B00D3" w:rsidRDefault="006B00D3" w:rsidP="006B00D3">
            <w:pPr>
              <w:jc w:val="right"/>
              <w:rPr>
                <w:sz w:val="18"/>
                <w:szCs w:val="18"/>
                <w:lang w:eastAsia="tr-TR"/>
              </w:rPr>
            </w:pPr>
            <w:r w:rsidRPr="006B00D3">
              <w:rPr>
                <w:b/>
                <w:bCs/>
                <w:sz w:val="18"/>
                <w:szCs w:val="18"/>
                <w:lang w:eastAsia="tr-TR"/>
              </w:rPr>
              <w:t>594,759</w:t>
            </w:r>
          </w:p>
        </w:tc>
        <w:tc>
          <w:tcPr>
            <w:tcW w:w="1486" w:type="dxa"/>
            <w:tcBorders>
              <w:top w:val="nil"/>
              <w:left w:val="nil"/>
              <w:bottom w:val="single" w:sz="8" w:space="0" w:color="auto"/>
              <w:right w:val="nil"/>
            </w:tcBorders>
            <w:shd w:val="clear" w:color="auto" w:fill="auto"/>
            <w:vAlign w:val="center"/>
            <w:hideMark/>
          </w:tcPr>
          <w:p w14:paraId="74B89169" w14:textId="757C7428" w:rsidR="006B00D3" w:rsidRPr="006B00D3" w:rsidRDefault="006B00D3" w:rsidP="006B00D3">
            <w:pPr>
              <w:jc w:val="right"/>
              <w:rPr>
                <w:sz w:val="18"/>
                <w:szCs w:val="18"/>
                <w:lang w:eastAsia="tr-TR"/>
              </w:rPr>
            </w:pPr>
            <w:r w:rsidRPr="006B00D3">
              <w:rPr>
                <w:b/>
                <w:bCs/>
                <w:sz w:val="18"/>
                <w:szCs w:val="18"/>
                <w:lang w:eastAsia="tr-TR"/>
              </w:rPr>
              <w:t>358,097</w:t>
            </w:r>
          </w:p>
        </w:tc>
      </w:tr>
      <w:tr w:rsidR="006B00D3" w:rsidRPr="006B00D3" w14:paraId="6A150220" w14:textId="77777777" w:rsidTr="00BA637F">
        <w:trPr>
          <w:divId w:val="419177423"/>
          <w:trHeight w:val="113"/>
        </w:trPr>
        <w:tc>
          <w:tcPr>
            <w:tcW w:w="6227" w:type="dxa"/>
            <w:tcBorders>
              <w:top w:val="nil"/>
              <w:left w:val="nil"/>
              <w:bottom w:val="single" w:sz="8" w:space="0" w:color="auto"/>
              <w:right w:val="nil"/>
            </w:tcBorders>
            <w:shd w:val="clear" w:color="auto" w:fill="auto"/>
            <w:vAlign w:val="center"/>
          </w:tcPr>
          <w:p w14:paraId="503843C4" w14:textId="27EDF3D5" w:rsidR="006B00D3" w:rsidRPr="006B00D3" w:rsidRDefault="006B00D3" w:rsidP="006B00D3">
            <w:pPr>
              <w:jc w:val="both"/>
              <w:rPr>
                <w:b/>
                <w:bCs/>
                <w:sz w:val="18"/>
                <w:szCs w:val="18"/>
                <w:lang w:eastAsia="tr-TR"/>
              </w:rPr>
            </w:pPr>
          </w:p>
        </w:tc>
        <w:tc>
          <w:tcPr>
            <w:tcW w:w="1427" w:type="dxa"/>
            <w:tcBorders>
              <w:top w:val="nil"/>
              <w:left w:val="nil"/>
              <w:bottom w:val="single" w:sz="8" w:space="0" w:color="auto"/>
              <w:right w:val="nil"/>
            </w:tcBorders>
            <w:shd w:val="clear" w:color="auto" w:fill="auto"/>
            <w:vAlign w:val="center"/>
          </w:tcPr>
          <w:p w14:paraId="198CA0C1" w14:textId="0BBB3507" w:rsidR="006B00D3" w:rsidRPr="006B00D3" w:rsidRDefault="006B00D3" w:rsidP="006B00D3">
            <w:pPr>
              <w:jc w:val="right"/>
              <w:rPr>
                <w:b/>
                <w:bCs/>
                <w:sz w:val="18"/>
                <w:szCs w:val="18"/>
                <w:lang w:eastAsia="tr-TR"/>
              </w:rPr>
            </w:pPr>
          </w:p>
        </w:tc>
        <w:tc>
          <w:tcPr>
            <w:tcW w:w="1486" w:type="dxa"/>
            <w:tcBorders>
              <w:top w:val="nil"/>
              <w:left w:val="nil"/>
              <w:bottom w:val="single" w:sz="8" w:space="0" w:color="auto"/>
              <w:right w:val="nil"/>
            </w:tcBorders>
            <w:shd w:val="clear" w:color="auto" w:fill="auto"/>
            <w:vAlign w:val="center"/>
          </w:tcPr>
          <w:p w14:paraId="42FFCAD4" w14:textId="08E9C870" w:rsidR="006B00D3" w:rsidRPr="006B00D3" w:rsidRDefault="006B00D3" w:rsidP="006B00D3">
            <w:pPr>
              <w:jc w:val="right"/>
              <w:rPr>
                <w:b/>
                <w:bCs/>
                <w:sz w:val="18"/>
                <w:szCs w:val="18"/>
                <w:lang w:eastAsia="tr-TR"/>
              </w:rPr>
            </w:pPr>
          </w:p>
        </w:tc>
      </w:tr>
    </w:tbl>
    <w:p w14:paraId="734C497E" w14:textId="30B3EA0A" w:rsidR="00BF26A4" w:rsidRPr="00B1775D" w:rsidRDefault="00BF26A4" w:rsidP="00A3530B">
      <w:pPr>
        <w:autoSpaceDE w:val="0"/>
        <w:autoSpaceDN w:val="0"/>
        <w:adjustRightInd w:val="0"/>
        <w:spacing w:line="230" w:lineRule="auto"/>
        <w:jc w:val="both"/>
        <w:rPr>
          <w:b/>
          <w:sz w:val="16"/>
          <w:szCs w:val="16"/>
        </w:rPr>
      </w:pPr>
      <w:r w:rsidRPr="00B1775D">
        <w:t>Ertelenmiş vergi varlığı hareket tablosu:</w:t>
      </w:r>
    </w:p>
    <w:p w14:paraId="25544EFF" w14:textId="1FEBB60E" w:rsidR="00B1775D" w:rsidRPr="00B1775D" w:rsidRDefault="00B1775D" w:rsidP="004B1E23">
      <w:pPr>
        <w:autoSpaceDE w:val="0"/>
        <w:autoSpaceDN w:val="0"/>
        <w:adjustRightInd w:val="0"/>
        <w:spacing w:line="230" w:lineRule="auto"/>
        <w:rPr>
          <w:lang w:val="en-GB" w:eastAsia="en-GB"/>
        </w:rPr>
      </w:pPr>
    </w:p>
    <w:tbl>
      <w:tblPr>
        <w:tblW w:w="9165" w:type="dxa"/>
        <w:tblCellMar>
          <w:left w:w="70" w:type="dxa"/>
          <w:right w:w="70" w:type="dxa"/>
        </w:tblCellMar>
        <w:tblLook w:val="04A0" w:firstRow="1" w:lastRow="0" w:firstColumn="1" w:lastColumn="0" w:noHBand="0" w:noVBand="1"/>
      </w:tblPr>
      <w:tblGrid>
        <w:gridCol w:w="6572"/>
        <w:gridCol w:w="1270"/>
        <w:gridCol w:w="1323"/>
      </w:tblGrid>
      <w:tr w:rsidR="00B1775D" w:rsidRPr="00B1775D" w14:paraId="04BD5750" w14:textId="77777777" w:rsidTr="006B1072">
        <w:trPr>
          <w:divId w:val="25956499"/>
          <w:trHeight w:val="187"/>
        </w:trPr>
        <w:tc>
          <w:tcPr>
            <w:tcW w:w="6572" w:type="dxa"/>
            <w:tcBorders>
              <w:top w:val="single" w:sz="8" w:space="0" w:color="auto"/>
              <w:left w:val="nil"/>
              <w:bottom w:val="single" w:sz="8" w:space="0" w:color="auto"/>
              <w:right w:val="nil"/>
            </w:tcBorders>
            <w:shd w:val="clear" w:color="auto" w:fill="auto"/>
            <w:vAlign w:val="center"/>
            <w:hideMark/>
          </w:tcPr>
          <w:p w14:paraId="690E63C7" w14:textId="619ED4BD" w:rsidR="00B1775D" w:rsidRPr="00B1775D" w:rsidRDefault="00B1775D" w:rsidP="00B1775D">
            <w:pPr>
              <w:rPr>
                <w:b/>
                <w:bCs/>
                <w:sz w:val="18"/>
                <w:szCs w:val="18"/>
                <w:lang w:eastAsia="tr-TR"/>
              </w:rPr>
            </w:pPr>
            <w:r w:rsidRPr="00B1775D">
              <w:rPr>
                <w:b/>
                <w:bCs/>
                <w:sz w:val="18"/>
                <w:szCs w:val="18"/>
                <w:lang w:eastAsia="tr-TR"/>
              </w:rPr>
              <w:t> </w:t>
            </w:r>
          </w:p>
        </w:tc>
        <w:tc>
          <w:tcPr>
            <w:tcW w:w="1270" w:type="dxa"/>
            <w:tcBorders>
              <w:top w:val="single" w:sz="8" w:space="0" w:color="auto"/>
              <w:left w:val="nil"/>
              <w:bottom w:val="single" w:sz="8" w:space="0" w:color="auto"/>
              <w:right w:val="nil"/>
            </w:tcBorders>
            <w:shd w:val="clear" w:color="auto" w:fill="auto"/>
            <w:vAlign w:val="center"/>
            <w:hideMark/>
          </w:tcPr>
          <w:p w14:paraId="6816AAD9" w14:textId="77777777" w:rsidR="00B1775D" w:rsidRPr="00B1775D" w:rsidRDefault="00B1775D" w:rsidP="00B1775D">
            <w:pPr>
              <w:ind w:firstLineChars="100" w:firstLine="181"/>
              <w:jc w:val="right"/>
              <w:rPr>
                <w:b/>
                <w:bCs/>
                <w:sz w:val="18"/>
                <w:szCs w:val="18"/>
                <w:lang w:eastAsia="tr-TR"/>
              </w:rPr>
            </w:pPr>
            <w:r w:rsidRPr="00B1775D">
              <w:rPr>
                <w:b/>
                <w:bCs/>
                <w:sz w:val="18"/>
                <w:szCs w:val="18"/>
                <w:lang w:eastAsia="tr-TR"/>
              </w:rPr>
              <w:t>30-Eyl-20</w:t>
            </w:r>
          </w:p>
        </w:tc>
        <w:tc>
          <w:tcPr>
            <w:tcW w:w="1323" w:type="dxa"/>
            <w:tcBorders>
              <w:top w:val="single" w:sz="8" w:space="0" w:color="auto"/>
              <w:left w:val="nil"/>
              <w:bottom w:val="single" w:sz="8" w:space="0" w:color="auto"/>
              <w:right w:val="nil"/>
            </w:tcBorders>
            <w:shd w:val="clear" w:color="auto" w:fill="auto"/>
            <w:vAlign w:val="center"/>
            <w:hideMark/>
          </w:tcPr>
          <w:p w14:paraId="48A533B4" w14:textId="77777777" w:rsidR="00B1775D" w:rsidRPr="00B1775D" w:rsidRDefault="00B1775D" w:rsidP="00B1775D">
            <w:pPr>
              <w:ind w:firstLineChars="100" w:firstLine="181"/>
              <w:jc w:val="right"/>
              <w:rPr>
                <w:b/>
                <w:bCs/>
                <w:sz w:val="18"/>
                <w:szCs w:val="18"/>
                <w:lang w:eastAsia="tr-TR"/>
              </w:rPr>
            </w:pPr>
            <w:r w:rsidRPr="00B1775D">
              <w:rPr>
                <w:b/>
                <w:bCs/>
                <w:sz w:val="18"/>
                <w:szCs w:val="18"/>
                <w:lang w:eastAsia="tr-TR"/>
              </w:rPr>
              <w:t>31-Ara-19</w:t>
            </w:r>
          </w:p>
        </w:tc>
      </w:tr>
      <w:tr w:rsidR="00B1775D" w:rsidRPr="00B1775D" w14:paraId="189DA638" w14:textId="77777777" w:rsidTr="006B1072">
        <w:trPr>
          <w:divId w:val="25956499"/>
          <w:trHeight w:val="176"/>
        </w:trPr>
        <w:tc>
          <w:tcPr>
            <w:tcW w:w="6572" w:type="dxa"/>
            <w:tcBorders>
              <w:top w:val="nil"/>
              <w:left w:val="nil"/>
              <w:bottom w:val="nil"/>
              <w:right w:val="nil"/>
            </w:tcBorders>
            <w:shd w:val="clear" w:color="auto" w:fill="auto"/>
            <w:noWrap/>
            <w:vAlign w:val="center"/>
            <w:hideMark/>
          </w:tcPr>
          <w:p w14:paraId="6ECB4026" w14:textId="77777777" w:rsidR="00B1775D" w:rsidRPr="00B1775D" w:rsidRDefault="00B1775D" w:rsidP="00B1775D">
            <w:pPr>
              <w:rPr>
                <w:sz w:val="18"/>
                <w:szCs w:val="18"/>
                <w:lang w:eastAsia="tr-TR"/>
              </w:rPr>
            </w:pPr>
            <w:r w:rsidRPr="00B1775D">
              <w:rPr>
                <w:sz w:val="18"/>
                <w:szCs w:val="18"/>
                <w:lang w:eastAsia="tr-TR"/>
              </w:rPr>
              <w:t>1 Ocak İtibarıyla</w:t>
            </w:r>
          </w:p>
        </w:tc>
        <w:tc>
          <w:tcPr>
            <w:tcW w:w="1270" w:type="dxa"/>
            <w:tcBorders>
              <w:top w:val="nil"/>
              <w:left w:val="nil"/>
              <w:bottom w:val="nil"/>
              <w:right w:val="nil"/>
            </w:tcBorders>
            <w:shd w:val="clear" w:color="auto" w:fill="auto"/>
            <w:vAlign w:val="center"/>
            <w:hideMark/>
          </w:tcPr>
          <w:p w14:paraId="0668D277" w14:textId="77777777" w:rsidR="00B1775D" w:rsidRPr="00B1775D" w:rsidRDefault="00B1775D" w:rsidP="00B1775D">
            <w:pPr>
              <w:jc w:val="right"/>
              <w:rPr>
                <w:sz w:val="18"/>
                <w:szCs w:val="18"/>
                <w:lang w:eastAsia="tr-TR"/>
              </w:rPr>
            </w:pPr>
            <w:r w:rsidRPr="00B1775D">
              <w:rPr>
                <w:sz w:val="18"/>
                <w:szCs w:val="18"/>
                <w:lang w:eastAsia="tr-TR"/>
              </w:rPr>
              <w:t>358,097</w:t>
            </w:r>
          </w:p>
        </w:tc>
        <w:tc>
          <w:tcPr>
            <w:tcW w:w="1323" w:type="dxa"/>
            <w:tcBorders>
              <w:top w:val="nil"/>
              <w:left w:val="nil"/>
              <w:bottom w:val="nil"/>
              <w:right w:val="nil"/>
            </w:tcBorders>
            <w:shd w:val="clear" w:color="auto" w:fill="auto"/>
            <w:vAlign w:val="center"/>
            <w:hideMark/>
          </w:tcPr>
          <w:p w14:paraId="7E5EDEFE" w14:textId="77777777" w:rsidR="00B1775D" w:rsidRPr="00B1775D" w:rsidRDefault="00B1775D" w:rsidP="00B1775D">
            <w:pPr>
              <w:jc w:val="right"/>
              <w:rPr>
                <w:sz w:val="18"/>
                <w:szCs w:val="18"/>
                <w:lang w:eastAsia="tr-TR"/>
              </w:rPr>
            </w:pPr>
            <w:r w:rsidRPr="00B1775D">
              <w:rPr>
                <w:sz w:val="18"/>
                <w:szCs w:val="18"/>
                <w:lang w:eastAsia="tr-TR"/>
              </w:rPr>
              <w:t>346,640</w:t>
            </w:r>
          </w:p>
        </w:tc>
      </w:tr>
      <w:tr w:rsidR="00B1775D" w:rsidRPr="00B1775D" w14:paraId="12092F61" w14:textId="77777777" w:rsidTr="006B1072">
        <w:trPr>
          <w:divId w:val="25956499"/>
          <w:trHeight w:val="176"/>
        </w:trPr>
        <w:tc>
          <w:tcPr>
            <w:tcW w:w="6572" w:type="dxa"/>
            <w:tcBorders>
              <w:top w:val="nil"/>
              <w:left w:val="nil"/>
              <w:bottom w:val="nil"/>
              <w:right w:val="nil"/>
            </w:tcBorders>
            <w:shd w:val="clear" w:color="auto" w:fill="auto"/>
            <w:noWrap/>
            <w:vAlign w:val="center"/>
            <w:hideMark/>
          </w:tcPr>
          <w:p w14:paraId="72FE7434" w14:textId="77777777" w:rsidR="00B1775D" w:rsidRPr="00B1775D" w:rsidRDefault="00B1775D" w:rsidP="00B1775D">
            <w:pPr>
              <w:rPr>
                <w:sz w:val="18"/>
                <w:szCs w:val="18"/>
                <w:lang w:eastAsia="tr-TR"/>
              </w:rPr>
            </w:pPr>
            <w:r w:rsidRPr="00B1775D">
              <w:rPr>
                <w:sz w:val="18"/>
                <w:szCs w:val="18"/>
                <w:lang w:eastAsia="tr-TR"/>
              </w:rPr>
              <w:t xml:space="preserve">Ertelenmiş Vergi (Gideri)/Geliri </w:t>
            </w:r>
          </w:p>
        </w:tc>
        <w:tc>
          <w:tcPr>
            <w:tcW w:w="1270" w:type="dxa"/>
            <w:tcBorders>
              <w:top w:val="nil"/>
              <w:left w:val="nil"/>
              <w:bottom w:val="nil"/>
              <w:right w:val="nil"/>
            </w:tcBorders>
            <w:shd w:val="clear" w:color="auto" w:fill="auto"/>
            <w:vAlign w:val="center"/>
            <w:hideMark/>
          </w:tcPr>
          <w:p w14:paraId="26BCE222" w14:textId="77777777" w:rsidR="00B1775D" w:rsidRPr="00B1775D" w:rsidRDefault="00B1775D" w:rsidP="00B1775D">
            <w:pPr>
              <w:jc w:val="right"/>
              <w:rPr>
                <w:sz w:val="18"/>
                <w:szCs w:val="18"/>
                <w:lang w:eastAsia="tr-TR"/>
              </w:rPr>
            </w:pPr>
            <w:r w:rsidRPr="00B1775D">
              <w:rPr>
                <w:sz w:val="18"/>
                <w:szCs w:val="18"/>
                <w:lang w:eastAsia="tr-TR"/>
              </w:rPr>
              <w:t>149,439</w:t>
            </w:r>
          </w:p>
        </w:tc>
        <w:tc>
          <w:tcPr>
            <w:tcW w:w="1323" w:type="dxa"/>
            <w:tcBorders>
              <w:top w:val="nil"/>
              <w:left w:val="nil"/>
              <w:bottom w:val="nil"/>
              <w:right w:val="nil"/>
            </w:tcBorders>
            <w:shd w:val="clear" w:color="auto" w:fill="auto"/>
            <w:vAlign w:val="center"/>
            <w:hideMark/>
          </w:tcPr>
          <w:p w14:paraId="373BF3EA" w14:textId="77777777" w:rsidR="00B1775D" w:rsidRPr="00B1775D" w:rsidRDefault="00B1775D" w:rsidP="00B1775D">
            <w:pPr>
              <w:jc w:val="right"/>
              <w:rPr>
                <w:sz w:val="18"/>
                <w:szCs w:val="18"/>
                <w:lang w:eastAsia="tr-TR"/>
              </w:rPr>
            </w:pPr>
            <w:r w:rsidRPr="00B1775D">
              <w:rPr>
                <w:sz w:val="18"/>
                <w:szCs w:val="18"/>
                <w:lang w:eastAsia="tr-TR"/>
              </w:rPr>
              <w:t>95,752</w:t>
            </w:r>
          </w:p>
        </w:tc>
      </w:tr>
      <w:tr w:rsidR="00B1775D" w:rsidRPr="00B1775D" w14:paraId="31C88CC2" w14:textId="77777777" w:rsidTr="006B1072">
        <w:trPr>
          <w:divId w:val="25956499"/>
          <w:trHeight w:val="187"/>
        </w:trPr>
        <w:tc>
          <w:tcPr>
            <w:tcW w:w="6572" w:type="dxa"/>
            <w:tcBorders>
              <w:top w:val="nil"/>
              <w:left w:val="nil"/>
              <w:bottom w:val="single" w:sz="8" w:space="0" w:color="auto"/>
              <w:right w:val="nil"/>
            </w:tcBorders>
            <w:shd w:val="clear" w:color="auto" w:fill="auto"/>
            <w:noWrap/>
            <w:vAlign w:val="center"/>
            <w:hideMark/>
          </w:tcPr>
          <w:p w14:paraId="056B47C7" w14:textId="77777777" w:rsidR="00B1775D" w:rsidRPr="00B1775D" w:rsidRDefault="00B1775D" w:rsidP="00B1775D">
            <w:pPr>
              <w:rPr>
                <w:sz w:val="18"/>
                <w:szCs w:val="18"/>
                <w:lang w:eastAsia="tr-TR"/>
              </w:rPr>
            </w:pPr>
            <w:proofErr w:type="spellStart"/>
            <w:r w:rsidRPr="00B1775D">
              <w:rPr>
                <w:sz w:val="18"/>
                <w:szCs w:val="18"/>
                <w:lang w:eastAsia="tr-TR"/>
              </w:rPr>
              <w:t>Özkaynak</w:t>
            </w:r>
            <w:proofErr w:type="spellEnd"/>
            <w:r w:rsidRPr="00B1775D">
              <w:rPr>
                <w:sz w:val="18"/>
                <w:szCs w:val="18"/>
                <w:lang w:eastAsia="tr-TR"/>
              </w:rPr>
              <w:t xml:space="preserve"> Altında Muhasebeleşen Ertelenmiş Vergi</w:t>
            </w:r>
          </w:p>
        </w:tc>
        <w:tc>
          <w:tcPr>
            <w:tcW w:w="1270" w:type="dxa"/>
            <w:tcBorders>
              <w:top w:val="nil"/>
              <w:left w:val="nil"/>
              <w:bottom w:val="single" w:sz="8" w:space="0" w:color="auto"/>
              <w:right w:val="nil"/>
            </w:tcBorders>
            <w:shd w:val="clear" w:color="auto" w:fill="auto"/>
            <w:vAlign w:val="center"/>
            <w:hideMark/>
          </w:tcPr>
          <w:p w14:paraId="7FAD3EDB" w14:textId="77777777" w:rsidR="00B1775D" w:rsidRPr="00B1775D" w:rsidRDefault="00B1775D" w:rsidP="00B1775D">
            <w:pPr>
              <w:jc w:val="right"/>
              <w:rPr>
                <w:sz w:val="18"/>
                <w:szCs w:val="18"/>
                <w:lang w:eastAsia="tr-TR"/>
              </w:rPr>
            </w:pPr>
            <w:r w:rsidRPr="00B1775D">
              <w:rPr>
                <w:sz w:val="18"/>
                <w:szCs w:val="18"/>
                <w:lang w:eastAsia="tr-TR"/>
              </w:rPr>
              <w:t>87,223</w:t>
            </w:r>
          </w:p>
        </w:tc>
        <w:tc>
          <w:tcPr>
            <w:tcW w:w="1323" w:type="dxa"/>
            <w:tcBorders>
              <w:top w:val="nil"/>
              <w:left w:val="nil"/>
              <w:bottom w:val="single" w:sz="8" w:space="0" w:color="auto"/>
              <w:right w:val="nil"/>
            </w:tcBorders>
            <w:shd w:val="clear" w:color="auto" w:fill="auto"/>
            <w:vAlign w:val="center"/>
            <w:hideMark/>
          </w:tcPr>
          <w:p w14:paraId="34516626" w14:textId="77777777" w:rsidR="00B1775D" w:rsidRPr="00B1775D" w:rsidRDefault="00B1775D" w:rsidP="00B1775D">
            <w:pPr>
              <w:jc w:val="right"/>
              <w:rPr>
                <w:sz w:val="18"/>
                <w:szCs w:val="18"/>
                <w:lang w:eastAsia="tr-TR"/>
              </w:rPr>
            </w:pPr>
            <w:r w:rsidRPr="00B1775D">
              <w:rPr>
                <w:sz w:val="18"/>
                <w:szCs w:val="18"/>
                <w:lang w:eastAsia="tr-TR"/>
              </w:rPr>
              <w:t>(84,295)</w:t>
            </w:r>
          </w:p>
        </w:tc>
      </w:tr>
      <w:tr w:rsidR="00B1775D" w:rsidRPr="00B1775D" w14:paraId="05FD4DD0" w14:textId="77777777" w:rsidTr="006B1072">
        <w:trPr>
          <w:divId w:val="25956499"/>
          <w:trHeight w:val="365"/>
        </w:trPr>
        <w:tc>
          <w:tcPr>
            <w:tcW w:w="6572" w:type="dxa"/>
            <w:tcBorders>
              <w:top w:val="nil"/>
              <w:left w:val="nil"/>
              <w:bottom w:val="double" w:sz="6" w:space="0" w:color="auto"/>
              <w:right w:val="nil"/>
            </w:tcBorders>
            <w:shd w:val="clear" w:color="auto" w:fill="auto"/>
            <w:vAlign w:val="center"/>
            <w:hideMark/>
          </w:tcPr>
          <w:p w14:paraId="75CCB6DB" w14:textId="77777777" w:rsidR="00B1775D" w:rsidRPr="00B1775D" w:rsidRDefault="00B1775D" w:rsidP="00B1775D">
            <w:pPr>
              <w:rPr>
                <w:b/>
                <w:bCs/>
                <w:sz w:val="18"/>
                <w:szCs w:val="18"/>
                <w:lang w:eastAsia="tr-TR"/>
              </w:rPr>
            </w:pPr>
            <w:r w:rsidRPr="00B1775D">
              <w:rPr>
                <w:b/>
                <w:bCs/>
                <w:sz w:val="18"/>
                <w:szCs w:val="18"/>
                <w:lang w:eastAsia="tr-TR"/>
              </w:rPr>
              <w:t>Ertelenmiş vergi varlığı</w:t>
            </w:r>
          </w:p>
        </w:tc>
        <w:tc>
          <w:tcPr>
            <w:tcW w:w="1270" w:type="dxa"/>
            <w:tcBorders>
              <w:top w:val="nil"/>
              <w:left w:val="nil"/>
              <w:bottom w:val="double" w:sz="6" w:space="0" w:color="auto"/>
              <w:right w:val="nil"/>
            </w:tcBorders>
            <w:shd w:val="clear" w:color="auto" w:fill="auto"/>
            <w:vAlign w:val="center"/>
            <w:hideMark/>
          </w:tcPr>
          <w:p w14:paraId="498FDB3B" w14:textId="77777777" w:rsidR="00B1775D" w:rsidRPr="00B1775D" w:rsidRDefault="00B1775D" w:rsidP="00B1775D">
            <w:pPr>
              <w:jc w:val="right"/>
              <w:rPr>
                <w:b/>
                <w:bCs/>
                <w:sz w:val="18"/>
                <w:szCs w:val="18"/>
                <w:lang w:eastAsia="tr-TR"/>
              </w:rPr>
            </w:pPr>
            <w:r w:rsidRPr="00B1775D">
              <w:rPr>
                <w:b/>
                <w:bCs/>
                <w:sz w:val="18"/>
                <w:szCs w:val="18"/>
                <w:lang w:eastAsia="tr-TR"/>
              </w:rPr>
              <w:t xml:space="preserve">      594,759 </w:t>
            </w:r>
          </w:p>
        </w:tc>
        <w:tc>
          <w:tcPr>
            <w:tcW w:w="1323" w:type="dxa"/>
            <w:tcBorders>
              <w:top w:val="nil"/>
              <w:left w:val="nil"/>
              <w:bottom w:val="double" w:sz="6" w:space="0" w:color="auto"/>
              <w:right w:val="nil"/>
            </w:tcBorders>
            <w:shd w:val="clear" w:color="auto" w:fill="auto"/>
            <w:vAlign w:val="center"/>
            <w:hideMark/>
          </w:tcPr>
          <w:p w14:paraId="2EDA4106" w14:textId="77777777" w:rsidR="00B1775D" w:rsidRPr="00B1775D" w:rsidRDefault="00B1775D" w:rsidP="00B1775D">
            <w:pPr>
              <w:jc w:val="right"/>
              <w:rPr>
                <w:b/>
                <w:bCs/>
                <w:sz w:val="18"/>
                <w:szCs w:val="18"/>
                <w:lang w:eastAsia="tr-TR"/>
              </w:rPr>
            </w:pPr>
            <w:r w:rsidRPr="00B1775D">
              <w:rPr>
                <w:b/>
                <w:bCs/>
                <w:sz w:val="18"/>
                <w:szCs w:val="18"/>
                <w:lang w:eastAsia="tr-TR"/>
              </w:rPr>
              <w:t xml:space="preserve">      358,097 </w:t>
            </w:r>
          </w:p>
        </w:tc>
      </w:tr>
    </w:tbl>
    <w:p w14:paraId="1CA9B732" w14:textId="1D8F5CE6" w:rsidR="0080177D" w:rsidRDefault="0080177D" w:rsidP="004B1E23">
      <w:pPr>
        <w:autoSpaceDE w:val="0"/>
        <w:autoSpaceDN w:val="0"/>
        <w:adjustRightInd w:val="0"/>
        <w:spacing w:line="230" w:lineRule="auto"/>
        <w:rPr>
          <w:sz w:val="16"/>
          <w:szCs w:val="16"/>
          <w:highlight w:val="yellow"/>
        </w:rPr>
      </w:pPr>
    </w:p>
    <w:p w14:paraId="3588951A" w14:textId="3E36ABE7" w:rsidR="001E4705" w:rsidRPr="006D71DD" w:rsidRDefault="001E4705" w:rsidP="00F42642">
      <w:pPr>
        <w:tabs>
          <w:tab w:val="left" w:pos="709"/>
        </w:tabs>
        <w:autoSpaceDE w:val="0"/>
        <w:autoSpaceDN w:val="0"/>
        <w:adjustRightInd w:val="0"/>
        <w:spacing w:line="230" w:lineRule="auto"/>
        <w:ind w:hanging="567"/>
        <w:rPr>
          <w:b/>
          <w:bCs/>
          <w:iCs/>
        </w:rPr>
      </w:pPr>
      <w:r w:rsidRPr="006D71DD">
        <w:rPr>
          <w:b/>
          <w:bCs/>
          <w:iCs/>
        </w:rPr>
        <w:t>1.1</w:t>
      </w:r>
      <w:r w:rsidR="003A0C10">
        <w:rPr>
          <w:b/>
          <w:bCs/>
          <w:iCs/>
        </w:rPr>
        <w:t>6</w:t>
      </w:r>
      <w:r w:rsidRPr="006D71DD">
        <w:rPr>
          <w:b/>
          <w:bCs/>
          <w:iCs/>
        </w:rPr>
        <w:t xml:space="preserve">.   Satış amaçlı elde tutulan ve durdurulan faaliyetlere ilişkin duran varlıklar hakkında açıklamalar: </w:t>
      </w:r>
    </w:p>
    <w:p w14:paraId="6F91E288" w14:textId="2207BAA0" w:rsidR="006D71DD" w:rsidRPr="006D71DD" w:rsidRDefault="006D71DD" w:rsidP="00A023D6">
      <w:pPr>
        <w:autoSpaceDE w:val="0"/>
        <w:autoSpaceDN w:val="0"/>
        <w:adjustRightInd w:val="0"/>
        <w:spacing w:line="230" w:lineRule="auto"/>
        <w:rPr>
          <w:lang w:val="en-GB" w:eastAsia="en-GB"/>
        </w:rPr>
      </w:pPr>
    </w:p>
    <w:tbl>
      <w:tblPr>
        <w:tblW w:w="9105" w:type="dxa"/>
        <w:tblCellMar>
          <w:left w:w="70" w:type="dxa"/>
          <w:right w:w="70" w:type="dxa"/>
        </w:tblCellMar>
        <w:tblLook w:val="04A0" w:firstRow="1" w:lastRow="0" w:firstColumn="1" w:lastColumn="0" w:noHBand="0" w:noVBand="1"/>
      </w:tblPr>
      <w:tblGrid>
        <w:gridCol w:w="4551"/>
        <w:gridCol w:w="2257"/>
        <w:gridCol w:w="2297"/>
      </w:tblGrid>
      <w:tr w:rsidR="006D71DD" w:rsidRPr="006D71DD" w14:paraId="26CCCF27" w14:textId="77777777" w:rsidTr="00BA637F">
        <w:trPr>
          <w:divId w:val="1839419401"/>
          <w:trHeight w:val="113"/>
        </w:trPr>
        <w:tc>
          <w:tcPr>
            <w:tcW w:w="4551" w:type="dxa"/>
            <w:tcBorders>
              <w:top w:val="single" w:sz="8" w:space="0" w:color="000000"/>
              <w:left w:val="nil"/>
              <w:bottom w:val="single" w:sz="8" w:space="0" w:color="000000"/>
              <w:right w:val="nil"/>
            </w:tcBorders>
            <w:shd w:val="clear" w:color="auto" w:fill="auto"/>
            <w:vAlign w:val="center"/>
            <w:hideMark/>
          </w:tcPr>
          <w:p w14:paraId="061FF0AB" w14:textId="4A5665F2" w:rsidR="006D71DD" w:rsidRPr="006D71DD" w:rsidRDefault="006D71DD" w:rsidP="006D71DD">
            <w:pPr>
              <w:rPr>
                <w:color w:val="000000"/>
                <w:lang w:eastAsia="tr-TR"/>
              </w:rPr>
            </w:pPr>
            <w:r w:rsidRPr="006D71DD">
              <w:rPr>
                <w:color w:val="000000"/>
                <w:lang w:eastAsia="tr-TR"/>
              </w:rPr>
              <w:t> </w:t>
            </w:r>
          </w:p>
        </w:tc>
        <w:tc>
          <w:tcPr>
            <w:tcW w:w="2257" w:type="dxa"/>
            <w:tcBorders>
              <w:top w:val="single" w:sz="8" w:space="0" w:color="000000"/>
              <w:left w:val="nil"/>
              <w:bottom w:val="single" w:sz="8" w:space="0" w:color="000000"/>
              <w:right w:val="nil"/>
            </w:tcBorders>
            <w:shd w:val="clear" w:color="auto" w:fill="auto"/>
            <w:vAlign w:val="center"/>
            <w:hideMark/>
          </w:tcPr>
          <w:p w14:paraId="12608E77" w14:textId="77777777" w:rsidR="006D71DD" w:rsidRPr="006D71DD" w:rsidRDefault="006D71DD" w:rsidP="006D71DD">
            <w:pPr>
              <w:jc w:val="right"/>
              <w:rPr>
                <w:b/>
                <w:bCs/>
                <w:color w:val="000000"/>
                <w:lang w:eastAsia="tr-TR"/>
              </w:rPr>
            </w:pPr>
            <w:r w:rsidRPr="006D71DD">
              <w:rPr>
                <w:b/>
                <w:bCs/>
                <w:color w:val="000000"/>
                <w:lang w:eastAsia="tr-TR"/>
              </w:rPr>
              <w:t>Cari dönem</w:t>
            </w:r>
          </w:p>
        </w:tc>
        <w:tc>
          <w:tcPr>
            <w:tcW w:w="2297" w:type="dxa"/>
            <w:tcBorders>
              <w:top w:val="single" w:sz="8" w:space="0" w:color="000000"/>
              <w:left w:val="nil"/>
              <w:bottom w:val="single" w:sz="8" w:space="0" w:color="000000"/>
              <w:right w:val="nil"/>
            </w:tcBorders>
            <w:shd w:val="clear" w:color="auto" w:fill="auto"/>
            <w:noWrap/>
            <w:vAlign w:val="center"/>
            <w:hideMark/>
          </w:tcPr>
          <w:p w14:paraId="1D462381" w14:textId="77777777" w:rsidR="006D71DD" w:rsidRPr="006D71DD" w:rsidRDefault="006D71DD" w:rsidP="006D71DD">
            <w:pPr>
              <w:jc w:val="right"/>
              <w:rPr>
                <w:b/>
                <w:bCs/>
                <w:color w:val="000000"/>
                <w:lang w:eastAsia="tr-TR"/>
              </w:rPr>
            </w:pPr>
            <w:r w:rsidRPr="006D71DD">
              <w:rPr>
                <w:b/>
                <w:bCs/>
                <w:color w:val="000000"/>
                <w:lang w:eastAsia="tr-TR"/>
              </w:rPr>
              <w:t>Önceki dönem</w:t>
            </w:r>
          </w:p>
        </w:tc>
      </w:tr>
      <w:tr w:rsidR="006D71DD" w:rsidRPr="006D71DD" w14:paraId="636A0895" w14:textId="77777777" w:rsidTr="00BA637F">
        <w:trPr>
          <w:divId w:val="1839419401"/>
          <w:trHeight w:val="113"/>
        </w:trPr>
        <w:tc>
          <w:tcPr>
            <w:tcW w:w="4551" w:type="dxa"/>
            <w:tcBorders>
              <w:top w:val="nil"/>
              <w:left w:val="nil"/>
              <w:bottom w:val="nil"/>
              <w:right w:val="nil"/>
            </w:tcBorders>
            <w:shd w:val="clear" w:color="auto" w:fill="auto"/>
            <w:vAlign w:val="center"/>
            <w:hideMark/>
          </w:tcPr>
          <w:p w14:paraId="1A33C2FE" w14:textId="77777777" w:rsidR="006D71DD" w:rsidRPr="006D71DD" w:rsidRDefault="006D71DD" w:rsidP="006D71DD">
            <w:pPr>
              <w:rPr>
                <w:color w:val="000000"/>
                <w:lang w:eastAsia="tr-TR"/>
              </w:rPr>
            </w:pPr>
            <w:r w:rsidRPr="006D71DD">
              <w:rPr>
                <w:color w:val="000000"/>
                <w:lang w:eastAsia="tr-TR"/>
              </w:rPr>
              <w:t>Açılış Bakiyesi</w:t>
            </w:r>
          </w:p>
        </w:tc>
        <w:tc>
          <w:tcPr>
            <w:tcW w:w="2257" w:type="dxa"/>
            <w:tcBorders>
              <w:top w:val="nil"/>
              <w:left w:val="nil"/>
              <w:bottom w:val="nil"/>
              <w:right w:val="nil"/>
            </w:tcBorders>
            <w:shd w:val="clear" w:color="auto" w:fill="auto"/>
            <w:vAlign w:val="center"/>
            <w:hideMark/>
          </w:tcPr>
          <w:p w14:paraId="4ECC4A1D" w14:textId="77777777" w:rsidR="006D71DD" w:rsidRPr="006D71DD" w:rsidRDefault="006D71DD" w:rsidP="006D71DD">
            <w:pPr>
              <w:jc w:val="right"/>
              <w:rPr>
                <w:color w:val="000000"/>
                <w:sz w:val="18"/>
                <w:szCs w:val="18"/>
                <w:lang w:eastAsia="tr-TR"/>
              </w:rPr>
            </w:pPr>
            <w:r w:rsidRPr="006D71DD">
              <w:rPr>
                <w:color w:val="000000"/>
                <w:sz w:val="18"/>
                <w:szCs w:val="18"/>
                <w:lang w:eastAsia="tr-TR"/>
              </w:rPr>
              <w:t>473,326</w:t>
            </w:r>
          </w:p>
        </w:tc>
        <w:tc>
          <w:tcPr>
            <w:tcW w:w="2297" w:type="dxa"/>
            <w:tcBorders>
              <w:top w:val="nil"/>
              <w:left w:val="nil"/>
              <w:bottom w:val="nil"/>
              <w:right w:val="nil"/>
            </w:tcBorders>
            <w:shd w:val="clear" w:color="auto" w:fill="auto"/>
            <w:vAlign w:val="center"/>
            <w:hideMark/>
          </w:tcPr>
          <w:p w14:paraId="0E440B16" w14:textId="77777777" w:rsidR="006D71DD" w:rsidRPr="006D71DD" w:rsidRDefault="006D71DD" w:rsidP="006D71DD">
            <w:pPr>
              <w:jc w:val="right"/>
              <w:rPr>
                <w:color w:val="000000"/>
                <w:sz w:val="18"/>
                <w:szCs w:val="18"/>
                <w:lang w:eastAsia="tr-TR"/>
              </w:rPr>
            </w:pPr>
            <w:r w:rsidRPr="006D71DD">
              <w:rPr>
                <w:color w:val="000000"/>
                <w:sz w:val="18"/>
                <w:szCs w:val="18"/>
                <w:lang w:eastAsia="tr-TR"/>
              </w:rPr>
              <w:t>270,382</w:t>
            </w:r>
          </w:p>
        </w:tc>
      </w:tr>
      <w:tr w:rsidR="006D71DD" w:rsidRPr="006D71DD" w14:paraId="3910E98F" w14:textId="77777777" w:rsidTr="00BA637F">
        <w:trPr>
          <w:divId w:val="1839419401"/>
          <w:trHeight w:val="113"/>
        </w:trPr>
        <w:tc>
          <w:tcPr>
            <w:tcW w:w="4551" w:type="dxa"/>
            <w:tcBorders>
              <w:top w:val="nil"/>
              <w:left w:val="nil"/>
              <w:bottom w:val="nil"/>
              <w:right w:val="nil"/>
            </w:tcBorders>
            <w:shd w:val="clear" w:color="auto" w:fill="auto"/>
            <w:vAlign w:val="center"/>
            <w:hideMark/>
          </w:tcPr>
          <w:p w14:paraId="75D821CE" w14:textId="77777777" w:rsidR="006D71DD" w:rsidRPr="006D71DD" w:rsidRDefault="006D71DD" w:rsidP="006D71DD">
            <w:pPr>
              <w:rPr>
                <w:color w:val="000000"/>
                <w:lang w:eastAsia="tr-TR"/>
              </w:rPr>
            </w:pPr>
            <w:r w:rsidRPr="006D71DD">
              <w:rPr>
                <w:color w:val="000000"/>
                <w:lang w:eastAsia="tr-TR"/>
              </w:rPr>
              <w:t>İktisap Edilenler</w:t>
            </w:r>
          </w:p>
        </w:tc>
        <w:tc>
          <w:tcPr>
            <w:tcW w:w="2257" w:type="dxa"/>
            <w:tcBorders>
              <w:top w:val="nil"/>
              <w:left w:val="nil"/>
              <w:bottom w:val="nil"/>
              <w:right w:val="nil"/>
            </w:tcBorders>
            <w:shd w:val="clear" w:color="auto" w:fill="auto"/>
            <w:vAlign w:val="center"/>
            <w:hideMark/>
          </w:tcPr>
          <w:p w14:paraId="7F95C854" w14:textId="77777777" w:rsidR="006D71DD" w:rsidRPr="006D71DD" w:rsidRDefault="006D71DD" w:rsidP="006D71DD">
            <w:pPr>
              <w:jc w:val="right"/>
              <w:rPr>
                <w:color w:val="000000"/>
                <w:sz w:val="18"/>
                <w:szCs w:val="18"/>
                <w:lang w:eastAsia="tr-TR"/>
              </w:rPr>
            </w:pPr>
            <w:r w:rsidRPr="006D71DD">
              <w:rPr>
                <w:color w:val="000000"/>
                <w:sz w:val="18"/>
                <w:szCs w:val="18"/>
                <w:lang w:eastAsia="tr-TR"/>
              </w:rPr>
              <w:t>128,786</w:t>
            </w:r>
          </w:p>
        </w:tc>
        <w:tc>
          <w:tcPr>
            <w:tcW w:w="2297" w:type="dxa"/>
            <w:tcBorders>
              <w:top w:val="nil"/>
              <w:left w:val="nil"/>
              <w:bottom w:val="nil"/>
              <w:right w:val="nil"/>
            </w:tcBorders>
            <w:shd w:val="clear" w:color="auto" w:fill="auto"/>
            <w:vAlign w:val="center"/>
            <w:hideMark/>
          </w:tcPr>
          <w:p w14:paraId="30333F52" w14:textId="77777777" w:rsidR="006D71DD" w:rsidRPr="006D71DD" w:rsidRDefault="006D71DD" w:rsidP="006D71DD">
            <w:pPr>
              <w:jc w:val="right"/>
              <w:rPr>
                <w:color w:val="000000"/>
                <w:sz w:val="18"/>
                <w:szCs w:val="18"/>
                <w:lang w:eastAsia="tr-TR"/>
              </w:rPr>
            </w:pPr>
            <w:r w:rsidRPr="006D71DD">
              <w:rPr>
                <w:color w:val="000000"/>
                <w:sz w:val="18"/>
                <w:szCs w:val="18"/>
                <w:lang w:eastAsia="tr-TR"/>
              </w:rPr>
              <w:t>270,818</w:t>
            </w:r>
          </w:p>
        </w:tc>
      </w:tr>
      <w:tr w:rsidR="006D71DD" w:rsidRPr="006D71DD" w14:paraId="41BF13F8" w14:textId="77777777" w:rsidTr="00BA637F">
        <w:trPr>
          <w:divId w:val="1839419401"/>
          <w:trHeight w:val="113"/>
        </w:trPr>
        <w:tc>
          <w:tcPr>
            <w:tcW w:w="4551" w:type="dxa"/>
            <w:tcBorders>
              <w:top w:val="nil"/>
              <w:left w:val="nil"/>
              <w:bottom w:val="nil"/>
              <w:right w:val="nil"/>
            </w:tcBorders>
            <w:shd w:val="clear" w:color="auto" w:fill="auto"/>
            <w:vAlign w:val="center"/>
            <w:hideMark/>
          </w:tcPr>
          <w:p w14:paraId="58DCD256" w14:textId="77777777" w:rsidR="006D71DD" w:rsidRPr="006D71DD" w:rsidRDefault="006D71DD" w:rsidP="006D71DD">
            <w:pPr>
              <w:rPr>
                <w:color w:val="000000"/>
                <w:lang w:eastAsia="tr-TR"/>
              </w:rPr>
            </w:pPr>
            <w:r w:rsidRPr="006D71DD">
              <w:rPr>
                <w:color w:val="000000"/>
                <w:lang w:eastAsia="tr-TR"/>
              </w:rPr>
              <w:t xml:space="preserve">Maddi Duran Varlıklardan Transferler </w:t>
            </w:r>
          </w:p>
        </w:tc>
        <w:tc>
          <w:tcPr>
            <w:tcW w:w="2257" w:type="dxa"/>
            <w:tcBorders>
              <w:top w:val="nil"/>
              <w:left w:val="nil"/>
              <w:bottom w:val="nil"/>
              <w:right w:val="nil"/>
            </w:tcBorders>
            <w:shd w:val="clear" w:color="auto" w:fill="auto"/>
            <w:vAlign w:val="center"/>
            <w:hideMark/>
          </w:tcPr>
          <w:p w14:paraId="2A7E20B5"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2297" w:type="dxa"/>
            <w:tcBorders>
              <w:top w:val="nil"/>
              <w:left w:val="nil"/>
              <w:bottom w:val="nil"/>
              <w:right w:val="nil"/>
            </w:tcBorders>
            <w:shd w:val="clear" w:color="auto" w:fill="auto"/>
            <w:vAlign w:val="center"/>
            <w:hideMark/>
          </w:tcPr>
          <w:p w14:paraId="43B99612"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r>
      <w:tr w:rsidR="006D71DD" w:rsidRPr="006D71DD" w14:paraId="0F847E20" w14:textId="77777777" w:rsidTr="00BA637F">
        <w:trPr>
          <w:divId w:val="1839419401"/>
          <w:trHeight w:val="113"/>
        </w:trPr>
        <w:tc>
          <w:tcPr>
            <w:tcW w:w="4551" w:type="dxa"/>
            <w:tcBorders>
              <w:top w:val="nil"/>
              <w:left w:val="nil"/>
              <w:bottom w:val="nil"/>
              <w:right w:val="nil"/>
            </w:tcBorders>
            <w:shd w:val="clear" w:color="auto" w:fill="auto"/>
            <w:vAlign w:val="center"/>
            <w:hideMark/>
          </w:tcPr>
          <w:p w14:paraId="5A6DEC5B" w14:textId="77777777" w:rsidR="006D71DD" w:rsidRPr="006D71DD" w:rsidRDefault="006D71DD" w:rsidP="006D71DD">
            <w:pPr>
              <w:rPr>
                <w:color w:val="000000"/>
                <w:lang w:eastAsia="tr-TR"/>
              </w:rPr>
            </w:pPr>
            <w:r w:rsidRPr="006D71DD">
              <w:rPr>
                <w:color w:val="000000"/>
                <w:lang w:eastAsia="tr-TR"/>
              </w:rPr>
              <w:t>Elden Çıkarılanlar (-), Net</w:t>
            </w:r>
          </w:p>
        </w:tc>
        <w:tc>
          <w:tcPr>
            <w:tcW w:w="2257" w:type="dxa"/>
            <w:tcBorders>
              <w:top w:val="nil"/>
              <w:left w:val="nil"/>
              <w:bottom w:val="nil"/>
              <w:right w:val="nil"/>
            </w:tcBorders>
            <w:shd w:val="clear" w:color="auto" w:fill="auto"/>
            <w:vAlign w:val="center"/>
            <w:hideMark/>
          </w:tcPr>
          <w:p w14:paraId="4611420A" w14:textId="77777777" w:rsidR="006D71DD" w:rsidRPr="006D71DD" w:rsidRDefault="006D71DD" w:rsidP="006D71DD">
            <w:pPr>
              <w:jc w:val="right"/>
              <w:rPr>
                <w:color w:val="000000"/>
                <w:sz w:val="18"/>
                <w:szCs w:val="18"/>
                <w:lang w:eastAsia="tr-TR"/>
              </w:rPr>
            </w:pPr>
            <w:r w:rsidRPr="006D71DD">
              <w:rPr>
                <w:color w:val="000000"/>
                <w:sz w:val="18"/>
                <w:szCs w:val="18"/>
                <w:lang w:eastAsia="tr-TR"/>
              </w:rPr>
              <w:t>110,532</w:t>
            </w:r>
          </w:p>
        </w:tc>
        <w:tc>
          <w:tcPr>
            <w:tcW w:w="2297" w:type="dxa"/>
            <w:tcBorders>
              <w:top w:val="nil"/>
              <w:left w:val="nil"/>
              <w:bottom w:val="nil"/>
              <w:right w:val="nil"/>
            </w:tcBorders>
            <w:shd w:val="clear" w:color="auto" w:fill="auto"/>
            <w:vAlign w:val="center"/>
            <w:hideMark/>
          </w:tcPr>
          <w:p w14:paraId="1F1F5173" w14:textId="77777777" w:rsidR="006D71DD" w:rsidRPr="006D71DD" w:rsidRDefault="006D71DD" w:rsidP="006D71DD">
            <w:pPr>
              <w:jc w:val="right"/>
              <w:rPr>
                <w:color w:val="000000"/>
                <w:sz w:val="18"/>
                <w:szCs w:val="18"/>
                <w:lang w:eastAsia="tr-TR"/>
              </w:rPr>
            </w:pPr>
            <w:r w:rsidRPr="006D71DD">
              <w:rPr>
                <w:color w:val="000000"/>
                <w:sz w:val="18"/>
                <w:szCs w:val="18"/>
                <w:lang w:eastAsia="tr-TR"/>
              </w:rPr>
              <w:t>67,874</w:t>
            </w:r>
          </w:p>
        </w:tc>
      </w:tr>
      <w:tr w:rsidR="006D71DD" w:rsidRPr="006D71DD" w14:paraId="011E098E" w14:textId="77777777" w:rsidTr="00BA637F">
        <w:trPr>
          <w:divId w:val="1839419401"/>
          <w:trHeight w:val="113"/>
        </w:trPr>
        <w:tc>
          <w:tcPr>
            <w:tcW w:w="4551" w:type="dxa"/>
            <w:tcBorders>
              <w:top w:val="nil"/>
              <w:left w:val="nil"/>
              <w:bottom w:val="nil"/>
              <w:right w:val="nil"/>
            </w:tcBorders>
            <w:shd w:val="clear" w:color="auto" w:fill="auto"/>
            <w:vAlign w:val="center"/>
            <w:hideMark/>
          </w:tcPr>
          <w:p w14:paraId="68E740D4" w14:textId="77777777" w:rsidR="006D71DD" w:rsidRPr="006D71DD" w:rsidRDefault="006D71DD" w:rsidP="006D71DD">
            <w:pPr>
              <w:rPr>
                <w:color w:val="000000"/>
                <w:lang w:eastAsia="tr-TR"/>
              </w:rPr>
            </w:pPr>
            <w:r w:rsidRPr="006D71DD">
              <w:rPr>
                <w:color w:val="000000"/>
                <w:lang w:eastAsia="tr-TR"/>
              </w:rPr>
              <w:t>Maddi Duran Varlıklara Transfer</w:t>
            </w:r>
          </w:p>
        </w:tc>
        <w:tc>
          <w:tcPr>
            <w:tcW w:w="2257" w:type="dxa"/>
            <w:tcBorders>
              <w:top w:val="nil"/>
              <w:left w:val="nil"/>
              <w:bottom w:val="nil"/>
              <w:right w:val="nil"/>
            </w:tcBorders>
            <w:shd w:val="clear" w:color="auto" w:fill="auto"/>
            <w:vAlign w:val="center"/>
            <w:hideMark/>
          </w:tcPr>
          <w:p w14:paraId="0AAEEF7E"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2297" w:type="dxa"/>
            <w:tcBorders>
              <w:top w:val="nil"/>
              <w:left w:val="nil"/>
              <w:bottom w:val="nil"/>
              <w:right w:val="nil"/>
            </w:tcBorders>
            <w:shd w:val="clear" w:color="auto" w:fill="auto"/>
            <w:vAlign w:val="center"/>
            <w:hideMark/>
          </w:tcPr>
          <w:p w14:paraId="74266C84"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r>
      <w:tr w:rsidR="006D71DD" w:rsidRPr="006D71DD" w14:paraId="58C55A35" w14:textId="77777777" w:rsidTr="00BA637F">
        <w:trPr>
          <w:divId w:val="1839419401"/>
          <w:trHeight w:val="113"/>
        </w:trPr>
        <w:tc>
          <w:tcPr>
            <w:tcW w:w="4551" w:type="dxa"/>
            <w:tcBorders>
              <w:top w:val="nil"/>
              <w:left w:val="nil"/>
              <w:bottom w:val="nil"/>
              <w:right w:val="nil"/>
            </w:tcBorders>
            <w:shd w:val="clear" w:color="auto" w:fill="auto"/>
            <w:vAlign w:val="center"/>
            <w:hideMark/>
          </w:tcPr>
          <w:p w14:paraId="78613AF7" w14:textId="77777777" w:rsidR="006D71DD" w:rsidRPr="006D71DD" w:rsidRDefault="006D71DD" w:rsidP="006D71DD">
            <w:pPr>
              <w:rPr>
                <w:color w:val="000000"/>
                <w:lang w:eastAsia="tr-TR"/>
              </w:rPr>
            </w:pPr>
            <w:r w:rsidRPr="006D71DD">
              <w:rPr>
                <w:color w:val="000000"/>
                <w:lang w:eastAsia="tr-TR"/>
              </w:rPr>
              <w:t>Amortisman Bedeli (-)</w:t>
            </w:r>
          </w:p>
        </w:tc>
        <w:tc>
          <w:tcPr>
            <w:tcW w:w="2257" w:type="dxa"/>
            <w:tcBorders>
              <w:top w:val="nil"/>
              <w:left w:val="nil"/>
              <w:bottom w:val="nil"/>
              <w:right w:val="nil"/>
            </w:tcBorders>
            <w:shd w:val="clear" w:color="auto" w:fill="auto"/>
            <w:vAlign w:val="center"/>
            <w:hideMark/>
          </w:tcPr>
          <w:p w14:paraId="45200048"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2297" w:type="dxa"/>
            <w:tcBorders>
              <w:top w:val="nil"/>
              <w:left w:val="nil"/>
              <w:bottom w:val="nil"/>
              <w:right w:val="nil"/>
            </w:tcBorders>
            <w:shd w:val="clear" w:color="auto" w:fill="auto"/>
            <w:vAlign w:val="center"/>
            <w:hideMark/>
          </w:tcPr>
          <w:p w14:paraId="77B79468"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r>
      <w:tr w:rsidR="006D71DD" w:rsidRPr="006D71DD" w14:paraId="78A24FF1" w14:textId="77777777" w:rsidTr="00BA637F">
        <w:trPr>
          <w:divId w:val="1839419401"/>
          <w:trHeight w:val="113"/>
        </w:trPr>
        <w:tc>
          <w:tcPr>
            <w:tcW w:w="4551" w:type="dxa"/>
            <w:tcBorders>
              <w:top w:val="nil"/>
              <w:left w:val="nil"/>
              <w:bottom w:val="single" w:sz="8" w:space="0" w:color="auto"/>
              <w:right w:val="nil"/>
            </w:tcBorders>
            <w:shd w:val="clear" w:color="auto" w:fill="auto"/>
            <w:vAlign w:val="center"/>
            <w:hideMark/>
          </w:tcPr>
          <w:p w14:paraId="262289FC" w14:textId="77777777" w:rsidR="006D71DD" w:rsidRPr="006D71DD" w:rsidRDefault="006D71DD" w:rsidP="006D71DD">
            <w:pPr>
              <w:rPr>
                <w:color w:val="000000"/>
                <w:lang w:eastAsia="tr-TR"/>
              </w:rPr>
            </w:pPr>
            <w:r w:rsidRPr="006D71DD">
              <w:rPr>
                <w:color w:val="000000"/>
                <w:lang w:eastAsia="tr-TR"/>
              </w:rPr>
              <w:t>Değer Düşüş Karşılığı (-)</w:t>
            </w:r>
          </w:p>
        </w:tc>
        <w:tc>
          <w:tcPr>
            <w:tcW w:w="2257" w:type="dxa"/>
            <w:tcBorders>
              <w:top w:val="nil"/>
              <w:left w:val="nil"/>
              <w:bottom w:val="single" w:sz="8" w:space="0" w:color="auto"/>
              <w:right w:val="nil"/>
            </w:tcBorders>
            <w:shd w:val="clear" w:color="auto" w:fill="auto"/>
            <w:vAlign w:val="center"/>
            <w:hideMark/>
          </w:tcPr>
          <w:p w14:paraId="16143D26"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2297" w:type="dxa"/>
            <w:tcBorders>
              <w:top w:val="nil"/>
              <w:left w:val="nil"/>
              <w:bottom w:val="single" w:sz="8" w:space="0" w:color="auto"/>
              <w:right w:val="nil"/>
            </w:tcBorders>
            <w:shd w:val="clear" w:color="auto" w:fill="auto"/>
            <w:vAlign w:val="center"/>
            <w:hideMark/>
          </w:tcPr>
          <w:p w14:paraId="217AA1EA"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r>
      <w:tr w:rsidR="006D71DD" w:rsidRPr="006D71DD" w14:paraId="602D710A" w14:textId="77777777" w:rsidTr="00BA637F">
        <w:trPr>
          <w:divId w:val="1839419401"/>
          <w:trHeight w:val="113"/>
        </w:trPr>
        <w:tc>
          <w:tcPr>
            <w:tcW w:w="4551" w:type="dxa"/>
            <w:tcBorders>
              <w:top w:val="nil"/>
              <w:left w:val="nil"/>
              <w:bottom w:val="double" w:sz="6" w:space="0" w:color="auto"/>
              <w:right w:val="nil"/>
            </w:tcBorders>
            <w:shd w:val="clear" w:color="auto" w:fill="auto"/>
            <w:vAlign w:val="center"/>
            <w:hideMark/>
          </w:tcPr>
          <w:p w14:paraId="05E1CAC3" w14:textId="77777777" w:rsidR="006D71DD" w:rsidRPr="006D71DD" w:rsidRDefault="006D71DD" w:rsidP="006D71DD">
            <w:pPr>
              <w:rPr>
                <w:b/>
                <w:bCs/>
                <w:color w:val="000000"/>
                <w:lang w:eastAsia="tr-TR"/>
              </w:rPr>
            </w:pPr>
            <w:r w:rsidRPr="006D71DD">
              <w:rPr>
                <w:b/>
                <w:bCs/>
                <w:color w:val="000000"/>
                <w:lang w:eastAsia="tr-TR"/>
              </w:rPr>
              <w:t xml:space="preserve">Kapanış Net Defter Değeri </w:t>
            </w:r>
          </w:p>
        </w:tc>
        <w:tc>
          <w:tcPr>
            <w:tcW w:w="2257" w:type="dxa"/>
            <w:tcBorders>
              <w:top w:val="nil"/>
              <w:left w:val="nil"/>
              <w:bottom w:val="double" w:sz="6" w:space="0" w:color="auto"/>
              <w:right w:val="nil"/>
            </w:tcBorders>
            <w:shd w:val="clear" w:color="auto" w:fill="auto"/>
            <w:vAlign w:val="center"/>
            <w:hideMark/>
          </w:tcPr>
          <w:p w14:paraId="422C5835" w14:textId="77777777" w:rsidR="006D71DD" w:rsidRPr="006D71DD" w:rsidRDefault="006D71DD" w:rsidP="006D71DD">
            <w:pPr>
              <w:jc w:val="right"/>
              <w:rPr>
                <w:b/>
                <w:bCs/>
                <w:color w:val="000000"/>
                <w:sz w:val="18"/>
                <w:szCs w:val="18"/>
                <w:lang w:eastAsia="tr-TR"/>
              </w:rPr>
            </w:pPr>
            <w:r w:rsidRPr="006D71DD">
              <w:rPr>
                <w:b/>
                <w:bCs/>
                <w:color w:val="000000"/>
                <w:sz w:val="18"/>
                <w:szCs w:val="18"/>
                <w:lang w:eastAsia="tr-TR"/>
              </w:rPr>
              <w:t>491,580</w:t>
            </w:r>
          </w:p>
        </w:tc>
        <w:tc>
          <w:tcPr>
            <w:tcW w:w="2297" w:type="dxa"/>
            <w:tcBorders>
              <w:top w:val="nil"/>
              <w:left w:val="nil"/>
              <w:bottom w:val="double" w:sz="6" w:space="0" w:color="auto"/>
              <w:right w:val="nil"/>
            </w:tcBorders>
            <w:shd w:val="clear" w:color="auto" w:fill="auto"/>
            <w:vAlign w:val="center"/>
            <w:hideMark/>
          </w:tcPr>
          <w:p w14:paraId="3A40BA07" w14:textId="77777777" w:rsidR="006D71DD" w:rsidRPr="006D71DD" w:rsidRDefault="006D71DD" w:rsidP="006D71DD">
            <w:pPr>
              <w:jc w:val="right"/>
              <w:rPr>
                <w:b/>
                <w:bCs/>
                <w:color w:val="000000"/>
                <w:sz w:val="18"/>
                <w:szCs w:val="18"/>
                <w:lang w:eastAsia="tr-TR"/>
              </w:rPr>
            </w:pPr>
            <w:r w:rsidRPr="006D71DD">
              <w:rPr>
                <w:b/>
                <w:bCs/>
                <w:color w:val="000000"/>
                <w:sz w:val="18"/>
                <w:szCs w:val="18"/>
                <w:lang w:eastAsia="tr-TR"/>
              </w:rPr>
              <w:t>473,326</w:t>
            </w:r>
          </w:p>
        </w:tc>
      </w:tr>
    </w:tbl>
    <w:p w14:paraId="21A93A71" w14:textId="57D85A29" w:rsidR="00A023D6" w:rsidRPr="006D71DD" w:rsidRDefault="00A023D6" w:rsidP="00A023D6">
      <w:pPr>
        <w:autoSpaceDE w:val="0"/>
        <w:autoSpaceDN w:val="0"/>
        <w:adjustRightInd w:val="0"/>
        <w:spacing w:line="230" w:lineRule="auto"/>
        <w:rPr>
          <w:b/>
          <w:bCs/>
          <w:iCs/>
          <w:sz w:val="16"/>
          <w:szCs w:val="16"/>
        </w:rPr>
      </w:pPr>
    </w:p>
    <w:p w14:paraId="0144F254" w14:textId="53540A18" w:rsidR="00C923B1" w:rsidRPr="00235A28" w:rsidRDefault="007959C0" w:rsidP="00A023D6">
      <w:pPr>
        <w:tabs>
          <w:tab w:val="left" w:pos="709"/>
        </w:tabs>
        <w:autoSpaceDE w:val="0"/>
        <w:autoSpaceDN w:val="0"/>
        <w:adjustRightInd w:val="0"/>
        <w:spacing w:line="230" w:lineRule="auto"/>
        <w:ind w:hanging="567"/>
        <w:rPr>
          <w:b/>
          <w:bCs/>
          <w:iCs/>
        </w:rPr>
      </w:pPr>
      <w:r w:rsidRPr="00235A28">
        <w:rPr>
          <w:b/>
          <w:bCs/>
          <w:iCs/>
        </w:rPr>
        <w:t>1</w:t>
      </w:r>
      <w:r w:rsidR="000F4462" w:rsidRPr="00235A28">
        <w:rPr>
          <w:b/>
          <w:bCs/>
          <w:iCs/>
        </w:rPr>
        <w:t>.</w:t>
      </w:r>
      <w:r w:rsidRPr="00235A28">
        <w:rPr>
          <w:b/>
          <w:bCs/>
          <w:iCs/>
        </w:rPr>
        <w:t>1</w:t>
      </w:r>
      <w:r w:rsidR="003A0C10">
        <w:rPr>
          <w:b/>
          <w:bCs/>
          <w:iCs/>
        </w:rPr>
        <w:t>7</w:t>
      </w:r>
      <w:r w:rsidR="0048609D" w:rsidRPr="00235A28">
        <w:rPr>
          <w:b/>
          <w:bCs/>
          <w:iCs/>
        </w:rPr>
        <w:t>.</w:t>
      </w:r>
      <w:r w:rsidR="00E253C8" w:rsidRPr="00235A28">
        <w:rPr>
          <w:b/>
          <w:bCs/>
        </w:rPr>
        <w:tab/>
        <w:t>Diğer aktiflere ilişkin bilgiler:</w:t>
      </w:r>
    </w:p>
    <w:p w14:paraId="4D112A40" w14:textId="77777777" w:rsidR="00C923B1" w:rsidRPr="00235A28" w:rsidRDefault="00C923B1" w:rsidP="00A023D6">
      <w:pPr>
        <w:autoSpaceDE w:val="0"/>
        <w:autoSpaceDN w:val="0"/>
        <w:adjustRightInd w:val="0"/>
        <w:spacing w:line="230" w:lineRule="auto"/>
        <w:ind w:left="540"/>
        <w:rPr>
          <w:bCs/>
          <w:sz w:val="16"/>
          <w:szCs w:val="16"/>
        </w:rPr>
      </w:pPr>
    </w:p>
    <w:p w14:paraId="4C792AFB" w14:textId="2D0B1898" w:rsidR="00196B1B" w:rsidRPr="00235A28" w:rsidRDefault="00E253C8" w:rsidP="00DA2684">
      <w:pPr>
        <w:spacing w:line="230" w:lineRule="auto"/>
        <w:jc w:val="both"/>
        <w:rPr>
          <w:bCs/>
        </w:rPr>
      </w:pPr>
      <w:r w:rsidRPr="00235A28">
        <w:rPr>
          <w:bCs/>
        </w:rPr>
        <w:t xml:space="preserve">Bilanço tarihi </w:t>
      </w:r>
      <w:r w:rsidR="00CF4F17" w:rsidRPr="00235A28">
        <w:rPr>
          <w:bCs/>
        </w:rPr>
        <w:t>itibarıyla</w:t>
      </w:r>
      <w:r w:rsidRPr="00235A28">
        <w:rPr>
          <w:bCs/>
        </w:rPr>
        <w:t>, Banka’nın diğer aktifler to</w:t>
      </w:r>
      <w:r w:rsidR="000F4462" w:rsidRPr="00235A28">
        <w:rPr>
          <w:bCs/>
        </w:rPr>
        <w:t xml:space="preserve">plamı </w:t>
      </w:r>
      <w:r w:rsidR="00235A28" w:rsidRPr="00235A28">
        <w:rPr>
          <w:bCs/>
        </w:rPr>
        <w:t>1</w:t>
      </w:r>
      <w:r w:rsidR="009C0D9E" w:rsidRPr="00235A28">
        <w:rPr>
          <w:bCs/>
        </w:rPr>
        <w:t>,</w:t>
      </w:r>
      <w:r w:rsidR="004C73F3" w:rsidRPr="00235A28">
        <w:rPr>
          <w:bCs/>
        </w:rPr>
        <w:t>3</w:t>
      </w:r>
      <w:r w:rsidR="00235A28" w:rsidRPr="00235A28">
        <w:rPr>
          <w:bCs/>
        </w:rPr>
        <w:t>13</w:t>
      </w:r>
      <w:r w:rsidR="00796676" w:rsidRPr="00235A28">
        <w:rPr>
          <w:bCs/>
        </w:rPr>
        <w:t>,</w:t>
      </w:r>
      <w:r w:rsidR="00235A28" w:rsidRPr="00235A28">
        <w:rPr>
          <w:bCs/>
        </w:rPr>
        <w:t>018</w:t>
      </w:r>
      <w:r w:rsidR="000251BE" w:rsidRPr="00235A28">
        <w:rPr>
          <w:bCs/>
        </w:rPr>
        <w:t xml:space="preserve"> </w:t>
      </w:r>
      <w:r w:rsidRPr="00235A28">
        <w:rPr>
          <w:bCs/>
        </w:rPr>
        <w:t>TL (</w:t>
      </w:r>
      <w:r w:rsidR="002D7D64" w:rsidRPr="00235A28">
        <w:rPr>
          <w:bCs/>
        </w:rPr>
        <w:t xml:space="preserve">31 Aralık </w:t>
      </w:r>
      <w:r w:rsidR="00715624" w:rsidRPr="00235A28">
        <w:rPr>
          <w:bCs/>
        </w:rPr>
        <w:t>201</w:t>
      </w:r>
      <w:r w:rsidR="0032404A" w:rsidRPr="00235A28">
        <w:rPr>
          <w:bCs/>
        </w:rPr>
        <w:t>9</w:t>
      </w:r>
      <w:r w:rsidRPr="00235A28">
        <w:rPr>
          <w:bCs/>
        </w:rPr>
        <w:t xml:space="preserve"> – </w:t>
      </w:r>
      <w:r w:rsidR="0032404A" w:rsidRPr="00235A28">
        <w:rPr>
          <w:bCs/>
        </w:rPr>
        <w:t>1,596,430</w:t>
      </w:r>
      <w:r w:rsidR="00393AA6" w:rsidRPr="00235A28">
        <w:rPr>
          <w:bCs/>
        </w:rPr>
        <w:t xml:space="preserve"> TL</w:t>
      </w:r>
      <w:r w:rsidRPr="00235A28">
        <w:rPr>
          <w:bCs/>
        </w:rPr>
        <w:t xml:space="preserve">) olup, bilanço dışı taahhütler hariç bilanço toplamının %10’unu aşmamaktadır. </w:t>
      </w:r>
    </w:p>
    <w:p w14:paraId="5F72C16A" w14:textId="77777777" w:rsidR="00967B81" w:rsidRPr="00235A28" w:rsidRDefault="00A023D6" w:rsidP="00967B81">
      <w:pPr>
        <w:autoSpaceDE w:val="0"/>
        <w:autoSpaceDN w:val="0"/>
        <w:adjustRightInd w:val="0"/>
        <w:ind w:left="3600" w:hanging="3600"/>
        <w:jc w:val="center"/>
        <w:rPr>
          <w:rFonts w:eastAsia="Arial Unicode MS"/>
          <w:b/>
          <w:sz w:val="24"/>
        </w:rPr>
      </w:pPr>
      <w:r w:rsidRPr="00270CE6">
        <w:rPr>
          <w:rFonts w:eastAsia="Arial Unicode MS"/>
          <w:b/>
          <w:sz w:val="24"/>
          <w:highlight w:val="yellow"/>
        </w:rPr>
        <w:br w:type="page"/>
      </w:r>
      <w:r w:rsidR="00967B81" w:rsidRPr="00235A28">
        <w:rPr>
          <w:rFonts w:eastAsia="Arial Unicode MS"/>
          <w:b/>
          <w:sz w:val="24"/>
        </w:rPr>
        <w:lastRenderedPageBreak/>
        <w:t>BEŞİNCİ BÖLÜM</w:t>
      </w:r>
    </w:p>
    <w:p w14:paraId="5072DE5E" w14:textId="77777777" w:rsidR="00967B81" w:rsidRPr="00235A28" w:rsidRDefault="00967B81" w:rsidP="00967B81">
      <w:pPr>
        <w:autoSpaceDE w:val="0"/>
        <w:autoSpaceDN w:val="0"/>
        <w:adjustRightInd w:val="0"/>
        <w:spacing w:line="235" w:lineRule="auto"/>
        <w:ind w:left="540" w:hanging="540"/>
        <w:jc w:val="both"/>
        <w:rPr>
          <w:b/>
          <w:sz w:val="4"/>
          <w:szCs w:val="16"/>
        </w:rPr>
      </w:pPr>
    </w:p>
    <w:p w14:paraId="61C99456" w14:textId="77777777" w:rsidR="00967B81" w:rsidRPr="00235A28" w:rsidRDefault="00D12DB1" w:rsidP="00D12DB1">
      <w:pPr>
        <w:autoSpaceDE w:val="0"/>
        <w:autoSpaceDN w:val="0"/>
        <w:adjustRightInd w:val="0"/>
        <w:spacing w:line="235" w:lineRule="auto"/>
        <w:ind w:hanging="567"/>
        <w:jc w:val="both"/>
        <w:rPr>
          <w:rFonts w:eastAsia="Arial Unicode MS"/>
          <w:b/>
          <w:sz w:val="22"/>
          <w:szCs w:val="22"/>
        </w:rPr>
      </w:pPr>
      <w:r w:rsidRPr="00235A28">
        <w:rPr>
          <w:b/>
          <w:sz w:val="22"/>
          <w:szCs w:val="22"/>
        </w:rPr>
        <w:t>2</w:t>
      </w:r>
      <w:r w:rsidR="00967B81" w:rsidRPr="00235A28">
        <w:rPr>
          <w:b/>
          <w:sz w:val="22"/>
          <w:szCs w:val="22"/>
        </w:rPr>
        <w:t>.</w:t>
      </w:r>
      <w:r w:rsidR="00967B81" w:rsidRPr="00235A28">
        <w:rPr>
          <w:b/>
          <w:sz w:val="22"/>
          <w:szCs w:val="22"/>
        </w:rPr>
        <w:tab/>
        <w:t>Bilançonun Pasif Hesaplarına İlişkin Açıklama ve Dipnotlar</w:t>
      </w:r>
    </w:p>
    <w:p w14:paraId="0D4C9F6E" w14:textId="77777777" w:rsidR="000F096F" w:rsidRPr="00235A28" w:rsidRDefault="000F096F" w:rsidP="000F096F">
      <w:pPr>
        <w:autoSpaceDE w:val="0"/>
        <w:autoSpaceDN w:val="0"/>
        <w:adjustRightInd w:val="0"/>
        <w:rPr>
          <w:rFonts w:eastAsia="Arial Unicode MS"/>
          <w:b/>
          <w:sz w:val="8"/>
          <w:szCs w:val="16"/>
        </w:rPr>
      </w:pPr>
    </w:p>
    <w:p w14:paraId="4F8CFFEC" w14:textId="77777777" w:rsidR="000F096F" w:rsidRPr="00235A28" w:rsidRDefault="00D12DB1" w:rsidP="00D12DB1">
      <w:pPr>
        <w:tabs>
          <w:tab w:val="left" w:pos="0"/>
        </w:tabs>
        <w:autoSpaceDE w:val="0"/>
        <w:autoSpaceDN w:val="0"/>
        <w:adjustRightInd w:val="0"/>
        <w:ind w:left="709" w:hanging="1276"/>
      </w:pPr>
      <w:r w:rsidRPr="00235A28">
        <w:rPr>
          <w:b/>
          <w:bCs/>
          <w:iCs/>
        </w:rPr>
        <w:t>2</w:t>
      </w:r>
      <w:r w:rsidR="00E253C8" w:rsidRPr="00235A28">
        <w:rPr>
          <w:b/>
          <w:bCs/>
          <w:iCs/>
        </w:rPr>
        <w:t>.</w:t>
      </w:r>
      <w:r w:rsidRPr="00235A28">
        <w:rPr>
          <w:b/>
          <w:bCs/>
          <w:iCs/>
        </w:rPr>
        <w:t>1</w:t>
      </w:r>
      <w:r w:rsidR="00E253C8" w:rsidRPr="00235A28">
        <w:rPr>
          <w:b/>
          <w:bCs/>
          <w:iCs/>
        </w:rPr>
        <w:tab/>
        <w:t>T</w:t>
      </w:r>
      <w:r w:rsidR="00E253C8" w:rsidRPr="00235A28">
        <w:rPr>
          <w:b/>
        </w:rPr>
        <w:t>oplanan fonlara ilişkin bilgiler:</w:t>
      </w:r>
    </w:p>
    <w:p w14:paraId="6F42ED14" w14:textId="77777777" w:rsidR="000F096F" w:rsidRPr="00235A28" w:rsidRDefault="000F096F" w:rsidP="000F096F">
      <w:pPr>
        <w:autoSpaceDE w:val="0"/>
        <w:autoSpaceDN w:val="0"/>
        <w:adjustRightInd w:val="0"/>
        <w:ind w:left="360" w:hanging="360"/>
        <w:rPr>
          <w:b/>
          <w:bCs/>
          <w:iCs/>
          <w:sz w:val="8"/>
          <w:szCs w:val="16"/>
        </w:rPr>
      </w:pPr>
    </w:p>
    <w:p w14:paraId="758E0B21" w14:textId="77777777" w:rsidR="000F096F" w:rsidRPr="00235A28" w:rsidRDefault="00D12DB1" w:rsidP="0003142E">
      <w:pPr>
        <w:tabs>
          <w:tab w:val="left" w:pos="709"/>
        </w:tabs>
        <w:autoSpaceDE w:val="0"/>
        <w:autoSpaceDN w:val="0"/>
        <w:adjustRightInd w:val="0"/>
        <w:ind w:hanging="567"/>
        <w:rPr>
          <w:rFonts w:eastAsia="Arial Unicode MS"/>
        </w:rPr>
      </w:pPr>
      <w:r w:rsidRPr="00235A28">
        <w:rPr>
          <w:rFonts w:eastAsia="Arial Unicode MS"/>
          <w:b/>
        </w:rPr>
        <w:t>2.</w:t>
      </w:r>
      <w:r w:rsidR="00E253C8" w:rsidRPr="00235A28">
        <w:rPr>
          <w:rFonts w:eastAsia="Arial Unicode MS"/>
          <w:b/>
        </w:rPr>
        <w:t>1.</w:t>
      </w:r>
      <w:r w:rsidRPr="00235A28">
        <w:rPr>
          <w:rFonts w:eastAsia="Arial Unicode MS"/>
          <w:b/>
        </w:rPr>
        <w:t>1</w:t>
      </w:r>
      <w:r w:rsidR="00E253C8" w:rsidRPr="00235A28">
        <w:rPr>
          <w:rFonts w:eastAsia="Arial Unicode MS"/>
        </w:rPr>
        <w:tab/>
        <w:t>Toplanan fonların vade yapısına ilişkin bilgiler:</w:t>
      </w:r>
    </w:p>
    <w:p w14:paraId="0608384E" w14:textId="55166974" w:rsidR="00235A28" w:rsidRPr="00235A28" w:rsidRDefault="00235A28" w:rsidP="000F096F">
      <w:pPr>
        <w:pStyle w:val="EndnoteText"/>
        <w:autoSpaceDE w:val="0"/>
        <w:autoSpaceDN w:val="0"/>
        <w:adjustRightInd w:val="0"/>
        <w:rPr>
          <w:lang w:val="en-GB" w:eastAsia="en-GB"/>
        </w:rPr>
      </w:pPr>
    </w:p>
    <w:tbl>
      <w:tblPr>
        <w:tblW w:w="9905" w:type="dxa"/>
        <w:tblCellMar>
          <w:left w:w="70" w:type="dxa"/>
          <w:right w:w="70" w:type="dxa"/>
        </w:tblCellMar>
        <w:tblLook w:val="04A0" w:firstRow="1" w:lastRow="0" w:firstColumn="1" w:lastColumn="0" w:noHBand="0" w:noVBand="1"/>
      </w:tblPr>
      <w:tblGrid>
        <w:gridCol w:w="3408"/>
        <w:gridCol w:w="775"/>
        <w:gridCol w:w="774"/>
        <w:gridCol w:w="774"/>
        <w:gridCol w:w="717"/>
        <w:gridCol w:w="498"/>
        <w:gridCol w:w="717"/>
        <w:gridCol w:w="717"/>
        <w:gridCol w:w="685"/>
        <w:gridCol w:w="840"/>
      </w:tblGrid>
      <w:tr w:rsidR="00235A28" w:rsidRPr="00235A28" w14:paraId="63AFB502" w14:textId="77777777" w:rsidTr="00BA637F">
        <w:trPr>
          <w:divId w:val="367950772"/>
          <w:trHeight w:val="253"/>
        </w:trPr>
        <w:tc>
          <w:tcPr>
            <w:tcW w:w="3408" w:type="dxa"/>
            <w:vMerge w:val="restart"/>
            <w:tcBorders>
              <w:top w:val="single" w:sz="8" w:space="0" w:color="000000"/>
              <w:left w:val="nil"/>
              <w:bottom w:val="single" w:sz="8" w:space="0" w:color="000000"/>
              <w:right w:val="nil"/>
            </w:tcBorders>
            <w:shd w:val="clear" w:color="auto" w:fill="auto"/>
            <w:vAlign w:val="center"/>
            <w:hideMark/>
          </w:tcPr>
          <w:p w14:paraId="64F1D4BB" w14:textId="7C167EB7" w:rsidR="00235A28" w:rsidRPr="00235A28" w:rsidRDefault="00235A28" w:rsidP="00235A28">
            <w:pPr>
              <w:rPr>
                <w:b/>
                <w:bCs/>
                <w:color w:val="000000"/>
                <w:sz w:val="14"/>
                <w:szCs w:val="14"/>
                <w:lang w:eastAsia="tr-TR"/>
              </w:rPr>
            </w:pPr>
            <w:r w:rsidRPr="00235A28">
              <w:rPr>
                <w:b/>
                <w:bCs/>
                <w:iCs/>
                <w:color w:val="000000"/>
                <w:sz w:val="14"/>
                <w:szCs w:val="14"/>
                <w:lang w:eastAsia="tr-TR"/>
              </w:rPr>
              <w:t>Cari dönem</w:t>
            </w:r>
          </w:p>
        </w:tc>
        <w:tc>
          <w:tcPr>
            <w:tcW w:w="775" w:type="dxa"/>
            <w:vMerge w:val="restart"/>
            <w:tcBorders>
              <w:top w:val="single" w:sz="8" w:space="0" w:color="000000"/>
              <w:left w:val="nil"/>
              <w:bottom w:val="single" w:sz="8" w:space="0" w:color="000000"/>
              <w:right w:val="nil"/>
            </w:tcBorders>
            <w:shd w:val="clear" w:color="auto" w:fill="auto"/>
            <w:vAlign w:val="center"/>
            <w:hideMark/>
          </w:tcPr>
          <w:p w14:paraId="2C7AEAF8" w14:textId="77777777" w:rsidR="00235A28" w:rsidRPr="00235A28" w:rsidRDefault="00235A28" w:rsidP="00235A28">
            <w:pPr>
              <w:jc w:val="right"/>
              <w:rPr>
                <w:b/>
                <w:bCs/>
                <w:color w:val="000000"/>
                <w:sz w:val="14"/>
                <w:szCs w:val="14"/>
                <w:lang w:eastAsia="tr-TR"/>
              </w:rPr>
            </w:pPr>
            <w:r w:rsidRPr="00235A28">
              <w:rPr>
                <w:b/>
                <w:bCs/>
                <w:color w:val="000000"/>
                <w:sz w:val="14"/>
                <w:szCs w:val="14"/>
                <w:lang w:eastAsia="tr-TR"/>
              </w:rPr>
              <w:t>Vadesiz</w:t>
            </w:r>
          </w:p>
        </w:tc>
        <w:tc>
          <w:tcPr>
            <w:tcW w:w="774" w:type="dxa"/>
            <w:vMerge w:val="restart"/>
            <w:tcBorders>
              <w:top w:val="single" w:sz="8" w:space="0" w:color="000000"/>
              <w:left w:val="nil"/>
              <w:bottom w:val="single" w:sz="8" w:space="0" w:color="000000"/>
              <w:right w:val="nil"/>
            </w:tcBorders>
            <w:shd w:val="clear" w:color="auto" w:fill="auto"/>
            <w:vAlign w:val="center"/>
            <w:hideMark/>
          </w:tcPr>
          <w:p w14:paraId="0294E831" w14:textId="77777777" w:rsidR="00235A28" w:rsidRPr="00235A28" w:rsidRDefault="00235A28" w:rsidP="00235A28">
            <w:pPr>
              <w:jc w:val="right"/>
              <w:rPr>
                <w:b/>
                <w:bCs/>
                <w:color w:val="000000"/>
                <w:sz w:val="14"/>
                <w:szCs w:val="14"/>
                <w:lang w:eastAsia="tr-TR"/>
              </w:rPr>
            </w:pPr>
            <w:r w:rsidRPr="00235A28">
              <w:rPr>
                <w:b/>
                <w:bCs/>
                <w:color w:val="000000"/>
                <w:sz w:val="14"/>
                <w:szCs w:val="14"/>
                <w:lang w:eastAsia="tr-TR"/>
              </w:rPr>
              <w:t>1 aya kadar</w:t>
            </w:r>
          </w:p>
        </w:tc>
        <w:tc>
          <w:tcPr>
            <w:tcW w:w="774" w:type="dxa"/>
            <w:vMerge w:val="restart"/>
            <w:tcBorders>
              <w:top w:val="single" w:sz="8" w:space="0" w:color="000000"/>
              <w:left w:val="nil"/>
              <w:bottom w:val="single" w:sz="8" w:space="0" w:color="000000"/>
              <w:right w:val="nil"/>
            </w:tcBorders>
            <w:shd w:val="clear" w:color="auto" w:fill="auto"/>
            <w:vAlign w:val="center"/>
            <w:hideMark/>
          </w:tcPr>
          <w:p w14:paraId="259C46D7" w14:textId="77777777" w:rsidR="00235A28" w:rsidRPr="00235A28" w:rsidRDefault="00235A28" w:rsidP="00235A28">
            <w:pPr>
              <w:jc w:val="right"/>
              <w:rPr>
                <w:b/>
                <w:bCs/>
                <w:color w:val="000000"/>
                <w:sz w:val="14"/>
                <w:szCs w:val="14"/>
                <w:lang w:eastAsia="tr-TR"/>
              </w:rPr>
            </w:pPr>
            <w:r w:rsidRPr="00235A28">
              <w:rPr>
                <w:b/>
                <w:bCs/>
                <w:color w:val="000000"/>
                <w:sz w:val="14"/>
                <w:szCs w:val="14"/>
                <w:lang w:eastAsia="tr-TR"/>
              </w:rPr>
              <w:t>3 aya kadar</w:t>
            </w:r>
          </w:p>
        </w:tc>
        <w:tc>
          <w:tcPr>
            <w:tcW w:w="717" w:type="dxa"/>
            <w:vMerge w:val="restart"/>
            <w:tcBorders>
              <w:top w:val="single" w:sz="8" w:space="0" w:color="000000"/>
              <w:left w:val="nil"/>
              <w:bottom w:val="single" w:sz="8" w:space="0" w:color="000000"/>
              <w:right w:val="nil"/>
            </w:tcBorders>
            <w:shd w:val="clear" w:color="auto" w:fill="auto"/>
            <w:vAlign w:val="center"/>
            <w:hideMark/>
          </w:tcPr>
          <w:p w14:paraId="775671EF" w14:textId="77777777" w:rsidR="00235A28" w:rsidRPr="00235A28" w:rsidRDefault="00235A28" w:rsidP="00235A28">
            <w:pPr>
              <w:jc w:val="right"/>
              <w:rPr>
                <w:b/>
                <w:bCs/>
                <w:color w:val="000000"/>
                <w:sz w:val="14"/>
                <w:szCs w:val="14"/>
                <w:lang w:eastAsia="tr-TR"/>
              </w:rPr>
            </w:pPr>
            <w:r w:rsidRPr="00235A28">
              <w:rPr>
                <w:b/>
                <w:bCs/>
                <w:color w:val="000000"/>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4A5DC7C6" w14:textId="77777777" w:rsidR="00235A28" w:rsidRPr="00235A28" w:rsidRDefault="00235A28" w:rsidP="00235A28">
            <w:pPr>
              <w:jc w:val="right"/>
              <w:rPr>
                <w:b/>
                <w:bCs/>
                <w:color w:val="000000"/>
                <w:sz w:val="14"/>
                <w:szCs w:val="14"/>
                <w:lang w:eastAsia="tr-TR"/>
              </w:rPr>
            </w:pPr>
            <w:r w:rsidRPr="00235A28">
              <w:rPr>
                <w:b/>
                <w:bCs/>
                <w:color w:val="000000"/>
                <w:sz w:val="14"/>
                <w:szCs w:val="14"/>
                <w:lang w:eastAsia="tr-TR"/>
              </w:rPr>
              <w:t>9 aya kadar</w:t>
            </w:r>
          </w:p>
        </w:tc>
        <w:tc>
          <w:tcPr>
            <w:tcW w:w="717" w:type="dxa"/>
            <w:vMerge w:val="restart"/>
            <w:tcBorders>
              <w:top w:val="single" w:sz="8" w:space="0" w:color="000000"/>
              <w:left w:val="nil"/>
              <w:bottom w:val="single" w:sz="8" w:space="0" w:color="000000"/>
              <w:right w:val="nil"/>
            </w:tcBorders>
            <w:shd w:val="clear" w:color="auto" w:fill="auto"/>
            <w:vAlign w:val="center"/>
            <w:hideMark/>
          </w:tcPr>
          <w:p w14:paraId="0AC5CAC7" w14:textId="77777777" w:rsidR="00235A28" w:rsidRPr="00235A28" w:rsidRDefault="00235A28" w:rsidP="00235A28">
            <w:pPr>
              <w:jc w:val="right"/>
              <w:rPr>
                <w:b/>
                <w:bCs/>
                <w:color w:val="000000"/>
                <w:sz w:val="14"/>
                <w:szCs w:val="14"/>
                <w:lang w:eastAsia="tr-TR"/>
              </w:rPr>
            </w:pPr>
            <w:r w:rsidRPr="00235A28">
              <w:rPr>
                <w:b/>
                <w:bCs/>
                <w:color w:val="000000"/>
                <w:sz w:val="14"/>
                <w:szCs w:val="14"/>
                <w:lang w:eastAsia="tr-TR"/>
              </w:rPr>
              <w:t>1 yıla kadar</w:t>
            </w:r>
          </w:p>
        </w:tc>
        <w:tc>
          <w:tcPr>
            <w:tcW w:w="717" w:type="dxa"/>
            <w:vMerge w:val="restart"/>
            <w:tcBorders>
              <w:top w:val="single" w:sz="8" w:space="0" w:color="000000"/>
              <w:left w:val="nil"/>
              <w:bottom w:val="single" w:sz="8" w:space="0" w:color="000000"/>
              <w:right w:val="nil"/>
            </w:tcBorders>
            <w:shd w:val="clear" w:color="auto" w:fill="auto"/>
            <w:vAlign w:val="center"/>
            <w:hideMark/>
          </w:tcPr>
          <w:p w14:paraId="6100F195" w14:textId="77777777" w:rsidR="00235A28" w:rsidRPr="00235A28" w:rsidRDefault="00235A28" w:rsidP="00235A28">
            <w:pPr>
              <w:jc w:val="right"/>
              <w:rPr>
                <w:b/>
                <w:bCs/>
                <w:color w:val="000000"/>
                <w:sz w:val="14"/>
                <w:szCs w:val="14"/>
                <w:lang w:eastAsia="tr-TR"/>
              </w:rPr>
            </w:pPr>
            <w:r w:rsidRPr="00235A28">
              <w:rPr>
                <w:b/>
                <w:bCs/>
                <w:color w:val="000000"/>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7C40D14B" w14:textId="77777777" w:rsidR="00235A28" w:rsidRPr="00235A28" w:rsidRDefault="00235A28" w:rsidP="00235A28">
            <w:pPr>
              <w:jc w:val="right"/>
              <w:rPr>
                <w:b/>
                <w:bCs/>
                <w:color w:val="000000"/>
                <w:sz w:val="14"/>
                <w:szCs w:val="14"/>
                <w:lang w:eastAsia="tr-TR"/>
              </w:rPr>
            </w:pPr>
            <w:r w:rsidRPr="00235A28">
              <w:rPr>
                <w:b/>
                <w:bCs/>
                <w:color w:val="000000"/>
                <w:sz w:val="14"/>
                <w:szCs w:val="14"/>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5DAA273A" w14:textId="77777777" w:rsidR="00235A28" w:rsidRPr="00235A28" w:rsidRDefault="00235A28" w:rsidP="00235A28">
            <w:pPr>
              <w:jc w:val="right"/>
              <w:rPr>
                <w:b/>
                <w:bCs/>
                <w:color w:val="000000"/>
                <w:sz w:val="14"/>
                <w:szCs w:val="14"/>
                <w:lang w:eastAsia="tr-TR"/>
              </w:rPr>
            </w:pPr>
            <w:r w:rsidRPr="00235A28">
              <w:rPr>
                <w:b/>
                <w:bCs/>
                <w:color w:val="000000"/>
                <w:sz w:val="14"/>
                <w:szCs w:val="14"/>
                <w:lang w:eastAsia="tr-TR"/>
              </w:rPr>
              <w:t>Toplam</w:t>
            </w:r>
          </w:p>
        </w:tc>
      </w:tr>
      <w:tr w:rsidR="00235A28" w:rsidRPr="00235A28" w14:paraId="0126CB2F" w14:textId="77777777" w:rsidTr="00BA637F">
        <w:trPr>
          <w:divId w:val="367950772"/>
          <w:trHeight w:val="232"/>
        </w:trPr>
        <w:tc>
          <w:tcPr>
            <w:tcW w:w="3408" w:type="dxa"/>
            <w:vMerge/>
            <w:tcBorders>
              <w:top w:val="single" w:sz="8" w:space="0" w:color="000000"/>
              <w:left w:val="nil"/>
              <w:bottom w:val="single" w:sz="8" w:space="0" w:color="000000"/>
              <w:right w:val="nil"/>
            </w:tcBorders>
            <w:vAlign w:val="center"/>
            <w:hideMark/>
          </w:tcPr>
          <w:p w14:paraId="66BFFEDE" w14:textId="77777777" w:rsidR="00235A28" w:rsidRPr="00235A28" w:rsidRDefault="00235A28" w:rsidP="00235A28">
            <w:pPr>
              <w:rPr>
                <w:b/>
                <w:bCs/>
                <w:color w:val="000000"/>
                <w:sz w:val="14"/>
                <w:szCs w:val="14"/>
                <w:lang w:eastAsia="tr-TR"/>
              </w:rPr>
            </w:pPr>
          </w:p>
        </w:tc>
        <w:tc>
          <w:tcPr>
            <w:tcW w:w="775" w:type="dxa"/>
            <w:vMerge/>
            <w:tcBorders>
              <w:top w:val="single" w:sz="8" w:space="0" w:color="000000"/>
              <w:left w:val="nil"/>
              <w:bottom w:val="single" w:sz="8" w:space="0" w:color="000000"/>
              <w:right w:val="nil"/>
            </w:tcBorders>
            <w:vAlign w:val="center"/>
            <w:hideMark/>
          </w:tcPr>
          <w:p w14:paraId="6EA16F20" w14:textId="77777777" w:rsidR="00235A28" w:rsidRPr="00235A28" w:rsidRDefault="00235A28" w:rsidP="00235A28">
            <w:pPr>
              <w:jc w:val="right"/>
              <w:rPr>
                <w:b/>
                <w:bCs/>
                <w:color w:val="000000"/>
                <w:sz w:val="14"/>
                <w:szCs w:val="14"/>
                <w:lang w:eastAsia="tr-TR"/>
              </w:rPr>
            </w:pPr>
          </w:p>
        </w:tc>
        <w:tc>
          <w:tcPr>
            <w:tcW w:w="774" w:type="dxa"/>
            <w:vMerge/>
            <w:tcBorders>
              <w:top w:val="single" w:sz="8" w:space="0" w:color="000000"/>
              <w:left w:val="nil"/>
              <w:bottom w:val="single" w:sz="8" w:space="0" w:color="000000"/>
              <w:right w:val="nil"/>
            </w:tcBorders>
            <w:vAlign w:val="center"/>
            <w:hideMark/>
          </w:tcPr>
          <w:p w14:paraId="42310EB8" w14:textId="77777777" w:rsidR="00235A28" w:rsidRPr="00235A28" w:rsidRDefault="00235A28" w:rsidP="00235A28">
            <w:pPr>
              <w:jc w:val="right"/>
              <w:rPr>
                <w:b/>
                <w:bCs/>
                <w:color w:val="000000"/>
                <w:sz w:val="14"/>
                <w:szCs w:val="14"/>
                <w:lang w:eastAsia="tr-TR"/>
              </w:rPr>
            </w:pPr>
          </w:p>
        </w:tc>
        <w:tc>
          <w:tcPr>
            <w:tcW w:w="774" w:type="dxa"/>
            <w:vMerge/>
            <w:tcBorders>
              <w:top w:val="single" w:sz="8" w:space="0" w:color="000000"/>
              <w:left w:val="nil"/>
              <w:bottom w:val="single" w:sz="8" w:space="0" w:color="000000"/>
              <w:right w:val="nil"/>
            </w:tcBorders>
            <w:vAlign w:val="center"/>
            <w:hideMark/>
          </w:tcPr>
          <w:p w14:paraId="6F0E787D" w14:textId="77777777" w:rsidR="00235A28" w:rsidRPr="00235A28" w:rsidRDefault="00235A28" w:rsidP="00235A28">
            <w:pPr>
              <w:jc w:val="right"/>
              <w:rPr>
                <w:b/>
                <w:bCs/>
                <w:color w:val="000000"/>
                <w:sz w:val="14"/>
                <w:szCs w:val="14"/>
                <w:lang w:eastAsia="tr-TR"/>
              </w:rPr>
            </w:pPr>
          </w:p>
        </w:tc>
        <w:tc>
          <w:tcPr>
            <w:tcW w:w="717" w:type="dxa"/>
            <w:vMerge/>
            <w:tcBorders>
              <w:top w:val="single" w:sz="8" w:space="0" w:color="000000"/>
              <w:left w:val="nil"/>
              <w:bottom w:val="single" w:sz="8" w:space="0" w:color="000000"/>
              <w:right w:val="nil"/>
            </w:tcBorders>
            <w:vAlign w:val="center"/>
            <w:hideMark/>
          </w:tcPr>
          <w:p w14:paraId="193156D6" w14:textId="77777777" w:rsidR="00235A28" w:rsidRPr="00235A28" w:rsidRDefault="00235A28" w:rsidP="00235A28">
            <w:pPr>
              <w:jc w:val="right"/>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14DD1A4C" w14:textId="77777777" w:rsidR="00235A28" w:rsidRPr="00235A28" w:rsidRDefault="00235A28" w:rsidP="00235A28">
            <w:pPr>
              <w:jc w:val="right"/>
              <w:rPr>
                <w:b/>
                <w:bCs/>
                <w:color w:val="000000"/>
                <w:sz w:val="14"/>
                <w:szCs w:val="14"/>
                <w:lang w:eastAsia="tr-TR"/>
              </w:rPr>
            </w:pPr>
          </w:p>
        </w:tc>
        <w:tc>
          <w:tcPr>
            <w:tcW w:w="717" w:type="dxa"/>
            <w:vMerge/>
            <w:tcBorders>
              <w:top w:val="single" w:sz="8" w:space="0" w:color="000000"/>
              <w:left w:val="nil"/>
              <w:bottom w:val="single" w:sz="8" w:space="0" w:color="000000"/>
              <w:right w:val="nil"/>
            </w:tcBorders>
            <w:vAlign w:val="center"/>
            <w:hideMark/>
          </w:tcPr>
          <w:p w14:paraId="0146A530" w14:textId="77777777" w:rsidR="00235A28" w:rsidRPr="00235A28" w:rsidRDefault="00235A28" w:rsidP="00235A28">
            <w:pPr>
              <w:jc w:val="right"/>
              <w:rPr>
                <w:b/>
                <w:bCs/>
                <w:color w:val="000000"/>
                <w:sz w:val="14"/>
                <w:szCs w:val="14"/>
                <w:lang w:eastAsia="tr-TR"/>
              </w:rPr>
            </w:pPr>
          </w:p>
        </w:tc>
        <w:tc>
          <w:tcPr>
            <w:tcW w:w="717" w:type="dxa"/>
            <w:vMerge/>
            <w:tcBorders>
              <w:top w:val="single" w:sz="8" w:space="0" w:color="000000"/>
              <w:left w:val="nil"/>
              <w:bottom w:val="single" w:sz="8" w:space="0" w:color="000000"/>
              <w:right w:val="nil"/>
            </w:tcBorders>
            <w:vAlign w:val="center"/>
            <w:hideMark/>
          </w:tcPr>
          <w:p w14:paraId="0E3BD22C" w14:textId="77777777" w:rsidR="00235A28" w:rsidRPr="00235A28" w:rsidRDefault="00235A28" w:rsidP="00235A28">
            <w:pPr>
              <w:jc w:val="right"/>
              <w:rPr>
                <w:b/>
                <w:bCs/>
                <w:color w:val="000000"/>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27FA8A26" w14:textId="77777777" w:rsidR="00235A28" w:rsidRPr="00235A28" w:rsidRDefault="00235A28" w:rsidP="00235A28">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5192A091" w14:textId="77777777" w:rsidR="00235A28" w:rsidRPr="00235A28" w:rsidRDefault="00235A28" w:rsidP="00235A28">
            <w:pPr>
              <w:jc w:val="right"/>
              <w:rPr>
                <w:b/>
                <w:bCs/>
                <w:color w:val="000000"/>
                <w:sz w:val="14"/>
                <w:szCs w:val="14"/>
                <w:lang w:eastAsia="tr-TR"/>
              </w:rPr>
            </w:pPr>
          </w:p>
        </w:tc>
      </w:tr>
      <w:tr w:rsidR="00235A28" w:rsidRPr="00235A28" w14:paraId="2CE3B0C1" w14:textId="77777777" w:rsidTr="00BA637F">
        <w:trPr>
          <w:divId w:val="367950772"/>
          <w:trHeight w:val="266"/>
        </w:trPr>
        <w:tc>
          <w:tcPr>
            <w:tcW w:w="3408" w:type="dxa"/>
            <w:vMerge/>
            <w:tcBorders>
              <w:top w:val="single" w:sz="8" w:space="0" w:color="000000"/>
              <w:left w:val="nil"/>
              <w:bottom w:val="single" w:sz="8" w:space="0" w:color="000000"/>
              <w:right w:val="nil"/>
            </w:tcBorders>
            <w:vAlign w:val="center"/>
            <w:hideMark/>
          </w:tcPr>
          <w:p w14:paraId="484D8677" w14:textId="77777777" w:rsidR="00235A28" w:rsidRPr="00235A28" w:rsidRDefault="00235A28" w:rsidP="00235A28">
            <w:pPr>
              <w:rPr>
                <w:b/>
                <w:bCs/>
                <w:color w:val="000000"/>
                <w:sz w:val="14"/>
                <w:szCs w:val="14"/>
                <w:lang w:eastAsia="tr-TR"/>
              </w:rPr>
            </w:pPr>
          </w:p>
        </w:tc>
        <w:tc>
          <w:tcPr>
            <w:tcW w:w="775" w:type="dxa"/>
            <w:vMerge/>
            <w:tcBorders>
              <w:top w:val="single" w:sz="8" w:space="0" w:color="000000"/>
              <w:left w:val="nil"/>
              <w:bottom w:val="single" w:sz="8" w:space="0" w:color="000000"/>
              <w:right w:val="nil"/>
            </w:tcBorders>
            <w:vAlign w:val="center"/>
            <w:hideMark/>
          </w:tcPr>
          <w:p w14:paraId="612C6C81" w14:textId="77777777" w:rsidR="00235A28" w:rsidRPr="00235A28" w:rsidRDefault="00235A28" w:rsidP="00235A28">
            <w:pPr>
              <w:jc w:val="right"/>
              <w:rPr>
                <w:b/>
                <w:bCs/>
                <w:color w:val="000000"/>
                <w:sz w:val="14"/>
                <w:szCs w:val="14"/>
                <w:lang w:eastAsia="tr-TR"/>
              </w:rPr>
            </w:pPr>
          </w:p>
        </w:tc>
        <w:tc>
          <w:tcPr>
            <w:tcW w:w="774" w:type="dxa"/>
            <w:vMerge/>
            <w:tcBorders>
              <w:top w:val="single" w:sz="8" w:space="0" w:color="000000"/>
              <w:left w:val="nil"/>
              <w:bottom w:val="single" w:sz="8" w:space="0" w:color="000000"/>
              <w:right w:val="nil"/>
            </w:tcBorders>
            <w:vAlign w:val="center"/>
            <w:hideMark/>
          </w:tcPr>
          <w:p w14:paraId="004B7E0A" w14:textId="77777777" w:rsidR="00235A28" w:rsidRPr="00235A28" w:rsidRDefault="00235A28" w:rsidP="00235A28">
            <w:pPr>
              <w:jc w:val="right"/>
              <w:rPr>
                <w:b/>
                <w:bCs/>
                <w:color w:val="000000"/>
                <w:sz w:val="14"/>
                <w:szCs w:val="14"/>
                <w:lang w:eastAsia="tr-TR"/>
              </w:rPr>
            </w:pPr>
          </w:p>
        </w:tc>
        <w:tc>
          <w:tcPr>
            <w:tcW w:w="774" w:type="dxa"/>
            <w:vMerge/>
            <w:tcBorders>
              <w:top w:val="single" w:sz="8" w:space="0" w:color="000000"/>
              <w:left w:val="nil"/>
              <w:bottom w:val="single" w:sz="8" w:space="0" w:color="000000"/>
              <w:right w:val="nil"/>
            </w:tcBorders>
            <w:vAlign w:val="center"/>
            <w:hideMark/>
          </w:tcPr>
          <w:p w14:paraId="6B2EEBB2" w14:textId="77777777" w:rsidR="00235A28" w:rsidRPr="00235A28" w:rsidRDefault="00235A28" w:rsidP="00235A28">
            <w:pPr>
              <w:jc w:val="right"/>
              <w:rPr>
                <w:b/>
                <w:bCs/>
                <w:color w:val="000000"/>
                <w:sz w:val="14"/>
                <w:szCs w:val="14"/>
                <w:lang w:eastAsia="tr-TR"/>
              </w:rPr>
            </w:pPr>
          </w:p>
        </w:tc>
        <w:tc>
          <w:tcPr>
            <w:tcW w:w="717" w:type="dxa"/>
            <w:vMerge/>
            <w:tcBorders>
              <w:top w:val="single" w:sz="8" w:space="0" w:color="000000"/>
              <w:left w:val="nil"/>
              <w:bottom w:val="single" w:sz="8" w:space="0" w:color="000000"/>
              <w:right w:val="nil"/>
            </w:tcBorders>
            <w:vAlign w:val="center"/>
            <w:hideMark/>
          </w:tcPr>
          <w:p w14:paraId="0214F000" w14:textId="77777777" w:rsidR="00235A28" w:rsidRPr="00235A28" w:rsidRDefault="00235A28" w:rsidP="00235A28">
            <w:pPr>
              <w:jc w:val="right"/>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7847D3E3" w14:textId="77777777" w:rsidR="00235A28" w:rsidRPr="00235A28" w:rsidRDefault="00235A28" w:rsidP="00235A28">
            <w:pPr>
              <w:jc w:val="right"/>
              <w:rPr>
                <w:b/>
                <w:bCs/>
                <w:color w:val="000000"/>
                <w:sz w:val="14"/>
                <w:szCs w:val="14"/>
                <w:lang w:eastAsia="tr-TR"/>
              </w:rPr>
            </w:pPr>
          </w:p>
        </w:tc>
        <w:tc>
          <w:tcPr>
            <w:tcW w:w="717" w:type="dxa"/>
            <w:vMerge/>
            <w:tcBorders>
              <w:top w:val="single" w:sz="8" w:space="0" w:color="000000"/>
              <w:left w:val="nil"/>
              <w:bottom w:val="single" w:sz="8" w:space="0" w:color="000000"/>
              <w:right w:val="nil"/>
            </w:tcBorders>
            <w:vAlign w:val="center"/>
            <w:hideMark/>
          </w:tcPr>
          <w:p w14:paraId="7698ABE4" w14:textId="77777777" w:rsidR="00235A28" w:rsidRPr="00235A28" w:rsidRDefault="00235A28" w:rsidP="00235A28">
            <w:pPr>
              <w:jc w:val="right"/>
              <w:rPr>
                <w:b/>
                <w:bCs/>
                <w:color w:val="000000"/>
                <w:sz w:val="14"/>
                <w:szCs w:val="14"/>
                <w:lang w:eastAsia="tr-TR"/>
              </w:rPr>
            </w:pPr>
          </w:p>
        </w:tc>
        <w:tc>
          <w:tcPr>
            <w:tcW w:w="717" w:type="dxa"/>
            <w:vMerge/>
            <w:tcBorders>
              <w:top w:val="single" w:sz="8" w:space="0" w:color="000000"/>
              <w:left w:val="nil"/>
              <w:bottom w:val="single" w:sz="8" w:space="0" w:color="000000"/>
              <w:right w:val="nil"/>
            </w:tcBorders>
            <w:vAlign w:val="center"/>
            <w:hideMark/>
          </w:tcPr>
          <w:p w14:paraId="5A07477B" w14:textId="77777777" w:rsidR="00235A28" w:rsidRPr="00235A28" w:rsidRDefault="00235A28" w:rsidP="00235A28">
            <w:pPr>
              <w:jc w:val="right"/>
              <w:rPr>
                <w:b/>
                <w:bCs/>
                <w:color w:val="000000"/>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644E2B0C" w14:textId="77777777" w:rsidR="00235A28" w:rsidRPr="00235A28" w:rsidRDefault="00235A28" w:rsidP="00235A28">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25D664BF" w14:textId="77777777" w:rsidR="00235A28" w:rsidRPr="00235A28" w:rsidRDefault="00235A28" w:rsidP="00235A28">
            <w:pPr>
              <w:jc w:val="right"/>
              <w:rPr>
                <w:b/>
                <w:bCs/>
                <w:color w:val="000000"/>
                <w:sz w:val="14"/>
                <w:szCs w:val="14"/>
                <w:lang w:eastAsia="tr-TR"/>
              </w:rPr>
            </w:pPr>
          </w:p>
        </w:tc>
      </w:tr>
      <w:tr w:rsidR="00235A28" w:rsidRPr="00235A28" w14:paraId="23E04D8B" w14:textId="77777777" w:rsidTr="00BA637F">
        <w:trPr>
          <w:divId w:val="367950772"/>
          <w:trHeight w:val="266"/>
        </w:trPr>
        <w:tc>
          <w:tcPr>
            <w:tcW w:w="3408" w:type="dxa"/>
            <w:tcBorders>
              <w:top w:val="nil"/>
              <w:left w:val="nil"/>
              <w:bottom w:val="nil"/>
              <w:right w:val="nil"/>
            </w:tcBorders>
            <w:shd w:val="clear" w:color="auto" w:fill="auto"/>
            <w:vAlign w:val="center"/>
            <w:hideMark/>
          </w:tcPr>
          <w:p w14:paraId="3600ACE3" w14:textId="77777777" w:rsidR="00235A28" w:rsidRPr="00235A28" w:rsidRDefault="00235A28" w:rsidP="00235A28">
            <w:pPr>
              <w:rPr>
                <w:b/>
                <w:bCs/>
                <w:color w:val="000000"/>
                <w:sz w:val="14"/>
                <w:szCs w:val="14"/>
                <w:lang w:eastAsia="tr-TR"/>
              </w:rPr>
            </w:pPr>
          </w:p>
        </w:tc>
        <w:tc>
          <w:tcPr>
            <w:tcW w:w="775" w:type="dxa"/>
            <w:tcBorders>
              <w:top w:val="nil"/>
              <w:left w:val="nil"/>
              <w:bottom w:val="nil"/>
              <w:right w:val="nil"/>
            </w:tcBorders>
            <w:shd w:val="clear" w:color="auto" w:fill="auto"/>
            <w:vAlign w:val="center"/>
            <w:hideMark/>
          </w:tcPr>
          <w:p w14:paraId="52F552F6" w14:textId="77777777" w:rsidR="00235A28" w:rsidRPr="00235A28" w:rsidRDefault="00235A28" w:rsidP="00235A28">
            <w:pPr>
              <w:jc w:val="right"/>
              <w:rPr>
                <w:sz w:val="14"/>
                <w:lang w:eastAsia="tr-TR"/>
              </w:rPr>
            </w:pPr>
          </w:p>
        </w:tc>
        <w:tc>
          <w:tcPr>
            <w:tcW w:w="774" w:type="dxa"/>
            <w:tcBorders>
              <w:top w:val="nil"/>
              <w:left w:val="nil"/>
              <w:bottom w:val="nil"/>
              <w:right w:val="nil"/>
            </w:tcBorders>
            <w:shd w:val="clear" w:color="auto" w:fill="auto"/>
            <w:vAlign w:val="center"/>
            <w:hideMark/>
          </w:tcPr>
          <w:p w14:paraId="287C80AF" w14:textId="77777777" w:rsidR="00235A28" w:rsidRPr="00235A28" w:rsidRDefault="00235A28" w:rsidP="00235A28">
            <w:pPr>
              <w:jc w:val="right"/>
              <w:rPr>
                <w:sz w:val="14"/>
                <w:lang w:eastAsia="tr-TR"/>
              </w:rPr>
            </w:pPr>
          </w:p>
        </w:tc>
        <w:tc>
          <w:tcPr>
            <w:tcW w:w="774" w:type="dxa"/>
            <w:tcBorders>
              <w:top w:val="nil"/>
              <w:left w:val="nil"/>
              <w:bottom w:val="nil"/>
              <w:right w:val="nil"/>
            </w:tcBorders>
            <w:shd w:val="clear" w:color="auto" w:fill="auto"/>
            <w:vAlign w:val="center"/>
            <w:hideMark/>
          </w:tcPr>
          <w:p w14:paraId="4B6180D5" w14:textId="77777777" w:rsidR="00235A28" w:rsidRPr="00235A28" w:rsidRDefault="00235A28" w:rsidP="00235A28">
            <w:pPr>
              <w:jc w:val="right"/>
              <w:rPr>
                <w:sz w:val="14"/>
                <w:lang w:eastAsia="tr-TR"/>
              </w:rPr>
            </w:pPr>
          </w:p>
        </w:tc>
        <w:tc>
          <w:tcPr>
            <w:tcW w:w="717" w:type="dxa"/>
            <w:tcBorders>
              <w:top w:val="nil"/>
              <w:left w:val="nil"/>
              <w:bottom w:val="nil"/>
              <w:right w:val="nil"/>
            </w:tcBorders>
            <w:shd w:val="clear" w:color="auto" w:fill="auto"/>
            <w:vAlign w:val="center"/>
            <w:hideMark/>
          </w:tcPr>
          <w:p w14:paraId="76983B40" w14:textId="77777777" w:rsidR="00235A28" w:rsidRPr="00235A28" w:rsidRDefault="00235A28" w:rsidP="00235A28">
            <w:pPr>
              <w:jc w:val="right"/>
              <w:rPr>
                <w:sz w:val="14"/>
                <w:lang w:eastAsia="tr-TR"/>
              </w:rPr>
            </w:pPr>
          </w:p>
        </w:tc>
        <w:tc>
          <w:tcPr>
            <w:tcW w:w="498" w:type="dxa"/>
            <w:tcBorders>
              <w:top w:val="nil"/>
              <w:left w:val="nil"/>
              <w:bottom w:val="nil"/>
              <w:right w:val="nil"/>
            </w:tcBorders>
            <w:shd w:val="clear" w:color="auto" w:fill="auto"/>
            <w:vAlign w:val="center"/>
            <w:hideMark/>
          </w:tcPr>
          <w:p w14:paraId="4925F837" w14:textId="77777777" w:rsidR="00235A28" w:rsidRPr="00235A28" w:rsidRDefault="00235A28" w:rsidP="00235A28">
            <w:pPr>
              <w:jc w:val="right"/>
              <w:rPr>
                <w:sz w:val="14"/>
                <w:lang w:eastAsia="tr-TR"/>
              </w:rPr>
            </w:pPr>
          </w:p>
        </w:tc>
        <w:tc>
          <w:tcPr>
            <w:tcW w:w="717" w:type="dxa"/>
            <w:tcBorders>
              <w:top w:val="nil"/>
              <w:left w:val="nil"/>
              <w:bottom w:val="nil"/>
              <w:right w:val="nil"/>
            </w:tcBorders>
            <w:shd w:val="clear" w:color="auto" w:fill="auto"/>
            <w:vAlign w:val="center"/>
            <w:hideMark/>
          </w:tcPr>
          <w:p w14:paraId="50B03A75" w14:textId="77777777" w:rsidR="00235A28" w:rsidRPr="00235A28" w:rsidRDefault="00235A28" w:rsidP="00235A28">
            <w:pPr>
              <w:jc w:val="right"/>
              <w:rPr>
                <w:sz w:val="14"/>
                <w:lang w:eastAsia="tr-TR"/>
              </w:rPr>
            </w:pPr>
          </w:p>
        </w:tc>
        <w:tc>
          <w:tcPr>
            <w:tcW w:w="717" w:type="dxa"/>
            <w:tcBorders>
              <w:top w:val="nil"/>
              <w:left w:val="nil"/>
              <w:bottom w:val="nil"/>
              <w:right w:val="nil"/>
            </w:tcBorders>
            <w:shd w:val="clear" w:color="auto" w:fill="auto"/>
            <w:vAlign w:val="center"/>
            <w:hideMark/>
          </w:tcPr>
          <w:p w14:paraId="13BF8A9A" w14:textId="77777777" w:rsidR="00235A28" w:rsidRPr="00235A28" w:rsidRDefault="00235A28" w:rsidP="00235A28">
            <w:pPr>
              <w:jc w:val="right"/>
              <w:rPr>
                <w:sz w:val="14"/>
                <w:lang w:eastAsia="tr-TR"/>
              </w:rPr>
            </w:pPr>
          </w:p>
        </w:tc>
        <w:tc>
          <w:tcPr>
            <w:tcW w:w="685" w:type="dxa"/>
            <w:tcBorders>
              <w:top w:val="nil"/>
              <w:left w:val="nil"/>
              <w:bottom w:val="nil"/>
              <w:right w:val="nil"/>
            </w:tcBorders>
            <w:shd w:val="clear" w:color="auto" w:fill="auto"/>
            <w:vAlign w:val="center"/>
            <w:hideMark/>
          </w:tcPr>
          <w:p w14:paraId="3634DF3B" w14:textId="77777777" w:rsidR="00235A28" w:rsidRPr="00235A28" w:rsidRDefault="00235A28" w:rsidP="00235A28">
            <w:pPr>
              <w:jc w:val="right"/>
              <w:rPr>
                <w:sz w:val="14"/>
                <w:lang w:eastAsia="tr-TR"/>
              </w:rPr>
            </w:pPr>
          </w:p>
        </w:tc>
        <w:tc>
          <w:tcPr>
            <w:tcW w:w="840" w:type="dxa"/>
            <w:tcBorders>
              <w:top w:val="nil"/>
              <w:left w:val="nil"/>
              <w:bottom w:val="nil"/>
              <w:right w:val="nil"/>
            </w:tcBorders>
            <w:shd w:val="clear" w:color="auto" w:fill="auto"/>
            <w:vAlign w:val="center"/>
            <w:hideMark/>
          </w:tcPr>
          <w:p w14:paraId="2564B77F" w14:textId="77777777" w:rsidR="00235A28" w:rsidRPr="00235A28" w:rsidRDefault="00235A28" w:rsidP="00235A28">
            <w:pPr>
              <w:jc w:val="right"/>
              <w:rPr>
                <w:sz w:val="14"/>
                <w:lang w:eastAsia="tr-TR"/>
              </w:rPr>
            </w:pPr>
          </w:p>
        </w:tc>
      </w:tr>
      <w:tr w:rsidR="00235A28" w:rsidRPr="00235A28" w14:paraId="73317833" w14:textId="77777777" w:rsidTr="00BA637F">
        <w:trPr>
          <w:divId w:val="367950772"/>
          <w:trHeight w:val="202"/>
        </w:trPr>
        <w:tc>
          <w:tcPr>
            <w:tcW w:w="3408" w:type="dxa"/>
            <w:tcBorders>
              <w:top w:val="nil"/>
              <w:left w:val="nil"/>
              <w:bottom w:val="nil"/>
              <w:right w:val="nil"/>
            </w:tcBorders>
            <w:shd w:val="clear" w:color="auto" w:fill="auto"/>
            <w:vAlign w:val="center"/>
            <w:hideMark/>
          </w:tcPr>
          <w:p w14:paraId="6F0B8F21" w14:textId="77777777" w:rsidR="00235A28" w:rsidRPr="00235A28" w:rsidRDefault="00235A28" w:rsidP="00235A28">
            <w:pPr>
              <w:ind w:firstLineChars="100" w:firstLine="141"/>
              <w:rPr>
                <w:b/>
                <w:bCs/>
                <w:color w:val="000000"/>
                <w:sz w:val="14"/>
                <w:szCs w:val="14"/>
                <w:lang w:eastAsia="tr-TR"/>
              </w:rPr>
            </w:pPr>
            <w:r w:rsidRPr="00235A28">
              <w:rPr>
                <w:b/>
                <w:bCs/>
                <w:color w:val="000000"/>
                <w:sz w:val="14"/>
                <w:szCs w:val="14"/>
                <w:lang w:eastAsia="tr-TR"/>
              </w:rPr>
              <w:t>I. Özel cari hesabı gerçek kişi ticari olmayan-TP</w:t>
            </w:r>
          </w:p>
        </w:tc>
        <w:tc>
          <w:tcPr>
            <w:tcW w:w="775" w:type="dxa"/>
            <w:tcBorders>
              <w:top w:val="nil"/>
              <w:left w:val="nil"/>
              <w:bottom w:val="nil"/>
              <w:right w:val="nil"/>
            </w:tcBorders>
            <w:shd w:val="clear" w:color="auto" w:fill="auto"/>
            <w:vAlign w:val="center"/>
            <w:hideMark/>
          </w:tcPr>
          <w:p w14:paraId="297EE9B0" w14:textId="29E750D2" w:rsidR="00235A28" w:rsidRPr="00235A28" w:rsidRDefault="00235A28" w:rsidP="00235A28">
            <w:pPr>
              <w:jc w:val="right"/>
              <w:rPr>
                <w:b/>
                <w:bCs/>
                <w:color w:val="000000"/>
                <w:sz w:val="14"/>
                <w:szCs w:val="14"/>
                <w:lang w:eastAsia="tr-TR"/>
              </w:rPr>
            </w:pPr>
            <w:r w:rsidRPr="00235A28">
              <w:rPr>
                <w:b/>
                <w:bCs/>
                <w:color w:val="000000"/>
                <w:sz w:val="14"/>
                <w:szCs w:val="14"/>
                <w:lang w:eastAsia="tr-TR"/>
              </w:rPr>
              <w:t>11,399,905</w:t>
            </w:r>
          </w:p>
        </w:tc>
        <w:tc>
          <w:tcPr>
            <w:tcW w:w="774" w:type="dxa"/>
            <w:tcBorders>
              <w:top w:val="nil"/>
              <w:left w:val="nil"/>
              <w:bottom w:val="nil"/>
              <w:right w:val="nil"/>
            </w:tcBorders>
            <w:shd w:val="clear" w:color="auto" w:fill="auto"/>
            <w:vAlign w:val="center"/>
            <w:hideMark/>
          </w:tcPr>
          <w:p w14:paraId="04D7D2CB" w14:textId="6681D1A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66BE5EA8" w14:textId="5499FCB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042339D" w14:textId="2D23F92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6C2ED0B" w14:textId="12C6DE07"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F0CA520" w14:textId="2E59BFA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3278648" w14:textId="5E97339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E5740D6" w14:textId="1C905E9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45F32ED" w14:textId="094441E7" w:rsidR="00235A28" w:rsidRPr="00235A28" w:rsidRDefault="00235A28" w:rsidP="00235A28">
            <w:pPr>
              <w:jc w:val="right"/>
              <w:rPr>
                <w:b/>
                <w:bCs/>
                <w:color w:val="000000"/>
                <w:sz w:val="14"/>
                <w:szCs w:val="14"/>
                <w:lang w:eastAsia="tr-TR"/>
              </w:rPr>
            </w:pPr>
            <w:r w:rsidRPr="00235A28">
              <w:rPr>
                <w:b/>
                <w:bCs/>
                <w:color w:val="000000"/>
                <w:sz w:val="14"/>
                <w:szCs w:val="14"/>
                <w:lang w:eastAsia="tr-TR"/>
              </w:rPr>
              <w:t>11,399,905</w:t>
            </w:r>
          </w:p>
        </w:tc>
      </w:tr>
      <w:tr w:rsidR="00235A28" w:rsidRPr="00235A28" w14:paraId="35BFD826" w14:textId="77777777" w:rsidTr="00BA637F">
        <w:trPr>
          <w:divId w:val="367950772"/>
          <w:trHeight w:val="279"/>
        </w:trPr>
        <w:tc>
          <w:tcPr>
            <w:tcW w:w="3408" w:type="dxa"/>
            <w:tcBorders>
              <w:top w:val="nil"/>
              <w:left w:val="nil"/>
              <w:bottom w:val="nil"/>
              <w:right w:val="nil"/>
            </w:tcBorders>
            <w:shd w:val="clear" w:color="auto" w:fill="auto"/>
            <w:vAlign w:val="center"/>
            <w:hideMark/>
          </w:tcPr>
          <w:p w14:paraId="4BDD2F04" w14:textId="77777777" w:rsidR="00235A28" w:rsidRPr="00235A28" w:rsidRDefault="00235A28" w:rsidP="00235A28">
            <w:pPr>
              <w:ind w:firstLineChars="100" w:firstLine="140"/>
              <w:rPr>
                <w:b/>
                <w:bCs/>
                <w:color w:val="000000"/>
                <w:sz w:val="14"/>
                <w:szCs w:val="14"/>
                <w:lang w:eastAsia="tr-TR"/>
              </w:rPr>
            </w:pPr>
            <w:r w:rsidRPr="00235A28">
              <w:rPr>
                <w:rFonts w:eastAsia="Arial Unicode MS"/>
                <w:b/>
                <w:bCs/>
                <w:color w:val="000000"/>
                <w:sz w:val="14"/>
                <w:szCs w:val="14"/>
                <w:lang w:eastAsia="tr-TR"/>
              </w:rPr>
              <w:t>II. Katılma hesapları gerçek kişi ticari olmaya-TP</w:t>
            </w:r>
          </w:p>
        </w:tc>
        <w:tc>
          <w:tcPr>
            <w:tcW w:w="775" w:type="dxa"/>
            <w:tcBorders>
              <w:top w:val="nil"/>
              <w:left w:val="nil"/>
              <w:bottom w:val="nil"/>
              <w:right w:val="nil"/>
            </w:tcBorders>
            <w:shd w:val="clear" w:color="auto" w:fill="auto"/>
            <w:vAlign w:val="center"/>
            <w:hideMark/>
          </w:tcPr>
          <w:p w14:paraId="7F619B45" w14:textId="2C509A12"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5E8E98B5" w14:textId="6E5F451E" w:rsidR="00235A28" w:rsidRPr="00235A28" w:rsidRDefault="00235A28" w:rsidP="00235A28">
            <w:pPr>
              <w:jc w:val="right"/>
              <w:rPr>
                <w:b/>
                <w:bCs/>
                <w:color w:val="000000"/>
                <w:sz w:val="14"/>
                <w:szCs w:val="14"/>
                <w:lang w:eastAsia="tr-TR"/>
              </w:rPr>
            </w:pPr>
            <w:r w:rsidRPr="00235A28">
              <w:rPr>
                <w:b/>
                <w:bCs/>
                <w:color w:val="000000"/>
                <w:sz w:val="14"/>
                <w:szCs w:val="14"/>
                <w:lang w:eastAsia="tr-TR"/>
              </w:rPr>
              <w:t>6,902,963</w:t>
            </w:r>
          </w:p>
        </w:tc>
        <w:tc>
          <w:tcPr>
            <w:tcW w:w="774" w:type="dxa"/>
            <w:tcBorders>
              <w:top w:val="nil"/>
              <w:left w:val="nil"/>
              <w:bottom w:val="nil"/>
              <w:right w:val="nil"/>
            </w:tcBorders>
            <w:shd w:val="clear" w:color="auto" w:fill="auto"/>
            <w:vAlign w:val="center"/>
            <w:hideMark/>
          </w:tcPr>
          <w:p w14:paraId="1F852E4C" w14:textId="0365C2CD" w:rsidR="00235A28" w:rsidRPr="00235A28" w:rsidRDefault="00235A28" w:rsidP="00235A28">
            <w:pPr>
              <w:jc w:val="right"/>
              <w:rPr>
                <w:b/>
                <w:bCs/>
                <w:color w:val="000000"/>
                <w:sz w:val="14"/>
                <w:szCs w:val="14"/>
                <w:lang w:eastAsia="tr-TR"/>
              </w:rPr>
            </w:pPr>
            <w:r w:rsidRPr="00235A28">
              <w:rPr>
                <w:b/>
                <w:bCs/>
                <w:color w:val="000000"/>
                <w:sz w:val="14"/>
                <w:szCs w:val="14"/>
                <w:lang w:eastAsia="tr-TR"/>
              </w:rPr>
              <w:t>9,427,897</w:t>
            </w:r>
          </w:p>
        </w:tc>
        <w:tc>
          <w:tcPr>
            <w:tcW w:w="717" w:type="dxa"/>
            <w:tcBorders>
              <w:top w:val="nil"/>
              <w:left w:val="nil"/>
              <w:bottom w:val="nil"/>
              <w:right w:val="nil"/>
            </w:tcBorders>
            <w:shd w:val="clear" w:color="auto" w:fill="auto"/>
            <w:vAlign w:val="center"/>
            <w:hideMark/>
          </w:tcPr>
          <w:p w14:paraId="534DEB94" w14:textId="72326CE4" w:rsidR="00235A28" w:rsidRPr="00235A28" w:rsidRDefault="00235A28" w:rsidP="00235A28">
            <w:pPr>
              <w:jc w:val="right"/>
              <w:rPr>
                <w:b/>
                <w:bCs/>
                <w:color w:val="000000"/>
                <w:sz w:val="14"/>
                <w:szCs w:val="14"/>
                <w:lang w:eastAsia="tr-TR"/>
              </w:rPr>
            </w:pPr>
            <w:r w:rsidRPr="00235A28">
              <w:rPr>
                <w:b/>
                <w:bCs/>
                <w:color w:val="000000"/>
                <w:sz w:val="14"/>
                <w:szCs w:val="14"/>
                <w:lang w:eastAsia="tr-TR"/>
              </w:rPr>
              <w:t>583,971</w:t>
            </w:r>
          </w:p>
        </w:tc>
        <w:tc>
          <w:tcPr>
            <w:tcW w:w="498" w:type="dxa"/>
            <w:tcBorders>
              <w:top w:val="nil"/>
              <w:left w:val="nil"/>
              <w:bottom w:val="nil"/>
              <w:right w:val="nil"/>
            </w:tcBorders>
            <w:shd w:val="clear" w:color="auto" w:fill="auto"/>
            <w:vAlign w:val="center"/>
            <w:hideMark/>
          </w:tcPr>
          <w:p w14:paraId="6F538207" w14:textId="70280F35"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1B02AA5" w14:textId="5D777752" w:rsidR="00235A28" w:rsidRPr="00235A28" w:rsidRDefault="00235A28" w:rsidP="00235A28">
            <w:pPr>
              <w:jc w:val="right"/>
              <w:rPr>
                <w:b/>
                <w:bCs/>
                <w:color w:val="000000"/>
                <w:sz w:val="14"/>
                <w:szCs w:val="14"/>
                <w:lang w:eastAsia="tr-TR"/>
              </w:rPr>
            </w:pPr>
            <w:r w:rsidRPr="00235A28">
              <w:rPr>
                <w:b/>
                <w:bCs/>
                <w:color w:val="000000"/>
                <w:sz w:val="14"/>
                <w:szCs w:val="14"/>
                <w:lang w:eastAsia="tr-TR"/>
              </w:rPr>
              <w:t>848,622</w:t>
            </w:r>
          </w:p>
        </w:tc>
        <w:tc>
          <w:tcPr>
            <w:tcW w:w="717" w:type="dxa"/>
            <w:tcBorders>
              <w:top w:val="nil"/>
              <w:left w:val="nil"/>
              <w:bottom w:val="nil"/>
              <w:right w:val="nil"/>
            </w:tcBorders>
            <w:shd w:val="clear" w:color="auto" w:fill="auto"/>
            <w:vAlign w:val="center"/>
            <w:hideMark/>
          </w:tcPr>
          <w:p w14:paraId="0E60EF8F" w14:textId="0F731D65" w:rsidR="00235A28" w:rsidRPr="00235A28" w:rsidRDefault="00235A28" w:rsidP="00235A28">
            <w:pPr>
              <w:jc w:val="right"/>
              <w:rPr>
                <w:b/>
                <w:bCs/>
                <w:color w:val="000000"/>
                <w:sz w:val="14"/>
                <w:szCs w:val="14"/>
                <w:lang w:eastAsia="tr-TR"/>
              </w:rPr>
            </w:pPr>
            <w:r w:rsidRPr="00235A28">
              <w:rPr>
                <w:b/>
                <w:bCs/>
                <w:color w:val="000000"/>
                <w:sz w:val="14"/>
                <w:szCs w:val="14"/>
                <w:lang w:eastAsia="tr-TR"/>
              </w:rPr>
              <w:t>1,288,090</w:t>
            </w:r>
          </w:p>
        </w:tc>
        <w:tc>
          <w:tcPr>
            <w:tcW w:w="685" w:type="dxa"/>
            <w:tcBorders>
              <w:top w:val="nil"/>
              <w:left w:val="nil"/>
              <w:bottom w:val="nil"/>
              <w:right w:val="nil"/>
            </w:tcBorders>
            <w:shd w:val="clear" w:color="auto" w:fill="auto"/>
            <w:vAlign w:val="center"/>
            <w:hideMark/>
          </w:tcPr>
          <w:p w14:paraId="37D2FEEA" w14:textId="5551B6B7" w:rsidR="00235A28" w:rsidRPr="00235A28" w:rsidRDefault="00235A28" w:rsidP="00235A28">
            <w:pPr>
              <w:jc w:val="right"/>
              <w:rPr>
                <w:b/>
                <w:bCs/>
                <w:color w:val="000000"/>
                <w:sz w:val="14"/>
                <w:szCs w:val="14"/>
                <w:lang w:eastAsia="tr-TR"/>
              </w:rPr>
            </w:pPr>
            <w:r w:rsidRPr="00235A28">
              <w:rPr>
                <w:b/>
                <w:bCs/>
                <w:color w:val="000000"/>
                <w:sz w:val="14"/>
                <w:szCs w:val="14"/>
                <w:lang w:eastAsia="tr-TR"/>
              </w:rPr>
              <w:t>22,813</w:t>
            </w:r>
          </w:p>
        </w:tc>
        <w:tc>
          <w:tcPr>
            <w:tcW w:w="840" w:type="dxa"/>
            <w:tcBorders>
              <w:top w:val="nil"/>
              <w:left w:val="nil"/>
              <w:bottom w:val="nil"/>
              <w:right w:val="nil"/>
            </w:tcBorders>
            <w:shd w:val="clear" w:color="auto" w:fill="auto"/>
            <w:vAlign w:val="center"/>
            <w:hideMark/>
          </w:tcPr>
          <w:p w14:paraId="348A392A" w14:textId="1144E5B1" w:rsidR="00235A28" w:rsidRPr="00235A28" w:rsidRDefault="00235A28" w:rsidP="00235A28">
            <w:pPr>
              <w:jc w:val="right"/>
              <w:rPr>
                <w:b/>
                <w:bCs/>
                <w:color w:val="000000"/>
                <w:sz w:val="14"/>
                <w:szCs w:val="14"/>
                <w:lang w:eastAsia="tr-TR"/>
              </w:rPr>
            </w:pPr>
            <w:r w:rsidRPr="00235A28">
              <w:rPr>
                <w:b/>
                <w:bCs/>
                <w:color w:val="000000"/>
                <w:sz w:val="14"/>
                <w:szCs w:val="14"/>
                <w:lang w:eastAsia="tr-TR"/>
              </w:rPr>
              <w:t>19,074,356</w:t>
            </w:r>
          </w:p>
        </w:tc>
      </w:tr>
      <w:tr w:rsidR="00235A28" w:rsidRPr="00235A28" w14:paraId="30A4E1B7"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1BD4061E" w14:textId="77777777" w:rsidR="00235A28" w:rsidRPr="00235A28" w:rsidRDefault="00235A28" w:rsidP="00235A28">
            <w:pPr>
              <w:ind w:firstLineChars="100" w:firstLine="140"/>
              <w:rPr>
                <w:b/>
                <w:bCs/>
                <w:color w:val="000000"/>
                <w:sz w:val="14"/>
                <w:szCs w:val="14"/>
                <w:lang w:eastAsia="tr-TR"/>
              </w:rPr>
            </w:pPr>
            <w:r w:rsidRPr="00235A28">
              <w:rPr>
                <w:rFonts w:eastAsia="Arial Unicode MS"/>
                <w:b/>
                <w:bCs/>
                <w:color w:val="000000"/>
                <w:sz w:val="14"/>
                <w:szCs w:val="14"/>
                <w:lang w:eastAsia="tr-TR"/>
              </w:rPr>
              <w:t>III. Özel cari hesap diğer-TP</w:t>
            </w:r>
          </w:p>
        </w:tc>
        <w:tc>
          <w:tcPr>
            <w:tcW w:w="775" w:type="dxa"/>
            <w:tcBorders>
              <w:top w:val="nil"/>
              <w:left w:val="nil"/>
              <w:bottom w:val="nil"/>
              <w:right w:val="nil"/>
            </w:tcBorders>
            <w:shd w:val="clear" w:color="auto" w:fill="auto"/>
            <w:vAlign w:val="center"/>
            <w:hideMark/>
          </w:tcPr>
          <w:p w14:paraId="2FFB7E59" w14:textId="13B572B3" w:rsidR="00235A28" w:rsidRPr="00235A28" w:rsidRDefault="00235A28" w:rsidP="00235A28">
            <w:pPr>
              <w:jc w:val="right"/>
              <w:rPr>
                <w:b/>
                <w:bCs/>
                <w:color w:val="000000"/>
                <w:sz w:val="14"/>
                <w:szCs w:val="14"/>
                <w:lang w:eastAsia="tr-TR"/>
              </w:rPr>
            </w:pPr>
            <w:r w:rsidRPr="00235A28">
              <w:rPr>
                <w:b/>
                <w:bCs/>
                <w:color w:val="000000"/>
                <w:sz w:val="14"/>
                <w:szCs w:val="14"/>
                <w:lang w:eastAsia="tr-TR"/>
              </w:rPr>
              <w:t>5,713,687</w:t>
            </w:r>
          </w:p>
        </w:tc>
        <w:tc>
          <w:tcPr>
            <w:tcW w:w="774" w:type="dxa"/>
            <w:tcBorders>
              <w:top w:val="nil"/>
              <w:left w:val="nil"/>
              <w:bottom w:val="nil"/>
              <w:right w:val="nil"/>
            </w:tcBorders>
            <w:shd w:val="clear" w:color="auto" w:fill="auto"/>
            <w:vAlign w:val="center"/>
            <w:hideMark/>
          </w:tcPr>
          <w:p w14:paraId="5E2AE0D1" w14:textId="52E677B3"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2DFF8C84" w14:textId="61ABE44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FBE6E95" w14:textId="3C2ADE25"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07A520AD" w14:textId="2F3BF2E2"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4E33874" w14:textId="4FE06E4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BF9AF66" w14:textId="7EF7AA0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4CAE686" w14:textId="1295AEB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6FA6FEE" w14:textId="393A502B" w:rsidR="00235A28" w:rsidRPr="00235A28" w:rsidRDefault="00235A28" w:rsidP="00235A28">
            <w:pPr>
              <w:jc w:val="right"/>
              <w:rPr>
                <w:b/>
                <w:bCs/>
                <w:color w:val="000000"/>
                <w:sz w:val="14"/>
                <w:szCs w:val="14"/>
                <w:lang w:eastAsia="tr-TR"/>
              </w:rPr>
            </w:pPr>
            <w:r w:rsidRPr="00235A28">
              <w:rPr>
                <w:b/>
                <w:bCs/>
                <w:color w:val="000000"/>
                <w:sz w:val="14"/>
                <w:szCs w:val="14"/>
                <w:lang w:eastAsia="tr-TR"/>
              </w:rPr>
              <w:t>5,713,687</w:t>
            </w:r>
          </w:p>
        </w:tc>
      </w:tr>
      <w:tr w:rsidR="00235A28" w:rsidRPr="00235A28" w14:paraId="39D53FE4"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407404AB"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Resmi kuruluşlar</w:t>
            </w:r>
          </w:p>
        </w:tc>
        <w:tc>
          <w:tcPr>
            <w:tcW w:w="775" w:type="dxa"/>
            <w:tcBorders>
              <w:top w:val="nil"/>
              <w:left w:val="nil"/>
              <w:bottom w:val="nil"/>
              <w:right w:val="nil"/>
            </w:tcBorders>
            <w:shd w:val="clear" w:color="auto" w:fill="auto"/>
            <w:vAlign w:val="center"/>
            <w:hideMark/>
          </w:tcPr>
          <w:p w14:paraId="3DE3F022" w14:textId="78BCDF50" w:rsidR="00235A28" w:rsidRPr="00235A28" w:rsidRDefault="00235A28" w:rsidP="00235A28">
            <w:pPr>
              <w:jc w:val="right"/>
              <w:rPr>
                <w:color w:val="000000"/>
                <w:sz w:val="14"/>
                <w:szCs w:val="14"/>
                <w:lang w:eastAsia="tr-TR"/>
              </w:rPr>
            </w:pPr>
            <w:r w:rsidRPr="00235A28">
              <w:rPr>
                <w:color w:val="000000"/>
                <w:sz w:val="14"/>
                <w:szCs w:val="14"/>
                <w:lang w:eastAsia="tr-TR"/>
              </w:rPr>
              <w:t>184,489</w:t>
            </w:r>
          </w:p>
        </w:tc>
        <w:tc>
          <w:tcPr>
            <w:tcW w:w="774" w:type="dxa"/>
            <w:tcBorders>
              <w:top w:val="nil"/>
              <w:left w:val="nil"/>
              <w:bottom w:val="nil"/>
              <w:right w:val="nil"/>
            </w:tcBorders>
            <w:shd w:val="clear" w:color="auto" w:fill="auto"/>
            <w:vAlign w:val="center"/>
            <w:hideMark/>
          </w:tcPr>
          <w:p w14:paraId="6C802449" w14:textId="4730FC3E"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0AFCFFDB" w14:textId="4F13DC04"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26F02770" w14:textId="5238D01B"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625B3F9" w14:textId="253B12E8"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F7651D0" w14:textId="4EBCEA2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92D8A28" w14:textId="7517987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319E218" w14:textId="5E9B9307"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3038A17" w14:textId="504CD686" w:rsidR="00235A28" w:rsidRPr="00235A28" w:rsidRDefault="00235A28" w:rsidP="00235A28">
            <w:pPr>
              <w:jc w:val="right"/>
              <w:rPr>
                <w:color w:val="000000"/>
                <w:sz w:val="14"/>
                <w:szCs w:val="14"/>
                <w:lang w:eastAsia="tr-TR"/>
              </w:rPr>
            </w:pPr>
            <w:r w:rsidRPr="00235A28">
              <w:rPr>
                <w:color w:val="000000"/>
                <w:sz w:val="14"/>
                <w:szCs w:val="14"/>
                <w:lang w:eastAsia="tr-TR"/>
              </w:rPr>
              <w:t>184,489</w:t>
            </w:r>
          </w:p>
        </w:tc>
      </w:tr>
      <w:tr w:rsidR="00235A28" w:rsidRPr="00235A28" w14:paraId="3817BE75"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4500D5C3"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Ticari kuruluşlar</w:t>
            </w:r>
          </w:p>
        </w:tc>
        <w:tc>
          <w:tcPr>
            <w:tcW w:w="775" w:type="dxa"/>
            <w:tcBorders>
              <w:top w:val="nil"/>
              <w:left w:val="nil"/>
              <w:bottom w:val="nil"/>
              <w:right w:val="nil"/>
            </w:tcBorders>
            <w:shd w:val="clear" w:color="auto" w:fill="auto"/>
            <w:vAlign w:val="center"/>
            <w:hideMark/>
          </w:tcPr>
          <w:p w14:paraId="4C1572B4" w14:textId="49026465" w:rsidR="00235A28" w:rsidRPr="00235A28" w:rsidRDefault="00235A28" w:rsidP="00235A28">
            <w:pPr>
              <w:jc w:val="right"/>
              <w:rPr>
                <w:color w:val="000000"/>
                <w:sz w:val="14"/>
                <w:szCs w:val="14"/>
                <w:lang w:eastAsia="tr-TR"/>
              </w:rPr>
            </w:pPr>
            <w:r w:rsidRPr="00235A28">
              <w:rPr>
                <w:color w:val="000000"/>
                <w:sz w:val="14"/>
                <w:szCs w:val="14"/>
                <w:lang w:eastAsia="tr-TR"/>
              </w:rPr>
              <w:t>5,446,548</w:t>
            </w:r>
          </w:p>
        </w:tc>
        <w:tc>
          <w:tcPr>
            <w:tcW w:w="774" w:type="dxa"/>
            <w:tcBorders>
              <w:top w:val="nil"/>
              <w:left w:val="nil"/>
              <w:bottom w:val="nil"/>
              <w:right w:val="nil"/>
            </w:tcBorders>
            <w:shd w:val="clear" w:color="auto" w:fill="auto"/>
            <w:vAlign w:val="center"/>
            <w:hideMark/>
          </w:tcPr>
          <w:p w14:paraId="6DDE4D90" w14:textId="4E3D2504"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045275EB" w14:textId="1ED53B17"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6A825B5C" w14:textId="7BF2C784"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5F7D1F5" w14:textId="5785E1B2"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F3E6F4F" w14:textId="46ED82C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940F23C" w14:textId="43E32F18"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B9994AE" w14:textId="76FB4910"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DE9A97B" w14:textId="1BEA3905" w:rsidR="00235A28" w:rsidRPr="00235A28" w:rsidRDefault="00235A28" w:rsidP="00235A28">
            <w:pPr>
              <w:jc w:val="right"/>
              <w:rPr>
                <w:color w:val="000000"/>
                <w:sz w:val="14"/>
                <w:szCs w:val="14"/>
                <w:lang w:eastAsia="tr-TR"/>
              </w:rPr>
            </w:pPr>
            <w:r w:rsidRPr="00235A28">
              <w:rPr>
                <w:color w:val="000000"/>
                <w:sz w:val="14"/>
                <w:szCs w:val="14"/>
                <w:lang w:eastAsia="tr-TR"/>
              </w:rPr>
              <w:t>5,446,548</w:t>
            </w:r>
          </w:p>
        </w:tc>
      </w:tr>
      <w:tr w:rsidR="00235A28" w:rsidRPr="00235A28" w14:paraId="32EF69F9"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01F26234"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Diğer kuruluşlar</w:t>
            </w:r>
          </w:p>
        </w:tc>
        <w:tc>
          <w:tcPr>
            <w:tcW w:w="775" w:type="dxa"/>
            <w:tcBorders>
              <w:top w:val="nil"/>
              <w:left w:val="nil"/>
              <w:bottom w:val="nil"/>
              <w:right w:val="nil"/>
            </w:tcBorders>
            <w:shd w:val="clear" w:color="auto" w:fill="auto"/>
            <w:vAlign w:val="center"/>
            <w:hideMark/>
          </w:tcPr>
          <w:p w14:paraId="4AAE143F" w14:textId="4C5BF32B" w:rsidR="00235A28" w:rsidRPr="00235A28" w:rsidRDefault="00235A28" w:rsidP="00235A28">
            <w:pPr>
              <w:jc w:val="right"/>
              <w:rPr>
                <w:color w:val="000000"/>
                <w:sz w:val="14"/>
                <w:szCs w:val="14"/>
                <w:lang w:eastAsia="tr-TR"/>
              </w:rPr>
            </w:pPr>
            <w:r w:rsidRPr="00235A28">
              <w:rPr>
                <w:color w:val="000000"/>
                <w:sz w:val="14"/>
                <w:szCs w:val="14"/>
                <w:lang w:eastAsia="tr-TR"/>
              </w:rPr>
              <w:t>57,970</w:t>
            </w:r>
          </w:p>
        </w:tc>
        <w:tc>
          <w:tcPr>
            <w:tcW w:w="774" w:type="dxa"/>
            <w:tcBorders>
              <w:top w:val="nil"/>
              <w:left w:val="nil"/>
              <w:bottom w:val="nil"/>
              <w:right w:val="nil"/>
            </w:tcBorders>
            <w:shd w:val="clear" w:color="auto" w:fill="auto"/>
            <w:vAlign w:val="center"/>
            <w:hideMark/>
          </w:tcPr>
          <w:p w14:paraId="134B86F0" w14:textId="7120B2F1"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3846BB2" w14:textId="0A3CCAAD"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1A246295" w14:textId="52DDF16C"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0E6BC95" w14:textId="7DB6CD5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EDD5A6D" w14:textId="049F6A79"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CE2C736" w14:textId="71862D0E"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3015021" w14:textId="6E4A3BC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46BB445" w14:textId="19591076" w:rsidR="00235A28" w:rsidRPr="00235A28" w:rsidRDefault="00235A28" w:rsidP="00235A28">
            <w:pPr>
              <w:jc w:val="right"/>
              <w:rPr>
                <w:color w:val="000000"/>
                <w:sz w:val="14"/>
                <w:szCs w:val="14"/>
                <w:lang w:eastAsia="tr-TR"/>
              </w:rPr>
            </w:pPr>
            <w:r w:rsidRPr="00235A28">
              <w:rPr>
                <w:color w:val="000000"/>
                <w:sz w:val="14"/>
                <w:szCs w:val="14"/>
                <w:lang w:eastAsia="tr-TR"/>
              </w:rPr>
              <w:t>57,970</w:t>
            </w:r>
          </w:p>
        </w:tc>
      </w:tr>
      <w:tr w:rsidR="00235A28" w:rsidRPr="00235A28" w14:paraId="621E3D81"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25C1440F"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Ticari ve diğer kuruluşlar</w:t>
            </w:r>
          </w:p>
        </w:tc>
        <w:tc>
          <w:tcPr>
            <w:tcW w:w="775" w:type="dxa"/>
            <w:tcBorders>
              <w:top w:val="nil"/>
              <w:left w:val="nil"/>
              <w:bottom w:val="nil"/>
              <w:right w:val="nil"/>
            </w:tcBorders>
            <w:shd w:val="clear" w:color="auto" w:fill="auto"/>
            <w:vAlign w:val="center"/>
            <w:hideMark/>
          </w:tcPr>
          <w:p w14:paraId="025CBBAF" w14:textId="0E78D6A3"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3A98DFF2" w14:textId="37F15616"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5D429AD" w14:textId="1543F96E"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074F8567" w14:textId="72160C28"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0BD72B3" w14:textId="11E0252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EE5EBEF" w14:textId="7FA79C3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598FE6C" w14:textId="52E1D090"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96563D4" w14:textId="0B522087"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1B399C1" w14:textId="3DA34035" w:rsidR="00235A28" w:rsidRPr="00235A28" w:rsidRDefault="00235A28" w:rsidP="00235A28">
            <w:pPr>
              <w:jc w:val="right"/>
              <w:rPr>
                <w:color w:val="000000"/>
                <w:sz w:val="14"/>
                <w:szCs w:val="14"/>
                <w:lang w:eastAsia="tr-TR"/>
              </w:rPr>
            </w:pPr>
            <w:r w:rsidRPr="00235A28">
              <w:rPr>
                <w:color w:val="000000"/>
                <w:sz w:val="14"/>
                <w:szCs w:val="14"/>
                <w:lang w:eastAsia="tr-TR"/>
              </w:rPr>
              <w:t>-</w:t>
            </w:r>
          </w:p>
        </w:tc>
      </w:tr>
      <w:tr w:rsidR="00235A28" w:rsidRPr="00235A28" w14:paraId="6F08F4E1"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3D2A6724"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Bankalar ve katılım bankaları</w:t>
            </w:r>
          </w:p>
        </w:tc>
        <w:tc>
          <w:tcPr>
            <w:tcW w:w="775" w:type="dxa"/>
            <w:tcBorders>
              <w:top w:val="nil"/>
              <w:left w:val="nil"/>
              <w:bottom w:val="nil"/>
              <w:right w:val="nil"/>
            </w:tcBorders>
            <w:shd w:val="clear" w:color="auto" w:fill="auto"/>
            <w:vAlign w:val="center"/>
            <w:hideMark/>
          </w:tcPr>
          <w:p w14:paraId="1EC3A26D" w14:textId="30282C2E" w:rsidR="00235A28" w:rsidRPr="00235A28" w:rsidRDefault="00235A28" w:rsidP="00235A28">
            <w:pPr>
              <w:jc w:val="right"/>
              <w:rPr>
                <w:b/>
                <w:bCs/>
                <w:color w:val="000000"/>
                <w:sz w:val="14"/>
                <w:szCs w:val="14"/>
                <w:lang w:eastAsia="tr-TR"/>
              </w:rPr>
            </w:pPr>
            <w:r w:rsidRPr="00235A28">
              <w:rPr>
                <w:b/>
                <w:bCs/>
                <w:color w:val="000000"/>
                <w:sz w:val="14"/>
                <w:szCs w:val="14"/>
                <w:lang w:eastAsia="tr-TR"/>
              </w:rPr>
              <w:t>24,680</w:t>
            </w:r>
          </w:p>
        </w:tc>
        <w:tc>
          <w:tcPr>
            <w:tcW w:w="774" w:type="dxa"/>
            <w:tcBorders>
              <w:top w:val="nil"/>
              <w:left w:val="nil"/>
              <w:bottom w:val="nil"/>
              <w:right w:val="nil"/>
            </w:tcBorders>
            <w:shd w:val="clear" w:color="auto" w:fill="auto"/>
            <w:vAlign w:val="center"/>
            <w:hideMark/>
          </w:tcPr>
          <w:p w14:paraId="523AFAFA" w14:textId="2ADEEC87"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3BBB1852" w14:textId="2C8E8C6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3A0D0EB" w14:textId="4383CA0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B7B73A8" w14:textId="33A60362"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A10B4EB" w14:textId="609753A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DF980C0" w14:textId="37844CEC"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7CD1660" w14:textId="184B7CE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1E0256F" w14:textId="69CE5841" w:rsidR="00235A28" w:rsidRPr="00235A28" w:rsidRDefault="00235A28" w:rsidP="00235A28">
            <w:pPr>
              <w:jc w:val="right"/>
              <w:rPr>
                <w:b/>
                <w:bCs/>
                <w:color w:val="000000"/>
                <w:sz w:val="14"/>
                <w:szCs w:val="14"/>
                <w:lang w:eastAsia="tr-TR"/>
              </w:rPr>
            </w:pPr>
            <w:r w:rsidRPr="00235A28">
              <w:rPr>
                <w:b/>
                <w:bCs/>
                <w:color w:val="000000"/>
                <w:sz w:val="14"/>
                <w:szCs w:val="14"/>
                <w:lang w:eastAsia="tr-TR"/>
              </w:rPr>
              <w:t>24,680</w:t>
            </w:r>
          </w:p>
        </w:tc>
      </w:tr>
      <w:tr w:rsidR="00235A28" w:rsidRPr="00235A28" w14:paraId="4C7B18C3"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45A7489C" w14:textId="77777777" w:rsidR="00235A28" w:rsidRPr="00235A28" w:rsidRDefault="00235A28" w:rsidP="00235A28">
            <w:pPr>
              <w:ind w:firstLineChars="200" w:firstLine="280"/>
              <w:rPr>
                <w:color w:val="000000"/>
                <w:sz w:val="14"/>
                <w:szCs w:val="14"/>
                <w:lang w:eastAsia="tr-TR"/>
              </w:rPr>
            </w:pPr>
            <w:proofErr w:type="gramStart"/>
            <w:r w:rsidRPr="00235A28">
              <w:rPr>
                <w:bCs/>
                <w:color w:val="000000"/>
                <w:sz w:val="14"/>
                <w:szCs w:val="14"/>
                <w:lang w:eastAsia="tr-TR"/>
              </w:rPr>
              <w:t>T,C</w:t>
            </w:r>
            <w:proofErr w:type="gramEnd"/>
            <w:r w:rsidRPr="00235A28">
              <w:rPr>
                <w:bCs/>
                <w:color w:val="000000"/>
                <w:sz w:val="14"/>
                <w:szCs w:val="14"/>
                <w:lang w:eastAsia="tr-TR"/>
              </w:rPr>
              <w:t>, Merkez Bankası</w:t>
            </w:r>
          </w:p>
        </w:tc>
        <w:tc>
          <w:tcPr>
            <w:tcW w:w="775" w:type="dxa"/>
            <w:tcBorders>
              <w:top w:val="nil"/>
              <w:left w:val="nil"/>
              <w:bottom w:val="nil"/>
              <w:right w:val="nil"/>
            </w:tcBorders>
            <w:shd w:val="clear" w:color="auto" w:fill="auto"/>
            <w:vAlign w:val="center"/>
            <w:hideMark/>
          </w:tcPr>
          <w:p w14:paraId="3D995FAA" w14:textId="5F507FF5"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3FF7D22D" w14:textId="5E37439C"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146E4E3" w14:textId="1F29CD70"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37C79874" w14:textId="20CB8AD9"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F30789F" w14:textId="2EBA958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1906DD7" w14:textId="65D100EE"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CD2912C" w14:textId="701E1079"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5180413" w14:textId="3E6B7A1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5612FFF" w14:textId="69FFCC85" w:rsidR="00235A28" w:rsidRPr="00235A28" w:rsidRDefault="00235A28" w:rsidP="00235A28">
            <w:pPr>
              <w:jc w:val="right"/>
              <w:rPr>
                <w:color w:val="000000"/>
                <w:sz w:val="14"/>
                <w:szCs w:val="14"/>
                <w:lang w:eastAsia="tr-TR"/>
              </w:rPr>
            </w:pPr>
            <w:r w:rsidRPr="00235A28">
              <w:rPr>
                <w:color w:val="000000"/>
                <w:sz w:val="14"/>
                <w:szCs w:val="14"/>
                <w:lang w:eastAsia="tr-TR"/>
              </w:rPr>
              <w:t>-</w:t>
            </w:r>
          </w:p>
        </w:tc>
      </w:tr>
      <w:tr w:rsidR="00235A28" w:rsidRPr="00235A28" w14:paraId="65C4157C"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2971C37D" w14:textId="77777777" w:rsidR="00235A28" w:rsidRPr="00235A28" w:rsidRDefault="00235A28" w:rsidP="00235A28">
            <w:pPr>
              <w:ind w:firstLineChars="200" w:firstLine="280"/>
              <w:rPr>
                <w:color w:val="000000"/>
                <w:sz w:val="14"/>
                <w:szCs w:val="14"/>
                <w:lang w:eastAsia="tr-TR"/>
              </w:rPr>
            </w:pPr>
            <w:r w:rsidRPr="00235A28">
              <w:rPr>
                <w:bCs/>
                <w:color w:val="000000"/>
                <w:sz w:val="14"/>
                <w:szCs w:val="14"/>
                <w:lang w:eastAsia="tr-TR"/>
              </w:rPr>
              <w:t>Yurt içi bankalar</w:t>
            </w:r>
          </w:p>
        </w:tc>
        <w:tc>
          <w:tcPr>
            <w:tcW w:w="775" w:type="dxa"/>
            <w:tcBorders>
              <w:top w:val="nil"/>
              <w:left w:val="nil"/>
              <w:bottom w:val="nil"/>
              <w:right w:val="nil"/>
            </w:tcBorders>
            <w:shd w:val="clear" w:color="auto" w:fill="auto"/>
            <w:vAlign w:val="center"/>
            <w:hideMark/>
          </w:tcPr>
          <w:p w14:paraId="0C65534D" w14:textId="20B343EE"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6396FFD" w14:textId="2F39A528"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048A0D89" w14:textId="7B257289"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3F360554" w14:textId="50D2F39E"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6774913" w14:textId="6683484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93B2468" w14:textId="01CA128E"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CF0A70F" w14:textId="08D78EC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745DF43" w14:textId="2F272590"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E92EE12" w14:textId="166F1573" w:rsidR="00235A28" w:rsidRPr="00235A28" w:rsidRDefault="00235A28" w:rsidP="00235A28">
            <w:pPr>
              <w:jc w:val="right"/>
              <w:rPr>
                <w:color w:val="000000"/>
                <w:sz w:val="14"/>
                <w:szCs w:val="14"/>
                <w:lang w:eastAsia="tr-TR"/>
              </w:rPr>
            </w:pPr>
            <w:r w:rsidRPr="00235A28">
              <w:rPr>
                <w:color w:val="000000"/>
                <w:sz w:val="14"/>
                <w:szCs w:val="14"/>
                <w:lang w:eastAsia="tr-TR"/>
              </w:rPr>
              <w:t>-</w:t>
            </w:r>
          </w:p>
        </w:tc>
      </w:tr>
      <w:tr w:rsidR="00235A28" w:rsidRPr="00235A28" w14:paraId="725F94C7"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2E791415" w14:textId="77777777" w:rsidR="00235A28" w:rsidRPr="00235A28" w:rsidRDefault="00235A28" w:rsidP="00235A28">
            <w:pPr>
              <w:ind w:firstLineChars="200" w:firstLine="280"/>
              <w:rPr>
                <w:color w:val="000000"/>
                <w:sz w:val="14"/>
                <w:szCs w:val="14"/>
                <w:lang w:eastAsia="tr-TR"/>
              </w:rPr>
            </w:pPr>
            <w:r w:rsidRPr="00235A28">
              <w:rPr>
                <w:bCs/>
                <w:color w:val="000000"/>
                <w:sz w:val="14"/>
                <w:szCs w:val="14"/>
                <w:lang w:eastAsia="tr-TR"/>
              </w:rPr>
              <w:t>Yurt dışı bankalar</w:t>
            </w:r>
          </w:p>
        </w:tc>
        <w:tc>
          <w:tcPr>
            <w:tcW w:w="775" w:type="dxa"/>
            <w:tcBorders>
              <w:top w:val="nil"/>
              <w:left w:val="nil"/>
              <w:bottom w:val="nil"/>
              <w:right w:val="nil"/>
            </w:tcBorders>
            <w:shd w:val="clear" w:color="auto" w:fill="auto"/>
            <w:vAlign w:val="center"/>
            <w:hideMark/>
          </w:tcPr>
          <w:p w14:paraId="760441E4" w14:textId="354AAFB2" w:rsidR="00235A28" w:rsidRPr="00235A28" w:rsidRDefault="00235A28" w:rsidP="00235A28">
            <w:pPr>
              <w:jc w:val="right"/>
              <w:rPr>
                <w:color w:val="000000"/>
                <w:sz w:val="14"/>
                <w:szCs w:val="14"/>
                <w:lang w:eastAsia="tr-TR"/>
              </w:rPr>
            </w:pPr>
            <w:r w:rsidRPr="00235A28">
              <w:rPr>
                <w:color w:val="000000"/>
                <w:sz w:val="14"/>
                <w:szCs w:val="14"/>
                <w:lang w:eastAsia="tr-TR"/>
              </w:rPr>
              <w:t>24,375</w:t>
            </w:r>
          </w:p>
        </w:tc>
        <w:tc>
          <w:tcPr>
            <w:tcW w:w="774" w:type="dxa"/>
            <w:tcBorders>
              <w:top w:val="nil"/>
              <w:left w:val="nil"/>
              <w:bottom w:val="nil"/>
              <w:right w:val="nil"/>
            </w:tcBorders>
            <w:shd w:val="clear" w:color="auto" w:fill="auto"/>
            <w:vAlign w:val="center"/>
            <w:hideMark/>
          </w:tcPr>
          <w:p w14:paraId="1C60C6FC" w14:textId="5F171F7C"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47BE6E77" w14:textId="00DD6AC1"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6FA0988E" w14:textId="62D6A570"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F096ACE" w14:textId="0D821795"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7535E58" w14:textId="793D4385"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4571309" w14:textId="41AE347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B821B88" w14:textId="13B509BA"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9671363" w14:textId="570AEEA9" w:rsidR="00235A28" w:rsidRPr="00235A28" w:rsidRDefault="00235A28" w:rsidP="00235A28">
            <w:pPr>
              <w:jc w:val="right"/>
              <w:rPr>
                <w:color w:val="000000"/>
                <w:sz w:val="14"/>
                <w:szCs w:val="14"/>
                <w:lang w:eastAsia="tr-TR"/>
              </w:rPr>
            </w:pPr>
            <w:r w:rsidRPr="00235A28">
              <w:rPr>
                <w:color w:val="000000"/>
                <w:sz w:val="14"/>
                <w:szCs w:val="14"/>
                <w:lang w:eastAsia="tr-TR"/>
              </w:rPr>
              <w:t>24,375</w:t>
            </w:r>
          </w:p>
        </w:tc>
      </w:tr>
      <w:tr w:rsidR="00235A28" w:rsidRPr="00235A28" w14:paraId="5C0FEBEC"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57DB9200" w14:textId="77777777" w:rsidR="00235A28" w:rsidRPr="00235A28" w:rsidRDefault="00235A28" w:rsidP="00235A28">
            <w:pPr>
              <w:ind w:firstLineChars="200" w:firstLine="280"/>
              <w:rPr>
                <w:color w:val="000000"/>
                <w:sz w:val="14"/>
                <w:szCs w:val="14"/>
                <w:lang w:eastAsia="tr-TR"/>
              </w:rPr>
            </w:pPr>
            <w:r w:rsidRPr="00235A28">
              <w:rPr>
                <w:bCs/>
                <w:color w:val="000000"/>
                <w:sz w:val="14"/>
                <w:szCs w:val="14"/>
                <w:lang w:eastAsia="tr-TR"/>
              </w:rPr>
              <w:t>Katılım bankaları</w:t>
            </w:r>
          </w:p>
        </w:tc>
        <w:tc>
          <w:tcPr>
            <w:tcW w:w="775" w:type="dxa"/>
            <w:tcBorders>
              <w:top w:val="nil"/>
              <w:left w:val="nil"/>
              <w:bottom w:val="nil"/>
              <w:right w:val="nil"/>
            </w:tcBorders>
            <w:shd w:val="clear" w:color="auto" w:fill="auto"/>
            <w:vAlign w:val="center"/>
            <w:hideMark/>
          </w:tcPr>
          <w:p w14:paraId="1D7CDFA5" w14:textId="1D26AF65" w:rsidR="00235A28" w:rsidRPr="00235A28" w:rsidRDefault="00235A28" w:rsidP="00235A28">
            <w:pPr>
              <w:jc w:val="right"/>
              <w:rPr>
                <w:color w:val="000000"/>
                <w:sz w:val="14"/>
                <w:szCs w:val="14"/>
                <w:lang w:eastAsia="tr-TR"/>
              </w:rPr>
            </w:pPr>
            <w:r w:rsidRPr="00235A28">
              <w:rPr>
                <w:color w:val="000000"/>
                <w:sz w:val="14"/>
                <w:szCs w:val="14"/>
                <w:lang w:eastAsia="tr-TR"/>
              </w:rPr>
              <w:t>305</w:t>
            </w:r>
          </w:p>
        </w:tc>
        <w:tc>
          <w:tcPr>
            <w:tcW w:w="774" w:type="dxa"/>
            <w:tcBorders>
              <w:top w:val="nil"/>
              <w:left w:val="nil"/>
              <w:bottom w:val="nil"/>
              <w:right w:val="nil"/>
            </w:tcBorders>
            <w:shd w:val="clear" w:color="auto" w:fill="auto"/>
            <w:vAlign w:val="center"/>
            <w:hideMark/>
          </w:tcPr>
          <w:p w14:paraId="5A9C8805" w14:textId="1BD3ADC9"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421B01CE" w14:textId="0797FAE2"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21211B72" w14:textId="12C9C9D7"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E26B591" w14:textId="56BFCF13"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E102449" w14:textId="7005A10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C4CEF97" w14:textId="6203B227"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E90636D" w14:textId="39C76E85"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44311D5" w14:textId="00E9A586" w:rsidR="00235A28" w:rsidRPr="00235A28" w:rsidRDefault="00235A28" w:rsidP="00235A28">
            <w:pPr>
              <w:jc w:val="right"/>
              <w:rPr>
                <w:color w:val="000000"/>
                <w:sz w:val="14"/>
                <w:szCs w:val="14"/>
                <w:lang w:eastAsia="tr-TR"/>
              </w:rPr>
            </w:pPr>
            <w:r w:rsidRPr="00235A28">
              <w:rPr>
                <w:color w:val="000000"/>
                <w:sz w:val="14"/>
                <w:szCs w:val="14"/>
                <w:lang w:eastAsia="tr-TR"/>
              </w:rPr>
              <w:t>305</w:t>
            </w:r>
          </w:p>
        </w:tc>
      </w:tr>
      <w:tr w:rsidR="00235A28" w:rsidRPr="00235A28" w14:paraId="3FDBCECB"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69DAAAE0" w14:textId="77777777" w:rsidR="00235A28" w:rsidRPr="00235A28" w:rsidRDefault="00235A28" w:rsidP="00235A28">
            <w:pPr>
              <w:ind w:firstLineChars="200" w:firstLine="280"/>
              <w:rPr>
                <w:color w:val="000000"/>
                <w:sz w:val="14"/>
                <w:szCs w:val="14"/>
                <w:lang w:eastAsia="tr-TR"/>
              </w:rPr>
            </w:pPr>
            <w:r w:rsidRPr="00235A28">
              <w:rPr>
                <w:bCs/>
                <w:color w:val="000000"/>
                <w:sz w:val="14"/>
                <w:szCs w:val="14"/>
                <w:lang w:eastAsia="tr-TR"/>
              </w:rPr>
              <w:t>Diğer</w:t>
            </w:r>
          </w:p>
        </w:tc>
        <w:tc>
          <w:tcPr>
            <w:tcW w:w="775" w:type="dxa"/>
            <w:tcBorders>
              <w:top w:val="nil"/>
              <w:left w:val="nil"/>
              <w:bottom w:val="nil"/>
              <w:right w:val="nil"/>
            </w:tcBorders>
            <w:shd w:val="clear" w:color="auto" w:fill="auto"/>
            <w:vAlign w:val="center"/>
            <w:hideMark/>
          </w:tcPr>
          <w:p w14:paraId="04DA5408" w14:textId="25AF9C8B"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46D665A9" w14:textId="11FD531E"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A06EB6C" w14:textId="13CAC8D5"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66825EB5" w14:textId="109F3DC7"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27822BE" w14:textId="6BC35235"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5D99675" w14:textId="08BC07F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76DF2A0" w14:textId="5902E09C"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001C215" w14:textId="7CE02A3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E7F974A" w14:textId="0E5812B1" w:rsidR="00235A28" w:rsidRPr="00235A28" w:rsidRDefault="00235A28" w:rsidP="00235A28">
            <w:pPr>
              <w:jc w:val="right"/>
              <w:rPr>
                <w:color w:val="000000"/>
                <w:sz w:val="14"/>
                <w:szCs w:val="14"/>
                <w:lang w:eastAsia="tr-TR"/>
              </w:rPr>
            </w:pPr>
            <w:r w:rsidRPr="00235A28">
              <w:rPr>
                <w:color w:val="000000"/>
                <w:sz w:val="14"/>
                <w:szCs w:val="14"/>
                <w:lang w:eastAsia="tr-TR"/>
              </w:rPr>
              <w:t>-</w:t>
            </w:r>
          </w:p>
        </w:tc>
      </w:tr>
      <w:tr w:rsidR="00235A28" w:rsidRPr="00235A28" w14:paraId="71272E7D"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6E992493" w14:textId="77777777" w:rsidR="00235A28" w:rsidRPr="00235A28" w:rsidRDefault="00235A28" w:rsidP="00235A28">
            <w:pPr>
              <w:ind w:firstLineChars="100" w:firstLine="140"/>
              <w:rPr>
                <w:b/>
                <w:bCs/>
                <w:color w:val="000000"/>
                <w:sz w:val="14"/>
                <w:szCs w:val="14"/>
                <w:lang w:eastAsia="tr-TR"/>
              </w:rPr>
            </w:pPr>
            <w:r w:rsidRPr="00235A28">
              <w:rPr>
                <w:rFonts w:eastAsia="Arial Unicode MS"/>
                <w:b/>
                <w:bCs/>
                <w:color w:val="000000"/>
                <w:sz w:val="14"/>
                <w:szCs w:val="14"/>
                <w:lang w:eastAsia="tr-TR"/>
              </w:rPr>
              <w:t>IV. Katılma hesapları-TP</w:t>
            </w:r>
          </w:p>
        </w:tc>
        <w:tc>
          <w:tcPr>
            <w:tcW w:w="775" w:type="dxa"/>
            <w:tcBorders>
              <w:top w:val="nil"/>
              <w:left w:val="nil"/>
              <w:bottom w:val="nil"/>
              <w:right w:val="nil"/>
            </w:tcBorders>
            <w:shd w:val="clear" w:color="auto" w:fill="auto"/>
            <w:vAlign w:val="center"/>
            <w:hideMark/>
          </w:tcPr>
          <w:p w14:paraId="041D0BA6" w14:textId="0039A783"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695496AD" w14:textId="1B5422D3" w:rsidR="00235A28" w:rsidRPr="00235A28" w:rsidRDefault="00235A28" w:rsidP="00235A28">
            <w:pPr>
              <w:jc w:val="right"/>
              <w:rPr>
                <w:b/>
                <w:bCs/>
                <w:color w:val="000000"/>
                <w:sz w:val="14"/>
                <w:szCs w:val="14"/>
                <w:lang w:eastAsia="tr-TR"/>
              </w:rPr>
            </w:pPr>
            <w:r w:rsidRPr="00235A28">
              <w:rPr>
                <w:b/>
                <w:bCs/>
                <w:color w:val="000000"/>
                <w:sz w:val="14"/>
                <w:szCs w:val="14"/>
                <w:lang w:eastAsia="tr-TR"/>
              </w:rPr>
              <w:t>813,695</w:t>
            </w:r>
          </w:p>
        </w:tc>
        <w:tc>
          <w:tcPr>
            <w:tcW w:w="774" w:type="dxa"/>
            <w:tcBorders>
              <w:top w:val="nil"/>
              <w:left w:val="nil"/>
              <w:bottom w:val="nil"/>
              <w:right w:val="nil"/>
            </w:tcBorders>
            <w:shd w:val="clear" w:color="auto" w:fill="auto"/>
            <w:vAlign w:val="center"/>
            <w:hideMark/>
          </w:tcPr>
          <w:p w14:paraId="6D254D9A" w14:textId="7DFEE57A" w:rsidR="00235A28" w:rsidRPr="00235A28" w:rsidRDefault="00235A28" w:rsidP="00235A28">
            <w:pPr>
              <w:jc w:val="right"/>
              <w:rPr>
                <w:b/>
                <w:bCs/>
                <w:color w:val="000000"/>
                <w:sz w:val="14"/>
                <w:szCs w:val="14"/>
                <w:lang w:eastAsia="tr-TR"/>
              </w:rPr>
            </w:pPr>
            <w:r w:rsidRPr="00235A28">
              <w:rPr>
                <w:b/>
                <w:bCs/>
                <w:color w:val="000000"/>
                <w:sz w:val="14"/>
                <w:szCs w:val="14"/>
                <w:lang w:eastAsia="tr-TR"/>
              </w:rPr>
              <w:t>1,416,245</w:t>
            </w:r>
          </w:p>
        </w:tc>
        <w:tc>
          <w:tcPr>
            <w:tcW w:w="717" w:type="dxa"/>
            <w:tcBorders>
              <w:top w:val="nil"/>
              <w:left w:val="nil"/>
              <w:bottom w:val="nil"/>
              <w:right w:val="nil"/>
            </w:tcBorders>
            <w:shd w:val="clear" w:color="auto" w:fill="auto"/>
            <w:vAlign w:val="center"/>
            <w:hideMark/>
          </w:tcPr>
          <w:p w14:paraId="4B1EF638" w14:textId="105B4720" w:rsidR="00235A28" w:rsidRPr="00235A28" w:rsidRDefault="00235A28" w:rsidP="00235A28">
            <w:pPr>
              <w:jc w:val="right"/>
              <w:rPr>
                <w:b/>
                <w:bCs/>
                <w:color w:val="000000"/>
                <w:sz w:val="14"/>
                <w:szCs w:val="14"/>
                <w:lang w:eastAsia="tr-TR"/>
              </w:rPr>
            </w:pPr>
            <w:r w:rsidRPr="00235A28">
              <w:rPr>
                <w:b/>
                <w:bCs/>
                <w:color w:val="000000"/>
                <w:sz w:val="14"/>
                <w:szCs w:val="14"/>
                <w:lang w:eastAsia="tr-TR"/>
              </w:rPr>
              <w:t>45,589</w:t>
            </w:r>
          </w:p>
        </w:tc>
        <w:tc>
          <w:tcPr>
            <w:tcW w:w="498" w:type="dxa"/>
            <w:tcBorders>
              <w:top w:val="nil"/>
              <w:left w:val="nil"/>
              <w:bottom w:val="nil"/>
              <w:right w:val="nil"/>
            </w:tcBorders>
            <w:shd w:val="clear" w:color="auto" w:fill="auto"/>
            <w:vAlign w:val="center"/>
            <w:hideMark/>
          </w:tcPr>
          <w:p w14:paraId="7DD8A41F" w14:textId="3BFFC8C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B1D3B09" w14:textId="68431592" w:rsidR="00235A28" w:rsidRPr="00235A28" w:rsidRDefault="00235A28" w:rsidP="00235A28">
            <w:pPr>
              <w:jc w:val="right"/>
              <w:rPr>
                <w:b/>
                <w:bCs/>
                <w:color w:val="000000"/>
                <w:sz w:val="14"/>
                <w:szCs w:val="14"/>
                <w:lang w:eastAsia="tr-TR"/>
              </w:rPr>
            </w:pPr>
            <w:r w:rsidRPr="00235A28">
              <w:rPr>
                <w:b/>
                <w:bCs/>
                <w:color w:val="000000"/>
                <w:sz w:val="14"/>
                <w:szCs w:val="14"/>
                <w:lang w:eastAsia="tr-TR"/>
              </w:rPr>
              <w:t>315,466</w:t>
            </w:r>
          </w:p>
        </w:tc>
        <w:tc>
          <w:tcPr>
            <w:tcW w:w="717" w:type="dxa"/>
            <w:tcBorders>
              <w:top w:val="nil"/>
              <w:left w:val="nil"/>
              <w:bottom w:val="nil"/>
              <w:right w:val="nil"/>
            </w:tcBorders>
            <w:shd w:val="clear" w:color="auto" w:fill="auto"/>
            <w:vAlign w:val="center"/>
            <w:hideMark/>
          </w:tcPr>
          <w:p w14:paraId="2B6EB930" w14:textId="30D60766" w:rsidR="00235A28" w:rsidRPr="00235A28" w:rsidRDefault="00235A28" w:rsidP="00235A28">
            <w:pPr>
              <w:jc w:val="right"/>
              <w:rPr>
                <w:b/>
                <w:bCs/>
                <w:color w:val="000000"/>
                <w:sz w:val="14"/>
                <w:szCs w:val="14"/>
                <w:lang w:eastAsia="tr-TR"/>
              </w:rPr>
            </w:pPr>
            <w:r w:rsidRPr="00235A28">
              <w:rPr>
                <w:b/>
                <w:bCs/>
                <w:color w:val="000000"/>
                <w:sz w:val="14"/>
                <w:szCs w:val="14"/>
                <w:lang w:eastAsia="tr-TR"/>
              </w:rPr>
              <w:t>124,289</w:t>
            </w:r>
          </w:p>
        </w:tc>
        <w:tc>
          <w:tcPr>
            <w:tcW w:w="685" w:type="dxa"/>
            <w:tcBorders>
              <w:top w:val="nil"/>
              <w:left w:val="nil"/>
              <w:bottom w:val="nil"/>
              <w:right w:val="nil"/>
            </w:tcBorders>
            <w:shd w:val="clear" w:color="auto" w:fill="auto"/>
            <w:vAlign w:val="center"/>
            <w:hideMark/>
          </w:tcPr>
          <w:p w14:paraId="51C33616" w14:textId="31826BB7" w:rsidR="00235A28" w:rsidRPr="00235A28" w:rsidRDefault="00235A28" w:rsidP="00235A28">
            <w:pPr>
              <w:jc w:val="right"/>
              <w:rPr>
                <w:b/>
                <w:bCs/>
                <w:color w:val="000000"/>
                <w:sz w:val="14"/>
                <w:szCs w:val="14"/>
                <w:lang w:eastAsia="tr-TR"/>
              </w:rPr>
            </w:pPr>
            <w:r w:rsidRPr="00235A28">
              <w:rPr>
                <w:b/>
                <w:bCs/>
                <w:color w:val="000000"/>
                <w:sz w:val="14"/>
                <w:szCs w:val="14"/>
                <w:lang w:eastAsia="tr-TR"/>
              </w:rPr>
              <w:t>13</w:t>
            </w:r>
          </w:p>
        </w:tc>
        <w:tc>
          <w:tcPr>
            <w:tcW w:w="840" w:type="dxa"/>
            <w:tcBorders>
              <w:top w:val="nil"/>
              <w:left w:val="nil"/>
              <w:bottom w:val="nil"/>
              <w:right w:val="nil"/>
            </w:tcBorders>
            <w:shd w:val="clear" w:color="auto" w:fill="auto"/>
            <w:vAlign w:val="center"/>
            <w:hideMark/>
          </w:tcPr>
          <w:p w14:paraId="48FEC70E" w14:textId="6EFC9E0C" w:rsidR="00235A28" w:rsidRPr="00235A28" w:rsidRDefault="00235A28" w:rsidP="00235A28">
            <w:pPr>
              <w:jc w:val="right"/>
              <w:rPr>
                <w:b/>
                <w:bCs/>
                <w:color w:val="000000"/>
                <w:sz w:val="14"/>
                <w:szCs w:val="14"/>
                <w:lang w:eastAsia="tr-TR"/>
              </w:rPr>
            </w:pPr>
            <w:r w:rsidRPr="00235A28">
              <w:rPr>
                <w:b/>
                <w:bCs/>
                <w:color w:val="000000"/>
                <w:sz w:val="14"/>
                <w:szCs w:val="14"/>
                <w:lang w:eastAsia="tr-TR"/>
              </w:rPr>
              <w:t>2,715,297</w:t>
            </w:r>
          </w:p>
        </w:tc>
      </w:tr>
      <w:tr w:rsidR="00235A28" w:rsidRPr="00235A28" w14:paraId="1900759E"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072F596A"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Resmi kuruluşlar</w:t>
            </w:r>
          </w:p>
        </w:tc>
        <w:tc>
          <w:tcPr>
            <w:tcW w:w="775" w:type="dxa"/>
            <w:tcBorders>
              <w:top w:val="nil"/>
              <w:left w:val="nil"/>
              <w:bottom w:val="nil"/>
              <w:right w:val="nil"/>
            </w:tcBorders>
            <w:shd w:val="clear" w:color="auto" w:fill="auto"/>
            <w:vAlign w:val="center"/>
            <w:hideMark/>
          </w:tcPr>
          <w:p w14:paraId="3E85EF7B" w14:textId="267E2A72"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33410F76" w14:textId="154018D0" w:rsidR="00235A28" w:rsidRPr="00235A28" w:rsidRDefault="00235A28" w:rsidP="00235A28">
            <w:pPr>
              <w:jc w:val="right"/>
              <w:rPr>
                <w:color w:val="000000"/>
                <w:sz w:val="14"/>
                <w:szCs w:val="14"/>
                <w:lang w:eastAsia="tr-TR"/>
              </w:rPr>
            </w:pPr>
            <w:r w:rsidRPr="00235A28">
              <w:rPr>
                <w:color w:val="000000"/>
                <w:sz w:val="14"/>
                <w:szCs w:val="14"/>
                <w:lang w:eastAsia="tr-TR"/>
              </w:rPr>
              <w:t>335</w:t>
            </w:r>
          </w:p>
        </w:tc>
        <w:tc>
          <w:tcPr>
            <w:tcW w:w="774" w:type="dxa"/>
            <w:tcBorders>
              <w:top w:val="nil"/>
              <w:left w:val="nil"/>
              <w:bottom w:val="nil"/>
              <w:right w:val="nil"/>
            </w:tcBorders>
            <w:shd w:val="clear" w:color="auto" w:fill="auto"/>
            <w:vAlign w:val="center"/>
            <w:hideMark/>
          </w:tcPr>
          <w:p w14:paraId="61FAEA2C" w14:textId="67A45AF9" w:rsidR="00235A28" w:rsidRPr="00235A28" w:rsidRDefault="00235A28" w:rsidP="00235A28">
            <w:pPr>
              <w:jc w:val="right"/>
              <w:rPr>
                <w:color w:val="000000"/>
                <w:sz w:val="14"/>
                <w:szCs w:val="14"/>
                <w:lang w:eastAsia="tr-TR"/>
              </w:rPr>
            </w:pPr>
            <w:r w:rsidRPr="00235A28">
              <w:rPr>
                <w:color w:val="000000"/>
                <w:sz w:val="14"/>
                <w:szCs w:val="14"/>
                <w:lang w:eastAsia="tr-TR"/>
              </w:rPr>
              <w:t>803</w:t>
            </w:r>
          </w:p>
        </w:tc>
        <w:tc>
          <w:tcPr>
            <w:tcW w:w="717" w:type="dxa"/>
            <w:tcBorders>
              <w:top w:val="nil"/>
              <w:left w:val="nil"/>
              <w:bottom w:val="nil"/>
              <w:right w:val="nil"/>
            </w:tcBorders>
            <w:shd w:val="clear" w:color="auto" w:fill="auto"/>
            <w:vAlign w:val="center"/>
            <w:hideMark/>
          </w:tcPr>
          <w:p w14:paraId="71F67EAF" w14:textId="4E73F9F7" w:rsidR="00235A28" w:rsidRPr="00235A28" w:rsidRDefault="00235A28" w:rsidP="00235A28">
            <w:pPr>
              <w:jc w:val="right"/>
              <w:rPr>
                <w:color w:val="000000"/>
                <w:sz w:val="14"/>
                <w:szCs w:val="14"/>
                <w:lang w:eastAsia="tr-TR"/>
              </w:rPr>
            </w:pPr>
            <w:r w:rsidRPr="00235A28">
              <w:rPr>
                <w:color w:val="000000"/>
                <w:sz w:val="14"/>
                <w:szCs w:val="14"/>
                <w:lang w:eastAsia="tr-TR"/>
              </w:rPr>
              <w:t>629</w:t>
            </w:r>
          </w:p>
        </w:tc>
        <w:tc>
          <w:tcPr>
            <w:tcW w:w="498" w:type="dxa"/>
            <w:tcBorders>
              <w:top w:val="nil"/>
              <w:left w:val="nil"/>
              <w:bottom w:val="nil"/>
              <w:right w:val="nil"/>
            </w:tcBorders>
            <w:shd w:val="clear" w:color="auto" w:fill="auto"/>
            <w:vAlign w:val="center"/>
            <w:hideMark/>
          </w:tcPr>
          <w:p w14:paraId="18670493" w14:textId="63DA26B9"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3273EC3" w14:textId="51212AEC" w:rsidR="00235A28" w:rsidRPr="00235A28" w:rsidRDefault="00235A28" w:rsidP="00235A28">
            <w:pPr>
              <w:jc w:val="right"/>
              <w:rPr>
                <w:b/>
                <w:bCs/>
                <w:color w:val="000000"/>
                <w:sz w:val="14"/>
                <w:szCs w:val="14"/>
                <w:lang w:eastAsia="tr-TR"/>
              </w:rPr>
            </w:pPr>
            <w:r w:rsidRPr="00235A28">
              <w:rPr>
                <w:b/>
                <w:bCs/>
                <w:color w:val="000000"/>
                <w:sz w:val="14"/>
                <w:szCs w:val="14"/>
                <w:lang w:eastAsia="tr-TR"/>
              </w:rPr>
              <w:t>7,917</w:t>
            </w:r>
          </w:p>
        </w:tc>
        <w:tc>
          <w:tcPr>
            <w:tcW w:w="717" w:type="dxa"/>
            <w:tcBorders>
              <w:top w:val="nil"/>
              <w:left w:val="nil"/>
              <w:bottom w:val="nil"/>
              <w:right w:val="nil"/>
            </w:tcBorders>
            <w:shd w:val="clear" w:color="auto" w:fill="auto"/>
            <w:vAlign w:val="center"/>
            <w:hideMark/>
          </w:tcPr>
          <w:p w14:paraId="539FA3FE" w14:textId="29050C4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E63295B" w14:textId="3DD7E1D0"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D3658FC" w14:textId="4FE52D11" w:rsidR="00235A28" w:rsidRPr="00235A28" w:rsidRDefault="00235A28" w:rsidP="00235A28">
            <w:pPr>
              <w:jc w:val="right"/>
              <w:rPr>
                <w:color w:val="000000"/>
                <w:sz w:val="14"/>
                <w:szCs w:val="14"/>
                <w:lang w:eastAsia="tr-TR"/>
              </w:rPr>
            </w:pPr>
            <w:r w:rsidRPr="00235A28">
              <w:rPr>
                <w:color w:val="000000"/>
                <w:sz w:val="14"/>
                <w:szCs w:val="14"/>
                <w:lang w:eastAsia="tr-TR"/>
              </w:rPr>
              <w:t>9,684</w:t>
            </w:r>
          </w:p>
        </w:tc>
      </w:tr>
      <w:tr w:rsidR="00235A28" w:rsidRPr="00235A28" w14:paraId="30FA6AF4"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41ACFF79"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Ticari kuruluşlar</w:t>
            </w:r>
          </w:p>
        </w:tc>
        <w:tc>
          <w:tcPr>
            <w:tcW w:w="775" w:type="dxa"/>
            <w:tcBorders>
              <w:top w:val="nil"/>
              <w:left w:val="nil"/>
              <w:bottom w:val="nil"/>
              <w:right w:val="nil"/>
            </w:tcBorders>
            <w:shd w:val="clear" w:color="auto" w:fill="auto"/>
            <w:vAlign w:val="center"/>
            <w:hideMark/>
          </w:tcPr>
          <w:p w14:paraId="24D18CF7" w14:textId="387CF36E"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619A890" w14:textId="32753E5E" w:rsidR="00235A28" w:rsidRPr="00235A28" w:rsidRDefault="00235A28" w:rsidP="00235A28">
            <w:pPr>
              <w:jc w:val="right"/>
              <w:rPr>
                <w:color w:val="000000"/>
                <w:sz w:val="14"/>
                <w:szCs w:val="14"/>
                <w:lang w:eastAsia="tr-TR"/>
              </w:rPr>
            </w:pPr>
            <w:r w:rsidRPr="00235A28">
              <w:rPr>
                <w:color w:val="000000"/>
                <w:sz w:val="14"/>
                <w:szCs w:val="14"/>
                <w:lang w:eastAsia="tr-TR"/>
              </w:rPr>
              <w:t>732,727</w:t>
            </w:r>
          </w:p>
        </w:tc>
        <w:tc>
          <w:tcPr>
            <w:tcW w:w="774" w:type="dxa"/>
            <w:tcBorders>
              <w:top w:val="nil"/>
              <w:left w:val="nil"/>
              <w:bottom w:val="nil"/>
              <w:right w:val="nil"/>
            </w:tcBorders>
            <w:shd w:val="clear" w:color="auto" w:fill="auto"/>
            <w:vAlign w:val="center"/>
            <w:hideMark/>
          </w:tcPr>
          <w:p w14:paraId="71646511" w14:textId="5ED1048B" w:rsidR="00235A28" w:rsidRPr="00235A28" w:rsidRDefault="00235A28" w:rsidP="00235A28">
            <w:pPr>
              <w:jc w:val="right"/>
              <w:rPr>
                <w:color w:val="000000"/>
                <w:sz w:val="14"/>
                <w:szCs w:val="14"/>
                <w:lang w:eastAsia="tr-TR"/>
              </w:rPr>
            </w:pPr>
            <w:r w:rsidRPr="00235A28">
              <w:rPr>
                <w:color w:val="000000"/>
                <w:sz w:val="14"/>
                <w:szCs w:val="14"/>
                <w:lang w:eastAsia="tr-TR"/>
              </w:rPr>
              <w:t>1,252,683</w:t>
            </w:r>
          </w:p>
        </w:tc>
        <w:tc>
          <w:tcPr>
            <w:tcW w:w="717" w:type="dxa"/>
            <w:tcBorders>
              <w:top w:val="nil"/>
              <w:left w:val="nil"/>
              <w:bottom w:val="nil"/>
              <w:right w:val="nil"/>
            </w:tcBorders>
            <w:shd w:val="clear" w:color="auto" w:fill="auto"/>
            <w:vAlign w:val="center"/>
            <w:hideMark/>
          </w:tcPr>
          <w:p w14:paraId="33862554" w14:textId="354562E3" w:rsidR="00235A28" w:rsidRPr="00235A28" w:rsidRDefault="00235A28" w:rsidP="00235A28">
            <w:pPr>
              <w:jc w:val="right"/>
              <w:rPr>
                <w:color w:val="000000"/>
                <w:sz w:val="14"/>
                <w:szCs w:val="14"/>
                <w:lang w:eastAsia="tr-TR"/>
              </w:rPr>
            </w:pPr>
            <w:r w:rsidRPr="00235A28">
              <w:rPr>
                <w:color w:val="000000"/>
                <w:sz w:val="14"/>
                <w:szCs w:val="14"/>
                <w:lang w:eastAsia="tr-TR"/>
              </w:rPr>
              <w:t>37,233</w:t>
            </w:r>
          </w:p>
        </w:tc>
        <w:tc>
          <w:tcPr>
            <w:tcW w:w="498" w:type="dxa"/>
            <w:tcBorders>
              <w:top w:val="nil"/>
              <w:left w:val="nil"/>
              <w:bottom w:val="nil"/>
              <w:right w:val="nil"/>
            </w:tcBorders>
            <w:shd w:val="clear" w:color="auto" w:fill="auto"/>
            <w:vAlign w:val="center"/>
            <w:hideMark/>
          </w:tcPr>
          <w:p w14:paraId="3C52CD93" w14:textId="1AE43A2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FA553DF" w14:textId="02D534ED" w:rsidR="00235A28" w:rsidRPr="00235A28" w:rsidRDefault="00235A28" w:rsidP="00235A28">
            <w:pPr>
              <w:jc w:val="right"/>
              <w:rPr>
                <w:b/>
                <w:bCs/>
                <w:color w:val="000000"/>
                <w:sz w:val="14"/>
                <w:szCs w:val="14"/>
                <w:lang w:eastAsia="tr-TR"/>
              </w:rPr>
            </w:pPr>
            <w:r w:rsidRPr="00235A28">
              <w:rPr>
                <w:b/>
                <w:bCs/>
                <w:color w:val="000000"/>
                <w:sz w:val="14"/>
                <w:szCs w:val="14"/>
                <w:lang w:eastAsia="tr-TR"/>
              </w:rPr>
              <w:t>295,001</w:t>
            </w:r>
          </w:p>
        </w:tc>
        <w:tc>
          <w:tcPr>
            <w:tcW w:w="717" w:type="dxa"/>
            <w:tcBorders>
              <w:top w:val="nil"/>
              <w:left w:val="nil"/>
              <w:bottom w:val="nil"/>
              <w:right w:val="nil"/>
            </w:tcBorders>
            <w:shd w:val="clear" w:color="auto" w:fill="auto"/>
            <w:vAlign w:val="center"/>
            <w:hideMark/>
          </w:tcPr>
          <w:p w14:paraId="148F7931" w14:textId="0F055A51" w:rsidR="00235A28" w:rsidRPr="00235A28" w:rsidRDefault="00235A28" w:rsidP="00235A28">
            <w:pPr>
              <w:jc w:val="right"/>
              <w:rPr>
                <w:b/>
                <w:bCs/>
                <w:color w:val="000000"/>
                <w:sz w:val="14"/>
                <w:szCs w:val="14"/>
                <w:lang w:eastAsia="tr-TR"/>
              </w:rPr>
            </w:pPr>
            <w:r w:rsidRPr="00235A28">
              <w:rPr>
                <w:b/>
                <w:bCs/>
                <w:color w:val="000000"/>
                <w:sz w:val="14"/>
                <w:szCs w:val="14"/>
                <w:lang w:eastAsia="tr-TR"/>
              </w:rPr>
              <w:t>122,437</w:t>
            </w:r>
          </w:p>
        </w:tc>
        <w:tc>
          <w:tcPr>
            <w:tcW w:w="685" w:type="dxa"/>
            <w:tcBorders>
              <w:top w:val="nil"/>
              <w:left w:val="nil"/>
              <w:bottom w:val="nil"/>
              <w:right w:val="nil"/>
            </w:tcBorders>
            <w:shd w:val="clear" w:color="auto" w:fill="auto"/>
            <w:vAlign w:val="center"/>
            <w:hideMark/>
          </w:tcPr>
          <w:p w14:paraId="5F2904D8" w14:textId="0617E92F" w:rsidR="00235A28" w:rsidRPr="00235A28" w:rsidRDefault="00235A28" w:rsidP="00235A28">
            <w:pPr>
              <w:jc w:val="right"/>
              <w:rPr>
                <w:b/>
                <w:bCs/>
                <w:color w:val="000000"/>
                <w:sz w:val="14"/>
                <w:szCs w:val="14"/>
                <w:lang w:eastAsia="tr-TR"/>
              </w:rPr>
            </w:pPr>
            <w:r w:rsidRPr="00235A28">
              <w:rPr>
                <w:b/>
                <w:bCs/>
                <w:color w:val="000000"/>
                <w:sz w:val="14"/>
                <w:szCs w:val="14"/>
                <w:lang w:eastAsia="tr-TR"/>
              </w:rPr>
              <w:t>13</w:t>
            </w:r>
          </w:p>
        </w:tc>
        <w:tc>
          <w:tcPr>
            <w:tcW w:w="840" w:type="dxa"/>
            <w:tcBorders>
              <w:top w:val="nil"/>
              <w:left w:val="nil"/>
              <w:bottom w:val="nil"/>
              <w:right w:val="nil"/>
            </w:tcBorders>
            <w:shd w:val="clear" w:color="auto" w:fill="auto"/>
            <w:vAlign w:val="center"/>
            <w:hideMark/>
          </w:tcPr>
          <w:p w14:paraId="43ABCD93" w14:textId="23FCC48A" w:rsidR="00235A28" w:rsidRPr="00235A28" w:rsidRDefault="00235A28" w:rsidP="00235A28">
            <w:pPr>
              <w:jc w:val="right"/>
              <w:rPr>
                <w:color w:val="000000"/>
                <w:sz w:val="14"/>
                <w:szCs w:val="14"/>
                <w:lang w:eastAsia="tr-TR"/>
              </w:rPr>
            </w:pPr>
            <w:r w:rsidRPr="00235A28">
              <w:rPr>
                <w:color w:val="000000"/>
                <w:sz w:val="14"/>
                <w:szCs w:val="14"/>
                <w:lang w:eastAsia="tr-TR"/>
              </w:rPr>
              <w:t>2,440,094</w:t>
            </w:r>
          </w:p>
        </w:tc>
      </w:tr>
      <w:tr w:rsidR="00235A28" w:rsidRPr="00235A28" w14:paraId="5AD62E10"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11E5D15C"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Diğer kuruluşlar</w:t>
            </w:r>
          </w:p>
        </w:tc>
        <w:tc>
          <w:tcPr>
            <w:tcW w:w="775" w:type="dxa"/>
            <w:tcBorders>
              <w:top w:val="nil"/>
              <w:left w:val="nil"/>
              <w:bottom w:val="nil"/>
              <w:right w:val="nil"/>
            </w:tcBorders>
            <w:shd w:val="clear" w:color="auto" w:fill="auto"/>
            <w:vAlign w:val="center"/>
            <w:hideMark/>
          </w:tcPr>
          <w:p w14:paraId="389D6B2C" w14:textId="0580CB97"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0A254C08" w14:textId="0FC4D3D1" w:rsidR="00235A28" w:rsidRPr="00235A28" w:rsidRDefault="00235A28" w:rsidP="00235A28">
            <w:pPr>
              <w:jc w:val="right"/>
              <w:rPr>
                <w:color w:val="000000"/>
                <w:sz w:val="14"/>
                <w:szCs w:val="14"/>
                <w:lang w:eastAsia="tr-TR"/>
              </w:rPr>
            </w:pPr>
            <w:r w:rsidRPr="00235A28">
              <w:rPr>
                <w:color w:val="000000"/>
                <w:sz w:val="14"/>
                <w:szCs w:val="14"/>
                <w:lang w:eastAsia="tr-TR"/>
              </w:rPr>
              <w:t>80,284</w:t>
            </w:r>
          </w:p>
        </w:tc>
        <w:tc>
          <w:tcPr>
            <w:tcW w:w="774" w:type="dxa"/>
            <w:tcBorders>
              <w:top w:val="nil"/>
              <w:left w:val="nil"/>
              <w:bottom w:val="nil"/>
              <w:right w:val="nil"/>
            </w:tcBorders>
            <w:shd w:val="clear" w:color="auto" w:fill="auto"/>
            <w:vAlign w:val="center"/>
            <w:hideMark/>
          </w:tcPr>
          <w:p w14:paraId="53E2889A" w14:textId="21E0B4D1" w:rsidR="00235A28" w:rsidRPr="00235A28" w:rsidRDefault="00235A28" w:rsidP="00235A28">
            <w:pPr>
              <w:jc w:val="right"/>
              <w:rPr>
                <w:color w:val="000000"/>
                <w:sz w:val="14"/>
                <w:szCs w:val="14"/>
                <w:lang w:eastAsia="tr-TR"/>
              </w:rPr>
            </w:pPr>
            <w:r w:rsidRPr="00235A28">
              <w:rPr>
                <w:color w:val="000000"/>
                <w:sz w:val="14"/>
                <w:szCs w:val="14"/>
                <w:lang w:eastAsia="tr-TR"/>
              </w:rPr>
              <w:t>161,362</w:t>
            </w:r>
          </w:p>
        </w:tc>
        <w:tc>
          <w:tcPr>
            <w:tcW w:w="717" w:type="dxa"/>
            <w:tcBorders>
              <w:top w:val="nil"/>
              <w:left w:val="nil"/>
              <w:bottom w:val="nil"/>
              <w:right w:val="nil"/>
            </w:tcBorders>
            <w:shd w:val="clear" w:color="auto" w:fill="auto"/>
            <w:vAlign w:val="center"/>
            <w:hideMark/>
          </w:tcPr>
          <w:p w14:paraId="349F508A" w14:textId="4DD01E97" w:rsidR="00235A28" w:rsidRPr="00235A28" w:rsidRDefault="00235A28" w:rsidP="00235A28">
            <w:pPr>
              <w:jc w:val="right"/>
              <w:rPr>
                <w:color w:val="000000"/>
                <w:sz w:val="14"/>
                <w:szCs w:val="14"/>
                <w:lang w:eastAsia="tr-TR"/>
              </w:rPr>
            </w:pPr>
            <w:r w:rsidRPr="00235A28">
              <w:rPr>
                <w:color w:val="000000"/>
                <w:sz w:val="14"/>
                <w:szCs w:val="14"/>
                <w:lang w:eastAsia="tr-TR"/>
              </w:rPr>
              <w:t>7,727</w:t>
            </w:r>
          </w:p>
        </w:tc>
        <w:tc>
          <w:tcPr>
            <w:tcW w:w="498" w:type="dxa"/>
            <w:tcBorders>
              <w:top w:val="nil"/>
              <w:left w:val="nil"/>
              <w:bottom w:val="nil"/>
              <w:right w:val="nil"/>
            </w:tcBorders>
            <w:shd w:val="clear" w:color="auto" w:fill="auto"/>
            <w:vAlign w:val="center"/>
            <w:hideMark/>
          </w:tcPr>
          <w:p w14:paraId="5EE19ABE" w14:textId="5A4FEE5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FFA5859" w14:textId="787355EE" w:rsidR="00235A28" w:rsidRPr="00235A28" w:rsidRDefault="00235A28" w:rsidP="00235A28">
            <w:pPr>
              <w:jc w:val="right"/>
              <w:rPr>
                <w:b/>
                <w:bCs/>
                <w:color w:val="000000"/>
                <w:sz w:val="14"/>
                <w:szCs w:val="14"/>
                <w:lang w:eastAsia="tr-TR"/>
              </w:rPr>
            </w:pPr>
            <w:r w:rsidRPr="00235A28">
              <w:rPr>
                <w:b/>
                <w:bCs/>
                <w:color w:val="000000"/>
                <w:sz w:val="14"/>
                <w:szCs w:val="14"/>
                <w:lang w:eastAsia="tr-TR"/>
              </w:rPr>
              <w:t>12,510</w:t>
            </w:r>
          </w:p>
        </w:tc>
        <w:tc>
          <w:tcPr>
            <w:tcW w:w="717" w:type="dxa"/>
            <w:tcBorders>
              <w:top w:val="nil"/>
              <w:left w:val="nil"/>
              <w:bottom w:val="nil"/>
              <w:right w:val="nil"/>
            </w:tcBorders>
            <w:shd w:val="clear" w:color="auto" w:fill="auto"/>
            <w:vAlign w:val="center"/>
            <w:hideMark/>
          </w:tcPr>
          <w:p w14:paraId="121C0256" w14:textId="5875C978" w:rsidR="00235A28" w:rsidRPr="00235A28" w:rsidRDefault="00235A28" w:rsidP="00235A28">
            <w:pPr>
              <w:jc w:val="right"/>
              <w:rPr>
                <w:b/>
                <w:bCs/>
                <w:color w:val="000000"/>
                <w:sz w:val="14"/>
                <w:szCs w:val="14"/>
                <w:lang w:eastAsia="tr-TR"/>
              </w:rPr>
            </w:pPr>
            <w:r w:rsidRPr="00235A28">
              <w:rPr>
                <w:b/>
                <w:bCs/>
                <w:color w:val="000000"/>
                <w:sz w:val="14"/>
                <w:szCs w:val="14"/>
                <w:lang w:eastAsia="tr-TR"/>
              </w:rPr>
              <w:t>493</w:t>
            </w:r>
          </w:p>
        </w:tc>
        <w:tc>
          <w:tcPr>
            <w:tcW w:w="685" w:type="dxa"/>
            <w:tcBorders>
              <w:top w:val="nil"/>
              <w:left w:val="nil"/>
              <w:bottom w:val="nil"/>
              <w:right w:val="nil"/>
            </w:tcBorders>
            <w:shd w:val="clear" w:color="auto" w:fill="auto"/>
            <w:vAlign w:val="center"/>
            <w:hideMark/>
          </w:tcPr>
          <w:p w14:paraId="579252F7" w14:textId="6B9A914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385B0A3" w14:textId="5EBD5849" w:rsidR="00235A28" w:rsidRPr="00235A28" w:rsidRDefault="00235A28" w:rsidP="00235A28">
            <w:pPr>
              <w:jc w:val="right"/>
              <w:rPr>
                <w:color w:val="000000"/>
                <w:sz w:val="14"/>
                <w:szCs w:val="14"/>
                <w:lang w:eastAsia="tr-TR"/>
              </w:rPr>
            </w:pPr>
            <w:r w:rsidRPr="00235A28">
              <w:rPr>
                <w:color w:val="000000"/>
                <w:sz w:val="14"/>
                <w:szCs w:val="14"/>
                <w:lang w:eastAsia="tr-TR"/>
              </w:rPr>
              <w:t>262,376</w:t>
            </w:r>
          </w:p>
        </w:tc>
      </w:tr>
      <w:tr w:rsidR="00235A28" w:rsidRPr="00235A28" w14:paraId="720A9474"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65B1F546"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Ticari ve diğer kuruluşlar</w:t>
            </w:r>
          </w:p>
        </w:tc>
        <w:tc>
          <w:tcPr>
            <w:tcW w:w="775" w:type="dxa"/>
            <w:tcBorders>
              <w:top w:val="nil"/>
              <w:left w:val="nil"/>
              <w:bottom w:val="nil"/>
              <w:right w:val="nil"/>
            </w:tcBorders>
            <w:shd w:val="clear" w:color="auto" w:fill="auto"/>
            <w:vAlign w:val="center"/>
            <w:hideMark/>
          </w:tcPr>
          <w:p w14:paraId="771B79FC" w14:textId="5017ECB0"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7423A68A" w14:textId="6AED4493" w:rsidR="00235A28" w:rsidRPr="00235A28" w:rsidRDefault="00235A28" w:rsidP="00235A28">
            <w:pPr>
              <w:jc w:val="right"/>
              <w:rPr>
                <w:color w:val="000000"/>
                <w:sz w:val="14"/>
                <w:szCs w:val="14"/>
                <w:lang w:eastAsia="tr-TR"/>
              </w:rPr>
            </w:pPr>
            <w:r w:rsidRPr="00235A28">
              <w:rPr>
                <w:color w:val="000000"/>
                <w:sz w:val="14"/>
                <w:szCs w:val="14"/>
                <w:lang w:eastAsia="tr-TR"/>
              </w:rPr>
              <w:t>349</w:t>
            </w:r>
          </w:p>
        </w:tc>
        <w:tc>
          <w:tcPr>
            <w:tcW w:w="774" w:type="dxa"/>
            <w:tcBorders>
              <w:top w:val="nil"/>
              <w:left w:val="nil"/>
              <w:bottom w:val="nil"/>
              <w:right w:val="nil"/>
            </w:tcBorders>
            <w:shd w:val="clear" w:color="auto" w:fill="auto"/>
            <w:vAlign w:val="center"/>
            <w:hideMark/>
          </w:tcPr>
          <w:p w14:paraId="16B8EEDA" w14:textId="037A7119" w:rsidR="00235A28" w:rsidRPr="00235A28" w:rsidRDefault="00235A28" w:rsidP="00235A28">
            <w:pPr>
              <w:jc w:val="right"/>
              <w:rPr>
                <w:color w:val="000000"/>
                <w:sz w:val="14"/>
                <w:szCs w:val="14"/>
                <w:lang w:eastAsia="tr-TR"/>
              </w:rPr>
            </w:pPr>
            <w:r w:rsidRPr="00235A28">
              <w:rPr>
                <w:color w:val="000000"/>
                <w:sz w:val="14"/>
                <w:szCs w:val="14"/>
                <w:lang w:eastAsia="tr-TR"/>
              </w:rPr>
              <w:t>1,378</w:t>
            </w:r>
          </w:p>
        </w:tc>
        <w:tc>
          <w:tcPr>
            <w:tcW w:w="717" w:type="dxa"/>
            <w:tcBorders>
              <w:top w:val="nil"/>
              <w:left w:val="nil"/>
              <w:bottom w:val="nil"/>
              <w:right w:val="nil"/>
            </w:tcBorders>
            <w:shd w:val="clear" w:color="auto" w:fill="auto"/>
            <w:vAlign w:val="center"/>
            <w:hideMark/>
          </w:tcPr>
          <w:p w14:paraId="4FAFD844" w14:textId="52A56AF4"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80895F3" w14:textId="6CD6C67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C6D5EAC" w14:textId="74C7E46B" w:rsidR="00235A28" w:rsidRPr="00235A28" w:rsidRDefault="00235A28" w:rsidP="00235A28">
            <w:pPr>
              <w:jc w:val="right"/>
              <w:rPr>
                <w:b/>
                <w:bCs/>
                <w:color w:val="000000"/>
                <w:sz w:val="14"/>
                <w:szCs w:val="14"/>
                <w:lang w:eastAsia="tr-TR"/>
              </w:rPr>
            </w:pPr>
            <w:r w:rsidRPr="00235A28">
              <w:rPr>
                <w:b/>
                <w:bCs/>
                <w:color w:val="000000"/>
                <w:sz w:val="14"/>
                <w:szCs w:val="14"/>
                <w:lang w:eastAsia="tr-TR"/>
              </w:rPr>
              <w:t>38</w:t>
            </w:r>
          </w:p>
        </w:tc>
        <w:tc>
          <w:tcPr>
            <w:tcW w:w="717" w:type="dxa"/>
            <w:tcBorders>
              <w:top w:val="nil"/>
              <w:left w:val="nil"/>
              <w:bottom w:val="nil"/>
              <w:right w:val="nil"/>
            </w:tcBorders>
            <w:shd w:val="clear" w:color="auto" w:fill="auto"/>
            <w:vAlign w:val="center"/>
            <w:hideMark/>
          </w:tcPr>
          <w:p w14:paraId="3AD5CCB1" w14:textId="213E35FF" w:rsidR="00235A28" w:rsidRPr="00235A28" w:rsidRDefault="00235A28" w:rsidP="00235A28">
            <w:pPr>
              <w:jc w:val="right"/>
              <w:rPr>
                <w:b/>
                <w:bCs/>
                <w:color w:val="000000"/>
                <w:sz w:val="14"/>
                <w:szCs w:val="14"/>
                <w:lang w:eastAsia="tr-TR"/>
              </w:rPr>
            </w:pPr>
            <w:r w:rsidRPr="00235A28">
              <w:rPr>
                <w:b/>
                <w:bCs/>
                <w:color w:val="000000"/>
                <w:sz w:val="14"/>
                <w:szCs w:val="14"/>
                <w:lang w:eastAsia="tr-TR"/>
              </w:rPr>
              <w:t>1,359</w:t>
            </w:r>
          </w:p>
        </w:tc>
        <w:tc>
          <w:tcPr>
            <w:tcW w:w="685" w:type="dxa"/>
            <w:tcBorders>
              <w:top w:val="nil"/>
              <w:left w:val="nil"/>
              <w:bottom w:val="nil"/>
              <w:right w:val="nil"/>
            </w:tcBorders>
            <w:shd w:val="clear" w:color="auto" w:fill="auto"/>
            <w:vAlign w:val="center"/>
            <w:hideMark/>
          </w:tcPr>
          <w:p w14:paraId="371A84D5" w14:textId="21F9330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F66B3C0" w14:textId="27FD0021" w:rsidR="00235A28" w:rsidRPr="00235A28" w:rsidRDefault="00235A28" w:rsidP="00235A28">
            <w:pPr>
              <w:jc w:val="right"/>
              <w:rPr>
                <w:color w:val="000000"/>
                <w:sz w:val="14"/>
                <w:szCs w:val="14"/>
                <w:lang w:eastAsia="tr-TR"/>
              </w:rPr>
            </w:pPr>
            <w:r w:rsidRPr="00235A28">
              <w:rPr>
                <w:color w:val="000000"/>
                <w:sz w:val="14"/>
                <w:szCs w:val="14"/>
                <w:lang w:eastAsia="tr-TR"/>
              </w:rPr>
              <w:t>3,124</w:t>
            </w:r>
          </w:p>
        </w:tc>
      </w:tr>
      <w:tr w:rsidR="00235A28" w:rsidRPr="00235A28" w14:paraId="571BEDCE"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1AEE1FD4"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Bankalar ve katılım bankaları</w:t>
            </w:r>
          </w:p>
        </w:tc>
        <w:tc>
          <w:tcPr>
            <w:tcW w:w="775" w:type="dxa"/>
            <w:tcBorders>
              <w:top w:val="nil"/>
              <w:left w:val="nil"/>
              <w:bottom w:val="nil"/>
              <w:right w:val="nil"/>
            </w:tcBorders>
            <w:shd w:val="clear" w:color="auto" w:fill="auto"/>
            <w:vAlign w:val="center"/>
            <w:hideMark/>
          </w:tcPr>
          <w:p w14:paraId="3C47BAE4" w14:textId="3EA78C86"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6D9A37B" w14:textId="2EA800C5"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066179AF" w14:textId="6AF387F0" w:rsidR="00235A28" w:rsidRPr="00235A28" w:rsidRDefault="00235A28" w:rsidP="00235A28">
            <w:pPr>
              <w:jc w:val="right"/>
              <w:rPr>
                <w:color w:val="000000"/>
                <w:sz w:val="14"/>
                <w:szCs w:val="14"/>
                <w:lang w:eastAsia="tr-TR"/>
              </w:rPr>
            </w:pPr>
            <w:r w:rsidRPr="00235A28">
              <w:rPr>
                <w:color w:val="000000"/>
                <w:sz w:val="14"/>
                <w:szCs w:val="14"/>
                <w:lang w:eastAsia="tr-TR"/>
              </w:rPr>
              <w:t>19</w:t>
            </w:r>
          </w:p>
        </w:tc>
        <w:tc>
          <w:tcPr>
            <w:tcW w:w="717" w:type="dxa"/>
            <w:tcBorders>
              <w:top w:val="nil"/>
              <w:left w:val="nil"/>
              <w:bottom w:val="nil"/>
              <w:right w:val="nil"/>
            </w:tcBorders>
            <w:shd w:val="clear" w:color="auto" w:fill="auto"/>
            <w:vAlign w:val="center"/>
            <w:hideMark/>
          </w:tcPr>
          <w:p w14:paraId="6485D370" w14:textId="3A78AA38"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D0D579C" w14:textId="6A8A1BE9"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3E6F968" w14:textId="58FA73A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EFAB677" w14:textId="2646A81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336C91A" w14:textId="44EFE7C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7CDA410" w14:textId="7DA1B4EB" w:rsidR="00235A28" w:rsidRPr="00235A28" w:rsidRDefault="00235A28" w:rsidP="00235A28">
            <w:pPr>
              <w:jc w:val="right"/>
              <w:rPr>
                <w:color w:val="000000"/>
                <w:sz w:val="14"/>
                <w:szCs w:val="14"/>
                <w:lang w:eastAsia="tr-TR"/>
              </w:rPr>
            </w:pPr>
            <w:r w:rsidRPr="00235A28">
              <w:rPr>
                <w:color w:val="000000"/>
                <w:sz w:val="14"/>
                <w:szCs w:val="14"/>
                <w:lang w:eastAsia="tr-TR"/>
              </w:rPr>
              <w:t>19</w:t>
            </w:r>
          </w:p>
        </w:tc>
      </w:tr>
      <w:tr w:rsidR="00235A28" w:rsidRPr="00235A28" w14:paraId="3ABC381A" w14:textId="77777777" w:rsidTr="00BA637F">
        <w:trPr>
          <w:divId w:val="367950772"/>
          <w:trHeight w:val="177"/>
        </w:trPr>
        <w:tc>
          <w:tcPr>
            <w:tcW w:w="3408" w:type="dxa"/>
            <w:tcBorders>
              <w:top w:val="nil"/>
              <w:left w:val="nil"/>
              <w:bottom w:val="nil"/>
              <w:right w:val="nil"/>
            </w:tcBorders>
            <w:shd w:val="clear" w:color="auto" w:fill="auto"/>
            <w:vAlign w:val="center"/>
            <w:hideMark/>
          </w:tcPr>
          <w:p w14:paraId="657EC935" w14:textId="77777777" w:rsidR="00235A28" w:rsidRPr="00235A28" w:rsidRDefault="00235A28" w:rsidP="00235A28">
            <w:pPr>
              <w:ind w:firstLineChars="100" w:firstLine="140"/>
              <w:rPr>
                <w:b/>
                <w:bCs/>
                <w:color w:val="000000"/>
                <w:sz w:val="14"/>
                <w:szCs w:val="14"/>
                <w:lang w:eastAsia="tr-TR"/>
              </w:rPr>
            </w:pPr>
            <w:proofErr w:type="spellStart"/>
            <w:r w:rsidRPr="00235A28">
              <w:rPr>
                <w:rFonts w:eastAsia="Arial Unicode MS"/>
                <w:b/>
                <w:bCs/>
                <w:color w:val="000000"/>
                <w:sz w:val="14"/>
                <w:szCs w:val="14"/>
                <w:lang w:eastAsia="tr-TR"/>
              </w:rPr>
              <w:t>V.Özel</w:t>
            </w:r>
            <w:proofErr w:type="spellEnd"/>
            <w:r w:rsidRPr="00235A28">
              <w:rPr>
                <w:rFonts w:eastAsia="Arial Unicode MS"/>
                <w:b/>
                <w:bCs/>
                <w:color w:val="000000"/>
                <w:sz w:val="14"/>
                <w:szCs w:val="14"/>
                <w:lang w:eastAsia="tr-TR"/>
              </w:rPr>
              <w:t xml:space="preserve"> cari hesabı gerçek kişi ticari olmayan-YP</w:t>
            </w:r>
          </w:p>
        </w:tc>
        <w:tc>
          <w:tcPr>
            <w:tcW w:w="775" w:type="dxa"/>
            <w:tcBorders>
              <w:top w:val="nil"/>
              <w:left w:val="nil"/>
              <w:bottom w:val="nil"/>
              <w:right w:val="nil"/>
            </w:tcBorders>
            <w:shd w:val="clear" w:color="auto" w:fill="auto"/>
            <w:vAlign w:val="center"/>
            <w:hideMark/>
          </w:tcPr>
          <w:p w14:paraId="4BF9DA22" w14:textId="7582E9F5" w:rsidR="00235A28" w:rsidRPr="00235A28" w:rsidRDefault="00235A28" w:rsidP="00235A28">
            <w:pPr>
              <w:jc w:val="right"/>
              <w:rPr>
                <w:b/>
                <w:bCs/>
                <w:color w:val="000000"/>
                <w:sz w:val="14"/>
                <w:szCs w:val="14"/>
                <w:lang w:eastAsia="tr-TR"/>
              </w:rPr>
            </w:pPr>
            <w:r w:rsidRPr="00235A28">
              <w:rPr>
                <w:b/>
                <w:bCs/>
                <w:color w:val="000000"/>
                <w:sz w:val="14"/>
                <w:szCs w:val="14"/>
                <w:lang w:eastAsia="tr-TR"/>
              </w:rPr>
              <w:t>18,480,633</w:t>
            </w:r>
          </w:p>
        </w:tc>
        <w:tc>
          <w:tcPr>
            <w:tcW w:w="774" w:type="dxa"/>
            <w:tcBorders>
              <w:top w:val="nil"/>
              <w:left w:val="nil"/>
              <w:bottom w:val="nil"/>
              <w:right w:val="nil"/>
            </w:tcBorders>
            <w:shd w:val="clear" w:color="auto" w:fill="auto"/>
            <w:vAlign w:val="center"/>
            <w:hideMark/>
          </w:tcPr>
          <w:p w14:paraId="4B322910" w14:textId="1C3C2487"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5E5E1511" w14:textId="46CD1EC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A5B073D" w14:textId="315698B2"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13195BC" w14:textId="69C04A98"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64A40B0" w14:textId="77AD6F28"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9A06F4A" w14:textId="175AFA2E"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ADA2B12" w14:textId="625D929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EB32C6C" w14:textId="1F819B89" w:rsidR="00235A28" w:rsidRPr="00235A28" w:rsidRDefault="00235A28" w:rsidP="00235A28">
            <w:pPr>
              <w:jc w:val="right"/>
              <w:rPr>
                <w:b/>
                <w:bCs/>
                <w:color w:val="000000"/>
                <w:sz w:val="14"/>
                <w:szCs w:val="14"/>
                <w:lang w:eastAsia="tr-TR"/>
              </w:rPr>
            </w:pPr>
            <w:r w:rsidRPr="00235A28">
              <w:rPr>
                <w:b/>
                <w:bCs/>
                <w:color w:val="000000"/>
                <w:sz w:val="14"/>
                <w:szCs w:val="14"/>
                <w:lang w:eastAsia="tr-TR"/>
              </w:rPr>
              <w:t>18,480,633</w:t>
            </w:r>
          </w:p>
        </w:tc>
      </w:tr>
      <w:tr w:rsidR="00235A28" w:rsidRPr="00235A28" w14:paraId="53545928" w14:textId="77777777" w:rsidTr="00BA637F">
        <w:trPr>
          <w:divId w:val="367950772"/>
          <w:trHeight w:val="177"/>
        </w:trPr>
        <w:tc>
          <w:tcPr>
            <w:tcW w:w="3408" w:type="dxa"/>
            <w:tcBorders>
              <w:top w:val="nil"/>
              <w:left w:val="nil"/>
              <w:bottom w:val="nil"/>
              <w:right w:val="nil"/>
            </w:tcBorders>
            <w:shd w:val="clear" w:color="auto" w:fill="auto"/>
            <w:vAlign w:val="center"/>
            <w:hideMark/>
          </w:tcPr>
          <w:p w14:paraId="61C10380" w14:textId="77777777" w:rsidR="00235A28" w:rsidRPr="00235A28" w:rsidRDefault="00235A28" w:rsidP="00235A28">
            <w:pPr>
              <w:ind w:firstLineChars="100" w:firstLine="140"/>
              <w:rPr>
                <w:b/>
                <w:bCs/>
                <w:color w:val="000000"/>
                <w:sz w:val="14"/>
                <w:szCs w:val="14"/>
                <w:lang w:eastAsia="tr-TR"/>
              </w:rPr>
            </w:pPr>
            <w:r w:rsidRPr="00235A28">
              <w:rPr>
                <w:rFonts w:eastAsia="Arial Unicode MS"/>
                <w:b/>
                <w:bCs/>
                <w:color w:val="000000"/>
                <w:sz w:val="14"/>
                <w:szCs w:val="14"/>
                <w:lang w:eastAsia="tr-TR"/>
              </w:rPr>
              <w:t>VI. Katılma hesabı gerçek kişi ticari olmayan-YP</w:t>
            </w:r>
          </w:p>
        </w:tc>
        <w:tc>
          <w:tcPr>
            <w:tcW w:w="775" w:type="dxa"/>
            <w:tcBorders>
              <w:top w:val="nil"/>
              <w:left w:val="nil"/>
              <w:bottom w:val="nil"/>
              <w:right w:val="nil"/>
            </w:tcBorders>
            <w:shd w:val="clear" w:color="auto" w:fill="auto"/>
            <w:vAlign w:val="center"/>
            <w:hideMark/>
          </w:tcPr>
          <w:p w14:paraId="44B03F55" w14:textId="7904E30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387A870E" w14:textId="316B4B59" w:rsidR="00235A28" w:rsidRPr="00235A28" w:rsidRDefault="00235A28" w:rsidP="00235A28">
            <w:pPr>
              <w:jc w:val="right"/>
              <w:rPr>
                <w:b/>
                <w:bCs/>
                <w:color w:val="000000"/>
                <w:sz w:val="14"/>
                <w:szCs w:val="14"/>
                <w:lang w:eastAsia="tr-TR"/>
              </w:rPr>
            </w:pPr>
            <w:r w:rsidRPr="00235A28">
              <w:rPr>
                <w:b/>
                <w:bCs/>
                <w:color w:val="000000"/>
                <w:sz w:val="14"/>
                <w:szCs w:val="14"/>
                <w:lang w:eastAsia="tr-TR"/>
              </w:rPr>
              <w:t>6,401,475</w:t>
            </w:r>
          </w:p>
        </w:tc>
        <w:tc>
          <w:tcPr>
            <w:tcW w:w="774" w:type="dxa"/>
            <w:tcBorders>
              <w:top w:val="nil"/>
              <w:left w:val="nil"/>
              <w:bottom w:val="nil"/>
              <w:right w:val="nil"/>
            </w:tcBorders>
            <w:shd w:val="clear" w:color="auto" w:fill="auto"/>
            <w:vAlign w:val="center"/>
            <w:hideMark/>
          </w:tcPr>
          <w:p w14:paraId="4F9C027F" w14:textId="4E81E619" w:rsidR="00235A28" w:rsidRPr="00235A28" w:rsidRDefault="00235A28" w:rsidP="00235A28">
            <w:pPr>
              <w:jc w:val="right"/>
              <w:rPr>
                <w:b/>
                <w:bCs/>
                <w:color w:val="000000"/>
                <w:sz w:val="14"/>
                <w:szCs w:val="14"/>
                <w:lang w:eastAsia="tr-TR"/>
              </w:rPr>
            </w:pPr>
            <w:r w:rsidRPr="00235A28">
              <w:rPr>
                <w:b/>
                <w:bCs/>
                <w:color w:val="000000"/>
                <w:sz w:val="14"/>
                <w:szCs w:val="14"/>
                <w:lang w:eastAsia="tr-TR"/>
              </w:rPr>
              <w:t>9,035,034</w:t>
            </w:r>
          </w:p>
        </w:tc>
        <w:tc>
          <w:tcPr>
            <w:tcW w:w="717" w:type="dxa"/>
            <w:tcBorders>
              <w:top w:val="nil"/>
              <w:left w:val="nil"/>
              <w:bottom w:val="nil"/>
              <w:right w:val="nil"/>
            </w:tcBorders>
            <w:shd w:val="clear" w:color="auto" w:fill="auto"/>
            <w:vAlign w:val="center"/>
            <w:hideMark/>
          </w:tcPr>
          <w:p w14:paraId="2F1896E2" w14:textId="0A9BC888" w:rsidR="00235A28" w:rsidRPr="00235A28" w:rsidRDefault="00235A28" w:rsidP="00235A28">
            <w:pPr>
              <w:jc w:val="right"/>
              <w:rPr>
                <w:b/>
                <w:bCs/>
                <w:color w:val="000000"/>
                <w:sz w:val="14"/>
                <w:szCs w:val="14"/>
                <w:lang w:eastAsia="tr-TR"/>
              </w:rPr>
            </w:pPr>
            <w:r w:rsidRPr="00235A28">
              <w:rPr>
                <w:b/>
                <w:bCs/>
                <w:color w:val="000000"/>
                <w:sz w:val="14"/>
                <w:szCs w:val="14"/>
                <w:lang w:eastAsia="tr-TR"/>
              </w:rPr>
              <w:t>1,105,477</w:t>
            </w:r>
          </w:p>
        </w:tc>
        <w:tc>
          <w:tcPr>
            <w:tcW w:w="498" w:type="dxa"/>
            <w:tcBorders>
              <w:top w:val="nil"/>
              <w:left w:val="nil"/>
              <w:bottom w:val="nil"/>
              <w:right w:val="nil"/>
            </w:tcBorders>
            <w:shd w:val="clear" w:color="auto" w:fill="auto"/>
            <w:vAlign w:val="center"/>
            <w:hideMark/>
          </w:tcPr>
          <w:p w14:paraId="5D612049" w14:textId="6F706CC5"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2207598" w14:textId="59A3D39C" w:rsidR="00235A28" w:rsidRPr="00235A28" w:rsidRDefault="00235A28" w:rsidP="00235A28">
            <w:pPr>
              <w:jc w:val="right"/>
              <w:rPr>
                <w:b/>
                <w:bCs/>
                <w:color w:val="000000"/>
                <w:sz w:val="14"/>
                <w:szCs w:val="14"/>
                <w:lang w:eastAsia="tr-TR"/>
              </w:rPr>
            </w:pPr>
            <w:r w:rsidRPr="00235A28">
              <w:rPr>
                <w:b/>
                <w:bCs/>
                <w:color w:val="000000"/>
                <w:sz w:val="14"/>
                <w:szCs w:val="14"/>
                <w:lang w:eastAsia="tr-TR"/>
              </w:rPr>
              <w:t>1,365,722</w:t>
            </w:r>
          </w:p>
        </w:tc>
        <w:tc>
          <w:tcPr>
            <w:tcW w:w="717" w:type="dxa"/>
            <w:tcBorders>
              <w:top w:val="nil"/>
              <w:left w:val="nil"/>
              <w:bottom w:val="nil"/>
              <w:right w:val="nil"/>
            </w:tcBorders>
            <w:shd w:val="clear" w:color="auto" w:fill="auto"/>
            <w:vAlign w:val="center"/>
            <w:hideMark/>
          </w:tcPr>
          <w:p w14:paraId="624C49B1" w14:textId="1A418546" w:rsidR="00235A28" w:rsidRPr="00235A28" w:rsidRDefault="00235A28" w:rsidP="00235A28">
            <w:pPr>
              <w:jc w:val="right"/>
              <w:rPr>
                <w:b/>
                <w:bCs/>
                <w:color w:val="000000"/>
                <w:sz w:val="14"/>
                <w:szCs w:val="14"/>
                <w:lang w:eastAsia="tr-TR"/>
              </w:rPr>
            </w:pPr>
            <w:r w:rsidRPr="00235A28">
              <w:rPr>
                <w:b/>
                <w:bCs/>
                <w:color w:val="000000"/>
                <w:sz w:val="14"/>
                <w:szCs w:val="14"/>
                <w:lang w:eastAsia="tr-TR"/>
              </w:rPr>
              <w:t>1,572,889</w:t>
            </w:r>
          </w:p>
        </w:tc>
        <w:tc>
          <w:tcPr>
            <w:tcW w:w="685" w:type="dxa"/>
            <w:tcBorders>
              <w:top w:val="nil"/>
              <w:left w:val="nil"/>
              <w:bottom w:val="nil"/>
              <w:right w:val="nil"/>
            </w:tcBorders>
            <w:shd w:val="clear" w:color="auto" w:fill="auto"/>
            <w:vAlign w:val="center"/>
            <w:hideMark/>
          </w:tcPr>
          <w:p w14:paraId="23B406B6" w14:textId="1A8F7C44" w:rsidR="00235A28" w:rsidRPr="00235A28" w:rsidRDefault="00235A28" w:rsidP="00235A28">
            <w:pPr>
              <w:jc w:val="right"/>
              <w:rPr>
                <w:b/>
                <w:bCs/>
                <w:color w:val="000000"/>
                <w:sz w:val="14"/>
                <w:szCs w:val="14"/>
                <w:lang w:eastAsia="tr-TR"/>
              </w:rPr>
            </w:pPr>
            <w:r w:rsidRPr="00235A28">
              <w:rPr>
                <w:b/>
                <w:bCs/>
                <w:color w:val="000000"/>
                <w:sz w:val="14"/>
                <w:szCs w:val="14"/>
                <w:lang w:eastAsia="tr-TR"/>
              </w:rPr>
              <w:t>3,211</w:t>
            </w:r>
          </w:p>
        </w:tc>
        <w:tc>
          <w:tcPr>
            <w:tcW w:w="840" w:type="dxa"/>
            <w:tcBorders>
              <w:top w:val="nil"/>
              <w:left w:val="nil"/>
              <w:bottom w:val="nil"/>
              <w:right w:val="nil"/>
            </w:tcBorders>
            <w:shd w:val="clear" w:color="auto" w:fill="auto"/>
            <w:vAlign w:val="center"/>
            <w:hideMark/>
          </w:tcPr>
          <w:p w14:paraId="4C722DD0" w14:textId="29987689" w:rsidR="00235A28" w:rsidRPr="00235A28" w:rsidRDefault="00235A28" w:rsidP="00235A28">
            <w:pPr>
              <w:jc w:val="right"/>
              <w:rPr>
                <w:b/>
                <w:bCs/>
                <w:color w:val="000000"/>
                <w:sz w:val="14"/>
                <w:szCs w:val="14"/>
                <w:lang w:eastAsia="tr-TR"/>
              </w:rPr>
            </w:pPr>
            <w:r w:rsidRPr="00235A28">
              <w:rPr>
                <w:b/>
                <w:bCs/>
                <w:color w:val="000000"/>
                <w:sz w:val="14"/>
                <w:szCs w:val="14"/>
                <w:lang w:eastAsia="tr-TR"/>
              </w:rPr>
              <w:t>19,483,808</w:t>
            </w:r>
          </w:p>
        </w:tc>
      </w:tr>
      <w:tr w:rsidR="00235A28" w:rsidRPr="00235A28" w14:paraId="5770C866"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65ED3024" w14:textId="77777777" w:rsidR="00235A28" w:rsidRPr="00235A28" w:rsidRDefault="00235A28" w:rsidP="00235A28">
            <w:pPr>
              <w:ind w:firstLineChars="100" w:firstLine="140"/>
              <w:rPr>
                <w:b/>
                <w:bCs/>
                <w:color w:val="000000"/>
                <w:sz w:val="14"/>
                <w:szCs w:val="14"/>
                <w:lang w:eastAsia="tr-TR"/>
              </w:rPr>
            </w:pPr>
            <w:r w:rsidRPr="00235A28">
              <w:rPr>
                <w:rFonts w:eastAsia="Arial Unicode MS"/>
                <w:b/>
                <w:bCs/>
                <w:color w:val="000000"/>
                <w:sz w:val="14"/>
                <w:szCs w:val="14"/>
                <w:lang w:eastAsia="tr-TR"/>
              </w:rPr>
              <w:t>VII. Özel cari hesaplar diğer-YP</w:t>
            </w:r>
          </w:p>
        </w:tc>
        <w:tc>
          <w:tcPr>
            <w:tcW w:w="775" w:type="dxa"/>
            <w:tcBorders>
              <w:top w:val="nil"/>
              <w:left w:val="nil"/>
              <w:bottom w:val="nil"/>
              <w:right w:val="nil"/>
            </w:tcBorders>
            <w:shd w:val="clear" w:color="auto" w:fill="auto"/>
            <w:vAlign w:val="center"/>
            <w:hideMark/>
          </w:tcPr>
          <w:p w14:paraId="575CC266" w14:textId="2821C786" w:rsidR="00235A28" w:rsidRPr="00235A28" w:rsidRDefault="00235A28" w:rsidP="00235A28">
            <w:pPr>
              <w:jc w:val="right"/>
              <w:rPr>
                <w:b/>
                <w:bCs/>
                <w:color w:val="000000"/>
                <w:sz w:val="14"/>
                <w:szCs w:val="14"/>
                <w:lang w:eastAsia="tr-TR"/>
              </w:rPr>
            </w:pPr>
            <w:r w:rsidRPr="00235A28">
              <w:rPr>
                <w:b/>
                <w:bCs/>
                <w:color w:val="000000"/>
                <w:sz w:val="14"/>
                <w:szCs w:val="14"/>
                <w:lang w:eastAsia="tr-TR"/>
              </w:rPr>
              <w:t>9,404,829</w:t>
            </w:r>
          </w:p>
        </w:tc>
        <w:tc>
          <w:tcPr>
            <w:tcW w:w="774" w:type="dxa"/>
            <w:tcBorders>
              <w:top w:val="nil"/>
              <w:left w:val="nil"/>
              <w:bottom w:val="nil"/>
              <w:right w:val="nil"/>
            </w:tcBorders>
            <w:shd w:val="clear" w:color="auto" w:fill="auto"/>
            <w:vAlign w:val="center"/>
            <w:hideMark/>
          </w:tcPr>
          <w:p w14:paraId="1C9A9D6C" w14:textId="42F2CAF9"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7295EDF5" w14:textId="75C000B9"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CD6B2E8" w14:textId="398232D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39A657E" w14:textId="555B25A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5346C50" w14:textId="307FF6F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72C153A" w14:textId="0F6B4CA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1371594" w14:textId="08EE25B3"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943C1DC" w14:textId="43D196E0" w:rsidR="00235A28" w:rsidRPr="00235A28" w:rsidRDefault="00235A28" w:rsidP="00235A28">
            <w:pPr>
              <w:jc w:val="right"/>
              <w:rPr>
                <w:b/>
                <w:bCs/>
                <w:color w:val="000000"/>
                <w:sz w:val="14"/>
                <w:szCs w:val="14"/>
                <w:lang w:eastAsia="tr-TR"/>
              </w:rPr>
            </w:pPr>
            <w:r w:rsidRPr="00235A28">
              <w:rPr>
                <w:b/>
                <w:bCs/>
                <w:color w:val="000000"/>
                <w:sz w:val="14"/>
                <w:szCs w:val="14"/>
                <w:lang w:eastAsia="tr-TR"/>
              </w:rPr>
              <w:t>9,404,829</w:t>
            </w:r>
          </w:p>
        </w:tc>
      </w:tr>
      <w:tr w:rsidR="00235A28" w:rsidRPr="00235A28" w14:paraId="700CFC2A"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1CC4C2BB" w14:textId="77777777" w:rsidR="00235A28" w:rsidRPr="00235A28" w:rsidRDefault="00235A28" w:rsidP="00235A28">
            <w:pPr>
              <w:ind w:firstLineChars="100" w:firstLine="140"/>
              <w:rPr>
                <w:color w:val="000000"/>
                <w:sz w:val="14"/>
                <w:szCs w:val="14"/>
                <w:lang w:eastAsia="tr-TR"/>
              </w:rPr>
            </w:pPr>
            <w:r w:rsidRPr="00235A28">
              <w:rPr>
                <w:color w:val="000000"/>
                <w:sz w:val="14"/>
                <w:szCs w:val="14"/>
                <w:lang w:eastAsia="tr-TR"/>
              </w:rPr>
              <w:t>Yurt içinde yer. Tüzel</w:t>
            </w:r>
          </w:p>
        </w:tc>
        <w:tc>
          <w:tcPr>
            <w:tcW w:w="775" w:type="dxa"/>
            <w:tcBorders>
              <w:top w:val="nil"/>
              <w:left w:val="nil"/>
              <w:bottom w:val="nil"/>
              <w:right w:val="nil"/>
            </w:tcBorders>
            <w:shd w:val="clear" w:color="auto" w:fill="auto"/>
            <w:vAlign w:val="center"/>
            <w:hideMark/>
          </w:tcPr>
          <w:p w14:paraId="436F32F6" w14:textId="427A27AA" w:rsidR="00235A28" w:rsidRPr="00235A28" w:rsidRDefault="00235A28" w:rsidP="00235A28">
            <w:pPr>
              <w:jc w:val="right"/>
              <w:rPr>
                <w:color w:val="000000"/>
                <w:sz w:val="14"/>
                <w:szCs w:val="14"/>
                <w:lang w:eastAsia="tr-TR"/>
              </w:rPr>
            </w:pPr>
            <w:r w:rsidRPr="00235A28">
              <w:rPr>
                <w:color w:val="000000"/>
                <w:sz w:val="14"/>
                <w:szCs w:val="14"/>
                <w:lang w:eastAsia="tr-TR"/>
              </w:rPr>
              <w:t>8,827,646</w:t>
            </w:r>
          </w:p>
        </w:tc>
        <w:tc>
          <w:tcPr>
            <w:tcW w:w="774" w:type="dxa"/>
            <w:tcBorders>
              <w:top w:val="nil"/>
              <w:left w:val="nil"/>
              <w:bottom w:val="nil"/>
              <w:right w:val="nil"/>
            </w:tcBorders>
            <w:shd w:val="clear" w:color="auto" w:fill="auto"/>
            <w:vAlign w:val="center"/>
            <w:hideMark/>
          </w:tcPr>
          <w:p w14:paraId="1C02D598" w14:textId="20D0B3DF"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33C8F3F9" w14:textId="3912D5AD"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3F44636F" w14:textId="5BB407AF"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DA77A35" w14:textId="6A45BBEA"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D0817C6" w14:textId="0E05731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A84DC93" w14:textId="59949D3E"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60EBE7A" w14:textId="6F97091C"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EAE4EAD" w14:textId="4F9D821D" w:rsidR="00235A28" w:rsidRPr="00235A28" w:rsidRDefault="00235A28" w:rsidP="00235A28">
            <w:pPr>
              <w:jc w:val="right"/>
              <w:rPr>
                <w:color w:val="000000"/>
                <w:sz w:val="14"/>
                <w:szCs w:val="14"/>
                <w:lang w:eastAsia="tr-TR"/>
              </w:rPr>
            </w:pPr>
            <w:r w:rsidRPr="00235A28">
              <w:rPr>
                <w:color w:val="000000"/>
                <w:sz w:val="14"/>
                <w:szCs w:val="14"/>
                <w:lang w:eastAsia="tr-TR"/>
              </w:rPr>
              <w:t>8,827,646</w:t>
            </w:r>
          </w:p>
        </w:tc>
      </w:tr>
      <w:tr w:rsidR="00235A28" w:rsidRPr="00235A28" w14:paraId="7B75AD17"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3D32D5BD" w14:textId="77777777" w:rsidR="00235A28" w:rsidRPr="00235A28" w:rsidRDefault="00235A28" w:rsidP="00235A28">
            <w:pPr>
              <w:ind w:firstLineChars="100" w:firstLine="140"/>
              <w:rPr>
                <w:color w:val="000000"/>
                <w:sz w:val="14"/>
                <w:szCs w:val="14"/>
                <w:lang w:eastAsia="tr-TR"/>
              </w:rPr>
            </w:pPr>
            <w:r w:rsidRPr="00235A28">
              <w:rPr>
                <w:color w:val="000000"/>
                <w:sz w:val="14"/>
                <w:szCs w:val="14"/>
                <w:lang w:eastAsia="tr-TR"/>
              </w:rPr>
              <w:t>Yurt dışında yer. Tüzel</w:t>
            </w:r>
          </w:p>
        </w:tc>
        <w:tc>
          <w:tcPr>
            <w:tcW w:w="775" w:type="dxa"/>
            <w:tcBorders>
              <w:top w:val="nil"/>
              <w:left w:val="nil"/>
              <w:bottom w:val="nil"/>
              <w:right w:val="nil"/>
            </w:tcBorders>
            <w:shd w:val="clear" w:color="auto" w:fill="auto"/>
            <w:vAlign w:val="center"/>
            <w:hideMark/>
          </w:tcPr>
          <w:p w14:paraId="623E7E83" w14:textId="475D1131" w:rsidR="00235A28" w:rsidRPr="00235A28" w:rsidRDefault="00235A28" w:rsidP="00235A28">
            <w:pPr>
              <w:jc w:val="right"/>
              <w:rPr>
                <w:color w:val="000000"/>
                <w:sz w:val="14"/>
                <w:szCs w:val="14"/>
                <w:lang w:eastAsia="tr-TR"/>
              </w:rPr>
            </w:pPr>
            <w:r w:rsidRPr="00235A28">
              <w:rPr>
                <w:color w:val="000000"/>
                <w:sz w:val="14"/>
                <w:szCs w:val="14"/>
                <w:lang w:eastAsia="tr-TR"/>
              </w:rPr>
              <w:t>297,273</w:t>
            </w:r>
          </w:p>
        </w:tc>
        <w:tc>
          <w:tcPr>
            <w:tcW w:w="774" w:type="dxa"/>
            <w:tcBorders>
              <w:top w:val="nil"/>
              <w:left w:val="nil"/>
              <w:bottom w:val="nil"/>
              <w:right w:val="nil"/>
            </w:tcBorders>
            <w:shd w:val="clear" w:color="auto" w:fill="auto"/>
            <w:vAlign w:val="center"/>
            <w:hideMark/>
          </w:tcPr>
          <w:p w14:paraId="1288530A" w14:textId="6065C876"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2E66C3F" w14:textId="0A887B5A"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2CD3568C" w14:textId="235550AB"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2AC1266" w14:textId="1442412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E4AAF37" w14:textId="27C4C6A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230BADA" w14:textId="3DAB1F6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27D3049" w14:textId="0483AA6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7B23A5C" w14:textId="5AABFFE0" w:rsidR="00235A28" w:rsidRPr="00235A28" w:rsidRDefault="00235A28" w:rsidP="00235A28">
            <w:pPr>
              <w:jc w:val="right"/>
              <w:rPr>
                <w:color w:val="000000"/>
                <w:sz w:val="14"/>
                <w:szCs w:val="14"/>
                <w:lang w:eastAsia="tr-TR"/>
              </w:rPr>
            </w:pPr>
            <w:r w:rsidRPr="00235A28">
              <w:rPr>
                <w:color w:val="000000"/>
                <w:sz w:val="14"/>
                <w:szCs w:val="14"/>
                <w:lang w:eastAsia="tr-TR"/>
              </w:rPr>
              <w:t>297,273</w:t>
            </w:r>
          </w:p>
        </w:tc>
      </w:tr>
      <w:tr w:rsidR="00235A28" w:rsidRPr="00235A28" w14:paraId="741CBBFF"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6C7E4B1B"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Bankalar ve katılım bankaları</w:t>
            </w:r>
          </w:p>
        </w:tc>
        <w:tc>
          <w:tcPr>
            <w:tcW w:w="775" w:type="dxa"/>
            <w:tcBorders>
              <w:top w:val="nil"/>
              <w:left w:val="nil"/>
              <w:bottom w:val="nil"/>
              <w:right w:val="nil"/>
            </w:tcBorders>
            <w:shd w:val="clear" w:color="auto" w:fill="auto"/>
            <w:vAlign w:val="center"/>
            <w:hideMark/>
          </w:tcPr>
          <w:p w14:paraId="44143F79" w14:textId="4BBD8A2E" w:rsidR="00235A28" w:rsidRPr="00235A28" w:rsidRDefault="00235A28" w:rsidP="00235A28">
            <w:pPr>
              <w:jc w:val="right"/>
              <w:rPr>
                <w:b/>
                <w:bCs/>
                <w:color w:val="000000"/>
                <w:sz w:val="14"/>
                <w:szCs w:val="14"/>
                <w:lang w:eastAsia="tr-TR"/>
              </w:rPr>
            </w:pPr>
            <w:r w:rsidRPr="00235A28">
              <w:rPr>
                <w:b/>
                <w:bCs/>
                <w:color w:val="000000"/>
                <w:sz w:val="14"/>
                <w:szCs w:val="14"/>
                <w:lang w:eastAsia="tr-TR"/>
              </w:rPr>
              <w:t>279,910</w:t>
            </w:r>
          </w:p>
        </w:tc>
        <w:tc>
          <w:tcPr>
            <w:tcW w:w="774" w:type="dxa"/>
            <w:tcBorders>
              <w:top w:val="nil"/>
              <w:left w:val="nil"/>
              <w:bottom w:val="nil"/>
              <w:right w:val="nil"/>
            </w:tcBorders>
            <w:shd w:val="clear" w:color="auto" w:fill="auto"/>
            <w:vAlign w:val="center"/>
            <w:hideMark/>
          </w:tcPr>
          <w:p w14:paraId="57D3D7C0" w14:textId="3AC2839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7508D5EF" w14:textId="23745C33"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F043552" w14:textId="5B83AC9C"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0F7E829A" w14:textId="3B99F8E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3651282" w14:textId="77AEA83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783C06B" w14:textId="38F2B4C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479B5BD" w14:textId="24C9CFB2"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C3E10F0" w14:textId="227C1707" w:rsidR="00235A28" w:rsidRPr="00235A28" w:rsidRDefault="00235A28" w:rsidP="00235A28">
            <w:pPr>
              <w:jc w:val="right"/>
              <w:rPr>
                <w:b/>
                <w:bCs/>
                <w:color w:val="000000"/>
                <w:sz w:val="14"/>
                <w:szCs w:val="14"/>
                <w:lang w:eastAsia="tr-TR"/>
              </w:rPr>
            </w:pPr>
            <w:r w:rsidRPr="00235A28">
              <w:rPr>
                <w:b/>
                <w:bCs/>
                <w:color w:val="000000"/>
                <w:sz w:val="14"/>
                <w:szCs w:val="14"/>
                <w:lang w:eastAsia="tr-TR"/>
              </w:rPr>
              <w:t>279,910</w:t>
            </w:r>
          </w:p>
        </w:tc>
      </w:tr>
      <w:tr w:rsidR="00235A28" w:rsidRPr="00235A28" w14:paraId="5A846E1A"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0D652CBC" w14:textId="77777777" w:rsidR="00235A28" w:rsidRPr="00235A28" w:rsidRDefault="00235A28" w:rsidP="00235A28">
            <w:pPr>
              <w:ind w:firstLineChars="200" w:firstLine="280"/>
              <w:rPr>
                <w:color w:val="000000"/>
                <w:sz w:val="14"/>
                <w:szCs w:val="14"/>
                <w:lang w:eastAsia="tr-TR"/>
              </w:rPr>
            </w:pPr>
            <w:r w:rsidRPr="00235A28">
              <w:rPr>
                <w:bCs/>
                <w:color w:val="000000"/>
                <w:sz w:val="14"/>
                <w:szCs w:val="14"/>
                <w:lang w:eastAsia="tr-TR"/>
              </w:rPr>
              <w:t>T.C. Merkez Bankası</w:t>
            </w:r>
          </w:p>
        </w:tc>
        <w:tc>
          <w:tcPr>
            <w:tcW w:w="775" w:type="dxa"/>
            <w:tcBorders>
              <w:top w:val="nil"/>
              <w:left w:val="nil"/>
              <w:bottom w:val="nil"/>
              <w:right w:val="nil"/>
            </w:tcBorders>
            <w:shd w:val="clear" w:color="auto" w:fill="auto"/>
            <w:vAlign w:val="center"/>
            <w:hideMark/>
          </w:tcPr>
          <w:p w14:paraId="7D71EEF3" w14:textId="554B459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16E8EB7F" w14:textId="3E25D4E0"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009F2D80" w14:textId="4165012C"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5A12A1D" w14:textId="7F016FD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42D99798" w14:textId="281FA11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0996761" w14:textId="42D525D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81FC0D2" w14:textId="081AF1E9"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534DDD4" w14:textId="1CC3977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82EE7EF" w14:textId="469288C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r>
      <w:tr w:rsidR="00235A28" w:rsidRPr="00235A28" w14:paraId="53E4254B"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2580B0B7" w14:textId="77777777" w:rsidR="00235A28" w:rsidRPr="00235A28" w:rsidRDefault="00235A28" w:rsidP="00235A28">
            <w:pPr>
              <w:ind w:firstLineChars="200" w:firstLine="280"/>
              <w:rPr>
                <w:color w:val="000000"/>
                <w:sz w:val="14"/>
                <w:szCs w:val="14"/>
                <w:lang w:eastAsia="tr-TR"/>
              </w:rPr>
            </w:pPr>
            <w:r w:rsidRPr="00235A28">
              <w:rPr>
                <w:bCs/>
                <w:color w:val="000000"/>
                <w:sz w:val="14"/>
                <w:szCs w:val="14"/>
                <w:lang w:eastAsia="tr-TR"/>
              </w:rPr>
              <w:t>Yurt içi bankalar</w:t>
            </w:r>
          </w:p>
        </w:tc>
        <w:tc>
          <w:tcPr>
            <w:tcW w:w="775" w:type="dxa"/>
            <w:tcBorders>
              <w:top w:val="nil"/>
              <w:left w:val="nil"/>
              <w:bottom w:val="nil"/>
              <w:right w:val="nil"/>
            </w:tcBorders>
            <w:shd w:val="clear" w:color="auto" w:fill="auto"/>
            <w:vAlign w:val="center"/>
            <w:hideMark/>
          </w:tcPr>
          <w:p w14:paraId="55082B14" w14:textId="574881D3" w:rsidR="00235A28" w:rsidRPr="00235A28" w:rsidRDefault="00235A28" w:rsidP="00235A28">
            <w:pPr>
              <w:jc w:val="right"/>
              <w:rPr>
                <w:b/>
                <w:bCs/>
                <w:color w:val="000000"/>
                <w:sz w:val="14"/>
                <w:szCs w:val="14"/>
                <w:lang w:eastAsia="tr-TR"/>
              </w:rPr>
            </w:pPr>
            <w:r w:rsidRPr="00235A28">
              <w:rPr>
                <w:b/>
                <w:bCs/>
                <w:color w:val="000000"/>
                <w:sz w:val="14"/>
                <w:szCs w:val="14"/>
                <w:lang w:eastAsia="tr-TR"/>
              </w:rPr>
              <w:t>1,002</w:t>
            </w:r>
          </w:p>
        </w:tc>
        <w:tc>
          <w:tcPr>
            <w:tcW w:w="774" w:type="dxa"/>
            <w:tcBorders>
              <w:top w:val="nil"/>
              <w:left w:val="nil"/>
              <w:bottom w:val="nil"/>
              <w:right w:val="nil"/>
            </w:tcBorders>
            <w:shd w:val="clear" w:color="auto" w:fill="auto"/>
            <w:vAlign w:val="center"/>
            <w:hideMark/>
          </w:tcPr>
          <w:p w14:paraId="35698CDC" w14:textId="65B6EC9C"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2D4DB1A9" w14:textId="59F0D583"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8A55CCA" w14:textId="209521D7"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AE5744C" w14:textId="74121F0E"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FAB42F3" w14:textId="4FEBE5B3"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8345F16" w14:textId="216CC80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C309DBE" w14:textId="5A5C656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0205830" w14:textId="59EE6EB0" w:rsidR="00235A28" w:rsidRPr="00235A28" w:rsidRDefault="00235A28" w:rsidP="00235A28">
            <w:pPr>
              <w:jc w:val="right"/>
              <w:rPr>
                <w:b/>
                <w:bCs/>
                <w:color w:val="000000"/>
                <w:sz w:val="14"/>
                <w:szCs w:val="14"/>
                <w:lang w:eastAsia="tr-TR"/>
              </w:rPr>
            </w:pPr>
            <w:r w:rsidRPr="00235A28">
              <w:rPr>
                <w:b/>
                <w:bCs/>
                <w:color w:val="000000"/>
                <w:sz w:val="14"/>
                <w:szCs w:val="14"/>
                <w:lang w:eastAsia="tr-TR"/>
              </w:rPr>
              <w:t>1,002</w:t>
            </w:r>
          </w:p>
        </w:tc>
      </w:tr>
      <w:tr w:rsidR="00235A28" w:rsidRPr="00235A28" w14:paraId="6C482A86"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727791C0" w14:textId="77777777" w:rsidR="00235A28" w:rsidRPr="00235A28" w:rsidRDefault="00235A28" w:rsidP="00235A28">
            <w:pPr>
              <w:ind w:firstLineChars="200" w:firstLine="280"/>
              <w:rPr>
                <w:color w:val="000000"/>
                <w:sz w:val="14"/>
                <w:szCs w:val="14"/>
                <w:lang w:eastAsia="tr-TR"/>
              </w:rPr>
            </w:pPr>
            <w:r w:rsidRPr="00235A28">
              <w:rPr>
                <w:bCs/>
                <w:color w:val="000000"/>
                <w:sz w:val="14"/>
                <w:szCs w:val="14"/>
                <w:lang w:eastAsia="tr-TR"/>
              </w:rPr>
              <w:t>Yurt dışı bankalar</w:t>
            </w:r>
          </w:p>
        </w:tc>
        <w:tc>
          <w:tcPr>
            <w:tcW w:w="775" w:type="dxa"/>
            <w:tcBorders>
              <w:top w:val="nil"/>
              <w:left w:val="nil"/>
              <w:bottom w:val="nil"/>
              <w:right w:val="nil"/>
            </w:tcBorders>
            <w:shd w:val="clear" w:color="auto" w:fill="auto"/>
            <w:vAlign w:val="center"/>
            <w:hideMark/>
          </w:tcPr>
          <w:p w14:paraId="701F54FA" w14:textId="002278C8" w:rsidR="00235A28" w:rsidRPr="00235A28" w:rsidRDefault="00235A28" w:rsidP="00235A28">
            <w:pPr>
              <w:jc w:val="right"/>
              <w:rPr>
                <w:color w:val="000000"/>
                <w:sz w:val="14"/>
                <w:szCs w:val="14"/>
                <w:lang w:eastAsia="tr-TR"/>
              </w:rPr>
            </w:pPr>
            <w:r w:rsidRPr="00235A28">
              <w:rPr>
                <w:color w:val="000000"/>
                <w:sz w:val="14"/>
                <w:szCs w:val="14"/>
                <w:lang w:eastAsia="tr-TR"/>
              </w:rPr>
              <w:t>277,402</w:t>
            </w:r>
          </w:p>
        </w:tc>
        <w:tc>
          <w:tcPr>
            <w:tcW w:w="774" w:type="dxa"/>
            <w:tcBorders>
              <w:top w:val="nil"/>
              <w:left w:val="nil"/>
              <w:bottom w:val="nil"/>
              <w:right w:val="nil"/>
            </w:tcBorders>
            <w:shd w:val="clear" w:color="auto" w:fill="auto"/>
            <w:vAlign w:val="center"/>
            <w:hideMark/>
          </w:tcPr>
          <w:p w14:paraId="7D0C001D" w14:textId="61D73FA6"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06D5E22" w14:textId="4F9592B7"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0EC11319" w14:textId="49A033BD"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0066A45" w14:textId="3642D03A"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12797C8" w14:textId="3FAFCEE8"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6F6AEC5" w14:textId="0B46D70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09B909C" w14:textId="368B1E4A"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B0790BA" w14:textId="6A2910E5" w:rsidR="00235A28" w:rsidRPr="00235A28" w:rsidRDefault="00235A28" w:rsidP="00235A28">
            <w:pPr>
              <w:jc w:val="right"/>
              <w:rPr>
                <w:color w:val="000000"/>
                <w:sz w:val="14"/>
                <w:szCs w:val="14"/>
                <w:lang w:eastAsia="tr-TR"/>
              </w:rPr>
            </w:pPr>
            <w:r w:rsidRPr="00235A28">
              <w:rPr>
                <w:color w:val="000000"/>
                <w:sz w:val="14"/>
                <w:szCs w:val="14"/>
                <w:lang w:eastAsia="tr-TR"/>
              </w:rPr>
              <w:t>277,402</w:t>
            </w:r>
          </w:p>
        </w:tc>
      </w:tr>
      <w:tr w:rsidR="00235A28" w:rsidRPr="00235A28" w14:paraId="72F94CC8"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279459BB" w14:textId="77777777" w:rsidR="00235A28" w:rsidRPr="00235A28" w:rsidRDefault="00235A28" w:rsidP="00235A28">
            <w:pPr>
              <w:ind w:firstLineChars="200" w:firstLine="280"/>
              <w:rPr>
                <w:color w:val="000000"/>
                <w:sz w:val="14"/>
                <w:szCs w:val="14"/>
                <w:lang w:eastAsia="tr-TR"/>
              </w:rPr>
            </w:pPr>
            <w:r w:rsidRPr="00235A28">
              <w:rPr>
                <w:bCs/>
                <w:color w:val="000000"/>
                <w:sz w:val="14"/>
                <w:szCs w:val="14"/>
                <w:lang w:eastAsia="tr-TR"/>
              </w:rPr>
              <w:t>Katılım bankaları</w:t>
            </w:r>
          </w:p>
        </w:tc>
        <w:tc>
          <w:tcPr>
            <w:tcW w:w="775" w:type="dxa"/>
            <w:tcBorders>
              <w:top w:val="nil"/>
              <w:left w:val="nil"/>
              <w:bottom w:val="nil"/>
              <w:right w:val="nil"/>
            </w:tcBorders>
            <w:shd w:val="clear" w:color="auto" w:fill="auto"/>
            <w:vAlign w:val="center"/>
            <w:hideMark/>
          </w:tcPr>
          <w:p w14:paraId="014328F0" w14:textId="1A5A88A5" w:rsidR="00235A28" w:rsidRPr="00235A28" w:rsidRDefault="00235A28" w:rsidP="00235A28">
            <w:pPr>
              <w:jc w:val="right"/>
              <w:rPr>
                <w:color w:val="000000"/>
                <w:sz w:val="14"/>
                <w:szCs w:val="14"/>
                <w:lang w:eastAsia="tr-TR"/>
              </w:rPr>
            </w:pPr>
            <w:r w:rsidRPr="00235A28">
              <w:rPr>
                <w:color w:val="000000"/>
                <w:sz w:val="14"/>
                <w:szCs w:val="14"/>
                <w:lang w:eastAsia="tr-TR"/>
              </w:rPr>
              <w:t>1,506</w:t>
            </w:r>
          </w:p>
        </w:tc>
        <w:tc>
          <w:tcPr>
            <w:tcW w:w="774" w:type="dxa"/>
            <w:tcBorders>
              <w:top w:val="nil"/>
              <w:left w:val="nil"/>
              <w:bottom w:val="nil"/>
              <w:right w:val="nil"/>
            </w:tcBorders>
            <w:shd w:val="clear" w:color="auto" w:fill="auto"/>
            <w:vAlign w:val="center"/>
            <w:hideMark/>
          </w:tcPr>
          <w:p w14:paraId="0886360A" w14:textId="073D6614"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FD3CF9D" w14:textId="62B20059"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1BD07EEF" w14:textId="40BD7F88"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8A25E32" w14:textId="631FD56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8046B4E" w14:textId="7DF5A8D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C958E4D" w14:textId="4644278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081050C" w14:textId="201DBC1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0AB9ED6" w14:textId="4173CF2B" w:rsidR="00235A28" w:rsidRPr="00235A28" w:rsidRDefault="00235A28" w:rsidP="00235A28">
            <w:pPr>
              <w:jc w:val="right"/>
              <w:rPr>
                <w:color w:val="000000"/>
                <w:sz w:val="14"/>
                <w:szCs w:val="14"/>
                <w:lang w:eastAsia="tr-TR"/>
              </w:rPr>
            </w:pPr>
            <w:r w:rsidRPr="00235A28">
              <w:rPr>
                <w:color w:val="000000"/>
                <w:sz w:val="14"/>
                <w:szCs w:val="14"/>
                <w:lang w:eastAsia="tr-TR"/>
              </w:rPr>
              <w:t>1,506</w:t>
            </w:r>
          </w:p>
        </w:tc>
      </w:tr>
      <w:tr w:rsidR="00235A28" w:rsidRPr="00235A28" w14:paraId="3165A188"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61039B13" w14:textId="77777777" w:rsidR="00235A28" w:rsidRPr="00235A28" w:rsidRDefault="00235A28" w:rsidP="00235A28">
            <w:pPr>
              <w:ind w:firstLineChars="200" w:firstLine="280"/>
              <w:rPr>
                <w:color w:val="000000"/>
                <w:sz w:val="14"/>
                <w:szCs w:val="14"/>
                <w:lang w:eastAsia="tr-TR"/>
              </w:rPr>
            </w:pPr>
            <w:r w:rsidRPr="00235A28">
              <w:rPr>
                <w:bCs/>
                <w:color w:val="000000"/>
                <w:sz w:val="14"/>
                <w:szCs w:val="14"/>
                <w:lang w:eastAsia="tr-TR"/>
              </w:rPr>
              <w:t>Diğer</w:t>
            </w:r>
          </w:p>
        </w:tc>
        <w:tc>
          <w:tcPr>
            <w:tcW w:w="775" w:type="dxa"/>
            <w:tcBorders>
              <w:top w:val="nil"/>
              <w:left w:val="nil"/>
              <w:bottom w:val="nil"/>
              <w:right w:val="nil"/>
            </w:tcBorders>
            <w:shd w:val="clear" w:color="auto" w:fill="auto"/>
            <w:vAlign w:val="center"/>
            <w:hideMark/>
          </w:tcPr>
          <w:p w14:paraId="62612302" w14:textId="21F7F292"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4388EE46" w14:textId="5FDFC10C"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7729D881" w14:textId="143061F3"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B63CE58" w14:textId="3A9A253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EEFB4A6" w14:textId="1F0DDC15"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CF2245D" w14:textId="0DD1B1E7"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069D861" w14:textId="3B1349C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79EDDD9" w14:textId="14805588"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4B1BB28" w14:textId="21023889"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r>
      <w:tr w:rsidR="00235A28" w:rsidRPr="00235A28" w14:paraId="1D8117DD"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22F2BA7F" w14:textId="77777777" w:rsidR="00235A28" w:rsidRPr="00235A28" w:rsidRDefault="00235A28" w:rsidP="00235A28">
            <w:pPr>
              <w:ind w:firstLineChars="100" w:firstLine="140"/>
              <w:rPr>
                <w:b/>
                <w:bCs/>
                <w:color w:val="000000"/>
                <w:sz w:val="14"/>
                <w:szCs w:val="14"/>
                <w:lang w:eastAsia="tr-TR"/>
              </w:rPr>
            </w:pPr>
            <w:r w:rsidRPr="00235A28">
              <w:rPr>
                <w:rFonts w:eastAsia="Arial Unicode MS"/>
                <w:b/>
                <w:bCs/>
                <w:color w:val="000000"/>
                <w:sz w:val="14"/>
                <w:szCs w:val="14"/>
                <w:lang w:eastAsia="tr-TR"/>
              </w:rPr>
              <w:t>VIII. Katılma hesapları diğer-YP</w:t>
            </w:r>
          </w:p>
        </w:tc>
        <w:tc>
          <w:tcPr>
            <w:tcW w:w="775" w:type="dxa"/>
            <w:tcBorders>
              <w:top w:val="nil"/>
              <w:left w:val="nil"/>
              <w:bottom w:val="nil"/>
              <w:right w:val="nil"/>
            </w:tcBorders>
            <w:shd w:val="clear" w:color="auto" w:fill="auto"/>
            <w:vAlign w:val="center"/>
            <w:hideMark/>
          </w:tcPr>
          <w:p w14:paraId="54E956AE" w14:textId="3D7ECCD9"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16AF2210" w14:textId="508EE0D8" w:rsidR="00235A28" w:rsidRPr="00235A28" w:rsidRDefault="00235A28" w:rsidP="00235A28">
            <w:pPr>
              <w:jc w:val="right"/>
              <w:rPr>
                <w:b/>
                <w:bCs/>
                <w:color w:val="000000"/>
                <w:sz w:val="14"/>
                <w:szCs w:val="14"/>
                <w:lang w:eastAsia="tr-TR"/>
              </w:rPr>
            </w:pPr>
            <w:r w:rsidRPr="00235A28">
              <w:rPr>
                <w:b/>
                <w:bCs/>
                <w:color w:val="000000"/>
                <w:sz w:val="14"/>
                <w:szCs w:val="14"/>
                <w:lang w:eastAsia="tr-TR"/>
              </w:rPr>
              <w:t>715,643</w:t>
            </w:r>
          </w:p>
        </w:tc>
        <w:tc>
          <w:tcPr>
            <w:tcW w:w="774" w:type="dxa"/>
            <w:tcBorders>
              <w:top w:val="nil"/>
              <w:left w:val="nil"/>
              <w:bottom w:val="nil"/>
              <w:right w:val="nil"/>
            </w:tcBorders>
            <w:shd w:val="clear" w:color="auto" w:fill="auto"/>
            <w:vAlign w:val="center"/>
            <w:hideMark/>
          </w:tcPr>
          <w:p w14:paraId="57BA72EA" w14:textId="0DD98F90" w:rsidR="00235A28" w:rsidRPr="00235A28" w:rsidRDefault="00235A28" w:rsidP="00235A28">
            <w:pPr>
              <w:jc w:val="right"/>
              <w:rPr>
                <w:b/>
                <w:bCs/>
                <w:color w:val="000000"/>
                <w:sz w:val="14"/>
                <w:szCs w:val="14"/>
                <w:lang w:eastAsia="tr-TR"/>
              </w:rPr>
            </w:pPr>
            <w:r w:rsidRPr="00235A28">
              <w:rPr>
                <w:b/>
                <w:bCs/>
                <w:color w:val="000000"/>
                <w:sz w:val="14"/>
                <w:szCs w:val="14"/>
                <w:lang w:eastAsia="tr-TR"/>
              </w:rPr>
              <w:t>1,585,325</w:t>
            </w:r>
          </w:p>
        </w:tc>
        <w:tc>
          <w:tcPr>
            <w:tcW w:w="717" w:type="dxa"/>
            <w:tcBorders>
              <w:top w:val="nil"/>
              <w:left w:val="nil"/>
              <w:bottom w:val="nil"/>
              <w:right w:val="nil"/>
            </w:tcBorders>
            <w:shd w:val="clear" w:color="auto" w:fill="auto"/>
            <w:vAlign w:val="center"/>
            <w:hideMark/>
          </w:tcPr>
          <w:p w14:paraId="26D75034" w14:textId="3CAFA781" w:rsidR="00235A28" w:rsidRPr="00235A28" w:rsidRDefault="00235A28" w:rsidP="00235A28">
            <w:pPr>
              <w:jc w:val="right"/>
              <w:rPr>
                <w:b/>
                <w:bCs/>
                <w:color w:val="000000"/>
                <w:sz w:val="14"/>
                <w:szCs w:val="14"/>
                <w:lang w:eastAsia="tr-TR"/>
              </w:rPr>
            </w:pPr>
            <w:r w:rsidRPr="00235A28">
              <w:rPr>
                <w:b/>
                <w:bCs/>
                <w:color w:val="000000"/>
                <w:sz w:val="14"/>
                <w:szCs w:val="14"/>
                <w:lang w:eastAsia="tr-TR"/>
              </w:rPr>
              <w:t>48,979</w:t>
            </w:r>
          </w:p>
        </w:tc>
        <w:tc>
          <w:tcPr>
            <w:tcW w:w="498" w:type="dxa"/>
            <w:tcBorders>
              <w:top w:val="nil"/>
              <w:left w:val="nil"/>
              <w:bottom w:val="nil"/>
              <w:right w:val="nil"/>
            </w:tcBorders>
            <w:shd w:val="clear" w:color="auto" w:fill="auto"/>
            <w:vAlign w:val="center"/>
            <w:hideMark/>
          </w:tcPr>
          <w:p w14:paraId="2D2CA286" w14:textId="282CB3B9"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463BB09" w14:textId="12EF7D4C" w:rsidR="00235A28" w:rsidRPr="00235A28" w:rsidRDefault="00235A28" w:rsidP="00235A28">
            <w:pPr>
              <w:jc w:val="right"/>
              <w:rPr>
                <w:b/>
                <w:bCs/>
                <w:color w:val="000000"/>
                <w:sz w:val="14"/>
                <w:szCs w:val="14"/>
                <w:lang w:eastAsia="tr-TR"/>
              </w:rPr>
            </w:pPr>
            <w:r w:rsidRPr="00235A28">
              <w:rPr>
                <w:b/>
                <w:bCs/>
                <w:color w:val="000000"/>
                <w:sz w:val="14"/>
                <w:szCs w:val="14"/>
                <w:lang w:eastAsia="tr-TR"/>
              </w:rPr>
              <w:t>35,030</w:t>
            </w:r>
          </w:p>
        </w:tc>
        <w:tc>
          <w:tcPr>
            <w:tcW w:w="717" w:type="dxa"/>
            <w:tcBorders>
              <w:top w:val="nil"/>
              <w:left w:val="nil"/>
              <w:bottom w:val="nil"/>
              <w:right w:val="nil"/>
            </w:tcBorders>
            <w:shd w:val="clear" w:color="auto" w:fill="auto"/>
            <w:vAlign w:val="center"/>
            <w:hideMark/>
          </w:tcPr>
          <w:p w14:paraId="210AFF45" w14:textId="79EAF6DD" w:rsidR="00235A28" w:rsidRPr="00235A28" w:rsidRDefault="00235A28" w:rsidP="00235A28">
            <w:pPr>
              <w:jc w:val="right"/>
              <w:rPr>
                <w:b/>
                <w:bCs/>
                <w:color w:val="000000"/>
                <w:sz w:val="14"/>
                <w:szCs w:val="14"/>
                <w:lang w:eastAsia="tr-TR"/>
              </w:rPr>
            </w:pPr>
            <w:r w:rsidRPr="00235A28">
              <w:rPr>
                <w:b/>
                <w:bCs/>
                <w:color w:val="000000"/>
                <w:sz w:val="14"/>
                <w:szCs w:val="14"/>
                <w:lang w:eastAsia="tr-TR"/>
              </w:rPr>
              <w:t>68,603</w:t>
            </w:r>
          </w:p>
        </w:tc>
        <w:tc>
          <w:tcPr>
            <w:tcW w:w="685" w:type="dxa"/>
            <w:tcBorders>
              <w:top w:val="nil"/>
              <w:left w:val="nil"/>
              <w:bottom w:val="nil"/>
              <w:right w:val="nil"/>
            </w:tcBorders>
            <w:shd w:val="clear" w:color="auto" w:fill="auto"/>
            <w:vAlign w:val="center"/>
            <w:hideMark/>
          </w:tcPr>
          <w:p w14:paraId="3DEFB9FB" w14:textId="0D0EE8F0"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0BEA9B3" w14:textId="10A18333" w:rsidR="00235A28" w:rsidRPr="00235A28" w:rsidRDefault="00235A28" w:rsidP="00235A28">
            <w:pPr>
              <w:jc w:val="right"/>
              <w:rPr>
                <w:b/>
                <w:bCs/>
                <w:color w:val="000000"/>
                <w:sz w:val="14"/>
                <w:szCs w:val="14"/>
                <w:lang w:eastAsia="tr-TR"/>
              </w:rPr>
            </w:pPr>
            <w:r w:rsidRPr="00235A28">
              <w:rPr>
                <w:b/>
                <w:bCs/>
                <w:color w:val="000000"/>
                <w:sz w:val="14"/>
                <w:szCs w:val="14"/>
                <w:lang w:eastAsia="tr-TR"/>
              </w:rPr>
              <w:t>2,453,580</w:t>
            </w:r>
          </w:p>
        </w:tc>
      </w:tr>
      <w:tr w:rsidR="00235A28" w:rsidRPr="00235A28" w14:paraId="0F5DFE8B"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7C7D38F9"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Resmi kuruluşlar</w:t>
            </w:r>
          </w:p>
        </w:tc>
        <w:tc>
          <w:tcPr>
            <w:tcW w:w="775" w:type="dxa"/>
            <w:tcBorders>
              <w:top w:val="nil"/>
              <w:left w:val="nil"/>
              <w:bottom w:val="nil"/>
              <w:right w:val="nil"/>
            </w:tcBorders>
            <w:shd w:val="clear" w:color="auto" w:fill="auto"/>
            <w:vAlign w:val="center"/>
            <w:hideMark/>
          </w:tcPr>
          <w:p w14:paraId="6AFF916E" w14:textId="7F1EF582"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697B153B" w14:textId="3B924E32" w:rsidR="00235A28" w:rsidRPr="00235A28" w:rsidRDefault="00235A28" w:rsidP="00235A28">
            <w:pPr>
              <w:jc w:val="right"/>
              <w:rPr>
                <w:color w:val="000000"/>
                <w:sz w:val="14"/>
                <w:szCs w:val="14"/>
                <w:lang w:eastAsia="tr-TR"/>
              </w:rPr>
            </w:pPr>
            <w:r w:rsidRPr="00235A28">
              <w:rPr>
                <w:color w:val="000000"/>
                <w:sz w:val="14"/>
                <w:szCs w:val="14"/>
                <w:lang w:eastAsia="tr-TR"/>
              </w:rPr>
              <w:t>21</w:t>
            </w:r>
          </w:p>
        </w:tc>
        <w:tc>
          <w:tcPr>
            <w:tcW w:w="774" w:type="dxa"/>
            <w:tcBorders>
              <w:top w:val="nil"/>
              <w:left w:val="nil"/>
              <w:bottom w:val="nil"/>
              <w:right w:val="nil"/>
            </w:tcBorders>
            <w:shd w:val="clear" w:color="auto" w:fill="auto"/>
            <w:vAlign w:val="center"/>
            <w:hideMark/>
          </w:tcPr>
          <w:p w14:paraId="31EA6468" w14:textId="725AC982"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081AB9CF" w14:textId="0A6C40AA"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456ED61" w14:textId="7FB7A7B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5DD580A" w14:textId="1C456105"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7873B24" w14:textId="3AE8FEFA"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9F4C72B" w14:textId="37A0A72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E899676" w14:textId="12B5CC55" w:rsidR="00235A28" w:rsidRPr="00235A28" w:rsidRDefault="00235A28" w:rsidP="00235A28">
            <w:pPr>
              <w:jc w:val="right"/>
              <w:rPr>
                <w:color w:val="000000"/>
                <w:sz w:val="14"/>
                <w:szCs w:val="14"/>
                <w:lang w:eastAsia="tr-TR"/>
              </w:rPr>
            </w:pPr>
            <w:r w:rsidRPr="00235A28">
              <w:rPr>
                <w:color w:val="000000"/>
                <w:sz w:val="14"/>
                <w:szCs w:val="14"/>
                <w:lang w:eastAsia="tr-TR"/>
              </w:rPr>
              <w:t>21</w:t>
            </w:r>
          </w:p>
        </w:tc>
      </w:tr>
      <w:tr w:rsidR="00235A28" w:rsidRPr="00235A28" w14:paraId="131B833B"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23FACD86"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Ticari kuruluşlar</w:t>
            </w:r>
          </w:p>
        </w:tc>
        <w:tc>
          <w:tcPr>
            <w:tcW w:w="775" w:type="dxa"/>
            <w:tcBorders>
              <w:top w:val="nil"/>
              <w:left w:val="nil"/>
              <w:bottom w:val="nil"/>
              <w:right w:val="nil"/>
            </w:tcBorders>
            <w:shd w:val="clear" w:color="auto" w:fill="auto"/>
            <w:vAlign w:val="center"/>
            <w:hideMark/>
          </w:tcPr>
          <w:p w14:paraId="67AB5BE7" w14:textId="57B8A090"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33F19F09" w14:textId="24373ABA" w:rsidR="00235A28" w:rsidRPr="00235A28" w:rsidRDefault="00235A28" w:rsidP="00235A28">
            <w:pPr>
              <w:jc w:val="right"/>
              <w:rPr>
                <w:color w:val="000000"/>
                <w:sz w:val="14"/>
                <w:szCs w:val="14"/>
                <w:lang w:eastAsia="tr-TR"/>
              </w:rPr>
            </w:pPr>
            <w:r w:rsidRPr="00235A28">
              <w:rPr>
                <w:color w:val="000000"/>
                <w:sz w:val="14"/>
                <w:szCs w:val="14"/>
                <w:lang w:eastAsia="tr-TR"/>
              </w:rPr>
              <w:t>658,472</w:t>
            </w:r>
          </w:p>
        </w:tc>
        <w:tc>
          <w:tcPr>
            <w:tcW w:w="774" w:type="dxa"/>
            <w:tcBorders>
              <w:top w:val="nil"/>
              <w:left w:val="nil"/>
              <w:bottom w:val="nil"/>
              <w:right w:val="nil"/>
            </w:tcBorders>
            <w:shd w:val="clear" w:color="auto" w:fill="auto"/>
            <w:vAlign w:val="center"/>
            <w:hideMark/>
          </w:tcPr>
          <w:p w14:paraId="576EE83F" w14:textId="7AB5648D" w:rsidR="00235A28" w:rsidRPr="00235A28" w:rsidRDefault="00235A28" w:rsidP="00235A28">
            <w:pPr>
              <w:jc w:val="right"/>
              <w:rPr>
                <w:color w:val="000000"/>
                <w:sz w:val="14"/>
                <w:szCs w:val="14"/>
                <w:lang w:eastAsia="tr-TR"/>
              </w:rPr>
            </w:pPr>
            <w:r w:rsidRPr="00235A28">
              <w:rPr>
                <w:color w:val="000000"/>
                <w:sz w:val="14"/>
                <w:szCs w:val="14"/>
                <w:lang w:eastAsia="tr-TR"/>
              </w:rPr>
              <w:t>1,376,476</w:t>
            </w:r>
          </w:p>
        </w:tc>
        <w:tc>
          <w:tcPr>
            <w:tcW w:w="717" w:type="dxa"/>
            <w:tcBorders>
              <w:top w:val="nil"/>
              <w:left w:val="nil"/>
              <w:bottom w:val="nil"/>
              <w:right w:val="nil"/>
            </w:tcBorders>
            <w:shd w:val="clear" w:color="auto" w:fill="auto"/>
            <w:vAlign w:val="center"/>
            <w:hideMark/>
          </w:tcPr>
          <w:p w14:paraId="54D099C5" w14:textId="68521534" w:rsidR="00235A28" w:rsidRPr="00235A28" w:rsidRDefault="00235A28" w:rsidP="00235A28">
            <w:pPr>
              <w:jc w:val="right"/>
              <w:rPr>
                <w:color w:val="000000"/>
                <w:sz w:val="14"/>
                <w:szCs w:val="14"/>
                <w:lang w:eastAsia="tr-TR"/>
              </w:rPr>
            </w:pPr>
            <w:r w:rsidRPr="00235A28">
              <w:rPr>
                <w:color w:val="000000"/>
                <w:sz w:val="14"/>
                <w:szCs w:val="14"/>
                <w:lang w:eastAsia="tr-TR"/>
              </w:rPr>
              <w:t>47,767</w:t>
            </w:r>
          </w:p>
        </w:tc>
        <w:tc>
          <w:tcPr>
            <w:tcW w:w="498" w:type="dxa"/>
            <w:tcBorders>
              <w:top w:val="nil"/>
              <w:left w:val="nil"/>
              <w:bottom w:val="nil"/>
              <w:right w:val="nil"/>
            </w:tcBorders>
            <w:shd w:val="clear" w:color="auto" w:fill="auto"/>
            <w:vAlign w:val="center"/>
            <w:hideMark/>
          </w:tcPr>
          <w:p w14:paraId="61A7EF15" w14:textId="308376A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28BF4A4" w14:textId="244D3C70" w:rsidR="00235A28" w:rsidRPr="00235A28" w:rsidRDefault="00235A28" w:rsidP="00235A28">
            <w:pPr>
              <w:jc w:val="right"/>
              <w:rPr>
                <w:b/>
                <w:bCs/>
                <w:color w:val="000000"/>
                <w:sz w:val="14"/>
                <w:szCs w:val="14"/>
                <w:lang w:eastAsia="tr-TR"/>
              </w:rPr>
            </w:pPr>
            <w:r w:rsidRPr="00235A28">
              <w:rPr>
                <w:b/>
                <w:bCs/>
                <w:color w:val="000000"/>
                <w:sz w:val="14"/>
                <w:szCs w:val="14"/>
                <w:lang w:eastAsia="tr-TR"/>
              </w:rPr>
              <w:t>34,319</w:t>
            </w:r>
          </w:p>
        </w:tc>
        <w:tc>
          <w:tcPr>
            <w:tcW w:w="717" w:type="dxa"/>
            <w:tcBorders>
              <w:top w:val="nil"/>
              <w:left w:val="nil"/>
              <w:bottom w:val="nil"/>
              <w:right w:val="nil"/>
            </w:tcBorders>
            <w:shd w:val="clear" w:color="auto" w:fill="auto"/>
            <w:vAlign w:val="center"/>
            <w:hideMark/>
          </w:tcPr>
          <w:p w14:paraId="4E34DC4B" w14:textId="24262B1F" w:rsidR="00235A28" w:rsidRPr="00235A28" w:rsidRDefault="00235A28" w:rsidP="00235A28">
            <w:pPr>
              <w:jc w:val="right"/>
              <w:rPr>
                <w:b/>
                <w:bCs/>
                <w:color w:val="000000"/>
                <w:sz w:val="14"/>
                <w:szCs w:val="14"/>
                <w:lang w:eastAsia="tr-TR"/>
              </w:rPr>
            </w:pPr>
            <w:r w:rsidRPr="00235A28">
              <w:rPr>
                <w:b/>
                <w:bCs/>
                <w:color w:val="000000"/>
                <w:sz w:val="14"/>
                <w:szCs w:val="14"/>
                <w:lang w:eastAsia="tr-TR"/>
              </w:rPr>
              <w:t>68,603</w:t>
            </w:r>
          </w:p>
        </w:tc>
        <w:tc>
          <w:tcPr>
            <w:tcW w:w="685" w:type="dxa"/>
            <w:tcBorders>
              <w:top w:val="nil"/>
              <w:left w:val="nil"/>
              <w:bottom w:val="nil"/>
              <w:right w:val="nil"/>
            </w:tcBorders>
            <w:shd w:val="clear" w:color="auto" w:fill="auto"/>
            <w:vAlign w:val="center"/>
            <w:hideMark/>
          </w:tcPr>
          <w:p w14:paraId="5CF4033C" w14:textId="2DD17F0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82D0B69" w14:textId="103C6F12" w:rsidR="00235A28" w:rsidRPr="00235A28" w:rsidRDefault="00235A28" w:rsidP="00235A28">
            <w:pPr>
              <w:jc w:val="right"/>
              <w:rPr>
                <w:color w:val="000000"/>
                <w:sz w:val="14"/>
                <w:szCs w:val="14"/>
                <w:lang w:eastAsia="tr-TR"/>
              </w:rPr>
            </w:pPr>
            <w:r w:rsidRPr="00235A28">
              <w:rPr>
                <w:color w:val="000000"/>
                <w:sz w:val="14"/>
                <w:szCs w:val="14"/>
                <w:lang w:eastAsia="tr-TR"/>
              </w:rPr>
              <w:t>2,185,637</w:t>
            </w:r>
          </w:p>
        </w:tc>
      </w:tr>
      <w:tr w:rsidR="00235A28" w:rsidRPr="00235A28" w14:paraId="63B50A8F"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218617DF"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Diğer kuruluşlar</w:t>
            </w:r>
          </w:p>
        </w:tc>
        <w:tc>
          <w:tcPr>
            <w:tcW w:w="775" w:type="dxa"/>
            <w:tcBorders>
              <w:top w:val="nil"/>
              <w:left w:val="nil"/>
              <w:bottom w:val="nil"/>
              <w:right w:val="nil"/>
            </w:tcBorders>
            <w:shd w:val="clear" w:color="auto" w:fill="auto"/>
            <w:vAlign w:val="center"/>
            <w:hideMark/>
          </w:tcPr>
          <w:p w14:paraId="304E8AA6" w14:textId="673DFF7A"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029C477" w14:textId="2CF96990" w:rsidR="00235A28" w:rsidRPr="00235A28" w:rsidRDefault="00235A28" w:rsidP="00235A28">
            <w:pPr>
              <w:jc w:val="right"/>
              <w:rPr>
                <w:color w:val="000000"/>
                <w:sz w:val="14"/>
                <w:szCs w:val="14"/>
                <w:lang w:eastAsia="tr-TR"/>
              </w:rPr>
            </w:pPr>
            <w:r w:rsidRPr="00235A28">
              <w:rPr>
                <w:color w:val="000000"/>
                <w:sz w:val="14"/>
                <w:szCs w:val="14"/>
                <w:lang w:eastAsia="tr-TR"/>
              </w:rPr>
              <w:t>22,022</w:t>
            </w:r>
          </w:p>
        </w:tc>
        <w:tc>
          <w:tcPr>
            <w:tcW w:w="774" w:type="dxa"/>
            <w:tcBorders>
              <w:top w:val="nil"/>
              <w:left w:val="nil"/>
              <w:bottom w:val="nil"/>
              <w:right w:val="nil"/>
            </w:tcBorders>
            <w:shd w:val="clear" w:color="auto" w:fill="auto"/>
            <w:vAlign w:val="center"/>
            <w:hideMark/>
          </w:tcPr>
          <w:p w14:paraId="6D62F1FA" w14:textId="5CA2CC71" w:rsidR="00235A28" w:rsidRPr="00235A28" w:rsidRDefault="00235A28" w:rsidP="00235A28">
            <w:pPr>
              <w:jc w:val="right"/>
              <w:rPr>
                <w:color w:val="000000"/>
                <w:sz w:val="14"/>
                <w:szCs w:val="14"/>
                <w:lang w:eastAsia="tr-TR"/>
              </w:rPr>
            </w:pPr>
            <w:r w:rsidRPr="00235A28">
              <w:rPr>
                <w:color w:val="000000"/>
                <w:sz w:val="14"/>
                <w:szCs w:val="14"/>
                <w:lang w:eastAsia="tr-TR"/>
              </w:rPr>
              <w:t>121,939</w:t>
            </w:r>
          </w:p>
        </w:tc>
        <w:tc>
          <w:tcPr>
            <w:tcW w:w="717" w:type="dxa"/>
            <w:tcBorders>
              <w:top w:val="nil"/>
              <w:left w:val="nil"/>
              <w:bottom w:val="nil"/>
              <w:right w:val="nil"/>
            </w:tcBorders>
            <w:shd w:val="clear" w:color="auto" w:fill="auto"/>
            <w:vAlign w:val="center"/>
            <w:hideMark/>
          </w:tcPr>
          <w:p w14:paraId="07EA017B" w14:textId="030D3A43" w:rsidR="00235A28" w:rsidRPr="00235A28" w:rsidRDefault="00235A28" w:rsidP="00235A28">
            <w:pPr>
              <w:jc w:val="right"/>
              <w:rPr>
                <w:color w:val="000000"/>
                <w:sz w:val="14"/>
                <w:szCs w:val="14"/>
                <w:lang w:eastAsia="tr-TR"/>
              </w:rPr>
            </w:pPr>
            <w:r w:rsidRPr="00235A28">
              <w:rPr>
                <w:color w:val="000000"/>
                <w:sz w:val="14"/>
                <w:szCs w:val="14"/>
                <w:lang w:eastAsia="tr-TR"/>
              </w:rPr>
              <w:t>1,200</w:t>
            </w:r>
          </w:p>
        </w:tc>
        <w:tc>
          <w:tcPr>
            <w:tcW w:w="498" w:type="dxa"/>
            <w:tcBorders>
              <w:top w:val="nil"/>
              <w:left w:val="nil"/>
              <w:bottom w:val="nil"/>
              <w:right w:val="nil"/>
            </w:tcBorders>
            <w:shd w:val="clear" w:color="auto" w:fill="auto"/>
            <w:vAlign w:val="center"/>
            <w:hideMark/>
          </w:tcPr>
          <w:p w14:paraId="37477053" w14:textId="3EE876AC"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AACF32C" w14:textId="42D458B1" w:rsidR="00235A28" w:rsidRPr="00235A28" w:rsidRDefault="00235A28" w:rsidP="00235A28">
            <w:pPr>
              <w:jc w:val="right"/>
              <w:rPr>
                <w:b/>
                <w:bCs/>
                <w:color w:val="000000"/>
                <w:sz w:val="14"/>
                <w:szCs w:val="14"/>
                <w:lang w:eastAsia="tr-TR"/>
              </w:rPr>
            </w:pPr>
            <w:r w:rsidRPr="00235A28">
              <w:rPr>
                <w:b/>
                <w:bCs/>
                <w:color w:val="000000"/>
                <w:sz w:val="14"/>
                <w:szCs w:val="14"/>
                <w:lang w:eastAsia="tr-TR"/>
              </w:rPr>
              <w:t>190</w:t>
            </w:r>
          </w:p>
        </w:tc>
        <w:tc>
          <w:tcPr>
            <w:tcW w:w="717" w:type="dxa"/>
            <w:tcBorders>
              <w:top w:val="nil"/>
              <w:left w:val="nil"/>
              <w:bottom w:val="nil"/>
              <w:right w:val="nil"/>
            </w:tcBorders>
            <w:shd w:val="clear" w:color="auto" w:fill="auto"/>
            <w:vAlign w:val="center"/>
            <w:hideMark/>
          </w:tcPr>
          <w:p w14:paraId="67F9C2B6" w14:textId="38BE12D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3AFB740" w14:textId="55E1C01A"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7160B1C" w14:textId="44677220" w:rsidR="00235A28" w:rsidRPr="00235A28" w:rsidRDefault="00235A28" w:rsidP="00235A28">
            <w:pPr>
              <w:jc w:val="right"/>
              <w:rPr>
                <w:color w:val="000000"/>
                <w:sz w:val="14"/>
                <w:szCs w:val="14"/>
                <w:lang w:eastAsia="tr-TR"/>
              </w:rPr>
            </w:pPr>
            <w:r w:rsidRPr="00235A28">
              <w:rPr>
                <w:color w:val="000000"/>
                <w:sz w:val="14"/>
                <w:szCs w:val="14"/>
                <w:lang w:eastAsia="tr-TR"/>
              </w:rPr>
              <w:t>145,351</w:t>
            </w:r>
          </w:p>
        </w:tc>
      </w:tr>
      <w:tr w:rsidR="00235A28" w:rsidRPr="00235A28" w14:paraId="4ACA65CD"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3363048A"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Ticari ve diğer kuruluşlar</w:t>
            </w:r>
          </w:p>
        </w:tc>
        <w:tc>
          <w:tcPr>
            <w:tcW w:w="775" w:type="dxa"/>
            <w:tcBorders>
              <w:top w:val="nil"/>
              <w:left w:val="nil"/>
              <w:bottom w:val="nil"/>
              <w:right w:val="nil"/>
            </w:tcBorders>
            <w:shd w:val="clear" w:color="auto" w:fill="auto"/>
            <w:vAlign w:val="center"/>
            <w:hideMark/>
          </w:tcPr>
          <w:p w14:paraId="78B1EDE2" w14:textId="2FDB6BC0"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CFFE971" w14:textId="0C0E44F2" w:rsidR="00235A28" w:rsidRPr="00235A28" w:rsidRDefault="00235A28" w:rsidP="00235A28">
            <w:pPr>
              <w:jc w:val="right"/>
              <w:rPr>
                <w:color w:val="000000"/>
                <w:sz w:val="14"/>
                <w:szCs w:val="14"/>
                <w:lang w:eastAsia="tr-TR"/>
              </w:rPr>
            </w:pPr>
            <w:r w:rsidRPr="00235A28">
              <w:rPr>
                <w:color w:val="000000"/>
                <w:sz w:val="14"/>
                <w:szCs w:val="14"/>
                <w:lang w:eastAsia="tr-TR"/>
              </w:rPr>
              <w:t>35,118</w:t>
            </w:r>
          </w:p>
        </w:tc>
        <w:tc>
          <w:tcPr>
            <w:tcW w:w="774" w:type="dxa"/>
            <w:tcBorders>
              <w:top w:val="nil"/>
              <w:left w:val="nil"/>
              <w:bottom w:val="nil"/>
              <w:right w:val="nil"/>
            </w:tcBorders>
            <w:shd w:val="clear" w:color="auto" w:fill="auto"/>
            <w:vAlign w:val="center"/>
            <w:hideMark/>
          </w:tcPr>
          <w:p w14:paraId="60AB7515" w14:textId="7DB19915" w:rsidR="00235A28" w:rsidRPr="00235A28" w:rsidRDefault="00235A28" w:rsidP="00235A28">
            <w:pPr>
              <w:jc w:val="right"/>
              <w:rPr>
                <w:color w:val="000000"/>
                <w:sz w:val="14"/>
                <w:szCs w:val="14"/>
                <w:lang w:eastAsia="tr-TR"/>
              </w:rPr>
            </w:pPr>
            <w:r w:rsidRPr="00235A28">
              <w:rPr>
                <w:color w:val="000000"/>
                <w:sz w:val="14"/>
                <w:szCs w:val="14"/>
                <w:lang w:eastAsia="tr-TR"/>
              </w:rPr>
              <w:t>76,815</w:t>
            </w:r>
          </w:p>
        </w:tc>
        <w:tc>
          <w:tcPr>
            <w:tcW w:w="717" w:type="dxa"/>
            <w:tcBorders>
              <w:top w:val="nil"/>
              <w:left w:val="nil"/>
              <w:bottom w:val="nil"/>
              <w:right w:val="nil"/>
            </w:tcBorders>
            <w:shd w:val="clear" w:color="auto" w:fill="auto"/>
            <w:vAlign w:val="center"/>
            <w:hideMark/>
          </w:tcPr>
          <w:p w14:paraId="2CB78916" w14:textId="47BDF3DB" w:rsidR="00235A28" w:rsidRPr="00235A28" w:rsidRDefault="00235A28" w:rsidP="00235A28">
            <w:pPr>
              <w:jc w:val="right"/>
              <w:rPr>
                <w:color w:val="000000"/>
                <w:sz w:val="14"/>
                <w:szCs w:val="14"/>
                <w:lang w:eastAsia="tr-TR"/>
              </w:rPr>
            </w:pPr>
            <w:r w:rsidRPr="00235A28">
              <w:rPr>
                <w:color w:val="000000"/>
                <w:sz w:val="14"/>
                <w:szCs w:val="14"/>
                <w:lang w:eastAsia="tr-TR"/>
              </w:rPr>
              <w:t>12</w:t>
            </w:r>
          </w:p>
        </w:tc>
        <w:tc>
          <w:tcPr>
            <w:tcW w:w="498" w:type="dxa"/>
            <w:tcBorders>
              <w:top w:val="nil"/>
              <w:left w:val="nil"/>
              <w:bottom w:val="nil"/>
              <w:right w:val="nil"/>
            </w:tcBorders>
            <w:shd w:val="clear" w:color="auto" w:fill="auto"/>
            <w:vAlign w:val="center"/>
            <w:hideMark/>
          </w:tcPr>
          <w:p w14:paraId="1812DE65" w14:textId="1DC5BA1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6EA9485" w14:textId="57B3F622" w:rsidR="00235A28" w:rsidRPr="00235A28" w:rsidRDefault="00235A28" w:rsidP="00235A28">
            <w:pPr>
              <w:jc w:val="right"/>
              <w:rPr>
                <w:b/>
                <w:bCs/>
                <w:color w:val="000000"/>
                <w:sz w:val="14"/>
                <w:szCs w:val="14"/>
                <w:lang w:eastAsia="tr-TR"/>
              </w:rPr>
            </w:pPr>
            <w:r w:rsidRPr="00235A28">
              <w:rPr>
                <w:b/>
                <w:bCs/>
                <w:color w:val="000000"/>
                <w:sz w:val="14"/>
                <w:szCs w:val="14"/>
                <w:lang w:eastAsia="tr-TR"/>
              </w:rPr>
              <w:t>521</w:t>
            </w:r>
          </w:p>
        </w:tc>
        <w:tc>
          <w:tcPr>
            <w:tcW w:w="717" w:type="dxa"/>
            <w:tcBorders>
              <w:top w:val="nil"/>
              <w:left w:val="nil"/>
              <w:bottom w:val="nil"/>
              <w:right w:val="nil"/>
            </w:tcBorders>
            <w:shd w:val="clear" w:color="auto" w:fill="auto"/>
            <w:vAlign w:val="center"/>
            <w:hideMark/>
          </w:tcPr>
          <w:p w14:paraId="10508544" w14:textId="61EA25D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C153819" w14:textId="32F7157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5161257" w14:textId="16FB55E9" w:rsidR="00235A28" w:rsidRPr="00235A28" w:rsidRDefault="00235A28" w:rsidP="00235A28">
            <w:pPr>
              <w:jc w:val="right"/>
              <w:rPr>
                <w:color w:val="000000"/>
                <w:sz w:val="14"/>
                <w:szCs w:val="14"/>
                <w:lang w:eastAsia="tr-TR"/>
              </w:rPr>
            </w:pPr>
            <w:r w:rsidRPr="00235A28">
              <w:rPr>
                <w:color w:val="000000"/>
                <w:sz w:val="14"/>
                <w:szCs w:val="14"/>
                <w:lang w:eastAsia="tr-TR"/>
              </w:rPr>
              <w:t>112,466</w:t>
            </w:r>
          </w:p>
        </w:tc>
      </w:tr>
      <w:tr w:rsidR="00235A28" w:rsidRPr="00235A28" w14:paraId="49262E0E"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51B04D47" w14:textId="77777777" w:rsidR="00235A28" w:rsidRPr="00235A28" w:rsidRDefault="00235A28" w:rsidP="00235A28">
            <w:pPr>
              <w:ind w:firstLineChars="100" w:firstLine="140"/>
              <w:rPr>
                <w:color w:val="000000"/>
                <w:sz w:val="14"/>
                <w:szCs w:val="14"/>
                <w:lang w:eastAsia="tr-TR"/>
              </w:rPr>
            </w:pPr>
            <w:r w:rsidRPr="00235A28">
              <w:rPr>
                <w:bCs/>
                <w:color w:val="000000"/>
                <w:sz w:val="14"/>
                <w:szCs w:val="14"/>
                <w:lang w:eastAsia="tr-TR"/>
              </w:rPr>
              <w:t>Bankalar ve katılım bankaları</w:t>
            </w:r>
          </w:p>
        </w:tc>
        <w:tc>
          <w:tcPr>
            <w:tcW w:w="775" w:type="dxa"/>
            <w:tcBorders>
              <w:top w:val="nil"/>
              <w:left w:val="nil"/>
              <w:bottom w:val="nil"/>
              <w:right w:val="nil"/>
            </w:tcBorders>
            <w:shd w:val="clear" w:color="auto" w:fill="auto"/>
            <w:vAlign w:val="center"/>
            <w:hideMark/>
          </w:tcPr>
          <w:p w14:paraId="73917488" w14:textId="141EB4F3"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E307A25" w14:textId="0AD58933" w:rsidR="00235A28" w:rsidRPr="00235A28" w:rsidRDefault="00235A28" w:rsidP="00235A28">
            <w:pPr>
              <w:jc w:val="right"/>
              <w:rPr>
                <w:color w:val="000000"/>
                <w:sz w:val="14"/>
                <w:szCs w:val="14"/>
                <w:lang w:eastAsia="tr-TR"/>
              </w:rPr>
            </w:pPr>
            <w:r w:rsidRPr="00235A28">
              <w:rPr>
                <w:color w:val="000000"/>
                <w:sz w:val="14"/>
                <w:szCs w:val="14"/>
                <w:lang w:eastAsia="tr-TR"/>
              </w:rPr>
              <w:t>10</w:t>
            </w:r>
          </w:p>
        </w:tc>
        <w:tc>
          <w:tcPr>
            <w:tcW w:w="774" w:type="dxa"/>
            <w:tcBorders>
              <w:top w:val="nil"/>
              <w:left w:val="nil"/>
              <w:bottom w:val="nil"/>
              <w:right w:val="nil"/>
            </w:tcBorders>
            <w:shd w:val="clear" w:color="auto" w:fill="auto"/>
            <w:vAlign w:val="center"/>
            <w:hideMark/>
          </w:tcPr>
          <w:p w14:paraId="14CAB749" w14:textId="5781E7B0" w:rsidR="00235A28" w:rsidRPr="00235A28" w:rsidRDefault="00235A28" w:rsidP="00235A28">
            <w:pPr>
              <w:jc w:val="right"/>
              <w:rPr>
                <w:color w:val="000000"/>
                <w:sz w:val="14"/>
                <w:szCs w:val="14"/>
                <w:lang w:eastAsia="tr-TR"/>
              </w:rPr>
            </w:pPr>
            <w:r w:rsidRPr="00235A28">
              <w:rPr>
                <w:color w:val="000000"/>
                <w:sz w:val="14"/>
                <w:szCs w:val="14"/>
                <w:lang w:eastAsia="tr-TR"/>
              </w:rPr>
              <w:t>10,095</w:t>
            </w:r>
          </w:p>
        </w:tc>
        <w:tc>
          <w:tcPr>
            <w:tcW w:w="717" w:type="dxa"/>
            <w:tcBorders>
              <w:top w:val="nil"/>
              <w:left w:val="nil"/>
              <w:bottom w:val="nil"/>
              <w:right w:val="nil"/>
            </w:tcBorders>
            <w:shd w:val="clear" w:color="auto" w:fill="auto"/>
            <w:vAlign w:val="center"/>
            <w:hideMark/>
          </w:tcPr>
          <w:p w14:paraId="3FE616D4" w14:textId="4007FC5D"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9069C67" w14:textId="1AF5C498"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DAB1003" w14:textId="1827426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691E87A" w14:textId="6C01A358"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69082A9" w14:textId="71BC49C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0F16E6E" w14:textId="738F9637" w:rsidR="00235A28" w:rsidRPr="00235A28" w:rsidRDefault="00235A28" w:rsidP="00235A28">
            <w:pPr>
              <w:jc w:val="right"/>
              <w:rPr>
                <w:color w:val="000000"/>
                <w:sz w:val="14"/>
                <w:szCs w:val="14"/>
                <w:lang w:eastAsia="tr-TR"/>
              </w:rPr>
            </w:pPr>
            <w:r w:rsidRPr="00235A28">
              <w:rPr>
                <w:color w:val="000000"/>
                <w:sz w:val="14"/>
                <w:szCs w:val="14"/>
                <w:lang w:eastAsia="tr-TR"/>
              </w:rPr>
              <w:t>10,105</w:t>
            </w:r>
          </w:p>
        </w:tc>
      </w:tr>
      <w:tr w:rsidR="00235A28" w:rsidRPr="00235A28" w14:paraId="69A165F1"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58C19C7D" w14:textId="77777777" w:rsidR="00235A28" w:rsidRPr="00235A28" w:rsidRDefault="00235A28" w:rsidP="00235A28">
            <w:pPr>
              <w:ind w:firstLineChars="100" w:firstLine="141"/>
              <w:rPr>
                <w:b/>
                <w:bCs/>
                <w:color w:val="000000"/>
                <w:sz w:val="14"/>
                <w:szCs w:val="14"/>
                <w:lang w:eastAsia="tr-TR"/>
              </w:rPr>
            </w:pPr>
            <w:r w:rsidRPr="00235A28">
              <w:rPr>
                <w:b/>
                <w:bCs/>
                <w:color w:val="000000"/>
                <w:sz w:val="14"/>
                <w:szCs w:val="14"/>
                <w:lang w:eastAsia="tr-TR"/>
              </w:rPr>
              <w:t>IX. Kıymetli maden DH</w:t>
            </w:r>
          </w:p>
        </w:tc>
        <w:tc>
          <w:tcPr>
            <w:tcW w:w="775" w:type="dxa"/>
            <w:tcBorders>
              <w:top w:val="nil"/>
              <w:left w:val="nil"/>
              <w:bottom w:val="nil"/>
              <w:right w:val="nil"/>
            </w:tcBorders>
            <w:shd w:val="clear" w:color="auto" w:fill="auto"/>
            <w:vAlign w:val="center"/>
            <w:hideMark/>
          </w:tcPr>
          <w:p w14:paraId="169D3EB4" w14:textId="3C55789E" w:rsidR="00235A28" w:rsidRPr="00235A28" w:rsidRDefault="00235A28" w:rsidP="00235A28">
            <w:pPr>
              <w:jc w:val="right"/>
              <w:rPr>
                <w:b/>
                <w:bCs/>
                <w:color w:val="000000"/>
                <w:sz w:val="14"/>
                <w:szCs w:val="14"/>
                <w:lang w:eastAsia="tr-TR"/>
              </w:rPr>
            </w:pPr>
            <w:r w:rsidRPr="00235A28">
              <w:rPr>
                <w:b/>
                <w:bCs/>
                <w:color w:val="000000"/>
                <w:sz w:val="14"/>
                <w:szCs w:val="14"/>
                <w:lang w:eastAsia="tr-TR"/>
              </w:rPr>
              <w:t>22,564,970</w:t>
            </w:r>
          </w:p>
        </w:tc>
        <w:tc>
          <w:tcPr>
            <w:tcW w:w="774" w:type="dxa"/>
            <w:tcBorders>
              <w:top w:val="nil"/>
              <w:left w:val="nil"/>
              <w:bottom w:val="nil"/>
              <w:right w:val="nil"/>
            </w:tcBorders>
            <w:shd w:val="clear" w:color="auto" w:fill="auto"/>
            <w:vAlign w:val="center"/>
            <w:hideMark/>
          </w:tcPr>
          <w:p w14:paraId="297B4A52" w14:textId="6409D97A" w:rsidR="00235A28" w:rsidRPr="00235A28" w:rsidRDefault="00235A28" w:rsidP="00235A28">
            <w:pPr>
              <w:jc w:val="right"/>
              <w:rPr>
                <w:b/>
                <w:bCs/>
                <w:color w:val="000000"/>
                <w:sz w:val="14"/>
                <w:szCs w:val="14"/>
                <w:lang w:eastAsia="tr-TR"/>
              </w:rPr>
            </w:pPr>
            <w:r w:rsidRPr="00235A28">
              <w:rPr>
                <w:b/>
                <w:bCs/>
                <w:color w:val="000000"/>
                <w:sz w:val="14"/>
                <w:szCs w:val="14"/>
                <w:lang w:eastAsia="tr-TR"/>
              </w:rPr>
              <w:t>4,552,806</w:t>
            </w:r>
          </w:p>
        </w:tc>
        <w:tc>
          <w:tcPr>
            <w:tcW w:w="774" w:type="dxa"/>
            <w:tcBorders>
              <w:top w:val="nil"/>
              <w:left w:val="nil"/>
              <w:bottom w:val="nil"/>
              <w:right w:val="nil"/>
            </w:tcBorders>
            <w:shd w:val="clear" w:color="auto" w:fill="auto"/>
            <w:vAlign w:val="center"/>
            <w:hideMark/>
          </w:tcPr>
          <w:p w14:paraId="79DEF7D7" w14:textId="4F63EEC7" w:rsidR="00235A28" w:rsidRPr="00235A28" w:rsidRDefault="00235A28" w:rsidP="00235A28">
            <w:pPr>
              <w:jc w:val="right"/>
              <w:rPr>
                <w:b/>
                <w:bCs/>
                <w:color w:val="000000"/>
                <w:sz w:val="14"/>
                <w:szCs w:val="14"/>
                <w:lang w:eastAsia="tr-TR"/>
              </w:rPr>
            </w:pPr>
            <w:r w:rsidRPr="00235A28">
              <w:rPr>
                <w:b/>
                <w:bCs/>
                <w:color w:val="000000"/>
                <w:sz w:val="14"/>
                <w:szCs w:val="14"/>
                <w:lang w:eastAsia="tr-TR"/>
              </w:rPr>
              <w:t>2,818,482</w:t>
            </w:r>
          </w:p>
        </w:tc>
        <w:tc>
          <w:tcPr>
            <w:tcW w:w="717" w:type="dxa"/>
            <w:tcBorders>
              <w:top w:val="nil"/>
              <w:left w:val="nil"/>
              <w:bottom w:val="nil"/>
              <w:right w:val="nil"/>
            </w:tcBorders>
            <w:shd w:val="clear" w:color="auto" w:fill="auto"/>
            <w:vAlign w:val="center"/>
            <w:hideMark/>
          </w:tcPr>
          <w:p w14:paraId="79D6DAF4" w14:textId="7DCD5DF1" w:rsidR="00235A28" w:rsidRPr="00235A28" w:rsidRDefault="00235A28" w:rsidP="00235A28">
            <w:pPr>
              <w:jc w:val="right"/>
              <w:rPr>
                <w:b/>
                <w:bCs/>
                <w:color w:val="000000"/>
                <w:sz w:val="14"/>
                <w:szCs w:val="14"/>
                <w:lang w:eastAsia="tr-TR"/>
              </w:rPr>
            </w:pPr>
            <w:r w:rsidRPr="00235A28">
              <w:rPr>
                <w:b/>
                <w:bCs/>
                <w:color w:val="000000"/>
                <w:sz w:val="14"/>
                <w:szCs w:val="14"/>
                <w:lang w:eastAsia="tr-TR"/>
              </w:rPr>
              <w:t>375,036</w:t>
            </w:r>
          </w:p>
        </w:tc>
        <w:tc>
          <w:tcPr>
            <w:tcW w:w="498" w:type="dxa"/>
            <w:tcBorders>
              <w:top w:val="nil"/>
              <w:left w:val="nil"/>
              <w:bottom w:val="nil"/>
              <w:right w:val="nil"/>
            </w:tcBorders>
            <w:shd w:val="clear" w:color="auto" w:fill="auto"/>
            <w:vAlign w:val="center"/>
            <w:hideMark/>
          </w:tcPr>
          <w:p w14:paraId="429AB98D" w14:textId="0CDD2FCC"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4CD3A41" w14:textId="5E4ACF15" w:rsidR="00235A28" w:rsidRPr="00235A28" w:rsidRDefault="00235A28" w:rsidP="00235A28">
            <w:pPr>
              <w:jc w:val="right"/>
              <w:rPr>
                <w:b/>
                <w:bCs/>
                <w:color w:val="000000"/>
                <w:sz w:val="14"/>
                <w:szCs w:val="14"/>
                <w:lang w:eastAsia="tr-TR"/>
              </w:rPr>
            </w:pPr>
            <w:r w:rsidRPr="00235A28">
              <w:rPr>
                <w:b/>
                <w:bCs/>
                <w:color w:val="000000"/>
                <w:sz w:val="14"/>
                <w:szCs w:val="14"/>
                <w:lang w:eastAsia="tr-TR"/>
              </w:rPr>
              <w:t>291,195</w:t>
            </w:r>
          </w:p>
        </w:tc>
        <w:tc>
          <w:tcPr>
            <w:tcW w:w="717" w:type="dxa"/>
            <w:tcBorders>
              <w:top w:val="nil"/>
              <w:left w:val="nil"/>
              <w:bottom w:val="nil"/>
              <w:right w:val="nil"/>
            </w:tcBorders>
            <w:shd w:val="clear" w:color="auto" w:fill="auto"/>
            <w:vAlign w:val="center"/>
            <w:hideMark/>
          </w:tcPr>
          <w:p w14:paraId="104095E6" w14:textId="07183796" w:rsidR="00235A28" w:rsidRPr="00235A28" w:rsidRDefault="00235A28" w:rsidP="00235A28">
            <w:pPr>
              <w:jc w:val="right"/>
              <w:rPr>
                <w:b/>
                <w:bCs/>
                <w:color w:val="000000"/>
                <w:sz w:val="14"/>
                <w:szCs w:val="14"/>
                <w:lang w:eastAsia="tr-TR"/>
              </w:rPr>
            </w:pPr>
            <w:r w:rsidRPr="00235A28">
              <w:rPr>
                <w:b/>
                <w:bCs/>
                <w:color w:val="000000"/>
                <w:sz w:val="14"/>
                <w:szCs w:val="14"/>
                <w:lang w:eastAsia="tr-TR"/>
              </w:rPr>
              <w:t>11,367</w:t>
            </w:r>
          </w:p>
        </w:tc>
        <w:tc>
          <w:tcPr>
            <w:tcW w:w="685" w:type="dxa"/>
            <w:tcBorders>
              <w:top w:val="nil"/>
              <w:left w:val="nil"/>
              <w:bottom w:val="nil"/>
              <w:right w:val="nil"/>
            </w:tcBorders>
            <w:shd w:val="clear" w:color="auto" w:fill="auto"/>
            <w:vAlign w:val="center"/>
            <w:hideMark/>
          </w:tcPr>
          <w:p w14:paraId="18C35A92" w14:textId="2962997E" w:rsidR="00235A28" w:rsidRPr="00235A28" w:rsidRDefault="00235A28" w:rsidP="00235A28">
            <w:pPr>
              <w:jc w:val="right"/>
              <w:rPr>
                <w:b/>
                <w:bCs/>
                <w:color w:val="000000"/>
                <w:sz w:val="14"/>
                <w:szCs w:val="14"/>
                <w:lang w:eastAsia="tr-TR"/>
              </w:rPr>
            </w:pPr>
            <w:r w:rsidRPr="00235A28">
              <w:rPr>
                <w:b/>
                <w:bCs/>
                <w:color w:val="000000"/>
                <w:sz w:val="14"/>
                <w:szCs w:val="14"/>
                <w:lang w:eastAsia="tr-TR"/>
              </w:rPr>
              <w:t>198</w:t>
            </w:r>
          </w:p>
        </w:tc>
        <w:tc>
          <w:tcPr>
            <w:tcW w:w="840" w:type="dxa"/>
            <w:tcBorders>
              <w:top w:val="nil"/>
              <w:left w:val="nil"/>
              <w:bottom w:val="nil"/>
              <w:right w:val="nil"/>
            </w:tcBorders>
            <w:shd w:val="clear" w:color="auto" w:fill="auto"/>
            <w:vAlign w:val="center"/>
            <w:hideMark/>
          </w:tcPr>
          <w:p w14:paraId="1976477E" w14:textId="1C002662" w:rsidR="00235A28" w:rsidRPr="00235A28" w:rsidRDefault="00235A28" w:rsidP="00235A28">
            <w:pPr>
              <w:jc w:val="right"/>
              <w:rPr>
                <w:b/>
                <w:bCs/>
                <w:color w:val="000000"/>
                <w:sz w:val="14"/>
                <w:szCs w:val="14"/>
                <w:lang w:eastAsia="tr-TR"/>
              </w:rPr>
            </w:pPr>
            <w:r w:rsidRPr="00235A28">
              <w:rPr>
                <w:b/>
                <w:bCs/>
                <w:color w:val="000000"/>
                <w:sz w:val="14"/>
                <w:szCs w:val="14"/>
                <w:lang w:eastAsia="tr-TR"/>
              </w:rPr>
              <w:t>30,614,054</w:t>
            </w:r>
          </w:p>
        </w:tc>
      </w:tr>
      <w:tr w:rsidR="00235A28" w:rsidRPr="00235A28" w14:paraId="40BA6DAE" w14:textId="77777777" w:rsidTr="00BA637F">
        <w:trPr>
          <w:divId w:val="367950772"/>
          <w:trHeight w:val="177"/>
        </w:trPr>
        <w:tc>
          <w:tcPr>
            <w:tcW w:w="3408" w:type="dxa"/>
            <w:tcBorders>
              <w:top w:val="nil"/>
              <w:left w:val="nil"/>
              <w:bottom w:val="nil"/>
              <w:right w:val="nil"/>
            </w:tcBorders>
            <w:shd w:val="clear" w:color="auto" w:fill="auto"/>
            <w:vAlign w:val="center"/>
            <w:hideMark/>
          </w:tcPr>
          <w:p w14:paraId="6FD0BF17" w14:textId="77777777" w:rsidR="00235A28" w:rsidRPr="00235A28" w:rsidRDefault="00235A28" w:rsidP="00235A28">
            <w:pPr>
              <w:ind w:firstLineChars="100" w:firstLine="140"/>
              <w:rPr>
                <w:b/>
                <w:bCs/>
                <w:color w:val="000000"/>
                <w:sz w:val="14"/>
                <w:szCs w:val="14"/>
                <w:lang w:eastAsia="tr-TR"/>
              </w:rPr>
            </w:pPr>
            <w:r w:rsidRPr="00235A28">
              <w:rPr>
                <w:rFonts w:eastAsia="Arial Unicode MS"/>
                <w:b/>
                <w:bCs/>
                <w:color w:val="000000"/>
                <w:sz w:val="14"/>
                <w:szCs w:val="14"/>
                <w:lang w:eastAsia="tr-TR"/>
              </w:rPr>
              <w:t>X. Katılma hesapları özel fon havuzları TP</w:t>
            </w:r>
          </w:p>
        </w:tc>
        <w:tc>
          <w:tcPr>
            <w:tcW w:w="775" w:type="dxa"/>
            <w:tcBorders>
              <w:top w:val="nil"/>
              <w:left w:val="nil"/>
              <w:bottom w:val="nil"/>
              <w:right w:val="nil"/>
            </w:tcBorders>
            <w:shd w:val="clear" w:color="auto" w:fill="auto"/>
            <w:vAlign w:val="center"/>
            <w:hideMark/>
          </w:tcPr>
          <w:p w14:paraId="363FCED1" w14:textId="77311A50"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48EDEC56" w14:textId="645B96BE"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6A9072DC" w14:textId="706ACFCA"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42935709" w14:textId="73422169"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97ECA70" w14:textId="25FB1CD7"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029002F" w14:textId="4305747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FF8C837" w14:textId="136E8F10"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625C836" w14:textId="4082DADB"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27EACDD" w14:textId="295FC841" w:rsidR="00235A28" w:rsidRPr="00235A28" w:rsidRDefault="00235A28" w:rsidP="00235A28">
            <w:pPr>
              <w:jc w:val="right"/>
              <w:rPr>
                <w:color w:val="000000"/>
                <w:sz w:val="14"/>
                <w:szCs w:val="14"/>
                <w:lang w:eastAsia="tr-TR"/>
              </w:rPr>
            </w:pPr>
            <w:r w:rsidRPr="00235A28">
              <w:rPr>
                <w:color w:val="000000"/>
                <w:sz w:val="14"/>
                <w:szCs w:val="14"/>
                <w:lang w:eastAsia="tr-TR"/>
              </w:rPr>
              <w:t>-</w:t>
            </w:r>
          </w:p>
        </w:tc>
      </w:tr>
      <w:tr w:rsidR="00235A28" w:rsidRPr="00235A28" w14:paraId="5F885243"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4B0E8C6B" w14:textId="77777777" w:rsidR="00235A28" w:rsidRPr="00235A28" w:rsidRDefault="00235A28" w:rsidP="00235A28">
            <w:pPr>
              <w:ind w:firstLineChars="100" w:firstLine="140"/>
              <w:rPr>
                <w:color w:val="000000"/>
                <w:sz w:val="14"/>
                <w:szCs w:val="14"/>
                <w:lang w:eastAsia="tr-TR"/>
              </w:rPr>
            </w:pPr>
            <w:r w:rsidRPr="00235A28">
              <w:rPr>
                <w:color w:val="000000"/>
                <w:sz w:val="14"/>
                <w:szCs w:val="14"/>
                <w:lang w:eastAsia="tr-TR"/>
              </w:rPr>
              <w:t>Yurt içinde yer. K</w:t>
            </w:r>
          </w:p>
        </w:tc>
        <w:tc>
          <w:tcPr>
            <w:tcW w:w="775" w:type="dxa"/>
            <w:tcBorders>
              <w:top w:val="nil"/>
              <w:left w:val="nil"/>
              <w:bottom w:val="nil"/>
              <w:right w:val="nil"/>
            </w:tcBorders>
            <w:shd w:val="clear" w:color="auto" w:fill="auto"/>
            <w:vAlign w:val="center"/>
            <w:hideMark/>
          </w:tcPr>
          <w:p w14:paraId="082DC768" w14:textId="3629275E"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F478EC9" w14:textId="730EFEE9"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73DA317" w14:textId="7F106F71"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72A67CAC" w14:textId="1DF421CF"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809D216" w14:textId="57779E9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BCD7CB8" w14:textId="3D92216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53679E3" w14:textId="7A7E0682"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5EEA12E" w14:textId="76D2320E"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EAA1F86" w14:textId="75C459A0" w:rsidR="00235A28" w:rsidRPr="00235A28" w:rsidRDefault="00235A28" w:rsidP="00235A28">
            <w:pPr>
              <w:jc w:val="right"/>
              <w:rPr>
                <w:color w:val="000000"/>
                <w:sz w:val="14"/>
                <w:szCs w:val="14"/>
                <w:lang w:eastAsia="tr-TR"/>
              </w:rPr>
            </w:pPr>
            <w:r w:rsidRPr="00235A28">
              <w:rPr>
                <w:color w:val="000000"/>
                <w:sz w:val="14"/>
                <w:szCs w:val="14"/>
                <w:lang w:eastAsia="tr-TR"/>
              </w:rPr>
              <w:t>-</w:t>
            </w:r>
          </w:p>
        </w:tc>
      </w:tr>
      <w:tr w:rsidR="00235A28" w:rsidRPr="00235A28" w14:paraId="5CBDEA6C" w14:textId="77777777" w:rsidTr="00BA637F">
        <w:trPr>
          <w:divId w:val="367950772"/>
          <w:trHeight w:val="215"/>
        </w:trPr>
        <w:tc>
          <w:tcPr>
            <w:tcW w:w="3408" w:type="dxa"/>
            <w:tcBorders>
              <w:top w:val="nil"/>
              <w:left w:val="nil"/>
              <w:bottom w:val="nil"/>
              <w:right w:val="nil"/>
            </w:tcBorders>
            <w:shd w:val="clear" w:color="auto" w:fill="auto"/>
            <w:vAlign w:val="center"/>
            <w:hideMark/>
          </w:tcPr>
          <w:p w14:paraId="0BC8B47A" w14:textId="77777777" w:rsidR="00235A28" w:rsidRPr="00235A28" w:rsidRDefault="00235A28" w:rsidP="00235A28">
            <w:pPr>
              <w:ind w:firstLineChars="100" w:firstLine="140"/>
              <w:rPr>
                <w:color w:val="000000"/>
                <w:sz w:val="14"/>
                <w:szCs w:val="14"/>
                <w:lang w:eastAsia="tr-TR"/>
              </w:rPr>
            </w:pPr>
            <w:r w:rsidRPr="00235A28">
              <w:rPr>
                <w:color w:val="000000"/>
                <w:sz w:val="14"/>
                <w:szCs w:val="14"/>
                <w:lang w:eastAsia="tr-TR"/>
              </w:rPr>
              <w:t xml:space="preserve">Yurt dışında </w:t>
            </w:r>
            <w:proofErr w:type="spellStart"/>
            <w:proofErr w:type="gramStart"/>
            <w:r w:rsidRPr="00235A28">
              <w:rPr>
                <w:color w:val="000000"/>
                <w:sz w:val="14"/>
                <w:szCs w:val="14"/>
                <w:lang w:eastAsia="tr-TR"/>
              </w:rPr>
              <w:t>yer.K</w:t>
            </w:r>
            <w:proofErr w:type="spellEnd"/>
            <w:proofErr w:type="gramEnd"/>
          </w:p>
        </w:tc>
        <w:tc>
          <w:tcPr>
            <w:tcW w:w="775" w:type="dxa"/>
            <w:tcBorders>
              <w:top w:val="nil"/>
              <w:left w:val="nil"/>
              <w:bottom w:val="nil"/>
              <w:right w:val="nil"/>
            </w:tcBorders>
            <w:shd w:val="clear" w:color="auto" w:fill="auto"/>
            <w:vAlign w:val="center"/>
            <w:hideMark/>
          </w:tcPr>
          <w:p w14:paraId="2DC06185" w14:textId="4483C94D"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486A03CE" w14:textId="21F649F3"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620E388" w14:textId="3D6DE272"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56C5AF3F" w14:textId="6114EE4A"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8E0F1BA" w14:textId="4137C68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8A677B6" w14:textId="685D4201"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54B66CB" w14:textId="693006F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8B3663E" w14:textId="0B5B9CAA"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56632F7" w14:textId="16E08043" w:rsidR="00235A28" w:rsidRPr="00235A28" w:rsidRDefault="00235A28" w:rsidP="00235A28">
            <w:pPr>
              <w:jc w:val="right"/>
              <w:rPr>
                <w:color w:val="000000"/>
                <w:sz w:val="14"/>
                <w:szCs w:val="14"/>
                <w:lang w:eastAsia="tr-TR"/>
              </w:rPr>
            </w:pPr>
            <w:r w:rsidRPr="00235A28">
              <w:rPr>
                <w:color w:val="000000"/>
                <w:sz w:val="14"/>
                <w:szCs w:val="14"/>
                <w:lang w:eastAsia="tr-TR"/>
              </w:rPr>
              <w:t>-</w:t>
            </w:r>
          </w:p>
        </w:tc>
      </w:tr>
      <w:tr w:rsidR="00235A28" w:rsidRPr="00235A28" w14:paraId="73DED108" w14:textId="77777777" w:rsidTr="00BA637F">
        <w:trPr>
          <w:divId w:val="367950772"/>
          <w:trHeight w:val="177"/>
        </w:trPr>
        <w:tc>
          <w:tcPr>
            <w:tcW w:w="3408" w:type="dxa"/>
            <w:tcBorders>
              <w:top w:val="nil"/>
              <w:left w:val="nil"/>
              <w:bottom w:val="nil"/>
              <w:right w:val="nil"/>
            </w:tcBorders>
            <w:shd w:val="clear" w:color="auto" w:fill="auto"/>
            <w:vAlign w:val="center"/>
            <w:hideMark/>
          </w:tcPr>
          <w:p w14:paraId="7CD71004" w14:textId="77777777" w:rsidR="00235A28" w:rsidRPr="00235A28" w:rsidRDefault="00235A28" w:rsidP="00235A28">
            <w:pPr>
              <w:ind w:firstLineChars="100" w:firstLine="140"/>
              <w:rPr>
                <w:b/>
                <w:bCs/>
                <w:color w:val="000000"/>
                <w:sz w:val="14"/>
                <w:szCs w:val="14"/>
                <w:lang w:eastAsia="tr-TR"/>
              </w:rPr>
            </w:pPr>
            <w:r w:rsidRPr="00235A28">
              <w:rPr>
                <w:rFonts w:eastAsia="Arial Unicode MS"/>
                <w:b/>
                <w:bCs/>
                <w:color w:val="000000"/>
                <w:sz w:val="14"/>
                <w:szCs w:val="14"/>
                <w:lang w:eastAsia="tr-TR"/>
              </w:rPr>
              <w:t>XI. Katılma hesapları özel fon havuzları-YP</w:t>
            </w:r>
          </w:p>
        </w:tc>
        <w:tc>
          <w:tcPr>
            <w:tcW w:w="775" w:type="dxa"/>
            <w:tcBorders>
              <w:top w:val="nil"/>
              <w:left w:val="nil"/>
              <w:bottom w:val="nil"/>
              <w:right w:val="nil"/>
            </w:tcBorders>
            <w:shd w:val="clear" w:color="auto" w:fill="auto"/>
            <w:vAlign w:val="center"/>
            <w:hideMark/>
          </w:tcPr>
          <w:p w14:paraId="618E6109" w14:textId="06BD128D"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E2D9294" w14:textId="4A3F4F5B"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55CF85B" w14:textId="5B69A5CC"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7AB0848F" w14:textId="4B40AC16"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0DA696B" w14:textId="00C39D9A"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60B174C" w14:textId="7030B95E"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28987E3" w14:textId="0D8A5EC6"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12F0208" w14:textId="31E37314"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36DBC55" w14:textId="2E31A13B" w:rsidR="00235A28" w:rsidRPr="00235A28" w:rsidRDefault="00235A28" w:rsidP="00235A28">
            <w:pPr>
              <w:jc w:val="right"/>
              <w:rPr>
                <w:color w:val="000000"/>
                <w:sz w:val="14"/>
                <w:szCs w:val="14"/>
                <w:lang w:eastAsia="tr-TR"/>
              </w:rPr>
            </w:pPr>
            <w:r w:rsidRPr="00235A28">
              <w:rPr>
                <w:color w:val="000000"/>
                <w:sz w:val="14"/>
                <w:szCs w:val="14"/>
                <w:lang w:eastAsia="tr-TR"/>
              </w:rPr>
              <w:t>-</w:t>
            </w:r>
          </w:p>
        </w:tc>
      </w:tr>
      <w:tr w:rsidR="00235A28" w:rsidRPr="00235A28" w14:paraId="10DEBBF2" w14:textId="77777777" w:rsidTr="00BA637F">
        <w:trPr>
          <w:divId w:val="367950772"/>
          <w:trHeight w:val="177"/>
        </w:trPr>
        <w:tc>
          <w:tcPr>
            <w:tcW w:w="3408" w:type="dxa"/>
            <w:tcBorders>
              <w:top w:val="nil"/>
              <w:left w:val="nil"/>
              <w:bottom w:val="nil"/>
              <w:right w:val="nil"/>
            </w:tcBorders>
            <w:shd w:val="clear" w:color="auto" w:fill="auto"/>
            <w:vAlign w:val="center"/>
            <w:hideMark/>
          </w:tcPr>
          <w:p w14:paraId="46061D09" w14:textId="77777777" w:rsidR="00235A28" w:rsidRPr="00235A28" w:rsidRDefault="00235A28" w:rsidP="00235A28">
            <w:pPr>
              <w:ind w:firstLineChars="100" w:firstLine="140"/>
              <w:rPr>
                <w:color w:val="000000"/>
                <w:sz w:val="14"/>
                <w:szCs w:val="14"/>
                <w:lang w:eastAsia="tr-TR"/>
              </w:rPr>
            </w:pPr>
            <w:r w:rsidRPr="00235A28">
              <w:rPr>
                <w:color w:val="000000"/>
                <w:sz w:val="14"/>
                <w:szCs w:val="14"/>
                <w:lang w:eastAsia="tr-TR"/>
              </w:rPr>
              <w:t>Yurt içinde yer. K</w:t>
            </w:r>
          </w:p>
        </w:tc>
        <w:tc>
          <w:tcPr>
            <w:tcW w:w="775" w:type="dxa"/>
            <w:tcBorders>
              <w:top w:val="nil"/>
              <w:left w:val="nil"/>
              <w:bottom w:val="nil"/>
              <w:right w:val="nil"/>
            </w:tcBorders>
            <w:shd w:val="clear" w:color="auto" w:fill="auto"/>
            <w:vAlign w:val="center"/>
            <w:hideMark/>
          </w:tcPr>
          <w:p w14:paraId="7394C94B" w14:textId="32AE3E1E"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DFB3915" w14:textId="352EBDEB"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9C9B7C4" w14:textId="626F50C1"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6A9BAB93" w14:textId="58C90CFF"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1120A47" w14:textId="28049E88"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C214ADD" w14:textId="15E3FC9A"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441F0E8" w14:textId="4FACBA20"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0C3A7FB" w14:textId="68BC247D"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D102EC3" w14:textId="24C304DF" w:rsidR="00235A28" w:rsidRPr="00235A28" w:rsidRDefault="00235A28" w:rsidP="00235A28">
            <w:pPr>
              <w:jc w:val="right"/>
              <w:rPr>
                <w:color w:val="000000"/>
                <w:sz w:val="14"/>
                <w:szCs w:val="14"/>
                <w:lang w:eastAsia="tr-TR"/>
              </w:rPr>
            </w:pPr>
            <w:r w:rsidRPr="00235A28">
              <w:rPr>
                <w:color w:val="000000"/>
                <w:sz w:val="14"/>
                <w:szCs w:val="14"/>
                <w:lang w:eastAsia="tr-TR"/>
              </w:rPr>
              <w:t>-</w:t>
            </w:r>
          </w:p>
        </w:tc>
      </w:tr>
      <w:tr w:rsidR="00235A28" w:rsidRPr="00235A28" w14:paraId="5400B869" w14:textId="77777777" w:rsidTr="00BA637F">
        <w:trPr>
          <w:divId w:val="367950772"/>
          <w:trHeight w:val="177"/>
        </w:trPr>
        <w:tc>
          <w:tcPr>
            <w:tcW w:w="3408" w:type="dxa"/>
            <w:tcBorders>
              <w:top w:val="nil"/>
              <w:left w:val="nil"/>
              <w:bottom w:val="nil"/>
              <w:right w:val="nil"/>
            </w:tcBorders>
            <w:shd w:val="clear" w:color="auto" w:fill="auto"/>
            <w:vAlign w:val="center"/>
            <w:hideMark/>
          </w:tcPr>
          <w:p w14:paraId="4BDCE2DE" w14:textId="77777777" w:rsidR="00235A28" w:rsidRPr="00235A28" w:rsidRDefault="00235A28" w:rsidP="00235A28">
            <w:pPr>
              <w:ind w:firstLineChars="100" w:firstLine="140"/>
              <w:rPr>
                <w:color w:val="000000"/>
                <w:sz w:val="14"/>
                <w:szCs w:val="14"/>
                <w:lang w:eastAsia="tr-TR"/>
              </w:rPr>
            </w:pPr>
            <w:r w:rsidRPr="00235A28">
              <w:rPr>
                <w:color w:val="000000"/>
                <w:sz w:val="14"/>
                <w:szCs w:val="14"/>
                <w:lang w:eastAsia="tr-TR"/>
              </w:rPr>
              <w:t xml:space="preserve">Yurt dışında </w:t>
            </w:r>
            <w:proofErr w:type="spellStart"/>
            <w:proofErr w:type="gramStart"/>
            <w:r w:rsidRPr="00235A28">
              <w:rPr>
                <w:color w:val="000000"/>
                <w:sz w:val="14"/>
                <w:szCs w:val="14"/>
                <w:lang w:eastAsia="tr-TR"/>
              </w:rPr>
              <w:t>yer.K</w:t>
            </w:r>
            <w:proofErr w:type="spellEnd"/>
            <w:proofErr w:type="gramEnd"/>
          </w:p>
        </w:tc>
        <w:tc>
          <w:tcPr>
            <w:tcW w:w="775" w:type="dxa"/>
            <w:tcBorders>
              <w:top w:val="nil"/>
              <w:left w:val="nil"/>
              <w:bottom w:val="nil"/>
              <w:right w:val="nil"/>
            </w:tcBorders>
            <w:shd w:val="clear" w:color="auto" w:fill="auto"/>
            <w:vAlign w:val="center"/>
            <w:hideMark/>
          </w:tcPr>
          <w:p w14:paraId="73F84213" w14:textId="2918780C"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60BD488" w14:textId="7449F0B4"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EE5222C" w14:textId="59921859"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175CD7BD" w14:textId="6E9F4C18" w:rsidR="00235A28" w:rsidRPr="00235A28" w:rsidRDefault="00235A28" w:rsidP="00235A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FCD3AC2" w14:textId="0D559D2F"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F542128" w14:textId="2DD75297"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988DEF6" w14:textId="5A0328E9"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2DE5EA1" w14:textId="6D6B6D82"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7E12978" w14:textId="505FFB5A" w:rsidR="00235A28" w:rsidRPr="00235A28" w:rsidRDefault="00235A28" w:rsidP="00235A28">
            <w:pPr>
              <w:jc w:val="right"/>
              <w:rPr>
                <w:color w:val="000000"/>
                <w:sz w:val="14"/>
                <w:szCs w:val="14"/>
                <w:lang w:eastAsia="tr-TR"/>
              </w:rPr>
            </w:pPr>
            <w:r w:rsidRPr="00235A28">
              <w:rPr>
                <w:color w:val="000000"/>
                <w:sz w:val="14"/>
                <w:szCs w:val="14"/>
                <w:lang w:eastAsia="tr-TR"/>
              </w:rPr>
              <w:t>-</w:t>
            </w:r>
          </w:p>
        </w:tc>
      </w:tr>
      <w:tr w:rsidR="00235A28" w:rsidRPr="00235A28" w14:paraId="07454320" w14:textId="77777777" w:rsidTr="00BA637F">
        <w:trPr>
          <w:divId w:val="367950772"/>
          <w:trHeight w:val="190"/>
        </w:trPr>
        <w:tc>
          <w:tcPr>
            <w:tcW w:w="3408" w:type="dxa"/>
            <w:tcBorders>
              <w:top w:val="nil"/>
              <w:left w:val="nil"/>
              <w:bottom w:val="single" w:sz="8" w:space="0" w:color="000000"/>
              <w:right w:val="nil"/>
            </w:tcBorders>
            <w:shd w:val="clear" w:color="auto" w:fill="auto"/>
            <w:vAlign w:val="center"/>
            <w:hideMark/>
          </w:tcPr>
          <w:p w14:paraId="3AAF697D" w14:textId="0D3A7C52" w:rsidR="00235A28" w:rsidRPr="00235A28" w:rsidRDefault="00235A28" w:rsidP="00235A28">
            <w:pPr>
              <w:ind w:firstLineChars="100" w:firstLine="140"/>
              <w:rPr>
                <w:color w:val="000000"/>
                <w:sz w:val="14"/>
                <w:szCs w:val="14"/>
                <w:lang w:eastAsia="tr-TR"/>
              </w:rPr>
            </w:pPr>
          </w:p>
        </w:tc>
        <w:tc>
          <w:tcPr>
            <w:tcW w:w="775" w:type="dxa"/>
            <w:tcBorders>
              <w:top w:val="nil"/>
              <w:left w:val="nil"/>
              <w:bottom w:val="single" w:sz="8" w:space="0" w:color="000000"/>
              <w:right w:val="nil"/>
            </w:tcBorders>
            <w:shd w:val="clear" w:color="auto" w:fill="auto"/>
            <w:vAlign w:val="center"/>
            <w:hideMark/>
          </w:tcPr>
          <w:p w14:paraId="766EB5FA" w14:textId="17C01A5A" w:rsidR="00235A28" w:rsidRPr="00235A28" w:rsidRDefault="00235A28" w:rsidP="00235A28">
            <w:pPr>
              <w:jc w:val="right"/>
              <w:rPr>
                <w:color w:val="000000"/>
                <w:sz w:val="14"/>
                <w:szCs w:val="14"/>
                <w:lang w:eastAsia="tr-TR"/>
              </w:rPr>
            </w:pPr>
          </w:p>
        </w:tc>
        <w:tc>
          <w:tcPr>
            <w:tcW w:w="774" w:type="dxa"/>
            <w:tcBorders>
              <w:top w:val="nil"/>
              <w:left w:val="nil"/>
              <w:bottom w:val="single" w:sz="8" w:space="0" w:color="000000"/>
              <w:right w:val="nil"/>
            </w:tcBorders>
            <w:shd w:val="clear" w:color="auto" w:fill="auto"/>
            <w:vAlign w:val="center"/>
            <w:hideMark/>
          </w:tcPr>
          <w:p w14:paraId="1048224C" w14:textId="3FBFA9E4" w:rsidR="00235A28" w:rsidRPr="00235A28" w:rsidRDefault="00235A28" w:rsidP="00235A28">
            <w:pPr>
              <w:jc w:val="right"/>
              <w:rPr>
                <w:color w:val="000000"/>
                <w:sz w:val="14"/>
                <w:szCs w:val="14"/>
                <w:lang w:eastAsia="tr-TR"/>
              </w:rPr>
            </w:pPr>
          </w:p>
        </w:tc>
        <w:tc>
          <w:tcPr>
            <w:tcW w:w="774" w:type="dxa"/>
            <w:tcBorders>
              <w:top w:val="nil"/>
              <w:left w:val="nil"/>
              <w:bottom w:val="nil"/>
              <w:right w:val="nil"/>
            </w:tcBorders>
            <w:shd w:val="clear" w:color="auto" w:fill="auto"/>
            <w:vAlign w:val="center"/>
            <w:hideMark/>
          </w:tcPr>
          <w:p w14:paraId="3A58756E" w14:textId="36E55656" w:rsidR="00235A28" w:rsidRPr="00235A28" w:rsidRDefault="00235A28" w:rsidP="00235A28">
            <w:pPr>
              <w:jc w:val="right"/>
              <w:rPr>
                <w:color w:val="000000"/>
                <w:sz w:val="14"/>
                <w:szCs w:val="14"/>
                <w:lang w:eastAsia="tr-TR"/>
              </w:rPr>
            </w:pPr>
          </w:p>
        </w:tc>
        <w:tc>
          <w:tcPr>
            <w:tcW w:w="717" w:type="dxa"/>
            <w:tcBorders>
              <w:top w:val="nil"/>
              <w:left w:val="nil"/>
              <w:bottom w:val="single" w:sz="8" w:space="0" w:color="auto"/>
              <w:right w:val="nil"/>
            </w:tcBorders>
            <w:shd w:val="clear" w:color="auto" w:fill="auto"/>
            <w:vAlign w:val="center"/>
            <w:hideMark/>
          </w:tcPr>
          <w:p w14:paraId="6E9DE329" w14:textId="172DF829" w:rsidR="00235A28" w:rsidRPr="00235A28" w:rsidRDefault="00235A28" w:rsidP="00235A28">
            <w:pPr>
              <w:jc w:val="right"/>
              <w:rPr>
                <w:color w:val="000000"/>
                <w:sz w:val="14"/>
                <w:szCs w:val="14"/>
                <w:lang w:eastAsia="tr-TR"/>
              </w:rPr>
            </w:pPr>
          </w:p>
        </w:tc>
        <w:tc>
          <w:tcPr>
            <w:tcW w:w="498" w:type="dxa"/>
            <w:tcBorders>
              <w:top w:val="nil"/>
              <w:left w:val="nil"/>
              <w:bottom w:val="nil"/>
              <w:right w:val="nil"/>
            </w:tcBorders>
            <w:shd w:val="clear" w:color="auto" w:fill="auto"/>
            <w:vAlign w:val="center"/>
            <w:hideMark/>
          </w:tcPr>
          <w:p w14:paraId="3A2092CE" w14:textId="77777777" w:rsidR="00235A28" w:rsidRPr="00235A28" w:rsidRDefault="00235A28" w:rsidP="00235A28">
            <w:pPr>
              <w:jc w:val="right"/>
              <w:rPr>
                <w:color w:val="000000"/>
                <w:sz w:val="14"/>
                <w:szCs w:val="14"/>
                <w:lang w:eastAsia="tr-TR"/>
              </w:rPr>
            </w:pPr>
          </w:p>
        </w:tc>
        <w:tc>
          <w:tcPr>
            <w:tcW w:w="717" w:type="dxa"/>
            <w:tcBorders>
              <w:top w:val="nil"/>
              <w:left w:val="nil"/>
              <w:bottom w:val="nil"/>
              <w:right w:val="nil"/>
            </w:tcBorders>
            <w:shd w:val="clear" w:color="auto" w:fill="auto"/>
            <w:vAlign w:val="center"/>
            <w:hideMark/>
          </w:tcPr>
          <w:p w14:paraId="0EACCCDE" w14:textId="77777777" w:rsidR="00235A28" w:rsidRPr="00235A28" w:rsidRDefault="00235A28" w:rsidP="00235A28">
            <w:pPr>
              <w:jc w:val="right"/>
              <w:rPr>
                <w:sz w:val="14"/>
                <w:lang w:eastAsia="tr-TR"/>
              </w:rPr>
            </w:pPr>
          </w:p>
        </w:tc>
        <w:tc>
          <w:tcPr>
            <w:tcW w:w="717" w:type="dxa"/>
            <w:tcBorders>
              <w:top w:val="nil"/>
              <w:left w:val="nil"/>
              <w:bottom w:val="nil"/>
              <w:right w:val="nil"/>
            </w:tcBorders>
            <w:shd w:val="clear" w:color="auto" w:fill="auto"/>
            <w:vAlign w:val="center"/>
            <w:hideMark/>
          </w:tcPr>
          <w:p w14:paraId="163C26EF" w14:textId="77777777" w:rsidR="00235A28" w:rsidRPr="00235A28" w:rsidRDefault="00235A28" w:rsidP="00235A28">
            <w:pPr>
              <w:jc w:val="right"/>
              <w:rPr>
                <w:sz w:val="14"/>
                <w:lang w:eastAsia="tr-TR"/>
              </w:rPr>
            </w:pPr>
          </w:p>
        </w:tc>
        <w:tc>
          <w:tcPr>
            <w:tcW w:w="685" w:type="dxa"/>
            <w:tcBorders>
              <w:top w:val="nil"/>
              <w:left w:val="nil"/>
              <w:bottom w:val="nil"/>
              <w:right w:val="nil"/>
            </w:tcBorders>
            <w:shd w:val="clear" w:color="auto" w:fill="auto"/>
            <w:vAlign w:val="center"/>
            <w:hideMark/>
          </w:tcPr>
          <w:p w14:paraId="1CAE60D7" w14:textId="6C3E0FA0"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840" w:type="dxa"/>
            <w:tcBorders>
              <w:top w:val="nil"/>
              <w:left w:val="nil"/>
              <w:bottom w:val="single" w:sz="8" w:space="0" w:color="000000"/>
              <w:right w:val="nil"/>
            </w:tcBorders>
            <w:shd w:val="clear" w:color="auto" w:fill="auto"/>
            <w:vAlign w:val="center"/>
            <w:hideMark/>
          </w:tcPr>
          <w:p w14:paraId="68C5CC8E" w14:textId="6F82EE86" w:rsidR="00235A28" w:rsidRPr="00235A28" w:rsidRDefault="00235A28" w:rsidP="00235A28">
            <w:pPr>
              <w:jc w:val="right"/>
              <w:rPr>
                <w:color w:val="000000"/>
                <w:sz w:val="14"/>
                <w:szCs w:val="14"/>
                <w:lang w:eastAsia="tr-TR"/>
              </w:rPr>
            </w:pPr>
            <w:r w:rsidRPr="00235A28">
              <w:rPr>
                <w:color w:val="000000"/>
                <w:sz w:val="14"/>
                <w:szCs w:val="14"/>
                <w:lang w:eastAsia="tr-TR"/>
              </w:rPr>
              <w:t>-</w:t>
            </w:r>
          </w:p>
        </w:tc>
      </w:tr>
      <w:tr w:rsidR="00235A28" w:rsidRPr="00235A28" w14:paraId="292B4583" w14:textId="77777777" w:rsidTr="00BA637F">
        <w:trPr>
          <w:divId w:val="367950772"/>
          <w:trHeight w:val="190"/>
        </w:trPr>
        <w:tc>
          <w:tcPr>
            <w:tcW w:w="3408" w:type="dxa"/>
            <w:tcBorders>
              <w:top w:val="nil"/>
              <w:left w:val="nil"/>
              <w:bottom w:val="single" w:sz="8" w:space="0" w:color="auto"/>
              <w:right w:val="nil"/>
            </w:tcBorders>
            <w:shd w:val="clear" w:color="auto" w:fill="auto"/>
            <w:vAlign w:val="center"/>
            <w:hideMark/>
          </w:tcPr>
          <w:p w14:paraId="072CC672" w14:textId="0D0581F8" w:rsidR="00235A28" w:rsidRPr="00235A28" w:rsidRDefault="00235A28" w:rsidP="00235A28">
            <w:pPr>
              <w:ind w:firstLineChars="100" w:firstLine="141"/>
              <w:rPr>
                <w:b/>
                <w:bCs/>
                <w:color w:val="000000"/>
                <w:sz w:val="14"/>
                <w:szCs w:val="14"/>
                <w:lang w:eastAsia="tr-TR"/>
              </w:rPr>
            </w:pPr>
            <w:r w:rsidRPr="00235A28">
              <w:rPr>
                <w:b/>
                <w:bCs/>
                <w:color w:val="000000"/>
                <w:sz w:val="14"/>
                <w:szCs w:val="14"/>
                <w:lang w:eastAsia="tr-TR"/>
              </w:rPr>
              <w:t>Toplam</w:t>
            </w:r>
          </w:p>
        </w:tc>
        <w:tc>
          <w:tcPr>
            <w:tcW w:w="775" w:type="dxa"/>
            <w:tcBorders>
              <w:top w:val="nil"/>
              <w:left w:val="nil"/>
              <w:bottom w:val="single" w:sz="8" w:space="0" w:color="auto"/>
              <w:right w:val="nil"/>
            </w:tcBorders>
            <w:shd w:val="clear" w:color="auto" w:fill="auto"/>
            <w:vAlign w:val="center"/>
            <w:hideMark/>
          </w:tcPr>
          <w:p w14:paraId="5BC5B025" w14:textId="6C9A3954" w:rsidR="00235A28" w:rsidRPr="00235A28" w:rsidRDefault="00235A28" w:rsidP="00235A28">
            <w:pPr>
              <w:jc w:val="right"/>
              <w:rPr>
                <w:b/>
                <w:bCs/>
                <w:color w:val="000000"/>
                <w:sz w:val="14"/>
                <w:szCs w:val="14"/>
                <w:lang w:eastAsia="tr-TR"/>
              </w:rPr>
            </w:pPr>
            <w:r w:rsidRPr="00235A28">
              <w:rPr>
                <w:b/>
                <w:bCs/>
                <w:color w:val="000000"/>
                <w:sz w:val="14"/>
                <w:szCs w:val="14"/>
                <w:lang w:eastAsia="tr-TR"/>
              </w:rPr>
              <w:t>67,564,024</w:t>
            </w:r>
          </w:p>
        </w:tc>
        <w:tc>
          <w:tcPr>
            <w:tcW w:w="774" w:type="dxa"/>
            <w:tcBorders>
              <w:top w:val="nil"/>
              <w:left w:val="nil"/>
              <w:bottom w:val="single" w:sz="8" w:space="0" w:color="auto"/>
              <w:right w:val="nil"/>
            </w:tcBorders>
            <w:shd w:val="clear" w:color="auto" w:fill="auto"/>
            <w:vAlign w:val="center"/>
            <w:hideMark/>
          </w:tcPr>
          <w:p w14:paraId="4A036624" w14:textId="6537825E" w:rsidR="00235A28" w:rsidRPr="00235A28" w:rsidRDefault="00235A28" w:rsidP="00235A28">
            <w:pPr>
              <w:jc w:val="right"/>
              <w:rPr>
                <w:b/>
                <w:bCs/>
                <w:color w:val="000000"/>
                <w:sz w:val="14"/>
                <w:szCs w:val="14"/>
                <w:lang w:eastAsia="tr-TR"/>
              </w:rPr>
            </w:pPr>
            <w:r w:rsidRPr="00235A28">
              <w:rPr>
                <w:b/>
                <w:bCs/>
                <w:color w:val="000000"/>
                <w:sz w:val="14"/>
                <w:szCs w:val="14"/>
                <w:lang w:eastAsia="tr-TR"/>
              </w:rPr>
              <w:t>19,386,582</w:t>
            </w:r>
          </w:p>
        </w:tc>
        <w:tc>
          <w:tcPr>
            <w:tcW w:w="774" w:type="dxa"/>
            <w:tcBorders>
              <w:top w:val="single" w:sz="8" w:space="0" w:color="auto"/>
              <w:left w:val="nil"/>
              <w:bottom w:val="single" w:sz="8" w:space="0" w:color="auto"/>
              <w:right w:val="nil"/>
            </w:tcBorders>
            <w:shd w:val="clear" w:color="auto" w:fill="auto"/>
            <w:vAlign w:val="center"/>
            <w:hideMark/>
          </w:tcPr>
          <w:p w14:paraId="7F723FBA" w14:textId="69432FB2" w:rsidR="00235A28" w:rsidRPr="00235A28" w:rsidRDefault="00235A28" w:rsidP="00235A28">
            <w:pPr>
              <w:jc w:val="right"/>
              <w:rPr>
                <w:b/>
                <w:bCs/>
                <w:color w:val="000000"/>
                <w:sz w:val="14"/>
                <w:szCs w:val="14"/>
                <w:lang w:eastAsia="tr-TR"/>
              </w:rPr>
            </w:pPr>
            <w:r w:rsidRPr="00235A28">
              <w:rPr>
                <w:b/>
                <w:bCs/>
                <w:color w:val="000000"/>
                <w:sz w:val="14"/>
                <w:szCs w:val="14"/>
                <w:lang w:eastAsia="tr-TR"/>
              </w:rPr>
              <w:t>24,282,983</w:t>
            </w:r>
          </w:p>
        </w:tc>
        <w:tc>
          <w:tcPr>
            <w:tcW w:w="717" w:type="dxa"/>
            <w:tcBorders>
              <w:top w:val="nil"/>
              <w:left w:val="nil"/>
              <w:bottom w:val="single" w:sz="8" w:space="0" w:color="auto"/>
              <w:right w:val="nil"/>
            </w:tcBorders>
            <w:shd w:val="clear" w:color="auto" w:fill="auto"/>
            <w:vAlign w:val="center"/>
            <w:hideMark/>
          </w:tcPr>
          <w:p w14:paraId="5D03BBCE" w14:textId="29062230" w:rsidR="00235A28" w:rsidRPr="00235A28" w:rsidRDefault="00235A28" w:rsidP="00235A28">
            <w:pPr>
              <w:jc w:val="right"/>
              <w:rPr>
                <w:b/>
                <w:bCs/>
                <w:color w:val="000000"/>
                <w:sz w:val="14"/>
                <w:szCs w:val="14"/>
                <w:lang w:eastAsia="tr-TR"/>
              </w:rPr>
            </w:pPr>
            <w:r w:rsidRPr="00235A28">
              <w:rPr>
                <w:b/>
                <w:bCs/>
                <w:color w:val="000000"/>
                <w:sz w:val="14"/>
                <w:szCs w:val="14"/>
                <w:lang w:eastAsia="tr-TR"/>
              </w:rPr>
              <w:t>2,159,052</w:t>
            </w:r>
          </w:p>
        </w:tc>
        <w:tc>
          <w:tcPr>
            <w:tcW w:w="498" w:type="dxa"/>
            <w:tcBorders>
              <w:top w:val="single" w:sz="8" w:space="0" w:color="auto"/>
              <w:left w:val="nil"/>
              <w:bottom w:val="single" w:sz="8" w:space="0" w:color="auto"/>
              <w:right w:val="nil"/>
            </w:tcBorders>
            <w:shd w:val="clear" w:color="auto" w:fill="auto"/>
            <w:vAlign w:val="center"/>
            <w:hideMark/>
          </w:tcPr>
          <w:p w14:paraId="7348A3C7" w14:textId="058A6ADE" w:rsidR="00235A28" w:rsidRPr="00235A28" w:rsidRDefault="00235A28" w:rsidP="00235A28">
            <w:pPr>
              <w:jc w:val="right"/>
              <w:rPr>
                <w:b/>
                <w:bCs/>
                <w:color w:val="000000"/>
                <w:sz w:val="14"/>
                <w:szCs w:val="14"/>
                <w:lang w:eastAsia="tr-TR"/>
              </w:rPr>
            </w:pPr>
            <w:r w:rsidRPr="00235A28">
              <w:rPr>
                <w:b/>
                <w:bCs/>
                <w:color w:val="000000"/>
                <w:sz w:val="14"/>
                <w:szCs w:val="14"/>
                <w:lang w:eastAsia="tr-TR"/>
              </w:rPr>
              <w:t>-</w:t>
            </w:r>
          </w:p>
        </w:tc>
        <w:tc>
          <w:tcPr>
            <w:tcW w:w="717" w:type="dxa"/>
            <w:tcBorders>
              <w:top w:val="single" w:sz="8" w:space="0" w:color="auto"/>
              <w:left w:val="nil"/>
              <w:bottom w:val="single" w:sz="8" w:space="0" w:color="auto"/>
              <w:right w:val="nil"/>
            </w:tcBorders>
            <w:shd w:val="clear" w:color="auto" w:fill="auto"/>
            <w:vAlign w:val="center"/>
            <w:hideMark/>
          </w:tcPr>
          <w:p w14:paraId="44BFF03F" w14:textId="6B730717" w:rsidR="00235A28" w:rsidRPr="00235A28" w:rsidRDefault="00235A28" w:rsidP="00235A28">
            <w:pPr>
              <w:jc w:val="right"/>
              <w:rPr>
                <w:b/>
                <w:bCs/>
                <w:color w:val="000000"/>
                <w:sz w:val="14"/>
                <w:szCs w:val="14"/>
                <w:lang w:eastAsia="tr-TR"/>
              </w:rPr>
            </w:pPr>
            <w:r w:rsidRPr="00235A28">
              <w:rPr>
                <w:b/>
                <w:bCs/>
                <w:color w:val="000000"/>
                <w:sz w:val="14"/>
                <w:szCs w:val="14"/>
                <w:lang w:eastAsia="tr-TR"/>
              </w:rPr>
              <w:t>2,856,035</w:t>
            </w:r>
          </w:p>
        </w:tc>
        <w:tc>
          <w:tcPr>
            <w:tcW w:w="717" w:type="dxa"/>
            <w:tcBorders>
              <w:top w:val="single" w:sz="8" w:space="0" w:color="auto"/>
              <w:left w:val="nil"/>
              <w:bottom w:val="single" w:sz="8" w:space="0" w:color="auto"/>
              <w:right w:val="nil"/>
            </w:tcBorders>
            <w:shd w:val="clear" w:color="auto" w:fill="auto"/>
            <w:vAlign w:val="center"/>
            <w:hideMark/>
          </w:tcPr>
          <w:p w14:paraId="12706A8B" w14:textId="6218F8FD" w:rsidR="00235A28" w:rsidRPr="00235A28" w:rsidRDefault="00235A28" w:rsidP="00235A28">
            <w:pPr>
              <w:jc w:val="right"/>
              <w:rPr>
                <w:b/>
                <w:bCs/>
                <w:color w:val="000000"/>
                <w:sz w:val="14"/>
                <w:szCs w:val="14"/>
                <w:lang w:eastAsia="tr-TR"/>
              </w:rPr>
            </w:pPr>
            <w:r w:rsidRPr="00235A28">
              <w:rPr>
                <w:b/>
                <w:bCs/>
                <w:color w:val="000000"/>
                <w:sz w:val="14"/>
                <w:szCs w:val="14"/>
                <w:lang w:eastAsia="tr-TR"/>
              </w:rPr>
              <w:t>3,065,238</w:t>
            </w:r>
          </w:p>
        </w:tc>
        <w:tc>
          <w:tcPr>
            <w:tcW w:w="685" w:type="dxa"/>
            <w:tcBorders>
              <w:top w:val="single" w:sz="8" w:space="0" w:color="auto"/>
              <w:left w:val="nil"/>
              <w:bottom w:val="single" w:sz="8" w:space="0" w:color="auto"/>
              <w:right w:val="nil"/>
            </w:tcBorders>
            <w:shd w:val="clear" w:color="auto" w:fill="auto"/>
            <w:vAlign w:val="center"/>
            <w:hideMark/>
          </w:tcPr>
          <w:p w14:paraId="7DB41F2C" w14:textId="064CD7BD" w:rsidR="00235A28" w:rsidRPr="00235A28" w:rsidRDefault="00235A28" w:rsidP="00235A28">
            <w:pPr>
              <w:jc w:val="right"/>
              <w:rPr>
                <w:b/>
                <w:bCs/>
                <w:color w:val="000000"/>
                <w:sz w:val="14"/>
                <w:szCs w:val="14"/>
                <w:lang w:eastAsia="tr-TR"/>
              </w:rPr>
            </w:pPr>
            <w:r w:rsidRPr="00235A28">
              <w:rPr>
                <w:b/>
                <w:bCs/>
                <w:color w:val="000000"/>
                <w:sz w:val="14"/>
                <w:szCs w:val="14"/>
                <w:lang w:eastAsia="tr-TR"/>
              </w:rPr>
              <w:t>26,235</w:t>
            </w:r>
          </w:p>
        </w:tc>
        <w:tc>
          <w:tcPr>
            <w:tcW w:w="840" w:type="dxa"/>
            <w:tcBorders>
              <w:top w:val="nil"/>
              <w:left w:val="nil"/>
              <w:bottom w:val="single" w:sz="8" w:space="0" w:color="auto"/>
              <w:right w:val="nil"/>
            </w:tcBorders>
            <w:shd w:val="clear" w:color="auto" w:fill="auto"/>
            <w:vAlign w:val="center"/>
            <w:hideMark/>
          </w:tcPr>
          <w:p w14:paraId="021CE289" w14:textId="27237F6C" w:rsidR="00235A28" w:rsidRPr="00235A28" w:rsidRDefault="00235A28" w:rsidP="00235A28">
            <w:pPr>
              <w:jc w:val="right"/>
              <w:rPr>
                <w:b/>
                <w:bCs/>
                <w:color w:val="000000"/>
                <w:sz w:val="14"/>
                <w:szCs w:val="14"/>
                <w:lang w:eastAsia="tr-TR"/>
              </w:rPr>
            </w:pPr>
            <w:r w:rsidRPr="00235A28">
              <w:rPr>
                <w:b/>
                <w:bCs/>
                <w:color w:val="000000"/>
                <w:sz w:val="14"/>
                <w:szCs w:val="14"/>
                <w:lang w:eastAsia="tr-TR"/>
              </w:rPr>
              <w:t>119,340,149</w:t>
            </w:r>
          </w:p>
        </w:tc>
      </w:tr>
    </w:tbl>
    <w:p w14:paraId="2D1880B7" w14:textId="6510EB0E" w:rsidR="00235A28" w:rsidRPr="00235A28" w:rsidRDefault="00235A28" w:rsidP="00431F4D">
      <w:pPr>
        <w:pStyle w:val="EndnoteText"/>
        <w:autoSpaceDE w:val="0"/>
        <w:autoSpaceDN w:val="0"/>
        <w:adjustRightInd w:val="0"/>
        <w:rPr>
          <w:rFonts w:eastAsia="Arial Unicode MS"/>
        </w:rPr>
      </w:pPr>
    </w:p>
    <w:p w14:paraId="61C7311D" w14:textId="69650F82" w:rsidR="00104228" w:rsidRPr="00235A28" w:rsidRDefault="00E253C8" w:rsidP="00235A28">
      <w:pPr>
        <w:pStyle w:val="EndnoteText"/>
        <w:autoSpaceDE w:val="0"/>
        <w:autoSpaceDN w:val="0"/>
        <w:adjustRightInd w:val="0"/>
        <w:rPr>
          <w:rFonts w:eastAsia="Arial Unicode MS"/>
          <w:sz w:val="16"/>
          <w:szCs w:val="16"/>
        </w:rPr>
      </w:pPr>
      <w:r w:rsidRPr="00235A28">
        <w:rPr>
          <w:rFonts w:eastAsia="Arial Unicode MS"/>
        </w:rPr>
        <w:t>Banka</w:t>
      </w:r>
      <w:r w:rsidR="00FF19E9" w:rsidRPr="00235A28">
        <w:rPr>
          <w:rFonts w:eastAsia="Arial Unicode MS"/>
        </w:rPr>
        <w:t>’n</w:t>
      </w:r>
      <w:r w:rsidRPr="00235A28">
        <w:rPr>
          <w:rFonts w:eastAsia="Arial Unicode MS"/>
        </w:rPr>
        <w:t>ın 7 gün ihbarlı hesabı bulunmamaktadır.</w:t>
      </w:r>
      <w:r w:rsidR="007A2B8E" w:rsidRPr="00235A28">
        <w:t xml:space="preserve"> </w:t>
      </w:r>
    </w:p>
    <w:p w14:paraId="0DC728FB" w14:textId="338873FE" w:rsidR="00453172" w:rsidRPr="00235A28" w:rsidRDefault="00453172" w:rsidP="00431F4D">
      <w:pPr>
        <w:pStyle w:val="EndnoteText"/>
        <w:autoSpaceDE w:val="0"/>
        <w:autoSpaceDN w:val="0"/>
        <w:adjustRightInd w:val="0"/>
      </w:pPr>
    </w:p>
    <w:p w14:paraId="14D69DEF" w14:textId="77777777" w:rsidR="00235A28" w:rsidRPr="00235A28" w:rsidRDefault="00235A28" w:rsidP="00431F4D">
      <w:pPr>
        <w:pStyle w:val="EndnoteText"/>
        <w:autoSpaceDE w:val="0"/>
        <w:autoSpaceDN w:val="0"/>
        <w:adjustRightInd w:val="0"/>
      </w:pPr>
    </w:p>
    <w:p w14:paraId="58D3E546" w14:textId="783679B5" w:rsidR="00BA637F" w:rsidRDefault="00BA637F">
      <w:pPr>
        <w:rPr>
          <w:lang w:eastAsia="x-none"/>
        </w:rPr>
      </w:pPr>
      <w:r>
        <w:br w:type="page"/>
      </w:r>
    </w:p>
    <w:tbl>
      <w:tblPr>
        <w:tblW w:w="9984" w:type="dxa"/>
        <w:tblCellMar>
          <w:left w:w="70" w:type="dxa"/>
          <w:right w:w="70" w:type="dxa"/>
        </w:tblCellMar>
        <w:tblLook w:val="04A0" w:firstRow="1" w:lastRow="0" w:firstColumn="1" w:lastColumn="0" w:noHBand="0" w:noVBand="1"/>
      </w:tblPr>
      <w:tblGrid>
        <w:gridCol w:w="3470"/>
        <w:gridCol w:w="788"/>
        <w:gridCol w:w="788"/>
        <w:gridCol w:w="788"/>
        <w:gridCol w:w="730"/>
        <w:gridCol w:w="498"/>
        <w:gridCol w:w="730"/>
        <w:gridCol w:w="730"/>
        <w:gridCol w:w="692"/>
        <w:gridCol w:w="770"/>
      </w:tblGrid>
      <w:tr w:rsidR="00104228" w:rsidRPr="00235A28" w14:paraId="292F06BD" w14:textId="77777777" w:rsidTr="00BA637F">
        <w:trPr>
          <w:divId w:val="1024020004"/>
          <w:trHeight w:val="266"/>
        </w:trPr>
        <w:tc>
          <w:tcPr>
            <w:tcW w:w="3470" w:type="dxa"/>
            <w:vMerge w:val="restart"/>
            <w:tcBorders>
              <w:top w:val="single" w:sz="8" w:space="0" w:color="000000"/>
              <w:left w:val="nil"/>
              <w:bottom w:val="single" w:sz="8" w:space="0" w:color="000000"/>
              <w:right w:val="nil"/>
            </w:tcBorders>
            <w:shd w:val="clear" w:color="auto" w:fill="auto"/>
            <w:vAlign w:val="center"/>
            <w:hideMark/>
          </w:tcPr>
          <w:p w14:paraId="6A69D5F8" w14:textId="52069677" w:rsidR="00104228" w:rsidRPr="00235A28" w:rsidRDefault="00104228" w:rsidP="00104228">
            <w:pPr>
              <w:rPr>
                <w:b/>
                <w:bCs/>
                <w:color w:val="000000"/>
                <w:sz w:val="14"/>
                <w:szCs w:val="14"/>
                <w:lang w:eastAsia="tr-TR"/>
              </w:rPr>
            </w:pPr>
            <w:r w:rsidRPr="00235A28">
              <w:rPr>
                <w:b/>
                <w:bCs/>
                <w:iCs/>
                <w:color w:val="000000"/>
                <w:sz w:val="14"/>
                <w:szCs w:val="14"/>
                <w:lang w:eastAsia="tr-TR"/>
              </w:rPr>
              <w:lastRenderedPageBreak/>
              <w:t>Önceki Dönem</w:t>
            </w:r>
          </w:p>
        </w:tc>
        <w:tc>
          <w:tcPr>
            <w:tcW w:w="788" w:type="dxa"/>
            <w:vMerge w:val="restart"/>
            <w:tcBorders>
              <w:top w:val="single" w:sz="8" w:space="0" w:color="000000"/>
              <w:left w:val="nil"/>
              <w:bottom w:val="single" w:sz="8" w:space="0" w:color="000000"/>
              <w:right w:val="nil"/>
            </w:tcBorders>
            <w:shd w:val="clear" w:color="auto" w:fill="auto"/>
            <w:vAlign w:val="center"/>
            <w:hideMark/>
          </w:tcPr>
          <w:p w14:paraId="79428D77" w14:textId="77777777" w:rsidR="00104228" w:rsidRPr="00235A28" w:rsidRDefault="00104228" w:rsidP="00104228">
            <w:pPr>
              <w:jc w:val="right"/>
              <w:rPr>
                <w:b/>
                <w:bCs/>
                <w:color w:val="000000"/>
                <w:sz w:val="14"/>
                <w:szCs w:val="14"/>
                <w:lang w:eastAsia="tr-TR"/>
              </w:rPr>
            </w:pPr>
            <w:r w:rsidRPr="00235A28">
              <w:rPr>
                <w:b/>
                <w:bCs/>
                <w:color w:val="000000"/>
                <w:sz w:val="14"/>
                <w:szCs w:val="14"/>
                <w:lang w:eastAsia="tr-TR"/>
              </w:rPr>
              <w:t>Vadesiz</w:t>
            </w:r>
          </w:p>
        </w:tc>
        <w:tc>
          <w:tcPr>
            <w:tcW w:w="788" w:type="dxa"/>
            <w:vMerge w:val="restart"/>
            <w:tcBorders>
              <w:top w:val="single" w:sz="8" w:space="0" w:color="000000"/>
              <w:left w:val="nil"/>
              <w:bottom w:val="single" w:sz="8" w:space="0" w:color="000000"/>
              <w:right w:val="nil"/>
            </w:tcBorders>
            <w:shd w:val="clear" w:color="auto" w:fill="auto"/>
            <w:vAlign w:val="center"/>
            <w:hideMark/>
          </w:tcPr>
          <w:p w14:paraId="093A1089" w14:textId="77777777" w:rsidR="00104228" w:rsidRPr="00235A28" w:rsidRDefault="00104228" w:rsidP="00104228">
            <w:pPr>
              <w:jc w:val="right"/>
              <w:rPr>
                <w:b/>
                <w:bCs/>
                <w:color w:val="000000"/>
                <w:sz w:val="14"/>
                <w:szCs w:val="14"/>
                <w:lang w:eastAsia="tr-TR"/>
              </w:rPr>
            </w:pPr>
            <w:r w:rsidRPr="00235A28">
              <w:rPr>
                <w:b/>
                <w:bCs/>
                <w:color w:val="000000"/>
                <w:sz w:val="14"/>
                <w:szCs w:val="14"/>
                <w:lang w:eastAsia="tr-TR"/>
              </w:rPr>
              <w:t>1 aya kadar</w:t>
            </w:r>
          </w:p>
        </w:tc>
        <w:tc>
          <w:tcPr>
            <w:tcW w:w="788" w:type="dxa"/>
            <w:vMerge w:val="restart"/>
            <w:tcBorders>
              <w:top w:val="single" w:sz="8" w:space="0" w:color="000000"/>
              <w:left w:val="nil"/>
              <w:bottom w:val="single" w:sz="8" w:space="0" w:color="000000"/>
              <w:right w:val="nil"/>
            </w:tcBorders>
            <w:shd w:val="clear" w:color="auto" w:fill="auto"/>
            <w:vAlign w:val="center"/>
            <w:hideMark/>
          </w:tcPr>
          <w:p w14:paraId="13990674" w14:textId="77777777" w:rsidR="00104228" w:rsidRPr="00235A28" w:rsidRDefault="00104228" w:rsidP="00104228">
            <w:pPr>
              <w:jc w:val="right"/>
              <w:rPr>
                <w:b/>
                <w:bCs/>
                <w:color w:val="000000"/>
                <w:sz w:val="14"/>
                <w:szCs w:val="14"/>
                <w:lang w:eastAsia="tr-TR"/>
              </w:rPr>
            </w:pPr>
            <w:r w:rsidRPr="00235A28">
              <w:rPr>
                <w:b/>
                <w:bCs/>
                <w:color w:val="000000"/>
                <w:sz w:val="14"/>
                <w:szCs w:val="14"/>
                <w:lang w:eastAsia="tr-TR"/>
              </w:rPr>
              <w:t>3 aya kadar</w:t>
            </w:r>
          </w:p>
        </w:tc>
        <w:tc>
          <w:tcPr>
            <w:tcW w:w="730" w:type="dxa"/>
            <w:vMerge w:val="restart"/>
            <w:tcBorders>
              <w:top w:val="single" w:sz="8" w:space="0" w:color="000000"/>
              <w:left w:val="nil"/>
              <w:bottom w:val="single" w:sz="8" w:space="0" w:color="000000"/>
              <w:right w:val="nil"/>
            </w:tcBorders>
            <w:shd w:val="clear" w:color="auto" w:fill="auto"/>
            <w:vAlign w:val="center"/>
            <w:hideMark/>
          </w:tcPr>
          <w:p w14:paraId="709949D5" w14:textId="77777777" w:rsidR="00104228" w:rsidRPr="00235A28" w:rsidRDefault="00104228" w:rsidP="00104228">
            <w:pPr>
              <w:jc w:val="right"/>
              <w:rPr>
                <w:b/>
                <w:bCs/>
                <w:color w:val="000000"/>
                <w:sz w:val="14"/>
                <w:szCs w:val="14"/>
                <w:lang w:eastAsia="tr-TR"/>
              </w:rPr>
            </w:pPr>
            <w:r w:rsidRPr="00235A28">
              <w:rPr>
                <w:b/>
                <w:bCs/>
                <w:color w:val="000000"/>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43B26B56" w14:textId="77777777" w:rsidR="00104228" w:rsidRPr="00235A28" w:rsidRDefault="00104228" w:rsidP="00104228">
            <w:pPr>
              <w:jc w:val="right"/>
              <w:rPr>
                <w:b/>
                <w:bCs/>
                <w:color w:val="000000"/>
                <w:sz w:val="14"/>
                <w:szCs w:val="14"/>
                <w:lang w:eastAsia="tr-TR"/>
              </w:rPr>
            </w:pPr>
            <w:r w:rsidRPr="00235A28">
              <w:rPr>
                <w:b/>
                <w:bCs/>
                <w:color w:val="000000"/>
                <w:sz w:val="14"/>
                <w:szCs w:val="14"/>
                <w:lang w:eastAsia="tr-TR"/>
              </w:rPr>
              <w:t>9 aya kadar</w:t>
            </w:r>
          </w:p>
        </w:tc>
        <w:tc>
          <w:tcPr>
            <w:tcW w:w="730" w:type="dxa"/>
            <w:vMerge w:val="restart"/>
            <w:tcBorders>
              <w:top w:val="single" w:sz="8" w:space="0" w:color="000000"/>
              <w:left w:val="nil"/>
              <w:bottom w:val="single" w:sz="8" w:space="0" w:color="000000"/>
              <w:right w:val="nil"/>
            </w:tcBorders>
            <w:shd w:val="clear" w:color="auto" w:fill="auto"/>
            <w:vAlign w:val="center"/>
            <w:hideMark/>
          </w:tcPr>
          <w:p w14:paraId="2ECC9EEE" w14:textId="77777777" w:rsidR="00104228" w:rsidRPr="00235A28" w:rsidRDefault="00104228" w:rsidP="00104228">
            <w:pPr>
              <w:jc w:val="right"/>
              <w:rPr>
                <w:b/>
                <w:bCs/>
                <w:color w:val="000000"/>
                <w:sz w:val="14"/>
                <w:szCs w:val="14"/>
                <w:lang w:eastAsia="tr-TR"/>
              </w:rPr>
            </w:pPr>
            <w:r w:rsidRPr="00235A28">
              <w:rPr>
                <w:b/>
                <w:bCs/>
                <w:color w:val="000000"/>
                <w:sz w:val="14"/>
                <w:szCs w:val="14"/>
                <w:lang w:eastAsia="tr-TR"/>
              </w:rPr>
              <w:t>1 yıla kadar</w:t>
            </w:r>
          </w:p>
        </w:tc>
        <w:tc>
          <w:tcPr>
            <w:tcW w:w="730" w:type="dxa"/>
            <w:vMerge w:val="restart"/>
            <w:tcBorders>
              <w:top w:val="single" w:sz="8" w:space="0" w:color="000000"/>
              <w:left w:val="nil"/>
              <w:bottom w:val="single" w:sz="8" w:space="0" w:color="000000"/>
              <w:right w:val="nil"/>
            </w:tcBorders>
            <w:shd w:val="clear" w:color="auto" w:fill="auto"/>
            <w:vAlign w:val="center"/>
            <w:hideMark/>
          </w:tcPr>
          <w:p w14:paraId="7AF9DE62" w14:textId="77777777" w:rsidR="00104228" w:rsidRPr="00235A28" w:rsidRDefault="00104228" w:rsidP="00104228">
            <w:pPr>
              <w:jc w:val="right"/>
              <w:rPr>
                <w:b/>
                <w:bCs/>
                <w:color w:val="000000"/>
                <w:sz w:val="14"/>
                <w:szCs w:val="14"/>
                <w:lang w:eastAsia="tr-TR"/>
              </w:rPr>
            </w:pPr>
            <w:r w:rsidRPr="00235A28">
              <w:rPr>
                <w:b/>
                <w:bCs/>
                <w:color w:val="000000"/>
                <w:sz w:val="14"/>
                <w:szCs w:val="14"/>
                <w:lang w:eastAsia="tr-TR"/>
              </w:rPr>
              <w:t>1 yıl ve üstü</w:t>
            </w:r>
          </w:p>
        </w:tc>
        <w:tc>
          <w:tcPr>
            <w:tcW w:w="692" w:type="dxa"/>
            <w:vMerge w:val="restart"/>
            <w:tcBorders>
              <w:top w:val="single" w:sz="8" w:space="0" w:color="000000"/>
              <w:left w:val="nil"/>
              <w:bottom w:val="single" w:sz="8" w:space="0" w:color="000000"/>
              <w:right w:val="nil"/>
            </w:tcBorders>
            <w:shd w:val="clear" w:color="auto" w:fill="auto"/>
            <w:vAlign w:val="center"/>
            <w:hideMark/>
          </w:tcPr>
          <w:p w14:paraId="5ED55235" w14:textId="77777777" w:rsidR="00104228" w:rsidRPr="00235A28" w:rsidRDefault="00104228" w:rsidP="00104228">
            <w:pPr>
              <w:jc w:val="right"/>
              <w:rPr>
                <w:b/>
                <w:bCs/>
                <w:color w:val="000000"/>
                <w:sz w:val="14"/>
                <w:szCs w:val="14"/>
                <w:lang w:eastAsia="tr-TR"/>
              </w:rPr>
            </w:pPr>
            <w:r w:rsidRPr="00235A28">
              <w:rPr>
                <w:b/>
                <w:bCs/>
                <w:color w:val="000000"/>
                <w:sz w:val="14"/>
                <w:szCs w:val="14"/>
                <w:lang w:eastAsia="tr-TR"/>
              </w:rPr>
              <w:t>Birikimli katılma hesabı</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38BF97CB" w14:textId="77777777" w:rsidR="00104228" w:rsidRPr="00235A28" w:rsidRDefault="00104228" w:rsidP="00104228">
            <w:pPr>
              <w:jc w:val="right"/>
              <w:rPr>
                <w:b/>
                <w:bCs/>
                <w:color w:val="000000"/>
                <w:sz w:val="14"/>
                <w:szCs w:val="14"/>
                <w:lang w:eastAsia="tr-TR"/>
              </w:rPr>
            </w:pPr>
            <w:r w:rsidRPr="00235A28">
              <w:rPr>
                <w:b/>
                <w:bCs/>
                <w:color w:val="000000"/>
                <w:sz w:val="14"/>
                <w:szCs w:val="14"/>
                <w:lang w:eastAsia="tr-TR"/>
              </w:rPr>
              <w:t>Toplam</w:t>
            </w:r>
          </w:p>
        </w:tc>
      </w:tr>
      <w:tr w:rsidR="00104228" w:rsidRPr="00235A28" w14:paraId="22EC485B" w14:textId="77777777" w:rsidTr="00BA637F">
        <w:trPr>
          <w:divId w:val="1024020004"/>
          <w:trHeight w:val="291"/>
        </w:trPr>
        <w:tc>
          <w:tcPr>
            <w:tcW w:w="3470" w:type="dxa"/>
            <w:vMerge/>
            <w:tcBorders>
              <w:top w:val="single" w:sz="8" w:space="0" w:color="000000"/>
              <w:left w:val="nil"/>
              <w:bottom w:val="single" w:sz="8" w:space="0" w:color="000000"/>
              <w:right w:val="nil"/>
            </w:tcBorders>
            <w:vAlign w:val="bottom"/>
            <w:hideMark/>
          </w:tcPr>
          <w:p w14:paraId="0C2238C9" w14:textId="77777777" w:rsidR="00104228" w:rsidRPr="00235A28" w:rsidRDefault="00104228" w:rsidP="00104228">
            <w:pPr>
              <w:rPr>
                <w:b/>
                <w:bCs/>
                <w:color w:val="000000"/>
                <w:sz w:val="14"/>
                <w:szCs w:val="14"/>
                <w:lang w:eastAsia="tr-TR"/>
              </w:rPr>
            </w:pPr>
          </w:p>
        </w:tc>
        <w:tc>
          <w:tcPr>
            <w:tcW w:w="788" w:type="dxa"/>
            <w:vMerge/>
            <w:tcBorders>
              <w:top w:val="single" w:sz="8" w:space="0" w:color="000000"/>
              <w:left w:val="nil"/>
              <w:bottom w:val="single" w:sz="8" w:space="0" w:color="000000"/>
              <w:right w:val="nil"/>
            </w:tcBorders>
            <w:vAlign w:val="bottom"/>
            <w:hideMark/>
          </w:tcPr>
          <w:p w14:paraId="17E92C5F" w14:textId="77777777" w:rsidR="00104228" w:rsidRPr="00235A28" w:rsidRDefault="00104228" w:rsidP="00104228">
            <w:pPr>
              <w:jc w:val="right"/>
              <w:rPr>
                <w:b/>
                <w:bCs/>
                <w:color w:val="000000"/>
                <w:sz w:val="14"/>
                <w:szCs w:val="14"/>
                <w:lang w:eastAsia="tr-TR"/>
              </w:rPr>
            </w:pPr>
          </w:p>
        </w:tc>
        <w:tc>
          <w:tcPr>
            <w:tcW w:w="788" w:type="dxa"/>
            <w:vMerge/>
            <w:tcBorders>
              <w:top w:val="single" w:sz="8" w:space="0" w:color="000000"/>
              <w:left w:val="nil"/>
              <w:bottom w:val="single" w:sz="8" w:space="0" w:color="000000"/>
              <w:right w:val="nil"/>
            </w:tcBorders>
            <w:vAlign w:val="bottom"/>
            <w:hideMark/>
          </w:tcPr>
          <w:p w14:paraId="6757F893" w14:textId="77777777" w:rsidR="00104228" w:rsidRPr="00235A28" w:rsidRDefault="00104228" w:rsidP="00104228">
            <w:pPr>
              <w:jc w:val="right"/>
              <w:rPr>
                <w:b/>
                <w:bCs/>
                <w:color w:val="000000"/>
                <w:sz w:val="14"/>
                <w:szCs w:val="14"/>
                <w:lang w:eastAsia="tr-TR"/>
              </w:rPr>
            </w:pPr>
          </w:p>
        </w:tc>
        <w:tc>
          <w:tcPr>
            <w:tcW w:w="788" w:type="dxa"/>
            <w:vMerge/>
            <w:tcBorders>
              <w:top w:val="single" w:sz="8" w:space="0" w:color="000000"/>
              <w:left w:val="nil"/>
              <w:bottom w:val="single" w:sz="8" w:space="0" w:color="000000"/>
              <w:right w:val="nil"/>
            </w:tcBorders>
            <w:vAlign w:val="bottom"/>
            <w:hideMark/>
          </w:tcPr>
          <w:p w14:paraId="34E804DB" w14:textId="77777777" w:rsidR="00104228" w:rsidRPr="00235A28" w:rsidRDefault="00104228" w:rsidP="00104228">
            <w:pPr>
              <w:jc w:val="right"/>
              <w:rPr>
                <w:b/>
                <w:bCs/>
                <w:color w:val="000000"/>
                <w:sz w:val="14"/>
                <w:szCs w:val="14"/>
                <w:lang w:eastAsia="tr-TR"/>
              </w:rPr>
            </w:pPr>
          </w:p>
        </w:tc>
        <w:tc>
          <w:tcPr>
            <w:tcW w:w="730" w:type="dxa"/>
            <w:vMerge/>
            <w:tcBorders>
              <w:top w:val="single" w:sz="8" w:space="0" w:color="000000"/>
              <w:left w:val="nil"/>
              <w:bottom w:val="single" w:sz="8" w:space="0" w:color="000000"/>
              <w:right w:val="nil"/>
            </w:tcBorders>
            <w:vAlign w:val="bottom"/>
            <w:hideMark/>
          </w:tcPr>
          <w:p w14:paraId="440F1D26" w14:textId="77777777" w:rsidR="00104228" w:rsidRPr="00235A28" w:rsidRDefault="00104228" w:rsidP="00104228">
            <w:pPr>
              <w:jc w:val="right"/>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bottom"/>
            <w:hideMark/>
          </w:tcPr>
          <w:p w14:paraId="12DE219C" w14:textId="77777777" w:rsidR="00104228" w:rsidRPr="00235A28" w:rsidRDefault="00104228" w:rsidP="00104228">
            <w:pPr>
              <w:jc w:val="right"/>
              <w:rPr>
                <w:b/>
                <w:bCs/>
                <w:color w:val="000000"/>
                <w:sz w:val="14"/>
                <w:szCs w:val="14"/>
                <w:lang w:eastAsia="tr-TR"/>
              </w:rPr>
            </w:pPr>
          </w:p>
        </w:tc>
        <w:tc>
          <w:tcPr>
            <w:tcW w:w="730" w:type="dxa"/>
            <w:vMerge/>
            <w:tcBorders>
              <w:top w:val="single" w:sz="8" w:space="0" w:color="000000"/>
              <w:left w:val="nil"/>
              <w:bottom w:val="single" w:sz="8" w:space="0" w:color="000000"/>
              <w:right w:val="nil"/>
            </w:tcBorders>
            <w:vAlign w:val="bottom"/>
            <w:hideMark/>
          </w:tcPr>
          <w:p w14:paraId="6EBC193D" w14:textId="77777777" w:rsidR="00104228" w:rsidRPr="00235A28" w:rsidRDefault="00104228" w:rsidP="00104228">
            <w:pPr>
              <w:jc w:val="right"/>
              <w:rPr>
                <w:b/>
                <w:bCs/>
                <w:color w:val="000000"/>
                <w:sz w:val="14"/>
                <w:szCs w:val="14"/>
                <w:lang w:eastAsia="tr-TR"/>
              </w:rPr>
            </w:pPr>
          </w:p>
        </w:tc>
        <w:tc>
          <w:tcPr>
            <w:tcW w:w="730" w:type="dxa"/>
            <w:vMerge/>
            <w:tcBorders>
              <w:top w:val="single" w:sz="8" w:space="0" w:color="000000"/>
              <w:left w:val="nil"/>
              <w:bottom w:val="single" w:sz="8" w:space="0" w:color="000000"/>
              <w:right w:val="nil"/>
            </w:tcBorders>
            <w:vAlign w:val="bottom"/>
            <w:hideMark/>
          </w:tcPr>
          <w:p w14:paraId="41212282" w14:textId="77777777" w:rsidR="00104228" w:rsidRPr="00235A28" w:rsidRDefault="00104228" w:rsidP="00104228">
            <w:pPr>
              <w:jc w:val="right"/>
              <w:rPr>
                <w:b/>
                <w:bCs/>
                <w:color w:val="000000"/>
                <w:sz w:val="14"/>
                <w:szCs w:val="14"/>
                <w:lang w:eastAsia="tr-TR"/>
              </w:rPr>
            </w:pPr>
          </w:p>
        </w:tc>
        <w:tc>
          <w:tcPr>
            <w:tcW w:w="692" w:type="dxa"/>
            <w:vMerge/>
            <w:tcBorders>
              <w:top w:val="single" w:sz="8" w:space="0" w:color="000000"/>
              <w:left w:val="nil"/>
              <w:bottom w:val="single" w:sz="8" w:space="0" w:color="000000"/>
              <w:right w:val="nil"/>
            </w:tcBorders>
            <w:vAlign w:val="bottom"/>
            <w:hideMark/>
          </w:tcPr>
          <w:p w14:paraId="2F35BE0D" w14:textId="77777777" w:rsidR="00104228" w:rsidRPr="00235A28" w:rsidRDefault="00104228" w:rsidP="00104228">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bottom"/>
            <w:hideMark/>
          </w:tcPr>
          <w:p w14:paraId="3BC8D6FC" w14:textId="77777777" w:rsidR="00104228" w:rsidRPr="00235A28" w:rsidRDefault="00104228" w:rsidP="00104228">
            <w:pPr>
              <w:jc w:val="right"/>
              <w:rPr>
                <w:b/>
                <w:bCs/>
                <w:color w:val="000000"/>
                <w:sz w:val="14"/>
                <w:szCs w:val="14"/>
                <w:lang w:eastAsia="tr-TR"/>
              </w:rPr>
            </w:pPr>
          </w:p>
        </w:tc>
      </w:tr>
      <w:tr w:rsidR="00104228" w:rsidRPr="00235A28" w14:paraId="3FDB1CA9" w14:textId="77777777" w:rsidTr="00BA637F">
        <w:trPr>
          <w:divId w:val="1024020004"/>
          <w:trHeight w:val="235"/>
        </w:trPr>
        <w:tc>
          <w:tcPr>
            <w:tcW w:w="3470" w:type="dxa"/>
            <w:vMerge/>
            <w:tcBorders>
              <w:top w:val="single" w:sz="8" w:space="0" w:color="000000"/>
              <w:left w:val="nil"/>
              <w:bottom w:val="single" w:sz="8" w:space="0" w:color="000000"/>
              <w:right w:val="nil"/>
            </w:tcBorders>
            <w:vAlign w:val="bottom"/>
            <w:hideMark/>
          </w:tcPr>
          <w:p w14:paraId="5DA0977C" w14:textId="77777777" w:rsidR="00104228" w:rsidRPr="00235A28" w:rsidRDefault="00104228" w:rsidP="00104228">
            <w:pPr>
              <w:rPr>
                <w:b/>
                <w:bCs/>
                <w:color w:val="000000"/>
                <w:sz w:val="14"/>
                <w:szCs w:val="14"/>
                <w:lang w:eastAsia="tr-TR"/>
              </w:rPr>
            </w:pPr>
          </w:p>
        </w:tc>
        <w:tc>
          <w:tcPr>
            <w:tcW w:w="788" w:type="dxa"/>
            <w:vMerge/>
            <w:tcBorders>
              <w:top w:val="single" w:sz="8" w:space="0" w:color="000000"/>
              <w:left w:val="nil"/>
              <w:bottom w:val="single" w:sz="8" w:space="0" w:color="000000"/>
              <w:right w:val="nil"/>
            </w:tcBorders>
            <w:vAlign w:val="bottom"/>
            <w:hideMark/>
          </w:tcPr>
          <w:p w14:paraId="74E0545F" w14:textId="77777777" w:rsidR="00104228" w:rsidRPr="00235A28" w:rsidRDefault="00104228" w:rsidP="00104228">
            <w:pPr>
              <w:jc w:val="right"/>
              <w:rPr>
                <w:b/>
                <w:bCs/>
                <w:color w:val="000000"/>
                <w:sz w:val="14"/>
                <w:szCs w:val="14"/>
                <w:lang w:eastAsia="tr-TR"/>
              </w:rPr>
            </w:pPr>
          </w:p>
        </w:tc>
        <w:tc>
          <w:tcPr>
            <w:tcW w:w="788" w:type="dxa"/>
            <w:vMerge/>
            <w:tcBorders>
              <w:top w:val="single" w:sz="8" w:space="0" w:color="000000"/>
              <w:left w:val="nil"/>
              <w:bottom w:val="single" w:sz="8" w:space="0" w:color="000000"/>
              <w:right w:val="nil"/>
            </w:tcBorders>
            <w:vAlign w:val="bottom"/>
            <w:hideMark/>
          </w:tcPr>
          <w:p w14:paraId="5D11C908" w14:textId="77777777" w:rsidR="00104228" w:rsidRPr="00235A28" w:rsidRDefault="00104228" w:rsidP="00104228">
            <w:pPr>
              <w:jc w:val="right"/>
              <w:rPr>
                <w:b/>
                <w:bCs/>
                <w:color w:val="000000"/>
                <w:sz w:val="14"/>
                <w:szCs w:val="14"/>
                <w:lang w:eastAsia="tr-TR"/>
              </w:rPr>
            </w:pPr>
          </w:p>
        </w:tc>
        <w:tc>
          <w:tcPr>
            <w:tcW w:w="788" w:type="dxa"/>
            <w:vMerge/>
            <w:tcBorders>
              <w:top w:val="single" w:sz="8" w:space="0" w:color="000000"/>
              <w:left w:val="nil"/>
              <w:bottom w:val="single" w:sz="8" w:space="0" w:color="000000"/>
              <w:right w:val="nil"/>
            </w:tcBorders>
            <w:vAlign w:val="bottom"/>
            <w:hideMark/>
          </w:tcPr>
          <w:p w14:paraId="0E5A0FF3" w14:textId="77777777" w:rsidR="00104228" w:rsidRPr="00235A28" w:rsidRDefault="00104228" w:rsidP="00104228">
            <w:pPr>
              <w:jc w:val="right"/>
              <w:rPr>
                <w:b/>
                <w:bCs/>
                <w:color w:val="000000"/>
                <w:sz w:val="14"/>
                <w:szCs w:val="14"/>
                <w:lang w:eastAsia="tr-TR"/>
              </w:rPr>
            </w:pPr>
          </w:p>
        </w:tc>
        <w:tc>
          <w:tcPr>
            <w:tcW w:w="730" w:type="dxa"/>
            <w:vMerge/>
            <w:tcBorders>
              <w:top w:val="single" w:sz="8" w:space="0" w:color="000000"/>
              <w:left w:val="nil"/>
              <w:bottom w:val="single" w:sz="8" w:space="0" w:color="000000"/>
              <w:right w:val="nil"/>
            </w:tcBorders>
            <w:vAlign w:val="bottom"/>
            <w:hideMark/>
          </w:tcPr>
          <w:p w14:paraId="3022A12A" w14:textId="77777777" w:rsidR="00104228" w:rsidRPr="00235A28" w:rsidRDefault="00104228" w:rsidP="00104228">
            <w:pPr>
              <w:jc w:val="right"/>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bottom"/>
            <w:hideMark/>
          </w:tcPr>
          <w:p w14:paraId="3B8D9177" w14:textId="77777777" w:rsidR="00104228" w:rsidRPr="00235A28" w:rsidRDefault="00104228" w:rsidP="00104228">
            <w:pPr>
              <w:jc w:val="right"/>
              <w:rPr>
                <w:b/>
                <w:bCs/>
                <w:color w:val="000000"/>
                <w:sz w:val="14"/>
                <w:szCs w:val="14"/>
                <w:lang w:eastAsia="tr-TR"/>
              </w:rPr>
            </w:pPr>
          </w:p>
        </w:tc>
        <w:tc>
          <w:tcPr>
            <w:tcW w:w="730" w:type="dxa"/>
            <w:vMerge/>
            <w:tcBorders>
              <w:top w:val="single" w:sz="8" w:space="0" w:color="000000"/>
              <w:left w:val="nil"/>
              <w:bottom w:val="single" w:sz="8" w:space="0" w:color="000000"/>
              <w:right w:val="nil"/>
            </w:tcBorders>
            <w:vAlign w:val="bottom"/>
            <w:hideMark/>
          </w:tcPr>
          <w:p w14:paraId="41124777" w14:textId="77777777" w:rsidR="00104228" w:rsidRPr="00235A28" w:rsidRDefault="00104228" w:rsidP="00104228">
            <w:pPr>
              <w:jc w:val="right"/>
              <w:rPr>
                <w:b/>
                <w:bCs/>
                <w:color w:val="000000"/>
                <w:sz w:val="14"/>
                <w:szCs w:val="14"/>
                <w:lang w:eastAsia="tr-TR"/>
              </w:rPr>
            </w:pPr>
          </w:p>
        </w:tc>
        <w:tc>
          <w:tcPr>
            <w:tcW w:w="730" w:type="dxa"/>
            <w:vMerge/>
            <w:tcBorders>
              <w:top w:val="single" w:sz="8" w:space="0" w:color="000000"/>
              <w:left w:val="nil"/>
              <w:bottom w:val="single" w:sz="8" w:space="0" w:color="000000"/>
              <w:right w:val="nil"/>
            </w:tcBorders>
            <w:vAlign w:val="bottom"/>
            <w:hideMark/>
          </w:tcPr>
          <w:p w14:paraId="754C73C6" w14:textId="77777777" w:rsidR="00104228" w:rsidRPr="00235A28" w:rsidRDefault="00104228" w:rsidP="00104228">
            <w:pPr>
              <w:jc w:val="right"/>
              <w:rPr>
                <w:b/>
                <w:bCs/>
                <w:color w:val="000000"/>
                <w:sz w:val="14"/>
                <w:szCs w:val="14"/>
                <w:lang w:eastAsia="tr-TR"/>
              </w:rPr>
            </w:pPr>
          </w:p>
        </w:tc>
        <w:tc>
          <w:tcPr>
            <w:tcW w:w="692" w:type="dxa"/>
            <w:vMerge/>
            <w:tcBorders>
              <w:top w:val="single" w:sz="8" w:space="0" w:color="000000"/>
              <w:left w:val="nil"/>
              <w:bottom w:val="single" w:sz="8" w:space="0" w:color="000000"/>
              <w:right w:val="nil"/>
            </w:tcBorders>
            <w:vAlign w:val="bottom"/>
            <w:hideMark/>
          </w:tcPr>
          <w:p w14:paraId="11026114" w14:textId="77777777" w:rsidR="00104228" w:rsidRPr="00235A28" w:rsidRDefault="00104228" w:rsidP="00104228">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bottom"/>
            <w:hideMark/>
          </w:tcPr>
          <w:p w14:paraId="2352F058" w14:textId="77777777" w:rsidR="00104228" w:rsidRPr="00235A28" w:rsidRDefault="00104228" w:rsidP="00104228">
            <w:pPr>
              <w:jc w:val="right"/>
              <w:rPr>
                <w:b/>
                <w:bCs/>
                <w:color w:val="000000"/>
                <w:sz w:val="14"/>
                <w:szCs w:val="14"/>
                <w:lang w:eastAsia="tr-TR"/>
              </w:rPr>
            </w:pPr>
          </w:p>
        </w:tc>
      </w:tr>
      <w:tr w:rsidR="00104228" w:rsidRPr="00235A28" w14:paraId="3D8C9DFE"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53E75E2E" w14:textId="77777777" w:rsidR="00104228" w:rsidRPr="00235A28" w:rsidRDefault="00104228" w:rsidP="00104228">
            <w:pPr>
              <w:rPr>
                <w:b/>
                <w:bCs/>
                <w:color w:val="000000"/>
                <w:sz w:val="14"/>
                <w:szCs w:val="14"/>
                <w:lang w:eastAsia="tr-TR"/>
              </w:rPr>
            </w:pPr>
          </w:p>
        </w:tc>
        <w:tc>
          <w:tcPr>
            <w:tcW w:w="788" w:type="dxa"/>
            <w:tcBorders>
              <w:top w:val="nil"/>
              <w:left w:val="nil"/>
              <w:bottom w:val="nil"/>
              <w:right w:val="nil"/>
            </w:tcBorders>
            <w:shd w:val="clear" w:color="auto" w:fill="auto"/>
            <w:vAlign w:val="bottom"/>
            <w:hideMark/>
          </w:tcPr>
          <w:p w14:paraId="6E14DBEE" w14:textId="77777777" w:rsidR="00104228" w:rsidRPr="00235A28" w:rsidRDefault="00104228" w:rsidP="00104228">
            <w:pPr>
              <w:jc w:val="right"/>
              <w:rPr>
                <w:lang w:eastAsia="tr-TR"/>
              </w:rPr>
            </w:pPr>
          </w:p>
        </w:tc>
        <w:tc>
          <w:tcPr>
            <w:tcW w:w="788" w:type="dxa"/>
            <w:tcBorders>
              <w:top w:val="nil"/>
              <w:left w:val="nil"/>
              <w:bottom w:val="nil"/>
              <w:right w:val="nil"/>
            </w:tcBorders>
            <w:shd w:val="clear" w:color="auto" w:fill="auto"/>
            <w:vAlign w:val="bottom"/>
            <w:hideMark/>
          </w:tcPr>
          <w:p w14:paraId="314635C5" w14:textId="77777777" w:rsidR="00104228" w:rsidRPr="00235A28" w:rsidRDefault="00104228" w:rsidP="00104228">
            <w:pPr>
              <w:jc w:val="right"/>
              <w:rPr>
                <w:lang w:eastAsia="tr-TR"/>
              </w:rPr>
            </w:pPr>
          </w:p>
        </w:tc>
        <w:tc>
          <w:tcPr>
            <w:tcW w:w="788" w:type="dxa"/>
            <w:tcBorders>
              <w:top w:val="nil"/>
              <w:left w:val="nil"/>
              <w:bottom w:val="nil"/>
              <w:right w:val="nil"/>
            </w:tcBorders>
            <w:shd w:val="clear" w:color="auto" w:fill="auto"/>
            <w:vAlign w:val="bottom"/>
            <w:hideMark/>
          </w:tcPr>
          <w:p w14:paraId="6D89873A" w14:textId="77777777" w:rsidR="00104228" w:rsidRPr="00235A28" w:rsidRDefault="00104228" w:rsidP="00104228">
            <w:pPr>
              <w:jc w:val="right"/>
              <w:rPr>
                <w:lang w:eastAsia="tr-TR"/>
              </w:rPr>
            </w:pPr>
          </w:p>
        </w:tc>
        <w:tc>
          <w:tcPr>
            <w:tcW w:w="730" w:type="dxa"/>
            <w:tcBorders>
              <w:top w:val="nil"/>
              <w:left w:val="nil"/>
              <w:bottom w:val="nil"/>
              <w:right w:val="nil"/>
            </w:tcBorders>
            <w:shd w:val="clear" w:color="auto" w:fill="auto"/>
            <w:vAlign w:val="bottom"/>
            <w:hideMark/>
          </w:tcPr>
          <w:p w14:paraId="5015B2E8" w14:textId="77777777" w:rsidR="00104228" w:rsidRPr="00235A28" w:rsidRDefault="00104228" w:rsidP="00104228">
            <w:pPr>
              <w:jc w:val="right"/>
              <w:rPr>
                <w:lang w:eastAsia="tr-TR"/>
              </w:rPr>
            </w:pPr>
          </w:p>
        </w:tc>
        <w:tc>
          <w:tcPr>
            <w:tcW w:w="498" w:type="dxa"/>
            <w:tcBorders>
              <w:top w:val="nil"/>
              <w:left w:val="nil"/>
              <w:bottom w:val="nil"/>
              <w:right w:val="nil"/>
            </w:tcBorders>
            <w:shd w:val="clear" w:color="auto" w:fill="auto"/>
            <w:vAlign w:val="bottom"/>
            <w:hideMark/>
          </w:tcPr>
          <w:p w14:paraId="6B7D4B6A" w14:textId="77777777" w:rsidR="00104228" w:rsidRPr="00235A28" w:rsidRDefault="00104228" w:rsidP="00104228">
            <w:pPr>
              <w:jc w:val="right"/>
              <w:rPr>
                <w:lang w:eastAsia="tr-TR"/>
              </w:rPr>
            </w:pPr>
          </w:p>
        </w:tc>
        <w:tc>
          <w:tcPr>
            <w:tcW w:w="730" w:type="dxa"/>
            <w:tcBorders>
              <w:top w:val="nil"/>
              <w:left w:val="nil"/>
              <w:bottom w:val="nil"/>
              <w:right w:val="nil"/>
            </w:tcBorders>
            <w:shd w:val="clear" w:color="auto" w:fill="auto"/>
            <w:vAlign w:val="bottom"/>
            <w:hideMark/>
          </w:tcPr>
          <w:p w14:paraId="40C3193E" w14:textId="77777777" w:rsidR="00104228" w:rsidRPr="00235A28" w:rsidRDefault="00104228" w:rsidP="00104228">
            <w:pPr>
              <w:jc w:val="right"/>
              <w:rPr>
                <w:lang w:eastAsia="tr-TR"/>
              </w:rPr>
            </w:pPr>
          </w:p>
        </w:tc>
        <w:tc>
          <w:tcPr>
            <w:tcW w:w="730" w:type="dxa"/>
            <w:tcBorders>
              <w:top w:val="nil"/>
              <w:left w:val="nil"/>
              <w:bottom w:val="nil"/>
              <w:right w:val="nil"/>
            </w:tcBorders>
            <w:shd w:val="clear" w:color="auto" w:fill="auto"/>
            <w:vAlign w:val="bottom"/>
            <w:hideMark/>
          </w:tcPr>
          <w:p w14:paraId="17AC438E" w14:textId="77777777" w:rsidR="00104228" w:rsidRPr="00235A28" w:rsidRDefault="00104228" w:rsidP="00104228">
            <w:pPr>
              <w:jc w:val="right"/>
              <w:rPr>
                <w:lang w:eastAsia="tr-TR"/>
              </w:rPr>
            </w:pPr>
          </w:p>
        </w:tc>
        <w:tc>
          <w:tcPr>
            <w:tcW w:w="692" w:type="dxa"/>
            <w:tcBorders>
              <w:top w:val="nil"/>
              <w:left w:val="nil"/>
              <w:bottom w:val="nil"/>
              <w:right w:val="nil"/>
            </w:tcBorders>
            <w:shd w:val="clear" w:color="auto" w:fill="auto"/>
            <w:vAlign w:val="bottom"/>
            <w:hideMark/>
          </w:tcPr>
          <w:p w14:paraId="46A864DE" w14:textId="77777777" w:rsidR="00104228" w:rsidRPr="00235A28" w:rsidRDefault="00104228" w:rsidP="00104228">
            <w:pPr>
              <w:jc w:val="right"/>
              <w:rPr>
                <w:lang w:eastAsia="tr-TR"/>
              </w:rPr>
            </w:pPr>
          </w:p>
        </w:tc>
        <w:tc>
          <w:tcPr>
            <w:tcW w:w="770" w:type="dxa"/>
            <w:tcBorders>
              <w:top w:val="nil"/>
              <w:left w:val="nil"/>
              <w:bottom w:val="nil"/>
              <w:right w:val="nil"/>
            </w:tcBorders>
            <w:shd w:val="clear" w:color="auto" w:fill="auto"/>
            <w:vAlign w:val="bottom"/>
            <w:hideMark/>
          </w:tcPr>
          <w:p w14:paraId="45328106" w14:textId="77777777" w:rsidR="00104228" w:rsidRPr="00235A28" w:rsidRDefault="00104228" w:rsidP="00104228">
            <w:pPr>
              <w:jc w:val="right"/>
              <w:rPr>
                <w:lang w:eastAsia="tr-TR"/>
              </w:rPr>
            </w:pPr>
          </w:p>
        </w:tc>
      </w:tr>
      <w:tr w:rsidR="00104228" w:rsidRPr="00235A28" w14:paraId="6D5EF532"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5695F8CE" w14:textId="77777777" w:rsidR="00104228" w:rsidRPr="00235A28" w:rsidRDefault="00104228" w:rsidP="00104228">
            <w:pPr>
              <w:ind w:firstLineChars="100" w:firstLine="141"/>
              <w:rPr>
                <w:b/>
                <w:bCs/>
                <w:color w:val="000000"/>
                <w:sz w:val="14"/>
                <w:szCs w:val="14"/>
                <w:lang w:eastAsia="tr-TR"/>
              </w:rPr>
            </w:pPr>
            <w:r w:rsidRPr="00235A28">
              <w:rPr>
                <w:b/>
                <w:bCs/>
                <w:color w:val="000000"/>
                <w:sz w:val="14"/>
                <w:szCs w:val="14"/>
                <w:lang w:eastAsia="tr-TR"/>
              </w:rPr>
              <w:t>I. Özel cari hesabı gerçek kişi ticari olmayan-TP</w:t>
            </w:r>
          </w:p>
        </w:tc>
        <w:tc>
          <w:tcPr>
            <w:tcW w:w="788" w:type="dxa"/>
            <w:tcBorders>
              <w:top w:val="nil"/>
              <w:left w:val="nil"/>
              <w:bottom w:val="nil"/>
              <w:right w:val="nil"/>
            </w:tcBorders>
            <w:shd w:val="clear" w:color="auto" w:fill="auto"/>
            <w:vAlign w:val="bottom"/>
            <w:hideMark/>
          </w:tcPr>
          <w:p w14:paraId="5276E761" w14:textId="167DE7BC" w:rsidR="00104228" w:rsidRPr="00235A28" w:rsidRDefault="00104228" w:rsidP="00104228">
            <w:pPr>
              <w:jc w:val="right"/>
              <w:rPr>
                <w:b/>
                <w:bCs/>
                <w:color w:val="000000"/>
                <w:sz w:val="14"/>
                <w:szCs w:val="14"/>
                <w:lang w:eastAsia="tr-TR"/>
              </w:rPr>
            </w:pPr>
            <w:r w:rsidRPr="00235A28">
              <w:rPr>
                <w:b/>
                <w:bCs/>
                <w:color w:val="000000"/>
                <w:sz w:val="14"/>
                <w:szCs w:val="14"/>
                <w:lang w:eastAsia="tr-TR"/>
              </w:rPr>
              <w:t>7,951,114</w:t>
            </w:r>
          </w:p>
        </w:tc>
        <w:tc>
          <w:tcPr>
            <w:tcW w:w="788" w:type="dxa"/>
            <w:tcBorders>
              <w:top w:val="nil"/>
              <w:left w:val="nil"/>
              <w:bottom w:val="nil"/>
              <w:right w:val="nil"/>
            </w:tcBorders>
            <w:shd w:val="clear" w:color="auto" w:fill="auto"/>
            <w:vAlign w:val="bottom"/>
            <w:hideMark/>
          </w:tcPr>
          <w:p w14:paraId="36974756" w14:textId="7EC52822"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64987293" w14:textId="100C342A"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770646B" w14:textId="2A04203F"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3DC92FBE" w14:textId="29517C4C"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6A3961D0" w14:textId="26AC330B"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366A67F1" w14:textId="1CBC8FC0"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2B225A4D" w14:textId="1C228C0D"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5FEEF5F7" w14:textId="27D47838" w:rsidR="00104228" w:rsidRPr="00235A28" w:rsidRDefault="00104228" w:rsidP="00104228">
            <w:pPr>
              <w:jc w:val="right"/>
              <w:rPr>
                <w:b/>
                <w:bCs/>
                <w:color w:val="000000"/>
                <w:sz w:val="14"/>
                <w:szCs w:val="14"/>
                <w:lang w:eastAsia="tr-TR"/>
              </w:rPr>
            </w:pPr>
            <w:r w:rsidRPr="00235A28">
              <w:rPr>
                <w:b/>
                <w:bCs/>
                <w:color w:val="000000"/>
                <w:sz w:val="14"/>
                <w:szCs w:val="14"/>
                <w:lang w:eastAsia="tr-TR"/>
              </w:rPr>
              <w:t>7,951,114</w:t>
            </w:r>
          </w:p>
        </w:tc>
      </w:tr>
      <w:tr w:rsidR="00104228" w:rsidRPr="00235A28" w14:paraId="7E0F0810"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6EF171A7" w14:textId="77777777" w:rsidR="00104228" w:rsidRPr="00235A28" w:rsidRDefault="00104228" w:rsidP="00104228">
            <w:pPr>
              <w:ind w:firstLineChars="100" w:firstLine="140"/>
              <w:rPr>
                <w:b/>
                <w:bCs/>
                <w:color w:val="000000"/>
                <w:sz w:val="14"/>
                <w:szCs w:val="14"/>
                <w:lang w:eastAsia="tr-TR"/>
              </w:rPr>
            </w:pPr>
            <w:r w:rsidRPr="00235A28">
              <w:rPr>
                <w:rFonts w:eastAsia="Arial Unicode MS"/>
                <w:b/>
                <w:bCs/>
                <w:color w:val="000000"/>
                <w:sz w:val="14"/>
                <w:szCs w:val="14"/>
                <w:lang w:eastAsia="tr-TR"/>
              </w:rPr>
              <w:t>II. Katılma hesapları gerçek kişi ticari olmaya-TP</w:t>
            </w:r>
          </w:p>
        </w:tc>
        <w:tc>
          <w:tcPr>
            <w:tcW w:w="788" w:type="dxa"/>
            <w:tcBorders>
              <w:top w:val="nil"/>
              <w:left w:val="nil"/>
              <w:bottom w:val="nil"/>
              <w:right w:val="nil"/>
            </w:tcBorders>
            <w:shd w:val="clear" w:color="auto" w:fill="auto"/>
            <w:vAlign w:val="bottom"/>
            <w:hideMark/>
          </w:tcPr>
          <w:p w14:paraId="3FA2027D" w14:textId="41643206"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454641C3" w14:textId="19FEBE06" w:rsidR="00104228" w:rsidRPr="00235A28" w:rsidRDefault="00104228" w:rsidP="00104228">
            <w:pPr>
              <w:jc w:val="right"/>
              <w:rPr>
                <w:b/>
                <w:bCs/>
                <w:color w:val="000000"/>
                <w:sz w:val="14"/>
                <w:szCs w:val="14"/>
                <w:lang w:eastAsia="tr-TR"/>
              </w:rPr>
            </w:pPr>
            <w:r w:rsidRPr="00235A28">
              <w:rPr>
                <w:color w:val="000000"/>
                <w:sz w:val="14"/>
                <w:szCs w:val="14"/>
                <w:lang w:eastAsia="tr-TR"/>
              </w:rPr>
              <w:t>7,232,001</w:t>
            </w:r>
          </w:p>
        </w:tc>
        <w:tc>
          <w:tcPr>
            <w:tcW w:w="788" w:type="dxa"/>
            <w:tcBorders>
              <w:top w:val="nil"/>
              <w:left w:val="nil"/>
              <w:bottom w:val="nil"/>
              <w:right w:val="nil"/>
            </w:tcBorders>
            <w:shd w:val="clear" w:color="auto" w:fill="auto"/>
            <w:vAlign w:val="bottom"/>
            <w:hideMark/>
          </w:tcPr>
          <w:p w14:paraId="3355B334" w14:textId="31FBB75C" w:rsidR="00104228" w:rsidRPr="00235A28" w:rsidRDefault="00104228" w:rsidP="00104228">
            <w:pPr>
              <w:jc w:val="right"/>
              <w:rPr>
                <w:b/>
                <w:bCs/>
                <w:color w:val="000000"/>
                <w:sz w:val="14"/>
                <w:szCs w:val="14"/>
                <w:lang w:eastAsia="tr-TR"/>
              </w:rPr>
            </w:pPr>
            <w:r w:rsidRPr="00235A28">
              <w:rPr>
                <w:color w:val="000000"/>
                <w:sz w:val="14"/>
                <w:szCs w:val="14"/>
                <w:lang w:eastAsia="tr-TR"/>
              </w:rPr>
              <w:t>11,223,102</w:t>
            </w:r>
          </w:p>
        </w:tc>
        <w:tc>
          <w:tcPr>
            <w:tcW w:w="730" w:type="dxa"/>
            <w:tcBorders>
              <w:top w:val="nil"/>
              <w:left w:val="nil"/>
              <w:bottom w:val="nil"/>
              <w:right w:val="nil"/>
            </w:tcBorders>
            <w:shd w:val="clear" w:color="auto" w:fill="auto"/>
            <w:vAlign w:val="bottom"/>
            <w:hideMark/>
          </w:tcPr>
          <w:p w14:paraId="79C891CD" w14:textId="0238AA1B" w:rsidR="00104228" w:rsidRPr="00235A28" w:rsidRDefault="00104228" w:rsidP="00104228">
            <w:pPr>
              <w:jc w:val="right"/>
              <w:rPr>
                <w:b/>
                <w:bCs/>
                <w:color w:val="000000"/>
                <w:sz w:val="14"/>
                <w:szCs w:val="14"/>
                <w:lang w:eastAsia="tr-TR"/>
              </w:rPr>
            </w:pPr>
            <w:r w:rsidRPr="00235A28">
              <w:rPr>
                <w:color w:val="000000"/>
                <w:sz w:val="14"/>
                <w:szCs w:val="14"/>
                <w:lang w:eastAsia="tr-TR"/>
              </w:rPr>
              <w:t>725,113</w:t>
            </w:r>
          </w:p>
        </w:tc>
        <w:tc>
          <w:tcPr>
            <w:tcW w:w="498" w:type="dxa"/>
            <w:tcBorders>
              <w:top w:val="nil"/>
              <w:left w:val="nil"/>
              <w:bottom w:val="nil"/>
              <w:right w:val="nil"/>
            </w:tcBorders>
            <w:shd w:val="clear" w:color="auto" w:fill="auto"/>
            <w:vAlign w:val="bottom"/>
            <w:hideMark/>
          </w:tcPr>
          <w:p w14:paraId="1E8E635B" w14:textId="58300C0D"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7865387" w14:textId="5056A055" w:rsidR="00104228" w:rsidRPr="00235A28" w:rsidRDefault="00104228" w:rsidP="00104228">
            <w:pPr>
              <w:jc w:val="right"/>
              <w:rPr>
                <w:b/>
                <w:bCs/>
                <w:color w:val="000000"/>
                <w:sz w:val="14"/>
                <w:szCs w:val="14"/>
                <w:lang w:eastAsia="tr-TR"/>
              </w:rPr>
            </w:pPr>
            <w:r w:rsidRPr="00235A28">
              <w:rPr>
                <w:color w:val="000000"/>
                <w:sz w:val="14"/>
                <w:szCs w:val="14"/>
                <w:lang w:eastAsia="tr-TR"/>
              </w:rPr>
              <w:t>610,209</w:t>
            </w:r>
          </w:p>
        </w:tc>
        <w:tc>
          <w:tcPr>
            <w:tcW w:w="730" w:type="dxa"/>
            <w:tcBorders>
              <w:top w:val="nil"/>
              <w:left w:val="nil"/>
              <w:bottom w:val="nil"/>
              <w:right w:val="nil"/>
            </w:tcBorders>
            <w:shd w:val="clear" w:color="auto" w:fill="auto"/>
            <w:vAlign w:val="bottom"/>
            <w:hideMark/>
          </w:tcPr>
          <w:p w14:paraId="573F4818" w14:textId="28401DFE" w:rsidR="00104228" w:rsidRPr="00235A28" w:rsidRDefault="00104228" w:rsidP="00104228">
            <w:pPr>
              <w:jc w:val="right"/>
              <w:rPr>
                <w:b/>
                <w:bCs/>
                <w:color w:val="000000"/>
                <w:sz w:val="14"/>
                <w:szCs w:val="14"/>
                <w:lang w:eastAsia="tr-TR"/>
              </w:rPr>
            </w:pPr>
            <w:r w:rsidRPr="00235A28">
              <w:rPr>
                <w:color w:val="000000"/>
                <w:sz w:val="14"/>
                <w:szCs w:val="14"/>
                <w:lang w:eastAsia="tr-TR"/>
              </w:rPr>
              <w:t>911,230</w:t>
            </w:r>
          </w:p>
        </w:tc>
        <w:tc>
          <w:tcPr>
            <w:tcW w:w="692" w:type="dxa"/>
            <w:tcBorders>
              <w:top w:val="nil"/>
              <w:left w:val="nil"/>
              <w:bottom w:val="nil"/>
              <w:right w:val="nil"/>
            </w:tcBorders>
            <w:shd w:val="clear" w:color="auto" w:fill="auto"/>
            <w:vAlign w:val="bottom"/>
            <w:hideMark/>
          </w:tcPr>
          <w:p w14:paraId="31BDA9B2" w14:textId="199C844B" w:rsidR="00104228" w:rsidRPr="00235A28" w:rsidRDefault="00104228" w:rsidP="00104228">
            <w:pPr>
              <w:jc w:val="right"/>
              <w:rPr>
                <w:b/>
                <w:bCs/>
                <w:color w:val="000000"/>
                <w:sz w:val="14"/>
                <w:szCs w:val="14"/>
                <w:lang w:eastAsia="tr-TR"/>
              </w:rPr>
            </w:pPr>
            <w:r w:rsidRPr="00235A28">
              <w:rPr>
                <w:color w:val="000000"/>
                <w:sz w:val="14"/>
                <w:szCs w:val="14"/>
                <w:lang w:eastAsia="tr-TR"/>
              </w:rPr>
              <w:t>22,190</w:t>
            </w:r>
          </w:p>
        </w:tc>
        <w:tc>
          <w:tcPr>
            <w:tcW w:w="770" w:type="dxa"/>
            <w:tcBorders>
              <w:top w:val="nil"/>
              <w:left w:val="nil"/>
              <w:bottom w:val="nil"/>
              <w:right w:val="nil"/>
            </w:tcBorders>
            <w:shd w:val="clear" w:color="auto" w:fill="auto"/>
            <w:vAlign w:val="bottom"/>
            <w:hideMark/>
          </w:tcPr>
          <w:p w14:paraId="5423D77F" w14:textId="283C6313" w:rsidR="00104228" w:rsidRPr="00235A28" w:rsidRDefault="00104228" w:rsidP="00104228">
            <w:pPr>
              <w:jc w:val="right"/>
              <w:rPr>
                <w:b/>
                <w:bCs/>
                <w:color w:val="000000"/>
                <w:sz w:val="14"/>
                <w:szCs w:val="14"/>
                <w:lang w:eastAsia="tr-TR"/>
              </w:rPr>
            </w:pPr>
            <w:r w:rsidRPr="00235A28">
              <w:rPr>
                <w:b/>
                <w:bCs/>
                <w:color w:val="000000"/>
                <w:sz w:val="14"/>
                <w:szCs w:val="14"/>
                <w:lang w:eastAsia="tr-TR"/>
              </w:rPr>
              <w:t>20,723,845</w:t>
            </w:r>
          </w:p>
        </w:tc>
      </w:tr>
      <w:tr w:rsidR="00104228" w:rsidRPr="00235A28" w14:paraId="5E3FED63"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21B5415B" w14:textId="77777777" w:rsidR="00104228" w:rsidRPr="00235A28" w:rsidRDefault="00104228" w:rsidP="00104228">
            <w:pPr>
              <w:ind w:firstLineChars="100" w:firstLine="140"/>
              <w:rPr>
                <w:b/>
                <w:bCs/>
                <w:color w:val="000000"/>
                <w:sz w:val="14"/>
                <w:szCs w:val="14"/>
                <w:lang w:eastAsia="tr-TR"/>
              </w:rPr>
            </w:pPr>
            <w:r w:rsidRPr="00235A28">
              <w:rPr>
                <w:rFonts w:eastAsia="Arial Unicode MS"/>
                <w:b/>
                <w:bCs/>
                <w:color w:val="000000"/>
                <w:sz w:val="14"/>
                <w:szCs w:val="14"/>
                <w:lang w:eastAsia="tr-TR"/>
              </w:rPr>
              <w:t>III. Özel cari hesap diğer-TP</w:t>
            </w:r>
          </w:p>
        </w:tc>
        <w:tc>
          <w:tcPr>
            <w:tcW w:w="788" w:type="dxa"/>
            <w:tcBorders>
              <w:top w:val="nil"/>
              <w:left w:val="nil"/>
              <w:bottom w:val="nil"/>
              <w:right w:val="nil"/>
            </w:tcBorders>
            <w:shd w:val="clear" w:color="auto" w:fill="auto"/>
            <w:vAlign w:val="bottom"/>
            <w:hideMark/>
          </w:tcPr>
          <w:p w14:paraId="4198F722" w14:textId="4D2B96CF" w:rsidR="00104228" w:rsidRPr="00235A28" w:rsidRDefault="00104228" w:rsidP="00104228">
            <w:pPr>
              <w:jc w:val="right"/>
              <w:rPr>
                <w:b/>
                <w:bCs/>
                <w:color w:val="000000"/>
                <w:sz w:val="14"/>
                <w:szCs w:val="14"/>
                <w:lang w:eastAsia="tr-TR"/>
              </w:rPr>
            </w:pPr>
            <w:r w:rsidRPr="00235A28">
              <w:rPr>
                <w:b/>
                <w:bCs/>
                <w:color w:val="000000"/>
                <w:sz w:val="14"/>
                <w:szCs w:val="14"/>
                <w:lang w:eastAsia="tr-TR"/>
              </w:rPr>
              <w:t>4,400,375</w:t>
            </w:r>
          </w:p>
        </w:tc>
        <w:tc>
          <w:tcPr>
            <w:tcW w:w="788" w:type="dxa"/>
            <w:tcBorders>
              <w:top w:val="nil"/>
              <w:left w:val="nil"/>
              <w:bottom w:val="nil"/>
              <w:right w:val="nil"/>
            </w:tcBorders>
            <w:shd w:val="clear" w:color="auto" w:fill="auto"/>
            <w:vAlign w:val="bottom"/>
            <w:hideMark/>
          </w:tcPr>
          <w:p w14:paraId="244D9A3C" w14:textId="2B76C129"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5022C331" w14:textId="0CA9420D"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60A70F02" w14:textId="43869539"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03F7A243" w14:textId="2818184E"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4E189258" w14:textId="3FA75D5D"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1FB3280A" w14:textId="58AD4DFB"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692" w:type="dxa"/>
            <w:tcBorders>
              <w:top w:val="nil"/>
              <w:left w:val="nil"/>
              <w:bottom w:val="nil"/>
              <w:right w:val="nil"/>
            </w:tcBorders>
            <w:shd w:val="clear" w:color="auto" w:fill="auto"/>
            <w:vAlign w:val="bottom"/>
            <w:hideMark/>
          </w:tcPr>
          <w:p w14:paraId="3713DAF4" w14:textId="7F6782CE"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70" w:type="dxa"/>
            <w:tcBorders>
              <w:top w:val="nil"/>
              <w:left w:val="nil"/>
              <w:bottom w:val="nil"/>
              <w:right w:val="nil"/>
            </w:tcBorders>
            <w:shd w:val="clear" w:color="auto" w:fill="auto"/>
            <w:vAlign w:val="bottom"/>
            <w:hideMark/>
          </w:tcPr>
          <w:p w14:paraId="0FC39BE2" w14:textId="6D2F539F" w:rsidR="00104228" w:rsidRPr="00235A28" w:rsidRDefault="00104228" w:rsidP="00104228">
            <w:pPr>
              <w:jc w:val="right"/>
              <w:rPr>
                <w:b/>
                <w:bCs/>
                <w:color w:val="000000"/>
                <w:sz w:val="14"/>
                <w:szCs w:val="14"/>
                <w:lang w:eastAsia="tr-TR"/>
              </w:rPr>
            </w:pPr>
            <w:r w:rsidRPr="00235A28">
              <w:rPr>
                <w:b/>
                <w:bCs/>
                <w:color w:val="000000"/>
                <w:sz w:val="14"/>
                <w:szCs w:val="14"/>
                <w:lang w:eastAsia="tr-TR"/>
              </w:rPr>
              <w:t>4,400,375</w:t>
            </w:r>
          </w:p>
        </w:tc>
      </w:tr>
      <w:tr w:rsidR="00104228" w:rsidRPr="00235A28" w14:paraId="3BECC2CB"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5582E952"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Resmi kuruluşlar</w:t>
            </w:r>
          </w:p>
        </w:tc>
        <w:tc>
          <w:tcPr>
            <w:tcW w:w="788" w:type="dxa"/>
            <w:tcBorders>
              <w:top w:val="nil"/>
              <w:left w:val="nil"/>
              <w:bottom w:val="nil"/>
              <w:right w:val="nil"/>
            </w:tcBorders>
            <w:shd w:val="clear" w:color="auto" w:fill="auto"/>
            <w:vAlign w:val="bottom"/>
            <w:hideMark/>
          </w:tcPr>
          <w:p w14:paraId="1A3DE062" w14:textId="06A14410" w:rsidR="00104228" w:rsidRPr="00235A28" w:rsidRDefault="00104228" w:rsidP="00104228">
            <w:pPr>
              <w:jc w:val="right"/>
              <w:rPr>
                <w:color w:val="000000"/>
                <w:sz w:val="14"/>
                <w:szCs w:val="14"/>
                <w:lang w:eastAsia="tr-TR"/>
              </w:rPr>
            </w:pPr>
            <w:r w:rsidRPr="00235A28">
              <w:rPr>
                <w:color w:val="000000"/>
                <w:sz w:val="14"/>
                <w:szCs w:val="14"/>
                <w:lang w:eastAsia="tr-TR"/>
              </w:rPr>
              <w:t>200,309</w:t>
            </w:r>
          </w:p>
        </w:tc>
        <w:tc>
          <w:tcPr>
            <w:tcW w:w="788" w:type="dxa"/>
            <w:tcBorders>
              <w:top w:val="nil"/>
              <w:left w:val="nil"/>
              <w:bottom w:val="nil"/>
              <w:right w:val="nil"/>
            </w:tcBorders>
            <w:shd w:val="clear" w:color="auto" w:fill="auto"/>
            <w:vAlign w:val="bottom"/>
            <w:hideMark/>
          </w:tcPr>
          <w:p w14:paraId="52D5D12A" w14:textId="2FB463AF"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6FC60F9F" w14:textId="3F1C4CC1"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1C523F06" w14:textId="53C70A1A"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1A489130" w14:textId="1E52269F"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6CF6A744" w14:textId="3545B08D"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D7BCAD2" w14:textId="196A49D0"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2120C284" w14:textId="631706C8"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00D30ED5" w14:textId="1F04EFA7" w:rsidR="00104228" w:rsidRPr="00235A28" w:rsidRDefault="00104228" w:rsidP="00104228">
            <w:pPr>
              <w:jc w:val="right"/>
              <w:rPr>
                <w:color w:val="000000"/>
                <w:sz w:val="14"/>
                <w:szCs w:val="14"/>
                <w:lang w:eastAsia="tr-TR"/>
              </w:rPr>
            </w:pPr>
            <w:r w:rsidRPr="00235A28">
              <w:rPr>
                <w:color w:val="000000"/>
                <w:sz w:val="14"/>
                <w:szCs w:val="14"/>
                <w:lang w:eastAsia="tr-TR"/>
              </w:rPr>
              <w:t>200,309</w:t>
            </w:r>
          </w:p>
        </w:tc>
      </w:tr>
      <w:tr w:rsidR="00104228" w:rsidRPr="00235A28" w14:paraId="237DFEAE"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04F9AF2E"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Ticari kuruluşlar</w:t>
            </w:r>
          </w:p>
        </w:tc>
        <w:tc>
          <w:tcPr>
            <w:tcW w:w="788" w:type="dxa"/>
            <w:tcBorders>
              <w:top w:val="nil"/>
              <w:left w:val="nil"/>
              <w:bottom w:val="nil"/>
              <w:right w:val="nil"/>
            </w:tcBorders>
            <w:shd w:val="clear" w:color="auto" w:fill="auto"/>
            <w:vAlign w:val="bottom"/>
            <w:hideMark/>
          </w:tcPr>
          <w:p w14:paraId="79C236F2" w14:textId="6187982E" w:rsidR="00104228" w:rsidRPr="00235A28" w:rsidRDefault="00104228" w:rsidP="00104228">
            <w:pPr>
              <w:jc w:val="right"/>
              <w:rPr>
                <w:color w:val="000000"/>
                <w:sz w:val="14"/>
                <w:szCs w:val="14"/>
                <w:lang w:eastAsia="tr-TR"/>
              </w:rPr>
            </w:pPr>
            <w:r w:rsidRPr="00235A28">
              <w:rPr>
                <w:color w:val="000000"/>
                <w:sz w:val="14"/>
                <w:szCs w:val="14"/>
                <w:lang w:eastAsia="tr-TR"/>
              </w:rPr>
              <w:t>4,156,300</w:t>
            </w:r>
          </w:p>
        </w:tc>
        <w:tc>
          <w:tcPr>
            <w:tcW w:w="788" w:type="dxa"/>
            <w:tcBorders>
              <w:top w:val="nil"/>
              <w:left w:val="nil"/>
              <w:bottom w:val="nil"/>
              <w:right w:val="nil"/>
            </w:tcBorders>
            <w:shd w:val="clear" w:color="auto" w:fill="auto"/>
            <w:vAlign w:val="bottom"/>
            <w:hideMark/>
          </w:tcPr>
          <w:p w14:paraId="2AC2EDCF" w14:textId="7A40E213"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1329D679" w14:textId="4C699DD4"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715A33E" w14:textId="3807C790"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24245FB6" w14:textId="472E4781"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227888F5" w14:textId="447E53C7"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052AEF8E" w14:textId="45517F61"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5B34D82D" w14:textId="5CF324C1"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15561C07" w14:textId="09D160DF" w:rsidR="00104228" w:rsidRPr="00235A28" w:rsidRDefault="00104228" w:rsidP="00104228">
            <w:pPr>
              <w:jc w:val="right"/>
              <w:rPr>
                <w:color w:val="000000"/>
                <w:sz w:val="14"/>
                <w:szCs w:val="14"/>
                <w:lang w:eastAsia="tr-TR"/>
              </w:rPr>
            </w:pPr>
            <w:r w:rsidRPr="00235A28">
              <w:rPr>
                <w:color w:val="000000"/>
                <w:sz w:val="14"/>
                <w:szCs w:val="14"/>
                <w:lang w:eastAsia="tr-TR"/>
              </w:rPr>
              <w:t>4,156,300</w:t>
            </w:r>
          </w:p>
        </w:tc>
      </w:tr>
      <w:tr w:rsidR="00104228" w:rsidRPr="00235A28" w14:paraId="076E573A"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33A00D4A"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Diğer kuruluşlar</w:t>
            </w:r>
          </w:p>
        </w:tc>
        <w:tc>
          <w:tcPr>
            <w:tcW w:w="788" w:type="dxa"/>
            <w:tcBorders>
              <w:top w:val="nil"/>
              <w:left w:val="nil"/>
              <w:bottom w:val="nil"/>
              <w:right w:val="nil"/>
            </w:tcBorders>
            <w:shd w:val="clear" w:color="auto" w:fill="auto"/>
            <w:vAlign w:val="bottom"/>
            <w:hideMark/>
          </w:tcPr>
          <w:p w14:paraId="1E2A8C94" w14:textId="3B3FE29A" w:rsidR="00104228" w:rsidRPr="00235A28" w:rsidRDefault="00104228" w:rsidP="00104228">
            <w:pPr>
              <w:jc w:val="right"/>
              <w:rPr>
                <w:color w:val="000000"/>
                <w:sz w:val="14"/>
                <w:szCs w:val="14"/>
                <w:lang w:eastAsia="tr-TR"/>
              </w:rPr>
            </w:pPr>
            <w:r w:rsidRPr="00235A28">
              <w:rPr>
                <w:color w:val="000000"/>
                <w:sz w:val="14"/>
                <w:szCs w:val="14"/>
                <w:lang w:eastAsia="tr-TR"/>
              </w:rPr>
              <w:t>32,529</w:t>
            </w:r>
          </w:p>
        </w:tc>
        <w:tc>
          <w:tcPr>
            <w:tcW w:w="788" w:type="dxa"/>
            <w:tcBorders>
              <w:top w:val="nil"/>
              <w:left w:val="nil"/>
              <w:bottom w:val="nil"/>
              <w:right w:val="nil"/>
            </w:tcBorders>
            <w:shd w:val="clear" w:color="auto" w:fill="auto"/>
            <w:vAlign w:val="bottom"/>
            <w:hideMark/>
          </w:tcPr>
          <w:p w14:paraId="615FC22F" w14:textId="18B643B6"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31A97CA9" w14:textId="5EEAFDF4"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E203556" w14:textId="19F591E4"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44AB0B32" w14:textId="4DD4F6A9"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70D946AB" w14:textId="04BFB417"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A78EF3A" w14:textId="64637CE0"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6C7E6D7E" w14:textId="2B75DCDF"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493B6A6B" w14:textId="1FD06F75" w:rsidR="00104228" w:rsidRPr="00235A28" w:rsidRDefault="00104228" w:rsidP="00104228">
            <w:pPr>
              <w:jc w:val="right"/>
              <w:rPr>
                <w:color w:val="000000"/>
                <w:sz w:val="14"/>
                <w:szCs w:val="14"/>
                <w:lang w:eastAsia="tr-TR"/>
              </w:rPr>
            </w:pPr>
            <w:r w:rsidRPr="00235A28">
              <w:rPr>
                <w:color w:val="000000"/>
                <w:sz w:val="14"/>
                <w:szCs w:val="14"/>
                <w:lang w:eastAsia="tr-TR"/>
              </w:rPr>
              <w:t>32,529</w:t>
            </w:r>
          </w:p>
        </w:tc>
      </w:tr>
      <w:tr w:rsidR="00104228" w:rsidRPr="00235A28" w14:paraId="5FDA599B"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2F150312"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Ticari ve diğer kuruluşlar</w:t>
            </w:r>
          </w:p>
        </w:tc>
        <w:tc>
          <w:tcPr>
            <w:tcW w:w="788" w:type="dxa"/>
            <w:tcBorders>
              <w:top w:val="nil"/>
              <w:left w:val="nil"/>
              <w:bottom w:val="nil"/>
              <w:right w:val="nil"/>
            </w:tcBorders>
            <w:shd w:val="clear" w:color="auto" w:fill="auto"/>
            <w:vAlign w:val="bottom"/>
            <w:hideMark/>
          </w:tcPr>
          <w:p w14:paraId="54238974" w14:textId="20533BCE"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725CFEA7" w14:textId="4D330CB2"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74A252DD" w14:textId="1880F2D4"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1251CE6A" w14:textId="1574A59E"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67688229" w14:textId="6E7C1683"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2F564DF1" w14:textId="0FE82AEA"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1CF8D15F" w14:textId="4F2F99F3"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1084F38B" w14:textId="41F615FF"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577FE0A7" w14:textId="31A6FF4E" w:rsidR="00104228" w:rsidRPr="00235A28" w:rsidRDefault="00104228" w:rsidP="00104228">
            <w:pPr>
              <w:jc w:val="right"/>
              <w:rPr>
                <w:color w:val="000000"/>
                <w:sz w:val="14"/>
                <w:szCs w:val="14"/>
                <w:lang w:eastAsia="tr-TR"/>
              </w:rPr>
            </w:pPr>
            <w:r w:rsidRPr="00235A28">
              <w:rPr>
                <w:color w:val="000000"/>
                <w:sz w:val="14"/>
                <w:szCs w:val="14"/>
                <w:lang w:eastAsia="tr-TR"/>
              </w:rPr>
              <w:t>-</w:t>
            </w:r>
          </w:p>
        </w:tc>
      </w:tr>
      <w:tr w:rsidR="00104228" w:rsidRPr="00235A28" w14:paraId="151CD56D"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56AC8193"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Bankalar ve katılım bankaları</w:t>
            </w:r>
          </w:p>
        </w:tc>
        <w:tc>
          <w:tcPr>
            <w:tcW w:w="788" w:type="dxa"/>
            <w:tcBorders>
              <w:top w:val="nil"/>
              <w:left w:val="nil"/>
              <w:bottom w:val="nil"/>
              <w:right w:val="nil"/>
            </w:tcBorders>
            <w:shd w:val="clear" w:color="auto" w:fill="auto"/>
            <w:vAlign w:val="bottom"/>
            <w:hideMark/>
          </w:tcPr>
          <w:p w14:paraId="32F3BE51" w14:textId="1FE91CDD" w:rsidR="00104228" w:rsidRPr="00235A28" w:rsidRDefault="00104228" w:rsidP="00104228">
            <w:pPr>
              <w:jc w:val="right"/>
              <w:rPr>
                <w:b/>
                <w:bCs/>
                <w:color w:val="000000"/>
                <w:sz w:val="14"/>
                <w:szCs w:val="14"/>
                <w:lang w:eastAsia="tr-TR"/>
              </w:rPr>
            </w:pPr>
            <w:r w:rsidRPr="00235A28">
              <w:rPr>
                <w:color w:val="000000"/>
                <w:sz w:val="14"/>
                <w:szCs w:val="14"/>
                <w:lang w:eastAsia="tr-TR"/>
              </w:rPr>
              <w:t>11,237</w:t>
            </w:r>
          </w:p>
        </w:tc>
        <w:tc>
          <w:tcPr>
            <w:tcW w:w="788" w:type="dxa"/>
            <w:tcBorders>
              <w:top w:val="nil"/>
              <w:left w:val="nil"/>
              <w:bottom w:val="nil"/>
              <w:right w:val="nil"/>
            </w:tcBorders>
            <w:shd w:val="clear" w:color="auto" w:fill="auto"/>
            <w:vAlign w:val="bottom"/>
            <w:hideMark/>
          </w:tcPr>
          <w:p w14:paraId="4BD90211" w14:textId="58A6B88A"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5F311B71" w14:textId="692E64DE"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79F6B303" w14:textId="490743DE"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083E68B0" w14:textId="06143057"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D42DF4F" w14:textId="445F3DAE"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697DBC74" w14:textId="3E6DA236"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17B3976B" w14:textId="5CCFBFF9"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5FC49F36" w14:textId="2FE9A00F" w:rsidR="00104228" w:rsidRPr="00235A28" w:rsidRDefault="00104228" w:rsidP="00104228">
            <w:pPr>
              <w:jc w:val="right"/>
              <w:rPr>
                <w:b/>
                <w:bCs/>
                <w:color w:val="000000"/>
                <w:sz w:val="14"/>
                <w:szCs w:val="14"/>
                <w:lang w:eastAsia="tr-TR"/>
              </w:rPr>
            </w:pPr>
            <w:r w:rsidRPr="00235A28">
              <w:rPr>
                <w:b/>
                <w:bCs/>
                <w:color w:val="000000"/>
                <w:sz w:val="14"/>
                <w:szCs w:val="14"/>
                <w:lang w:eastAsia="tr-TR"/>
              </w:rPr>
              <w:t>11,237</w:t>
            </w:r>
          </w:p>
        </w:tc>
      </w:tr>
      <w:tr w:rsidR="00104228" w:rsidRPr="00235A28" w14:paraId="053074C1"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0E348547" w14:textId="77777777" w:rsidR="00104228" w:rsidRPr="00235A28" w:rsidRDefault="00104228" w:rsidP="00104228">
            <w:pPr>
              <w:ind w:firstLineChars="200" w:firstLine="280"/>
              <w:rPr>
                <w:color w:val="000000"/>
                <w:sz w:val="14"/>
                <w:szCs w:val="14"/>
                <w:lang w:eastAsia="tr-TR"/>
              </w:rPr>
            </w:pPr>
            <w:proofErr w:type="gramStart"/>
            <w:r w:rsidRPr="00235A28">
              <w:rPr>
                <w:bCs/>
                <w:color w:val="000000"/>
                <w:sz w:val="14"/>
                <w:szCs w:val="14"/>
                <w:lang w:eastAsia="tr-TR"/>
              </w:rPr>
              <w:t>T,C</w:t>
            </w:r>
            <w:proofErr w:type="gramEnd"/>
            <w:r w:rsidRPr="00235A28">
              <w:rPr>
                <w:bCs/>
                <w:color w:val="000000"/>
                <w:sz w:val="14"/>
                <w:szCs w:val="14"/>
                <w:lang w:eastAsia="tr-TR"/>
              </w:rPr>
              <w:t>, Merkez Bankası</w:t>
            </w:r>
          </w:p>
        </w:tc>
        <w:tc>
          <w:tcPr>
            <w:tcW w:w="788" w:type="dxa"/>
            <w:tcBorders>
              <w:top w:val="nil"/>
              <w:left w:val="nil"/>
              <w:bottom w:val="nil"/>
              <w:right w:val="nil"/>
            </w:tcBorders>
            <w:shd w:val="clear" w:color="auto" w:fill="auto"/>
            <w:vAlign w:val="bottom"/>
            <w:hideMark/>
          </w:tcPr>
          <w:p w14:paraId="0FE99DA2" w14:textId="2215D464"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1051031B" w14:textId="1FEF5413"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0EF0DF94" w14:textId="31A6862F"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9BDF028" w14:textId="48F24F15"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16B2FBA3" w14:textId="68D7943B"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6B6C4C2B" w14:textId="15D04A87"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34B2F10D" w14:textId="77B6C30D"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4FD65B0F" w14:textId="12704A4B"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6D703865" w14:textId="19B0D914" w:rsidR="00104228" w:rsidRPr="00235A28" w:rsidRDefault="00104228" w:rsidP="00104228">
            <w:pPr>
              <w:jc w:val="right"/>
              <w:rPr>
                <w:color w:val="000000"/>
                <w:sz w:val="14"/>
                <w:szCs w:val="14"/>
                <w:lang w:eastAsia="tr-TR"/>
              </w:rPr>
            </w:pPr>
            <w:r w:rsidRPr="00235A28">
              <w:rPr>
                <w:color w:val="000000"/>
                <w:sz w:val="14"/>
                <w:szCs w:val="14"/>
                <w:lang w:eastAsia="tr-TR"/>
              </w:rPr>
              <w:t>-</w:t>
            </w:r>
          </w:p>
        </w:tc>
      </w:tr>
      <w:tr w:rsidR="00104228" w:rsidRPr="00235A28" w14:paraId="6A621270"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2EFBBF8B" w14:textId="77777777" w:rsidR="00104228" w:rsidRPr="00235A28" w:rsidRDefault="00104228" w:rsidP="00104228">
            <w:pPr>
              <w:ind w:firstLineChars="200" w:firstLine="280"/>
              <w:rPr>
                <w:color w:val="000000"/>
                <w:sz w:val="14"/>
                <w:szCs w:val="14"/>
                <w:lang w:eastAsia="tr-TR"/>
              </w:rPr>
            </w:pPr>
            <w:r w:rsidRPr="00235A28">
              <w:rPr>
                <w:bCs/>
                <w:color w:val="000000"/>
                <w:sz w:val="14"/>
                <w:szCs w:val="14"/>
                <w:lang w:eastAsia="tr-TR"/>
              </w:rPr>
              <w:t>Yurt içi bankalar</w:t>
            </w:r>
          </w:p>
        </w:tc>
        <w:tc>
          <w:tcPr>
            <w:tcW w:w="788" w:type="dxa"/>
            <w:tcBorders>
              <w:top w:val="nil"/>
              <w:left w:val="nil"/>
              <w:bottom w:val="nil"/>
              <w:right w:val="nil"/>
            </w:tcBorders>
            <w:shd w:val="clear" w:color="auto" w:fill="auto"/>
            <w:vAlign w:val="bottom"/>
            <w:hideMark/>
          </w:tcPr>
          <w:p w14:paraId="0AF01084" w14:textId="66BD1CAD"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36B64356" w14:textId="6A51675C"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09421A9B" w14:textId="574F18D1"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803500D" w14:textId="6346FDEA"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4222CEDA" w14:textId="3AF5EE0B"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C6649A7" w14:textId="0197E142"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0B2457F3" w14:textId="0CC65B91"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0C4EB54F" w14:textId="73253832"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428E5BBC" w14:textId="2602AF35" w:rsidR="00104228" w:rsidRPr="00235A28" w:rsidRDefault="00104228" w:rsidP="00104228">
            <w:pPr>
              <w:jc w:val="right"/>
              <w:rPr>
                <w:color w:val="000000"/>
                <w:sz w:val="14"/>
                <w:szCs w:val="14"/>
                <w:lang w:eastAsia="tr-TR"/>
              </w:rPr>
            </w:pPr>
            <w:r w:rsidRPr="00235A28">
              <w:rPr>
                <w:color w:val="000000"/>
                <w:sz w:val="14"/>
                <w:szCs w:val="14"/>
                <w:lang w:eastAsia="tr-TR"/>
              </w:rPr>
              <w:t>-</w:t>
            </w:r>
          </w:p>
        </w:tc>
      </w:tr>
      <w:tr w:rsidR="00104228" w:rsidRPr="00235A28" w14:paraId="1A573935"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4F6A360B" w14:textId="77777777" w:rsidR="00104228" w:rsidRPr="00235A28" w:rsidRDefault="00104228" w:rsidP="00104228">
            <w:pPr>
              <w:ind w:firstLineChars="200" w:firstLine="280"/>
              <w:rPr>
                <w:color w:val="000000"/>
                <w:sz w:val="14"/>
                <w:szCs w:val="14"/>
                <w:lang w:eastAsia="tr-TR"/>
              </w:rPr>
            </w:pPr>
            <w:r w:rsidRPr="00235A28">
              <w:rPr>
                <w:bCs/>
                <w:color w:val="000000"/>
                <w:sz w:val="14"/>
                <w:szCs w:val="14"/>
                <w:lang w:eastAsia="tr-TR"/>
              </w:rPr>
              <w:t>Yurt dışı bankalar</w:t>
            </w:r>
          </w:p>
        </w:tc>
        <w:tc>
          <w:tcPr>
            <w:tcW w:w="788" w:type="dxa"/>
            <w:tcBorders>
              <w:top w:val="nil"/>
              <w:left w:val="nil"/>
              <w:bottom w:val="nil"/>
              <w:right w:val="nil"/>
            </w:tcBorders>
            <w:shd w:val="clear" w:color="auto" w:fill="auto"/>
            <w:vAlign w:val="bottom"/>
            <w:hideMark/>
          </w:tcPr>
          <w:p w14:paraId="38A8184B" w14:textId="6B849699" w:rsidR="00104228" w:rsidRPr="00235A28" w:rsidRDefault="00104228" w:rsidP="00104228">
            <w:pPr>
              <w:jc w:val="right"/>
              <w:rPr>
                <w:color w:val="000000"/>
                <w:sz w:val="14"/>
                <w:szCs w:val="14"/>
                <w:lang w:eastAsia="tr-TR"/>
              </w:rPr>
            </w:pPr>
            <w:r w:rsidRPr="00235A28">
              <w:rPr>
                <w:color w:val="000000"/>
                <w:sz w:val="14"/>
                <w:szCs w:val="14"/>
                <w:lang w:eastAsia="tr-TR"/>
              </w:rPr>
              <w:t>10,913</w:t>
            </w:r>
          </w:p>
        </w:tc>
        <w:tc>
          <w:tcPr>
            <w:tcW w:w="788" w:type="dxa"/>
            <w:tcBorders>
              <w:top w:val="nil"/>
              <w:left w:val="nil"/>
              <w:bottom w:val="nil"/>
              <w:right w:val="nil"/>
            </w:tcBorders>
            <w:shd w:val="clear" w:color="auto" w:fill="auto"/>
            <w:vAlign w:val="bottom"/>
            <w:hideMark/>
          </w:tcPr>
          <w:p w14:paraId="23B8B5FC" w14:textId="7F52C868"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002A5BFE" w14:textId="019E8F9C"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7417D1C6" w14:textId="5759B86F"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50D7831B" w14:textId="72B0BBF1"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76CD7381" w14:textId="4DE84A7C"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2D50DC1" w14:textId="032AEC7D"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027D828E" w14:textId="60925B80"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2406221B" w14:textId="7E35BD0E" w:rsidR="00104228" w:rsidRPr="00235A28" w:rsidRDefault="00104228" w:rsidP="00104228">
            <w:pPr>
              <w:jc w:val="right"/>
              <w:rPr>
                <w:color w:val="000000"/>
                <w:sz w:val="14"/>
                <w:szCs w:val="14"/>
                <w:lang w:eastAsia="tr-TR"/>
              </w:rPr>
            </w:pPr>
            <w:r w:rsidRPr="00235A28">
              <w:rPr>
                <w:color w:val="000000"/>
                <w:sz w:val="14"/>
                <w:szCs w:val="14"/>
                <w:lang w:eastAsia="tr-TR"/>
              </w:rPr>
              <w:t>10,913</w:t>
            </w:r>
          </w:p>
        </w:tc>
      </w:tr>
      <w:tr w:rsidR="00104228" w:rsidRPr="00235A28" w14:paraId="0CB33439"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1F3A771B" w14:textId="77777777" w:rsidR="00104228" w:rsidRPr="00235A28" w:rsidRDefault="00104228" w:rsidP="00104228">
            <w:pPr>
              <w:ind w:firstLineChars="200" w:firstLine="280"/>
              <w:rPr>
                <w:color w:val="000000"/>
                <w:sz w:val="14"/>
                <w:szCs w:val="14"/>
                <w:lang w:eastAsia="tr-TR"/>
              </w:rPr>
            </w:pPr>
            <w:r w:rsidRPr="00235A28">
              <w:rPr>
                <w:bCs/>
                <w:color w:val="000000"/>
                <w:sz w:val="14"/>
                <w:szCs w:val="14"/>
                <w:lang w:eastAsia="tr-TR"/>
              </w:rPr>
              <w:t>Katılım bankaları</w:t>
            </w:r>
          </w:p>
        </w:tc>
        <w:tc>
          <w:tcPr>
            <w:tcW w:w="788" w:type="dxa"/>
            <w:tcBorders>
              <w:top w:val="nil"/>
              <w:left w:val="nil"/>
              <w:bottom w:val="nil"/>
              <w:right w:val="nil"/>
            </w:tcBorders>
            <w:shd w:val="clear" w:color="auto" w:fill="auto"/>
            <w:vAlign w:val="bottom"/>
            <w:hideMark/>
          </w:tcPr>
          <w:p w14:paraId="20F7F9E9" w14:textId="7540BFD6" w:rsidR="00104228" w:rsidRPr="00235A28" w:rsidRDefault="00104228" w:rsidP="00104228">
            <w:pPr>
              <w:jc w:val="right"/>
              <w:rPr>
                <w:color w:val="000000"/>
                <w:sz w:val="14"/>
                <w:szCs w:val="14"/>
                <w:lang w:eastAsia="tr-TR"/>
              </w:rPr>
            </w:pPr>
            <w:r w:rsidRPr="00235A28">
              <w:rPr>
                <w:color w:val="000000"/>
                <w:sz w:val="14"/>
                <w:szCs w:val="14"/>
                <w:lang w:eastAsia="tr-TR"/>
              </w:rPr>
              <w:t>324</w:t>
            </w:r>
          </w:p>
        </w:tc>
        <w:tc>
          <w:tcPr>
            <w:tcW w:w="788" w:type="dxa"/>
            <w:tcBorders>
              <w:top w:val="nil"/>
              <w:left w:val="nil"/>
              <w:bottom w:val="nil"/>
              <w:right w:val="nil"/>
            </w:tcBorders>
            <w:shd w:val="clear" w:color="auto" w:fill="auto"/>
            <w:vAlign w:val="bottom"/>
            <w:hideMark/>
          </w:tcPr>
          <w:p w14:paraId="643B34D6" w14:textId="07684B41"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4E66E3BD" w14:textId="0AFA62A5"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C3B9603" w14:textId="1D8F3D24"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74F6CE73" w14:textId="18CD55DF"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3B5AF80E" w14:textId="532163FB"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2BEB08AE" w14:textId="4468B62F"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72B8BBA6" w14:textId="35BC66D3"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3403B13D" w14:textId="755D1AD2" w:rsidR="00104228" w:rsidRPr="00235A28" w:rsidRDefault="00104228" w:rsidP="00104228">
            <w:pPr>
              <w:jc w:val="right"/>
              <w:rPr>
                <w:color w:val="000000"/>
                <w:sz w:val="14"/>
                <w:szCs w:val="14"/>
                <w:lang w:eastAsia="tr-TR"/>
              </w:rPr>
            </w:pPr>
            <w:r w:rsidRPr="00235A28">
              <w:rPr>
                <w:color w:val="000000"/>
                <w:sz w:val="14"/>
                <w:szCs w:val="14"/>
                <w:lang w:eastAsia="tr-TR"/>
              </w:rPr>
              <w:t>324</w:t>
            </w:r>
          </w:p>
        </w:tc>
      </w:tr>
      <w:tr w:rsidR="00104228" w:rsidRPr="00235A28" w14:paraId="4E2919E7"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51E737FC" w14:textId="77777777" w:rsidR="00104228" w:rsidRPr="00235A28" w:rsidRDefault="00104228" w:rsidP="00104228">
            <w:pPr>
              <w:ind w:firstLineChars="200" w:firstLine="280"/>
              <w:rPr>
                <w:color w:val="000000"/>
                <w:sz w:val="14"/>
                <w:szCs w:val="14"/>
                <w:lang w:eastAsia="tr-TR"/>
              </w:rPr>
            </w:pPr>
            <w:r w:rsidRPr="00235A28">
              <w:rPr>
                <w:bCs/>
                <w:color w:val="000000"/>
                <w:sz w:val="14"/>
                <w:szCs w:val="14"/>
                <w:lang w:eastAsia="tr-TR"/>
              </w:rPr>
              <w:t>Diğer</w:t>
            </w:r>
          </w:p>
        </w:tc>
        <w:tc>
          <w:tcPr>
            <w:tcW w:w="788" w:type="dxa"/>
            <w:tcBorders>
              <w:top w:val="nil"/>
              <w:left w:val="nil"/>
              <w:bottom w:val="nil"/>
              <w:right w:val="nil"/>
            </w:tcBorders>
            <w:shd w:val="clear" w:color="auto" w:fill="auto"/>
            <w:vAlign w:val="bottom"/>
            <w:hideMark/>
          </w:tcPr>
          <w:p w14:paraId="2E5BB11D" w14:textId="5C5A15D5"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0EA674F6" w14:textId="509B4F74"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22E1C986" w14:textId="55ACCAEF"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AFCF072" w14:textId="411624D8"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64A12C4A" w14:textId="7EE08EF9"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162CFBC9" w14:textId="4C47C097"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6C40CE2" w14:textId="5A3399B4"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3A2F2327" w14:textId="7471246E"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3D645BF8" w14:textId="228110B3" w:rsidR="00104228" w:rsidRPr="00235A28" w:rsidRDefault="00104228" w:rsidP="00104228">
            <w:pPr>
              <w:jc w:val="right"/>
              <w:rPr>
                <w:color w:val="000000"/>
                <w:sz w:val="14"/>
                <w:szCs w:val="14"/>
                <w:lang w:eastAsia="tr-TR"/>
              </w:rPr>
            </w:pPr>
            <w:r w:rsidRPr="00235A28">
              <w:rPr>
                <w:color w:val="000000"/>
                <w:sz w:val="14"/>
                <w:szCs w:val="14"/>
                <w:lang w:eastAsia="tr-TR"/>
              </w:rPr>
              <w:t>-</w:t>
            </w:r>
          </w:p>
        </w:tc>
      </w:tr>
      <w:tr w:rsidR="00104228" w:rsidRPr="00235A28" w14:paraId="674F278C"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19D38079" w14:textId="77777777" w:rsidR="00104228" w:rsidRPr="00235A28" w:rsidRDefault="00104228" w:rsidP="00104228">
            <w:pPr>
              <w:ind w:firstLineChars="100" w:firstLine="140"/>
              <w:rPr>
                <w:b/>
                <w:bCs/>
                <w:color w:val="000000"/>
                <w:sz w:val="14"/>
                <w:szCs w:val="14"/>
                <w:lang w:eastAsia="tr-TR"/>
              </w:rPr>
            </w:pPr>
            <w:r w:rsidRPr="00235A28">
              <w:rPr>
                <w:rFonts w:eastAsia="Arial Unicode MS"/>
                <w:b/>
                <w:bCs/>
                <w:color w:val="000000"/>
                <w:sz w:val="14"/>
                <w:szCs w:val="14"/>
                <w:lang w:eastAsia="tr-TR"/>
              </w:rPr>
              <w:t>IV. Katılma hesapları-TP</w:t>
            </w:r>
          </w:p>
        </w:tc>
        <w:tc>
          <w:tcPr>
            <w:tcW w:w="788" w:type="dxa"/>
            <w:tcBorders>
              <w:top w:val="nil"/>
              <w:left w:val="nil"/>
              <w:bottom w:val="nil"/>
              <w:right w:val="nil"/>
            </w:tcBorders>
            <w:shd w:val="clear" w:color="auto" w:fill="auto"/>
            <w:vAlign w:val="bottom"/>
            <w:hideMark/>
          </w:tcPr>
          <w:p w14:paraId="61F4555B" w14:textId="2B39CE59"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757B751F" w14:textId="260FF915" w:rsidR="00104228" w:rsidRPr="00235A28" w:rsidRDefault="00104228" w:rsidP="00104228">
            <w:pPr>
              <w:jc w:val="right"/>
              <w:rPr>
                <w:b/>
                <w:bCs/>
                <w:color w:val="000000"/>
                <w:sz w:val="14"/>
                <w:szCs w:val="14"/>
                <w:lang w:eastAsia="tr-TR"/>
              </w:rPr>
            </w:pPr>
            <w:r w:rsidRPr="00235A28">
              <w:rPr>
                <w:b/>
                <w:bCs/>
                <w:color w:val="000000"/>
                <w:sz w:val="14"/>
                <w:szCs w:val="14"/>
                <w:lang w:eastAsia="tr-TR"/>
              </w:rPr>
              <w:t>592,927</w:t>
            </w:r>
          </w:p>
        </w:tc>
        <w:tc>
          <w:tcPr>
            <w:tcW w:w="788" w:type="dxa"/>
            <w:tcBorders>
              <w:top w:val="nil"/>
              <w:left w:val="nil"/>
              <w:bottom w:val="nil"/>
              <w:right w:val="nil"/>
            </w:tcBorders>
            <w:shd w:val="clear" w:color="auto" w:fill="auto"/>
            <w:vAlign w:val="bottom"/>
            <w:hideMark/>
          </w:tcPr>
          <w:p w14:paraId="1C492A23" w14:textId="3F62483B" w:rsidR="00104228" w:rsidRPr="00235A28" w:rsidRDefault="00104228" w:rsidP="00104228">
            <w:pPr>
              <w:jc w:val="right"/>
              <w:rPr>
                <w:b/>
                <w:bCs/>
                <w:color w:val="000000"/>
                <w:sz w:val="14"/>
                <w:szCs w:val="14"/>
                <w:lang w:eastAsia="tr-TR"/>
              </w:rPr>
            </w:pPr>
            <w:r w:rsidRPr="00235A28">
              <w:rPr>
                <w:b/>
                <w:bCs/>
                <w:color w:val="000000"/>
                <w:sz w:val="14"/>
                <w:szCs w:val="14"/>
                <w:lang w:eastAsia="tr-TR"/>
              </w:rPr>
              <w:t>1,309,698</w:t>
            </w:r>
          </w:p>
        </w:tc>
        <w:tc>
          <w:tcPr>
            <w:tcW w:w="730" w:type="dxa"/>
            <w:tcBorders>
              <w:top w:val="nil"/>
              <w:left w:val="nil"/>
              <w:bottom w:val="nil"/>
              <w:right w:val="nil"/>
            </w:tcBorders>
            <w:shd w:val="clear" w:color="auto" w:fill="auto"/>
            <w:vAlign w:val="bottom"/>
            <w:hideMark/>
          </w:tcPr>
          <w:p w14:paraId="3DE24E91" w14:textId="33831BC5" w:rsidR="00104228" w:rsidRPr="00235A28" w:rsidRDefault="00104228" w:rsidP="00104228">
            <w:pPr>
              <w:jc w:val="right"/>
              <w:rPr>
                <w:b/>
                <w:bCs/>
                <w:color w:val="000000"/>
                <w:sz w:val="14"/>
                <w:szCs w:val="14"/>
                <w:lang w:eastAsia="tr-TR"/>
              </w:rPr>
            </w:pPr>
            <w:r w:rsidRPr="00235A28">
              <w:rPr>
                <w:b/>
                <w:bCs/>
                <w:color w:val="000000"/>
                <w:sz w:val="14"/>
                <w:szCs w:val="14"/>
                <w:lang w:eastAsia="tr-TR"/>
              </w:rPr>
              <w:t>103,271</w:t>
            </w:r>
          </w:p>
        </w:tc>
        <w:tc>
          <w:tcPr>
            <w:tcW w:w="498" w:type="dxa"/>
            <w:tcBorders>
              <w:top w:val="nil"/>
              <w:left w:val="nil"/>
              <w:bottom w:val="nil"/>
              <w:right w:val="nil"/>
            </w:tcBorders>
            <w:shd w:val="clear" w:color="auto" w:fill="auto"/>
            <w:vAlign w:val="bottom"/>
            <w:hideMark/>
          </w:tcPr>
          <w:p w14:paraId="2DECDFF4" w14:textId="2371D4DD"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73584DDB" w14:textId="5433AEEE" w:rsidR="00104228" w:rsidRPr="00235A28" w:rsidRDefault="00104228" w:rsidP="00104228">
            <w:pPr>
              <w:jc w:val="right"/>
              <w:rPr>
                <w:b/>
                <w:bCs/>
                <w:color w:val="000000"/>
                <w:sz w:val="14"/>
                <w:szCs w:val="14"/>
                <w:lang w:eastAsia="tr-TR"/>
              </w:rPr>
            </w:pPr>
            <w:r w:rsidRPr="00235A28">
              <w:rPr>
                <w:b/>
                <w:bCs/>
                <w:color w:val="000000"/>
                <w:sz w:val="14"/>
                <w:szCs w:val="14"/>
                <w:lang w:eastAsia="tr-TR"/>
              </w:rPr>
              <w:t>268,254</w:t>
            </w:r>
          </w:p>
        </w:tc>
        <w:tc>
          <w:tcPr>
            <w:tcW w:w="730" w:type="dxa"/>
            <w:tcBorders>
              <w:top w:val="nil"/>
              <w:left w:val="nil"/>
              <w:bottom w:val="nil"/>
              <w:right w:val="nil"/>
            </w:tcBorders>
            <w:shd w:val="clear" w:color="auto" w:fill="auto"/>
            <w:vAlign w:val="bottom"/>
            <w:hideMark/>
          </w:tcPr>
          <w:p w14:paraId="1DAFCFEF" w14:textId="46C6FD38" w:rsidR="00104228" w:rsidRPr="00235A28" w:rsidRDefault="00104228" w:rsidP="00104228">
            <w:pPr>
              <w:jc w:val="right"/>
              <w:rPr>
                <w:b/>
                <w:bCs/>
                <w:color w:val="000000"/>
                <w:sz w:val="14"/>
                <w:szCs w:val="14"/>
                <w:lang w:eastAsia="tr-TR"/>
              </w:rPr>
            </w:pPr>
            <w:r w:rsidRPr="00235A28">
              <w:rPr>
                <w:b/>
                <w:bCs/>
                <w:color w:val="000000"/>
                <w:sz w:val="14"/>
                <w:szCs w:val="14"/>
                <w:lang w:eastAsia="tr-TR"/>
              </w:rPr>
              <w:t>60,845</w:t>
            </w:r>
          </w:p>
        </w:tc>
        <w:tc>
          <w:tcPr>
            <w:tcW w:w="692" w:type="dxa"/>
            <w:tcBorders>
              <w:top w:val="nil"/>
              <w:left w:val="nil"/>
              <w:bottom w:val="nil"/>
              <w:right w:val="nil"/>
            </w:tcBorders>
            <w:shd w:val="clear" w:color="auto" w:fill="auto"/>
            <w:vAlign w:val="bottom"/>
            <w:hideMark/>
          </w:tcPr>
          <w:p w14:paraId="7CC8C396" w14:textId="5901D0DB"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3D044170" w14:textId="2AEC2B69" w:rsidR="00104228" w:rsidRPr="00235A28" w:rsidRDefault="00104228" w:rsidP="00104228">
            <w:pPr>
              <w:jc w:val="right"/>
              <w:rPr>
                <w:b/>
                <w:bCs/>
                <w:color w:val="000000"/>
                <w:sz w:val="14"/>
                <w:szCs w:val="14"/>
                <w:lang w:eastAsia="tr-TR"/>
              </w:rPr>
            </w:pPr>
            <w:r w:rsidRPr="00235A28">
              <w:rPr>
                <w:b/>
                <w:bCs/>
                <w:color w:val="000000"/>
                <w:sz w:val="14"/>
                <w:szCs w:val="14"/>
                <w:lang w:eastAsia="tr-TR"/>
              </w:rPr>
              <w:t>2,334,995</w:t>
            </w:r>
          </w:p>
        </w:tc>
      </w:tr>
      <w:tr w:rsidR="00104228" w:rsidRPr="00235A28" w14:paraId="4D627726"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62AD1919"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Resmi kuruluşlar</w:t>
            </w:r>
          </w:p>
        </w:tc>
        <w:tc>
          <w:tcPr>
            <w:tcW w:w="788" w:type="dxa"/>
            <w:tcBorders>
              <w:top w:val="nil"/>
              <w:left w:val="nil"/>
              <w:bottom w:val="nil"/>
              <w:right w:val="nil"/>
            </w:tcBorders>
            <w:shd w:val="clear" w:color="auto" w:fill="auto"/>
            <w:vAlign w:val="bottom"/>
            <w:hideMark/>
          </w:tcPr>
          <w:p w14:paraId="25A8BBDC" w14:textId="535601F5"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553BB05A" w14:textId="02D274A8" w:rsidR="00104228" w:rsidRPr="00235A28" w:rsidRDefault="00104228" w:rsidP="00104228">
            <w:pPr>
              <w:jc w:val="right"/>
              <w:rPr>
                <w:color w:val="000000"/>
                <w:sz w:val="14"/>
                <w:szCs w:val="14"/>
                <w:lang w:eastAsia="tr-TR"/>
              </w:rPr>
            </w:pPr>
            <w:r w:rsidRPr="00235A28">
              <w:rPr>
                <w:color w:val="000000"/>
                <w:sz w:val="14"/>
                <w:szCs w:val="14"/>
                <w:lang w:eastAsia="tr-TR"/>
              </w:rPr>
              <w:t>373</w:t>
            </w:r>
          </w:p>
        </w:tc>
        <w:tc>
          <w:tcPr>
            <w:tcW w:w="788" w:type="dxa"/>
            <w:tcBorders>
              <w:top w:val="nil"/>
              <w:left w:val="nil"/>
              <w:bottom w:val="nil"/>
              <w:right w:val="nil"/>
            </w:tcBorders>
            <w:shd w:val="clear" w:color="auto" w:fill="auto"/>
            <w:vAlign w:val="bottom"/>
            <w:hideMark/>
          </w:tcPr>
          <w:p w14:paraId="6DE946D5" w14:textId="376BBEC7" w:rsidR="00104228" w:rsidRPr="00235A28" w:rsidRDefault="00104228" w:rsidP="00104228">
            <w:pPr>
              <w:jc w:val="right"/>
              <w:rPr>
                <w:color w:val="000000"/>
                <w:sz w:val="14"/>
                <w:szCs w:val="14"/>
                <w:lang w:eastAsia="tr-TR"/>
              </w:rPr>
            </w:pPr>
            <w:r w:rsidRPr="00235A28">
              <w:rPr>
                <w:color w:val="000000"/>
                <w:sz w:val="14"/>
                <w:szCs w:val="14"/>
                <w:lang w:eastAsia="tr-TR"/>
              </w:rPr>
              <w:t>68</w:t>
            </w:r>
          </w:p>
        </w:tc>
        <w:tc>
          <w:tcPr>
            <w:tcW w:w="730" w:type="dxa"/>
            <w:tcBorders>
              <w:top w:val="nil"/>
              <w:left w:val="nil"/>
              <w:bottom w:val="nil"/>
              <w:right w:val="nil"/>
            </w:tcBorders>
            <w:shd w:val="clear" w:color="auto" w:fill="auto"/>
            <w:vAlign w:val="bottom"/>
            <w:hideMark/>
          </w:tcPr>
          <w:p w14:paraId="294F46ED" w14:textId="1C88FB99" w:rsidR="00104228" w:rsidRPr="00235A28" w:rsidRDefault="00104228" w:rsidP="00104228">
            <w:pPr>
              <w:jc w:val="right"/>
              <w:rPr>
                <w:color w:val="000000"/>
                <w:sz w:val="14"/>
                <w:szCs w:val="14"/>
                <w:lang w:eastAsia="tr-TR"/>
              </w:rPr>
            </w:pPr>
            <w:r w:rsidRPr="00235A28">
              <w:rPr>
                <w:color w:val="000000"/>
                <w:sz w:val="14"/>
                <w:szCs w:val="14"/>
                <w:lang w:eastAsia="tr-TR"/>
              </w:rPr>
              <w:t>611</w:t>
            </w:r>
          </w:p>
        </w:tc>
        <w:tc>
          <w:tcPr>
            <w:tcW w:w="498" w:type="dxa"/>
            <w:tcBorders>
              <w:top w:val="nil"/>
              <w:left w:val="nil"/>
              <w:bottom w:val="nil"/>
              <w:right w:val="nil"/>
            </w:tcBorders>
            <w:shd w:val="clear" w:color="auto" w:fill="auto"/>
            <w:vAlign w:val="bottom"/>
            <w:hideMark/>
          </w:tcPr>
          <w:p w14:paraId="6160BB27" w14:textId="13B36839"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56F8A4D4" w14:textId="1B0BDD1D" w:rsidR="00104228" w:rsidRPr="00235A28" w:rsidRDefault="00104228" w:rsidP="00104228">
            <w:pPr>
              <w:jc w:val="right"/>
              <w:rPr>
                <w:b/>
                <w:bCs/>
                <w:color w:val="000000"/>
                <w:sz w:val="14"/>
                <w:szCs w:val="14"/>
                <w:lang w:eastAsia="tr-TR"/>
              </w:rPr>
            </w:pPr>
            <w:r w:rsidRPr="00235A28">
              <w:rPr>
                <w:color w:val="000000"/>
                <w:sz w:val="14"/>
                <w:szCs w:val="14"/>
                <w:lang w:eastAsia="tr-TR"/>
              </w:rPr>
              <w:t>3,046</w:t>
            </w:r>
          </w:p>
        </w:tc>
        <w:tc>
          <w:tcPr>
            <w:tcW w:w="730" w:type="dxa"/>
            <w:tcBorders>
              <w:top w:val="nil"/>
              <w:left w:val="nil"/>
              <w:bottom w:val="nil"/>
              <w:right w:val="nil"/>
            </w:tcBorders>
            <w:shd w:val="clear" w:color="auto" w:fill="auto"/>
            <w:vAlign w:val="bottom"/>
            <w:hideMark/>
          </w:tcPr>
          <w:p w14:paraId="1BD834CE" w14:textId="5AE495B9"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692" w:type="dxa"/>
            <w:tcBorders>
              <w:top w:val="nil"/>
              <w:left w:val="nil"/>
              <w:bottom w:val="nil"/>
              <w:right w:val="nil"/>
            </w:tcBorders>
            <w:shd w:val="clear" w:color="auto" w:fill="auto"/>
            <w:vAlign w:val="bottom"/>
            <w:hideMark/>
          </w:tcPr>
          <w:p w14:paraId="506E89DE" w14:textId="4CEF15CD"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3BABEAFB" w14:textId="0841452F" w:rsidR="00104228" w:rsidRPr="00235A28" w:rsidRDefault="00104228" w:rsidP="00104228">
            <w:pPr>
              <w:jc w:val="right"/>
              <w:rPr>
                <w:color w:val="000000"/>
                <w:sz w:val="14"/>
                <w:szCs w:val="14"/>
                <w:lang w:eastAsia="tr-TR"/>
              </w:rPr>
            </w:pPr>
            <w:r w:rsidRPr="00235A28">
              <w:rPr>
                <w:color w:val="000000"/>
                <w:sz w:val="14"/>
                <w:szCs w:val="14"/>
                <w:lang w:eastAsia="tr-TR"/>
              </w:rPr>
              <w:t>4,098</w:t>
            </w:r>
          </w:p>
        </w:tc>
      </w:tr>
      <w:tr w:rsidR="00104228" w:rsidRPr="00235A28" w14:paraId="5D34E245"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5581D015"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Ticari kuruluşlar</w:t>
            </w:r>
          </w:p>
        </w:tc>
        <w:tc>
          <w:tcPr>
            <w:tcW w:w="788" w:type="dxa"/>
            <w:tcBorders>
              <w:top w:val="nil"/>
              <w:left w:val="nil"/>
              <w:bottom w:val="nil"/>
              <w:right w:val="nil"/>
            </w:tcBorders>
            <w:shd w:val="clear" w:color="auto" w:fill="auto"/>
            <w:vAlign w:val="bottom"/>
            <w:hideMark/>
          </w:tcPr>
          <w:p w14:paraId="7018A951" w14:textId="0710D61F"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7D2473A5" w14:textId="270FAA18" w:rsidR="00104228" w:rsidRPr="00235A28" w:rsidRDefault="00104228" w:rsidP="00104228">
            <w:pPr>
              <w:jc w:val="right"/>
              <w:rPr>
                <w:color w:val="000000"/>
                <w:sz w:val="14"/>
                <w:szCs w:val="14"/>
                <w:lang w:eastAsia="tr-TR"/>
              </w:rPr>
            </w:pPr>
            <w:r w:rsidRPr="00235A28">
              <w:rPr>
                <w:color w:val="000000"/>
                <w:sz w:val="14"/>
                <w:szCs w:val="14"/>
                <w:lang w:eastAsia="tr-TR"/>
              </w:rPr>
              <w:t>546,923</w:t>
            </w:r>
          </w:p>
        </w:tc>
        <w:tc>
          <w:tcPr>
            <w:tcW w:w="788" w:type="dxa"/>
            <w:tcBorders>
              <w:top w:val="nil"/>
              <w:left w:val="nil"/>
              <w:bottom w:val="nil"/>
              <w:right w:val="nil"/>
            </w:tcBorders>
            <w:shd w:val="clear" w:color="auto" w:fill="auto"/>
            <w:vAlign w:val="bottom"/>
            <w:hideMark/>
          </w:tcPr>
          <w:p w14:paraId="7A757E71" w14:textId="6F94891F" w:rsidR="00104228" w:rsidRPr="00235A28" w:rsidRDefault="00104228" w:rsidP="00104228">
            <w:pPr>
              <w:jc w:val="right"/>
              <w:rPr>
                <w:color w:val="000000"/>
                <w:sz w:val="14"/>
                <w:szCs w:val="14"/>
                <w:lang w:eastAsia="tr-TR"/>
              </w:rPr>
            </w:pPr>
            <w:r w:rsidRPr="00235A28">
              <w:rPr>
                <w:color w:val="000000"/>
                <w:sz w:val="14"/>
                <w:szCs w:val="14"/>
                <w:lang w:eastAsia="tr-TR"/>
              </w:rPr>
              <w:t>1,208,358</w:t>
            </w:r>
          </w:p>
        </w:tc>
        <w:tc>
          <w:tcPr>
            <w:tcW w:w="730" w:type="dxa"/>
            <w:tcBorders>
              <w:top w:val="nil"/>
              <w:left w:val="nil"/>
              <w:bottom w:val="nil"/>
              <w:right w:val="nil"/>
            </w:tcBorders>
            <w:shd w:val="clear" w:color="auto" w:fill="auto"/>
            <w:vAlign w:val="bottom"/>
            <w:hideMark/>
          </w:tcPr>
          <w:p w14:paraId="0880BED9" w14:textId="0B991FAB" w:rsidR="00104228" w:rsidRPr="00235A28" w:rsidRDefault="00104228" w:rsidP="00104228">
            <w:pPr>
              <w:jc w:val="right"/>
              <w:rPr>
                <w:color w:val="000000"/>
                <w:sz w:val="14"/>
                <w:szCs w:val="14"/>
                <w:lang w:eastAsia="tr-TR"/>
              </w:rPr>
            </w:pPr>
            <w:r w:rsidRPr="00235A28">
              <w:rPr>
                <w:color w:val="000000"/>
                <w:sz w:val="14"/>
                <w:szCs w:val="14"/>
                <w:lang w:eastAsia="tr-TR"/>
              </w:rPr>
              <w:t>79,737</w:t>
            </w:r>
          </w:p>
        </w:tc>
        <w:tc>
          <w:tcPr>
            <w:tcW w:w="498" w:type="dxa"/>
            <w:tcBorders>
              <w:top w:val="nil"/>
              <w:left w:val="nil"/>
              <w:bottom w:val="nil"/>
              <w:right w:val="nil"/>
            </w:tcBorders>
            <w:shd w:val="clear" w:color="auto" w:fill="auto"/>
            <w:vAlign w:val="bottom"/>
            <w:hideMark/>
          </w:tcPr>
          <w:p w14:paraId="4E263FCE" w14:textId="72FF4069"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2C6AABC9" w14:textId="354C91CE" w:rsidR="00104228" w:rsidRPr="00235A28" w:rsidRDefault="00104228" w:rsidP="00104228">
            <w:pPr>
              <w:jc w:val="right"/>
              <w:rPr>
                <w:b/>
                <w:bCs/>
                <w:color w:val="000000"/>
                <w:sz w:val="14"/>
                <w:szCs w:val="14"/>
                <w:lang w:eastAsia="tr-TR"/>
              </w:rPr>
            </w:pPr>
            <w:r w:rsidRPr="00235A28">
              <w:rPr>
                <w:color w:val="000000"/>
                <w:sz w:val="14"/>
                <w:szCs w:val="14"/>
                <w:lang w:eastAsia="tr-TR"/>
              </w:rPr>
              <w:t>257,856</w:t>
            </w:r>
          </w:p>
        </w:tc>
        <w:tc>
          <w:tcPr>
            <w:tcW w:w="730" w:type="dxa"/>
            <w:tcBorders>
              <w:top w:val="nil"/>
              <w:left w:val="nil"/>
              <w:bottom w:val="nil"/>
              <w:right w:val="nil"/>
            </w:tcBorders>
            <w:shd w:val="clear" w:color="auto" w:fill="auto"/>
            <w:vAlign w:val="bottom"/>
            <w:hideMark/>
          </w:tcPr>
          <w:p w14:paraId="134D11B8" w14:textId="077204CA" w:rsidR="00104228" w:rsidRPr="00235A28" w:rsidRDefault="00104228" w:rsidP="00104228">
            <w:pPr>
              <w:jc w:val="right"/>
              <w:rPr>
                <w:b/>
                <w:bCs/>
                <w:color w:val="000000"/>
                <w:sz w:val="14"/>
                <w:szCs w:val="14"/>
                <w:lang w:eastAsia="tr-TR"/>
              </w:rPr>
            </w:pPr>
            <w:r w:rsidRPr="00235A28">
              <w:rPr>
                <w:color w:val="000000"/>
                <w:sz w:val="14"/>
                <w:szCs w:val="14"/>
                <w:lang w:eastAsia="tr-TR"/>
              </w:rPr>
              <w:t>59,133</w:t>
            </w:r>
          </w:p>
        </w:tc>
        <w:tc>
          <w:tcPr>
            <w:tcW w:w="692" w:type="dxa"/>
            <w:tcBorders>
              <w:top w:val="nil"/>
              <w:left w:val="nil"/>
              <w:bottom w:val="nil"/>
              <w:right w:val="nil"/>
            </w:tcBorders>
            <w:shd w:val="clear" w:color="auto" w:fill="auto"/>
            <w:vAlign w:val="bottom"/>
            <w:hideMark/>
          </w:tcPr>
          <w:p w14:paraId="0EAD6F34" w14:textId="5C7D60CF"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2E8FC993" w14:textId="4B7CD366" w:rsidR="00104228" w:rsidRPr="00235A28" w:rsidRDefault="00104228" w:rsidP="00104228">
            <w:pPr>
              <w:jc w:val="right"/>
              <w:rPr>
                <w:color w:val="000000"/>
                <w:sz w:val="14"/>
                <w:szCs w:val="14"/>
                <w:lang w:eastAsia="tr-TR"/>
              </w:rPr>
            </w:pPr>
            <w:r w:rsidRPr="00235A28">
              <w:rPr>
                <w:color w:val="000000"/>
                <w:sz w:val="14"/>
                <w:szCs w:val="14"/>
                <w:lang w:eastAsia="tr-TR"/>
              </w:rPr>
              <w:t>2,152,007</w:t>
            </w:r>
          </w:p>
        </w:tc>
      </w:tr>
      <w:tr w:rsidR="00104228" w:rsidRPr="00235A28" w14:paraId="1E393ECF"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50D9510D"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Diğer kuruluşlar</w:t>
            </w:r>
          </w:p>
        </w:tc>
        <w:tc>
          <w:tcPr>
            <w:tcW w:w="788" w:type="dxa"/>
            <w:tcBorders>
              <w:top w:val="nil"/>
              <w:left w:val="nil"/>
              <w:bottom w:val="nil"/>
              <w:right w:val="nil"/>
            </w:tcBorders>
            <w:shd w:val="clear" w:color="auto" w:fill="auto"/>
            <w:vAlign w:val="bottom"/>
            <w:hideMark/>
          </w:tcPr>
          <w:p w14:paraId="3C072D59" w14:textId="7C97F836"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7A639010" w14:textId="209AFDC2" w:rsidR="00104228" w:rsidRPr="00235A28" w:rsidRDefault="00104228" w:rsidP="00104228">
            <w:pPr>
              <w:jc w:val="right"/>
              <w:rPr>
                <w:color w:val="000000"/>
                <w:sz w:val="14"/>
                <w:szCs w:val="14"/>
                <w:lang w:eastAsia="tr-TR"/>
              </w:rPr>
            </w:pPr>
            <w:r w:rsidRPr="00235A28">
              <w:rPr>
                <w:color w:val="000000"/>
                <w:sz w:val="14"/>
                <w:szCs w:val="14"/>
                <w:lang w:eastAsia="tr-TR"/>
              </w:rPr>
              <w:t>44,940</w:t>
            </w:r>
          </w:p>
        </w:tc>
        <w:tc>
          <w:tcPr>
            <w:tcW w:w="788" w:type="dxa"/>
            <w:tcBorders>
              <w:top w:val="nil"/>
              <w:left w:val="nil"/>
              <w:bottom w:val="nil"/>
              <w:right w:val="nil"/>
            </w:tcBorders>
            <w:shd w:val="clear" w:color="auto" w:fill="auto"/>
            <w:vAlign w:val="bottom"/>
            <w:hideMark/>
          </w:tcPr>
          <w:p w14:paraId="589AA2C2" w14:textId="7B345D56" w:rsidR="00104228" w:rsidRPr="00235A28" w:rsidRDefault="00104228" w:rsidP="00104228">
            <w:pPr>
              <w:jc w:val="right"/>
              <w:rPr>
                <w:color w:val="000000"/>
                <w:sz w:val="14"/>
                <w:szCs w:val="14"/>
                <w:lang w:eastAsia="tr-TR"/>
              </w:rPr>
            </w:pPr>
            <w:r w:rsidRPr="00235A28">
              <w:rPr>
                <w:color w:val="000000"/>
                <w:sz w:val="14"/>
                <w:szCs w:val="14"/>
                <w:lang w:eastAsia="tr-TR"/>
              </w:rPr>
              <w:t>100,133</w:t>
            </w:r>
          </w:p>
        </w:tc>
        <w:tc>
          <w:tcPr>
            <w:tcW w:w="730" w:type="dxa"/>
            <w:tcBorders>
              <w:top w:val="nil"/>
              <w:left w:val="nil"/>
              <w:bottom w:val="nil"/>
              <w:right w:val="nil"/>
            </w:tcBorders>
            <w:shd w:val="clear" w:color="auto" w:fill="auto"/>
            <w:vAlign w:val="bottom"/>
            <w:hideMark/>
          </w:tcPr>
          <w:p w14:paraId="3F62CA83" w14:textId="1308E2A6" w:rsidR="00104228" w:rsidRPr="00235A28" w:rsidRDefault="00104228" w:rsidP="00104228">
            <w:pPr>
              <w:jc w:val="right"/>
              <w:rPr>
                <w:color w:val="000000"/>
                <w:sz w:val="14"/>
                <w:szCs w:val="14"/>
                <w:lang w:eastAsia="tr-TR"/>
              </w:rPr>
            </w:pPr>
            <w:r w:rsidRPr="00235A28">
              <w:rPr>
                <w:color w:val="000000"/>
                <w:sz w:val="14"/>
                <w:szCs w:val="14"/>
                <w:lang w:eastAsia="tr-TR"/>
              </w:rPr>
              <w:t>22,873</w:t>
            </w:r>
          </w:p>
        </w:tc>
        <w:tc>
          <w:tcPr>
            <w:tcW w:w="498" w:type="dxa"/>
            <w:tcBorders>
              <w:top w:val="nil"/>
              <w:left w:val="nil"/>
              <w:bottom w:val="nil"/>
              <w:right w:val="nil"/>
            </w:tcBorders>
            <w:shd w:val="clear" w:color="auto" w:fill="auto"/>
            <w:vAlign w:val="bottom"/>
            <w:hideMark/>
          </w:tcPr>
          <w:p w14:paraId="4BFFDBDB" w14:textId="28F85488"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31A2395A" w14:textId="0DBE358B" w:rsidR="00104228" w:rsidRPr="00235A28" w:rsidRDefault="00104228" w:rsidP="00104228">
            <w:pPr>
              <w:jc w:val="right"/>
              <w:rPr>
                <w:b/>
                <w:bCs/>
                <w:color w:val="000000"/>
                <w:sz w:val="14"/>
                <w:szCs w:val="14"/>
                <w:lang w:eastAsia="tr-TR"/>
              </w:rPr>
            </w:pPr>
            <w:r w:rsidRPr="00235A28">
              <w:rPr>
                <w:color w:val="000000"/>
                <w:sz w:val="14"/>
                <w:szCs w:val="14"/>
                <w:lang w:eastAsia="tr-TR"/>
              </w:rPr>
              <w:t>7,312</w:t>
            </w:r>
          </w:p>
        </w:tc>
        <w:tc>
          <w:tcPr>
            <w:tcW w:w="730" w:type="dxa"/>
            <w:tcBorders>
              <w:top w:val="nil"/>
              <w:left w:val="nil"/>
              <w:bottom w:val="nil"/>
              <w:right w:val="nil"/>
            </w:tcBorders>
            <w:shd w:val="clear" w:color="auto" w:fill="auto"/>
            <w:vAlign w:val="bottom"/>
            <w:hideMark/>
          </w:tcPr>
          <w:p w14:paraId="377EEE8A" w14:textId="31F9F49B" w:rsidR="00104228" w:rsidRPr="00235A28" w:rsidRDefault="00104228" w:rsidP="00104228">
            <w:pPr>
              <w:jc w:val="right"/>
              <w:rPr>
                <w:b/>
                <w:bCs/>
                <w:color w:val="000000"/>
                <w:sz w:val="14"/>
                <w:szCs w:val="14"/>
                <w:lang w:eastAsia="tr-TR"/>
              </w:rPr>
            </w:pPr>
            <w:r w:rsidRPr="00235A28">
              <w:rPr>
                <w:color w:val="000000"/>
                <w:sz w:val="14"/>
                <w:szCs w:val="14"/>
                <w:lang w:eastAsia="tr-TR"/>
              </w:rPr>
              <w:t>457</w:t>
            </w:r>
          </w:p>
        </w:tc>
        <w:tc>
          <w:tcPr>
            <w:tcW w:w="692" w:type="dxa"/>
            <w:tcBorders>
              <w:top w:val="nil"/>
              <w:left w:val="nil"/>
              <w:bottom w:val="nil"/>
              <w:right w:val="nil"/>
            </w:tcBorders>
            <w:shd w:val="clear" w:color="auto" w:fill="auto"/>
            <w:vAlign w:val="bottom"/>
            <w:hideMark/>
          </w:tcPr>
          <w:p w14:paraId="1B91EA7E" w14:textId="22C1500B"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47DDACC1" w14:textId="42C7B41A" w:rsidR="00104228" w:rsidRPr="00235A28" w:rsidRDefault="00104228" w:rsidP="00104228">
            <w:pPr>
              <w:jc w:val="right"/>
              <w:rPr>
                <w:color w:val="000000"/>
                <w:sz w:val="14"/>
                <w:szCs w:val="14"/>
                <w:lang w:eastAsia="tr-TR"/>
              </w:rPr>
            </w:pPr>
            <w:r w:rsidRPr="00235A28">
              <w:rPr>
                <w:color w:val="000000"/>
                <w:sz w:val="14"/>
                <w:szCs w:val="14"/>
                <w:lang w:eastAsia="tr-TR"/>
              </w:rPr>
              <w:t>175,715</w:t>
            </w:r>
          </w:p>
        </w:tc>
      </w:tr>
      <w:tr w:rsidR="00104228" w:rsidRPr="00235A28" w14:paraId="60D5604A"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152B44BF"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Ticari ve diğer kuruluşlar</w:t>
            </w:r>
          </w:p>
        </w:tc>
        <w:tc>
          <w:tcPr>
            <w:tcW w:w="788" w:type="dxa"/>
            <w:tcBorders>
              <w:top w:val="nil"/>
              <w:left w:val="nil"/>
              <w:bottom w:val="nil"/>
              <w:right w:val="nil"/>
            </w:tcBorders>
            <w:shd w:val="clear" w:color="auto" w:fill="auto"/>
            <w:vAlign w:val="bottom"/>
            <w:hideMark/>
          </w:tcPr>
          <w:p w14:paraId="37F91A0B" w14:textId="188AA9EF"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6A68FCD9" w14:textId="6BC002F4" w:rsidR="00104228" w:rsidRPr="00235A28" w:rsidRDefault="00104228" w:rsidP="00104228">
            <w:pPr>
              <w:jc w:val="right"/>
              <w:rPr>
                <w:color w:val="000000"/>
                <w:sz w:val="14"/>
                <w:szCs w:val="14"/>
                <w:lang w:eastAsia="tr-TR"/>
              </w:rPr>
            </w:pPr>
            <w:r w:rsidRPr="00235A28">
              <w:rPr>
                <w:color w:val="000000"/>
                <w:sz w:val="14"/>
                <w:szCs w:val="14"/>
                <w:lang w:eastAsia="tr-TR"/>
              </w:rPr>
              <w:t>691</w:t>
            </w:r>
          </w:p>
        </w:tc>
        <w:tc>
          <w:tcPr>
            <w:tcW w:w="788" w:type="dxa"/>
            <w:tcBorders>
              <w:top w:val="nil"/>
              <w:left w:val="nil"/>
              <w:bottom w:val="nil"/>
              <w:right w:val="nil"/>
            </w:tcBorders>
            <w:shd w:val="clear" w:color="auto" w:fill="auto"/>
            <w:vAlign w:val="bottom"/>
            <w:hideMark/>
          </w:tcPr>
          <w:p w14:paraId="58B8FD67" w14:textId="2E490EFB" w:rsidR="00104228" w:rsidRPr="00235A28" w:rsidRDefault="00104228" w:rsidP="00104228">
            <w:pPr>
              <w:jc w:val="right"/>
              <w:rPr>
                <w:color w:val="000000"/>
                <w:sz w:val="14"/>
                <w:szCs w:val="14"/>
                <w:lang w:eastAsia="tr-TR"/>
              </w:rPr>
            </w:pPr>
            <w:r w:rsidRPr="00235A28">
              <w:rPr>
                <w:color w:val="000000"/>
                <w:sz w:val="14"/>
                <w:szCs w:val="14"/>
                <w:lang w:eastAsia="tr-TR"/>
              </w:rPr>
              <w:t>1,121</w:t>
            </w:r>
          </w:p>
        </w:tc>
        <w:tc>
          <w:tcPr>
            <w:tcW w:w="730" w:type="dxa"/>
            <w:tcBorders>
              <w:top w:val="nil"/>
              <w:left w:val="nil"/>
              <w:bottom w:val="nil"/>
              <w:right w:val="nil"/>
            </w:tcBorders>
            <w:shd w:val="clear" w:color="auto" w:fill="auto"/>
            <w:vAlign w:val="bottom"/>
            <w:hideMark/>
          </w:tcPr>
          <w:p w14:paraId="4BDE39D3" w14:textId="326B949A" w:rsidR="00104228" w:rsidRPr="00235A28" w:rsidRDefault="00104228" w:rsidP="00104228">
            <w:pPr>
              <w:jc w:val="right"/>
              <w:rPr>
                <w:color w:val="000000"/>
                <w:sz w:val="14"/>
                <w:szCs w:val="14"/>
                <w:lang w:eastAsia="tr-TR"/>
              </w:rPr>
            </w:pPr>
            <w:r w:rsidRPr="00235A28">
              <w:rPr>
                <w:color w:val="000000"/>
                <w:sz w:val="14"/>
                <w:szCs w:val="14"/>
                <w:lang w:eastAsia="tr-TR"/>
              </w:rPr>
              <w:t>50</w:t>
            </w:r>
          </w:p>
        </w:tc>
        <w:tc>
          <w:tcPr>
            <w:tcW w:w="498" w:type="dxa"/>
            <w:tcBorders>
              <w:top w:val="nil"/>
              <w:left w:val="nil"/>
              <w:bottom w:val="nil"/>
              <w:right w:val="nil"/>
            </w:tcBorders>
            <w:shd w:val="clear" w:color="auto" w:fill="auto"/>
            <w:vAlign w:val="bottom"/>
            <w:hideMark/>
          </w:tcPr>
          <w:p w14:paraId="275D3297" w14:textId="3BB996D6"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3D6A83A7" w14:textId="797D5745" w:rsidR="00104228" w:rsidRPr="00235A28" w:rsidRDefault="00104228" w:rsidP="00104228">
            <w:pPr>
              <w:jc w:val="right"/>
              <w:rPr>
                <w:b/>
                <w:bCs/>
                <w:color w:val="000000"/>
                <w:sz w:val="14"/>
                <w:szCs w:val="14"/>
                <w:lang w:eastAsia="tr-TR"/>
              </w:rPr>
            </w:pPr>
            <w:r w:rsidRPr="00235A28">
              <w:rPr>
                <w:color w:val="000000"/>
                <w:sz w:val="14"/>
                <w:szCs w:val="14"/>
                <w:lang w:eastAsia="tr-TR"/>
              </w:rPr>
              <w:t>40</w:t>
            </w:r>
          </w:p>
        </w:tc>
        <w:tc>
          <w:tcPr>
            <w:tcW w:w="730" w:type="dxa"/>
            <w:tcBorders>
              <w:top w:val="nil"/>
              <w:left w:val="nil"/>
              <w:bottom w:val="nil"/>
              <w:right w:val="nil"/>
            </w:tcBorders>
            <w:shd w:val="clear" w:color="auto" w:fill="auto"/>
            <w:vAlign w:val="bottom"/>
            <w:hideMark/>
          </w:tcPr>
          <w:p w14:paraId="3A496B5F" w14:textId="3DCA0221" w:rsidR="00104228" w:rsidRPr="00235A28" w:rsidRDefault="00104228" w:rsidP="00104228">
            <w:pPr>
              <w:jc w:val="right"/>
              <w:rPr>
                <w:b/>
                <w:bCs/>
                <w:color w:val="000000"/>
                <w:sz w:val="14"/>
                <w:szCs w:val="14"/>
                <w:lang w:eastAsia="tr-TR"/>
              </w:rPr>
            </w:pPr>
            <w:r w:rsidRPr="00235A28">
              <w:rPr>
                <w:color w:val="000000"/>
                <w:sz w:val="14"/>
                <w:szCs w:val="14"/>
                <w:lang w:eastAsia="tr-TR"/>
              </w:rPr>
              <w:t>1,255</w:t>
            </w:r>
          </w:p>
        </w:tc>
        <w:tc>
          <w:tcPr>
            <w:tcW w:w="692" w:type="dxa"/>
            <w:tcBorders>
              <w:top w:val="nil"/>
              <w:left w:val="nil"/>
              <w:bottom w:val="nil"/>
              <w:right w:val="nil"/>
            </w:tcBorders>
            <w:shd w:val="clear" w:color="auto" w:fill="auto"/>
            <w:vAlign w:val="bottom"/>
            <w:hideMark/>
          </w:tcPr>
          <w:p w14:paraId="2DA8DCDA" w14:textId="388A96D2"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422D59A8" w14:textId="2B58D105" w:rsidR="00104228" w:rsidRPr="00235A28" w:rsidRDefault="00104228" w:rsidP="00104228">
            <w:pPr>
              <w:jc w:val="right"/>
              <w:rPr>
                <w:color w:val="000000"/>
                <w:sz w:val="14"/>
                <w:szCs w:val="14"/>
                <w:lang w:eastAsia="tr-TR"/>
              </w:rPr>
            </w:pPr>
            <w:r w:rsidRPr="00235A28">
              <w:rPr>
                <w:color w:val="000000"/>
                <w:sz w:val="14"/>
                <w:szCs w:val="14"/>
                <w:lang w:eastAsia="tr-TR"/>
              </w:rPr>
              <w:t>3,157</w:t>
            </w:r>
          </w:p>
        </w:tc>
      </w:tr>
      <w:tr w:rsidR="00104228" w:rsidRPr="00235A28" w14:paraId="2083354D"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74DBE40D"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Bankalar ve katılım bankaları</w:t>
            </w:r>
          </w:p>
        </w:tc>
        <w:tc>
          <w:tcPr>
            <w:tcW w:w="788" w:type="dxa"/>
            <w:tcBorders>
              <w:top w:val="nil"/>
              <w:left w:val="nil"/>
              <w:bottom w:val="nil"/>
              <w:right w:val="nil"/>
            </w:tcBorders>
            <w:shd w:val="clear" w:color="auto" w:fill="auto"/>
            <w:vAlign w:val="bottom"/>
            <w:hideMark/>
          </w:tcPr>
          <w:p w14:paraId="32C8B984" w14:textId="7A3AF637"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5981BAEB" w14:textId="1FDD8BCC"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60ECAB87" w14:textId="303D1992" w:rsidR="00104228" w:rsidRPr="00235A28" w:rsidRDefault="00104228" w:rsidP="00104228">
            <w:pPr>
              <w:jc w:val="right"/>
              <w:rPr>
                <w:color w:val="000000"/>
                <w:sz w:val="14"/>
                <w:szCs w:val="14"/>
                <w:lang w:eastAsia="tr-TR"/>
              </w:rPr>
            </w:pPr>
            <w:r w:rsidRPr="00235A28">
              <w:rPr>
                <w:color w:val="000000"/>
                <w:sz w:val="14"/>
                <w:szCs w:val="14"/>
                <w:lang w:eastAsia="tr-TR"/>
              </w:rPr>
              <w:t>18</w:t>
            </w:r>
          </w:p>
        </w:tc>
        <w:tc>
          <w:tcPr>
            <w:tcW w:w="730" w:type="dxa"/>
            <w:tcBorders>
              <w:top w:val="nil"/>
              <w:left w:val="nil"/>
              <w:bottom w:val="nil"/>
              <w:right w:val="nil"/>
            </w:tcBorders>
            <w:shd w:val="clear" w:color="auto" w:fill="auto"/>
            <w:vAlign w:val="bottom"/>
            <w:hideMark/>
          </w:tcPr>
          <w:p w14:paraId="727D31EE" w14:textId="3E043CDF"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47F17A23" w14:textId="6E6B7019"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15E7622A" w14:textId="7EB20AC9" w:rsidR="00104228" w:rsidRPr="00235A28" w:rsidRDefault="00104228" w:rsidP="00104228">
            <w:pPr>
              <w:jc w:val="right"/>
              <w:rPr>
                <w:b/>
                <w:bCs/>
                <w:color w:val="000000"/>
                <w:sz w:val="14"/>
                <w:szCs w:val="14"/>
                <w:lang w:eastAsia="tr-TR"/>
              </w:rPr>
            </w:pPr>
            <w:r w:rsidRPr="00235A28">
              <w:rPr>
                <w:color w:val="000000"/>
                <w:sz w:val="14"/>
                <w:szCs w:val="18"/>
                <w:lang w:eastAsia="tr-TR"/>
              </w:rPr>
              <w:t>-</w:t>
            </w:r>
          </w:p>
        </w:tc>
        <w:tc>
          <w:tcPr>
            <w:tcW w:w="730" w:type="dxa"/>
            <w:tcBorders>
              <w:top w:val="nil"/>
              <w:left w:val="nil"/>
              <w:bottom w:val="nil"/>
              <w:right w:val="nil"/>
            </w:tcBorders>
            <w:shd w:val="clear" w:color="auto" w:fill="auto"/>
            <w:vAlign w:val="bottom"/>
            <w:hideMark/>
          </w:tcPr>
          <w:p w14:paraId="68ADA9BD" w14:textId="411B1E50"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692" w:type="dxa"/>
            <w:tcBorders>
              <w:top w:val="nil"/>
              <w:left w:val="nil"/>
              <w:bottom w:val="nil"/>
              <w:right w:val="nil"/>
            </w:tcBorders>
            <w:shd w:val="clear" w:color="auto" w:fill="auto"/>
            <w:vAlign w:val="bottom"/>
            <w:hideMark/>
          </w:tcPr>
          <w:p w14:paraId="6955B89C" w14:textId="2A49C5FE"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189829AB" w14:textId="30F0B5FA" w:rsidR="00104228" w:rsidRPr="00235A28" w:rsidRDefault="00104228" w:rsidP="00104228">
            <w:pPr>
              <w:jc w:val="right"/>
              <w:rPr>
                <w:color w:val="000000"/>
                <w:sz w:val="14"/>
                <w:szCs w:val="14"/>
                <w:lang w:eastAsia="tr-TR"/>
              </w:rPr>
            </w:pPr>
            <w:r w:rsidRPr="00235A28">
              <w:rPr>
                <w:color w:val="000000"/>
                <w:sz w:val="14"/>
                <w:szCs w:val="14"/>
                <w:lang w:eastAsia="tr-TR"/>
              </w:rPr>
              <w:t>18</w:t>
            </w:r>
          </w:p>
        </w:tc>
      </w:tr>
      <w:tr w:rsidR="00104228" w:rsidRPr="00235A28" w14:paraId="25CFAA23"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64A09CF1" w14:textId="77777777" w:rsidR="00104228" w:rsidRPr="00235A28" w:rsidRDefault="00104228" w:rsidP="00104228">
            <w:pPr>
              <w:ind w:firstLineChars="100" w:firstLine="140"/>
              <w:rPr>
                <w:b/>
                <w:bCs/>
                <w:color w:val="000000"/>
                <w:sz w:val="14"/>
                <w:szCs w:val="14"/>
                <w:lang w:eastAsia="tr-TR"/>
              </w:rPr>
            </w:pPr>
            <w:proofErr w:type="spellStart"/>
            <w:r w:rsidRPr="00235A28">
              <w:rPr>
                <w:rFonts w:eastAsia="Arial Unicode MS"/>
                <w:b/>
                <w:bCs/>
                <w:color w:val="000000"/>
                <w:sz w:val="14"/>
                <w:szCs w:val="14"/>
                <w:lang w:eastAsia="tr-TR"/>
              </w:rPr>
              <w:t>V.Özel</w:t>
            </w:r>
            <w:proofErr w:type="spellEnd"/>
            <w:r w:rsidRPr="00235A28">
              <w:rPr>
                <w:rFonts w:eastAsia="Arial Unicode MS"/>
                <w:b/>
                <w:bCs/>
                <w:color w:val="000000"/>
                <w:sz w:val="14"/>
                <w:szCs w:val="14"/>
                <w:lang w:eastAsia="tr-TR"/>
              </w:rPr>
              <w:t xml:space="preserve"> cari hesabı gerçek kişi ticari olmayan-YP</w:t>
            </w:r>
          </w:p>
        </w:tc>
        <w:tc>
          <w:tcPr>
            <w:tcW w:w="788" w:type="dxa"/>
            <w:tcBorders>
              <w:top w:val="nil"/>
              <w:left w:val="nil"/>
              <w:bottom w:val="nil"/>
              <w:right w:val="nil"/>
            </w:tcBorders>
            <w:shd w:val="clear" w:color="auto" w:fill="auto"/>
            <w:vAlign w:val="bottom"/>
            <w:hideMark/>
          </w:tcPr>
          <w:p w14:paraId="00B1BED1" w14:textId="1DED001C" w:rsidR="00104228" w:rsidRPr="00235A28" w:rsidRDefault="00104228" w:rsidP="00104228">
            <w:pPr>
              <w:jc w:val="right"/>
              <w:rPr>
                <w:b/>
                <w:bCs/>
                <w:color w:val="000000"/>
                <w:sz w:val="14"/>
                <w:szCs w:val="14"/>
                <w:lang w:eastAsia="tr-TR"/>
              </w:rPr>
            </w:pPr>
            <w:r w:rsidRPr="00235A28">
              <w:rPr>
                <w:b/>
                <w:bCs/>
                <w:color w:val="000000"/>
                <w:sz w:val="14"/>
                <w:szCs w:val="14"/>
                <w:lang w:eastAsia="tr-TR"/>
              </w:rPr>
              <w:t>12,392,536</w:t>
            </w:r>
          </w:p>
        </w:tc>
        <w:tc>
          <w:tcPr>
            <w:tcW w:w="788" w:type="dxa"/>
            <w:tcBorders>
              <w:top w:val="nil"/>
              <w:left w:val="nil"/>
              <w:bottom w:val="nil"/>
              <w:right w:val="nil"/>
            </w:tcBorders>
            <w:shd w:val="clear" w:color="auto" w:fill="auto"/>
            <w:vAlign w:val="bottom"/>
            <w:hideMark/>
          </w:tcPr>
          <w:p w14:paraId="3DF215AB" w14:textId="6BAF13B7"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0B360E60" w14:textId="6F675FD7"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33D2423B" w14:textId="5B08B8AF"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2443A49B" w14:textId="78A87DF8"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520E999C" w14:textId="4E88C5BD"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1527E492" w14:textId="369584F6"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692" w:type="dxa"/>
            <w:tcBorders>
              <w:top w:val="nil"/>
              <w:left w:val="nil"/>
              <w:bottom w:val="nil"/>
              <w:right w:val="nil"/>
            </w:tcBorders>
            <w:shd w:val="clear" w:color="auto" w:fill="auto"/>
            <w:vAlign w:val="bottom"/>
            <w:hideMark/>
          </w:tcPr>
          <w:p w14:paraId="367861EC" w14:textId="16A8679E"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70" w:type="dxa"/>
            <w:tcBorders>
              <w:top w:val="nil"/>
              <w:left w:val="nil"/>
              <w:bottom w:val="nil"/>
              <w:right w:val="nil"/>
            </w:tcBorders>
            <w:shd w:val="clear" w:color="auto" w:fill="auto"/>
            <w:vAlign w:val="bottom"/>
            <w:hideMark/>
          </w:tcPr>
          <w:p w14:paraId="43516D01" w14:textId="590532B6" w:rsidR="00104228" w:rsidRPr="00235A28" w:rsidRDefault="00104228" w:rsidP="00104228">
            <w:pPr>
              <w:jc w:val="right"/>
              <w:rPr>
                <w:b/>
                <w:bCs/>
                <w:color w:val="000000"/>
                <w:sz w:val="14"/>
                <w:szCs w:val="14"/>
                <w:lang w:eastAsia="tr-TR"/>
              </w:rPr>
            </w:pPr>
            <w:r w:rsidRPr="00235A28">
              <w:rPr>
                <w:b/>
                <w:bCs/>
                <w:color w:val="000000"/>
                <w:sz w:val="14"/>
                <w:szCs w:val="14"/>
                <w:lang w:eastAsia="tr-TR"/>
              </w:rPr>
              <w:t>12,392,536</w:t>
            </w:r>
          </w:p>
        </w:tc>
      </w:tr>
      <w:tr w:rsidR="00104228" w:rsidRPr="00235A28" w14:paraId="45F5BD3A"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2ABED456" w14:textId="77777777" w:rsidR="00104228" w:rsidRPr="00235A28" w:rsidRDefault="00104228" w:rsidP="00104228">
            <w:pPr>
              <w:ind w:firstLineChars="100" w:firstLine="140"/>
              <w:rPr>
                <w:b/>
                <w:bCs/>
                <w:color w:val="000000"/>
                <w:sz w:val="14"/>
                <w:szCs w:val="14"/>
                <w:lang w:eastAsia="tr-TR"/>
              </w:rPr>
            </w:pPr>
            <w:r w:rsidRPr="00235A28">
              <w:rPr>
                <w:rFonts w:eastAsia="Arial Unicode MS"/>
                <w:b/>
                <w:bCs/>
                <w:color w:val="000000"/>
                <w:sz w:val="14"/>
                <w:szCs w:val="14"/>
                <w:lang w:eastAsia="tr-TR"/>
              </w:rPr>
              <w:t>VI. Katılma hesabı gerçek kişi ticari olmayan-YP</w:t>
            </w:r>
          </w:p>
        </w:tc>
        <w:tc>
          <w:tcPr>
            <w:tcW w:w="788" w:type="dxa"/>
            <w:tcBorders>
              <w:top w:val="nil"/>
              <w:left w:val="nil"/>
              <w:bottom w:val="nil"/>
              <w:right w:val="nil"/>
            </w:tcBorders>
            <w:shd w:val="clear" w:color="auto" w:fill="auto"/>
            <w:vAlign w:val="bottom"/>
            <w:hideMark/>
          </w:tcPr>
          <w:p w14:paraId="75E4B5FD" w14:textId="7A39E12F"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6226A770" w14:textId="7CC3DB35" w:rsidR="00104228" w:rsidRPr="00235A28" w:rsidRDefault="00104228" w:rsidP="00104228">
            <w:pPr>
              <w:jc w:val="right"/>
              <w:rPr>
                <w:b/>
                <w:bCs/>
                <w:color w:val="000000"/>
                <w:sz w:val="14"/>
                <w:szCs w:val="14"/>
                <w:lang w:eastAsia="tr-TR"/>
              </w:rPr>
            </w:pPr>
            <w:r w:rsidRPr="00235A28">
              <w:rPr>
                <w:b/>
                <w:bCs/>
                <w:color w:val="000000"/>
                <w:sz w:val="14"/>
                <w:szCs w:val="14"/>
                <w:lang w:eastAsia="tr-TR"/>
              </w:rPr>
              <w:t>5,790,160</w:t>
            </w:r>
          </w:p>
        </w:tc>
        <w:tc>
          <w:tcPr>
            <w:tcW w:w="788" w:type="dxa"/>
            <w:tcBorders>
              <w:top w:val="nil"/>
              <w:left w:val="nil"/>
              <w:bottom w:val="nil"/>
              <w:right w:val="nil"/>
            </w:tcBorders>
            <w:shd w:val="clear" w:color="auto" w:fill="auto"/>
            <w:vAlign w:val="bottom"/>
            <w:hideMark/>
          </w:tcPr>
          <w:p w14:paraId="7FF26FB1" w14:textId="0251AA88" w:rsidR="00104228" w:rsidRPr="00235A28" w:rsidRDefault="00104228" w:rsidP="00104228">
            <w:pPr>
              <w:jc w:val="right"/>
              <w:rPr>
                <w:b/>
                <w:bCs/>
                <w:color w:val="000000"/>
                <w:sz w:val="14"/>
                <w:szCs w:val="14"/>
                <w:lang w:eastAsia="tr-TR"/>
              </w:rPr>
            </w:pPr>
            <w:r w:rsidRPr="00235A28">
              <w:rPr>
                <w:b/>
                <w:bCs/>
                <w:color w:val="000000"/>
                <w:sz w:val="14"/>
                <w:szCs w:val="14"/>
                <w:lang w:eastAsia="tr-TR"/>
              </w:rPr>
              <w:t>9,694,129</w:t>
            </w:r>
          </w:p>
        </w:tc>
        <w:tc>
          <w:tcPr>
            <w:tcW w:w="730" w:type="dxa"/>
            <w:tcBorders>
              <w:top w:val="nil"/>
              <w:left w:val="nil"/>
              <w:bottom w:val="nil"/>
              <w:right w:val="nil"/>
            </w:tcBorders>
            <w:shd w:val="clear" w:color="auto" w:fill="auto"/>
            <w:vAlign w:val="bottom"/>
            <w:hideMark/>
          </w:tcPr>
          <w:p w14:paraId="12B3CABF" w14:textId="51BD19EB" w:rsidR="00104228" w:rsidRPr="00235A28" w:rsidRDefault="00104228" w:rsidP="00104228">
            <w:pPr>
              <w:jc w:val="right"/>
              <w:rPr>
                <w:b/>
                <w:bCs/>
                <w:color w:val="000000"/>
                <w:sz w:val="14"/>
                <w:szCs w:val="14"/>
                <w:lang w:eastAsia="tr-TR"/>
              </w:rPr>
            </w:pPr>
            <w:r w:rsidRPr="00235A28">
              <w:rPr>
                <w:b/>
                <w:bCs/>
                <w:color w:val="000000"/>
                <w:sz w:val="14"/>
                <w:szCs w:val="14"/>
                <w:lang w:eastAsia="tr-TR"/>
              </w:rPr>
              <w:t>1,359,816</w:t>
            </w:r>
          </w:p>
        </w:tc>
        <w:tc>
          <w:tcPr>
            <w:tcW w:w="498" w:type="dxa"/>
            <w:tcBorders>
              <w:top w:val="nil"/>
              <w:left w:val="nil"/>
              <w:bottom w:val="nil"/>
              <w:right w:val="nil"/>
            </w:tcBorders>
            <w:shd w:val="clear" w:color="auto" w:fill="auto"/>
            <w:vAlign w:val="bottom"/>
            <w:hideMark/>
          </w:tcPr>
          <w:p w14:paraId="1675B52A" w14:textId="0FC372F6"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3CB3D371" w14:textId="1218B78A" w:rsidR="00104228" w:rsidRPr="00235A28" w:rsidRDefault="00104228" w:rsidP="00104228">
            <w:pPr>
              <w:jc w:val="right"/>
              <w:rPr>
                <w:b/>
                <w:bCs/>
                <w:color w:val="000000"/>
                <w:sz w:val="14"/>
                <w:szCs w:val="14"/>
                <w:lang w:eastAsia="tr-TR"/>
              </w:rPr>
            </w:pPr>
            <w:r w:rsidRPr="00235A28">
              <w:rPr>
                <w:b/>
                <w:bCs/>
                <w:color w:val="000000"/>
                <w:sz w:val="14"/>
                <w:szCs w:val="14"/>
                <w:lang w:eastAsia="tr-TR"/>
              </w:rPr>
              <w:t>981,912</w:t>
            </w:r>
          </w:p>
        </w:tc>
        <w:tc>
          <w:tcPr>
            <w:tcW w:w="730" w:type="dxa"/>
            <w:tcBorders>
              <w:top w:val="nil"/>
              <w:left w:val="nil"/>
              <w:bottom w:val="nil"/>
              <w:right w:val="nil"/>
            </w:tcBorders>
            <w:shd w:val="clear" w:color="auto" w:fill="auto"/>
            <w:vAlign w:val="bottom"/>
            <w:hideMark/>
          </w:tcPr>
          <w:p w14:paraId="59C35EF4" w14:textId="69359272" w:rsidR="00104228" w:rsidRPr="00235A28" w:rsidRDefault="00104228" w:rsidP="00104228">
            <w:pPr>
              <w:jc w:val="right"/>
              <w:rPr>
                <w:b/>
                <w:bCs/>
                <w:color w:val="000000"/>
                <w:sz w:val="14"/>
                <w:szCs w:val="14"/>
                <w:lang w:eastAsia="tr-TR"/>
              </w:rPr>
            </w:pPr>
            <w:r w:rsidRPr="00235A28">
              <w:rPr>
                <w:b/>
                <w:bCs/>
                <w:color w:val="000000"/>
                <w:sz w:val="14"/>
                <w:szCs w:val="14"/>
                <w:lang w:eastAsia="tr-TR"/>
              </w:rPr>
              <w:t>1,161,743</w:t>
            </w:r>
          </w:p>
        </w:tc>
        <w:tc>
          <w:tcPr>
            <w:tcW w:w="692" w:type="dxa"/>
            <w:tcBorders>
              <w:top w:val="nil"/>
              <w:left w:val="nil"/>
              <w:bottom w:val="nil"/>
              <w:right w:val="nil"/>
            </w:tcBorders>
            <w:shd w:val="clear" w:color="auto" w:fill="auto"/>
            <w:vAlign w:val="bottom"/>
            <w:hideMark/>
          </w:tcPr>
          <w:p w14:paraId="371EACBA" w14:textId="7CE53D4C" w:rsidR="00104228" w:rsidRPr="00235A28" w:rsidRDefault="00104228" w:rsidP="00104228">
            <w:pPr>
              <w:jc w:val="right"/>
              <w:rPr>
                <w:b/>
                <w:bCs/>
                <w:color w:val="000000"/>
                <w:sz w:val="14"/>
                <w:szCs w:val="14"/>
                <w:lang w:eastAsia="tr-TR"/>
              </w:rPr>
            </w:pPr>
            <w:r w:rsidRPr="00235A28">
              <w:rPr>
                <w:b/>
                <w:bCs/>
                <w:color w:val="000000"/>
                <w:sz w:val="14"/>
                <w:szCs w:val="14"/>
                <w:lang w:eastAsia="tr-TR"/>
              </w:rPr>
              <w:t>1,803</w:t>
            </w:r>
          </w:p>
        </w:tc>
        <w:tc>
          <w:tcPr>
            <w:tcW w:w="770" w:type="dxa"/>
            <w:tcBorders>
              <w:top w:val="nil"/>
              <w:left w:val="nil"/>
              <w:bottom w:val="nil"/>
              <w:right w:val="nil"/>
            </w:tcBorders>
            <w:shd w:val="clear" w:color="auto" w:fill="auto"/>
            <w:vAlign w:val="bottom"/>
            <w:hideMark/>
          </w:tcPr>
          <w:p w14:paraId="2ED53F9A" w14:textId="63D3CCE4" w:rsidR="00104228" w:rsidRPr="00235A28" w:rsidRDefault="00104228" w:rsidP="00104228">
            <w:pPr>
              <w:jc w:val="right"/>
              <w:rPr>
                <w:b/>
                <w:bCs/>
                <w:color w:val="000000"/>
                <w:sz w:val="14"/>
                <w:szCs w:val="14"/>
                <w:lang w:eastAsia="tr-TR"/>
              </w:rPr>
            </w:pPr>
            <w:r w:rsidRPr="00235A28">
              <w:rPr>
                <w:b/>
                <w:bCs/>
                <w:color w:val="000000"/>
                <w:sz w:val="14"/>
                <w:szCs w:val="14"/>
                <w:lang w:eastAsia="tr-TR"/>
              </w:rPr>
              <w:t>18,989,563</w:t>
            </w:r>
          </w:p>
        </w:tc>
      </w:tr>
      <w:tr w:rsidR="00104228" w:rsidRPr="00235A28" w14:paraId="130EBF8D"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7F694271" w14:textId="77777777" w:rsidR="00104228" w:rsidRPr="00235A28" w:rsidRDefault="00104228" w:rsidP="00104228">
            <w:pPr>
              <w:ind w:firstLineChars="100" w:firstLine="140"/>
              <w:rPr>
                <w:b/>
                <w:bCs/>
                <w:color w:val="000000"/>
                <w:sz w:val="14"/>
                <w:szCs w:val="14"/>
                <w:lang w:eastAsia="tr-TR"/>
              </w:rPr>
            </w:pPr>
            <w:r w:rsidRPr="00235A28">
              <w:rPr>
                <w:rFonts w:eastAsia="Arial Unicode MS"/>
                <w:b/>
                <w:bCs/>
                <w:color w:val="000000"/>
                <w:sz w:val="14"/>
                <w:szCs w:val="14"/>
                <w:lang w:eastAsia="tr-TR"/>
              </w:rPr>
              <w:t>VII. Özel cari hesaplar diğer-YP</w:t>
            </w:r>
          </w:p>
        </w:tc>
        <w:tc>
          <w:tcPr>
            <w:tcW w:w="788" w:type="dxa"/>
            <w:tcBorders>
              <w:top w:val="nil"/>
              <w:left w:val="nil"/>
              <w:bottom w:val="nil"/>
              <w:right w:val="nil"/>
            </w:tcBorders>
            <w:shd w:val="clear" w:color="auto" w:fill="auto"/>
            <w:vAlign w:val="bottom"/>
            <w:hideMark/>
          </w:tcPr>
          <w:p w14:paraId="0426EA3B" w14:textId="6DA8047B" w:rsidR="00104228" w:rsidRPr="00235A28" w:rsidRDefault="00104228" w:rsidP="00104228">
            <w:pPr>
              <w:jc w:val="right"/>
              <w:rPr>
                <w:b/>
                <w:bCs/>
                <w:color w:val="000000"/>
                <w:sz w:val="14"/>
                <w:szCs w:val="14"/>
                <w:lang w:eastAsia="tr-TR"/>
              </w:rPr>
            </w:pPr>
            <w:r w:rsidRPr="00235A28">
              <w:rPr>
                <w:b/>
                <w:bCs/>
                <w:color w:val="000000"/>
                <w:sz w:val="14"/>
                <w:szCs w:val="14"/>
                <w:lang w:eastAsia="tr-TR"/>
              </w:rPr>
              <w:t>5,160,335</w:t>
            </w:r>
          </w:p>
        </w:tc>
        <w:tc>
          <w:tcPr>
            <w:tcW w:w="788" w:type="dxa"/>
            <w:tcBorders>
              <w:top w:val="nil"/>
              <w:left w:val="nil"/>
              <w:bottom w:val="nil"/>
              <w:right w:val="nil"/>
            </w:tcBorders>
            <w:shd w:val="clear" w:color="auto" w:fill="auto"/>
            <w:vAlign w:val="bottom"/>
            <w:hideMark/>
          </w:tcPr>
          <w:p w14:paraId="63F4929A" w14:textId="3D9F494D"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38A90E7D" w14:textId="03BDA497"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489DA481" w14:textId="05F8D8AE"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62BCD38F" w14:textId="4A7A8C19"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010D07F8" w14:textId="50D0D715"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6BF76199" w14:textId="5E25809D"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692" w:type="dxa"/>
            <w:tcBorders>
              <w:top w:val="nil"/>
              <w:left w:val="nil"/>
              <w:bottom w:val="nil"/>
              <w:right w:val="nil"/>
            </w:tcBorders>
            <w:shd w:val="clear" w:color="auto" w:fill="auto"/>
            <w:vAlign w:val="bottom"/>
            <w:hideMark/>
          </w:tcPr>
          <w:p w14:paraId="0C6826BE" w14:textId="7BA49FDE"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70" w:type="dxa"/>
            <w:tcBorders>
              <w:top w:val="nil"/>
              <w:left w:val="nil"/>
              <w:bottom w:val="nil"/>
              <w:right w:val="nil"/>
            </w:tcBorders>
            <w:shd w:val="clear" w:color="auto" w:fill="auto"/>
            <w:vAlign w:val="bottom"/>
            <w:hideMark/>
          </w:tcPr>
          <w:p w14:paraId="12A3054B" w14:textId="1664D735" w:rsidR="00104228" w:rsidRPr="00235A28" w:rsidRDefault="00104228" w:rsidP="00104228">
            <w:pPr>
              <w:jc w:val="right"/>
              <w:rPr>
                <w:b/>
                <w:bCs/>
                <w:color w:val="000000"/>
                <w:sz w:val="14"/>
                <w:szCs w:val="14"/>
                <w:lang w:eastAsia="tr-TR"/>
              </w:rPr>
            </w:pPr>
            <w:r w:rsidRPr="00235A28">
              <w:rPr>
                <w:b/>
                <w:bCs/>
                <w:color w:val="000000"/>
                <w:sz w:val="14"/>
                <w:szCs w:val="14"/>
                <w:lang w:eastAsia="tr-TR"/>
              </w:rPr>
              <w:t>5,160,335</w:t>
            </w:r>
          </w:p>
        </w:tc>
      </w:tr>
      <w:tr w:rsidR="00104228" w:rsidRPr="00235A28" w14:paraId="2CF75BD2"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37D74BA1" w14:textId="77777777" w:rsidR="00104228" w:rsidRPr="00235A28" w:rsidRDefault="00104228" w:rsidP="00104228">
            <w:pPr>
              <w:ind w:firstLineChars="100" w:firstLine="140"/>
              <w:rPr>
                <w:color w:val="000000"/>
                <w:sz w:val="14"/>
                <w:szCs w:val="14"/>
                <w:lang w:eastAsia="tr-TR"/>
              </w:rPr>
            </w:pPr>
            <w:r w:rsidRPr="00235A28">
              <w:rPr>
                <w:color w:val="000000"/>
                <w:sz w:val="14"/>
                <w:szCs w:val="14"/>
                <w:lang w:eastAsia="tr-TR"/>
              </w:rPr>
              <w:t>Yurt içinde yer. Tüzel</w:t>
            </w:r>
          </w:p>
        </w:tc>
        <w:tc>
          <w:tcPr>
            <w:tcW w:w="788" w:type="dxa"/>
            <w:tcBorders>
              <w:top w:val="nil"/>
              <w:left w:val="nil"/>
              <w:bottom w:val="nil"/>
              <w:right w:val="nil"/>
            </w:tcBorders>
            <w:shd w:val="clear" w:color="auto" w:fill="auto"/>
            <w:vAlign w:val="bottom"/>
            <w:hideMark/>
          </w:tcPr>
          <w:p w14:paraId="597D3D4C" w14:textId="720804B1" w:rsidR="00104228" w:rsidRPr="00235A28" w:rsidRDefault="00104228" w:rsidP="00104228">
            <w:pPr>
              <w:jc w:val="right"/>
              <w:rPr>
                <w:color w:val="000000"/>
                <w:sz w:val="14"/>
                <w:szCs w:val="14"/>
                <w:lang w:eastAsia="tr-TR"/>
              </w:rPr>
            </w:pPr>
            <w:r w:rsidRPr="00235A28">
              <w:rPr>
                <w:color w:val="000000"/>
                <w:sz w:val="14"/>
                <w:szCs w:val="14"/>
                <w:lang w:eastAsia="tr-TR"/>
              </w:rPr>
              <w:t>4,583,135</w:t>
            </w:r>
          </w:p>
        </w:tc>
        <w:tc>
          <w:tcPr>
            <w:tcW w:w="788" w:type="dxa"/>
            <w:tcBorders>
              <w:top w:val="nil"/>
              <w:left w:val="nil"/>
              <w:bottom w:val="nil"/>
              <w:right w:val="nil"/>
            </w:tcBorders>
            <w:shd w:val="clear" w:color="auto" w:fill="auto"/>
            <w:vAlign w:val="bottom"/>
            <w:hideMark/>
          </w:tcPr>
          <w:p w14:paraId="34A57656" w14:textId="41FBA283"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4AB98008" w14:textId="3B32D051"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497194FD" w14:textId="53A7A3FB"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256D7ED6" w14:textId="0D24BE43"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74A791CF" w14:textId="093C9C57"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B91A9A2" w14:textId="285FA622"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7E259A5E" w14:textId="4052A157"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03A00548" w14:textId="6E3F2CB3" w:rsidR="00104228" w:rsidRPr="00235A28" w:rsidRDefault="00104228" w:rsidP="00104228">
            <w:pPr>
              <w:jc w:val="right"/>
              <w:rPr>
                <w:color w:val="000000"/>
                <w:sz w:val="14"/>
                <w:szCs w:val="14"/>
                <w:lang w:eastAsia="tr-TR"/>
              </w:rPr>
            </w:pPr>
            <w:r w:rsidRPr="00235A28">
              <w:rPr>
                <w:color w:val="000000"/>
                <w:sz w:val="14"/>
                <w:szCs w:val="14"/>
                <w:lang w:eastAsia="tr-TR"/>
              </w:rPr>
              <w:t>4,583,135</w:t>
            </w:r>
          </w:p>
        </w:tc>
      </w:tr>
      <w:tr w:rsidR="00104228" w:rsidRPr="00235A28" w14:paraId="7CBDD61F"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288A57C4" w14:textId="77777777" w:rsidR="00104228" w:rsidRPr="00235A28" w:rsidRDefault="00104228" w:rsidP="00104228">
            <w:pPr>
              <w:ind w:firstLineChars="100" w:firstLine="140"/>
              <w:rPr>
                <w:color w:val="000000"/>
                <w:sz w:val="14"/>
                <w:szCs w:val="14"/>
                <w:lang w:eastAsia="tr-TR"/>
              </w:rPr>
            </w:pPr>
            <w:r w:rsidRPr="00235A28">
              <w:rPr>
                <w:color w:val="000000"/>
                <w:sz w:val="14"/>
                <w:szCs w:val="14"/>
                <w:lang w:eastAsia="tr-TR"/>
              </w:rPr>
              <w:t>Yurt dışında yer. Tüzel</w:t>
            </w:r>
          </w:p>
        </w:tc>
        <w:tc>
          <w:tcPr>
            <w:tcW w:w="788" w:type="dxa"/>
            <w:tcBorders>
              <w:top w:val="nil"/>
              <w:left w:val="nil"/>
              <w:bottom w:val="nil"/>
              <w:right w:val="nil"/>
            </w:tcBorders>
            <w:shd w:val="clear" w:color="auto" w:fill="auto"/>
            <w:vAlign w:val="bottom"/>
            <w:hideMark/>
          </w:tcPr>
          <w:p w14:paraId="5E55B0D3" w14:textId="69621744" w:rsidR="00104228" w:rsidRPr="00235A28" w:rsidRDefault="00104228" w:rsidP="00104228">
            <w:pPr>
              <w:jc w:val="right"/>
              <w:rPr>
                <w:color w:val="000000"/>
                <w:sz w:val="14"/>
                <w:szCs w:val="14"/>
                <w:lang w:eastAsia="tr-TR"/>
              </w:rPr>
            </w:pPr>
            <w:r w:rsidRPr="00235A28">
              <w:rPr>
                <w:color w:val="000000"/>
                <w:sz w:val="14"/>
                <w:szCs w:val="14"/>
                <w:lang w:eastAsia="tr-TR"/>
              </w:rPr>
              <w:t>226,632</w:t>
            </w:r>
          </w:p>
        </w:tc>
        <w:tc>
          <w:tcPr>
            <w:tcW w:w="788" w:type="dxa"/>
            <w:tcBorders>
              <w:top w:val="nil"/>
              <w:left w:val="nil"/>
              <w:bottom w:val="nil"/>
              <w:right w:val="nil"/>
            </w:tcBorders>
            <w:shd w:val="clear" w:color="auto" w:fill="auto"/>
            <w:vAlign w:val="bottom"/>
            <w:hideMark/>
          </w:tcPr>
          <w:p w14:paraId="186D7874" w14:textId="307CB159"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3AB2BFE6" w14:textId="0730C850"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7678B883" w14:textId="00731DAF"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104B7141" w14:textId="3AD50F42"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3944813D" w14:textId="7D54DC13"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141EC499" w14:textId="79D96837"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7B68E756" w14:textId="5AD3D4ED"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027FD292" w14:textId="0AEA1467" w:rsidR="00104228" w:rsidRPr="00235A28" w:rsidRDefault="00104228" w:rsidP="00104228">
            <w:pPr>
              <w:jc w:val="right"/>
              <w:rPr>
                <w:color w:val="000000"/>
                <w:sz w:val="14"/>
                <w:szCs w:val="14"/>
                <w:lang w:eastAsia="tr-TR"/>
              </w:rPr>
            </w:pPr>
            <w:r w:rsidRPr="00235A28">
              <w:rPr>
                <w:color w:val="000000"/>
                <w:sz w:val="14"/>
                <w:szCs w:val="14"/>
                <w:lang w:eastAsia="tr-TR"/>
              </w:rPr>
              <w:t>226,632</w:t>
            </w:r>
          </w:p>
        </w:tc>
      </w:tr>
      <w:tr w:rsidR="00104228" w:rsidRPr="00235A28" w14:paraId="13D1F753"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19CC4E1D"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Bankalar ve katılım bankaları</w:t>
            </w:r>
          </w:p>
        </w:tc>
        <w:tc>
          <w:tcPr>
            <w:tcW w:w="788" w:type="dxa"/>
            <w:tcBorders>
              <w:top w:val="nil"/>
              <w:left w:val="nil"/>
              <w:bottom w:val="nil"/>
              <w:right w:val="nil"/>
            </w:tcBorders>
            <w:shd w:val="clear" w:color="auto" w:fill="auto"/>
            <w:vAlign w:val="bottom"/>
            <w:hideMark/>
          </w:tcPr>
          <w:p w14:paraId="4DDD79D6" w14:textId="72CCF0A9" w:rsidR="00104228" w:rsidRPr="00235A28" w:rsidRDefault="00104228" w:rsidP="00104228">
            <w:pPr>
              <w:jc w:val="right"/>
              <w:rPr>
                <w:b/>
                <w:bCs/>
                <w:color w:val="000000"/>
                <w:sz w:val="14"/>
                <w:szCs w:val="14"/>
                <w:lang w:eastAsia="tr-TR"/>
              </w:rPr>
            </w:pPr>
            <w:r w:rsidRPr="00235A28">
              <w:rPr>
                <w:b/>
                <w:bCs/>
                <w:color w:val="000000"/>
                <w:sz w:val="14"/>
                <w:szCs w:val="14"/>
                <w:lang w:eastAsia="tr-TR"/>
              </w:rPr>
              <w:t>350,568</w:t>
            </w:r>
          </w:p>
        </w:tc>
        <w:tc>
          <w:tcPr>
            <w:tcW w:w="788" w:type="dxa"/>
            <w:tcBorders>
              <w:top w:val="nil"/>
              <w:left w:val="nil"/>
              <w:bottom w:val="nil"/>
              <w:right w:val="nil"/>
            </w:tcBorders>
            <w:shd w:val="clear" w:color="auto" w:fill="auto"/>
            <w:vAlign w:val="bottom"/>
            <w:hideMark/>
          </w:tcPr>
          <w:p w14:paraId="4497F5A3" w14:textId="241C28B7"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14B74177" w14:textId="69CE4A7E"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55571E23" w14:textId="431B29C8"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0A2C0F7E" w14:textId="2A1BED2E"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75B0207" w14:textId="5E65850B"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969BBA8" w14:textId="6370850F"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4850F233" w14:textId="0E352629"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64686405" w14:textId="7DBAC5F0" w:rsidR="00104228" w:rsidRPr="00235A28" w:rsidRDefault="00104228" w:rsidP="00104228">
            <w:pPr>
              <w:jc w:val="right"/>
              <w:rPr>
                <w:b/>
                <w:bCs/>
                <w:color w:val="000000"/>
                <w:sz w:val="14"/>
                <w:szCs w:val="14"/>
                <w:lang w:eastAsia="tr-TR"/>
              </w:rPr>
            </w:pPr>
            <w:r w:rsidRPr="00235A28">
              <w:rPr>
                <w:b/>
                <w:bCs/>
                <w:color w:val="000000"/>
                <w:sz w:val="14"/>
                <w:szCs w:val="14"/>
                <w:lang w:eastAsia="tr-TR"/>
              </w:rPr>
              <w:t>350,568</w:t>
            </w:r>
          </w:p>
        </w:tc>
      </w:tr>
      <w:tr w:rsidR="00104228" w:rsidRPr="00235A28" w14:paraId="7DCB2A27"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7909E704" w14:textId="77777777" w:rsidR="00104228" w:rsidRPr="00235A28" w:rsidRDefault="00104228" w:rsidP="00104228">
            <w:pPr>
              <w:ind w:firstLineChars="200" w:firstLine="280"/>
              <w:rPr>
                <w:color w:val="000000"/>
                <w:sz w:val="14"/>
                <w:szCs w:val="14"/>
                <w:lang w:eastAsia="tr-TR"/>
              </w:rPr>
            </w:pPr>
            <w:r w:rsidRPr="00235A28">
              <w:rPr>
                <w:bCs/>
                <w:color w:val="000000"/>
                <w:sz w:val="14"/>
                <w:szCs w:val="14"/>
                <w:lang w:eastAsia="tr-TR"/>
              </w:rPr>
              <w:t>T.C. Merkez Bankası</w:t>
            </w:r>
          </w:p>
        </w:tc>
        <w:tc>
          <w:tcPr>
            <w:tcW w:w="788" w:type="dxa"/>
            <w:tcBorders>
              <w:top w:val="nil"/>
              <w:left w:val="nil"/>
              <w:bottom w:val="nil"/>
              <w:right w:val="nil"/>
            </w:tcBorders>
            <w:shd w:val="clear" w:color="auto" w:fill="auto"/>
            <w:vAlign w:val="bottom"/>
            <w:hideMark/>
          </w:tcPr>
          <w:p w14:paraId="0BF089AE" w14:textId="53D69668"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25DE8A31" w14:textId="57522837"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65683332" w14:textId="247C739D"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6980E43F" w14:textId="30E0D272"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10C131FC" w14:textId="6DEE5C14"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EA75601" w14:textId="3C707CA3"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49B4CD0" w14:textId="0251E529"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64DEA958" w14:textId="60F6CC76"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4D137061" w14:textId="07D4654D"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r>
      <w:tr w:rsidR="00104228" w:rsidRPr="00235A28" w14:paraId="5732BFBF"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761D101A" w14:textId="77777777" w:rsidR="00104228" w:rsidRPr="00235A28" w:rsidRDefault="00104228" w:rsidP="00104228">
            <w:pPr>
              <w:ind w:firstLineChars="200" w:firstLine="280"/>
              <w:rPr>
                <w:color w:val="000000"/>
                <w:sz w:val="14"/>
                <w:szCs w:val="14"/>
                <w:lang w:eastAsia="tr-TR"/>
              </w:rPr>
            </w:pPr>
            <w:r w:rsidRPr="00235A28">
              <w:rPr>
                <w:bCs/>
                <w:color w:val="000000"/>
                <w:sz w:val="14"/>
                <w:szCs w:val="14"/>
                <w:lang w:eastAsia="tr-TR"/>
              </w:rPr>
              <w:t>Yurt içi bankalar</w:t>
            </w:r>
          </w:p>
        </w:tc>
        <w:tc>
          <w:tcPr>
            <w:tcW w:w="788" w:type="dxa"/>
            <w:tcBorders>
              <w:top w:val="nil"/>
              <w:left w:val="nil"/>
              <w:bottom w:val="nil"/>
              <w:right w:val="nil"/>
            </w:tcBorders>
            <w:shd w:val="clear" w:color="auto" w:fill="auto"/>
            <w:vAlign w:val="bottom"/>
            <w:hideMark/>
          </w:tcPr>
          <w:p w14:paraId="53FFB20D" w14:textId="5AA20B35"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135E7943" w14:textId="0A9DAF6D"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2A5EBF55" w14:textId="14861B7E"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0FDED801" w14:textId="6A4F3844"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731153B6" w14:textId="1B3F37E5"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7AC5538A" w14:textId="0FBC8D09"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7F22E105" w14:textId="4A4E9E1B"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781F81D0" w14:textId="375EE8B3"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6BC3F249" w14:textId="7F9272D1"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r>
      <w:tr w:rsidR="00104228" w:rsidRPr="00235A28" w14:paraId="13BEBD08"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50F2EB83" w14:textId="77777777" w:rsidR="00104228" w:rsidRPr="00235A28" w:rsidRDefault="00104228" w:rsidP="00104228">
            <w:pPr>
              <w:ind w:firstLineChars="200" w:firstLine="280"/>
              <w:rPr>
                <w:color w:val="000000"/>
                <w:sz w:val="14"/>
                <w:szCs w:val="14"/>
                <w:lang w:eastAsia="tr-TR"/>
              </w:rPr>
            </w:pPr>
            <w:r w:rsidRPr="00235A28">
              <w:rPr>
                <w:bCs/>
                <w:color w:val="000000"/>
                <w:sz w:val="14"/>
                <w:szCs w:val="14"/>
                <w:lang w:eastAsia="tr-TR"/>
              </w:rPr>
              <w:t>Yurt dışı bankalar</w:t>
            </w:r>
          </w:p>
        </w:tc>
        <w:tc>
          <w:tcPr>
            <w:tcW w:w="788" w:type="dxa"/>
            <w:tcBorders>
              <w:top w:val="nil"/>
              <w:left w:val="nil"/>
              <w:bottom w:val="nil"/>
              <w:right w:val="nil"/>
            </w:tcBorders>
            <w:shd w:val="clear" w:color="auto" w:fill="auto"/>
            <w:vAlign w:val="bottom"/>
            <w:hideMark/>
          </w:tcPr>
          <w:p w14:paraId="1241D45D" w14:textId="63189FC5" w:rsidR="00104228" w:rsidRPr="00235A28" w:rsidRDefault="00104228" w:rsidP="00104228">
            <w:pPr>
              <w:jc w:val="right"/>
              <w:rPr>
                <w:color w:val="000000"/>
                <w:sz w:val="14"/>
                <w:szCs w:val="14"/>
                <w:lang w:eastAsia="tr-TR"/>
              </w:rPr>
            </w:pPr>
            <w:r w:rsidRPr="00235A28">
              <w:rPr>
                <w:color w:val="000000"/>
                <w:sz w:val="14"/>
                <w:szCs w:val="14"/>
                <w:lang w:eastAsia="tr-TR"/>
              </w:rPr>
              <w:t>350,223</w:t>
            </w:r>
          </w:p>
        </w:tc>
        <w:tc>
          <w:tcPr>
            <w:tcW w:w="788" w:type="dxa"/>
            <w:tcBorders>
              <w:top w:val="nil"/>
              <w:left w:val="nil"/>
              <w:bottom w:val="nil"/>
              <w:right w:val="nil"/>
            </w:tcBorders>
            <w:shd w:val="clear" w:color="auto" w:fill="auto"/>
            <w:vAlign w:val="bottom"/>
            <w:hideMark/>
          </w:tcPr>
          <w:p w14:paraId="027CAA1D" w14:textId="632440FE"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0396C21A" w14:textId="6627CA86"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49A10F54" w14:textId="2831D445"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42D5D69C" w14:textId="63F2ECE8"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2096E5B5" w14:textId="7495143D"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7F70BB9" w14:textId="3F2F1677"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3B89902C" w14:textId="4BE40308"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276CCB44" w14:textId="2D4393D4" w:rsidR="00104228" w:rsidRPr="00235A28" w:rsidRDefault="00104228" w:rsidP="00104228">
            <w:pPr>
              <w:jc w:val="right"/>
              <w:rPr>
                <w:color w:val="000000"/>
                <w:sz w:val="14"/>
                <w:szCs w:val="14"/>
                <w:lang w:eastAsia="tr-TR"/>
              </w:rPr>
            </w:pPr>
            <w:r w:rsidRPr="00235A28">
              <w:rPr>
                <w:color w:val="000000"/>
                <w:sz w:val="14"/>
                <w:szCs w:val="14"/>
                <w:lang w:eastAsia="tr-TR"/>
              </w:rPr>
              <w:t>350,223</w:t>
            </w:r>
          </w:p>
        </w:tc>
      </w:tr>
      <w:tr w:rsidR="00104228" w:rsidRPr="00235A28" w14:paraId="0686C99C"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1766A0C5" w14:textId="77777777" w:rsidR="00104228" w:rsidRPr="00235A28" w:rsidRDefault="00104228" w:rsidP="00104228">
            <w:pPr>
              <w:ind w:firstLineChars="200" w:firstLine="280"/>
              <w:rPr>
                <w:color w:val="000000"/>
                <w:sz w:val="14"/>
                <w:szCs w:val="14"/>
                <w:lang w:eastAsia="tr-TR"/>
              </w:rPr>
            </w:pPr>
            <w:r w:rsidRPr="00235A28">
              <w:rPr>
                <w:bCs/>
                <w:color w:val="000000"/>
                <w:sz w:val="14"/>
                <w:szCs w:val="14"/>
                <w:lang w:eastAsia="tr-TR"/>
              </w:rPr>
              <w:t>Katılım bankaları</w:t>
            </w:r>
          </w:p>
        </w:tc>
        <w:tc>
          <w:tcPr>
            <w:tcW w:w="788" w:type="dxa"/>
            <w:tcBorders>
              <w:top w:val="nil"/>
              <w:left w:val="nil"/>
              <w:bottom w:val="nil"/>
              <w:right w:val="nil"/>
            </w:tcBorders>
            <w:shd w:val="clear" w:color="auto" w:fill="auto"/>
            <w:vAlign w:val="bottom"/>
            <w:hideMark/>
          </w:tcPr>
          <w:p w14:paraId="57325645" w14:textId="3310A3E1" w:rsidR="00104228" w:rsidRPr="00235A28" w:rsidRDefault="00104228" w:rsidP="00104228">
            <w:pPr>
              <w:jc w:val="right"/>
              <w:rPr>
                <w:color w:val="000000"/>
                <w:sz w:val="14"/>
                <w:szCs w:val="14"/>
                <w:lang w:eastAsia="tr-TR"/>
              </w:rPr>
            </w:pPr>
            <w:r w:rsidRPr="00235A28">
              <w:rPr>
                <w:color w:val="000000"/>
                <w:sz w:val="14"/>
                <w:szCs w:val="14"/>
                <w:lang w:eastAsia="tr-TR"/>
              </w:rPr>
              <w:t>345</w:t>
            </w:r>
          </w:p>
        </w:tc>
        <w:tc>
          <w:tcPr>
            <w:tcW w:w="788" w:type="dxa"/>
            <w:tcBorders>
              <w:top w:val="nil"/>
              <w:left w:val="nil"/>
              <w:bottom w:val="nil"/>
              <w:right w:val="nil"/>
            </w:tcBorders>
            <w:shd w:val="clear" w:color="auto" w:fill="auto"/>
            <w:vAlign w:val="bottom"/>
            <w:hideMark/>
          </w:tcPr>
          <w:p w14:paraId="41247174" w14:textId="61E68857"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2E21478F" w14:textId="57E19512"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4DC2F950" w14:textId="763D81AC"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4BE34D06" w14:textId="363F933C"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6A0ECCA6" w14:textId="64BD6165"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4CDE49B" w14:textId="64834242"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79C7E226" w14:textId="6428B461"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043BD5D4" w14:textId="0470DAB4" w:rsidR="00104228" w:rsidRPr="00235A28" w:rsidRDefault="00104228" w:rsidP="00104228">
            <w:pPr>
              <w:jc w:val="right"/>
              <w:rPr>
                <w:color w:val="000000"/>
                <w:sz w:val="14"/>
                <w:szCs w:val="14"/>
                <w:lang w:eastAsia="tr-TR"/>
              </w:rPr>
            </w:pPr>
            <w:r w:rsidRPr="00235A28">
              <w:rPr>
                <w:color w:val="000000"/>
                <w:sz w:val="14"/>
                <w:szCs w:val="14"/>
                <w:lang w:eastAsia="tr-TR"/>
              </w:rPr>
              <w:t>345</w:t>
            </w:r>
          </w:p>
        </w:tc>
      </w:tr>
      <w:tr w:rsidR="00104228" w:rsidRPr="00235A28" w14:paraId="6F10F805"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7BF123DC" w14:textId="77777777" w:rsidR="00104228" w:rsidRPr="00235A28" w:rsidRDefault="00104228" w:rsidP="00104228">
            <w:pPr>
              <w:ind w:firstLineChars="200" w:firstLine="280"/>
              <w:rPr>
                <w:color w:val="000000"/>
                <w:sz w:val="14"/>
                <w:szCs w:val="14"/>
                <w:lang w:eastAsia="tr-TR"/>
              </w:rPr>
            </w:pPr>
            <w:r w:rsidRPr="00235A28">
              <w:rPr>
                <w:bCs/>
                <w:color w:val="000000"/>
                <w:sz w:val="14"/>
                <w:szCs w:val="14"/>
                <w:lang w:eastAsia="tr-TR"/>
              </w:rPr>
              <w:t>Diğer</w:t>
            </w:r>
          </w:p>
        </w:tc>
        <w:tc>
          <w:tcPr>
            <w:tcW w:w="788" w:type="dxa"/>
            <w:tcBorders>
              <w:top w:val="nil"/>
              <w:left w:val="nil"/>
              <w:bottom w:val="nil"/>
              <w:right w:val="nil"/>
            </w:tcBorders>
            <w:shd w:val="clear" w:color="auto" w:fill="auto"/>
            <w:vAlign w:val="bottom"/>
            <w:hideMark/>
          </w:tcPr>
          <w:p w14:paraId="6CF9A5FB" w14:textId="51DD431A"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40618026" w14:textId="0AF6FD5A"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777E1648" w14:textId="0C44977E"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3B29B840" w14:textId="11C9F288"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4A8E3EE6" w14:textId="7DDF64B3"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E0FDA9D" w14:textId="3DFF20DB"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142A9CD" w14:textId="284AADA5"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0579057A" w14:textId="604C255D"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0ED3D14C" w14:textId="603C6AD7"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r>
      <w:tr w:rsidR="00104228" w:rsidRPr="00235A28" w14:paraId="3D6AA976"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7907C67B" w14:textId="77777777" w:rsidR="00104228" w:rsidRPr="00235A28" w:rsidRDefault="00104228" w:rsidP="00104228">
            <w:pPr>
              <w:ind w:firstLineChars="100" w:firstLine="140"/>
              <w:rPr>
                <w:b/>
                <w:bCs/>
                <w:color w:val="000000"/>
                <w:sz w:val="14"/>
                <w:szCs w:val="14"/>
                <w:lang w:eastAsia="tr-TR"/>
              </w:rPr>
            </w:pPr>
            <w:r w:rsidRPr="00235A28">
              <w:rPr>
                <w:rFonts w:eastAsia="Arial Unicode MS"/>
                <w:b/>
                <w:bCs/>
                <w:color w:val="000000"/>
                <w:sz w:val="14"/>
                <w:szCs w:val="14"/>
                <w:lang w:eastAsia="tr-TR"/>
              </w:rPr>
              <w:t>VIII. Katılma hesapları diğer-YP</w:t>
            </w:r>
          </w:p>
        </w:tc>
        <w:tc>
          <w:tcPr>
            <w:tcW w:w="788" w:type="dxa"/>
            <w:tcBorders>
              <w:top w:val="nil"/>
              <w:left w:val="nil"/>
              <w:bottom w:val="nil"/>
              <w:right w:val="nil"/>
            </w:tcBorders>
            <w:shd w:val="clear" w:color="auto" w:fill="auto"/>
            <w:vAlign w:val="bottom"/>
            <w:hideMark/>
          </w:tcPr>
          <w:p w14:paraId="3A5667D3" w14:textId="6E98D09D"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1FD9EF55" w14:textId="37DCB458" w:rsidR="00104228" w:rsidRPr="00235A28" w:rsidRDefault="00104228" w:rsidP="00104228">
            <w:pPr>
              <w:jc w:val="right"/>
              <w:rPr>
                <w:b/>
                <w:bCs/>
                <w:color w:val="000000"/>
                <w:sz w:val="14"/>
                <w:szCs w:val="14"/>
                <w:lang w:eastAsia="tr-TR"/>
              </w:rPr>
            </w:pPr>
            <w:r w:rsidRPr="00235A28">
              <w:rPr>
                <w:b/>
                <w:bCs/>
                <w:color w:val="000000"/>
                <w:sz w:val="14"/>
                <w:szCs w:val="14"/>
                <w:lang w:eastAsia="tr-TR"/>
              </w:rPr>
              <w:t>593,613</w:t>
            </w:r>
          </w:p>
        </w:tc>
        <w:tc>
          <w:tcPr>
            <w:tcW w:w="788" w:type="dxa"/>
            <w:tcBorders>
              <w:top w:val="nil"/>
              <w:left w:val="nil"/>
              <w:bottom w:val="nil"/>
              <w:right w:val="nil"/>
            </w:tcBorders>
            <w:shd w:val="clear" w:color="auto" w:fill="auto"/>
            <w:vAlign w:val="bottom"/>
            <w:hideMark/>
          </w:tcPr>
          <w:p w14:paraId="06BF5604" w14:textId="67DFC9FE" w:rsidR="00104228" w:rsidRPr="00235A28" w:rsidRDefault="00104228" w:rsidP="00104228">
            <w:pPr>
              <w:jc w:val="right"/>
              <w:rPr>
                <w:b/>
                <w:bCs/>
                <w:color w:val="000000"/>
                <w:sz w:val="14"/>
                <w:szCs w:val="14"/>
                <w:lang w:eastAsia="tr-TR"/>
              </w:rPr>
            </w:pPr>
            <w:r w:rsidRPr="00235A28">
              <w:rPr>
                <w:b/>
                <w:bCs/>
                <w:color w:val="000000"/>
                <w:sz w:val="14"/>
                <w:szCs w:val="14"/>
                <w:lang w:eastAsia="tr-TR"/>
              </w:rPr>
              <w:t>2,412,726</w:t>
            </w:r>
          </w:p>
        </w:tc>
        <w:tc>
          <w:tcPr>
            <w:tcW w:w="730" w:type="dxa"/>
            <w:tcBorders>
              <w:top w:val="nil"/>
              <w:left w:val="nil"/>
              <w:bottom w:val="nil"/>
              <w:right w:val="nil"/>
            </w:tcBorders>
            <w:shd w:val="clear" w:color="auto" w:fill="auto"/>
            <w:vAlign w:val="bottom"/>
            <w:hideMark/>
          </w:tcPr>
          <w:p w14:paraId="75538B86" w14:textId="4C59CFAF" w:rsidR="00104228" w:rsidRPr="00235A28" w:rsidRDefault="00104228" w:rsidP="00104228">
            <w:pPr>
              <w:jc w:val="right"/>
              <w:rPr>
                <w:b/>
                <w:bCs/>
                <w:color w:val="000000"/>
                <w:sz w:val="14"/>
                <w:szCs w:val="14"/>
                <w:lang w:eastAsia="tr-TR"/>
              </w:rPr>
            </w:pPr>
            <w:r w:rsidRPr="00235A28">
              <w:rPr>
                <w:b/>
                <w:bCs/>
                <w:color w:val="000000"/>
                <w:sz w:val="14"/>
                <w:szCs w:val="14"/>
                <w:lang w:eastAsia="tr-TR"/>
              </w:rPr>
              <w:t>56,824</w:t>
            </w:r>
          </w:p>
        </w:tc>
        <w:tc>
          <w:tcPr>
            <w:tcW w:w="498" w:type="dxa"/>
            <w:tcBorders>
              <w:top w:val="nil"/>
              <w:left w:val="nil"/>
              <w:bottom w:val="nil"/>
              <w:right w:val="nil"/>
            </w:tcBorders>
            <w:shd w:val="clear" w:color="auto" w:fill="auto"/>
            <w:vAlign w:val="bottom"/>
            <w:hideMark/>
          </w:tcPr>
          <w:p w14:paraId="211C9D1A" w14:textId="7779D68A"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61C3A704" w14:textId="5DE89DFE" w:rsidR="00104228" w:rsidRPr="00235A28" w:rsidRDefault="00104228" w:rsidP="00104228">
            <w:pPr>
              <w:jc w:val="right"/>
              <w:rPr>
                <w:b/>
                <w:bCs/>
                <w:color w:val="000000"/>
                <w:sz w:val="14"/>
                <w:szCs w:val="14"/>
                <w:lang w:eastAsia="tr-TR"/>
              </w:rPr>
            </w:pPr>
            <w:r w:rsidRPr="00235A28">
              <w:rPr>
                <w:b/>
                <w:bCs/>
                <w:color w:val="000000"/>
                <w:sz w:val="14"/>
                <w:szCs w:val="14"/>
                <w:lang w:eastAsia="tr-TR"/>
              </w:rPr>
              <w:t>54,950</w:t>
            </w:r>
          </w:p>
        </w:tc>
        <w:tc>
          <w:tcPr>
            <w:tcW w:w="730" w:type="dxa"/>
            <w:tcBorders>
              <w:top w:val="nil"/>
              <w:left w:val="nil"/>
              <w:bottom w:val="nil"/>
              <w:right w:val="nil"/>
            </w:tcBorders>
            <w:shd w:val="clear" w:color="auto" w:fill="auto"/>
            <w:vAlign w:val="bottom"/>
            <w:hideMark/>
          </w:tcPr>
          <w:p w14:paraId="29EB239D" w14:textId="2905EC9C" w:rsidR="00104228" w:rsidRPr="00235A28" w:rsidRDefault="00104228" w:rsidP="00104228">
            <w:pPr>
              <w:jc w:val="right"/>
              <w:rPr>
                <w:b/>
                <w:bCs/>
                <w:color w:val="000000"/>
                <w:sz w:val="14"/>
                <w:szCs w:val="14"/>
                <w:lang w:eastAsia="tr-TR"/>
              </w:rPr>
            </w:pPr>
            <w:r w:rsidRPr="00235A28">
              <w:rPr>
                <w:b/>
                <w:bCs/>
                <w:color w:val="000000"/>
                <w:sz w:val="14"/>
                <w:szCs w:val="14"/>
                <w:lang w:eastAsia="tr-TR"/>
              </w:rPr>
              <w:t>50,417</w:t>
            </w:r>
          </w:p>
        </w:tc>
        <w:tc>
          <w:tcPr>
            <w:tcW w:w="692" w:type="dxa"/>
            <w:tcBorders>
              <w:top w:val="nil"/>
              <w:left w:val="nil"/>
              <w:bottom w:val="nil"/>
              <w:right w:val="nil"/>
            </w:tcBorders>
            <w:shd w:val="clear" w:color="auto" w:fill="auto"/>
            <w:vAlign w:val="bottom"/>
            <w:hideMark/>
          </w:tcPr>
          <w:p w14:paraId="3CC20BBC" w14:textId="7E694C8C"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70" w:type="dxa"/>
            <w:tcBorders>
              <w:top w:val="nil"/>
              <w:left w:val="nil"/>
              <w:bottom w:val="nil"/>
              <w:right w:val="nil"/>
            </w:tcBorders>
            <w:shd w:val="clear" w:color="auto" w:fill="auto"/>
            <w:vAlign w:val="bottom"/>
            <w:hideMark/>
          </w:tcPr>
          <w:p w14:paraId="7B4912FF" w14:textId="31754987" w:rsidR="00104228" w:rsidRPr="00235A28" w:rsidRDefault="00104228" w:rsidP="00104228">
            <w:pPr>
              <w:jc w:val="right"/>
              <w:rPr>
                <w:b/>
                <w:bCs/>
                <w:color w:val="000000"/>
                <w:sz w:val="14"/>
                <w:szCs w:val="14"/>
                <w:lang w:eastAsia="tr-TR"/>
              </w:rPr>
            </w:pPr>
            <w:r w:rsidRPr="00235A28">
              <w:rPr>
                <w:b/>
                <w:bCs/>
                <w:color w:val="000000"/>
                <w:sz w:val="14"/>
                <w:szCs w:val="14"/>
                <w:lang w:eastAsia="tr-TR"/>
              </w:rPr>
              <w:t>3,168,530</w:t>
            </w:r>
          </w:p>
        </w:tc>
      </w:tr>
      <w:tr w:rsidR="00104228" w:rsidRPr="00235A28" w14:paraId="58D37571"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3FF3F234"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Resmi kuruluşlar</w:t>
            </w:r>
          </w:p>
        </w:tc>
        <w:tc>
          <w:tcPr>
            <w:tcW w:w="788" w:type="dxa"/>
            <w:tcBorders>
              <w:top w:val="nil"/>
              <w:left w:val="nil"/>
              <w:bottom w:val="nil"/>
              <w:right w:val="nil"/>
            </w:tcBorders>
            <w:shd w:val="clear" w:color="auto" w:fill="auto"/>
            <w:vAlign w:val="bottom"/>
            <w:hideMark/>
          </w:tcPr>
          <w:p w14:paraId="0C9F82AB" w14:textId="3E800ECE"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5E64A26D" w14:textId="05A9DAFD" w:rsidR="00104228" w:rsidRPr="00235A28" w:rsidRDefault="00104228" w:rsidP="00104228">
            <w:pPr>
              <w:jc w:val="right"/>
              <w:rPr>
                <w:color w:val="000000"/>
                <w:sz w:val="14"/>
                <w:szCs w:val="14"/>
                <w:lang w:eastAsia="tr-TR"/>
              </w:rPr>
            </w:pPr>
            <w:r w:rsidRPr="00235A28">
              <w:rPr>
                <w:color w:val="000000"/>
                <w:sz w:val="14"/>
                <w:szCs w:val="14"/>
                <w:lang w:eastAsia="tr-TR"/>
              </w:rPr>
              <w:t>10</w:t>
            </w:r>
          </w:p>
        </w:tc>
        <w:tc>
          <w:tcPr>
            <w:tcW w:w="788" w:type="dxa"/>
            <w:tcBorders>
              <w:top w:val="nil"/>
              <w:left w:val="nil"/>
              <w:bottom w:val="nil"/>
              <w:right w:val="nil"/>
            </w:tcBorders>
            <w:shd w:val="clear" w:color="auto" w:fill="auto"/>
            <w:vAlign w:val="bottom"/>
            <w:hideMark/>
          </w:tcPr>
          <w:p w14:paraId="55B8144D" w14:textId="002BC2D8"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11EFAC9C" w14:textId="5AF345D8"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32BD9FF5" w14:textId="2F74A59D"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2FAE5831" w14:textId="566B2E4F"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4E7A0FA4" w14:textId="6B0E8587"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692" w:type="dxa"/>
            <w:tcBorders>
              <w:top w:val="nil"/>
              <w:left w:val="nil"/>
              <w:bottom w:val="nil"/>
              <w:right w:val="nil"/>
            </w:tcBorders>
            <w:shd w:val="clear" w:color="auto" w:fill="auto"/>
            <w:vAlign w:val="bottom"/>
            <w:hideMark/>
          </w:tcPr>
          <w:p w14:paraId="3BB6D720" w14:textId="61691959"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70" w:type="dxa"/>
            <w:tcBorders>
              <w:top w:val="nil"/>
              <w:left w:val="nil"/>
              <w:bottom w:val="nil"/>
              <w:right w:val="nil"/>
            </w:tcBorders>
            <w:shd w:val="clear" w:color="auto" w:fill="auto"/>
            <w:vAlign w:val="bottom"/>
            <w:hideMark/>
          </w:tcPr>
          <w:p w14:paraId="7067CA94" w14:textId="10575EAB" w:rsidR="00104228" w:rsidRPr="00235A28" w:rsidRDefault="00104228" w:rsidP="00104228">
            <w:pPr>
              <w:jc w:val="right"/>
              <w:rPr>
                <w:color w:val="000000"/>
                <w:sz w:val="14"/>
                <w:szCs w:val="14"/>
                <w:lang w:eastAsia="tr-TR"/>
              </w:rPr>
            </w:pPr>
            <w:r w:rsidRPr="00235A28">
              <w:rPr>
                <w:color w:val="000000"/>
                <w:sz w:val="14"/>
                <w:szCs w:val="14"/>
                <w:lang w:eastAsia="tr-TR"/>
              </w:rPr>
              <w:t>10</w:t>
            </w:r>
          </w:p>
        </w:tc>
      </w:tr>
      <w:tr w:rsidR="00104228" w:rsidRPr="00235A28" w14:paraId="4AA12D2A"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434D5C9F"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Ticari kuruluşlar</w:t>
            </w:r>
          </w:p>
        </w:tc>
        <w:tc>
          <w:tcPr>
            <w:tcW w:w="788" w:type="dxa"/>
            <w:tcBorders>
              <w:top w:val="nil"/>
              <w:left w:val="nil"/>
              <w:bottom w:val="nil"/>
              <w:right w:val="nil"/>
            </w:tcBorders>
            <w:shd w:val="clear" w:color="auto" w:fill="auto"/>
            <w:vAlign w:val="bottom"/>
            <w:hideMark/>
          </w:tcPr>
          <w:p w14:paraId="09E7212C" w14:textId="21353F2D"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02F04D8F" w14:textId="3A144BA5" w:rsidR="00104228" w:rsidRPr="00235A28" w:rsidRDefault="00104228" w:rsidP="00104228">
            <w:pPr>
              <w:jc w:val="right"/>
              <w:rPr>
                <w:color w:val="000000"/>
                <w:sz w:val="14"/>
                <w:szCs w:val="14"/>
                <w:lang w:eastAsia="tr-TR"/>
              </w:rPr>
            </w:pPr>
            <w:r w:rsidRPr="00235A28">
              <w:rPr>
                <w:color w:val="000000"/>
                <w:sz w:val="14"/>
                <w:szCs w:val="14"/>
                <w:lang w:eastAsia="tr-TR"/>
              </w:rPr>
              <w:t>520,606</w:t>
            </w:r>
          </w:p>
        </w:tc>
        <w:tc>
          <w:tcPr>
            <w:tcW w:w="788" w:type="dxa"/>
            <w:tcBorders>
              <w:top w:val="nil"/>
              <w:left w:val="nil"/>
              <w:bottom w:val="nil"/>
              <w:right w:val="nil"/>
            </w:tcBorders>
            <w:shd w:val="clear" w:color="auto" w:fill="auto"/>
            <w:vAlign w:val="bottom"/>
            <w:hideMark/>
          </w:tcPr>
          <w:p w14:paraId="57DC1FBE" w14:textId="12AF79D6" w:rsidR="00104228" w:rsidRPr="00235A28" w:rsidRDefault="00104228" w:rsidP="00104228">
            <w:pPr>
              <w:jc w:val="right"/>
              <w:rPr>
                <w:color w:val="000000"/>
                <w:sz w:val="14"/>
                <w:szCs w:val="14"/>
                <w:lang w:eastAsia="tr-TR"/>
              </w:rPr>
            </w:pPr>
            <w:r w:rsidRPr="00235A28">
              <w:rPr>
                <w:color w:val="000000"/>
                <w:sz w:val="14"/>
                <w:szCs w:val="14"/>
                <w:lang w:eastAsia="tr-TR"/>
              </w:rPr>
              <w:t>2,112,944</w:t>
            </w:r>
          </w:p>
        </w:tc>
        <w:tc>
          <w:tcPr>
            <w:tcW w:w="730" w:type="dxa"/>
            <w:tcBorders>
              <w:top w:val="nil"/>
              <w:left w:val="nil"/>
              <w:bottom w:val="nil"/>
              <w:right w:val="nil"/>
            </w:tcBorders>
            <w:shd w:val="clear" w:color="auto" w:fill="auto"/>
            <w:vAlign w:val="bottom"/>
            <w:hideMark/>
          </w:tcPr>
          <w:p w14:paraId="32BAB017" w14:textId="1F80BEB5" w:rsidR="00104228" w:rsidRPr="00235A28" w:rsidRDefault="00104228" w:rsidP="00104228">
            <w:pPr>
              <w:jc w:val="right"/>
              <w:rPr>
                <w:color w:val="000000"/>
                <w:sz w:val="14"/>
                <w:szCs w:val="14"/>
                <w:lang w:eastAsia="tr-TR"/>
              </w:rPr>
            </w:pPr>
            <w:r w:rsidRPr="00235A28">
              <w:rPr>
                <w:color w:val="000000"/>
                <w:sz w:val="14"/>
                <w:szCs w:val="14"/>
                <w:lang w:eastAsia="tr-TR"/>
              </w:rPr>
              <w:t>53,458</w:t>
            </w:r>
          </w:p>
        </w:tc>
        <w:tc>
          <w:tcPr>
            <w:tcW w:w="498" w:type="dxa"/>
            <w:tcBorders>
              <w:top w:val="nil"/>
              <w:left w:val="nil"/>
              <w:bottom w:val="nil"/>
              <w:right w:val="nil"/>
            </w:tcBorders>
            <w:shd w:val="clear" w:color="auto" w:fill="auto"/>
            <w:vAlign w:val="bottom"/>
            <w:hideMark/>
          </w:tcPr>
          <w:p w14:paraId="3F023AB2" w14:textId="6DB5ED08"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3929E6C" w14:textId="5081EC98" w:rsidR="00104228" w:rsidRPr="00235A28" w:rsidRDefault="00104228" w:rsidP="00104228">
            <w:pPr>
              <w:jc w:val="right"/>
              <w:rPr>
                <w:b/>
                <w:bCs/>
                <w:color w:val="000000"/>
                <w:sz w:val="14"/>
                <w:szCs w:val="14"/>
                <w:lang w:eastAsia="tr-TR"/>
              </w:rPr>
            </w:pPr>
            <w:r w:rsidRPr="00235A28">
              <w:rPr>
                <w:color w:val="000000"/>
                <w:sz w:val="14"/>
                <w:szCs w:val="14"/>
                <w:lang w:eastAsia="tr-TR"/>
              </w:rPr>
              <w:t>45,383</w:t>
            </w:r>
          </w:p>
        </w:tc>
        <w:tc>
          <w:tcPr>
            <w:tcW w:w="730" w:type="dxa"/>
            <w:tcBorders>
              <w:top w:val="nil"/>
              <w:left w:val="nil"/>
              <w:bottom w:val="nil"/>
              <w:right w:val="nil"/>
            </w:tcBorders>
            <w:shd w:val="clear" w:color="auto" w:fill="auto"/>
            <w:vAlign w:val="bottom"/>
            <w:hideMark/>
          </w:tcPr>
          <w:p w14:paraId="3AD47452" w14:textId="746A2E09" w:rsidR="00104228" w:rsidRPr="00235A28" w:rsidRDefault="00104228" w:rsidP="00104228">
            <w:pPr>
              <w:jc w:val="right"/>
              <w:rPr>
                <w:b/>
                <w:bCs/>
                <w:color w:val="000000"/>
                <w:sz w:val="14"/>
                <w:szCs w:val="14"/>
                <w:lang w:eastAsia="tr-TR"/>
              </w:rPr>
            </w:pPr>
            <w:r w:rsidRPr="00235A28">
              <w:rPr>
                <w:color w:val="000000"/>
                <w:sz w:val="14"/>
                <w:szCs w:val="14"/>
                <w:lang w:eastAsia="tr-TR"/>
              </w:rPr>
              <w:t>50,331</w:t>
            </w:r>
          </w:p>
        </w:tc>
        <w:tc>
          <w:tcPr>
            <w:tcW w:w="692" w:type="dxa"/>
            <w:tcBorders>
              <w:top w:val="nil"/>
              <w:left w:val="nil"/>
              <w:bottom w:val="nil"/>
              <w:right w:val="nil"/>
            </w:tcBorders>
            <w:shd w:val="clear" w:color="auto" w:fill="auto"/>
            <w:vAlign w:val="bottom"/>
            <w:hideMark/>
          </w:tcPr>
          <w:p w14:paraId="037F3487" w14:textId="2B2D85BE"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70" w:type="dxa"/>
            <w:tcBorders>
              <w:top w:val="nil"/>
              <w:left w:val="nil"/>
              <w:bottom w:val="nil"/>
              <w:right w:val="nil"/>
            </w:tcBorders>
            <w:shd w:val="clear" w:color="auto" w:fill="auto"/>
            <w:vAlign w:val="bottom"/>
            <w:hideMark/>
          </w:tcPr>
          <w:p w14:paraId="420EBE23" w14:textId="58034A30" w:rsidR="00104228" w:rsidRPr="00235A28" w:rsidRDefault="00104228" w:rsidP="00104228">
            <w:pPr>
              <w:jc w:val="right"/>
              <w:rPr>
                <w:color w:val="000000"/>
                <w:sz w:val="14"/>
                <w:szCs w:val="14"/>
                <w:lang w:eastAsia="tr-TR"/>
              </w:rPr>
            </w:pPr>
            <w:r w:rsidRPr="00235A28">
              <w:rPr>
                <w:color w:val="000000"/>
                <w:sz w:val="14"/>
                <w:szCs w:val="14"/>
                <w:lang w:eastAsia="tr-TR"/>
              </w:rPr>
              <w:t>2,782,722</w:t>
            </w:r>
          </w:p>
        </w:tc>
      </w:tr>
      <w:tr w:rsidR="00104228" w:rsidRPr="00235A28" w14:paraId="06B145AB" w14:textId="77777777" w:rsidTr="00BA637F">
        <w:trPr>
          <w:divId w:val="1024020004"/>
          <w:trHeight w:val="266"/>
        </w:trPr>
        <w:tc>
          <w:tcPr>
            <w:tcW w:w="3470" w:type="dxa"/>
            <w:tcBorders>
              <w:top w:val="nil"/>
              <w:left w:val="nil"/>
              <w:bottom w:val="nil"/>
              <w:right w:val="nil"/>
            </w:tcBorders>
            <w:shd w:val="clear" w:color="auto" w:fill="auto"/>
            <w:vAlign w:val="bottom"/>
            <w:hideMark/>
          </w:tcPr>
          <w:p w14:paraId="244E860B"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Diğer kuruluşlar</w:t>
            </w:r>
          </w:p>
        </w:tc>
        <w:tc>
          <w:tcPr>
            <w:tcW w:w="788" w:type="dxa"/>
            <w:tcBorders>
              <w:top w:val="nil"/>
              <w:left w:val="nil"/>
              <w:bottom w:val="nil"/>
              <w:right w:val="nil"/>
            </w:tcBorders>
            <w:shd w:val="clear" w:color="auto" w:fill="auto"/>
            <w:vAlign w:val="bottom"/>
            <w:hideMark/>
          </w:tcPr>
          <w:p w14:paraId="7379090B" w14:textId="2D1841D9"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055CDBEB" w14:textId="05336BF2" w:rsidR="00104228" w:rsidRPr="00235A28" w:rsidRDefault="00104228" w:rsidP="00104228">
            <w:pPr>
              <w:jc w:val="right"/>
              <w:rPr>
                <w:color w:val="000000"/>
                <w:sz w:val="14"/>
                <w:szCs w:val="14"/>
                <w:lang w:eastAsia="tr-TR"/>
              </w:rPr>
            </w:pPr>
            <w:r w:rsidRPr="00235A28">
              <w:rPr>
                <w:color w:val="000000"/>
                <w:sz w:val="14"/>
                <w:szCs w:val="14"/>
                <w:lang w:eastAsia="tr-TR"/>
              </w:rPr>
              <w:t>41,158</w:t>
            </w:r>
          </w:p>
        </w:tc>
        <w:tc>
          <w:tcPr>
            <w:tcW w:w="788" w:type="dxa"/>
            <w:tcBorders>
              <w:top w:val="nil"/>
              <w:left w:val="nil"/>
              <w:bottom w:val="nil"/>
              <w:right w:val="nil"/>
            </w:tcBorders>
            <w:shd w:val="clear" w:color="auto" w:fill="auto"/>
            <w:vAlign w:val="bottom"/>
            <w:hideMark/>
          </w:tcPr>
          <w:p w14:paraId="566D6FA8" w14:textId="20B6EE76" w:rsidR="00104228" w:rsidRPr="00235A28" w:rsidRDefault="00104228" w:rsidP="00104228">
            <w:pPr>
              <w:jc w:val="right"/>
              <w:rPr>
                <w:color w:val="000000"/>
                <w:sz w:val="14"/>
                <w:szCs w:val="14"/>
                <w:lang w:eastAsia="tr-TR"/>
              </w:rPr>
            </w:pPr>
            <w:r w:rsidRPr="00235A28">
              <w:rPr>
                <w:color w:val="000000"/>
                <w:sz w:val="14"/>
                <w:szCs w:val="14"/>
                <w:lang w:eastAsia="tr-TR"/>
              </w:rPr>
              <w:t>141,142</w:t>
            </w:r>
          </w:p>
        </w:tc>
        <w:tc>
          <w:tcPr>
            <w:tcW w:w="730" w:type="dxa"/>
            <w:tcBorders>
              <w:top w:val="nil"/>
              <w:left w:val="nil"/>
              <w:bottom w:val="nil"/>
              <w:right w:val="nil"/>
            </w:tcBorders>
            <w:shd w:val="clear" w:color="auto" w:fill="auto"/>
            <w:vAlign w:val="bottom"/>
            <w:hideMark/>
          </w:tcPr>
          <w:p w14:paraId="3F615D18" w14:textId="473197B3" w:rsidR="00104228" w:rsidRPr="00235A28" w:rsidRDefault="00104228" w:rsidP="00104228">
            <w:pPr>
              <w:jc w:val="right"/>
              <w:rPr>
                <w:color w:val="000000"/>
                <w:sz w:val="14"/>
                <w:szCs w:val="14"/>
                <w:lang w:eastAsia="tr-TR"/>
              </w:rPr>
            </w:pPr>
            <w:r w:rsidRPr="00235A28">
              <w:rPr>
                <w:color w:val="000000"/>
                <w:sz w:val="14"/>
                <w:szCs w:val="14"/>
                <w:lang w:eastAsia="tr-TR"/>
              </w:rPr>
              <w:t>3,357</w:t>
            </w:r>
          </w:p>
        </w:tc>
        <w:tc>
          <w:tcPr>
            <w:tcW w:w="498" w:type="dxa"/>
            <w:tcBorders>
              <w:top w:val="nil"/>
              <w:left w:val="nil"/>
              <w:bottom w:val="nil"/>
              <w:right w:val="nil"/>
            </w:tcBorders>
            <w:shd w:val="clear" w:color="auto" w:fill="auto"/>
            <w:vAlign w:val="bottom"/>
            <w:hideMark/>
          </w:tcPr>
          <w:p w14:paraId="153D2C20" w14:textId="09B4E85D"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66D28943" w14:textId="2FC0CA12" w:rsidR="00104228" w:rsidRPr="00235A28" w:rsidRDefault="00104228" w:rsidP="00104228">
            <w:pPr>
              <w:jc w:val="right"/>
              <w:rPr>
                <w:b/>
                <w:bCs/>
                <w:color w:val="000000"/>
                <w:sz w:val="14"/>
                <w:szCs w:val="14"/>
                <w:lang w:eastAsia="tr-TR"/>
              </w:rPr>
            </w:pPr>
            <w:r w:rsidRPr="00235A28">
              <w:rPr>
                <w:color w:val="000000"/>
                <w:sz w:val="14"/>
                <w:szCs w:val="14"/>
                <w:lang w:eastAsia="tr-TR"/>
              </w:rPr>
              <w:t>9,170</w:t>
            </w:r>
          </w:p>
        </w:tc>
        <w:tc>
          <w:tcPr>
            <w:tcW w:w="730" w:type="dxa"/>
            <w:tcBorders>
              <w:top w:val="nil"/>
              <w:left w:val="nil"/>
              <w:bottom w:val="nil"/>
              <w:right w:val="nil"/>
            </w:tcBorders>
            <w:shd w:val="clear" w:color="auto" w:fill="auto"/>
            <w:vAlign w:val="bottom"/>
            <w:hideMark/>
          </w:tcPr>
          <w:p w14:paraId="35E8ADAD" w14:textId="47911657"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692" w:type="dxa"/>
            <w:tcBorders>
              <w:top w:val="nil"/>
              <w:left w:val="nil"/>
              <w:bottom w:val="nil"/>
              <w:right w:val="nil"/>
            </w:tcBorders>
            <w:shd w:val="clear" w:color="auto" w:fill="auto"/>
            <w:vAlign w:val="bottom"/>
            <w:hideMark/>
          </w:tcPr>
          <w:p w14:paraId="3A5B93A0" w14:textId="063F82FB"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70" w:type="dxa"/>
            <w:tcBorders>
              <w:top w:val="nil"/>
              <w:left w:val="nil"/>
              <w:bottom w:val="nil"/>
              <w:right w:val="nil"/>
            </w:tcBorders>
            <w:shd w:val="clear" w:color="auto" w:fill="auto"/>
            <w:vAlign w:val="bottom"/>
            <w:hideMark/>
          </w:tcPr>
          <w:p w14:paraId="663B296E" w14:textId="3FF2E6BC" w:rsidR="00104228" w:rsidRPr="00235A28" w:rsidRDefault="00104228" w:rsidP="00104228">
            <w:pPr>
              <w:jc w:val="right"/>
              <w:rPr>
                <w:color w:val="000000"/>
                <w:sz w:val="14"/>
                <w:szCs w:val="14"/>
                <w:lang w:eastAsia="tr-TR"/>
              </w:rPr>
            </w:pPr>
            <w:r w:rsidRPr="00235A28">
              <w:rPr>
                <w:color w:val="000000"/>
                <w:sz w:val="14"/>
                <w:szCs w:val="14"/>
                <w:lang w:eastAsia="tr-TR"/>
              </w:rPr>
              <w:t>194,827</w:t>
            </w:r>
          </w:p>
        </w:tc>
      </w:tr>
      <w:tr w:rsidR="00104228" w:rsidRPr="00235A28" w14:paraId="381E5930" w14:textId="77777777" w:rsidTr="00BA637F">
        <w:trPr>
          <w:divId w:val="1024020004"/>
          <w:trHeight w:val="323"/>
        </w:trPr>
        <w:tc>
          <w:tcPr>
            <w:tcW w:w="3470" w:type="dxa"/>
            <w:tcBorders>
              <w:top w:val="nil"/>
              <w:left w:val="nil"/>
              <w:bottom w:val="nil"/>
              <w:right w:val="nil"/>
            </w:tcBorders>
            <w:shd w:val="clear" w:color="auto" w:fill="auto"/>
            <w:vAlign w:val="bottom"/>
            <w:hideMark/>
          </w:tcPr>
          <w:p w14:paraId="59CA6964"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Ticari ve diğer kuruluşlar</w:t>
            </w:r>
          </w:p>
        </w:tc>
        <w:tc>
          <w:tcPr>
            <w:tcW w:w="788" w:type="dxa"/>
            <w:tcBorders>
              <w:top w:val="nil"/>
              <w:left w:val="nil"/>
              <w:bottom w:val="nil"/>
              <w:right w:val="nil"/>
            </w:tcBorders>
            <w:shd w:val="clear" w:color="auto" w:fill="auto"/>
            <w:vAlign w:val="bottom"/>
            <w:hideMark/>
          </w:tcPr>
          <w:p w14:paraId="453A0AFA" w14:textId="34254B98"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5EC3F701" w14:textId="2DBBC613" w:rsidR="00104228" w:rsidRPr="00235A28" w:rsidRDefault="00104228" w:rsidP="00104228">
            <w:pPr>
              <w:jc w:val="right"/>
              <w:rPr>
                <w:color w:val="000000"/>
                <w:sz w:val="14"/>
                <w:szCs w:val="14"/>
                <w:lang w:eastAsia="tr-TR"/>
              </w:rPr>
            </w:pPr>
            <w:r w:rsidRPr="00235A28">
              <w:rPr>
                <w:color w:val="000000"/>
                <w:sz w:val="14"/>
                <w:szCs w:val="14"/>
                <w:lang w:eastAsia="tr-TR"/>
              </w:rPr>
              <w:t>31,831</w:t>
            </w:r>
          </w:p>
        </w:tc>
        <w:tc>
          <w:tcPr>
            <w:tcW w:w="788" w:type="dxa"/>
            <w:tcBorders>
              <w:top w:val="nil"/>
              <w:left w:val="nil"/>
              <w:bottom w:val="nil"/>
              <w:right w:val="nil"/>
            </w:tcBorders>
            <w:shd w:val="clear" w:color="auto" w:fill="auto"/>
            <w:vAlign w:val="bottom"/>
            <w:hideMark/>
          </w:tcPr>
          <w:p w14:paraId="1EE7C791" w14:textId="0464930D" w:rsidR="00104228" w:rsidRPr="00235A28" w:rsidRDefault="00104228" w:rsidP="00104228">
            <w:pPr>
              <w:jc w:val="right"/>
              <w:rPr>
                <w:color w:val="000000"/>
                <w:sz w:val="14"/>
                <w:szCs w:val="14"/>
                <w:lang w:eastAsia="tr-TR"/>
              </w:rPr>
            </w:pPr>
            <w:r w:rsidRPr="00235A28">
              <w:rPr>
                <w:color w:val="000000"/>
                <w:sz w:val="14"/>
                <w:szCs w:val="14"/>
                <w:lang w:eastAsia="tr-TR"/>
              </w:rPr>
              <w:t>84,336</w:t>
            </w:r>
          </w:p>
        </w:tc>
        <w:tc>
          <w:tcPr>
            <w:tcW w:w="730" w:type="dxa"/>
            <w:tcBorders>
              <w:top w:val="nil"/>
              <w:left w:val="nil"/>
              <w:bottom w:val="nil"/>
              <w:right w:val="nil"/>
            </w:tcBorders>
            <w:shd w:val="clear" w:color="auto" w:fill="auto"/>
            <w:vAlign w:val="bottom"/>
            <w:hideMark/>
          </w:tcPr>
          <w:p w14:paraId="3CDFD639" w14:textId="79AF100B" w:rsidR="00104228" w:rsidRPr="00235A28" w:rsidRDefault="00104228" w:rsidP="00104228">
            <w:pPr>
              <w:jc w:val="right"/>
              <w:rPr>
                <w:color w:val="000000"/>
                <w:sz w:val="14"/>
                <w:szCs w:val="14"/>
                <w:lang w:eastAsia="tr-TR"/>
              </w:rPr>
            </w:pPr>
            <w:r w:rsidRPr="00235A28">
              <w:rPr>
                <w:color w:val="000000"/>
                <w:sz w:val="14"/>
                <w:szCs w:val="14"/>
                <w:lang w:eastAsia="tr-TR"/>
              </w:rPr>
              <w:t>9</w:t>
            </w:r>
          </w:p>
        </w:tc>
        <w:tc>
          <w:tcPr>
            <w:tcW w:w="498" w:type="dxa"/>
            <w:tcBorders>
              <w:top w:val="nil"/>
              <w:left w:val="nil"/>
              <w:bottom w:val="nil"/>
              <w:right w:val="nil"/>
            </w:tcBorders>
            <w:shd w:val="clear" w:color="auto" w:fill="auto"/>
            <w:vAlign w:val="bottom"/>
            <w:hideMark/>
          </w:tcPr>
          <w:p w14:paraId="722A2CA9" w14:textId="56E0C22B"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7003512" w14:textId="32B5A8E0" w:rsidR="00104228" w:rsidRPr="00235A28" w:rsidRDefault="00104228" w:rsidP="00104228">
            <w:pPr>
              <w:jc w:val="right"/>
              <w:rPr>
                <w:b/>
                <w:bCs/>
                <w:color w:val="000000"/>
                <w:sz w:val="14"/>
                <w:szCs w:val="14"/>
                <w:lang w:eastAsia="tr-TR"/>
              </w:rPr>
            </w:pPr>
            <w:r w:rsidRPr="00235A28">
              <w:rPr>
                <w:color w:val="000000"/>
                <w:sz w:val="14"/>
                <w:szCs w:val="14"/>
                <w:lang w:eastAsia="tr-TR"/>
              </w:rPr>
              <w:t>397</w:t>
            </w:r>
          </w:p>
        </w:tc>
        <w:tc>
          <w:tcPr>
            <w:tcW w:w="730" w:type="dxa"/>
            <w:tcBorders>
              <w:top w:val="nil"/>
              <w:left w:val="nil"/>
              <w:bottom w:val="nil"/>
              <w:right w:val="nil"/>
            </w:tcBorders>
            <w:shd w:val="clear" w:color="auto" w:fill="auto"/>
            <w:vAlign w:val="bottom"/>
            <w:hideMark/>
          </w:tcPr>
          <w:p w14:paraId="3E00E01C" w14:textId="2349447E"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692" w:type="dxa"/>
            <w:tcBorders>
              <w:top w:val="nil"/>
              <w:left w:val="nil"/>
              <w:bottom w:val="nil"/>
              <w:right w:val="nil"/>
            </w:tcBorders>
            <w:shd w:val="clear" w:color="auto" w:fill="auto"/>
            <w:vAlign w:val="bottom"/>
            <w:hideMark/>
          </w:tcPr>
          <w:p w14:paraId="42A27394" w14:textId="3030CDDA"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70" w:type="dxa"/>
            <w:tcBorders>
              <w:top w:val="nil"/>
              <w:left w:val="nil"/>
              <w:bottom w:val="nil"/>
              <w:right w:val="nil"/>
            </w:tcBorders>
            <w:shd w:val="clear" w:color="auto" w:fill="auto"/>
            <w:vAlign w:val="bottom"/>
            <w:hideMark/>
          </w:tcPr>
          <w:p w14:paraId="6D38D3B3" w14:textId="093F5C24" w:rsidR="00104228" w:rsidRPr="00235A28" w:rsidRDefault="00104228" w:rsidP="00104228">
            <w:pPr>
              <w:jc w:val="right"/>
              <w:rPr>
                <w:color w:val="000000"/>
                <w:sz w:val="14"/>
                <w:szCs w:val="14"/>
                <w:lang w:eastAsia="tr-TR"/>
              </w:rPr>
            </w:pPr>
            <w:r w:rsidRPr="00235A28">
              <w:rPr>
                <w:color w:val="000000"/>
                <w:sz w:val="14"/>
                <w:szCs w:val="14"/>
                <w:lang w:eastAsia="tr-TR"/>
              </w:rPr>
              <w:t>116,573</w:t>
            </w:r>
          </w:p>
        </w:tc>
      </w:tr>
      <w:tr w:rsidR="00104228" w:rsidRPr="00235A28" w14:paraId="70C640B5" w14:textId="77777777" w:rsidTr="00BA637F">
        <w:trPr>
          <w:divId w:val="1024020004"/>
          <w:trHeight w:val="323"/>
        </w:trPr>
        <w:tc>
          <w:tcPr>
            <w:tcW w:w="3470" w:type="dxa"/>
            <w:tcBorders>
              <w:top w:val="nil"/>
              <w:left w:val="nil"/>
              <w:bottom w:val="nil"/>
              <w:right w:val="nil"/>
            </w:tcBorders>
            <w:shd w:val="clear" w:color="auto" w:fill="auto"/>
            <w:vAlign w:val="bottom"/>
            <w:hideMark/>
          </w:tcPr>
          <w:p w14:paraId="7F505449" w14:textId="77777777" w:rsidR="00104228" w:rsidRPr="00235A28" w:rsidRDefault="00104228" w:rsidP="00104228">
            <w:pPr>
              <w:ind w:firstLineChars="100" w:firstLine="140"/>
              <w:rPr>
                <w:color w:val="000000"/>
                <w:sz w:val="14"/>
                <w:szCs w:val="14"/>
                <w:lang w:eastAsia="tr-TR"/>
              </w:rPr>
            </w:pPr>
            <w:r w:rsidRPr="00235A28">
              <w:rPr>
                <w:bCs/>
                <w:color w:val="000000"/>
                <w:sz w:val="14"/>
                <w:szCs w:val="14"/>
                <w:lang w:eastAsia="tr-TR"/>
              </w:rPr>
              <w:t>Bankalar ve katılım bankaları</w:t>
            </w:r>
          </w:p>
        </w:tc>
        <w:tc>
          <w:tcPr>
            <w:tcW w:w="788" w:type="dxa"/>
            <w:tcBorders>
              <w:top w:val="nil"/>
              <w:left w:val="nil"/>
              <w:bottom w:val="nil"/>
              <w:right w:val="nil"/>
            </w:tcBorders>
            <w:shd w:val="clear" w:color="auto" w:fill="auto"/>
            <w:vAlign w:val="bottom"/>
            <w:hideMark/>
          </w:tcPr>
          <w:p w14:paraId="47BE6A28" w14:textId="4D2C960D"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788" w:type="dxa"/>
            <w:tcBorders>
              <w:top w:val="nil"/>
              <w:left w:val="nil"/>
              <w:bottom w:val="nil"/>
              <w:right w:val="nil"/>
            </w:tcBorders>
            <w:shd w:val="clear" w:color="auto" w:fill="auto"/>
            <w:vAlign w:val="bottom"/>
            <w:hideMark/>
          </w:tcPr>
          <w:p w14:paraId="6EFB6143" w14:textId="10397497" w:rsidR="00104228" w:rsidRPr="00235A28" w:rsidRDefault="00104228" w:rsidP="00104228">
            <w:pPr>
              <w:jc w:val="right"/>
              <w:rPr>
                <w:color w:val="000000"/>
                <w:sz w:val="14"/>
                <w:szCs w:val="14"/>
                <w:lang w:eastAsia="tr-TR"/>
              </w:rPr>
            </w:pPr>
            <w:r w:rsidRPr="00235A28">
              <w:rPr>
                <w:color w:val="000000"/>
                <w:sz w:val="14"/>
                <w:szCs w:val="14"/>
                <w:lang w:eastAsia="tr-TR"/>
              </w:rPr>
              <w:t>8</w:t>
            </w:r>
          </w:p>
        </w:tc>
        <w:tc>
          <w:tcPr>
            <w:tcW w:w="788" w:type="dxa"/>
            <w:tcBorders>
              <w:top w:val="nil"/>
              <w:left w:val="nil"/>
              <w:bottom w:val="nil"/>
              <w:right w:val="nil"/>
            </w:tcBorders>
            <w:shd w:val="clear" w:color="auto" w:fill="auto"/>
            <w:vAlign w:val="bottom"/>
            <w:hideMark/>
          </w:tcPr>
          <w:p w14:paraId="3CCF3449" w14:textId="686F2ED3" w:rsidR="00104228" w:rsidRPr="00235A28" w:rsidRDefault="00104228" w:rsidP="00104228">
            <w:pPr>
              <w:jc w:val="right"/>
              <w:rPr>
                <w:color w:val="000000"/>
                <w:sz w:val="14"/>
                <w:szCs w:val="14"/>
                <w:lang w:eastAsia="tr-TR"/>
              </w:rPr>
            </w:pPr>
            <w:r w:rsidRPr="00235A28">
              <w:rPr>
                <w:color w:val="000000"/>
                <w:sz w:val="14"/>
                <w:szCs w:val="14"/>
                <w:lang w:eastAsia="tr-TR"/>
              </w:rPr>
              <w:t>74,304</w:t>
            </w:r>
          </w:p>
        </w:tc>
        <w:tc>
          <w:tcPr>
            <w:tcW w:w="730" w:type="dxa"/>
            <w:tcBorders>
              <w:top w:val="nil"/>
              <w:left w:val="nil"/>
              <w:bottom w:val="nil"/>
              <w:right w:val="nil"/>
            </w:tcBorders>
            <w:shd w:val="clear" w:color="auto" w:fill="auto"/>
            <w:vAlign w:val="bottom"/>
            <w:hideMark/>
          </w:tcPr>
          <w:p w14:paraId="7415B28D" w14:textId="7F4EF048" w:rsidR="00104228" w:rsidRPr="00235A28" w:rsidRDefault="00104228" w:rsidP="00104228">
            <w:pPr>
              <w:jc w:val="right"/>
              <w:rPr>
                <w:color w:val="000000"/>
                <w:sz w:val="14"/>
                <w:szCs w:val="14"/>
                <w:lang w:eastAsia="tr-TR"/>
              </w:rPr>
            </w:pPr>
            <w:r w:rsidRPr="00235A28">
              <w:rPr>
                <w:b/>
                <w:bCs/>
                <w:color w:val="000000"/>
                <w:sz w:val="14"/>
                <w:szCs w:val="14"/>
                <w:lang w:eastAsia="tr-TR"/>
              </w:rPr>
              <w:t>-</w:t>
            </w:r>
          </w:p>
        </w:tc>
        <w:tc>
          <w:tcPr>
            <w:tcW w:w="498" w:type="dxa"/>
            <w:tcBorders>
              <w:top w:val="nil"/>
              <w:left w:val="nil"/>
              <w:bottom w:val="nil"/>
              <w:right w:val="nil"/>
            </w:tcBorders>
            <w:shd w:val="clear" w:color="auto" w:fill="auto"/>
            <w:vAlign w:val="bottom"/>
            <w:hideMark/>
          </w:tcPr>
          <w:p w14:paraId="7F6FC9D9" w14:textId="44110DC2"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7E9F8922" w14:textId="6EB97630"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495CCE91" w14:textId="5532471F" w:rsidR="00104228" w:rsidRPr="00235A28" w:rsidRDefault="00104228" w:rsidP="00104228">
            <w:pPr>
              <w:jc w:val="right"/>
              <w:rPr>
                <w:b/>
                <w:bCs/>
                <w:color w:val="000000"/>
                <w:sz w:val="14"/>
                <w:szCs w:val="14"/>
                <w:lang w:eastAsia="tr-TR"/>
              </w:rPr>
            </w:pPr>
            <w:r w:rsidRPr="00235A28">
              <w:rPr>
                <w:color w:val="000000"/>
                <w:sz w:val="14"/>
                <w:szCs w:val="14"/>
                <w:lang w:eastAsia="tr-TR"/>
              </w:rPr>
              <w:t>86</w:t>
            </w:r>
          </w:p>
        </w:tc>
        <w:tc>
          <w:tcPr>
            <w:tcW w:w="692" w:type="dxa"/>
            <w:tcBorders>
              <w:top w:val="nil"/>
              <w:left w:val="nil"/>
              <w:bottom w:val="nil"/>
              <w:right w:val="nil"/>
            </w:tcBorders>
            <w:shd w:val="clear" w:color="auto" w:fill="auto"/>
            <w:vAlign w:val="bottom"/>
            <w:hideMark/>
          </w:tcPr>
          <w:p w14:paraId="086D7C34" w14:textId="0721A27D"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70" w:type="dxa"/>
            <w:tcBorders>
              <w:top w:val="nil"/>
              <w:left w:val="nil"/>
              <w:bottom w:val="nil"/>
              <w:right w:val="nil"/>
            </w:tcBorders>
            <w:shd w:val="clear" w:color="auto" w:fill="auto"/>
            <w:vAlign w:val="bottom"/>
            <w:hideMark/>
          </w:tcPr>
          <w:p w14:paraId="6B427D1A" w14:textId="6D06D197" w:rsidR="00104228" w:rsidRPr="00235A28" w:rsidRDefault="00104228" w:rsidP="00104228">
            <w:pPr>
              <w:jc w:val="right"/>
              <w:rPr>
                <w:color w:val="000000"/>
                <w:sz w:val="14"/>
                <w:szCs w:val="14"/>
                <w:lang w:eastAsia="tr-TR"/>
              </w:rPr>
            </w:pPr>
            <w:r w:rsidRPr="00235A28">
              <w:rPr>
                <w:color w:val="000000"/>
                <w:sz w:val="14"/>
                <w:szCs w:val="14"/>
                <w:lang w:eastAsia="tr-TR"/>
              </w:rPr>
              <w:t>74,398</w:t>
            </w:r>
          </w:p>
        </w:tc>
      </w:tr>
      <w:tr w:rsidR="00104228" w:rsidRPr="00235A28" w14:paraId="72D680BC" w14:textId="77777777" w:rsidTr="00BA637F">
        <w:trPr>
          <w:divId w:val="1024020004"/>
          <w:trHeight w:val="323"/>
        </w:trPr>
        <w:tc>
          <w:tcPr>
            <w:tcW w:w="3470" w:type="dxa"/>
            <w:tcBorders>
              <w:top w:val="nil"/>
              <w:left w:val="nil"/>
              <w:bottom w:val="nil"/>
              <w:right w:val="nil"/>
            </w:tcBorders>
            <w:shd w:val="clear" w:color="auto" w:fill="auto"/>
            <w:vAlign w:val="bottom"/>
            <w:hideMark/>
          </w:tcPr>
          <w:p w14:paraId="00AD601C" w14:textId="77777777" w:rsidR="00104228" w:rsidRPr="00235A28" w:rsidRDefault="00104228" w:rsidP="00104228">
            <w:pPr>
              <w:ind w:firstLineChars="100" w:firstLine="141"/>
              <w:rPr>
                <w:b/>
                <w:bCs/>
                <w:color w:val="000000"/>
                <w:sz w:val="14"/>
                <w:szCs w:val="14"/>
                <w:lang w:eastAsia="tr-TR"/>
              </w:rPr>
            </w:pPr>
            <w:r w:rsidRPr="00235A28">
              <w:rPr>
                <w:b/>
                <w:bCs/>
                <w:color w:val="000000"/>
                <w:sz w:val="14"/>
                <w:szCs w:val="14"/>
                <w:lang w:eastAsia="tr-TR"/>
              </w:rPr>
              <w:t>IX. Kıymetli maden DH</w:t>
            </w:r>
          </w:p>
        </w:tc>
        <w:tc>
          <w:tcPr>
            <w:tcW w:w="788" w:type="dxa"/>
            <w:tcBorders>
              <w:top w:val="nil"/>
              <w:left w:val="nil"/>
              <w:bottom w:val="nil"/>
              <w:right w:val="nil"/>
            </w:tcBorders>
            <w:shd w:val="clear" w:color="auto" w:fill="auto"/>
            <w:vAlign w:val="bottom"/>
            <w:hideMark/>
          </w:tcPr>
          <w:p w14:paraId="164CCB7F" w14:textId="501263DA" w:rsidR="00104228" w:rsidRPr="00235A28" w:rsidRDefault="00104228" w:rsidP="00104228">
            <w:pPr>
              <w:jc w:val="right"/>
              <w:rPr>
                <w:b/>
                <w:bCs/>
                <w:color w:val="000000"/>
                <w:sz w:val="14"/>
                <w:szCs w:val="14"/>
                <w:lang w:eastAsia="tr-TR"/>
              </w:rPr>
            </w:pPr>
            <w:r w:rsidRPr="00235A28">
              <w:rPr>
                <w:b/>
                <w:bCs/>
                <w:color w:val="000000"/>
                <w:sz w:val="14"/>
                <w:szCs w:val="14"/>
                <w:lang w:eastAsia="tr-TR"/>
              </w:rPr>
              <w:t>5,757,301</w:t>
            </w:r>
          </w:p>
        </w:tc>
        <w:tc>
          <w:tcPr>
            <w:tcW w:w="788" w:type="dxa"/>
            <w:tcBorders>
              <w:top w:val="nil"/>
              <w:left w:val="nil"/>
              <w:bottom w:val="nil"/>
              <w:right w:val="nil"/>
            </w:tcBorders>
            <w:shd w:val="clear" w:color="auto" w:fill="auto"/>
            <w:vAlign w:val="bottom"/>
            <w:hideMark/>
          </w:tcPr>
          <w:p w14:paraId="1B2778E5" w14:textId="0B6350DE" w:rsidR="00104228" w:rsidRPr="00235A28" w:rsidRDefault="00104228" w:rsidP="00104228">
            <w:pPr>
              <w:jc w:val="right"/>
              <w:rPr>
                <w:b/>
                <w:bCs/>
                <w:color w:val="000000"/>
                <w:sz w:val="14"/>
                <w:szCs w:val="14"/>
                <w:lang w:eastAsia="tr-TR"/>
              </w:rPr>
            </w:pPr>
            <w:r w:rsidRPr="00235A28">
              <w:rPr>
                <w:b/>
                <w:bCs/>
                <w:color w:val="000000"/>
                <w:sz w:val="14"/>
                <w:szCs w:val="14"/>
                <w:lang w:eastAsia="tr-TR"/>
              </w:rPr>
              <w:t>2,444,094</w:t>
            </w:r>
          </w:p>
        </w:tc>
        <w:tc>
          <w:tcPr>
            <w:tcW w:w="788" w:type="dxa"/>
            <w:tcBorders>
              <w:top w:val="nil"/>
              <w:left w:val="nil"/>
              <w:bottom w:val="nil"/>
              <w:right w:val="nil"/>
            </w:tcBorders>
            <w:shd w:val="clear" w:color="auto" w:fill="auto"/>
            <w:vAlign w:val="bottom"/>
            <w:hideMark/>
          </w:tcPr>
          <w:p w14:paraId="5455992F" w14:textId="4048492D" w:rsidR="00104228" w:rsidRPr="00235A28" w:rsidRDefault="00104228" w:rsidP="00104228">
            <w:pPr>
              <w:jc w:val="right"/>
              <w:rPr>
                <w:b/>
                <w:bCs/>
                <w:color w:val="000000"/>
                <w:sz w:val="14"/>
                <w:szCs w:val="14"/>
                <w:lang w:eastAsia="tr-TR"/>
              </w:rPr>
            </w:pPr>
            <w:r w:rsidRPr="00235A28">
              <w:rPr>
                <w:b/>
                <w:bCs/>
                <w:color w:val="000000"/>
                <w:sz w:val="14"/>
                <w:szCs w:val="14"/>
                <w:lang w:eastAsia="tr-TR"/>
              </w:rPr>
              <w:t>1,846,409</w:t>
            </w:r>
          </w:p>
        </w:tc>
        <w:tc>
          <w:tcPr>
            <w:tcW w:w="730" w:type="dxa"/>
            <w:tcBorders>
              <w:top w:val="nil"/>
              <w:left w:val="nil"/>
              <w:bottom w:val="nil"/>
              <w:right w:val="nil"/>
            </w:tcBorders>
            <w:shd w:val="clear" w:color="auto" w:fill="auto"/>
            <w:vAlign w:val="bottom"/>
            <w:hideMark/>
          </w:tcPr>
          <w:p w14:paraId="72E273CE" w14:textId="289EFE25" w:rsidR="00104228" w:rsidRPr="00235A28" w:rsidRDefault="00104228" w:rsidP="00104228">
            <w:pPr>
              <w:jc w:val="right"/>
              <w:rPr>
                <w:b/>
                <w:bCs/>
                <w:color w:val="000000"/>
                <w:sz w:val="14"/>
                <w:szCs w:val="14"/>
                <w:lang w:eastAsia="tr-TR"/>
              </w:rPr>
            </w:pPr>
            <w:r w:rsidRPr="00235A28">
              <w:rPr>
                <w:b/>
                <w:bCs/>
                <w:color w:val="000000"/>
                <w:sz w:val="14"/>
                <w:szCs w:val="14"/>
                <w:lang w:eastAsia="tr-TR"/>
              </w:rPr>
              <w:t>207,182</w:t>
            </w:r>
          </w:p>
        </w:tc>
        <w:tc>
          <w:tcPr>
            <w:tcW w:w="498" w:type="dxa"/>
            <w:tcBorders>
              <w:top w:val="nil"/>
              <w:left w:val="nil"/>
              <w:bottom w:val="nil"/>
              <w:right w:val="nil"/>
            </w:tcBorders>
            <w:shd w:val="clear" w:color="auto" w:fill="auto"/>
            <w:vAlign w:val="bottom"/>
            <w:hideMark/>
          </w:tcPr>
          <w:p w14:paraId="7481922E" w14:textId="7099236F" w:rsidR="00104228" w:rsidRPr="00235A28" w:rsidRDefault="00104228" w:rsidP="00104228">
            <w:pPr>
              <w:jc w:val="right"/>
              <w:rPr>
                <w:b/>
                <w:bCs/>
                <w:color w:val="000000"/>
                <w:sz w:val="14"/>
                <w:szCs w:val="14"/>
                <w:lang w:eastAsia="tr-TR"/>
              </w:rPr>
            </w:pPr>
            <w:r w:rsidRPr="00235A28">
              <w:rPr>
                <w:b/>
                <w:bCs/>
                <w:color w:val="000000"/>
                <w:sz w:val="14"/>
                <w:szCs w:val="14"/>
                <w:lang w:eastAsia="tr-TR"/>
              </w:rPr>
              <w:t>-</w:t>
            </w:r>
          </w:p>
        </w:tc>
        <w:tc>
          <w:tcPr>
            <w:tcW w:w="730" w:type="dxa"/>
            <w:tcBorders>
              <w:top w:val="nil"/>
              <w:left w:val="nil"/>
              <w:bottom w:val="nil"/>
              <w:right w:val="nil"/>
            </w:tcBorders>
            <w:shd w:val="clear" w:color="auto" w:fill="auto"/>
            <w:vAlign w:val="bottom"/>
            <w:hideMark/>
          </w:tcPr>
          <w:p w14:paraId="29D1E1BA" w14:textId="6D667469" w:rsidR="00104228" w:rsidRPr="00235A28" w:rsidRDefault="00104228" w:rsidP="00104228">
            <w:pPr>
              <w:jc w:val="right"/>
              <w:rPr>
                <w:b/>
                <w:bCs/>
                <w:color w:val="000000"/>
                <w:sz w:val="14"/>
                <w:szCs w:val="14"/>
                <w:lang w:eastAsia="tr-TR"/>
              </w:rPr>
            </w:pPr>
            <w:r w:rsidRPr="00235A28">
              <w:rPr>
                <w:b/>
                <w:bCs/>
                <w:color w:val="000000"/>
                <w:sz w:val="14"/>
                <w:szCs w:val="14"/>
                <w:lang w:eastAsia="tr-TR"/>
              </w:rPr>
              <w:t>113,344</w:t>
            </w:r>
          </w:p>
        </w:tc>
        <w:tc>
          <w:tcPr>
            <w:tcW w:w="730" w:type="dxa"/>
            <w:tcBorders>
              <w:top w:val="nil"/>
              <w:left w:val="nil"/>
              <w:bottom w:val="nil"/>
              <w:right w:val="nil"/>
            </w:tcBorders>
            <w:shd w:val="clear" w:color="auto" w:fill="auto"/>
            <w:vAlign w:val="bottom"/>
            <w:hideMark/>
          </w:tcPr>
          <w:p w14:paraId="73CD6F83" w14:textId="4B73C014" w:rsidR="00104228" w:rsidRPr="00235A28" w:rsidRDefault="00104228" w:rsidP="00104228">
            <w:pPr>
              <w:jc w:val="right"/>
              <w:rPr>
                <w:b/>
                <w:bCs/>
                <w:color w:val="000000"/>
                <w:sz w:val="14"/>
                <w:szCs w:val="14"/>
                <w:lang w:eastAsia="tr-TR"/>
              </w:rPr>
            </w:pPr>
            <w:r w:rsidRPr="00235A28">
              <w:rPr>
                <w:b/>
                <w:bCs/>
                <w:color w:val="000000"/>
                <w:sz w:val="14"/>
                <w:szCs w:val="14"/>
                <w:lang w:eastAsia="tr-TR"/>
              </w:rPr>
              <w:t>4,703</w:t>
            </w:r>
          </w:p>
        </w:tc>
        <w:tc>
          <w:tcPr>
            <w:tcW w:w="692" w:type="dxa"/>
            <w:tcBorders>
              <w:top w:val="nil"/>
              <w:left w:val="nil"/>
              <w:bottom w:val="nil"/>
              <w:right w:val="nil"/>
            </w:tcBorders>
            <w:shd w:val="clear" w:color="auto" w:fill="auto"/>
            <w:vAlign w:val="bottom"/>
            <w:hideMark/>
          </w:tcPr>
          <w:p w14:paraId="2B3BF7B7" w14:textId="3DF5039C" w:rsidR="00104228" w:rsidRPr="00235A28" w:rsidRDefault="00104228" w:rsidP="00104228">
            <w:pPr>
              <w:jc w:val="right"/>
              <w:rPr>
                <w:b/>
                <w:bCs/>
                <w:color w:val="000000"/>
                <w:sz w:val="14"/>
                <w:szCs w:val="14"/>
                <w:lang w:eastAsia="tr-TR"/>
              </w:rPr>
            </w:pPr>
            <w:r w:rsidRPr="00235A28">
              <w:rPr>
                <w:b/>
                <w:bCs/>
                <w:color w:val="000000"/>
                <w:sz w:val="14"/>
                <w:szCs w:val="14"/>
                <w:lang w:eastAsia="tr-TR"/>
              </w:rPr>
              <w:t>61</w:t>
            </w:r>
          </w:p>
        </w:tc>
        <w:tc>
          <w:tcPr>
            <w:tcW w:w="770" w:type="dxa"/>
            <w:tcBorders>
              <w:top w:val="nil"/>
              <w:left w:val="nil"/>
              <w:bottom w:val="nil"/>
              <w:right w:val="nil"/>
            </w:tcBorders>
            <w:shd w:val="clear" w:color="auto" w:fill="auto"/>
            <w:vAlign w:val="bottom"/>
            <w:hideMark/>
          </w:tcPr>
          <w:p w14:paraId="369AFC86" w14:textId="1B625873" w:rsidR="00104228" w:rsidRPr="00235A28" w:rsidRDefault="00104228" w:rsidP="00104228">
            <w:pPr>
              <w:jc w:val="right"/>
              <w:rPr>
                <w:b/>
                <w:bCs/>
                <w:color w:val="000000"/>
                <w:sz w:val="14"/>
                <w:szCs w:val="14"/>
                <w:lang w:eastAsia="tr-TR"/>
              </w:rPr>
            </w:pPr>
            <w:r w:rsidRPr="00235A28">
              <w:rPr>
                <w:b/>
                <w:bCs/>
                <w:color w:val="000000"/>
                <w:sz w:val="14"/>
                <w:szCs w:val="14"/>
                <w:lang w:eastAsia="tr-TR"/>
              </w:rPr>
              <w:t>10,373,094</w:t>
            </w:r>
          </w:p>
        </w:tc>
      </w:tr>
      <w:tr w:rsidR="00104228" w:rsidRPr="00235A28" w14:paraId="052AC18A" w14:textId="77777777" w:rsidTr="00BA637F">
        <w:trPr>
          <w:divId w:val="1024020004"/>
          <w:trHeight w:val="247"/>
        </w:trPr>
        <w:tc>
          <w:tcPr>
            <w:tcW w:w="3470" w:type="dxa"/>
            <w:tcBorders>
              <w:top w:val="nil"/>
              <w:left w:val="nil"/>
              <w:bottom w:val="nil"/>
              <w:right w:val="nil"/>
            </w:tcBorders>
            <w:shd w:val="clear" w:color="auto" w:fill="auto"/>
            <w:vAlign w:val="bottom"/>
            <w:hideMark/>
          </w:tcPr>
          <w:p w14:paraId="2A15A742" w14:textId="77777777" w:rsidR="00104228" w:rsidRPr="00235A28" w:rsidRDefault="00104228" w:rsidP="00104228">
            <w:pPr>
              <w:ind w:firstLineChars="100" w:firstLine="140"/>
              <w:rPr>
                <w:b/>
                <w:bCs/>
                <w:color w:val="000000"/>
                <w:sz w:val="14"/>
                <w:szCs w:val="14"/>
                <w:lang w:eastAsia="tr-TR"/>
              </w:rPr>
            </w:pPr>
            <w:r w:rsidRPr="00235A28">
              <w:rPr>
                <w:rFonts w:eastAsia="Arial Unicode MS"/>
                <w:b/>
                <w:bCs/>
                <w:color w:val="000000"/>
                <w:sz w:val="14"/>
                <w:szCs w:val="14"/>
                <w:lang w:eastAsia="tr-TR"/>
              </w:rPr>
              <w:t>X. Katılma hesapları özel fon havuzları TP</w:t>
            </w:r>
          </w:p>
        </w:tc>
        <w:tc>
          <w:tcPr>
            <w:tcW w:w="788" w:type="dxa"/>
            <w:tcBorders>
              <w:top w:val="nil"/>
              <w:left w:val="nil"/>
              <w:bottom w:val="nil"/>
              <w:right w:val="nil"/>
            </w:tcBorders>
            <w:shd w:val="clear" w:color="auto" w:fill="auto"/>
            <w:vAlign w:val="bottom"/>
            <w:hideMark/>
          </w:tcPr>
          <w:p w14:paraId="1BBE454D" w14:textId="2A12751D"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6D7568E5" w14:textId="6FDF0FFA"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4C4615CC" w14:textId="2F093C84"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37BF0FA6" w14:textId="4D8CA38D"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37C8134B" w14:textId="592CA1CC"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119902BC" w14:textId="059A7798"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360A9BA6" w14:textId="751B15E4"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5001EF5E" w14:textId="182EB708"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7548CE99" w14:textId="03C6CAC0" w:rsidR="00104228" w:rsidRPr="00235A28" w:rsidRDefault="00104228" w:rsidP="00104228">
            <w:pPr>
              <w:jc w:val="right"/>
              <w:rPr>
                <w:color w:val="000000"/>
                <w:sz w:val="14"/>
                <w:szCs w:val="14"/>
                <w:lang w:eastAsia="tr-TR"/>
              </w:rPr>
            </w:pPr>
            <w:r w:rsidRPr="00235A28">
              <w:rPr>
                <w:color w:val="000000"/>
                <w:sz w:val="14"/>
                <w:szCs w:val="14"/>
                <w:lang w:eastAsia="tr-TR"/>
              </w:rPr>
              <w:t>-</w:t>
            </w:r>
          </w:p>
        </w:tc>
      </w:tr>
      <w:tr w:rsidR="00104228" w:rsidRPr="00235A28" w14:paraId="04590ECD" w14:textId="77777777" w:rsidTr="00BA637F">
        <w:trPr>
          <w:divId w:val="1024020004"/>
          <w:trHeight w:val="208"/>
        </w:trPr>
        <w:tc>
          <w:tcPr>
            <w:tcW w:w="3470" w:type="dxa"/>
            <w:tcBorders>
              <w:top w:val="nil"/>
              <w:left w:val="nil"/>
              <w:bottom w:val="nil"/>
              <w:right w:val="nil"/>
            </w:tcBorders>
            <w:shd w:val="clear" w:color="auto" w:fill="auto"/>
            <w:vAlign w:val="bottom"/>
            <w:hideMark/>
          </w:tcPr>
          <w:p w14:paraId="544F8BA5" w14:textId="77777777" w:rsidR="00104228" w:rsidRPr="00235A28" w:rsidRDefault="00104228" w:rsidP="00104228">
            <w:pPr>
              <w:ind w:firstLineChars="100" w:firstLine="140"/>
              <w:rPr>
                <w:color w:val="000000"/>
                <w:sz w:val="14"/>
                <w:szCs w:val="14"/>
                <w:lang w:eastAsia="tr-TR"/>
              </w:rPr>
            </w:pPr>
            <w:r w:rsidRPr="00235A28">
              <w:rPr>
                <w:color w:val="000000"/>
                <w:sz w:val="14"/>
                <w:szCs w:val="14"/>
                <w:lang w:eastAsia="tr-TR"/>
              </w:rPr>
              <w:t>Yurt içinde yer. K</w:t>
            </w:r>
          </w:p>
        </w:tc>
        <w:tc>
          <w:tcPr>
            <w:tcW w:w="788" w:type="dxa"/>
            <w:tcBorders>
              <w:top w:val="nil"/>
              <w:left w:val="nil"/>
              <w:bottom w:val="nil"/>
              <w:right w:val="nil"/>
            </w:tcBorders>
            <w:shd w:val="clear" w:color="auto" w:fill="auto"/>
            <w:vAlign w:val="bottom"/>
            <w:hideMark/>
          </w:tcPr>
          <w:p w14:paraId="0AAD21D8" w14:textId="0FFD0123"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2EF81A56" w14:textId="2F9A6B7A"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7F1717ED" w14:textId="478677C7"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33FDD243" w14:textId="06EA90A1"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2B783539" w14:textId="7B4DF628"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3D9EA03A" w14:textId="28CE8A1E"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0975A6B8" w14:textId="7E7E82BE"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01898590" w14:textId="582535E6"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13D598F1" w14:textId="3D44B4DA" w:rsidR="00104228" w:rsidRPr="00235A28" w:rsidRDefault="00104228" w:rsidP="00104228">
            <w:pPr>
              <w:jc w:val="right"/>
              <w:rPr>
                <w:color w:val="000000"/>
                <w:sz w:val="14"/>
                <w:szCs w:val="14"/>
                <w:lang w:eastAsia="tr-TR"/>
              </w:rPr>
            </w:pPr>
            <w:r w:rsidRPr="00235A28">
              <w:rPr>
                <w:color w:val="000000"/>
                <w:sz w:val="14"/>
                <w:szCs w:val="14"/>
                <w:lang w:eastAsia="tr-TR"/>
              </w:rPr>
              <w:t>-</w:t>
            </w:r>
          </w:p>
        </w:tc>
      </w:tr>
      <w:tr w:rsidR="00104228" w:rsidRPr="00235A28" w14:paraId="20125757" w14:textId="77777777" w:rsidTr="00BA637F">
        <w:trPr>
          <w:divId w:val="1024020004"/>
          <w:trHeight w:val="208"/>
        </w:trPr>
        <w:tc>
          <w:tcPr>
            <w:tcW w:w="3470" w:type="dxa"/>
            <w:tcBorders>
              <w:top w:val="nil"/>
              <w:left w:val="nil"/>
              <w:bottom w:val="nil"/>
              <w:right w:val="nil"/>
            </w:tcBorders>
            <w:shd w:val="clear" w:color="auto" w:fill="auto"/>
            <w:vAlign w:val="bottom"/>
            <w:hideMark/>
          </w:tcPr>
          <w:p w14:paraId="679984C2" w14:textId="77777777" w:rsidR="00104228" w:rsidRPr="00235A28" w:rsidRDefault="00104228" w:rsidP="00104228">
            <w:pPr>
              <w:ind w:firstLineChars="100" w:firstLine="140"/>
              <w:rPr>
                <w:color w:val="000000"/>
                <w:sz w:val="14"/>
                <w:szCs w:val="14"/>
                <w:lang w:eastAsia="tr-TR"/>
              </w:rPr>
            </w:pPr>
            <w:r w:rsidRPr="00235A28">
              <w:rPr>
                <w:color w:val="000000"/>
                <w:sz w:val="14"/>
                <w:szCs w:val="14"/>
                <w:lang w:eastAsia="tr-TR"/>
              </w:rPr>
              <w:t xml:space="preserve">Yurt dışında </w:t>
            </w:r>
            <w:proofErr w:type="spellStart"/>
            <w:proofErr w:type="gramStart"/>
            <w:r w:rsidRPr="00235A28">
              <w:rPr>
                <w:color w:val="000000"/>
                <w:sz w:val="14"/>
                <w:szCs w:val="14"/>
                <w:lang w:eastAsia="tr-TR"/>
              </w:rPr>
              <w:t>yer.K</w:t>
            </w:r>
            <w:proofErr w:type="spellEnd"/>
            <w:proofErr w:type="gramEnd"/>
          </w:p>
        </w:tc>
        <w:tc>
          <w:tcPr>
            <w:tcW w:w="788" w:type="dxa"/>
            <w:tcBorders>
              <w:top w:val="nil"/>
              <w:left w:val="nil"/>
              <w:bottom w:val="nil"/>
              <w:right w:val="nil"/>
            </w:tcBorders>
            <w:shd w:val="clear" w:color="auto" w:fill="auto"/>
            <w:vAlign w:val="bottom"/>
            <w:hideMark/>
          </w:tcPr>
          <w:p w14:paraId="0786E41A" w14:textId="595390A9"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5CE97E87" w14:textId="67828D79"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04A7ED05" w14:textId="6E390EE0"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393C827A" w14:textId="7F1D7CE0"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61665BDC" w14:textId="77F60E96"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2EDEE316" w14:textId="03D383D4"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37BA8681" w14:textId="7A504166"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09C6CF98" w14:textId="6E0B30F7"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2B16ADB2" w14:textId="6256E5F3" w:rsidR="00104228" w:rsidRPr="00235A28" w:rsidRDefault="00104228" w:rsidP="00104228">
            <w:pPr>
              <w:jc w:val="right"/>
              <w:rPr>
                <w:color w:val="000000"/>
                <w:sz w:val="14"/>
                <w:szCs w:val="14"/>
                <w:lang w:eastAsia="tr-TR"/>
              </w:rPr>
            </w:pPr>
            <w:r w:rsidRPr="00235A28">
              <w:rPr>
                <w:color w:val="000000"/>
                <w:sz w:val="14"/>
                <w:szCs w:val="14"/>
                <w:lang w:eastAsia="tr-TR"/>
              </w:rPr>
              <w:t>-</w:t>
            </w:r>
          </w:p>
        </w:tc>
      </w:tr>
      <w:tr w:rsidR="00104228" w:rsidRPr="00235A28" w14:paraId="1C9C446A" w14:textId="77777777" w:rsidTr="00BA637F">
        <w:trPr>
          <w:divId w:val="1024020004"/>
          <w:trHeight w:val="247"/>
        </w:trPr>
        <w:tc>
          <w:tcPr>
            <w:tcW w:w="3470" w:type="dxa"/>
            <w:tcBorders>
              <w:top w:val="nil"/>
              <w:left w:val="nil"/>
              <w:bottom w:val="nil"/>
              <w:right w:val="nil"/>
            </w:tcBorders>
            <w:shd w:val="clear" w:color="auto" w:fill="auto"/>
            <w:vAlign w:val="bottom"/>
            <w:hideMark/>
          </w:tcPr>
          <w:p w14:paraId="7AAD57A1" w14:textId="77777777" w:rsidR="00104228" w:rsidRPr="00235A28" w:rsidRDefault="00104228" w:rsidP="00104228">
            <w:pPr>
              <w:ind w:firstLineChars="100" w:firstLine="140"/>
              <w:rPr>
                <w:b/>
                <w:bCs/>
                <w:color w:val="000000"/>
                <w:sz w:val="14"/>
                <w:szCs w:val="14"/>
                <w:lang w:eastAsia="tr-TR"/>
              </w:rPr>
            </w:pPr>
            <w:r w:rsidRPr="00235A28">
              <w:rPr>
                <w:rFonts w:eastAsia="Arial Unicode MS"/>
                <w:b/>
                <w:bCs/>
                <w:color w:val="000000"/>
                <w:sz w:val="14"/>
                <w:szCs w:val="14"/>
                <w:lang w:eastAsia="tr-TR"/>
              </w:rPr>
              <w:t>XI. Katılma hesapları özel fon havuzları-YP</w:t>
            </w:r>
          </w:p>
        </w:tc>
        <w:tc>
          <w:tcPr>
            <w:tcW w:w="788" w:type="dxa"/>
            <w:tcBorders>
              <w:top w:val="nil"/>
              <w:left w:val="nil"/>
              <w:bottom w:val="nil"/>
              <w:right w:val="nil"/>
            </w:tcBorders>
            <w:shd w:val="clear" w:color="auto" w:fill="auto"/>
            <w:vAlign w:val="bottom"/>
            <w:hideMark/>
          </w:tcPr>
          <w:p w14:paraId="6707B013" w14:textId="054866D7"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2CFABB05" w14:textId="58E6F604"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29E57ACC" w14:textId="49161B03"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63A49EA0" w14:textId="42F31B7C"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3D665B02" w14:textId="50B17FA7"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1ABE315F" w14:textId="40A98839"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0D78D498" w14:textId="0542E889"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6F807ED7" w14:textId="03A99A57"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2F8F0414" w14:textId="4037229D" w:rsidR="00104228" w:rsidRPr="00235A28" w:rsidRDefault="00104228" w:rsidP="00104228">
            <w:pPr>
              <w:jc w:val="right"/>
              <w:rPr>
                <w:color w:val="000000"/>
                <w:sz w:val="14"/>
                <w:szCs w:val="14"/>
                <w:lang w:eastAsia="tr-TR"/>
              </w:rPr>
            </w:pPr>
            <w:r w:rsidRPr="00235A28">
              <w:rPr>
                <w:color w:val="000000"/>
                <w:sz w:val="14"/>
                <w:szCs w:val="14"/>
                <w:lang w:eastAsia="tr-TR"/>
              </w:rPr>
              <w:t>-</w:t>
            </w:r>
          </w:p>
        </w:tc>
      </w:tr>
      <w:tr w:rsidR="00104228" w:rsidRPr="00235A28" w14:paraId="41597073" w14:textId="77777777" w:rsidTr="00BA637F">
        <w:trPr>
          <w:divId w:val="1024020004"/>
          <w:trHeight w:val="208"/>
        </w:trPr>
        <w:tc>
          <w:tcPr>
            <w:tcW w:w="3470" w:type="dxa"/>
            <w:tcBorders>
              <w:top w:val="nil"/>
              <w:left w:val="nil"/>
              <w:bottom w:val="nil"/>
              <w:right w:val="nil"/>
            </w:tcBorders>
            <w:shd w:val="clear" w:color="auto" w:fill="auto"/>
            <w:vAlign w:val="bottom"/>
            <w:hideMark/>
          </w:tcPr>
          <w:p w14:paraId="31F9657C" w14:textId="77777777" w:rsidR="00104228" w:rsidRPr="00235A28" w:rsidRDefault="00104228" w:rsidP="00104228">
            <w:pPr>
              <w:ind w:firstLineChars="100" w:firstLine="140"/>
              <w:rPr>
                <w:color w:val="000000"/>
                <w:sz w:val="14"/>
                <w:szCs w:val="14"/>
                <w:lang w:eastAsia="tr-TR"/>
              </w:rPr>
            </w:pPr>
            <w:r w:rsidRPr="00235A28">
              <w:rPr>
                <w:color w:val="000000"/>
                <w:sz w:val="14"/>
                <w:szCs w:val="14"/>
                <w:lang w:eastAsia="tr-TR"/>
              </w:rPr>
              <w:t>Yurt içinde yer. K</w:t>
            </w:r>
          </w:p>
        </w:tc>
        <w:tc>
          <w:tcPr>
            <w:tcW w:w="788" w:type="dxa"/>
            <w:tcBorders>
              <w:top w:val="nil"/>
              <w:left w:val="nil"/>
              <w:bottom w:val="nil"/>
              <w:right w:val="nil"/>
            </w:tcBorders>
            <w:shd w:val="clear" w:color="auto" w:fill="auto"/>
            <w:vAlign w:val="bottom"/>
            <w:hideMark/>
          </w:tcPr>
          <w:p w14:paraId="47B70AC2" w14:textId="5C1728E4"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54247D9B" w14:textId="33E85509"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16F387F1" w14:textId="3E02C754"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17B2D9DB" w14:textId="6D8D80B2"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435C6DF7" w14:textId="5803CF08"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BF37A8A" w14:textId="63071B19"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56B0E9DB" w14:textId="0CC32978"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5C085BB6" w14:textId="3433ADC6"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47B33733" w14:textId="7D64B73B" w:rsidR="00104228" w:rsidRPr="00235A28" w:rsidRDefault="00104228" w:rsidP="00104228">
            <w:pPr>
              <w:jc w:val="right"/>
              <w:rPr>
                <w:color w:val="000000"/>
                <w:sz w:val="14"/>
                <w:szCs w:val="14"/>
                <w:lang w:eastAsia="tr-TR"/>
              </w:rPr>
            </w:pPr>
            <w:r w:rsidRPr="00235A28">
              <w:rPr>
                <w:color w:val="000000"/>
                <w:sz w:val="14"/>
                <w:szCs w:val="14"/>
                <w:lang w:eastAsia="tr-TR"/>
              </w:rPr>
              <w:t>-</w:t>
            </w:r>
          </w:p>
        </w:tc>
      </w:tr>
      <w:tr w:rsidR="00104228" w:rsidRPr="00235A28" w14:paraId="2D7F3B63" w14:textId="77777777" w:rsidTr="00BA637F">
        <w:trPr>
          <w:divId w:val="1024020004"/>
          <w:trHeight w:val="208"/>
        </w:trPr>
        <w:tc>
          <w:tcPr>
            <w:tcW w:w="3470" w:type="dxa"/>
            <w:tcBorders>
              <w:top w:val="nil"/>
              <w:left w:val="nil"/>
              <w:bottom w:val="nil"/>
              <w:right w:val="nil"/>
            </w:tcBorders>
            <w:shd w:val="clear" w:color="auto" w:fill="auto"/>
            <w:vAlign w:val="bottom"/>
            <w:hideMark/>
          </w:tcPr>
          <w:p w14:paraId="1F3BCC36" w14:textId="77777777" w:rsidR="00104228" w:rsidRPr="00235A28" w:rsidRDefault="00104228" w:rsidP="00104228">
            <w:pPr>
              <w:ind w:firstLineChars="100" w:firstLine="140"/>
              <w:rPr>
                <w:color w:val="000000"/>
                <w:sz w:val="14"/>
                <w:szCs w:val="14"/>
                <w:lang w:eastAsia="tr-TR"/>
              </w:rPr>
            </w:pPr>
            <w:r w:rsidRPr="00235A28">
              <w:rPr>
                <w:color w:val="000000"/>
                <w:sz w:val="14"/>
                <w:szCs w:val="14"/>
                <w:lang w:eastAsia="tr-TR"/>
              </w:rPr>
              <w:t xml:space="preserve">Yurt dışında </w:t>
            </w:r>
            <w:proofErr w:type="spellStart"/>
            <w:proofErr w:type="gramStart"/>
            <w:r w:rsidRPr="00235A28">
              <w:rPr>
                <w:color w:val="000000"/>
                <w:sz w:val="14"/>
                <w:szCs w:val="14"/>
                <w:lang w:eastAsia="tr-TR"/>
              </w:rPr>
              <w:t>yer.K</w:t>
            </w:r>
            <w:proofErr w:type="spellEnd"/>
            <w:proofErr w:type="gramEnd"/>
          </w:p>
        </w:tc>
        <w:tc>
          <w:tcPr>
            <w:tcW w:w="788" w:type="dxa"/>
            <w:tcBorders>
              <w:top w:val="nil"/>
              <w:left w:val="nil"/>
              <w:bottom w:val="nil"/>
              <w:right w:val="nil"/>
            </w:tcBorders>
            <w:shd w:val="clear" w:color="auto" w:fill="auto"/>
            <w:vAlign w:val="bottom"/>
            <w:hideMark/>
          </w:tcPr>
          <w:p w14:paraId="541604B0" w14:textId="05C304B2"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6BBEC24E" w14:textId="4D2DD530"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10311988" w14:textId="475DF906"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6AD3F29" w14:textId="285DE72F"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7F5CF00B" w14:textId="3ECFCBFF"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2B71C245" w14:textId="40AC8602"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463696AD" w14:textId="040483F0"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373F3ADF" w14:textId="6C74BDE5"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nil"/>
              <w:right w:val="nil"/>
            </w:tcBorders>
            <w:shd w:val="clear" w:color="auto" w:fill="auto"/>
            <w:vAlign w:val="bottom"/>
            <w:hideMark/>
          </w:tcPr>
          <w:p w14:paraId="0FC2568E" w14:textId="5A7B5256" w:rsidR="00104228" w:rsidRPr="00235A28" w:rsidRDefault="00104228" w:rsidP="00104228">
            <w:pPr>
              <w:jc w:val="right"/>
              <w:rPr>
                <w:color w:val="000000"/>
                <w:sz w:val="14"/>
                <w:szCs w:val="14"/>
                <w:lang w:eastAsia="tr-TR"/>
              </w:rPr>
            </w:pPr>
            <w:r w:rsidRPr="00235A28">
              <w:rPr>
                <w:color w:val="000000"/>
                <w:sz w:val="14"/>
                <w:szCs w:val="14"/>
                <w:lang w:eastAsia="tr-TR"/>
              </w:rPr>
              <w:t>-</w:t>
            </w:r>
          </w:p>
        </w:tc>
      </w:tr>
      <w:tr w:rsidR="00104228" w:rsidRPr="00235A28" w14:paraId="24E41E68" w14:textId="77777777" w:rsidTr="00BA637F">
        <w:trPr>
          <w:divId w:val="1024020004"/>
          <w:trHeight w:val="208"/>
        </w:trPr>
        <w:tc>
          <w:tcPr>
            <w:tcW w:w="3470" w:type="dxa"/>
            <w:tcBorders>
              <w:top w:val="nil"/>
              <w:left w:val="nil"/>
              <w:bottom w:val="single" w:sz="8" w:space="0" w:color="000000"/>
              <w:right w:val="nil"/>
            </w:tcBorders>
            <w:shd w:val="clear" w:color="auto" w:fill="auto"/>
            <w:vAlign w:val="bottom"/>
            <w:hideMark/>
          </w:tcPr>
          <w:p w14:paraId="0516087B" w14:textId="4812891B" w:rsidR="00104228" w:rsidRPr="00235A28" w:rsidRDefault="00104228" w:rsidP="00104228">
            <w:pPr>
              <w:ind w:firstLineChars="100" w:firstLine="140"/>
              <w:rPr>
                <w:color w:val="000000"/>
                <w:sz w:val="14"/>
                <w:szCs w:val="14"/>
                <w:lang w:eastAsia="tr-TR"/>
              </w:rPr>
            </w:pPr>
          </w:p>
        </w:tc>
        <w:tc>
          <w:tcPr>
            <w:tcW w:w="788" w:type="dxa"/>
            <w:tcBorders>
              <w:top w:val="nil"/>
              <w:left w:val="nil"/>
              <w:bottom w:val="single" w:sz="8" w:space="0" w:color="000000"/>
              <w:right w:val="nil"/>
            </w:tcBorders>
            <w:shd w:val="clear" w:color="auto" w:fill="auto"/>
            <w:vAlign w:val="bottom"/>
            <w:hideMark/>
          </w:tcPr>
          <w:p w14:paraId="394FFD0C" w14:textId="6D334868"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single" w:sz="8" w:space="0" w:color="000000"/>
              <w:right w:val="nil"/>
            </w:tcBorders>
            <w:shd w:val="clear" w:color="auto" w:fill="auto"/>
            <w:vAlign w:val="bottom"/>
            <w:hideMark/>
          </w:tcPr>
          <w:p w14:paraId="4CAB8F33" w14:textId="03E4C0E2"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88" w:type="dxa"/>
            <w:tcBorders>
              <w:top w:val="nil"/>
              <w:left w:val="nil"/>
              <w:bottom w:val="nil"/>
              <w:right w:val="nil"/>
            </w:tcBorders>
            <w:shd w:val="clear" w:color="auto" w:fill="auto"/>
            <w:vAlign w:val="bottom"/>
            <w:hideMark/>
          </w:tcPr>
          <w:p w14:paraId="6CA16932" w14:textId="16C2F75C"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single" w:sz="8" w:space="0" w:color="auto"/>
              <w:right w:val="nil"/>
            </w:tcBorders>
            <w:shd w:val="clear" w:color="auto" w:fill="auto"/>
            <w:vAlign w:val="bottom"/>
            <w:hideMark/>
          </w:tcPr>
          <w:p w14:paraId="074DA2EC" w14:textId="7D686469"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498" w:type="dxa"/>
            <w:tcBorders>
              <w:top w:val="nil"/>
              <w:left w:val="nil"/>
              <w:bottom w:val="nil"/>
              <w:right w:val="nil"/>
            </w:tcBorders>
            <w:shd w:val="clear" w:color="auto" w:fill="auto"/>
            <w:vAlign w:val="bottom"/>
            <w:hideMark/>
          </w:tcPr>
          <w:p w14:paraId="486FDFAC" w14:textId="5AB9150C"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06E49C36" w14:textId="283351D0"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730" w:type="dxa"/>
            <w:tcBorders>
              <w:top w:val="nil"/>
              <w:left w:val="nil"/>
              <w:bottom w:val="nil"/>
              <w:right w:val="nil"/>
            </w:tcBorders>
            <w:shd w:val="clear" w:color="auto" w:fill="auto"/>
            <w:vAlign w:val="bottom"/>
            <w:hideMark/>
          </w:tcPr>
          <w:p w14:paraId="0B49651D" w14:textId="605DBFB9" w:rsidR="00104228" w:rsidRPr="00235A28" w:rsidRDefault="00104228" w:rsidP="00104228">
            <w:pPr>
              <w:jc w:val="right"/>
              <w:rPr>
                <w:color w:val="000000"/>
                <w:sz w:val="14"/>
                <w:szCs w:val="14"/>
                <w:lang w:eastAsia="tr-TR"/>
              </w:rPr>
            </w:pPr>
            <w:r w:rsidRPr="00235A28">
              <w:rPr>
                <w:color w:val="000000"/>
                <w:sz w:val="14"/>
                <w:szCs w:val="14"/>
                <w:lang w:eastAsia="tr-TR"/>
              </w:rPr>
              <w:t>-</w:t>
            </w:r>
          </w:p>
        </w:tc>
        <w:tc>
          <w:tcPr>
            <w:tcW w:w="692" w:type="dxa"/>
            <w:tcBorders>
              <w:top w:val="nil"/>
              <w:left w:val="nil"/>
              <w:bottom w:val="nil"/>
              <w:right w:val="nil"/>
            </w:tcBorders>
            <w:shd w:val="clear" w:color="auto" w:fill="auto"/>
            <w:vAlign w:val="bottom"/>
            <w:hideMark/>
          </w:tcPr>
          <w:p w14:paraId="19B8C46E" w14:textId="634F6D16" w:rsidR="00104228" w:rsidRPr="00235A28" w:rsidRDefault="00104228" w:rsidP="00104228">
            <w:pPr>
              <w:jc w:val="right"/>
              <w:rPr>
                <w:b/>
                <w:bCs/>
                <w:color w:val="000000"/>
                <w:sz w:val="14"/>
                <w:szCs w:val="14"/>
                <w:lang w:eastAsia="tr-TR"/>
              </w:rPr>
            </w:pPr>
            <w:r w:rsidRPr="00235A28">
              <w:rPr>
                <w:color w:val="000000"/>
                <w:sz w:val="14"/>
                <w:szCs w:val="14"/>
                <w:lang w:eastAsia="tr-TR"/>
              </w:rPr>
              <w:t>-</w:t>
            </w:r>
          </w:p>
        </w:tc>
        <w:tc>
          <w:tcPr>
            <w:tcW w:w="770" w:type="dxa"/>
            <w:tcBorders>
              <w:top w:val="nil"/>
              <w:left w:val="nil"/>
              <w:bottom w:val="single" w:sz="8" w:space="0" w:color="000000"/>
              <w:right w:val="nil"/>
            </w:tcBorders>
            <w:shd w:val="clear" w:color="auto" w:fill="auto"/>
            <w:vAlign w:val="bottom"/>
            <w:hideMark/>
          </w:tcPr>
          <w:p w14:paraId="605480F5" w14:textId="45552370" w:rsidR="00104228" w:rsidRPr="00235A28" w:rsidRDefault="00104228" w:rsidP="00104228">
            <w:pPr>
              <w:jc w:val="right"/>
              <w:rPr>
                <w:color w:val="000000"/>
                <w:sz w:val="14"/>
                <w:szCs w:val="14"/>
                <w:lang w:eastAsia="tr-TR"/>
              </w:rPr>
            </w:pPr>
            <w:r w:rsidRPr="00235A28">
              <w:rPr>
                <w:color w:val="000000"/>
                <w:sz w:val="14"/>
                <w:szCs w:val="14"/>
                <w:lang w:eastAsia="tr-TR"/>
              </w:rPr>
              <w:t>-</w:t>
            </w:r>
          </w:p>
        </w:tc>
      </w:tr>
      <w:tr w:rsidR="00104228" w:rsidRPr="00235A28" w14:paraId="412C0D4A" w14:textId="77777777" w:rsidTr="00BA637F">
        <w:trPr>
          <w:divId w:val="1024020004"/>
          <w:trHeight w:val="249"/>
        </w:trPr>
        <w:tc>
          <w:tcPr>
            <w:tcW w:w="3470" w:type="dxa"/>
            <w:tcBorders>
              <w:top w:val="nil"/>
              <w:left w:val="nil"/>
              <w:bottom w:val="single" w:sz="8" w:space="0" w:color="auto"/>
              <w:right w:val="nil"/>
            </w:tcBorders>
            <w:shd w:val="clear" w:color="auto" w:fill="auto"/>
            <w:vAlign w:val="bottom"/>
            <w:hideMark/>
          </w:tcPr>
          <w:p w14:paraId="5E6F48BB" w14:textId="6E3D6583" w:rsidR="00104228" w:rsidRPr="00235A28" w:rsidRDefault="00104228" w:rsidP="00104228">
            <w:pPr>
              <w:ind w:firstLineChars="100" w:firstLine="141"/>
              <w:rPr>
                <w:b/>
                <w:bCs/>
                <w:color w:val="000000"/>
                <w:sz w:val="14"/>
                <w:szCs w:val="14"/>
                <w:lang w:eastAsia="tr-TR"/>
              </w:rPr>
            </w:pPr>
            <w:r w:rsidRPr="00235A28">
              <w:rPr>
                <w:b/>
                <w:bCs/>
                <w:color w:val="000000"/>
                <w:sz w:val="14"/>
                <w:szCs w:val="14"/>
                <w:lang w:eastAsia="tr-TR"/>
              </w:rPr>
              <w:t>Toplam</w:t>
            </w:r>
          </w:p>
        </w:tc>
        <w:tc>
          <w:tcPr>
            <w:tcW w:w="788" w:type="dxa"/>
            <w:tcBorders>
              <w:top w:val="nil"/>
              <w:left w:val="nil"/>
              <w:bottom w:val="single" w:sz="8" w:space="0" w:color="auto"/>
              <w:right w:val="nil"/>
            </w:tcBorders>
            <w:shd w:val="clear" w:color="auto" w:fill="auto"/>
            <w:vAlign w:val="bottom"/>
            <w:hideMark/>
          </w:tcPr>
          <w:p w14:paraId="6E461CAD" w14:textId="09D3B188" w:rsidR="00104228" w:rsidRPr="00235A28" w:rsidRDefault="00104228" w:rsidP="00F42642">
            <w:pPr>
              <w:jc w:val="right"/>
              <w:rPr>
                <w:b/>
                <w:bCs/>
                <w:color w:val="000000"/>
                <w:sz w:val="14"/>
                <w:szCs w:val="14"/>
                <w:lang w:eastAsia="tr-TR"/>
              </w:rPr>
            </w:pPr>
            <w:r w:rsidRPr="00235A28">
              <w:rPr>
                <w:b/>
                <w:bCs/>
                <w:color w:val="000000"/>
                <w:sz w:val="14"/>
                <w:szCs w:val="14"/>
                <w:lang w:eastAsia="tr-TR"/>
              </w:rPr>
              <w:t>35,661,661</w:t>
            </w:r>
          </w:p>
        </w:tc>
        <w:tc>
          <w:tcPr>
            <w:tcW w:w="788" w:type="dxa"/>
            <w:tcBorders>
              <w:top w:val="nil"/>
              <w:left w:val="nil"/>
              <w:bottom w:val="single" w:sz="8" w:space="0" w:color="auto"/>
              <w:right w:val="nil"/>
            </w:tcBorders>
            <w:shd w:val="clear" w:color="auto" w:fill="auto"/>
            <w:vAlign w:val="bottom"/>
            <w:hideMark/>
          </w:tcPr>
          <w:p w14:paraId="12C70486" w14:textId="6CE325BB" w:rsidR="00104228" w:rsidRPr="00235A28" w:rsidRDefault="00104228" w:rsidP="00F42642">
            <w:pPr>
              <w:jc w:val="right"/>
              <w:rPr>
                <w:b/>
                <w:bCs/>
                <w:color w:val="000000"/>
                <w:sz w:val="14"/>
                <w:szCs w:val="14"/>
                <w:lang w:eastAsia="tr-TR"/>
              </w:rPr>
            </w:pPr>
            <w:r w:rsidRPr="00235A28">
              <w:rPr>
                <w:b/>
                <w:bCs/>
                <w:color w:val="000000"/>
                <w:sz w:val="14"/>
                <w:szCs w:val="14"/>
                <w:lang w:eastAsia="tr-TR"/>
              </w:rPr>
              <w:t>16,652,795</w:t>
            </w:r>
          </w:p>
        </w:tc>
        <w:tc>
          <w:tcPr>
            <w:tcW w:w="788" w:type="dxa"/>
            <w:tcBorders>
              <w:top w:val="single" w:sz="8" w:space="0" w:color="auto"/>
              <w:left w:val="nil"/>
              <w:bottom w:val="single" w:sz="8" w:space="0" w:color="auto"/>
              <w:right w:val="nil"/>
            </w:tcBorders>
            <w:shd w:val="clear" w:color="auto" w:fill="auto"/>
            <w:vAlign w:val="bottom"/>
            <w:hideMark/>
          </w:tcPr>
          <w:p w14:paraId="78053CE7" w14:textId="59EB3DE1" w:rsidR="00104228" w:rsidRPr="00235A28" w:rsidRDefault="00104228" w:rsidP="00F42642">
            <w:pPr>
              <w:jc w:val="right"/>
              <w:rPr>
                <w:b/>
                <w:bCs/>
                <w:color w:val="000000"/>
                <w:sz w:val="14"/>
                <w:szCs w:val="14"/>
                <w:lang w:eastAsia="tr-TR"/>
              </w:rPr>
            </w:pPr>
            <w:r w:rsidRPr="00235A28">
              <w:rPr>
                <w:b/>
                <w:bCs/>
                <w:color w:val="000000"/>
                <w:sz w:val="14"/>
                <w:szCs w:val="14"/>
                <w:lang w:eastAsia="tr-TR"/>
              </w:rPr>
              <w:t>26,486,064</w:t>
            </w:r>
          </w:p>
        </w:tc>
        <w:tc>
          <w:tcPr>
            <w:tcW w:w="730" w:type="dxa"/>
            <w:tcBorders>
              <w:top w:val="nil"/>
              <w:left w:val="nil"/>
              <w:bottom w:val="single" w:sz="8" w:space="0" w:color="auto"/>
              <w:right w:val="nil"/>
            </w:tcBorders>
            <w:shd w:val="clear" w:color="auto" w:fill="auto"/>
            <w:vAlign w:val="bottom"/>
            <w:hideMark/>
          </w:tcPr>
          <w:p w14:paraId="7BFE5AE8" w14:textId="2F521A4A" w:rsidR="00104228" w:rsidRPr="00235A28" w:rsidRDefault="00104228" w:rsidP="00F42642">
            <w:pPr>
              <w:jc w:val="right"/>
              <w:rPr>
                <w:b/>
                <w:bCs/>
                <w:color w:val="000000"/>
                <w:sz w:val="14"/>
                <w:szCs w:val="14"/>
                <w:lang w:eastAsia="tr-TR"/>
              </w:rPr>
            </w:pPr>
            <w:r w:rsidRPr="00235A28">
              <w:rPr>
                <w:b/>
                <w:bCs/>
                <w:color w:val="000000"/>
                <w:sz w:val="14"/>
                <w:szCs w:val="14"/>
                <w:lang w:eastAsia="tr-TR"/>
              </w:rPr>
              <w:t>2,452,206</w:t>
            </w:r>
          </w:p>
        </w:tc>
        <w:tc>
          <w:tcPr>
            <w:tcW w:w="498" w:type="dxa"/>
            <w:tcBorders>
              <w:top w:val="single" w:sz="8" w:space="0" w:color="auto"/>
              <w:left w:val="nil"/>
              <w:bottom w:val="single" w:sz="8" w:space="0" w:color="auto"/>
              <w:right w:val="nil"/>
            </w:tcBorders>
            <w:shd w:val="clear" w:color="auto" w:fill="auto"/>
            <w:vAlign w:val="bottom"/>
            <w:hideMark/>
          </w:tcPr>
          <w:p w14:paraId="67F2732F" w14:textId="29C194CA" w:rsidR="00104228" w:rsidRPr="00235A28" w:rsidRDefault="00104228" w:rsidP="00F42642">
            <w:pPr>
              <w:jc w:val="right"/>
              <w:rPr>
                <w:b/>
                <w:bCs/>
                <w:color w:val="000000"/>
                <w:sz w:val="14"/>
                <w:szCs w:val="14"/>
                <w:lang w:eastAsia="tr-TR"/>
              </w:rPr>
            </w:pPr>
            <w:r w:rsidRPr="00235A28">
              <w:rPr>
                <w:b/>
                <w:bCs/>
                <w:color w:val="000000"/>
                <w:sz w:val="12"/>
                <w:szCs w:val="12"/>
                <w:lang w:eastAsia="tr-TR"/>
              </w:rPr>
              <w:t>-</w:t>
            </w:r>
          </w:p>
        </w:tc>
        <w:tc>
          <w:tcPr>
            <w:tcW w:w="730" w:type="dxa"/>
            <w:tcBorders>
              <w:top w:val="single" w:sz="8" w:space="0" w:color="auto"/>
              <w:left w:val="nil"/>
              <w:bottom w:val="single" w:sz="8" w:space="0" w:color="auto"/>
              <w:right w:val="nil"/>
            </w:tcBorders>
            <w:shd w:val="clear" w:color="auto" w:fill="auto"/>
            <w:vAlign w:val="bottom"/>
            <w:hideMark/>
          </w:tcPr>
          <w:p w14:paraId="5B39CA7C" w14:textId="7B060824" w:rsidR="00104228" w:rsidRPr="00235A28" w:rsidRDefault="00104228" w:rsidP="00F42642">
            <w:pPr>
              <w:jc w:val="right"/>
              <w:rPr>
                <w:b/>
                <w:bCs/>
                <w:color w:val="000000"/>
                <w:sz w:val="14"/>
                <w:szCs w:val="14"/>
                <w:lang w:eastAsia="tr-TR"/>
              </w:rPr>
            </w:pPr>
            <w:r w:rsidRPr="00235A28">
              <w:rPr>
                <w:b/>
                <w:bCs/>
                <w:color w:val="000000"/>
                <w:sz w:val="14"/>
                <w:szCs w:val="14"/>
                <w:lang w:eastAsia="tr-TR"/>
              </w:rPr>
              <w:t>2,028,669</w:t>
            </w:r>
          </w:p>
        </w:tc>
        <w:tc>
          <w:tcPr>
            <w:tcW w:w="730" w:type="dxa"/>
            <w:tcBorders>
              <w:top w:val="single" w:sz="8" w:space="0" w:color="auto"/>
              <w:left w:val="nil"/>
              <w:bottom w:val="single" w:sz="8" w:space="0" w:color="auto"/>
              <w:right w:val="nil"/>
            </w:tcBorders>
            <w:shd w:val="clear" w:color="auto" w:fill="auto"/>
            <w:vAlign w:val="bottom"/>
            <w:hideMark/>
          </w:tcPr>
          <w:p w14:paraId="5319CCEA" w14:textId="2E5A77FD" w:rsidR="00104228" w:rsidRPr="00235A28" w:rsidRDefault="00104228" w:rsidP="00F42642">
            <w:pPr>
              <w:jc w:val="right"/>
              <w:rPr>
                <w:b/>
                <w:bCs/>
                <w:color w:val="000000"/>
                <w:sz w:val="14"/>
                <w:szCs w:val="14"/>
                <w:lang w:eastAsia="tr-TR"/>
              </w:rPr>
            </w:pPr>
            <w:r w:rsidRPr="00235A28">
              <w:rPr>
                <w:b/>
                <w:bCs/>
                <w:color w:val="000000"/>
                <w:sz w:val="14"/>
                <w:szCs w:val="14"/>
                <w:lang w:eastAsia="tr-TR"/>
              </w:rPr>
              <w:t>2,188,938</w:t>
            </w:r>
          </w:p>
        </w:tc>
        <w:tc>
          <w:tcPr>
            <w:tcW w:w="692" w:type="dxa"/>
            <w:tcBorders>
              <w:top w:val="single" w:sz="8" w:space="0" w:color="auto"/>
              <w:left w:val="nil"/>
              <w:bottom w:val="single" w:sz="8" w:space="0" w:color="auto"/>
              <w:right w:val="nil"/>
            </w:tcBorders>
            <w:shd w:val="clear" w:color="auto" w:fill="auto"/>
            <w:vAlign w:val="bottom"/>
            <w:hideMark/>
          </w:tcPr>
          <w:p w14:paraId="1FD70CFE" w14:textId="7C918760" w:rsidR="00104228" w:rsidRPr="00235A28" w:rsidRDefault="00104228" w:rsidP="00F42642">
            <w:pPr>
              <w:jc w:val="right"/>
              <w:rPr>
                <w:b/>
                <w:bCs/>
                <w:color w:val="000000"/>
                <w:sz w:val="14"/>
                <w:szCs w:val="14"/>
                <w:lang w:eastAsia="tr-TR"/>
              </w:rPr>
            </w:pPr>
            <w:r w:rsidRPr="00235A28">
              <w:rPr>
                <w:b/>
                <w:bCs/>
                <w:color w:val="000000"/>
                <w:sz w:val="14"/>
                <w:szCs w:val="14"/>
                <w:lang w:eastAsia="tr-TR"/>
              </w:rPr>
              <w:t>24,054</w:t>
            </w:r>
          </w:p>
        </w:tc>
        <w:tc>
          <w:tcPr>
            <w:tcW w:w="770" w:type="dxa"/>
            <w:tcBorders>
              <w:top w:val="nil"/>
              <w:left w:val="nil"/>
              <w:bottom w:val="single" w:sz="8" w:space="0" w:color="auto"/>
              <w:right w:val="nil"/>
            </w:tcBorders>
            <w:shd w:val="clear" w:color="auto" w:fill="auto"/>
            <w:vAlign w:val="bottom"/>
            <w:hideMark/>
          </w:tcPr>
          <w:p w14:paraId="181A39E7" w14:textId="7E2115BC" w:rsidR="00104228" w:rsidRPr="00235A28" w:rsidRDefault="00104228" w:rsidP="00F42642">
            <w:pPr>
              <w:jc w:val="right"/>
              <w:rPr>
                <w:b/>
                <w:bCs/>
                <w:color w:val="000000"/>
                <w:sz w:val="14"/>
                <w:szCs w:val="14"/>
                <w:lang w:eastAsia="tr-TR"/>
              </w:rPr>
            </w:pPr>
            <w:r w:rsidRPr="00235A28">
              <w:rPr>
                <w:b/>
                <w:bCs/>
                <w:color w:val="000000"/>
                <w:sz w:val="14"/>
                <w:szCs w:val="14"/>
                <w:lang w:eastAsia="tr-TR"/>
              </w:rPr>
              <w:t>85,494,387</w:t>
            </w:r>
          </w:p>
        </w:tc>
      </w:tr>
    </w:tbl>
    <w:p w14:paraId="6F18E346" w14:textId="5B69155A" w:rsidR="00431F4D" w:rsidRPr="00235A28" w:rsidRDefault="00431F4D" w:rsidP="00431F4D">
      <w:pPr>
        <w:pStyle w:val="EndnoteText"/>
        <w:autoSpaceDE w:val="0"/>
        <w:autoSpaceDN w:val="0"/>
        <w:adjustRightInd w:val="0"/>
      </w:pPr>
    </w:p>
    <w:p w14:paraId="1B22AE69" w14:textId="512E300B" w:rsidR="000F096F" w:rsidRPr="00235A28" w:rsidRDefault="00E016F0" w:rsidP="000F096F">
      <w:pPr>
        <w:pStyle w:val="EndnoteText"/>
        <w:autoSpaceDE w:val="0"/>
        <w:autoSpaceDN w:val="0"/>
        <w:adjustRightInd w:val="0"/>
        <w:rPr>
          <w:rFonts w:eastAsia="Arial Unicode MS"/>
        </w:rPr>
      </w:pPr>
      <w:r w:rsidRPr="00235A28">
        <w:rPr>
          <w:rFonts w:eastAsia="Arial Unicode MS"/>
        </w:rPr>
        <w:t>Banka’nın 7 gün ihbarlı hesabı bulunmamaktadır.</w:t>
      </w:r>
    </w:p>
    <w:p w14:paraId="1C89C505" w14:textId="77777777" w:rsidR="008B1E20" w:rsidRPr="008100B1" w:rsidRDefault="00783B2F" w:rsidP="00991C20">
      <w:pPr>
        <w:tabs>
          <w:tab w:val="left" w:pos="709"/>
        </w:tabs>
        <w:ind w:hanging="567"/>
        <w:jc w:val="both"/>
      </w:pPr>
      <w:r w:rsidRPr="00235A28">
        <w:rPr>
          <w:rFonts w:eastAsia="Arial Unicode MS"/>
        </w:rPr>
        <w:br w:type="page"/>
      </w:r>
      <w:r w:rsidR="0003142E" w:rsidRPr="008100B1">
        <w:rPr>
          <w:b/>
        </w:rPr>
        <w:lastRenderedPageBreak/>
        <w:t>2.1.2</w:t>
      </w:r>
      <w:r w:rsidR="0003142E" w:rsidRPr="008100B1">
        <w:tab/>
      </w:r>
      <w:r w:rsidR="00E253C8" w:rsidRPr="008100B1">
        <w:rPr>
          <w:spacing w:val="-6"/>
        </w:rPr>
        <w:t>Tasarruf mevduatına</w:t>
      </w:r>
      <w:r w:rsidR="00A42898" w:rsidRPr="008100B1">
        <w:rPr>
          <w:spacing w:val="-6"/>
        </w:rPr>
        <w:t xml:space="preserve"> </w:t>
      </w:r>
      <w:r w:rsidR="00E253C8" w:rsidRPr="008100B1">
        <w:rPr>
          <w:spacing w:val="-6"/>
        </w:rPr>
        <w:t>/</w:t>
      </w:r>
      <w:r w:rsidR="00A42898" w:rsidRPr="008100B1">
        <w:rPr>
          <w:spacing w:val="-6"/>
        </w:rPr>
        <w:t xml:space="preserve"> </w:t>
      </w:r>
      <w:r w:rsidR="00E253C8" w:rsidRPr="008100B1">
        <w:rPr>
          <w:spacing w:val="-6"/>
        </w:rPr>
        <w:t>Tasarruf Mevduatı Sigorta Fonu kapsamın</w:t>
      </w:r>
      <w:r w:rsidR="00991C20" w:rsidRPr="008100B1">
        <w:rPr>
          <w:spacing w:val="-6"/>
        </w:rPr>
        <w:t xml:space="preserve">da bulunan özel cari ve katılma </w:t>
      </w:r>
      <w:r w:rsidR="00E253C8" w:rsidRPr="008100B1">
        <w:rPr>
          <w:spacing w:val="-6"/>
        </w:rPr>
        <w:t>hesaplarına ilişkin bilgiler:</w:t>
      </w:r>
      <w:r w:rsidR="00E253C8" w:rsidRPr="008100B1">
        <w:t xml:space="preserve"> </w:t>
      </w:r>
    </w:p>
    <w:p w14:paraId="6C58003E" w14:textId="77777777" w:rsidR="000F096F" w:rsidRPr="008100B1" w:rsidRDefault="000F096F" w:rsidP="001D18C1">
      <w:pPr>
        <w:tabs>
          <w:tab w:val="num" w:pos="2340"/>
          <w:tab w:val="num" w:pos="3060"/>
        </w:tabs>
        <w:autoSpaceDE w:val="0"/>
        <w:autoSpaceDN w:val="0"/>
        <w:adjustRightInd w:val="0"/>
        <w:jc w:val="both"/>
        <w:rPr>
          <w:sz w:val="16"/>
          <w:szCs w:val="16"/>
        </w:rPr>
      </w:pPr>
    </w:p>
    <w:p w14:paraId="070E49E8" w14:textId="684C2468" w:rsidR="000F096F" w:rsidRPr="008100B1" w:rsidRDefault="0003142E" w:rsidP="0003142E">
      <w:pPr>
        <w:tabs>
          <w:tab w:val="num" w:pos="0"/>
          <w:tab w:val="num" w:pos="3060"/>
        </w:tabs>
        <w:autoSpaceDE w:val="0"/>
        <w:autoSpaceDN w:val="0"/>
        <w:adjustRightInd w:val="0"/>
        <w:ind w:left="93" w:hanging="660"/>
        <w:jc w:val="both"/>
      </w:pPr>
      <w:r w:rsidRPr="008100B1">
        <w:rPr>
          <w:b/>
        </w:rPr>
        <w:t>2.1.2</w:t>
      </w:r>
      <w:r w:rsidR="00E253C8" w:rsidRPr="008100B1">
        <w:rPr>
          <w:b/>
        </w:rPr>
        <w:t>.</w:t>
      </w:r>
      <w:r w:rsidRPr="008100B1">
        <w:rPr>
          <w:b/>
        </w:rPr>
        <w:t>1</w:t>
      </w:r>
      <w:proofErr w:type="gramStart"/>
      <w:r w:rsidR="00E253C8" w:rsidRPr="008100B1">
        <w:rPr>
          <w:b/>
        </w:rPr>
        <w:tab/>
      </w:r>
      <w:r w:rsidRPr="008100B1">
        <w:t xml:space="preserve">  </w:t>
      </w:r>
      <w:r w:rsidR="00E253C8" w:rsidRPr="008100B1">
        <w:t>Tasarruf</w:t>
      </w:r>
      <w:proofErr w:type="gramEnd"/>
      <w:r w:rsidR="00E253C8" w:rsidRPr="008100B1">
        <w:t xml:space="preserve"> Mevduatı Sigorta Fonu kapsamında bulunan ve güvence limitini aşan ge</w:t>
      </w:r>
      <w:r w:rsidRPr="008100B1">
        <w:t xml:space="preserve">rçek kişilerin ticari   işlemlere </w:t>
      </w:r>
      <w:r w:rsidR="00E253C8" w:rsidRPr="008100B1">
        <w:t>konu olmayan özel cari ve katılma hesaplarına ilişkin bilgiler:</w:t>
      </w:r>
    </w:p>
    <w:p w14:paraId="0DAA194D" w14:textId="6C10CBD8" w:rsidR="008100B1" w:rsidRPr="00311DAB" w:rsidRDefault="008100B1" w:rsidP="0003142E">
      <w:pPr>
        <w:tabs>
          <w:tab w:val="num" w:pos="0"/>
          <w:tab w:val="num" w:pos="3060"/>
        </w:tabs>
        <w:autoSpaceDE w:val="0"/>
        <w:autoSpaceDN w:val="0"/>
        <w:adjustRightInd w:val="0"/>
        <w:ind w:left="93" w:hanging="660"/>
        <w:jc w:val="both"/>
        <w:rPr>
          <w:lang w:eastAsia="en-GB"/>
        </w:rPr>
      </w:pPr>
    </w:p>
    <w:tbl>
      <w:tblPr>
        <w:tblW w:w="9243" w:type="dxa"/>
        <w:tblCellMar>
          <w:left w:w="70" w:type="dxa"/>
          <w:right w:w="70" w:type="dxa"/>
        </w:tblCellMar>
        <w:tblLook w:val="04A0" w:firstRow="1" w:lastRow="0" w:firstColumn="1" w:lastColumn="0" w:noHBand="0" w:noVBand="1"/>
      </w:tblPr>
      <w:tblGrid>
        <w:gridCol w:w="5257"/>
        <w:gridCol w:w="950"/>
        <w:gridCol w:w="1005"/>
        <w:gridCol w:w="950"/>
        <w:gridCol w:w="1081"/>
      </w:tblGrid>
      <w:tr w:rsidR="008100B1" w:rsidRPr="008100B1" w14:paraId="7ABD7A86" w14:textId="77777777" w:rsidTr="006B1072">
        <w:trPr>
          <w:divId w:val="788820410"/>
          <w:trHeight w:val="216"/>
        </w:trPr>
        <w:tc>
          <w:tcPr>
            <w:tcW w:w="5257" w:type="dxa"/>
            <w:tcBorders>
              <w:top w:val="double" w:sz="6" w:space="0" w:color="auto"/>
              <w:left w:val="nil"/>
              <w:bottom w:val="nil"/>
              <w:right w:val="nil"/>
            </w:tcBorders>
            <w:shd w:val="clear" w:color="auto" w:fill="auto"/>
            <w:vAlign w:val="center"/>
            <w:hideMark/>
          </w:tcPr>
          <w:p w14:paraId="2921F264" w14:textId="1E2507D4" w:rsidR="008100B1" w:rsidRPr="008100B1" w:rsidRDefault="008100B1" w:rsidP="008100B1">
            <w:pPr>
              <w:jc w:val="both"/>
              <w:rPr>
                <w:color w:val="000000"/>
                <w:sz w:val="16"/>
                <w:szCs w:val="16"/>
                <w:lang w:eastAsia="tr-TR"/>
              </w:rPr>
            </w:pPr>
            <w:r w:rsidRPr="008100B1">
              <w:rPr>
                <w:color w:val="000000"/>
                <w:sz w:val="16"/>
                <w:szCs w:val="16"/>
                <w:lang w:eastAsia="tr-TR"/>
              </w:rPr>
              <w:t> </w:t>
            </w:r>
          </w:p>
        </w:tc>
        <w:tc>
          <w:tcPr>
            <w:tcW w:w="2001" w:type="dxa"/>
            <w:gridSpan w:val="2"/>
            <w:tcBorders>
              <w:top w:val="double" w:sz="6" w:space="0" w:color="auto"/>
              <w:left w:val="nil"/>
              <w:bottom w:val="nil"/>
              <w:right w:val="nil"/>
            </w:tcBorders>
            <w:shd w:val="clear" w:color="auto" w:fill="auto"/>
            <w:vAlign w:val="center"/>
            <w:hideMark/>
          </w:tcPr>
          <w:p w14:paraId="165CA426" w14:textId="77777777" w:rsidR="008100B1" w:rsidRPr="008100B1" w:rsidRDefault="008100B1" w:rsidP="008100B1">
            <w:pPr>
              <w:jc w:val="center"/>
              <w:rPr>
                <w:b/>
                <w:bCs/>
                <w:color w:val="000000"/>
                <w:sz w:val="16"/>
                <w:szCs w:val="16"/>
                <w:lang w:eastAsia="tr-TR"/>
              </w:rPr>
            </w:pPr>
            <w:r w:rsidRPr="008100B1">
              <w:rPr>
                <w:b/>
                <w:bCs/>
                <w:color w:val="000000"/>
                <w:sz w:val="16"/>
                <w:szCs w:val="16"/>
                <w:lang w:eastAsia="tr-TR"/>
              </w:rPr>
              <w:t>Tasarruf mevduat sigorta fonu kapsamında bulunan</w:t>
            </w:r>
          </w:p>
        </w:tc>
        <w:tc>
          <w:tcPr>
            <w:tcW w:w="1984" w:type="dxa"/>
            <w:gridSpan w:val="2"/>
            <w:tcBorders>
              <w:top w:val="double" w:sz="6" w:space="0" w:color="auto"/>
              <w:left w:val="nil"/>
              <w:bottom w:val="nil"/>
              <w:right w:val="nil"/>
            </w:tcBorders>
            <w:shd w:val="clear" w:color="auto" w:fill="auto"/>
            <w:vAlign w:val="center"/>
            <w:hideMark/>
          </w:tcPr>
          <w:p w14:paraId="7B11F3A8" w14:textId="77777777" w:rsidR="008100B1" w:rsidRPr="008100B1" w:rsidRDefault="008100B1" w:rsidP="008100B1">
            <w:pPr>
              <w:jc w:val="center"/>
              <w:rPr>
                <w:b/>
                <w:bCs/>
                <w:color w:val="000000"/>
                <w:sz w:val="16"/>
                <w:szCs w:val="16"/>
                <w:lang w:eastAsia="tr-TR"/>
              </w:rPr>
            </w:pPr>
            <w:r w:rsidRPr="008100B1">
              <w:rPr>
                <w:b/>
                <w:bCs/>
                <w:color w:val="000000"/>
                <w:sz w:val="16"/>
                <w:szCs w:val="16"/>
                <w:lang w:eastAsia="tr-TR"/>
              </w:rPr>
              <w:t>Güvence limitini aşan</w:t>
            </w:r>
          </w:p>
        </w:tc>
      </w:tr>
      <w:tr w:rsidR="008100B1" w:rsidRPr="008100B1" w14:paraId="7BC6495A" w14:textId="77777777" w:rsidTr="006B1072">
        <w:trPr>
          <w:divId w:val="788820410"/>
          <w:trHeight w:val="378"/>
        </w:trPr>
        <w:tc>
          <w:tcPr>
            <w:tcW w:w="5257" w:type="dxa"/>
            <w:tcBorders>
              <w:top w:val="nil"/>
              <w:left w:val="nil"/>
              <w:bottom w:val="nil"/>
              <w:right w:val="nil"/>
            </w:tcBorders>
            <w:shd w:val="clear" w:color="auto" w:fill="auto"/>
            <w:vAlign w:val="center"/>
            <w:hideMark/>
          </w:tcPr>
          <w:p w14:paraId="521268AE" w14:textId="77777777" w:rsidR="008100B1" w:rsidRPr="008100B1" w:rsidRDefault="008100B1" w:rsidP="008100B1">
            <w:pPr>
              <w:jc w:val="center"/>
              <w:rPr>
                <w:b/>
                <w:bCs/>
                <w:color w:val="000000"/>
                <w:sz w:val="16"/>
                <w:szCs w:val="16"/>
                <w:lang w:eastAsia="tr-TR"/>
              </w:rPr>
            </w:pPr>
          </w:p>
        </w:tc>
        <w:tc>
          <w:tcPr>
            <w:tcW w:w="903" w:type="dxa"/>
            <w:tcBorders>
              <w:top w:val="single" w:sz="8" w:space="0" w:color="auto"/>
              <w:left w:val="nil"/>
              <w:bottom w:val="nil"/>
              <w:right w:val="nil"/>
            </w:tcBorders>
            <w:shd w:val="clear" w:color="auto" w:fill="auto"/>
            <w:vAlign w:val="center"/>
            <w:hideMark/>
          </w:tcPr>
          <w:p w14:paraId="2746BABF" w14:textId="77777777" w:rsidR="008100B1" w:rsidRPr="008100B1" w:rsidRDefault="008100B1" w:rsidP="008100B1">
            <w:pPr>
              <w:jc w:val="right"/>
              <w:rPr>
                <w:b/>
                <w:bCs/>
                <w:color w:val="000000"/>
                <w:sz w:val="16"/>
                <w:szCs w:val="16"/>
                <w:lang w:eastAsia="tr-TR"/>
              </w:rPr>
            </w:pPr>
            <w:r w:rsidRPr="008100B1">
              <w:rPr>
                <w:b/>
                <w:bCs/>
                <w:color w:val="000000"/>
                <w:sz w:val="16"/>
                <w:szCs w:val="16"/>
                <w:lang w:eastAsia="tr-TR"/>
              </w:rPr>
              <w:t>Cari Dönem</w:t>
            </w:r>
          </w:p>
        </w:tc>
        <w:tc>
          <w:tcPr>
            <w:tcW w:w="1098" w:type="dxa"/>
            <w:tcBorders>
              <w:top w:val="single" w:sz="8" w:space="0" w:color="auto"/>
              <w:left w:val="nil"/>
              <w:bottom w:val="nil"/>
              <w:right w:val="nil"/>
            </w:tcBorders>
            <w:shd w:val="clear" w:color="auto" w:fill="auto"/>
            <w:vAlign w:val="center"/>
            <w:hideMark/>
          </w:tcPr>
          <w:p w14:paraId="5F76FB90" w14:textId="77777777" w:rsidR="008100B1" w:rsidRPr="008100B1" w:rsidRDefault="008100B1" w:rsidP="008100B1">
            <w:pPr>
              <w:jc w:val="right"/>
              <w:rPr>
                <w:b/>
                <w:bCs/>
                <w:color w:val="000000"/>
                <w:sz w:val="16"/>
                <w:szCs w:val="16"/>
                <w:lang w:eastAsia="tr-TR"/>
              </w:rPr>
            </w:pPr>
            <w:r w:rsidRPr="008100B1">
              <w:rPr>
                <w:b/>
                <w:bCs/>
                <w:color w:val="000000"/>
                <w:sz w:val="16"/>
                <w:szCs w:val="16"/>
                <w:lang w:eastAsia="tr-TR"/>
              </w:rPr>
              <w:t>Önceki Dönem</w:t>
            </w:r>
          </w:p>
        </w:tc>
        <w:tc>
          <w:tcPr>
            <w:tcW w:w="903" w:type="dxa"/>
            <w:tcBorders>
              <w:top w:val="single" w:sz="8" w:space="0" w:color="auto"/>
              <w:left w:val="nil"/>
              <w:bottom w:val="nil"/>
              <w:right w:val="nil"/>
            </w:tcBorders>
            <w:shd w:val="clear" w:color="auto" w:fill="auto"/>
            <w:vAlign w:val="center"/>
            <w:hideMark/>
          </w:tcPr>
          <w:p w14:paraId="729DBCC5" w14:textId="77777777" w:rsidR="008100B1" w:rsidRPr="008100B1" w:rsidRDefault="008100B1" w:rsidP="008100B1">
            <w:pPr>
              <w:jc w:val="right"/>
              <w:rPr>
                <w:b/>
                <w:bCs/>
                <w:color w:val="000000"/>
                <w:sz w:val="16"/>
                <w:szCs w:val="16"/>
                <w:lang w:eastAsia="tr-TR"/>
              </w:rPr>
            </w:pPr>
            <w:proofErr w:type="gramStart"/>
            <w:r w:rsidRPr="008100B1">
              <w:rPr>
                <w:b/>
                <w:bCs/>
                <w:color w:val="000000"/>
                <w:sz w:val="16"/>
                <w:szCs w:val="16"/>
                <w:lang w:eastAsia="tr-TR"/>
              </w:rPr>
              <w:t>Cari  Dönem</w:t>
            </w:r>
            <w:proofErr w:type="gramEnd"/>
          </w:p>
        </w:tc>
        <w:tc>
          <w:tcPr>
            <w:tcW w:w="1081" w:type="dxa"/>
            <w:tcBorders>
              <w:top w:val="single" w:sz="8" w:space="0" w:color="auto"/>
              <w:left w:val="nil"/>
              <w:bottom w:val="nil"/>
              <w:right w:val="nil"/>
            </w:tcBorders>
            <w:shd w:val="clear" w:color="auto" w:fill="auto"/>
            <w:vAlign w:val="center"/>
            <w:hideMark/>
          </w:tcPr>
          <w:p w14:paraId="285FBC44" w14:textId="77777777" w:rsidR="008100B1" w:rsidRPr="008100B1" w:rsidRDefault="008100B1" w:rsidP="008100B1">
            <w:pPr>
              <w:jc w:val="right"/>
              <w:rPr>
                <w:b/>
                <w:bCs/>
                <w:color w:val="000000"/>
                <w:sz w:val="16"/>
                <w:szCs w:val="16"/>
                <w:lang w:eastAsia="tr-TR"/>
              </w:rPr>
            </w:pPr>
            <w:r w:rsidRPr="008100B1">
              <w:rPr>
                <w:b/>
                <w:bCs/>
                <w:color w:val="000000"/>
                <w:sz w:val="16"/>
                <w:szCs w:val="16"/>
                <w:lang w:eastAsia="tr-TR"/>
              </w:rPr>
              <w:t>Önceki Dönem</w:t>
            </w:r>
          </w:p>
        </w:tc>
      </w:tr>
      <w:tr w:rsidR="008100B1" w:rsidRPr="008100B1" w14:paraId="7B0494C5" w14:textId="77777777" w:rsidTr="006B1072">
        <w:trPr>
          <w:divId w:val="788820410"/>
          <w:trHeight w:val="216"/>
        </w:trPr>
        <w:tc>
          <w:tcPr>
            <w:tcW w:w="6161" w:type="dxa"/>
            <w:gridSpan w:val="2"/>
            <w:tcBorders>
              <w:top w:val="nil"/>
              <w:left w:val="nil"/>
              <w:bottom w:val="nil"/>
              <w:right w:val="nil"/>
            </w:tcBorders>
            <w:shd w:val="clear" w:color="auto" w:fill="auto"/>
            <w:noWrap/>
            <w:hideMark/>
          </w:tcPr>
          <w:p w14:paraId="00F8FAEF" w14:textId="77777777" w:rsidR="008100B1" w:rsidRPr="008100B1" w:rsidRDefault="008100B1" w:rsidP="008100B1">
            <w:pPr>
              <w:rPr>
                <w:color w:val="000000"/>
                <w:sz w:val="18"/>
                <w:szCs w:val="18"/>
                <w:lang w:eastAsia="tr-TR"/>
              </w:rPr>
            </w:pPr>
            <w:r w:rsidRPr="008100B1">
              <w:rPr>
                <w:color w:val="000000"/>
                <w:sz w:val="18"/>
                <w:szCs w:val="18"/>
                <w:lang w:eastAsia="tr-TR"/>
              </w:rPr>
              <w:t>Gerçek kişilerin ticari işlemlere konu olmayan özel cari ve katılma hesapları</w:t>
            </w:r>
          </w:p>
        </w:tc>
        <w:tc>
          <w:tcPr>
            <w:tcW w:w="1098" w:type="dxa"/>
            <w:tcBorders>
              <w:top w:val="nil"/>
              <w:left w:val="nil"/>
              <w:bottom w:val="nil"/>
              <w:right w:val="nil"/>
            </w:tcBorders>
            <w:shd w:val="clear" w:color="auto" w:fill="auto"/>
            <w:vAlign w:val="center"/>
            <w:hideMark/>
          </w:tcPr>
          <w:p w14:paraId="6ABF5267" w14:textId="77777777" w:rsidR="008100B1" w:rsidRPr="008100B1" w:rsidRDefault="008100B1" w:rsidP="008100B1">
            <w:pPr>
              <w:rPr>
                <w:color w:val="000000"/>
                <w:sz w:val="18"/>
                <w:szCs w:val="18"/>
                <w:lang w:eastAsia="tr-TR"/>
              </w:rPr>
            </w:pPr>
          </w:p>
        </w:tc>
        <w:tc>
          <w:tcPr>
            <w:tcW w:w="903" w:type="dxa"/>
            <w:tcBorders>
              <w:top w:val="nil"/>
              <w:left w:val="nil"/>
              <w:bottom w:val="nil"/>
              <w:right w:val="nil"/>
            </w:tcBorders>
            <w:shd w:val="clear" w:color="auto" w:fill="auto"/>
            <w:noWrap/>
            <w:vAlign w:val="center"/>
            <w:hideMark/>
          </w:tcPr>
          <w:p w14:paraId="48C9205F" w14:textId="77777777" w:rsidR="008100B1" w:rsidRPr="008100B1" w:rsidRDefault="008100B1" w:rsidP="008100B1">
            <w:pPr>
              <w:jc w:val="right"/>
              <w:rPr>
                <w:lang w:eastAsia="tr-TR"/>
              </w:rPr>
            </w:pPr>
          </w:p>
        </w:tc>
        <w:tc>
          <w:tcPr>
            <w:tcW w:w="1081" w:type="dxa"/>
            <w:tcBorders>
              <w:top w:val="nil"/>
              <w:left w:val="nil"/>
              <w:bottom w:val="nil"/>
              <w:right w:val="nil"/>
            </w:tcBorders>
            <w:shd w:val="clear" w:color="auto" w:fill="auto"/>
            <w:noWrap/>
            <w:vAlign w:val="center"/>
            <w:hideMark/>
          </w:tcPr>
          <w:p w14:paraId="66EBB17A" w14:textId="77777777" w:rsidR="008100B1" w:rsidRPr="008100B1" w:rsidRDefault="008100B1" w:rsidP="008100B1">
            <w:pPr>
              <w:jc w:val="right"/>
              <w:rPr>
                <w:lang w:eastAsia="tr-TR"/>
              </w:rPr>
            </w:pPr>
          </w:p>
        </w:tc>
      </w:tr>
      <w:tr w:rsidR="008100B1" w:rsidRPr="008100B1" w14:paraId="13DD50FE" w14:textId="77777777" w:rsidTr="006B1072">
        <w:trPr>
          <w:divId w:val="788820410"/>
          <w:trHeight w:val="216"/>
        </w:trPr>
        <w:tc>
          <w:tcPr>
            <w:tcW w:w="5257" w:type="dxa"/>
            <w:tcBorders>
              <w:top w:val="nil"/>
              <w:left w:val="nil"/>
              <w:bottom w:val="nil"/>
              <w:right w:val="nil"/>
            </w:tcBorders>
            <w:shd w:val="clear" w:color="auto" w:fill="auto"/>
            <w:noWrap/>
            <w:hideMark/>
          </w:tcPr>
          <w:p w14:paraId="79CC48A4" w14:textId="77777777" w:rsidR="008100B1" w:rsidRPr="008100B1" w:rsidRDefault="008100B1" w:rsidP="008100B1">
            <w:pPr>
              <w:ind w:firstLineChars="100" w:firstLine="180"/>
              <w:rPr>
                <w:color w:val="000000"/>
                <w:sz w:val="18"/>
                <w:szCs w:val="18"/>
                <w:lang w:eastAsia="tr-TR"/>
              </w:rPr>
            </w:pPr>
            <w:r w:rsidRPr="008100B1">
              <w:rPr>
                <w:color w:val="000000"/>
                <w:sz w:val="18"/>
                <w:szCs w:val="18"/>
                <w:lang w:eastAsia="tr-TR"/>
              </w:rPr>
              <w:t>Türk parası cinsinden hesaplar</w:t>
            </w:r>
          </w:p>
        </w:tc>
        <w:tc>
          <w:tcPr>
            <w:tcW w:w="903" w:type="dxa"/>
            <w:tcBorders>
              <w:top w:val="nil"/>
              <w:left w:val="nil"/>
              <w:bottom w:val="nil"/>
              <w:right w:val="nil"/>
            </w:tcBorders>
            <w:shd w:val="clear" w:color="auto" w:fill="auto"/>
            <w:vAlign w:val="center"/>
            <w:hideMark/>
          </w:tcPr>
          <w:p w14:paraId="2D0BBE2E" w14:textId="77777777" w:rsidR="008100B1" w:rsidRPr="008100B1" w:rsidRDefault="008100B1" w:rsidP="008100B1">
            <w:pPr>
              <w:jc w:val="right"/>
              <w:rPr>
                <w:color w:val="000000"/>
                <w:sz w:val="18"/>
                <w:szCs w:val="18"/>
                <w:lang w:eastAsia="tr-TR"/>
              </w:rPr>
            </w:pPr>
            <w:r w:rsidRPr="008100B1">
              <w:rPr>
                <w:color w:val="000000"/>
                <w:sz w:val="18"/>
                <w:szCs w:val="18"/>
                <w:lang w:eastAsia="tr-TR"/>
              </w:rPr>
              <w:t>18,726,740</w:t>
            </w:r>
          </w:p>
        </w:tc>
        <w:tc>
          <w:tcPr>
            <w:tcW w:w="1098" w:type="dxa"/>
            <w:tcBorders>
              <w:top w:val="nil"/>
              <w:left w:val="nil"/>
              <w:bottom w:val="nil"/>
              <w:right w:val="nil"/>
            </w:tcBorders>
            <w:shd w:val="clear" w:color="auto" w:fill="auto"/>
            <w:vAlign w:val="center"/>
            <w:hideMark/>
          </w:tcPr>
          <w:p w14:paraId="368BB544" w14:textId="77777777" w:rsidR="008100B1" w:rsidRPr="008100B1" w:rsidRDefault="008100B1" w:rsidP="008100B1">
            <w:pPr>
              <w:jc w:val="right"/>
              <w:rPr>
                <w:color w:val="000000"/>
                <w:sz w:val="18"/>
                <w:szCs w:val="18"/>
                <w:lang w:eastAsia="tr-TR"/>
              </w:rPr>
            </w:pPr>
            <w:r w:rsidRPr="008100B1">
              <w:rPr>
                <w:color w:val="000000"/>
                <w:sz w:val="18"/>
                <w:szCs w:val="18"/>
                <w:lang w:eastAsia="tr-TR"/>
              </w:rPr>
              <w:t>17,752,145</w:t>
            </w:r>
          </w:p>
        </w:tc>
        <w:tc>
          <w:tcPr>
            <w:tcW w:w="903" w:type="dxa"/>
            <w:tcBorders>
              <w:top w:val="nil"/>
              <w:left w:val="nil"/>
              <w:bottom w:val="nil"/>
              <w:right w:val="nil"/>
            </w:tcBorders>
            <w:shd w:val="clear" w:color="auto" w:fill="auto"/>
            <w:vAlign w:val="center"/>
            <w:hideMark/>
          </w:tcPr>
          <w:p w14:paraId="28B5C147" w14:textId="77777777" w:rsidR="008100B1" w:rsidRPr="008100B1" w:rsidRDefault="008100B1" w:rsidP="008100B1">
            <w:pPr>
              <w:jc w:val="right"/>
              <w:rPr>
                <w:color w:val="000000"/>
                <w:sz w:val="18"/>
                <w:szCs w:val="18"/>
                <w:lang w:eastAsia="tr-TR"/>
              </w:rPr>
            </w:pPr>
            <w:r w:rsidRPr="008100B1">
              <w:rPr>
                <w:color w:val="000000"/>
                <w:sz w:val="18"/>
                <w:szCs w:val="18"/>
                <w:lang w:eastAsia="tr-TR"/>
              </w:rPr>
              <w:t>11,748,364</w:t>
            </w:r>
          </w:p>
        </w:tc>
        <w:tc>
          <w:tcPr>
            <w:tcW w:w="1081" w:type="dxa"/>
            <w:tcBorders>
              <w:top w:val="nil"/>
              <w:left w:val="nil"/>
              <w:bottom w:val="nil"/>
              <w:right w:val="nil"/>
            </w:tcBorders>
            <w:shd w:val="clear" w:color="auto" w:fill="auto"/>
            <w:vAlign w:val="center"/>
            <w:hideMark/>
          </w:tcPr>
          <w:p w14:paraId="5FC496E2" w14:textId="77777777" w:rsidR="008100B1" w:rsidRPr="008100B1" w:rsidRDefault="008100B1" w:rsidP="008100B1">
            <w:pPr>
              <w:jc w:val="right"/>
              <w:rPr>
                <w:color w:val="000000"/>
                <w:sz w:val="18"/>
                <w:szCs w:val="18"/>
                <w:lang w:eastAsia="tr-TR"/>
              </w:rPr>
            </w:pPr>
            <w:r w:rsidRPr="008100B1">
              <w:rPr>
                <w:color w:val="000000"/>
                <w:sz w:val="18"/>
                <w:szCs w:val="18"/>
                <w:lang w:eastAsia="tr-TR"/>
              </w:rPr>
              <w:t>10,782,495</w:t>
            </w:r>
          </w:p>
        </w:tc>
      </w:tr>
      <w:tr w:rsidR="008100B1" w:rsidRPr="008100B1" w14:paraId="7AB9148A" w14:textId="77777777" w:rsidTr="006B1072">
        <w:trPr>
          <w:divId w:val="788820410"/>
          <w:trHeight w:val="216"/>
        </w:trPr>
        <w:tc>
          <w:tcPr>
            <w:tcW w:w="5257" w:type="dxa"/>
            <w:tcBorders>
              <w:top w:val="nil"/>
              <w:left w:val="nil"/>
              <w:bottom w:val="nil"/>
              <w:right w:val="nil"/>
            </w:tcBorders>
            <w:shd w:val="clear" w:color="auto" w:fill="auto"/>
            <w:noWrap/>
            <w:hideMark/>
          </w:tcPr>
          <w:p w14:paraId="2C78E18A" w14:textId="77777777" w:rsidR="008100B1" w:rsidRPr="008100B1" w:rsidRDefault="008100B1" w:rsidP="008100B1">
            <w:pPr>
              <w:ind w:firstLineChars="100" w:firstLine="180"/>
              <w:rPr>
                <w:color w:val="000000"/>
                <w:sz w:val="18"/>
                <w:szCs w:val="18"/>
                <w:lang w:eastAsia="tr-TR"/>
              </w:rPr>
            </w:pPr>
            <w:r w:rsidRPr="008100B1">
              <w:rPr>
                <w:color w:val="000000"/>
                <w:sz w:val="18"/>
                <w:szCs w:val="18"/>
                <w:lang w:eastAsia="tr-TR"/>
              </w:rPr>
              <w:t>Yabancı para cinsinden hesaplar</w:t>
            </w:r>
          </w:p>
        </w:tc>
        <w:tc>
          <w:tcPr>
            <w:tcW w:w="903" w:type="dxa"/>
            <w:tcBorders>
              <w:top w:val="nil"/>
              <w:left w:val="nil"/>
              <w:bottom w:val="nil"/>
              <w:right w:val="nil"/>
            </w:tcBorders>
            <w:shd w:val="clear" w:color="auto" w:fill="auto"/>
            <w:vAlign w:val="center"/>
            <w:hideMark/>
          </w:tcPr>
          <w:p w14:paraId="347126A0" w14:textId="77777777" w:rsidR="008100B1" w:rsidRPr="008100B1" w:rsidRDefault="008100B1" w:rsidP="008100B1">
            <w:pPr>
              <w:jc w:val="right"/>
              <w:rPr>
                <w:color w:val="000000"/>
                <w:sz w:val="18"/>
                <w:szCs w:val="18"/>
                <w:lang w:eastAsia="tr-TR"/>
              </w:rPr>
            </w:pPr>
            <w:r w:rsidRPr="008100B1">
              <w:rPr>
                <w:color w:val="000000"/>
                <w:sz w:val="18"/>
                <w:szCs w:val="18"/>
                <w:lang w:eastAsia="tr-TR"/>
              </w:rPr>
              <w:t>28,615,095</w:t>
            </w:r>
          </w:p>
        </w:tc>
        <w:tc>
          <w:tcPr>
            <w:tcW w:w="1098" w:type="dxa"/>
            <w:tcBorders>
              <w:top w:val="nil"/>
              <w:left w:val="nil"/>
              <w:bottom w:val="nil"/>
              <w:right w:val="nil"/>
            </w:tcBorders>
            <w:shd w:val="clear" w:color="auto" w:fill="auto"/>
            <w:vAlign w:val="center"/>
            <w:hideMark/>
          </w:tcPr>
          <w:p w14:paraId="73E3AA81" w14:textId="77777777" w:rsidR="008100B1" w:rsidRPr="008100B1" w:rsidRDefault="008100B1" w:rsidP="008100B1">
            <w:pPr>
              <w:jc w:val="right"/>
              <w:rPr>
                <w:color w:val="000000"/>
                <w:sz w:val="18"/>
                <w:szCs w:val="18"/>
                <w:lang w:eastAsia="tr-TR"/>
              </w:rPr>
            </w:pPr>
            <w:r w:rsidRPr="008100B1">
              <w:rPr>
                <w:color w:val="000000"/>
                <w:sz w:val="18"/>
                <w:szCs w:val="18"/>
                <w:lang w:eastAsia="tr-TR"/>
              </w:rPr>
              <w:t>16,294,727</w:t>
            </w:r>
          </w:p>
        </w:tc>
        <w:tc>
          <w:tcPr>
            <w:tcW w:w="903" w:type="dxa"/>
            <w:tcBorders>
              <w:top w:val="nil"/>
              <w:left w:val="nil"/>
              <w:bottom w:val="nil"/>
              <w:right w:val="nil"/>
            </w:tcBorders>
            <w:shd w:val="clear" w:color="auto" w:fill="auto"/>
            <w:vAlign w:val="center"/>
            <w:hideMark/>
          </w:tcPr>
          <w:p w14:paraId="001103AA" w14:textId="77777777" w:rsidR="008100B1" w:rsidRPr="008100B1" w:rsidRDefault="008100B1" w:rsidP="008100B1">
            <w:pPr>
              <w:jc w:val="right"/>
              <w:rPr>
                <w:color w:val="000000"/>
                <w:sz w:val="18"/>
                <w:szCs w:val="18"/>
                <w:lang w:eastAsia="tr-TR"/>
              </w:rPr>
            </w:pPr>
            <w:r w:rsidRPr="008100B1">
              <w:rPr>
                <w:color w:val="000000"/>
                <w:sz w:val="18"/>
                <w:szCs w:val="18"/>
                <w:lang w:eastAsia="tr-TR"/>
              </w:rPr>
              <w:t>37,623,633</w:t>
            </w:r>
          </w:p>
        </w:tc>
        <w:tc>
          <w:tcPr>
            <w:tcW w:w="1081" w:type="dxa"/>
            <w:tcBorders>
              <w:top w:val="nil"/>
              <w:left w:val="nil"/>
              <w:bottom w:val="nil"/>
              <w:right w:val="nil"/>
            </w:tcBorders>
            <w:shd w:val="clear" w:color="auto" w:fill="auto"/>
            <w:vAlign w:val="center"/>
            <w:hideMark/>
          </w:tcPr>
          <w:p w14:paraId="27C63A58" w14:textId="77777777" w:rsidR="008100B1" w:rsidRPr="008100B1" w:rsidRDefault="008100B1" w:rsidP="008100B1">
            <w:pPr>
              <w:jc w:val="right"/>
              <w:rPr>
                <w:color w:val="000000"/>
                <w:sz w:val="18"/>
                <w:szCs w:val="18"/>
                <w:lang w:eastAsia="tr-TR"/>
              </w:rPr>
            </w:pPr>
            <w:r w:rsidRPr="008100B1">
              <w:rPr>
                <w:color w:val="000000"/>
                <w:sz w:val="18"/>
                <w:szCs w:val="18"/>
                <w:lang w:eastAsia="tr-TR"/>
              </w:rPr>
              <w:t>24,484,448</w:t>
            </w:r>
          </w:p>
        </w:tc>
      </w:tr>
      <w:tr w:rsidR="008100B1" w:rsidRPr="008100B1" w14:paraId="518188D2" w14:textId="77777777" w:rsidTr="00BA637F">
        <w:trPr>
          <w:divId w:val="788820410"/>
          <w:trHeight w:val="188"/>
        </w:trPr>
        <w:tc>
          <w:tcPr>
            <w:tcW w:w="5257" w:type="dxa"/>
            <w:tcBorders>
              <w:top w:val="nil"/>
              <w:left w:val="nil"/>
              <w:bottom w:val="nil"/>
              <w:right w:val="nil"/>
            </w:tcBorders>
            <w:shd w:val="clear" w:color="auto" w:fill="auto"/>
            <w:noWrap/>
            <w:hideMark/>
          </w:tcPr>
          <w:p w14:paraId="2955E00E" w14:textId="77777777" w:rsidR="008100B1" w:rsidRPr="008100B1" w:rsidRDefault="008100B1" w:rsidP="008100B1">
            <w:pPr>
              <w:ind w:firstLineChars="100" w:firstLine="180"/>
              <w:rPr>
                <w:color w:val="000000"/>
                <w:sz w:val="18"/>
                <w:szCs w:val="18"/>
                <w:lang w:eastAsia="tr-TR"/>
              </w:rPr>
            </w:pPr>
            <w:r w:rsidRPr="008100B1">
              <w:rPr>
                <w:color w:val="000000"/>
                <w:sz w:val="18"/>
                <w:szCs w:val="18"/>
                <w:lang w:eastAsia="tr-TR"/>
              </w:rPr>
              <w:t>Yurt dışı şubelerde bulunan yabancı Mercilerin sigortasına tabi hesaplar</w:t>
            </w:r>
          </w:p>
        </w:tc>
        <w:tc>
          <w:tcPr>
            <w:tcW w:w="903" w:type="dxa"/>
            <w:tcBorders>
              <w:top w:val="nil"/>
              <w:left w:val="nil"/>
              <w:bottom w:val="nil"/>
              <w:right w:val="nil"/>
            </w:tcBorders>
            <w:shd w:val="clear" w:color="auto" w:fill="auto"/>
            <w:vAlign w:val="bottom"/>
            <w:hideMark/>
          </w:tcPr>
          <w:p w14:paraId="5E813E8B" w14:textId="77777777" w:rsidR="008100B1" w:rsidRPr="008100B1" w:rsidRDefault="008100B1" w:rsidP="00BA637F">
            <w:pPr>
              <w:jc w:val="right"/>
              <w:rPr>
                <w:color w:val="000000"/>
                <w:sz w:val="18"/>
                <w:szCs w:val="18"/>
                <w:lang w:eastAsia="tr-TR"/>
              </w:rPr>
            </w:pPr>
            <w:r w:rsidRPr="008100B1">
              <w:rPr>
                <w:color w:val="000000"/>
                <w:sz w:val="18"/>
                <w:szCs w:val="18"/>
                <w:lang w:eastAsia="tr-TR"/>
              </w:rPr>
              <w:t>-</w:t>
            </w:r>
          </w:p>
        </w:tc>
        <w:tc>
          <w:tcPr>
            <w:tcW w:w="1098" w:type="dxa"/>
            <w:tcBorders>
              <w:top w:val="nil"/>
              <w:left w:val="nil"/>
              <w:bottom w:val="nil"/>
              <w:right w:val="nil"/>
            </w:tcBorders>
            <w:shd w:val="clear" w:color="auto" w:fill="auto"/>
            <w:vAlign w:val="bottom"/>
            <w:hideMark/>
          </w:tcPr>
          <w:p w14:paraId="1F4942F3" w14:textId="77777777" w:rsidR="008100B1" w:rsidRPr="008100B1" w:rsidRDefault="008100B1" w:rsidP="00BA637F">
            <w:pPr>
              <w:jc w:val="right"/>
              <w:rPr>
                <w:color w:val="000000"/>
                <w:sz w:val="18"/>
                <w:szCs w:val="18"/>
                <w:lang w:eastAsia="tr-TR"/>
              </w:rPr>
            </w:pPr>
            <w:r w:rsidRPr="008100B1">
              <w:rPr>
                <w:color w:val="000000"/>
                <w:sz w:val="18"/>
                <w:szCs w:val="18"/>
                <w:lang w:eastAsia="tr-TR"/>
              </w:rPr>
              <w:t>-</w:t>
            </w:r>
          </w:p>
        </w:tc>
        <w:tc>
          <w:tcPr>
            <w:tcW w:w="903" w:type="dxa"/>
            <w:tcBorders>
              <w:top w:val="nil"/>
              <w:left w:val="nil"/>
              <w:bottom w:val="nil"/>
              <w:right w:val="nil"/>
            </w:tcBorders>
            <w:shd w:val="clear" w:color="auto" w:fill="auto"/>
            <w:vAlign w:val="bottom"/>
            <w:hideMark/>
          </w:tcPr>
          <w:p w14:paraId="589A1FB2" w14:textId="77777777" w:rsidR="008100B1" w:rsidRPr="008100B1" w:rsidRDefault="008100B1" w:rsidP="00BA637F">
            <w:pPr>
              <w:jc w:val="right"/>
              <w:rPr>
                <w:color w:val="000000"/>
                <w:sz w:val="18"/>
                <w:szCs w:val="18"/>
                <w:lang w:eastAsia="tr-TR"/>
              </w:rPr>
            </w:pPr>
            <w:r w:rsidRPr="008100B1">
              <w:rPr>
                <w:color w:val="000000"/>
                <w:sz w:val="18"/>
                <w:szCs w:val="18"/>
                <w:lang w:eastAsia="tr-TR"/>
              </w:rPr>
              <w:t>-</w:t>
            </w:r>
          </w:p>
        </w:tc>
        <w:tc>
          <w:tcPr>
            <w:tcW w:w="1081" w:type="dxa"/>
            <w:tcBorders>
              <w:top w:val="nil"/>
              <w:left w:val="nil"/>
              <w:bottom w:val="nil"/>
              <w:right w:val="nil"/>
            </w:tcBorders>
            <w:shd w:val="clear" w:color="auto" w:fill="auto"/>
            <w:vAlign w:val="bottom"/>
            <w:hideMark/>
          </w:tcPr>
          <w:p w14:paraId="2BBECB14" w14:textId="77777777" w:rsidR="008100B1" w:rsidRPr="008100B1" w:rsidRDefault="008100B1" w:rsidP="00BA637F">
            <w:pPr>
              <w:jc w:val="right"/>
              <w:rPr>
                <w:color w:val="000000"/>
                <w:sz w:val="18"/>
                <w:szCs w:val="18"/>
                <w:lang w:eastAsia="tr-TR"/>
              </w:rPr>
            </w:pPr>
            <w:r w:rsidRPr="008100B1">
              <w:rPr>
                <w:color w:val="000000"/>
                <w:sz w:val="18"/>
                <w:szCs w:val="18"/>
                <w:lang w:eastAsia="tr-TR"/>
              </w:rPr>
              <w:t>-</w:t>
            </w:r>
          </w:p>
        </w:tc>
      </w:tr>
      <w:tr w:rsidR="008100B1" w:rsidRPr="008100B1" w14:paraId="65DB0393" w14:textId="77777777" w:rsidTr="006B1072">
        <w:trPr>
          <w:divId w:val="788820410"/>
          <w:trHeight w:val="202"/>
        </w:trPr>
        <w:tc>
          <w:tcPr>
            <w:tcW w:w="5257" w:type="dxa"/>
            <w:tcBorders>
              <w:top w:val="nil"/>
              <w:left w:val="nil"/>
              <w:bottom w:val="nil"/>
              <w:right w:val="nil"/>
            </w:tcBorders>
            <w:shd w:val="clear" w:color="auto" w:fill="auto"/>
            <w:noWrap/>
            <w:hideMark/>
          </w:tcPr>
          <w:p w14:paraId="716AAFDC" w14:textId="77777777" w:rsidR="008100B1" w:rsidRPr="008100B1" w:rsidRDefault="008100B1" w:rsidP="008100B1">
            <w:pPr>
              <w:ind w:firstLineChars="100" w:firstLine="180"/>
              <w:rPr>
                <w:color w:val="000000"/>
                <w:sz w:val="18"/>
                <w:szCs w:val="18"/>
                <w:lang w:eastAsia="tr-TR"/>
              </w:rPr>
            </w:pPr>
            <w:r w:rsidRPr="008100B1">
              <w:rPr>
                <w:color w:val="000000"/>
                <w:sz w:val="18"/>
                <w:szCs w:val="18"/>
                <w:lang w:eastAsia="tr-TR"/>
              </w:rPr>
              <w:t xml:space="preserve">Kıyı </w:t>
            </w:r>
            <w:proofErr w:type="spellStart"/>
            <w:r w:rsidRPr="008100B1">
              <w:rPr>
                <w:color w:val="000000"/>
                <w:sz w:val="18"/>
                <w:szCs w:val="18"/>
                <w:lang w:eastAsia="tr-TR"/>
              </w:rPr>
              <w:t>bnk</w:t>
            </w:r>
            <w:proofErr w:type="spellEnd"/>
            <w:r w:rsidRPr="008100B1">
              <w:rPr>
                <w:color w:val="000000"/>
                <w:sz w:val="18"/>
                <w:szCs w:val="18"/>
                <w:lang w:eastAsia="tr-TR"/>
              </w:rPr>
              <w:t xml:space="preserve">. </w:t>
            </w:r>
            <w:proofErr w:type="spellStart"/>
            <w:r w:rsidRPr="008100B1">
              <w:rPr>
                <w:color w:val="000000"/>
                <w:sz w:val="18"/>
                <w:szCs w:val="18"/>
                <w:lang w:eastAsia="tr-TR"/>
              </w:rPr>
              <w:t>Blg</w:t>
            </w:r>
            <w:proofErr w:type="spellEnd"/>
            <w:r w:rsidRPr="008100B1">
              <w:rPr>
                <w:color w:val="000000"/>
                <w:sz w:val="18"/>
                <w:szCs w:val="18"/>
                <w:lang w:eastAsia="tr-TR"/>
              </w:rPr>
              <w:t xml:space="preserve">. </w:t>
            </w:r>
            <w:proofErr w:type="gramStart"/>
            <w:r w:rsidRPr="008100B1">
              <w:rPr>
                <w:color w:val="000000"/>
                <w:sz w:val="18"/>
                <w:szCs w:val="18"/>
                <w:lang w:eastAsia="tr-TR"/>
              </w:rPr>
              <w:t>şubelerde</w:t>
            </w:r>
            <w:proofErr w:type="gramEnd"/>
            <w:r w:rsidRPr="008100B1">
              <w:rPr>
                <w:color w:val="000000"/>
                <w:sz w:val="18"/>
                <w:szCs w:val="18"/>
                <w:lang w:eastAsia="tr-TR"/>
              </w:rPr>
              <w:t xml:space="preserve"> bulunan yabancı merci, sigorta tabi hesap</w:t>
            </w:r>
          </w:p>
        </w:tc>
        <w:tc>
          <w:tcPr>
            <w:tcW w:w="903" w:type="dxa"/>
            <w:tcBorders>
              <w:top w:val="nil"/>
              <w:left w:val="nil"/>
              <w:bottom w:val="nil"/>
              <w:right w:val="nil"/>
            </w:tcBorders>
            <w:shd w:val="clear" w:color="auto" w:fill="auto"/>
            <w:vAlign w:val="center"/>
            <w:hideMark/>
          </w:tcPr>
          <w:p w14:paraId="24E98761" w14:textId="77777777" w:rsidR="008100B1" w:rsidRPr="008100B1" w:rsidRDefault="008100B1" w:rsidP="008100B1">
            <w:pPr>
              <w:jc w:val="right"/>
              <w:rPr>
                <w:color w:val="000000"/>
                <w:sz w:val="18"/>
                <w:szCs w:val="18"/>
                <w:lang w:eastAsia="tr-TR"/>
              </w:rPr>
            </w:pPr>
            <w:r w:rsidRPr="008100B1">
              <w:rPr>
                <w:color w:val="000000"/>
                <w:sz w:val="18"/>
                <w:szCs w:val="18"/>
                <w:lang w:eastAsia="tr-TR"/>
              </w:rPr>
              <w:t>-</w:t>
            </w:r>
          </w:p>
        </w:tc>
        <w:tc>
          <w:tcPr>
            <w:tcW w:w="1098" w:type="dxa"/>
            <w:tcBorders>
              <w:top w:val="nil"/>
              <w:left w:val="nil"/>
              <w:bottom w:val="nil"/>
              <w:right w:val="nil"/>
            </w:tcBorders>
            <w:shd w:val="clear" w:color="auto" w:fill="auto"/>
            <w:vAlign w:val="center"/>
            <w:hideMark/>
          </w:tcPr>
          <w:p w14:paraId="2DFB62D7" w14:textId="77777777" w:rsidR="008100B1" w:rsidRPr="008100B1" w:rsidRDefault="008100B1" w:rsidP="008100B1">
            <w:pPr>
              <w:jc w:val="right"/>
              <w:rPr>
                <w:color w:val="000000"/>
                <w:sz w:val="18"/>
                <w:szCs w:val="18"/>
                <w:lang w:eastAsia="tr-TR"/>
              </w:rPr>
            </w:pPr>
            <w:r w:rsidRPr="008100B1">
              <w:rPr>
                <w:color w:val="000000"/>
                <w:sz w:val="18"/>
                <w:szCs w:val="18"/>
                <w:lang w:eastAsia="tr-TR"/>
              </w:rPr>
              <w:t>-</w:t>
            </w:r>
          </w:p>
        </w:tc>
        <w:tc>
          <w:tcPr>
            <w:tcW w:w="903" w:type="dxa"/>
            <w:tcBorders>
              <w:top w:val="nil"/>
              <w:left w:val="nil"/>
              <w:bottom w:val="nil"/>
              <w:right w:val="nil"/>
            </w:tcBorders>
            <w:shd w:val="clear" w:color="auto" w:fill="auto"/>
            <w:vAlign w:val="center"/>
            <w:hideMark/>
          </w:tcPr>
          <w:p w14:paraId="200B9A57" w14:textId="77777777" w:rsidR="008100B1" w:rsidRPr="008100B1" w:rsidRDefault="008100B1" w:rsidP="008100B1">
            <w:pPr>
              <w:jc w:val="right"/>
              <w:rPr>
                <w:color w:val="000000"/>
                <w:sz w:val="18"/>
                <w:szCs w:val="18"/>
                <w:lang w:eastAsia="tr-TR"/>
              </w:rPr>
            </w:pPr>
            <w:r w:rsidRPr="008100B1">
              <w:rPr>
                <w:color w:val="000000"/>
                <w:sz w:val="18"/>
                <w:szCs w:val="18"/>
                <w:lang w:eastAsia="tr-TR"/>
              </w:rPr>
              <w:t>-</w:t>
            </w:r>
          </w:p>
        </w:tc>
        <w:tc>
          <w:tcPr>
            <w:tcW w:w="1081" w:type="dxa"/>
            <w:tcBorders>
              <w:top w:val="nil"/>
              <w:left w:val="nil"/>
              <w:bottom w:val="nil"/>
              <w:right w:val="nil"/>
            </w:tcBorders>
            <w:shd w:val="clear" w:color="auto" w:fill="auto"/>
            <w:vAlign w:val="center"/>
            <w:hideMark/>
          </w:tcPr>
          <w:p w14:paraId="782CB2F9" w14:textId="77777777" w:rsidR="008100B1" w:rsidRPr="008100B1" w:rsidRDefault="008100B1" w:rsidP="008100B1">
            <w:pPr>
              <w:jc w:val="right"/>
              <w:rPr>
                <w:color w:val="000000"/>
                <w:sz w:val="18"/>
                <w:szCs w:val="18"/>
                <w:lang w:eastAsia="tr-TR"/>
              </w:rPr>
            </w:pPr>
            <w:r w:rsidRPr="008100B1">
              <w:rPr>
                <w:color w:val="000000"/>
                <w:sz w:val="18"/>
                <w:szCs w:val="18"/>
                <w:lang w:eastAsia="tr-TR"/>
              </w:rPr>
              <w:t>-</w:t>
            </w:r>
          </w:p>
        </w:tc>
      </w:tr>
    </w:tbl>
    <w:p w14:paraId="78888D56" w14:textId="47F07EE5" w:rsidR="005327E6" w:rsidRPr="008100B1" w:rsidRDefault="005327E6" w:rsidP="00603593">
      <w:pPr>
        <w:pStyle w:val="BodyTextIndent"/>
        <w:ind w:left="0" w:firstLine="0"/>
        <w:jc w:val="left"/>
        <w:rPr>
          <w:rFonts w:eastAsia="Arial Unicode MS"/>
          <w:sz w:val="16"/>
          <w:szCs w:val="16"/>
        </w:rPr>
      </w:pPr>
    </w:p>
    <w:p w14:paraId="29A32417" w14:textId="0A7B2EA6" w:rsidR="00EA4623" w:rsidRPr="008100B1" w:rsidRDefault="00EA4623" w:rsidP="00EA4623">
      <w:pPr>
        <w:tabs>
          <w:tab w:val="left" w:pos="2410"/>
        </w:tabs>
        <w:jc w:val="both"/>
        <w:rPr>
          <w:rFonts w:eastAsia="Arial Unicode MS"/>
          <w:spacing w:val="-6"/>
        </w:rPr>
      </w:pPr>
      <w:r w:rsidRPr="008100B1">
        <w:rPr>
          <w:rFonts w:eastAsia="Arial Unicode MS"/>
          <w:spacing w:val="-6"/>
        </w:rPr>
        <w:t>Katılım Bankalarında (yurt dışı şubelerinde açılanlar hariç), gerçek kişiler adına Türk Lirası veya döviz üzerinden açılan özel cari hesaplarda ve katılma hesaplarında toplanan fonlar, bir kişiye ait hesapların anapa</w:t>
      </w:r>
      <w:r w:rsidR="00B868D4" w:rsidRPr="008100B1">
        <w:rPr>
          <w:rFonts w:eastAsia="Arial Unicode MS"/>
          <w:spacing w:val="-6"/>
        </w:rPr>
        <w:t>ra ve kar payları toplamının 150 Bin</w:t>
      </w:r>
      <w:r w:rsidRPr="008100B1">
        <w:rPr>
          <w:rFonts w:eastAsia="Arial Unicode MS"/>
          <w:spacing w:val="-6"/>
        </w:rPr>
        <w:t xml:space="preserve"> TL’yi geçmemesi şartıyla, 1 Kasım 2005 tarih ve 25983 mükerrer sayılı </w:t>
      </w:r>
      <w:proofErr w:type="gramStart"/>
      <w:r w:rsidRPr="008100B1">
        <w:rPr>
          <w:rFonts w:eastAsia="Arial Unicode MS"/>
          <w:spacing w:val="-6"/>
        </w:rPr>
        <w:t>resmi</w:t>
      </w:r>
      <w:proofErr w:type="gramEnd"/>
      <w:r w:rsidRPr="008100B1">
        <w:rPr>
          <w:rFonts w:eastAsia="Arial Unicode MS"/>
          <w:spacing w:val="-6"/>
        </w:rPr>
        <w:t xml:space="preserve"> gazetede yayımlanan 5411 sayılı Bankacılık Kanunu kapsamında Tasarruf Mevduat Sigorta Fonu güvencesi altındadır.</w:t>
      </w:r>
    </w:p>
    <w:p w14:paraId="72AC545A" w14:textId="77777777" w:rsidR="00EA4623" w:rsidRPr="008100B1" w:rsidRDefault="00EA4623" w:rsidP="00EA4623">
      <w:pPr>
        <w:tabs>
          <w:tab w:val="left" w:pos="2410"/>
        </w:tabs>
        <w:jc w:val="both"/>
        <w:rPr>
          <w:rFonts w:eastAsia="Arial Unicode MS"/>
          <w:sz w:val="16"/>
          <w:szCs w:val="16"/>
        </w:rPr>
      </w:pPr>
    </w:p>
    <w:p w14:paraId="582D0445" w14:textId="307D8DB9" w:rsidR="006B4EDA" w:rsidRPr="008100B1" w:rsidRDefault="00D512E0" w:rsidP="00BA637F">
      <w:pPr>
        <w:ind w:hanging="709"/>
        <w:jc w:val="both"/>
        <w:rPr>
          <w:iCs/>
        </w:rPr>
      </w:pPr>
      <w:proofErr w:type="gramStart"/>
      <w:r w:rsidRPr="008100B1">
        <w:rPr>
          <w:b/>
        </w:rPr>
        <w:t xml:space="preserve">2.1.2.2  </w:t>
      </w:r>
      <w:r w:rsidR="00E253C8" w:rsidRPr="008100B1">
        <w:t>Merkezi</w:t>
      </w:r>
      <w:proofErr w:type="gramEnd"/>
      <w:r w:rsidR="00E253C8" w:rsidRPr="008100B1">
        <w:t xml:space="preserve"> yurt</w:t>
      </w:r>
      <w:r w:rsidR="001A2A1B" w:rsidRPr="008100B1">
        <w:t xml:space="preserve"> </w:t>
      </w:r>
      <w:r w:rsidR="00E253C8" w:rsidRPr="008100B1">
        <w:t xml:space="preserve">dışında bulunan </w:t>
      </w:r>
      <w:r w:rsidR="00E33AB7" w:rsidRPr="008100B1">
        <w:t>Banka’nın</w:t>
      </w:r>
      <w:r w:rsidR="00E253C8" w:rsidRPr="008100B1">
        <w:t xml:space="preserve"> Türkiye’deki şubesinde bulunan gerçek </w:t>
      </w:r>
      <w:r w:rsidRPr="008100B1">
        <w:t xml:space="preserve">kişilerin ticari işlemlere konu  </w:t>
      </w:r>
      <w:r w:rsidR="00E253C8" w:rsidRPr="008100B1">
        <w:t>olmayan özel cari hesapları, merkezin bulunduğu ülkede sigorta kapsamında ise bu durum açıklanması:</w:t>
      </w:r>
    </w:p>
    <w:p w14:paraId="5209A368" w14:textId="77777777" w:rsidR="006B4EDA" w:rsidRPr="008100B1" w:rsidRDefault="006B4EDA">
      <w:pPr>
        <w:autoSpaceDE w:val="0"/>
        <w:autoSpaceDN w:val="0"/>
        <w:adjustRightInd w:val="0"/>
        <w:ind w:firstLine="540"/>
        <w:rPr>
          <w:sz w:val="16"/>
          <w:szCs w:val="16"/>
        </w:rPr>
      </w:pPr>
    </w:p>
    <w:p w14:paraId="56CEAC8A" w14:textId="57ED24EF" w:rsidR="006B4EDA" w:rsidRPr="008100B1" w:rsidRDefault="00E253C8" w:rsidP="00D512E0">
      <w:pPr>
        <w:autoSpaceDE w:val="0"/>
        <w:autoSpaceDN w:val="0"/>
        <w:adjustRightInd w:val="0"/>
      </w:pPr>
      <w:r w:rsidRPr="008100B1">
        <w:t>Banka’nın merkezi Türkiye’dedir.</w:t>
      </w:r>
    </w:p>
    <w:p w14:paraId="51BE0937" w14:textId="77777777" w:rsidR="005327E6" w:rsidRPr="008100B1" w:rsidRDefault="005327E6">
      <w:pPr>
        <w:autoSpaceDE w:val="0"/>
        <w:autoSpaceDN w:val="0"/>
        <w:adjustRightInd w:val="0"/>
        <w:ind w:left="900" w:hanging="360"/>
        <w:rPr>
          <w:rFonts w:eastAsia="Arial Unicode MS"/>
          <w:sz w:val="16"/>
          <w:szCs w:val="16"/>
        </w:rPr>
      </w:pPr>
    </w:p>
    <w:p w14:paraId="02747015" w14:textId="78CC181F" w:rsidR="006B4EDA" w:rsidRPr="008100B1" w:rsidRDefault="00D512E0" w:rsidP="00BA637F">
      <w:pPr>
        <w:tabs>
          <w:tab w:val="left" w:pos="0"/>
        </w:tabs>
        <w:ind w:hanging="686"/>
      </w:pPr>
      <w:r w:rsidRPr="008100B1">
        <w:rPr>
          <w:b/>
          <w:iCs/>
        </w:rPr>
        <w:t>2.1</w:t>
      </w:r>
      <w:r w:rsidR="00E253C8" w:rsidRPr="008100B1">
        <w:rPr>
          <w:b/>
          <w:iCs/>
        </w:rPr>
        <w:t>.</w:t>
      </w:r>
      <w:r w:rsidRPr="008100B1">
        <w:rPr>
          <w:b/>
          <w:iCs/>
        </w:rPr>
        <w:t>2.3</w:t>
      </w:r>
      <w:r w:rsidR="00E253C8" w:rsidRPr="008100B1">
        <w:rPr>
          <w:iCs/>
        </w:rPr>
        <w:tab/>
        <w:t>Tasarruf Mevduatı Sigorta fonu kapsamında bulunmayan gerçek kişilerin özel cari ve katılma</w:t>
      </w:r>
      <w:r w:rsidR="00E253C8" w:rsidRPr="008100B1">
        <w:t xml:space="preserve"> hesapları:</w:t>
      </w:r>
    </w:p>
    <w:p w14:paraId="47FC74B9" w14:textId="77777777" w:rsidR="006B4EDA" w:rsidRPr="008100B1" w:rsidRDefault="006B4EDA">
      <w:pPr>
        <w:tabs>
          <w:tab w:val="left" w:pos="540"/>
        </w:tabs>
        <w:ind w:left="540" w:hanging="540"/>
        <w:rPr>
          <w:sz w:val="16"/>
          <w:szCs w:val="16"/>
        </w:rPr>
      </w:pPr>
    </w:p>
    <w:p w14:paraId="3B16C5A9" w14:textId="740BA862" w:rsidR="006B4EDA" w:rsidRPr="008100B1" w:rsidRDefault="00E253C8" w:rsidP="00D512E0">
      <w:pPr>
        <w:tabs>
          <w:tab w:val="left" w:pos="851"/>
        </w:tabs>
        <w:ind w:hanging="567"/>
        <w:jc w:val="both"/>
        <w:rPr>
          <w:iCs/>
        </w:rPr>
      </w:pPr>
      <w:r w:rsidRPr="008100B1">
        <w:tab/>
      </w:r>
      <w:r w:rsidR="00E33AB7" w:rsidRPr="008100B1">
        <w:rPr>
          <w:iCs/>
        </w:rPr>
        <w:t>Banka’nın</w:t>
      </w:r>
      <w:r w:rsidRPr="008100B1">
        <w:rPr>
          <w:iCs/>
        </w:rPr>
        <w:t xml:space="preserve"> hakim ortakları ile yönetim kurulu üyeleri, genel müdür ve genel müdür yardımcıları </w:t>
      </w:r>
      <w:proofErr w:type="gramStart"/>
      <w:r w:rsidRPr="008100B1">
        <w:rPr>
          <w:iCs/>
        </w:rPr>
        <w:t>ile  bunların</w:t>
      </w:r>
      <w:proofErr w:type="gramEnd"/>
      <w:r w:rsidRPr="008100B1">
        <w:rPr>
          <w:iCs/>
        </w:rPr>
        <w:t xml:space="preserve"> birinci dereceden yakınlarının </w:t>
      </w:r>
      <w:r w:rsidR="00B33DF0" w:rsidRPr="008100B1">
        <w:rPr>
          <w:iCs/>
        </w:rPr>
        <w:t xml:space="preserve">katılım fonları </w:t>
      </w:r>
      <w:r w:rsidRPr="008100B1">
        <w:rPr>
          <w:iCs/>
        </w:rPr>
        <w:t>dışında Tasarruf Mevduatı Sigorta Fonu kapsamında bulunmayan gerçek kişilere ait özel cari ve katılma hesabı bulunmamaktadır.</w:t>
      </w:r>
    </w:p>
    <w:p w14:paraId="111BC8C3" w14:textId="6649A28B" w:rsidR="008100B1" w:rsidRPr="00311DAB" w:rsidRDefault="008100B1" w:rsidP="002959A6">
      <w:pPr>
        <w:ind w:hanging="567"/>
        <w:rPr>
          <w:lang w:eastAsia="en-GB"/>
        </w:rPr>
      </w:pPr>
    </w:p>
    <w:tbl>
      <w:tblPr>
        <w:tblW w:w="9108" w:type="dxa"/>
        <w:tblCellMar>
          <w:left w:w="70" w:type="dxa"/>
          <w:right w:w="70" w:type="dxa"/>
        </w:tblCellMar>
        <w:tblLook w:val="04A0" w:firstRow="1" w:lastRow="0" w:firstColumn="1" w:lastColumn="0" w:noHBand="0" w:noVBand="1"/>
      </w:tblPr>
      <w:tblGrid>
        <w:gridCol w:w="7285"/>
        <w:gridCol w:w="851"/>
        <w:gridCol w:w="1052"/>
      </w:tblGrid>
      <w:tr w:rsidR="008100B1" w:rsidRPr="008100B1" w14:paraId="09A56A27" w14:textId="77777777" w:rsidTr="008100B1">
        <w:trPr>
          <w:divId w:val="373391104"/>
          <w:trHeight w:val="108"/>
        </w:trPr>
        <w:tc>
          <w:tcPr>
            <w:tcW w:w="7285" w:type="dxa"/>
            <w:tcBorders>
              <w:top w:val="single" w:sz="8" w:space="0" w:color="auto"/>
              <w:left w:val="nil"/>
              <w:bottom w:val="single" w:sz="8" w:space="0" w:color="auto"/>
              <w:right w:val="nil"/>
            </w:tcBorders>
            <w:shd w:val="clear" w:color="auto" w:fill="auto"/>
            <w:noWrap/>
            <w:vAlign w:val="center"/>
            <w:hideMark/>
          </w:tcPr>
          <w:p w14:paraId="58B66926" w14:textId="6C303986" w:rsidR="008100B1" w:rsidRPr="008100B1" w:rsidRDefault="008100B1" w:rsidP="008100B1">
            <w:pPr>
              <w:ind w:firstLineChars="100" w:firstLine="180"/>
              <w:rPr>
                <w:color w:val="000000"/>
                <w:sz w:val="18"/>
                <w:szCs w:val="18"/>
                <w:lang w:eastAsia="tr-TR"/>
              </w:rPr>
            </w:pPr>
            <w:r w:rsidRPr="008100B1">
              <w:rPr>
                <w:color w:val="000000"/>
                <w:sz w:val="18"/>
                <w:szCs w:val="18"/>
                <w:lang w:eastAsia="tr-TR"/>
              </w:rPr>
              <w:t> </w:t>
            </w:r>
          </w:p>
        </w:tc>
        <w:tc>
          <w:tcPr>
            <w:tcW w:w="815" w:type="dxa"/>
            <w:tcBorders>
              <w:top w:val="single" w:sz="8" w:space="0" w:color="auto"/>
              <w:left w:val="nil"/>
              <w:bottom w:val="single" w:sz="8" w:space="0" w:color="auto"/>
              <w:right w:val="nil"/>
            </w:tcBorders>
            <w:shd w:val="clear" w:color="auto" w:fill="auto"/>
            <w:vAlign w:val="center"/>
            <w:hideMark/>
          </w:tcPr>
          <w:p w14:paraId="68ECBC7B" w14:textId="77777777" w:rsidR="008100B1" w:rsidRPr="008100B1" w:rsidRDefault="008100B1" w:rsidP="008100B1">
            <w:pPr>
              <w:ind w:firstLineChars="200" w:firstLine="361"/>
              <w:jc w:val="right"/>
              <w:rPr>
                <w:b/>
                <w:bCs/>
                <w:color w:val="000000"/>
                <w:sz w:val="18"/>
                <w:szCs w:val="18"/>
                <w:lang w:eastAsia="tr-TR"/>
              </w:rPr>
            </w:pPr>
            <w:r w:rsidRPr="008100B1">
              <w:rPr>
                <w:b/>
                <w:bCs/>
                <w:color w:val="000000"/>
                <w:sz w:val="18"/>
                <w:szCs w:val="18"/>
                <w:lang w:eastAsia="tr-TR"/>
              </w:rPr>
              <w:t>Cari Dönem</w:t>
            </w:r>
          </w:p>
        </w:tc>
        <w:tc>
          <w:tcPr>
            <w:tcW w:w="1008" w:type="dxa"/>
            <w:tcBorders>
              <w:top w:val="single" w:sz="8" w:space="0" w:color="auto"/>
              <w:left w:val="nil"/>
              <w:bottom w:val="single" w:sz="8" w:space="0" w:color="auto"/>
              <w:right w:val="nil"/>
            </w:tcBorders>
            <w:shd w:val="clear" w:color="auto" w:fill="auto"/>
            <w:noWrap/>
            <w:vAlign w:val="center"/>
            <w:hideMark/>
          </w:tcPr>
          <w:p w14:paraId="5D07A72E" w14:textId="77777777" w:rsidR="008100B1" w:rsidRPr="008100B1" w:rsidRDefault="008100B1" w:rsidP="008100B1">
            <w:pPr>
              <w:ind w:firstLineChars="200" w:firstLine="361"/>
              <w:jc w:val="right"/>
              <w:rPr>
                <w:b/>
                <w:bCs/>
                <w:color w:val="000000"/>
                <w:sz w:val="18"/>
                <w:szCs w:val="18"/>
                <w:lang w:eastAsia="tr-TR"/>
              </w:rPr>
            </w:pPr>
            <w:r w:rsidRPr="008100B1">
              <w:rPr>
                <w:b/>
                <w:bCs/>
                <w:color w:val="000000"/>
                <w:sz w:val="18"/>
                <w:szCs w:val="18"/>
                <w:lang w:eastAsia="tr-TR"/>
              </w:rPr>
              <w:t>Önceki Dönem</w:t>
            </w:r>
          </w:p>
        </w:tc>
      </w:tr>
      <w:tr w:rsidR="008100B1" w:rsidRPr="008100B1" w14:paraId="72FDF0C3" w14:textId="77777777" w:rsidTr="008100B1">
        <w:trPr>
          <w:divId w:val="373391104"/>
          <w:trHeight w:val="95"/>
        </w:trPr>
        <w:tc>
          <w:tcPr>
            <w:tcW w:w="7285" w:type="dxa"/>
            <w:tcBorders>
              <w:top w:val="nil"/>
              <w:left w:val="nil"/>
              <w:bottom w:val="nil"/>
              <w:right w:val="nil"/>
            </w:tcBorders>
            <w:shd w:val="clear" w:color="auto" w:fill="auto"/>
            <w:noWrap/>
            <w:vAlign w:val="center"/>
            <w:hideMark/>
          </w:tcPr>
          <w:p w14:paraId="29E616DD" w14:textId="77777777" w:rsidR="008100B1" w:rsidRPr="008100B1" w:rsidRDefault="008100B1" w:rsidP="008100B1">
            <w:pPr>
              <w:ind w:firstLineChars="200" w:firstLine="361"/>
              <w:jc w:val="right"/>
              <w:rPr>
                <w:b/>
                <w:bCs/>
                <w:color w:val="000000"/>
                <w:sz w:val="18"/>
                <w:szCs w:val="18"/>
                <w:lang w:eastAsia="tr-TR"/>
              </w:rPr>
            </w:pPr>
          </w:p>
        </w:tc>
        <w:tc>
          <w:tcPr>
            <w:tcW w:w="815" w:type="dxa"/>
            <w:tcBorders>
              <w:top w:val="nil"/>
              <w:left w:val="nil"/>
              <w:bottom w:val="nil"/>
              <w:right w:val="nil"/>
            </w:tcBorders>
            <w:shd w:val="clear" w:color="auto" w:fill="auto"/>
            <w:vAlign w:val="center"/>
            <w:hideMark/>
          </w:tcPr>
          <w:p w14:paraId="7B07D4B4" w14:textId="77777777" w:rsidR="008100B1" w:rsidRPr="008100B1" w:rsidRDefault="008100B1" w:rsidP="008100B1">
            <w:pPr>
              <w:ind w:firstLineChars="100" w:firstLine="200"/>
              <w:rPr>
                <w:lang w:eastAsia="tr-TR"/>
              </w:rPr>
            </w:pPr>
          </w:p>
        </w:tc>
        <w:tc>
          <w:tcPr>
            <w:tcW w:w="1008" w:type="dxa"/>
            <w:tcBorders>
              <w:top w:val="nil"/>
              <w:left w:val="nil"/>
              <w:bottom w:val="nil"/>
              <w:right w:val="nil"/>
            </w:tcBorders>
            <w:shd w:val="clear" w:color="auto" w:fill="auto"/>
            <w:noWrap/>
            <w:vAlign w:val="center"/>
            <w:hideMark/>
          </w:tcPr>
          <w:p w14:paraId="7677F4F9" w14:textId="77777777" w:rsidR="008100B1" w:rsidRPr="008100B1" w:rsidRDefault="008100B1" w:rsidP="008100B1">
            <w:pPr>
              <w:ind w:firstLineChars="200" w:firstLine="400"/>
              <w:jc w:val="right"/>
              <w:rPr>
                <w:lang w:eastAsia="tr-TR"/>
              </w:rPr>
            </w:pPr>
          </w:p>
        </w:tc>
      </w:tr>
      <w:tr w:rsidR="008100B1" w:rsidRPr="008100B1" w14:paraId="09A00694" w14:textId="77777777" w:rsidTr="008100B1">
        <w:trPr>
          <w:divId w:val="373391104"/>
          <w:trHeight w:val="190"/>
        </w:trPr>
        <w:tc>
          <w:tcPr>
            <w:tcW w:w="7285" w:type="dxa"/>
            <w:tcBorders>
              <w:top w:val="nil"/>
              <w:left w:val="nil"/>
              <w:bottom w:val="nil"/>
              <w:right w:val="nil"/>
            </w:tcBorders>
            <w:shd w:val="clear" w:color="auto" w:fill="auto"/>
            <w:noWrap/>
            <w:vAlign w:val="center"/>
            <w:hideMark/>
          </w:tcPr>
          <w:p w14:paraId="130A4FDF" w14:textId="77777777" w:rsidR="008100B1" w:rsidRPr="008100B1" w:rsidRDefault="008100B1" w:rsidP="008100B1">
            <w:pPr>
              <w:jc w:val="both"/>
              <w:rPr>
                <w:color w:val="000000"/>
                <w:sz w:val="18"/>
                <w:szCs w:val="18"/>
                <w:lang w:eastAsia="tr-TR"/>
              </w:rPr>
            </w:pPr>
            <w:r w:rsidRPr="008100B1">
              <w:rPr>
                <w:color w:val="000000"/>
                <w:sz w:val="18"/>
                <w:szCs w:val="18"/>
                <w:lang w:eastAsia="tr-TR"/>
              </w:rPr>
              <w:t>Yurt dışı şubelerde bulunan katılım fonu ile diğer hesaplar</w:t>
            </w:r>
          </w:p>
        </w:tc>
        <w:tc>
          <w:tcPr>
            <w:tcW w:w="815" w:type="dxa"/>
            <w:tcBorders>
              <w:top w:val="nil"/>
              <w:left w:val="nil"/>
              <w:bottom w:val="nil"/>
              <w:right w:val="nil"/>
            </w:tcBorders>
            <w:shd w:val="clear" w:color="auto" w:fill="auto"/>
            <w:vAlign w:val="center"/>
            <w:hideMark/>
          </w:tcPr>
          <w:p w14:paraId="0DA6C833" w14:textId="77777777" w:rsidR="008100B1" w:rsidRPr="008100B1" w:rsidRDefault="008100B1" w:rsidP="008100B1">
            <w:pPr>
              <w:jc w:val="right"/>
              <w:rPr>
                <w:color w:val="000000"/>
                <w:sz w:val="18"/>
                <w:szCs w:val="18"/>
                <w:lang w:eastAsia="tr-TR"/>
              </w:rPr>
            </w:pPr>
            <w:r w:rsidRPr="008100B1">
              <w:rPr>
                <w:color w:val="000000"/>
                <w:sz w:val="18"/>
                <w:szCs w:val="18"/>
                <w:lang w:eastAsia="tr-TR"/>
              </w:rPr>
              <w:t>-</w:t>
            </w:r>
          </w:p>
        </w:tc>
        <w:tc>
          <w:tcPr>
            <w:tcW w:w="1008" w:type="dxa"/>
            <w:tcBorders>
              <w:top w:val="nil"/>
              <w:left w:val="nil"/>
              <w:bottom w:val="nil"/>
              <w:right w:val="nil"/>
            </w:tcBorders>
            <w:shd w:val="clear" w:color="auto" w:fill="auto"/>
            <w:vAlign w:val="center"/>
            <w:hideMark/>
          </w:tcPr>
          <w:p w14:paraId="525B0A1E" w14:textId="77777777" w:rsidR="008100B1" w:rsidRPr="008100B1" w:rsidRDefault="008100B1" w:rsidP="008100B1">
            <w:pPr>
              <w:jc w:val="right"/>
              <w:rPr>
                <w:color w:val="000000"/>
                <w:sz w:val="18"/>
                <w:szCs w:val="18"/>
                <w:lang w:eastAsia="tr-TR"/>
              </w:rPr>
            </w:pPr>
            <w:r w:rsidRPr="008100B1">
              <w:rPr>
                <w:color w:val="000000"/>
                <w:sz w:val="18"/>
                <w:szCs w:val="18"/>
                <w:lang w:eastAsia="tr-TR"/>
              </w:rPr>
              <w:t>-</w:t>
            </w:r>
          </w:p>
        </w:tc>
      </w:tr>
      <w:tr w:rsidR="008100B1" w:rsidRPr="008100B1" w14:paraId="5F36FA4C" w14:textId="77777777" w:rsidTr="00BA637F">
        <w:trPr>
          <w:divId w:val="373391104"/>
          <w:trHeight w:val="286"/>
        </w:trPr>
        <w:tc>
          <w:tcPr>
            <w:tcW w:w="7285" w:type="dxa"/>
            <w:tcBorders>
              <w:top w:val="nil"/>
              <w:left w:val="nil"/>
              <w:bottom w:val="nil"/>
              <w:right w:val="nil"/>
            </w:tcBorders>
            <w:shd w:val="clear" w:color="auto" w:fill="auto"/>
            <w:noWrap/>
            <w:vAlign w:val="center"/>
            <w:hideMark/>
          </w:tcPr>
          <w:p w14:paraId="5B2921E6" w14:textId="77777777" w:rsidR="008100B1" w:rsidRPr="008100B1" w:rsidRDefault="008100B1" w:rsidP="008100B1">
            <w:pPr>
              <w:jc w:val="both"/>
              <w:rPr>
                <w:color w:val="000000"/>
                <w:sz w:val="18"/>
                <w:szCs w:val="18"/>
                <w:lang w:eastAsia="tr-TR"/>
              </w:rPr>
            </w:pPr>
            <w:proofErr w:type="gramStart"/>
            <w:r w:rsidRPr="008100B1">
              <w:rPr>
                <w:color w:val="000000"/>
                <w:sz w:val="18"/>
                <w:szCs w:val="18"/>
                <w:lang w:eastAsia="tr-TR"/>
              </w:rPr>
              <w:t>Hakim</w:t>
            </w:r>
            <w:proofErr w:type="gramEnd"/>
            <w:r w:rsidRPr="008100B1">
              <w:rPr>
                <w:color w:val="000000"/>
                <w:sz w:val="18"/>
                <w:szCs w:val="18"/>
                <w:lang w:eastAsia="tr-TR"/>
              </w:rPr>
              <w:t xml:space="preserve"> ortaklar ile bunların ana, baba, eş ve velayet altındaki çocuklarına ait katılım fonu ile diğer hesaplar</w:t>
            </w:r>
          </w:p>
        </w:tc>
        <w:tc>
          <w:tcPr>
            <w:tcW w:w="815" w:type="dxa"/>
            <w:tcBorders>
              <w:top w:val="nil"/>
              <w:left w:val="nil"/>
              <w:bottom w:val="nil"/>
              <w:right w:val="nil"/>
            </w:tcBorders>
            <w:shd w:val="clear" w:color="auto" w:fill="auto"/>
            <w:vAlign w:val="bottom"/>
            <w:hideMark/>
          </w:tcPr>
          <w:p w14:paraId="54064EFE" w14:textId="77777777" w:rsidR="008100B1" w:rsidRPr="008100B1" w:rsidRDefault="008100B1" w:rsidP="00BA637F">
            <w:pPr>
              <w:jc w:val="right"/>
              <w:rPr>
                <w:color w:val="000000"/>
                <w:sz w:val="18"/>
                <w:szCs w:val="18"/>
                <w:lang w:eastAsia="tr-TR"/>
              </w:rPr>
            </w:pPr>
            <w:r w:rsidRPr="008100B1">
              <w:rPr>
                <w:color w:val="000000"/>
                <w:sz w:val="18"/>
                <w:szCs w:val="18"/>
                <w:lang w:eastAsia="tr-TR"/>
              </w:rPr>
              <w:t>-</w:t>
            </w:r>
          </w:p>
        </w:tc>
        <w:tc>
          <w:tcPr>
            <w:tcW w:w="1008" w:type="dxa"/>
            <w:tcBorders>
              <w:top w:val="nil"/>
              <w:left w:val="nil"/>
              <w:bottom w:val="nil"/>
              <w:right w:val="nil"/>
            </w:tcBorders>
            <w:shd w:val="clear" w:color="auto" w:fill="auto"/>
            <w:vAlign w:val="bottom"/>
            <w:hideMark/>
          </w:tcPr>
          <w:p w14:paraId="11114955" w14:textId="77777777" w:rsidR="008100B1" w:rsidRPr="008100B1" w:rsidRDefault="008100B1" w:rsidP="00BA637F">
            <w:pPr>
              <w:jc w:val="right"/>
              <w:rPr>
                <w:color w:val="000000"/>
                <w:sz w:val="18"/>
                <w:szCs w:val="18"/>
                <w:lang w:eastAsia="tr-TR"/>
              </w:rPr>
            </w:pPr>
            <w:r w:rsidRPr="008100B1">
              <w:rPr>
                <w:color w:val="000000"/>
                <w:sz w:val="18"/>
                <w:szCs w:val="18"/>
                <w:lang w:eastAsia="tr-TR"/>
              </w:rPr>
              <w:t>-</w:t>
            </w:r>
          </w:p>
        </w:tc>
      </w:tr>
      <w:tr w:rsidR="008100B1" w:rsidRPr="008100B1" w14:paraId="0F41C17F" w14:textId="77777777" w:rsidTr="00BA637F">
        <w:trPr>
          <w:divId w:val="373391104"/>
          <w:trHeight w:val="197"/>
        </w:trPr>
        <w:tc>
          <w:tcPr>
            <w:tcW w:w="7285" w:type="dxa"/>
            <w:tcBorders>
              <w:top w:val="nil"/>
              <w:left w:val="nil"/>
              <w:bottom w:val="nil"/>
              <w:right w:val="nil"/>
            </w:tcBorders>
            <w:shd w:val="clear" w:color="auto" w:fill="auto"/>
            <w:noWrap/>
            <w:vAlign w:val="center"/>
            <w:hideMark/>
          </w:tcPr>
          <w:p w14:paraId="5B2D2D32" w14:textId="77777777" w:rsidR="008100B1" w:rsidRPr="008100B1" w:rsidRDefault="008100B1" w:rsidP="008100B1">
            <w:pPr>
              <w:jc w:val="both"/>
              <w:rPr>
                <w:color w:val="000000"/>
                <w:sz w:val="18"/>
                <w:szCs w:val="18"/>
                <w:lang w:eastAsia="tr-TR"/>
              </w:rPr>
            </w:pPr>
            <w:r w:rsidRPr="008100B1">
              <w:rPr>
                <w:color w:val="000000"/>
                <w:sz w:val="18"/>
                <w:szCs w:val="18"/>
                <w:lang w:eastAsia="tr-TR"/>
              </w:rPr>
              <w:t xml:space="preserve">Yönetim veya müdürler kurulu başkan ve üyeler, genel müdür ve yardımcıları </w:t>
            </w:r>
            <w:proofErr w:type="gramStart"/>
            <w:r w:rsidRPr="008100B1">
              <w:rPr>
                <w:color w:val="000000"/>
                <w:sz w:val="18"/>
                <w:szCs w:val="18"/>
                <w:lang w:eastAsia="tr-TR"/>
              </w:rPr>
              <w:t>ile  bunların</w:t>
            </w:r>
            <w:proofErr w:type="gramEnd"/>
            <w:r w:rsidRPr="008100B1">
              <w:rPr>
                <w:color w:val="000000"/>
                <w:sz w:val="18"/>
                <w:szCs w:val="18"/>
                <w:lang w:eastAsia="tr-TR"/>
              </w:rPr>
              <w:t xml:space="preserve"> ana, baba, eş ve velayet altındaki çocuklarına ait katılım fonu ile diğer hesaplar</w:t>
            </w:r>
          </w:p>
        </w:tc>
        <w:tc>
          <w:tcPr>
            <w:tcW w:w="815" w:type="dxa"/>
            <w:tcBorders>
              <w:top w:val="nil"/>
              <w:left w:val="nil"/>
              <w:bottom w:val="nil"/>
              <w:right w:val="nil"/>
            </w:tcBorders>
            <w:shd w:val="clear" w:color="auto" w:fill="auto"/>
            <w:vAlign w:val="bottom"/>
            <w:hideMark/>
          </w:tcPr>
          <w:p w14:paraId="6F2BAD1B" w14:textId="77777777" w:rsidR="008100B1" w:rsidRPr="008100B1" w:rsidRDefault="008100B1" w:rsidP="00BA637F">
            <w:pPr>
              <w:jc w:val="right"/>
              <w:rPr>
                <w:color w:val="000000"/>
                <w:sz w:val="18"/>
                <w:szCs w:val="18"/>
                <w:lang w:eastAsia="tr-TR"/>
              </w:rPr>
            </w:pPr>
            <w:r w:rsidRPr="008100B1">
              <w:rPr>
                <w:color w:val="000000"/>
                <w:sz w:val="18"/>
                <w:szCs w:val="18"/>
                <w:lang w:eastAsia="tr-TR"/>
              </w:rPr>
              <w:t>11,103</w:t>
            </w:r>
          </w:p>
        </w:tc>
        <w:tc>
          <w:tcPr>
            <w:tcW w:w="1008" w:type="dxa"/>
            <w:tcBorders>
              <w:top w:val="nil"/>
              <w:left w:val="nil"/>
              <w:bottom w:val="nil"/>
              <w:right w:val="nil"/>
            </w:tcBorders>
            <w:shd w:val="clear" w:color="auto" w:fill="auto"/>
            <w:vAlign w:val="bottom"/>
            <w:hideMark/>
          </w:tcPr>
          <w:p w14:paraId="799CCBC2" w14:textId="77777777" w:rsidR="008100B1" w:rsidRPr="008100B1" w:rsidRDefault="008100B1" w:rsidP="00BA637F">
            <w:pPr>
              <w:jc w:val="right"/>
              <w:rPr>
                <w:color w:val="000000"/>
                <w:sz w:val="18"/>
                <w:szCs w:val="18"/>
                <w:lang w:eastAsia="tr-TR"/>
              </w:rPr>
            </w:pPr>
            <w:r w:rsidRPr="008100B1">
              <w:rPr>
                <w:color w:val="000000"/>
                <w:sz w:val="18"/>
                <w:szCs w:val="18"/>
                <w:lang w:eastAsia="tr-TR"/>
              </w:rPr>
              <w:t>9,044</w:t>
            </w:r>
          </w:p>
        </w:tc>
      </w:tr>
      <w:tr w:rsidR="008100B1" w:rsidRPr="008100B1" w14:paraId="58C41840" w14:textId="77777777" w:rsidTr="00BA637F">
        <w:trPr>
          <w:divId w:val="373391104"/>
          <w:trHeight w:val="327"/>
        </w:trPr>
        <w:tc>
          <w:tcPr>
            <w:tcW w:w="7285" w:type="dxa"/>
            <w:tcBorders>
              <w:top w:val="nil"/>
              <w:left w:val="nil"/>
              <w:bottom w:val="nil"/>
              <w:right w:val="nil"/>
            </w:tcBorders>
            <w:shd w:val="clear" w:color="auto" w:fill="auto"/>
            <w:noWrap/>
            <w:vAlign w:val="center"/>
            <w:hideMark/>
          </w:tcPr>
          <w:p w14:paraId="68A8EDE4" w14:textId="77777777" w:rsidR="008100B1" w:rsidRPr="008100B1" w:rsidRDefault="008100B1" w:rsidP="008100B1">
            <w:pPr>
              <w:jc w:val="both"/>
              <w:rPr>
                <w:color w:val="000000"/>
                <w:sz w:val="18"/>
                <w:szCs w:val="18"/>
                <w:lang w:eastAsia="tr-TR"/>
              </w:rPr>
            </w:pPr>
            <w:r w:rsidRPr="008100B1">
              <w:rPr>
                <w:color w:val="000000"/>
                <w:sz w:val="18"/>
                <w:szCs w:val="18"/>
                <w:lang w:eastAsia="tr-TR"/>
              </w:rPr>
              <w:t xml:space="preserve">26 Eylül 2004 tarihli ve 5237 sayılı TCK’nın 282 </w:t>
            </w:r>
            <w:proofErr w:type="spellStart"/>
            <w:r w:rsidRPr="008100B1">
              <w:rPr>
                <w:color w:val="000000"/>
                <w:sz w:val="18"/>
                <w:szCs w:val="18"/>
                <w:lang w:eastAsia="tr-TR"/>
              </w:rPr>
              <w:t>nci</w:t>
            </w:r>
            <w:proofErr w:type="spellEnd"/>
            <w:r w:rsidRPr="008100B1">
              <w:rPr>
                <w:color w:val="000000"/>
                <w:sz w:val="18"/>
                <w:szCs w:val="18"/>
                <w:lang w:eastAsia="tr-TR"/>
              </w:rPr>
              <w:t xml:space="preserve"> maddesindeki suçtan </w:t>
            </w:r>
            <w:proofErr w:type="gramStart"/>
            <w:r w:rsidRPr="008100B1">
              <w:rPr>
                <w:color w:val="000000"/>
                <w:sz w:val="18"/>
                <w:szCs w:val="18"/>
                <w:lang w:eastAsia="tr-TR"/>
              </w:rPr>
              <w:t>kaynaklanan  mal</w:t>
            </w:r>
            <w:proofErr w:type="gramEnd"/>
            <w:r w:rsidRPr="008100B1">
              <w:rPr>
                <w:color w:val="000000"/>
                <w:sz w:val="18"/>
                <w:szCs w:val="18"/>
                <w:lang w:eastAsia="tr-TR"/>
              </w:rPr>
              <w:t xml:space="preserve"> varlığı değerleri kapsamına giren katılım fonu ile diğer hesaplar</w:t>
            </w:r>
          </w:p>
        </w:tc>
        <w:tc>
          <w:tcPr>
            <w:tcW w:w="815" w:type="dxa"/>
            <w:tcBorders>
              <w:top w:val="nil"/>
              <w:left w:val="nil"/>
              <w:bottom w:val="nil"/>
              <w:right w:val="nil"/>
            </w:tcBorders>
            <w:shd w:val="clear" w:color="auto" w:fill="auto"/>
            <w:vAlign w:val="bottom"/>
            <w:hideMark/>
          </w:tcPr>
          <w:p w14:paraId="33BB2BFB" w14:textId="77777777" w:rsidR="008100B1" w:rsidRPr="008100B1" w:rsidRDefault="008100B1" w:rsidP="00BA637F">
            <w:pPr>
              <w:jc w:val="right"/>
              <w:rPr>
                <w:color w:val="000000"/>
                <w:sz w:val="18"/>
                <w:szCs w:val="18"/>
                <w:lang w:eastAsia="tr-TR"/>
              </w:rPr>
            </w:pPr>
            <w:r w:rsidRPr="008100B1">
              <w:rPr>
                <w:color w:val="000000"/>
                <w:sz w:val="18"/>
                <w:szCs w:val="18"/>
                <w:lang w:eastAsia="tr-TR"/>
              </w:rPr>
              <w:t>-</w:t>
            </w:r>
          </w:p>
        </w:tc>
        <w:tc>
          <w:tcPr>
            <w:tcW w:w="1008" w:type="dxa"/>
            <w:tcBorders>
              <w:top w:val="nil"/>
              <w:left w:val="nil"/>
              <w:bottom w:val="nil"/>
              <w:right w:val="nil"/>
            </w:tcBorders>
            <w:shd w:val="clear" w:color="auto" w:fill="auto"/>
            <w:vAlign w:val="bottom"/>
            <w:hideMark/>
          </w:tcPr>
          <w:p w14:paraId="2E930218" w14:textId="77777777" w:rsidR="008100B1" w:rsidRPr="008100B1" w:rsidRDefault="008100B1" w:rsidP="00BA637F">
            <w:pPr>
              <w:jc w:val="right"/>
              <w:rPr>
                <w:color w:val="000000"/>
                <w:sz w:val="18"/>
                <w:szCs w:val="18"/>
                <w:lang w:eastAsia="tr-TR"/>
              </w:rPr>
            </w:pPr>
            <w:r w:rsidRPr="008100B1">
              <w:rPr>
                <w:color w:val="000000"/>
                <w:sz w:val="18"/>
                <w:szCs w:val="18"/>
                <w:lang w:eastAsia="tr-TR"/>
              </w:rPr>
              <w:t>-</w:t>
            </w:r>
          </w:p>
        </w:tc>
      </w:tr>
      <w:tr w:rsidR="008100B1" w:rsidRPr="008100B1" w14:paraId="438BFB30" w14:textId="77777777" w:rsidTr="00BA637F">
        <w:trPr>
          <w:divId w:val="373391104"/>
          <w:trHeight w:val="217"/>
        </w:trPr>
        <w:tc>
          <w:tcPr>
            <w:tcW w:w="7285" w:type="dxa"/>
            <w:tcBorders>
              <w:top w:val="nil"/>
              <w:left w:val="nil"/>
              <w:bottom w:val="nil"/>
              <w:right w:val="nil"/>
            </w:tcBorders>
            <w:shd w:val="clear" w:color="auto" w:fill="auto"/>
            <w:noWrap/>
            <w:vAlign w:val="center"/>
            <w:hideMark/>
          </w:tcPr>
          <w:p w14:paraId="75E33EAA" w14:textId="77777777" w:rsidR="008100B1" w:rsidRPr="008100B1" w:rsidRDefault="008100B1" w:rsidP="008100B1">
            <w:pPr>
              <w:jc w:val="both"/>
              <w:rPr>
                <w:color w:val="000000"/>
                <w:sz w:val="18"/>
                <w:szCs w:val="18"/>
                <w:lang w:eastAsia="tr-TR"/>
              </w:rPr>
            </w:pPr>
            <w:r w:rsidRPr="008100B1">
              <w:rPr>
                <w:color w:val="000000"/>
                <w:sz w:val="18"/>
                <w:szCs w:val="18"/>
                <w:lang w:eastAsia="tr-TR"/>
              </w:rPr>
              <w:t xml:space="preserve">Türkiye’de münhasıran kıyı bankacılığı faaliyeti göstermek üzere kurulan </w:t>
            </w:r>
            <w:proofErr w:type="gramStart"/>
            <w:r w:rsidRPr="008100B1">
              <w:rPr>
                <w:color w:val="000000"/>
                <w:sz w:val="18"/>
                <w:szCs w:val="18"/>
                <w:lang w:eastAsia="tr-TR"/>
              </w:rPr>
              <w:t>katılım  bankalarında</w:t>
            </w:r>
            <w:proofErr w:type="gramEnd"/>
            <w:r w:rsidRPr="008100B1">
              <w:rPr>
                <w:color w:val="000000"/>
                <w:sz w:val="18"/>
                <w:szCs w:val="18"/>
                <w:lang w:eastAsia="tr-TR"/>
              </w:rPr>
              <w:t xml:space="preserve"> bulunan katılım fonları</w:t>
            </w:r>
          </w:p>
        </w:tc>
        <w:tc>
          <w:tcPr>
            <w:tcW w:w="815" w:type="dxa"/>
            <w:tcBorders>
              <w:top w:val="nil"/>
              <w:left w:val="nil"/>
              <w:bottom w:val="nil"/>
              <w:right w:val="nil"/>
            </w:tcBorders>
            <w:shd w:val="clear" w:color="auto" w:fill="auto"/>
            <w:vAlign w:val="bottom"/>
            <w:hideMark/>
          </w:tcPr>
          <w:p w14:paraId="29E803C8" w14:textId="77777777" w:rsidR="008100B1" w:rsidRPr="008100B1" w:rsidRDefault="008100B1" w:rsidP="00BA637F">
            <w:pPr>
              <w:jc w:val="right"/>
              <w:rPr>
                <w:color w:val="000000"/>
                <w:sz w:val="18"/>
                <w:szCs w:val="18"/>
                <w:lang w:eastAsia="tr-TR"/>
              </w:rPr>
            </w:pPr>
            <w:r w:rsidRPr="008100B1">
              <w:rPr>
                <w:color w:val="000000"/>
                <w:sz w:val="18"/>
                <w:szCs w:val="18"/>
                <w:lang w:eastAsia="tr-TR"/>
              </w:rPr>
              <w:t>-</w:t>
            </w:r>
          </w:p>
        </w:tc>
        <w:tc>
          <w:tcPr>
            <w:tcW w:w="1008" w:type="dxa"/>
            <w:tcBorders>
              <w:top w:val="nil"/>
              <w:left w:val="nil"/>
              <w:bottom w:val="nil"/>
              <w:right w:val="nil"/>
            </w:tcBorders>
            <w:shd w:val="clear" w:color="auto" w:fill="auto"/>
            <w:vAlign w:val="bottom"/>
            <w:hideMark/>
          </w:tcPr>
          <w:p w14:paraId="44E5EB98" w14:textId="77777777" w:rsidR="008100B1" w:rsidRPr="008100B1" w:rsidRDefault="008100B1" w:rsidP="00BA637F">
            <w:pPr>
              <w:jc w:val="right"/>
              <w:rPr>
                <w:color w:val="000000"/>
                <w:sz w:val="18"/>
                <w:szCs w:val="18"/>
                <w:lang w:eastAsia="tr-TR"/>
              </w:rPr>
            </w:pPr>
            <w:r w:rsidRPr="008100B1">
              <w:rPr>
                <w:color w:val="000000"/>
                <w:sz w:val="18"/>
                <w:szCs w:val="18"/>
                <w:lang w:eastAsia="tr-TR"/>
              </w:rPr>
              <w:t>-</w:t>
            </w:r>
          </w:p>
        </w:tc>
      </w:tr>
    </w:tbl>
    <w:p w14:paraId="28D2F482" w14:textId="1E7498E6" w:rsidR="00285240" w:rsidRPr="00270CE6" w:rsidRDefault="00285240" w:rsidP="002959A6">
      <w:pPr>
        <w:ind w:hanging="567"/>
        <w:rPr>
          <w:b/>
          <w:bCs/>
          <w:iCs/>
          <w:highlight w:val="yellow"/>
        </w:rPr>
      </w:pPr>
    </w:p>
    <w:p w14:paraId="3FFADB18" w14:textId="77777777" w:rsidR="00285240" w:rsidRPr="00270CE6" w:rsidRDefault="00285240" w:rsidP="002959A6">
      <w:pPr>
        <w:ind w:hanging="567"/>
        <w:rPr>
          <w:b/>
          <w:bCs/>
          <w:iCs/>
          <w:highlight w:val="yellow"/>
        </w:rPr>
      </w:pPr>
    </w:p>
    <w:p w14:paraId="15B40695" w14:textId="77777777" w:rsidR="00285240" w:rsidRPr="00270CE6" w:rsidRDefault="00285240" w:rsidP="002959A6">
      <w:pPr>
        <w:ind w:hanging="567"/>
        <w:rPr>
          <w:b/>
          <w:bCs/>
          <w:iCs/>
          <w:highlight w:val="yellow"/>
        </w:rPr>
      </w:pPr>
    </w:p>
    <w:p w14:paraId="366D33F5" w14:textId="77777777" w:rsidR="00285240" w:rsidRPr="00270CE6" w:rsidRDefault="00285240" w:rsidP="002959A6">
      <w:pPr>
        <w:ind w:hanging="567"/>
        <w:rPr>
          <w:b/>
          <w:bCs/>
          <w:iCs/>
          <w:highlight w:val="yellow"/>
        </w:rPr>
      </w:pPr>
    </w:p>
    <w:p w14:paraId="166F0FD4" w14:textId="77777777" w:rsidR="00285240" w:rsidRPr="00270CE6" w:rsidRDefault="00285240" w:rsidP="002959A6">
      <w:pPr>
        <w:ind w:hanging="567"/>
        <w:rPr>
          <w:b/>
          <w:bCs/>
          <w:iCs/>
          <w:highlight w:val="yellow"/>
        </w:rPr>
      </w:pPr>
    </w:p>
    <w:p w14:paraId="3DBEF8FB" w14:textId="77777777" w:rsidR="00285240" w:rsidRPr="00270CE6" w:rsidRDefault="00285240" w:rsidP="002959A6">
      <w:pPr>
        <w:ind w:hanging="567"/>
        <w:rPr>
          <w:b/>
          <w:bCs/>
          <w:iCs/>
          <w:highlight w:val="yellow"/>
        </w:rPr>
      </w:pPr>
    </w:p>
    <w:p w14:paraId="62627B2A" w14:textId="77777777" w:rsidR="000F096F" w:rsidRPr="006D71DD" w:rsidRDefault="00A023D6" w:rsidP="002959A6">
      <w:pPr>
        <w:ind w:hanging="567"/>
        <w:rPr>
          <w:b/>
          <w:bCs/>
          <w:iCs/>
        </w:rPr>
      </w:pPr>
      <w:r w:rsidRPr="00270CE6">
        <w:rPr>
          <w:b/>
          <w:bCs/>
          <w:iCs/>
          <w:highlight w:val="yellow"/>
        </w:rPr>
        <w:br w:type="page"/>
      </w:r>
      <w:r w:rsidR="00D512E0" w:rsidRPr="006D71DD">
        <w:rPr>
          <w:b/>
          <w:bCs/>
          <w:iCs/>
        </w:rPr>
        <w:lastRenderedPageBreak/>
        <w:t>2</w:t>
      </w:r>
      <w:r w:rsidR="00E253C8" w:rsidRPr="006D71DD">
        <w:rPr>
          <w:b/>
          <w:bCs/>
          <w:iCs/>
        </w:rPr>
        <w:t>.</w:t>
      </w:r>
      <w:r w:rsidR="00D512E0" w:rsidRPr="006D71DD">
        <w:rPr>
          <w:b/>
          <w:bCs/>
          <w:iCs/>
        </w:rPr>
        <w:t>2</w:t>
      </w:r>
      <w:r w:rsidR="00E253C8" w:rsidRPr="006D71DD">
        <w:rPr>
          <w:b/>
          <w:bCs/>
          <w:iCs/>
        </w:rPr>
        <w:tab/>
        <w:t>Alım satım amaçlı türev finansal borçlara ilişkin bilgiler:</w:t>
      </w:r>
    </w:p>
    <w:p w14:paraId="771BED1F" w14:textId="77777777" w:rsidR="000F096F" w:rsidRPr="006D71DD" w:rsidRDefault="000F096F" w:rsidP="002959A6">
      <w:pPr>
        <w:rPr>
          <w:sz w:val="16"/>
          <w:szCs w:val="16"/>
        </w:rPr>
      </w:pPr>
    </w:p>
    <w:p w14:paraId="0564A990" w14:textId="77777777" w:rsidR="000F096F" w:rsidRPr="006D71DD" w:rsidRDefault="00E253C8" w:rsidP="00D512E0">
      <w:pPr>
        <w:tabs>
          <w:tab w:val="num" w:pos="2340"/>
          <w:tab w:val="num" w:pos="3060"/>
        </w:tabs>
        <w:autoSpaceDE w:val="0"/>
        <w:autoSpaceDN w:val="0"/>
        <w:adjustRightInd w:val="0"/>
      </w:pPr>
      <w:r w:rsidRPr="006D71DD">
        <w:t>Alım satım amaçlı türev finansal borçlara ilişkin negatif farklar tablosu:</w:t>
      </w:r>
    </w:p>
    <w:p w14:paraId="4C589997" w14:textId="2856A13E" w:rsidR="006D71DD" w:rsidRPr="006D71DD" w:rsidRDefault="006D71DD" w:rsidP="00FB7B40">
      <w:pPr>
        <w:autoSpaceDE w:val="0"/>
        <w:autoSpaceDN w:val="0"/>
        <w:adjustRightInd w:val="0"/>
        <w:ind w:left="540" w:hanging="540"/>
        <w:rPr>
          <w:lang w:val="en-GB" w:eastAsia="en-GB"/>
        </w:rPr>
      </w:pPr>
    </w:p>
    <w:tbl>
      <w:tblPr>
        <w:tblW w:w="9173" w:type="dxa"/>
        <w:tblCellMar>
          <w:left w:w="70" w:type="dxa"/>
          <w:right w:w="70" w:type="dxa"/>
        </w:tblCellMar>
        <w:tblLook w:val="04A0" w:firstRow="1" w:lastRow="0" w:firstColumn="1" w:lastColumn="0" w:noHBand="0" w:noVBand="1"/>
      </w:tblPr>
      <w:tblGrid>
        <w:gridCol w:w="4711"/>
        <w:gridCol w:w="1216"/>
        <w:gridCol w:w="1094"/>
        <w:gridCol w:w="1040"/>
        <w:gridCol w:w="1112"/>
      </w:tblGrid>
      <w:tr w:rsidR="006D71DD" w:rsidRPr="006D71DD" w14:paraId="68E0CF0E" w14:textId="77777777" w:rsidTr="006B1072">
        <w:trPr>
          <w:divId w:val="515850545"/>
          <w:trHeight w:val="257"/>
        </w:trPr>
        <w:tc>
          <w:tcPr>
            <w:tcW w:w="4711" w:type="dxa"/>
            <w:tcBorders>
              <w:top w:val="double" w:sz="6" w:space="0" w:color="auto"/>
              <w:left w:val="nil"/>
              <w:bottom w:val="single" w:sz="8" w:space="0" w:color="auto"/>
              <w:right w:val="nil"/>
            </w:tcBorders>
            <w:shd w:val="clear" w:color="auto" w:fill="auto"/>
            <w:vAlign w:val="center"/>
            <w:hideMark/>
          </w:tcPr>
          <w:p w14:paraId="035434A2" w14:textId="22FFD9F0" w:rsidR="006D71DD" w:rsidRPr="006D71DD" w:rsidRDefault="006D71DD" w:rsidP="006D71DD">
            <w:pPr>
              <w:jc w:val="both"/>
              <w:rPr>
                <w:b/>
                <w:bCs/>
                <w:color w:val="000000"/>
                <w:sz w:val="16"/>
                <w:szCs w:val="16"/>
                <w:lang w:eastAsia="tr-TR"/>
              </w:rPr>
            </w:pPr>
            <w:r w:rsidRPr="006D71DD">
              <w:rPr>
                <w:b/>
                <w:bCs/>
                <w:color w:val="000000"/>
                <w:sz w:val="16"/>
                <w:szCs w:val="16"/>
                <w:lang w:eastAsia="tr-TR"/>
              </w:rPr>
              <w:t> </w:t>
            </w:r>
          </w:p>
        </w:tc>
        <w:tc>
          <w:tcPr>
            <w:tcW w:w="2310" w:type="dxa"/>
            <w:gridSpan w:val="2"/>
            <w:tcBorders>
              <w:top w:val="double" w:sz="6" w:space="0" w:color="auto"/>
              <w:left w:val="nil"/>
              <w:bottom w:val="single" w:sz="8" w:space="0" w:color="auto"/>
              <w:right w:val="nil"/>
            </w:tcBorders>
            <w:shd w:val="clear" w:color="auto" w:fill="auto"/>
            <w:vAlign w:val="center"/>
            <w:hideMark/>
          </w:tcPr>
          <w:p w14:paraId="5073EC90" w14:textId="77777777" w:rsidR="006D71DD" w:rsidRPr="006D71DD" w:rsidRDefault="006D71DD" w:rsidP="006D71DD">
            <w:pPr>
              <w:jc w:val="center"/>
              <w:rPr>
                <w:b/>
                <w:bCs/>
                <w:color w:val="000000"/>
                <w:sz w:val="16"/>
                <w:szCs w:val="16"/>
                <w:lang w:eastAsia="tr-TR"/>
              </w:rPr>
            </w:pPr>
            <w:r w:rsidRPr="006D71DD">
              <w:rPr>
                <w:b/>
                <w:bCs/>
                <w:color w:val="000000"/>
                <w:sz w:val="16"/>
                <w:szCs w:val="16"/>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0A47359F" w14:textId="77777777" w:rsidR="006D71DD" w:rsidRPr="006D71DD" w:rsidRDefault="006D71DD" w:rsidP="006D71DD">
            <w:pPr>
              <w:jc w:val="center"/>
              <w:rPr>
                <w:b/>
                <w:bCs/>
                <w:color w:val="000000"/>
                <w:sz w:val="16"/>
                <w:szCs w:val="16"/>
                <w:lang w:eastAsia="tr-TR"/>
              </w:rPr>
            </w:pPr>
            <w:r w:rsidRPr="006D71DD">
              <w:rPr>
                <w:b/>
                <w:bCs/>
                <w:color w:val="000000"/>
                <w:sz w:val="16"/>
                <w:szCs w:val="16"/>
                <w:lang w:eastAsia="tr-TR"/>
              </w:rPr>
              <w:t>Önceki Dönem</w:t>
            </w:r>
          </w:p>
        </w:tc>
      </w:tr>
      <w:tr w:rsidR="006D71DD" w:rsidRPr="006D71DD" w14:paraId="5ECFDE26" w14:textId="77777777" w:rsidTr="006B1072">
        <w:trPr>
          <w:divId w:val="515850545"/>
          <w:trHeight w:val="242"/>
        </w:trPr>
        <w:tc>
          <w:tcPr>
            <w:tcW w:w="4711" w:type="dxa"/>
            <w:tcBorders>
              <w:top w:val="nil"/>
              <w:left w:val="nil"/>
              <w:bottom w:val="single" w:sz="8" w:space="0" w:color="auto"/>
              <w:right w:val="nil"/>
            </w:tcBorders>
            <w:shd w:val="clear" w:color="auto" w:fill="auto"/>
            <w:vAlign w:val="center"/>
            <w:hideMark/>
          </w:tcPr>
          <w:p w14:paraId="13743211" w14:textId="77777777" w:rsidR="006D71DD" w:rsidRPr="006D71DD" w:rsidRDefault="006D71DD" w:rsidP="006D71DD">
            <w:pPr>
              <w:jc w:val="both"/>
              <w:rPr>
                <w:b/>
                <w:bCs/>
                <w:color w:val="000000"/>
                <w:sz w:val="16"/>
                <w:szCs w:val="16"/>
                <w:lang w:eastAsia="tr-TR"/>
              </w:rPr>
            </w:pPr>
            <w:r w:rsidRPr="006D71DD">
              <w:rPr>
                <w:b/>
                <w:bCs/>
                <w:color w:val="000000"/>
                <w:sz w:val="16"/>
                <w:szCs w:val="16"/>
                <w:lang w:eastAsia="tr-TR"/>
              </w:rPr>
              <w:t> </w:t>
            </w:r>
          </w:p>
        </w:tc>
        <w:tc>
          <w:tcPr>
            <w:tcW w:w="1216" w:type="dxa"/>
            <w:tcBorders>
              <w:top w:val="nil"/>
              <w:left w:val="nil"/>
              <w:bottom w:val="single" w:sz="8" w:space="0" w:color="auto"/>
              <w:right w:val="nil"/>
            </w:tcBorders>
            <w:shd w:val="clear" w:color="auto" w:fill="auto"/>
            <w:vAlign w:val="center"/>
            <w:hideMark/>
          </w:tcPr>
          <w:p w14:paraId="6BB171D1" w14:textId="77777777" w:rsidR="006D71DD" w:rsidRPr="006D71DD" w:rsidRDefault="006D71DD" w:rsidP="006D71DD">
            <w:pPr>
              <w:jc w:val="right"/>
              <w:rPr>
                <w:b/>
                <w:bCs/>
                <w:color w:val="000000"/>
                <w:sz w:val="16"/>
                <w:szCs w:val="16"/>
                <w:lang w:eastAsia="tr-TR"/>
              </w:rPr>
            </w:pPr>
            <w:r w:rsidRPr="006D71DD">
              <w:rPr>
                <w:b/>
                <w:bCs/>
                <w:color w:val="000000"/>
                <w:sz w:val="16"/>
                <w:szCs w:val="16"/>
                <w:lang w:eastAsia="tr-TR"/>
              </w:rPr>
              <w:t>TP</w:t>
            </w:r>
          </w:p>
        </w:tc>
        <w:tc>
          <w:tcPr>
            <w:tcW w:w="1094" w:type="dxa"/>
            <w:tcBorders>
              <w:top w:val="nil"/>
              <w:left w:val="nil"/>
              <w:bottom w:val="single" w:sz="8" w:space="0" w:color="auto"/>
              <w:right w:val="nil"/>
            </w:tcBorders>
            <w:shd w:val="clear" w:color="auto" w:fill="auto"/>
            <w:vAlign w:val="center"/>
            <w:hideMark/>
          </w:tcPr>
          <w:p w14:paraId="11684F3F" w14:textId="77777777" w:rsidR="006D71DD" w:rsidRPr="006D71DD" w:rsidRDefault="006D71DD" w:rsidP="006D71DD">
            <w:pPr>
              <w:jc w:val="right"/>
              <w:rPr>
                <w:b/>
                <w:bCs/>
                <w:color w:val="000000"/>
                <w:sz w:val="16"/>
                <w:szCs w:val="16"/>
                <w:lang w:eastAsia="tr-TR"/>
              </w:rPr>
            </w:pPr>
            <w:r w:rsidRPr="006D71DD">
              <w:rPr>
                <w:b/>
                <w:bCs/>
                <w:color w:val="000000"/>
                <w:sz w:val="16"/>
                <w:szCs w:val="16"/>
                <w:lang w:eastAsia="tr-TR"/>
              </w:rPr>
              <w:t>YP</w:t>
            </w:r>
          </w:p>
        </w:tc>
        <w:tc>
          <w:tcPr>
            <w:tcW w:w="1040" w:type="dxa"/>
            <w:tcBorders>
              <w:top w:val="nil"/>
              <w:left w:val="nil"/>
              <w:bottom w:val="single" w:sz="8" w:space="0" w:color="auto"/>
              <w:right w:val="nil"/>
            </w:tcBorders>
            <w:shd w:val="clear" w:color="auto" w:fill="auto"/>
            <w:vAlign w:val="center"/>
            <w:hideMark/>
          </w:tcPr>
          <w:p w14:paraId="69B4E226" w14:textId="77777777" w:rsidR="006D71DD" w:rsidRPr="006D71DD" w:rsidRDefault="006D71DD" w:rsidP="006D71DD">
            <w:pPr>
              <w:jc w:val="right"/>
              <w:rPr>
                <w:b/>
                <w:bCs/>
                <w:color w:val="000000"/>
                <w:sz w:val="16"/>
                <w:szCs w:val="16"/>
                <w:lang w:eastAsia="tr-TR"/>
              </w:rPr>
            </w:pPr>
            <w:r w:rsidRPr="006D71DD">
              <w:rPr>
                <w:b/>
                <w:bCs/>
                <w:color w:val="000000"/>
                <w:sz w:val="16"/>
                <w:szCs w:val="16"/>
                <w:lang w:eastAsia="tr-TR"/>
              </w:rPr>
              <w:t>TP</w:t>
            </w:r>
          </w:p>
        </w:tc>
        <w:tc>
          <w:tcPr>
            <w:tcW w:w="1111" w:type="dxa"/>
            <w:tcBorders>
              <w:top w:val="nil"/>
              <w:left w:val="nil"/>
              <w:bottom w:val="single" w:sz="8" w:space="0" w:color="auto"/>
              <w:right w:val="nil"/>
            </w:tcBorders>
            <w:shd w:val="clear" w:color="auto" w:fill="auto"/>
            <w:vAlign w:val="center"/>
            <w:hideMark/>
          </w:tcPr>
          <w:p w14:paraId="5B54C9D5" w14:textId="77777777" w:rsidR="006D71DD" w:rsidRPr="006D71DD" w:rsidRDefault="006D71DD" w:rsidP="006D71DD">
            <w:pPr>
              <w:jc w:val="right"/>
              <w:rPr>
                <w:b/>
                <w:bCs/>
                <w:color w:val="000000"/>
                <w:sz w:val="16"/>
                <w:szCs w:val="16"/>
                <w:lang w:eastAsia="tr-TR"/>
              </w:rPr>
            </w:pPr>
            <w:r w:rsidRPr="006D71DD">
              <w:rPr>
                <w:b/>
                <w:bCs/>
                <w:color w:val="000000"/>
                <w:sz w:val="16"/>
                <w:szCs w:val="16"/>
                <w:lang w:eastAsia="tr-TR"/>
              </w:rPr>
              <w:t>YP</w:t>
            </w:r>
          </w:p>
        </w:tc>
      </w:tr>
      <w:tr w:rsidR="006D71DD" w:rsidRPr="006D71DD" w14:paraId="5512F0CD" w14:textId="77777777" w:rsidTr="006B1072">
        <w:trPr>
          <w:divId w:val="515850545"/>
          <w:trHeight w:val="242"/>
        </w:trPr>
        <w:tc>
          <w:tcPr>
            <w:tcW w:w="4711" w:type="dxa"/>
            <w:tcBorders>
              <w:top w:val="nil"/>
              <w:left w:val="nil"/>
              <w:bottom w:val="nil"/>
              <w:right w:val="nil"/>
            </w:tcBorders>
            <w:shd w:val="clear" w:color="auto" w:fill="auto"/>
            <w:vAlign w:val="center"/>
            <w:hideMark/>
          </w:tcPr>
          <w:p w14:paraId="678A359D" w14:textId="77777777" w:rsidR="006D71DD" w:rsidRPr="006D71DD" w:rsidRDefault="006D71DD" w:rsidP="006D71DD">
            <w:pPr>
              <w:jc w:val="both"/>
              <w:rPr>
                <w:sz w:val="16"/>
                <w:szCs w:val="16"/>
                <w:lang w:eastAsia="tr-TR"/>
              </w:rPr>
            </w:pPr>
            <w:r w:rsidRPr="006D71DD">
              <w:rPr>
                <w:sz w:val="16"/>
                <w:szCs w:val="16"/>
                <w:lang w:eastAsia="tr-TR"/>
              </w:rPr>
              <w:t>Vadeli İşlemler</w:t>
            </w:r>
          </w:p>
        </w:tc>
        <w:tc>
          <w:tcPr>
            <w:tcW w:w="1216" w:type="dxa"/>
            <w:tcBorders>
              <w:top w:val="nil"/>
              <w:left w:val="nil"/>
              <w:bottom w:val="nil"/>
              <w:right w:val="nil"/>
            </w:tcBorders>
            <w:shd w:val="clear" w:color="auto" w:fill="auto"/>
            <w:vAlign w:val="center"/>
            <w:hideMark/>
          </w:tcPr>
          <w:p w14:paraId="3C37B1C2" w14:textId="77777777" w:rsidR="006D71DD" w:rsidRPr="006D71DD" w:rsidRDefault="006D71DD" w:rsidP="006D71DD">
            <w:pPr>
              <w:jc w:val="right"/>
              <w:rPr>
                <w:color w:val="000000"/>
                <w:sz w:val="18"/>
                <w:szCs w:val="18"/>
                <w:lang w:eastAsia="tr-TR"/>
              </w:rPr>
            </w:pPr>
            <w:r w:rsidRPr="006D71DD">
              <w:rPr>
                <w:color w:val="000000"/>
                <w:sz w:val="18"/>
                <w:szCs w:val="18"/>
                <w:lang w:eastAsia="tr-TR"/>
              </w:rPr>
              <w:t>33,185</w:t>
            </w:r>
          </w:p>
        </w:tc>
        <w:tc>
          <w:tcPr>
            <w:tcW w:w="1094" w:type="dxa"/>
            <w:tcBorders>
              <w:top w:val="nil"/>
              <w:left w:val="nil"/>
              <w:bottom w:val="nil"/>
              <w:right w:val="nil"/>
            </w:tcBorders>
            <w:shd w:val="clear" w:color="auto" w:fill="auto"/>
            <w:vAlign w:val="center"/>
            <w:hideMark/>
          </w:tcPr>
          <w:p w14:paraId="3FAB44A1" w14:textId="77777777" w:rsidR="006D71DD" w:rsidRPr="006D71DD" w:rsidRDefault="006D71DD" w:rsidP="006D71DD">
            <w:pPr>
              <w:jc w:val="right"/>
              <w:rPr>
                <w:color w:val="000000"/>
                <w:sz w:val="18"/>
                <w:szCs w:val="18"/>
                <w:lang w:eastAsia="tr-TR"/>
              </w:rPr>
            </w:pPr>
            <w:r w:rsidRPr="006D71DD">
              <w:rPr>
                <w:color w:val="000000"/>
                <w:sz w:val="18"/>
                <w:szCs w:val="18"/>
                <w:lang w:eastAsia="tr-TR"/>
              </w:rPr>
              <w:t>16,601</w:t>
            </w:r>
          </w:p>
        </w:tc>
        <w:tc>
          <w:tcPr>
            <w:tcW w:w="1040" w:type="dxa"/>
            <w:tcBorders>
              <w:top w:val="nil"/>
              <w:left w:val="nil"/>
              <w:bottom w:val="nil"/>
              <w:right w:val="nil"/>
            </w:tcBorders>
            <w:shd w:val="clear" w:color="auto" w:fill="auto"/>
            <w:vAlign w:val="center"/>
            <w:hideMark/>
          </w:tcPr>
          <w:p w14:paraId="2874B692" w14:textId="77777777" w:rsidR="006D71DD" w:rsidRPr="006D71DD" w:rsidRDefault="006D71DD" w:rsidP="006D71DD">
            <w:pPr>
              <w:jc w:val="right"/>
              <w:rPr>
                <w:color w:val="000000"/>
                <w:sz w:val="18"/>
                <w:szCs w:val="18"/>
                <w:lang w:eastAsia="tr-TR"/>
              </w:rPr>
            </w:pPr>
            <w:r w:rsidRPr="006D71DD">
              <w:rPr>
                <w:color w:val="000000"/>
                <w:sz w:val="18"/>
                <w:szCs w:val="18"/>
                <w:lang w:eastAsia="tr-TR"/>
              </w:rPr>
              <w:t>13,191</w:t>
            </w:r>
          </w:p>
        </w:tc>
        <w:tc>
          <w:tcPr>
            <w:tcW w:w="1111" w:type="dxa"/>
            <w:tcBorders>
              <w:top w:val="nil"/>
              <w:left w:val="nil"/>
              <w:bottom w:val="nil"/>
              <w:right w:val="nil"/>
            </w:tcBorders>
            <w:shd w:val="clear" w:color="auto" w:fill="auto"/>
            <w:vAlign w:val="center"/>
            <w:hideMark/>
          </w:tcPr>
          <w:p w14:paraId="208CCFF7" w14:textId="77777777" w:rsidR="006D71DD" w:rsidRPr="006D71DD" w:rsidRDefault="006D71DD" w:rsidP="006D71DD">
            <w:pPr>
              <w:jc w:val="right"/>
              <w:rPr>
                <w:color w:val="000000"/>
                <w:sz w:val="18"/>
                <w:szCs w:val="18"/>
                <w:lang w:eastAsia="tr-TR"/>
              </w:rPr>
            </w:pPr>
            <w:r w:rsidRPr="006D71DD">
              <w:rPr>
                <w:color w:val="000000"/>
                <w:sz w:val="18"/>
                <w:szCs w:val="18"/>
                <w:lang w:eastAsia="tr-TR"/>
              </w:rPr>
              <w:t>974</w:t>
            </w:r>
          </w:p>
        </w:tc>
      </w:tr>
      <w:tr w:rsidR="006D71DD" w:rsidRPr="006D71DD" w14:paraId="11A4E4E3" w14:textId="77777777" w:rsidTr="006B1072">
        <w:trPr>
          <w:divId w:val="515850545"/>
          <w:trHeight w:val="242"/>
        </w:trPr>
        <w:tc>
          <w:tcPr>
            <w:tcW w:w="4711" w:type="dxa"/>
            <w:tcBorders>
              <w:top w:val="nil"/>
              <w:left w:val="nil"/>
              <w:bottom w:val="nil"/>
              <w:right w:val="nil"/>
            </w:tcBorders>
            <w:shd w:val="clear" w:color="auto" w:fill="auto"/>
            <w:vAlign w:val="center"/>
            <w:hideMark/>
          </w:tcPr>
          <w:p w14:paraId="52ACB98B" w14:textId="77777777" w:rsidR="006D71DD" w:rsidRPr="006D71DD" w:rsidRDefault="006D71DD" w:rsidP="006D71DD">
            <w:pPr>
              <w:jc w:val="both"/>
              <w:rPr>
                <w:sz w:val="16"/>
                <w:szCs w:val="16"/>
                <w:lang w:eastAsia="tr-TR"/>
              </w:rPr>
            </w:pPr>
            <w:r w:rsidRPr="006D71DD">
              <w:rPr>
                <w:sz w:val="16"/>
                <w:szCs w:val="16"/>
                <w:lang w:eastAsia="tr-TR"/>
              </w:rPr>
              <w:t>Swap İşlemleri</w:t>
            </w:r>
          </w:p>
        </w:tc>
        <w:tc>
          <w:tcPr>
            <w:tcW w:w="1216" w:type="dxa"/>
            <w:tcBorders>
              <w:top w:val="nil"/>
              <w:left w:val="nil"/>
              <w:bottom w:val="nil"/>
              <w:right w:val="nil"/>
            </w:tcBorders>
            <w:shd w:val="clear" w:color="auto" w:fill="auto"/>
            <w:vAlign w:val="center"/>
            <w:hideMark/>
          </w:tcPr>
          <w:p w14:paraId="4756F7DE" w14:textId="77777777" w:rsidR="006D71DD" w:rsidRPr="006D71DD" w:rsidRDefault="006D71DD" w:rsidP="006D71DD">
            <w:pPr>
              <w:jc w:val="right"/>
              <w:rPr>
                <w:color w:val="000000"/>
                <w:sz w:val="18"/>
                <w:szCs w:val="18"/>
                <w:lang w:eastAsia="tr-TR"/>
              </w:rPr>
            </w:pPr>
            <w:r w:rsidRPr="006D71DD">
              <w:rPr>
                <w:color w:val="000000"/>
                <w:sz w:val="18"/>
                <w:szCs w:val="18"/>
                <w:lang w:eastAsia="tr-TR"/>
              </w:rPr>
              <w:t>17,769</w:t>
            </w:r>
          </w:p>
        </w:tc>
        <w:tc>
          <w:tcPr>
            <w:tcW w:w="1094" w:type="dxa"/>
            <w:tcBorders>
              <w:top w:val="nil"/>
              <w:left w:val="nil"/>
              <w:bottom w:val="nil"/>
              <w:right w:val="nil"/>
            </w:tcBorders>
            <w:shd w:val="clear" w:color="auto" w:fill="auto"/>
            <w:vAlign w:val="center"/>
            <w:hideMark/>
          </w:tcPr>
          <w:p w14:paraId="6E6FC87A" w14:textId="77777777" w:rsidR="006D71DD" w:rsidRPr="006D71DD" w:rsidRDefault="006D71DD" w:rsidP="006D71DD">
            <w:pPr>
              <w:jc w:val="right"/>
              <w:rPr>
                <w:color w:val="000000"/>
                <w:sz w:val="18"/>
                <w:szCs w:val="18"/>
                <w:lang w:eastAsia="tr-TR"/>
              </w:rPr>
            </w:pPr>
            <w:r w:rsidRPr="006D71DD">
              <w:rPr>
                <w:color w:val="000000"/>
                <w:sz w:val="18"/>
                <w:szCs w:val="18"/>
                <w:lang w:eastAsia="tr-TR"/>
              </w:rPr>
              <w:t>314,775</w:t>
            </w:r>
          </w:p>
        </w:tc>
        <w:tc>
          <w:tcPr>
            <w:tcW w:w="1040" w:type="dxa"/>
            <w:tcBorders>
              <w:top w:val="nil"/>
              <w:left w:val="nil"/>
              <w:bottom w:val="nil"/>
              <w:right w:val="nil"/>
            </w:tcBorders>
            <w:shd w:val="clear" w:color="auto" w:fill="auto"/>
            <w:vAlign w:val="center"/>
            <w:hideMark/>
          </w:tcPr>
          <w:p w14:paraId="516ADF70" w14:textId="77777777" w:rsidR="006D71DD" w:rsidRPr="006D71DD" w:rsidRDefault="006D71DD" w:rsidP="006D71DD">
            <w:pPr>
              <w:jc w:val="right"/>
              <w:rPr>
                <w:color w:val="000000"/>
                <w:sz w:val="18"/>
                <w:szCs w:val="18"/>
                <w:lang w:eastAsia="tr-TR"/>
              </w:rPr>
            </w:pPr>
            <w:r w:rsidRPr="006D71DD">
              <w:rPr>
                <w:color w:val="000000"/>
                <w:sz w:val="18"/>
                <w:szCs w:val="18"/>
                <w:lang w:eastAsia="tr-TR"/>
              </w:rPr>
              <w:t>116,499</w:t>
            </w:r>
          </w:p>
        </w:tc>
        <w:tc>
          <w:tcPr>
            <w:tcW w:w="1111" w:type="dxa"/>
            <w:tcBorders>
              <w:top w:val="nil"/>
              <w:left w:val="nil"/>
              <w:bottom w:val="nil"/>
              <w:right w:val="nil"/>
            </w:tcBorders>
            <w:shd w:val="clear" w:color="auto" w:fill="auto"/>
            <w:vAlign w:val="center"/>
            <w:hideMark/>
          </w:tcPr>
          <w:p w14:paraId="0C0AB3EB" w14:textId="77777777" w:rsidR="006D71DD" w:rsidRPr="006D71DD" w:rsidRDefault="006D71DD" w:rsidP="006D71DD">
            <w:pPr>
              <w:jc w:val="right"/>
              <w:rPr>
                <w:color w:val="000000"/>
                <w:sz w:val="18"/>
                <w:szCs w:val="18"/>
                <w:lang w:eastAsia="tr-TR"/>
              </w:rPr>
            </w:pPr>
            <w:r w:rsidRPr="006D71DD">
              <w:rPr>
                <w:color w:val="000000"/>
                <w:sz w:val="18"/>
                <w:szCs w:val="18"/>
                <w:lang w:eastAsia="tr-TR"/>
              </w:rPr>
              <w:t>163,745</w:t>
            </w:r>
          </w:p>
        </w:tc>
      </w:tr>
      <w:tr w:rsidR="006D71DD" w:rsidRPr="006D71DD" w14:paraId="4E261BB7" w14:textId="77777777" w:rsidTr="006B1072">
        <w:trPr>
          <w:divId w:val="515850545"/>
          <w:trHeight w:val="242"/>
        </w:trPr>
        <w:tc>
          <w:tcPr>
            <w:tcW w:w="4711" w:type="dxa"/>
            <w:tcBorders>
              <w:top w:val="nil"/>
              <w:left w:val="nil"/>
              <w:bottom w:val="nil"/>
              <w:right w:val="nil"/>
            </w:tcBorders>
            <w:shd w:val="clear" w:color="auto" w:fill="auto"/>
            <w:vAlign w:val="center"/>
            <w:hideMark/>
          </w:tcPr>
          <w:p w14:paraId="7DED99E0" w14:textId="77777777" w:rsidR="006D71DD" w:rsidRPr="006D71DD" w:rsidRDefault="006D71DD" w:rsidP="006D71DD">
            <w:pPr>
              <w:jc w:val="both"/>
              <w:rPr>
                <w:sz w:val="16"/>
                <w:szCs w:val="16"/>
                <w:lang w:eastAsia="tr-TR"/>
              </w:rPr>
            </w:pPr>
            <w:proofErr w:type="spellStart"/>
            <w:r w:rsidRPr="006D71DD">
              <w:rPr>
                <w:sz w:val="16"/>
                <w:szCs w:val="16"/>
                <w:lang w:eastAsia="tr-TR"/>
              </w:rPr>
              <w:t>Futures</w:t>
            </w:r>
            <w:proofErr w:type="spellEnd"/>
            <w:r w:rsidRPr="006D71DD">
              <w:rPr>
                <w:sz w:val="16"/>
                <w:szCs w:val="16"/>
                <w:lang w:eastAsia="tr-TR"/>
              </w:rPr>
              <w:t xml:space="preserve"> İşlemleri</w:t>
            </w:r>
          </w:p>
        </w:tc>
        <w:tc>
          <w:tcPr>
            <w:tcW w:w="1216" w:type="dxa"/>
            <w:tcBorders>
              <w:top w:val="nil"/>
              <w:left w:val="nil"/>
              <w:bottom w:val="nil"/>
              <w:right w:val="nil"/>
            </w:tcBorders>
            <w:shd w:val="clear" w:color="auto" w:fill="auto"/>
            <w:vAlign w:val="center"/>
            <w:hideMark/>
          </w:tcPr>
          <w:p w14:paraId="1F35162C"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094" w:type="dxa"/>
            <w:tcBorders>
              <w:top w:val="nil"/>
              <w:left w:val="nil"/>
              <w:bottom w:val="nil"/>
              <w:right w:val="nil"/>
            </w:tcBorders>
            <w:shd w:val="clear" w:color="auto" w:fill="auto"/>
            <w:vAlign w:val="center"/>
            <w:hideMark/>
          </w:tcPr>
          <w:p w14:paraId="52A049C2"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040" w:type="dxa"/>
            <w:tcBorders>
              <w:top w:val="nil"/>
              <w:left w:val="nil"/>
              <w:bottom w:val="nil"/>
              <w:right w:val="nil"/>
            </w:tcBorders>
            <w:shd w:val="clear" w:color="auto" w:fill="auto"/>
            <w:vAlign w:val="center"/>
            <w:hideMark/>
          </w:tcPr>
          <w:p w14:paraId="6A3A8505"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111" w:type="dxa"/>
            <w:tcBorders>
              <w:top w:val="nil"/>
              <w:left w:val="nil"/>
              <w:bottom w:val="nil"/>
              <w:right w:val="nil"/>
            </w:tcBorders>
            <w:shd w:val="clear" w:color="auto" w:fill="auto"/>
            <w:vAlign w:val="center"/>
            <w:hideMark/>
          </w:tcPr>
          <w:p w14:paraId="620E0015"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r>
      <w:tr w:rsidR="006D71DD" w:rsidRPr="006D71DD" w14:paraId="48017532" w14:textId="77777777" w:rsidTr="006B1072">
        <w:trPr>
          <w:divId w:val="515850545"/>
          <w:trHeight w:val="242"/>
        </w:trPr>
        <w:tc>
          <w:tcPr>
            <w:tcW w:w="4711" w:type="dxa"/>
            <w:tcBorders>
              <w:top w:val="nil"/>
              <w:left w:val="nil"/>
              <w:bottom w:val="nil"/>
              <w:right w:val="nil"/>
            </w:tcBorders>
            <w:shd w:val="clear" w:color="auto" w:fill="auto"/>
            <w:vAlign w:val="center"/>
            <w:hideMark/>
          </w:tcPr>
          <w:p w14:paraId="27021F83" w14:textId="77777777" w:rsidR="006D71DD" w:rsidRPr="006D71DD" w:rsidRDefault="006D71DD" w:rsidP="006D71DD">
            <w:pPr>
              <w:jc w:val="both"/>
              <w:rPr>
                <w:sz w:val="16"/>
                <w:szCs w:val="16"/>
                <w:lang w:eastAsia="tr-TR"/>
              </w:rPr>
            </w:pPr>
            <w:r w:rsidRPr="006D71DD">
              <w:rPr>
                <w:sz w:val="16"/>
                <w:szCs w:val="16"/>
                <w:lang w:eastAsia="tr-TR"/>
              </w:rPr>
              <w:t>Opsiyonlar</w:t>
            </w:r>
          </w:p>
        </w:tc>
        <w:tc>
          <w:tcPr>
            <w:tcW w:w="1216" w:type="dxa"/>
            <w:tcBorders>
              <w:top w:val="nil"/>
              <w:left w:val="nil"/>
              <w:bottom w:val="nil"/>
              <w:right w:val="nil"/>
            </w:tcBorders>
            <w:shd w:val="clear" w:color="auto" w:fill="auto"/>
            <w:vAlign w:val="center"/>
            <w:hideMark/>
          </w:tcPr>
          <w:p w14:paraId="177FAAE0"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094" w:type="dxa"/>
            <w:tcBorders>
              <w:top w:val="nil"/>
              <w:left w:val="nil"/>
              <w:bottom w:val="nil"/>
              <w:right w:val="nil"/>
            </w:tcBorders>
            <w:shd w:val="clear" w:color="auto" w:fill="auto"/>
            <w:vAlign w:val="center"/>
            <w:hideMark/>
          </w:tcPr>
          <w:p w14:paraId="17CB1564"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040" w:type="dxa"/>
            <w:tcBorders>
              <w:top w:val="nil"/>
              <w:left w:val="nil"/>
              <w:bottom w:val="nil"/>
              <w:right w:val="nil"/>
            </w:tcBorders>
            <w:shd w:val="clear" w:color="auto" w:fill="auto"/>
            <w:vAlign w:val="center"/>
            <w:hideMark/>
          </w:tcPr>
          <w:p w14:paraId="650051C7"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111" w:type="dxa"/>
            <w:tcBorders>
              <w:top w:val="nil"/>
              <w:left w:val="nil"/>
              <w:bottom w:val="nil"/>
              <w:right w:val="nil"/>
            </w:tcBorders>
            <w:shd w:val="clear" w:color="auto" w:fill="auto"/>
            <w:vAlign w:val="center"/>
            <w:hideMark/>
          </w:tcPr>
          <w:p w14:paraId="584E1ED3"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r>
      <w:tr w:rsidR="006D71DD" w:rsidRPr="006D71DD" w14:paraId="7DC11CD9" w14:textId="77777777" w:rsidTr="006B1072">
        <w:trPr>
          <w:divId w:val="515850545"/>
          <w:trHeight w:val="257"/>
        </w:trPr>
        <w:tc>
          <w:tcPr>
            <w:tcW w:w="4711" w:type="dxa"/>
            <w:tcBorders>
              <w:top w:val="nil"/>
              <w:left w:val="nil"/>
              <w:bottom w:val="single" w:sz="8" w:space="0" w:color="auto"/>
              <w:right w:val="nil"/>
            </w:tcBorders>
            <w:shd w:val="clear" w:color="auto" w:fill="auto"/>
            <w:vAlign w:val="center"/>
            <w:hideMark/>
          </w:tcPr>
          <w:p w14:paraId="7AF9D242" w14:textId="77777777" w:rsidR="006D71DD" w:rsidRPr="006D71DD" w:rsidRDefault="006D71DD" w:rsidP="006D71DD">
            <w:pPr>
              <w:jc w:val="both"/>
              <w:rPr>
                <w:sz w:val="16"/>
                <w:szCs w:val="16"/>
                <w:lang w:eastAsia="tr-TR"/>
              </w:rPr>
            </w:pPr>
            <w:r w:rsidRPr="006D71DD">
              <w:rPr>
                <w:sz w:val="16"/>
                <w:szCs w:val="16"/>
                <w:lang w:eastAsia="tr-TR"/>
              </w:rPr>
              <w:t>Diğer</w:t>
            </w:r>
          </w:p>
        </w:tc>
        <w:tc>
          <w:tcPr>
            <w:tcW w:w="1216" w:type="dxa"/>
            <w:tcBorders>
              <w:top w:val="nil"/>
              <w:left w:val="nil"/>
              <w:bottom w:val="single" w:sz="8" w:space="0" w:color="auto"/>
              <w:right w:val="nil"/>
            </w:tcBorders>
            <w:shd w:val="clear" w:color="auto" w:fill="auto"/>
            <w:vAlign w:val="center"/>
            <w:hideMark/>
          </w:tcPr>
          <w:p w14:paraId="5D0418AC"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094" w:type="dxa"/>
            <w:tcBorders>
              <w:top w:val="nil"/>
              <w:left w:val="nil"/>
              <w:bottom w:val="single" w:sz="8" w:space="0" w:color="auto"/>
              <w:right w:val="nil"/>
            </w:tcBorders>
            <w:shd w:val="clear" w:color="auto" w:fill="auto"/>
            <w:vAlign w:val="center"/>
            <w:hideMark/>
          </w:tcPr>
          <w:p w14:paraId="01337181"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040" w:type="dxa"/>
            <w:tcBorders>
              <w:top w:val="nil"/>
              <w:left w:val="nil"/>
              <w:bottom w:val="single" w:sz="8" w:space="0" w:color="auto"/>
              <w:right w:val="nil"/>
            </w:tcBorders>
            <w:shd w:val="clear" w:color="auto" w:fill="auto"/>
            <w:vAlign w:val="center"/>
            <w:hideMark/>
          </w:tcPr>
          <w:p w14:paraId="2D960E5F"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111" w:type="dxa"/>
            <w:tcBorders>
              <w:top w:val="nil"/>
              <w:left w:val="nil"/>
              <w:bottom w:val="single" w:sz="8" w:space="0" w:color="auto"/>
              <w:right w:val="nil"/>
            </w:tcBorders>
            <w:shd w:val="clear" w:color="auto" w:fill="auto"/>
            <w:vAlign w:val="center"/>
            <w:hideMark/>
          </w:tcPr>
          <w:p w14:paraId="70B2284E"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r>
      <w:tr w:rsidR="006D71DD" w:rsidRPr="006D71DD" w14:paraId="3F4707B7" w14:textId="77777777" w:rsidTr="006B1072">
        <w:trPr>
          <w:divId w:val="515850545"/>
          <w:trHeight w:val="257"/>
        </w:trPr>
        <w:tc>
          <w:tcPr>
            <w:tcW w:w="4711" w:type="dxa"/>
            <w:tcBorders>
              <w:top w:val="nil"/>
              <w:left w:val="nil"/>
              <w:bottom w:val="double" w:sz="6" w:space="0" w:color="auto"/>
              <w:right w:val="nil"/>
            </w:tcBorders>
            <w:shd w:val="clear" w:color="auto" w:fill="auto"/>
            <w:vAlign w:val="center"/>
            <w:hideMark/>
          </w:tcPr>
          <w:p w14:paraId="747CB7A0" w14:textId="77777777" w:rsidR="006D71DD" w:rsidRPr="006D71DD" w:rsidRDefault="006D71DD" w:rsidP="006D71DD">
            <w:pPr>
              <w:jc w:val="both"/>
              <w:rPr>
                <w:b/>
                <w:bCs/>
                <w:color w:val="000000"/>
                <w:sz w:val="16"/>
                <w:szCs w:val="16"/>
                <w:lang w:eastAsia="tr-TR"/>
              </w:rPr>
            </w:pPr>
            <w:r w:rsidRPr="006D71DD">
              <w:rPr>
                <w:b/>
                <w:bCs/>
                <w:color w:val="000000"/>
                <w:sz w:val="16"/>
                <w:szCs w:val="16"/>
                <w:lang w:eastAsia="tr-TR"/>
              </w:rPr>
              <w:t>Toplam</w:t>
            </w:r>
          </w:p>
        </w:tc>
        <w:tc>
          <w:tcPr>
            <w:tcW w:w="1216" w:type="dxa"/>
            <w:tcBorders>
              <w:top w:val="nil"/>
              <w:left w:val="nil"/>
              <w:bottom w:val="double" w:sz="6" w:space="0" w:color="auto"/>
              <w:right w:val="nil"/>
            </w:tcBorders>
            <w:shd w:val="clear" w:color="auto" w:fill="auto"/>
            <w:vAlign w:val="center"/>
            <w:hideMark/>
          </w:tcPr>
          <w:p w14:paraId="6F9D6CA2" w14:textId="77777777" w:rsidR="006D71DD" w:rsidRPr="006D71DD" w:rsidRDefault="006D71DD" w:rsidP="006D71DD">
            <w:pPr>
              <w:jc w:val="right"/>
              <w:rPr>
                <w:b/>
                <w:bCs/>
                <w:color w:val="000000"/>
                <w:sz w:val="18"/>
                <w:szCs w:val="18"/>
                <w:lang w:eastAsia="tr-TR"/>
              </w:rPr>
            </w:pPr>
            <w:r w:rsidRPr="006D71DD">
              <w:rPr>
                <w:b/>
                <w:bCs/>
                <w:color w:val="000000"/>
                <w:sz w:val="18"/>
                <w:szCs w:val="18"/>
                <w:lang w:eastAsia="tr-TR"/>
              </w:rPr>
              <w:t>50,954</w:t>
            </w:r>
          </w:p>
        </w:tc>
        <w:tc>
          <w:tcPr>
            <w:tcW w:w="1094" w:type="dxa"/>
            <w:tcBorders>
              <w:top w:val="nil"/>
              <w:left w:val="nil"/>
              <w:bottom w:val="double" w:sz="6" w:space="0" w:color="auto"/>
              <w:right w:val="nil"/>
            </w:tcBorders>
            <w:shd w:val="clear" w:color="auto" w:fill="auto"/>
            <w:vAlign w:val="center"/>
            <w:hideMark/>
          </w:tcPr>
          <w:p w14:paraId="055D7845" w14:textId="77777777" w:rsidR="006D71DD" w:rsidRPr="006D71DD" w:rsidRDefault="006D71DD" w:rsidP="006D71DD">
            <w:pPr>
              <w:jc w:val="right"/>
              <w:rPr>
                <w:b/>
                <w:bCs/>
                <w:color w:val="000000"/>
                <w:sz w:val="18"/>
                <w:szCs w:val="18"/>
                <w:lang w:eastAsia="tr-TR"/>
              </w:rPr>
            </w:pPr>
            <w:r w:rsidRPr="006D71DD">
              <w:rPr>
                <w:b/>
                <w:bCs/>
                <w:color w:val="000000"/>
                <w:sz w:val="18"/>
                <w:szCs w:val="18"/>
                <w:lang w:eastAsia="tr-TR"/>
              </w:rPr>
              <w:t>331,376</w:t>
            </w:r>
          </w:p>
        </w:tc>
        <w:tc>
          <w:tcPr>
            <w:tcW w:w="1040" w:type="dxa"/>
            <w:tcBorders>
              <w:top w:val="nil"/>
              <w:left w:val="nil"/>
              <w:bottom w:val="double" w:sz="6" w:space="0" w:color="auto"/>
              <w:right w:val="nil"/>
            </w:tcBorders>
            <w:shd w:val="clear" w:color="auto" w:fill="auto"/>
            <w:vAlign w:val="center"/>
            <w:hideMark/>
          </w:tcPr>
          <w:p w14:paraId="6DDB9474" w14:textId="77777777" w:rsidR="006D71DD" w:rsidRPr="006D71DD" w:rsidRDefault="006D71DD" w:rsidP="006D71DD">
            <w:pPr>
              <w:jc w:val="right"/>
              <w:rPr>
                <w:b/>
                <w:bCs/>
                <w:color w:val="000000"/>
                <w:sz w:val="18"/>
                <w:szCs w:val="18"/>
                <w:lang w:eastAsia="tr-TR"/>
              </w:rPr>
            </w:pPr>
            <w:r w:rsidRPr="006D71DD">
              <w:rPr>
                <w:b/>
                <w:bCs/>
                <w:color w:val="000000"/>
                <w:sz w:val="18"/>
                <w:szCs w:val="18"/>
                <w:lang w:eastAsia="tr-TR"/>
              </w:rPr>
              <w:t>129,690</w:t>
            </w:r>
          </w:p>
        </w:tc>
        <w:tc>
          <w:tcPr>
            <w:tcW w:w="1111" w:type="dxa"/>
            <w:tcBorders>
              <w:top w:val="nil"/>
              <w:left w:val="nil"/>
              <w:bottom w:val="double" w:sz="6" w:space="0" w:color="auto"/>
              <w:right w:val="nil"/>
            </w:tcBorders>
            <w:shd w:val="clear" w:color="auto" w:fill="auto"/>
            <w:vAlign w:val="center"/>
            <w:hideMark/>
          </w:tcPr>
          <w:p w14:paraId="1BDB187C" w14:textId="77777777" w:rsidR="006D71DD" w:rsidRPr="006D71DD" w:rsidRDefault="006D71DD" w:rsidP="006D71DD">
            <w:pPr>
              <w:jc w:val="right"/>
              <w:rPr>
                <w:b/>
                <w:bCs/>
                <w:color w:val="000000"/>
                <w:sz w:val="18"/>
                <w:szCs w:val="18"/>
                <w:lang w:eastAsia="tr-TR"/>
              </w:rPr>
            </w:pPr>
            <w:r w:rsidRPr="006D71DD">
              <w:rPr>
                <w:b/>
                <w:bCs/>
                <w:color w:val="000000"/>
                <w:sz w:val="18"/>
                <w:szCs w:val="18"/>
                <w:lang w:eastAsia="tr-TR"/>
              </w:rPr>
              <w:t>164,719</w:t>
            </w:r>
          </w:p>
        </w:tc>
      </w:tr>
    </w:tbl>
    <w:p w14:paraId="62DDDCC5" w14:textId="029EFCD8" w:rsidR="009A0A9F" w:rsidRPr="006D71DD" w:rsidRDefault="009A0A9F" w:rsidP="00FB7B40">
      <w:pPr>
        <w:autoSpaceDE w:val="0"/>
        <w:autoSpaceDN w:val="0"/>
        <w:adjustRightInd w:val="0"/>
        <w:ind w:left="540" w:hanging="540"/>
        <w:rPr>
          <w:b/>
          <w:bCs/>
          <w:iCs/>
          <w:sz w:val="16"/>
          <w:szCs w:val="16"/>
        </w:rPr>
      </w:pPr>
    </w:p>
    <w:p w14:paraId="746B6733" w14:textId="77777777" w:rsidR="000F096F" w:rsidRPr="006D71DD" w:rsidRDefault="00BE60A5" w:rsidP="00BE60A5">
      <w:pPr>
        <w:autoSpaceDE w:val="0"/>
        <w:autoSpaceDN w:val="0"/>
        <w:adjustRightInd w:val="0"/>
        <w:ind w:hanging="567"/>
        <w:rPr>
          <w:b/>
          <w:bCs/>
          <w:iCs/>
        </w:rPr>
      </w:pPr>
      <w:r w:rsidRPr="006D71DD">
        <w:rPr>
          <w:b/>
          <w:bCs/>
          <w:iCs/>
        </w:rPr>
        <w:t>2</w:t>
      </w:r>
      <w:r w:rsidR="00E253C8" w:rsidRPr="006D71DD">
        <w:rPr>
          <w:b/>
          <w:bCs/>
          <w:iCs/>
        </w:rPr>
        <w:t>.</w:t>
      </w:r>
      <w:r w:rsidRPr="006D71DD">
        <w:rPr>
          <w:b/>
          <w:bCs/>
          <w:iCs/>
        </w:rPr>
        <w:t>3</w:t>
      </w:r>
      <w:r w:rsidR="00E253C8" w:rsidRPr="006D71DD">
        <w:rPr>
          <w:b/>
          <w:bCs/>
          <w:iCs/>
        </w:rPr>
        <w:tab/>
        <w:t>Alınan kredilere ilişkin bilgiler:</w:t>
      </w:r>
    </w:p>
    <w:p w14:paraId="57631679" w14:textId="77777777" w:rsidR="000F096F" w:rsidRPr="006D71DD" w:rsidRDefault="000F096F" w:rsidP="000F096F">
      <w:pPr>
        <w:autoSpaceDE w:val="0"/>
        <w:autoSpaceDN w:val="0"/>
        <w:adjustRightInd w:val="0"/>
        <w:ind w:left="540" w:hanging="540"/>
        <w:rPr>
          <w:b/>
          <w:bCs/>
          <w:iCs/>
          <w:sz w:val="16"/>
          <w:szCs w:val="16"/>
        </w:rPr>
      </w:pPr>
    </w:p>
    <w:p w14:paraId="0F61FF0B" w14:textId="77777777" w:rsidR="000F096F" w:rsidRPr="006D71DD" w:rsidRDefault="003975AB" w:rsidP="003975AB">
      <w:pPr>
        <w:tabs>
          <w:tab w:val="num" w:pos="2340"/>
          <w:tab w:val="num" w:pos="3060"/>
        </w:tabs>
        <w:autoSpaceDE w:val="0"/>
        <w:autoSpaceDN w:val="0"/>
        <w:adjustRightInd w:val="0"/>
        <w:ind w:hanging="567"/>
      </w:pPr>
      <w:r w:rsidRPr="006D71DD">
        <w:rPr>
          <w:b/>
        </w:rPr>
        <w:t>2.3.1</w:t>
      </w:r>
      <w:r w:rsidRPr="006D71DD">
        <w:tab/>
      </w:r>
      <w:r w:rsidR="00E253C8" w:rsidRPr="006D71DD">
        <w:t>Bankalar ve diğer mali kuruluşlara ilişkin bilgiler:</w:t>
      </w:r>
    </w:p>
    <w:p w14:paraId="246E4C4C" w14:textId="6AF98CE4" w:rsidR="006D71DD" w:rsidRPr="006D71DD" w:rsidRDefault="006D71DD" w:rsidP="006D71DD">
      <w:pPr>
        <w:rPr>
          <w:lang w:val="en-GB" w:eastAsia="en-GB"/>
        </w:rPr>
      </w:pPr>
    </w:p>
    <w:tbl>
      <w:tblPr>
        <w:tblW w:w="9145" w:type="dxa"/>
        <w:tblCellMar>
          <w:left w:w="70" w:type="dxa"/>
          <w:right w:w="70" w:type="dxa"/>
        </w:tblCellMar>
        <w:tblLook w:val="04A0" w:firstRow="1" w:lastRow="0" w:firstColumn="1" w:lastColumn="0" w:noHBand="0" w:noVBand="1"/>
      </w:tblPr>
      <w:tblGrid>
        <w:gridCol w:w="4696"/>
        <w:gridCol w:w="1213"/>
        <w:gridCol w:w="1090"/>
        <w:gridCol w:w="1037"/>
        <w:gridCol w:w="1109"/>
      </w:tblGrid>
      <w:tr w:rsidR="006D71DD" w:rsidRPr="006D71DD" w14:paraId="2BA4DF60" w14:textId="77777777" w:rsidTr="006B1072">
        <w:trPr>
          <w:divId w:val="1017851490"/>
          <w:trHeight w:val="258"/>
        </w:trPr>
        <w:tc>
          <w:tcPr>
            <w:tcW w:w="4696" w:type="dxa"/>
            <w:tcBorders>
              <w:top w:val="double" w:sz="6" w:space="0" w:color="auto"/>
              <w:left w:val="nil"/>
              <w:bottom w:val="single" w:sz="8" w:space="0" w:color="auto"/>
              <w:right w:val="nil"/>
            </w:tcBorders>
            <w:shd w:val="clear" w:color="auto" w:fill="auto"/>
            <w:vAlign w:val="center"/>
            <w:hideMark/>
          </w:tcPr>
          <w:p w14:paraId="6E7D239D" w14:textId="72724281" w:rsidR="006D71DD" w:rsidRPr="006D71DD" w:rsidRDefault="006D71DD" w:rsidP="006D71DD">
            <w:pPr>
              <w:jc w:val="both"/>
              <w:rPr>
                <w:b/>
                <w:bCs/>
                <w:color w:val="000000"/>
                <w:sz w:val="16"/>
                <w:szCs w:val="16"/>
                <w:lang w:eastAsia="tr-TR"/>
              </w:rPr>
            </w:pPr>
            <w:r w:rsidRPr="006D71DD">
              <w:rPr>
                <w:b/>
                <w:bCs/>
                <w:color w:val="000000"/>
                <w:sz w:val="16"/>
                <w:szCs w:val="16"/>
                <w:lang w:eastAsia="tr-TR"/>
              </w:rPr>
              <w:t> </w:t>
            </w:r>
          </w:p>
        </w:tc>
        <w:tc>
          <w:tcPr>
            <w:tcW w:w="2303" w:type="dxa"/>
            <w:gridSpan w:val="2"/>
            <w:tcBorders>
              <w:top w:val="double" w:sz="6" w:space="0" w:color="auto"/>
              <w:left w:val="nil"/>
              <w:bottom w:val="single" w:sz="8" w:space="0" w:color="auto"/>
              <w:right w:val="nil"/>
            </w:tcBorders>
            <w:shd w:val="clear" w:color="auto" w:fill="auto"/>
            <w:vAlign w:val="center"/>
            <w:hideMark/>
          </w:tcPr>
          <w:p w14:paraId="51CC2044" w14:textId="77777777" w:rsidR="006D71DD" w:rsidRPr="006D71DD" w:rsidRDefault="006D71DD" w:rsidP="006D71DD">
            <w:pPr>
              <w:jc w:val="center"/>
              <w:rPr>
                <w:b/>
                <w:bCs/>
                <w:color w:val="000000"/>
                <w:sz w:val="16"/>
                <w:szCs w:val="16"/>
                <w:lang w:eastAsia="tr-TR"/>
              </w:rPr>
            </w:pPr>
            <w:r w:rsidRPr="006D71DD">
              <w:rPr>
                <w:b/>
                <w:bCs/>
                <w:color w:val="000000"/>
                <w:sz w:val="16"/>
                <w:szCs w:val="16"/>
                <w:lang w:eastAsia="tr-TR"/>
              </w:rPr>
              <w:t>Cari Dönem</w:t>
            </w:r>
          </w:p>
        </w:tc>
        <w:tc>
          <w:tcPr>
            <w:tcW w:w="2146" w:type="dxa"/>
            <w:gridSpan w:val="2"/>
            <w:tcBorders>
              <w:top w:val="double" w:sz="6" w:space="0" w:color="auto"/>
              <w:left w:val="nil"/>
              <w:bottom w:val="single" w:sz="8" w:space="0" w:color="auto"/>
              <w:right w:val="nil"/>
            </w:tcBorders>
            <w:shd w:val="clear" w:color="auto" w:fill="auto"/>
            <w:vAlign w:val="center"/>
            <w:hideMark/>
          </w:tcPr>
          <w:p w14:paraId="1EFEAFA4" w14:textId="77777777" w:rsidR="006D71DD" w:rsidRPr="006D71DD" w:rsidRDefault="006D71DD" w:rsidP="006D71DD">
            <w:pPr>
              <w:jc w:val="center"/>
              <w:rPr>
                <w:b/>
                <w:bCs/>
                <w:color w:val="000000"/>
                <w:sz w:val="16"/>
                <w:szCs w:val="16"/>
                <w:lang w:eastAsia="tr-TR"/>
              </w:rPr>
            </w:pPr>
            <w:r w:rsidRPr="006D71DD">
              <w:rPr>
                <w:b/>
                <w:bCs/>
                <w:color w:val="000000"/>
                <w:sz w:val="16"/>
                <w:szCs w:val="16"/>
                <w:lang w:eastAsia="tr-TR"/>
              </w:rPr>
              <w:t>Önceki Dönem</w:t>
            </w:r>
          </w:p>
        </w:tc>
      </w:tr>
      <w:tr w:rsidR="006D71DD" w:rsidRPr="006D71DD" w14:paraId="741EFE94" w14:textId="77777777" w:rsidTr="006B1072">
        <w:trPr>
          <w:divId w:val="1017851490"/>
          <w:trHeight w:val="243"/>
        </w:trPr>
        <w:tc>
          <w:tcPr>
            <w:tcW w:w="4696" w:type="dxa"/>
            <w:tcBorders>
              <w:top w:val="nil"/>
              <w:left w:val="nil"/>
              <w:bottom w:val="single" w:sz="8" w:space="0" w:color="auto"/>
              <w:right w:val="nil"/>
            </w:tcBorders>
            <w:shd w:val="clear" w:color="auto" w:fill="auto"/>
            <w:vAlign w:val="center"/>
            <w:hideMark/>
          </w:tcPr>
          <w:p w14:paraId="6F1A3393" w14:textId="77777777" w:rsidR="006D71DD" w:rsidRPr="006D71DD" w:rsidRDefault="006D71DD" w:rsidP="006D71DD">
            <w:pPr>
              <w:jc w:val="both"/>
              <w:rPr>
                <w:b/>
                <w:bCs/>
                <w:color w:val="000000"/>
                <w:sz w:val="16"/>
                <w:szCs w:val="16"/>
                <w:lang w:eastAsia="tr-TR"/>
              </w:rPr>
            </w:pPr>
            <w:r w:rsidRPr="006D71DD">
              <w:rPr>
                <w:b/>
                <w:bCs/>
                <w:color w:val="000000"/>
                <w:sz w:val="16"/>
                <w:szCs w:val="16"/>
                <w:lang w:eastAsia="tr-TR"/>
              </w:rPr>
              <w:t> </w:t>
            </w:r>
          </w:p>
        </w:tc>
        <w:tc>
          <w:tcPr>
            <w:tcW w:w="1213" w:type="dxa"/>
            <w:tcBorders>
              <w:top w:val="nil"/>
              <w:left w:val="nil"/>
              <w:bottom w:val="single" w:sz="8" w:space="0" w:color="auto"/>
              <w:right w:val="nil"/>
            </w:tcBorders>
            <w:shd w:val="clear" w:color="auto" w:fill="auto"/>
            <w:vAlign w:val="center"/>
            <w:hideMark/>
          </w:tcPr>
          <w:p w14:paraId="5B39761A" w14:textId="77777777" w:rsidR="006D71DD" w:rsidRPr="006D71DD" w:rsidRDefault="006D71DD" w:rsidP="006D71DD">
            <w:pPr>
              <w:jc w:val="right"/>
              <w:rPr>
                <w:b/>
                <w:bCs/>
                <w:color w:val="000000"/>
                <w:sz w:val="16"/>
                <w:szCs w:val="16"/>
                <w:lang w:eastAsia="tr-TR"/>
              </w:rPr>
            </w:pPr>
            <w:r w:rsidRPr="006D71DD">
              <w:rPr>
                <w:b/>
                <w:bCs/>
                <w:color w:val="000000"/>
                <w:sz w:val="16"/>
                <w:szCs w:val="16"/>
                <w:lang w:eastAsia="tr-TR"/>
              </w:rPr>
              <w:t>TP</w:t>
            </w:r>
          </w:p>
        </w:tc>
        <w:tc>
          <w:tcPr>
            <w:tcW w:w="1090" w:type="dxa"/>
            <w:tcBorders>
              <w:top w:val="nil"/>
              <w:left w:val="nil"/>
              <w:bottom w:val="single" w:sz="8" w:space="0" w:color="auto"/>
              <w:right w:val="nil"/>
            </w:tcBorders>
            <w:shd w:val="clear" w:color="auto" w:fill="auto"/>
            <w:vAlign w:val="center"/>
            <w:hideMark/>
          </w:tcPr>
          <w:p w14:paraId="4674AC45" w14:textId="77777777" w:rsidR="006D71DD" w:rsidRPr="006D71DD" w:rsidRDefault="006D71DD" w:rsidP="006D71DD">
            <w:pPr>
              <w:jc w:val="right"/>
              <w:rPr>
                <w:b/>
                <w:bCs/>
                <w:color w:val="000000"/>
                <w:sz w:val="16"/>
                <w:szCs w:val="16"/>
                <w:lang w:eastAsia="tr-TR"/>
              </w:rPr>
            </w:pPr>
            <w:r w:rsidRPr="006D71DD">
              <w:rPr>
                <w:b/>
                <w:bCs/>
                <w:color w:val="000000"/>
                <w:sz w:val="16"/>
                <w:szCs w:val="16"/>
                <w:lang w:eastAsia="tr-TR"/>
              </w:rPr>
              <w:t>YP</w:t>
            </w:r>
          </w:p>
        </w:tc>
        <w:tc>
          <w:tcPr>
            <w:tcW w:w="1037" w:type="dxa"/>
            <w:tcBorders>
              <w:top w:val="nil"/>
              <w:left w:val="nil"/>
              <w:bottom w:val="single" w:sz="8" w:space="0" w:color="auto"/>
              <w:right w:val="nil"/>
            </w:tcBorders>
            <w:shd w:val="clear" w:color="auto" w:fill="auto"/>
            <w:vAlign w:val="center"/>
            <w:hideMark/>
          </w:tcPr>
          <w:p w14:paraId="0501B155" w14:textId="77777777" w:rsidR="006D71DD" w:rsidRPr="006D71DD" w:rsidRDefault="006D71DD" w:rsidP="006D71DD">
            <w:pPr>
              <w:jc w:val="right"/>
              <w:rPr>
                <w:b/>
                <w:bCs/>
                <w:color w:val="000000"/>
                <w:sz w:val="16"/>
                <w:szCs w:val="16"/>
                <w:lang w:eastAsia="tr-TR"/>
              </w:rPr>
            </w:pPr>
            <w:r w:rsidRPr="006D71DD">
              <w:rPr>
                <w:b/>
                <w:bCs/>
                <w:color w:val="000000"/>
                <w:sz w:val="16"/>
                <w:szCs w:val="16"/>
                <w:lang w:eastAsia="tr-TR"/>
              </w:rPr>
              <w:t>TP</w:t>
            </w:r>
          </w:p>
        </w:tc>
        <w:tc>
          <w:tcPr>
            <w:tcW w:w="1108" w:type="dxa"/>
            <w:tcBorders>
              <w:top w:val="nil"/>
              <w:left w:val="nil"/>
              <w:bottom w:val="single" w:sz="8" w:space="0" w:color="auto"/>
              <w:right w:val="nil"/>
            </w:tcBorders>
            <w:shd w:val="clear" w:color="auto" w:fill="auto"/>
            <w:vAlign w:val="center"/>
            <w:hideMark/>
          </w:tcPr>
          <w:p w14:paraId="2CFCAA53" w14:textId="77777777" w:rsidR="006D71DD" w:rsidRPr="006D71DD" w:rsidRDefault="006D71DD" w:rsidP="006D71DD">
            <w:pPr>
              <w:jc w:val="right"/>
              <w:rPr>
                <w:b/>
                <w:bCs/>
                <w:color w:val="000000"/>
                <w:sz w:val="16"/>
                <w:szCs w:val="16"/>
                <w:lang w:eastAsia="tr-TR"/>
              </w:rPr>
            </w:pPr>
            <w:r w:rsidRPr="006D71DD">
              <w:rPr>
                <w:b/>
                <w:bCs/>
                <w:color w:val="000000"/>
                <w:sz w:val="16"/>
                <w:szCs w:val="16"/>
                <w:lang w:eastAsia="tr-TR"/>
              </w:rPr>
              <w:t>YP</w:t>
            </w:r>
          </w:p>
        </w:tc>
      </w:tr>
      <w:tr w:rsidR="006D71DD" w:rsidRPr="006D71DD" w14:paraId="56AE0FC5" w14:textId="77777777" w:rsidTr="006B1072">
        <w:trPr>
          <w:divId w:val="1017851490"/>
          <w:trHeight w:val="228"/>
        </w:trPr>
        <w:tc>
          <w:tcPr>
            <w:tcW w:w="4696" w:type="dxa"/>
            <w:tcBorders>
              <w:top w:val="nil"/>
              <w:left w:val="nil"/>
              <w:bottom w:val="nil"/>
              <w:right w:val="nil"/>
            </w:tcBorders>
            <w:shd w:val="clear" w:color="auto" w:fill="auto"/>
            <w:vAlign w:val="center"/>
            <w:hideMark/>
          </w:tcPr>
          <w:p w14:paraId="64195818" w14:textId="77777777" w:rsidR="006D71DD" w:rsidRPr="006D71DD" w:rsidRDefault="006D71DD" w:rsidP="006D71DD">
            <w:pPr>
              <w:jc w:val="both"/>
              <w:rPr>
                <w:color w:val="000000"/>
                <w:sz w:val="18"/>
                <w:szCs w:val="18"/>
                <w:lang w:eastAsia="tr-TR"/>
              </w:rPr>
            </w:pPr>
            <w:r w:rsidRPr="006D71DD">
              <w:rPr>
                <w:color w:val="000000"/>
                <w:sz w:val="18"/>
                <w:szCs w:val="18"/>
                <w:lang w:eastAsia="tr-TR"/>
              </w:rPr>
              <w:t>T.C. Merkez Bankası Kredileri</w:t>
            </w:r>
          </w:p>
        </w:tc>
        <w:tc>
          <w:tcPr>
            <w:tcW w:w="1213" w:type="dxa"/>
            <w:tcBorders>
              <w:top w:val="nil"/>
              <w:left w:val="nil"/>
              <w:bottom w:val="nil"/>
              <w:right w:val="nil"/>
            </w:tcBorders>
            <w:shd w:val="clear" w:color="auto" w:fill="auto"/>
            <w:vAlign w:val="center"/>
            <w:hideMark/>
          </w:tcPr>
          <w:p w14:paraId="3B5572F3"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090" w:type="dxa"/>
            <w:tcBorders>
              <w:top w:val="nil"/>
              <w:left w:val="nil"/>
              <w:bottom w:val="nil"/>
              <w:right w:val="nil"/>
            </w:tcBorders>
            <w:shd w:val="clear" w:color="auto" w:fill="auto"/>
            <w:vAlign w:val="center"/>
            <w:hideMark/>
          </w:tcPr>
          <w:p w14:paraId="5827B323"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037" w:type="dxa"/>
            <w:tcBorders>
              <w:top w:val="nil"/>
              <w:left w:val="nil"/>
              <w:bottom w:val="nil"/>
              <w:right w:val="nil"/>
            </w:tcBorders>
            <w:shd w:val="clear" w:color="auto" w:fill="auto"/>
            <w:vAlign w:val="center"/>
            <w:hideMark/>
          </w:tcPr>
          <w:p w14:paraId="06101DE9"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108" w:type="dxa"/>
            <w:tcBorders>
              <w:top w:val="nil"/>
              <w:left w:val="nil"/>
              <w:bottom w:val="nil"/>
              <w:right w:val="nil"/>
            </w:tcBorders>
            <w:shd w:val="clear" w:color="auto" w:fill="auto"/>
            <w:vAlign w:val="center"/>
            <w:hideMark/>
          </w:tcPr>
          <w:p w14:paraId="33581F1B"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r>
      <w:tr w:rsidR="006D71DD" w:rsidRPr="006D71DD" w14:paraId="6E7CFD61" w14:textId="77777777" w:rsidTr="006B1072">
        <w:trPr>
          <w:divId w:val="1017851490"/>
          <w:trHeight w:val="228"/>
        </w:trPr>
        <w:tc>
          <w:tcPr>
            <w:tcW w:w="4696" w:type="dxa"/>
            <w:tcBorders>
              <w:top w:val="nil"/>
              <w:left w:val="nil"/>
              <w:bottom w:val="nil"/>
              <w:right w:val="nil"/>
            </w:tcBorders>
            <w:shd w:val="clear" w:color="auto" w:fill="auto"/>
            <w:vAlign w:val="center"/>
            <w:hideMark/>
          </w:tcPr>
          <w:p w14:paraId="6E9FE4E9" w14:textId="77777777" w:rsidR="006D71DD" w:rsidRPr="006D71DD" w:rsidRDefault="006D71DD" w:rsidP="006D71DD">
            <w:pPr>
              <w:jc w:val="both"/>
              <w:rPr>
                <w:color w:val="000000"/>
                <w:sz w:val="18"/>
                <w:szCs w:val="18"/>
                <w:lang w:eastAsia="tr-TR"/>
              </w:rPr>
            </w:pPr>
            <w:r w:rsidRPr="006D71DD">
              <w:rPr>
                <w:color w:val="000000"/>
                <w:sz w:val="18"/>
                <w:szCs w:val="18"/>
                <w:lang w:eastAsia="tr-TR"/>
              </w:rPr>
              <w:t>Yurtiçi Banka ve Kuruluşlardan</w:t>
            </w:r>
          </w:p>
        </w:tc>
        <w:tc>
          <w:tcPr>
            <w:tcW w:w="1213" w:type="dxa"/>
            <w:tcBorders>
              <w:top w:val="nil"/>
              <w:left w:val="nil"/>
              <w:bottom w:val="nil"/>
              <w:right w:val="nil"/>
            </w:tcBorders>
            <w:shd w:val="clear" w:color="auto" w:fill="auto"/>
            <w:vAlign w:val="center"/>
            <w:hideMark/>
          </w:tcPr>
          <w:p w14:paraId="071DB183" w14:textId="77777777" w:rsidR="006D71DD" w:rsidRPr="006D71DD" w:rsidRDefault="006D71DD" w:rsidP="006D71DD">
            <w:pPr>
              <w:jc w:val="right"/>
              <w:rPr>
                <w:color w:val="000000"/>
                <w:sz w:val="18"/>
                <w:szCs w:val="18"/>
                <w:lang w:eastAsia="tr-TR"/>
              </w:rPr>
            </w:pPr>
            <w:r w:rsidRPr="006D71DD">
              <w:rPr>
                <w:color w:val="000000"/>
                <w:sz w:val="18"/>
                <w:szCs w:val="18"/>
                <w:lang w:eastAsia="tr-TR"/>
              </w:rPr>
              <w:t>2,283,063</w:t>
            </w:r>
          </w:p>
        </w:tc>
        <w:tc>
          <w:tcPr>
            <w:tcW w:w="1090" w:type="dxa"/>
            <w:tcBorders>
              <w:top w:val="nil"/>
              <w:left w:val="nil"/>
              <w:bottom w:val="nil"/>
              <w:right w:val="nil"/>
            </w:tcBorders>
            <w:shd w:val="clear" w:color="auto" w:fill="auto"/>
            <w:vAlign w:val="center"/>
            <w:hideMark/>
          </w:tcPr>
          <w:p w14:paraId="192FB39A" w14:textId="77777777" w:rsidR="006D71DD" w:rsidRPr="006D71DD" w:rsidRDefault="006D71DD" w:rsidP="006D71DD">
            <w:pPr>
              <w:jc w:val="right"/>
              <w:rPr>
                <w:color w:val="000000"/>
                <w:sz w:val="18"/>
                <w:szCs w:val="18"/>
                <w:lang w:eastAsia="tr-TR"/>
              </w:rPr>
            </w:pPr>
            <w:r w:rsidRPr="006D71DD">
              <w:rPr>
                <w:color w:val="000000"/>
                <w:sz w:val="18"/>
                <w:szCs w:val="18"/>
                <w:lang w:eastAsia="tr-TR"/>
              </w:rPr>
              <w:t>3,988,907</w:t>
            </w:r>
          </w:p>
        </w:tc>
        <w:tc>
          <w:tcPr>
            <w:tcW w:w="1037" w:type="dxa"/>
            <w:tcBorders>
              <w:top w:val="nil"/>
              <w:left w:val="nil"/>
              <w:bottom w:val="nil"/>
              <w:right w:val="nil"/>
            </w:tcBorders>
            <w:shd w:val="clear" w:color="auto" w:fill="auto"/>
            <w:vAlign w:val="center"/>
            <w:hideMark/>
          </w:tcPr>
          <w:p w14:paraId="5609D996" w14:textId="77777777" w:rsidR="006D71DD" w:rsidRPr="006D71DD" w:rsidRDefault="006D71DD" w:rsidP="006D71DD">
            <w:pPr>
              <w:jc w:val="right"/>
              <w:rPr>
                <w:color w:val="000000"/>
                <w:sz w:val="18"/>
                <w:szCs w:val="18"/>
                <w:lang w:eastAsia="tr-TR"/>
              </w:rPr>
            </w:pPr>
            <w:r w:rsidRPr="006D71DD">
              <w:rPr>
                <w:color w:val="000000"/>
                <w:sz w:val="18"/>
                <w:szCs w:val="18"/>
                <w:lang w:eastAsia="tr-TR"/>
              </w:rPr>
              <w:t>923,177</w:t>
            </w:r>
          </w:p>
        </w:tc>
        <w:tc>
          <w:tcPr>
            <w:tcW w:w="1108" w:type="dxa"/>
            <w:tcBorders>
              <w:top w:val="nil"/>
              <w:left w:val="nil"/>
              <w:bottom w:val="nil"/>
              <w:right w:val="nil"/>
            </w:tcBorders>
            <w:shd w:val="clear" w:color="auto" w:fill="auto"/>
            <w:vAlign w:val="center"/>
            <w:hideMark/>
          </w:tcPr>
          <w:p w14:paraId="52ED23A3" w14:textId="77777777" w:rsidR="006D71DD" w:rsidRPr="006D71DD" w:rsidRDefault="006D71DD" w:rsidP="006D71DD">
            <w:pPr>
              <w:jc w:val="right"/>
              <w:rPr>
                <w:color w:val="000000"/>
                <w:sz w:val="18"/>
                <w:szCs w:val="18"/>
                <w:lang w:eastAsia="tr-TR"/>
              </w:rPr>
            </w:pPr>
            <w:r w:rsidRPr="006D71DD">
              <w:rPr>
                <w:color w:val="000000"/>
                <w:sz w:val="18"/>
                <w:szCs w:val="18"/>
                <w:lang w:eastAsia="tr-TR"/>
              </w:rPr>
              <w:t>4,354,444</w:t>
            </w:r>
          </w:p>
        </w:tc>
      </w:tr>
      <w:tr w:rsidR="006D71DD" w:rsidRPr="006D71DD" w14:paraId="5C9F4D97" w14:textId="77777777" w:rsidTr="006B1072">
        <w:trPr>
          <w:divId w:val="1017851490"/>
          <w:trHeight w:val="243"/>
        </w:trPr>
        <w:tc>
          <w:tcPr>
            <w:tcW w:w="4696" w:type="dxa"/>
            <w:tcBorders>
              <w:top w:val="nil"/>
              <w:left w:val="nil"/>
              <w:bottom w:val="single" w:sz="8" w:space="0" w:color="auto"/>
              <w:right w:val="nil"/>
            </w:tcBorders>
            <w:shd w:val="clear" w:color="auto" w:fill="auto"/>
            <w:vAlign w:val="center"/>
            <w:hideMark/>
          </w:tcPr>
          <w:p w14:paraId="4C1151EC" w14:textId="77777777" w:rsidR="006D71DD" w:rsidRPr="006D71DD" w:rsidRDefault="006D71DD" w:rsidP="006D71DD">
            <w:pPr>
              <w:jc w:val="both"/>
              <w:rPr>
                <w:color w:val="000000"/>
                <w:sz w:val="18"/>
                <w:szCs w:val="18"/>
                <w:lang w:eastAsia="tr-TR"/>
              </w:rPr>
            </w:pPr>
            <w:r w:rsidRPr="006D71DD">
              <w:rPr>
                <w:color w:val="000000"/>
                <w:sz w:val="18"/>
                <w:szCs w:val="18"/>
                <w:lang w:eastAsia="tr-TR"/>
              </w:rPr>
              <w:t>Yurtdışı Banka, Kuruluş ve Fonlardan</w:t>
            </w:r>
          </w:p>
        </w:tc>
        <w:tc>
          <w:tcPr>
            <w:tcW w:w="1213" w:type="dxa"/>
            <w:tcBorders>
              <w:top w:val="nil"/>
              <w:left w:val="nil"/>
              <w:bottom w:val="single" w:sz="8" w:space="0" w:color="auto"/>
              <w:right w:val="nil"/>
            </w:tcBorders>
            <w:shd w:val="clear" w:color="auto" w:fill="auto"/>
            <w:vAlign w:val="center"/>
            <w:hideMark/>
          </w:tcPr>
          <w:p w14:paraId="4F80A2ED" w14:textId="77777777" w:rsidR="006D71DD" w:rsidRPr="006D71DD" w:rsidRDefault="006D71DD" w:rsidP="006D71DD">
            <w:pPr>
              <w:jc w:val="right"/>
              <w:rPr>
                <w:color w:val="000000"/>
                <w:sz w:val="18"/>
                <w:szCs w:val="18"/>
                <w:lang w:eastAsia="tr-TR"/>
              </w:rPr>
            </w:pPr>
            <w:r w:rsidRPr="006D71DD">
              <w:rPr>
                <w:color w:val="000000"/>
                <w:sz w:val="18"/>
                <w:szCs w:val="18"/>
                <w:lang w:eastAsia="tr-TR"/>
              </w:rPr>
              <w:t>44,605</w:t>
            </w:r>
          </w:p>
        </w:tc>
        <w:tc>
          <w:tcPr>
            <w:tcW w:w="1090" w:type="dxa"/>
            <w:tcBorders>
              <w:top w:val="nil"/>
              <w:left w:val="nil"/>
              <w:bottom w:val="single" w:sz="8" w:space="0" w:color="auto"/>
              <w:right w:val="nil"/>
            </w:tcBorders>
            <w:shd w:val="clear" w:color="auto" w:fill="auto"/>
            <w:vAlign w:val="center"/>
            <w:hideMark/>
          </w:tcPr>
          <w:p w14:paraId="14F72FEC" w14:textId="77777777" w:rsidR="006D71DD" w:rsidRPr="006D71DD" w:rsidRDefault="006D71DD" w:rsidP="006D71DD">
            <w:pPr>
              <w:jc w:val="right"/>
              <w:rPr>
                <w:color w:val="000000"/>
                <w:sz w:val="18"/>
                <w:szCs w:val="18"/>
                <w:lang w:eastAsia="tr-TR"/>
              </w:rPr>
            </w:pPr>
            <w:r w:rsidRPr="006D71DD">
              <w:rPr>
                <w:color w:val="000000"/>
                <w:sz w:val="18"/>
                <w:szCs w:val="18"/>
                <w:lang w:eastAsia="tr-TR"/>
              </w:rPr>
              <w:t>2,605,848</w:t>
            </w:r>
          </w:p>
        </w:tc>
        <w:tc>
          <w:tcPr>
            <w:tcW w:w="1037" w:type="dxa"/>
            <w:tcBorders>
              <w:top w:val="nil"/>
              <w:left w:val="nil"/>
              <w:bottom w:val="single" w:sz="8" w:space="0" w:color="auto"/>
              <w:right w:val="nil"/>
            </w:tcBorders>
            <w:shd w:val="clear" w:color="auto" w:fill="auto"/>
            <w:vAlign w:val="center"/>
            <w:hideMark/>
          </w:tcPr>
          <w:p w14:paraId="69F631B2"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108" w:type="dxa"/>
            <w:tcBorders>
              <w:top w:val="nil"/>
              <w:left w:val="nil"/>
              <w:bottom w:val="single" w:sz="8" w:space="0" w:color="auto"/>
              <w:right w:val="nil"/>
            </w:tcBorders>
            <w:shd w:val="clear" w:color="auto" w:fill="auto"/>
            <w:vAlign w:val="center"/>
            <w:hideMark/>
          </w:tcPr>
          <w:p w14:paraId="24DD6603" w14:textId="77777777" w:rsidR="006D71DD" w:rsidRPr="006D71DD" w:rsidRDefault="006D71DD" w:rsidP="006D71DD">
            <w:pPr>
              <w:jc w:val="right"/>
              <w:rPr>
                <w:color w:val="000000"/>
                <w:sz w:val="18"/>
                <w:szCs w:val="18"/>
                <w:lang w:eastAsia="tr-TR"/>
              </w:rPr>
            </w:pPr>
            <w:r w:rsidRPr="006D71DD">
              <w:rPr>
                <w:color w:val="000000"/>
                <w:sz w:val="18"/>
                <w:szCs w:val="18"/>
                <w:lang w:eastAsia="tr-TR"/>
              </w:rPr>
              <w:t>114,056</w:t>
            </w:r>
          </w:p>
        </w:tc>
      </w:tr>
      <w:tr w:rsidR="006D71DD" w:rsidRPr="006D71DD" w14:paraId="027F8DDF" w14:textId="77777777" w:rsidTr="006B1072">
        <w:trPr>
          <w:divId w:val="1017851490"/>
          <w:trHeight w:val="243"/>
        </w:trPr>
        <w:tc>
          <w:tcPr>
            <w:tcW w:w="4696" w:type="dxa"/>
            <w:tcBorders>
              <w:top w:val="nil"/>
              <w:left w:val="nil"/>
              <w:bottom w:val="double" w:sz="6" w:space="0" w:color="auto"/>
              <w:right w:val="nil"/>
            </w:tcBorders>
            <w:shd w:val="clear" w:color="auto" w:fill="auto"/>
            <w:vAlign w:val="center"/>
            <w:hideMark/>
          </w:tcPr>
          <w:p w14:paraId="66708527" w14:textId="77777777" w:rsidR="006D71DD" w:rsidRPr="006D71DD" w:rsidRDefault="006D71DD" w:rsidP="006D71DD">
            <w:pPr>
              <w:jc w:val="both"/>
              <w:rPr>
                <w:b/>
                <w:bCs/>
                <w:color w:val="000000"/>
                <w:sz w:val="16"/>
                <w:szCs w:val="16"/>
                <w:lang w:eastAsia="tr-TR"/>
              </w:rPr>
            </w:pPr>
            <w:r w:rsidRPr="006D71DD">
              <w:rPr>
                <w:b/>
                <w:bCs/>
                <w:color w:val="000000"/>
                <w:sz w:val="16"/>
                <w:szCs w:val="16"/>
                <w:lang w:eastAsia="tr-TR"/>
              </w:rPr>
              <w:t>Toplam</w:t>
            </w:r>
          </w:p>
        </w:tc>
        <w:tc>
          <w:tcPr>
            <w:tcW w:w="1213" w:type="dxa"/>
            <w:tcBorders>
              <w:top w:val="nil"/>
              <w:left w:val="nil"/>
              <w:bottom w:val="double" w:sz="6" w:space="0" w:color="auto"/>
              <w:right w:val="nil"/>
            </w:tcBorders>
            <w:shd w:val="clear" w:color="auto" w:fill="auto"/>
            <w:vAlign w:val="center"/>
            <w:hideMark/>
          </w:tcPr>
          <w:p w14:paraId="05B10735" w14:textId="77777777" w:rsidR="006D71DD" w:rsidRPr="006D71DD" w:rsidRDefault="006D71DD" w:rsidP="006D71DD">
            <w:pPr>
              <w:jc w:val="right"/>
              <w:rPr>
                <w:b/>
                <w:bCs/>
                <w:color w:val="000000"/>
                <w:sz w:val="18"/>
                <w:szCs w:val="16"/>
                <w:lang w:eastAsia="tr-TR"/>
              </w:rPr>
            </w:pPr>
            <w:r w:rsidRPr="006D71DD">
              <w:rPr>
                <w:b/>
                <w:bCs/>
                <w:color w:val="000000"/>
                <w:sz w:val="18"/>
                <w:szCs w:val="16"/>
                <w:lang w:eastAsia="tr-TR"/>
              </w:rPr>
              <w:t>2,327,668</w:t>
            </w:r>
          </w:p>
        </w:tc>
        <w:tc>
          <w:tcPr>
            <w:tcW w:w="1090" w:type="dxa"/>
            <w:tcBorders>
              <w:top w:val="nil"/>
              <w:left w:val="nil"/>
              <w:bottom w:val="double" w:sz="6" w:space="0" w:color="auto"/>
              <w:right w:val="nil"/>
            </w:tcBorders>
            <w:shd w:val="clear" w:color="auto" w:fill="auto"/>
            <w:vAlign w:val="center"/>
            <w:hideMark/>
          </w:tcPr>
          <w:p w14:paraId="736E2E27" w14:textId="77777777" w:rsidR="006D71DD" w:rsidRPr="006D71DD" w:rsidRDefault="006D71DD" w:rsidP="006D71DD">
            <w:pPr>
              <w:jc w:val="right"/>
              <w:rPr>
                <w:b/>
                <w:bCs/>
                <w:color w:val="000000"/>
                <w:sz w:val="18"/>
                <w:szCs w:val="16"/>
                <w:lang w:eastAsia="tr-TR"/>
              </w:rPr>
            </w:pPr>
            <w:r w:rsidRPr="006D71DD">
              <w:rPr>
                <w:b/>
                <w:bCs/>
                <w:color w:val="000000"/>
                <w:sz w:val="18"/>
                <w:szCs w:val="16"/>
                <w:lang w:eastAsia="tr-TR"/>
              </w:rPr>
              <w:t>6,594,755</w:t>
            </w:r>
          </w:p>
        </w:tc>
        <w:tc>
          <w:tcPr>
            <w:tcW w:w="1037" w:type="dxa"/>
            <w:tcBorders>
              <w:top w:val="nil"/>
              <w:left w:val="nil"/>
              <w:bottom w:val="double" w:sz="6" w:space="0" w:color="auto"/>
              <w:right w:val="nil"/>
            </w:tcBorders>
            <w:shd w:val="clear" w:color="auto" w:fill="auto"/>
            <w:vAlign w:val="center"/>
            <w:hideMark/>
          </w:tcPr>
          <w:p w14:paraId="64ED8D52" w14:textId="77777777" w:rsidR="006D71DD" w:rsidRPr="006D71DD" w:rsidRDefault="006D71DD" w:rsidP="006D71DD">
            <w:pPr>
              <w:jc w:val="right"/>
              <w:rPr>
                <w:b/>
                <w:bCs/>
                <w:color w:val="000000"/>
                <w:sz w:val="18"/>
                <w:szCs w:val="16"/>
                <w:lang w:eastAsia="tr-TR"/>
              </w:rPr>
            </w:pPr>
            <w:r w:rsidRPr="006D71DD">
              <w:rPr>
                <w:b/>
                <w:bCs/>
                <w:color w:val="000000"/>
                <w:sz w:val="18"/>
                <w:szCs w:val="16"/>
                <w:lang w:eastAsia="tr-TR"/>
              </w:rPr>
              <w:t>923,177</w:t>
            </w:r>
          </w:p>
        </w:tc>
        <w:tc>
          <w:tcPr>
            <w:tcW w:w="1108" w:type="dxa"/>
            <w:tcBorders>
              <w:top w:val="nil"/>
              <w:left w:val="nil"/>
              <w:bottom w:val="double" w:sz="6" w:space="0" w:color="auto"/>
              <w:right w:val="nil"/>
            </w:tcBorders>
            <w:shd w:val="clear" w:color="auto" w:fill="auto"/>
            <w:vAlign w:val="center"/>
            <w:hideMark/>
          </w:tcPr>
          <w:p w14:paraId="08536613" w14:textId="77777777" w:rsidR="006D71DD" w:rsidRPr="006D71DD" w:rsidRDefault="006D71DD" w:rsidP="006D71DD">
            <w:pPr>
              <w:jc w:val="right"/>
              <w:rPr>
                <w:b/>
                <w:bCs/>
                <w:color w:val="000000"/>
                <w:sz w:val="18"/>
                <w:szCs w:val="16"/>
                <w:lang w:eastAsia="tr-TR"/>
              </w:rPr>
            </w:pPr>
            <w:r w:rsidRPr="006D71DD">
              <w:rPr>
                <w:b/>
                <w:bCs/>
                <w:color w:val="000000"/>
                <w:sz w:val="18"/>
                <w:szCs w:val="16"/>
                <w:lang w:eastAsia="tr-TR"/>
              </w:rPr>
              <w:t>4,468,500</w:t>
            </w:r>
          </w:p>
        </w:tc>
      </w:tr>
    </w:tbl>
    <w:p w14:paraId="1C6B2440" w14:textId="07FC0933" w:rsidR="009A0A9F" w:rsidRPr="006D71DD" w:rsidRDefault="009A0A9F" w:rsidP="00FB7F3E">
      <w:pPr>
        <w:ind w:firstLine="720"/>
        <w:rPr>
          <w:sz w:val="16"/>
          <w:szCs w:val="16"/>
        </w:rPr>
      </w:pPr>
    </w:p>
    <w:p w14:paraId="555A5DD3" w14:textId="77777777" w:rsidR="000F096F" w:rsidRPr="006D71DD" w:rsidRDefault="003975AB" w:rsidP="003975AB">
      <w:pPr>
        <w:tabs>
          <w:tab w:val="num" w:pos="2340"/>
          <w:tab w:val="num" w:pos="3060"/>
        </w:tabs>
        <w:autoSpaceDE w:val="0"/>
        <w:autoSpaceDN w:val="0"/>
        <w:adjustRightInd w:val="0"/>
        <w:ind w:hanging="567"/>
      </w:pPr>
      <w:r w:rsidRPr="006D71DD">
        <w:rPr>
          <w:b/>
        </w:rPr>
        <w:t>2.3.2</w:t>
      </w:r>
      <w:r w:rsidRPr="006D71DD">
        <w:tab/>
      </w:r>
      <w:r w:rsidR="00E253C8" w:rsidRPr="006D71DD">
        <w:t>Alınan kredilerin kalan vade ayrımına göre gösterilmesi:</w:t>
      </w:r>
    </w:p>
    <w:p w14:paraId="53073031" w14:textId="221B2F8D" w:rsidR="006D71DD" w:rsidRPr="006D71DD" w:rsidRDefault="006D71DD" w:rsidP="00C04CDF">
      <w:pPr>
        <w:tabs>
          <w:tab w:val="num" w:pos="2340"/>
          <w:tab w:val="num" w:pos="3060"/>
        </w:tabs>
        <w:autoSpaceDE w:val="0"/>
        <w:autoSpaceDN w:val="0"/>
        <w:adjustRightInd w:val="0"/>
        <w:ind w:left="180"/>
        <w:rPr>
          <w:lang w:val="en-GB" w:eastAsia="en-GB"/>
        </w:rPr>
      </w:pPr>
    </w:p>
    <w:tbl>
      <w:tblPr>
        <w:tblW w:w="9149" w:type="dxa"/>
        <w:tblCellMar>
          <w:left w:w="70" w:type="dxa"/>
          <w:right w:w="70" w:type="dxa"/>
        </w:tblCellMar>
        <w:tblLook w:val="04A0" w:firstRow="1" w:lastRow="0" w:firstColumn="1" w:lastColumn="0" w:noHBand="0" w:noVBand="1"/>
      </w:tblPr>
      <w:tblGrid>
        <w:gridCol w:w="4698"/>
        <w:gridCol w:w="1214"/>
        <w:gridCol w:w="1091"/>
        <w:gridCol w:w="1037"/>
        <w:gridCol w:w="1109"/>
      </w:tblGrid>
      <w:tr w:rsidR="006D71DD" w:rsidRPr="006D71DD" w14:paraId="7FF8F2C5" w14:textId="77777777" w:rsidTr="006B1072">
        <w:trPr>
          <w:divId w:val="843056381"/>
          <w:trHeight w:val="250"/>
        </w:trPr>
        <w:tc>
          <w:tcPr>
            <w:tcW w:w="4698" w:type="dxa"/>
            <w:tcBorders>
              <w:top w:val="double" w:sz="6" w:space="0" w:color="auto"/>
              <w:left w:val="nil"/>
              <w:bottom w:val="single" w:sz="8" w:space="0" w:color="auto"/>
              <w:right w:val="nil"/>
            </w:tcBorders>
            <w:shd w:val="clear" w:color="auto" w:fill="auto"/>
            <w:vAlign w:val="center"/>
            <w:hideMark/>
          </w:tcPr>
          <w:p w14:paraId="724BD20F" w14:textId="51981916" w:rsidR="006D71DD" w:rsidRPr="006D71DD" w:rsidRDefault="006D71DD" w:rsidP="006D71DD">
            <w:pPr>
              <w:jc w:val="both"/>
              <w:rPr>
                <w:b/>
                <w:bCs/>
                <w:color w:val="000000"/>
                <w:sz w:val="16"/>
                <w:szCs w:val="16"/>
                <w:lang w:eastAsia="tr-TR"/>
              </w:rPr>
            </w:pPr>
            <w:r w:rsidRPr="006D71DD">
              <w:rPr>
                <w:b/>
                <w:bCs/>
                <w:color w:val="000000"/>
                <w:sz w:val="16"/>
                <w:szCs w:val="16"/>
                <w:lang w:eastAsia="tr-TR"/>
              </w:rPr>
              <w:t> </w:t>
            </w:r>
          </w:p>
        </w:tc>
        <w:tc>
          <w:tcPr>
            <w:tcW w:w="2305" w:type="dxa"/>
            <w:gridSpan w:val="2"/>
            <w:tcBorders>
              <w:top w:val="double" w:sz="6" w:space="0" w:color="auto"/>
              <w:left w:val="nil"/>
              <w:bottom w:val="single" w:sz="8" w:space="0" w:color="auto"/>
              <w:right w:val="nil"/>
            </w:tcBorders>
            <w:shd w:val="clear" w:color="auto" w:fill="auto"/>
            <w:vAlign w:val="center"/>
            <w:hideMark/>
          </w:tcPr>
          <w:p w14:paraId="61C6787E" w14:textId="77777777" w:rsidR="006D71DD" w:rsidRPr="006D71DD" w:rsidRDefault="006D71DD" w:rsidP="006D71DD">
            <w:pPr>
              <w:jc w:val="center"/>
              <w:rPr>
                <w:b/>
                <w:bCs/>
                <w:color w:val="000000"/>
                <w:sz w:val="16"/>
                <w:szCs w:val="16"/>
                <w:lang w:eastAsia="tr-TR"/>
              </w:rPr>
            </w:pPr>
            <w:r w:rsidRPr="006D71DD">
              <w:rPr>
                <w:b/>
                <w:bCs/>
                <w:color w:val="000000"/>
                <w:sz w:val="16"/>
                <w:szCs w:val="16"/>
                <w:lang w:eastAsia="tr-TR"/>
              </w:rPr>
              <w:t>Cari Dönem</w:t>
            </w:r>
          </w:p>
        </w:tc>
        <w:tc>
          <w:tcPr>
            <w:tcW w:w="2146" w:type="dxa"/>
            <w:gridSpan w:val="2"/>
            <w:tcBorders>
              <w:top w:val="double" w:sz="6" w:space="0" w:color="auto"/>
              <w:left w:val="nil"/>
              <w:bottom w:val="single" w:sz="8" w:space="0" w:color="auto"/>
              <w:right w:val="nil"/>
            </w:tcBorders>
            <w:shd w:val="clear" w:color="auto" w:fill="auto"/>
            <w:vAlign w:val="center"/>
            <w:hideMark/>
          </w:tcPr>
          <w:p w14:paraId="16095B1C" w14:textId="77777777" w:rsidR="006D71DD" w:rsidRPr="006D71DD" w:rsidRDefault="006D71DD" w:rsidP="006D71DD">
            <w:pPr>
              <w:jc w:val="center"/>
              <w:rPr>
                <w:b/>
                <w:bCs/>
                <w:color w:val="000000"/>
                <w:sz w:val="16"/>
                <w:szCs w:val="16"/>
                <w:lang w:eastAsia="tr-TR"/>
              </w:rPr>
            </w:pPr>
            <w:r w:rsidRPr="006D71DD">
              <w:rPr>
                <w:b/>
                <w:bCs/>
                <w:color w:val="000000"/>
                <w:sz w:val="16"/>
                <w:szCs w:val="16"/>
                <w:lang w:eastAsia="tr-TR"/>
              </w:rPr>
              <w:t>Önceki Dönem</w:t>
            </w:r>
          </w:p>
        </w:tc>
      </w:tr>
      <w:tr w:rsidR="006D71DD" w:rsidRPr="006D71DD" w14:paraId="55C4BFD5" w14:textId="77777777" w:rsidTr="006B1072">
        <w:trPr>
          <w:divId w:val="843056381"/>
          <w:trHeight w:val="236"/>
        </w:trPr>
        <w:tc>
          <w:tcPr>
            <w:tcW w:w="4698" w:type="dxa"/>
            <w:tcBorders>
              <w:top w:val="nil"/>
              <w:left w:val="nil"/>
              <w:bottom w:val="single" w:sz="8" w:space="0" w:color="auto"/>
              <w:right w:val="nil"/>
            </w:tcBorders>
            <w:shd w:val="clear" w:color="auto" w:fill="auto"/>
            <w:vAlign w:val="center"/>
            <w:hideMark/>
          </w:tcPr>
          <w:p w14:paraId="0C867937" w14:textId="77777777" w:rsidR="006D71DD" w:rsidRPr="006D71DD" w:rsidRDefault="006D71DD" w:rsidP="006D71DD">
            <w:pPr>
              <w:jc w:val="both"/>
              <w:rPr>
                <w:b/>
                <w:bCs/>
                <w:color w:val="000000"/>
                <w:sz w:val="16"/>
                <w:szCs w:val="16"/>
                <w:lang w:eastAsia="tr-TR"/>
              </w:rPr>
            </w:pPr>
            <w:r w:rsidRPr="006D71DD">
              <w:rPr>
                <w:b/>
                <w:bCs/>
                <w:color w:val="000000"/>
                <w:sz w:val="16"/>
                <w:szCs w:val="16"/>
                <w:lang w:eastAsia="tr-TR"/>
              </w:rPr>
              <w:t> </w:t>
            </w:r>
          </w:p>
        </w:tc>
        <w:tc>
          <w:tcPr>
            <w:tcW w:w="1214" w:type="dxa"/>
            <w:tcBorders>
              <w:top w:val="nil"/>
              <w:left w:val="nil"/>
              <w:bottom w:val="single" w:sz="8" w:space="0" w:color="auto"/>
              <w:right w:val="nil"/>
            </w:tcBorders>
            <w:shd w:val="clear" w:color="auto" w:fill="auto"/>
            <w:vAlign w:val="center"/>
            <w:hideMark/>
          </w:tcPr>
          <w:p w14:paraId="1DE4DA05" w14:textId="77777777" w:rsidR="006D71DD" w:rsidRPr="006D71DD" w:rsidRDefault="006D71DD" w:rsidP="006D71DD">
            <w:pPr>
              <w:jc w:val="right"/>
              <w:rPr>
                <w:b/>
                <w:bCs/>
                <w:color w:val="000000"/>
                <w:sz w:val="16"/>
                <w:szCs w:val="16"/>
                <w:lang w:eastAsia="tr-TR"/>
              </w:rPr>
            </w:pPr>
            <w:r w:rsidRPr="006D71DD">
              <w:rPr>
                <w:b/>
                <w:bCs/>
                <w:color w:val="000000"/>
                <w:sz w:val="16"/>
                <w:szCs w:val="16"/>
                <w:lang w:eastAsia="tr-TR"/>
              </w:rPr>
              <w:t>TP</w:t>
            </w:r>
          </w:p>
        </w:tc>
        <w:tc>
          <w:tcPr>
            <w:tcW w:w="1091" w:type="dxa"/>
            <w:tcBorders>
              <w:top w:val="nil"/>
              <w:left w:val="nil"/>
              <w:bottom w:val="single" w:sz="8" w:space="0" w:color="auto"/>
              <w:right w:val="nil"/>
            </w:tcBorders>
            <w:shd w:val="clear" w:color="auto" w:fill="auto"/>
            <w:vAlign w:val="center"/>
            <w:hideMark/>
          </w:tcPr>
          <w:p w14:paraId="6F8CBDA4" w14:textId="77777777" w:rsidR="006D71DD" w:rsidRPr="006D71DD" w:rsidRDefault="006D71DD" w:rsidP="006D71DD">
            <w:pPr>
              <w:jc w:val="right"/>
              <w:rPr>
                <w:b/>
                <w:bCs/>
                <w:color w:val="000000"/>
                <w:sz w:val="16"/>
                <w:szCs w:val="16"/>
                <w:lang w:eastAsia="tr-TR"/>
              </w:rPr>
            </w:pPr>
            <w:r w:rsidRPr="006D71DD">
              <w:rPr>
                <w:b/>
                <w:bCs/>
                <w:color w:val="000000"/>
                <w:sz w:val="16"/>
                <w:szCs w:val="16"/>
                <w:lang w:eastAsia="tr-TR"/>
              </w:rPr>
              <w:t>YP</w:t>
            </w:r>
          </w:p>
        </w:tc>
        <w:tc>
          <w:tcPr>
            <w:tcW w:w="1037" w:type="dxa"/>
            <w:tcBorders>
              <w:top w:val="nil"/>
              <w:left w:val="nil"/>
              <w:bottom w:val="single" w:sz="8" w:space="0" w:color="auto"/>
              <w:right w:val="nil"/>
            </w:tcBorders>
            <w:shd w:val="clear" w:color="auto" w:fill="auto"/>
            <w:vAlign w:val="center"/>
            <w:hideMark/>
          </w:tcPr>
          <w:p w14:paraId="055435E4" w14:textId="77777777" w:rsidR="006D71DD" w:rsidRPr="006D71DD" w:rsidRDefault="006D71DD" w:rsidP="006D71DD">
            <w:pPr>
              <w:jc w:val="right"/>
              <w:rPr>
                <w:b/>
                <w:bCs/>
                <w:color w:val="000000"/>
                <w:sz w:val="16"/>
                <w:szCs w:val="16"/>
                <w:lang w:eastAsia="tr-TR"/>
              </w:rPr>
            </w:pPr>
            <w:r w:rsidRPr="006D71DD">
              <w:rPr>
                <w:b/>
                <w:bCs/>
                <w:color w:val="000000"/>
                <w:sz w:val="16"/>
                <w:szCs w:val="16"/>
                <w:lang w:eastAsia="tr-TR"/>
              </w:rPr>
              <w:t>TP</w:t>
            </w:r>
          </w:p>
        </w:tc>
        <w:tc>
          <w:tcPr>
            <w:tcW w:w="1109" w:type="dxa"/>
            <w:tcBorders>
              <w:top w:val="nil"/>
              <w:left w:val="nil"/>
              <w:bottom w:val="single" w:sz="8" w:space="0" w:color="auto"/>
              <w:right w:val="nil"/>
            </w:tcBorders>
            <w:shd w:val="clear" w:color="auto" w:fill="auto"/>
            <w:vAlign w:val="center"/>
            <w:hideMark/>
          </w:tcPr>
          <w:p w14:paraId="0AA4224E" w14:textId="77777777" w:rsidR="006D71DD" w:rsidRPr="006D71DD" w:rsidRDefault="006D71DD" w:rsidP="006D71DD">
            <w:pPr>
              <w:jc w:val="right"/>
              <w:rPr>
                <w:b/>
                <w:bCs/>
                <w:color w:val="000000"/>
                <w:sz w:val="16"/>
                <w:szCs w:val="16"/>
                <w:lang w:eastAsia="tr-TR"/>
              </w:rPr>
            </w:pPr>
            <w:r w:rsidRPr="006D71DD">
              <w:rPr>
                <w:b/>
                <w:bCs/>
                <w:color w:val="000000"/>
                <w:sz w:val="16"/>
                <w:szCs w:val="16"/>
                <w:lang w:eastAsia="tr-TR"/>
              </w:rPr>
              <w:t>YP</w:t>
            </w:r>
          </w:p>
        </w:tc>
      </w:tr>
      <w:tr w:rsidR="006D71DD" w:rsidRPr="006D71DD" w14:paraId="3E82D5BB" w14:textId="77777777" w:rsidTr="006B1072">
        <w:trPr>
          <w:divId w:val="843056381"/>
          <w:trHeight w:val="220"/>
        </w:trPr>
        <w:tc>
          <w:tcPr>
            <w:tcW w:w="4698" w:type="dxa"/>
            <w:tcBorders>
              <w:top w:val="nil"/>
              <w:left w:val="nil"/>
              <w:bottom w:val="nil"/>
              <w:right w:val="nil"/>
            </w:tcBorders>
            <w:shd w:val="clear" w:color="auto" w:fill="auto"/>
            <w:vAlign w:val="center"/>
            <w:hideMark/>
          </w:tcPr>
          <w:p w14:paraId="780042BD" w14:textId="77777777" w:rsidR="006D71DD" w:rsidRPr="006D71DD" w:rsidRDefault="006D71DD" w:rsidP="006D71DD">
            <w:pPr>
              <w:jc w:val="both"/>
              <w:rPr>
                <w:color w:val="000000"/>
                <w:sz w:val="18"/>
                <w:szCs w:val="18"/>
                <w:lang w:eastAsia="tr-TR"/>
              </w:rPr>
            </w:pPr>
            <w:r w:rsidRPr="006D71DD">
              <w:rPr>
                <w:color w:val="000000"/>
                <w:sz w:val="18"/>
                <w:szCs w:val="18"/>
                <w:lang w:eastAsia="tr-TR"/>
              </w:rPr>
              <w:t>Kısa Vadeli</w:t>
            </w:r>
          </w:p>
        </w:tc>
        <w:tc>
          <w:tcPr>
            <w:tcW w:w="1214" w:type="dxa"/>
            <w:tcBorders>
              <w:top w:val="nil"/>
              <w:left w:val="nil"/>
              <w:bottom w:val="nil"/>
              <w:right w:val="nil"/>
            </w:tcBorders>
            <w:shd w:val="clear" w:color="auto" w:fill="auto"/>
            <w:vAlign w:val="center"/>
            <w:hideMark/>
          </w:tcPr>
          <w:p w14:paraId="3D0D503C" w14:textId="77777777" w:rsidR="006D71DD" w:rsidRPr="006D71DD" w:rsidRDefault="006D71DD" w:rsidP="006D71DD">
            <w:pPr>
              <w:jc w:val="right"/>
              <w:rPr>
                <w:color w:val="000000"/>
                <w:sz w:val="18"/>
                <w:szCs w:val="18"/>
                <w:lang w:eastAsia="tr-TR"/>
              </w:rPr>
            </w:pPr>
            <w:r w:rsidRPr="006D71DD">
              <w:rPr>
                <w:color w:val="000000"/>
                <w:sz w:val="18"/>
                <w:szCs w:val="18"/>
                <w:lang w:eastAsia="tr-TR"/>
              </w:rPr>
              <w:t>2,327,668</w:t>
            </w:r>
          </w:p>
        </w:tc>
        <w:tc>
          <w:tcPr>
            <w:tcW w:w="1091" w:type="dxa"/>
            <w:tcBorders>
              <w:top w:val="nil"/>
              <w:left w:val="nil"/>
              <w:bottom w:val="nil"/>
              <w:right w:val="nil"/>
            </w:tcBorders>
            <w:shd w:val="clear" w:color="auto" w:fill="auto"/>
            <w:vAlign w:val="center"/>
            <w:hideMark/>
          </w:tcPr>
          <w:p w14:paraId="42CBE623" w14:textId="77777777" w:rsidR="006D71DD" w:rsidRPr="006D71DD" w:rsidRDefault="006D71DD" w:rsidP="006D71DD">
            <w:pPr>
              <w:jc w:val="right"/>
              <w:rPr>
                <w:color w:val="000000"/>
                <w:sz w:val="18"/>
                <w:szCs w:val="18"/>
                <w:lang w:eastAsia="tr-TR"/>
              </w:rPr>
            </w:pPr>
            <w:r w:rsidRPr="006D71DD">
              <w:rPr>
                <w:color w:val="000000"/>
                <w:sz w:val="18"/>
                <w:szCs w:val="18"/>
                <w:lang w:eastAsia="tr-TR"/>
              </w:rPr>
              <w:t>2,610,344</w:t>
            </w:r>
          </w:p>
        </w:tc>
        <w:tc>
          <w:tcPr>
            <w:tcW w:w="1037" w:type="dxa"/>
            <w:tcBorders>
              <w:top w:val="nil"/>
              <w:left w:val="nil"/>
              <w:bottom w:val="nil"/>
              <w:right w:val="nil"/>
            </w:tcBorders>
            <w:shd w:val="clear" w:color="auto" w:fill="auto"/>
            <w:vAlign w:val="center"/>
            <w:hideMark/>
          </w:tcPr>
          <w:p w14:paraId="2348AC7A" w14:textId="77777777" w:rsidR="006D71DD" w:rsidRPr="006D71DD" w:rsidRDefault="006D71DD" w:rsidP="006D71DD">
            <w:pPr>
              <w:jc w:val="right"/>
              <w:rPr>
                <w:color w:val="000000"/>
                <w:sz w:val="18"/>
                <w:szCs w:val="18"/>
                <w:lang w:eastAsia="tr-TR"/>
              </w:rPr>
            </w:pPr>
            <w:r w:rsidRPr="006D71DD">
              <w:rPr>
                <w:color w:val="000000"/>
                <w:sz w:val="18"/>
                <w:szCs w:val="18"/>
                <w:lang w:eastAsia="tr-TR"/>
              </w:rPr>
              <w:t>923,177</w:t>
            </w:r>
          </w:p>
        </w:tc>
        <w:tc>
          <w:tcPr>
            <w:tcW w:w="1109" w:type="dxa"/>
            <w:tcBorders>
              <w:top w:val="nil"/>
              <w:left w:val="nil"/>
              <w:bottom w:val="nil"/>
              <w:right w:val="nil"/>
            </w:tcBorders>
            <w:shd w:val="clear" w:color="auto" w:fill="auto"/>
            <w:vAlign w:val="center"/>
            <w:hideMark/>
          </w:tcPr>
          <w:p w14:paraId="360D7D0B" w14:textId="77777777" w:rsidR="006D71DD" w:rsidRPr="006D71DD" w:rsidRDefault="006D71DD" w:rsidP="006D71DD">
            <w:pPr>
              <w:jc w:val="right"/>
              <w:rPr>
                <w:color w:val="000000"/>
                <w:sz w:val="18"/>
                <w:szCs w:val="18"/>
                <w:lang w:eastAsia="tr-TR"/>
              </w:rPr>
            </w:pPr>
            <w:r w:rsidRPr="006D71DD">
              <w:rPr>
                <w:color w:val="000000"/>
                <w:sz w:val="18"/>
                <w:szCs w:val="18"/>
                <w:lang w:eastAsia="tr-TR"/>
              </w:rPr>
              <w:t>1,469,612</w:t>
            </w:r>
          </w:p>
        </w:tc>
      </w:tr>
      <w:tr w:rsidR="006D71DD" w:rsidRPr="006D71DD" w14:paraId="094C3DC3" w14:textId="77777777" w:rsidTr="006B1072">
        <w:trPr>
          <w:divId w:val="843056381"/>
          <w:trHeight w:val="236"/>
        </w:trPr>
        <w:tc>
          <w:tcPr>
            <w:tcW w:w="4698" w:type="dxa"/>
            <w:tcBorders>
              <w:top w:val="nil"/>
              <w:left w:val="nil"/>
              <w:bottom w:val="single" w:sz="8" w:space="0" w:color="auto"/>
              <w:right w:val="nil"/>
            </w:tcBorders>
            <w:shd w:val="clear" w:color="auto" w:fill="auto"/>
            <w:vAlign w:val="center"/>
            <w:hideMark/>
          </w:tcPr>
          <w:p w14:paraId="3C4E2C65" w14:textId="77777777" w:rsidR="006D71DD" w:rsidRPr="006D71DD" w:rsidRDefault="006D71DD" w:rsidP="006D71DD">
            <w:pPr>
              <w:jc w:val="both"/>
              <w:rPr>
                <w:color w:val="000000"/>
                <w:sz w:val="18"/>
                <w:szCs w:val="18"/>
                <w:lang w:eastAsia="tr-TR"/>
              </w:rPr>
            </w:pPr>
            <w:r w:rsidRPr="006D71DD">
              <w:rPr>
                <w:color w:val="000000"/>
                <w:sz w:val="18"/>
                <w:szCs w:val="18"/>
                <w:lang w:eastAsia="tr-TR"/>
              </w:rPr>
              <w:t>Orta ve Uzun Vadeli</w:t>
            </w:r>
          </w:p>
        </w:tc>
        <w:tc>
          <w:tcPr>
            <w:tcW w:w="1214" w:type="dxa"/>
            <w:tcBorders>
              <w:top w:val="nil"/>
              <w:left w:val="nil"/>
              <w:bottom w:val="single" w:sz="8" w:space="0" w:color="auto"/>
              <w:right w:val="nil"/>
            </w:tcBorders>
            <w:shd w:val="clear" w:color="auto" w:fill="auto"/>
            <w:vAlign w:val="center"/>
            <w:hideMark/>
          </w:tcPr>
          <w:p w14:paraId="1E09E0C8"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091" w:type="dxa"/>
            <w:tcBorders>
              <w:top w:val="nil"/>
              <w:left w:val="nil"/>
              <w:bottom w:val="single" w:sz="8" w:space="0" w:color="auto"/>
              <w:right w:val="nil"/>
            </w:tcBorders>
            <w:shd w:val="clear" w:color="auto" w:fill="auto"/>
            <w:vAlign w:val="center"/>
            <w:hideMark/>
          </w:tcPr>
          <w:p w14:paraId="7C011412" w14:textId="77777777" w:rsidR="006D71DD" w:rsidRPr="006D71DD" w:rsidRDefault="006D71DD" w:rsidP="006D71DD">
            <w:pPr>
              <w:jc w:val="right"/>
              <w:rPr>
                <w:color w:val="000000"/>
                <w:sz w:val="18"/>
                <w:szCs w:val="18"/>
                <w:lang w:eastAsia="tr-TR"/>
              </w:rPr>
            </w:pPr>
            <w:r w:rsidRPr="006D71DD">
              <w:rPr>
                <w:color w:val="000000"/>
                <w:sz w:val="18"/>
                <w:szCs w:val="18"/>
                <w:lang w:eastAsia="tr-TR"/>
              </w:rPr>
              <w:t>3,984,411</w:t>
            </w:r>
          </w:p>
        </w:tc>
        <w:tc>
          <w:tcPr>
            <w:tcW w:w="1037" w:type="dxa"/>
            <w:tcBorders>
              <w:top w:val="nil"/>
              <w:left w:val="nil"/>
              <w:bottom w:val="single" w:sz="8" w:space="0" w:color="auto"/>
              <w:right w:val="nil"/>
            </w:tcBorders>
            <w:shd w:val="clear" w:color="auto" w:fill="auto"/>
            <w:vAlign w:val="center"/>
            <w:hideMark/>
          </w:tcPr>
          <w:p w14:paraId="506BF850" w14:textId="77777777" w:rsidR="006D71DD" w:rsidRPr="006D71DD" w:rsidRDefault="006D71DD" w:rsidP="006D71DD">
            <w:pPr>
              <w:jc w:val="right"/>
              <w:rPr>
                <w:color w:val="000000"/>
                <w:sz w:val="18"/>
                <w:szCs w:val="18"/>
                <w:lang w:eastAsia="tr-TR"/>
              </w:rPr>
            </w:pPr>
            <w:r w:rsidRPr="006D71DD">
              <w:rPr>
                <w:color w:val="000000"/>
                <w:sz w:val="18"/>
                <w:szCs w:val="18"/>
                <w:lang w:eastAsia="tr-TR"/>
              </w:rPr>
              <w:t>-</w:t>
            </w:r>
          </w:p>
        </w:tc>
        <w:tc>
          <w:tcPr>
            <w:tcW w:w="1109" w:type="dxa"/>
            <w:tcBorders>
              <w:top w:val="nil"/>
              <w:left w:val="nil"/>
              <w:bottom w:val="single" w:sz="8" w:space="0" w:color="auto"/>
              <w:right w:val="nil"/>
            </w:tcBorders>
            <w:shd w:val="clear" w:color="auto" w:fill="auto"/>
            <w:vAlign w:val="center"/>
            <w:hideMark/>
          </w:tcPr>
          <w:p w14:paraId="592205FA" w14:textId="77777777" w:rsidR="006D71DD" w:rsidRPr="006D71DD" w:rsidRDefault="006D71DD" w:rsidP="006D71DD">
            <w:pPr>
              <w:jc w:val="right"/>
              <w:rPr>
                <w:color w:val="000000"/>
                <w:sz w:val="18"/>
                <w:szCs w:val="18"/>
                <w:lang w:eastAsia="tr-TR"/>
              </w:rPr>
            </w:pPr>
            <w:r w:rsidRPr="006D71DD">
              <w:rPr>
                <w:color w:val="000000"/>
                <w:sz w:val="18"/>
                <w:szCs w:val="18"/>
                <w:lang w:eastAsia="tr-TR"/>
              </w:rPr>
              <w:t>2,998,888</w:t>
            </w:r>
          </w:p>
        </w:tc>
      </w:tr>
      <w:tr w:rsidR="006D71DD" w:rsidRPr="006D71DD" w14:paraId="63D3DB7C" w14:textId="77777777" w:rsidTr="006B1072">
        <w:trPr>
          <w:divId w:val="843056381"/>
          <w:trHeight w:val="236"/>
        </w:trPr>
        <w:tc>
          <w:tcPr>
            <w:tcW w:w="4698" w:type="dxa"/>
            <w:tcBorders>
              <w:top w:val="nil"/>
              <w:left w:val="nil"/>
              <w:bottom w:val="double" w:sz="6" w:space="0" w:color="auto"/>
              <w:right w:val="nil"/>
            </w:tcBorders>
            <w:shd w:val="clear" w:color="auto" w:fill="auto"/>
            <w:vAlign w:val="center"/>
            <w:hideMark/>
          </w:tcPr>
          <w:p w14:paraId="4CEA1192" w14:textId="77777777" w:rsidR="006D71DD" w:rsidRPr="006D71DD" w:rsidRDefault="006D71DD" w:rsidP="006D71DD">
            <w:pPr>
              <w:jc w:val="both"/>
              <w:rPr>
                <w:b/>
                <w:bCs/>
                <w:color w:val="000000"/>
                <w:sz w:val="16"/>
                <w:szCs w:val="16"/>
                <w:lang w:eastAsia="tr-TR"/>
              </w:rPr>
            </w:pPr>
            <w:r w:rsidRPr="006D71DD">
              <w:rPr>
                <w:b/>
                <w:bCs/>
                <w:color w:val="000000"/>
                <w:sz w:val="16"/>
                <w:szCs w:val="16"/>
                <w:lang w:eastAsia="tr-TR"/>
              </w:rPr>
              <w:t>Toplam</w:t>
            </w:r>
          </w:p>
        </w:tc>
        <w:tc>
          <w:tcPr>
            <w:tcW w:w="1214" w:type="dxa"/>
            <w:tcBorders>
              <w:top w:val="nil"/>
              <w:left w:val="nil"/>
              <w:bottom w:val="double" w:sz="6" w:space="0" w:color="auto"/>
              <w:right w:val="nil"/>
            </w:tcBorders>
            <w:shd w:val="clear" w:color="auto" w:fill="auto"/>
            <w:vAlign w:val="center"/>
            <w:hideMark/>
          </w:tcPr>
          <w:p w14:paraId="4AB0DC90" w14:textId="77777777" w:rsidR="006D71DD" w:rsidRPr="006D71DD" w:rsidRDefault="006D71DD" w:rsidP="006D71DD">
            <w:pPr>
              <w:jc w:val="right"/>
              <w:rPr>
                <w:b/>
                <w:bCs/>
                <w:color w:val="000000"/>
                <w:sz w:val="18"/>
                <w:szCs w:val="16"/>
                <w:lang w:eastAsia="tr-TR"/>
              </w:rPr>
            </w:pPr>
            <w:r w:rsidRPr="006D71DD">
              <w:rPr>
                <w:b/>
                <w:bCs/>
                <w:color w:val="000000"/>
                <w:sz w:val="18"/>
                <w:szCs w:val="16"/>
                <w:lang w:eastAsia="tr-TR"/>
              </w:rPr>
              <w:t>2,327,668</w:t>
            </w:r>
          </w:p>
        </w:tc>
        <w:tc>
          <w:tcPr>
            <w:tcW w:w="1091" w:type="dxa"/>
            <w:tcBorders>
              <w:top w:val="nil"/>
              <w:left w:val="nil"/>
              <w:bottom w:val="double" w:sz="6" w:space="0" w:color="auto"/>
              <w:right w:val="nil"/>
            </w:tcBorders>
            <w:shd w:val="clear" w:color="auto" w:fill="auto"/>
            <w:vAlign w:val="center"/>
            <w:hideMark/>
          </w:tcPr>
          <w:p w14:paraId="7E0A67EF" w14:textId="77777777" w:rsidR="006D71DD" w:rsidRPr="006D71DD" w:rsidRDefault="006D71DD" w:rsidP="006D71DD">
            <w:pPr>
              <w:jc w:val="right"/>
              <w:rPr>
                <w:b/>
                <w:bCs/>
                <w:color w:val="000000"/>
                <w:sz w:val="18"/>
                <w:szCs w:val="16"/>
                <w:lang w:eastAsia="tr-TR"/>
              </w:rPr>
            </w:pPr>
            <w:r w:rsidRPr="006D71DD">
              <w:rPr>
                <w:b/>
                <w:bCs/>
                <w:color w:val="000000"/>
                <w:sz w:val="18"/>
                <w:szCs w:val="16"/>
                <w:lang w:eastAsia="tr-TR"/>
              </w:rPr>
              <w:t>6,594,755</w:t>
            </w:r>
          </w:p>
        </w:tc>
        <w:tc>
          <w:tcPr>
            <w:tcW w:w="1037" w:type="dxa"/>
            <w:tcBorders>
              <w:top w:val="nil"/>
              <w:left w:val="nil"/>
              <w:bottom w:val="double" w:sz="6" w:space="0" w:color="auto"/>
              <w:right w:val="nil"/>
            </w:tcBorders>
            <w:shd w:val="clear" w:color="auto" w:fill="auto"/>
            <w:vAlign w:val="center"/>
            <w:hideMark/>
          </w:tcPr>
          <w:p w14:paraId="7042440B" w14:textId="77777777" w:rsidR="006D71DD" w:rsidRPr="006D71DD" w:rsidRDefault="006D71DD" w:rsidP="006D71DD">
            <w:pPr>
              <w:jc w:val="right"/>
              <w:rPr>
                <w:b/>
                <w:bCs/>
                <w:color w:val="000000"/>
                <w:sz w:val="18"/>
                <w:szCs w:val="16"/>
                <w:lang w:eastAsia="tr-TR"/>
              </w:rPr>
            </w:pPr>
            <w:r w:rsidRPr="006D71DD">
              <w:rPr>
                <w:b/>
                <w:bCs/>
                <w:color w:val="000000"/>
                <w:sz w:val="18"/>
                <w:szCs w:val="16"/>
                <w:lang w:eastAsia="tr-TR"/>
              </w:rPr>
              <w:t>923,177</w:t>
            </w:r>
          </w:p>
        </w:tc>
        <w:tc>
          <w:tcPr>
            <w:tcW w:w="1109" w:type="dxa"/>
            <w:tcBorders>
              <w:top w:val="nil"/>
              <w:left w:val="nil"/>
              <w:bottom w:val="double" w:sz="6" w:space="0" w:color="auto"/>
              <w:right w:val="nil"/>
            </w:tcBorders>
            <w:shd w:val="clear" w:color="auto" w:fill="auto"/>
            <w:vAlign w:val="center"/>
            <w:hideMark/>
          </w:tcPr>
          <w:p w14:paraId="39393C87" w14:textId="77777777" w:rsidR="006D71DD" w:rsidRPr="006D71DD" w:rsidRDefault="006D71DD" w:rsidP="006D71DD">
            <w:pPr>
              <w:jc w:val="right"/>
              <w:rPr>
                <w:b/>
                <w:bCs/>
                <w:color w:val="000000"/>
                <w:sz w:val="18"/>
                <w:szCs w:val="16"/>
                <w:lang w:eastAsia="tr-TR"/>
              </w:rPr>
            </w:pPr>
            <w:r w:rsidRPr="006D71DD">
              <w:rPr>
                <w:b/>
                <w:bCs/>
                <w:color w:val="000000"/>
                <w:sz w:val="18"/>
                <w:szCs w:val="16"/>
                <w:lang w:eastAsia="tr-TR"/>
              </w:rPr>
              <w:t>4,468,500</w:t>
            </w:r>
          </w:p>
        </w:tc>
      </w:tr>
    </w:tbl>
    <w:p w14:paraId="79BDBBA4" w14:textId="02E18E42" w:rsidR="000F096F" w:rsidRPr="00270CE6" w:rsidRDefault="000F096F" w:rsidP="00C04CDF">
      <w:pPr>
        <w:tabs>
          <w:tab w:val="num" w:pos="2340"/>
          <w:tab w:val="num" w:pos="3060"/>
        </w:tabs>
        <w:autoSpaceDE w:val="0"/>
        <w:autoSpaceDN w:val="0"/>
        <w:adjustRightInd w:val="0"/>
        <w:ind w:left="180"/>
        <w:rPr>
          <w:sz w:val="16"/>
          <w:highlight w:val="yellow"/>
        </w:rPr>
      </w:pPr>
    </w:p>
    <w:p w14:paraId="7ED46B53" w14:textId="3ACE6ACB" w:rsidR="000E7EAE" w:rsidRPr="006D71DD" w:rsidRDefault="008873D0" w:rsidP="00D44277">
      <w:pPr>
        <w:ind w:hanging="567"/>
      </w:pPr>
      <w:r w:rsidRPr="006D71DD">
        <w:rPr>
          <w:b/>
        </w:rPr>
        <w:t>2.3.</w:t>
      </w:r>
      <w:r w:rsidR="000C3F6E" w:rsidRPr="006D71DD">
        <w:rPr>
          <w:b/>
        </w:rPr>
        <w:t>3</w:t>
      </w:r>
      <w:r w:rsidRPr="006D71DD">
        <w:tab/>
      </w:r>
      <w:r w:rsidR="000E7EAE" w:rsidRPr="006D71DD">
        <w:t>Banka’nın yükümlülüklerinin yoğunlaştığı alanlara ilişkin açıklamalar:</w:t>
      </w:r>
    </w:p>
    <w:p w14:paraId="36264CF5" w14:textId="77777777" w:rsidR="000E7EAE" w:rsidRPr="006D71DD" w:rsidRDefault="000E7EAE" w:rsidP="000E7EAE">
      <w:pPr>
        <w:autoSpaceDE w:val="0"/>
        <w:autoSpaceDN w:val="0"/>
        <w:adjustRightInd w:val="0"/>
        <w:jc w:val="both"/>
        <w:rPr>
          <w:rFonts w:eastAsia="Arial Unicode MS"/>
          <w:sz w:val="16"/>
          <w:szCs w:val="16"/>
        </w:rPr>
      </w:pPr>
    </w:p>
    <w:p w14:paraId="784B72EA" w14:textId="77777777" w:rsidR="0062073A" w:rsidRPr="006D71DD" w:rsidRDefault="0062073A" w:rsidP="0062073A">
      <w:pPr>
        <w:autoSpaceDE w:val="0"/>
        <w:autoSpaceDN w:val="0"/>
        <w:jc w:val="both"/>
        <w:rPr>
          <w:spacing w:val="-4"/>
          <w:lang w:eastAsia="tr-TR"/>
        </w:rPr>
      </w:pPr>
      <w:r w:rsidRPr="006D71DD">
        <w:rPr>
          <w:rFonts w:eastAsia="Arial Unicode MS"/>
          <w:spacing w:val="-4"/>
        </w:rPr>
        <w:t>Banka’nın aldığı kredilerin büyük bir kısmı yabancı para kredilerden oluşmaktadır. Banka’nın cari ve katılma hesaplarında herhangi bir risk yoğunlaşması bulunmamaktadır</w:t>
      </w:r>
      <w:r w:rsidRPr="006D71DD">
        <w:rPr>
          <w:rFonts w:ascii="Times New Roman TUR" w:hAnsi="Times New Roman TUR" w:cs="Times New Roman TUR"/>
          <w:spacing w:val="-4"/>
          <w:sz w:val="24"/>
          <w:szCs w:val="24"/>
        </w:rPr>
        <w:t>.</w:t>
      </w:r>
    </w:p>
    <w:p w14:paraId="5599ADB1" w14:textId="77777777" w:rsidR="00E54033" w:rsidRPr="006D71DD" w:rsidRDefault="00E54033" w:rsidP="000E7EAE">
      <w:pPr>
        <w:autoSpaceDE w:val="0"/>
        <w:autoSpaceDN w:val="0"/>
        <w:adjustRightInd w:val="0"/>
        <w:jc w:val="both"/>
        <w:rPr>
          <w:rFonts w:eastAsia="Arial Unicode MS"/>
          <w:sz w:val="16"/>
          <w:szCs w:val="16"/>
        </w:rPr>
      </w:pPr>
    </w:p>
    <w:p w14:paraId="03A943EF" w14:textId="77777777" w:rsidR="000F096F" w:rsidRPr="006D71DD" w:rsidRDefault="008873D0" w:rsidP="008873D0">
      <w:pPr>
        <w:autoSpaceDE w:val="0"/>
        <w:autoSpaceDN w:val="0"/>
        <w:adjustRightInd w:val="0"/>
        <w:ind w:hanging="567"/>
        <w:rPr>
          <w:b/>
          <w:bCs/>
          <w:iCs/>
        </w:rPr>
      </w:pPr>
      <w:r w:rsidRPr="006D71DD">
        <w:rPr>
          <w:b/>
          <w:bCs/>
          <w:iCs/>
        </w:rPr>
        <w:t>2</w:t>
      </w:r>
      <w:r w:rsidR="00E253C8" w:rsidRPr="006D71DD">
        <w:rPr>
          <w:b/>
          <w:bCs/>
          <w:iCs/>
        </w:rPr>
        <w:t>.</w:t>
      </w:r>
      <w:r w:rsidRPr="006D71DD">
        <w:rPr>
          <w:b/>
          <w:bCs/>
          <w:iCs/>
        </w:rPr>
        <w:t>4</w:t>
      </w:r>
      <w:r w:rsidR="00E253C8" w:rsidRPr="006D71DD">
        <w:rPr>
          <w:b/>
          <w:bCs/>
          <w:iCs/>
        </w:rPr>
        <w:tab/>
        <w:t>Diğer yabancı kaynaklara ve muhtelif borçlara ilişkin bilgiler:</w:t>
      </w:r>
    </w:p>
    <w:p w14:paraId="0F9FD921" w14:textId="77777777" w:rsidR="000F096F" w:rsidRPr="006D71DD" w:rsidRDefault="000F096F" w:rsidP="000F096F">
      <w:pPr>
        <w:autoSpaceDE w:val="0"/>
        <w:autoSpaceDN w:val="0"/>
        <w:adjustRightInd w:val="0"/>
        <w:ind w:left="540" w:hanging="540"/>
        <w:rPr>
          <w:b/>
          <w:sz w:val="16"/>
          <w:szCs w:val="16"/>
        </w:rPr>
      </w:pPr>
    </w:p>
    <w:p w14:paraId="02598E66" w14:textId="05BEEEBC" w:rsidR="001B39CA" w:rsidRPr="006D71DD" w:rsidRDefault="00BD6CCE" w:rsidP="00BA637F">
      <w:pPr>
        <w:autoSpaceDE w:val="0"/>
        <w:autoSpaceDN w:val="0"/>
        <w:jc w:val="both"/>
      </w:pPr>
      <w:r w:rsidRPr="006D71DD">
        <w:t xml:space="preserve">30 </w:t>
      </w:r>
      <w:r w:rsidR="00EA6E92" w:rsidRPr="006D71DD">
        <w:t>Eylül</w:t>
      </w:r>
      <w:r w:rsidRPr="006D71DD">
        <w:t xml:space="preserve"> 2020</w:t>
      </w:r>
      <w:r w:rsidR="001B39CA" w:rsidRPr="006D71DD">
        <w:t xml:space="preserve"> itibarıyla diğer yabancı kaynaklar kalemi </w:t>
      </w:r>
      <w:r w:rsidR="00BF115C" w:rsidRPr="006D71DD">
        <w:t>1,15</w:t>
      </w:r>
      <w:r w:rsidR="006D71DD" w:rsidRPr="006D71DD">
        <w:t>7</w:t>
      </w:r>
      <w:r w:rsidR="00BF115C" w:rsidRPr="006D71DD">
        <w:t>,3</w:t>
      </w:r>
      <w:r w:rsidR="006D71DD" w:rsidRPr="006D71DD">
        <w:t>8</w:t>
      </w:r>
      <w:r w:rsidR="006D71DD">
        <w:t>3</w:t>
      </w:r>
      <w:r w:rsidR="001B39CA" w:rsidRPr="006D71DD">
        <w:t xml:space="preserve"> TL (31 Aralık 201</w:t>
      </w:r>
      <w:r w:rsidR="005D385B" w:rsidRPr="006D71DD">
        <w:t>9</w:t>
      </w:r>
      <w:r w:rsidR="001B39CA" w:rsidRPr="006D71DD">
        <w:t xml:space="preserve"> – </w:t>
      </w:r>
      <w:r w:rsidR="005D385B" w:rsidRPr="006D71DD">
        <w:t>897,094</w:t>
      </w:r>
      <w:r w:rsidR="001B39CA" w:rsidRPr="006D71DD">
        <w:t xml:space="preserve"> TL),</w:t>
      </w:r>
      <w:r w:rsidR="00475F96" w:rsidRPr="006D71DD">
        <w:t xml:space="preserve"> muhtelif borçlar kalemi </w:t>
      </w:r>
      <w:r w:rsidR="006D71DD" w:rsidRPr="006D71DD">
        <w:t>947</w:t>
      </w:r>
      <w:r w:rsidR="0032000A" w:rsidRPr="006D71DD">
        <w:t>,</w:t>
      </w:r>
      <w:r w:rsidR="00BF115C" w:rsidRPr="006D71DD">
        <w:t>9</w:t>
      </w:r>
      <w:r w:rsidR="006D71DD" w:rsidRPr="006D71DD">
        <w:t>30</w:t>
      </w:r>
      <w:r w:rsidR="001B39CA" w:rsidRPr="006D71DD">
        <w:t xml:space="preserve"> </w:t>
      </w:r>
      <w:r w:rsidR="00EC3192" w:rsidRPr="006D71DD">
        <w:t>TL’dir (31 Aralık 201</w:t>
      </w:r>
      <w:r w:rsidR="00054920" w:rsidRPr="006D71DD">
        <w:t>9</w:t>
      </w:r>
      <w:r w:rsidR="00EC3192" w:rsidRPr="006D71DD">
        <w:t xml:space="preserve"> – </w:t>
      </w:r>
      <w:r w:rsidR="005D385B" w:rsidRPr="006D71DD">
        <w:t xml:space="preserve">388,179 </w:t>
      </w:r>
      <w:r w:rsidR="001B39CA" w:rsidRPr="006D71DD">
        <w:t xml:space="preserve">TL). Bu kalemler, </w:t>
      </w:r>
      <w:proofErr w:type="gramStart"/>
      <w:r w:rsidR="001B39CA" w:rsidRPr="006D71DD">
        <w:t xml:space="preserve">bilançonun </w:t>
      </w:r>
      <w:r w:rsidR="001B39CA" w:rsidRPr="006D71DD">
        <w:rPr>
          <w:rFonts w:ascii="DINPro-Light" w:hAnsi="DINPro-Light"/>
          <w:sz w:val="18"/>
          <w:szCs w:val="18"/>
        </w:rPr>
        <w:t>”</w:t>
      </w:r>
      <w:r w:rsidR="001B39CA" w:rsidRPr="006D71DD">
        <w:t>Diğer</w:t>
      </w:r>
      <w:proofErr w:type="gramEnd"/>
      <w:r w:rsidR="001B39CA" w:rsidRPr="006D71DD">
        <w:t xml:space="preserve"> Yükümlülükler” içinde olup, toplamının %10’unu aşmamaktadır.</w:t>
      </w:r>
    </w:p>
    <w:p w14:paraId="40B89680" w14:textId="77777777" w:rsidR="00D44277" w:rsidRPr="00B843E3" w:rsidRDefault="001B39CA" w:rsidP="00D44277">
      <w:pPr>
        <w:autoSpaceDE w:val="0"/>
        <w:autoSpaceDN w:val="0"/>
        <w:adjustRightInd w:val="0"/>
        <w:ind w:left="567" w:hanging="567"/>
        <w:rPr>
          <w:b/>
          <w:bCs/>
          <w:iCs/>
          <w:sz w:val="10"/>
          <w:szCs w:val="10"/>
        </w:rPr>
      </w:pPr>
      <w:r w:rsidRPr="00B843E3" w:rsidDel="001B39CA">
        <w:rPr>
          <w:sz w:val="14"/>
          <w:szCs w:val="14"/>
        </w:rPr>
        <w:t xml:space="preserve"> </w:t>
      </w:r>
    </w:p>
    <w:p w14:paraId="13E8443A" w14:textId="77777777" w:rsidR="000F096F" w:rsidRPr="008100B1" w:rsidRDefault="004576CC" w:rsidP="00D44277">
      <w:pPr>
        <w:autoSpaceDE w:val="0"/>
        <w:autoSpaceDN w:val="0"/>
        <w:adjustRightInd w:val="0"/>
        <w:ind w:hanging="567"/>
        <w:rPr>
          <w:b/>
          <w:bCs/>
          <w:iCs/>
        </w:rPr>
      </w:pPr>
      <w:r w:rsidRPr="008100B1">
        <w:rPr>
          <w:b/>
          <w:bCs/>
          <w:iCs/>
        </w:rPr>
        <w:t>2</w:t>
      </w:r>
      <w:r w:rsidR="00E253C8" w:rsidRPr="008100B1">
        <w:rPr>
          <w:b/>
          <w:bCs/>
          <w:iCs/>
        </w:rPr>
        <w:t>.</w:t>
      </w:r>
      <w:r w:rsidRPr="008100B1">
        <w:rPr>
          <w:b/>
          <w:bCs/>
          <w:iCs/>
        </w:rPr>
        <w:t>5</w:t>
      </w:r>
      <w:r w:rsidR="00E253C8" w:rsidRPr="008100B1">
        <w:rPr>
          <w:b/>
          <w:bCs/>
          <w:iCs/>
        </w:rPr>
        <w:tab/>
        <w:t>Ki</w:t>
      </w:r>
      <w:r w:rsidR="00C1120C" w:rsidRPr="008100B1">
        <w:rPr>
          <w:b/>
          <w:bCs/>
          <w:iCs/>
        </w:rPr>
        <w:t>ralama işlemlerinden yükümlülüklere</w:t>
      </w:r>
      <w:r w:rsidR="00E253C8" w:rsidRPr="008100B1">
        <w:rPr>
          <w:b/>
          <w:bCs/>
          <w:iCs/>
        </w:rPr>
        <w:t xml:space="preserve"> ilişkin bilgiler (net): </w:t>
      </w:r>
    </w:p>
    <w:p w14:paraId="3A76AF0F" w14:textId="3EEC1B56" w:rsidR="008100B1" w:rsidRPr="008100B1" w:rsidRDefault="008100B1" w:rsidP="000F096F">
      <w:pPr>
        <w:autoSpaceDE w:val="0"/>
        <w:autoSpaceDN w:val="0"/>
        <w:adjustRightInd w:val="0"/>
        <w:rPr>
          <w:lang w:val="en-GB" w:eastAsia="en-GB"/>
        </w:rPr>
      </w:pPr>
    </w:p>
    <w:tbl>
      <w:tblPr>
        <w:tblW w:w="9137" w:type="dxa"/>
        <w:tblCellMar>
          <w:left w:w="70" w:type="dxa"/>
          <w:right w:w="70" w:type="dxa"/>
        </w:tblCellMar>
        <w:tblLook w:val="04A0" w:firstRow="1" w:lastRow="0" w:firstColumn="1" w:lastColumn="0" w:noHBand="0" w:noVBand="1"/>
      </w:tblPr>
      <w:tblGrid>
        <w:gridCol w:w="4692"/>
        <w:gridCol w:w="1211"/>
        <w:gridCol w:w="1090"/>
        <w:gridCol w:w="1036"/>
        <w:gridCol w:w="1108"/>
      </w:tblGrid>
      <w:tr w:rsidR="008100B1" w:rsidRPr="008100B1" w14:paraId="10CBDD79" w14:textId="77777777" w:rsidTr="006B1072">
        <w:trPr>
          <w:divId w:val="185950375"/>
          <w:trHeight w:val="248"/>
        </w:trPr>
        <w:tc>
          <w:tcPr>
            <w:tcW w:w="4692" w:type="dxa"/>
            <w:tcBorders>
              <w:top w:val="double" w:sz="6" w:space="0" w:color="auto"/>
              <w:left w:val="nil"/>
              <w:bottom w:val="single" w:sz="8" w:space="0" w:color="auto"/>
              <w:right w:val="nil"/>
            </w:tcBorders>
            <w:shd w:val="clear" w:color="auto" w:fill="auto"/>
            <w:vAlign w:val="center"/>
            <w:hideMark/>
          </w:tcPr>
          <w:p w14:paraId="0292D2B0" w14:textId="7456A14B" w:rsidR="008100B1" w:rsidRPr="008100B1" w:rsidRDefault="008100B1" w:rsidP="008100B1">
            <w:pPr>
              <w:jc w:val="both"/>
              <w:rPr>
                <w:bCs/>
                <w:color w:val="000000"/>
                <w:sz w:val="18"/>
                <w:szCs w:val="18"/>
                <w:lang w:eastAsia="tr-TR"/>
              </w:rPr>
            </w:pPr>
            <w:r w:rsidRPr="008100B1">
              <w:rPr>
                <w:bCs/>
                <w:color w:val="000000"/>
                <w:sz w:val="18"/>
                <w:szCs w:val="18"/>
                <w:lang w:eastAsia="tr-TR"/>
              </w:rPr>
              <w:t> </w:t>
            </w:r>
          </w:p>
        </w:tc>
        <w:tc>
          <w:tcPr>
            <w:tcW w:w="2301" w:type="dxa"/>
            <w:gridSpan w:val="2"/>
            <w:tcBorders>
              <w:top w:val="double" w:sz="6" w:space="0" w:color="auto"/>
              <w:left w:val="nil"/>
              <w:bottom w:val="single" w:sz="8" w:space="0" w:color="auto"/>
              <w:right w:val="nil"/>
            </w:tcBorders>
            <w:shd w:val="clear" w:color="auto" w:fill="auto"/>
            <w:vAlign w:val="center"/>
            <w:hideMark/>
          </w:tcPr>
          <w:p w14:paraId="55A96CEC" w14:textId="77777777" w:rsidR="008100B1" w:rsidRPr="008100B1" w:rsidRDefault="008100B1" w:rsidP="008100B1">
            <w:pPr>
              <w:jc w:val="center"/>
              <w:rPr>
                <w:bCs/>
                <w:color w:val="000000"/>
                <w:sz w:val="18"/>
                <w:szCs w:val="18"/>
                <w:lang w:eastAsia="tr-TR"/>
              </w:rPr>
            </w:pPr>
            <w:r w:rsidRPr="008100B1">
              <w:rPr>
                <w:bCs/>
                <w:color w:val="000000"/>
                <w:sz w:val="18"/>
                <w:szCs w:val="18"/>
                <w:lang w:eastAsia="tr-TR"/>
              </w:rPr>
              <w:t>Cari Dönem</w:t>
            </w:r>
          </w:p>
        </w:tc>
        <w:tc>
          <w:tcPr>
            <w:tcW w:w="2144" w:type="dxa"/>
            <w:gridSpan w:val="2"/>
            <w:tcBorders>
              <w:top w:val="double" w:sz="6" w:space="0" w:color="auto"/>
              <w:left w:val="nil"/>
              <w:bottom w:val="single" w:sz="8" w:space="0" w:color="auto"/>
              <w:right w:val="nil"/>
            </w:tcBorders>
            <w:shd w:val="clear" w:color="auto" w:fill="auto"/>
            <w:vAlign w:val="center"/>
            <w:hideMark/>
          </w:tcPr>
          <w:p w14:paraId="5FC48269" w14:textId="77777777" w:rsidR="008100B1" w:rsidRPr="008100B1" w:rsidRDefault="008100B1" w:rsidP="008100B1">
            <w:pPr>
              <w:jc w:val="center"/>
              <w:rPr>
                <w:bCs/>
                <w:color w:val="000000"/>
                <w:sz w:val="18"/>
                <w:szCs w:val="18"/>
                <w:lang w:eastAsia="tr-TR"/>
              </w:rPr>
            </w:pPr>
            <w:r w:rsidRPr="008100B1">
              <w:rPr>
                <w:bCs/>
                <w:color w:val="000000"/>
                <w:sz w:val="18"/>
                <w:szCs w:val="18"/>
                <w:lang w:eastAsia="tr-TR"/>
              </w:rPr>
              <w:t>Önceki Dönem</w:t>
            </w:r>
          </w:p>
        </w:tc>
      </w:tr>
      <w:tr w:rsidR="008100B1" w:rsidRPr="008100B1" w14:paraId="548683DC" w14:textId="77777777" w:rsidTr="006B1072">
        <w:trPr>
          <w:divId w:val="185950375"/>
          <w:trHeight w:val="248"/>
        </w:trPr>
        <w:tc>
          <w:tcPr>
            <w:tcW w:w="4692" w:type="dxa"/>
            <w:tcBorders>
              <w:top w:val="nil"/>
              <w:left w:val="nil"/>
              <w:bottom w:val="single" w:sz="8" w:space="0" w:color="auto"/>
              <w:right w:val="nil"/>
            </w:tcBorders>
            <w:shd w:val="clear" w:color="auto" w:fill="auto"/>
            <w:vAlign w:val="center"/>
            <w:hideMark/>
          </w:tcPr>
          <w:p w14:paraId="77FC30F0" w14:textId="77777777" w:rsidR="008100B1" w:rsidRPr="008100B1" w:rsidRDefault="008100B1" w:rsidP="008100B1">
            <w:pPr>
              <w:jc w:val="both"/>
              <w:rPr>
                <w:bCs/>
                <w:color w:val="000000"/>
                <w:sz w:val="18"/>
                <w:szCs w:val="18"/>
                <w:lang w:eastAsia="tr-TR"/>
              </w:rPr>
            </w:pPr>
            <w:r w:rsidRPr="008100B1">
              <w:rPr>
                <w:bCs/>
                <w:color w:val="000000"/>
                <w:sz w:val="18"/>
                <w:szCs w:val="18"/>
                <w:lang w:eastAsia="tr-TR"/>
              </w:rPr>
              <w:t> </w:t>
            </w:r>
          </w:p>
        </w:tc>
        <w:tc>
          <w:tcPr>
            <w:tcW w:w="1211" w:type="dxa"/>
            <w:tcBorders>
              <w:top w:val="nil"/>
              <w:left w:val="nil"/>
              <w:bottom w:val="single" w:sz="8" w:space="0" w:color="auto"/>
              <w:right w:val="nil"/>
            </w:tcBorders>
            <w:shd w:val="clear" w:color="auto" w:fill="auto"/>
            <w:noWrap/>
            <w:vAlign w:val="center"/>
            <w:hideMark/>
          </w:tcPr>
          <w:p w14:paraId="20EE5A0E" w14:textId="77777777" w:rsidR="008100B1" w:rsidRPr="008100B1" w:rsidRDefault="008100B1" w:rsidP="008100B1">
            <w:pPr>
              <w:jc w:val="right"/>
              <w:rPr>
                <w:bCs/>
                <w:color w:val="000000"/>
                <w:sz w:val="18"/>
                <w:szCs w:val="18"/>
                <w:lang w:eastAsia="tr-TR"/>
              </w:rPr>
            </w:pPr>
            <w:r w:rsidRPr="008100B1">
              <w:rPr>
                <w:bCs/>
                <w:color w:val="000000"/>
                <w:sz w:val="18"/>
                <w:szCs w:val="18"/>
                <w:lang w:eastAsia="tr-TR"/>
              </w:rPr>
              <w:t>Brüt</w:t>
            </w:r>
          </w:p>
        </w:tc>
        <w:tc>
          <w:tcPr>
            <w:tcW w:w="1090" w:type="dxa"/>
            <w:tcBorders>
              <w:top w:val="nil"/>
              <w:left w:val="nil"/>
              <w:bottom w:val="single" w:sz="8" w:space="0" w:color="auto"/>
              <w:right w:val="nil"/>
            </w:tcBorders>
            <w:shd w:val="clear" w:color="auto" w:fill="auto"/>
            <w:noWrap/>
            <w:vAlign w:val="center"/>
            <w:hideMark/>
          </w:tcPr>
          <w:p w14:paraId="73019018" w14:textId="77777777" w:rsidR="008100B1" w:rsidRPr="008100B1" w:rsidRDefault="008100B1" w:rsidP="008100B1">
            <w:pPr>
              <w:jc w:val="right"/>
              <w:rPr>
                <w:bCs/>
                <w:color w:val="000000"/>
                <w:sz w:val="18"/>
                <w:szCs w:val="18"/>
                <w:lang w:eastAsia="tr-TR"/>
              </w:rPr>
            </w:pPr>
            <w:r w:rsidRPr="008100B1">
              <w:rPr>
                <w:bCs/>
                <w:color w:val="000000"/>
                <w:sz w:val="18"/>
                <w:szCs w:val="18"/>
                <w:lang w:eastAsia="tr-TR"/>
              </w:rPr>
              <w:t>Net</w:t>
            </w:r>
          </w:p>
        </w:tc>
        <w:tc>
          <w:tcPr>
            <w:tcW w:w="1036" w:type="dxa"/>
            <w:tcBorders>
              <w:top w:val="nil"/>
              <w:left w:val="nil"/>
              <w:bottom w:val="single" w:sz="8" w:space="0" w:color="auto"/>
              <w:right w:val="nil"/>
            </w:tcBorders>
            <w:shd w:val="clear" w:color="auto" w:fill="auto"/>
            <w:noWrap/>
            <w:vAlign w:val="center"/>
            <w:hideMark/>
          </w:tcPr>
          <w:p w14:paraId="1E01CDB9" w14:textId="77777777" w:rsidR="008100B1" w:rsidRPr="008100B1" w:rsidRDefault="008100B1" w:rsidP="008100B1">
            <w:pPr>
              <w:jc w:val="right"/>
              <w:rPr>
                <w:bCs/>
                <w:color w:val="000000"/>
                <w:sz w:val="18"/>
                <w:szCs w:val="18"/>
                <w:lang w:eastAsia="tr-TR"/>
              </w:rPr>
            </w:pPr>
            <w:r w:rsidRPr="008100B1">
              <w:rPr>
                <w:bCs/>
                <w:color w:val="000000"/>
                <w:sz w:val="18"/>
                <w:szCs w:val="18"/>
                <w:lang w:eastAsia="tr-TR"/>
              </w:rPr>
              <w:t>Brüt</w:t>
            </w:r>
          </w:p>
        </w:tc>
        <w:tc>
          <w:tcPr>
            <w:tcW w:w="1107" w:type="dxa"/>
            <w:tcBorders>
              <w:top w:val="nil"/>
              <w:left w:val="nil"/>
              <w:bottom w:val="single" w:sz="8" w:space="0" w:color="auto"/>
              <w:right w:val="nil"/>
            </w:tcBorders>
            <w:shd w:val="clear" w:color="auto" w:fill="auto"/>
            <w:noWrap/>
            <w:vAlign w:val="center"/>
            <w:hideMark/>
          </w:tcPr>
          <w:p w14:paraId="463E065A" w14:textId="77777777" w:rsidR="008100B1" w:rsidRPr="008100B1" w:rsidRDefault="008100B1" w:rsidP="008100B1">
            <w:pPr>
              <w:jc w:val="right"/>
              <w:rPr>
                <w:bCs/>
                <w:color w:val="000000"/>
                <w:sz w:val="18"/>
                <w:szCs w:val="18"/>
                <w:lang w:eastAsia="tr-TR"/>
              </w:rPr>
            </w:pPr>
            <w:r w:rsidRPr="008100B1">
              <w:rPr>
                <w:bCs/>
                <w:color w:val="000000"/>
                <w:sz w:val="18"/>
                <w:szCs w:val="18"/>
                <w:lang w:eastAsia="tr-TR"/>
              </w:rPr>
              <w:t>Net</w:t>
            </w:r>
          </w:p>
        </w:tc>
      </w:tr>
      <w:tr w:rsidR="008100B1" w:rsidRPr="008100B1" w14:paraId="6C17883B" w14:textId="77777777" w:rsidTr="006B1072">
        <w:trPr>
          <w:divId w:val="185950375"/>
          <w:trHeight w:val="234"/>
        </w:trPr>
        <w:tc>
          <w:tcPr>
            <w:tcW w:w="4692" w:type="dxa"/>
            <w:tcBorders>
              <w:top w:val="nil"/>
              <w:left w:val="nil"/>
              <w:bottom w:val="nil"/>
              <w:right w:val="nil"/>
            </w:tcBorders>
            <w:shd w:val="clear" w:color="auto" w:fill="auto"/>
            <w:noWrap/>
            <w:vAlign w:val="center"/>
            <w:hideMark/>
          </w:tcPr>
          <w:p w14:paraId="477D6E9B" w14:textId="77777777" w:rsidR="008100B1" w:rsidRPr="008100B1" w:rsidRDefault="008100B1" w:rsidP="008100B1">
            <w:pPr>
              <w:rPr>
                <w:color w:val="000000"/>
                <w:sz w:val="18"/>
                <w:szCs w:val="18"/>
                <w:lang w:eastAsia="tr-TR"/>
              </w:rPr>
            </w:pPr>
            <w:r w:rsidRPr="008100B1">
              <w:rPr>
                <w:color w:val="000000"/>
                <w:sz w:val="18"/>
                <w:szCs w:val="18"/>
                <w:lang w:eastAsia="tr-TR"/>
              </w:rPr>
              <w:t xml:space="preserve">1 Yıldan Az </w:t>
            </w:r>
          </w:p>
        </w:tc>
        <w:tc>
          <w:tcPr>
            <w:tcW w:w="1211" w:type="dxa"/>
            <w:tcBorders>
              <w:top w:val="nil"/>
              <w:left w:val="nil"/>
              <w:bottom w:val="nil"/>
              <w:right w:val="nil"/>
            </w:tcBorders>
            <w:shd w:val="clear" w:color="auto" w:fill="auto"/>
            <w:vAlign w:val="center"/>
            <w:hideMark/>
          </w:tcPr>
          <w:p w14:paraId="3209086D" w14:textId="77777777" w:rsidR="008100B1" w:rsidRPr="008100B1" w:rsidRDefault="008100B1" w:rsidP="008100B1">
            <w:pPr>
              <w:jc w:val="right"/>
              <w:rPr>
                <w:color w:val="000000"/>
                <w:sz w:val="18"/>
                <w:szCs w:val="18"/>
                <w:lang w:eastAsia="tr-TR"/>
              </w:rPr>
            </w:pPr>
            <w:r w:rsidRPr="008100B1">
              <w:rPr>
                <w:color w:val="000000"/>
                <w:sz w:val="18"/>
                <w:szCs w:val="18"/>
                <w:lang w:eastAsia="tr-TR"/>
              </w:rPr>
              <w:t>146,198</w:t>
            </w:r>
          </w:p>
        </w:tc>
        <w:tc>
          <w:tcPr>
            <w:tcW w:w="1090" w:type="dxa"/>
            <w:tcBorders>
              <w:top w:val="nil"/>
              <w:left w:val="nil"/>
              <w:bottom w:val="nil"/>
              <w:right w:val="nil"/>
            </w:tcBorders>
            <w:shd w:val="clear" w:color="auto" w:fill="auto"/>
            <w:vAlign w:val="center"/>
            <w:hideMark/>
          </w:tcPr>
          <w:p w14:paraId="1F950874" w14:textId="77777777" w:rsidR="008100B1" w:rsidRPr="008100B1" w:rsidRDefault="008100B1" w:rsidP="008100B1">
            <w:pPr>
              <w:jc w:val="right"/>
              <w:rPr>
                <w:color w:val="000000"/>
                <w:sz w:val="18"/>
                <w:szCs w:val="18"/>
                <w:lang w:eastAsia="tr-TR"/>
              </w:rPr>
            </w:pPr>
            <w:r w:rsidRPr="008100B1">
              <w:rPr>
                <w:color w:val="000000"/>
                <w:sz w:val="18"/>
                <w:szCs w:val="18"/>
                <w:lang w:eastAsia="tr-TR"/>
              </w:rPr>
              <w:t>89,092</w:t>
            </w:r>
          </w:p>
        </w:tc>
        <w:tc>
          <w:tcPr>
            <w:tcW w:w="1036" w:type="dxa"/>
            <w:tcBorders>
              <w:top w:val="nil"/>
              <w:left w:val="nil"/>
              <w:bottom w:val="nil"/>
              <w:right w:val="nil"/>
            </w:tcBorders>
            <w:shd w:val="clear" w:color="auto" w:fill="auto"/>
            <w:vAlign w:val="center"/>
            <w:hideMark/>
          </w:tcPr>
          <w:p w14:paraId="33720F3A" w14:textId="77777777" w:rsidR="008100B1" w:rsidRPr="008100B1" w:rsidRDefault="008100B1" w:rsidP="008100B1">
            <w:pPr>
              <w:jc w:val="right"/>
              <w:rPr>
                <w:color w:val="404040"/>
                <w:sz w:val="18"/>
                <w:szCs w:val="18"/>
                <w:lang w:eastAsia="tr-TR"/>
              </w:rPr>
            </w:pPr>
            <w:r w:rsidRPr="008100B1">
              <w:rPr>
                <w:color w:val="000000"/>
                <w:sz w:val="18"/>
                <w:szCs w:val="18"/>
                <w:lang w:eastAsia="tr-TR"/>
              </w:rPr>
              <w:t>124,506</w:t>
            </w:r>
          </w:p>
        </w:tc>
        <w:tc>
          <w:tcPr>
            <w:tcW w:w="1107" w:type="dxa"/>
            <w:tcBorders>
              <w:top w:val="nil"/>
              <w:left w:val="nil"/>
              <w:bottom w:val="nil"/>
              <w:right w:val="nil"/>
            </w:tcBorders>
            <w:shd w:val="clear" w:color="auto" w:fill="auto"/>
            <w:vAlign w:val="center"/>
            <w:hideMark/>
          </w:tcPr>
          <w:p w14:paraId="39BEE9AE" w14:textId="77777777" w:rsidR="008100B1" w:rsidRPr="008100B1" w:rsidRDefault="008100B1" w:rsidP="008100B1">
            <w:pPr>
              <w:jc w:val="right"/>
              <w:rPr>
                <w:color w:val="404040"/>
                <w:sz w:val="18"/>
                <w:szCs w:val="18"/>
                <w:lang w:eastAsia="tr-TR"/>
              </w:rPr>
            </w:pPr>
            <w:r w:rsidRPr="008100B1">
              <w:rPr>
                <w:sz w:val="18"/>
                <w:szCs w:val="18"/>
                <w:lang w:eastAsia="tr-TR"/>
              </w:rPr>
              <w:t>87,233</w:t>
            </w:r>
          </w:p>
        </w:tc>
      </w:tr>
      <w:tr w:rsidR="008100B1" w:rsidRPr="008100B1" w14:paraId="288E5EA7" w14:textId="77777777" w:rsidTr="006B1072">
        <w:trPr>
          <w:divId w:val="185950375"/>
          <w:trHeight w:val="234"/>
        </w:trPr>
        <w:tc>
          <w:tcPr>
            <w:tcW w:w="4692" w:type="dxa"/>
            <w:tcBorders>
              <w:top w:val="nil"/>
              <w:left w:val="nil"/>
              <w:bottom w:val="nil"/>
              <w:right w:val="nil"/>
            </w:tcBorders>
            <w:shd w:val="clear" w:color="auto" w:fill="auto"/>
            <w:noWrap/>
            <w:vAlign w:val="center"/>
            <w:hideMark/>
          </w:tcPr>
          <w:p w14:paraId="5DD23F56" w14:textId="77777777" w:rsidR="008100B1" w:rsidRPr="008100B1" w:rsidRDefault="008100B1" w:rsidP="008100B1">
            <w:pPr>
              <w:rPr>
                <w:color w:val="000000"/>
                <w:sz w:val="18"/>
                <w:szCs w:val="18"/>
                <w:lang w:eastAsia="tr-TR"/>
              </w:rPr>
            </w:pPr>
            <w:r w:rsidRPr="008100B1">
              <w:rPr>
                <w:color w:val="000000"/>
                <w:sz w:val="18"/>
                <w:szCs w:val="18"/>
                <w:lang w:eastAsia="tr-TR"/>
              </w:rPr>
              <w:t>1-4 Yıl Arası</w:t>
            </w:r>
          </w:p>
        </w:tc>
        <w:tc>
          <w:tcPr>
            <w:tcW w:w="1211" w:type="dxa"/>
            <w:tcBorders>
              <w:top w:val="nil"/>
              <w:left w:val="nil"/>
              <w:bottom w:val="nil"/>
              <w:right w:val="nil"/>
            </w:tcBorders>
            <w:shd w:val="clear" w:color="auto" w:fill="auto"/>
            <w:vAlign w:val="center"/>
            <w:hideMark/>
          </w:tcPr>
          <w:p w14:paraId="65D4A27A" w14:textId="77777777" w:rsidR="008100B1" w:rsidRPr="008100B1" w:rsidRDefault="008100B1" w:rsidP="008100B1">
            <w:pPr>
              <w:jc w:val="right"/>
              <w:rPr>
                <w:color w:val="000000"/>
                <w:sz w:val="18"/>
                <w:szCs w:val="18"/>
                <w:lang w:eastAsia="tr-TR"/>
              </w:rPr>
            </w:pPr>
            <w:r w:rsidRPr="008100B1">
              <w:rPr>
                <w:color w:val="000000"/>
                <w:sz w:val="18"/>
                <w:szCs w:val="18"/>
                <w:lang w:eastAsia="tr-TR"/>
              </w:rPr>
              <w:t>255,914</w:t>
            </w:r>
          </w:p>
        </w:tc>
        <w:tc>
          <w:tcPr>
            <w:tcW w:w="1090" w:type="dxa"/>
            <w:tcBorders>
              <w:top w:val="nil"/>
              <w:left w:val="nil"/>
              <w:bottom w:val="nil"/>
              <w:right w:val="nil"/>
            </w:tcBorders>
            <w:shd w:val="clear" w:color="auto" w:fill="auto"/>
            <w:vAlign w:val="center"/>
            <w:hideMark/>
          </w:tcPr>
          <w:p w14:paraId="296A132A" w14:textId="77777777" w:rsidR="008100B1" w:rsidRPr="008100B1" w:rsidRDefault="008100B1" w:rsidP="008100B1">
            <w:pPr>
              <w:jc w:val="right"/>
              <w:rPr>
                <w:color w:val="000000"/>
                <w:sz w:val="18"/>
                <w:szCs w:val="18"/>
                <w:lang w:eastAsia="tr-TR"/>
              </w:rPr>
            </w:pPr>
            <w:r w:rsidRPr="008100B1">
              <w:rPr>
                <w:color w:val="000000"/>
                <w:sz w:val="18"/>
                <w:szCs w:val="18"/>
                <w:lang w:eastAsia="tr-TR"/>
              </w:rPr>
              <w:t>157,166</w:t>
            </w:r>
          </w:p>
        </w:tc>
        <w:tc>
          <w:tcPr>
            <w:tcW w:w="1036" w:type="dxa"/>
            <w:tcBorders>
              <w:top w:val="nil"/>
              <w:left w:val="nil"/>
              <w:bottom w:val="nil"/>
              <w:right w:val="nil"/>
            </w:tcBorders>
            <w:shd w:val="clear" w:color="auto" w:fill="auto"/>
            <w:vAlign w:val="center"/>
            <w:hideMark/>
          </w:tcPr>
          <w:p w14:paraId="656DFADD" w14:textId="77777777" w:rsidR="008100B1" w:rsidRPr="008100B1" w:rsidRDefault="008100B1" w:rsidP="008100B1">
            <w:pPr>
              <w:jc w:val="right"/>
              <w:rPr>
                <w:color w:val="000000"/>
                <w:sz w:val="18"/>
                <w:szCs w:val="18"/>
                <w:lang w:eastAsia="tr-TR"/>
              </w:rPr>
            </w:pPr>
            <w:r w:rsidRPr="008100B1">
              <w:rPr>
                <w:color w:val="000000"/>
                <w:sz w:val="18"/>
                <w:szCs w:val="18"/>
                <w:lang w:eastAsia="tr-TR"/>
              </w:rPr>
              <w:t>263,799</w:t>
            </w:r>
          </w:p>
        </w:tc>
        <w:tc>
          <w:tcPr>
            <w:tcW w:w="1107" w:type="dxa"/>
            <w:tcBorders>
              <w:top w:val="nil"/>
              <w:left w:val="nil"/>
              <w:bottom w:val="nil"/>
              <w:right w:val="nil"/>
            </w:tcBorders>
            <w:shd w:val="clear" w:color="auto" w:fill="auto"/>
            <w:vAlign w:val="center"/>
            <w:hideMark/>
          </w:tcPr>
          <w:p w14:paraId="473DCA80" w14:textId="77777777" w:rsidR="008100B1" w:rsidRPr="008100B1" w:rsidRDefault="008100B1" w:rsidP="008100B1">
            <w:pPr>
              <w:jc w:val="right"/>
              <w:rPr>
                <w:color w:val="000000"/>
                <w:sz w:val="18"/>
                <w:szCs w:val="18"/>
                <w:lang w:eastAsia="tr-TR"/>
              </w:rPr>
            </w:pPr>
            <w:r w:rsidRPr="008100B1">
              <w:rPr>
                <w:color w:val="000000"/>
                <w:sz w:val="18"/>
                <w:szCs w:val="18"/>
                <w:lang w:eastAsia="tr-TR"/>
              </w:rPr>
              <w:t>141,347</w:t>
            </w:r>
          </w:p>
        </w:tc>
      </w:tr>
      <w:tr w:rsidR="008100B1" w:rsidRPr="008100B1" w14:paraId="6DFC52D9" w14:textId="77777777" w:rsidTr="006B1072">
        <w:trPr>
          <w:divId w:val="185950375"/>
          <w:trHeight w:val="248"/>
        </w:trPr>
        <w:tc>
          <w:tcPr>
            <w:tcW w:w="4692" w:type="dxa"/>
            <w:tcBorders>
              <w:top w:val="nil"/>
              <w:left w:val="nil"/>
              <w:bottom w:val="single" w:sz="8" w:space="0" w:color="auto"/>
              <w:right w:val="nil"/>
            </w:tcBorders>
            <w:shd w:val="clear" w:color="auto" w:fill="auto"/>
            <w:noWrap/>
            <w:vAlign w:val="center"/>
            <w:hideMark/>
          </w:tcPr>
          <w:p w14:paraId="78D1F173" w14:textId="77777777" w:rsidR="008100B1" w:rsidRPr="008100B1" w:rsidRDefault="008100B1" w:rsidP="008100B1">
            <w:pPr>
              <w:rPr>
                <w:color w:val="000000"/>
                <w:sz w:val="18"/>
                <w:szCs w:val="18"/>
                <w:lang w:eastAsia="tr-TR"/>
              </w:rPr>
            </w:pPr>
            <w:r w:rsidRPr="008100B1">
              <w:rPr>
                <w:color w:val="000000"/>
                <w:sz w:val="18"/>
                <w:szCs w:val="18"/>
                <w:lang w:eastAsia="tr-TR"/>
              </w:rPr>
              <w:t>4 Yıldan Fazla</w:t>
            </w:r>
          </w:p>
        </w:tc>
        <w:tc>
          <w:tcPr>
            <w:tcW w:w="1211" w:type="dxa"/>
            <w:tcBorders>
              <w:top w:val="nil"/>
              <w:left w:val="nil"/>
              <w:bottom w:val="single" w:sz="8" w:space="0" w:color="auto"/>
              <w:right w:val="nil"/>
            </w:tcBorders>
            <w:shd w:val="clear" w:color="auto" w:fill="auto"/>
            <w:vAlign w:val="center"/>
            <w:hideMark/>
          </w:tcPr>
          <w:p w14:paraId="2928BF3E" w14:textId="77777777" w:rsidR="008100B1" w:rsidRPr="008100B1" w:rsidRDefault="008100B1" w:rsidP="008100B1">
            <w:pPr>
              <w:jc w:val="right"/>
              <w:rPr>
                <w:color w:val="000000"/>
                <w:sz w:val="18"/>
                <w:szCs w:val="18"/>
                <w:lang w:eastAsia="tr-TR"/>
              </w:rPr>
            </w:pPr>
            <w:r w:rsidRPr="008100B1">
              <w:rPr>
                <w:color w:val="000000"/>
                <w:sz w:val="18"/>
                <w:szCs w:val="18"/>
                <w:lang w:eastAsia="tr-TR"/>
              </w:rPr>
              <w:t>127,494</w:t>
            </w:r>
          </w:p>
        </w:tc>
        <w:tc>
          <w:tcPr>
            <w:tcW w:w="1090" w:type="dxa"/>
            <w:tcBorders>
              <w:top w:val="nil"/>
              <w:left w:val="nil"/>
              <w:bottom w:val="single" w:sz="8" w:space="0" w:color="auto"/>
              <w:right w:val="nil"/>
            </w:tcBorders>
            <w:shd w:val="clear" w:color="auto" w:fill="auto"/>
            <w:vAlign w:val="center"/>
            <w:hideMark/>
          </w:tcPr>
          <w:p w14:paraId="1B3D67BF" w14:textId="77777777" w:rsidR="008100B1" w:rsidRPr="008100B1" w:rsidRDefault="008100B1" w:rsidP="008100B1">
            <w:pPr>
              <w:jc w:val="right"/>
              <w:rPr>
                <w:color w:val="000000"/>
                <w:sz w:val="18"/>
                <w:szCs w:val="18"/>
                <w:lang w:eastAsia="tr-TR"/>
              </w:rPr>
            </w:pPr>
            <w:r w:rsidRPr="008100B1">
              <w:rPr>
                <w:color w:val="000000"/>
                <w:sz w:val="18"/>
                <w:szCs w:val="18"/>
                <w:lang w:eastAsia="tr-TR"/>
              </w:rPr>
              <w:t>96,273</w:t>
            </w:r>
          </w:p>
        </w:tc>
        <w:tc>
          <w:tcPr>
            <w:tcW w:w="1036" w:type="dxa"/>
            <w:tcBorders>
              <w:top w:val="nil"/>
              <w:left w:val="nil"/>
              <w:bottom w:val="single" w:sz="8" w:space="0" w:color="auto"/>
              <w:right w:val="nil"/>
            </w:tcBorders>
            <w:shd w:val="clear" w:color="auto" w:fill="auto"/>
            <w:vAlign w:val="center"/>
            <w:hideMark/>
          </w:tcPr>
          <w:p w14:paraId="1DC1C309" w14:textId="77777777" w:rsidR="008100B1" w:rsidRPr="008100B1" w:rsidRDefault="008100B1" w:rsidP="008100B1">
            <w:pPr>
              <w:jc w:val="right"/>
              <w:rPr>
                <w:color w:val="000000"/>
                <w:sz w:val="18"/>
                <w:szCs w:val="18"/>
                <w:lang w:eastAsia="tr-TR"/>
              </w:rPr>
            </w:pPr>
            <w:r w:rsidRPr="008100B1">
              <w:rPr>
                <w:color w:val="000000"/>
                <w:sz w:val="18"/>
                <w:szCs w:val="18"/>
                <w:lang w:eastAsia="tr-TR"/>
              </w:rPr>
              <w:t>139,376</w:t>
            </w:r>
          </w:p>
        </w:tc>
        <w:tc>
          <w:tcPr>
            <w:tcW w:w="1107" w:type="dxa"/>
            <w:tcBorders>
              <w:top w:val="nil"/>
              <w:left w:val="nil"/>
              <w:bottom w:val="single" w:sz="8" w:space="0" w:color="auto"/>
              <w:right w:val="nil"/>
            </w:tcBorders>
            <w:shd w:val="clear" w:color="auto" w:fill="auto"/>
            <w:vAlign w:val="center"/>
            <w:hideMark/>
          </w:tcPr>
          <w:p w14:paraId="2D63F009" w14:textId="77777777" w:rsidR="008100B1" w:rsidRPr="008100B1" w:rsidRDefault="008100B1" w:rsidP="008100B1">
            <w:pPr>
              <w:jc w:val="right"/>
              <w:rPr>
                <w:color w:val="000000"/>
                <w:sz w:val="18"/>
                <w:szCs w:val="18"/>
                <w:lang w:eastAsia="tr-TR"/>
              </w:rPr>
            </w:pPr>
            <w:r w:rsidRPr="008100B1">
              <w:rPr>
                <w:color w:val="000000"/>
                <w:sz w:val="18"/>
                <w:szCs w:val="18"/>
                <w:lang w:eastAsia="tr-TR"/>
              </w:rPr>
              <w:t>97,598</w:t>
            </w:r>
          </w:p>
        </w:tc>
      </w:tr>
      <w:tr w:rsidR="008100B1" w:rsidRPr="008100B1" w14:paraId="79956BD4" w14:textId="77777777" w:rsidTr="006B1072">
        <w:trPr>
          <w:divId w:val="185950375"/>
          <w:trHeight w:val="234"/>
        </w:trPr>
        <w:tc>
          <w:tcPr>
            <w:tcW w:w="4692" w:type="dxa"/>
            <w:tcBorders>
              <w:top w:val="nil"/>
              <w:left w:val="nil"/>
              <w:bottom w:val="double" w:sz="6" w:space="0" w:color="auto"/>
              <w:right w:val="nil"/>
            </w:tcBorders>
            <w:shd w:val="clear" w:color="auto" w:fill="auto"/>
            <w:vAlign w:val="center"/>
            <w:hideMark/>
          </w:tcPr>
          <w:p w14:paraId="040336E9" w14:textId="77777777" w:rsidR="008100B1" w:rsidRPr="008100B1" w:rsidRDefault="008100B1" w:rsidP="008100B1">
            <w:pPr>
              <w:jc w:val="both"/>
              <w:rPr>
                <w:b/>
                <w:bCs/>
                <w:color w:val="000000"/>
                <w:sz w:val="18"/>
                <w:szCs w:val="18"/>
                <w:lang w:eastAsia="tr-TR"/>
              </w:rPr>
            </w:pPr>
            <w:r w:rsidRPr="008100B1">
              <w:rPr>
                <w:b/>
                <w:bCs/>
                <w:color w:val="000000"/>
                <w:sz w:val="18"/>
                <w:szCs w:val="18"/>
                <w:lang w:eastAsia="tr-TR"/>
              </w:rPr>
              <w:t>Toplam</w:t>
            </w:r>
          </w:p>
        </w:tc>
        <w:tc>
          <w:tcPr>
            <w:tcW w:w="1211" w:type="dxa"/>
            <w:tcBorders>
              <w:top w:val="nil"/>
              <w:left w:val="nil"/>
              <w:bottom w:val="double" w:sz="6" w:space="0" w:color="auto"/>
              <w:right w:val="nil"/>
            </w:tcBorders>
            <w:shd w:val="clear" w:color="auto" w:fill="auto"/>
            <w:vAlign w:val="center"/>
            <w:hideMark/>
          </w:tcPr>
          <w:p w14:paraId="0A5E47AA" w14:textId="77777777" w:rsidR="008100B1" w:rsidRPr="008100B1" w:rsidRDefault="008100B1" w:rsidP="008100B1">
            <w:pPr>
              <w:jc w:val="right"/>
              <w:rPr>
                <w:b/>
                <w:bCs/>
                <w:color w:val="000000"/>
                <w:sz w:val="18"/>
                <w:szCs w:val="18"/>
                <w:lang w:eastAsia="tr-TR"/>
              </w:rPr>
            </w:pPr>
            <w:r w:rsidRPr="008100B1">
              <w:rPr>
                <w:b/>
                <w:bCs/>
                <w:color w:val="000000"/>
                <w:sz w:val="18"/>
                <w:szCs w:val="18"/>
                <w:lang w:eastAsia="tr-TR"/>
              </w:rPr>
              <w:t>529,606</w:t>
            </w:r>
          </w:p>
        </w:tc>
        <w:tc>
          <w:tcPr>
            <w:tcW w:w="1090" w:type="dxa"/>
            <w:tcBorders>
              <w:top w:val="nil"/>
              <w:left w:val="nil"/>
              <w:bottom w:val="double" w:sz="6" w:space="0" w:color="auto"/>
              <w:right w:val="nil"/>
            </w:tcBorders>
            <w:shd w:val="clear" w:color="auto" w:fill="auto"/>
            <w:vAlign w:val="center"/>
            <w:hideMark/>
          </w:tcPr>
          <w:p w14:paraId="5DEFEF04" w14:textId="77777777" w:rsidR="008100B1" w:rsidRPr="008100B1" w:rsidRDefault="008100B1" w:rsidP="008100B1">
            <w:pPr>
              <w:jc w:val="right"/>
              <w:rPr>
                <w:b/>
                <w:bCs/>
                <w:color w:val="000000"/>
                <w:sz w:val="18"/>
                <w:szCs w:val="18"/>
                <w:lang w:eastAsia="tr-TR"/>
              </w:rPr>
            </w:pPr>
            <w:r w:rsidRPr="008100B1">
              <w:rPr>
                <w:b/>
                <w:bCs/>
                <w:color w:val="000000"/>
                <w:sz w:val="18"/>
                <w:szCs w:val="18"/>
                <w:lang w:eastAsia="tr-TR"/>
              </w:rPr>
              <w:t>342,531</w:t>
            </w:r>
          </w:p>
        </w:tc>
        <w:tc>
          <w:tcPr>
            <w:tcW w:w="1036" w:type="dxa"/>
            <w:tcBorders>
              <w:top w:val="nil"/>
              <w:left w:val="nil"/>
              <w:bottom w:val="double" w:sz="6" w:space="0" w:color="auto"/>
              <w:right w:val="nil"/>
            </w:tcBorders>
            <w:shd w:val="clear" w:color="auto" w:fill="auto"/>
            <w:vAlign w:val="center"/>
            <w:hideMark/>
          </w:tcPr>
          <w:p w14:paraId="58B15760" w14:textId="77777777" w:rsidR="008100B1" w:rsidRPr="008100B1" w:rsidRDefault="008100B1" w:rsidP="008100B1">
            <w:pPr>
              <w:jc w:val="right"/>
              <w:rPr>
                <w:b/>
                <w:bCs/>
                <w:color w:val="000000"/>
                <w:sz w:val="18"/>
                <w:szCs w:val="18"/>
                <w:lang w:eastAsia="tr-TR"/>
              </w:rPr>
            </w:pPr>
            <w:r w:rsidRPr="008100B1">
              <w:rPr>
                <w:b/>
                <w:bCs/>
                <w:color w:val="000000"/>
                <w:sz w:val="18"/>
                <w:szCs w:val="18"/>
                <w:lang w:eastAsia="tr-TR"/>
              </w:rPr>
              <w:t>527,681</w:t>
            </w:r>
          </w:p>
        </w:tc>
        <w:tc>
          <w:tcPr>
            <w:tcW w:w="1107" w:type="dxa"/>
            <w:tcBorders>
              <w:top w:val="nil"/>
              <w:left w:val="nil"/>
              <w:bottom w:val="double" w:sz="6" w:space="0" w:color="auto"/>
              <w:right w:val="nil"/>
            </w:tcBorders>
            <w:shd w:val="clear" w:color="auto" w:fill="auto"/>
            <w:vAlign w:val="center"/>
            <w:hideMark/>
          </w:tcPr>
          <w:p w14:paraId="2671DF6F" w14:textId="77777777" w:rsidR="008100B1" w:rsidRPr="008100B1" w:rsidRDefault="008100B1" w:rsidP="008100B1">
            <w:pPr>
              <w:jc w:val="right"/>
              <w:rPr>
                <w:b/>
                <w:bCs/>
                <w:color w:val="000000"/>
                <w:sz w:val="18"/>
                <w:szCs w:val="18"/>
                <w:lang w:eastAsia="tr-TR"/>
              </w:rPr>
            </w:pPr>
            <w:r w:rsidRPr="008100B1">
              <w:rPr>
                <w:b/>
                <w:bCs/>
                <w:color w:val="000000"/>
                <w:sz w:val="18"/>
                <w:szCs w:val="18"/>
                <w:lang w:eastAsia="tr-TR"/>
              </w:rPr>
              <w:t>326,178</w:t>
            </w:r>
          </w:p>
        </w:tc>
      </w:tr>
    </w:tbl>
    <w:p w14:paraId="11653792" w14:textId="426F325E" w:rsidR="00E1597B" w:rsidRPr="008100B1" w:rsidRDefault="00E1597B" w:rsidP="000F096F">
      <w:pPr>
        <w:autoSpaceDE w:val="0"/>
        <w:autoSpaceDN w:val="0"/>
        <w:adjustRightInd w:val="0"/>
        <w:rPr>
          <w:rFonts w:eastAsia="Arial Unicode MS"/>
          <w:sz w:val="16"/>
          <w:szCs w:val="16"/>
        </w:rPr>
      </w:pPr>
    </w:p>
    <w:p w14:paraId="03C76EA9" w14:textId="414762EA" w:rsidR="0062073A" w:rsidRPr="008100B1" w:rsidRDefault="008A70BF" w:rsidP="00FF687C">
      <w:pPr>
        <w:autoSpaceDE w:val="0"/>
        <w:autoSpaceDN w:val="0"/>
        <w:adjustRightInd w:val="0"/>
        <w:jc w:val="both"/>
        <w:rPr>
          <w:sz w:val="16"/>
          <w:szCs w:val="16"/>
        </w:rPr>
      </w:pPr>
      <w:r w:rsidRPr="008100B1">
        <w:rPr>
          <w:sz w:val="16"/>
          <w:szCs w:val="16"/>
        </w:rPr>
        <w:t>Banka,</w:t>
      </w:r>
      <w:r w:rsidR="00C1120C" w:rsidRPr="008100B1">
        <w:rPr>
          <w:sz w:val="16"/>
          <w:szCs w:val="16"/>
        </w:rPr>
        <w:t xml:space="preserve"> 1 Ocak 2019 tarihindeki alternatif borçlanma </w:t>
      </w:r>
      <w:proofErr w:type="gramStart"/>
      <w:r w:rsidR="00C1120C" w:rsidRPr="008100B1">
        <w:rPr>
          <w:sz w:val="16"/>
          <w:szCs w:val="16"/>
        </w:rPr>
        <w:t>kar</w:t>
      </w:r>
      <w:proofErr w:type="gramEnd"/>
      <w:r w:rsidR="00C1120C" w:rsidRPr="008100B1">
        <w:rPr>
          <w:sz w:val="16"/>
          <w:szCs w:val="16"/>
        </w:rPr>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00C1120C" w:rsidRPr="008100B1">
        <w:rPr>
          <w:sz w:val="16"/>
          <w:szCs w:val="16"/>
        </w:rPr>
        <w:t>kar</w:t>
      </w:r>
      <w:proofErr w:type="gramEnd"/>
      <w:r w:rsidR="00C1120C" w:rsidRPr="008100B1">
        <w:rPr>
          <w:sz w:val="16"/>
          <w:szCs w:val="16"/>
        </w:rPr>
        <w:t xml:space="preserve"> payı oranlarından kaynaklanmadığı sürece değiştirilmemiş bir ıskonto oranı kullanır. Kira ödemelerindeki değişikliğin, değişken </w:t>
      </w:r>
      <w:proofErr w:type="gramStart"/>
      <w:r w:rsidR="00C1120C" w:rsidRPr="008100B1">
        <w:rPr>
          <w:sz w:val="16"/>
          <w:szCs w:val="16"/>
        </w:rPr>
        <w:t>kar</w:t>
      </w:r>
      <w:proofErr w:type="gramEnd"/>
      <w:r w:rsidR="00C1120C" w:rsidRPr="008100B1">
        <w:rPr>
          <w:sz w:val="16"/>
          <w:szCs w:val="16"/>
        </w:rPr>
        <w:t xml:space="preserve"> payı oranlarından kaynaklanması durumunda (LIBOR, EURIBOR) kiracı, kar payı oranındaki değişiklikleri yansıtan revize edilmiş bir </w:t>
      </w:r>
      <w:proofErr w:type="spellStart"/>
      <w:r w:rsidR="00C1120C" w:rsidRPr="008100B1">
        <w:rPr>
          <w:sz w:val="16"/>
          <w:szCs w:val="16"/>
        </w:rPr>
        <w:t>iskonto</w:t>
      </w:r>
      <w:proofErr w:type="spellEnd"/>
      <w:r w:rsidR="00C1120C" w:rsidRPr="008100B1">
        <w:rPr>
          <w:sz w:val="16"/>
          <w:szCs w:val="16"/>
        </w:rPr>
        <w:t xml:space="preserve"> oranı kullanılır.</w:t>
      </w:r>
    </w:p>
    <w:p w14:paraId="308A4F7D" w14:textId="77777777" w:rsidR="0062073A" w:rsidRPr="008100B1" w:rsidRDefault="0062073A" w:rsidP="0062073A">
      <w:pPr>
        <w:tabs>
          <w:tab w:val="num" w:pos="2340"/>
          <w:tab w:val="num" w:pos="3060"/>
        </w:tabs>
        <w:autoSpaceDE w:val="0"/>
        <w:autoSpaceDN w:val="0"/>
        <w:adjustRightInd w:val="0"/>
        <w:ind w:hanging="567"/>
        <w:jc w:val="both"/>
      </w:pPr>
      <w:r w:rsidRPr="008100B1">
        <w:rPr>
          <w:b/>
        </w:rPr>
        <w:lastRenderedPageBreak/>
        <w:t>2.5.1.</w:t>
      </w:r>
      <w:r w:rsidRPr="008100B1">
        <w:tab/>
        <w:t xml:space="preserve">Sözleşme değişikliklerine ve bu değişikliklerin Banka’ya getirdiği yeni yükümlülüklere ilişkin açıklamalar: </w:t>
      </w:r>
    </w:p>
    <w:p w14:paraId="45183A9D" w14:textId="77777777" w:rsidR="0062073A" w:rsidRPr="008100B1" w:rsidRDefault="0062073A" w:rsidP="0062073A">
      <w:pPr>
        <w:tabs>
          <w:tab w:val="num" w:pos="2340"/>
          <w:tab w:val="num" w:pos="3060"/>
        </w:tabs>
        <w:autoSpaceDE w:val="0"/>
        <w:autoSpaceDN w:val="0"/>
        <w:adjustRightInd w:val="0"/>
        <w:ind w:hanging="567"/>
        <w:jc w:val="both"/>
        <w:rPr>
          <w:sz w:val="16"/>
          <w:szCs w:val="16"/>
        </w:rPr>
      </w:pPr>
    </w:p>
    <w:p w14:paraId="4D8D6875" w14:textId="72252A73" w:rsidR="0062073A" w:rsidRPr="008100B1" w:rsidRDefault="0062073A" w:rsidP="0062073A">
      <w:pPr>
        <w:tabs>
          <w:tab w:val="num" w:pos="2340"/>
          <w:tab w:val="num" w:pos="3060"/>
        </w:tabs>
        <w:autoSpaceDE w:val="0"/>
        <w:autoSpaceDN w:val="0"/>
        <w:adjustRightInd w:val="0"/>
        <w:ind w:hanging="567"/>
        <w:jc w:val="both"/>
      </w:pPr>
      <w:r w:rsidRPr="008100B1">
        <w:tab/>
        <w:t>Yoktur (31 Aralık 201</w:t>
      </w:r>
      <w:r w:rsidR="00310B5A" w:rsidRPr="008100B1">
        <w:t>9</w:t>
      </w:r>
      <w:r w:rsidRPr="008100B1">
        <w:t xml:space="preserve"> – Yoktur).</w:t>
      </w:r>
    </w:p>
    <w:p w14:paraId="44ED3F06" w14:textId="77777777" w:rsidR="0062073A" w:rsidRPr="008100B1" w:rsidRDefault="0062073A" w:rsidP="0062073A">
      <w:pPr>
        <w:autoSpaceDE w:val="0"/>
        <w:autoSpaceDN w:val="0"/>
        <w:adjustRightInd w:val="0"/>
        <w:ind w:left="1080" w:hanging="540"/>
        <w:rPr>
          <w:rFonts w:eastAsia="Arial Unicode MS"/>
          <w:sz w:val="16"/>
          <w:szCs w:val="16"/>
        </w:rPr>
      </w:pPr>
    </w:p>
    <w:p w14:paraId="5C979FF2" w14:textId="77777777" w:rsidR="0062073A" w:rsidRPr="008100B1" w:rsidRDefault="0062073A" w:rsidP="0062073A">
      <w:pPr>
        <w:tabs>
          <w:tab w:val="num" w:pos="2340"/>
          <w:tab w:val="num" w:pos="3060"/>
        </w:tabs>
        <w:autoSpaceDE w:val="0"/>
        <w:autoSpaceDN w:val="0"/>
        <w:adjustRightInd w:val="0"/>
        <w:ind w:hanging="567"/>
      </w:pPr>
      <w:r w:rsidRPr="008100B1">
        <w:rPr>
          <w:b/>
        </w:rPr>
        <w:t>2.5.1.1.</w:t>
      </w:r>
      <w:r w:rsidRPr="008100B1">
        <w:t xml:space="preserve"> Finansal Kiralama İşlemlerinden Doğan Yükümlülüklere ilişkin açıklamalar</w:t>
      </w:r>
    </w:p>
    <w:p w14:paraId="3FDFEDCA" w14:textId="77777777" w:rsidR="0062073A" w:rsidRPr="008100B1" w:rsidRDefault="0062073A" w:rsidP="0062073A">
      <w:pPr>
        <w:autoSpaceDE w:val="0"/>
        <w:autoSpaceDN w:val="0"/>
        <w:adjustRightInd w:val="0"/>
        <w:rPr>
          <w:rFonts w:eastAsia="Arial Unicode MS"/>
          <w:sz w:val="16"/>
          <w:szCs w:val="16"/>
        </w:rPr>
      </w:pPr>
    </w:p>
    <w:p w14:paraId="0CB24749" w14:textId="52E6D66C" w:rsidR="0062073A" w:rsidRPr="008100B1" w:rsidRDefault="002B6800" w:rsidP="0062073A">
      <w:pPr>
        <w:tabs>
          <w:tab w:val="num" w:pos="2340"/>
          <w:tab w:val="num" w:pos="3060"/>
        </w:tabs>
        <w:autoSpaceDE w:val="0"/>
        <w:autoSpaceDN w:val="0"/>
        <w:adjustRightInd w:val="0"/>
        <w:ind w:hanging="567"/>
        <w:jc w:val="both"/>
      </w:pPr>
      <w:r w:rsidRPr="008100B1">
        <w:tab/>
        <w:t>Yoktur (31 Aralık 201</w:t>
      </w:r>
      <w:r w:rsidR="00310B5A" w:rsidRPr="008100B1">
        <w:t>9</w:t>
      </w:r>
      <w:r w:rsidR="0062073A" w:rsidRPr="008100B1">
        <w:t xml:space="preserve"> – Yoktur).</w:t>
      </w:r>
    </w:p>
    <w:p w14:paraId="2E657A63" w14:textId="77777777" w:rsidR="0062073A" w:rsidRPr="008100B1" w:rsidRDefault="0062073A" w:rsidP="0062073A">
      <w:pPr>
        <w:autoSpaceDE w:val="0"/>
        <w:autoSpaceDN w:val="0"/>
        <w:adjustRightInd w:val="0"/>
        <w:rPr>
          <w:rFonts w:eastAsia="Arial Unicode MS"/>
          <w:sz w:val="16"/>
          <w:szCs w:val="16"/>
        </w:rPr>
      </w:pPr>
    </w:p>
    <w:p w14:paraId="0614EAA8" w14:textId="77777777" w:rsidR="0062073A" w:rsidRPr="008100B1" w:rsidRDefault="0062073A" w:rsidP="0062073A">
      <w:pPr>
        <w:tabs>
          <w:tab w:val="num" w:pos="2340"/>
          <w:tab w:val="num" w:pos="3060"/>
        </w:tabs>
        <w:autoSpaceDE w:val="0"/>
        <w:autoSpaceDN w:val="0"/>
        <w:adjustRightInd w:val="0"/>
        <w:ind w:hanging="567"/>
      </w:pPr>
      <w:r w:rsidRPr="008100B1">
        <w:rPr>
          <w:b/>
        </w:rPr>
        <w:t>2.5.1.2.</w:t>
      </w:r>
      <w:r w:rsidRPr="008100B1">
        <w:t xml:space="preserve"> Faaliyet kiralamasına ilişkin açıklamalar:</w:t>
      </w:r>
    </w:p>
    <w:p w14:paraId="6B7AD578" w14:textId="77777777" w:rsidR="0062073A" w:rsidRPr="008100B1" w:rsidRDefault="0062073A" w:rsidP="0062073A">
      <w:pPr>
        <w:autoSpaceDE w:val="0"/>
        <w:autoSpaceDN w:val="0"/>
        <w:adjustRightInd w:val="0"/>
        <w:ind w:left="1080" w:hanging="540"/>
        <w:rPr>
          <w:rFonts w:eastAsia="Arial Unicode MS"/>
          <w:sz w:val="16"/>
          <w:szCs w:val="16"/>
        </w:rPr>
      </w:pPr>
    </w:p>
    <w:p w14:paraId="625C3D66" w14:textId="77777777" w:rsidR="0062073A" w:rsidRPr="008100B1" w:rsidRDefault="0062073A" w:rsidP="0062073A">
      <w:pPr>
        <w:autoSpaceDE w:val="0"/>
        <w:autoSpaceDN w:val="0"/>
        <w:adjustRightInd w:val="0"/>
        <w:jc w:val="both"/>
        <w:rPr>
          <w:rFonts w:eastAsia="Arial Unicode MS"/>
        </w:rPr>
      </w:pPr>
      <w:r w:rsidRPr="008100B1">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7AC65F9" w14:textId="77777777" w:rsidR="0062073A" w:rsidRPr="008100B1" w:rsidRDefault="0062073A" w:rsidP="0062073A">
      <w:pPr>
        <w:autoSpaceDE w:val="0"/>
        <w:autoSpaceDN w:val="0"/>
        <w:adjustRightInd w:val="0"/>
        <w:jc w:val="both"/>
        <w:rPr>
          <w:rFonts w:eastAsia="Arial Unicode MS"/>
          <w:sz w:val="16"/>
          <w:szCs w:val="16"/>
        </w:rPr>
      </w:pPr>
    </w:p>
    <w:p w14:paraId="7BD0B4DB" w14:textId="77777777" w:rsidR="0062073A" w:rsidRPr="008100B1" w:rsidRDefault="0062073A" w:rsidP="0062073A">
      <w:pPr>
        <w:autoSpaceDE w:val="0"/>
        <w:autoSpaceDN w:val="0"/>
        <w:adjustRightInd w:val="0"/>
        <w:jc w:val="both"/>
        <w:rPr>
          <w:rFonts w:eastAsia="Arial Unicode MS"/>
        </w:rPr>
      </w:pPr>
      <w:r w:rsidRPr="008100B1">
        <w:rPr>
          <w:rFonts w:eastAsia="Arial Unicode MS"/>
        </w:rPr>
        <w:t>Faaliyet kiralaması ile ilgili sözleşme değişikliklerinin Banka’ya getirdiği önemli yükümlülükler bulunmamaktadır.</w:t>
      </w:r>
    </w:p>
    <w:p w14:paraId="10B726A1" w14:textId="77777777" w:rsidR="0062073A" w:rsidRPr="008100B1" w:rsidRDefault="0062073A" w:rsidP="0062073A">
      <w:pPr>
        <w:autoSpaceDE w:val="0"/>
        <w:autoSpaceDN w:val="0"/>
        <w:adjustRightInd w:val="0"/>
        <w:jc w:val="both"/>
        <w:rPr>
          <w:rFonts w:eastAsia="Arial Unicode MS"/>
          <w:sz w:val="16"/>
          <w:szCs w:val="16"/>
        </w:rPr>
      </w:pPr>
    </w:p>
    <w:p w14:paraId="2A465AAC" w14:textId="5D51A5B5" w:rsidR="0062073A" w:rsidRPr="008100B1" w:rsidRDefault="0062073A" w:rsidP="0062073A">
      <w:pPr>
        <w:autoSpaceDE w:val="0"/>
        <w:autoSpaceDN w:val="0"/>
        <w:adjustRightInd w:val="0"/>
        <w:rPr>
          <w:sz w:val="16"/>
          <w:szCs w:val="16"/>
        </w:rPr>
      </w:pPr>
      <w:r w:rsidRPr="008100B1">
        <w:rPr>
          <w:rFonts w:eastAsia="Arial Unicode MS"/>
        </w:rPr>
        <w:t>Banka faaliyet kiralaması anlaşmalarına istinaden yaptığı kira ödemelerini kira süresi boyunca, eşit tutarlarda gider kaydetmektedir.</w:t>
      </w:r>
    </w:p>
    <w:p w14:paraId="1613EAB6" w14:textId="77777777" w:rsidR="0062073A" w:rsidRPr="00270CE6" w:rsidRDefault="0062073A" w:rsidP="00E16E4A">
      <w:pPr>
        <w:autoSpaceDE w:val="0"/>
        <w:autoSpaceDN w:val="0"/>
        <w:adjustRightInd w:val="0"/>
        <w:rPr>
          <w:sz w:val="16"/>
          <w:szCs w:val="16"/>
          <w:highlight w:val="yellow"/>
        </w:rPr>
      </w:pPr>
    </w:p>
    <w:p w14:paraId="28FFF1D7" w14:textId="38866AEF" w:rsidR="002F559D" w:rsidRPr="008100B1" w:rsidRDefault="00A74159" w:rsidP="00A74159">
      <w:pPr>
        <w:autoSpaceDE w:val="0"/>
        <w:autoSpaceDN w:val="0"/>
        <w:adjustRightInd w:val="0"/>
        <w:ind w:hanging="567"/>
        <w:rPr>
          <w:b/>
          <w:bCs/>
          <w:iCs/>
        </w:rPr>
      </w:pPr>
      <w:r w:rsidRPr="008100B1">
        <w:rPr>
          <w:b/>
          <w:bCs/>
          <w:iCs/>
        </w:rPr>
        <w:t>2.6</w:t>
      </w:r>
      <w:r w:rsidR="007A10B9" w:rsidRPr="008100B1">
        <w:rPr>
          <w:b/>
          <w:bCs/>
          <w:iCs/>
        </w:rPr>
        <w:t>.</w:t>
      </w:r>
      <w:r w:rsidRPr="008100B1">
        <w:rPr>
          <w:b/>
          <w:bCs/>
          <w:iCs/>
        </w:rPr>
        <w:tab/>
      </w:r>
      <w:r w:rsidR="00E253C8" w:rsidRPr="008100B1">
        <w:rPr>
          <w:b/>
          <w:bCs/>
          <w:iCs/>
        </w:rPr>
        <w:t>Riskten korunma amaçlı türev finansal borçlara ilişkin bilgiler:</w:t>
      </w:r>
    </w:p>
    <w:p w14:paraId="1AC0CA74" w14:textId="1D00CAC2" w:rsidR="006B00D3" w:rsidRDefault="006B00D3" w:rsidP="006B00D3">
      <w:pPr>
        <w:tabs>
          <w:tab w:val="left" w:pos="709"/>
        </w:tabs>
        <w:rPr>
          <w:lang w:val="en-GB" w:eastAsia="en-GB"/>
        </w:rPr>
      </w:pPr>
    </w:p>
    <w:tbl>
      <w:tblPr>
        <w:tblW w:w="9238" w:type="dxa"/>
        <w:tblCellMar>
          <w:left w:w="70" w:type="dxa"/>
          <w:right w:w="70" w:type="dxa"/>
        </w:tblCellMar>
        <w:tblLook w:val="04A0" w:firstRow="1" w:lastRow="0" w:firstColumn="1" w:lastColumn="0" w:noHBand="0" w:noVBand="1"/>
      </w:tblPr>
      <w:tblGrid>
        <w:gridCol w:w="4744"/>
        <w:gridCol w:w="1225"/>
        <w:gridCol w:w="1102"/>
        <w:gridCol w:w="1047"/>
        <w:gridCol w:w="1120"/>
      </w:tblGrid>
      <w:tr w:rsidR="006B00D3" w:rsidRPr="006B00D3" w14:paraId="0AB19543" w14:textId="77777777" w:rsidTr="006B00D3">
        <w:trPr>
          <w:divId w:val="1772433582"/>
          <w:trHeight w:val="276"/>
        </w:trPr>
        <w:tc>
          <w:tcPr>
            <w:tcW w:w="4744" w:type="dxa"/>
            <w:tcBorders>
              <w:top w:val="double" w:sz="6" w:space="0" w:color="auto"/>
              <w:left w:val="nil"/>
              <w:bottom w:val="single" w:sz="8" w:space="0" w:color="auto"/>
              <w:right w:val="nil"/>
            </w:tcBorders>
            <w:shd w:val="clear" w:color="auto" w:fill="auto"/>
            <w:vAlign w:val="center"/>
            <w:hideMark/>
          </w:tcPr>
          <w:p w14:paraId="2A8E001B" w14:textId="05835782" w:rsidR="006B00D3" w:rsidRPr="006B00D3" w:rsidRDefault="006B00D3" w:rsidP="006B00D3">
            <w:pPr>
              <w:jc w:val="both"/>
              <w:rPr>
                <w:color w:val="000000"/>
                <w:sz w:val="16"/>
                <w:szCs w:val="16"/>
                <w:lang w:eastAsia="tr-TR"/>
              </w:rPr>
            </w:pPr>
            <w:r w:rsidRPr="006B00D3">
              <w:rPr>
                <w:color w:val="000000"/>
                <w:sz w:val="16"/>
                <w:szCs w:val="16"/>
                <w:lang w:eastAsia="tr-TR"/>
              </w:rPr>
              <w:t> </w:t>
            </w:r>
          </w:p>
        </w:tc>
        <w:tc>
          <w:tcPr>
            <w:tcW w:w="2327" w:type="dxa"/>
            <w:gridSpan w:val="2"/>
            <w:tcBorders>
              <w:top w:val="double" w:sz="6" w:space="0" w:color="auto"/>
              <w:left w:val="nil"/>
              <w:bottom w:val="single" w:sz="8" w:space="0" w:color="auto"/>
              <w:right w:val="nil"/>
            </w:tcBorders>
            <w:shd w:val="clear" w:color="auto" w:fill="auto"/>
            <w:vAlign w:val="center"/>
            <w:hideMark/>
          </w:tcPr>
          <w:p w14:paraId="24A6E7AC" w14:textId="77777777" w:rsidR="006B00D3" w:rsidRPr="006B00D3" w:rsidRDefault="006B00D3" w:rsidP="006B00D3">
            <w:pPr>
              <w:jc w:val="center"/>
              <w:rPr>
                <w:b/>
                <w:bCs/>
                <w:color w:val="000000"/>
                <w:sz w:val="16"/>
                <w:szCs w:val="16"/>
                <w:lang w:eastAsia="tr-TR"/>
              </w:rPr>
            </w:pPr>
            <w:r w:rsidRPr="006B00D3">
              <w:rPr>
                <w:b/>
                <w:bCs/>
                <w:color w:val="000000"/>
                <w:sz w:val="16"/>
                <w:szCs w:val="16"/>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32127F7C" w14:textId="77777777" w:rsidR="006B00D3" w:rsidRPr="006B00D3" w:rsidRDefault="006B00D3" w:rsidP="006B00D3">
            <w:pPr>
              <w:jc w:val="center"/>
              <w:rPr>
                <w:b/>
                <w:bCs/>
                <w:color w:val="000000"/>
                <w:sz w:val="16"/>
                <w:szCs w:val="16"/>
                <w:lang w:eastAsia="tr-TR"/>
              </w:rPr>
            </w:pPr>
            <w:r w:rsidRPr="006B00D3">
              <w:rPr>
                <w:b/>
                <w:bCs/>
                <w:color w:val="000000"/>
                <w:sz w:val="16"/>
                <w:szCs w:val="16"/>
                <w:lang w:eastAsia="tr-TR"/>
              </w:rPr>
              <w:t>Önceki Dönem</w:t>
            </w:r>
          </w:p>
        </w:tc>
      </w:tr>
      <w:tr w:rsidR="006B00D3" w:rsidRPr="006B00D3" w14:paraId="3D8DE841" w14:textId="77777777" w:rsidTr="006B00D3">
        <w:trPr>
          <w:divId w:val="1772433582"/>
          <w:trHeight w:val="261"/>
        </w:trPr>
        <w:tc>
          <w:tcPr>
            <w:tcW w:w="4744" w:type="dxa"/>
            <w:tcBorders>
              <w:top w:val="nil"/>
              <w:left w:val="nil"/>
              <w:bottom w:val="single" w:sz="8" w:space="0" w:color="auto"/>
              <w:right w:val="nil"/>
            </w:tcBorders>
            <w:shd w:val="clear" w:color="auto" w:fill="auto"/>
            <w:vAlign w:val="center"/>
            <w:hideMark/>
          </w:tcPr>
          <w:p w14:paraId="59B7DD51" w14:textId="77777777" w:rsidR="006B00D3" w:rsidRPr="006B00D3" w:rsidRDefault="006B00D3" w:rsidP="006B00D3">
            <w:pPr>
              <w:jc w:val="both"/>
              <w:rPr>
                <w:b/>
                <w:bCs/>
                <w:color w:val="000000"/>
                <w:sz w:val="16"/>
                <w:szCs w:val="16"/>
                <w:lang w:eastAsia="tr-TR"/>
              </w:rPr>
            </w:pPr>
            <w:r w:rsidRPr="006B00D3">
              <w:rPr>
                <w:b/>
                <w:bCs/>
                <w:color w:val="000000"/>
                <w:sz w:val="16"/>
                <w:szCs w:val="16"/>
                <w:lang w:eastAsia="tr-TR"/>
              </w:rPr>
              <w:t> </w:t>
            </w:r>
          </w:p>
        </w:tc>
        <w:tc>
          <w:tcPr>
            <w:tcW w:w="1225" w:type="dxa"/>
            <w:tcBorders>
              <w:top w:val="nil"/>
              <w:left w:val="nil"/>
              <w:bottom w:val="single" w:sz="8" w:space="0" w:color="auto"/>
              <w:right w:val="nil"/>
            </w:tcBorders>
            <w:shd w:val="clear" w:color="auto" w:fill="auto"/>
            <w:vAlign w:val="center"/>
            <w:hideMark/>
          </w:tcPr>
          <w:p w14:paraId="7DB24C2E" w14:textId="77777777" w:rsidR="006B00D3" w:rsidRPr="006B00D3" w:rsidRDefault="006B00D3" w:rsidP="006B00D3">
            <w:pPr>
              <w:jc w:val="right"/>
              <w:rPr>
                <w:b/>
                <w:bCs/>
                <w:color w:val="000000"/>
                <w:sz w:val="16"/>
                <w:szCs w:val="16"/>
                <w:lang w:eastAsia="tr-TR"/>
              </w:rPr>
            </w:pPr>
            <w:r w:rsidRPr="006B00D3">
              <w:rPr>
                <w:b/>
                <w:bCs/>
                <w:color w:val="000000"/>
                <w:sz w:val="16"/>
                <w:szCs w:val="16"/>
                <w:lang w:eastAsia="tr-TR"/>
              </w:rPr>
              <w:t>TP</w:t>
            </w:r>
          </w:p>
        </w:tc>
        <w:tc>
          <w:tcPr>
            <w:tcW w:w="1102" w:type="dxa"/>
            <w:tcBorders>
              <w:top w:val="nil"/>
              <w:left w:val="nil"/>
              <w:bottom w:val="single" w:sz="8" w:space="0" w:color="auto"/>
              <w:right w:val="nil"/>
            </w:tcBorders>
            <w:shd w:val="clear" w:color="auto" w:fill="auto"/>
            <w:vAlign w:val="center"/>
            <w:hideMark/>
          </w:tcPr>
          <w:p w14:paraId="3C218629" w14:textId="77777777" w:rsidR="006B00D3" w:rsidRPr="006B00D3" w:rsidRDefault="006B00D3" w:rsidP="006B00D3">
            <w:pPr>
              <w:jc w:val="right"/>
              <w:rPr>
                <w:b/>
                <w:bCs/>
                <w:color w:val="000000"/>
                <w:sz w:val="16"/>
                <w:szCs w:val="16"/>
                <w:lang w:eastAsia="tr-TR"/>
              </w:rPr>
            </w:pPr>
            <w:r w:rsidRPr="006B00D3">
              <w:rPr>
                <w:b/>
                <w:bCs/>
                <w:color w:val="000000"/>
                <w:sz w:val="16"/>
                <w:szCs w:val="16"/>
                <w:lang w:eastAsia="tr-TR"/>
              </w:rPr>
              <w:t>YP</w:t>
            </w:r>
          </w:p>
        </w:tc>
        <w:tc>
          <w:tcPr>
            <w:tcW w:w="1047" w:type="dxa"/>
            <w:tcBorders>
              <w:top w:val="nil"/>
              <w:left w:val="nil"/>
              <w:bottom w:val="single" w:sz="8" w:space="0" w:color="auto"/>
              <w:right w:val="nil"/>
            </w:tcBorders>
            <w:shd w:val="clear" w:color="auto" w:fill="auto"/>
            <w:vAlign w:val="center"/>
            <w:hideMark/>
          </w:tcPr>
          <w:p w14:paraId="6D2499B3" w14:textId="77777777" w:rsidR="006B00D3" w:rsidRPr="006B00D3" w:rsidRDefault="006B00D3" w:rsidP="006B00D3">
            <w:pPr>
              <w:jc w:val="right"/>
              <w:rPr>
                <w:b/>
                <w:bCs/>
                <w:color w:val="000000"/>
                <w:sz w:val="16"/>
                <w:szCs w:val="16"/>
                <w:lang w:eastAsia="tr-TR"/>
              </w:rPr>
            </w:pPr>
            <w:r w:rsidRPr="006B00D3">
              <w:rPr>
                <w:b/>
                <w:bCs/>
                <w:color w:val="000000"/>
                <w:sz w:val="16"/>
                <w:szCs w:val="16"/>
                <w:lang w:eastAsia="tr-TR"/>
              </w:rPr>
              <w:t>TP</w:t>
            </w:r>
          </w:p>
        </w:tc>
        <w:tc>
          <w:tcPr>
            <w:tcW w:w="1119" w:type="dxa"/>
            <w:tcBorders>
              <w:top w:val="nil"/>
              <w:left w:val="nil"/>
              <w:bottom w:val="single" w:sz="8" w:space="0" w:color="auto"/>
              <w:right w:val="nil"/>
            </w:tcBorders>
            <w:shd w:val="clear" w:color="auto" w:fill="auto"/>
            <w:vAlign w:val="center"/>
            <w:hideMark/>
          </w:tcPr>
          <w:p w14:paraId="30295AD2" w14:textId="77777777" w:rsidR="006B00D3" w:rsidRPr="006B00D3" w:rsidRDefault="006B00D3" w:rsidP="006B00D3">
            <w:pPr>
              <w:jc w:val="right"/>
              <w:rPr>
                <w:b/>
                <w:bCs/>
                <w:color w:val="000000"/>
                <w:sz w:val="16"/>
                <w:szCs w:val="16"/>
                <w:lang w:eastAsia="tr-TR"/>
              </w:rPr>
            </w:pPr>
            <w:r w:rsidRPr="006B00D3">
              <w:rPr>
                <w:b/>
                <w:bCs/>
                <w:color w:val="000000"/>
                <w:sz w:val="16"/>
                <w:szCs w:val="16"/>
                <w:lang w:eastAsia="tr-TR"/>
              </w:rPr>
              <w:t>YP</w:t>
            </w:r>
          </w:p>
        </w:tc>
      </w:tr>
      <w:tr w:rsidR="006B00D3" w:rsidRPr="006B00D3" w14:paraId="290A0603" w14:textId="77777777" w:rsidTr="006B00D3">
        <w:trPr>
          <w:divId w:val="1772433582"/>
          <w:trHeight w:val="261"/>
        </w:trPr>
        <w:tc>
          <w:tcPr>
            <w:tcW w:w="4744" w:type="dxa"/>
            <w:tcBorders>
              <w:top w:val="nil"/>
              <w:left w:val="nil"/>
              <w:bottom w:val="nil"/>
              <w:right w:val="nil"/>
            </w:tcBorders>
            <w:shd w:val="clear" w:color="auto" w:fill="auto"/>
            <w:vAlign w:val="center"/>
            <w:hideMark/>
          </w:tcPr>
          <w:p w14:paraId="0813E7C6" w14:textId="77777777" w:rsidR="006B00D3" w:rsidRPr="006B00D3" w:rsidRDefault="006B00D3" w:rsidP="006B00D3">
            <w:pPr>
              <w:rPr>
                <w:color w:val="000000"/>
                <w:sz w:val="18"/>
                <w:szCs w:val="18"/>
                <w:lang w:eastAsia="tr-TR"/>
              </w:rPr>
            </w:pPr>
            <w:r w:rsidRPr="006B00D3">
              <w:rPr>
                <w:color w:val="000000"/>
                <w:sz w:val="18"/>
                <w:szCs w:val="18"/>
                <w:lang w:eastAsia="tr-TR"/>
              </w:rPr>
              <w:t>Gerçeğe Uygun Değer Riskinden Korunma Amaçlı</w:t>
            </w:r>
          </w:p>
        </w:tc>
        <w:tc>
          <w:tcPr>
            <w:tcW w:w="1225" w:type="dxa"/>
            <w:tcBorders>
              <w:top w:val="nil"/>
              <w:left w:val="nil"/>
              <w:bottom w:val="nil"/>
              <w:right w:val="nil"/>
            </w:tcBorders>
            <w:shd w:val="clear" w:color="auto" w:fill="auto"/>
            <w:vAlign w:val="center"/>
            <w:hideMark/>
          </w:tcPr>
          <w:p w14:paraId="7EAF4874"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c>
          <w:tcPr>
            <w:tcW w:w="1102" w:type="dxa"/>
            <w:tcBorders>
              <w:top w:val="nil"/>
              <w:left w:val="nil"/>
              <w:bottom w:val="nil"/>
              <w:right w:val="nil"/>
            </w:tcBorders>
            <w:shd w:val="clear" w:color="auto" w:fill="auto"/>
            <w:vAlign w:val="center"/>
            <w:hideMark/>
          </w:tcPr>
          <w:p w14:paraId="257B8CD1"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0FD5FF60"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c>
          <w:tcPr>
            <w:tcW w:w="1119" w:type="dxa"/>
            <w:tcBorders>
              <w:top w:val="nil"/>
              <w:left w:val="nil"/>
              <w:bottom w:val="nil"/>
              <w:right w:val="nil"/>
            </w:tcBorders>
            <w:shd w:val="clear" w:color="auto" w:fill="auto"/>
            <w:vAlign w:val="center"/>
            <w:hideMark/>
          </w:tcPr>
          <w:p w14:paraId="1FB2CA5D"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r>
      <w:tr w:rsidR="006B00D3" w:rsidRPr="006B00D3" w14:paraId="170E30A6" w14:textId="77777777" w:rsidTr="006B00D3">
        <w:trPr>
          <w:divId w:val="1772433582"/>
          <w:trHeight w:val="261"/>
        </w:trPr>
        <w:tc>
          <w:tcPr>
            <w:tcW w:w="4744" w:type="dxa"/>
            <w:tcBorders>
              <w:top w:val="nil"/>
              <w:left w:val="nil"/>
              <w:bottom w:val="nil"/>
              <w:right w:val="nil"/>
            </w:tcBorders>
            <w:shd w:val="clear" w:color="auto" w:fill="auto"/>
            <w:vAlign w:val="center"/>
            <w:hideMark/>
          </w:tcPr>
          <w:p w14:paraId="00956BB9" w14:textId="77777777" w:rsidR="006B00D3" w:rsidRPr="006B00D3" w:rsidRDefault="006B00D3" w:rsidP="006B00D3">
            <w:pPr>
              <w:rPr>
                <w:color w:val="000000"/>
                <w:sz w:val="18"/>
                <w:szCs w:val="18"/>
                <w:lang w:eastAsia="tr-TR"/>
              </w:rPr>
            </w:pPr>
            <w:r w:rsidRPr="006B00D3">
              <w:rPr>
                <w:color w:val="000000"/>
                <w:sz w:val="18"/>
                <w:szCs w:val="18"/>
                <w:lang w:eastAsia="tr-TR"/>
              </w:rPr>
              <w:t>Nakit Akış Riskinden Korunma Amaçlı</w:t>
            </w:r>
          </w:p>
        </w:tc>
        <w:tc>
          <w:tcPr>
            <w:tcW w:w="1225" w:type="dxa"/>
            <w:tcBorders>
              <w:top w:val="nil"/>
              <w:left w:val="nil"/>
              <w:bottom w:val="nil"/>
              <w:right w:val="nil"/>
            </w:tcBorders>
            <w:shd w:val="clear" w:color="auto" w:fill="auto"/>
            <w:vAlign w:val="center"/>
            <w:hideMark/>
          </w:tcPr>
          <w:p w14:paraId="7F524862"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c>
          <w:tcPr>
            <w:tcW w:w="1102" w:type="dxa"/>
            <w:tcBorders>
              <w:top w:val="nil"/>
              <w:left w:val="nil"/>
              <w:bottom w:val="nil"/>
              <w:right w:val="nil"/>
            </w:tcBorders>
            <w:shd w:val="clear" w:color="auto" w:fill="auto"/>
            <w:vAlign w:val="center"/>
            <w:hideMark/>
          </w:tcPr>
          <w:p w14:paraId="12AFCFF1"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7DC9049F"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c>
          <w:tcPr>
            <w:tcW w:w="1119" w:type="dxa"/>
            <w:tcBorders>
              <w:top w:val="nil"/>
              <w:left w:val="nil"/>
              <w:bottom w:val="nil"/>
              <w:right w:val="nil"/>
            </w:tcBorders>
            <w:shd w:val="clear" w:color="auto" w:fill="auto"/>
            <w:vAlign w:val="center"/>
            <w:hideMark/>
          </w:tcPr>
          <w:p w14:paraId="23C3512F" w14:textId="77777777" w:rsidR="006B00D3" w:rsidRPr="006B00D3" w:rsidRDefault="006B00D3" w:rsidP="006B00D3">
            <w:pPr>
              <w:jc w:val="right"/>
              <w:rPr>
                <w:color w:val="000000"/>
                <w:sz w:val="18"/>
                <w:szCs w:val="18"/>
                <w:lang w:eastAsia="tr-TR"/>
              </w:rPr>
            </w:pPr>
            <w:r w:rsidRPr="006B00D3">
              <w:rPr>
                <w:color w:val="000000"/>
                <w:sz w:val="18"/>
                <w:szCs w:val="18"/>
                <w:lang w:eastAsia="tr-TR"/>
              </w:rPr>
              <w:t>129,728</w:t>
            </w:r>
          </w:p>
        </w:tc>
      </w:tr>
      <w:tr w:rsidR="006B00D3" w:rsidRPr="006B00D3" w14:paraId="1D5BE385" w14:textId="77777777" w:rsidTr="006B00D3">
        <w:trPr>
          <w:divId w:val="1772433582"/>
          <w:trHeight w:val="276"/>
        </w:trPr>
        <w:tc>
          <w:tcPr>
            <w:tcW w:w="4744" w:type="dxa"/>
            <w:tcBorders>
              <w:top w:val="nil"/>
              <w:left w:val="nil"/>
              <w:bottom w:val="single" w:sz="8" w:space="0" w:color="auto"/>
              <w:right w:val="nil"/>
            </w:tcBorders>
            <w:shd w:val="clear" w:color="auto" w:fill="auto"/>
            <w:vAlign w:val="center"/>
            <w:hideMark/>
          </w:tcPr>
          <w:p w14:paraId="166D091A" w14:textId="77777777" w:rsidR="006B00D3" w:rsidRPr="006B00D3" w:rsidRDefault="006B00D3" w:rsidP="006B00D3">
            <w:pPr>
              <w:rPr>
                <w:color w:val="000000"/>
                <w:sz w:val="18"/>
                <w:szCs w:val="18"/>
                <w:lang w:eastAsia="tr-TR"/>
              </w:rPr>
            </w:pPr>
            <w:r w:rsidRPr="006B00D3">
              <w:rPr>
                <w:color w:val="000000"/>
                <w:sz w:val="18"/>
                <w:szCs w:val="18"/>
                <w:lang w:eastAsia="tr-TR"/>
              </w:rPr>
              <w:t>Yurt Dışındaki Net Yatırım Riskinden Korunma Amaçlı</w:t>
            </w:r>
          </w:p>
        </w:tc>
        <w:tc>
          <w:tcPr>
            <w:tcW w:w="1225" w:type="dxa"/>
            <w:tcBorders>
              <w:top w:val="nil"/>
              <w:left w:val="nil"/>
              <w:bottom w:val="single" w:sz="8" w:space="0" w:color="auto"/>
              <w:right w:val="nil"/>
            </w:tcBorders>
            <w:shd w:val="clear" w:color="auto" w:fill="auto"/>
            <w:vAlign w:val="center"/>
            <w:hideMark/>
          </w:tcPr>
          <w:p w14:paraId="7002F825"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c>
          <w:tcPr>
            <w:tcW w:w="1102" w:type="dxa"/>
            <w:tcBorders>
              <w:top w:val="nil"/>
              <w:left w:val="nil"/>
              <w:bottom w:val="single" w:sz="8" w:space="0" w:color="auto"/>
              <w:right w:val="nil"/>
            </w:tcBorders>
            <w:shd w:val="clear" w:color="auto" w:fill="auto"/>
            <w:vAlign w:val="center"/>
            <w:hideMark/>
          </w:tcPr>
          <w:p w14:paraId="3CF68B25"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c>
          <w:tcPr>
            <w:tcW w:w="1047" w:type="dxa"/>
            <w:tcBorders>
              <w:top w:val="nil"/>
              <w:left w:val="nil"/>
              <w:bottom w:val="single" w:sz="8" w:space="0" w:color="auto"/>
              <w:right w:val="nil"/>
            </w:tcBorders>
            <w:shd w:val="clear" w:color="auto" w:fill="auto"/>
            <w:vAlign w:val="center"/>
            <w:hideMark/>
          </w:tcPr>
          <w:p w14:paraId="5944CCE7"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c>
          <w:tcPr>
            <w:tcW w:w="1119" w:type="dxa"/>
            <w:tcBorders>
              <w:top w:val="nil"/>
              <w:left w:val="nil"/>
              <w:bottom w:val="single" w:sz="8" w:space="0" w:color="auto"/>
              <w:right w:val="nil"/>
            </w:tcBorders>
            <w:shd w:val="clear" w:color="auto" w:fill="auto"/>
            <w:vAlign w:val="center"/>
            <w:hideMark/>
          </w:tcPr>
          <w:p w14:paraId="3F75982E" w14:textId="77777777" w:rsidR="006B00D3" w:rsidRPr="006B00D3" w:rsidRDefault="006B00D3" w:rsidP="006B00D3">
            <w:pPr>
              <w:jc w:val="right"/>
              <w:rPr>
                <w:color w:val="000000"/>
                <w:sz w:val="18"/>
                <w:szCs w:val="18"/>
                <w:lang w:eastAsia="tr-TR"/>
              </w:rPr>
            </w:pPr>
            <w:r w:rsidRPr="006B00D3">
              <w:rPr>
                <w:color w:val="000000"/>
                <w:sz w:val="18"/>
                <w:szCs w:val="18"/>
                <w:lang w:eastAsia="tr-TR"/>
              </w:rPr>
              <w:t>-</w:t>
            </w:r>
          </w:p>
        </w:tc>
      </w:tr>
      <w:tr w:rsidR="006B00D3" w:rsidRPr="006B00D3" w14:paraId="16CB04C9" w14:textId="77777777" w:rsidTr="006B00D3">
        <w:trPr>
          <w:divId w:val="1772433582"/>
          <w:trHeight w:val="261"/>
        </w:trPr>
        <w:tc>
          <w:tcPr>
            <w:tcW w:w="4744" w:type="dxa"/>
            <w:tcBorders>
              <w:top w:val="nil"/>
              <w:left w:val="nil"/>
              <w:bottom w:val="double" w:sz="6" w:space="0" w:color="auto"/>
              <w:right w:val="nil"/>
            </w:tcBorders>
            <w:shd w:val="clear" w:color="auto" w:fill="auto"/>
            <w:vAlign w:val="center"/>
            <w:hideMark/>
          </w:tcPr>
          <w:p w14:paraId="693431BE" w14:textId="77777777" w:rsidR="006B00D3" w:rsidRPr="006B00D3" w:rsidRDefault="006B00D3" w:rsidP="006B00D3">
            <w:pPr>
              <w:jc w:val="both"/>
              <w:rPr>
                <w:b/>
                <w:bCs/>
                <w:color w:val="000000"/>
                <w:sz w:val="16"/>
                <w:szCs w:val="16"/>
                <w:lang w:eastAsia="tr-TR"/>
              </w:rPr>
            </w:pPr>
            <w:r w:rsidRPr="006B00D3">
              <w:rPr>
                <w:b/>
                <w:bCs/>
                <w:color w:val="000000"/>
                <w:sz w:val="16"/>
                <w:szCs w:val="16"/>
                <w:lang w:eastAsia="tr-TR"/>
              </w:rPr>
              <w:t>Toplam</w:t>
            </w:r>
          </w:p>
        </w:tc>
        <w:tc>
          <w:tcPr>
            <w:tcW w:w="1225" w:type="dxa"/>
            <w:tcBorders>
              <w:top w:val="nil"/>
              <w:left w:val="nil"/>
              <w:bottom w:val="double" w:sz="6" w:space="0" w:color="auto"/>
              <w:right w:val="nil"/>
            </w:tcBorders>
            <w:shd w:val="clear" w:color="auto" w:fill="auto"/>
            <w:vAlign w:val="center"/>
            <w:hideMark/>
          </w:tcPr>
          <w:p w14:paraId="12652A5B" w14:textId="77777777" w:rsidR="006B00D3" w:rsidRPr="006B00D3" w:rsidRDefault="006B00D3" w:rsidP="006B00D3">
            <w:pPr>
              <w:jc w:val="right"/>
              <w:rPr>
                <w:bCs/>
                <w:color w:val="000000"/>
                <w:sz w:val="18"/>
                <w:szCs w:val="18"/>
                <w:lang w:eastAsia="tr-TR"/>
              </w:rPr>
            </w:pPr>
            <w:r w:rsidRPr="006B00D3">
              <w:rPr>
                <w:bCs/>
                <w:color w:val="000000"/>
                <w:sz w:val="18"/>
                <w:szCs w:val="18"/>
                <w:lang w:eastAsia="tr-TR"/>
              </w:rPr>
              <w:t>-</w:t>
            </w:r>
          </w:p>
        </w:tc>
        <w:tc>
          <w:tcPr>
            <w:tcW w:w="1102" w:type="dxa"/>
            <w:tcBorders>
              <w:top w:val="nil"/>
              <w:left w:val="nil"/>
              <w:bottom w:val="double" w:sz="6" w:space="0" w:color="auto"/>
              <w:right w:val="nil"/>
            </w:tcBorders>
            <w:shd w:val="clear" w:color="auto" w:fill="auto"/>
            <w:vAlign w:val="center"/>
            <w:hideMark/>
          </w:tcPr>
          <w:p w14:paraId="4E16A0DA" w14:textId="77777777" w:rsidR="006B00D3" w:rsidRPr="006B00D3" w:rsidRDefault="006B00D3" w:rsidP="006B00D3">
            <w:pPr>
              <w:jc w:val="right"/>
              <w:rPr>
                <w:bCs/>
                <w:color w:val="000000"/>
                <w:sz w:val="18"/>
                <w:szCs w:val="18"/>
                <w:lang w:eastAsia="tr-TR"/>
              </w:rPr>
            </w:pPr>
            <w:r w:rsidRPr="006B00D3">
              <w:rPr>
                <w:bCs/>
                <w:color w:val="000000"/>
                <w:sz w:val="18"/>
                <w:szCs w:val="18"/>
                <w:lang w:eastAsia="tr-TR"/>
              </w:rPr>
              <w:t>-</w:t>
            </w:r>
          </w:p>
        </w:tc>
        <w:tc>
          <w:tcPr>
            <w:tcW w:w="1047" w:type="dxa"/>
            <w:tcBorders>
              <w:top w:val="nil"/>
              <w:left w:val="nil"/>
              <w:bottom w:val="double" w:sz="6" w:space="0" w:color="auto"/>
              <w:right w:val="nil"/>
            </w:tcBorders>
            <w:shd w:val="clear" w:color="auto" w:fill="auto"/>
            <w:vAlign w:val="center"/>
            <w:hideMark/>
          </w:tcPr>
          <w:p w14:paraId="5525A316" w14:textId="77777777" w:rsidR="006B00D3" w:rsidRPr="006B00D3" w:rsidRDefault="006B00D3" w:rsidP="006B00D3">
            <w:pPr>
              <w:jc w:val="right"/>
              <w:rPr>
                <w:bCs/>
                <w:color w:val="000000"/>
                <w:sz w:val="18"/>
                <w:szCs w:val="18"/>
                <w:lang w:eastAsia="tr-TR"/>
              </w:rPr>
            </w:pPr>
            <w:r w:rsidRPr="006B00D3">
              <w:rPr>
                <w:bCs/>
                <w:color w:val="000000"/>
                <w:sz w:val="18"/>
                <w:szCs w:val="18"/>
                <w:lang w:eastAsia="tr-TR"/>
              </w:rPr>
              <w:t>-</w:t>
            </w:r>
          </w:p>
        </w:tc>
        <w:tc>
          <w:tcPr>
            <w:tcW w:w="1119" w:type="dxa"/>
            <w:tcBorders>
              <w:top w:val="nil"/>
              <w:left w:val="nil"/>
              <w:bottom w:val="double" w:sz="6" w:space="0" w:color="auto"/>
              <w:right w:val="nil"/>
            </w:tcBorders>
            <w:shd w:val="clear" w:color="auto" w:fill="auto"/>
            <w:vAlign w:val="center"/>
            <w:hideMark/>
          </w:tcPr>
          <w:p w14:paraId="1FEE5F4E" w14:textId="77777777" w:rsidR="006B00D3" w:rsidRPr="006B00D3" w:rsidRDefault="006B00D3" w:rsidP="006B00D3">
            <w:pPr>
              <w:jc w:val="right"/>
              <w:rPr>
                <w:b/>
                <w:bCs/>
                <w:color w:val="000000"/>
                <w:sz w:val="18"/>
                <w:szCs w:val="18"/>
                <w:lang w:eastAsia="tr-TR"/>
              </w:rPr>
            </w:pPr>
            <w:r w:rsidRPr="006B00D3">
              <w:rPr>
                <w:b/>
                <w:bCs/>
                <w:color w:val="000000"/>
                <w:sz w:val="18"/>
                <w:szCs w:val="18"/>
                <w:lang w:eastAsia="tr-TR"/>
              </w:rPr>
              <w:t>129,728</w:t>
            </w:r>
          </w:p>
        </w:tc>
      </w:tr>
    </w:tbl>
    <w:p w14:paraId="4F70426D" w14:textId="21BAF975" w:rsidR="005B6364" w:rsidRPr="00270CE6" w:rsidRDefault="005B6364" w:rsidP="00E22ABE">
      <w:pPr>
        <w:tabs>
          <w:tab w:val="left" w:pos="709"/>
        </w:tabs>
        <w:ind w:hanging="567"/>
        <w:rPr>
          <w:highlight w:val="yellow"/>
        </w:rPr>
      </w:pPr>
    </w:p>
    <w:p w14:paraId="20B12EE9" w14:textId="42A2E85A" w:rsidR="000F096F" w:rsidRPr="006D71DD" w:rsidRDefault="009E528F" w:rsidP="00E22ABE">
      <w:pPr>
        <w:tabs>
          <w:tab w:val="left" w:pos="709"/>
        </w:tabs>
        <w:ind w:hanging="567"/>
        <w:rPr>
          <w:b/>
          <w:bCs/>
          <w:iCs/>
        </w:rPr>
      </w:pPr>
      <w:r w:rsidRPr="006D71DD">
        <w:rPr>
          <w:b/>
          <w:bCs/>
          <w:iCs/>
        </w:rPr>
        <w:t>2</w:t>
      </w:r>
      <w:r w:rsidR="00E253C8" w:rsidRPr="006D71DD">
        <w:rPr>
          <w:b/>
          <w:bCs/>
          <w:iCs/>
        </w:rPr>
        <w:t>.</w:t>
      </w:r>
      <w:r w:rsidRPr="006D71DD">
        <w:rPr>
          <w:b/>
          <w:bCs/>
          <w:iCs/>
        </w:rPr>
        <w:t>7</w:t>
      </w:r>
      <w:r w:rsidR="007A10B9" w:rsidRPr="006D71DD">
        <w:rPr>
          <w:b/>
          <w:bCs/>
          <w:iCs/>
        </w:rPr>
        <w:t>.</w:t>
      </w:r>
      <w:r w:rsidR="00E253C8" w:rsidRPr="006D71DD">
        <w:rPr>
          <w:b/>
          <w:bCs/>
          <w:iCs/>
        </w:rPr>
        <w:tab/>
        <w:t>Karşılıklara ilişkin açıklamalar:</w:t>
      </w:r>
    </w:p>
    <w:p w14:paraId="48616CEC" w14:textId="77777777" w:rsidR="000F096F" w:rsidRPr="006D71DD" w:rsidRDefault="000F096F" w:rsidP="000F096F">
      <w:pPr>
        <w:tabs>
          <w:tab w:val="left" w:pos="-1800"/>
        </w:tabs>
        <w:rPr>
          <w:sz w:val="16"/>
          <w:szCs w:val="16"/>
        </w:rPr>
      </w:pPr>
    </w:p>
    <w:p w14:paraId="5C9C7020" w14:textId="77777777" w:rsidR="000F096F" w:rsidRPr="006D71DD" w:rsidRDefault="000F096F" w:rsidP="00842CA1">
      <w:pPr>
        <w:tabs>
          <w:tab w:val="left" w:pos="-1800"/>
        </w:tabs>
        <w:rPr>
          <w:sz w:val="2"/>
          <w:szCs w:val="14"/>
        </w:rPr>
      </w:pPr>
    </w:p>
    <w:p w14:paraId="78866605" w14:textId="77777777" w:rsidR="0073650A" w:rsidRPr="006D71DD" w:rsidRDefault="0073650A" w:rsidP="00842CA1">
      <w:pPr>
        <w:tabs>
          <w:tab w:val="left" w:pos="-1800"/>
        </w:tabs>
        <w:rPr>
          <w:sz w:val="2"/>
          <w:szCs w:val="14"/>
        </w:rPr>
      </w:pPr>
    </w:p>
    <w:p w14:paraId="5704CB52" w14:textId="6FDECAB3" w:rsidR="00033391" w:rsidRPr="006D71DD" w:rsidRDefault="009E528F" w:rsidP="009E528F">
      <w:pPr>
        <w:tabs>
          <w:tab w:val="num" w:pos="2340"/>
          <w:tab w:val="num" w:pos="3060"/>
        </w:tabs>
        <w:autoSpaceDE w:val="0"/>
        <w:autoSpaceDN w:val="0"/>
        <w:adjustRightInd w:val="0"/>
        <w:ind w:hanging="567"/>
        <w:jc w:val="both"/>
      </w:pPr>
      <w:r w:rsidRPr="006D71DD">
        <w:rPr>
          <w:b/>
        </w:rPr>
        <w:t>2.7.</w:t>
      </w:r>
      <w:r w:rsidR="000C3626" w:rsidRPr="006D71DD">
        <w:rPr>
          <w:b/>
        </w:rPr>
        <w:t>1</w:t>
      </w:r>
      <w:r w:rsidRPr="006D71DD">
        <w:tab/>
      </w:r>
      <w:r w:rsidR="00E253C8" w:rsidRPr="006D71DD">
        <w:rPr>
          <w:spacing w:val="-4"/>
        </w:rPr>
        <w:t xml:space="preserve">Dövize endeksli krediler kur farkı karşılıkları ile ilgili açıklamalar: </w:t>
      </w:r>
      <w:r w:rsidR="00BD6CCE" w:rsidRPr="006D71DD">
        <w:t xml:space="preserve">30 </w:t>
      </w:r>
      <w:r w:rsidR="00EA6E92" w:rsidRPr="006D71DD">
        <w:t>Eylül</w:t>
      </w:r>
      <w:r w:rsidR="005D385B" w:rsidRPr="006D71DD">
        <w:t xml:space="preserve"> 2020</w:t>
      </w:r>
      <w:r w:rsidR="00E253C8" w:rsidRPr="006D71DD">
        <w:rPr>
          <w:spacing w:val="-4"/>
        </w:rPr>
        <w:t xml:space="preserve"> tarihi </w:t>
      </w:r>
      <w:r w:rsidR="00CF4F17" w:rsidRPr="006D71DD">
        <w:rPr>
          <w:spacing w:val="-4"/>
        </w:rPr>
        <w:t>itibarıyla</w:t>
      </w:r>
      <w:r w:rsidR="00E253C8" w:rsidRPr="006D71DD">
        <w:rPr>
          <w:spacing w:val="-4"/>
        </w:rPr>
        <w:t xml:space="preserve"> kredil</w:t>
      </w:r>
      <w:r w:rsidR="000920AA" w:rsidRPr="006D71DD">
        <w:rPr>
          <w:spacing w:val="-4"/>
        </w:rPr>
        <w:t>er iç</w:t>
      </w:r>
      <w:r w:rsidR="00A1095E" w:rsidRPr="006D71DD">
        <w:rPr>
          <w:spacing w:val="-4"/>
        </w:rPr>
        <w:t xml:space="preserve">in </w:t>
      </w:r>
      <w:r w:rsidR="00B178CF" w:rsidRPr="006D71DD">
        <w:rPr>
          <w:spacing w:val="-4"/>
        </w:rPr>
        <w:t>1</w:t>
      </w:r>
      <w:r w:rsidR="006D71DD" w:rsidRPr="006D71DD">
        <w:rPr>
          <w:spacing w:val="-4"/>
        </w:rPr>
        <w:t>81</w:t>
      </w:r>
      <w:r w:rsidR="00A1095E" w:rsidRPr="006D71DD">
        <w:rPr>
          <w:color w:val="000000"/>
          <w:spacing w:val="-4"/>
        </w:rPr>
        <w:t xml:space="preserve"> </w:t>
      </w:r>
      <w:r w:rsidR="000920AA" w:rsidRPr="006D71DD">
        <w:rPr>
          <w:color w:val="000000"/>
          <w:spacing w:val="-4"/>
        </w:rPr>
        <w:t>TL</w:t>
      </w:r>
      <w:r w:rsidR="000920AA" w:rsidRPr="006D71DD">
        <w:rPr>
          <w:spacing w:val="-4"/>
        </w:rPr>
        <w:t xml:space="preserve"> (</w:t>
      </w:r>
      <w:r w:rsidR="00B27AFE" w:rsidRPr="006D71DD">
        <w:rPr>
          <w:spacing w:val="-4"/>
        </w:rPr>
        <w:t xml:space="preserve">31 Aralık </w:t>
      </w:r>
      <w:r w:rsidR="00EA4497" w:rsidRPr="006D71DD">
        <w:rPr>
          <w:spacing w:val="-4"/>
        </w:rPr>
        <w:t>201</w:t>
      </w:r>
      <w:r w:rsidR="005D385B" w:rsidRPr="006D71DD">
        <w:rPr>
          <w:spacing w:val="-4"/>
        </w:rPr>
        <w:t>9</w:t>
      </w:r>
      <w:r w:rsidR="00E253C8" w:rsidRPr="006D71DD">
        <w:rPr>
          <w:spacing w:val="-4"/>
        </w:rPr>
        <w:t xml:space="preserve"> – </w:t>
      </w:r>
      <w:r w:rsidR="00EC3192" w:rsidRPr="006D71DD">
        <w:rPr>
          <w:spacing w:val="-4"/>
        </w:rPr>
        <w:t>5</w:t>
      </w:r>
      <w:r w:rsidR="00E22ABE" w:rsidRPr="006D71DD">
        <w:rPr>
          <w:spacing w:val="-4"/>
        </w:rPr>
        <w:t xml:space="preserve"> TL</w:t>
      </w:r>
      <w:r w:rsidR="00E253C8" w:rsidRPr="006D71DD">
        <w:rPr>
          <w:spacing w:val="-4"/>
        </w:rPr>
        <w:t>) ve finansal kiralama alac</w:t>
      </w:r>
      <w:r w:rsidR="000920AA" w:rsidRPr="006D71DD">
        <w:rPr>
          <w:spacing w:val="-4"/>
        </w:rPr>
        <w:t xml:space="preserve">akları için </w:t>
      </w:r>
      <w:r w:rsidR="006D71DD" w:rsidRPr="006D71DD">
        <w:rPr>
          <w:spacing w:val="-4"/>
        </w:rPr>
        <w:t>34</w:t>
      </w:r>
      <w:r w:rsidR="000920AA" w:rsidRPr="006D71DD">
        <w:rPr>
          <w:spacing w:val="-4"/>
        </w:rPr>
        <w:t xml:space="preserve"> TL (</w:t>
      </w:r>
      <w:r w:rsidR="00B27AFE" w:rsidRPr="006D71DD">
        <w:rPr>
          <w:spacing w:val="-4"/>
        </w:rPr>
        <w:t xml:space="preserve">31 Aralık </w:t>
      </w:r>
      <w:r w:rsidR="00941A6F" w:rsidRPr="006D71DD">
        <w:rPr>
          <w:spacing w:val="-4"/>
        </w:rPr>
        <w:t>201</w:t>
      </w:r>
      <w:r w:rsidR="005D385B" w:rsidRPr="006D71DD">
        <w:rPr>
          <w:spacing w:val="-4"/>
        </w:rPr>
        <w:t>9</w:t>
      </w:r>
      <w:r w:rsidR="00E253C8" w:rsidRPr="006D71DD">
        <w:rPr>
          <w:spacing w:val="-4"/>
        </w:rPr>
        <w:t xml:space="preserve"> – </w:t>
      </w:r>
      <w:r w:rsidR="00EC3192" w:rsidRPr="006D71DD">
        <w:rPr>
          <w:spacing w:val="-4"/>
        </w:rPr>
        <w:t>1</w:t>
      </w:r>
      <w:r w:rsidR="005D385B" w:rsidRPr="006D71DD">
        <w:rPr>
          <w:spacing w:val="-4"/>
        </w:rPr>
        <w:t>92</w:t>
      </w:r>
      <w:r w:rsidR="00E22ABE" w:rsidRPr="006D71DD">
        <w:rPr>
          <w:spacing w:val="-4"/>
        </w:rPr>
        <w:t xml:space="preserve"> TL</w:t>
      </w:r>
      <w:r w:rsidR="00E253C8" w:rsidRPr="006D71DD">
        <w:rPr>
          <w:spacing w:val="-4"/>
        </w:rPr>
        <w:t>) tutarındaki dövize endeksli krediler kur değer azalışları krediler ve finansal kiralama alacakları hesaplarından netleştirilmiştir.</w:t>
      </w:r>
    </w:p>
    <w:p w14:paraId="6DF8EC37" w14:textId="77777777" w:rsidR="000F096F" w:rsidRPr="00270CE6" w:rsidRDefault="000F096F" w:rsidP="000F096F">
      <w:pPr>
        <w:pStyle w:val="ListParagraph"/>
        <w:rPr>
          <w:rFonts w:eastAsia="Arial Unicode MS"/>
          <w:sz w:val="16"/>
          <w:szCs w:val="16"/>
          <w:highlight w:val="yellow"/>
        </w:rPr>
      </w:pPr>
    </w:p>
    <w:p w14:paraId="018AFB9C" w14:textId="77777777" w:rsidR="000F096F" w:rsidRPr="008100B1" w:rsidRDefault="009E528F" w:rsidP="009E528F">
      <w:pPr>
        <w:tabs>
          <w:tab w:val="num" w:pos="2340"/>
          <w:tab w:val="num" w:pos="3060"/>
        </w:tabs>
        <w:autoSpaceDE w:val="0"/>
        <w:autoSpaceDN w:val="0"/>
        <w:adjustRightInd w:val="0"/>
        <w:ind w:hanging="567"/>
      </w:pPr>
      <w:r w:rsidRPr="008100B1">
        <w:rPr>
          <w:b/>
        </w:rPr>
        <w:t>2.7.</w:t>
      </w:r>
      <w:r w:rsidR="000C3626" w:rsidRPr="008100B1">
        <w:rPr>
          <w:b/>
        </w:rPr>
        <w:t>2</w:t>
      </w:r>
      <w:r w:rsidRPr="008100B1">
        <w:rPr>
          <w:b/>
        </w:rPr>
        <w:tab/>
      </w:r>
      <w:proofErr w:type="gramStart"/>
      <w:r w:rsidR="00E253C8" w:rsidRPr="008100B1">
        <w:t>Diğer</w:t>
      </w:r>
      <w:proofErr w:type="gramEnd"/>
      <w:r w:rsidR="00E253C8" w:rsidRPr="008100B1">
        <w:t xml:space="preserve"> karşılıklara ilişkin bilgiler:</w:t>
      </w:r>
    </w:p>
    <w:p w14:paraId="4BE34C70" w14:textId="77777777" w:rsidR="00F14270" w:rsidRPr="008100B1" w:rsidRDefault="00F14270" w:rsidP="009E528F">
      <w:pPr>
        <w:tabs>
          <w:tab w:val="num" w:pos="2340"/>
          <w:tab w:val="num" w:pos="3060"/>
        </w:tabs>
        <w:autoSpaceDE w:val="0"/>
        <w:autoSpaceDN w:val="0"/>
        <w:adjustRightInd w:val="0"/>
        <w:ind w:hanging="567"/>
        <w:rPr>
          <w:sz w:val="16"/>
          <w:szCs w:val="16"/>
        </w:rPr>
      </w:pPr>
    </w:p>
    <w:tbl>
      <w:tblPr>
        <w:tblW w:w="9238" w:type="dxa"/>
        <w:tblCellMar>
          <w:left w:w="70" w:type="dxa"/>
          <w:right w:w="70" w:type="dxa"/>
        </w:tblCellMar>
        <w:tblLook w:val="04A0" w:firstRow="1" w:lastRow="0" w:firstColumn="1" w:lastColumn="0" w:noHBand="0" w:noVBand="1"/>
      </w:tblPr>
      <w:tblGrid>
        <w:gridCol w:w="6198"/>
        <w:gridCol w:w="1601"/>
        <w:gridCol w:w="1439"/>
      </w:tblGrid>
      <w:tr w:rsidR="008100B1" w:rsidRPr="00D31C46" w14:paraId="22D5E472" w14:textId="77777777" w:rsidTr="008100B1">
        <w:trPr>
          <w:divId w:val="787503184"/>
          <w:trHeight w:val="269"/>
        </w:trPr>
        <w:tc>
          <w:tcPr>
            <w:tcW w:w="6198" w:type="dxa"/>
            <w:tcBorders>
              <w:top w:val="double" w:sz="6" w:space="0" w:color="auto"/>
              <w:left w:val="nil"/>
              <w:bottom w:val="single" w:sz="8" w:space="0" w:color="auto"/>
              <w:right w:val="nil"/>
            </w:tcBorders>
            <w:shd w:val="clear" w:color="auto" w:fill="auto"/>
            <w:vAlign w:val="center"/>
            <w:hideMark/>
          </w:tcPr>
          <w:p w14:paraId="1EDBDA91" w14:textId="4CE8F787" w:rsidR="008100B1" w:rsidRPr="00D31C46" w:rsidRDefault="008100B1" w:rsidP="008100B1">
            <w:pPr>
              <w:jc w:val="center"/>
              <w:rPr>
                <w:b/>
                <w:bCs/>
                <w:sz w:val="16"/>
                <w:szCs w:val="16"/>
                <w:lang w:eastAsia="tr-TR"/>
              </w:rPr>
            </w:pPr>
            <w:r w:rsidRPr="00D31C46">
              <w:rPr>
                <w:b/>
                <w:bCs/>
                <w:sz w:val="16"/>
                <w:szCs w:val="16"/>
                <w:lang w:eastAsia="tr-TR"/>
              </w:rPr>
              <w:t> </w:t>
            </w:r>
          </w:p>
        </w:tc>
        <w:tc>
          <w:tcPr>
            <w:tcW w:w="1601" w:type="dxa"/>
            <w:tcBorders>
              <w:top w:val="double" w:sz="6" w:space="0" w:color="auto"/>
              <w:left w:val="nil"/>
              <w:bottom w:val="single" w:sz="8" w:space="0" w:color="auto"/>
              <w:right w:val="nil"/>
            </w:tcBorders>
            <w:shd w:val="clear" w:color="auto" w:fill="auto"/>
            <w:vAlign w:val="center"/>
            <w:hideMark/>
          </w:tcPr>
          <w:p w14:paraId="735CBBA6" w14:textId="77777777" w:rsidR="008100B1" w:rsidRPr="00D31C46" w:rsidRDefault="008100B1" w:rsidP="008100B1">
            <w:pPr>
              <w:jc w:val="right"/>
              <w:rPr>
                <w:b/>
                <w:bCs/>
                <w:sz w:val="16"/>
                <w:szCs w:val="16"/>
                <w:lang w:eastAsia="tr-TR"/>
              </w:rPr>
            </w:pPr>
            <w:r w:rsidRPr="00D31C46">
              <w:rPr>
                <w:b/>
                <w:bCs/>
                <w:sz w:val="16"/>
                <w:szCs w:val="16"/>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4797BA61" w14:textId="77777777" w:rsidR="008100B1" w:rsidRPr="00D31C46" w:rsidRDefault="008100B1" w:rsidP="008100B1">
            <w:pPr>
              <w:jc w:val="right"/>
              <w:rPr>
                <w:b/>
                <w:bCs/>
                <w:sz w:val="16"/>
                <w:szCs w:val="16"/>
                <w:lang w:eastAsia="tr-TR"/>
              </w:rPr>
            </w:pPr>
            <w:r w:rsidRPr="00D31C46">
              <w:rPr>
                <w:b/>
                <w:bCs/>
                <w:sz w:val="16"/>
                <w:szCs w:val="16"/>
                <w:lang w:eastAsia="tr-TR"/>
              </w:rPr>
              <w:t>Önceki Dönem</w:t>
            </w:r>
          </w:p>
        </w:tc>
      </w:tr>
      <w:tr w:rsidR="008100B1" w:rsidRPr="00D31C46" w14:paraId="73A1C31C" w14:textId="77777777" w:rsidTr="008100B1">
        <w:trPr>
          <w:divId w:val="787503184"/>
          <w:trHeight w:val="235"/>
        </w:trPr>
        <w:tc>
          <w:tcPr>
            <w:tcW w:w="6198" w:type="dxa"/>
            <w:tcBorders>
              <w:top w:val="nil"/>
              <w:left w:val="nil"/>
              <w:bottom w:val="nil"/>
              <w:right w:val="nil"/>
            </w:tcBorders>
            <w:shd w:val="clear" w:color="auto" w:fill="auto"/>
            <w:noWrap/>
            <w:vAlign w:val="bottom"/>
            <w:hideMark/>
          </w:tcPr>
          <w:p w14:paraId="02A9AEA7" w14:textId="77777777" w:rsidR="008100B1" w:rsidRPr="00D31C46" w:rsidRDefault="008100B1" w:rsidP="008100B1">
            <w:pPr>
              <w:jc w:val="both"/>
              <w:rPr>
                <w:sz w:val="18"/>
                <w:szCs w:val="18"/>
                <w:lang w:eastAsia="tr-TR"/>
              </w:rPr>
            </w:pPr>
            <w:r w:rsidRPr="00D31C46">
              <w:rPr>
                <w:sz w:val="18"/>
                <w:szCs w:val="18"/>
                <w:lang w:eastAsia="tr-TR"/>
              </w:rPr>
              <w:t>Tazmin Edilmemiş ve Nakde Dönüşmemiş Gayri Nakdi Krediler Özel Karşılıkları</w:t>
            </w:r>
          </w:p>
        </w:tc>
        <w:tc>
          <w:tcPr>
            <w:tcW w:w="1601" w:type="dxa"/>
            <w:tcBorders>
              <w:top w:val="nil"/>
              <w:left w:val="nil"/>
              <w:bottom w:val="nil"/>
              <w:right w:val="nil"/>
            </w:tcBorders>
            <w:shd w:val="clear" w:color="auto" w:fill="auto"/>
            <w:vAlign w:val="center"/>
            <w:hideMark/>
          </w:tcPr>
          <w:p w14:paraId="429DE9DA" w14:textId="77777777" w:rsidR="008100B1" w:rsidRPr="00D31C46" w:rsidRDefault="008100B1" w:rsidP="008100B1">
            <w:pPr>
              <w:jc w:val="right"/>
              <w:rPr>
                <w:sz w:val="18"/>
                <w:szCs w:val="16"/>
                <w:lang w:eastAsia="tr-TR"/>
              </w:rPr>
            </w:pPr>
            <w:r w:rsidRPr="00D31C46">
              <w:rPr>
                <w:sz w:val="18"/>
                <w:szCs w:val="16"/>
                <w:lang w:eastAsia="tr-TR"/>
              </w:rPr>
              <w:t>441,989</w:t>
            </w:r>
          </w:p>
        </w:tc>
        <w:tc>
          <w:tcPr>
            <w:tcW w:w="1439" w:type="dxa"/>
            <w:tcBorders>
              <w:top w:val="nil"/>
              <w:left w:val="nil"/>
              <w:bottom w:val="nil"/>
              <w:right w:val="nil"/>
            </w:tcBorders>
            <w:shd w:val="clear" w:color="auto" w:fill="auto"/>
            <w:vAlign w:val="center"/>
            <w:hideMark/>
          </w:tcPr>
          <w:p w14:paraId="3F2117FB" w14:textId="77777777" w:rsidR="008100B1" w:rsidRPr="00D31C46" w:rsidRDefault="008100B1" w:rsidP="008100B1">
            <w:pPr>
              <w:jc w:val="right"/>
              <w:rPr>
                <w:sz w:val="18"/>
                <w:szCs w:val="16"/>
                <w:lang w:eastAsia="tr-TR"/>
              </w:rPr>
            </w:pPr>
            <w:r w:rsidRPr="00D31C46">
              <w:rPr>
                <w:sz w:val="18"/>
                <w:szCs w:val="16"/>
                <w:lang w:eastAsia="tr-TR"/>
              </w:rPr>
              <w:t>422,274</w:t>
            </w:r>
          </w:p>
        </w:tc>
      </w:tr>
      <w:tr w:rsidR="008100B1" w:rsidRPr="00D31C46" w14:paraId="3DF02F0F" w14:textId="77777777" w:rsidTr="008100B1">
        <w:trPr>
          <w:divId w:val="787503184"/>
          <w:trHeight w:val="235"/>
        </w:trPr>
        <w:tc>
          <w:tcPr>
            <w:tcW w:w="6198" w:type="dxa"/>
            <w:tcBorders>
              <w:top w:val="nil"/>
              <w:left w:val="nil"/>
              <w:bottom w:val="nil"/>
              <w:right w:val="nil"/>
            </w:tcBorders>
            <w:shd w:val="clear" w:color="auto" w:fill="auto"/>
            <w:noWrap/>
            <w:vAlign w:val="bottom"/>
            <w:hideMark/>
          </w:tcPr>
          <w:p w14:paraId="1FC6FB97" w14:textId="77777777" w:rsidR="008100B1" w:rsidRPr="00D31C46" w:rsidRDefault="008100B1" w:rsidP="008100B1">
            <w:pPr>
              <w:jc w:val="both"/>
              <w:rPr>
                <w:sz w:val="18"/>
                <w:szCs w:val="18"/>
                <w:lang w:eastAsia="tr-TR"/>
              </w:rPr>
            </w:pPr>
            <w:r w:rsidRPr="00D31C46">
              <w:rPr>
                <w:sz w:val="18"/>
                <w:szCs w:val="18"/>
                <w:lang w:eastAsia="tr-TR"/>
              </w:rPr>
              <w:t>Gayri Nakdi Krediler Genel Karşılıkları</w:t>
            </w:r>
          </w:p>
        </w:tc>
        <w:tc>
          <w:tcPr>
            <w:tcW w:w="1601" w:type="dxa"/>
            <w:tcBorders>
              <w:top w:val="nil"/>
              <w:left w:val="nil"/>
              <w:bottom w:val="nil"/>
              <w:right w:val="nil"/>
            </w:tcBorders>
            <w:shd w:val="clear" w:color="auto" w:fill="auto"/>
            <w:vAlign w:val="center"/>
            <w:hideMark/>
          </w:tcPr>
          <w:p w14:paraId="2FAE916B" w14:textId="77777777" w:rsidR="008100B1" w:rsidRPr="00D31C46" w:rsidRDefault="008100B1" w:rsidP="008100B1">
            <w:pPr>
              <w:jc w:val="right"/>
              <w:rPr>
                <w:sz w:val="18"/>
                <w:szCs w:val="16"/>
                <w:lang w:eastAsia="tr-TR"/>
              </w:rPr>
            </w:pPr>
            <w:r w:rsidRPr="00D31C46">
              <w:rPr>
                <w:sz w:val="18"/>
                <w:szCs w:val="16"/>
                <w:lang w:eastAsia="tr-TR"/>
              </w:rPr>
              <w:t>185,830</w:t>
            </w:r>
          </w:p>
        </w:tc>
        <w:tc>
          <w:tcPr>
            <w:tcW w:w="1439" w:type="dxa"/>
            <w:tcBorders>
              <w:top w:val="nil"/>
              <w:left w:val="nil"/>
              <w:bottom w:val="nil"/>
              <w:right w:val="nil"/>
            </w:tcBorders>
            <w:shd w:val="clear" w:color="auto" w:fill="auto"/>
            <w:vAlign w:val="center"/>
            <w:hideMark/>
          </w:tcPr>
          <w:p w14:paraId="570D8D3D" w14:textId="77777777" w:rsidR="008100B1" w:rsidRPr="00D31C46" w:rsidRDefault="008100B1" w:rsidP="008100B1">
            <w:pPr>
              <w:jc w:val="right"/>
              <w:rPr>
                <w:sz w:val="18"/>
                <w:szCs w:val="16"/>
                <w:lang w:eastAsia="tr-TR"/>
              </w:rPr>
            </w:pPr>
            <w:r w:rsidRPr="00D31C46">
              <w:rPr>
                <w:sz w:val="18"/>
                <w:szCs w:val="16"/>
                <w:lang w:eastAsia="tr-TR"/>
              </w:rPr>
              <w:t>127,145</w:t>
            </w:r>
          </w:p>
        </w:tc>
      </w:tr>
      <w:tr w:rsidR="008100B1" w:rsidRPr="00D31C46" w14:paraId="78F90895" w14:textId="77777777" w:rsidTr="008100B1">
        <w:trPr>
          <w:divId w:val="787503184"/>
          <w:trHeight w:val="235"/>
        </w:trPr>
        <w:tc>
          <w:tcPr>
            <w:tcW w:w="6198" w:type="dxa"/>
            <w:tcBorders>
              <w:top w:val="nil"/>
              <w:left w:val="nil"/>
              <w:bottom w:val="nil"/>
              <w:right w:val="nil"/>
            </w:tcBorders>
            <w:shd w:val="clear" w:color="auto" w:fill="auto"/>
            <w:noWrap/>
            <w:vAlign w:val="bottom"/>
            <w:hideMark/>
          </w:tcPr>
          <w:p w14:paraId="424A1A61" w14:textId="77777777" w:rsidR="008100B1" w:rsidRPr="00D31C46" w:rsidRDefault="008100B1" w:rsidP="008100B1">
            <w:pPr>
              <w:jc w:val="both"/>
              <w:rPr>
                <w:sz w:val="18"/>
                <w:szCs w:val="18"/>
                <w:lang w:eastAsia="tr-TR"/>
              </w:rPr>
            </w:pPr>
            <w:r w:rsidRPr="00D31C46">
              <w:rPr>
                <w:sz w:val="18"/>
                <w:szCs w:val="18"/>
                <w:lang w:eastAsia="tr-TR"/>
              </w:rPr>
              <w:t>Katılma Hesaplarına Dağıtılacak Karlardan Ayrılan Karşılık</w:t>
            </w:r>
          </w:p>
        </w:tc>
        <w:tc>
          <w:tcPr>
            <w:tcW w:w="1601" w:type="dxa"/>
            <w:tcBorders>
              <w:top w:val="nil"/>
              <w:left w:val="nil"/>
              <w:bottom w:val="nil"/>
              <w:right w:val="nil"/>
            </w:tcBorders>
            <w:shd w:val="clear" w:color="auto" w:fill="auto"/>
            <w:vAlign w:val="center"/>
            <w:hideMark/>
          </w:tcPr>
          <w:p w14:paraId="2FE2E377" w14:textId="77777777" w:rsidR="008100B1" w:rsidRPr="00D31C46" w:rsidRDefault="008100B1" w:rsidP="008100B1">
            <w:pPr>
              <w:jc w:val="right"/>
              <w:rPr>
                <w:sz w:val="18"/>
                <w:szCs w:val="16"/>
                <w:lang w:eastAsia="tr-TR"/>
              </w:rPr>
            </w:pPr>
            <w:r w:rsidRPr="00D31C46">
              <w:rPr>
                <w:sz w:val="18"/>
                <w:szCs w:val="16"/>
                <w:lang w:eastAsia="tr-TR"/>
              </w:rPr>
              <w:t>379,425</w:t>
            </w:r>
          </w:p>
        </w:tc>
        <w:tc>
          <w:tcPr>
            <w:tcW w:w="1439" w:type="dxa"/>
            <w:tcBorders>
              <w:top w:val="nil"/>
              <w:left w:val="nil"/>
              <w:bottom w:val="nil"/>
              <w:right w:val="nil"/>
            </w:tcBorders>
            <w:shd w:val="clear" w:color="auto" w:fill="auto"/>
            <w:vAlign w:val="center"/>
            <w:hideMark/>
          </w:tcPr>
          <w:p w14:paraId="2E3D191C" w14:textId="77777777" w:rsidR="008100B1" w:rsidRPr="00D31C46" w:rsidRDefault="008100B1" w:rsidP="008100B1">
            <w:pPr>
              <w:jc w:val="right"/>
              <w:rPr>
                <w:sz w:val="18"/>
                <w:szCs w:val="16"/>
                <w:lang w:eastAsia="tr-TR"/>
              </w:rPr>
            </w:pPr>
            <w:r w:rsidRPr="00D31C46">
              <w:rPr>
                <w:sz w:val="18"/>
                <w:szCs w:val="16"/>
                <w:lang w:eastAsia="tr-TR"/>
              </w:rPr>
              <w:t>150,934</w:t>
            </w:r>
          </w:p>
        </w:tc>
      </w:tr>
      <w:tr w:rsidR="008100B1" w:rsidRPr="00D31C46" w14:paraId="190E34DC" w14:textId="77777777" w:rsidTr="008100B1">
        <w:trPr>
          <w:divId w:val="787503184"/>
          <w:trHeight w:val="235"/>
        </w:trPr>
        <w:tc>
          <w:tcPr>
            <w:tcW w:w="6198" w:type="dxa"/>
            <w:tcBorders>
              <w:top w:val="nil"/>
              <w:left w:val="nil"/>
              <w:bottom w:val="nil"/>
              <w:right w:val="nil"/>
            </w:tcBorders>
            <w:shd w:val="clear" w:color="auto" w:fill="auto"/>
            <w:noWrap/>
            <w:vAlign w:val="bottom"/>
            <w:hideMark/>
          </w:tcPr>
          <w:p w14:paraId="04CB2BED" w14:textId="77777777" w:rsidR="008100B1" w:rsidRPr="00D31C46" w:rsidRDefault="008100B1" w:rsidP="008100B1">
            <w:pPr>
              <w:jc w:val="both"/>
              <w:rPr>
                <w:sz w:val="18"/>
                <w:szCs w:val="18"/>
                <w:lang w:eastAsia="tr-TR"/>
              </w:rPr>
            </w:pPr>
            <w:r w:rsidRPr="00D31C46">
              <w:rPr>
                <w:sz w:val="18"/>
                <w:szCs w:val="18"/>
                <w:lang w:eastAsia="tr-TR"/>
              </w:rPr>
              <w:t>Kredi Kartlarına İlişkin Promosyon Uygulamaları</w:t>
            </w:r>
          </w:p>
        </w:tc>
        <w:tc>
          <w:tcPr>
            <w:tcW w:w="1601" w:type="dxa"/>
            <w:tcBorders>
              <w:top w:val="nil"/>
              <w:left w:val="nil"/>
              <w:bottom w:val="nil"/>
              <w:right w:val="nil"/>
            </w:tcBorders>
            <w:shd w:val="clear" w:color="auto" w:fill="auto"/>
            <w:vAlign w:val="center"/>
            <w:hideMark/>
          </w:tcPr>
          <w:p w14:paraId="0160D6E1" w14:textId="77777777" w:rsidR="008100B1" w:rsidRPr="00D31C46" w:rsidRDefault="008100B1" w:rsidP="008100B1">
            <w:pPr>
              <w:jc w:val="right"/>
              <w:rPr>
                <w:sz w:val="18"/>
                <w:szCs w:val="16"/>
                <w:lang w:eastAsia="tr-TR"/>
              </w:rPr>
            </w:pPr>
            <w:r w:rsidRPr="00D31C46">
              <w:rPr>
                <w:sz w:val="18"/>
                <w:szCs w:val="16"/>
                <w:lang w:eastAsia="tr-TR"/>
              </w:rPr>
              <w:t>2,839</w:t>
            </w:r>
          </w:p>
        </w:tc>
        <w:tc>
          <w:tcPr>
            <w:tcW w:w="1439" w:type="dxa"/>
            <w:tcBorders>
              <w:top w:val="nil"/>
              <w:left w:val="nil"/>
              <w:bottom w:val="nil"/>
              <w:right w:val="nil"/>
            </w:tcBorders>
            <w:shd w:val="clear" w:color="auto" w:fill="auto"/>
            <w:vAlign w:val="center"/>
            <w:hideMark/>
          </w:tcPr>
          <w:p w14:paraId="7B20168E" w14:textId="77777777" w:rsidR="008100B1" w:rsidRPr="00D31C46" w:rsidRDefault="008100B1" w:rsidP="008100B1">
            <w:pPr>
              <w:jc w:val="right"/>
              <w:rPr>
                <w:sz w:val="18"/>
                <w:szCs w:val="16"/>
                <w:lang w:eastAsia="tr-TR"/>
              </w:rPr>
            </w:pPr>
            <w:r w:rsidRPr="00D31C46">
              <w:rPr>
                <w:sz w:val="18"/>
                <w:szCs w:val="16"/>
                <w:lang w:eastAsia="tr-TR"/>
              </w:rPr>
              <w:t>2,332</w:t>
            </w:r>
          </w:p>
        </w:tc>
      </w:tr>
      <w:tr w:rsidR="008100B1" w:rsidRPr="00D31C46" w14:paraId="0685FCA7" w14:textId="77777777" w:rsidTr="008100B1">
        <w:trPr>
          <w:divId w:val="787503184"/>
          <w:trHeight w:val="235"/>
        </w:trPr>
        <w:tc>
          <w:tcPr>
            <w:tcW w:w="6198" w:type="dxa"/>
            <w:tcBorders>
              <w:top w:val="nil"/>
              <w:left w:val="nil"/>
              <w:bottom w:val="single" w:sz="8" w:space="0" w:color="auto"/>
              <w:right w:val="nil"/>
            </w:tcBorders>
            <w:shd w:val="clear" w:color="auto" w:fill="auto"/>
            <w:noWrap/>
            <w:vAlign w:val="bottom"/>
            <w:hideMark/>
          </w:tcPr>
          <w:p w14:paraId="510E90E5" w14:textId="77777777" w:rsidR="008100B1" w:rsidRPr="00D31C46" w:rsidRDefault="008100B1" w:rsidP="008100B1">
            <w:pPr>
              <w:jc w:val="both"/>
              <w:rPr>
                <w:sz w:val="18"/>
                <w:szCs w:val="18"/>
                <w:lang w:eastAsia="tr-TR"/>
              </w:rPr>
            </w:pPr>
            <w:r w:rsidRPr="00D31C46">
              <w:rPr>
                <w:sz w:val="18"/>
                <w:szCs w:val="18"/>
                <w:lang w:eastAsia="tr-TR"/>
              </w:rPr>
              <w:t>Diğer (*)</w:t>
            </w:r>
          </w:p>
        </w:tc>
        <w:tc>
          <w:tcPr>
            <w:tcW w:w="1601" w:type="dxa"/>
            <w:tcBorders>
              <w:top w:val="nil"/>
              <w:left w:val="nil"/>
              <w:bottom w:val="single" w:sz="8" w:space="0" w:color="auto"/>
              <w:right w:val="nil"/>
            </w:tcBorders>
            <w:shd w:val="clear" w:color="auto" w:fill="auto"/>
            <w:vAlign w:val="center"/>
            <w:hideMark/>
          </w:tcPr>
          <w:p w14:paraId="36D98B24" w14:textId="77777777" w:rsidR="008100B1" w:rsidRPr="00D31C46" w:rsidRDefault="008100B1" w:rsidP="008100B1">
            <w:pPr>
              <w:jc w:val="right"/>
              <w:rPr>
                <w:sz w:val="18"/>
                <w:szCs w:val="16"/>
                <w:lang w:eastAsia="tr-TR"/>
              </w:rPr>
            </w:pPr>
            <w:r w:rsidRPr="00D31C46">
              <w:rPr>
                <w:sz w:val="18"/>
                <w:szCs w:val="16"/>
                <w:lang w:eastAsia="tr-TR"/>
              </w:rPr>
              <w:t>103,010</w:t>
            </w:r>
          </w:p>
        </w:tc>
        <w:tc>
          <w:tcPr>
            <w:tcW w:w="1439" w:type="dxa"/>
            <w:tcBorders>
              <w:top w:val="nil"/>
              <w:left w:val="nil"/>
              <w:bottom w:val="single" w:sz="8" w:space="0" w:color="auto"/>
              <w:right w:val="nil"/>
            </w:tcBorders>
            <w:shd w:val="clear" w:color="auto" w:fill="auto"/>
            <w:vAlign w:val="center"/>
            <w:hideMark/>
          </w:tcPr>
          <w:p w14:paraId="52BBB7C6" w14:textId="77777777" w:rsidR="008100B1" w:rsidRPr="00D31C46" w:rsidRDefault="008100B1" w:rsidP="008100B1">
            <w:pPr>
              <w:jc w:val="right"/>
              <w:rPr>
                <w:sz w:val="18"/>
                <w:szCs w:val="16"/>
                <w:lang w:eastAsia="tr-TR"/>
              </w:rPr>
            </w:pPr>
            <w:r w:rsidRPr="00D31C46">
              <w:rPr>
                <w:sz w:val="18"/>
                <w:szCs w:val="16"/>
                <w:lang w:eastAsia="tr-TR"/>
              </w:rPr>
              <w:t>86,271</w:t>
            </w:r>
          </w:p>
        </w:tc>
      </w:tr>
      <w:tr w:rsidR="008100B1" w:rsidRPr="00D31C46" w14:paraId="649BED3C" w14:textId="77777777" w:rsidTr="008100B1">
        <w:trPr>
          <w:divId w:val="787503184"/>
          <w:trHeight w:val="251"/>
        </w:trPr>
        <w:tc>
          <w:tcPr>
            <w:tcW w:w="6198" w:type="dxa"/>
            <w:tcBorders>
              <w:top w:val="nil"/>
              <w:left w:val="nil"/>
              <w:bottom w:val="double" w:sz="6" w:space="0" w:color="auto"/>
              <w:right w:val="nil"/>
            </w:tcBorders>
            <w:shd w:val="clear" w:color="auto" w:fill="auto"/>
            <w:vAlign w:val="center"/>
            <w:hideMark/>
          </w:tcPr>
          <w:p w14:paraId="5D3A3E5A" w14:textId="77777777" w:rsidR="008100B1" w:rsidRPr="00D31C46" w:rsidRDefault="008100B1" w:rsidP="008100B1">
            <w:pPr>
              <w:jc w:val="both"/>
              <w:rPr>
                <w:b/>
                <w:bCs/>
                <w:sz w:val="16"/>
                <w:szCs w:val="16"/>
                <w:lang w:eastAsia="tr-TR"/>
              </w:rPr>
            </w:pPr>
            <w:r w:rsidRPr="00D31C46">
              <w:rPr>
                <w:b/>
                <w:bCs/>
                <w:sz w:val="16"/>
                <w:szCs w:val="16"/>
                <w:lang w:eastAsia="tr-TR"/>
              </w:rPr>
              <w:t>Toplam</w:t>
            </w:r>
          </w:p>
        </w:tc>
        <w:tc>
          <w:tcPr>
            <w:tcW w:w="1601" w:type="dxa"/>
            <w:tcBorders>
              <w:top w:val="nil"/>
              <w:left w:val="nil"/>
              <w:bottom w:val="double" w:sz="6" w:space="0" w:color="auto"/>
              <w:right w:val="nil"/>
            </w:tcBorders>
            <w:shd w:val="clear" w:color="auto" w:fill="auto"/>
            <w:vAlign w:val="center"/>
            <w:hideMark/>
          </w:tcPr>
          <w:p w14:paraId="1E76D891" w14:textId="77777777" w:rsidR="008100B1" w:rsidRPr="00D31C46" w:rsidRDefault="008100B1" w:rsidP="008100B1">
            <w:pPr>
              <w:jc w:val="right"/>
              <w:rPr>
                <w:b/>
                <w:bCs/>
                <w:sz w:val="18"/>
                <w:szCs w:val="16"/>
                <w:lang w:eastAsia="tr-TR"/>
              </w:rPr>
            </w:pPr>
            <w:r w:rsidRPr="00D31C46">
              <w:rPr>
                <w:b/>
                <w:bCs/>
                <w:sz w:val="18"/>
                <w:szCs w:val="16"/>
                <w:lang w:eastAsia="tr-TR"/>
              </w:rPr>
              <w:t>1,113,093</w:t>
            </w:r>
          </w:p>
        </w:tc>
        <w:tc>
          <w:tcPr>
            <w:tcW w:w="1439" w:type="dxa"/>
            <w:tcBorders>
              <w:top w:val="nil"/>
              <w:left w:val="nil"/>
              <w:bottom w:val="double" w:sz="6" w:space="0" w:color="auto"/>
              <w:right w:val="nil"/>
            </w:tcBorders>
            <w:shd w:val="clear" w:color="auto" w:fill="auto"/>
            <w:vAlign w:val="center"/>
            <w:hideMark/>
          </w:tcPr>
          <w:p w14:paraId="505EEC4C" w14:textId="77777777" w:rsidR="008100B1" w:rsidRPr="00D31C46" w:rsidRDefault="008100B1" w:rsidP="008100B1">
            <w:pPr>
              <w:jc w:val="right"/>
              <w:rPr>
                <w:b/>
                <w:bCs/>
                <w:sz w:val="18"/>
                <w:szCs w:val="16"/>
                <w:lang w:eastAsia="tr-TR"/>
              </w:rPr>
            </w:pPr>
            <w:r w:rsidRPr="00D31C46">
              <w:rPr>
                <w:b/>
                <w:bCs/>
                <w:sz w:val="18"/>
                <w:szCs w:val="16"/>
                <w:lang w:eastAsia="tr-TR"/>
              </w:rPr>
              <w:t>788,956</w:t>
            </w:r>
          </w:p>
        </w:tc>
      </w:tr>
    </w:tbl>
    <w:p w14:paraId="6E873D58" w14:textId="69167F6B" w:rsidR="006F5F0C" w:rsidRPr="00D31C46"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16"/>
          <w:szCs w:val="16"/>
        </w:rPr>
      </w:pPr>
    </w:p>
    <w:p w14:paraId="55495666" w14:textId="4658D4A5" w:rsidR="006F5F0C" w:rsidRPr="00D31C46" w:rsidRDefault="006F5F0C" w:rsidP="00B843E3">
      <w:pPr>
        <w:pStyle w:val="ListParagraph"/>
        <w:ind w:left="0"/>
        <w:jc w:val="both"/>
        <w:rPr>
          <w:rFonts w:eastAsia="Arial Unicode MS"/>
          <w:sz w:val="14"/>
          <w:szCs w:val="14"/>
        </w:rPr>
      </w:pPr>
      <w:r w:rsidRPr="00D31C46">
        <w:rPr>
          <w:rFonts w:eastAsia="Arial Unicode MS"/>
          <w:sz w:val="14"/>
          <w:szCs w:val="14"/>
        </w:rPr>
        <w:t>(*</w:t>
      </w:r>
      <w:proofErr w:type="gramStart"/>
      <w:r w:rsidRPr="00D31C46">
        <w:rPr>
          <w:rFonts w:eastAsia="Arial Unicode MS"/>
          <w:sz w:val="14"/>
          <w:szCs w:val="14"/>
        </w:rPr>
        <w:t>)  Diğer</w:t>
      </w:r>
      <w:proofErr w:type="gramEnd"/>
      <w:r w:rsidRPr="00D31C46">
        <w:rPr>
          <w:rFonts w:eastAsia="Arial Unicode MS"/>
          <w:sz w:val="14"/>
          <w:szCs w:val="14"/>
        </w:rPr>
        <w:t xml:space="preserve"> kalemi başlıca cari dönemde </w:t>
      </w:r>
      <w:r w:rsidR="00D31C46" w:rsidRPr="00D31C46">
        <w:rPr>
          <w:rFonts w:eastAsia="Arial Unicode MS"/>
          <w:sz w:val="14"/>
          <w:szCs w:val="14"/>
        </w:rPr>
        <w:t>36</w:t>
      </w:r>
      <w:r w:rsidR="001A06AE" w:rsidRPr="00D31C46">
        <w:rPr>
          <w:rFonts w:eastAsia="Arial Unicode MS"/>
          <w:sz w:val="14"/>
          <w:szCs w:val="14"/>
        </w:rPr>
        <w:t>,</w:t>
      </w:r>
      <w:r w:rsidR="00BD3B5A" w:rsidRPr="00D31C46">
        <w:rPr>
          <w:rFonts w:eastAsia="Arial Unicode MS"/>
          <w:sz w:val="14"/>
          <w:szCs w:val="14"/>
        </w:rPr>
        <w:t>850</w:t>
      </w:r>
      <w:r w:rsidRPr="00D31C46">
        <w:rPr>
          <w:rFonts w:eastAsia="Arial Unicode MS"/>
          <w:sz w:val="14"/>
          <w:szCs w:val="14"/>
        </w:rPr>
        <w:t xml:space="preserve"> TL (31 Aralık 201</w:t>
      </w:r>
      <w:r w:rsidR="005A12B2" w:rsidRPr="00D31C46">
        <w:rPr>
          <w:rFonts w:eastAsia="Arial Unicode MS"/>
          <w:sz w:val="14"/>
          <w:szCs w:val="14"/>
        </w:rPr>
        <w:t>9</w:t>
      </w:r>
      <w:r w:rsidRPr="00D31C46">
        <w:rPr>
          <w:rFonts w:eastAsia="Arial Unicode MS"/>
          <w:sz w:val="14"/>
          <w:szCs w:val="14"/>
        </w:rPr>
        <w:t xml:space="preserve"> – </w:t>
      </w:r>
      <w:r w:rsidR="005A12B2" w:rsidRPr="00D31C46">
        <w:rPr>
          <w:rFonts w:eastAsia="Arial Unicode MS"/>
          <w:sz w:val="14"/>
          <w:szCs w:val="14"/>
        </w:rPr>
        <w:t xml:space="preserve">27,573 </w:t>
      </w:r>
      <w:r w:rsidRPr="00D31C46">
        <w:rPr>
          <w:rFonts w:eastAsia="Arial Unicode MS"/>
          <w:sz w:val="14"/>
          <w:szCs w:val="14"/>
        </w:rPr>
        <w:t xml:space="preserve"> TL) dava karşılığı, </w:t>
      </w:r>
      <w:r w:rsidR="00D31C46" w:rsidRPr="00D31C46">
        <w:rPr>
          <w:rFonts w:eastAsia="Arial Unicode MS"/>
          <w:sz w:val="14"/>
          <w:szCs w:val="14"/>
        </w:rPr>
        <w:t>2</w:t>
      </w:r>
      <w:r w:rsidR="009448C7" w:rsidRPr="00D31C46">
        <w:rPr>
          <w:rFonts w:eastAsia="Arial Unicode MS"/>
          <w:sz w:val="14"/>
          <w:szCs w:val="14"/>
        </w:rPr>
        <w:t>,</w:t>
      </w:r>
      <w:r w:rsidR="00D31C46" w:rsidRPr="00D31C46">
        <w:rPr>
          <w:rFonts w:eastAsia="Arial Unicode MS"/>
          <w:sz w:val="14"/>
          <w:szCs w:val="14"/>
        </w:rPr>
        <w:t>008</w:t>
      </w:r>
      <w:r w:rsidRPr="00D31C46">
        <w:rPr>
          <w:rFonts w:eastAsia="Arial Unicode MS"/>
          <w:sz w:val="14"/>
          <w:szCs w:val="14"/>
        </w:rPr>
        <w:t xml:space="preserve"> TL (31 Aralık 201</w:t>
      </w:r>
      <w:r w:rsidR="005A12B2" w:rsidRPr="00D31C46">
        <w:rPr>
          <w:rFonts w:eastAsia="Arial Unicode MS"/>
          <w:sz w:val="14"/>
          <w:szCs w:val="14"/>
        </w:rPr>
        <w:t>9</w:t>
      </w:r>
      <w:r w:rsidRPr="00D31C46">
        <w:rPr>
          <w:rFonts w:eastAsia="Arial Unicode MS"/>
          <w:sz w:val="14"/>
          <w:szCs w:val="14"/>
        </w:rPr>
        <w:t xml:space="preserve"> – 6,500 TL) gider karşılığı, </w:t>
      </w:r>
      <w:r w:rsidR="00D31C46" w:rsidRPr="00D31C46">
        <w:rPr>
          <w:rFonts w:eastAsia="Arial Unicode MS"/>
          <w:sz w:val="14"/>
          <w:szCs w:val="14"/>
        </w:rPr>
        <w:t>64</w:t>
      </w:r>
      <w:r w:rsidR="009448C7" w:rsidRPr="00D31C46">
        <w:rPr>
          <w:rFonts w:eastAsia="Arial Unicode MS"/>
          <w:sz w:val="14"/>
          <w:szCs w:val="14"/>
        </w:rPr>
        <w:t>,</w:t>
      </w:r>
      <w:r w:rsidR="00D31C46" w:rsidRPr="00D31C46">
        <w:rPr>
          <w:rFonts w:eastAsia="Arial Unicode MS"/>
          <w:sz w:val="14"/>
          <w:szCs w:val="14"/>
        </w:rPr>
        <w:t>152</w:t>
      </w:r>
      <w:r w:rsidR="00C701D6" w:rsidRPr="00D31C46">
        <w:rPr>
          <w:rFonts w:eastAsia="Arial Unicode MS"/>
          <w:sz w:val="14"/>
          <w:szCs w:val="14"/>
        </w:rPr>
        <w:t xml:space="preserve"> TL (31 Aralık 201</w:t>
      </w:r>
      <w:r w:rsidR="005A12B2" w:rsidRPr="00D31C46">
        <w:rPr>
          <w:rFonts w:eastAsia="Arial Unicode MS"/>
          <w:sz w:val="14"/>
          <w:szCs w:val="14"/>
        </w:rPr>
        <w:t>9</w:t>
      </w:r>
      <w:r w:rsidR="00C701D6" w:rsidRPr="00D31C46">
        <w:rPr>
          <w:rFonts w:eastAsia="Arial Unicode MS"/>
          <w:sz w:val="14"/>
          <w:szCs w:val="14"/>
        </w:rPr>
        <w:t xml:space="preserve"> – </w:t>
      </w:r>
      <w:r w:rsidR="005A12B2" w:rsidRPr="00D31C46">
        <w:rPr>
          <w:rFonts w:eastAsia="Arial Unicode MS"/>
          <w:sz w:val="14"/>
          <w:szCs w:val="14"/>
        </w:rPr>
        <w:t>51,035</w:t>
      </w:r>
      <w:r w:rsidRPr="00D31C46">
        <w:rPr>
          <w:rFonts w:eastAsia="Arial Unicode MS"/>
          <w:sz w:val="14"/>
          <w:szCs w:val="14"/>
        </w:rPr>
        <w:t xml:space="preserve"> TL)</w:t>
      </w:r>
      <w:r w:rsidR="00064662" w:rsidRPr="00D31C46">
        <w:rPr>
          <w:rFonts w:eastAsia="Arial Unicode MS"/>
          <w:sz w:val="14"/>
          <w:szCs w:val="14"/>
        </w:rPr>
        <w:t xml:space="preserve"> diğer karşılığına</w:t>
      </w:r>
      <w:r w:rsidR="001D286D" w:rsidRPr="00D31C46">
        <w:rPr>
          <w:rFonts w:eastAsia="Arial Unicode MS"/>
          <w:sz w:val="14"/>
          <w:szCs w:val="14"/>
        </w:rPr>
        <w:t xml:space="preserve"> </w:t>
      </w:r>
      <w:r w:rsidRPr="00D31C46">
        <w:rPr>
          <w:rFonts w:eastAsia="Arial Unicode MS"/>
          <w:sz w:val="14"/>
          <w:szCs w:val="14"/>
        </w:rPr>
        <w:t xml:space="preserve">ilişkin tutardır. </w:t>
      </w:r>
      <w:r w:rsidRPr="00D31C46">
        <w:rPr>
          <w:rFonts w:eastAsia="Arial Unicode MS"/>
          <w:sz w:val="14"/>
          <w:szCs w:val="14"/>
        </w:rPr>
        <w:cr/>
      </w:r>
    </w:p>
    <w:p w14:paraId="66ED7E35" w14:textId="77777777" w:rsidR="00B03F95" w:rsidRPr="00D31C46" w:rsidRDefault="00B03F95" w:rsidP="00733A4B">
      <w:pPr>
        <w:pStyle w:val="ListParagraph"/>
        <w:ind w:left="0"/>
        <w:rPr>
          <w:rFonts w:eastAsia="Arial Unicode MS"/>
          <w:sz w:val="14"/>
          <w:szCs w:val="14"/>
        </w:rPr>
      </w:pPr>
    </w:p>
    <w:p w14:paraId="400F95E3" w14:textId="77777777" w:rsidR="006F5F0C" w:rsidRPr="00270CE6" w:rsidRDefault="006F5F0C" w:rsidP="00BD0E3C">
      <w:pPr>
        <w:tabs>
          <w:tab w:val="num" w:pos="2340"/>
          <w:tab w:val="num" w:pos="3060"/>
        </w:tabs>
        <w:autoSpaceDE w:val="0"/>
        <w:autoSpaceDN w:val="0"/>
        <w:adjustRightInd w:val="0"/>
        <w:ind w:hanging="567"/>
        <w:rPr>
          <w:b/>
          <w:sz w:val="16"/>
          <w:szCs w:val="16"/>
          <w:highlight w:val="yellow"/>
        </w:rPr>
      </w:pPr>
    </w:p>
    <w:p w14:paraId="30F60F1D" w14:textId="77777777" w:rsidR="00033391" w:rsidRPr="006D5E26" w:rsidRDefault="00A023D6" w:rsidP="00BD0E3C">
      <w:pPr>
        <w:tabs>
          <w:tab w:val="num" w:pos="2340"/>
          <w:tab w:val="num" w:pos="3060"/>
        </w:tabs>
        <w:autoSpaceDE w:val="0"/>
        <w:autoSpaceDN w:val="0"/>
        <w:adjustRightInd w:val="0"/>
        <w:ind w:hanging="567"/>
        <w:rPr>
          <w:color w:val="000000"/>
        </w:rPr>
      </w:pPr>
      <w:r w:rsidRPr="00270CE6">
        <w:rPr>
          <w:b/>
          <w:color w:val="000000"/>
          <w:highlight w:val="yellow"/>
        </w:rPr>
        <w:br w:type="page"/>
      </w:r>
      <w:r w:rsidR="00BD0E3C" w:rsidRPr="006D5E26">
        <w:rPr>
          <w:b/>
          <w:color w:val="000000"/>
        </w:rPr>
        <w:lastRenderedPageBreak/>
        <w:t>2.7.</w:t>
      </w:r>
      <w:r w:rsidR="000C3626" w:rsidRPr="006D5E26">
        <w:rPr>
          <w:b/>
          <w:color w:val="000000"/>
        </w:rPr>
        <w:t>3</w:t>
      </w:r>
      <w:r w:rsidR="00BD0E3C" w:rsidRPr="006D5E26">
        <w:rPr>
          <w:color w:val="000000"/>
        </w:rPr>
        <w:tab/>
      </w:r>
      <w:r w:rsidR="00E253C8" w:rsidRPr="006D5E26">
        <w:rPr>
          <w:color w:val="000000"/>
        </w:rPr>
        <w:t>Çalışan hakları karşılığına ilişkin bilgiler:</w:t>
      </w:r>
    </w:p>
    <w:p w14:paraId="6AAEA9B8" w14:textId="77777777" w:rsidR="00E73302" w:rsidRPr="006D5E26" w:rsidRDefault="00E73302">
      <w:pPr>
        <w:pStyle w:val="EndnoteText"/>
        <w:ind w:left="720"/>
        <w:rPr>
          <w:rFonts w:eastAsia="Arial Unicode MS"/>
          <w:color w:val="000000"/>
          <w:sz w:val="2"/>
          <w:szCs w:val="16"/>
        </w:rPr>
      </w:pPr>
    </w:p>
    <w:p w14:paraId="49B1DE0C" w14:textId="77777777" w:rsidR="0054735C" w:rsidRPr="006D5E26" w:rsidRDefault="0054735C" w:rsidP="0054735C">
      <w:pPr>
        <w:pStyle w:val="EndnoteText"/>
        <w:jc w:val="both"/>
        <w:rPr>
          <w:rFonts w:eastAsia="Arial Unicode MS"/>
          <w:color w:val="000000"/>
          <w:sz w:val="16"/>
          <w:szCs w:val="16"/>
        </w:rPr>
      </w:pPr>
    </w:p>
    <w:p w14:paraId="47A042E8" w14:textId="6E523E05" w:rsidR="00F14270" w:rsidRPr="006D5E26" w:rsidRDefault="00F14270" w:rsidP="00F14270">
      <w:pPr>
        <w:pStyle w:val="EndnoteText"/>
        <w:jc w:val="both"/>
        <w:rPr>
          <w:rFonts w:eastAsia="Arial Unicode MS"/>
          <w:color w:val="000000"/>
          <w:spacing w:val="-8"/>
        </w:rPr>
      </w:pPr>
      <w:r w:rsidRPr="006D5E26">
        <w:rPr>
          <w:rFonts w:eastAsia="Arial Unicode MS"/>
          <w:color w:val="000000"/>
          <w:spacing w:val="-8"/>
        </w:rPr>
        <w:t xml:space="preserve">Bilançodaki çalışan hakları karşılığı, </w:t>
      </w:r>
      <w:r w:rsidR="00E57694" w:rsidRPr="006D5E26">
        <w:rPr>
          <w:rFonts w:eastAsia="Arial Unicode MS"/>
          <w:color w:val="000000"/>
          <w:spacing w:val="-8"/>
        </w:rPr>
        <w:t>1</w:t>
      </w:r>
      <w:r w:rsidR="00780C08" w:rsidRPr="006D5E26">
        <w:rPr>
          <w:rFonts w:eastAsia="Arial Unicode MS"/>
          <w:color w:val="000000"/>
          <w:spacing w:val="-8"/>
        </w:rPr>
        <w:t>3</w:t>
      </w:r>
      <w:r w:rsidR="008100B1" w:rsidRPr="006D5E26">
        <w:rPr>
          <w:rFonts w:eastAsia="Arial Unicode MS"/>
          <w:color w:val="000000"/>
          <w:spacing w:val="-8"/>
        </w:rPr>
        <w:t>7</w:t>
      </w:r>
      <w:r w:rsidR="00E57694" w:rsidRPr="006D5E26">
        <w:rPr>
          <w:rFonts w:eastAsia="Arial Unicode MS"/>
          <w:color w:val="000000"/>
          <w:spacing w:val="-8"/>
        </w:rPr>
        <w:t>,</w:t>
      </w:r>
      <w:r w:rsidR="008100B1" w:rsidRPr="006D5E26">
        <w:rPr>
          <w:rFonts w:eastAsia="Arial Unicode MS"/>
          <w:color w:val="000000"/>
          <w:spacing w:val="-8"/>
        </w:rPr>
        <w:t>884</w:t>
      </w:r>
      <w:r w:rsidR="00C6449C" w:rsidRPr="006D5E26">
        <w:rPr>
          <w:rFonts w:eastAsia="Arial Unicode MS"/>
          <w:color w:val="000000"/>
          <w:spacing w:val="-8"/>
        </w:rPr>
        <w:t xml:space="preserve"> TL (31 Aralık </w:t>
      </w:r>
      <w:proofErr w:type="gramStart"/>
      <w:r w:rsidR="00C6449C" w:rsidRPr="006D5E26">
        <w:rPr>
          <w:rFonts w:eastAsia="Arial Unicode MS"/>
          <w:color w:val="000000"/>
          <w:spacing w:val="-8"/>
        </w:rPr>
        <w:t>201</w:t>
      </w:r>
      <w:r w:rsidR="005A12B2" w:rsidRPr="006D5E26">
        <w:rPr>
          <w:rFonts w:eastAsia="Arial Unicode MS"/>
          <w:color w:val="000000"/>
          <w:spacing w:val="-8"/>
        </w:rPr>
        <w:t>9</w:t>
      </w:r>
      <w:r w:rsidR="00C6449C" w:rsidRPr="006D5E26">
        <w:rPr>
          <w:rFonts w:eastAsia="Arial Unicode MS"/>
          <w:color w:val="000000"/>
          <w:spacing w:val="-8"/>
        </w:rPr>
        <w:t xml:space="preserve"> -</w:t>
      </w:r>
      <w:proofErr w:type="gramEnd"/>
      <w:r w:rsidR="00C6449C" w:rsidRPr="006D5E26">
        <w:rPr>
          <w:rFonts w:eastAsia="Arial Unicode MS"/>
          <w:color w:val="000000"/>
          <w:spacing w:val="-8"/>
        </w:rPr>
        <w:t xml:space="preserve"> </w:t>
      </w:r>
      <w:r w:rsidR="005A12B2" w:rsidRPr="006D5E26">
        <w:rPr>
          <w:rFonts w:eastAsia="Arial Unicode MS"/>
          <w:color w:val="000000"/>
          <w:spacing w:val="-8"/>
        </w:rPr>
        <w:t xml:space="preserve">115,461 </w:t>
      </w:r>
      <w:r w:rsidRPr="006D5E26">
        <w:rPr>
          <w:rFonts w:eastAsia="Arial Unicode MS"/>
          <w:color w:val="000000"/>
          <w:spacing w:val="-8"/>
        </w:rPr>
        <w:t xml:space="preserve">TL) kıdem tazminatı yükümlülüklerini, </w:t>
      </w:r>
      <w:r w:rsidR="008100B1" w:rsidRPr="006D5E26">
        <w:rPr>
          <w:rFonts w:eastAsia="Arial Unicode MS"/>
          <w:color w:val="000000"/>
          <w:spacing w:val="-8"/>
        </w:rPr>
        <w:t>5</w:t>
      </w:r>
      <w:r w:rsidR="00E57694" w:rsidRPr="006D5E26">
        <w:rPr>
          <w:rFonts w:eastAsia="Arial Unicode MS"/>
          <w:color w:val="000000"/>
          <w:spacing w:val="-8"/>
        </w:rPr>
        <w:t>,</w:t>
      </w:r>
      <w:r w:rsidR="008100B1" w:rsidRPr="006D5E26">
        <w:rPr>
          <w:rFonts w:eastAsia="Arial Unicode MS"/>
          <w:color w:val="000000"/>
          <w:spacing w:val="-8"/>
        </w:rPr>
        <w:t>633</w:t>
      </w:r>
      <w:r w:rsidR="00C6449C" w:rsidRPr="006D5E26">
        <w:rPr>
          <w:rFonts w:eastAsia="Arial Unicode MS"/>
          <w:color w:val="000000"/>
          <w:spacing w:val="-8"/>
        </w:rPr>
        <w:t xml:space="preserve"> TL    (31 Aralık 201</w:t>
      </w:r>
      <w:r w:rsidR="005A12B2" w:rsidRPr="006D5E26">
        <w:rPr>
          <w:rFonts w:eastAsia="Arial Unicode MS"/>
          <w:color w:val="000000"/>
          <w:spacing w:val="-8"/>
        </w:rPr>
        <w:t>9</w:t>
      </w:r>
      <w:r w:rsidR="00C6449C" w:rsidRPr="006D5E26">
        <w:rPr>
          <w:rFonts w:eastAsia="Arial Unicode MS"/>
          <w:color w:val="000000"/>
          <w:spacing w:val="-8"/>
        </w:rPr>
        <w:t xml:space="preserve"> – </w:t>
      </w:r>
      <w:r w:rsidR="005A12B2" w:rsidRPr="006D5E26">
        <w:rPr>
          <w:rFonts w:eastAsia="Arial Unicode MS"/>
          <w:color w:val="000000"/>
          <w:spacing w:val="-8"/>
        </w:rPr>
        <w:t>712</w:t>
      </w:r>
      <w:r w:rsidRPr="006D5E26">
        <w:rPr>
          <w:rFonts w:eastAsia="Arial Unicode MS"/>
          <w:color w:val="000000"/>
          <w:spacing w:val="-8"/>
        </w:rPr>
        <w:t xml:space="preserve"> TL) hesaplanan izin ücretlerini, </w:t>
      </w:r>
      <w:r w:rsidR="006D5E26" w:rsidRPr="006D5E26">
        <w:rPr>
          <w:rFonts w:eastAsia="Arial Unicode MS"/>
          <w:color w:val="000000"/>
          <w:spacing w:val="-8"/>
        </w:rPr>
        <w:t>84</w:t>
      </w:r>
      <w:r w:rsidR="00B01CE8" w:rsidRPr="006D5E26">
        <w:rPr>
          <w:rFonts w:eastAsia="Arial Unicode MS"/>
          <w:color w:val="000000"/>
          <w:spacing w:val="-8"/>
        </w:rPr>
        <w:t>,</w:t>
      </w:r>
      <w:r w:rsidR="006D5E26" w:rsidRPr="006D5E26">
        <w:rPr>
          <w:rFonts w:eastAsia="Arial Unicode MS"/>
          <w:color w:val="000000"/>
          <w:spacing w:val="-8"/>
        </w:rPr>
        <w:t>895</w:t>
      </w:r>
      <w:r w:rsidR="00C6449C" w:rsidRPr="006D5E26">
        <w:rPr>
          <w:rFonts w:eastAsia="Arial Unicode MS"/>
          <w:color w:val="000000"/>
          <w:spacing w:val="-8"/>
        </w:rPr>
        <w:t xml:space="preserve"> TL (31 Aralık 201</w:t>
      </w:r>
      <w:r w:rsidR="005A12B2" w:rsidRPr="006D5E26">
        <w:rPr>
          <w:rFonts w:eastAsia="Arial Unicode MS"/>
          <w:color w:val="000000"/>
          <w:spacing w:val="-8"/>
        </w:rPr>
        <w:t>9</w:t>
      </w:r>
      <w:r w:rsidR="00C6449C" w:rsidRPr="006D5E26">
        <w:rPr>
          <w:rFonts w:eastAsia="Arial Unicode MS"/>
          <w:color w:val="000000"/>
          <w:spacing w:val="-8"/>
        </w:rPr>
        <w:t xml:space="preserve"> – </w:t>
      </w:r>
      <w:r w:rsidR="005A12B2" w:rsidRPr="006D5E26">
        <w:rPr>
          <w:rFonts w:eastAsia="Arial Unicode MS"/>
          <w:color w:val="000000"/>
          <w:spacing w:val="-8"/>
        </w:rPr>
        <w:t>109,912</w:t>
      </w:r>
      <w:r w:rsidRPr="006D5E26">
        <w:rPr>
          <w:rFonts w:eastAsia="Arial Unicode MS"/>
          <w:color w:val="000000"/>
          <w:spacing w:val="-8"/>
        </w:rPr>
        <w:t xml:space="preserve"> TL) performans primi karşılığını ve </w:t>
      </w:r>
      <w:r w:rsidR="00500E6C" w:rsidRPr="006D5E26">
        <w:rPr>
          <w:rFonts w:eastAsia="Arial Unicode MS"/>
          <w:color w:val="000000"/>
          <w:spacing w:val="-8"/>
        </w:rPr>
        <w:t>6</w:t>
      </w:r>
      <w:r w:rsidR="006D5E26" w:rsidRPr="006D5E26">
        <w:rPr>
          <w:rFonts w:eastAsia="Arial Unicode MS"/>
          <w:color w:val="000000"/>
          <w:spacing w:val="-8"/>
        </w:rPr>
        <w:t>6</w:t>
      </w:r>
      <w:r w:rsidR="00500E6C" w:rsidRPr="006D5E26">
        <w:rPr>
          <w:rFonts w:eastAsia="Arial Unicode MS"/>
          <w:color w:val="000000"/>
          <w:spacing w:val="-8"/>
        </w:rPr>
        <w:t>,</w:t>
      </w:r>
      <w:r w:rsidR="006D5E26" w:rsidRPr="006D5E26">
        <w:rPr>
          <w:rFonts w:eastAsia="Arial Unicode MS"/>
          <w:color w:val="000000"/>
          <w:spacing w:val="-8"/>
        </w:rPr>
        <w:t>098</w:t>
      </w:r>
      <w:r w:rsidRPr="006D5E26">
        <w:rPr>
          <w:rFonts w:eastAsia="Arial Unicode MS"/>
          <w:color w:val="000000"/>
          <w:spacing w:val="-8"/>
        </w:rPr>
        <w:t xml:space="preserve"> TL (31 Aralık 20</w:t>
      </w:r>
      <w:r w:rsidR="00C6449C" w:rsidRPr="006D5E26">
        <w:rPr>
          <w:rFonts w:eastAsia="Arial Unicode MS"/>
          <w:color w:val="000000"/>
          <w:spacing w:val="-8"/>
        </w:rPr>
        <w:t>1</w:t>
      </w:r>
      <w:r w:rsidR="005A12B2" w:rsidRPr="006D5E26">
        <w:rPr>
          <w:rFonts w:eastAsia="Arial Unicode MS"/>
          <w:color w:val="000000"/>
          <w:spacing w:val="-8"/>
        </w:rPr>
        <w:t>9</w:t>
      </w:r>
      <w:r w:rsidR="00C6449C" w:rsidRPr="006D5E26">
        <w:rPr>
          <w:rFonts w:eastAsia="Arial Unicode MS"/>
          <w:color w:val="000000"/>
          <w:spacing w:val="-8"/>
        </w:rPr>
        <w:t xml:space="preserve"> - </w:t>
      </w:r>
      <w:r w:rsidR="005A12B2" w:rsidRPr="006D5E26">
        <w:rPr>
          <w:rFonts w:eastAsia="Arial Unicode MS"/>
          <w:color w:val="000000"/>
          <w:spacing w:val="-8"/>
        </w:rPr>
        <w:t>63,437</w:t>
      </w:r>
      <w:r w:rsidRPr="006D5E26">
        <w:rPr>
          <w:rFonts w:eastAsia="Arial Unicode MS"/>
          <w:color w:val="000000"/>
          <w:spacing w:val="-8"/>
        </w:rPr>
        <w:t xml:space="preserve"> TL) emeklil</w:t>
      </w:r>
      <w:r w:rsidR="001D286D" w:rsidRPr="006D5E26">
        <w:rPr>
          <w:rFonts w:eastAsia="Arial Unicode MS"/>
          <w:color w:val="000000"/>
          <w:spacing w:val="-8"/>
        </w:rPr>
        <w:t>ik ikramiye ödeme karşılığını,</w:t>
      </w:r>
      <w:r w:rsidRPr="006D5E26">
        <w:rPr>
          <w:rFonts w:eastAsia="Arial Unicode MS"/>
          <w:color w:val="000000"/>
          <w:spacing w:val="-8"/>
        </w:rPr>
        <w:t xml:space="preserve"> </w:t>
      </w:r>
      <w:r w:rsidR="006D5E26" w:rsidRPr="006D5E26">
        <w:rPr>
          <w:rFonts w:eastAsia="Arial Unicode MS"/>
          <w:color w:val="000000"/>
          <w:spacing w:val="-8"/>
        </w:rPr>
        <w:t>11</w:t>
      </w:r>
      <w:r w:rsidR="00500E6C" w:rsidRPr="006D5E26">
        <w:rPr>
          <w:rFonts w:eastAsia="Arial Unicode MS"/>
          <w:color w:val="000000"/>
          <w:spacing w:val="-8"/>
        </w:rPr>
        <w:t>,</w:t>
      </w:r>
      <w:r w:rsidR="006D5E26" w:rsidRPr="006D5E26">
        <w:rPr>
          <w:rFonts w:eastAsia="Arial Unicode MS"/>
          <w:color w:val="000000"/>
          <w:spacing w:val="-8"/>
        </w:rPr>
        <w:t>152</w:t>
      </w:r>
      <w:r w:rsidRPr="006D5E26">
        <w:rPr>
          <w:rFonts w:eastAsia="Arial Unicode MS"/>
          <w:color w:val="000000"/>
          <w:spacing w:val="-8"/>
        </w:rPr>
        <w:t xml:space="preserve"> TL</w:t>
      </w:r>
      <w:r w:rsidR="001D286D" w:rsidRPr="006D5E26">
        <w:rPr>
          <w:rFonts w:eastAsia="Arial Unicode MS"/>
          <w:color w:val="000000"/>
          <w:spacing w:val="-8"/>
        </w:rPr>
        <w:t xml:space="preserve"> (31 Aralık 201</w:t>
      </w:r>
      <w:r w:rsidR="005A12B2" w:rsidRPr="006D5E26">
        <w:rPr>
          <w:rFonts w:eastAsia="Arial Unicode MS"/>
          <w:color w:val="000000"/>
          <w:spacing w:val="-8"/>
        </w:rPr>
        <w:t>9</w:t>
      </w:r>
      <w:r w:rsidR="001D286D" w:rsidRPr="006D5E26">
        <w:rPr>
          <w:rFonts w:eastAsia="Arial Unicode MS"/>
          <w:color w:val="000000"/>
          <w:spacing w:val="-8"/>
        </w:rPr>
        <w:t xml:space="preserve"> - </w:t>
      </w:r>
      <w:r w:rsidR="005A12B2" w:rsidRPr="006D5E26">
        <w:rPr>
          <w:rFonts w:eastAsia="Arial Unicode MS"/>
          <w:color w:val="000000"/>
          <w:spacing w:val="-8"/>
        </w:rPr>
        <w:t>12,231</w:t>
      </w:r>
      <w:r w:rsidR="001D286D" w:rsidRPr="006D5E26">
        <w:rPr>
          <w:rFonts w:eastAsia="Arial Unicode MS"/>
          <w:color w:val="000000"/>
          <w:spacing w:val="-8"/>
        </w:rPr>
        <w:t xml:space="preserve"> TL)</w:t>
      </w:r>
      <w:r w:rsidRPr="006D5E26">
        <w:rPr>
          <w:rFonts w:eastAsia="Arial Unicode MS"/>
          <w:color w:val="000000"/>
          <w:spacing w:val="-8"/>
        </w:rPr>
        <w:t xml:space="preserve"> komite ücretleri karşılığını</w:t>
      </w:r>
      <w:r w:rsidR="00DB7B08" w:rsidRPr="006D5E26">
        <w:rPr>
          <w:rFonts w:eastAsia="Arial Unicode MS"/>
          <w:color w:val="000000"/>
          <w:spacing w:val="-8"/>
        </w:rPr>
        <w:t xml:space="preserve"> ve </w:t>
      </w:r>
      <w:r w:rsidR="00E57694" w:rsidRPr="006D5E26">
        <w:rPr>
          <w:rFonts w:eastAsia="Arial Unicode MS"/>
          <w:color w:val="000000"/>
          <w:spacing w:val="-8"/>
        </w:rPr>
        <w:t>2</w:t>
      </w:r>
      <w:r w:rsidR="006D5E26" w:rsidRPr="006D5E26">
        <w:rPr>
          <w:rFonts w:eastAsia="Arial Unicode MS"/>
          <w:color w:val="000000"/>
          <w:spacing w:val="-8"/>
        </w:rPr>
        <w:t>57</w:t>
      </w:r>
      <w:r w:rsidR="001D286D" w:rsidRPr="006D5E26">
        <w:rPr>
          <w:rFonts w:eastAsia="Arial Unicode MS"/>
          <w:color w:val="000000"/>
          <w:spacing w:val="-8"/>
        </w:rPr>
        <w:t xml:space="preserve"> TL </w:t>
      </w:r>
      <w:r w:rsidR="001D286D" w:rsidRPr="006D5E26">
        <w:rPr>
          <w:rFonts w:eastAsia="Arial Unicode MS"/>
          <w:color w:val="000000"/>
        </w:rPr>
        <w:t>(31 Aralık 201</w:t>
      </w:r>
      <w:r w:rsidR="005A12B2" w:rsidRPr="006D5E26">
        <w:rPr>
          <w:rFonts w:eastAsia="Arial Unicode MS"/>
          <w:color w:val="000000"/>
        </w:rPr>
        <w:t>9</w:t>
      </w:r>
      <w:r w:rsidR="001D286D" w:rsidRPr="006D5E26">
        <w:rPr>
          <w:rFonts w:eastAsia="Arial Unicode MS"/>
          <w:color w:val="000000"/>
        </w:rPr>
        <w:t xml:space="preserve"> – </w:t>
      </w:r>
      <w:r w:rsidR="005A12B2" w:rsidRPr="006D5E26">
        <w:rPr>
          <w:rFonts w:eastAsia="Arial Unicode MS"/>
          <w:color w:val="000000"/>
          <w:spacing w:val="-8"/>
        </w:rPr>
        <w:t>196</w:t>
      </w:r>
      <w:r w:rsidR="001D286D" w:rsidRPr="006D5E26">
        <w:rPr>
          <w:rFonts w:eastAsia="Arial Unicode MS"/>
          <w:color w:val="000000"/>
        </w:rPr>
        <w:t xml:space="preserve"> TL) </w:t>
      </w:r>
      <w:r w:rsidR="001D286D" w:rsidRPr="006D5E26">
        <w:rPr>
          <w:rFonts w:eastAsia="Arial Unicode MS"/>
          <w:color w:val="000000"/>
          <w:spacing w:val="-8"/>
        </w:rPr>
        <w:t xml:space="preserve"> ise diğer ücretler karşılığını</w:t>
      </w:r>
      <w:r w:rsidRPr="006D5E26">
        <w:rPr>
          <w:rFonts w:eastAsia="Arial Unicode MS"/>
          <w:color w:val="000000"/>
          <w:spacing w:val="-8"/>
        </w:rPr>
        <w:t xml:space="preserve"> i</w:t>
      </w:r>
      <w:r w:rsidR="001D286D" w:rsidRPr="006D5E26">
        <w:rPr>
          <w:rFonts w:eastAsia="Arial Unicode MS"/>
          <w:color w:val="000000"/>
          <w:spacing w:val="-8"/>
        </w:rPr>
        <w:t xml:space="preserve">çermektedir. </w:t>
      </w:r>
    </w:p>
    <w:p w14:paraId="6A33A23C" w14:textId="77777777" w:rsidR="00F14270" w:rsidRPr="006D5E26" w:rsidRDefault="00F14270" w:rsidP="00F14270">
      <w:pPr>
        <w:pStyle w:val="EndnoteText"/>
        <w:ind w:left="720"/>
        <w:jc w:val="both"/>
        <w:rPr>
          <w:rFonts w:eastAsia="Arial Unicode MS"/>
          <w:color w:val="000000"/>
          <w:sz w:val="16"/>
          <w:szCs w:val="16"/>
        </w:rPr>
      </w:pPr>
    </w:p>
    <w:p w14:paraId="59E3BD79" w14:textId="77777777" w:rsidR="00F14270" w:rsidRPr="006D5E26" w:rsidRDefault="00F14270" w:rsidP="00F14270">
      <w:pPr>
        <w:pStyle w:val="BodyTextIndent"/>
        <w:ind w:left="0" w:firstLine="0"/>
        <w:rPr>
          <w:rFonts w:eastAsia="Arial Unicode MS"/>
          <w:color w:val="000000"/>
          <w:spacing w:val="-6"/>
        </w:rPr>
      </w:pPr>
      <w:r w:rsidRPr="006D5E26">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10E8B775" w14:textId="77777777" w:rsidR="00F14270" w:rsidRPr="006D5E26" w:rsidRDefault="00F14270" w:rsidP="00F14270">
      <w:pPr>
        <w:pStyle w:val="BodyTextIndent"/>
        <w:ind w:left="0" w:firstLine="0"/>
        <w:rPr>
          <w:rFonts w:eastAsia="Arial Unicode MS"/>
          <w:b/>
          <w:color w:val="000000"/>
          <w:sz w:val="16"/>
          <w:szCs w:val="16"/>
        </w:rPr>
      </w:pPr>
    </w:p>
    <w:p w14:paraId="4AD2B794" w14:textId="7D952C6E" w:rsidR="00F14270" w:rsidRPr="006D5E26" w:rsidRDefault="00F14270" w:rsidP="00F14270">
      <w:pPr>
        <w:pStyle w:val="BodyTextIndent"/>
        <w:ind w:left="0" w:firstLine="0"/>
        <w:rPr>
          <w:rFonts w:eastAsia="Arial Unicode MS"/>
          <w:color w:val="000000"/>
        </w:rPr>
      </w:pPr>
      <w:r w:rsidRPr="006D5E26">
        <w:rPr>
          <w:rFonts w:eastAsia="Arial Unicode MS"/>
          <w:color w:val="000000"/>
        </w:rPr>
        <w:t xml:space="preserve">Ödenecek tazminat her hizmet yılı için bir aylık maaş kadardır ve bu tutar </w:t>
      </w:r>
      <w:r w:rsidR="009B4D8C" w:rsidRPr="006D5E26">
        <w:rPr>
          <w:rFonts w:eastAsia="Arial Unicode MS"/>
          <w:color w:val="000000"/>
        </w:rPr>
        <w:t>6</w:t>
      </w:r>
      <w:r w:rsidR="00515434" w:rsidRPr="006D5E26">
        <w:rPr>
          <w:rFonts w:eastAsia="Arial Unicode MS"/>
          <w:color w:val="000000"/>
        </w:rPr>
        <w:t>,</w:t>
      </w:r>
      <w:r w:rsidR="00AA735A" w:rsidRPr="006D5E26">
        <w:rPr>
          <w:rFonts w:eastAsia="Arial Unicode MS"/>
          <w:color w:val="000000"/>
        </w:rPr>
        <w:t>730</w:t>
      </w:r>
      <w:r w:rsidR="00814542" w:rsidRPr="006D5E26">
        <w:rPr>
          <w:rFonts w:eastAsia="Arial Unicode MS"/>
          <w:color w:val="000000"/>
        </w:rPr>
        <w:t>,</w:t>
      </w:r>
      <w:r w:rsidR="00AA735A" w:rsidRPr="006D5E26">
        <w:rPr>
          <w:rFonts w:eastAsia="Arial Unicode MS"/>
          <w:color w:val="000000"/>
        </w:rPr>
        <w:t>15</w:t>
      </w:r>
      <w:r w:rsidR="00515434" w:rsidRPr="006D5E26">
        <w:rPr>
          <w:rFonts w:eastAsia="Arial Unicode MS"/>
          <w:color w:val="000000"/>
        </w:rPr>
        <w:t xml:space="preserve"> </w:t>
      </w:r>
      <w:r w:rsidR="00C6449C" w:rsidRPr="006D5E26">
        <w:rPr>
          <w:rFonts w:eastAsia="Arial Unicode MS"/>
          <w:color w:val="000000"/>
        </w:rPr>
        <w:t>TL</w:t>
      </w:r>
      <w:r w:rsidR="009B4D8C" w:rsidRPr="006D5E26">
        <w:rPr>
          <w:rFonts w:eastAsia="Arial Unicode MS"/>
          <w:color w:val="000000"/>
        </w:rPr>
        <w:t xml:space="preserve"> (tam TL tutardır) </w:t>
      </w:r>
      <w:proofErr w:type="gramStart"/>
      <w:r w:rsidR="009B4D8C" w:rsidRPr="006D5E26">
        <w:rPr>
          <w:rFonts w:eastAsia="Arial Unicode MS"/>
          <w:color w:val="000000"/>
        </w:rPr>
        <w:t>( 3</w:t>
      </w:r>
      <w:r w:rsidR="00C6449C" w:rsidRPr="006D5E26">
        <w:rPr>
          <w:rFonts w:eastAsia="Arial Unicode MS"/>
          <w:color w:val="000000"/>
        </w:rPr>
        <w:t>1</w:t>
      </w:r>
      <w:proofErr w:type="gramEnd"/>
      <w:r w:rsidR="00C6449C" w:rsidRPr="006D5E26">
        <w:rPr>
          <w:rFonts w:eastAsia="Arial Unicode MS"/>
          <w:color w:val="000000"/>
        </w:rPr>
        <w:t xml:space="preserve"> Aralık 201</w:t>
      </w:r>
      <w:r w:rsidR="005A12B2" w:rsidRPr="006D5E26">
        <w:rPr>
          <w:rFonts w:eastAsia="Arial Unicode MS"/>
          <w:color w:val="000000"/>
        </w:rPr>
        <w:t>9</w:t>
      </w:r>
      <w:r w:rsidR="00C6449C" w:rsidRPr="006D5E26">
        <w:rPr>
          <w:rFonts w:eastAsia="Arial Unicode MS"/>
          <w:color w:val="000000"/>
        </w:rPr>
        <w:t xml:space="preserve"> – </w:t>
      </w:r>
      <w:r w:rsidR="005A12B2" w:rsidRPr="006D5E26">
        <w:rPr>
          <w:rFonts w:eastAsia="Arial Unicode MS"/>
          <w:color w:val="000000"/>
        </w:rPr>
        <w:t xml:space="preserve">6,379,86 </w:t>
      </w:r>
      <w:r w:rsidRPr="006D5E26">
        <w:rPr>
          <w:rFonts w:eastAsia="Arial Unicode MS"/>
          <w:color w:val="000000"/>
        </w:rPr>
        <w:t>TL</w:t>
      </w:r>
      <w:r w:rsidR="009B4D8C" w:rsidRPr="006D5E26">
        <w:rPr>
          <w:rFonts w:eastAsia="Arial Unicode MS"/>
          <w:color w:val="000000"/>
        </w:rPr>
        <w:t xml:space="preserve"> (tam TL tutardır)</w:t>
      </w:r>
      <w:r w:rsidRPr="006D5E26">
        <w:rPr>
          <w:rFonts w:eastAsia="Arial Unicode MS"/>
          <w:color w:val="000000"/>
        </w:rPr>
        <w:t>) ile sınırlandırılmıştır. Kıdem tazminatı yükümlülüğü yasal olarak herhangi bir fonlamaya tabi değildir ve herhangi bir fonlama şartı bulunmamaktadır.</w:t>
      </w:r>
    </w:p>
    <w:p w14:paraId="10D98BD3" w14:textId="77777777" w:rsidR="008A39F1" w:rsidRPr="006D5E26" w:rsidRDefault="008A39F1" w:rsidP="00F14270">
      <w:pPr>
        <w:pStyle w:val="BodyTextIndent"/>
        <w:ind w:left="720" w:firstLine="0"/>
        <w:rPr>
          <w:rFonts w:eastAsia="Arial Unicode MS"/>
          <w:color w:val="000000"/>
          <w:sz w:val="16"/>
        </w:rPr>
      </w:pPr>
    </w:p>
    <w:p w14:paraId="04D5D614" w14:textId="77777777" w:rsidR="00F14270" w:rsidRPr="006D5E26" w:rsidRDefault="00F14270" w:rsidP="00F14270">
      <w:pPr>
        <w:pStyle w:val="BodyTextIndent"/>
        <w:ind w:left="0" w:firstLine="0"/>
        <w:rPr>
          <w:rFonts w:eastAsia="Arial Unicode MS"/>
          <w:color w:val="000000"/>
          <w:spacing w:val="-6"/>
        </w:rPr>
      </w:pPr>
      <w:r w:rsidRPr="006D5E26">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6D5E26">
        <w:rPr>
          <w:rFonts w:eastAsia="Arial Unicode MS"/>
          <w:color w:val="000000"/>
          <w:spacing w:val="-6"/>
        </w:rPr>
        <w:t>aktüeryal</w:t>
      </w:r>
      <w:proofErr w:type="spellEnd"/>
      <w:r w:rsidRPr="006D5E26">
        <w:rPr>
          <w:rFonts w:eastAsia="Arial Unicode MS"/>
          <w:color w:val="000000"/>
          <w:spacing w:val="-6"/>
        </w:rPr>
        <w:t xml:space="preserve"> değerleme yöntemlerinin kullanımını gerekli kılmaktadır. Bu bağlamda, toplam yükümlülüklerin hesaplanmasında aşağıdaki </w:t>
      </w:r>
      <w:proofErr w:type="spellStart"/>
      <w:r w:rsidRPr="006D5E26">
        <w:rPr>
          <w:rFonts w:eastAsia="Arial Unicode MS"/>
          <w:color w:val="000000"/>
          <w:spacing w:val="-6"/>
        </w:rPr>
        <w:t>aktüeryel</w:t>
      </w:r>
      <w:proofErr w:type="spellEnd"/>
      <w:r w:rsidRPr="006D5E26">
        <w:rPr>
          <w:rFonts w:eastAsia="Arial Unicode MS"/>
          <w:color w:val="000000"/>
          <w:spacing w:val="-6"/>
        </w:rPr>
        <w:t xml:space="preserve"> varsayımlar kullanılmıştır.</w:t>
      </w:r>
    </w:p>
    <w:p w14:paraId="4726BA32" w14:textId="4512460F" w:rsidR="00763F2C" w:rsidRPr="00D31C46" w:rsidRDefault="00763F2C" w:rsidP="00EB4BD1">
      <w:pPr>
        <w:pStyle w:val="BodyTextIndent"/>
        <w:ind w:left="0" w:firstLine="0"/>
        <w:rPr>
          <w:lang w:val="en-GB" w:eastAsia="en-GB"/>
        </w:rPr>
      </w:pPr>
    </w:p>
    <w:tbl>
      <w:tblPr>
        <w:tblW w:w="9214" w:type="dxa"/>
        <w:tblCellMar>
          <w:left w:w="70" w:type="dxa"/>
          <w:right w:w="70" w:type="dxa"/>
        </w:tblCellMar>
        <w:tblLook w:val="04A0" w:firstRow="1" w:lastRow="0" w:firstColumn="1" w:lastColumn="0" w:noHBand="0" w:noVBand="1"/>
      </w:tblPr>
      <w:tblGrid>
        <w:gridCol w:w="6243"/>
        <w:gridCol w:w="1613"/>
        <w:gridCol w:w="1358"/>
      </w:tblGrid>
      <w:tr w:rsidR="00763F2C" w:rsidRPr="00D31C46" w14:paraId="02426BA6" w14:textId="77777777" w:rsidTr="00B843E3">
        <w:trPr>
          <w:divId w:val="2095659395"/>
          <w:trHeight w:val="249"/>
        </w:trPr>
        <w:tc>
          <w:tcPr>
            <w:tcW w:w="6243" w:type="dxa"/>
            <w:tcBorders>
              <w:top w:val="double" w:sz="6" w:space="0" w:color="auto"/>
              <w:left w:val="nil"/>
              <w:bottom w:val="single" w:sz="8" w:space="0" w:color="auto"/>
              <w:right w:val="nil"/>
            </w:tcBorders>
            <w:shd w:val="clear" w:color="auto" w:fill="auto"/>
            <w:vAlign w:val="center"/>
            <w:hideMark/>
          </w:tcPr>
          <w:p w14:paraId="7A41A7C2" w14:textId="192BFA1C" w:rsidR="00763F2C" w:rsidRPr="00D31C46" w:rsidRDefault="00763F2C" w:rsidP="00763F2C">
            <w:pPr>
              <w:jc w:val="center"/>
              <w:rPr>
                <w:b/>
                <w:bCs/>
                <w:sz w:val="18"/>
                <w:szCs w:val="16"/>
                <w:lang w:eastAsia="tr-TR"/>
              </w:rPr>
            </w:pPr>
            <w:r w:rsidRPr="00D31C46">
              <w:rPr>
                <w:b/>
                <w:bCs/>
                <w:sz w:val="18"/>
                <w:szCs w:val="16"/>
                <w:lang w:eastAsia="tr-TR"/>
              </w:rPr>
              <w:t> </w:t>
            </w:r>
          </w:p>
        </w:tc>
        <w:tc>
          <w:tcPr>
            <w:tcW w:w="1613" w:type="dxa"/>
            <w:tcBorders>
              <w:top w:val="double" w:sz="6" w:space="0" w:color="auto"/>
              <w:left w:val="nil"/>
              <w:bottom w:val="single" w:sz="8" w:space="0" w:color="auto"/>
              <w:right w:val="nil"/>
            </w:tcBorders>
            <w:shd w:val="clear" w:color="auto" w:fill="auto"/>
            <w:vAlign w:val="center"/>
            <w:hideMark/>
          </w:tcPr>
          <w:p w14:paraId="43CDA986" w14:textId="77777777" w:rsidR="00763F2C" w:rsidRPr="00D31C46" w:rsidRDefault="00763F2C" w:rsidP="00763F2C">
            <w:pPr>
              <w:jc w:val="right"/>
              <w:rPr>
                <w:b/>
                <w:bCs/>
                <w:sz w:val="18"/>
                <w:szCs w:val="16"/>
                <w:lang w:eastAsia="tr-TR"/>
              </w:rPr>
            </w:pPr>
            <w:r w:rsidRPr="00D31C46">
              <w:rPr>
                <w:b/>
                <w:bCs/>
                <w:sz w:val="18"/>
                <w:szCs w:val="16"/>
                <w:lang w:eastAsia="tr-TR"/>
              </w:rPr>
              <w:t>Cari Dönem</w:t>
            </w:r>
          </w:p>
        </w:tc>
        <w:tc>
          <w:tcPr>
            <w:tcW w:w="1358" w:type="dxa"/>
            <w:tcBorders>
              <w:top w:val="double" w:sz="6" w:space="0" w:color="auto"/>
              <w:left w:val="nil"/>
              <w:bottom w:val="single" w:sz="8" w:space="0" w:color="auto"/>
              <w:right w:val="nil"/>
            </w:tcBorders>
            <w:shd w:val="clear" w:color="auto" w:fill="auto"/>
            <w:vAlign w:val="center"/>
            <w:hideMark/>
          </w:tcPr>
          <w:p w14:paraId="43ED50D2" w14:textId="77777777" w:rsidR="00763F2C" w:rsidRPr="00D31C46" w:rsidRDefault="00763F2C" w:rsidP="00763F2C">
            <w:pPr>
              <w:jc w:val="right"/>
              <w:rPr>
                <w:b/>
                <w:bCs/>
                <w:sz w:val="18"/>
                <w:szCs w:val="16"/>
                <w:lang w:eastAsia="tr-TR"/>
              </w:rPr>
            </w:pPr>
            <w:r w:rsidRPr="00D31C46">
              <w:rPr>
                <w:b/>
                <w:bCs/>
                <w:sz w:val="18"/>
                <w:szCs w:val="16"/>
                <w:lang w:eastAsia="tr-TR"/>
              </w:rPr>
              <w:t>Önceki Dönem</w:t>
            </w:r>
          </w:p>
        </w:tc>
      </w:tr>
      <w:tr w:rsidR="00763F2C" w:rsidRPr="00D31C46" w14:paraId="67DF02CC" w14:textId="77777777" w:rsidTr="00B843E3">
        <w:trPr>
          <w:divId w:val="2095659395"/>
          <w:trHeight w:val="233"/>
        </w:trPr>
        <w:tc>
          <w:tcPr>
            <w:tcW w:w="6243" w:type="dxa"/>
            <w:tcBorders>
              <w:top w:val="nil"/>
              <w:left w:val="nil"/>
              <w:bottom w:val="nil"/>
              <w:right w:val="nil"/>
            </w:tcBorders>
            <w:shd w:val="clear" w:color="auto" w:fill="auto"/>
            <w:noWrap/>
            <w:vAlign w:val="bottom"/>
            <w:hideMark/>
          </w:tcPr>
          <w:p w14:paraId="49286D3C" w14:textId="77777777" w:rsidR="00763F2C" w:rsidRPr="00D31C46" w:rsidRDefault="00763F2C" w:rsidP="00763F2C">
            <w:pPr>
              <w:jc w:val="both"/>
              <w:rPr>
                <w:rFonts w:eastAsia="Arial Unicode MS"/>
                <w:sz w:val="18"/>
                <w:szCs w:val="16"/>
                <w:lang w:eastAsia="tr-TR"/>
              </w:rPr>
            </w:pPr>
            <w:proofErr w:type="spellStart"/>
            <w:r w:rsidRPr="00D31C46">
              <w:rPr>
                <w:rFonts w:eastAsia="Arial Unicode MS"/>
                <w:sz w:val="18"/>
                <w:szCs w:val="16"/>
                <w:lang w:eastAsia="tr-TR"/>
              </w:rPr>
              <w:t>İskonto</w:t>
            </w:r>
            <w:proofErr w:type="spellEnd"/>
            <w:r w:rsidRPr="00D31C46">
              <w:rPr>
                <w:rFonts w:eastAsia="Arial Unicode MS"/>
                <w:sz w:val="18"/>
                <w:szCs w:val="16"/>
                <w:lang w:eastAsia="tr-TR"/>
              </w:rPr>
              <w:t xml:space="preserve"> oranı (%)</w:t>
            </w:r>
          </w:p>
        </w:tc>
        <w:tc>
          <w:tcPr>
            <w:tcW w:w="1613" w:type="dxa"/>
            <w:tcBorders>
              <w:top w:val="nil"/>
              <w:left w:val="nil"/>
              <w:bottom w:val="nil"/>
              <w:right w:val="nil"/>
            </w:tcBorders>
            <w:shd w:val="clear" w:color="auto" w:fill="auto"/>
            <w:vAlign w:val="center"/>
            <w:hideMark/>
          </w:tcPr>
          <w:p w14:paraId="2EF37DE7" w14:textId="77777777" w:rsidR="00763F2C" w:rsidRPr="00D31C46" w:rsidRDefault="00763F2C" w:rsidP="00763F2C">
            <w:pPr>
              <w:jc w:val="right"/>
              <w:rPr>
                <w:sz w:val="18"/>
                <w:szCs w:val="16"/>
                <w:lang w:eastAsia="tr-TR"/>
              </w:rPr>
            </w:pPr>
            <w:r w:rsidRPr="00D31C46">
              <w:rPr>
                <w:sz w:val="18"/>
                <w:szCs w:val="16"/>
                <w:lang w:eastAsia="tr-TR"/>
              </w:rPr>
              <w:t>12.10</w:t>
            </w:r>
          </w:p>
        </w:tc>
        <w:tc>
          <w:tcPr>
            <w:tcW w:w="1358" w:type="dxa"/>
            <w:tcBorders>
              <w:top w:val="nil"/>
              <w:left w:val="nil"/>
              <w:bottom w:val="nil"/>
              <w:right w:val="nil"/>
            </w:tcBorders>
            <w:shd w:val="clear" w:color="auto" w:fill="auto"/>
            <w:vAlign w:val="center"/>
            <w:hideMark/>
          </w:tcPr>
          <w:p w14:paraId="4E31CF00" w14:textId="77777777" w:rsidR="00763F2C" w:rsidRPr="00D31C46" w:rsidRDefault="00763F2C" w:rsidP="00763F2C">
            <w:pPr>
              <w:jc w:val="right"/>
              <w:rPr>
                <w:sz w:val="18"/>
                <w:szCs w:val="16"/>
                <w:lang w:eastAsia="tr-TR"/>
              </w:rPr>
            </w:pPr>
            <w:r w:rsidRPr="00D31C46">
              <w:rPr>
                <w:sz w:val="18"/>
                <w:szCs w:val="16"/>
                <w:lang w:eastAsia="tr-TR"/>
              </w:rPr>
              <w:t>12.10</w:t>
            </w:r>
          </w:p>
        </w:tc>
      </w:tr>
      <w:tr w:rsidR="00763F2C" w:rsidRPr="00D31C46" w14:paraId="61CA6FA6" w14:textId="77777777" w:rsidTr="00B843E3">
        <w:trPr>
          <w:divId w:val="2095659395"/>
          <w:trHeight w:val="233"/>
        </w:trPr>
        <w:tc>
          <w:tcPr>
            <w:tcW w:w="6243" w:type="dxa"/>
            <w:tcBorders>
              <w:top w:val="nil"/>
              <w:left w:val="nil"/>
              <w:bottom w:val="nil"/>
              <w:right w:val="nil"/>
            </w:tcBorders>
            <w:shd w:val="clear" w:color="auto" w:fill="auto"/>
            <w:noWrap/>
            <w:vAlign w:val="bottom"/>
            <w:hideMark/>
          </w:tcPr>
          <w:p w14:paraId="717B371B" w14:textId="77777777" w:rsidR="00763F2C" w:rsidRPr="00D31C46" w:rsidRDefault="00763F2C" w:rsidP="00763F2C">
            <w:pPr>
              <w:jc w:val="both"/>
              <w:rPr>
                <w:color w:val="000000"/>
                <w:sz w:val="16"/>
                <w:szCs w:val="16"/>
                <w:lang w:eastAsia="tr-TR"/>
              </w:rPr>
            </w:pPr>
            <w:proofErr w:type="gramStart"/>
            <w:r w:rsidRPr="00D31C46">
              <w:rPr>
                <w:rFonts w:eastAsia="Arial Unicode MS"/>
                <w:sz w:val="18"/>
                <w:szCs w:val="16"/>
                <w:lang w:eastAsia="tr-TR"/>
              </w:rPr>
              <w:t>Kar</w:t>
            </w:r>
            <w:proofErr w:type="gramEnd"/>
            <w:r w:rsidRPr="00D31C46">
              <w:rPr>
                <w:rFonts w:eastAsia="Arial Unicode MS"/>
                <w:sz w:val="18"/>
                <w:szCs w:val="16"/>
                <w:lang w:eastAsia="tr-TR"/>
              </w:rPr>
              <w:t xml:space="preserve"> payı oranı (%</w:t>
            </w:r>
            <w:r w:rsidRPr="00D31C46">
              <w:rPr>
                <w:color w:val="000000"/>
                <w:sz w:val="16"/>
                <w:szCs w:val="16"/>
                <w:lang w:eastAsia="tr-TR"/>
              </w:rPr>
              <w:t>)</w:t>
            </w:r>
          </w:p>
        </w:tc>
        <w:tc>
          <w:tcPr>
            <w:tcW w:w="1613" w:type="dxa"/>
            <w:tcBorders>
              <w:top w:val="nil"/>
              <w:left w:val="nil"/>
              <w:bottom w:val="nil"/>
              <w:right w:val="nil"/>
            </w:tcBorders>
            <w:shd w:val="clear" w:color="auto" w:fill="auto"/>
            <w:vAlign w:val="center"/>
            <w:hideMark/>
          </w:tcPr>
          <w:p w14:paraId="1EFDEF56" w14:textId="77777777" w:rsidR="00763F2C" w:rsidRPr="00D31C46" w:rsidRDefault="00763F2C" w:rsidP="00763F2C">
            <w:pPr>
              <w:jc w:val="right"/>
              <w:rPr>
                <w:sz w:val="18"/>
                <w:szCs w:val="16"/>
                <w:lang w:eastAsia="tr-TR"/>
              </w:rPr>
            </w:pPr>
            <w:r w:rsidRPr="00D31C46">
              <w:rPr>
                <w:sz w:val="18"/>
                <w:szCs w:val="16"/>
                <w:lang w:eastAsia="tr-TR"/>
              </w:rPr>
              <w:t>8.00</w:t>
            </w:r>
          </w:p>
        </w:tc>
        <w:tc>
          <w:tcPr>
            <w:tcW w:w="1358" w:type="dxa"/>
            <w:tcBorders>
              <w:top w:val="nil"/>
              <w:left w:val="nil"/>
              <w:bottom w:val="nil"/>
              <w:right w:val="nil"/>
            </w:tcBorders>
            <w:shd w:val="clear" w:color="auto" w:fill="auto"/>
            <w:vAlign w:val="center"/>
            <w:hideMark/>
          </w:tcPr>
          <w:p w14:paraId="0ED378B5" w14:textId="77777777" w:rsidR="00763F2C" w:rsidRPr="00D31C46" w:rsidRDefault="00763F2C" w:rsidP="00763F2C">
            <w:pPr>
              <w:jc w:val="right"/>
              <w:rPr>
                <w:sz w:val="18"/>
                <w:szCs w:val="16"/>
                <w:lang w:eastAsia="tr-TR"/>
              </w:rPr>
            </w:pPr>
            <w:r w:rsidRPr="00D31C46">
              <w:rPr>
                <w:sz w:val="18"/>
                <w:szCs w:val="16"/>
                <w:lang w:eastAsia="tr-TR"/>
              </w:rPr>
              <w:t>8.00</w:t>
            </w:r>
          </w:p>
        </w:tc>
      </w:tr>
      <w:tr w:rsidR="00763F2C" w:rsidRPr="00D31C46" w14:paraId="7BAC39A2" w14:textId="77777777" w:rsidTr="00B843E3">
        <w:trPr>
          <w:divId w:val="2095659395"/>
          <w:trHeight w:val="249"/>
        </w:trPr>
        <w:tc>
          <w:tcPr>
            <w:tcW w:w="6243" w:type="dxa"/>
            <w:tcBorders>
              <w:top w:val="nil"/>
              <w:left w:val="nil"/>
              <w:bottom w:val="double" w:sz="6" w:space="0" w:color="auto"/>
              <w:right w:val="nil"/>
            </w:tcBorders>
            <w:shd w:val="clear" w:color="auto" w:fill="auto"/>
            <w:noWrap/>
            <w:vAlign w:val="bottom"/>
            <w:hideMark/>
          </w:tcPr>
          <w:p w14:paraId="2E2A207A" w14:textId="77777777" w:rsidR="00763F2C" w:rsidRPr="00D31C46" w:rsidRDefault="00763F2C" w:rsidP="00763F2C">
            <w:pPr>
              <w:jc w:val="both"/>
              <w:rPr>
                <w:rFonts w:eastAsia="Arial Unicode MS"/>
                <w:sz w:val="18"/>
                <w:szCs w:val="16"/>
                <w:lang w:eastAsia="tr-TR"/>
              </w:rPr>
            </w:pPr>
            <w:r w:rsidRPr="00D31C46">
              <w:rPr>
                <w:rFonts w:eastAsia="Arial Unicode MS"/>
                <w:sz w:val="18"/>
                <w:szCs w:val="16"/>
                <w:lang w:eastAsia="tr-TR"/>
              </w:rPr>
              <w:t>Maaş artış oranı (%)</w:t>
            </w:r>
          </w:p>
        </w:tc>
        <w:tc>
          <w:tcPr>
            <w:tcW w:w="1613" w:type="dxa"/>
            <w:tcBorders>
              <w:top w:val="nil"/>
              <w:left w:val="nil"/>
              <w:bottom w:val="double" w:sz="6" w:space="0" w:color="auto"/>
              <w:right w:val="nil"/>
            </w:tcBorders>
            <w:shd w:val="clear" w:color="auto" w:fill="auto"/>
            <w:vAlign w:val="center"/>
            <w:hideMark/>
          </w:tcPr>
          <w:p w14:paraId="212CB4C0" w14:textId="77777777" w:rsidR="00763F2C" w:rsidRPr="00D31C46" w:rsidRDefault="00763F2C" w:rsidP="00763F2C">
            <w:pPr>
              <w:jc w:val="right"/>
              <w:rPr>
                <w:sz w:val="18"/>
                <w:szCs w:val="16"/>
                <w:lang w:eastAsia="tr-TR"/>
              </w:rPr>
            </w:pPr>
            <w:r w:rsidRPr="00D31C46">
              <w:rPr>
                <w:sz w:val="18"/>
                <w:szCs w:val="16"/>
                <w:lang w:eastAsia="tr-TR"/>
              </w:rPr>
              <w:t>13.50</w:t>
            </w:r>
          </w:p>
        </w:tc>
        <w:tc>
          <w:tcPr>
            <w:tcW w:w="1358" w:type="dxa"/>
            <w:tcBorders>
              <w:top w:val="nil"/>
              <w:left w:val="nil"/>
              <w:bottom w:val="double" w:sz="6" w:space="0" w:color="auto"/>
              <w:right w:val="nil"/>
            </w:tcBorders>
            <w:shd w:val="clear" w:color="auto" w:fill="auto"/>
            <w:vAlign w:val="center"/>
            <w:hideMark/>
          </w:tcPr>
          <w:p w14:paraId="4B1EE7B7" w14:textId="77777777" w:rsidR="00763F2C" w:rsidRPr="00D31C46" w:rsidRDefault="00763F2C" w:rsidP="00763F2C">
            <w:pPr>
              <w:jc w:val="right"/>
              <w:rPr>
                <w:sz w:val="18"/>
                <w:szCs w:val="16"/>
                <w:lang w:eastAsia="tr-TR"/>
              </w:rPr>
            </w:pPr>
            <w:r w:rsidRPr="00D31C46">
              <w:rPr>
                <w:sz w:val="18"/>
                <w:szCs w:val="16"/>
                <w:lang w:eastAsia="tr-TR"/>
              </w:rPr>
              <w:t>25.00</w:t>
            </w:r>
          </w:p>
        </w:tc>
      </w:tr>
    </w:tbl>
    <w:p w14:paraId="24E812B4" w14:textId="377CAD54" w:rsidR="00EB4BD1" w:rsidRPr="00D31C46" w:rsidRDefault="00EB4BD1" w:rsidP="00EB4BD1">
      <w:pPr>
        <w:pStyle w:val="BodyTextIndent"/>
        <w:ind w:left="0" w:firstLine="0"/>
        <w:rPr>
          <w:rFonts w:eastAsia="Arial Unicode MS"/>
        </w:rPr>
      </w:pPr>
    </w:p>
    <w:p w14:paraId="76225C07" w14:textId="77777777" w:rsidR="007F4BDF" w:rsidRPr="006D5E26" w:rsidRDefault="00E253C8" w:rsidP="005C6F27">
      <w:pPr>
        <w:pStyle w:val="BodyTextIndent"/>
        <w:jc w:val="left"/>
        <w:rPr>
          <w:rFonts w:eastAsia="Arial Unicode MS"/>
        </w:rPr>
      </w:pPr>
      <w:r w:rsidRPr="006D5E26">
        <w:rPr>
          <w:rFonts w:eastAsia="Arial Unicode MS"/>
        </w:rPr>
        <w:t>Kıdem tazminatı yükümlülüğünün hareket</w:t>
      </w:r>
      <w:r w:rsidR="00983400" w:rsidRPr="006D5E26">
        <w:rPr>
          <w:rFonts w:eastAsia="Arial Unicode MS"/>
        </w:rPr>
        <w:t xml:space="preserve"> tablosu</w:t>
      </w:r>
      <w:r w:rsidRPr="006D5E26">
        <w:rPr>
          <w:rFonts w:eastAsia="Arial Unicode MS"/>
        </w:rPr>
        <w:t xml:space="preserve"> aşağıdaki gibidir:</w:t>
      </w:r>
    </w:p>
    <w:p w14:paraId="490C0056" w14:textId="161B7C4F" w:rsidR="006D5E26" w:rsidRPr="00311DAB" w:rsidRDefault="006D5E26" w:rsidP="00617920">
      <w:pPr>
        <w:autoSpaceDE w:val="0"/>
        <w:autoSpaceDN w:val="0"/>
        <w:adjustRightInd w:val="0"/>
        <w:rPr>
          <w:lang w:eastAsia="en-GB"/>
        </w:rPr>
      </w:pPr>
    </w:p>
    <w:tbl>
      <w:tblPr>
        <w:tblW w:w="9214" w:type="dxa"/>
        <w:tblCellMar>
          <w:left w:w="70" w:type="dxa"/>
          <w:right w:w="70" w:type="dxa"/>
        </w:tblCellMar>
        <w:tblLook w:val="04A0" w:firstRow="1" w:lastRow="0" w:firstColumn="1" w:lastColumn="0" w:noHBand="0" w:noVBand="1"/>
      </w:tblPr>
      <w:tblGrid>
        <w:gridCol w:w="6231"/>
        <w:gridCol w:w="1610"/>
        <w:gridCol w:w="1373"/>
      </w:tblGrid>
      <w:tr w:rsidR="006D5E26" w:rsidRPr="006D5E26" w14:paraId="09B59A43" w14:textId="77777777" w:rsidTr="00B843E3">
        <w:trPr>
          <w:divId w:val="1804154088"/>
          <w:trHeight w:val="251"/>
        </w:trPr>
        <w:tc>
          <w:tcPr>
            <w:tcW w:w="6231" w:type="dxa"/>
            <w:tcBorders>
              <w:top w:val="double" w:sz="6" w:space="0" w:color="auto"/>
              <w:left w:val="nil"/>
              <w:bottom w:val="single" w:sz="8" w:space="0" w:color="auto"/>
              <w:right w:val="nil"/>
            </w:tcBorders>
            <w:shd w:val="clear" w:color="auto" w:fill="auto"/>
            <w:vAlign w:val="center"/>
            <w:hideMark/>
          </w:tcPr>
          <w:p w14:paraId="3E11C882" w14:textId="6C7E6C42" w:rsidR="006D5E26" w:rsidRPr="006D5E26" w:rsidRDefault="006D5E26" w:rsidP="006D5E26">
            <w:pPr>
              <w:jc w:val="center"/>
              <w:rPr>
                <w:b/>
                <w:bCs/>
                <w:sz w:val="18"/>
                <w:szCs w:val="16"/>
                <w:lang w:eastAsia="tr-TR"/>
              </w:rPr>
            </w:pPr>
            <w:r w:rsidRPr="006D5E26">
              <w:rPr>
                <w:b/>
                <w:bCs/>
                <w:sz w:val="18"/>
                <w:szCs w:val="16"/>
                <w:lang w:eastAsia="tr-TR"/>
              </w:rPr>
              <w:t> </w:t>
            </w:r>
          </w:p>
        </w:tc>
        <w:tc>
          <w:tcPr>
            <w:tcW w:w="1610" w:type="dxa"/>
            <w:tcBorders>
              <w:top w:val="double" w:sz="6" w:space="0" w:color="auto"/>
              <w:left w:val="nil"/>
              <w:bottom w:val="single" w:sz="8" w:space="0" w:color="auto"/>
              <w:right w:val="nil"/>
            </w:tcBorders>
            <w:shd w:val="clear" w:color="auto" w:fill="auto"/>
            <w:vAlign w:val="center"/>
            <w:hideMark/>
          </w:tcPr>
          <w:p w14:paraId="4B45E71C" w14:textId="77777777" w:rsidR="006D5E26" w:rsidRPr="006D5E26" w:rsidRDefault="006D5E26" w:rsidP="006D5E26">
            <w:pPr>
              <w:jc w:val="right"/>
              <w:rPr>
                <w:b/>
                <w:bCs/>
                <w:sz w:val="18"/>
                <w:szCs w:val="16"/>
                <w:lang w:eastAsia="tr-TR"/>
              </w:rPr>
            </w:pPr>
            <w:r w:rsidRPr="006D5E26">
              <w:rPr>
                <w:b/>
                <w:bCs/>
                <w:sz w:val="18"/>
                <w:szCs w:val="16"/>
                <w:lang w:eastAsia="tr-TR"/>
              </w:rPr>
              <w:t>Cari Dönem</w:t>
            </w:r>
          </w:p>
        </w:tc>
        <w:tc>
          <w:tcPr>
            <w:tcW w:w="1373" w:type="dxa"/>
            <w:tcBorders>
              <w:top w:val="double" w:sz="6" w:space="0" w:color="auto"/>
              <w:left w:val="nil"/>
              <w:bottom w:val="single" w:sz="8" w:space="0" w:color="auto"/>
              <w:right w:val="nil"/>
            </w:tcBorders>
            <w:shd w:val="clear" w:color="auto" w:fill="auto"/>
            <w:vAlign w:val="center"/>
            <w:hideMark/>
          </w:tcPr>
          <w:p w14:paraId="53C00CBD" w14:textId="77777777" w:rsidR="006D5E26" w:rsidRPr="006D5E26" w:rsidRDefault="006D5E26" w:rsidP="006D5E26">
            <w:pPr>
              <w:jc w:val="right"/>
              <w:rPr>
                <w:b/>
                <w:bCs/>
                <w:sz w:val="18"/>
                <w:szCs w:val="16"/>
                <w:lang w:eastAsia="tr-TR"/>
              </w:rPr>
            </w:pPr>
            <w:r w:rsidRPr="006D5E26">
              <w:rPr>
                <w:b/>
                <w:bCs/>
                <w:sz w:val="18"/>
                <w:szCs w:val="16"/>
                <w:lang w:eastAsia="tr-TR"/>
              </w:rPr>
              <w:t>Önceki Dönem</w:t>
            </w:r>
          </w:p>
        </w:tc>
      </w:tr>
      <w:tr w:rsidR="006D5E26" w:rsidRPr="006D5E26" w14:paraId="0A5BA1A7" w14:textId="77777777" w:rsidTr="00B843E3">
        <w:trPr>
          <w:divId w:val="1804154088"/>
          <w:trHeight w:val="235"/>
        </w:trPr>
        <w:tc>
          <w:tcPr>
            <w:tcW w:w="6231" w:type="dxa"/>
            <w:tcBorders>
              <w:top w:val="nil"/>
              <w:left w:val="nil"/>
              <w:bottom w:val="nil"/>
              <w:right w:val="nil"/>
            </w:tcBorders>
            <w:shd w:val="clear" w:color="auto" w:fill="auto"/>
            <w:noWrap/>
            <w:vAlign w:val="bottom"/>
            <w:hideMark/>
          </w:tcPr>
          <w:p w14:paraId="16EBA986" w14:textId="77777777" w:rsidR="006D5E26" w:rsidRPr="006D5E26" w:rsidRDefault="006D5E26" w:rsidP="006D5E26">
            <w:pPr>
              <w:rPr>
                <w:sz w:val="18"/>
                <w:szCs w:val="16"/>
                <w:lang w:eastAsia="tr-TR"/>
              </w:rPr>
            </w:pPr>
            <w:r w:rsidRPr="006D5E26">
              <w:rPr>
                <w:rFonts w:eastAsia="Arial Unicode MS"/>
                <w:sz w:val="18"/>
                <w:szCs w:val="16"/>
                <w:lang w:eastAsia="tr-TR"/>
              </w:rPr>
              <w:t>Önceki dönem sonu bakiyesi</w:t>
            </w:r>
          </w:p>
        </w:tc>
        <w:tc>
          <w:tcPr>
            <w:tcW w:w="1610" w:type="dxa"/>
            <w:tcBorders>
              <w:top w:val="nil"/>
              <w:left w:val="nil"/>
              <w:bottom w:val="nil"/>
              <w:right w:val="nil"/>
            </w:tcBorders>
            <w:shd w:val="clear" w:color="auto" w:fill="auto"/>
            <w:vAlign w:val="center"/>
            <w:hideMark/>
          </w:tcPr>
          <w:p w14:paraId="69D34175" w14:textId="77777777" w:rsidR="006D5E26" w:rsidRPr="006D5E26" w:rsidRDefault="006D5E26" w:rsidP="006D5E26">
            <w:pPr>
              <w:jc w:val="right"/>
              <w:rPr>
                <w:sz w:val="18"/>
                <w:szCs w:val="16"/>
                <w:lang w:eastAsia="tr-TR"/>
              </w:rPr>
            </w:pPr>
            <w:r w:rsidRPr="006D5E26">
              <w:rPr>
                <w:sz w:val="18"/>
                <w:szCs w:val="16"/>
                <w:lang w:eastAsia="tr-TR"/>
              </w:rPr>
              <w:t>115,461</w:t>
            </w:r>
          </w:p>
        </w:tc>
        <w:tc>
          <w:tcPr>
            <w:tcW w:w="1373" w:type="dxa"/>
            <w:tcBorders>
              <w:top w:val="nil"/>
              <w:left w:val="nil"/>
              <w:bottom w:val="nil"/>
              <w:right w:val="nil"/>
            </w:tcBorders>
            <w:shd w:val="clear" w:color="auto" w:fill="auto"/>
            <w:vAlign w:val="center"/>
            <w:hideMark/>
          </w:tcPr>
          <w:p w14:paraId="68832627" w14:textId="77777777" w:rsidR="006D5E26" w:rsidRPr="006D5E26" w:rsidRDefault="006D5E26" w:rsidP="006D5E26">
            <w:pPr>
              <w:jc w:val="right"/>
              <w:rPr>
                <w:sz w:val="18"/>
                <w:szCs w:val="16"/>
                <w:lang w:eastAsia="tr-TR"/>
              </w:rPr>
            </w:pPr>
            <w:r w:rsidRPr="006D5E26">
              <w:rPr>
                <w:sz w:val="18"/>
                <w:szCs w:val="16"/>
                <w:lang w:eastAsia="tr-TR"/>
              </w:rPr>
              <w:t>86,381</w:t>
            </w:r>
          </w:p>
        </w:tc>
      </w:tr>
      <w:tr w:rsidR="006D5E26" w:rsidRPr="006D5E26" w14:paraId="36E81AD4" w14:textId="77777777" w:rsidTr="00B843E3">
        <w:trPr>
          <w:divId w:val="1804154088"/>
          <w:trHeight w:val="235"/>
        </w:trPr>
        <w:tc>
          <w:tcPr>
            <w:tcW w:w="6231" w:type="dxa"/>
            <w:tcBorders>
              <w:top w:val="nil"/>
              <w:left w:val="nil"/>
              <w:bottom w:val="nil"/>
              <w:right w:val="nil"/>
            </w:tcBorders>
            <w:shd w:val="clear" w:color="auto" w:fill="auto"/>
            <w:noWrap/>
            <w:vAlign w:val="bottom"/>
            <w:hideMark/>
          </w:tcPr>
          <w:p w14:paraId="78554454" w14:textId="77777777" w:rsidR="006D5E26" w:rsidRPr="006D5E26" w:rsidRDefault="006D5E26" w:rsidP="006D5E26">
            <w:pPr>
              <w:rPr>
                <w:sz w:val="18"/>
                <w:szCs w:val="16"/>
                <w:lang w:eastAsia="tr-TR"/>
              </w:rPr>
            </w:pPr>
            <w:r w:rsidRPr="006D5E26">
              <w:rPr>
                <w:rFonts w:eastAsia="Arial Unicode MS"/>
                <w:sz w:val="18"/>
                <w:szCs w:val="16"/>
                <w:lang w:eastAsia="tr-TR"/>
              </w:rPr>
              <w:t>Yıl içinde ayrılan karşılık</w:t>
            </w:r>
          </w:p>
        </w:tc>
        <w:tc>
          <w:tcPr>
            <w:tcW w:w="1610" w:type="dxa"/>
            <w:tcBorders>
              <w:top w:val="nil"/>
              <w:left w:val="nil"/>
              <w:bottom w:val="nil"/>
              <w:right w:val="nil"/>
            </w:tcBorders>
            <w:shd w:val="clear" w:color="auto" w:fill="auto"/>
            <w:vAlign w:val="center"/>
            <w:hideMark/>
          </w:tcPr>
          <w:p w14:paraId="7A2B4159" w14:textId="77777777" w:rsidR="006D5E26" w:rsidRPr="006D5E26" w:rsidRDefault="006D5E26" w:rsidP="006D5E26">
            <w:pPr>
              <w:jc w:val="right"/>
              <w:rPr>
                <w:sz w:val="18"/>
                <w:szCs w:val="16"/>
                <w:lang w:eastAsia="tr-TR"/>
              </w:rPr>
            </w:pPr>
            <w:r w:rsidRPr="006D5E26">
              <w:rPr>
                <w:sz w:val="18"/>
                <w:szCs w:val="16"/>
                <w:lang w:eastAsia="tr-TR"/>
              </w:rPr>
              <w:t>26,573</w:t>
            </w:r>
          </w:p>
        </w:tc>
        <w:tc>
          <w:tcPr>
            <w:tcW w:w="1373" w:type="dxa"/>
            <w:tcBorders>
              <w:top w:val="nil"/>
              <w:left w:val="nil"/>
              <w:bottom w:val="nil"/>
              <w:right w:val="nil"/>
            </w:tcBorders>
            <w:shd w:val="clear" w:color="auto" w:fill="auto"/>
            <w:vAlign w:val="center"/>
            <w:hideMark/>
          </w:tcPr>
          <w:p w14:paraId="6876F6D4" w14:textId="77777777" w:rsidR="006D5E26" w:rsidRPr="006D5E26" w:rsidRDefault="006D5E26" w:rsidP="006D5E26">
            <w:pPr>
              <w:jc w:val="right"/>
              <w:rPr>
                <w:sz w:val="18"/>
                <w:szCs w:val="16"/>
                <w:lang w:eastAsia="tr-TR"/>
              </w:rPr>
            </w:pPr>
            <w:r w:rsidRPr="006D5E26">
              <w:rPr>
                <w:sz w:val="18"/>
                <w:szCs w:val="16"/>
                <w:lang w:eastAsia="tr-TR"/>
              </w:rPr>
              <w:t>30,613</w:t>
            </w:r>
          </w:p>
        </w:tc>
      </w:tr>
      <w:tr w:rsidR="006D5E26" w:rsidRPr="006D5E26" w14:paraId="36A669A1" w14:textId="77777777" w:rsidTr="00B843E3">
        <w:trPr>
          <w:divId w:val="1804154088"/>
          <w:trHeight w:val="235"/>
        </w:trPr>
        <w:tc>
          <w:tcPr>
            <w:tcW w:w="6231" w:type="dxa"/>
            <w:tcBorders>
              <w:top w:val="nil"/>
              <w:left w:val="nil"/>
              <w:bottom w:val="nil"/>
              <w:right w:val="nil"/>
            </w:tcBorders>
            <w:shd w:val="clear" w:color="auto" w:fill="auto"/>
            <w:noWrap/>
            <w:vAlign w:val="bottom"/>
            <w:hideMark/>
          </w:tcPr>
          <w:p w14:paraId="0159FB81" w14:textId="77777777" w:rsidR="006D5E26" w:rsidRPr="006D5E26" w:rsidRDefault="006D5E26" w:rsidP="006D5E26">
            <w:pPr>
              <w:rPr>
                <w:sz w:val="18"/>
                <w:szCs w:val="16"/>
                <w:lang w:eastAsia="tr-TR"/>
              </w:rPr>
            </w:pPr>
            <w:r w:rsidRPr="006D5E26">
              <w:rPr>
                <w:rFonts w:eastAsia="Arial Unicode MS"/>
                <w:sz w:val="18"/>
                <w:szCs w:val="16"/>
                <w:lang w:eastAsia="tr-TR"/>
              </w:rPr>
              <w:t>Yıl içinde ödenen</w:t>
            </w:r>
          </w:p>
        </w:tc>
        <w:tc>
          <w:tcPr>
            <w:tcW w:w="1610" w:type="dxa"/>
            <w:tcBorders>
              <w:top w:val="nil"/>
              <w:left w:val="nil"/>
              <w:bottom w:val="nil"/>
              <w:right w:val="nil"/>
            </w:tcBorders>
            <w:shd w:val="clear" w:color="auto" w:fill="auto"/>
            <w:vAlign w:val="center"/>
            <w:hideMark/>
          </w:tcPr>
          <w:p w14:paraId="74123816" w14:textId="77777777" w:rsidR="006D5E26" w:rsidRPr="006D5E26" w:rsidRDefault="006D5E26" w:rsidP="006D5E26">
            <w:pPr>
              <w:jc w:val="right"/>
              <w:rPr>
                <w:sz w:val="18"/>
                <w:szCs w:val="16"/>
                <w:lang w:eastAsia="tr-TR"/>
              </w:rPr>
            </w:pPr>
            <w:r w:rsidRPr="006D5E26">
              <w:rPr>
                <w:sz w:val="18"/>
                <w:szCs w:val="16"/>
                <w:lang w:eastAsia="tr-TR"/>
              </w:rPr>
              <w:t>(4,150)</w:t>
            </w:r>
          </w:p>
        </w:tc>
        <w:tc>
          <w:tcPr>
            <w:tcW w:w="1373" w:type="dxa"/>
            <w:tcBorders>
              <w:top w:val="nil"/>
              <w:left w:val="nil"/>
              <w:bottom w:val="nil"/>
              <w:right w:val="nil"/>
            </w:tcBorders>
            <w:shd w:val="clear" w:color="auto" w:fill="auto"/>
            <w:vAlign w:val="center"/>
            <w:hideMark/>
          </w:tcPr>
          <w:p w14:paraId="79FE94FB" w14:textId="77777777" w:rsidR="006D5E26" w:rsidRPr="006D5E26" w:rsidRDefault="006D5E26" w:rsidP="006D5E26">
            <w:pPr>
              <w:jc w:val="right"/>
              <w:rPr>
                <w:sz w:val="18"/>
                <w:szCs w:val="16"/>
                <w:lang w:eastAsia="tr-TR"/>
              </w:rPr>
            </w:pPr>
            <w:r w:rsidRPr="006D5E26">
              <w:rPr>
                <w:sz w:val="18"/>
                <w:szCs w:val="16"/>
                <w:lang w:eastAsia="tr-TR"/>
              </w:rPr>
              <w:t>(7,319)</w:t>
            </w:r>
          </w:p>
        </w:tc>
      </w:tr>
      <w:tr w:rsidR="006D5E26" w:rsidRPr="006D5E26" w14:paraId="31A18051" w14:textId="77777777" w:rsidTr="00B843E3">
        <w:trPr>
          <w:divId w:val="1804154088"/>
          <w:trHeight w:val="251"/>
        </w:trPr>
        <w:tc>
          <w:tcPr>
            <w:tcW w:w="6231" w:type="dxa"/>
            <w:tcBorders>
              <w:top w:val="nil"/>
              <w:left w:val="nil"/>
              <w:bottom w:val="nil"/>
              <w:right w:val="nil"/>
            </w:tcBorders>
            <w:shd w:val="clear" w:color="auto" w:fill="auto"/>
            <w:noWrap/>
            <w:vAlign w:val="bottom"/>
            <w:hideMark/>
          </w:tcPr>
          <w:p w14:paraId="292F167D" w14:textId="77777777" w:rsidR="006D5E26" w:rsidRPr="006D5E26" w:rsidRDefault="006D5E26" w:rsidP="006D5E26">
            <w:pPr>
              <w:rPr>
                <w:sz w:val="18"/>
                <w:szCs w:val="16"/>
                <w:lang w:eastAsia="tr-TR"/>
              </w:rPr>
            </w:pPr>
            <w:proofErr w:type="spellStart"/>
            <w:r w:rsidRPr="006D5E26">
              <w:rPr>
                <w:rFonts w:eastAsia="Arial Unicode MS"/>
                <w:sz w:val="18"/>
                <w:szCs w:val="16"/>
                <w:lang w:eastAsia="tr-TR"/>
              </w:rPr>
              <w:t>Aktüeryal</w:t>
            </w:r>
            <w:proofErr w:type="spellEnd"/>
            <w:r w:rsidRPr="006D5E26">
              <w:rPr>
                <w:rFonts w:eastAsia="Arial Unicode MS"/>
                <w:sz w:val="18"/>
                <w:szCs w:val="16"/>
                <w:lang w:eastAsia="tr-TR"/>
              </w:rPr>
              <w:t xml:space="preserve"> kayıp </w:t>
            </w:r>
          </w:p>
        </w:tc>
        <w:tc>
          <w:tcPr>
            <w:tcW w:w="1610" w:type="dxa"/>
            <w:tcBorders>
              <w:top w:val="nil"/>
              <w:left w:val="nil"/>
              <w:bottom w:val="nil"/>
              <w:right w:val="nil"/>
            </w:tcBorders>
            <w:shd w:val="clear" w:color="auto" w:fill="auto"/>
            <w:vAlign w:val="center"/>
            <w:hideMark/>
          </w:tcPr>
          <w:p w14:paraId="0E7E7A74" w14:textId="77777777" w:rsidR="006D5E26" w:rsidRPr="006D5E26" w:rsidRDefault="006D5E26" w:rsidP="006D5E26">
            <w:pPr>
              <w:jc w:val="right"/>
              <w:rPr>
                <w:sz w:val="18"/>
                <w:szCs w:val="16"/>
                <w:lang w:eastAsia="tr-TR"/>
              </w:rPr>
            </w:pPr>
            <w:r w:rsidRPr="006D5E26">
              <w:rPr>
                <w:sz w:val="18"/>
                <w:szCs w:val="16"/>
                <w:lang w:eastAsia="tr-TR"/>
              </w:rPr>
              <w:t>-</w:t>
            </w:r>
          </w:p>
        </w:tc>
        <w:tc>
          <w:tcPr>
            <w:tcW w:w="1373" w:type="dxa"/>
            <w:tcBorders>
              <w:top w:val="nil"/>
              <w:left w:val="nil"/>
              <w:bottom w:val="nil"/>
              <w:right w:val="nil"/>
            </w:tcBorders>
            <w:shd w:val="clear" w:color="auto" w:fill="auto"/>
            <w:vAlign w:val="center"/>
            <w:hideMark/>
          </w:tcPr>
          <w:p w14:paraId="252C5ABB" w14:textId="77777777" w:rsidR="006D5E26" w:rsidRPr="006D5E26" w:rsidRDefault="006D5E26" w:rsidP="006D5E26">
            <w:pPr>
              <w:jc w:val="right"/>
              <w:rPr>
                <w:sz w:val="18"/>
                <w:szCs w:val="16"/>
                <w:lang w:eastAsia="tr-TR"/>
              </w:rPr>
            </w:pPr>
            <w:r w:rsidRPr="006D5E26">
              <w:rPr>
                <w:sz w:val="18"/>
                <w:szCs w:val="16"/>
                <w:lang w:eastAsia="tr-TR"/>
              </w:rPr>
              <w:t>5,786</w:t>
            </w:r>
          </w:p>
        </w:tc>
      </w:tr>
      <w:tr w:rsidR="006D5E26" w:rsidRPr="006D5E26" w14:paraId="4A3EF65F" w14:textId="77777777" w:rsidTr="00B843E3">
        <w:trPr>
          <w:divId w:val="1804154088"/>
          <w:trHeight w:val="251"/>
        </w:trPr>
        <w:tc>
          <w:tcPr>
            <w:tcW w:w="6231" w:type="dxa"/>
            <w:tcBorders>
              <w:top w:val="single" w:sz="8" w:space="0" w:color="auto"/>
              <w:left w:val="nil"/>
              <w:bottom w:val="double" w:sz="6" w:space="0" w:color="auto"/>
              <w:right w:val="nil"/>
            </w:tcBorders>
            <w:shd w:val="clear" w:color="auto" w:fill="auto"/>
            <w:vAlign w:val="center"/>
            <w:hideMark/>
          </w:tcPr>
          <w:p w14:paraId="1BC468BD" w14:textId="77777777" w:rsidR="006D5E26" w:rsidRPr="006D5E26" w:rsidRDefault="006D5E26" w:rsidP="006D5E26">
            <w:pPr>
              <w:jc w:val="both"/>
              <w:rPr>
                <w:b/>
                <w:bCs/>
                <w:sz w:val="18"/>
                <w:szCs w:val="16"/>
                <w:lang w:eastAsia="tr-TR"/>
              </w:rPr>
            </w:pPr>
            <w:r w:rsidRPr="006D5E26">
              <w:rPr>
                <w:b/>
                <w:bCs/>
                <w:sz w:val="18"/>
                <w:szCs w:val="16"/>
                <w:lang w:eastAsia="tr-TR"/>
              </w:rPr>
              <w:t>Dönem sonu bakiyesi</w:t>
            </w:r>
          </w:p>
        </w:tc>
        <w:tc>
          <w:tcPr>
            <w:tcW w:w="1610" w:type="dxa"/>
            <w:tcBorders>
              <w:top w:val="single" w:sz="8" w:space="0" w:color="auto"/>
              <w:left w:val="nil"/>
              <w:bottom w:val="double" w:sz="6" w:space="0" w:color="auto"/>
              <w:right w:val="nil"/>
            </w:tcBorders>
            <w:shd w:val="clear" w:color="auto" w:fill="auto"/>
            <w:vAlign w:val="center"/>
            <w:hideMark/>
          </w:tcPr>
          <w:p w14:paraId="58F2CECF" w14:textId="77777777" w:rsidR="006D5E26" w:rsidRPr="006D5E26" w:rsidRDefault="006D5E26" w:rsidP="006D5E26">
            <w:pPr>
              <w:jc w:val="right"/>
              <w:rPr>
                <w:b/>
                <w:bCs/>
                <w:sz w:val="18"/>
                <w:szCs w:val="16"/>
                <w:lang w:eastAsia="tr-TR"/>
              </w:rPr>
            </w:pPr>
            <w:r w:rsidRPr="006D5E26">
              <w:rPr>
                <w:b/>
                <w:bCs/>
                <w:sz w:val="18"/>
                <w:szCs w:val="16"/>
                <w:lang w:eastAsia="tr-TR"/>
              </w:rPr>
              <w:t>137,884</w:t>
            </w:r>
          </w:p>
        </w:tc>
        <w:tc>
          <w:tcPr>
            <w:tcW w:w="1373" w:type="dxa"/>
            <w:tcBorders>
              <w:top w:val="single" w:sz="8" w:space="0" w:color="auto"/>
              <w:left w:val="nil"/>
              <w:bottom w:val="double" w:sz="6" w:space="0" w:color="auto"/>
              <w:right w:val="nil"/>
            </w:tcBorders>
            <w:shd w:val="clear" w:color="auto" w:fill="auto"/>
            <w:vAlign w:val="center"/>
            <w:hideMark/>
          </w:tcPr>
          <w:p w14:paraId="75F4C538" w14:textId="77777777" w:rsidR="006D5E26" w:rsidRPr="006D5E26" w:rsidRDefault="006D5E26" w:rsidP="006D5E26">
            <w:pPr>
              <w:jc w:val="right"/>
              <w:rPr>
                <w:b/>
                <w:bCs/>
                <w:sz w:val="18"/>
                <w:szCs w:val="16"/>
                <w:lang w:eastAsia="tr-TR"/>
              </w:rPr>
            </w:pPr>
            <w:r w:rsidRPr="006D5E26">
              <w:rPr>
                <w:b/>
                <w:bCs/>
                <w:sz w:val="18"/>
                <w:szCs w:val="16"/>
                <w:lang w:eastAsia="tr-TR"/>
              </w:rPr>
              <w:t>115,461</w:t>
            </w:r>
          </w:p>
        </w:tc>
      </w:tr>
    </w:tbl>
    <w:p w14:paraId="1A71C5BA" w14:textId="31549D18" w:rsidR="000C3626" w:rsidRPr="00270CE6" w:rsidRDefault="000C3626" w:rsidP="00617920">
      <w:pPr>
        <w:autoSpaceDE w:val="0"/>
        <w:autoSpaceDN w:val="0"/>
        <w:adjustRightInd w:val="0"/>
        <w:rPr>
          <w:b/>
          <w:bCs/>
          <w:iCs/>
          <w:sz w:val="16"/>
          <w:szCs w:val="16"/>
          <w:highlight w:val="yellow"/>
        </w:rPr>
      </w:pPr>
    </w:p>
    <w:p w14:paraId="19BB3701" w14:textId="099F37D7" w:rsidR="008B1E20" w:rsidRPr="006D5E26" w:rsidRDefault="00BD0E3C" w:rsidP="00BD0E3C">
      <w:pPr>
        <w:pStyle w:val="ListParagraph"/>
        <w:autoSpaceDE w:val="0"/>
        <w:autoSpaceDN w:val="0"/>
        <w:adjustRightInd w:val="0"/>
        <w:ind w:left="0" w:hanging="567"/>
        <w:rPr>
          <w:b/>
          <w:bCs/>
          <w:iCs/>
        </w:rPr>
      </w:pPr>
      <w:r w:rsidRPr="006D5E26">
        <w:rPr>
          <w:b/>
          <w:bCs/>
          <w:iCs/>
        </w:rPr>
        <w:t>2.8</w:t>
      </w:r>
      <w:r w:rsidR="007A10B9" w:rsidRPr="006D5E26">
        <w:rPr>
          <w:b/>
          <w:bCs/>
          <w:iCs/>
        </w:rPr>
        <w:t>.</w:t>
      </w:r>
      <w:r w:rsidRPr="006D5E26">
        <w:rPr>
          <w:b/>
          <w:bCs/>
          <w:iCs/>
        </w:rPr>
        <w:tab/>
      </w:r>
      <w:r w:rsidR="00E253C8" w:rsidRPr="006D5E26">
        <w:rPr>
          <w:b/>
          <w:bCs/>
          <w:iCs/>
        </w:rPr>
        <w:t>Vergi borcuna ilişkin açıklamalar:</w:t>
      </w:r>
    </w:p>
    <w:p w14:paraId="3E39F150" w14:textId="77777777" w:rsidR="000F096F" w:rsidRPr="006D5E26" w:rsidRDefault="000F096F" w:rsidP="000F096F">
      <w:pPr>
        <w:rPr>
          <w:b/>
          <w:bCs/>
          <w:iCs/>
          <w:sz w:val="16"/>
          <w:szCs w:val="16"/>
        </w:rPr>
      </w:pPr>
    </w:p>
    <w:p w14:paraId="4FEB5CA2" w14:textId="3908AAEF" w:rsidR="000F096F" w:rsidRPr="006D5E26" w:rsidRDefault="00BD0E3C" w:rsidP="00BD0E3C">
      <w:pPr>
        <w:tabs>
          <w:tab w:val="num" w:pos="0"/>
          <w:tab w:val="num" w:pos="3060"/>
        </w:tabs>
        <w:autoSpaceDE w:val="0"/>
        <w:autoSpaceDN w:val="0"/>
        <w:adjustRightInd w:val="0"/>
        <w:ind w:left="709" w:hanging="1276"/>
      </w:pPr>
      <w:r w:rsidRPr="006D5E26">
        <w:rPr>
          <w:b/>
        </w:rPr>
        <w:t>2</w:t>
      </w:r>
      <w:r w:rsidR="00E253C8" w:rsidRPr="006D5E26">
        <w:rPr>
          <w:b/>
        </w:rPr>
        <w:t>.</w:t>
      </w:r>
      <w:r w:rsidRPr="006D5E26">
        <w:rPr>
          <w:b/>
        </w:rPr>
        <w:t>8.1</w:t>
      </w:r>
      <w:r w:rsidR="007A10B9" w:rsidRPr="006D5E26">
        <w:rPr>
          <w:b/>
        </w:rPr>
        <w:t>.</w:t>
      </w:r>
      <w:r w:rsidR="00E253C8" w:rsidRPr="006D5E26">
        <w:tab/>
        <w:t>Cari vergi borcuna ilişkin açıklamalar:</w:t>
      </w:r>
    </w:p>
    <w:p w14:paraId="134D9323" w14:textId="77777777" w:rsidR="000F096F" w:rsidRPr="00270CE6" w:rsidRDefault="000F096F" w:rsidP="000F096F">
      <w:pPr>
        <w:ind w:firstLine="720"/>
        <w:rPr>
          <w:b/>
          <w:bCs/>
          <w:sz w:val="16"/>
          <w:szCs w:val="16"/>
          <w:highlight w:val="yellow"/>
        </w:rPr>
      </w:pPr>
    </w:p>
    <w:p w14:paraId="221268DA" w14:textId="2627C259" w:rsidR="009B5129" w:rsidRPr="00EA6E92" w:rsidRDefault="00BD0E3C" w:rsidP="00B843E3">
      <w:pPr>
        <w:ind w:hanging="644"/>
        <w:jc w:val="both"/>
        <w:rPr>
          <w:bCs/>
          <w:sz w:val="16"/>
          <w:szCs w:val="16"/>
        </w:rPr>
      </w:pPr>
      <w:r w:rsidRPr="00223602">
        <w:rPr>
          <w:b/>
          <w:iCs/>
        </w:rPr>
        <w:t>2.8.1.1</w:t>
      </w:r>
      <w:r w:rsidR="007A10B9" w:rsidRPr="00223602">
        <w:rPr>
          <w:b/>
          <w:iCs/>
        </w:rPr>
        <w:t>.</w:t>
      </w:r>
      <w:r w:rsidRPr="00223602">
        <w:rPr>
          <w:iCs/>
        </w:rPr>
        <w:t xml:space="preserve"> </w:t>
      </w:r>
      <w:r w:rsidR="00E253C8" w:rsidRPr="00223602">
        <w:rPr>
          <w:iCs/>
        </w:rPr>
        <w:t xml:space="preserve">Vergi karşılığına ilişkin bilgiler: </w:t>
      </w:r>
      <w:r w:rsidR="00E57694" w:rsidRPr="00223602">
        <w:rPr>
          <w:iCs/>
        </w:rPr>
        <w:t>1</w:t>
      </w:r>
      <w:r w:rsidR="00223602" w:rsidRPr="00223602">
        <w:rPr>
          <w:iCs/>
        </w:rPr>
        <w:t>30</w:t>
      </w:r>
      <w:r w:rsidR="00E57694" w:rsidRPr="00223602">
        <w:rPr>
          <w:iCs/>
        </w:rPr>
        <w:t>,</w:t>
      </w:r>
      <w:r w:rsidR="00223602" w:rsidRPr="00223602">
        <w:rPr>
          <w:iCs/>
        </w:rPr>
        <w:t>4</w:t>
      </w:r>
      <w:r w:rsidR="00780C08" w:rsidRPr="00223602">
        <w:rPr>
          <w:iCs/>
        </w:rPr>
        <w:t>66</w:t>
      </w:r>
      <w:r w:rsidR="00FF687C" w:rsidRPr="00223602">
        <w:rPr>
          <w:iCs/>
        </w:rPr>
        <w:t xml:space="preserve"> TL</w:t>
      </w:r>
      <w:r w:rsidR="00B249B3" w:rsidRPr="00223602">
        <w:rPr>
          <w:iCs/>
        </w:rPr>
        <w:t xml:space="preserve"> (31 Aralık 201</w:t>
      </w:r>
      <w:r w:rsidR="005A12B2" w:rsidRPr="00223602">
        <w:rPr>
          <w:iCs/>
        </w:rPr>
        <w:t>9</w:t>
      </w:r>
      <w:r w:rsidR="00B249B3" w:rsidRPr="00223602">
        <w:rPr>
          <w:iCs/>
        </w:rPr>
        <w:t xml:space="preserve"> – </w:t>
      </w:r>
      <w:r w:rsidR="005A12B2" w:rsidRPr="00223602">
        <w:rPr>
          <w:iCs/>
        </w:rPr>
        <w:t>224,425</w:t>
      </w:r>
      <w:r w:rsidR="00B249B3" w:rsidRPr="00223602">
        <w:rPr>
          <w:iCs/>
        </w:rPr>
        <w:t xml:space="preserve"> </w:t>
      </w:r>
      <w:proofErr w:type="gramStart"/>
      <w:r w:rsidR="00B249B3" w:rsidRPr="00223602">
        <w:rPr>
          <w:iCs/>
        </w:rPr>
        <w:t>TL )</w:t>
      </w:r>
      <w:proofErr w:type="gramEnd"/>
    </w:p>
    <w:p w14:paraId="374D4372" w14:textId="77777777" w:rsidR="009B5129" w:rsidRPr="00270CE6" w:rsidRDefault="009B5129" w:rsidP="009B5129">
      <w:pPr>
        <w:ind w:hanging="567"/>
        <w:jc w:val="both"/>
        <w:rPr>
          <w:iCs/>
          <w:sz w:val="16"/>
          <w:szCs w:val="16"/>
          <w:highlight w:val="yellow"/>
        </w:rPr>
      </w:pPr>
    </w:p>
    <w:p w14:paraId="2A21347F" w14:textId="77777777" w:rsidR="000F096F" w:rsidRPr="00270CE6" w:rsidRDefault="000F096F" w:rsidP="000F096F">
      <w:pPr>
        <w:ind w:left="720"/>
        <w:rPr>
          <w:iCs/>
          <w:sz w:val="6"/>
          <w:highlight w:val="yellow"/>
        </w:rPr>
      </w:pPr>
    </w:p>
    <w:p w14:paraId="56E7BBEF" w14:textId="77777777" w:rsidR="0073650A" w:rsidRPr="00270CE6" w:rsidRDefault="0073650A" w:rsidP="0073650A">
      <w:pPr>
        <w:ind w:left="720" w:hanging="720"/>
        <w:rPr>
          <w:bCs/>
          <w:sz w:val="16"/>
          <w:szCs w:val="16"/>
          <w:highlight w:val="yellow"/>
        </w:rPr>
      </w:pPr>
    </w:p>
    <w:p w14:paraId="1321AAD3" w14:textId="77777777" w:rsidR="00465B05" w:rsidRPr="00270CE6" w:rsidRDefault="00465B05" w:rsidP="0073650A">
      <w:pPr>
        <w:ind w:left="720" w:hanging="720"/>
        <w:rPr>
          <w:bCs/>
          <w:sz w:val="16"/>
          <w:szCs w:val="16"/>
          <w:highlight w:val="yellow"/>
        </w:rPr>
      </w:pPr>
    </w:p>
    <w:p w14:paraId="0DA322D1" w14:textId="77777777" w:rsidR="00465B05" w:rsidRPr="00270CE6" w:rsidRDefault="00465B05" w:rsidP="0073650A">
      <w:pPr>
        <w:ind w:left="720" w:hanging="720"/>
        <w:rPr>
          <w:bCs/>
          <w:sz w:val="16"/>
          <w:szCs w:val="16"/>
          <w:highlight w:val="yellow"/>
        </w:rPr>
      </w:pPr>
    </w:p>
    <w:p w14:paraId="467B6E50" w14:textId="77777777" w:rsidR="00465B05" w:rsidRPr="00270CE6" w:rsidRDefault="00465B05" w:rsidP="0073650A">
      <w:pPr>
        <w:ind w:left="720" w:hanging="720"/>
        <w:rPr>
          <w:bCs/>
          <w:sz w:val="16"/>
          <w:szCs w:val="16"/>
          <w:highlight w:val="yellow"/>
        </w:rPr>
      </w:pPr>
    </w:p>
    <w:p w14:paraId="0843CA5C" w14:textId="77777777" w:rsidR="00465B05" w:rsidRPr="00270CE6" w:rsidRDefault="00465B05" w:rsidP="0073650A">
      <w:pPr>
        <w:ind w:left="720" w:hanging="720"/>
        <w:rPr>
          <w:bCs/>
          <w:sz w:val="16"/>
          <w:szCs w:val="16"/>
          <w:highlight w:val="yellow"/>
        </w:rPr>
      </w:pPr>
    </w:p>
    <w:p w14:paraId="2BB6CFFD" w14:textId="77777777" w:rsidR="005B6364" w:rsidRPr="00270CE6" w:rsidRDefault="005B6364" w:rsidP="0073650A">
      <w:pPr>
        <w:ind w:left="720" w:hanging="720"/>
        <w:rPr>
          <w:bCs/>
          <w:sz w:val="16"/>
          <w:szCs w:val="16"/>
          <w:highlight w:val="yellow"/>
        </w:rPr>
      </w:pPr>
    </w:p>
    <w:p w14:paraId="1F55E8F7" w14:textId="607FAE04" w:rsidR="000F096F" w:rsidRPr="00223602" w:rsidRDefault="00A023D6" w:rsidP="00B843E3">
      <w:pPr>
        <w:ind w:hanging="851"/>
        <w:rPr>
          <w:iCs/>
        </w:rPr>
      </w:pPr>
      <w:r w:rsidRPr="00270CE6">
        <w:rPr>
          <w:bCs/>
          <w:sz w:val="16"/>
          <w:szCs w:val="16"/>
          <w:highlight w:val="yellow"/>
        </w:rPr>
        <w:br w:type="page"/>
      </w:r>
      <w:r w:rsidR="00B37FF0" w:rsidRPr="00223602">
        <w:rPr>
          <w:b/>
          <w:iCs/>
        </w:rPr>
        <w:lastRenderedPageBreak/>
        <w:t>2.8.1.2</w:t>
      </w:r>
      <w:r w:rsidR="007A10B9" w:rsidRPr="00223602">
        <w:rPr>
          <w:b/>
          <w:iCs/>
        </w:rPr>
        <w:t>.</w:t>
      </w:r>
      <w:r w:rsidR="00B37FF0" w:rsidRPr="00223602">
        <w:rPr>
          <w:b/>
          <w:iCs/>
        </w:rPr>
        <w:t xml:space="preserve"> </w:t>
      </w:r>
      <w:r w:rsidR="00B843E3">
        <w:rPr>
          <w:b/>
          <w:iCs/>
        </w:rPr>
        <w:tab/>
      </w:r>
      <w:r w:rsidR="00E253C8" w:rsidRPr="00223602">
        <w:rPr>
          <w:iCs/>
        </w:rPr>
        <w:t>Ödenece</w:t>
      </w:r>
      <w:r w:rsidR="00F25BF4" w:rsidRPr="00223602">
        <w:rPr>
          <w:iCs/>
        </w:rPr>
        <w:t>k vergilere ilişkin bilgiler</w:t>
      </w:r>
      <w:r w:rsidR="00E253C8" w:rsidRPr="00223602">
        <w:rPr>
          <w:iCs/>
        </w:rPr>
        <w:t>:</w:t>
      </w:r>
    </w:p>
    <w:p w14:paraId="0D16B281" w14:textId="4DDCF94B" w:rsidR="00223602" w:rsidRPr="00223602" w:rsidRDefault="00223602" w:rsidP="00D22163">
      <w:pPr>
        <w:tabs>
          <w:tab w:val="left" w:pos="180"/>
          <w:tab w:val="num" w:pos="540"/>
        </w:tabs>
        <w:ind w:left="180"/>
        <w:rPr>
          <w:lang w:val="en-GB" w:eastAsia="en-GB"/>
        </w:rPr>
      </w:pPr>
    </w:p>
    <w:tbl>
      <w:tblPr>
        <w:tblW w:w="9108" w:type="dxa"/>
        <w:tblCellMar>
          <w:left w:w="70" w:type="dxa"/>
          <w:right w:w="70" w:type="dxa"/>
        </w:tblCellMar>
        <w:tblLook w:val="04A0" w:firstRow="1" w:lastRow="0" w:firstColumn="1" w:lastColumn="0" w:noHBand="0" w:noVBand="1"/>
      </w:tblPr>
      <w:tblGrid>
        <w:gridCol w:w="6110"/>
        <w:gridCol w:w="1579"/>
        <w:gridCol w:w="1419"/>
      </w:tblGrid>
      <w:tr w:rsidR="00223602" w:rsidRPr="00223602" w14:paraId="5ADC2794" w14:textId="77777777" w:rsidTr="00223602">
        <w:trPr>
          <w:divId w:val="1156995222"/>
          <w:trHeight w:val="242"/>
        </w:trPr>
        <w:tc>
          <w:tcPr>
            <w:tcW w:w="6110" w:type="dxa"/>
            <w:tcBorders>
              <w:top w:val="double" w:sz="6" w:space="0" w:color="auto"/>
              <w:left w:val="nil"/>
              <w:bottom w:val="single" w:sz="8" w:space="0" w:color="auto"/>
              <w:right w:val="nil"/>
            </w:tcBorders>
            <w:shd w:val="clear" w:color="auto" w:fill="auto"/>
            <w:vAlign w:val="center"/>
            <w:hideMark/>
          </w:tcPr>
          <w:p w14:paraId="09E652A3" w14:textId="5C719966" w:rsidR="00223602" w:rsidRPr="00223602" w:rsidRDefault="00223602" w:rsidP="00223602">
            <w:pPr>
              <w:jc w:val="center"/>
              <w:rPr>
                <w:b/>
                <w:bCs/>
                <w:color w:val="000000"/>
                <w:sz w:val="16"/>
                <w:szCs w:val="16"/>
                <w:lang w:eastAsia="tr-TR"/>
              </w:rPr>
            </w:pPr>
            <w:r w:rsidRPr="00223602">
              <w:rPr>
                <w:b/>
                <w:bCs/>
                <w:color w:val="000000"/>
                <w:sz w:val="16"/>
                <w:szCs w:val="16"/>
                <w:lang w:eastAsia="tr-TR"/>
              </w:rPr>
              <w:t> </w:t>
            </w:r>
          </w:p>
        </w:tc>
        <w:tc>
          <w:tcPr>
            <w:tcW w:w="1579" w:type="dxa"/>
            <w:tcBorders>
              <w:top w:val="double" w:sz="6" w:space="0" w:color="auto"/>
              <w:left w:val="nil"/>
              <w:bottom w:val="single" w:sz="8" w:space="0" w:color="auto"/>
              <w:right w:val="nil"/>
            </w:tcBorders>
            <w:shd w:val="clear" w:color="auto" w:fill="auto"/>
            <w:vAlign w:val="center"/>
            <w:hideMark/>
          </w:tcPr>
          <w:p w14:paraId="63FCE8D1" w14:textId="77777777" w:rsidR="00223602" w:rsidRPr="00223602" w:rsidRDefault="00223602" w:rsidP="00223602">
            <w:pPr>
              <w:jc w:val="right"/>
              <w:rPr>
                <w:b/>
                <w:bCs/>
                <w:color w:val="000000"/>
                <w:sz w:val="16"/>
                <w:szCs w:val="16"/>
                <w:lang w:eastAsia="tr-TR"/>
              </w:rPr>
            </w:pPr>
            <w:r w:rsidRPr="00223602">
              <w:rPr>
                <w:b/>
                <w:bCs/>
                <w:color w:val="000000"/>
                <w:sz w:val="16"/>
                <w:szCs w:val="16"/>
                <w:lang w:eastAsia="tr-TR"/>
              </w:rPr>
              <w:t>Cari Dönem</w:t>
            </w:r>
          </w:p>
        </w:tc>
        <w:tc>
          <w:tcPr>
            <w:tcW w:w="1419" w:type="dxa"/>
            <w:tcBorders>
              <w:top w:val="double" w:sz="6" w:space="0" w:color="auto"/>
              <w:left w:val="nil"/>
              <w:bottom w:val="single" w:sz="8" w:space="0" w:color="auto"/>
              <w:right w:val="nil"/>
            </w:tcBorders>
            <w:shd w:val="clear" w:color="auto" w:fill="auto"/>
            <w:vAlign w:val="center"/>
            <w:hideMark/>
          </w:tcPr>
          <w:p w14:paraId="787C7D34" w14:textId="77777777" w:rsidR="00223602" w:rsidRPr="00223602" w:rsidRDefault="00223602" w:rsidP="00223602">
            <w:pPr>
              <w:jc w:val="right"/>
              <w:rPr>
                <w:b/>
                <w:bCs/>
                <w:color w:val="000000"/>
                <w:sz w:val="16"/>
                <w:szCs w:val="16"/>
                <w:lang w:eastAsia="tr-TR"/>
              </w:rPr>
            </w:pPr>
            <w:r w:rsidRPr="00223602">
              <w:rPr>
                <w:b/>
                <w:bCs/>
                <w:color w:val="000000"/>
                <w:sz w:val="16"/>
                <w:szCs w:val="16"/>
                <w:lang w:eastAsia="tr-TR"/>
              </w:rPr>
              <w:t>Önceki Dönem</w:t>
            </w:r>
          </w:p>
        </w:tc>
      </w:tr>
      <w:tr w:rsidR="00223602" w:rsidRPr="00223602" w14:paraId="6323FFAB" w14:textId="77777777" w:rsidTr="00223602">
        <w:trPr>
          <w:divId w:val="1156995222"/>
          <w:trHeight w:val="242"/>
        </w:trPr>
        <w:tc>
          <w:tcPr>
            <w:tcW w:w="6110" w:type="dxa"/>
            <w:tcBorders>
              <w:top w:val="nil"/>
              <w:left w:val="nil"/>
              <w:bottom w:val="nil"/>
              <w:right w:val="nil"/>
            </w:tcBorders>
            <w:shd w:val="clear" w:color="auto" w:fill="auto"/>
            <w:vAlign w:val="center"/>
            <w:hideMark/>
          </w:tcPr>
          <w:p w14:paraId="4AE743FD" w14:textId="77777777" w:rsidR="00223602" w:rsidRPr="00223602" w:rsidRDefault="00223602" w:rsidP="00223602">
            <w:pPr>
              <w:rPr>
                <w:color w:val="000000"/>
                <w:sz w:val="18"/>
                <w:szCs w:val="18"/>
                <w:lang w:eastAsia="tr-TR"/>
              </w:rPr>
            </w:pPr>
            <w:r w:rsidRPr="00223602">
              <w:rPr>
                <w:iCs/>
                <w:color w:val="000000"/>
                <w:sz w:val="18"/>
                <w:szCs w:val="18"/>
                <w:lang w:eastAsia="tr-TR"/>
              </w:rPr>
              <w:t>Menkul sermaye iradı vergisi</w:t>
            </w:r>
          </w:p>
        </w:tc>
        <w:tc>
          <w:tcPr>
            <w:tcW w:w="1579" w:type="dxa"/>
            <w:tcBorders>
              <w:top w:val="nil"/>
              <w:left w:val="nil"/>
              <w:bottom w:val="nil"/>
              <w:right w:val="nil"/>
            </w:tcBorders>
            <w:shd w:val="clear" w:color="auto" w:fill="auto"/>
            <w:vAlign w:val="center"/>
            <w:hideMark/>
          </w:tcPr>
          <w:p w14:paraId="252817FB" w14:textId="77777777" w:rsidR="00223602" w:rsidRPr="00223602" w:rsidRDefault="00223602" w:rsidP="00223602">
            <w:pPr>
              <w:jc w:val="right"/>
              <w:rPr>
                <w:color w:val="000000"/>
                <w:sz w:val="18"/>
                <w:szCs w:val="18"/>
                <w:lang w:eastAsia="tr-TR"/>
              </w:rPr>
            </w:pPr>
            <w:r w:rsidRPr="00223602">
              <w:rPr>
                <w:color w:val="000000"/>
                <w:sz w:val="18"/>
                <w:szCs w:val="18"/>
                <w:lang w:eastAsia="tr-TR"/>
              </w:rPr>
              <w:t>38,559</w:t>
            </w:r>
          </w:p>
        </w:tc>
        <w:tc>
          <w:tcPr>
            <w:tcW w:w="1419" w:type="dxa"/>
            <w:tcBorders>
              <w:top w:val="nil"/>
              <w:left w:val="nil"/>
              <w:bottom w:val="nil"/>
              <w:right w:val="nil"/>
            </w:tcBorders>
            <w:shd w:val="clear" w:color="auto" w:fill="auto"/>
            <w:vAlign w:val="center"/>
            <w:hideMark/>
          </w:tcPr>
          <w:p w14:paraId="0E2CAE36" w14:textId="77777777" w:rsidR="00223602" w:rsidRPr="00223602" w:rsidRDefault="00223602" w:rsidP="00223602">
            <w:pPr>
              <w:jc w:val="right"/>
              <w:rPr>
                <w:color w:val="000000"/>
                <w:sz w:val="18"/>
                <w:szCs w:val="18"/>
                <w:lang w:eastAsia="tr-TR"/>
              </w:rPr>
            </w:pPr>
            <w:r w:rsidRPr="00223602">
              <w:rPr>
                <w:color w:val="000000"/>
                <w:sz w:val="18"/>
                <w:szCs w:val="18"/>
                <w:lang w:eastAsia="tr-TR"/>
              </w:rPr>
              <w:t>39,489</w:t>
            </w:r>
          </w:p>
        </w:tc>
      </w:tr>
      <w:tr w:rsidR="00223602" w:rsidRPr="00223602" w14:paraId="7E3F9F05" w14:textId="77777777" w:rsidTr="00223602">
        <w:trPr>
          <w:divId w:val="1156995222"/>
          <w:trHeight w:val="242"/>
        </w:trPr>
        <w:tc>
          <w:tcPr>
            <w:tcW w:w="6110" w:type="dxa"/>
            <w:tcBorders>
              <w:top w:val="nil"/>
              <w:left w:val="nil"/>
              <w:bottom w:val="nil"/>
              <w:right w:val="nil"/>
            </w:tcBorders>
            <w:shd w:val="clear" w:color="auto" w:fill="auto"/>
            <w:vAlign w:val="center"/>
            <w:hideMark/>
          </w:tcPr>
          <w:p w14:paraId="771429D8" w14:textId="77777777" w:rsidR="00223602" w:rsidRPr="00223602" w:rsidRDefault="00223602" w:rsidP="00223602">
            <w:pPr>
              <w:rPr>
                <w:color w:val="000000"/>
                <w:sz w:val="18"/>
                <w:szCs w:val="18"/>
                <w:lang w:eastAsia="tr-TR"/>
              </w:rPr>
            </w:pPr>
            <w:r w:rsidRPr="00223602">
              <w:rPr>
                <w:iCs/>
                <w:color w:val="000000"/>
                <w:sz w:val="18"/>
                <w:szCs w:val="18"/>
                <w:lang w:eastAsia="tr-TR"/>
              </w:rPr>
              <w:t>Gayrimenkul sermaye iradı vergisi</w:t>
            </w:r>
          </w:p>
        </w:tc>
        <w:tc>
          <w:tcPr>
            <w:tcW w:w="1579" w:type="dxa"/>
            <w:tcBorders>
              <w:top w:val="nil"/>
              <w:left w:val="nil"/>
              <w:bottom w:val="nil"/>
              <w:right w:val="nil"/>
            </w:tcBorders>
            <w:shd w:val="clear" w:color="auto" w:fill="auto"/>
            <w:vAlign w:val="center"/>
            <w:hideMark/>
          </w:tcPr>
          <w:p w14:paraId="5B9644CB" w14:textId="77777777" w:rsidR="00223602" w:rsidRPr="00223602" w:rsidRDefault="00223602" w:rsidP="00223602">
            <w:pPr>
              <w:jc w:val="right"/>
              <w:rPr>
                <w:color w:val="000000"/>
                <w:sz w:val="18"/>
                <w:szCs w:val="18"/>
                <w:lang w:eastAsia="tr-TR"/>
              </w:rPr>
            </w:pPr>
            <w:r w:rsidRPr="00223602">
              <w:rPr>
                <w:color w:val="000000"/>
                <w:sz w:val="18"/>
                <w:szCs w:val="18"/>
                <w:lang w:eastAsia="tr-TR"/>
              </w:rPr>
              <w:t>950</w:t>
            </w:r>
          </w:p>
        </w:tc>
        <w:tc>
          <w:tcPr>
            <w:tcW w:w="1419" w:type="dxa"/>
            <w:tcBorders>
              <w:top w:val="nil"/>
              <w:left w:val="nil"/>
              <w:bottom w:val="nil"/>
              <w:right w:val="nil"/>
            </w:tcBorders>
            <w:shd w:val="clear" w:color="auto" w:fill="auto"/>
            <w:vAlign w:val="center"/>
            <w:hideMark/>
          </w:tcPr>
          <w:p w14:paraId="2EDA0D5E" w14:textId="77777777" w:rsidR="00223602" w:rsidRPr="00223602" w:rsidRDefault="00223602" w:rsidP="00223602">
            <w:pPr>
              <w:jc w:val="right"/>
              <w:rPr>
                <w:color w:val="000000"/>
                <w:sz w:val="18"/>
                <w:szCs w:val="18"/>
                <w:lang w:eastAsia="tr-TR"/>
              </w:rPr>
            </w:pPr>
            <w:r w:rsidRPr="00223602">
              <w:rPr>
                <w:color w:val="000000"/>
                <w:sz w:val="18"/>
                <w:szCs w:val="18"/>
                <w:lang w:eastAsia="tr-TR"/>
              </w:rPr>
              <w:t>1,796</w:t>
            </w:r>
          </w:p>
        </w:tc>
      </w:tr>
      <w:tr w:rsidR="00223602" w:rsidRPr="00223602" w14:paraId="22219611" w14:textId="77777777" w:rsidTr="00223602">
        <w:trPr>
          <w:divId w:val="1156995222"/>
          <w:trHeight w:val="242"/>
        </w:trPr>
        <w:tc>
          <w:tcPr>
            <w:tcW w:w="6110" w:type="dxa"/>
            <w:tcBorders>
              <w:top w:val="nil"/>
              <w:left w:val="nil"/>
              <w:bottom w:val="nil"/>
              <w:right w:val="nil"/>
            </w:tcBorders>
            <w:shd w:val="clear" w:color="auto" w:fill="auto"/>
            <w:vAlign w:val="center"/>
            <w:hideMark/>
          </w:tcPr>
          <w:p w14:paraId="69C474C8" w14:textId="77777777" w:rsidR="00223602" w:rsidRPr="00223602" w:rsidRDefault="00223602" w:rsidP="00223602">
            <w:pPr>
              <w:rPr>
                <w:color w:val="000000"/>
                <w:sz w:val="18"/>
                <w:szCs w:val="18"/>
                <w:lang w:eastAsia="tr-TR"/>
              </w:rPr>
            </w:pPr>
            <w:r w:rsidRPr="00223602">
              <w:rPr>
                <w:color w:val="000000"/>
                <w:sz w:val="18"/>
                <w:szCs w:val="18"/>
                <w:lang w:eastAsia="tr-TR"/>
              </w:rPr>
              <w:t>BSMV</w:t>
            </w:r>
          </w:p>
        </w:tc>
        <w:tc>
          <w:tcPr>
            <w:tcW w:w="1579" w:type="dxa"/>
            <w:tcBorders>
              <w:top w:val="nil"/>
              <w:left w:val="nil"/>
              <w:bottom w:val="nil"/>
              <w:right w:val="nil"/>
            </w:tcBorders>
            <w:shd w:val="clear" w:color="auto" w:fill="auto"/>
            <w:vAlign w:val="center"/>
            <w:hideMark/>
          </w:tcPr>
          <w:p w14:paraId="30C10123" w14:textId="77777777" w:rsidR="00223602" w:rsidRPr="00223602" w:rsidRDefault="00223602" w:rsidP="00223602">
            <w:pPr>
              <w:jc w:val="right"/>
              <w:rPr>
                <w:color w:val="000000"/>
                <w:sz w:val="18"/>
                <w:szCs w:val="18"/>
                <w:lang w:eastAsia="tr-TR"/>
              </w:rPr>
            </w:pPr>
            <w:r w:rsidRPr="00223602">
              <w:rPr>
                <w:color w:val="000000"/>
                <w:sz w:val="18"/>
                <w:szCs w:val="18"/>
                <w:lang w:eastAsia="tr-TR"/>
              </w:rPr>
              <w:t>25,361</w:t>
            </w:r>
          </w:p>
        </w:tc>
        <w:tc>
          <w:tcPr>
            <w:tcW w:w="1419" w:type="dxa"/>
            <w:tcBorders>
              <w:top w:val="nil"/>
              <w:left w:val="nil"/>
              <w:bottom w:val="nil"/>
              <w:right w:val="nil"/>
            </w:tcBorders>
            <w:shd w:val="clear" w:color="auto" w:fill="auto"/>
            <w:vAlign w:val="center"/>
            <w:hideMark/>
          </w:tcPr>
          <w:p w14:paraId="77556571" w14:textId="77777777" w:rsidR="00223602" w:rsidRPr="00223602" w:rsidRDefault="00223602" w:rsidP="00223602">
            <w:pPr>
              <w:jc w:val="right"/>
              <w:rPr>
                <w:color w:val="000000"/>
                <w:sz w:val="18"/>
                <w:szCs w:val="18"/>
                <w:lang w:eastAsia="tr-TR"/>
              </w:rPr>
            </w:pPr>
            <w:r w:rsidRPr="00223602">
              <w:rPr>
                <w:color w:val="000000"/>
                <w:sz w:val="18"/>
                <w:szCs w:val="18"/>
                <w:lang w:eastAsia="tr-TR"/>
              </w:rPr>
              <w:t>29,327</w:t>
            </w:r>
          </w:p>
        </w:tc>
      </w:tr>
      <w:tr w:rsidR="00223602" w:rsidRPr="00223602" w14:paraId="43C1F086" w14:textId="77777777" w:rsidTr="00223602">
        <w:trPr>
          <w:divId w:val="1156995222"/>
          <w:trHeight w:val="242"/>
        </w:trPr>
        <w:tc>
          <w:tcPr>
            <w:tcW w:w="6110" w:type="dxa"/>
            <w:tcBorders>
              <w:top w:val="nil"/>
              <w:left w:val="nil"/>
              <w:bottom w:val="nil"/>
              <w:right w:val="nil"/>
            </w:tcBorders>
            <w:shd w:val="clear" w:color="auto" w:fill="auto"/>
            <w:vAlign w:val="center"/>
            <w:hideMark/>
          </w:tcPr>
          <w:p w14:paraId="7D86C0F2" w14:textId="77777777" w:rsidR="00223602" w:rsidRPr="00223602" w:rsidRDefault="00223602" w:rsidP="00223602">
            <w:pPr>
              <w:rPr>
                <w:color w:val="000000"/>
                <w:sz w:val="18"/>
                <w:szCs w:val="18"/>
                <w:lang w:eastAsia="tr-TR"/>
              </w:rPr>
            </w:pPr>
            <w:r w:rsidRPr="00223602">
              <w:rPr>
                <w:color w:val="000000"/>
                <w:sz w:val="18"/>
                <w:szCs w:val="18"/>
                <w:lang w:eastAsia="tr-TR"/>
              </w:rPr>
              <w:t>Kambiyo Muameleleri Vergisi</w:t>
            </w:r>
          </w:p>
        </w:tc>
        <w:tc>
          <w:tcPr>
            <w:tcW w:w="1579" w:type="dxa"/>
            <w:tcBorders>
              <w:top w:val="nil"/>
              <w:left w:val="nil"/>
              <w:bottom w:val="nil"/>
              <w:right w:val="nil"/>
            </w:tcBorders>
            <w:shd w:val="clear" w:color="auto" w:fill="auto"/>
            <w:vAlign w:val="center"/>
            <w:hideMark/>
          </w:tcPr>
          <w:p w14:paraId="35A4FBA7" w14:textId="77777777" w:rsidR="00223602" w:rsidRPr="00223602" w:rsidRDefault="00223602" w:rsidP="00223602">
            <w:pPr>
              <w:jc w:val="right"/>
              <w:rPr>
                <w:color w:val="000000"/>
                <w:sz w:val="18"/>
                <w:szCs w:val="18"/>
                <w:lang w:eastAsia="tr-TR"/>
              </w:rPr>
            </w:pPr>
            <w:r w:rsidRPr="00223602">
              <w:rPr>
                <w:color w:val="000000"/>
                <w:sz w:val="18"/>
                <w:szCs w:val="18"/>
                <w:lang w:eastAsia="tr-TR"/>
              </w:rPr>
              <w:t>78,038</w:t>
            </w:r>
          </w:p>
        </w:tc>
        <w:tc>
          <w:tcPr>
            <w:tcW w:w="1419" w:type="dxa"/>
            <w:tcBorders>
              <w:top w:val="nil"/>
              <w:left w:val="nil"/>
              <w:bottom w:val="nil"/>
              <w:right w:val="nil"/>
            </w:tcBorders>
            <w:shd w:val="clear" w:color="auto" w:fill="auto"/>
            <w:vAlign w:val="center"/>
            <w:hideMark/>
          </w:tcPr>
          <w:p w14:paraId="1556F356" w14:textId="77777777" w:rsidR="00223602" w:rsidRPr="00223602" w:rsidRDefault="00223602" w:rsidP="00223602">
            <w:pPr>
              <w:jc w:val="right"/>
              <w:rPr>
                <w:color w:val="000000"/>
                <w:sz w:val="18"/>
                <w:szCs w:val="18"/>
                <w:lang w:eastAsia="tr-TR"/>
              </w:rPr>
            </w:pPr>
            <w:r w:rsidRPr="00223602">
              <w:rPr>
                <w:color w:val="000000"/>
                <w:sz w:val="18"/>
                <w:szCs w:val="18"/>
                <w:lang w:eastAsia="tr-TR"/>
              </w:rPr>
              <w:t>4,532</w:t>
            </w:r>
          </w:p>
        </w:tc>
      </w:tr>
      <w:tr w:rsidR="00223602" w:rsidRPr="00223602" w14:paraId="44829A8A" w14:textId="77777777" w:rsidTr="00223602">
        <w:trPr>
          <w:divId w:val="1156995222"/>
          <w:trHeight w:val="242"/>
        </w:trPr>
        <w:tc>
          <w:tcPr>
            <w:tcW w:w="6110" w:type="dxa"/>
            <w:tcBorders>
              <w:top w:val="nil"/>
              <w:left w:val="nil"/>
              <w:bottom w:val="nil"/>
              <w:right w:val="nil"/>
            </w:tcBorders>
            <w:shd w:val="clear" w:color="auto" w:fill="auto"/>
            <w:vAlign w:val="center"/>
            <w:hideMark/>
          </w:tcPr>
          <w:p w14:paraId="02352D0F" w14:textId="77777777" w:rsidR="00223602" w:rsidRPr="00223602" w:rsidRDefault="00223602" w:rsidP="00223602">
            <w:pPr>
              <w:rPr>
                <w:color w:val="000000"/>
                <w:sz w:val="18"/>
                <w:szCs w:val="18"/>
                <w:lang w:eastAsia="tr-TR"/>
              </w:rPr>
            </w:pPr>
            <w:r w:rsidRPr="00223602">
              <w:rPr>
                <w:color w:val="000000"/>
                <w:sz w:val="18"/>
                <w:szCs w:val="18"/>
                <w:lang w:eastAsia="tr-TR"/>
              </w:rPr>
              <w:t>Ödenecek katma değer vergisi</w:t>
            </w:r>
          </w:p>
        </w:tc>
        <w:tc>
          <w:tcPr>
            <w:tcW w:w="1579" w:type="dxa"/>
            <w:tcBorders>
              <w:top w:val="nil"/>
              <w:left w:val="nil"/>
              <w:bottom w:val="nil"/>
              <w:right w:val="nil"/>
            </w:tcBorders>
            <w:shd w:val="clear" w:color="auto" w:fill="auto"/>
            <w:vAlign w:val="center"/>
            <w:hideMark/>
          </w:tcPr>
          <w:p w14:paraId="4D0E4CE6" w14:textId="77777777" w:rsidR="00223602" w:rsidRPr="00223602" w:rsidRDefault="00223602" w:rsidP="00223602">
            <w:pPr>
              <w:jc w:val="right"/>
              <w:rPr>
                <w:color w:val="000000"/>
                <w:sz w:val="18"/>
                <w:szCs w:val="18"/>
                <w:lang w:eastAsia="tr-TR"/>
              </w:rPr>
            </w:pPr>
            <w:r w:rsidRPr="00223602">
              <w:rPr>
                <w:color w:val="000000"/>
                <w:sz w:val="18"/>
                <w:szCs w:val="18"/>
                <w:lang w:eastAsia="tr-TR"/>
              </w:rPr>
              <w:t>1,700</w:t>
            </w:r>
          </w:p>
        </w:tc>
        <w:tc>
          <w:tcPr>
            <w:tcW w:w="1419" w:type="dxa"/>
            <w:tcBorders>
              <w:top w:val="nil"/>
              <w:left w:val="nil"/>
              <w:bottom w:val="nil"/>
              <w:right w:val="nil"/>
            </w:tcBorders>
            <w:shd w:val="clear" w:color="auto" w:fill="auto"/>
            <w:vAlign w:val="center"/>
            <w:hideMark/>
          </w:tcPr>
          <w:p w14:paraId="38A8F317" w14:textId="77777777" w:rsidR="00223602" w:rsidRPr="00223602" w:rsidRDefault="00223602" w:rsidP="00223602">
            <w:pPr>
              <w:jc w:val="right"/>
              <w:rPr>
                <w:color w:val="000000"/>
                <w:sz w:val="18"/>
                <w:szCs w:val="18"/>
                <w:lang w:eastAsia="tr-TR"/>
              </w:rPr>
            </w:pPr>
            <w:r w:rsidRPr="00223602">
              <w:rPr>
                <w:color w:val="000000"/>
                <w:sz w:val="18"/>
                <w:szCs w:val="18"/>
                <w:lang w:eastAsia="tr-TR"/>
              </w:rPr>
              <w:t>2,663</w:t>
            </w:r>
          </w:p>
        </w:tc>
      </w:tr>
      <w:tr w:rsidR="00223602" w:rsidRPr="00223602" w14:paraId="50FA0AAE" w14:textId="77777777" w:rsidTr="00223602">
        <w:trPr>
          <w:divId w:val="1156995222"/>
          <w:trHeight w:val="242"/>
        </w:trPr>
        <w:tc>
          <w:tcPr>
            <w:tcW w:w="6110" w:type="dxa"/>
            <w:tcBorders>
              <w:top w:val="nil"/>
              <w:left w:val="nil"/>
              <w:bottom w:val="nil"/>
              <w:right w:val="nil"/>
            </w:tcBorders>
            <w:shd w:val="clear" w:color="auto" w:fill="auto"/>
            <w:vAlign w:val="center"/>
            <w:hideMark/>
          </w:tcPr>
          <w:p w14:paraId="616F6A29" w14:textId="77777777" w:rsidR="00223602" w:rsidRPr="00223602" w:rsidRDefault="00223602" w:rsidP="00223602">
            <w:pPr>
              <w:rPr>
                <w:color w:val="000000"/>
                <w:sz w:val="18"/>
                <w:szCs w:val="18"/>
                <w:lang w:eastAsia="tr-TR"/>
              </w:rPr>
            </w:pPr>
            <w:r w:rsidRPr="00223602">
              <w:rPr>
                <w:color w:val="000000"/>
                <w:sz w:val="18"/>
                <w:szCs w:val="18"/>
                <w:lang w:eastAsia="tr-TR"/>
              </w:rPr>
              <w:t>Ücretlerden kesilen gelir vergisi</w:t>
            </w:r>
          </w:p>
        </w:tc>
        <w:tc>
          <w:tcPr>
            <w:tcW w:w="1579" w:type="dxa"/>
            <w:tcBorders>
              <w:top w:val="nil"/>
              <w:left w:val="nil"/>
              <w:bottom w:val="nil"/>
              <w:right w:val="nil"/>
            </w:tcBorders>
            <w:shd w:val="clear" w:color="auto" w:fill="auto"/>
            <w:vAlign w:val="center"/>
            <w:hideMark/>
          </w:tcPr>
          <w:p w14:paraId="0A48926C" w14:textId="77777777" w:rsidR="00223602" w:rsidRPr="00223602" w:rsidRDefault="00223602" w:rsidP="00223602">
            <w:pPr>
              <w:jc w:val="right"/>
              <w:rPr>
                <w:color w:val="000000"/>
                <w:sz w:val="18"/>
                <w:szCs w:val="18"/>
                <w:lang w:eastAsia="tr-TR"/>
              </w:rPr>
            </w:pPr>
            <w:r w:rsidRPr="00223602">
              <w:rPr>
                <w:color w:val="000000"/>
                <w:sz w:val="18"/>
                <w:szCs w:val="18"/>
                <w:lang w:eastAsia="tr-TR"/>
              </w:rPr>
              <w:t>14,259</w:t>
            </w:r>
          </w:p>
        </w:tc>
        <w:tc>
          <w:tcPr>
            <w:tcW w:w="1419" w:type="dxa"/>
            <w:tcBorders>
              <w:top w:val="nil"/>
              <w:left w:val="nil"/>
              <w:bottom w:val="nil"/>
              <w:right w:val="nil"/>
            </w:tcBorders>
            <w:shd w:val="clear" w:color="auto" w:fill="auto"/>
            <w:vAlign w:val="center"/>
            <w:hideMark/>
          </w:tcPr>
          <w:p w14:paraId="1D25DF73" w14:textId="77777777" w:rsidR="00223602" w:rsidRPr="00223602" w:rsidRDefault="00223602" w:rsidP="00223602">
            <w:pPr>
              <w:jc w:val="right"/>
              <w:rPr>
                <w:color w:val="000000"/>
                <w:sz w:val="18"/>
                <w:szCs w:val="18"/>
                <w:lang w:eastAsia="tr-TR"/>
              </w:rPr>
            </w:pPr>
            <w:r w:rsidRPr="00223602">
              <w:rPr>
                <w:color w:val="000000"/>
                <w:sz w:val="18"/>
                <w:szCs w:val="18"/>
                <w:lang w:eastAsia="tr-TR"/>
              </w:rPr>
              <w:t>12,624</w:t>
            </w:r>
          </w:p>
        </w:tc>
      </w:tr>
      <w:tr w:rsidR="00223602" w:rsidRPr="00223602" w14:paraId="3E4D7F0F" w14:textId="77777777" w:rsidTr="00223602">
        <w:trPr>
          <w:divId w:val="1156995222"/>
          <w:trHeight w:val="257"/>
        </w:trPr>
        <w:tc>
          <w:tcPr>
            <w:tcW w:w="6110" w:type="dxa"/>
            <w:tcBorders>
              <w:top w:val="nil"/>
              <w:left w:val="nil"/>
              <w:bottom w:val="nil"/>
              <w:right w:val="nil"/>
            </w:tcBorders>
            <w:shd w:val="clear" w:color="auto" w:fill="auto"/>
            <w:vAlign w:val="center"/>
            <w:hideMark/>
          </w:tcPr>
          <w:p w14:paraId="23788F21" w14:textId="77777777" w:rsidR="00223602" w:rsidRPr="00223602" w:rsidRDefault="00223602" w:rsidP="00223602">
            <w:pPr>
              <w:rPr>
                <w:color w:val="000000"/>
                <w:sz w:val="18"/>
                <w:szCs w:val="18"/>
                <w:lang w:eastAsia="tr-TR"/>
              </w:rPr>
            </w:pPr>
            <w:r w:rsidRPr="00223602">
              <w:rPr>
                <w:color w:val="000000"/>
                <w:sz w:val="18"/>
                <w:szCs w:val="18"/>
                <w:lang w:eastAsia="tr-TR"/>
              </w:rPr>
              <w:t>Diğer</w:t>
            </w:r>
          </w:p>
        </w:tc>
        <w:tc>
          <w:tcPr>
            <w:tcW w:w="1579" w:type="dxa"/>
            <w:tcBorders>
              <w:top w:val="nil"/>
              <w:left w:val="nil"/>
              <w:bottom w:val="nil"/>
              <w:right w:val="nil"/>
            </w:tcBorders>
            <w:shd w:val="clear" w:color="auto" w:fill="auto"/>
            <w:vAlign w:val="center"/>
            <w:hideMark/>
          </w:tcPr>
          <w:p w14:paraId="63179743" w14:textId="77777777" w:rsidR="00223602" w:rsidRPr="00223602" w:rsidRDefault="00223602" w:rsidP="00223602">
            <w:pPr>
              <w:jc w:val="right"/>
              <w:rPr>
                <w:color w:val="000000"/>
                <w:sz w:val="18"/>
                <w:szCs w:val="18"/>
                <w:lang w:eastAsia="tr-TR"/>
              </w:rPr>
            </w:pPr>
            <w:r w:rsidRPr="00223602">
              <w:rPr>
                <w:color w:val="000000"/>
                <w:sz w:val="18"/>
                <w:szCs w:val="18"/>
                <w:lang w:eastAsia="tr-TR"/>
              </w:rPr>
              <w:t>1,564</w:t>
            </w:r>
          </w:p>
        </w:tc>
        <w:tc>
          <w:tcPr>
            <w:tcW w:w="1419" w:type="dxa"/>
            <w:tcBorders>
              <w:top w:val="nil"/>
              <w:left w:val="nil"/>
              <w:bottom w:val="nil"/>
              <w:right w:val="nil"/>
            </w:tcBorders>
            <w:shd w:val="clear" w:color="auto" w:fill="auto"/>
            <w:vAlign w:val="center"/>
            <w:hideMark/>
          </w:tcPr>
          <w:p w14:paraId="1B12E0F9" w14:textId="77777777" w:rsidR="00223602" w:rsidRPr="00223602" w:rsidRDefault="00223602" w:rsidP="00223602">
            <w:pPr>
              <w:jc w:val="right"/>
              <w:rPr>
                <w:color w:val="000000"/>
                <w:sz w:val="18"/>
                <w:szCs w:val="18"/>
                <w:lang w:eastAsia="tr-TR"/>
              </w:rPr>
            </w:pPr>
            <w:r w:rsidRPr="00223602">
              <w:rPr>
                <w:color w:val="000000"/>
                <w:sz w:val="18"/>
                <w:szCs w:val="18"/>
                <w:lang w:eastAsia="tr-TR"/>
              </w:rPr>
              <w:t>4,058</w:t>
            </w:r>
          </w:p>
        </w:tc>
      </w:tr>
      <w:tr w:rsidR="00223602" w:rsidRPr="00223602" w14:paraId="5D889965" w14:textId="77777777" w:rsidTr="00223602">
        <w:trPr>
          <w:divId w:val="1156995222"/>
          <w:trHeight w:val="242"/>
        </w:trPr>
        <w:tc>
          <w:tcPr>
            <w:tcW w:w="6110" w:type="dxa"/>
            <w:tcBorders>
              <w:top w:val="single" w:sz="8" w:space="0" w:color="auto"/>
              <w:left w:val="nil"/>
              <w:bottom w:val="double" w:sz="6" w:space="0" w:color="auto"/>
              <w:right w:val="nil"/>
            </w:tcBorders>
            <w:shd w:val="clear" w:color="auto" w:fill="auto"/>
            <w:vAlign w:val="center"/>
            <w:hideMark/>
          </w:tcPr>
          <w:p w14:paraId="3E102AAE" w14:textId="77777777" w:rsidR="00223602" w:rsidRPr="00223602" w:rsidRDefault="00223602" w:rsidP="00223602">
            <w:pPr>
              <w:jc w:val="both"/>
              <w:rPr>
                <w:b/>
                <w:bCs/>
                <w:color w:val="000000"/>
                <w:sz w:val="16"/>
                <w:szCs w:val="16"/>
                <w:lang w:eastAsia="tr-TR"/>
              </w:rPr>
            </w:pPr>
            <w:r w:rsidRPr="00223602">
              <w:rPr>
                <w:b/>
                <w:bCs/>
                <w:color w:val="000000"/>
                <w:sz w:val="16"/>
                <w:szCs w:val="16"/>
                <w:lang w:eastAsia="tr-TR"/>
              </w:rPr>
              <w:t>Toplam</w:t>
            </w:r>
          </w:p>
        </w:tc>
        <w:tc>
          <w:tcPr>
            <w:tcW w:w="1579" w:type="dxa"/>
            <w:tcBorders>
              <w:top w:val="single" w:sz="8" w:space="0" w:color="auto"/>
              <w:left w:val="nil"/>
              <w:bottom w:val="double" w:sz="6" w:space="0" w:color="auto"/>
              <w:right w:val="nil"/>
            </w:tcBorders>
            <w:shd w:val="clear" w:color="auto" w:fill="auto"/>
            <w:vAlign w:val="center"/>
            <w:hideMark/>
          </w:tcPr>
          <w:p w14:paraId="0D4232F3" w14:textId="77777777" w:rsidR="00223602" w:rsidRPr="00223602" w:rsidRDefault="00223602" w:rsidP="00223602">
            <w:pPr>
              <w:jc w:val="right"/>
              <w:rPr>
                <w:b/>
                <w:bCs/>
                <w:color w:val="000000"/>
                <w:sz w:val="18"/>
                <w:szCs w:val="16"/>
                <w:lang w:eastAsia="tr-TR"/>
              </w:rPr>
            </w:pPr>
            <w:r w:rsidRPr="00223602">
              <w:rPr>
                <w:b/>
                <w:bCs/>
                <w:color w:val="000000"/>
                <w:sz w:val="18"/>
                <w:szCs w:val="16"/>
                <w:lang w:eastAsia="tr-TR"/>
              </w:rPr>
              <w:t>160,431</w:t>
            </w:r>
          </w:p>
        </w:tc>
        <w:tc>
          <w:tcPr>
            <w:tcW w:w="1419" w:type="dxa"/>
            <w:tcBorders>
              <w:top w:val="single" w:sz="8" w:space="0" w:color="auto"/>
              <w:left w:val="nil"/>
              <w:bottom w:val="double" w:sz="6" w:space="0" w:color="auto"/>
              <w:right w:val="nil"/>
            </w:tcBorders>
            <w:shd w:val="clear" w:color="auto" w:fill="auto"/>
            <w:vAlign w:val="center"/>
            <w:hideMark/>
          </w:tcPr>
          <w:p w14:paraId="3FA950AB" w14:textId="77777777" w:rsidR="00223602" w:rsidRPr="00223602" w:rsidRDefault="00223602" w:rsidP="00223602">
            <w:pPr>
              <w:jc w:val="right"/>
              <w:rPr>
                <w:b/>
                <w:bCs/>
                <w:color w:val="000000"/>
                <w:sz w:val="18"/>
                <w:szCs w:val="16"/>
                <w:lang w:eastAsia="tr-TR"/>
              </w:rPr>
            </w:pPr>
            <w:r w:rsidRPr="00223602">
              <w:rPr>
                <w:b/>
                <w:bCs/>
                <w:color w:val="000000"/>
                <w:sz w:val="18"/>
                <w:szCs w:val="16"/>
                <w:lang w:eastAsia="tr-TR"/>
              </w:rPr>
              <w:t>94,489</w:t>
            </w:r>
          </w:p>
        </w:tc>
      </w:tr>
    </w:tbl>
    <w:p w14:paraId="59639D1C" w14:textId="378B2C4B" w:rsidR="00363252" w:rsidRPr="00223602" w:rsidRDefault="00363252" w:rsidP="0054735C">
      <w:pPr>
        <w:rPr>
          <w:iCs/>
          <w:sz w:val="16"/>
          <w:szCs w:val="16"/>
        </w:rPr>
      </w:pPr>
    </w:p>
    <w:p w14:paraId="5D8F2665" w14:textId="16A7A7A4" w:rsidR="00201D41" w:rsidRPr="00223602" w:rsidRDefault="00B37FF0" w:rsidP="00B843E3">
      <w:pPr>
        <w:ind w:hanging="851"/>
        <w:rPr>
          <w:iCs/>
        </w:rPr>
      </w:pPr>
      <w:r w:rsidRPr="00223602">
        <w:rPr>
          <w:b/>
          <w:iCs/>
        </w:rPr>
        <w:t>2.8.1.3</w:t>
      </w:r>
      <w:r w:rsidR="007A10B9" w:rsidRPr="00223602">
        <w:rPr>
          <w:b/>
          <w:iCs/>
        </w:rPr>
        <w:t>.</w:t>
      </w:r>
      <w:r w:rsidRPr="00223602">
        <w:rPr>
          <w:iCs/>
        </w:rPr>
        <w:t xml:space="preserve"> </w:t>
      </w:r>
      <w:r w:rsidR="00B843E3">
        <w:rPr>
          <w:iCs/>
        </w:rPr>
        <w:tab/>
      </w:r>
      <w:r w:rsidR="00201D41" w:rsidRPr="00223602">
        <w:rPr>
          <w:iCs/>
        </w:rPr>
        <w:t>Primlere ilişkin bilgiler (*):</w:t>
      </w:r>
    </w:p>
    <w:p w14:paraId="0465497A" w14:textId="2DCD498B" w:rsidR="00223602" w:rsidRPr="00223602" w:rsidRDefault="00223602" w:rsidP="00885E1C">
      <w:pPr>
        <w:ind w:left="540"/>
        <w:rPr>
          <w:lang w:val="en-GB" w:eastAsia="en-GB"/>
        </w:rPr>
      </w:pPr>
    </w:p>
    <w:tbl>
      <w:tblPr>
        <w:tblW w:w="9073" w:type="dxa"/>
        <w:tblCellMar>
          <w:left w:w="70" w:type="dxa"/>
          <w:right w:w="70" w:type="dxa"/>
        </w:tblCellMar>
        <w:tblLook w:val="04A0" w:firstRow="1" w:lastRow="0" w:firstColumn="1" w:lastColumn="0" w:noHBand="0" w:noVBand="1"/>
      </w:tblPr>
      <w:tblGrid>
        <w:gridCol w:w="6087"/>
        <w:gridCol w:w="1573"/>
        <w:gridCol w:w="1413"/>
      </w:tblGrid>
      <w:tr w:rsidR="00223602" w:rsidRPr="00223602" w14:paraId="423D75E6" w14:textId="77777777" w:rsidTr="00223602">
        <w:trPr>
          <w:divId w:val="69816410"/>
          <w:trHeight w:val="248"/>
        </w:trPr>
        <w:tc>
          <w:tcPr>
            <w:tcW w:w="6087" w:type="dxa"/>
            <w:tcBorders>
              <w:top w:val="double" w:sz="6" w:space="0" w:color="auto"/>
              <w:left w:val="nil"/>
              <w:bottom w:val="single" w:sz="8" w:space="0" w:color="auto"/>
              <w:right w:val="nil"/>
            </w:tcBorders>
            <w:shd w:val="clear" w:color="auto" w:fill="auto"/>
            <w:vAlign w:val="center"/>
            <w:hideMark/>
          </w:tcPr>
          <w:p w14:paraId="22D3C573" w14:textId="4343356C" w:rsidR="00223602" w:rsidRPr="00223602" w:rsidRDefault="00223602" w:rsidP="00223602">
            <w:pPr>
              <w:jc w:val="center"/>
              <w:rPr>
                <w:b/>
                <w:bCs/>
                <w:color w:val="000000"/>
                <w:sz w:val="16"/>
                <w:szCs w:val="16"/>
                <w:lang w:eastAsia="tr-TR"/>
              </w:rPr>
            </w:pPr>
            <w:r w:rsidRPr="00223602">
              <w:rPr>
                <w:b/>
                <w:bCs/>
                <w:color w:val="000000"/>
                <w:sz w:val="16"/>
                <w:szCs w:val="16"/>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314A892C" w14:textId="77777777" w:rsidR="00223602" w:rsidRPr="00223602" w:rsidRDefault="00223602" w:rsidP="00223602">
            <w:pPr>
              <w:jc w:val="right"/>
              <w:rPr>
                <w:b/>
                <w:bCs/>
                <w:color w:val="000000"/>
                <w:sz w:val="16"/>
                <w:szCs w:val="16"/>
                <w:lang w:eastAsia="tr-TR"/>
              </w:rPr>
            </w:pPr>
            <w:r w:rsidRPr="00223602">
              <w:rPr>
                <w:b/>
                <w:bCs/>
                <w:color w:val="000000"/>
                <w:sz w:val="16"/>
                <w:szCs w:val="16"/>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137D1FE6" w14:textId="77777777" w:rsidR="00223602" w:rsidRPr="00223602" w:rsidRDefault="00223602" w:rsidP="00223602">
            <w:pPr>
              <w:jc w:val="right"/>
              <w:rPr>
                <w:b/>
                <w:bCs/>
                <w:color w:val="000000"/>
                <w:sz w:val="16"/>
                <w:szCs w:val="16"/>
                <w:lang w:eastAsia="tr-TR"/>
              </w:rPr>
            </w:pPr>
            <w:r w:rsidRPr="00223602">
              <w:rPr>
                <w:b/>
                <w:bCs/>
                <w:color w:val="000000"/>
                <w:sz w:val="16"/>
                <w:szCs w:val="16"/>
                <w:lang w:eastAsia="tr-TR"/>
              </w:rPr>
              <w:t>Önceki Dönem</w:t>
            </w:r>
          </w:p>
        </w:tc>
      </w:tr>
      <w:tr w:rsidR="00223602" w:rsidRPr="00223602" w14:paraId="28B8B0FA" w14:textId="77777777" w:rsidTr="00223602">
        <w:trPr>
          <w:divId w:val="69816410"/>
          <w:trHeight w:val="233"/>
        </w:trPr>
        <w:tc>
          <w:tcPr>
            <w:tcW w:w="6087" w:type="dxa"/>
            <w:tcBorders>
              <w:top w:val="nil"/>
              <w:left w:val="nil"/>
              <w:bottom w:val="nil"/>
              <w:right w:val="nil"/>
            </w:tcBorders>
            <w:shd w:val="clear" w:color="auto" w:fill="auto"/>
            <w:vAlign w:val="center"/>
            <w:hideMark/>
          </w:tcPr>
          <w:p w14:paraId="4AE0CD00" w14:textId="77777777" w:rsidR="00223602" w:rsidRPr="00223602" w:rsidRDefault="00223602" w:rsidP="00223602">
            <w:pPr>
              <w:jc w:val="both"/>
              <w:rPr>
                <w:color w:val="000000"/>
                <w:sz w:val="18"/>
                <w:szCs w:val="18"/>
                <w:lang w:eastAsia="tr-TR"/>
              </w:rPr>
            </w:pPr>
            <w:r w:rsidRPr="00223602">
              <w:rPr>
                <w:color w:val="000000"/>
                <w:sz w:val="18"/>
                <w:szCs w:val="18"/>
                <w:lang w:eastAsia="tr-TR"/>
              </w:rPr>
              <w:t>Sosyal Sigorta Primleri-Personel</w:t>
            </w:r>
          </w:p>
        </w:tc>
        <w:tc>
          <w:tcPr>
            <w:tcW w:w="1573" w:type="dxa"/>
            <w:tcBorders>
              <w:top w:val="nil"/>
              <w:left w:val="nil"/>
              <w:bottom w:val="nil"/>
              <w:right w:val="nil"/>
            </w:tcBorders>
            <w:shd w:val="clear" w:color="auto" w:fill="auto"/>
            <w:vAlign w:val="center"/>
            <w:hideMark/>
          </w:tcPr>
          <w:p w14:paraId="2D2547AD" w14:textId="77777777" w:rsidR="00223602" w:rsidRPr="00223602" w:rsidRDefault="00223602" w:rsidP="00223602">
            <w:pPr>
              <w:jc w:val="right"/>
              <w:rPr>
                <w:color w:val="000000"/>
                <w:sz w:val="18"/>
                <w:szCs w:val="18"/>
                <w:lang w:eastAsia="tr-TR"/>
              </w:rPr>
            </w:pPr>
            <w:r w:rsidRPr="00223602">
              <w:rPr>
                <w:color w:val="000000"/>
                <w:sz w:val="18"/>
                <w:szCs w:val="18"/>
                <w:lang w:eastAsia="tr-TR"/>
              </w:rPr>
              <w:t>8,497</w:t>
            </w:r>
          </w:p>
        </w:tc>
        <w:tc>
          <w:tcPr>
            <w:tcW w:w="1413" w:type="dxa"/>
            <w:tcBorders>
              <w:top w:val="nil"/>
              <w:left w:val="nil"/>
              <w:bottom w:val="nil"/>
              <w:right w:val="nil"/>
            </w:tcBorders>
            <w:shd w:val="clear" w:color="auto" w:fill="auto"/>
            <w:vAlign w:val="center"/>
            <w:hideMark/>
          </w:tcPr>
          <w:p w14:paraId="0A3B870D" w14:textId="77777777" w:rsidR="00223602" w:rsidRPr="00223602" w:rsidRDefault="00223602" w:rsidP="00223602">
            <w:pPr>
              <w:jc w:val="right"/>
              <w:rPr>
                <w:color w:val="000000"/>
                <w:sz w:val="18"/>
                <w:szCs w:val="18"/>
                <w:lang w:eastAsia="tr-TR"/>
              </w:rPr>
            </w:pPr>
            <w:r w:rsidRPr="00223602">
              <w:rPr>
                <w:color w:val="000000"/>
                <w:sz w:val="18"/>
                <w:szCs w:val="18"/>
                <w:lang w:eastAsia="tr-TR"/>
              </w:rPr>
              <w:t>7,430</w:t>
            </w:r>
          </w:p>
        </w:tc>
      </w:tr>
      <w:tr w:rsidR="00223602" w:rsidRPr="00223602" w14:paraId="2265F83B" w14:textId="77777777" w:rsidTr="00223602">
        <w:trPr>
          <w:divId w:val="69816410"/>
          <w:trHeight w:val="233"/>
        </w:trPr>
        <w:tc>
          <w:tcPr>
            <w:tcW w:w="6087" w:type="dxa"/>
            <w:tcBorders>
              <w:top w:val="nil"/>
              <w:left w:val="nil"/>
              <w:bottom w:val="nil"/>
              <w:right w:val="nil"/>
            </w:tcBorders>
            <w:shd w:val="clear" w:color="auto" w:fill="auto"/>
            <w:vAlign w:val="center"/>
            <w:hideMark/>
          </w:tcPr>
          <w:p w14:paraId="506A2396" w14:textId="77777777" w:rsidR="00223602" w:rsidRPr="00223602" w:rsidRDefault="00223602" w:rsidP="00223602">
            <w:pPr>
              <w:jc w:val="both"/>
              <w:rPr>
                <w:color w:val="000000"/>
                <w:sz w:val="18"/>
                <w:szCs w:val="18"/>
                <w:lang w:eastAsia="tr-TR"/>
              </w:rPr>
            </w:pPr>
            <w:r w:rsidRPr="00223602">
              <w:rPr>
                <w:color w:val="000000"/>
                <w:sz w:val="18"/>
                <w:szCs w:val="18"/>
                <w:lang w:eastAsia="tr-TR"/>
              </w:rPr>
              <w:t>Sosyal Sigorta Primleri-İşveren</w:t>
            </w:r>
          </w:p>
        </w:tc>
        <w:tc>
          <w:tcPr>
            <w:tcW w:w="1573" w:type="dxa"/>
            <w:tcBorders>
              <w:top w:val="nil"/>
              <w:left w:val="nil"/>
              <w:bottom w:val="nil"/>
              <w:right w:val="nil"/>
            </w:tcBorders>
            <w:shd w:val="clear" w:color="auto" w:fill="auto"/>
            <w:vAlign w:val="center"/>
            <w:hideMark/>
          </w:tcPr>
          <w:p w14:paraId="12E4173F" w14:textId="77777777" w:rsidR="00223602" w:rsidRPr="00223602" w:rsidRDefault="00223602" w:rsidP="00223602">
            <w:pPr>
              <w:jc w:val="right"/>
              <w:rPr>
                <w:color w:val="000000"/>
                <w:sz w:val="18"/>
                <w:szCs w:val="18"/>
                <w:lang w:eastAsia="tr-TR"/>
              </w:rPr>
            </w:pPr>
            <w:r w:rsidRPr="00223602">
              <w:rPr>
                <w:color w:val="000000"/>
                <w:sz w:val="18"/>
                <w:szCs w:val="18"/>
                <w:lang w:eastAsia="tr-TR"/>
              </w:rPr>
              <w:t>9,136</w:t>
            </w:r>
          </w:p>
        </w:tc>
        <w:tc>
          <w:tcPr>
            <w:tcW w:w="1413" w:type="dxa"/>
            <w:tcBorders>
              <w:top w:val="nil"/>
              <w:left w:val="nil"/>
              <w:bottom w:val="nil"/>
              <w:right w:val="nil"/>
            </w:tcBorders>
            <w:shd w:val="clear" w:color="auto" w:fill="auto"/>
            <w:vAlign w:val="center"/>
            <w:hideMark/>
          </w:tcPr>
          <w:p w14:paraId="535C98FD" w14:textId="77777777" w:rsidR="00223602" w:rsidRPr="00223602" w:rsidRDefault="00223602" w:rsidP="00223602">
            <w:pPr>
              <w:jc w:val="right"/>
              <w:rPr>
                <w:color w:val="000000"/>
                <w:sz w:val="18"/>
                <w:szCs w:val="18"/>
                <w:lang w:eastAsia="tr-TR"/>
              </w:rPr>
            </w:pPr>
            <w:r w:rsidRPr="00223602">
              <w:rPr>
                <w:color w:val="000000"/>
                <w:sz w:val="18"/>
                <w:szCs w:val="18"/>
                <w:lang w:eastAsia="tr-TR"/>
              </w:rPr>
              <w:t>8,000</w:t>
            </w:r>
          </w:p>
        </w:tc>
      </w:tr>
      <w:tr w:rsidR="00223602" w:rsidRPr="00223602" w14:paraId="5E598C2E" w14:textId="77777777" w:rsidTr="00223602">
        <w:trPr>
          <w:divId w:val="69816410"/>
          <w:trHeight w:val="233"/>
        </w:trPr>
        <w:tc>
          <w:tcPr>
            <w:tcW w:w="6087" w:type="dxa"/>
            <w:tcBorders>
              <w:top w:val="nil"/>
              <w:left w:val="nil"/>
              <w:bottom w:val="nil"/>
              <w:right w:val="nil"/>
            </w:tcBorders>
            <w:shd w:val="clear" w:color="auto" w:fill="auto"/>
            <w:vAlign w:val="center"/>
            <w:hideMark/>
          </w:tcPr>
          <w:p w14:paraId="3CF0AC80" w14:textId="77777777" w:rsidR="00223602" w:rsidRPr="00223602" w:rsidRDefault="00223602" w:rsidP="00223602">
            <w:pPr>
              <w:jc w:val="both"/>
              <w:rPr>
                <w:color w:val="000000"/>
                <w:sz w:val="18"/>
                <w:szCs w:val="18"/>
                <w:lang w:eastAsia="tr-TR"/>
              </w:rPr>
            </w:pPr>
            <w:r w:rsidRPr="00223602">
              <w:rPr>
                <w:color w:val="000000"/>
                <w:sz w:val="18"/>
                <w:szCs w:val="18"/>
                <w:lang w:eastAsia="tr-TR"/>
              </w:rPr>
              <w:t>İşsizlik Sigortası-Personel</w:t>
            </w:r>
          </w:p>
        </w:tc>
        <w:tc>
          <w:tcPr>
            <w:tcW w:w="1573" w:type="dxa"/>
            <w:tcBorders>
              <w:top w:val="nil"/>
              <w:left w:val="nil"/>
              <w:bottom w:val="nil"/>
              <w:right w:val="nil"/>
            </w:tcBorders>
            <w:shd w:val="clear" w:color="auto" w:fill="auto"/>
            <w:vAlign w:val="center"/>
            <w:hideMark/>
          </w:tcPr>
          <w:p w14:paraId="781685C2" w14:textId="77777777" w:rsidR="00223602" w:rsidRPr="00223602" w:rsidRDefault="00223602" w:rsidP="00223602">
            <w:pPr>
              <w:jc w:val="right"/>
              <w:rPr>
                <w:color w:val="000000"/>
                <w:sz w:val="18"/>
                <w:szCs w:val="18"/>
                <w:lang w:eastAsia="tr-TR"/>
              </w:rPr>
            </w:pPr>
            <w:r w:rsidRPr="00223602">
              <w:rPr>
                <w:color w:val="000000"/>
                <w:sz w:val="18"/>
                <w:szCs w:val="18"/>
                <w:lang w:eastAsia="tr-TR"/>
              </w:rPr>
              <w:t>608</w:t>
            </w:r>
          </w:p>
        </w:tc>
        <w:tc>
          <w:tcPr>
            <w:tcW w:w="1413" w:type="dxa"/>
            <w:tcBorders>
              <w:top w:val="nil"/>
              <w:left w:val="nil"/>
              <w:bottom w:val="nil"/>
              <w:right w:val="nil"/>
            </w:tcBorders>
            <w:shd w:val="clear" w:color="auto" w:fill="auto"/>
            <w:vAlign w:val="center"/>
            <w:hideMark/>
          </w:tcPr>
          <w:p w14:paraId="13166CD3" w14:textId="77777777" w:rsidR="00223602" w:rsidRPr="00223602" w:rsidRDefault="00223602" w:rsidP="00223602">
            <w:pPr>
              <w:jc w:val="right"/>
              <w:rPr>
                <w:color w:val="000000"/>
                <w:sz w:val="18"/>
                <w:szCs w:val="18"/>
                <w:lang w:eastAsia="tr-TR"/>
              </w:rPr>
            </w:pPr>
            <w:r w:rsidRPr="00223602">
              <w:rPr>
                <w:color w:val="000000"/>
                <w:sz w:val="18"/>
                <w:szCs w:val="18"/>
                <w:lang w:eastAsia="tr-TR"/>
              </w:rPr>
              <w:t>532</w:t>
            </w:r>
          </w:p>
        </w:tc>
      </w:tr>
      <w:tr w:rsidR="00223602" w:rsidRPr="00223602" w14:paraId="6FEABF0B" w14:textId="77777777" w:rsidTr="00223602">
        <w:trPr>
          <w:divId w:val="69816410"/>
          <w:trHeight w:val="233"/>
        </w:trPr>
        <w:tc>
          <w:tcPr>
            <w:tcW w:w="6087" w:type="dxa"/>
            <w:tcBorders>
              <w:top w:val="nil"/>
              <w:left w:val="nil"/>
              <w:bottom w:val="nil"/>
              <w:right w:val="nil"/>
            </w:tcBorders>
            <w:shd w:val="clear" w:color="auto" w:fill="auto"/>
            <w:vAlign w:val="center"/>
            <w:hideMark/>
          </w:tcPr>
          <w:p w14:paraId="2C639D06" w14:textId="77777777" w:rsidR="00223602" w:rsidRPr="00223602" w:rsidRDefault="00223602" w:rsidP="00223602">
            <w:pPr>
              <w:jc w:val="both"/>
              <w:rPr>
                <w:color w:val="000000"/>
                <w:sz w:val="18"/>
                <w:szCs w:val="18"/>
                <w:lang w:eastAsia="tr-TR"/>
              </w:rPr>
            </w:pPr>
            <w:r w:rsidRPr="00223602">
              <w:rPr>
                <w:color w:val="000000"/>
                <w:sz w:val="18"/>
                <w:szCs w:val="18"/>
                <w:lang w:eastAsia="tr-TR"/>
              </w:rPr>
              <w:t>İşsizlik Sigortası–İşveren</w:t>
            </w:r>
          </w:p>
        </w:tc>
        <w:tc>
          <w:tcPr>
            <w:tcW w:w="1573" w:type="dxa"/>
            <w:tcBorders>
              <w:top w:val="nil"/>
              <w:left w:val="nil"/>
              <w:bottom w:val="nil"/>
              <w:right w:val="nil"/>
            </w:tcBorders>
            <w:shd w:val="clear" w:color="auto" w:fill="auto"/>
            <w:vAlign w:val="center"/>
            <w:hideMark/>
          </w:tcPr>
          <w:p w14:paraId="048BC0A1" w14:textId="77777777" w:rsidR="00223602" w:rsidRPr="00223602" w:rsidRDefault="00223602" w:rsidP="00223602">
            <w:pPr>
              <w:jc w:val="right"/>
              <w:rPr>
                <w:color w:val="000000"/>
                <w:sz w:val="18"/>
                <w:szCs w:val="18"/>
                <w:lang w:eastAsia="tr-TR"/>
              </w:rPr>
            </w:pPr>
            <w:r w:rsidRPr="00223602">
              <w:rPr>
                <w:color w:val="000000"/>
                <w:sz w:val="18"/>
                <w:szCs w:val="18"/>
                <w:lang w:eastAsia="tr-TR"/>
              </w:rPr>
              <w:t>1,434</w:t>
            </w:r>
          </w:p>
        </w:tc>
        <w:tc>
          <w:tcPr>
            <w:tcW w:w="1413" w:type="dxa"/>
            <w:tcBorders>
              <w:top w:val="nil"/>
              <w:left w:val="nil"/>
              <w:bottom w:val="nil"/>
              <w:right w:val="nil"/>
            </w:tcBorders>
            <w:shd w:val="clear" w:color="auto" w:fill="auto"/>
            <w:vAlign w:val="center"/>
            <w:hideMark/>
          </w:tcPr>
          <w:p w14:paraId="0069A4FA" w14:textId="77777777" w:rsidR="00223602" w:rsidRPr="00223602" w:rsidRDefault="00223602" w:rsidP="00223602">
            <w:pPr>
              <w:jc w:val="right"/>
              <w:rPr>
                <w:color w:val="000000"/>
                <w:sz w:val="18"/>
                <w:szCs w:val="18"/>
                <w:lang w:eastAsia="tr-TR"/>
              </w:rPr>
            </w:pPr>
            <w:r w:rsidRPr="00223602">
              <w:rPr>
                <w:color w:val="000000"/>
                <w:sz w:val="18"/>
                <w:szCs w:val="18"/>
                <w:lang w:eastAsia="tr-TR"/>
              </w:rPr>
              <w:t>1,263</w:t>
            </w:r>
          </w:p>
        </w:tc>
      </w:tr>
      <w:tr w:rsidR="00223602" w:rsidRPr="00223602" w14:paraId="78221370" w14:textId="77777777" w:rsidTr="00223602">
        <w:trPr>
          <w:divId w:val="69816410"/>
          <w:trHeight w:val="248"/>
        </w:trPr>
        <w:tc>
          <w:tcPr>
            <w:tcW w:w="6087" w:type="dxa"/>
            <w:tcBorders>
              <w:top w:val="nil"/>
              <w:left w:val="nil"/>
              <w:bottom w:val="nil"/>
              <w:right w:val="nil"/>
            </w:tcBorders>
            <w:shd w:val="clear" w:color="auto" w:fill="auto"/>
            <w:vAlign w:val="center"/>
            <w:hideMark/>
          </w:tcPr>
          <w:p w14:paraId="1BAFF9FE" w14:textId="77777777" w:rsidR="00223602" w:rsidRPr="00223602" w:rsidRDefault="00223602" w:rsidP="00223602">
            <w:pPr>
              <w:jc w:val="both"/>
              <w:rPr>
                <w:color w:val="000000"/>
                <w:sz w:val="18"/>
                <w:szCs w:val="18"/>
                <w:lang w:eastAsia="tr-TR"/>
              </w:rPr>
            </w:pPr>
            <w:r w:rsidRPr="00223602">
              <w:rPr>
                <w:color w:val="000000"/>
                <w:sz w:val="18"/>
                <w:szCs w:val="18"/>
                <w:lang w:eastAsia="tr-TR"/>
              </w:rPr>
              <w:t>Diğer</w:t>
            </w:r>
          </w:p>
        </w:tc>
        <w:tc>
          <w:tcPr>
            <w:tcW w:w="1573" w:type="dxa"/>
            <w:tcBorders>
              <w:top w:val="nil"/>
              <w:left w:val="nil"/>
              <w:bottom w:val="nil"/>
              <w:right w:val="nil"/>
            </w:tcBorders>
            <w:shd w:val="clear" w:color="auto" w:fill="auto"/>
            <w:vAlign w:val="center"/>
            <w:hideMark/>
          </w:tcPr>
          <w:p w14:paraId="491643D7" w14:textId="77777777" w:rsidR="00223602" w:rsidRPr="00223602" w:rsidRDefault="00223602" w:rsidP="00223602">
            <w:pPr>
              <w:jc w:val="right"/>
              <w:rPr>
                <w:color w:val="000000"/>
                <w:sz w:val="18"/>
                <w:szCs w:val="18"/>
                <w:lang w:eastAsia="tr-TR"/>
              </w:rPr>
            </w:pPr>
            <w:r w:rsidRPr="00223602">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76355C47" w14:textId="77777777" w:rsidR="00223602" w:rsidRPr="00223602" w:rsidRDefault="00223602" w:rsidP="00223602">
            <w:pPr>
              <w:jc w:val="right"/>
              <w:rPr>
                <w:color w:val="000000"/>
                <w:sz w:val="18"/>
                <w:szCs w:val="18"/>
                <w:lang w:eastAsia="tr-TR"/>
              </w:rPr>
            </w:pPr>
            <w:r w:rsidRPr="00223602">
              <w:rPr>
                <w:color w:val="000000"/>
                <w:sz w:val="18"/>
                <w:szCs w:val="18"/>
                <w:lang w:eastAsia="tr-TR"/>
              </w:rPr>
              <w:t>-</w:t>
            </w:r>
          </w:p>
        </w:tc>
      </w:tr>
      <w:tr w:rsidR="00223602" w:rsidRPr="00223602" w14:paraId="726C63F2" w14:textId="77777777" w:rsidTr="00223602">
        <w:trPr>
          <w:divId w:val="69816410"/>
          <w:trHeight w:val="248"/>
        </w:trPr>
        <w:tc>
          <w:tcPr>
            <w:tcW w:w="6087" w:type="dxa"/>
            <w:tcBorders>
              <w:top w:val="single" w:sz="8" w:space="0" w:color="auto"/>
              <w:left w:val="nil"/>
              <w:bottom w:val="double" w:sz="6" w:space="0" w:color="auto"/>
              <w:right w:val="nil"/>
            </w:tcBorders>
            <w:shd w:val="clear" w:color="auto" w:fill="auto"/>
            <w:vAlign w:val="center"/>
            <w:hideMark/>
          </w:tcPr>
          <w:p w14:paraId="4E50B56F" w14:textId="77777777" w:rsidR="00223602" w:rsidRPr="00223602" w:rsidRDefault="00223602" w:rsidP="00223602">
            <w:pPr>
              <w:jc w:val="both"/>
              <w:rPr>
                <w:b/>
                <w:bCs/>
                <w:color w:val="000000"/>
                <w:sz w:val="16"/>
                <w:szCs w:val="16"/>
                <w:lang w:eastAsia="tr-TR"/>
              </w:rPr>
            </w:pPr>
            <w:r w:rsidRPr="00223602">
              <w:rPr>
                <w:b/>
                <w:bCs/>
                <w:color w:val="000000"/>
                <w:sz w:val="16"/>
                <w:szCs w:val="16"/>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094D4602" w14:textId="77777777" w:rsidR="00223602" w:rsidRPr="00223602" w:rsidRDefault="00223602" w:rsidP="00223602">
            <w:pPr>
              <w:jc w:val="right"/>
              <w:rPr>
                <w:b/>
                <w:bCs/>
                <w:color w:val="000000"/>
                <w:sz w:val="18"/>
                <w:szCs w:val="18"/>
                <w:lang w:eastAsia="tr-TR"/>
              </w:rPr>
            </w:pPr>
            <w:r w:rsidRPr="00223602">
              <w:rPr>
                <w:b/>
                <w:bCs/>
                <w:color w:val="000000"/>
                <w:sz w:val="18"/>
                <w:szCs w:val="18"/>
                <w:lang w:eastAsia="tr-TR"/>
              </w:rPr>
              <w:t>19,675</w:t>
            </w:r>
          </w:p>
        </w:tc>
        <w:tc>
          <w:tcPr>
            <w:tcW w:w="1413" w:type="dxa"/>
            <w:tcBorders>
              <w:top w:val="single" w:sz="8" w:space="0" w:color="auto"/>
              <w:left w:val="nil"/>
              <w:bottom w:val="double" w:sz="6" w:space="0" w:color="auto"/>
              <w:right w:val="nil"/>
            </w:tcBorders>
            <w:shd w:val="clear" w:color="auto" w:fill="auto"/>
            <w:vAlign w:val="center"/>
            <w:hideMark/>
          </w:tcPr>
          <w:p w14:paraId="748376AB" w14:textId="77777777" w:rsidR="00223602" w:rsidRPr="00223602" w:rsidRDefault="00223602" w:rsidP="00223602">
            <w:pPr>
              <w:jc w:val="right"/>
              <w:rPr>
                <w:b/>
                <w:bCs/>
                <w:color w:val="000000"/>
                <w:sz w:val="18"/>
                <w:szCs w:val="18"/>
                <w:lang w:eastAsia="tr-TR"/>
              </w:rPr>
            </w:pPr>
            <w:r w:rsidRPr="00223602">
              <w:rPr>
                <w:b/>
                <w:bCs/>
                <w:color w:val="000000"/>
                <w:sz w:val="18"/>
                <w:szCs w:val="18"/>
                <w:lang w:eastAsia="tr-TR"/>
              </w:rPr>
              <w:t>17,225</w:t>
            </w:r>
          </w:p>
        </w:tc>
      </w:tr>
    </w:tbl>
    <w:p w14:paraId="1A704520" w14:textId="2B426945" w:rsidR="00201D41" w:rsidRPr="00270CE6" w:rsidRDefault="00201D41" w:rsidP="00885E1C">
      <w:pPr>
        <w:ind w:left="540"/>
        <w:rPr>
          <w:iCs/>
          <w:sz w:val="16"/>
          <w:szCs w:val="16"/>
          <w:highlight w:val="yellow"/>
        </w:rPr>
      </w:pPr>
    </w:p>
    <w:p w14:paraId="6018A3A8" w14:textId="77777777" w:rsidR="00201D41" w:rsidRPr="00223602" w:rsidRDefault="008E248B" w:rsidP="00BA357F">
      <w:pPr>
        <w:tabs>
          <w:tab w:val="num" w:pos="709"/>
        </w:tabs>
        <w:spacing w:line="276" w:lineRule="auto"/>
        <w:rPr>
          <w:iCs/>
          <w:sz w:val="16"/>
          <w:szCs w:val="16"/>
        </w:rPr>
      </w:pPr>
      <w:r w:rsidRPr="00223602">
        <w:rPr>
          <w:iCs/>
          <w:sz w:val="16"/>
          <w:szCs w:val="16"/>
        </w:rPr>
        <w:t xml:space="preserve">(*)    </w:t>
      </w:r>
      <w:r w:rsidR="00201D41" w:rsidRPr="00223602">
        <w:rPr>
          <w:iCs/>
          <w:sz w:val="16"/>
          <w:szCs w:val="16"/>
        </w:rPr>
        <w:t xml:space="preserve">Bilançoda </w:t>
      </w:r>
      <w:r w:rsidR="00470D1D" w:rsidRPr="00223602">
        <w:rPr>
          <w:iCs/>
          <w:sz w:val="16"/>
          <w:szCs w:val="16"/>
        </w:rPr>
        <w:t>Diğer Yükümlülükler/</w:t>
      </w:r>
      <w:r w:rsidR="00201D41" w:rsidRPr="00223602">
        <w:rPr>
          <w:iCs/>
          <w:sz w:val="16"/>
          <w:szCs w:val="16"/>
        </w:rPr>
        <w:t>Muhtelif Borçlar içerisinde yer almaktadır.</w:t>
      </w:r>
    </w:p>
    <w:p w14:paraId="2C4B455D" w14:textId="77777777" w:rsidR="00363252" w:rsidRPr="00223602" w:rsidRDefault="00363252" w:rsidP="00201D41">
      <w:pPr>
        <w:tabs>
          <w:tab w:val="num" w:pos="3600"/>
        </w:tabs>
        <w:ind w:left="180"/>
        <w:rPr>
          <w:iCs/>
          <w:sz w:val="16"/>
          <w:szCs w:val="16"/>
        </w:rPr>
      </w:pPr>
    </w:p>
    <w:p w14:paraId="5EB0D8C0" w14:textId="5E300586" w:rsidR="00641E8A" w:rsidRPr="00223602" w:rsidRDefault="00B37FF0" w:rsidP="00B843E3">
      <w:pPr>
        <w:ind w:hanging="700"/>
        <w:rPr>
          <w:iCs/>
        </w:rPr>
      </w:pPr>
      <w:proofErr w:type="gramStart"/>
      <w:r w:rsidRPr="00223602">
        <w:rPr>
          <w:b/>
          <w:iCs/>
        </w:rPr>
        <w:t>2.8.1.4</w:t>
      </w:r>
      <w:r w:rsidR="007A10B9" w:rsidRPr="00223602">
        <w:rPr>
          <w:b/>
          <w:iCs/>
        </w:rPr>
        <w:t>.</w:t>
      </w:r>
      <w:r w:rsidRPr="00223602">
        <w:rPr>
          <w:iCs/>
        </w:rPr>
        <w:t xml:space="preserve">  </w:t>
      </w:r>
      <w:r w:rsidR="00201D41" w:rsidRPr="00223602">
        <w:rPr>
          <w:iCs/>
        </w:rPr>
        <w:t>Ertelenmiş</w:t>
      </w:r>
      <w:proofErr w:type="gramEnd"/>
      <w:r w:rsidR="00201D41" w:rsidRPr="00223602">
        <w:rPr>
          <w:iCs/>
        </w:rPr>
        <w:t xml:space="preserve"> vergi borcuna ilişkin </w:t>
      </w:r>
      <w:r w:rsidRPr="00223602">
        <w:rPr>
          <w:iCs/>
        </w:rPr>
        <w:t xml:space="preserve">açıklama: </w:t>
      </w:r>
    </w:p>
    <w:p w14:paraId="41782108" w14:textId="77777777" w:rsidR="00641E8A" w:rsidRPr="00223602" w:rsidRDefault="00641E8A" w:rsidP="00B37FF0">
      <w:pPr>
        <w:ind w:hanging="567"/>
        <w:rPr>
          <w:iCs/>
          <w:sz w:val="16"/>
          <w:szCs w:val="16"/>
        </w:rPr>
      </w:pPr>
    </w:p>
    <w:p w14:paraId="3897FD3C" w14:textId="19E49625" w:rsidR="00201D41" w:rsidRPr="00223602" w:rsidRDefault="00B37FF0" w:rsidP="00641E8A">
      <w:pPr>
        <w:rPr>
          <w:iCs/>
        </w:rPr>
      </w:pPr>
      <w:r w:rsidRPr="00223602">
        <w:rPr>
          <w:iCs/>
        </w:rPr>
        <w:t xml:space="preserve">Yoktur (31 Aralık </w:t>
      </w:r>
      <w:proofErr w:type="gramStart"/>
      <w:r w:rsidRPr="00223602">
        <w:rPr>
          <w:iCs/>
        </w:rPr>
        <w:t>201</w:t>
      </w:r>
      <w:r w:rsidR="005A12B2" w:rsidRPr="00223602">
        <w:rPr>
          <w:iCs/>
        </w:rPr>
        <w:t>9</w:t>
      </w:r>
      <w:r w:rsidR="007C7FF8" w:rsidRPr="00223602">
        <w:rPr>
          <w:iCs/>
        </w:rPr>
        <w:t xml:space="preserve"> -</w:t>
      </w:r>
      <w:proofErr w:type="gramEnd"/>
      <w:r w:rsidR="007C7FF8" w:rsidRPr="00223602">
        <w:rPr>
          <w:iCs/>
        </w:rPr>
        <w:t xml:space="preserve"> </w:t>
      </w:r>
      <w:r w:rsidR="00776CF6" w:rsidRPr="00223602">
        <w:rPr>
          <w:iCs/>
        </w:rPr>
        <w:t>Y</w:t>
      </w:r>
      <w:r w:rsidR="00201D41" w:rsidRPr="00223602">
        <w:rPr>
          <w:iCs/>
        </w:rPr>
        <w:t>oktur).</w:t>
      </w:r>
    </w:p>
    <w:p w14:paraId="39DAABA8" w14:textId="77777777" w:rsidR="00201D41" w:rsidRPr="00223602" w:rsidRDefault="00201D41" w:rsidP="00201D41">
      <w:pPr>
        <w:rPr>
          <w:iCs/>
          <w:sz w:val="16"/>
          <w:szCs w:val="16"/>
        </w:rPr>
      </w:pPr>
    </w:p>
    <w:p w14:paraId="14F8231A" w14:textId="3A7F0FFA" w:rsidR="00201D41" w:rsidRPr="00223602" w:rsidRDefault="00B37FF0" w:rsidP="00B37FF0">
      <w:pPr>
        <w:autoSpaceDE w:val="0"/>
        <w:autoSpaceDN w:val="0"/>
        <w:adjustRightInd w:val="0"/>
        <w:ind w:hanging="567"/>
        <w:rPr>
          <w:b/>
          <w:bCs/>
          <w:iCs/>
        </w:rPr>
      </w:pPr>
      <w:r w:rsidRPr="00223602">
        <w:rPr>
          <w:b/>
          <w:bCs/>
          <w:iCs/>
        </w:rPr>
        <w:t>2</w:t>
      </w:r>
      <w:r w:rsidR="00201D41" w:rsidRPr="00223602">
        <w:rPr>
          <w:b/>
          <w:bCs/>
          <w:iCs/>
        </w:rPr>
        <w:t>.</w:t>
      </w:r>
      <w:r w:rsidRPr="00223602">
        <w:rPr>
          <w:b/>
          <w:bCs/>
          <w:iCs/>
        </w:rPr>
        <w:t>9</w:t>
      </w:r>
      <w:r w:rsidR="007A10B9" w:rsidRPr="00223602">
        <w:rPr>
          <w:b/>
          <w:bCs/>
          <w:iCs/>
        </w:rPr>
        <w:t>.</w:t>
      </w:r>
      <w:r w:rsidR="00201D41" w:rsidRPr="00223602">
        <w:rPr>
          <w:b/>
          <w:bCs/>
          <w:iCs/>
        </w:rPr>
        <w:tab/>
        <w:t>Satış amaçlı elde tutulan ve durdurulan faaliyetlere ilişkin duran varlık borçları hakkında bilgiler:</w:t>
      </w:r>
    </w:p>
    <w:p w14:paraId="0E675279" w14:textId="77777777" w:rsidR="00201D41" w:rsidRPr="00223602" w:rsidRDefault="00201D41" w:rsidP="00201D41">
      <w:pPr>
        <w:autoSpaceDE w:val="0"/>
        <w:autoSpaceDN w:val="0"/>
        <w:adjustRightInd w:val="0"/>
        <w:ind w:left="540" w:hanging="540"/>
        <w:rPr>
          <w:bCs/>
          <w:iCs/>
          <w:sz w:val="16"/>
          <w:szCs w:val="16"/>
        </w:rPr>
      </w:pPr>
    </w:p>
    <w:p w14:paraId="2CD39E03" w14:textId="30309A94" w:rsidR="00201D41" w:rsidRPr="00223602" w:rsidRDefault="00B37FF0" w:rsidP="00201D41">
      <w:pPr>
        <w:autoSpaceDE w:val="0"/>
        <w:autoSpaceDN w:val="0"/>
        <w:adjustRightInd w:val="0"/>
        <w:ind w:left="540" w:hanging="540"/>
        <w:rPr>
          <w:bCs/>
          <w:iCs/>
        </w:rPr>
      </w:pPr>
      <w:r w:rsidRPr="00223602">
        <w:rPr>
          <w:bCs/>
          <w:iCs/>
        </w:rPr>
        <w:t xml:space="preserve">Yoktur (31 Aralık </w:t>
      </w:r>
      <w:proofErr w:type="gramStart"/>
      <w:r w:rsidRPr="00223602">
        <w:rPr>
          <w:bCs/>
          <w:iCs/>
        </w:rPr>
        <w:t>201</w:t>
      </w:r>
      <w:r w:rsidR="005A12B2" w:rsidRPr="00223602">
        <w:rPr>
          <w:bCs/>
          <w:iCs/>
        </w:rPr>
        <w:t>9</w:t>
      </w:r>
      <w:r w:rsidR="007C7FF8" w:rsidRPr="00223602">
        <w:rPr>
          <w:bCs/>
          <w:iCs/>
        </w:rPr>
        <w:t xml:space="preserve"> -</w:t>
      </w:r>
      <w:proofErr w:type="gramEnd"/>
      <w:r w:rsidR="007C7FF8" w:rsidRPr="00223602">
        <w:rPr>
          <w:bCs/>
          <w:iCs/>
        </w:rPr>
        <w:t xml:space="preserve"> </w:t>
      </w:r>
      <w:r w:rsidR="006B423B" w:rsidRPr="00223602">
        <w:rPr>
          <w:bCs/>
          <w:iCs/>
        </w:rPr>
        <w:t>Y</w:t>
      </w:r>
      <w:r w:rsidR="00201D41" w:rsidRPr="00223602">
        <w:rPr>
          <w:bCs/>
          <w:iCs/>
        </w:rPr>
        <w:t>oktur).</w:t>
      </w:r>
    </w:p>
    <w:p w14:paraId="4D619974" w14:textId="77777777" w:rsidR="00171098" w:rsidRPr="00223602" w:rsidRDefault="00171098" w:rsidP="00014D76">
      <w:pPr>
        <w:autoSpaceDE w:val="0"/>
        <w:autoSpaceDN w:val="0"/>
        <w:adjustRightInd w:val="0"/>
        <w:ind w:hanging="567"/>
        <w:rPr>
          <w:b/>
          <w:bCs/>
          <w:iCs/>
          <w:sz w:val="16"/>
          <w:szCs w:val="16"/>
        </w:rPr>
      </w:pPr>
    </w:p>
    <w:p w14:paraId="3448D21B" w14:textId="2BE942FD" w:rsidR="00C4723A" w:rsidRPr="00223602" w:rsidRDefault="00081FB4" w:rsidP="00C4723A">
      <w:pPr>
        <w:autoSpaceDE w:val="0"/>
        <w:autoSpaceDN w:val="0"/>
        <w:adjustRightInd w:val="0"/>
        <w:ind w:hanging="567"/>
        <w:rPr>
          <w:b/>
          <w:bCs/>
          <w:iCs/>
        </w:rPr>
      </w:pPr>
      <w:r w:rsidRPr="00223602">
        <w:rPr>
          <w:b/>
          <w:bCs/>
          <w:iCs/>
        </w:rPr>
        <w:t>2</w:t>
      </w:r>
      <w:r w:rsidR="00201D41" w:rsidRPr="00223602">
        <w:rPr>
          <w:b/>
          <w:bCs/>
          <w:iCs/>
        </w:rPr>
        <w:t>.</w:t>
      </w:r>
      <w:r w:rsidRPr="00223602">
        <w:rPr>
          <w:b/>
          <w:bCs/>
          <w:iCs/>
        </w:rPr>
        <w:t>10</w:t>
      </w:r>
      <w:r w:rsidR="007A10B9" w:rsidRPr="00223602">
        <w:rPr>
          <w:b/>
          <w:bCs/>
          <w:iCs/>
        </w:rPr>
        <w:t>.</w:t>
      </w:r>
      <w:r w:rsidR="00201D41" w:rsidRPr="00223602">
        <w:rPr>
          <w:b/>
          <w:bCs/>
          <w:iCs/>
        </w:rPr>
        <w:tab/>
        <w:t xml:space="preserve">Sermaye benzeri kredilere ilişkin </w:t>
      </w:r>
      <w:proofErr w:type="gramStart"/>
      <w:r w:rsidR="00201D41" w:rsidRPr="00223602">
        <w:rPr>
          <w:b/>
          <w:bCs/>
          <w:iCs/>
        </w:rPr>
        <w:t>bilgiler :</w:t>
      </w:r>
      <w:proofErr w:type="gramEnd"/>
      <w:r w:rsidR="007A1113" w:rsidRPr="00223602">
        <w:rPr>
          <w:b/>
          <w:bCs/>
          <w:iCs/>
        </w:rPr>
        <w:t xml:space="preserve"> </w:t>
      </w:r>
    </w:p>
    <w:p w14:paraId="7B4DB0A6" w14:textId="489585FF" w:rsidR="00D04984" w:rsidRPr="00223602" w:rsidRDefault="00D04984" w:rsidP="00D50241">
      <w:pPr>
        <w:rPr>
          <w:lang w:val="en-GB" w:eastAsia="en-GB"/>
        </w:rPr>
      </w:pPr>
    </w:p>
    <w:p w14:paraId="73371B8B" w14:textId="1978C11F" w:rsidR="00C4723A" w:rsidRPr="00223602" w:rsidRDefault="00310B5A" w:rsidP="00D50241">
      <w:pPr>
        <w:rPr>
          <w:rFonts w:eastAsia="Arial Unicode MS"/>
        </w:rPr>
      </w:pPr>
      <w:r w:rsidRPr="00223602">
        <w:rPr>
          <w:rFonts w:eastAsia="Arial Unicode MS"/>
        </w:rPr>
        <w:t>Bankalarca Kamuya Açıklanacak Finansal Tablolar ile Bunlara İlişkin Açıklama ve Dipnotlar Hakkında Tebliğ’in</w:t>
      </w:r>
      <w:r w:rsidRPr="00223602">
        <w:rPr>
          <w:rFonts w:eastAsia="Arial Unicode MS"/>
        </w:rPr>
        <w:br/>
        <w:t xml:space="preserve">25 inci maddesi uyarınca hazırlanmamıştır </w:t>
      </w:r>
      <w:r w:rsidR="00C4723A" w:rsidRPr="00223602">
        <w:rPr>
          <w:rFonts w:eastAsia="Arial Unicode MS"/>
        </w:rPr>
        <w:t xml:space="preserve"> </w:t>
      </w:r>
    </w:p>
    <w:p w14:paraId="6107E768" w14:textId="77777777" w:rsidR="00D50241" w:rsidRPr="00270CE6" w:rsidRDefault="00D50241" w:rsidP="00C4723A">
      <w:pPr>
        <w:autoSpaceDE w:val="0"/>
        <w:autoSpaceDN w:val="0"/>
        <w:adjustRightInd w:val="0"/>
        <w:ind w:hanging="567"/>
        <w:rPr>
          <w:b/>
          <w:bCs/>
          <w:iCs/>
          <w:highlight w:val="yellow"/>
        </w:rPr>
      </w:pPr>
    </w:p>
    <w:p w14:paraId="2428873A" w14:textId="0E93E242" w:rsidR="00201D41" w:rsidRPr="00223602" w:rsidRDefault="00081FB4" w:rsidP="00081FB4">
      <w:pPr>
        <w:autoSpaceDE w:val="0"/>
        <w:autoSpaceDN w:val="0"/>
        <w:adjustRightInd w:val="0"/>
        <w:ind w:hanging="567"/>
        <w:rPr>
          <w:b/>
          <w:bCs/>
          <w:iCs/>
        </w:rPr>
      </w:pPr>
      <w:r w:rsidRPr="00223602">
        <w:rPr>
          <w:b/>
          <w:bCs/>
          <w:iCs/>
        </w:rPr>
        <w:t>2</w:t>
      </w:r>
      <w:r w:rsidR="00201D41" w:rsidRPr="00223602">
        <w:rPr>
          <w:b/>
          <w:bCs/>
          <w:iCs/>
        </w:rPr>
        <w:t>.</w:t>
      </w:r>
      <w:r w:rsidRPr="00223602">
        <w:rPr>
          <w:b/>
          <w:bCs/>
          <w:iCs/>
        </w:rPr>
        <w:t>11</w:t>
      </w:r>
      <w:r w:rsidR="007A10B9" w:rsidRPr="00223602">
        <w:rPr>
          <w:b/>
          <w:bCs/>
          <w:iCs/>
        </w:rPr>
        <w:t>.</w:t>
      </w:r>
      <w:r w:rsidR="00201D41" w:rsidRPr="00223602">
        <w:rPr>
          <w:b/>
          <w:bCs/>
          <w:iCs/>
        </w:rPr>
        <w:tab/>
      </w:r>
      <w:proofErr w:type="spellStart"/>
      <w:r w:rsidR="00201D41" w:rsidRPr="00223602">
        <w:rPr>
          <w:b/>
          <w:bCs/>
          <w:iCs/>
        </w:rPr>
        <w:t>Özkaynaklara</w:t>
      </w:r>
      <w:proofErr w:type="spellEnd"/>
      <w:r w:rsidR="00201D41" w:rsidRPr="00223602">
        <w:rPr>
          <w:b/>
          <w:bCs/>
          <w:iCs/>
        </w:rPr>
        <w:t xml:space="preserve"> ilişkin </w:t>
      </w:r>
      <w:proofErr w:type="gramStart"/>
      <w:r w:rsidR="00201D41" w:rsidRPr="00223602">
        <w:rPr>
          <w:b/>
          <w:bCs/>
          <w:iCs/>
        </w:rPr>
        <w:t>bilgiler :</w:t>
      </w:r>
      <w:proofErr w:type="gramEnd"/>
    </w:p>
    <w:p w14:paraId="41D88CEB" w14:textId="77777777" w:rsidR="00201D41" w:rsidRPr="00223602" w:rsidRDefault="00201D41" w:rsidP="00201D41">
      <w:pPr>
        <w:pStyle w:val="xl59"/>
        <w:pBdr>
          <w:right w:val="none" w:sz="0" w:space="0" w:color="auto"/>
        </w:pBdr>
        <w:autoSpaceDE w:val="0"/>
        <w:autoSpaceDN w:val="0"/>
        <w:adjustRightInd w:val="0"/>
        <w:spacing w:before="0" w:beforeAutospacing="0" w:after="0" w:afterAutospacing="0"/>
        <w:jc w:val="left"/>
      </w:pPr>
    </w:p>
    <w:p w14:paraId="5EC0F285" w14:textId="35BC7246" w:rsidR="00223602" w:rsidRPr="00223602" w:rsidRDefault="00081FB4" w:rsidP="00223602">
      <w:pPr>
        <w:tabs>
          <w:tab w:val="num" w:pos="2340"/>
          <w:tab w:val="num" w:pos="3060"/>
        </w:tabs>
        <w:autoSpaceDE w:val="0"/>
        <w:autoSpaceDN w:val="0"/>
        <w:adjustRightInd w:val="0"/>
        <w:ind w:hanging="567"/>
        <w:rPr>
          <w:sz w:val="10"/>
          <w:szCs w:val="10"/>
        </w:rPr>
      </w:pPr>
      <w:r w:rsidRPr="00223602">
        <w:rPr>
          <w:b/>
        </w:rPr>
        <w:t>2.11.1</w:t>
      </w:r>
      <w:r w:rsidR="007A10B9" w:rsidRPr="00223602">
        <w:rPr>
          <w:b/>
        </w:rPr>
        <w:t>.</w:t>
      </w:r>
      <w:r w:rsidRPr="00223602">
        <w:tab/>
      </w:r>
      <w:r w:rsidR="00201D41" w:rsidRPr="00223602">
        <w:t>Ödenmiş sermayenin gösterimi:</w:t>
      </w:r>
      <w:r w:rsidR="00A71B73" w:rsidRPr="00223602">
        <w:br/>
      </w:r>
    </w:p>
    <w:tbl>
      <w:tblPr>
        <w:tblW w:w="9076" w:type="dxa"/>
        <w:tblCellMar>
          <w:left w:w="70" w:type="dxa"/>
          <w:right w:w="70" w:type="dxa"/>
        </w:tblCellMar>
        <w:tblLook w:val="04A0" w:firstRow="1" w:lastRow="0" w:firstColumn="1" w:lastColumn="0" w:noHBand="0" w:noVBand="1"/>
      </w:tblPr>
      <w:tblGrid>
        <w:gridCol w:w="6090"/>
        <w:gridCol w:w="1573"/>
        <w:gridCol w:w="1413"/>
      </w:tblGrid>
      <w:tr w:rsidR="00223602" w:rsidRPr="00223602" w14:paraId="02470EBE" w14:textId="77777777" w:rsidTr="006B1072">
        <w:trPr>
          <w:divId w:val="1824202517"/>
          <w:trHeight w:val="228"/>
        </w:trPr>
        <w:tc>
          <w:tcPr>
            <w:tcW w:w="6090" w:type="dxa"/>
            <w:tcBorders>
              <w:top w:val="double" w:sz="6" w:space="0" w:color="auto"/>
              <w:left w:val="nil"/>
              <w:bottom w:val="single" w:sz="8" w:space="0" w:color="auto"/>
              <w:right w:val="nil"/>
            </w:tcBorders>
            <w:shd w:val="clear" w:color="auto" w:fill="auto"/>
            <w:vAlign w:val="center"/>
            <w:hideMark/>
          </w:tcPr>
          <w:p w14:paraId="6B314600" w14:textId="03BF58DE" w:rsidR="00223602" w:rsidRPr="00223602" w:rsidRDefault="00223602" w:rsidP="00223602">
            <w:pPr>
              <w:jc w:val="center"/>
              <w:rPr>
                <w:b/>
                <w:bCs/>
                <w:color w:val="000000"/>
                <w:sz w:val="16"/>
                <w:szCs w:val="16"/>
                <w:lang w:eastAsia="tr-TR"/>
              </w:rPr>
            </w:pPr>
            <w:r w:rsidRPr="00223602">
              <w:rPr>
                <w:b/>
                <w:bCs/>
                <w:color w:val="000000"/>
                <w:sz w:val="16"/>
                <w:szCs w:val="16"/>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5C5767D5" w14:textId="77777777" w:rsidR="00223602" w:rsidRPr="00223602" w:rsidRDefault="00223602" w:rsidP="00223602">
            <w:pPr>
              <w:jc w:val="right"/>
              <w:rPr>
                <w:b/>
                <w:bCs/>
                <w:color w:val="000000"/>
                <w:sz w:val="16"/>
                <w:szCs w:val="16"/>
                <w:lang w:eastAsia="tr-TR"/>
              </w:rPr>
            </w:pPr>
            <w:r w:rsidRPr="00223602">
              <w:rPr>
                <w:b/>
                <w:bCs/>
                <w:color w:val="000000"/>
                <w:sz w:val="16"/>
                <w:szCs w:val="16"/>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20373DB5" w14:textId="77777777" w:rsidR="00223602" w:rsidRPr="00223602" w:rsidRDefault="00223602" w:rsidP="00223602">
            <w:pPr>
              <w:jc w:val="right"/>
              <w:rPr>
                <w:b/>
                <w:bCs/>
                <w:color w:val="000000"/>
                <w:sz w:val="16"/>
                <w:szCs w:val="16"/>
                <w:lang w:eastAsia="tr-TR"/>
              </w:rPr>
            </w:pPr>
            <w:r w:rsidRPr="00223602">
              <w:rPr>
                <w:b/>
                <w:bCs/>
                <w:color w:val="000000"/>
                <w:sz w:val="16"/>
                <w:szCs w:val="16"/>
                <w:lang w:eastAsia="tr-TR"/>
              </w:rPr>
              <w:t>Önceki Dönem</w:t>
            </w:r>
          </w:p>
        </w:tc>
      </w:tr>
      <w:tr w:rsidR="00223602" w:rsidRPr="00223602" w14:paraId="21491C2D" w14:textId="77777777" w:rsidTr="006B1072">
        <w:trPr>
          <w:divId w:val="1824202517"/>
          <w:trHeight w:val="228"/>
        </w:trPr>
        <w:tc>
          <w:tcPr>
            <w:tcW w:w="6090" w:type="dxa"/>
            <w:tcBorders>
              <w:top w:val="nil"/>
              <w:left w:val="nil"/>
              <w:bottom w:val="nil"/>
              <w:right w:val="nil"/>
            </w:tcBorders>
            <w:shd w:val="clear" w:color="auto" w:fill="auto"/>
            <w:vAlign w:val="center"/>
            <w:hideMark/>
          </w:tcPr>
          <w:p w14:paraId="7B0D3529" w14:textId="77777777" w:rsidR="00223602" w:rsidRPr="00223602" w:rsidRDefault="00223602" w:rsidP="00223602">
            <w:pPr>
              <w:rPr>
                <w:color w:val="000000"/>
                <w:sz w:val="18"/>
                <w:szCs w:val="18"/>
                <w:lang w:eastAsia="tr-TR"/>
              </w:rPr>
            </w:pPr>
            <w:r w:rsidRPr="00223602">
              <w:rPr>
                <w:rFonts w:eastAsia="Arial Unicode MS"/>
                <w:color w:val="000000"/>
                <w:sz w:val="18"/>
                <w:szCs w:val="18"/>
                <w:lang w:eastAsia="tr-TR"/>
              </w:rPr>
              <w:t>Hisse senedi karşılığı</w:t>
            </w:r>
          </w:p>
        </w:tc>
        <w:tc>
          <w:tcPr>
            <w:tcW w:w="1573" w:type="dxa"/>
            <w:tcBorders>
              <w:top w:val="nil"/>
              <w:left w:val="nil"/>
              <w:bottom w:val="nil"/>
              <w:right w:val="nil"/>
            </w:tcBorders>
            <w:shd w:val="clear" w:color="auto" w:fill="auto"/>
            <w:vAlign w:val="center"/>
            <w:hideMark/>
          </w:tcPr>
          <w:p w14:paraId="44BD5132" w14:textId="77777777" w:rsidR="00223602" w:rsidRPr="00223602" w:rsidRDefault="00223602" w:rsidP="00223602">
            <w:pPr>
              <w:jc w:val="right"/>
              <w:rPr>
                <w:color w:val="000000"/>
                <w:sz w:val="18"/>
                <w:szCs w:val="18"/>
                <w:lang w:eastAsia="tr-TR"/>
              </w:rPr>
            </w:pPr>
            <w:r w:rsidRPr="00223602">
              <w:rPr>
                <w:color w:val="000000"/>
                <w:sz w:val="18"/>
                <w:szCs w:val="18"/>
                <w:lang w:eastAsia="tr-TR"/>
              </w:rPr>
              <w:t>4,600,000</w:t>
            </w:r>
          </w:p>
        </w:tc>
        <w:tc>
          <w:tcPr>
            <w:tcW w:w="1413" w:type="dxa"/>
            <w:tcBorders>
              <w:top w:val="nil"/>
              <w:left w:val="nil"/>
              <w:bottom w:val="nil"/>
              <w:right w:val="nil"/>
            </w:tcBorders>
            <w:shd w:val="clear" w:color="auto" w:fill="auto"/>
            <w:vAlign w:val="center"/>
            <w:hideMark/>
          </w:tcPr>
          <w:p w14:paraId="2DE0B9EA" w14:textId="77777777" w:rsidR="00223602" w:rsidRPr="00223602" w:rsidRDefault="00223602" w:rsidP="00223602">
            <w:pPr>
              <w:jc w:val="right"/>
              <w:rPr>
                <w:color w:val="000000"/>
                <w:sz w:val="18"/>
                <w:szCs w:val="18"/>
                <w:lang w:eastAsia="tr-TR"/>
              </w:rPr>
            </w:pPr>
            <w:r w:rsidRPr="00223602">
              <w:rPr>
                <w:color w:val="000000"/>
                <w:sz w:val="18"/>
                <w:szCs w:val="18"/>
                <w:lang w:eastAsia="tr-TR"/>
              </w:rPr>
              <w:t>4,000,000</w:t>
            </w:r>
          </w:p>
        </w:tc>
      </w:tr>
      <w:tr w:rsidR="00223602" w:rsidRPr="00223602" w14:paraId="33AE64C7" w14:textId="77777777" w:rsidTr="006B1072">
        <w:trPr>
          <w:divId w:val="1824202517"/>
          <w:trHeight w:val="243"/>
        </w:trPr>
        <w:tc>
          <w:tcPr>
            <w:tcW w:w="6090" w:type="dxa"/>
            <w:tcBorders>
              <w:top w:val="nil"/>
              <w:left w:val="nil"/>
              <w:bottom w:val="nil"/>
              <w:right w:val="nil"/>
            </w:tcBorders>
            <w:shd w:val="clear" w:color="auto" w:fill="auto"/>
            <w:vAlign w:val="center"/>
            <w:hideMark/>
          </w:tcPr>
          <w:p w14:paraId="0CCABFD8" w14:textId="77777777" w:rsidR="00223602" w:rsidRPr="00223602" w:rsidRDefault="00223602" w:rsidP="00223602">
            <w:pPr>
              <w:rPr>
                <w:color w:val="000000"/>
                <w:sz w:val="18"/>
                <w:szCs w:val="18"/>
                <w:lang w:eastAsia="tr-TR"/>
              </w:rPr>
            </w:pPr>
            <w:r w:rsidRPr="00223602">
              <w:rPr>
                <w:rFonts w:eastAsia="Arial Unicode MS"/>
                <w:color w:val="000000"/>
                <w:sz w:val="18"/>
                <w:szCs w:val="18"/>
                <w:lang w:eastAsia="tr-TR"/>
              </w:rPr>
              <w:t>İmtiyazlı hisse senedi karşılığı</w:t>
            </w:r>
          </w:p>
        </w:tc>
        <w:tc>
          <w:tcPr>
            <w:tcW w:w="1573" w:type="dxa"/>
            <w:tcBorders>
              <w:top w:val="nil"/>
              <w:left w:val="nil"/>
              <w:bottom w:val="nil"/>
              <w:right w:val="nil"/>
            </w:tcBorders>
            <w:shd w:val="clear" w:color="auto" w:fill="auto"/>
            <w:vAlign w:val="center"/>
            <w:hideMark/>
          </w:tcPr>
          <w:p w14:paraId="592E7E9C" w14:textId="77777777" w:rsidR="00223602" w:rsidRPr="00223602" w:rsidRDefault="00223602" w:rsidP="00223602">
            <w:pPr>
              <w:jc w:val="right"/>
              <w:rPr>
                <w:color w:val="000000"/>
                <w:sz w:val="18"/>
                <w:szCs w:val="18"/>
                <w:lang w:eastAsia="tr-TR"/>
              </w:rPr>
            </w:pPr>
            <w:r w:rsidRPr="00223602">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67BC08E7" w14:textId="77777777" w:rsidR="00223602" w:rsidRPr="00223602" w:rsidRDefault="00223602" w:rsidP="00223602">
            <w:pPr>
              <w:jc w:val="right"/>
              <w:rPr>
                <w:color w:val="000000"/>
                <w:sz w:val="18"/>
                <w:szCs w:val="18"/>
                <w:lang w:eastAsia="tr-TR"/>
              </w:rPr>
            </w:pPr>
            <w:r w:rsidRPr="00223602">
              <w:rPr>
                <w:color w:val="000000"/>
                <w:sz w:val="18"/>
                <w:szCs w:val="18"/>
                <w:lang w:eastAsia="tr-TR"/>
              </w:rPr>
              <w:t>-</w:t>
            </w:r>
          </w:p>
        </w:tc>
      </w:tr>
      <w:tr w:rsidR="00223602" w:rsidRPr="00223602" w14:paraId="3F8FE7CE" w14:textId="77777777" w:rsidTr="006B1072">
        <w:trPr>
          <w:divId w:val="1824202517"/>
          <w:trHeight w:val="286"/>
        </w:trPr>
        <w:tc>
          <w:tcPr>
            <w:tcW w:w="6090" w:type="dxa"/>
            <w:tcBorders>
              <w:top w:val="nil"/>
              <w:left w:val="nil"/>
              <w:bottom w:val="nil"/>
              <w:right w:val="nil"/>
            </w:tcBorders>
            <w:shd w:val="clear" w:color="auto" w:fill="auto"/>
            <w:vAlign w:val="center"/>
            <w:hideMark/>
          </w:tcPr>
          <w:p w14:paraId="445CFE7C" w14:textId="77777777" w:rsidR="00223602" w:rsidRPr="00223602" w:rsidRDefault="00223602" w:rsidP="00223602">
            <w:pPr>
              <w:rPr>
                <w:color w:val="000000"/>
                <w:sz w:val="18"/>
                <w:szCs w:val="18"/>
                <w:lang w:eastAsia="tr-TR"/>
              </w:rPr>
            </w:pPr>
            <w:r w:rsidRPr="00223602">
              <w:rPr>
                <w:rFonts w:eastAsia="Arial Unicode MS"/>
                <w:color w:val="000000"/>
                <w:sz w:val="18"/>
                <w:szCs w:val="18"/>
                <w:lang w:eastAsia="tr-TR"/>
              </w:rPr>
              <w:t xml:space="preserve">Geri alınan hisse tutarı </w:t>
            </w:r>
            <w:r w:rsidRPr="00223602">
              <w:rPr>
                <w:rFonts w:eastAsia="Arial Unicode MS"/>
                <w:color w:val="000000"/>
                <w:sz w:val="18"/>
                <w:szCs w:val="18"/>
                <w:vertAlign w:val="superscript"/>
                <w:lang w:eastAsia="tr-TR"/>
              </w:rPr>
              <w:t>(*)</w:t>
            </w:r>
          </w:p>
        </w:tc>
        <w:tc>
          <w:tcPr>
            <w:tcW w:w="1573" w:type="dxa"/>
            <w:tcBorders>
              <w:top w:val="nil"/>
              <w:left w:val="nil"/>
              <w:bottom w:val="nil"/>
              <w:right w:val="nil"/>
            </w:tcBorders>
            <w:shd w:val="clear" w:color="auto" w:fill="auto"/>
            <w:vAlign w:val="center"/>
            <w:hideMark/>
          </w:tcPr>
          <w:p w14:paraId="3E9BACDE" w14:textId="77777777" w:rsidR="00223602" w:rsidRPr="00223602" w:rsidRDefault="00223602" w:rsidP="00223602">
            <w:pPr>
              <w:jc w:val="right"/>
              <w:rPr>
                <w:color w:val="000000"/>
                <w:sz w:val="18"/>
                <w:szCs w:val="18"/>
                <w:lang w:eastAsia="tr-TR"/>
              </w:rPr>
            </w:pPr>
            <w:r w:rsidRPr="00223602">
              <w:rPr>
                <w:color w:val="000000"/>
                <w:sz w:val="18"/>
                <w:szCs w:val="18"/>
                <w:lang w:eastAsia="tr-TR"/>
              </w:rPr>
              <w:t>(4,869)</w:t>
            </w:r>
          </w:p>
        </w:tc>
        <w:tc>
          <w:tcPr>
            <w:tcW w:w="1413" w:type="dxa"/>
            <w:tcBorders>
              <w:top w:val="nil"/>
              <w:left w:val="nil"/>
              <w:bottom w:val="nil"/>
              <w:right w:val="nil"/>
            </w:tcBorders>
            <w:shd w:val="clear" w:color="auto" w:fill="auto"/>
            <w:vAlign w:val="center"/>
            <w:hideMark/>
          </w:tcPr>
          <w:p w14:paraId="7543A7F9" w14:textId="77777777" w:rsidR="00223602" w:rsidRPr="00223602" w:rsidRDefault="00223602" w:rsidP="00223602">
            <w:pPr>
              <w:jc w:val="right"/>
              <w:rPr>
                <w:color w:val="000000"/>
                <w:sz w:val="18"/>
                <w:szCs w:val="18"/>
                <w:lang w:eastAsia="tr-TR"/>
              </w:rPr>
            </w:pPr>
            <w:r w:rsidRPr="00223602">
              <w:rPr>
                <w:color w:val="000000"/>
                <w:sz w:val="18"/>
                <w:szCs w:val="18"/>
                <w:lang w:eastAsia="tr-TR"/>
              </w:rPr>
              <w:t>(4,234)</w:t>
            </w:r>
          </w:p>
        </w:tc>
      </w:tr>
      <w:tr w:rsidR="00223602" w:rsidRPr="00223602" w14:paraId="3EDB725E" w14:textId="77777777" w:rsidTr="006B1072">
        <w:trPr>
          <w:divId w:val="1824202517"/>
          <w:trHeight w:val="228"/>
        </w:trPr>
        <w:tc>
          <w:tcPr>
            <w:tcW w:w="6090" w:type="dxa"/>
            <w:tcBorders>
              <w:top w:val="single" w:sz="8" w:space="0" w:color="auto"/>
              <w:left w:val="nil"/>
              <w:bottom w:val="double" w:sz="6" w:space="0" w:color="auto"/>
              <w:right w:val="nil"/>
            </w:tcBorders>
            <w:shd w:val="clear" w:color="auto" w:fill="auto"/>
            <w:vAlign w:val="center"/>
            <w:hideMark/>
          </w:tcPr>
          <w:p w14:paraId="0EBC967E" w14:textId="77777777" w:rsidR="00223602" w:rsidRPr="00223602" w:rsidRDefault="00223602" w:rsidP="00223602">
            <w:pPr>
              <w:rPr>
                <w:b/>
                <w:bCs/>
                <w:color w:val="000000"/>
                <w:sz w:val="16"/>
                <w:szCs w:val="16"/>
                <w:lang w:eastAsia="tr-TR"/>
              </w:rPr>
            </w:pPr>
            <w:r w:rsidRPr="00223602">
              <w:rPr>
                <w:b/>
                <w:bCs/>
                <w:color w:val="000000"/>
                <w:sz w:val="16"/>
                <w:szCs w:val="16"/>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73E60C47" w14:textId="77777777" w:rsidR="00223602" w:rsidRPr="00223602" w:rsidRDefault="00223602" w:rsidP="00223602">
            <w:pPr>
              <w:jc w:val="right"/>
              <w:rPr>
                <w:b/>
                <w:bCs/>
                <w:color w:val="000000"/>
                <w:sz w:val="18"/>
                <w:szCs w:val="18"/>
                <w:lang w:eastAsia="tr-TR"/>
              </w:rPr>
            </w:pPr>
            <w:r w:rsidRPr="00223602">
              <w:rPr>
                <w:b/>
                <w:bCs/>
                <w:color w:val="000000"/>
                <w:sz w:val="18"/>
                <w:szCs w:val="18"/>
                <w:lang w:eastAsia="tr-TR"/>
              </w:rPr>
              <w:t>4,595,131</w:t>
            </w:r>
          </w:p>
        </w:tc>
        <w:tc>
          <w:tcPr>
            <w:tcW w:w="1413" w:type="dxa"/>
            <w:tcBorders>
              <w:top w:val="single" w:sz="8" w:space="0" w:color="auto"/>
              <w:left w:val="nil"/>
              <w:bottom w:val="double" w:sz="6" w:space="0" w:color="auto"/>
              <w:right w:val="nil"/>
            </w:tcBorders>
            <w:shd w:val="clear" w:color="auto" w:fill="auto"/>
            <w:vAlign w:val="center"/>
            <w:hideMark/>
          </w:tcPr>
          <w:p w14:paraId="5B71FBF3" w14:textId="77777777" w:rsidR="00223602" w:rsidRPr="00223602" w:rsidRDefault="00223602" w:rsidP="00223602">
            <w:pPr>
              <w:jc w:val="right"/>
              <w:rPr>
                <w:b/>
                <w:bCs/>
                <w:color w:val="000000"/>
                <w:sz w:val="18"/>
                <w:szCs w:val="18"/>
                <w:lang w:eastAsia="tr-TR"/>
              </w:rPr>
            </w:pPr>
            <w:r w:rsidRPr="00223602">
              <w:rPr>
                <w:b/>
                <w:bCs/>
                <w:color w:val="000000"/>
                <w:sz w:val="18"/>
                <w:szCs w:val="18"/>
                <w:lang w:eastAsia="tr-TR"/>
              </w:rPr>
              <w:t>3,995,766</w:t>
            </w:r>
          </w:p>
        </w:tc>
      </w:tr>
    </w:tbl>
    <w:p w14:paraId="4292D2E0" w14:textId="49BB691E" w:rsidR="00915163" w:rsidRPr="00223602" w:rsidRDefault="00915163" w:rsidP="00014D76">
      <w:pPr>
        <w:autoSpaceDE w:val="0"/>
        <w:autoSpaceDN w:val="0"/>
        <w:adjustRightInd w:val="0"/>
        <w:ind w:left="284" w:hanging="284"/>
        <w:rPr>
          <w:sz w:val="16"/>
          <w:szCs w:val="16"/>
        </w:rPr>
      </w:pPr>
    </w:p>
    <w:p w14:paraId="15B0AFBF" w14:textId="77777777" w:rsidR="005D495B" w:rsidRPr="00223602" w:rsidRDefault="00100CE1" w:rsidP="00100CE1">
      <w:pPr>
        <w:tabs>
          <w:tab w:val="num" w:pos="2340"/>
          <w:tab w:val="num" w:pos="3060"/>
        </w:tabs>
        <w:autoSpaceDE w:val="0"/>
        <w:autoSpaceDN w:val="0"/>
        <w:adjustRightInd w:val="0"/>
        <w:ind w:left="142" w:hanging="142"/>
        <w:jc w:val="both"/>
        <w:rPr>
          <w:b/>
        </w:rPr>
      </w:pPr>
      <w:r w:rsidRPr="00223602">
        <w:rPr>
          <w:sz w:val="16"/>
          <w:szCs w:val="16"/>
        </w:rPr>
        <w:t>(*</w:t>
      </w:r>
      <w:proofErr w:type="gramStart"/>
      <w:r w:rsidRPr="00223602">
        <w:rPr>
          <w:sz w:val="16"/>
          <w:szCs w:val="16"/>
        </w:rPr>
        <w:t>)  Banka’nın</w:t>
      </w:r>
      <w:proofErr w:type="gramEnd"/>
      <w:r w:rsidRPr="00223602">
        <w:rPr>
          <w:sz w:val="16"/>
          <w:szCs w:val="16"/>
        </w:rPr>
        <w:t xml:space="preserve"> sermaye artışında taahhüt edilen sermayeden ortağın rüçhan hakkını kullanmaması sonucu kendi hissesini iktisap etmesini ifade    etmektedir.</w:t>
      </w:r>
    </w:p>
    <w:p w14:paraId="3652FA18" w14:textId="77777777" w:rsidR="00100CE1" w:rsidRPr="00223602" w:rsidRDefault="00100CE1" w:rsidP="00081FB4">
      <w:pPr>
        <w:tabs>
          <w:tab w:val="num" w:pos="2340"/>
          <w:tab w:val="num" w:pos="3060"/>
        </w:tabs>
        <w:autoSpaceDE w:val="0"/>
        <w:autoSpaceDN w:val="0"/>
        <w:adjustRightInd w:val="0"/>
        <w:ind w:hanging="567"/>
        <w:jc w:val="both"/>
        <w:rPr>
          <w:b/>
        </w:rPr>
      </w:pPr>
    </w:p>
    <w:p w14:paraId="28513E0A" w14:textId="6E5C9AB5" w:rsidR="000F03C0" w:rsidRPr="00223602" w:rsidRDefault="00081FB4" w:rsidP="00081FB4">
      <w:pPr>
        <w:tabs>
          <w:tab w:val="num" w:pos="2340"/>
          <w:tab w:val="num" w:pos="3060"/>
        </w:tabs>
        <w:autoSpaceDE w:val="0"/>
        <w:autoSpaceDN w:val="0"/>
        <w:adjustRightInd w:val="0"/>
        <w:ind w:hanging="567"/>
        <w:jc w:val="both"/>
        <w:rPr>
          <w:rFonts w:eastAsia="Arial Unicode MS"/>
        </w:rPr>
      </w:pPr>
      <w:r w:rsidRPr="00223602">
        <w:rPr>
          <w:b/>
        </w:rPr>
        <w:t>2.11.2</w:t>
      </w:r>
      <w:r w:rsidRPr="00223602">
        <w:rPr>
          <w:b/>
        </w:rPr>
        <w:tab/>
      </w:r>
      <w:r w:rsidR="00201D41" w:rsidRPr="00223602">
        <w:t xml:space="preserve">Ödenmiş sermaye tutarı, bankada kayıtlı sermaye sisteminin uygulanıp uygulanmadığı hususunun açıklanması ve bu sistem uygulanıyor ise kayıtlı sermaye tavanı: </w:t>
      </w:r>
      <w:r w:rsidR="00201D41" w:rsidRPr="00223602">
        <w:rPr>
          <w:rFonts w:eastAsia="Arial Unicode MS"/>
        </w:rPr>
        <w:t>Banka, kayıtlı sermaye sistemini uygulamamaktadır.</w:t>
      </w:r>
    </w:p>
    <w:p w14:paraId="71A80956" w14:textId="567B248C" w:rsidR="00310B5A" w:rsidRPr="00270CE6" w:rsidRDefault="00310B5A" w:rsidP="00081FB4">
      <w:pPr>
        <w:tabs>
          <w:tab w:val="num" w:pos="2340"/>
          <w:tab w:val="num" w:pos="3060"/>
        </w:tabs>
        <w:autoSpaceDE w:val="0"/>
        <w:autoSpaceDN w:val="0"/>
        <w:adjustRightInd w:val="0"/>
        <w:ind w:hanging="567"/>
        <w:jc w:val="both"/>
        <w:rPr>
          <w:highlight w:val="yellow"/>
        </w:rPr>
      </w:pPr>
    </w:p>
    <w:p w14:paraId="4D35F5E3" w14:textId="2A26D5F1" w:rsidR="00310B5A" w:rsidRPr="00270CE6" w:rsidRDefault="00310B5A" w:rsidP="00081FB4">
      <w:pPr>
        <w:tabs>
          <w:tab w:val="num" w:pos="2340"/>
          <w:tab w:val="num" w:pos="3060"/>
        </w:tabs>
        <w:autoSpaceDE w:val="0"/>
        <w:autoSpaceDN w:val="0"/>
        <w:adjustRightInd w:val="0"/>
        <w:ind w:hanging="567"/>
        <w:jc w:val="both"/>
        <w:rPr>
          <w:highlight w:val="yellow"/>
        </w:rPr>
      </w:pPr>
    </w:p>
    <w:p w14:paraId="2EEA352D" w14:textId="6A06C2C8" w:rsidR="00310B5A" w:rsidRPr="00270CE6" w:rsidRDefault="00310B5A" w:rsidP="00081FB4">
      <w:pPr>
        <w:tabs>
          <w:tab w:val="num" w:pos="2340"/>
          <w:tab w:val="num" w:pos="3060"/>
        </w:tabs>
        <w:autoSpaceDE w:val="0"/>
        <w:autoSpaceDN w:val="0"/>
        <w:adjustRightInd w:val="0"/>
        <w:ind w:hanging="567"/>
        <w:jc w:val="both"/>
        <w:rPr>
          <w:highlight w:val="yellow"/>
        </w:rPr>
      </w:pPr>
    </w:p>
    <w:p w14:paraId="206B5EC8" w14:textId="77777777" w:rsidR="00310B5A" w:rsidRPr="00270CE6" w:rsidRDefault="00310B5A" w:rsidP="00081FB4">
      <w:pPr>
        <w:tabs>
          <w:tab w:val="num" w:pos="2340"/>
          <w:tab w:val="num" w:pos="3060"/>
        </w:tabs>
        <w:autoSpaceDE w:val="0"/>
        <w:autoSpaceDN w:val="0"/>
        <w:adjustRightInd w:val="0"/>
        <w:ind w:hanging="567"/>
        <w:jc w:val="both"/>
        <w:rPr>
          <w:highlight w:val="yellow"/>
        </w:rPr>
      </w:pPr>
    </w:p>
    <w:p w14:paraId="4FC5DEDF" w14:textId="77777777" w:rsidR="00FE4B09" w:rsidRPr="00270CE6" w:rsidRDefault="00FE4B09" w:rsidP="00FE4B09">
      <w:pPr>
        <w:autoSpaceDE w:val="0"/>
        <w:autoSpaceDN w:val="0"/>
        <w:adjustRightInd w:val="0"/>
        <w:ind w:left="142"/>
        <w:rPr>
          <w:b/>
          <w:bCs/>
          <w:iCs/>
          <w:sz w:val="16"/>
          <w:szCs w:val="16"/>
          <w:highlight w:val="yellow"/>
        </w:rPr>
      </w:pPr>
    </w:p>
    <w:p w14:paraId="2D6D7F45" w14:textId="77777777" w:rsidR="00B843E3" w:rsidRDefault="00B843E3">
      <w:pPr>
        <w:rPr>
          <w:b/>
        </w:rPr>
      </w:pPr>
      <w:r>
        <w:rPr>
          <w:b/>
        </w:rPr>
        <w:br w:type="page"/>
      </w:r>
    </w:p>
    <w:p w14:paraId="7503F7A9" w14:textId="586B74D2" w:rsidR="00235D68" w:rsidRPr="00D31C46" w:rsidRDefault="00081FB4" w:rsidP="00B4233D">
      <w:pPr>
        <w:tabs>
          <w:tab w:val="num" w:pos="2340"/>
          <w:tab w:val="num" w:pos="3060"/>
        </w:tabs>
        <w:autoSpaceDE w:val="0"/>
        <w:autoSpaceDN w:val="0"/>
        <w:adjustRightInd w:val="0"/>
        <w:ind w:hanging="567"/>
        <w:jc w:val="both"/>
      </w:pPr>
      <w:r w:rsidRPr="00D31C46">
        <w:rPr>
          <w:b/>
        </w:rPr>
        <w:lastRenderedPageBreak/>
        <w:t>2.11.3</w:t>
      </w:r>
      <w:r w:rsidRPr="00D31C46">
        <w:tab/>
      </w:r>
      <w:r w:rsidR="00FE4B09" w:rsidRPr="00D31C46">
        <w:t>Cari dönem içinde yapılan sermaye artırımları ve kaynakları ile arttırılan sermaye p</w:t>
      </w:r>
      <w:r w:rsidR="00B4233D" w:rsidRPr="00D31C46">
        <w:t xml:space="preserve">ayına ilişkin diğer bilgiler: </w:t>
      </w:r>
    </w:p>
    <w:p w14:paraId="4BB51154" w14:textId="45F100E0" w:rsidR="00821CAD" w:rsidRPr="00311DAB" w:rsidRDefault="00B4233D" w:rsidP="00081FB4">
      <w:pPr>
        <w:tabs>
          <w:tab w:val="num" w:pos="2340"/>
          <w:tab w:val="num" w:pos="3060"/>
        </w:tabs>
        <w:autoSpaceDE w:val="0"/>
        <w:autoSpaceDN w:val="0"/>
        <w:adjustRightInd w:val="0"/>
        <w:ind w:hanging="567"/>
        <w:jc w:val="both"/>
        <w:rPr>
          <w:lang w:eastAsia="en-GB"/>
        </w:rPr>
      </w:pPr>
      <w:r w:rsidRPr="00D31C46">
        <w:t xml:space="preserve"> </w:t>
      </w:r>
      <w:r w:rsidR="00235D68" w:rsidRPr="00D31C46">
        <w:t xml:space="preserve">         </w:t>
      </w:r>
      <w:r w:rsidR="00831990" w:rsidRPr="00D31C46">
        <w:t xml:space="preserve">   </w:t>
      </w:r>
    </w:p>
    <w:tbl>
      <w:tblPr>
        <w:tblW w:w="9171" w:type="dxa"/>
        <w:tblCellMar>
          <w:left w:w="70" w:type="dxa"/>
          <w:right w:w="70" w:type="dxa"/>
        </w:tblCellMar>
        <w:tblLook w:val="04A0" w:firstRow="1" w:lastRow="0" w:firstColumn="1" w:lastColumn="0" w:noHBand="0" w:noVBand="1"/>
      </w:tblPr>
      <w:tblGrid>
        <w:gridCol w:w="2404"/>
        <w:gridCol w:w="2226"/>
        <w:gridCol w:w="2404"/>
        <w:gridCol w:w="2137"/>
      </w:tblGrid>
      <w:tr w:rsidR="00821CAD" w:rsidRPr="00D31C46" w14:paraId="3282367C" w14:textId="77777777" w:rsidTr="00821CAD">
        <w:trPr>
          <w:divId w:val="1453746745"/>
          <w:trHeight w:val="118"/>
        </w:trPr>
        <w:tc>
          <w:tcPr>
            <w:tcW w:w="240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516E78" w14:textId="1E84120C" w:rsidR="00821CAD" w:rsidRPr="00D31C46" w:rsidRDefault="00821CAD" w:rsidP="00821CAD">
            <w:pPr>
              <w:jc w:val="center"/>
              <w:rPr>
                <w:b/>
                <w:bCs/>
                <w:color w:val="000000"/>
                <w:sz w:val="18"/>
                <w:szCs w:val="18"/>
                <w:lang w:eastAsia="tr-TR"/>
              </w:rPr>
            </w:pPr>
            <w:r w:rsidRPr="00D31C46">
              <w:rPr>
                <w:b/>
                <w:bCs/>
                <w:color w:val="000000"/>
                <w:sz w:val="18"/>
                <w:szCs w:val="18"/>
                <w:lang w:eastAsia="tr-TR"/>
              </w:rPr>
              <w:t>Artırım Tarihi</w:t>
            </w:r>
          </w:p>
        </w:tc>
        <w:tc>
          <w:tcPr>
            <w:tcW w:w="2226" w:type="dxa"/>
            <w:tcBorders>
              <w:top w:val="single" w:sz="8" w:space="0" w:color="auto"/>
              <w:left w:val="nil"/>
              <w:bottom w:val="single" w:sz="8" w:space="0" w:color="auto"/>
              <w:right w:val="single" w:sz="8" w:space="0" w:color="auto"/>
            </w:tcBorders>
            <w:shd w:val="clear" w:color="auto" w:fill="auto"/>
            <w:noWrap/>
            <w:vAlign w:val="center"/>
            <w:hideMark/>
          </w:tcPr>
          <w:p w14:paraId="0F07C91D" w14:textId="77777777" w:rsidR="00821CAD" w:rsidRPr="00D31C46" w:rsidRDefault="00821CAD" w:rsidP="00821CAD">
            <w:pPr>
              <w:jc w:val="center"/>
              <w:rPr>
                <w:b/>
                <w:bCs/>
                <w:color w:val="000000"/>
                <w:sz w:val="18"/>
                <w:szCs w:val="18"/>
                <w:lang w:eastAsia="tr-TR"/>
              </w:rPr>
            </w:pPr>
            <w:r w:rsidRPr="00D31C46">
              <w:rPr>
                <w:b/>
                <w:bCs/>
                <w:color w:val="000000"/>
                <w:sz w:val="18"/>
                <w:szCs w:val="18"/>
                <w:lang w:eastAsia="tr-TR"/>
              </w:rPr>
              <w:t>Artırım Tutarı</w:t>
            </w:r>
          </w:p>
        </w:tc>
        <w:tc>
          <w:tcPr>
            <w:tcW w:w="2404" w:type="dxa"/>
            <w:tcBorders>
              <w:top w:val="single" w:sz="8" w:space="0" w:color="auto"/>
              <w:left w:val="nil"/>
              <w:bottom w:val="single" w:sz="8" w:space="0" w:color="auto"/>
              <w:right w:val="single" w:sz="8" w:space="0" w:color="auto"/>
            </w:tcBorders>
            <w:shd w:val="clear" w:color="auto" w:fill="auto"/>
            <w:noWrap/>
            <w:vAlign w:val="center"/>
            <w:hideMark/>
          </w:tcPr>
          <w:p w14:paraId="38BB1702" w14:textId="77777777" w:rsidR="00821CAD" w:rsidRPr="00D31C46" w:rsidRDefault="00821CAD" w:rsidP="00821CAD">
            <w:pPr>
              <w:jc w:val="center"/>
              <w:rPr>
                <w:b/>
                <w:bCs/>
                <w:color w:val="000000"/>
                <w:sz w:val="18"/>
                <w:szCs w:val="18"/>
                <w:lang w:eastAsia="tr-TR"/>
              </w:rPr>
            </w:pPr>
            <w:r w:rsidRPr="00D31C46">
              <w:rPr>
                <w:b/>
                <w:bCs/>
                <w:color w:val="000000"/>
                <w:sz w:val="18"/>
                <w:szCs w:val="18"/>
                <w:lang w:eastAsia="tr-TR"/>
              </w:rPr>
              <w:t>Nakit</w:t>
            </w:r>
          </w:p>
        </w:tc>
        <w:tc>
          <w:tcPr>
            <w:tcW w:w="2137" w:type="dxa"/>
            <w:tcBorders>
              <w:top w:val="single" w:sz="8" w:space="0" w:color="auto"/>
              <w:left w:val="nil"/>
              <w:bottom w:val="single" w:sz="8" w:space="0" w:color="auto"/>
              <w:right w:val="single" w:sz="8" w:space="0" w:color="auto"/>
            </w:tcBorders>
            <w:shd w:val="clear" w:color="auto" w:fill="auto"/>
            <w:noWrap/>
            <w:vAlign w:val="center"/>
            <w:hideMark/>
          </w:tcPr>
          <w:p w14:paraId="7C6E676A" w14:textId="77777777" w:rsidR="00821CAD" w:rsidRPr="00D31C46" w:rsidRDefault="00821CAD" w:rsidP="00821CAD">
            <w:pPr>
              <w:jc w:val="center"/>
              <w:rPr>
                <w:b/>
                <w:bCs/>
                <w:color w:val="000000"/>
                <w:sz w:val="18"/>
                <w:szCs w:val="18"/>
                <w:lang w:eastAsia="tr-TR"/>
              </w:rPr>
            </w:pPr>
            <w:r w:rsidRPr="00D31C46">
              <w:rPr>
                <w:b/>
                <w:bCs/>
                <w:color w:val="000000"/>
                <w:sz w:val="18"/>
                <w:szCs w:val="18"/>
                <w:lang w:eastAsia="tr-TR"/>
              </w:rPr>
              <w:t>Artırıma Konu Edilen Kar Yedekleri</w:t>
            </w:r>
          </w:p>
        </w:tc>
      </w:tr>
      <w:tr w:rsidR="00821CAD" w:rsidRPr="00D31C46" w14:paraId="338F60DF" w14:textId="77777777" w:rsidTr="00821CAD">
        <w:trPr>
          <w:divId w:val="1453746745"/>
          <w:trHeight w:val="118"/>
        </w:trPr>
        <w:tc>
          <w:tcPr>
            <w:tcW w:w="2404" w:type="dxa"/>
            <w:tcBorders>
              <w:top w:val="nil"/>
              <w:left w:val="single" w:sz="8" w:space="0" w:color="auto"/>
              <w:bottom w:val="single" w:sz="8" w:space="0" w:color="auto"/>
              <w:right w:val="single" w:sz="8" w:space="0" w:color="auto"/>
            </w:tcBorders>
            <w:shd w:val="clear" w:color="auto" w:fill="auto"/>
            <w:noWrap/>
            <w:vAlign w:val="center"/>
            <w:hideMark/>
          </w:tcPr>
          <w:p w14:paraId="4870F8F4" w14:textId="77777777" w:rsidR="00821CAD" w:rsidRPr="00D31C46" w:rsidRDefault="00821CAD" w:rsidP="00821CAD">
            <w:pPr>
              <w:jc w:val="center"/>
              <w:rPr>
                <w:color w:val="000000"/>
                <w:sz w:val="18"/>
                <w:szCs w:val="18"/>
                <w:lang w:eastAsia="tr-TR"/>
              </w:rPr>
            </w:pPr>
            <w:r w:rsidRPr="00D31C46">
              <w:rPr>
                <w:color w:val="000000"/>
                <w:sz w:val="18"/>
                <w:szCs w:val="18"/>
                <w:lang w:val="en-US" w:eastAsia="tr-TR"/>
              </w:rPr>
              <w:t>30-Mar-20</w:t>
            </w:r>
          </w:p>
        </w:tc>
        <w:tc>
          <w:tcPr>
            <w:tcW w:w="2226" w:type="dxa"/>
            <w:tcBorders>
              <w:top w:val="nil"/>
              <w:left w:val="nil"/>
              <w:bottom w:val="single" w:sz="8" w:space="0" w:color="auto"/>
              <w:right w:val="single" w:sz="8" w:space="0" w:color="auto"/>
            </w:tcBorders>
            <w:shd w:val="clear" w:color="auto" w:fill="auto"/>
            <w:noWrap/>
            <w:vAlign w:val="center"/>
            <w:hideMark/>
          </w:tcPr>
          <w:p w14:paraId="310B948A" w14:textId="77777777" w:rsidR="00821CAD" w:rsidRPr="00D31C46" w:rsidRDefault="00821CAD" w:rsidP="00821CAD">
            <w:pPr>
              <w:jc w:val="center"/>
              <w:rPr>
                <w:color w:val="000000"/>
                <w:sz w:val="18"/>
                <w:szCs w:val="18"/>
                <w:lang w:eastAsia="tr-TR"/>
              </w:rPr>
            </w:pPr>
            <w:r w:rsidRPr="00D31C46">
              <w:rPr>
                <w:color w:val="000000"/>
                <w:sz w:val="18"/>
                <w:szCs w:val="18"/>
                <w:lang w:val="en-US" w:eastAsia="tr-TR"/>
              </w:rPr>
              <w:t>600,000</w:t>
            </w:r>
          </w:p>
        </w:tc>
        <w:tc>
          <w:tcPr>
            <w:tcW w:w="2404" w:type="dxa"/>
            <w:tcBorders>
              <w:top w:val="nil"/>
              <w:left w:val="nil"/>
              <w:bottom w:val="single" w:sz="8" w:space="0" w:color="auto"/>
              <w:right w:val="single" w:sz="8" w:space="0" w:color="auto"/>
            </w:tcBorders>
            <w:shd w:val="clear" w:color="auto" w:fill="auto"/>
            <w:noWrap/>
            <w:vAlign w:val="center"/>
            <w:hideMark/>
          </w:tcPr>
          <w:p w14:paraId="244E3B31" w14:textId="77777777" w:rsidR="00821CAD" w:rsidRPr="00D31C46" w:rsidRDefault="00821CAD" w:rsidP="00821CAD">
            <w:pPr>
              <w:jc w:val="center"/>
              <w:rPr>
                <w:color w:val="000000"/>
                <w:sz w:val="18"/>
                <w:szCs w:val="18"/>
                <w:lang w:eastAsia="tr-TR"/>
              </w:rPr>
            </w:pPr>
            <w:r w:rsidRPr="00D31C46">
              <w:rPr>
                <w:color w:val="000000"/>
                <w:sz w:val="18"/>
                <w:szCs w:val="18"/>
                <w:lang w:val="en-US" w:eastAsia="tr-TR"/>
              </w:rPr>
              <w:t>-</w:t>
            </w:r>
          </w:p>
        </w:tc>
        <w:tc>
          <w:tcPr>
            <w:tcW w:w="2137" w:type="dxa"/>
            <w:tcBorders>
              <w:top w:val="nil"/>
              <w:left w:val="nil"/>
              <w:bottom w:val="single" w:sz="8" w:space="0" w:color="auto"/>
              <w:right w:val="single" w:sz="8" w:space="0" w:color="auto"/>
            </w:tcBorders>
            <w:shd w:val="clear" w:color="auto" w:fill="auto"/>
            <w:noWrap/>
            <w:vAlign w:val="center"/>
            <w:hideMark/>
          </w:tcPr>
          <w:p w14:paraId="68417E19" w14:textId="77777777" w:rsidR="00821CAD" w:rsidRPr="00D31C46" w:rsidRDefault="00821CAD" w:rsidP="00821CAD">
            <w:pPr>
              <w:jc w:val="center"/>
              <w:rPr>
                <w:color w:val="000000"/>
                <w:sz w:val="18"/>
                <w:szCs w:val="18"/>
                <w:lang w:eastAsia="tr-TR"/>
              </w:rPr>
            </w:pPr>
            <w:r w:rsidRPr="00D31C46">
              <w:rPr>
                <w:color w:val="000000"/>
                <w:sz w:val="18"/>
                <w:szCs w:val="18"/>
                <w:lang w:eastAsia="tr-TR"/>
              </w:rPr>
              <w:t>600,000</w:t>
            </w:r>
          </w:p>
        </w:tc>
      </w:tr>
    </w:tbl>
    <w:p w14:paraId="0151FDA3" w14:textId="5C3A5C3A" w:rsidR="00831990" w:rsidRPr="00D31C46" w:rsidRDefault="00831990" w:rsidP="00081FB4">
      <w:pPr>
        <w:tabs>
          <w:tab w:val="num" w:pos="2340"/>
          <w:tab w:val="num" w:pos="3060"/>
        </w:tabs>
        <w:autoSpaceDE w:val="0"/>
        <w:autoSpaceDN w:val="0"/>
        <w:adjustRightInd w:val="0"/>
        <w:ind w:hanging="567"/>
        <w:jc w:val="both"/>
        <w:rPr>
          <w:b/>
        </w:rPr>
      </w:pPr>
    </w:p>
    <w:p w14:paraId="1B04F86C" w14:textId="77777777" w:rsidR="000C3F6E" w:rsidRPr="00D31C46" w:rsidRDefault="000C3F6E" w:rsidP="000C3F6E">
      <w:pPr>
        <w:tabs>
          <w:tab w:val="num" w:pos="2340"/>
          <w:tab w:val="num" w:pos="3060"/>
        </w:tabs>
        <w:autoSpaceDE w:val="0"/>
        <w:autoSpaceDN w:val="0"/>
        <w:adjustRightInd w:val="0"/>
        <w:jc w:val="both"/>
        <w:rPr>
          <w:rFonts w:eastAsia="Arial Unicode MS"/>
        </w:rPr>
      </w:pPr>
      <w:bookmarkStart w:id="21" w:name="_Hlk40741324"/>
      <w:r w:rsidRPr="00D31C46">
        <w:rPr>
          <w:rFonts w:eastAsia="Arial Unicode MS"/>
        </w:rPr>
        <w:t xml:space="preserve">Banka, 26 Mart 2020 tarihinde gerçekleştirilen olağan genel kurul toplantısında alınmış olan 7 </w:t>
      </w:r>
      <w:proofErr w:type="spellStart"/>
      <w:r w:rsidRPr="00D31C46">
        <w:rPr>
          <w:rFonts w:eastAsia="Arial Unicode MS"/>
        </w:rPr>
        <w:t>no’lu</w:t>
      </w:r>
      <w:proofErr w:type="spellEnd"/>
      <w:r w:rsidRPr="00D31C46">
        <w:rPr>
          <w:rFonts w:eastAsia="Arial Unicode MS"/>
        </w:rPr>
        <w:t xml:space="preserve"> karara istinaden 600,000 TL sermaye artışı </w:t>
      </w:r>
      <w:proofErr w:type="spellStart"/>
      <w:proofErr w:type="gramStart"/>
      <w:r w:rsidRPr="00D31C46">
        <w:rPr>
          <w:rFonts w:eastAsia="Arial Unicode MS"/>
        </w:rPr>
        <w:t>gerçekleştirmiştir.Sermaye</w:t>
      </w:r>
      <w:proofErr w:type="spellEnd"/>
      <w:proofErr w:type="gramEnd"/>
      <w:r w:rsidRPr="00D31C46">
        <w:rPr>
          <w:rFonts w:eastAsia="Arial Unicode MS"/>
        </w:rPr>
        <w:t xml:space="preserve"> artışının 599,611 TL’lik kısmı Banka’nın 2019 yılı </w:t>
      </w:r>
      <w:proofErr w:type="spellStart"/>
      <w:r w:rsidRPr="00D31C46">
        <w:rPr>
          <w:rFonts w:eastAsia="Arial Unicode MS"/>
        </w:rPr>
        <w:t>kar’ından</w:t>
      </w:r>
      <w:proofErr w:type="spellEnd"/>
      <w:r w:rsidRPr="00D31C46">
        <w:rPr>
          <w:rFonts w:eastAsia="Arial Unicode MS"/>
        </w:rPr>
        <w:t xml:space="preserve"> karşılanmış olup, 389 TL’lik kısmı 2019 yılı içinde 5746 Sayılı Kanun kapsamında elde edilen ve diğer yedeklere aktarılmış olan dönem karından karşılanmıştır. </w:t>
      </w:r>
    </w:p>
    <w:bookmarkEnd w:id="21"/>
    <w:p w14:paraId="49E96CEF" w14:textId="77777777" w:rsidR="000C3F6E" w:rsidRPr="00270CE6" w:rsidRDefault="000C3F6E" w:rsidP="00081FB4">
      <w:pPr>
        <w:tabs>
          <w:tab w:val="num" w:pos="2340"/>
          <w:tab w:val="num" w:pos="3060"/>
        </w:tabs>
        <w:autoSpaceDE w:val="0"/>
        <w:autoSpaceDN w:val="0"/>
        <w:adjustRightInd w:val="0"/>
        <w:ind w:hanging="567"/>
        <w:jc w:val="both"/>
        <w:rPr>
          <w:b/>
          <w:highlight w:val="yellow"/>
        </w:rPr>
      </w:pPr>
    </w:p>
    <w:p w14:paraId="2C659467" w14:textId="366652EE" w:rsidR="00404AD9" w:rsidRPr="00223602" w:rsidRDefault="00081FB4" w:rsidP="00081FB4">
      <w:pPr>
        <w:tabs>
          <w:tab w:val="num" w:pos="2340"/>
          <w:tab w:val="num" w:pos="3060"/>
        </w:tabs>
        <w:autoSpaceDE w:val="0"/>
        <w:autoSpaceDN w:val="0"/>
        <w:adjustRightInd w:val="0"/>
        <w:ind w:hanging="567"/>
        <w:jc w:val="both"/>
        <w:rPr>
          <w:spacing w:val="-6"/>
        </w:rPr>
      </w:pPr>
      <w:r w:rsidRPr="00223602">
        <w:rPr>
          <w:b/>
        </w:rPr>
        <w:t>2.11.4</w:t>
      </w:r>
      <w:r w:rsidRPr="00223602">
        <w:tab/>
      </w:r>
      <w:r w:rsidR="00E253C8" w:rsidRPr="00223602">
        <w:rPr>
          <w:spacing w:val="-6"/>
        </w:rPr>
        <w:t xml:space="preserve">Cari dönem içinde sermaye yedeklerinden sermayeye ilave edilen kısma ilişkin </w:t>
      </w:r>
      <w:r w:rsidR="00877EF5" w:rsidRPr="00223602">
        <w:rPr>
          <w:spacing w:val="-6"/>
        </w:rPr>
        <w:t xml:space="preserve">bilgiler: </w:t>
      </w:r>
    </w:p>
    <w:p w14:paraId="4FFB06AA" w14:textId="77777777" w:rsidR="00404AD9" w:rsidRPr="00223602" w:rsidRDefault="00404AD9" w:rsidP="00081FB4">
      <w:pPr>
        <w:tabs>
          <w:tab w:val="num" w:pos="2340"/>
          <w:tab w:val="num" w:pos="3060"/>
        </w:tabs>
        <w:autoSpaceDE w:val="0"/>
        <w:autoSpaceDN w:val="0"/>
        <w:adjustRightInd w:val="0"/>
        <w:ind w:hanging="567"/>
        <w:jc w:val="both"/>
        <w:rPr>
          <w:spacing w:val="-6"/>
          <w:sz w:val="16"/>
          <w:szCs w:val="16"/>
        </w:rPr>
      </w:pPr>
      <w:r w:rsidRPr="00223602">
        <w:rPr>
          <w:spacing w:val="-6"/>
        </w:rPr>
        <w:tab/>
      </w:r>
    </w:p>
    <w:p w14:paraId="6C3B7A07" w14:textId="77777777" w:rsidR="00033391" w:rsidRPr="00223602" w:rsidRDefault="00404AD9" w:rsidP="00081FB4">
      <w:pPr>
        <w:tabs>
          <w:tab w:val="num" w:pos="2340"/>
          <w:tab w:val="num" w:pos="3060"/>
        </w:tabs>
        <w:autoSpaceDE w:val="0"/>
        <w:autoSpaceDN w:val="0"/>
        <w:adjustRightInd w:val="0"/>
        <w:ind w:hanging="567"/>
        <w:jc w:val="both"/>
      </w:pPr>
      <w:r w:rsidRPr="00223602">
        <w:rPr>
          <w:spacing w:val="-6"/>
        </w:rPr>
        <w:tab/>
      </w:r>
      <w:r w:rsidR="00235D68" w:rsidRPr="00223602">
        <w:rPr>
          <w:spacing w:val="-6"/>
        </w:rPr>
        <w:t>Yoktur.</w:t>
      </w:r>
    </w:p>
    <w:p w14:paraId="40C54951" w14:textId="77777777" w:rsidR="00E232BE" w:rsidRPr="00223602" w:rsidRDefault="00E232BE" w:rsidP="00081FB4">
      <w:pPr>
        <w:tabs>
          <w:tab w:val="num" w:pos="2340"/>
          <w:tab w:val="num" w:pos="3060"/>
        </w:tabs>
        <w:autoSpaceDE w:val="0"/>
        <w:autoSpaceDN w:val="0"/>
        <w:adjustRightInd w:val="0"/>
        <w:ind w:hanging="567"/>
        <w:jc w:val="both"/>
        <w:rPr>
          <w:sz w:val="16"/>
          <w:szCs w:val="16"/>
        </w:rPr>
      </w:pPr>
    </w:p>
    <w:p w14:paraId="6B9A7C1E" w14:textId="77777777" w:rsidR="00033391" w:rsidRPr="00223602" w:rsidRDefault="002A2420" w:rsidP="002A2420">
      <w:pPr>
        <w:tabs>
          <w:tab w:val="num" w:pos="2340"/>
          <w:tab w:val="num" w:pos="3060"/>
        </w:tabs>
        <w:autoSpaceDE w:val="0"/>
        <w:autoSpaceDN w:val="0"/>
        <w:adjustRightInd w:val="0"/>
        <w:ind w:hanging="567"/>
        <w:jc w:val="both"/>
      </w:pPr>
      <w:r w:rsidRPr="00223602">
        <w:rPr>
          <w:b/>
        </w:rPr>
        <w:t>2.11.5</w:t>
      </w:r>
      <w:r w:rsidRPr="00223602">
        <w:tab/>
      </w:r>
      <w:r w:rsidR="00E253C8" w:rsidRPr="00223602">
        <w:t>Banka’nın gelirleri, k</w:t>
      </w:r>
      <w:r w:rsidR="007A5C4F" w:rsidRPr="00223602">
        <w:t>a</w:t>
      </w:r>
      <w:r w:rsidR="00E253C8" w:rsidRPr="00223602">
        <w:t xml:space="preserve">rlılığı ve likiditesine ilişkin geçmiş dönem göstergeleri ile bu göstergelerdeki belirsizlikler dikkate alınarak yapılacak öngörülerin, </w:t>
      </w:r>
      <w:proofErr w:type="spellStart"/>
      <w:r w:rsidR="00E253C8" w:rsidRPr="00223602">
        <w:t>özkaynak</w:t>
      </w:r>
      <w:proofErr w:type="spellEnd"/>
      <w:r w:rsidR="00E253C8" w:rsidRPr="00223602">
        <w:t xml:space="preserve"> üzerindeki tahmini </w:t>
      </w:r>
      <w:proofErr w:type="gramStart"/>
      <w:r w:rsidR="00E253C8" w:rsidRPr="00223602">
        <w:t>etkileri :</w:t>
      </w:r>
      <w:proofErr w:type="gramEnd"/>
      <w:r w:rsidR="00E253C8" w:rsidRPr="00223602">
        <w:t xml:space="preserve"> </w:t>
      </w:r>
    </w:p>
    <w:p w14:paraId="209886FB" w14:textId="77777777" w:rsidR="00E73302" w:rsidRPr="00223602" w:rsidRDefault="00E73302" w:rsidP="00455B37">
      <w:pPr>
        <w:tabs>
          <w:tab w:val="num" w:pos="2340"/>
          <w:tab w:val="num" w:pos="3060"/>
        </w:tabs>
        <w:autoSpaceDE w:val="0"/>
        <w:autoSpaceDN w:val="0"/>
        <w:adjustRightInd w:val="0"/>
        <w:jc w:val="both"/>
        <w:rPr>
          <w:sz w:val="16"/>
          <w:szCs w:val="16"/>
        </w:rPr>
      </w:pPr>
    </w:p>
    <w:p w14:paraId="167F1D3C" w14:textId="77777777" w:rsidR="00033391" w:rsidRPr="00223602" w:rsidRDefault="00E253C8" w:rsidP="008B7AAA">
      <w:pPr>
        <w:tabs>
          <w:tab w:val="num" w:pos="851"/>
        </w:tabs>
        <w:autoSpaceDE w:val="0"/>
        <w:autoSpaceDN w:val="0"/>
        <w:adjustRightInd w:val="0"/>
        <w:jc w:val="both"/>
      </w:pPr>
      <w:r w:rsidRPr="00223602">
        <w:rPr>
          <w:rFonts w:eastAsia="Arial Unicode MS"/>
        </w:rPr>
        <w:t xml:space="preserve">Banka’nın cari ve önceki dönem göstergelerini dikkate alarak yapılacak değerlendirmeye göre, net </w:t>
      </w:r>
      <w:proofErr w:type="gramStart"/>
      <w:r w:rsidRPr="00223602">
        <w:rPr>
          <w:rFonts w:eastAsia="Arial Unicode MS"/>
        </w:rPr>
        <w:t>kar</w:t>
      </w:r>
      <w:proofErr w:type="gramEnd"/>
      <w:r w:rsidRPr="00223602">
        <w:rPr>
          <w:rFonts w:eastAsia="Arial Unicode MS"/>
        </w:rPr>
        <w:t xml:space="preserve"> payı ve komisyon gelirlerine bakıldığında operasyonel faaliyetlerini karlı bir şekilde sürdürdüğü anlaşılmaktadır.</w:t>
      </w:r>
    </w:p>
    <w:p w14:paraId="2591364E" w14:textId="77777777" w:rsidR="00E73302" w:rsidRPr="00223602" w:rsidRDefault="00E73302">
      <w:pPr>
        <w:tabs>
          <w:tab w:val="num" w:pos="2340"/>
          <w:tab w:val="num" w:pos="3060"/>
        </w:tabs>
        <w:autoSpaceDE w:val="0"/>
        <w:autoSpaceDN w:val="0"/>
        <w:adjustRightInd w:val="0"/>
        <w:rPr>
          <w:sz w:val="16"/>
          <w:szCs w:val="16"/>
        </w:rPr>
      </w:pPr>
    </w:p>
    <w:p w14:paraId="4EDD07F5" w14:textId="77777777" w:rsidR="00404AD9" w:rsidRPr="00223602" w:rsidRDefault="002A2420" w:rsidP="002A2420">
      <w:pPr>
        <w:tabs>
          <w:tab w:val="num" w:pos="2340"/>
          <w:tab w:val="num" w:pos="3060"/>
        </w:tabs>
        <w:autoSpaceDE w:val="0"/>
        <w:autoSpaceDN w:val="0"/>
        <w:adjustRightInd w:val="0"/>
        <w:ind w:hanging="567"/>
      </w:pPr>
      <w:r w:rsidRPr="00223602">
        <w:rPr>
          <w:b/>
        </w:rPr>
        <w:t>2.11.6</w:t>
      </w:r>
      <w:r w:rsidRPr="00223602">
        <w:tab/>
      </w:r>
      <w:r w:rsidR="00E253C8" w:rsidRPr="00223602">
        <w:t xml:space="preserve">Sermayeyi temsil eden hisse senetlerine tanınan imtiyazlara ilişkin özet </w:t>
      </w:r>
      <w:proofErr w:type="gramStart"/>
      <w:r w:rsidR="00E253C8" w:rsidRPr="00223602">
        <w:t>bilgiler :</w:t>
      </w:r>
      <w:proofErr w:type="gramEnd"/>
      <w:r w:rsidR="00E253C8" w:rsidRPr="00223602">
        <w:t xml:space="preserve"> </w:t>
      </w:r>
    </w:p>
    <w:p w14:paraId="10870FA2" w14:textId="77777777" w:rsidR="00404AD9" w:rsidRPr="00223602" w:rsidRDefault="00404AD9" w:rsidP="002A2420">
      <w:pPr>
        <w:tabs>
          <w:tab w:val="num" w:pos="2340"/>
          <w:tab w:val="num" w:pos="3060"/>
        </w:tabs>
        <w:autoSpaceDE w:val="0"/>
        <w:autoSpaceDN w:val="0"/>
        <w:adjustRightInd w:val="0"/>
        <w:ind w:hanging="567"/>
        <w:rPr>
          <w:sz w:val="16"/>
          <w:szCs w:val="16"/>
        </w:rPr>
      </w:pPr>
      <w:r w:rsidRPr="00223602">
        <w:rPr>
          <w:sz w:val="16"/>
          <w:szCs w:val="16"/>
        </w:rPr>
        <w:tab/>
      </w:r>
    </w:p>
    <w:p w14:paraId="286F7439" w14:textId="45A0598D" w:rsidR="00404AD9" w:rsidRPr="00223602" w:rsidRDefault="00404AD9" w:rsidP="00404AD9">
      <w:pPr>
        <w:tabs>
          <w:tab w:val="num" w:pos="2340"/>
          <w:tab w:val="num" w:pos="3060"/>
        </w:tabs>
        <w:autoSpaceDE w:val="0"/>
        <w:autoSpaceDN w:val="0"/>
        <w:adjustRightInd w:val="0"/>
        <w:ind w:hanging="567"/>
        <w:jc w:val="both"/>
      </w:pPr>
      <w:r w:rsidRPr="00223602">
        <w:tab/>
      </w:r>
      <w:r w:rsidRPr="00223602">
        <w:rPr>
          <w:spacing w:val="-6"/>
        </w:rPr>
        <w:t xml:space="preserve">Yoktur (31 Aralık </w:t>
      </w:r>
      <w:proofErr w:type="gramStart"/>
      <w:r w:rsidRPr="00223602">
        <w:rPr>
          <w:spacing w:val="-6"/>
        </w:rPr>
        <w:t>201</w:t>
      </w:r>
      <w:r w:rsidR="005A12B2" w:rsidRPr="00223602">
        <w:rPr>
          <w:spacing w:val="-6"/>
        </w:rPr>
        <w:t>9</w:t>
      </w:r>
      <w:r w:rsidRPr="00223602">
        <w:rPr>
          <w:spacing w:val="-6"/>
        </w:rPr>
        <w:t xml:space="preserve"> -</w:t>
      </w:r>
      <w:proofErr w:type="gramEnd"/>
      <w:r w:rsidRPr="00223602">
        <w:rPr>
          <w:spacing w:val="-6"/>
        </w:rPr>
        <w:t xml:space="preserve"> Yoktur).</w:t>
      </w:r>
    </w:p>
    <w:p w14:paraId="56CA754A" w14:textId="77777777" w:rsidR="000C3626" w:rsidRPr="00223602" w:rsidRDefault="000C3626" w:rsidP="00FE15D8">
      <w:pPr>
        <w:autoSpaceDE w:val="0"/>
        <w:autoSpaceDN w:val="0"/>
        <w:adjustRightInd w:val="0"/>
        <w:rPr>
          <w:sz w:val="16"/>
          <w:szCs w:val="16"/>
        </w:rPr>
      </w:pPr>
    </w:p>
    <w:p w14:paraId="696CD0E5" w14:textId="09CFEC6F" w:rsidR="00FE15D8" w:rsidRPr="00223602" w:rsidRDefault="002A2420" w:rsidP="00F0188F">
      <w:pPr>
        <w:autoSpaceDE w:val="0"/>
        <w:autoSpaceDN w:val="0"/>
        <w:adjustRightInd w:val="0"/>
        <w:ind w:hanging="567"/>
        <w:rPr>
          <w:sz w:val="12"/>
          <w:szCs w:val="12"/>
        </w:rPr>
      </w:pPr>
      <w:r w:rsidRPr="00223602">
        <w:rPr>
          <w:b/>
        </w:rPr>
        <w:t>2.11.7</w:t>
      </w:r>
      <w:r w:rsidRPr="00223602">
        <w:tab/>
      </w:r>
      <w:r w:rsidR="00E253C8" w:rsidRPr="00223602">
        <w:t xml:space="preserve">Menkul değerler değer artış fonuna ilişkin aşağıdaki bilgiler açıklanır: </w:t>
      </w:r>
    </w:p>
    <w:p w14:paraId="3BDD76AF" w14:textId="19C601A8" w:rsidR="002E6E9A" w:rsidRPr="00311DAB" w:rsidRDefault="002E6E9A" w:rsidP="002A2420">
      <w:pPr>
        <w:autoSpaceDE w:val="0"/>
        <w:autoSpaceDN w:val="0"/>
        <w:adjustRightInd w:val="0"/>
        <w:ind w:hanging="567"/>
        <w:rPr>
          <w:lang w:eastAsia="en-GB"/>
        </w:rPr>
      </w:pPr>
    </w:p>
    <w:tbl>
      <w:tblPr>
        <w:tblW w:w="9137" w:type="dxa"/>
        <w:tblCellMar>
          <w:left w:w="70" w:type="dxa"/>
          <w:right w:w="70" w:type="dxa"/>
        </w:tblCellMar>
        <w:tblLook w:val="04A0" w:firstRow="1" w:lastRow="0" w:firstColumn="1" w:lastColumn="0" w:noHBand="0" w:noVBand="1"/>
      </w:tblPr>
      <w:tblGrid>
        <w:gridCol w:w="4692"/>
        <w:gridCol w:w="1211"/>
        <w:gridCol w:w="1091"/>
        <w:gridCol w:w="1035"/>
        <w:gridCol w:w="1108"/>
      </w:tblGrid>
      <w:tr w:rsidR="002E6E9A" w:rsidRPr="002E6E9A" w14:paraId="4A43CF55" w14:textId="77777777" w:rsidTr="002E6E9A">
        <w:trPr>
          <w:divId w:val="1823232903"/>
          <w:trHeight w:val="271"/>
        </w:trPr>
        <w:tc>
          <w:tcPr>
            <w:tcW w:w="4692" w:type="dxa"/>
            <w:tcBorders>
              <w:top w:val="double" w:sz="6" w:space="0" w:color="auto"/>
              <w:left w:val="nil"/>
              <w:bottom w:val="nil"/>
              <w:right w:val="nil"/>
            </w:tcBorders>
            <w:shd w:val="clear" w:color="auto" w:fill="auto"/>
            <w:vAlign w:val="center"/>
            <w:hideMark/>
          </w:tcPr>
          <w:p w14:paraId="08B90210" w14:textId="139AFCB5" w:rsidR="002E6E9A" w:rsidRPr="002E6E9A" w:rsidRDefault="002E6E9A" w:rsidP="002E6E9A">
            <w:pPr>
              <w:jc w:val="both"/>
              <w:rPr>
                <w:color w:val="000000"/>
                <w:sz w:val="16"/>
                <w:szCs w:val="16"/>
                <w:lang w:eastAsia="tr-TR"/>
              </w:rPr>
            </w:pPr>
            <w:r w:rsidRPr="002E6E9A">
              <w:rPr>
                <w:color w:val="000000"/>
                <w:sz w:val="16"/>
                <w:szCs w:val="16"/>
                <w:lang w:eastAsia="tr-TR"/>
              </w:rPr>
              <w:t> </w:t>
            </w:r>
          </w:p>
        </w:tc>
        <w:tc>
          <w:tcPr>
            <w:tcW w:w="2302" w:type="dxa"/>
            <w:gridSpan w:val="2"/>
            <w:tcBorders>
              <w:top w:val="double" w:sz="6" w:space="0" w:color="auto"/>
              <w:left w:val="nil"/>
              <w:bottom w:val="single" w:sz="8" w:space="0" w:color="auto"/>
              <w:right w:val="nil"/>
            </w:tcBorders>
            <w:shd w:val="clear" w:color="auto" w:fill="auto"/>
            <w:vAlign w:val="center"/>
            <w:hideMark/>
          </w:tcPr>
          <w:p w14:paraId="3C90CF9E" w14:textId="77777777" w:rsidR="002E6E9A" w:rsidRPr="002E6E9A" w:rsidRDefault="002E6E9A" w:rsidP="002E6E9A">
            <w:pPr>
              <w:jc w:val="center"/>
              <w:rPr>
                <w:b/>
                <w:bCs/>
                <w:color w:val="000000"/>
                <w:sz w:val="16"/>
                <w:szCs w:val="16"/>
                <w:lang w:eastAsia="tr-TR"/>
              </w:rPr>
            </w:pPr>
            <w:r w:rsidRPr="002E6E9A">
              <w:rPr>
                <w:b/>
                <w:bCs/>
                <w:color w:val="000000"/>
                <w:sz w:val="16"/>
                <w:szCs w:val="16"/>
                <w:lang w:eastAsia="tr-TR"/>
              </w:rPr>
              <w:t>Cari Dönem</w:t>
            </w:r>
          </w:p>
        </w:tc>
        <w:tc>
          <w:tcPr>
            <w:tcW w:w="2143" w:type="dxa"/>
            <w:gridSpan w:val="2"/>
            <w:tcBorders>
              <w:top w:val="double" w:sz="6" w:space="0" w:color="auto"/>
              <w:left w:val="nil"/>
              <w:bottom w:val="single" w:sz="8" w:space="0" w:color="auto"/>
              <w:right w:val="nil"/>
            </w:tcBorders>
            <w:shd w:val="clear" w:color="auto" w:fill="auto"/>
            <w:vAlign w:val="center"/>
            <w:hideMark/>
          </w:tcPr>
          <w:p w14:paraId="1A79B5E5" w14:textId="77777777" w:rsidR="002E6E9A" w:rsidRPr="002E6E9A" w:rsidRDefault="002E6E9A" w:rsidP="002E6E9A">
            <w:pPr>
              <w:jc w:val="center"/>
              <w:rPr>
                <w:b/>
                <w:bCs/>
                <w:color w:val="000000"/>
                <w:sz w:val="16"/>
                <w:szCs w:val="16"/>
                <w:lang w:eastAsia="tr-TR"/>
              </w:rPr>
            </w:pPr>
            <w:r w:rsidRPr="002E6E9A">
              <w:rPr>
                <w:b/>
                <w:bCs/>
                <w:color w:val="000000"/>
                <w:sz w:val="16"/>
                <w:szCs w:val="16"/>
                <w:lang w:eastAsia="tr-TR"/>
              </w:rPr>
              <w:t>Önceki Dönem</w:t>
            </w:r>
          </w:p>
        </w:tc>
      </w:tr>
      <w:tr w:rsidR="002E6E9A" w:rsidRPr="002E6E9A" w14:paraId="785819F1" w14:textId="77777777" w:rsidTr="002E6E9A">
        <w:trPr>
          <w:divId w:val="1823232903"/>
          <w:trHeight w:val="256"/>
        </w:trPr>
        <w:tc>
          <w:tcPr>
            <w:tcW w:w="4692" w:type="dxa"/>
            <w:tcBorders>
              <w:top w:val="nil"/>
              <w:left w:val="nil"/>
              <w:bottom w:val="single" w:sz="8" w:space="0" w:color="auto"/>
              <w:right w:val="nil"/>
            </w:tcBorders>
            <w:shd w:val="clear" w:color="auto" w:fill="auto"/>
            <w:vAlign w:val="center"/>
            <w:hideMark/>
          </w:tcPr>
          <w:p w14:paraId="2675D21D" w14:textId="77777777" w:rsidR="002E6E9A" w:rsidRPr="002E6E9A" w:rsidRDefault="002E6E9A" w:rsidP="002E6E9A">
            <w:pPr>
              <w:jc w:val="both"/>
              <w:rPr>
                <w:b/>
                <w:bCs/>
                <w:color w:val="000000"/>
                <w:sz w:val="16"/>
                <w:szCs w:val="16"/>
                <w:lang w:eastAsia="tr-TR"/>
              </w:rPr>
            </w:pPr>
            <w:r w:rsidRPr="002E6E9A">
              <w:rPr>
                <w:b/>
                <w:bCs/>
                <w:color w:val="000000"/>
                <w:sz w:val="16"/>
                <w:szCs w:val="16"/>
                <w:lang w:eastAsia="tr-TR"/>
              </w:rPr>
              <w:t> </w:t>
            </w:r>
          </w:p>
        </w:tc>
        <w:tc>
          <w:tcPr>
            <w:tcW w:w="1211" w:type="dxa"/>
            <w:tcBorders>
              <w:top w:val="nil"/>
              <w:left w:val="nil"/>
              <w:bottom w:val="single" w:sz="8" w:space="0" w:color="auto"/>
              <w:right w:val="nil"/>
            </w:tcBorders>
            <w:shd w:val="clear" w:color="auto" w:fill="auto"/>
            <w:vAlign w:val="center"/>
            <w:hideMark/>
          </w:tcPr>
          <w:p w14:paraId="110A5B09" w14:textId="77777777" w:rsidR="002E6E9A" w:rsidRPr="002E6E9A" w:rsidRDefault="002E6E9A" w:rsidP="002E6E9A">
            <w:pPr>
              <w:jc w:val="right"/>
              <w:rPr>
                <w:b/>
                <w:bCs/>
                <w:color w:val="000000"/>
                <w:sz w:val="16"/>
                <w:szCs w:val="16"/>
                <w:lang w:eastAsia="tr-TR"/>
              </w:rPr>
            </w:pPr>
            <w:r w:rsidRPr="002E6E9A">
              <w:rPr>
                <w:b/>
                <w:bCs/>
                <w:color w:val="000000"/>
                <w:sz w:val="16"/>
                <w:szCs w:val="16"/>
                <w:lang w:eastAsia="tr-TR"/>
              </w:rPr>
              <w:t>TP</w:t>
            </w:r>
          </w:p>
        </w:tc>
        <w:tc>
          <w:tcPr>
            <w:tcW w:w="1091" w:type="dxa"/>
            <w:tcBorders>
              <w:top w:val="nil"/>
              <w:left w:val="nil"/>
              <w:bottom w:val="single" w:sz="8" w:space="0" w:color="auto"/>
              <w:right w:val="nil"/>
            </w:tcBorders>
            <w:shd w:val="clear" w:color="auto" w:fill="auto"/>
            <w:vAlign w:val="center"/>
            <w:hideMark/>
          </w:tcPr>
          <w:p w14:paraId="55531A19" w14:textId="77777777" w:rsidR="002E6E9A" w:rsidRPr="002E6E9A" w:rsidRDefault="002E6E9A" w:rsidP="002E6E9A">
            <w:pPr>
              <w:jc w:val="right"/>
              <w:rPr>
                <w:b/>
                <w:bCs/>
                <w:color w:val="000000"/>
                <w:sz w:val="16"/>
                <w:szCs w:val="16"/>
                <w:lang w:eastAsia="tr-TR"/>
              </w:rPr>
            </w:pPr>
            <w:r w:rsidRPr="002E6E9A">
              <w:rPr>
                <w:b/>
                <w:bCs/>
                <w:color w:val="000000"/>
                <w:sz w:val="16"/>
                <w:szCs w:val="16"/>
                <w:lang w:eastAsia="tr-TR"/>
              </w:rPr>
              <w:t>YP</w:t>
            </w:r>
          </w:p>
        </w:tc>
        <w:tc>
          <w:tcPr>
            <w:tcW w:w="1035" w:type="dxa"/>
            <w:tcBorders>
              <w:top w:val="nil"/>
              <w:left w:val="nil"/>
              <w:bottom w:val="single" w:sz="8" w:space="0" w:color="auto"/>
              <w:right w:val="nil"/>
            </w:tcBorders>
            <w:shd w:val="clear" w:color="auto" w:fill="auto"/>
            <w:vAlign w:val="center"/>
            <w:hideMark/>
          </w:tcPr>
          <w:p w14:paraId="701D02E7" w14:textId="77777777" w:rsidR="002E6E9A" w:rsidRPr="002E6E9A" w:rsidRDefault="002E6E9A" w:rsidP="002E6E9A">
            <w:pPr>
              <w:jc w:val="right"/>
              <w:rPr>
                <w:b/>
                <w:bCs/>
                <w:color w:val="000000"/>
                <w:sz w:val="16"/>
                <w:szCs w:val="16"/>
                <w:lang w:eastAsia="tr-TR"/>
              </w:rPr>
            </w:pPr>
            <w:r w:rsidRPr="002E6E9A">
              <w:rPr>
                <w:b/>
                <w:bCs/>
                <w:color w:val="000000"/>
                <w:sz w:val="16"/>
                <w:szCs w:val="16"/>
                <w:lang w:eastAsia="tr-TR"/>
              </w:rPr>
              <w:t>TP</w:t>
            </w:r>
          </w:p>
        </w:tc>
        <w:tc>
          <w:tcPr>
            <w:tcW w:w="1107" w:type="dxa"/>
            <w:tcBorders>
              <w:top w:val="nil"/>
              <w:left w:val="nil"/>
              <w:bottom w:val="single" w:sz="8" w:space="0" w:color="auto"/>
              <w:right w:val="nil"/>
            </w:tcBorders>
            <w:shd w:val="clear" w:color="auto" w:fill="auto"/>
            <w:vAlign w:val="center"/>
            <w:hideMark/>
          </w:tcPr>
          <w:p w14:paraId="24053F3F" w14:textId="77777777" w:rsidR="002E6E9A" w:rsidRPr="002E6E9A" w:rsidRDefault="002E6E9A" w:rsidP="002E6E9A">
            <w:pPr>
              <w:jc w:val="right"/>
              <w:rPr>
                <w:b/>
                <w:bCs/>
                <w:color w:val="000000"/>
                <w:sz w:val="16"/>
                <w:szCs w:val="16"/>
                <w:lang w:eastAsia="tr-TR"/>
              </w:rPr>
            </w:pPr>
            <w:r w:rsidRPr="002E6E9A">
              <w:rPr>
                <w:b/>
                <w:bCs/>
                <w:color w:val="000000"/>
                <w:sz w:val="16"/>
                <w:szCs w:val="16"/>
                <w:lang w:eastAsia="tr-TR"/>
              </w:rPr>
              <w:t>YP</w:t>
            </w:r>
          </w:p>
        </w:tc>
      </w:tr>
      <w:tr w:rsidR="002E6E9A" w:rsidRPr="002E6E9A" w14:paraId="07A0F928" w14:textId="77777777" w:rsidTr="00B843E3">
        <w:trPr>
          <w:divId w:val="1823232903"/>
          <w:trHeight w:val="513"/>
        </w:trPr>
        <w:tc>
          <w:tcPr>
            <w:tcW w:w="4692" w:type="dxa"/>
            <w:tcBorders>
              <w:top w:val="nil"/>
              <w:left w:val="nil"/>
              <w:bottom w:val="nil"/>
              <w:right w:val="nil"/>
            </w:tcBorders>
            <w:shd w:val="clear" w:color="auto" w:fill="auto"/>
            <w:vAlign w:val="center"/>
            <w:hideMark/>
          </w:tcPr>
          <w:p w14:paraId="66E82C62" w14:textId="5E86F44F" w:rsidR="002E6E9A" w:rsidRPr="002E6E9A" w:rsidRDefault="002E6E9A" w:rsidP="002E6E9A">
            <w:pPr>
              <w:jc w:val="both"/>
              <w:rPr>
                <w:sz w:val="18"/>
                <w:szCs w:val="18"/>
              </w:rPr>
            </w:pPr>
            <w:r w:rsidRPr="002E6E9A">
              <w:rPr>
                <w:sz w:val="18"/>
                <w:szCs w:val="18"/>
              </w:rPr>
              <w:t>İştirakler, Bağlı Ortaklıklar ve Birlikte Kontrol Edilen Ortaklıklardan (İş Ortaklıklarından)</w:t>
            </w:r>
          </w:p>
        </w:tc>
        <w:tc>
          <w:tcPr>
            <w:tcW w:w="1211" w:type="dxa"/>
            <w:tcBorders>
              <w:top w:val="nil"/>
              <w:left w:val="nil"/>
              <w:bottom w:val="nil"/>
              <w:right w:val="nil"/>
            </w:tcBorders>
            <w:shd w:val="clear" w:color="auto" w:fill="auto"/>
            <w:vAlign w:val="bottom"/>
            <w:hideMark/>
          </w:tcPr>
          <w:p w14:paraId="73FB92ED" w14:textId="77777777" w:rsidR="002E6E9A" w:rsidRPr="002E6E9A" w:rsidRDefault="002E6E9A" w:rsidP="00B843E3">
            <w:pPr>
              <w:jc w:val="right"/>
              <w:rPr>
                <w:color w:val="000000"/>
                <w:sz w:val="18"/>
                <w:szCs w:val="18"/>
                <w:lang w:eastAsia="tr-TR"/>
              </w:rPr>
            </w:pPr>
            <w:r w:rsidRPr="002E6E9A">
              <w:rPr>
                <w:color w:val="000000"/>
                <w:sz w:val="18"/>
                <w:szCs w:val="18"/>
                <w:lang w:eastAsia="tr-TR"/>
              </w:rPr>
              <w:t>-</w:t>
            </w:r>
          </w:p>
        </w:tc>
        <w:tc>
          <w:tcPr>
            <w:tcW w:w="1091" w:type="dxa"/>
            <w:tcBorders>
              <w:top w:val="nil"/>
              <w:left w:val="nil"/>
              <w:bottom w:val="nil"/>
              <w:right w:val="nil"/>
            </w:tcBorders>
            <w:shd w:val="clear" w:color="auto" w:fill="auto"/>
            <w:vAlign w:val="bottom"/>
            <w:hideMark/>
          </w:tcPr>
          <w:p w14:paraId="15407A72" w14:textId="77777777" w:rsidR="002E6E9A" w:rsidRPr="002E6E9A" w:rsidRDefault="002E6E9A" w:rsidP="00B843E3">
            <w:pPr>
              <w:jc w:val="right"/>
              <w:rPr>
                <w:color w:val="000000"/>
                <w:sz w:val="18"/>
                <w:szCs w:val="18"/>
                <w:lang w:eastAsia="tr-TR"/>
              </w:rPr>
            </w:pPr>
            <w:r w:rsidRPr="002E6E9A">
              <w:rPr>
                <w:color w:val="000000"/>
                <w:sz w:val="18"/>
                <w:szCs w:val="18"/>
                <w:lang w:eastAsia="tr-TR"/>
              </w:rPr>
              <w:t>-</w:t>
            </w:r>
          </w:p>
        </w:tc>
        <w:tc>
          <w:tcPr>
            <w:tcW w:w="1035" w:type="dxa"/>
            <w:tcBorders>
              <w:top w:val="nil"/>
              <w:left w:val="nil"/>
              <w:bottom w:val="nil"/>
              <w:right w:val="nil"/>
            </w:tcBorders>
            <w:shd w:val="clear" w:color="auto" w:fill="auto"/>
            <w:vAlign w:val="bottom"/>
            <w:hideMark/>
          </w:tcPr>
          <w:p w14:paraId="65A63410" w14:textId="77777777" w:rsidR="002E6E9A" w:rsidRPr="002E6E9A" w:rsidRDefault="002E6E9A" w:rsidP="00B843E3">
            <w:pPr>
              <w:jc w:val="right"/>
              <w:rPr>
                <w:color w:val="000000"/>
                <w:sz w:val="18"/>
                <w:szCs w:val="18"/>
                <w:lang w:eastAsia="tr-TR"/>
              </w:rPr>
            </w:pPr>
            <w:r w:rsidRPr="002E6E9A">
              <w:rPr>
                <w:color w:val="000000"/>
                <w:sz w:val="18"/>
                <w:szCs w:val="18"/>
                <w:lang w:eastAsia="tr-TR"/>
              </w:rPr>
              <w:t>-</w:t>
            </w:r>
          </w:p>
        </w:tc>
        <w:tc>
          <w:tcPr>
            <w:tcW w:w="1107" w:type="dxa"/>
            <w:tcBorders>
              <w:top w:val="nil"/>
              <w:left w:val="nil"/>
              <w:bottom w:val="nil"/>
              <w:right w:val="nil"/>
            </w:tcBorders>
            <w:shd w:val="clear" w:color="auto" w:fill="auto"/>
            <w:vAlign w:val="bottom"/>
            <w:hideMark/>
          </w:tcPr>
          <w:p w14:paraId="3428430C" w14:textId="77777777" w:rsidR="002E6E9A" w:rsidRPr="002E6E9A" w:rsidRDefault="002E6E9A" w:rsidP="00B843E3">
            <w:pPr>
              <w:jc w:val="right"/>
              <w:rPr>
                <w:color w:val="000000"/>
                <w:sz w:val="18"/>
                <w:szCs w:val="18"/>
                <w:lang w:eastAsia="tr-TR"/>
              </w:rPr>
            </w:pPr>
            <w:r w:rsidRPr="002E6E9A">
              <w:rPr>
                <w:color w:val="000000"/>
                <w:sz w:val="18"/>
                <w:szCs w:val="18"/>
                <w:lang w:eastAsia="tr-TR"/>
              </w:rPr>
              <w:t>-</w:t>
            </w:r>
          </w:p>
        </w:tc>
      </w:tr>
      <w:tr w:rsidR="002E6E9A" w:rsidRPr="002E6E9A" w14:paraId="7163A9E2" w14:textId="77777777" w:rsidTr="002E6E9A">
        <w:trPr>
          <w:divId w:val="1823232903"/>
          <w:trHeight w:val="256"/>
        </w:trPr>
        <w:tc>
          <w:tcPr>
            <w:tcW w:w="4692" w:type="dxa"/>
            <w:tcBorders>
              <w:top w:val="nil"/>
              <w:left w:val="nil"/>
              <w:bottom w:val="nil"/>
              <w:right w:val="nil"/>
            </w:tcBorders>
            <w:shd w:val="clear" w:color="auto" w:fill="auto"/>
            <w:vAlign w:val="center"/>
            <w:hideMark/>
          </w:tcPr>
          <w:p w14:paraId="4583262F" w14:textId="77777777" w:rsidR="002E6E9A" w:rsidRPr="002E6E9A" w:rsidRDefault="002E6E9A" w:rsidP="002E6E9A">
            <w:pPr>
              <w:jc w:val="both"/>
              <w:rPr>
                <w:sz w:val="18"/>
                <w:szCs w:val="18"/>
              </w:rPr>
            </w:pPr>
            <w:r w:rsidRPr="002E6E9A">
              <w:rPr>
                <w:sz w:val="18"/>
                <w:szCs w:val="18"/>
              </w:rPr>
              <w:t xml:space="preserve">Değerleme </w:t>
            </w:r>
            <w:proofErr w:type="gramStart"/>
            <w:r w:rsidRPr="002E6E9A">
              <w:rPr>
                <w:sz w:val="18"/>
                <w:szCs w:val="18"/>
              </w:rPr>
              <w:t>Farkı(</w:t>
            </w:r>
            <w:proofErr w:type="gramEnd"/>
            <w:r w:rsidRPr="002E6E9A">
              <w:rPr>
                <w:sz w:val="18"/>
                <w:szCs w:val="18"/>
              </w:rPr>
              <w:t>*)</w:t>
            </w:r>
          </w:p>
        </w:tc>
        <w:tc>
          <w:tcPr>
            <w:tcW w:w="1211" w:type="dxa"/>
            <w:tcBorders>
              <w:top w:val="nil"/>
              <w:left w:val="nil"/>
              <w:bottom w:val="nil"/>
              <w:right w:val="nil"/>
            </w:tcBorders>
            <w:shd w:val="clear" w:color="auto" w:fill="auto"/>
            <w:vAlign w:val="center"/>
            <w:hideMark/>
          </w:tcPr>
          <w:p w14:paraId="535CAAD2" w14:textId="77777777" w:rsidR="002E6E9A" w:rsidRPr="002E6E9A" w:rsidRDefault="002E6E9A" w:rsidP="002E6E9A">
            <w:pPr>
              <w:jc w:val="right"/>
              <w:rPr>
                <w:color w:val="000000"/>
                <w:sz w:val="18"/>
                <w:szCs w:val="18"/>
                <w:lang w:eastAsia="tr-TR"/>
              </w:rPr>
            </w:pPr>
            <w:r w:rsidRPr="002E6E9A">
              <w:rPr>
                <w:color w:val="000000"/>
                <w:sz w:val="18"/>
                <w:szCs w:val="18"/>
                <w:lang w:eastAsia="tr-TR"/>
              </w:rPr>
              <w:t>(126,023)</w:t>
            </w:r>
          </w:p>
        </w:tc>
        <w:tc>
          <w:tcPr>
            <w:tcW w:w="1091" w:type="dxa"/>
            <w:tcBorders>
              <w:top w:val="nil"/>
              <w:left w:val="nil"/>
              <w:bottom w:val="nil"/>
              <w:right w:val="nil"/>
            </w:tcBorders>
            <w:shd w:val="clear" w:color="auto" w:fill="auto"/>
            <w:vAlign w:val="center"/>
            <w:hideMark/>
          </w:tcPr>
          <w:p w14:paraId="25121AA6" w14:textId="77777777" w:rsidR="002E6E9A" w:rsidRPr="002E6E9A" w:rsidRDefault="002E6E9A" w:rsidP="002E6E9A">
            <w:pPr>
              <w:jc w:val="right"/>
              <w:rPr>
                <w:color w:val="000000"/>
                <w:sz w:val="18"/>
                <w:szCs w:val="18"/>
                <w:lang w:eastAsia="tr-TR"/>
              </w:rPr>
            </w:pPr>
            <w:r w:rsidRPr="002E6E9A">
              <w:rPr>
                <w:color w:val="000000"/>
                <w:sz w:val="18"/>
                <w:szCs w:val="18"/>
                <w:lang w:eastAsia="tr-TR"/>
              </w:rPr>
              <w:t>4,250</w:t>
            </w:r>
          </w:p>
        </w:tc>
        <w:tc>
          <w:tcPr>
            <w:tcW w:w="1035" w:type="dxa"/>
            <w:tcBorders>
              <w:top w:val="nil"/>
              <w:left w:val="nil"/>
              <w:bottom w:val="nil"/>
              <w:right w:val="nil"/>
            </w:tcBorders>
            <w:shd w:val="clear" w:color="auto" w:fill="auto"/>
            <w:vAlign w:val="center"/>
            <w:hideMark/>
          </w:tcPr>
          <w:p w14:paraId="42951C69" w14:textId="77777777" w:rsidR="002E6E9A" w:rsidRPr="002E6E9A" w:rsidRDefault="002E6E9A" w:rsidP="002E6E9A">
            <w:pPr>
              <w:jc w:val="right"/>
              <w:rPr>
                <w:color w:val="000000"/>
                <w:sz w:val="18"/>
                <w:szCs w:val="18"/>
                <w:lang w:eastAsia="tr-TR"/>
              </w:rPr>
            </w:pPr>
            <w:r w:rsidRPr="002E6E9A">
              <w:rPr>
                <w:color w:val="000000"/>
                <w:sz w:val="18"/>
                <w:szCs w:val="18"/>
                <w:lang w:eastAsia="tr-TR"/>
              </w:rPr>
              <w:t>136,954</w:t>
            </w:r>
          </w:p>
        </w:tc>
        <w:tc>
          <w:tcPr>
            <w:tcW w:w="1107" w:type="dxa"/>
            <w:tcBorders>
              <w:top w:val="nil"/>
              <w:left w:val="nil"/>
              <w:bottom w:val="nil"/>
              <w:right w:val="nil"/>
            </w:tcBorders>
            <w:shd w:val="clear" w:color="auto" w:fill="auto"/>
            <w:vAlign w:val="center"/>
            <w:hideMark/>
          </w:tcPr>
          <w:p w14:paraId="6D6FB445" w14:textId="77777777" w:rsidR="002E6E9A" w:rsidRPr="002E6E9A" w:rsidRDefault="002E6E9A" w:rsidP="002E6E9A">
            <w:pPr>
              <w:jc w:val="right"/>
              <w:rPr>
                <w:color w:val="000000"/>
                <w:sz w:val="18"/>
                <w:szCs w:val="18"/>
                <w:lang w:eastAsia="tr-TR"/>
              </w:rPr>
            </w:pPr>
            <w:r w:rsidRPr="002E6E9A">
              <w:rPr>
                <w:color w:val="000000"/>
                <w:sz w:val="18"/>
                <w:szCs w:val="18"/>
                <w:lang w:eastAsia="tr-TR"/>
              </w:rPr>
              <w:t>82,154</w:t>
            </w:r>
          </w:p>
        </w:tc>
      </w:tr>
      <w:tr w:rsidR="002E6E9A" w:rsidRPr="002E6E9A" w14:paraId="51CD384C" w14:textId="77777777" w:rsidTr="002E6E9A">
        <w:trPr>
          <w:divId w:val="1823232903"/>
          <w:trHeight w:val="256"/>
        </w:trPr>
        <w:tc>
          <w:tcPr>
            <w:tcW w:w="4692" w:type="dxa"/>
            <w:tcBorders>
              <w:top w:val="nil"/>
              <w:left w:val="nil"/>
              <w:bottom w:val="nil"/>
              <w:right w:val="nil"/>
            </w:tcBorders>
            <w:shd w:val="clear" w:color="auto" w:fill="auto"/>
            <w:vAlign w:val="center"/>
            <w:hideMark/>
          </w:tcPr>
          <w:p w14:paraId="177935D2" w14:textId="77777777" w:rsidR="002E6E9A" w:rsidRPr="002E6E9A" w:rsidRDefault="002E6E9A" w:rsidP="002E6E9A">
            <w:pPr>
              <w:jc w:val="both"/>
              <w:rPr>
                <w:sz w:val="18"/>
                <w:szCs w:val="18"/>
              </w:rPr>
            </w:pPr>
            <w:r w:rsidRPr="002E6E9A">
              <w:rPr>
                <w:sz w:val="18"/>
                <w:szCs w:val="18"/>
              </w:rPr>
              <w:t>Kur Farkı</w:t>
            </w:r>
          </w:p>
        </w:tc>
        <w:tc>
          <w:tcPr>
            <w:tcW w:w="1211" w:type="dxa"/>
            <w:tcBorders>
              <w:top w:val="nil"/>
              <w:left w:val="nil"/>
              <w:bottom w:val="nil"/>
              <w:right w:val="nil"/>
            </w:tcBorders>
            <w:shd w:val="clear" w:color="auto" w:fill="auto"/>
            <w:vAlign w:val="center"/>
            <w:hideMark/>
          </w:tcPr>
          <w:p w14:paraId="2012705D" w14:textId="77777777" w:rsidR="002E6E9A" w:rsidRPr="002E6E9A" w:rsidRDefault="002E6E9A" w:rsidP="002E6E9A">
            <w:pPr>
              <w:jc w:val="right"/>
              <w:rPr>
                <w:color w:val="000000"/>
                <w:sz w:val="18"/>
                <w:szCs w:val="18"/>
                <w:lang w:eastAsia="tr-TR"/>
              </w:rPr>
            </w:pPr>
            <w:r w:rsidRPr="002E6E9A">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7E6D66AA" w14:textId="77777777" w:rsidR="002E6E9A" w:rsidRPr="002E6E9A" w:rsidRDefault="002E6E9A" w:rsidP="002E6E9A">
            <w:pPr>
              <w:jc w:val="right"/>
              <w:rPr>
                <w:color w:val="000000"/>
                <w:sz w:val="18"/>
                <w:szCs w:val="18"/>
                <w:lang w:eastAsia="tr-TR"/>
              </w:rPr>
            </w:pPr>
            <w:r w:rsidRPr="002E6E9A">
              <w:rPr>
                <w:color w:val="000000"/>
                <w:sz w:val="18"/>
                <w:szCs w:val="18"/>
                <w:lang w:eastAsia="tr-TR"/>
              </w:rPr>
              <w:t>-</w:t>
            </w:r>
          </w:p>
        </w:tc>
        <w:tc>
          <w:tcPr>
            <w:tcW w:w="1035" w:type="dxa"/>
            <w:tcBorders>
              <w:top w:val="nil"/>
              <w:left w:val="nil"/>
              <w:bottom w:val="nil"/>
              <w:right w:val="nil"/>
            </w:tcBorders>
            <w:shd w:val="clear" w:color="auto" w:fill="auto"/>
            <w:vAlign w:val="center"/>
            <w:hideMark/>
          </w:tcPr>
          <w:p w14:paraId="46088184" w14:textId="77777777" w:rsidR="002E6E9A" w:rsidRPr="002E6E9A" w:rsidRDefault="002E6E9A" w:rsidP="002E6E9A">
            <w:pPr>
              <w:jc w:val="right"/>
              <w:rPr>
                <w:color w:val="000000"/>
                <w:sz w:val="18"/>
                <w:szCs w:val="18"/>
                <w:lang w:eastAsia="tr-TR"/>
              </w:rPr>
            </w:pPr>
            <w:r w:rsidRPr="002E6E9A">
              <w:rPr>
                <w:color w:val="000000"/>
                <w:sz w:val="18"/>
                <w:szCs w:val="18"/>
                <w:lang w:eastAsia="tr-TR"/>
              </w:rPr>
              <w:t>-</w:t>
            </w:r>
          </w:p>
        </w:tc>
        <w:tc>
          <w:tcPr>
            <w:tcW w:w="1107" w:type="dxa"/>
            <w:tcBorders>
              <w:top w:val="nil"/>
              <w:left w:val="nil"/>
              <w:bottom w:val="nil"/>
              <w:right w:val="nil"/>
            </w:tcBorders>
            <w:shd w:val="clear" w:color="auto" w:fill="auto"/>
            <w:vAlign w:val="center"/>
            <w:hideMark/>
          </w:tcPr>
          <w:p w14:paraId="4F5D853C" w14:textId="77777777" w:rsidR="002E6E9A" w:rsidRPr="002E6E9A" w:rsidRDefault="002E6E9A" w:rsidP="002E6E9A">
            <w:pPr>
              <w:jc w:val="right"/>
              <w:rPr>
                <w:color w:val="000000"/>
                <w:sz w:val="18"/>
                <w:szCs w:val="18"/>
                <w:lang w:eastAsia="tr-TR"/>
              </w:rPr>
            </w:pPr>
            <w:r w:rsidRPr="002E6E9A">
              <w:rPr>
                <w:color w:val="000000"/>
                <w:sz w:val="18"/>
                <w:szCs w:val="18"/>
                <w:lang w:eastAsia="tr-TR"/>
              </w:rPr>
              <w:t>-</w:t>
            </w:r>
          </w:p>
        </w:tc>
      </w:tr>
      <w:tr w:rsidR="002E6E9A" w:rsidRPr="002E6E9A" w14:paraId="56805072" w14:textId="77777777" w:rsidTr="002E6E9A">
        <w:trPr>
          <w:divId w:val="1823232903"/>
          <w:trHeight w:val="256"/>
        </w:trPr>
        <w:tc>
          <w:tcPr>
            <w:tcW w:w="4692" w:type="dxa"/>
            <w:tcBorders>
              <w:top w:val="single" w:sz="8" w:space="0" w:color="auto"/>
              <w:left w:val="nil"/>
              <w:bottom w:val="double" w:sz="6" w:space="0" w:color="auto"/>
              <w:right w:val="nil"/>
            </w:tcBorders>
            <w:shd w:val="clear" w:color="auto" w:fill="auto"/>
            <w:vAlign w:val="center"/>
            <w:hideMark/>
          </w:tcPr>
          <w:p w14:paraId="48F58BDB" w14:textId="77777777" w:rsidR="002E6E9A" w:rsidRPr="002E6E9A" w:rsidRDefault="002E6E9A" w:rsidP="002E6E9A">
            <w:pPr>
              <w:jc w:val="both"/>
              <w:rPr>
                <w:b/>
                <w:bCs/>
                <w:color w:val="000000"/>
                <w:sz w:val="16"/>
                <w:szCs w:val="16"/>
                <w:lang w:eastAsia="tr-TR"/>
              </w:rPr>
            </w:pPr>
            <w:r w:rsidRPr="002E6E9A">
              <w:rPr>
                <w:b/>
                <w:bCs/>
                <w:color w:val="000000"/>
                <w:sz w:val="18"/>
                <w:szCs w:val="16"/>
                <w:lang w:eastAsia="tr-TR"/>
              </w:rPr>
              <w:t>Toplam</w:t>
            </w:r>
          </w:p>
        </w:tc>
        <w:tc>
          <w:tcPr>
            <w:tcW w:w="1211" w:type="dxa"/>
            <w:tcBorders>
              <w:top w:val="single" w:sz="8" w:space="0" w:color="auto"/>
              <w:left w:val="nil"/>
              <w:bottom w:val="double" w:sz="6" w:space="0" w:color="auto"/>
              <w:right w:val="nil"/>
            </w:tcBorders>
            <w:shd w:val="clear" w:color="auto" w:fill="auto"/>
            <w:vAlign w:val="center"/>
            <w:hideMark/>
          </w:tcPr>
          <w:p w14:paraId="0F033F02" w14:textId="77777777" w:rsidR="002E6E9A" w:rsidRPr="002E6E9A" w:rsidRDefault="002E6E9A" w:rsidP="002E6E9A">
            <w:pPr>
              <w:jc w:val="right"/>
              <w:rPr>
                <w:color w:val="000000"/>
                <w:sz w:val="18"/>
                <w:szCs w:val="18"/>
                <w:lang w:eastAsia="tr-TR"/>
              </w:rPr>
            </w:pPr>
            <w:r w:rsidRPr="002E6E9A">
              <w:rPr>
                <w:b/>
                <w:bCs/>
                <w:color w:val="000000"/>
                <w:sz w:val="18"/>
                <w:szCs w:val="16"/>
                <w:lang w:eastAsia="tr-TR"/>
              </w:rPr>
              <w:t>(126,023</w:t>
            </w:r>
            <w:r w:rsidRPr="002E6E9A">
              <w:rPr>
                <w:color w:val="000000"/>
                <w:sz w:val="18"/>
                <w:szCs w:val="18"/>
                <w:lang w:eastAsia="tr-TR"/>
              </w:rPr>
              <w:t>)</w:t>
            </w:r>
          </w:p>
        </w:tc>
        <w:tc>
          <w:tcPr>
            <w:tcW w:w="1091" w:type="dxa"/>
            <w:tcBorders>
              <w:top w:val="single" w:sz="8" w:space="0" w:color="auto"/>
              <w:left w:val="nil"/>
              <w:bottom w:val="double" w:sz="6" w:space="0" w:color="auto"/>
              <w:right w:val="nil"/>
            </w:tcBorders>
            <w:shd w:val="clear" w:color="auto" w:fill="auto"/>
            <w:vAlign w:val="center"/>
            <w:hideMark/>
          </w:tcPr>
          <w:p w14:paraId="0A94D92A" w14:textId="77777777" w:rsidR="002E6E9A" w:rsidRPr="002E6E9A" w:rsidRDefault="002E6E9A" w:rsidP="002E6E9A">
            <w:pPr>
              <w:jc w:val="right"/>
              <w:rPr>
                <w:b/>
                <w:bCs/>
                <w:color w:val="000000"/>
                <w:sz w:val="18"/>
                <w:szCs w:val="16"/>
                <w:lang w:eastAsia="tr-TR"/>
              </w:rPr>
            </w:pPr>
            <w:r w:rsidRPr="002E6E9A">
              <w:rPr>
                <w:b/>
                <w:bCs/>
                <w:color w:val="000000"/>
                <w:sz w:val="18"/>
                <w:szCs w:val="16"/>
                <w:lang w:eastAsia="tr-TR"/>
              </w:rPr>
              <w:t>4,250</w:t>
            </w:r>
          </w:p>
        </w:tc>
        <w:tc>
          <w:tcPr>
            <w:tcW w:w="1035" w:type="dxa"/>
            <w:tcBorders>
              <w:top w:val="single" w:sz="8" w:space="0" w:color="auto"/>
              <w:left w:val="nil"/>
              <w:bottom w:val="double" w:sz="6" w:space="0" w:color="auto"/>
              <w:right w:val="nil"/>
            </w:tcBorders>
            <w:shd w:val="clear" w:color="auto" w:fill="auto"/>
            <w:vAlign w:val="center"/>
            <w:hideMark/>
          </w:tcPr>
          <w:p w14:paraId="0B5BE4E5" w14:textId="77777777" w:rsidR="002E6E9A" w:rsidRPr="002E6E9A" w:rsidRDefault="002E6E9A" w:rsidP="002E6E9A">
            <w:pPr>
              <w:jc w:val="right"/>
              <w:rPr>
                <w:b/>
                <w:bCs/>
                <w:color w:val="000000"/>
                <w:sz w:val="18"/>
                <w:szCs w:val="16"/>
                <w:lang w:eastAsia="tr-TR"/>
              </w:rPr>
            </w:pPr>
            <w:r w:rsidRPr="002E6E9A">
              <w:rPr>
                <w:b/>
                <w:bCs/>
                <w:color w:val="000000"/>
                <w:sz w:val="18"/>
                <w:szCs w:val="16"/>
                <w:lang w:eastAsia="tr-TR"/>
              </w:rPr>
              <w:t>136,954</w:t>
            </w:r>
          </w:p>
        </w:tc>
        <w:tc>
          <w:tcPr>
            <w:tcW w:w="1107" w:type="dxa"/>
            <w:tcBorders>
              <w:top w:val="single" w:sz="8" w:space="0" w:color="auto"/>
              <w:left w:val="nil"/>
              <w:bottom w:val="double" w:sz="6" w:space="0" w:color="auto"/>
              <w:right w:val="nil"/>
            </w:tcBorders>
            <w:shd w:val="clear" w:color="auto" w:fill="auto"/>
            <w:vAlign w:val="center"/>
            <w:hideMark/>
          </w:tcPr>
          <w:p w14:paraId="5F68E75A" w14:textId="77777777" w:rsidR="002E6E9A" w:rsidRPr="002E6E9A" w:rsidRDefault="002E6E9A" w:rsidP="002E6E9A">
            <w:pPr>
              <w:jc w:val="right"/>
              <w:rPr>
                <w:b/>
                <w:bCs/>
                <w:color w:val="000000"/>
                <w:sz w:val="18"/>
                <w:szCs w:val="16"/>
                <w:lang w:eastAsia="tr-TR"/>
              </w:rPr>
            </w:pPr>
            <w:r w:rsidRPr="002E6E9A">
              <w:rPr>
                <w:b/>
                <w:bCs/>
                <w:color w:val="000000"/>
                <w:sz w:val="18"/>
                <w:szCs w:val="16"/>
                <w:lang w:eastAsia="tr-TR"/>
              </w:rPr>
              <w:t>82,154</w:t>
            </w:r>
          </w:p>
        </w:tc>
      </w:tr>
    </w:tbl>
    <w:p w14:paraId="63A3B5FC" w14:textId="56691E8E" w:rsidR="00363252" w:rsidRPr="00223602" w:rsidRDefault="00363252" w:rsidP="002A2420">
      <w:pPr>
        <w:autoSpaceDE w:val="0"/>
        <w:autoSpaceDN w:val="0"/>
        <w:adjustRightInd w:val="0"/>
        <w:ind w:hanging="567"/>
        <w:rPr>
          <w:b/>
          <w:bCs/>
          <w:iCs/>
          <w:sz w:val="14"/>
          <w:szCs w:val="14"/>
        </w:rPr>
      </w:pPr>
    </w:p>
    <w:p w14:paraId="1A897145" w14:textId="7A5775CE" w:rsidR="00100CE1" w:rsidRPr="00223602" w:rsidRDefault="00100CE1" w:rsidP="00B843E3">
      <w:pPr>
        <w:autoSpaceDE w:val="0"/>
        <w:autoSpaceDN w:val="0"/>
        <w:adjustRightInd w:val="0"/>
        <w:ind w:left="567" w:hanging="567"/>
        <w:jc w:val="both"/>
        <w:rPr>
          <w:b/>
          <w:bCs/>
          <w:iCs/>
          <w:sz w:val="14"/>
          <w:szCs w:val="14"/>
        </w:rPr>
      </w:pPr>
      <w:r w:rsidRPr="00223602">
        <w:rPr>
          <w:sz w:val="16"/>
          <w:szCs w:val="16"/>
        </w:rPr>
        <w:t xml:space="preserve">(*) </w:t>
      </w:r>
      <w:r w:rsidR="00B843E3">
        <w:rPr>
          <w:sz w:val="16"/>
          <w:szCs w:val="16"/>
        </w:rPr>
        <w:tab/>
      </w:r>
      <w:r w:rsidRPr="00223602">
        <w:rPr>
          <w:sz w:val="16"/>
          <w:szCs w:val="16"/>
        </w:rPr>
        <w:t>Bilançoda Gerçeğe uygun değer farkı diğer kapsamlı gelire yansıtılan finansal varlıklar altında “Devlet Borçlanma Senetleri” ve “</w:t>
      </w:r>
      <w:proofErr w:type="gramStart"/>
      <w:r w:rsidRPr="00223602">
        <w:rPr>
          <w:sz w:val="16"/>
          <w:szCs w:val="16"/>
        </w:rPr>
        <w:t>Diğer  Menkul</w:t>
      </w:r>
      <w:proofErr w:type="gramEnd"/>
      <w:r w:rsidRPr="00223602">
        <w:rPr>
          <w:sz w:val="16"/>
          <w:szCs w:val="16"/>
        </w:rPr>
        <w:t xml:space="preserve"> Değerler” satırlarında sınıflanan Kira Sertifikalarının vergi etkisi de dikkate alınarak hesaplanmış değerleme farkıdır.</w:t>
      </w:r>
    </w:p>
    <w:p w14:paraId="4009C71C" w14:textId="77777777" w:rsidR="00F0188F" w:rsidRPr="00223602" w:rsidRDefault="00F0188F" w:rsidP="002A2420">
      <w:pPr>
        <w:autoSpaceDE w:val="0"/>
        <w:autoSpaceDN w:val="0"/>
        <w:adjustRightInd w:val="0"/>
        <w:ind w:hanging="567"/>
        <w:rPr>
          <w:b/>
          <w:bCs/>
          <w:iCs/>
          <w:sz w:val="14"/>
          <w:szCs w:val="14"/>
        </w:rPr>
      </w:pPr>
    </w:p>
    <w:p w14:paraId="7E8BFC0C" w14:textId="77777777" w:rsidR="00170463" w:rsidRPr="00223602" w:rsidRDefault="002A2420" w:rsidP="002A2420">
      <w:pPr>
        <w:autoSpaceDE w:val="0"/>
        <w:autoSpaceDN w:val="0"/>
        <w:adjustRightInd w:val="0"/>
        <w:ind w:hanging="567"/>
        <w:rPr>
          <w:b/>
          <w:bCs/>
          <w:iCs/>
        </w:rPr>
      </w:pPr>
      <w:proofErr w:type="gramStart"/>
      <w:r w:rsidRPr="00223602">
        <w:rPr>
          <w:b/>
          <w:bCs/>
          <w:iCs/>
        </w:rPr>
        <w:t>2.12</w:t>
      </w:r>
      <w:r w:rsidR="001E4A18" w:rsidRPr="00223602">
        <w:rPr>
          <w:b/>
          <w:bCs/>
          <w:iCs/>
        </w:rPr>
        <w:t xml:space="preserve">  </w:t>
      </w:r>
      <w:r w:rsidRPr="00223602">
        <w:rPr>
          <w:b/>
          <w:bCs/>
          <w:iCs/>
        </w:rPr>
        <w:tab/>
      </w:r>
      <w:proofErr w:type="gramEnd"/>
      <w:r w:rsidR="00E253C8" w:rsidRPr="00223602">
        <w:rPr>
          <w:b/>
          <w:bCs/>
          <w:iCs/>
        </w:rPr>
        <w:t xml:space="preserve">Azınlık paylarına ilişkin açıklamalar: </w:t>
      </w:r>
    </w:p>
    <w:p w14:paraId="5B515EA1" w14:textId="77777777" w:rsidR="000F03C0" w:rsidRPr="00223602" w:rsidRDefault="000F03C0" w:rsidP="00170463">
      <w:pPr>
        <w:autoSpaceDE w:val="0"/>
        <w:autoSpaceDN w:val="0"/>
        <w:adjustRightInd w:val="0"/>
        <w:ind w:left="360"/>
        <w:rPr>
          <w:sz w:val="16"/>
          <w:szCs w:val="16"/>
        </w:rPr>
      </w:pPr>
    </w:p>
    <w:p w14:paraId="5BA83382" w14:textId="778EAD19" w:rsidR="007A5D0B" w:rsidRPr="00223602" w:rsidRDefault="00D7059A" w:rsidP="00475F96">
      <w:pPr>
        <w:autoSpaceDE w:val="0"/>
        <w:autoSpaceDN w:val="0"/>
        <w:adjustRightInd w:val="0"/>
        <w:rPr>
          <w:sz w:val="16"/>
          <w:szCs w:val="16"/>
        </w:rPr>
      </w:pPr>
      <w:r w:rsidRPr="00223602">
        <w:t xml:space="preserve">Yoktur (31 Aralık </w:t>
      </w:r>
      <w:proofErr w:type="gramStart"/>
      <w:r w:rsidRPr="00223602">
        <w:t>201</w:t>
      </w:r>
      <w:r w:rsidR="005A12B2" w:rsidRPr="00223602">
        <w:t>9</w:t>
      </w:r>
      <w:r w:rsidR="00475F96" w:rsidRPr="00223602">
        <w:t xml:space="preserve"> -</w:t>
      </w:r>
      <w:proofErr w:type="gramEnd"/>
      <w:r w:rsidR="00475F96" w:rsidRPr="00223602">
        <w:t xml:space="preserve"> Yoktur).</w:t>
      </w:r>
    </w:p>
    <w:p w14:paraId="5B43B126" w14:textId="77777777" w:rsidR="00733A4B" w:rsidRPr="00270CE6" w:rsidRDefault="00733A4B" w:rsidP="00170463">
      <w:pPr>
        <w:autoSpaceDE w:val="0"/>
        <w:autoSpaceDN w:val="0"/>
        <w:adjustRightInd w:val="0"/>
        <w:ind w:left="360"/>
        <w:rPr>
          <w:sz w:val="16"/>
          <w:szCs w:val="16"/>
          <w:highlight w:val="yellow"/>
        </w:rPr>
      </w:pPr>
    </w:p>
    <w:p w14:paraId="4EEFDDBD" w14:textId="77777777" w:rsidR="007A5D0B" w:rsidRPr="00270CE6" w:rsidRDefault="007A5D0B" w:rsidP="00170463">
      <w:pPr>
        <w:autoSpaceDE w:val="0"/>
        <w:autoSpaceDN w:val="0"/>
        <w:adjustRightInd w:val="0"/>
        <w:ind w:left="360"/>
        <w:rPr>
          <w:sz w:val="16"/>
          <w:szCs w:val="16"/>
          <w:highlight w:val="yellow"/>
        </w:rPr>
      </w:pPr>
    </w:p>
    <w:p w14:paraId="3427C57F" w14:textId="77777777" w:rsidR="005D495B" w:rsidRPr="00270CE6" w:rsidRDefault="005D495B" w:rsidP="00170463">
      <w:pPr>
        <w:autoSpaceDE w:val="0"/>
        <w:autoSpaceDN w:val="0"/>
        <w:adjustRightInd w:val="0"/>
        <w:ind w:left="360"/>
        <w:rPr>
          <w:sz w:val="16"/>
          <w:szCs w:val="16"/>
          <w:highlight w:val="yellow"/>
        </w:rPr>
      </w:pPr>
    </w:p>
    <w:p w14:paraId="74D07778" w14:textId="77777777" w:rsidR="005D495B" w:rsidRPr="00270CE6" w:rsidRDefault="005D495B" w:rsidP="00170463">
      <w:pPr>
        <w:autoSpaceDE w:val="0"/>
        <w:autoSpaceDN w:val="0"/>
        <w:adjustRightInd w:val="0"/>
        <w:ind w:left="360"/>
        <w:rPr>
          <w:sz w:val="16"/>
          <w:szCs w:val="16"/>
          <w:highlight w:val="yellow"/>
        </w:rPr>
      </w:pPr>
    </w:p>
    <w:p w14:paraId="7C842ABB" w14:textId="77777777" w:rsidR="000F096F" w:rsidRPr="005269EC" w:rsidRDefault="00A023D6" w:rsidP="00FB1F53">
      <w:pPr>
        <w:autoSpaceDE w:val="0"/>
        <w:autoSpaceDN w:val="0"/>
        <w:adjustRightInd w:val="0"/>
        <w:ind w:hanging="567"/>
        <w:rPr>
          <w:rFonts w:eastAsia="Arial Unicode MS"/>
          <w:b/>
        </w:rPr>
      </w:pPr>
      <w:r w:rsidRPr="00270CE6">
        <w:rPr>
          <w:b/>
          <w:highlight w:val="yellow"/>
        </w:rPr>
        <w:br w:type="page"/>
      </w:r>
      <w:r w:rsidR="00FB1F53" w:rsidRPr="005269EC">
        <w:rPr>
          <w:b/>
        </w:rPr>
        <w:lastRenderedPageBreak/>
        <w:t>3.</w:t>
      </w:r>
      <w:r w:rsidR="00FB1F53" w:rsidRPr="005269EC">
        <w:tab/>
      </w:r>
      <w:r w:rsidR="004E70C1" w:rsidRPr="005269EC">
        <w:rPr>
          <w:rFonts w:eastAsia="Arial Unicode MS"/>
          <w:b/>
        </w:rPr>
        <w:t>Nazım</w:t>
      </w:r>
      <w:r w:rsidR="00F57EAA" w:rsidRPr="005269EC">
        <w:rPr>
          <w:rFonts w:eastAsia="Arial Unicode MS"/>
          <w:b/>
        </w:rPr>
        <w:t xml:space="preserve"> Hesaplara İlişkin Açıklama ve D</w:t>
      </w:r>
      <w:r w:rsidR="00E253C8" w:rsidRPr="005269EC">
        <w:rPr>
          <w:rFonts w:eastAsia="Arial Unicode MS"/>
          <w:b/>
        </w:rPr>
        <w:t>ipnotlar</w:t>
      </w:r>
    </w:p>
    <w:p w14:paraId="756836C0" w14:textId="77777777" w:rsidR="000F096F" w:rsidRPr="005269EC" w:rsidRDefault="000F096F" w:rsidP="000F096F">
      <w:pPr>
        <w:autoSpaceDE w:val="0"/>
        <w:autoSpaceDN w:val="0"/>
        <w:adjustRightInd w:val="0"/>
        <w:rPr>
          <w:rFonts w:eastAsia="Arial Unicode MS"/>
          <w:sz w:val="14"/>
          <w:szCs w:val="14"/>
        </w:rPr>
      </w:pPr>
    </w:p>
    <w:p w14:paraId="3A095677" w14:textId="77777777" w:rsidR="000F096F" w:rsidRPr="005269EC" w:rsidRDefault="00666F9D" w:rsidP="00666F9D">
      <w:pPr>
        <w:tabs>
          <w:tab w:val="left" w:pos="993"/>
        </w:tabs>
        <w:autoSpaceDE w:val="0"/>
        <w:autoSpaceDN w:val="0"/>
        <w:adjustRightInd w:val="0"/>
        <w:ind w:hanging="567"/>
        <w:rPr>
          <w:b/>
          <w:bCs/>
          <w:iCs/>
        </w:rPr>
      </w:pPr>
      <w:r w:rsidRPr="005269EC">
        <w:rPr>
          <w:b/>
          <w:bCs/>
          <w:iCs/>
        </w:rPr>
        <w:t>3</w:t>
      </w:r>
      <w:r w:rsidR="00F57EAA" w:rsidRPr="005269EC">
        <w:rPr>
          <w:b/>
          <w:bCs/>
          <w:iCs/>
        </w:rPr>
        <w:t>.</w:t>
      </w:r>
      <w:r w:rsidRPr="005269EC">
        <w:rPr>
          <w:b/>
          <w:bCs/>
          <w:iCs/>
        </w:rPr>
        <w:t>1</w:t>
      </w:r>
      <w:r w:rsidR="00F57EAA" w:rsidRPr="005269EC">
        <w:rPr>
          <w:b/>
          <w:bCs/>
          <w:iCs/>
        </w:rPr>
        <w:tab/>
      </w:r>
      <w:r w:rsidR="00014D76" w:rsidRPr="005269EC">
        <w:rPr>
          <w:rFonts w:eastAsia="Arial Unicode MS"/>
          <w:b/>
        </w:rPr>
        <w:t>Nazım hesaplarda yer alan yükümlülüklere ilişkin açıklamalar:</w:t>
      </w:r>
    </w:p>
    <w:p w14:paraId="1346F0AB" w14:textId="77777777" w:rsidR="000F096F" w:rsidRPr="005269EC" w:rsidRDefault="000F096F" w:rsidP="000F096F">
      <w:pPr>
        <w:pStyle w:val="BodyTextIndent2"/>
        <w:ind w:left="540" w:hanging="540"/>
        <w:jc w:val="left"/>
        <w:rPr>
          <w:rFonts w:ascii="Times New Roman" w:hAnsi="Times New Roman"/>
          <w:b w:val="0"/>
          <w:color w:val="auto"/>
          <w:sz w:val="14"/>
          <w:szCs w:val="14"/>
        </w:rPr>
      </w:pPr>
    </w:p>
    <w:p w14:paraId="238B9701" w14:textId="79F21250" w:rsidR="000F096F" w:rsidRPr="005269EC" w:rsidRDefault="00666F9D" w:rsidP="00666F9D">
      <w:pPr>
        <w:tabs>
          <w:tab w:val="num" w:pos="2340"/>
          <w:tab w:val="num" w:pos="3060"/>
        </w:tabs>
        <w:autoSpaceDE w:val="0"/>
        <w:autoSpaceDN w:val="0"/>
        <w:adjustRightInd w:val="0"/>
        <w:ind w:hanging="567"/>
        <w:jc w:val="both"/>
      </w:pPr>
      <w:r w:rsidRPr="005269EC">
        <w:rPr>
          <w:b/>
        </w:rPr>
        <w:t>3.</w:t>
      </w:r>
      <w:r w:rsidR="00E253C8" w:rsidRPr="005269EC">
        <w:rPr>
          <w:b/>
        </w:rPr>
        <w:t>1.</w:t>
      </w:r>
      <w:r w:rsidRPr="005269EC">
        <w:rPr>
          <w:b/>
        </w:rPr>
        <w:t>1</w:t>
      </w:r>
      <w:r w:rsidR="00E253C8" w:rsidRPr="005269EC">
        <w:tab/>
      </w:r>
      <w:r w:rsidR="00E253C8" w:rsidRPr="005269EC">
        <w:rPr>
          <w:spacing w:val="-6"/>
        </w:rPr>
        <w:t xml:space="preserve">Gayri kabili rücu nitelikteki kredi taahhütlerinin türü ve </w:t>
      </w:r>
      <w:proofErr w:type="gramStart"/>
      <w:r w:rsidR="00E253C8" w:rsidRPr="005269EC">
        <w:rPr>
          <w:spacing w:val="-6"/>
        </w:rPr>
        <w:t>miktarı :</w:t>
      </w:r>
      <w:proofErr w:type="gramEnd"/>
      <w:r w:rsidR="00E253C8" w:rsidRPr="005269EC">
        <w:rPr>
          <w:spacing w:val="-6"/>
        </w:rPr>
        <w:t xml:space="preserve"> Kredi kartı harca</w:t>
      </w:r>
      <w:r w:rsidR="00877EF5" w:rsidRPr="005269EC">
        <w:rPr>
          <w:spacing w:val="-6"/>
        </w:rPr>
        <w:t xml:space="preserve">ma limiti taahhütleri, </w:t>
      </w:r>
      <w:r w:rsidR="00BD6CCE" w:rsidRPr="005269EC">
        <w:t xml:space="preserve">30 </w:t>
      </w:r>
      <w:r w:rsidR="00EA6E92" w:rsidRPr="005269EC">
        <w:t>Eylül</w:t>
      </w:r>
      <w:r w:rsidR="00BD6CCE" w:rsidRPr="005269EC">
        <w:t xml:space="preserve"> 2020</w:t>
      </w:r>
      <w:r w:rsidR="00E253C8" w:rsidRPr="005269EC">
        <w:rPr>
          <w:spacing w:val="-6"/>
        </w:rPr>
        <w:t xml:space="preserve"> tarihi </w:t>
      </w:r>
      <w:r w:rsidR="00CF4F17" w:rsidRPr="005269EC">
        <w:rPr>
          <w:spacing w:val="-6"/>
        </w:rPr>
        <w:t>itibarıyla</w:t>
      </w:r>
      <w:r w:rsidR="00E253C8" w:rsidRPr="005269EC">
        <w:rPr>
          <w:spacing w:val="-6"/>
        </w:rPr>
        <w:t xml:space="preserve"> </w:t>
      </w:r>
      <w:r w:rsidR="001A06AE" w:rsidRPr="005269EC">
        <w:rPr>
          <w:spacing w:val="-6"/>
        </w:rPr>
        <w:t>3,</w:t>
      </w:r>
      <w:r w:rsidR="00DC1803" w:rsidRPr="005269EC">
        <w:rPr>
          <w:spacing w:val="-6"/>
        </w:rPr>
        <w:t>3</w:t>
      </w:r>
      <w:r w:rsidR="00223602" w:rsidRPr="005269EC">
        <w:rPr>
          <w:spacing w:val="-6"/>
        </w:rPr>
        <w:t>24</w:t>
      </w:r>
      <w:r w:rsidR="009448C7" w:rsidRPr="005269EC">
        <w:rPr>
          <w:spacing w:val="-6"/>
        </w:rPr>
        <w:t>,</w:t>
      </w:r>
      <w:r w:rsidR="00223602" w:rsidRPr="005269EC">
        <w:rPr>
          <w:spacing w:val="-6"/>
        </w:rPr>
        <w:t>2</w:t>
      </w:r>
      <w:r w:rsidR="00DC1803" w:rsidRPr="005269EC">
        <w:rPr>
          <w:spacing w:val="-6"/>
        </w:rPr>
        <w:t>7</w:t>
      </w:r>
      <w:r w:rsidR="00223602" w:rsidRPr="005269EC">
        <w:rPr>
          <w:spacing w:val="-6"/>
        </w:rPr>
        <w:t>8</w:t>
      </w:r>
      <w:r w:rsidR="000030F1" w:rsidRPr="005269EC">
        <w:rPr>
          <w:spacing w:val="-6"/>
        </w:rPr>
        <w:t xml:space="preserve"> </w:t>
      </w:r>
      <w:r w:rsidR="0054509F" w:rsidRPr="005269EC">
        <w:rPr>
          <w:spacing w:val="-6"/>
        </w:rPr>
        <w:t>TL (</w:t>
      </w:r>
      <w:r w:rsidR="00B002E0" w:rsidRPr="005269EC">
        <w:rPr>
          <w:spacing w:val="-6"/>
        </w:rPr>
        <w:t xml:space="preserve">31 Aralık </w:t>
      </w:r>
      <w:r w:rsidRPr="005269EC">
        <w:rPr>
          <w:spacing w:val="-6"/>
        </w:rPr>
        <w:t>201</w:t>
      </w:r>
      <w:r w:rsidR="005A12B2" w:rsidRPr="005269EC">
        <w:rPr>
          <w:spacing w:val="-6"/>
        </w:rPr>
        <w:t>9</w:t>
      </w:r>
      <w:r w:rsidR="000812EB" w:rsidRPr="005269EC">
        <w:rPr>
          <w:spacing w:val="-6"/>
        </w:rPr>
        <w:t xml:space="preserve"> - </w:t>
      </w:r>
      <w:r w:rsidR="005A12B2" w:rsidRPr="005269EC">
        <w:rPr>
          <w:spacing w:val="-6"/>
        </w:rPr>
        <w:t xml:space="preserve">2,656,398 </w:t>
      </w:r>
      <w:r w:rsidR="00014D76" w:rsidRPr="005269EC">
        <w:rPr>
          <w:spacing w:val="-6"/>
        </w:rPr>
        <w:t xml:space="preserve"> TL</w:t>
      </w:r>
      <w:r w:rsidR="00E253C8" w:rsidRPr="005269EC">
        <w:rPr>
          <w:spacing w:val="-6"/>
        </w:rPr>
        <w:t xml:space="preserve">); çekler için ödeme taahhütleri </w:t>
      </w:r>
      <w:r w:rsidR="00DB5556" w:rsidRPr="005269EC">
        <w:rPr>
          <w:spacing w:val="-6"/>
        </w:rPr>
        <w:t>1,</w:t>
      </w:r>
      <w:r w:rsidR="00DC1803" w:rsidRPr="005269EC">
        <w:rPr>
          <w:spacing w:val="-6"/>
        </w:rPr>
        <w:t>3</w:t>
      </w:r>
      <w:r w:rsidR="00223602" w:rsidRPr="005269EC">
        <w:rPr>
          <w:spacing w:val="-6"/>
        </w:rPr>
        <w:t>78</w:t>
      </w:r>
      <w:r w:rsidR="009448C7" w:rsidRPr="005269EC">
        <w:rPr>
          <w:spacing w:val="-6"/>
        </w:rPr>
        <w:t>,</w:t>
      </w:r>
      <w:r w:rsidR="00DC1803" w:rsidRPr="005269EC">
        <w:rPr>
          <w:spacing w:val="-6"/>
        </w:rPr>
        <w:t>0</w:t>
      </w:r>
      <w:r w:rsidR="00223602" w:rsidRPr="005269EC">
        <w:rPr>
          <w:spacing w:val="-6"/>
        </w:rPr>
        <w:t>13</w:t>
      </w:r>
      <w:r w:rsidR="000030F1" w:rsidRPr="005269EC">
        <w:rPr>
          <w:spacing w:val="-6"/>
        </w:rPr>
        <w:t xml:space="preserve"> </w:t>
      </w:r>
      <w:r w:rsidR="0054509F" w:rsidRPr="005269EC">
        <w:rPr>
          <w:spacing w:val="-6"/>
        </w:rPr>
        <w:t>TL’dir (</w:t>
      </w:r>
      <w:r w:rsidR="00B002E0" w:rsidRPr="005269EC">
        <w:rPr>
          <w:spacing w:val="-6"/>
        </w:rPr>
        <w:t xml:space="preserve">31 Aralık </w:t>
      </w:r>
      <w:r w:rsidRPr="005269EC">
        <w:rPr>
          <w:spacing w:val="-6"/>
        </w:rPr>
        <w:t>201</w:t>
      </w:r>
      <w:r w:rsidR="005A12B2" w:rsidRPr="005269EC">
        <w:rPr>
          <w:spacing w:val="-6"/>
        </w:rPr>
        <w:t>9</w:t>
      </w:r>
      <w:r w:rsidR="000812EB" w:rsidRPr="005269EC">
        <w:rPr>
          <w:spacing w:val="-6"/>
        </w:rPr>
        <w:t xml:space="preserve"> - </w:t>
      </w:r>
      <w:r w:rsidR="005A12B2" w:rsidRPr="005269EC">
        <w:rPr>
          <w:spacing w:val="-6"/>
        </w:rPr>
        <w:t>1,305,235</w:t>
      </w:r>
      <w:r w:rsidR="00014D76" w:rsidRPr="005269EC">
        <w:rPr>
          <w:spacing w:val="-6"/>
        </w:rPr>
        <w:t xml:space="preserve"> TL</w:t>
      </w:r>
      <w:r w:rsidRPr="005269EC">
        <w:rPr>
          <w:spacing w:val="-6"/>
        </w:rPr>
        <w:t>)</w:t>
      </w:r>
    </w:p>
    <w:p w14:paraId="3D2CD4C2" w14:textId="77777777" w:rsidR="000F096F" w:rsidRPr="005269EC" w:rsidRDefault="000F096F" w:rsidP="000F096F">
      <w:pPr>
        <w:pStyle w:val="BodyTextIndent"/>
        <w:ind w:left="1080"/>
        <w:jc w:val="left"/>
        <w:rPr>
          <w:rFonts w:eastAsia="Arial Unicode MS"/>
          <w:b/>
          <w:sz w:val="14"/>
          <w:szCs w:val="14"/>
        </w:rPr>
      </w:pPr>
    </w:p>
    <w:p w14:paraId="7BEAF6AE" w14:textId="77777777" w:rsidR="000F096F" w:rsidRPr="005269EC" w:rsidRDefault="00666F9D" w:rsidP="00666F9D">
      <w:pPr>
        <w:tabs>
          <w:tab w:val="num" w:pos="2340"/>
          <w:tab w:val="num" w:pos="3060"/>
        </w:tabs>
        <w:autoSpaceDE w:val="0"/>
        <w:autoSpaceDN w:val="0"/>
        <w:adjustRightInd w:val="0"/>
        <w:ind w:hanging="567"/>
        <w:jc w:val="both"/>
      </w:pPr>
      <w:r w:rsidRPr="005269EC">
        <w:rPr>
          <w:b/>
        </w:rPr>
        <w:t>3.1.2</w:t>
      </w:r>
      <w:r w:rsidR="00E253C8" w:rsidRPr="005269EC">
        <w:tab/>
      </w:r>
      <w:r w:rsidR="00E253C8" w:rsidRPr="005269EC">
        <w:rPr>
          <w:spacing w:val="-6"/>
        </w:rPr>
        <w:t xml:space="preserve">Aşağıdakiler dahil bilanço dışı kalemlerden kaynaklanan muhtemel zararların ve taahhütlerin yapısı ve </w:t>
      </w:r>
      <w:proofErr w:type="gramStart"/>
      <w:r w:rsidR="00E253C8" w:rsidRPr="005269EC">
        <w:rPr>
          <w:spacing w:val="-6"/>
        </w:rPr>
        <w:t>tutarı :</w:t>
      </w:r>
      <w:proofErr w:type="gramEnd"/>
    </w:p>
    <w:p w14:paraId="00067A1C" w14:textId="77777777" w:rsidR="000F096F" w:rsidRPr="005269EC" w:rsidRDefault="000F096F" w:rsidP="000F096F">
      <w:pPr>
        <w:autoSpaceDE w:val="0"/>
        <w:autoSpaceDN w:val="0"/>
        <w:adjustRightInd w:val="0"/>
        <w:ind w:left="540" w:hanging="540"/>
        <w:rPr>
          <w:rFonts w:eastAsia="Arial Unicode MS"/>
          <w:sz w:val="14"/>
          <w:szCs w:val="14"/>
        </w:rPr>
      </w:pPr>
    </w:p>
    <w:p w14:paraId="13873241" w14:textId="77777777" w:rsidR="000F096F" w:rsidRPr="005269EC" w:rsidRDefault="00666F9D" w:rsidP="00B843E3">
      <w:pPr>
        <w:ind w:left="-42" w:hanging="667"/>
        <w:jc w:val="both"/>
        <w:rPr>
          <w:iCs/>
        </w:rPr>
      </w:pPr>
      <w:r w:rsidRPr="005269EC">
        <w:rPr>
          <w:b/>
          <w:iCs/>
        </w:rPr>
        <w:t>3.1.2.1</w:t>
      </w:r>
      <w:r w:rsidR="00E253C8" w:rsidRPr="005269EC">
        <w:rPr>
          <w:iCs/>
        </w:rPr>
        <w:tab/>
      </w:r>
      <w:r w:rsidRPr="005269EC">
        <w:rPr>
          <w:iCs/>
        </w:rPr>
        <w:t xml:space="preserve"> </w:t>
      </w:r>
      <w:r w:rsidR="00E253C8" w:rsidRPr="005269EC">
        <w:rPr>
          <w:iCs/>
          <w:spacing w:val="-6"/>
        </w:rPr>
        <w:t>Garantileri banka aval ve kabulleri ve mali garanti yerine geçen teminat</w:t>
      </w:r>
      <w:r w:rsidR="00D62623" w:rsidRPr="005269EC">
        <w:rPr>
          <w:iCs/>
          <w:spacing w:val="-6"/>
        </w:rPr>
        <w:t>lar ve diğer akreditifler dahil</w:t>
      </w:r>
      <w:r w:rsidRPr="005269EC">
        <w:rPr>
          <w:iCs/>
          <w:spacing w:val="-6"/>
        </w:rPr>
        <w:t xml:space="preserve"> </w:t>
      </w:r>
      <w:proofErr w:type="spellStart"/>
      <w:r w:rsidR="00E253C8" w:rsidRPr="005269EC">
        <w:rPr>
          <w:iCs/>
          <w:spacing w:val="-6"/>
        </w:rPr>
        <w:t>gayrinakdi</w:t>
      </w:r>
      <w:proofErr w:type="spellEnd"/>
      <w:r w:rsidR="00E253C8" w:rsidRPr="005269EC">
        <w:rPr>
          <w:iCs/>
          <w:spacing w:val="-6"/>
        </w:rPr>
        <w:t xml:space="preserve"> krediler:</w:t>
      </w:r>
    </w:p>
    <w:p w14:paraId="449FB64A" w14:textId="77777777" w:rsidR="000F096F" w:rsidRPr="005269EC" w:rsidRDefault="000F096F" w:rsidP="000F096F">
      <w:pPr>
        <w:autoSpaceDE w:val="0"/>
        <w:autoSpaceDN w:val="0"/>
        <w:adjustRightInd w:val="0"/>
        <w:ind w:left="1800" w:hanging="720"/>
        <w:rPr>
          <w:rFonts w:eastAsia="Arial Unicode MS"/>
          <w:sz w:val="14"/>
          <w:szCs w:val="14"/>
        </w:rPr>
      </w:pPr>
    </w:p>
    <w:p w14:paraId="3E2111BD" w14:textId="07D5B28F" w:rsidR="000F096F" w:rsidRPr="005269EC" w:rsidRDefault="00877EF5" w:rsidP="00666F9D">
      <w:pPr>
        <w:autoSpaceDE w:val="0"/>
        <w:autoSpaceDN w:val="0"/>
        <w:adjustRightInd w:val="0"/>
        <w:jc w:val="both"/>
        <w:rPr>
          <w:rFonts w:eastAsia="Arial Unicode MS"/>
        </w:rPr>
      </w:pPr>
      <w:r w:rsidRPr="005269EC">
        <w:rPr>
          <w:rFonts w:eastAsia="Arial Unicode MS"/>
        </w:rPr>
        <w:t xml:space="preserve">Banka’nın </w:t>
      </w:r>
      <w:r w:rsidR="00EA6E92" w:rsidRPr="005269EC">
        <w:t>30 Eylül 2020</w:t>
      </w:r>
      <w:r w:rsidR="005A12B2" w:rsidRPr="005269EC">
        <w:t xml:space="preserve"> </w:t>
      </w:r>
      <w:r w:rsidR="00E253C8" w:rsidRPr="005269EC">
        <w:rPr>
          <w:rFonts w:eastAsia="Arial Unicode MS"/>
        </w:rPr>
        <w:t xml:space="preserve">tarihi </w:t>
      </w:r>
      <w:r w:rsidR="00CF4F17" w:rsidRPr="005269EC">
        <w:rPr>
          <w:rFonts w:eastAsia="Arial Unicode MS"/>
        </w:rPr>
        <w:t>itibarıyla</w:t>
      </w:r>
      <w:r w:rsidR="00E253C8" w:rsidRPr="005269EC">
        <w:rPr>
          <w:rFonts w:eastAsia="Arial Unicode MS"/>
        </w:rPr>
        <w:t xml:space="preserve"> top</w:t>
      </w:r>
      <w:r w:rsidR="007A5D0B" w:rsidRPr="005269EC">
        <w:rPr>
          <w:rFonts w:eastAsia="Arial Unicode MS"/>
        </w:rPr>
        <w:t>lam</w:t>
      </w:r>
      <w:r w:rsidR="00DB5556" w:rsidRPr="005269EC">
        <w:rPr>
          <w:rFonts w:eastAsia="Arial Unicode MS"/>
        </w:rPr>
        <w:t xml:space="preserve"> </w:t>
      </w:r>
      <w:r w:rsidR="009448C7" w:rsidRPr="005269EC">
        <w:rPr>
          <w:rFonts w:eastAsia="Arial Unicode MS"/>
        </w:rPr>
        <w:t>10,</w:t>
      </w:r>
      <w:r w:rsidR="005269EC" w:rsidRPr="005269EC">
        <w:rPr>
          <w:rFonts w:eastAsia="Arial Unicode MS"/>
        </w:rPr>
        <w:t>156</w:t>
      </w:r>
      <w:r w:rsidR="009448C7" w:rsidRPr="005269EC">
        <w:rPr>
          <w:rFonts w:eastAsia="Arial Unicode MS"/>
        </w:rPr>
        <w:t>,</w:t>
      </w:r>
      <w:r w:rsidR="005269EC" w:rsidRPr="005269EC">
        <w:rPr>
          <w:rFonts w:eastAsia="Arial Unicode MS"/>
        </w:rPr>
        <w:t>830</w:t>
      </w:r>
      <w:r w:rsidR="00DC1803" w:rsidRPr="005269EC">
        <w:rPr>
          <w:rFonts w:eastAsia="Arial Unicode MS"/>
        </w:rPr>
        <w:t xml:space="preserve"> </w:t>
      </w:r>
      <w:r w:rsidRPr="005269EC">
        <w:rPr>
          <w:rFonts w:eastAsia="Arial Unicode MS"/>
        </w:rPr>
        <w:t>TL (</w:t>
      </w:r>
      <w:r w:rsidR="00B002E0" w:rsidRPr="005269EC">
        <w:rPr>
          <w:rFonts w:eastAsia="Arial Unicode MS"/>
        </w:rPr>
        <w:t xml:space="preserve">31 Aralık </w:t>
      </w:r>
      <w:proofErr w:type="gramStart"/>
      <w:r w:rsidR="00666F9D" w:rsidRPr="005269EC">
        <w:rPr>
          <w:rFonts w:eastAsia="Arial Unicode MS"/>
        </w:rPr>
        <w:t>201</w:t>
      </w:r>
      <w:r w:rsidR="00051E2A" w:rsidRPr="005269EC">
        <w:rPr>
          <w:rFonts w:eastAsia="Arial Unicode MS"/>
        </w:rPr>
        <w:t>9</w:t>
      </w:r>
      <w:r w:rsidR="000812EB" w:rsidRPr="005269EC">
        <w:rPr>
          <w:rFonts w:eastAsia="Arial Unicode MS"/>
        </w:rPr>
        <w:t xml:space="preserve"> -</w:t>
      </w:r>
      <w:proofErr w:type="gramEnd"/>
      <w:r w:rsidR="000812EB" w:rsidRPr="005269EC">
        <w:rPr>
          <w:rFonts w:eastAsia="Arial Unicode MS"/>
        </w:rPr>
        <w:t xml:space="preserve"> </w:t>
      </w:r>
      <w:r w:rsidR="005A12B2" w:rsidRPr="005269EC">
        <w:rPr>
          <w:rFonts w:eastAsia="Arial Unicode MS"/>
        </w:rPr>
        <w:t>10,006,666</w:t>
      </w:r>
      <w:r w:rsidR="00D62623" w:rsidRPr="005269EC">
        <w:rPr>
          <w:rFonts w:eastAsia="Arial Unicode MS"/>
          <w:spacing w:val="-4"/>
        </w:rPr>
        <w:t xml:space="preserve"> TL</w:t>
      </w:r>
      <w:r w:rsidR="00E253C8" w:rsidRPr="005269EC">
        <w:rPr>
          <w:rFonts w:eastAsia="Arial Unicode MS"/>
        </w:rPr>
        <w:t>) tutarında temin</w:t>
      </w:r>
      <w:r w:rsidR="00F15177" w:rsidRPr="005269EC">
        <w:rPr>
          <w:rFonts w:eastAsia="Arial Unicode MS"/>
        </w:rPr>
        <w:t xml:space="preserve">at mektubu; </w:t>
      </w:r>
      <w:r w:rsidR="005269EC" w:rsidRPr="005269EC">
        <w:rPr>
          <w:rFonts w:eastAsia="Arial Unicode MS"/>
        </w:rPr>
        <w:t>56</w:t>
      </w:r>
      <w:r w:rsidR="009448C7" w:rsidRPr="005269EC">
        <w:rPr>
          <w:rFonts w:eastAsia="Arial Unicode MS"/>
        </w:rPr>
        <w:t>,</w:t>
      </w:r>
      <w:r w:rsidR="005269EC" w:rsidRPr="005269EC">
        <w:rPr>
          <w:rFonts w:eastAsia="Arial Unicode MS"/>
        </w:rPr>
        <w:t>047</w:t>
      </w:r>
      <w:r w:rsidR="000030F1" w:rsidRPr="005269EC">
        <w:rPr>
          <w:rFonts w:eastAsia="Arial Unicode MS"/>
        </w:rPr>
        <w:t xml:space="preserve"> </w:t>
      </w:r>
      <w:r w:rsidR="00713F40" w:rsidRPr="005269EC">
        <w:rPr>
          <w:rFonts w:eastAsia="Arial Unicode MS"/>
        </w:rPr>
        <w:t>TL (</w:t>
      </w:r>
      <w:r w:rsidR="00B002E0" w:rsidRPr="005269EC">
        <w:rPr>
          <w:rFonts w:eastAsia="Arial Unicode MS"/>
        </w:rPr>
        <w:t xml:space="preserve">31 Aralık </w:t>
      </w:r>
      <w:r w:rsidR="00666F9D" w:rsidRPr="005269EC">
        <w:rPr>
          <w:rFonts w:eastAsia="Arial Unicode MS"/>
        </w:rPr>
        <w:t>201</w:t>
      </w:r>
      <w:r w:rsidR="00051E2A" w:rsidRPr="005269EC">
        <w:rPr>
          <w:rFonts w:eastAsia="Arial Unicode MS"/>
        </w:rPr>
        <w:t>9</w:t>
      </w:r>
      <w:r w:rsidR="000812EB" w:rsidRPr="005269EC">
        <w:rPr>
          <w:rFonts w:eastAsia="Arial Unicode MS"/>
        </w:rPr>
        <w:t xml:space="preserve"> - </w:t>
      </w:r>
      <w:r w:rsidR="00051E2A" w:rsidRPr="005269EC">
        <w:rPr>
          <w:rFonts w:eastAsia="Arial Unicode MS"/>
        </w:rPr>
        <w:t>55,035</w:t>
      </w:r>
      <w:r w:rsidR="00D62623" w:rsidRPr="005269EC">
        <w:rPr>
          <w:rFonts w:eastAsia="Arial Unicode MS"/>
          <w:spacing w:val="-4"/>
        </w:rPr>
        <w:t xml:space="preserve"> TL</w:t>
      </w:r>
      <w:r w:rsidR="00E253C8" w:rsidRPr="005269EC">
        <w:rPr>
          <w:rFonts w:eastAsia="Arial Unicode MS"/>
        </w:rPr>
        <w:t xml:space="preserve">) </w:t>
      </w:r>
      <w:r w:rsidR="00F15177" w:rsidRPr="005269EC">
        <w:rPr>
          <w:rFonts w:eastAsia="Arial Unicode MS"/>
        </w:rPr>
        <w:t xml:space="preserve">tutarında kabul kredileri ve </w:t>
      </w:r>
      <w:r w:rsidR="00235D68" w:rsidRPr="005269EC">
        <w:rPr>
          <w:rFonts w:eastAsia="Arial Unicode MS"/>
        </w:rPr>
        <w:t>1,</w:t>
      </w:r>
      <w:r w:rsidR="005269EC" w:rsidRPr="005269EC">
        <w:rPr>
          <w:rFonts w:eastAsia="Arial Unicode MS"/>
        </w:rPr>
        <w:t>648</w:t>
      </w:r>
      <w:r w:rsidR="009448C7" w:rsidRPr="005269EC">
        <w:rPr>
          <w:rFonts w:eastAsia="Arial Unicode MS"/>
        </w:rPr>
        <w:t>,</w:t>
      </w:r>
      <w:r w:rsidR="005269EC" w:rsidRPr="005269EC">
        <w:rPr>
          <w:rFonts w:eastAsia="Arial Unicode MS"/>
        </w:rPr>
        <w:t>911</w:t>
      </w:r>
      <w:r w:rsidR="000030F1" w:rsidRPr="005269EC">
        <w:rPr>
          <w:rFonts w:eastAsia="Arial Unicode MS"/>
        </w:rPr>
        <w:t xml:space="preserve"> </w:t>
      </w:r>
      <w:r w:rsidR="00E253C8" w:rsidRPr="005269EC">
        <w:rPr>
          <w:rFonts w:eastAsia="Arial Unicode MS"/>
        </w:rPr>
        <w:t>TL (</w:t>
      </w:r>
      <w:r w:rsidR="00B002E0" w:rsidRPr="005269EC">
        <w:rPr>
          <w:rFonts w:eastAsia="Arial Unicode MS"/>
        </w:rPr>
        <w:t xml:space="preserve">31 Aralık </w:t>
      </w:r>
      <w:r w:rsidR="00666F9D" w:rsidRPr="005269EC">
        <w:rPr>
          <w:rFonts w:eastAsia="Arial Unicode MS"/>
        </w:rPr>
        <w:t>201</w:t>
      </w:r>
      <w:r w:rsidR="00051E2A" w:rsidRPr="005269EC">
        <w:rPr>
          <w:rFonts w:eastAsia="Arial Unicode MS"/>
        </w:rPr>
        <w:t>9</w:t>
      </w:r>
      <w:r w:rsidR="000812EB" w:rsidRPr="005269EC">
        <w:rPr>
          <w:rFonts w:eastAsia="Arial Unicode MS"/>
        </w:rPr>
        <w:t xml:space="preserve"> - </w:t>
      </w:r>
      <w:r w:rsidR="00051E2A" w:rsidRPr="005269EC">
        <w:rPr>
          <w:rFonts w:eastAsia="Arial Unicode MS"/>
        </w:rPr>
        <w:t>1,374,009</w:t>
      </w:r>
      <w:r w:rsidR="00D62623" w:rsidRPr="005269EC">
        <w:rPr>
          <w:rFonts w:eastAsia="Arial Unicode MS"/>
          <w:spacing w:val="-4"/>
        </w:rPr>
        <w:t xml:space="preserve"> TL</w:t>
      </w:r>
      <w:r w:rsidR="00E253C8" w:rsidRPr="005269EC">
        <w:rPr>
          <w:rFonts w:eastAsia="Arial Unicode MS"/>
        </w:rPr>
        <w:t>) tutarında akreditifler sebebiyle garanti ve kefaletleri bulunmaktadır.</w:t>
      </w:r>
      <w:r w:rsidR="001E3F05" w:rsidRPr="005269EC">
        <w:rPr>
          <w:rFonts w:eastAsia="Arial Unicode MS"/>
        </w:rPr>
        <w:t xml:space="preserve"> Ayrıca </w:t>
      </w:r>
      <w:r w:rsidR="005269EC" w:rsidRPr="005269EC">
        <w:rPr>
          <w:rFonts w:eastAsia="Arial Unicode MS"/>
        </w:rPr>
        <w:t>544</w:t>
      </w:r>
      <w:r w:rsidR="00B7799C" w:rsidRPr="005269EC">
        <w:rPr>
          <w:rFonts w:eastAsia="Arial Unicode MS"/>
        </w:rPr>
        <w:t>,</w:t>
      </w:r>
      <w:r w:rsidR="005269EC" w:rsidRPr="005269EC">
        <w:rPr>
          <w:rFonts w:eastAsia="Arial Unicode MS"/>
        </w:rPr>
        <w:t>408</w:t>
      </w:r>
      <w:r w:rsidR="004160F5" w:rsidRPr="005269EC">
        <w:rPr>
          <w:rFonts w:eastAsia="Arial Unicode MS"/>
        </w:rPr>
        <w:t xml:space="preserve"> </w:t>
      </w:r>
      <w:r w:rsidR="00F25BF4" w:rsidRPr="005269EC">
        <w:rPr>
          <w:rFonts w:eastAsia="Arial Unicode MS"/>
        </w:rPr>
        <w:t xml:space="preserve">TL (31 Aralık </w:t>
      </w:r>
      <w:proofErr w:type="gramStart"/>
      <w:r w:rsidR="00666F9D" w:rsidRPr="005269EC">
        <w:rPr>
          <w:rFonts w:eastAsia="Arial Unicode MS"/>
        </w:rPr>
        <w:t>201</w:t>
      </w:r>
      <w:r w:rsidR="00051E2A" w:rsidRPr="005269EC">
        <w:rPr>
          <w:rFonts w:eastAsia="Arial Unicode MS"/>
        </w:rPr>
        <w:t>9</w:t>
      </w:r>
      <w:r w:rsidR="001E3F05" w:rsidRPr="005269EC">
        <w:rPr>
          <w:rFonts w:eastAsia="Arial Unicode MS"/>
        </w:rPr>
        <w:t xml:space="preserve"> -</w:t>
      </w:r>
      <w:proofErr w:type="gramEnd"/>
      <w:r w:rsidR="001E3F05" w:rsidRPr="005269EC">
        <w:rPr>
          <w:rFonts w:eastAsia="Arial Unicode MS"/>
        </w:rPr>
        <w:t xml:space="preserve"> </w:t>
      </w:r>
      <w:r w:rsidR="00051E2A" w:rsidRPr="005269EC">
        <w:rPr>
          <w:rFonts w:eastAsia="Arial Unicode MS"/>
        </w:rPr>
        <w:t xml:space="preserve">465,592 </w:t>
      </w:r>
      <w:r w:rsidR="00D62623" w:rsidRPr="005269EC">
        <w:rPr>
          <w:rFonts w:eastAsia="Arial Unicode MS"/>
          <w:spacing w:val="-4"/>
        </w:rPr>
        <w:t>TL</w:t>
      </w:r>
      <w:r w:rsidR="001E3F05" w:rsidRPr="005269EC">
        <w:rPr>
          <w:rFonts w:eastAsia="Arial Unicode MS"/>
        </w:rPr>
        <w:t xml:space="preserve">) tutarında diğer garanti ve </w:t>
      </w:r>
      <w:proofErr w:type="spellStart"/>
      <w:r w:rsidR="001E3F05" w:rsidRPr="005269EC">
        <w:rPr>
          <w:rFonts w:eastAsia="Arial Unicode MS"/>
        </w:rPr>
        <w:t>kefalatleri</w:t>
      </w:r>
      <w:proofErr w:type="spellEnd"/>
      <w:r w:rsidR="001E3F05" w:rsidRPr="005269EC">
        <w:rPr>
          <w:rFonts w:eastAsia="Arial Unicode MS"/>
        </w:rPr>
        <w:t xml:space="preserve"> bulunmaktadır</w:t>
      </w:r>
      <w:r w:rsidR="00073D3B" w:rsidRPr="005269EC">
        <w:rPr>
          <w:rFonts w:eastAsia="Arial Unicode MS"/>
        </w:rPr>
        <w:t>.</w:t>
      </w:r>
    </w:p>
    <w:p w14:paraId="15B253A8" w14:textId="77777777" w:rsidR="000F096F" w:rsidRPr="005269EC" w:rsidRDefault="000F096F" w:rsidP="000F096F">
      <w:pPr>
        <w:autoSpaceDE w:val="0"/>
        <w:autoSpaceDN w:val="0"/>
        <w:adjustRightInd w:val="0"/>
        <w:ind w:left="720"/>
        <w:rPr>
          <w:rFonts w:eastAsia="Arial Unicode MS"/>
          <w:sz w:val="14"/>
          <w:szCs w:val="14"/>
        </w:rPr>
      </w:pPr>
    </w:p>
    <w:p w14:paraId="75401F42" w14:textId="7879C453" w:rsidR="000F096F" w:rsidRPr="005269EC" w:rsidRDefault="00666F9D" w:rsidP="006C6435">
      <w:pPr>
        <w:tabs>
          <w:tab w:val="num" w:pos="3600"/>
        </w:tabs>
        <w:ind w:hanging="567"/>
        <w:rPr>
          <w:iCs/>
          <w:sz w:val="14"/>
          <w:szCs w:val="14"/>
        </w:rPr>
      </w:pPr>
      <w:r w:rsidRPr="005269EC">
        <w:rPr>
          <w:b/>
          <w:iCs/>
        </w:rPr>
        <w:t>3.1.2.2</w:t>
      </w:r>
      <w:r w:rsidR="00D62623" w:rsidRPr="005269EC">
        <w:rPr>
          <w:iCs/>
        </w:rPr>
        <w:t xml:space="preserve"> </w:t>
      </w:r>
      <w:r w:rsidR="00E253C8" w:rsidRPr="005269EC">
        <w:rPr>
          <w:iCs/>
          <w:spacing w:val="-6"/>
        </w:rPr>
        <w:t xml:space="preserve">Kesin teminatlar, geçici teminatlar, kefaletler ve benzeri </w:t>
      </w:r>
      <w:proofErr w:type="gramStart"/>
      <w:r w:rsidR="00E253C8" w:rsidRPr="005269EC">
        <w:rPr>
          <w:iCs/>
          <w:spacing w:val="-6"/>
        </w:rPr>
        <w:t>işlemler :</w:t>
      </w:r>
      <w:proofErr w:type="gramEnd"/>
      <w:r w:rsidR="00DF7B51" w:rsidRPr="005269EC">
        <w:rPr>
          <w:iCs/>
          <w:spacing w:val="-6"/>
        </w:rPr>
        <w:t xml:space="preserve"> </w:t>
      </w:r>
      <w:r w:rsidR="00051E2A" w:rsidRPr="005269EC">
        <w:rPr>
          <w:iCs/>
          <w:spacing w:val="-6"/>
        </w:rPr>
        <w:t xml:space="preserve"> </w:t>
      </w:r>
      <w:r w:rsidR="006C6435" w:rsidRPr="005269EC">
        <w:rPr>
          <w:iCs/>
          <w:spacing w:val="-6"/>
        </w:rPr>
        <w:t>2.</w:t>
      </w:r>
      <w:r w:rsidR="00051E2A" w:rsidRPr="005269EC">
        <w:rPr>
          <w:iCs/>
          <w:spacing w:val="-6"/>
        </w:rPr>
        <w:t xml:space="preserve">i) </w:t>
      </w:r>
      <w:r w:rsidR="006C6435" w:rsidRPr="005269EC">
        <w:rPr>
          <w:iCs/>
          <w:spacing w:val="-6"/>
        </w:rPr>
        <w:t xml:space="preserve"> maddesinde açıklananların haricinde yoktur.</w:t>
      </w:r>
      <w:r w:rsidR="0093339C" w:rsidRPr="005269EC">
        <w:rPr>
          <w:iCs/>
        </w:rPr>
        <w:br/>
      </w:r>
    </w:p>
    <w:p w14:paraId="37FC0EE7" w14:textId="77777777" w:rsidR="000F096F" w:rsidRPr="005269EC" w:rsidRDefault="0093339C" w:rsidP="0093339C">
      <w:pPr>
        <w:tabs>
          <w:tab w:val="num" w:pos="3600"/>
        </w:tabs>
        <w:ind w:hanging="567"/>
        <w:rPr>
          <w:iCs/>
        </w:rPr>
      </w:pPr>
      <w:r w:rsidRPr="005269EC">
        <w:rPr>
          <w:b/>
          <w:iCs/>
        </w:rPr>
        <w:t>3.1.3</w:t>
      </w:r>
      <w:r w:rsidR="00E253C8" w:rsidRPr="005269EC">
        <w:rPr>
          <w:iCs/>
        </w:rPr>
        <w:tab/>
      </w:r>
      <w:proofErr w:type="spellStart"/>
      <w:r w:rsidR="00E253C8" w:rsidRPr="005269EC">
        <w:rPr>
          <w:iCs/>
        </w:rPr>
        <w:t>Gayrinakdi</w:t>
      </w:r>
      <w:proofErr w:type="spellEnd"/>
      <w:r w:rsidR="00E253C8" w:rsidRPr="005269EC">
        <w:rPr>
          <w:iCs/>
        </w:rPr>
        <w:t xml:space="preserve"> kredilerin toplam tutarı:</w:t>
      </w:r>
    </w:p>
    <w:p w14:paraId="71C672EA" w14:textId="15B4DC03" w:rsidR="006B00D3" w:rsidRDefault="006B00D3" w:rsidP="006B00D3">
      <w:pPr>
        <w:tabs>
          <w:tab w:val="left" w:pos="709"/>
        </w:tabs>
        <w:autoSpaceDE w:val="0"/>
        <w:autoSpaceDN w:val="0"/>
        <w:adjustRightInd w:val="0"/>
        <w:rPr>
          <w:lang w:val="en-GB" w:eastAsia="en-GB"/>
        </w:rPr>
      </w:pPr>
    </w:p>
    <w:tbl>
      <w:tblPr>
        <w:tblW w:w="9262" w:type="dxa"/>
        <w:tblCellMar>
          <w:left w:w="70" w:type="dxa"/>
          <w:right w:w="70" w:type="dxa"/>
        </w:tblCellMar>
        <w:tblLook w:val="04A0" w:firstRow="1" w:lastRow="0" w:firstColumn="1" w:lastColumn="0" w:noHBand="0" w:noVBand="1"/>
      </w:tblPr>
      <w:tblGrid>
        <w:gridCol w:w="6231"/>
        <w:gridCol w:w="1568"/>
        <w:gridCol w:w="1463"/>
      </w:tblGrid>
      <w:tr w:rsidR="006B00D3" w:rsidRPr="006B00D3" w14:paraId="493C4D7B" w14:textId="77777777" w:rsidTr="006B00D3">
        <w:trPr>
          <w:divId w:val="787046874"/>
          <w:trHeight w:val="245"/>
        </w:trPr>
        <w:tc>
          <w:tcPr>
            <w:tcW w:w="6231" w:type="dxa"/>
            <w:tcBorders>
              <w:top w:val="double" w:sz="6" w:space="0" w:color="auto"/>
              <w:left w:val="nil"/>
              <w:bottom w:val="single" w:sz="8" w:space="0" w:color="auto"/>
              <w:right w:val="nil"/>
            </w:tcBorders>
            <w:shd w:val="clear" w:color="auto" w:fill="auto"/>
            <w:vAlign w:val="center"/>
            <w:hideMark/>
          </w:tcPr>
          <w:p w14:paraId="17065369" w14:textId="381DFED8" w:rsidR="006B00D3" w:rsidRPr="006B00D3" w:rsidRDefault="006B00D3" w:rsidP="006B00D3">
            <w:pPr>
              <w:jc w:val="center"/>
              <w:rPr>
                <w:rFonts w:ascii="Microsoft Sans Serif" w:hAnsi="Microsoft Sans Serif" w:cs="Microsoft Sans Serif"/>
                <w:b/>
                <w:bCs/>
                <w:color w:val="000000"/>
                <w:sz w:val="16"/>
                <w:szCs w:val="16"/>
                <w:lang w:eastAsia="tr-TR"/>
              </w:rPr>
            </w:pPr>
            <w:r w:rsidRPr="006B00D3">
              <w:rPr>
                <w:rFonts w:ascii="Microsoft Sans Serif" w:hAnsi="Microsoft Sans Serif" w:cs="Microsoft Sans Serif"/>
                <w:b/>
                <w:bCs/>
                <w:color w:val="000000"/>
                <w:sz w:val="16"/>
                <w:szCs w:val="16"/>
                <w:lang w:eastAsia="tr-TR"/>
              </w:rPr>
              <w:t> </w:t>
            </w:r>
          </w:p>
        </w:tc>
        <w:tc>
          <w:tcPr>
            <w:tcW w:w="1568" w:type="dxa"/>
            <w:tcBorders>
              <w:top w:val="double" w:sz="6" w:space="0" w:color="auto"/>
              <w:left w:val="nil"/>
              <w:bottom w:val="single" w:sz="8" w:space="0" w:color="auto"/>
              <w:right w:val="nil"/>
            </w:tcBorders>
            <w:shd w:val="clear" w:color="auto" w:fill="auto"/>
            <w:vAlign w:val="center"/>
            <w:hideMark/>
          </w:tcPr>
          <w:p w14:paraId="68BA9618" w14:textId="77777777" w:rsidR="006B00D3" w:rsidRPr="006B00D3" w:rsidRDefault="006B00D3" w:rsidP="006B00D3">
            <w:pPr>
              <w:jc w:val="right"/>
              <w:rPr>
                <w:b/>
                <w:bCs/>
                <w:color w:val="000000"/>
                <w:sz w:val="16"/>
                <w:szCs w:val="16"/>
                <w:lang w:eastAsia="tr-TR"/>
              </w:rPr>
            </w:pPr>
            <w:r w:rsidRPr="006B00D3">
              <w:rPr>
                <w:b/>
                <w:bCs/>
                <w:color w:val="000000"/>
                <w:sz w:val="16"/>
                <w:szCs w:val="16"/>
                <w:lang w:eastAsia="tr-TR"/>
              </w:rPr>
              <w:t>Cari Dönem</w:t>
            </w:r>
          </w:p>
        </w:tc>
        <w:tc>
          <w:tcPr>
            <w:tcW w:w="1463" w:type="dxa"/>
            <w:tcBorders>
              <w:top w:val="double" w:sz="6" w:space="0" w:color="auto"/>
              <w:left w:val="nil"/>
              <w:bottom w:val="single" w:sz="8" w:space="0" w:color="auto"/>
              <w:right w:val="nil"/>
            </w:tcBorders>
            <w:shd w:val="clear" w:color="auto" w:fill="auto"/>
            <w:vAlign w:val="center"/>
            <w:hideMark/>
          </w:tcPr>
          <w:p w14:paraId="591D0456" w14:textId="77777777" w:rsidR="006B00D3" w:rsidRPr="006B00D3" w:rsidRDefault="006B00D3" w:rsidP="006B00D3">
            <w:pPr>
              <w:jc w:val="right"/>
              <w:rPr>
                <w:b/>
                <w:bCs/>
                <w:color w:val="000000"/>
                <w:sz w:val="16"/>
                <w:szCs w:val="16"/>
                <w:lang w:eastAsia="tr-TR"/>
              </w:rPr>
            </w:pPr>
            <w:r w:rsidRPr="006B00D3">
              <w:rPr>
                <w:b/>
                <w:bCs/>
                <w:color w:val="000000"/>
                <w:sz w:val="16"/>
                <w:szCs w:val="16"/>
                <w:lang w:eastAsia="tr-TR"/>
              </w:rPr>
              <w:t>Önceki Dönem</w:t>
            </w:r>
          </w:p>
        </w:tc>
      </w:tr>
      <w:tr w:rsidR="006B00D3" w:rsidRPr="006B00D3" w14:paraId="1776ACB2" w14:textId="77777777" w:rsidTr="006B00D3">
        <w:trPr>
          <w:divId w:val="787046874"/>
          <w:trHeight w:val="245"/>
        </w:trPr>
        <w:tc>
          <w:tcPr>
            <w:tcW w:w="6231" w:type="dxa"/>
            <w:tcBorders>
              <w:top w:val="nil"/>
              <w:left w:val="nil"/>
              <w:bottom w:val="nil"/>
              <w:right w:val="nil"/>
            </w:tcBorders>
            <w:shd w:val="clear" w:color="auto" w:fill="auto"/>
            <w:vAlign w:val="center"/>
            <w:hideMark/>
          </w:tcPr>
          <w:p w14:paraId="2975334A" w14:textId="77777777" w:rsidR="006B00D3" w:rsidRPr="006B00D3" w:rsidRDefault="006B00D3" w:rsidP="006B00D3">
            <w:pPr>
              <w:rPr>
                <w:sz w:val="18"/>
                <w:szCs w:val="18"/>
              </w:rPr>
            </w:pPr>
            <w:r w:rsidRPr="006B00D3">
              <w:rPr>
                <w:sz w:val="18"/>
                <w:szCs w:val="18"/>
              </w:rPr>
              <w:t xml:space="preserve">Nakit kredi teminine yönelik olarak açılan </w:t>
            </w:r>
            <w:proofErr w:type="spellStart"/>
            <w:r w:rsidRPr="006B00D3">
              <w:rPr>
                <w:sz w:val="18"/>
                <w:szCs w:val="18"/>
              </w:rPr>
              <w:t>gayrinakdi</w:t>
            </w:r>
            <w:proofErr w:type="spellEnd"/>
            <w:r w:rsidRPr="006B00D3">
              <w:rPr>
                <w:sz w:val="18"/>
                <w:szCs w:val="18"/>
              </w:rPr>
              <w:t xml:space="preserve"> krediler</w:t>
            </w:r>
          </w:p>
        </w:tc>
        <w:tc>
          <w:tcPr>
            <w:tcW w:w="1568" w:type="dxa"/>
            <w:tcBorders>
              <w:top w:val="nil"/>
              <w:left w:val="nil"/>
              <w:bottom w:val="nil"/>
              <w:right w:val="nil"/>
            </w:tcBorders>
            <w:shd w:val="clear" w:color="auto" w:fill="auto"/>
            <w:vAlign w:val="center"/>
            <w:hideMark/>
          </w:tcPr>
          <w:p w14:paraId="103D5BED" w14:textId="77777777" w:rsidR="006B00D3" w:rsidRPr="006B00D3" w:rsidRDefault="006B00D3" w:rsidP="006B00D3">
            <w:pPr>
              <w:jc w:val="right"/>
              <w:rPr>
                <w:color w:val="000000"/>
                <w:sz w:val="18"/>
                <w:szCs w:val="18"/>
                <w:lang w:eastAsia="tr-TR"/>
              </w:rPr>
            </w:pPr>
            <w:r w:rsidRPr="006B00D3">
              <w:rPr>
                <w:bCs/>
                <w:sz w:val="18"/>
                <w:szCs w:val="18"/>
              </w:rPr>
              <w:t>(13,583</w:t>
            </w:r>
            <w:r w:rsidRPr="006B00D3">
              <w:rPr>
                <w:color w:val="000000"/>
                <w:sz w:val="18"/>
                <w:szCs w:val="18"/>
                <w:lang w:eastAsia="tr-TR"/>
              </w:rPr>
              <w:t>)</w:t>
            </w:r>
          </w:p>
        </w:tc>
        <w:tc>
          <w:tcPr>
            <w:tcW w:w="1463" w:type="dxa"/>
            <w:tcBorders>
              <w:top w:val="nil"/>
              <w:left w:val="nil"/>
              <w:bottom w:val="nil"/>
              <w:right w:val="nil"/>
            </w:tcBorders>
            <w:shd w:val="clear" w:color="auto" w:fill="auto"/>
            <w:vAlign w:val="center"/>
            <w:hideMark/>
          </w:tcPr>
          <w:p w14:paraId="1CFC55DC" w14:textId="77777777" w:rsidR="006B00D3" w:rsidRPr="006B00D3" w:rsidRDefault="006B00D3" w:rsidP="006B00D3">
            <w:pPr>
              <w:jc w:val="right"/>
              <w:rPr>
                <w:bCs/>
                <w:sz w:val="18"/>
                <w:szCs w:val="18"/>
              </w:rPr>
            </w:pPr>
            <w:r w:rsidRPr="006B00D3">
              <w:rPr>
                <w:bCs/>
                <w:sz w:val="18"/>
                <w:szCs w:val="18"/>
              </w:rPr>
              <w:t>-</w:t>
            </w:r>
          </w:p>
        </w:tc>
      </w:tr>
      <w:tr w:rsidR="006B00D3" w:rsidRPr="006B00D3" w14:paraId="73249001" w14:textId="77777777" w:rsidTr="006B00D3">
        <w:trPr>
          <w:divId w:val="787046874"/>
          <w:trHeight w:val="245"/>
        </w:trPr>
        <w:tc>
          <w:tcPr>
            <w:tcW w:w="6231" w:type="dxa"/>
            <w:tcBorders>
              <w:top w:val="nil"/>
              <w:left w:val="nil"/>
              <w:bottom w:val="nil"/>
              <w:right w:val="nil"/>
            </w:tcBorders>
            <w:shd w:val="clear" w:color="auto" w:fill="auto"/>
            <w:vAlign w:val="center"/>
            <w:hideMark/>
          </w:tcPr>
          <w:p w14:paraId="3ECBDEFD" w14:textId="77777777" w:rsidR="006B00D3" w:rsidRPr="006B00D3" w:rsidRDefault="006B00D3" w:rsidP="006B00D3">
            <w:pPr>
              <w:ind w:firstLineChars="100" w:firstLine="180"/>
              <w:rPr>
                <w:sz w:val="18"/>
                <w:szCs w:val="18"/>
              </w:rPr>
            </w:pPr>
            <w:r w:rsidRPr="006B00D3">
              <w:rPr>
                <w:sz w:val="18"/>
                <w:szCs w:val="18"/>
              </w:rPr>
              <w:t>Bir yıl veya daha az süreli asıl vadeli</w:t>
            </w:r>
          </w:p>
        </w:tc>
        <w:tc>
          <w:tcPr>
            <w:tcW w:w="1568" w:type="dxa"/>
            <w:tcBorders>
              <w:top w:val="nil"/>
              <w:left w:val="nil"/>
              <w:bottom w:val="nil"/>
              <w:right w:val="nil"/>
            </w:tcBorders>
            <w:shd w:val="clear" w:color="auto" w:fill="auto"/>
            <w:vAlign w:val="center"/>
            <w:hideMark/>
          </w:tcPr>
          <w:p w14:paraId="2E365DD6" w14:textId="77777777" w:rsidR="006B00D3" w:rsidRPr="006B00D3" w:rsidRDefault="006B00D3" w:rsidP="006B00D3">
            <w:pPr>
              <w:jc w:val="right"/>
              <w:rPr>
                <w:color w:val="000000"/>
                <w:sz w:val="18"/>
                <w:szCs w:val="18"/>
                <w:lang w:eastAsia="tr-TR"/>
              </w:rPr>
            </w:pPr>
            <w:r w:rsidRPr="006B00D3">
              <w:rPr>
                <w:bCs/>
                <w:sz w:val="18"/>
                <w:szCs w:val="18"/>
              </w:rPr>
              <w:t>(13,583</w:t>
            </w:r>
            <w:r w:rsidRPr="006B00D3">
              <w:rPr>
                <w:color w:val="000000"/>
                <w:sz w:val="18"/>
                <w:szCs w:val="18"/>
                <w:lang w:eastAsia="tr-TR"/>
              </w:rPr>
              <w:t>)</w:t>
            </w:r>
          </w:p>
        </w:tc>
        <w:tc>
          <w:tcPr>
            <w:tcW w:w="1463" w:type="dxa"/>
            <w:tcBorders>
              <w:top w:val="nil"/>
              <w:left w:val="nil"/>
              <w:bottom w:val="nil"/>
              <w:right w:val="nil"/>
            </w:tcBorders>
            <w:shd w:val="clear" w:color="auto" w:fill="auto"/>
            <w:vAlign w:val="center"/>
            <w:hideMark/>
          </w:tcPr>
          <w:p w14:paraId="76BAB0FB" w14:textId="77777777" w:rsidR="006B00D3" w:rsidRPr="006B00D3" w:rsidRDefault="006B00D3" w:rsidP="006B00D3">
            <w:pPr>
              <w:jc w:val="right"/>
              <w:rPr>
                <w:bCs/>
                <w:sz w:val="18"/>
                <w:szCs w:val="18"/>
              </w:rPr>
            </w:pPr>
            <w:r w:rsidRPr="006B00D3">
              <w:rPr>
                <w:bCs/>
                <w:sz w:val="18"/>
                <w:szCs w:val="18"/>
              </w:rPr>
              <w:t>-</w:t>
            </w:r>
          </w:p>
        </w:tc>
      </w:tr>
      <w:tr w:rsidR="006B00D3" w:rsidRPr="006B00D3" w14:paraId="58CB0DBB" w14:textId="77777777" w:rsidTr="006B00D3">
        <w:trPr>
          <w:divId w:val="787046874"/>
          <w:trHeight w:val="245"/>
        </w:trPr>
        <w:tc>
          <w:tcPr>
            <w:tcW w:w="6231" w:type="dxa"/>
            <w:tcBorders>
              <w:top w:val="nil"/>
              <w:left w:val="nil"/>
              <w:bottom w:val="nil"/>
              <w:right w:val="nil"/>
            </w:tcBorders>
            <w:shd w:val="clear" w:color="auto" w:fill="auto"/>
            <w:vAlign w:val="center"/>
            <w:hideMark/>
          </w:tcPr>
          <w:p w14:paraId="5CB57C42" w14:textId="77777777" w:rsidR="006B00D3" w:rsidRPr="006B00D3" w:rsidRDefault="006B00D3" w:rsidP="006B00D3">
            <w:pPr>
              <w:ind w:firstLineChars="100" w:firstLine="180"/>
              <w:rPr>
                <w:sz w:val="18"/>
                <w:szCs w:val="18"/>
              </w:rPr>
            </w:pPr>
            <w:r w:rsidRPr="006B00D3">
              <w:rPr>
                <w:sz w:val="18"/>
                <w:szCs w:val="18"/>
              </w:rPr>
              <w:t>Bir yıldan daha uzun süreli asıl vadeli</w:t>
            </w:r>
          </w:p>
        </w:tc>
        <w:tc>
          <w:tcPr>
            <w:tcW w:w="1568" w:type="dxa"/>
            <w:tcBorders>
              <w:top w:val="nil"/>
              <w:left w:val="nil"/>
              <w:bottom w:val="nil"/>
              <w:right w:val="nil"/>
            </w:tcBorders>
            <w:shd w:val="clear" w:color="auto" w:fill="auto"/>
            <w:vAlign w:val="center"/>
            <w:hideMark/>
          </w:tcPr>
          <w:p w14:paraId="396CE098" w14:textId="77777777" w:rsidR="006B00D3" w:rsidRPr="006B00D3" w:rsidRDefault="006B00D3" w:rsidP="006B00D3">
            <w:pPr>
              <w:jc w:val="right"/>
              <w:rPr>
                <w:bCs/>
                <w:sz w:val="18"/>
                <w:szCs w:val="18"/>
              </w:rPr>
            </w:pPr>
            <w:r w:rsidRPr="006B00D3">
              <w:rPr>
                <w:bCs/>
                <w:sz w:val="18"/>
                <w:szCs w:val="18"/>
              </w:rPr>
              <w:t>-</w:t>
            </w:r>
          </w:p>
        </w:tc>
        <w:tc>
          <w:tcPr>
            <w:tcW w:w="1463" w:type="dxa"/>
            <w:tcBorders>
              <w:top w:val="nil"/>
              <w:left w:val="nil"/>
              <w:bottom w:val="nil"/>
              <w:right w:val="nil"/>
            </w:tcBorders>
            <w:shd w:val="clear" w:color="auto" w:fill="auto"/>
            <w:vAlign w:val="center"/>
            <w:hideMark/>
          </w:tcPr>
          <w:p w14:paraId="20F10149" w14:textId="77777777" w:rsidR="006B00D3" w:rsidRPr="006B00D3" w:rsidRDefault="006B00D3" w:rsidP="006B00D3">
            <w:pPr>
              <w:jc w:val="right"/>
              <w:rPr>
                <w:bCs/>
                <w:sz w:val="18"/>
                <w:szCs w:val="18"/>
              </w:rPr>
            </w:pPr>
            <w:r w:rsidRPr="006B00D3">
              <w:rPr>
                <w:bCs/>
                <w:sz w:val="18"/>
                <w:szCs w:val="18"/>
              </w:rPr>
              <w:t>-</w:t>
            </w:r>
          </w:p>
        </w:tc>
      </w:tr>
      <w:tr w:rsidR="006B00D3" w:rsidRPr="006B00D3" w14:paraId="39A5C813" w14:textId="77777777" w:rsidTr="006B00D3">
        <w:trPr>
          <w:divId w:val="787046874"/>
          <w:trHeight w:val="260"/>
        </w:trPr>
        <w:tc>
          <w:tcPr>
            <w:tcW w:w="6231" w:type="dxa"/>
            <w:tcBorders>
              <w:top w:val="nil"/>
              <w:left w:val="nil"/>
              <w:bottom w:val="single" w:sz="8" w:space="0" w:color="auto"/>
              <w:right w:val="nil"/>
            </w:tcBorders>
            <w:shd w:val="clear" w:color="auto" w:fill="auto"/>
            <w:vAlign w:val="center"/>
            <w:hideMark/>
          </w:tcPr>
          <w:p w14:paraId="00DAB254" w14:textId="77777777" w:rsidR="006B00D3" w:rsidRPr="006B00D3" w:rsidRDefault="006B00D3" w:rsidP="006B00D3">
            <w:pPr>
              <w:rPr>
                <w:sz w:val="18"/>
                <w:szCs w:val="18"/>
              </w:rPr>
            </w:pPr>
            <w:r w:rsidRPr="006B00D3">
              <w:rPr>
                <w:sz w:val="18"/>
                <w:szCs w:val="18"/>
              </w:rPr>
              <w:t xml:space="preserve">Diğer </w:t>
            </w:r>
            <w:proofErr w:type="spellStart"/>
            <w:r w:rsidRPr="006B00D3">
              <w:rPr>
                <w:sz w:val="18"/>
                <w:szCs w:val="18"/>
              </w:rPr>
              <w:t>gayrinakdi</w:t>
            </w:r>
            <w:proofErr w:type="spellEnd"/>
            <w:r w:rsidRPr="006B00D3">
              <w:rPr>
                <w:sz w:val="18"/>
                <w:szCs w:val="18"/>
              </w:rPr>
              <w:t xml:space="preserve"> krediler</w:t>
            </w:r>
          </w:p>
        </w:tc>
        <w:tc>
          <w:tcPr>
            <w:tcW w:w="1568" w:type="dxa"/>
            <w:tcBorders>
              <w:top w:val="nil"/>
              <w:left w:val="nil"/>
              <w:bottom w:val="single" w:sz="8" w:space="0" w:color="auto"/>
              <w:right w:val="nil"/>
            </w:tcBorders>
            <w:shd w:val="clear" w:color="auto" w:fill="auto"/>
            <w:vAlign w:val="center"/>
            <w:hideMark/>
          </w:tcPr>
          <w:p w14:paraId="60F7E980" w14:textId="77777777" w:rsidR="006B00D3" w:rsidRPr="006B00D3" w:rsidRDefault="006B00D3" w:rsidP="006B00D3">
            <w:pPr>
              <w:jc w:val="right"/>
              <w:rPr>
                <w:bCs/>
                <w:sz w:val="18"/>
                <w:szCs w:val="18"/>
              </w:rPr>
            </w:pPr>
            <w:r w:rsidRPr="006B00D3">
              <w:rPr>
                <w:bCs/>
                <w:sz w:val="18"/>
                <w:szCs w:val="18"/>
              </w:rPr>
              <w:t>12,419,779</w:t>
            </w:r>
          </w:p>
        </w:tc>
        <w:tc>
          <w:tcPr>
            <w:tcW w:w="1463" w:type="dxa"/>
            <w:tcBorders>
              <w:top w:val="nil"/>
              <w:left w:val="nil"/>
              <w:bottom w:val="single" w:sz="8" w:space="0" w:color="auto"/>
              <w:right w:val="nil"/>
            </w:tcBorders>
            <w:shd w:val="clear" w:color="auto" w:fill="auto"/>
            <w:vAlign w:val="center"/>
            <w:hideMark/>
          </w:tcPr>
          <w:p w14:paraId="21C5BB0E" w14:textId="77777777" w:rsidR="006B00D3" w:rsidRPr="006B00D3" w:rsidRDefault="006B00D3" w:rsidP="006B00D3">
            <w:pPr>
              <w:jc w:val="right"/>
              <w:rPr>
                <w:bCs/>
                <w:sz w:val="18"/>
                <w:szCs w:val="18"/>
              </w:rPr>
            </w:pPr>
            <w:r w:rsidRPr="006B00D3">
              <w:rPr>
                <w:bCs/>
                <w:sz w:val="18"/>
                <w:szCs w:val="18"/>
              </w:rPr>
              <w:t>11,901,302</w:t>
            </w:r>
          </w:p>
        </w:tc>
      </w:tr>
      <w:tr w:rsidR="006B00D3" w:rsidRPr="006B00D3" w14:paraId="6C05DDE1" w14:textId="77777777" w:rsidTr="006B00D3">
        <w:trPr>
          <w:divId w:val="787046874"/>
          <w:trHeight w:val="229"/>
        </w:trPr>
        <w:tc>
          <w:tcPr>
            <w:tcW w:w="6231" w:type="dxa"/>
            <w:tcBorders>
              <w:top w:val="nil"/>
              <w:left w:val="nil"/>
              <w:bottom w:val="double" w:sz="6" w:space="0" w:color="auto"/>
              <w:right w:val="nil"/>
            </w:tcBorders>
            <w:shd w:val="clear" w:color="auto" w:fill="auto"/>
            <w:vAlign w:val="center"/>
            <w:hideMark/>
          </w:tcPr>
          <w:p w14:paraId="27F95F64" w14:textId="77777777" w:rsidR="006B00D3" w:rsidRPr="006B00D3" w:rsidRDefault="006B00D3" w:rsidP="006B00D3">
            <w:pPr>
              <w:jc w:val="both"/>
              <w:rPr>
                <w:rFonts w:ascii="Microsoft Sans Serif" w:hAnsi="Microsoft Sans Serif" w:cs="Microsoft Sans Serif"/>
                <w:b/>
                <w:bCs/>
                <w:color w:val="000000"/>
                <w:sz w:val="16"/>
                <w:szCs w:val="16"/>
                <w:lang w:eastAsia="tr-TR"/>
              </w:rPr>
            </w:pPr>
            <w:r w:rsidRPr="006B00D3">
              <w:rPr>
                <w:b/>
                <w:sz w:val="18"/>
                <w:szCs w:val="18"/>
              </w:rPr>
              <w:t>Toplam</w:t>
            </w:r>
          </w:p>
        </w:tc>
        <w:tc>
          <w:tcPr>
            <w:tcW w:w="1568" w:type="dxa"/>
            <w:tcBorders>
              <w:top w:val="nil"/>
              <w:left w:val="nil"/>
              <w:bottom w:val="double" w:sz="6" w:space="0" w:color="auto"/>
              <w:right w:val="nil"/>
            </w:tcBorders>
            <w:shd w:val="clear" w:color="auto" w:fill="auto"/>
            <w:vAlign w:val="center"/>
            <w:hideMark/>
          </w:tcPr>
          <w:p w14:paraId="24CD34AE" w14:textId="77777777" w:rsidR="006B00D3" w:rsidRPr="006B00D3" w:rsidRDefault="006B00D3" w:rsidP="006B00D3">
            <w:pPr>
              <w:jc w:val="right"/>
              <w:rPr>
                <w:b/>
                <w:bCs/>
                <w:sz w:val="18"/>
                <w:szCs w:val="18"/>
              </w:rPr>
            </w:pPr>
            <w:r w:rsidRPr="006B00D3">
              <w:rPr>
                <w:b/>
                <w:bCs/>
                <w:sz w:val="18"/>
                <w:szCs w:val="18"/>
              </w:rPr>
              <w:t>12,406,196</w:t>
            </w:r>
          </w:p>
        </w:tc>
        <w:tc>
          <w:tcPr>
            <w:tcW w:w="1463" w:type="dxa"/>
            <w:tcBorders>
              <w:top w:val="nil"/>
              <w:left w:val="nil"/>
              <w:bottom w:val="double" w:sz="6" w:space="0" w:color="auto"/>
              <w:right w:val="nil"/>
            </w:tcBorders>
            <w:shd w:val="clear" w:color="auto" w:fill="auto"/>
            <w:vAlign w:val="center"/>
            <w:hideMark/>
          </w:tcPr>
          <w:p w14:paraId="6F6AB746" w14:textId="77777777" w:rsidR="006B00D3" w:rsidRPr="006B00D3" w:rsidRDefault="006B00D3" w:rsidP="006B00D3">
            <w:pPr>
              <w:jc w:val="right"/>
              <w:rPr>
                <w:b/>
                <w:bCs/>
                <w:sz w:val="18"/>
                <w:szCs w:val="18"/>
              </w:rPr>
            </w:pPr>
            <w:r w:rsidRPr="006B00D3">
              <w:rPr>
                <w:b/>
                <w:bCs/>
                <w:sz w:val="18"/>
                <w:szCs w:val="18"/>
              </w:rPr>
              <w:t>11,901,302</w:t>
            </w:r>
          </w:p>
        </w:tc>
      </w:tr>
    </w:tbl>
    <w:p w14:paraId="46318215" w14:textId="72327B66" w:rsidR="007A5D0B" w:rsidRPr="00270CE6" w:rsidRDefault="007A5D0B" w:rsidP="0093339C">
      <w:pPr>
        <w:tabs>
          <w:tab w:val="left" w:pos="709"/>
        </w:tabs>
        <w:autoSpaceDE w:val="0"/>
        <w:autoSpaceDN w:val="0"/>
        <w:adjustRightInd w:val="0"/>
        <w:ind w:hanging="567"/>
        <w:rPr>
          <w:rFonts w:eastAsia="Arial Unicode MS"/>
          <w:b/>
          <w:highlight w:val="yellow"/>
        </w:rPr>
      </w:pPr>
    </w:p>
    <w:p w14:paraId="3E2FFBC6" w14:textId="4576D5E9" w:rsidR="001B1E34" w:rsidRPr="00270CE6" w:rsidRDefault="001B1E34" w:rsidP="0093339C">
      <w:pPr>
        <w:tabs>
          <w:tab w:val="left" w:pos="709"/>
        </w:tabs>
        <w:autoSpaceDE w:val="0"/>
        <w:autoSpaceDN w:val="0"/>
        <w:adjustRightInd w:val="0"/>
        <w:ind w:hanging="567"/>
        <w:rPr>
          <w:rFonts w:eastAsia="Arial Unicode MS"/>
          <w:b/>
          <w:highlight w:val="yellow"/>
        </w:rPr>
      </w:pPr>
    </w:p>
    <w:p w14:paraId="7AF9312B" w14:textId="5DEC86F7" w:rsidR="001B1E34" w:rsidRPr="00270CE6" w:rsidRDefault="001B1E34" w:rsidP="0093339C">
      <w:pPr>
        <w:tabs>
          <w:tab w:val="left" w:pos="709"/>
        </w:tabs>
        <w:autoSpaceDE w:val="0"/>
        <w:autoSpaceDN w:val="0"/>
        <w:adjustRightInd w:val="0"/>
        <w:ind w:hanging="567"/>
        <w:rPr>
          <w:rFonts w:eastAsia="Arial Unicode MS"/>
          <w:b/>
          <w:highlight w:val="yellow"/>
        </w:rPr>
      </w:pPr>
    </w:p>
    <w:p w14:paraId="5602A62B" w14:textId="726D91B2" w:rsidR="001B1E34" w:rsidRPr="00270CE6" w:rsidRDefault="001B1E34" w:rsidP="0093339C">
      <w:pPr>
        <w:tabs>
          <w:tab w:val="left" w:pos="709"/>
        </w:tabs>
        <w:autoSpaceDE w:val="0"/>
        <w:autoSpaceDN w:val="0"/>
        <w:adjustRightInd w:val="0"/>
        <w:ind w:hanging="567"/>
        <w:rPr>
          <w:rFonts w:eastAsia="Arial Unicode MS"/>
          <w:b/>
          <w:highlight w:val="yellow"/>
        </w:rPr>
      </w:pPr>
    </w:p>
    <w:p w14:paraId="707B4914" w14:textId="44AF885D" w:rsidR="00051E2A" w:rsidRPr="00270CE6" w:rsidRDefault="00051E2A" w:rsidP="0093339C">
      <w:pPr>
        <w:tabs>
          <w:tab w:val="left" w:pos="709"/>
        </w:tabs>
        <w:autoSpaceDE w:val="0"/>
        <w:autoSpaceDN w:val="0"/>
        <w:adjustRightInd w:val="0"/>
        <w:ind w:hanging="567"/>
        <w:rPr>
          <w:rFonts w:eastAsia="Arial Unicode MS"/>
          <w:b/>
          <w:highlight w:val="yellow"/>
        </w:rPr>
      </w:pPr>
    </w:p>
    <w:p w14:paraId="1D0F3A9E" w14:textId="77777777" w:rsidR="00051E2A" w:rsidRPr="00270CE6" w:rsidRDefault="00051E2A" w:rsidP="0093339C">
      <w:pPr>
        <w:tabs>
          <w:tab w:val="left" w:pos="709"/>
        </w:tabs>
        <w:autoSpaceDE w:val="0"/>
        <w:autoSpaceDN w:val="0"/>
        <w:adjustRightInd w:val="0"/>
        <w:ind w:hanging="567"/>
        <w:rPr>
          <w:rFonts w:eastAsia="Arial Unicode MS"/>
          <w:b/>
          <w:highlight w:val="yellow"/>
        </w:rPr>
      </w:pPr>
    </w:p>
    <w:p w14:paraId="71D41A95" w14:textId="27F5EAFF" w:rsidR="001B1E34" w:rsidRPr="00270CE6" w:rsidRDefault="001B1E34" w:rsidP="0093339C">
      <w:pPr>
        <w:tabs>
          <w:tab w:val="left" w:pos="709"/>
        </w:tabs>
        <w:autoSpaceDE w:val="0"/>
        <w:autoSpaceDN w:val="0"/>
        <w:adjustRightInd w:val="0"/>
        <w:ind w:hanging="567"/>
        <w:rPr>
          <w:rFonts w:eastAsia="Arial Unicode MS"/>
          <w:b/>
          <w:highlight w:val="yellow"/>
        </w:rPr>
      </w:pPr>
    </w:p>
    <w:p w14:paraId="2044F089" w14:textId="58E409CA" w:rsidR="001B1E34" w:rsidRPr="00270CE6" w:rsidRDefault="001B1E34" w:rsidP="0093339C">
      <w:pPr>
        <w:tabs>
          <w:tab w:val="left" w:pos="709"/>
        </w:tabs>
        <w:autoSpaceDE w:val="0"/>
        <w:autoSpaceDN w:val="0"/>
        <w:adjustRightInd w:val="0"/>
        <w:ind w:hanging="567"/>
        <w:rPr>
          <w:rFonts w:eastAsia="Arial Unicode MS"/>
          <w:b/>
          <w:highlight w:val="yellow"/>
        </w:rPr>
      </w:pPr>
    </w:p>
    <w:p w14:paraId="3F586DAA" w14:textId="16D5E400" w:rsidR="001B1E34" w:rsidRPr="00270CE6" w:rsidRDefault="001B1E34" w:rsidP="0093339C">
      <w:pPr>
        <w:tabs>
          <w:tab w:val="left" w:pos="709"/>
        </w:tabs>
        <w:autoSpaceDE w:val="0"/>
        <w:autoSpaceDN w:val="0"/>
        <w:adjustRightInd w:val="0"/>
        <w:ind w:hanging="567"/>
        <w:rPr>
          <w:rFonts w:eastAsia="Arial Unicode MS"/>
          <w:b/>
          <w:highlight w:val="yellow"/>
        </w:rPr>
      </w:pPr>
    </w:p>
    <w:p w14:paraId="269888FA" w14:textId="1279C3B0" w:rsidR="001B1E34" w:rsidRPr="00270CE6" w:rsidRDefault="001B1E34" w:rsidP="0093339C">
      <w:pPr>
        <w:tabs>
          <w:tab w:val="left" w:pos="709"/>
        </w:tabs>
        <w:autoSpaceDE w:val="0"/>
        <w:autoSpaceDN w:val="0"/>
        <w:adjustRightInd w:val="0"/>
        <w:ind w:hanging="567"/>
        <w:rPr>
          <w:rFonts w:eastAsia="Arial Unicode MS"/>
          <w:b/>
          <w:highlight w:val="yellow"/>
        </w:rPr>
      </w:pPr>
    </w:p>
    <w:p w14:paraId="64550336" w14:textId="3395786D" w:rsidR="001B1E34" w:rsidRPr="00270CE6" w:rsidRDefault="001B1E34" w:rsidP="0093339C">
      <w:pPr>
        <w:tabs>
          <w:tab w:val="left" w:pos="709"/>
        </w:tabs>
        <w:autoSpaceDE w:val="0"/>
        <w:autoSpaceDN w:val="0"/>
        <w:adjustRightInd w:val="0"/>
        <w:ind w:hanging="567"/>
        <w:rPr>
          <w:rFonts w:eastAsia="Arial Unicode MS"/>
          <w:b/>
          <w:highlight w:val="yellow"/>
        </w:rPr>
      </w:pPr>
    </w:p>
    <w:p w14:paraId="0839B4B5" w14:textId="53481DC5" w:rsidR="001B1E34" w:rsidRPr="00270CE6" w:rsidRDefault="001B1E34" w:rsidP="0093339C">
      <w:pPr>
        <w:tabs>
          <w:tab w:val="left" w:pos="709"/>
        </w:tabs>
        <w:autoSpaceDE w:val="0"/>
        <w:autoSpaceDN w:val="0"/>
        <w:adjustRightInd w:val="0"/>
        <w:ind w:hanging="567"/>
        <w:rPr>
          <w:rFonts w:eastAsia="Arial Unicode MS"/>
          <w:b/>
          <w:highlight w:val="yellow"/>
        </w:rPr>
      </w:pPr>
    </w:p>
    <w:p w14:paraId="10AAE45D" w14:textId="7C5EDC16" w:rsidR="001B1E34" w:rsidRPr="00270CE6" w:rsidRDefault="001B1E34" w:rsidP="0093339C">
      <w:pPr>
        <w:tabs>
          <w:tab w:val="left" w:pos="709"/>
        </w:tabs>
        <w:autoSpaceDE w:val="0"/>
        <w:autoSpaceDN w:val="0"/>
        <w:adjustRightInd w:val="0"/>
        <w:ind w:hanging="567"/>
        <w:rPr>
          <w:rFonts w:eastAsia="Arial Unicode MS"/>
          <w:b/>
          <w:highlight w:val="yellow"/>
        </w:rPr>
      </w:pPr>
    </w:p>
    <w:p w14:paraId="5E2E34BF" w14:textId="6E9C72E4" w:rsidR="001B1E34" w:rsidRPr="00270CE6" w:rsidRDefault="001B1E34" w:rsidP="0093339C">
      <w:pPr>
        <w:tabs>
          <w:tab w:val="left" w:pos="709"/>
        </w:tabs>
        <w:autoSpaceDE w:val="0"/>
        <w:autoSpaceDN w:val="0"/>
        <w:adjustRightInd w:val="0"/>
        <w:ind w:hanging="567"/>
        <w:rPr>
          <w:rFonts w:eastAsia="Arial Unicode MS"/>
          <w:b/>
          <w:highlight w:val="yellow"/>
        </w:rPr>
      </w:pPr>
    </w:p>
    <w:p w14:paraId="02F093C3" w14:textId="5E498141" w:rsidR="001B1E34" w:rsidRPr="00270CE6" w:rsidRDefault="001B1E34" w:rsidP="0093339C">
      <w:pPr>
        <w:tabs>
          <w:tab w:val="left" w:pos="709"/>
        </w:tabs>
        <w:autoSpaceDE w:val="0"/>
        <w:autoSpaceDN w:val="0"/>
        <w:adjustRightInd w:val="0"/>
        <w:ind w:hanging="567"/>
        <w:rPr>
          <w:rFonts w:eastAsia="Arial Unicode MS"/>
          <w:b/>
          <w:highlight w:val="yellow"/>
        </w:rPr>
      </w:pPr>
    </w:p>
    <w:p w14:paraId="44F07906" w14:textId="4C3E1A49" w:rsidR="001B1E34" w:rsidRPr="00270CE6" w:rsidRDefault="001B1E34" w:rsidP="0093339C">
      <w:pPr>
        <w:tabs>
          <w:tab w:val="left" w:pos="709"/>
        </w:tabs>
        <w:autoSpaceDE w:val="0"/>
        <w:autoSpaceDN w:val="0"/>
        <w:adjustRightInd w:val="0"/>
        <w:ind w:hanging="567"/>
        <w:rPr>
          <w:rFonts w:eastAsia="Arial Unicode MS"/>
          <w:b/>
          <w:highlight w:val="yellow"/>
        </w:rPr>
      </w:pPr>
    </w:p>
    <w:p w14:paraId="05833CAA" w14:textId="1E3D2FD2" w:rsidR="001B1E34" w:rsidRPr="00270CE6" w:rsidRDefault="001B1E34" w:rsidP="0093339C">
      <w:pPr>
        <w:tabs>
          <w:tab w:val="left" w:pos="709"/>
        </w:tabs>
        <w:autoSpaceDE w:val="0"/>
        <w:autoSpaceDN w:val="0"/>
        <w:adjustRightInd w:val="0"/>
        <w:ind w:hanging="567"/>
        <w:rPr>
          <w:rFonts w:eastAsia="Arial Unicode MS"/>
          <w:b/>
          <w:highlight w:val="yellow"/>
        </w:rPr>
      </w:pPr>
    </w:p>
    <w:p w14:paraId="2C604296" w14:textId="3DA6B68A" w:rsidR="001B1E34" w:rsidRPr="00270CE6" w:rsidRDefault="001B1E34" w:rsidP="0093339C">
      <w:pPr>
        <w:tabs>
          <w:tab w:val="left" w:pos="709"/>
        </w:tabs>
        <w:autoSpaceDE w:val="0"/>
        <w:autoSpaceDN w:val="0"/>
        <w:adjustRightInd w:val="0"/>
        <w:ind w:hanging="567"/>
        <w:rPr>
          <w:rFonts w:eastAsia="Arial Unicode MS"/>
          <w:b/>
          <w:highlight w:val="yellow"/>
        </w:rPr>
      </w:pPr>
    </w:p>
    <w:p w14:paraId="3FB59F14" w14:textId="718DEF4F" w:rsidR="001B1E34" w:rsidRPr="00270CE6" w:rsidRDefault="001B1E34" w:rsidP="0093339C">
      <w:pPr>
        <w:tabs>
          <w:tab w:val="left" w:pos="709"/>
        </w:tabs>
        <w:autoSpaceDE w:val="0"/>
        <w:autoSpaceDN w:val="0"/>
        <w:adjustRightInd w:val="0"/>
        <w:ind w:hanging="567"/>
        <w:rPr>
          <w:rFonts w:eastAsia="Arial Unicode MS"/>
          <w:b/>
          <w:highlight w:val="yellow"/>
        </w:rPr>
      </w:pPr>
    </w:p>
    <w:p w14:paraId="6D2294C5" w14:textId="3391A3C5" w:rsidR="001B1E34" w:rsidRPr="00270CE6" w:rsidRDefault="001B1E34" w:rsidP="0093339C">
      <w:pPr>
        <w:tabs>
          <w:tab w:val="left" w:pos="709"/>
        </w:tabs>
        <w:autoSpaceDE w:val="0"/>
        <w:autoSpaceDN w:val="0"/>
        <w:adjustRightInd w:val="0"/>
        <w:ind w:hanging="567"/>
        <w:rPr>
          <w:rFonts w:eastAsia="Arial Unicode MS"/>
          <w:b/>
          <w:highlight w:val="yellow"/>
        </w:rPr>
      </w:pPr>
    </w:p>
    <w:p w14:paraId="75447C2D" w14:textId="29CEB785" w:rsidR="001B1E34" w:rsidRPr="00270CE6" w:rsidRDefault="001B1E34" w:rsidP="0093339C">
      <w:pPr>
        <w:tabs>
          <w:tab w:val="left" w:pos="709"/>
        </w:tabs>
        <w:autoSpaceDE w:val="0"/>
        <w:autoSpaceDN w:val="0"/>
        <w:adjustRightInd w:val="0"/>
        <w:ind w:hanging="567"/>
        <w:rPr>
          <w:rFonts w:eastAsia="Arial Unicode MS"/>
          <w:b/>
          <w:highlight w:val="yellow"/>
        </w:rPr>
      </w:pPr>
    </w:p>
    <w:p w14:paraId="7A632F25" w14:textId="00DAF021" w:rsidR="001B1E34" w:rsidRPr="00270CE6" w:rsidRDefault="001B1E34" w:rsidP="0093339C">
      <w:pPr>
        <w:tabs>
          <w:tab w:val="left" w:pos="709"/>
        </w:tabs>
        <w:autoSpaceDE w:val="0"/>
        <w:autoSpaceDN w:val="0"/>
        <w:adjustRightInd w:val="0"/>
        <w:ind w:hanging="567"/>
        <w:rPr>
          <w:rFonts w:eastAsia="Arial Unicode MS"/>
          <w:b/>
          <w:highlight w:val="yellow"/>
        </w:rPr>
      </w:pPr>
    </w:p>
    <w:p w14:paraId="6A3AD4B6" w14:textId="1B549A05" w:rsidR="001B1E34" w:rsidRPr="00270CE6" w:rsidRDefault="001B1E34" w:rsidP="0093339C">
      <w:pPr>
        <w:tabs>
          <w:tab w:val="left" w:pos="709"/>
        </w:tabs>
        <w:autoSpaceDE w:val="0"/>
        <w:autoSpaceDN w:val="0"/>
        <w:adjustRightInd w:val="0"/>
        <w:ind w:hanging="567"/>
        <w:rPr>
          <w:rFonts w:eastAsia="Arial Unicode MS"/>
          <w:b/>
          <w:highlight w:val="yellow"/>
        </w:rPr>
      </w:pPr>
    </w:p>
    <w:p w14:paraId="17A56765" w14:textId="0F2B9EE4" w:rsidR="001B1E34" w:rsidRPr="00270CE6" w:rsidRDefault="001B1E34" w:rsidP="0093339C">
      <w:pPr>
        <w:tabs>
          <w:tab w:val="left" w:pos="709"/>
        </w:tabs>
        <w:autoSpaceDE w:val="0"/>
        <w:autoSpaceDN w:val="0"/>
        <w:adjustRightInd w:val="0"/>
        <w:ind w:hanging="567"/>
        <w:rPr>
          <w:rFonts w:eastAsia="Arial Unicode MS"/>
          <w:b/>
          <w:highlight w:val="yellow"/>
        </w:rPr>
      </w:pPr>
    </w:p>
    <w:p w14:paraId="177B3938" w14:textId="33B8BEA9" w:rsidR="001B1E34" w:rsidRPr="00270CE6" w:rsidRDefault="001B1E34" w:rsidP="0093339C">
      <w:pPr>
        <w:tabs>
          <w:tab w:val="left" w:pos="709"/>
        </w:tabs>
        <w:autoSpaceDE w:val="0"/>
        <w:autoSpaceDN w:val="0"/>
        <w:adjustRightInd w:val="0"/>
        <w:ind w:hanging="567"/>
        <w:rPr>
          <w:rFonts w:eastAsia="Arial Unicode MS"/>
          <w:b/>
          <w:highlight w:val="yellow"/>
        </w:rPr>
      </w:pPr>
    </w:p>
    <w:p w14:paraId="51771A6E" w14:textId="5BD1DCB2" w:rsidR="001B1E34" w:rsidRPr="00270CE6" w:rsidRDefault="001B1E34" w:rsidP="0093339C">
      <w:pPr>
        <w:tabs>
          <w:tab w:val="left" w:pos="709"/>
        </w:tabs>
        <w:autoSpaceDE w:val="0"/>
        <w:autoSpaceDN w:val="0"/>
        <w:adjustRightInd w:val="0"/>
        <w:ind w:hanging="567"/>
        <w:rPr>
          <w:rFonts w:eastAsia="Arial Unicode MS"/>
          <w:b/>
          <w:highlight w:val="yellow"/>
        </w:rPr>
      </w:pPr>
    </w:p>
    <w:p w14:paraId="1D0C75CD" w14:textId="3C71A431" w:rsidR="001B1E34" w:rsidRPr="00270CE6" w:rsidRDefault="001B1E34" w:rsidP="0093339C">
      <w:pPr>
        <w:tabs>
          <w:tab w:val="left" w:pos="709"/>
        </w:tabs>
        <w:autoSpaceDE w:val="0"/>
        <w:autoSpaceDN w:val="0"/>
        <w:adjustRightInd w:val="0"/>
        <w:ind w:hanging="567"/>
        <w:rPr>
          <w:rFonts w:eastAsia="Arial Unicode MS"/>
          <w:b/>
          <w:highlight w:val="yellow"/>
        </w:rPr>
      </w:pPr>
    </w:p>
    <w:p w14:paraId="6EB4BC7F" w14:textId="0BD5D415" w:rsidR="001B1E34" w:rsidRPr="00270CE6" w:rsidRDefault="001B1E34" w:rsidP="0093339C">
      <w:pPr>
        <w:tabs>
          <w:tab w:val="left" w:pos="709"/>
        </w:tabs>
        <w:autoSpaceDE w:val="0"/>
        <w:autoSpaceDN w:val="0"/>
        <w:adjustRightInd w:val="0"/>
        <w:ind w:hanging="567"/>
        <w:rPr>
          <w:rFonts w:eastAsia="Arial Unicode MS"/>
          <w:b/>
          <w:highlight w:val="yellow"/>
        </w:rPr>
      </w:pPr>
    </w:p>
    <w:p w14:paraId="2535E8E8" w14:textId="380097B9" w:rsidR="001B1E34" w:rsidRPr="00270CE6" w:rsidRDefault="001B1E34" w:rsidP="0093339C">
      <w:pPr>
        <w:tabs>
          <w:tab w:val="left" w:pos="709"/>
        </w:tabs>
        <w:autoSpaceDE w:val="0"/>
        <w:autoSpaceDN w:val="0"/>
        <w:adjustRightInd w:val="0"/>
        <w:ind w:hanging="567"/>
        <w:rPr>
          <w:rFonts w:eastAsia="Arial Unicode MS"/>
          <w:b/>
          <w:highlight w:val="yellow"/>
        </w:rPr>
      </w:pPr>
    </w:p>
    <w:p w14:paraId="09C96E33" w14:textId="4CCA59A5" w:rsidR="00B843E3" w:rsidRDefault="00B843E3">
      <w:pPr>
        <w:rPr>
          <w:rFonts w:eastAsia="Arial Unicode MS"/>
          <w:b/>
          <w:highlight w:val="yellow"/>
        </w:rPr>
      </w:pPr>
      <w:r>
        <w:rPr>
          <w:rFonts w:eastAsia="Arial Unicode MS"/>
          <w:b/>
          <w:highlight w:val="yellow"/>
        </w:rPr>
        <w:br w:type="page"/>
      </w:r>
    </w:p>
    <w:p w14:paraId="1520511F" w14:textId="4ADFAF87" w:rsidR="007A1113" w:rsidRPr="005269EC" w:rsidRDefault="007A1113" w:rsidP="007A1113">
      <w:pPr>
        <w:spacing w:line="240" w:lineRule="exact"/>
        <w:ind w:hanging="567"/>
        <w:jc w:val="both"/>
        <w:rPr>
          <w:sz w:val="18"/>
          <w:szCs w:val="18"/>
          <w:lang w:eastAsia="tr-TR"/>
        </w:rPr>
      </w:pPr>
      <w:r w:rsidRPr="005269EC">
        <w:rPr>
          <w:b/>
          <w:iCs/>
        </w:rPr>
        <w:lastRenderedPageBreak/>
        <w:t>3.1.4.</w:t>
      </w:r>
      <w:r w:rsidRPr="006B1072">
        <w:rPr>
          <w:b/>
          <w:iCs/>
        </w:rPr>
        <w:tab/>
      </w:r>
      <w:proofErr w:type="spellStart"/>
      <w:r w:rsidRPr="006B1072">
        <w:rPr>
          <w:b/>
          <w:sz w:val="18"/>
          <w:szCs w:val="18"/>
          <w:lang w:eastAsia="tr-TR"/>
        </w:rPr>
        <w:t>Gayrinakdi</w:t>
      </w:r>
      <w:proofErr w:type="spellEnd"/>
      <w:r w:rsidRPr="006B1072">
        <w:rPr>
          <w:b/>
          <w:sz w:val="18"/>
          <w:szCs w:val="18"/>
          <w:lang w:eastAsia="tr-TR"/>
        </w:rPr>
        <w:t xml:space="preserve"> krediler hesabı içinde sektör bazında risk yoğunlaşması hakkında bilgi:</w:t>
      </w:r>
      <w:r w:rsidR="005D366D" w:rsidRPr="005269EC">
        <w:rPr>
          <w:sz w:val="18"/>
          <w:szCs w:val="18"/>
          <w:lang w:eastAsia="tr-TR"/>
        </w:rPr>
        <w:t xml:space="preserve"> </w:t>
      </w:r>
    </w:p>
    <w:p w14:paraId="5E05EE46" w14:textId="4324B4A2" w:rsidR="00D22163" w:rsidRPr="00311DAB" w:rsidRDefault="00D22163" w:rsidP="007A1113">
      <w:pPr>
        <w:tabs>
          <w:tab w:val="num" w:pos="3600"/>
        </w:tabs>
        <w:rPr>
          <w:lang w:eastAsia="en-GB"/>
        </w:rPr>
      </w:pPr>
    </w:p>
    <w:p w14:paraId="79155BCB" w14:textId="23FE1263" w:rsidR="00DF1AB8" w:rsidRPr="005269EC" w:rsidRDefault="00DF1AB8" w:rsidP="00DF1AB8">
      <w:pPr>
        <w:autoSpaceDE w:val="0"/>
        <w:autoSpaceDN w:val="0"/>
        <w:adjustRightInd w:val="0"/>
      </w:pPr>
      <w:r w:rsidRPr="005269EC">
        <w:t>Bankalarca Kamuya Açıklanacak Finansal Tablolar ile Bunlara İlişkin Açıklama ve Dipnotlar Hakkında Tebliğ’in 25’inci maddesi uyarınca ara dönemde hazırlanmamıştır.</w:t>
      </w:r>
    </w:p>
    <w:p w14:paraId="161B067A" w14:textId="77777777" w:rsidR="00051E2A" w:rsidRPr="005269EC" w:rsidRDefault="00051E2A" w:rsidP="007A1113">
      <w:pPr>
        <w:tabs>
          <w:tab w:val="num" w:pos="3600"/>
        </w:tabs>
        <w:rPr>
          <w:iCs/>
          <w:sz w:val="16"/>
          <w:szCs w:val="16"/>
        </w:rPr>
      </w:pPr>
    </w:p>
    <w:p w14:paraId="784A9729" w14:textId="6851711B" w:rsidR="007A1113" w:rsidRPr="005269EC" w:rsidRDefault="007A1113" w:rsidP="007A1113">
      <w:pPr>
        <w:tabs>
          <w:tab w:val="num" w:pos="3600"/>
        </w:tabs>
        <w:ind w:hanging="567"/>
        <w:rPr>
          <w:iCs/>
        </w:rPr>
      </w:pPr>
      <w:r w:rsidRPr="005269EC">
        <w:rPr>
          <w:b/>
          <w:iCs/>
        </w:rPr>
        <w:t>3.1.5</w:t>
      </w:r>
      <w:r w:rsidRPr="006B1072">
        <w:rPr>
          <w:iCs/>
        </w:rPr>
        <w:t xml:space="preserve">. </w:t>
      </w:r>
      <w:r w:rsidRPr="006B1072">
        <w:rPr>
          <w:iCs/>
        </w:rPr>
        <w:tab/>
        <w:t xml:space="preserve">I ve </w:t>
      </w:r>
      <w:proofErr w:type="spellStart"/>
      <w:r w:rsidRPr="006B1072">
        <w:rPr>
          <w:iCs/>
        </w:rPr>
        <w:t>II’nci</w:t>
      </w:r>
      <w:proofErr w:type="spellEnd"/>
      <w:r w:rsidRPr="006B1072">
        <w:rPr>
          <w:iCs/>
        </w:rPr>
        <w:t xml:space="preserve"> grupta sınıflandırılan </w:t>
      </w:r>
      <w:proofErr w:type="spellStart"/>
      <w:r w:rsidRPr="006B1072">
        <w:rPr>
          <w:iCs/>
        </w:rPr>
        <w:t>gayrinakdi</w:t>
      </w:r>
      <w:proofErr w:type="spellEnd"/>
      <w:r w:rsidRPr="006B1072">
        <w:rPr>
          <w:iCs/>
        </w:rPr>
        <w:t xml:space="preserve"> kredilere ilişkin </w:t>
      </w:r>
      <w:proofErr w:type="gramStart"/>
      <w:r w:rsidRPr="006B1072">
        <w:rPr>
          <w:iCs/>
        </w:rPr>
        <w:t>bilgiler :</w:t>
      </w:r>
      <w:proofErr w:type="gramEnd"/>
      <w:r w:rsidRPr="005269EC">
        <w:rPr>
          <w:iCs/>
        </w:rPr>
        <w:t xml:space="preserve"> </w:t>
      </w:r>
    </w:p>
    <w:p w14:paraId="3B4F7D8C" w14:textId="5B4BC403" w:rsidR="00D22163" w:rsidRPr="005269EC" w:rsidRDefault="00D22163" w:rsidP="00101060">
      <w:pPr>
        <w:tabs>
          <w:tab w:val="left" w:pos="567"/>
        </w:tabs>
        <w:autoSpaceDE w:val="0"/>
        <w:autoSpaceDN w:val="0"/>
        <w:adjustRightInd w:val="0"/>
        <w:rPr>
          <w:lang w:val="en-GB" w:eastAsia="en-GB"/>
        </w:rPr>
      </w:pPr>
    </w:p>
    <w:p w14:paraId="775ACE32" w14:textId="51664401" w:rsidR="007A1113" w:rsidRPr="005269EC" w:rsidRDefault="007A1113" w:rsidP="00101060">
      <w:pPr>
        <w:tabs>
          <w:tab w:val="left" w:pos="567"/>
        </w:tabs>
        <w:autoSpaceDE w:val="0"/>
        <w:autoSpaceDN w:val="0"/>
        <w:adjustRightInd w:val="0"/>
        <w:rPr>
          <w:b/>
          <w:bCs/>
          <w:iCs/>
          <w:sz w:val="6"/>
        </w:rPr>
      </w:pPr>
    </w:p>
    <w:p w14:paraId="118C9A5D" w14:textId="159006EC" w:rsidR="00D22163" w:rsidRPr="00311DAB" w:rsidRDefault="00BE6B51" w:rsidP="00B843E3">
      <w:pPr>
        <w:tabs>
          <w:tab w:val="left" w:pos="540"/>
        </w:tabs>
        <w:autoSpaceDE w:val="0"/>
        <w:autoSpaceDN w:val="0"/>
        <w:adjustRightInd w:val="0"/>
        <w:jc w:val="both"/>
        <w:rPr>
          <w:lang w:eastAsia="en-GB"/>
        </w:rPr>
      </w:pPr>
      <w:r w:rsidRPr="005269EC">
        <w:t>Bankalarca Kamuya Açıklanacak Finansal Tablolar ile Bunlara İlişkin Açıklama ve Dipnotlar Hakkında Tebliğ’in 25’inci maddesi uyarınca ara dönemde hazırlanmamıştır.</w:t>
      </w:r>
    </w:p>
    <w:p w14:paraId="30605347" w14:textId="5B6039A3" w:rsidR="00101060" w:rsidRPr="005269EC" w:rsidRDefault="00101060" w:rsidP="007A1113">
      <w:pPr>
        <w:tabs>
          <w:tab w:val="left" w:pos="540"/>
        </w:tabs>
        <w:autoSpaceDE w:val="0"/>
        <w:autoSpaceDN w:val="0"/>
        <w:adjustRightInd w:val="0"/>
        <w:rPr>
          <w:b/>
          <w:bCs/>
          <w:iCs/>
          <w:sz w:val="6"/>
        </w:rPr>
      </w:pPr>
    </w:p>
    <w:p w14:paraId="61C08462" w14:textId="77777777" w:rsidR="00101060" w:rsidRPr="005269EC" w:rsidRDefault="00101060" w:rsidP="007A1113">
      <w:pPr>
        <w:tabs>
          <w:tab w:val="left" w:pos="540"/>
        </w:tabs>
        <w:autoSpaceDE w:val="0"/>
        <w:autoSpaceDN w:val="0"/>
        <w:adjustRightInd w:val="0"/>
        <w:rPr>
          <w:b/>
          <w:bCs/>
          <w:iCs/>
          <w:sz w:val="6"/>
        </w:rPr>
      </w:pPr>
    </w:p>
    <w:p w14:paraId="71A53A24" w14:textId="4CF895C6" w:rsidR="007A1113" w:rsidRPr="005269EC" w:rsidRDefault="007A1113" w:rsidP="007A1113">
      <w:pPr>
        <w:tabs>
          <w:tab w:val="left" w:pos="540"/>
        </w:tabs>
        <w:autoSpaceDE w:val="0"/>
        <w:autoSpaceDN w:val="0"/>
        <w:adjustRightInd w:val="0"/>
        <w:ind w:hanging="567"/>
        <w:rPr>
          <w:b/>
          <w:bCs/>
          <w:iCs/>
        </w:rPr>
      </w:pPr>
      <w:r w:rsidRPr="005269EC">
        <w:rPr>
          <w:b/>
          <w:bCs/>
          <w:iCs/>
        </w:rPr>
        <w:t>3.2.</w:t>
      </w:r>
      <w:r w:rsidRPr="005269EC">
        <w:rPr>
          <w:b/>
          <w:bCs/>
          <w:iCs/>
        </w:rPr>
        <w:tab/>
        <w:t>Türev işlemlere ilişkin açıklamalar:</w:t>
      </w:r>
    </w:p>
    <w:p w14:paraId="0A52A997" w14:textId="77777777" w:rsidR="007A1113" w:rsidRPr="005269EC" w:rsidRDefault="007A1113" w:rsidP="007A1113">
      <w:pPr>
        <w:autoSpaceDE w:val="0"/>
        <w:autoSpaceDN w:val="0"/>
        <w:adjustRightInd w:val="0"/>
        <w:rPr>
          <w:rFonts w:eastAsia="Arial Unicode MS"/>
          <w:sz w:val="16"/>
          <w:szCs w:val="16"/>
        </w:rPr>
      </w:pPr>
    </w:p>
    <w:p w14:paraId="27F71D2D" w14:textId="4366D759" w:rsidR="00E4772F" w:rsidRPr="00311DAB" w:rsidRDefault="00E4772F" w:rsidP="00B843E3">
      <w:pPr>
        <w:tabs>
          <w:tab w:val="left" w:pos="540"/>
        </w:tabs>
        <w:autoSpaceDE w:val="0"/>
        <w:autoSpaceDN w:val="0"/>
        <w:adjustRightInd w:val="0"/>
        <w:jc w:val="both"/>
        <w:rPr>
          <w:lang w:eastAsia="en-GB"/>
        </w:rPr>
      </w:pPr>
      <w:r w:rsidRPr="005269EC">
        <w:t>Bankalarca Kamuya Açıklanacak Finansal Tablolar ile Bunlara İlişkin Açıklama ve Dipnotlar Hakkında Tebliğ’in 25’inci maddesi uyarınca ara dönemde hazırlanmamıştır.</w:t>
      </w:r>
    </w:p>
    <w:p w14:paraId="3108571F" w14:textId="17C032BA" w:rsidR="00BD660F" w:rsidRPr="005269EC" w:rsidRDefault="00BD660F" w:rsidP="00E4772F">
      <w:pPr>
        <w:pStyle w:val="BodyText"/>
        <w:jc w:val="left"/>
        <w:rPr>
          <w:rFonts w:eastAsia="Arial Unicode MS"/>
          <w:spacing w:val="-4"/>
        </w:rPr>
      </w:pPr>
    </w:p>
    <w:p w14:paraId="54105BFC" w14:textId="77777777" w:rsidR="007A1113" w:rsidRPr="005269EC" w:rsidRDefault="007A1113" w:rsidP="007A1113">
      <w:pPr>
        <w:pStyle w:val="BodyText"/>
        <w:ind w:hanging="567"/>
        <w:rPr>
          <w:b/>
          <w:bCs/>
          <w:lang w:eastAsia="zh-CN"/>
        </w:rPr>
      </w:pPr>
      <w:r w:rsidRPr="005269EC">
        <w:rPr>
          <w:b/>
          <w:bCs/>
          <w:lang w:eastAsia="zh-CN"/>
        </w:rPr>
        <w:t xml:space="preserve">3.3.     Kredi türevlerine ve bunlardan dolayı maruz kalınan risklere ilişkin açıklamalar: </w:t>
      </w:r>
    </w:p>
    <w:p w14:paraId="12A5A6D8" w14:textId="77777777" w:rsidR="007A1113" w:rsidRPr="005269EC" w:rsidRDefault="007A1113" w:rsidP="007A1113">
      <w:pPr>
        <w:pStyle w:val="BodyText"/>
        <w:ind w:left="567" w:hanging="567"/>
        <w:rPr>
          <w:rFonts w:eastAsia="Arial Unicode MS"/>
          <w:sz w:val="16"/>
          <w:szCs w:val="16"/>
        </w:rPr>
      </w:pPr>
    </w:p>
    <w:p w14:paraId="77FE6D34" w14:textId="38F3AB50" w:rsidR="007A1113" w:rsidRPr="005269EC" w:rsidRDefault="007A1113" w:rsidP="007A1113">
      <w:pPr>
        <w:pStyle w:val="BodyText"/>
        <w:ind w:left="567" w:hanging="567"/>
        <w:rPr>
          <w:rFonts w:eastAsia="Arial Unicode MS"/>
        </w:rPr>
      </w:pPr>
      <w:r w:rsidRPr="005269EC">
        <w:rPr>
          <w:rFonts w:eastAsia="Arial Unicode MS"/>
        </w:rPr>
        <w:t xml:space="preserve">Bulunmamaktadır. </w:t>
      </w:r>
    </w:p>
    <w:p w14:paraId="76FFEAA9" w14:textId="77777777" w:rsidR="00BD660F" w:rsidRPr="005269EC" w:rsidRDefault="00BD660F" w:rsidP="007A1113">
      <w:pPr>
        <w:pStyle w:val="BodyText"/>
        <w:ind w:left="567" w:hanging="567"/>
        <w:rPr>
          <w:rFonts w:eastAsia="Arial Unicode MS"/>
        </w:rPr>
      </w:pPr>
    </w:p>
    <w:p w14:paraId="76B061B1" w14:textId="77777777" w:rsidR="007A1113" w:rsidRPr="005269EC" w:rsidRDefault="007A1113" w:rsidP="007A1113">
      <w:pPr>
        <w:tabs>
          <w:tab w:val="left" w:pos="0"/>
        </w:tabs>
        <w:autoSpaceDE w:val="0"/>
        <w:autoSpaceDN w:val="0"/>
        <w:adjustRightInd w:val="0"/>
        <w:ind w:hanging="567"/>
        <w:jc w:val="both"/>
        <w:rPr>
          <w:b/>
          <w:bCs/>
          <w:iCs/>
        </w:rPr>
      </w:pPr>
      <w:r w:rsidRPr="005269EC">
        <w:rPr>
          <w:b/>
          <w:bCs/>
          <w:iCs/>
        </w:rPr>
        <w:t>3.4.</w:t>
      </w:r>
      <w:r w:rsidRPr="005269EC">
        <w:rPr>
          <w:b/>
          <w:bCs/>
          <w:iCs/>
        </w:rPr>
        <w:tab/>
        <w:t xml:space="preserve">Koşullu borçlar ve varlıklara ilişkin açıklamalar: </w:t>
      </w:r>
    </w:p>
    <w:p w14:paraId="67A0C29A" w14:textId="77777777" w:rsidR="007A1113" w:rsidRPr="005269EC" w:rsidRDefault="007A1113" w:rsidP="007A1113">
      <w:pPr>
        <w:autoSpaceDE w:val="0"/>
        <w:autoSpaceDN w:val="0"/>
        <w:adjustRightInd w:val="0"/>
        <w:jc w:val="both"/>
        <w:rPr>
          <w:sz w:val="16"/>
          <w:szCs w:val="16"/>
        </w:rPr>
      </w:pPr>
    </w:p>
    <w:p w14:paraId="498AF5A6" w14:textId="3F5E17B4" w:rsidR="00E4772F" w:rsidRPr="00311DAB" w:rsidRDefault="00E4772F" w:rsidP="00B843E3">
      <w:pPr>
        <w:tabs>
          <w:tab w:val="left" w:pos="540"/>
        </w:tabs>
        <w:autoSpaceDE w:val="0"/>
        <w:autoSpaceDN w:val="0"/>
        <w:adjustRightInd w:val="0"/>
        <w:jc w:val="both"/>
        <w:rPr>
          <w:lang w:eastAsia="en-GB"/>
        </w:rPr>
      </w:pPr>
      <w:r w:rsidRPr="005269EC">
        <w:t>Bankalarca Kamuya Açıklanacak Finansal Tablolar ile Bunlara İlişkin Açıklama ve Dipnotlar Hakkında Tebliğ’in 25’inci maddesi uyarınca ara dönemde hazırlanmamıştır.</w:t>
      </w:r>
    </w:p>
    <w:p w14:paraId="3B3392BD" w14:textId="6C5621DD" w:rsidR="00BD660F" w:rsidRPr="005269EC" w:rsidRDefault="00BD660F" w:rsidP="007A1113">
      <w:pPr>
        <w:pStyle w:val="BodyTextIndent2"/>
        <w:ind w:left="540" w:hanging="540"/>
        <w:rPr>
          <w:rFonts w:ascii="Times New Roman" w:hAnsi="Times New Roman"/>
          <w:color w:val="auto"/>
          <w:sz w:val="16"/>
          <w:szCs w:val="16"/>
        </w:rPr>
      </w:pPr>
    </w:p>
    <w:p w14:paraId="6B137C93" w14:textId="77777777" w:rsidR="007A1113" w:rsidRPr="005269EC" w:rsidRDefault="007A1113" w:rsidP="007A1113">
      <w:pPr>
        <w:autoSpaceDE w:val="0"/>
        <w:autoSpaceDN w:val="0"/>
        <w:adjustRightInd w:val="0"/>
        <w:ind w:hanging="567"/>
        <w:jc w:val="both"/>
        <w:rPr>
          <w:b/>
          <w:bCs/>
          <w:iCs/>
        </w:rPr>
      </w:pPr>
      <w:r w:rsidRPr="005269EC">
        <w:rPr>
          <w:b/>
          <w:bCs/>
          <w:iCs/>
        </w:rPr>
        <w:t>3.5.</w:t>
      </w:r>
      <w:r w:rsidRPr="005269EC">
        <w:rPr>
          <w:b/>
          <w:bCs/>
          <w:iCs/>
        </w:rPr>
        <w:tab/>
        <w:t xml:space="preserve">Başkaları nam ve hesabına verilen hizmetlere ilişkin </w:t>
      </w:r>
      <w:proofErr w:type="gramStart"/>
      <w:r w:rsidRPr="005269EC">
        <w:rPr>
          <w:b/>
          <w:bCs/>
          <w:iCs/>
        </w:rPr>
        <w:t>açıklamalar :</w:t>
      </w:r>
      <w:proofErr w:type="gramEnd"/>
    </w:p>
    <w:p w14:paraId="659F09C9" w14:textId="77777777" w:rsidR="007A1113" w:rsidRPr="005269EC" w:rsidRDefault="007A1113" w:rsidP="007A1113">
      <w:pPr>
        <w:autoSpaceDE w:val="0"/>
        <w:autoSpaceDN w:val="0"/>
        <w:adjustRightInd w:val="0"/>
        <w:ind w:left="540" w:hanging="540"/>
        <w:jc w:val="both"/>
        <w:rPr>
          <w:rFonts w:eastAsia="Arial Unicode MS"/>
          <w:sz w:val="16"/>
          <w:szCs w:val="16"/>
        </w:rPr>
      </w:pPr>
    </w:p>
    <w:p w14:paraId="214763ED" w14:textId="63E8DA83" w:rsidR="007A1113" w:rsidRPr="005269EC" w:rsidRDefault="007A1113" w:rsidP="007A1113">
      <w:pPr>
        <w:pStyle w:val="BodyText"/>
      </w:pPr>
      <w:r w:rsidRPr="005269EC">
        <w:t>Bulunmamaktadır.</w:t>
      </w:r>
    </w:p>
    <w:p w14:paraId="78A08CE3" w14:textId="77777777" w:rsidR="00BD660F" w:rsidRPr="005269EC" w:rsidRDefault="00BD660F" w:rsidP="007A1113">
      <w:pPr>
        <w:pStyle w:val="BodyText"/>
      </w:pPr>
    </w:p>
    <w:p w14:paraId="4AD130E5" w14:textId="77777777" w:rsidR="007A1113" w:rsidRPr="005269EC" w:rsidRDefault="007A1113" w:rsidP="00B843E3">
      <w:pPr>
        <w:tabs>
          <w:tab w:val="left" w:pos="0"/>
        </w:tabs>
        <w:autoSpaceDE w:val="0"/>
        <w:autoSpaceDN w:val="0"/>
        <w:adjustRightInd w:val="0"/>
        <w:ind w:hanging="567"/>
        <w:jc w:val="both"/>
        <w:rPr>
          <w:rFonts w:eastAsia="Arial Unicode MS"/>
          <w:b/>
        </w:rPr>
      </w:pPr>
      <w:r w:rsidRPr="005269EC">
        <w:rPr>
          <w:rFonts w:eastAsia="Arial Unicode MS"/>
          <w:b/>
        </w:rPr>
        <w:t xml:space="preserve">3.6. </w:t>
      </w:r>
      <w:r w:rsidRPr="005269EC">
        <w:rPr>
          <w:rFonts w:eastAsia="Arial Unicode MS"/>
          <w:b/>
        </w:rPr>
        <w:tab/>
        <w:t xml:space="preserve">Banka’nın uluslararası derecelendirme kuruluşlarına yaptırmış oldukları derecelendirmeye ilişkin özet bilgiler </w:t>
      </w:r>
    </w:p>
    <w:p w14:paraId="564DAB10" w14:textId="77777777" w:rsidR="007A1113" w:rsidRPr="005269EC" w:rsidRDefault="007A1113" w:rsidP="00B843E3">
      <w:pPr>
        <w:tabs>
          <w:tab w:val="left" w:pos="567"/>
        </w:tabs>
        <w:autoSpaceDE w:val="0"/>
        <w:autoSpaceDN w:val="0"/>
        <w:adjustRightInd w:val="0"/>
        <w:jc w:val="both"/>
        <w:rPr>
          <w:rFonts w:eastAsia="Arial Unicode MS"/>
          <w:b/>
          <w:sz w:val="16"/>
          <w:szCs w:val="16"/>
        </w:rPr>
      </w:pPr>
    </w:p>
    <w:p w14:paraId="10B9EE3F" w14:textId="14E69105" w:rsidR="00310B5A" w:rsidRPr="00311DAB" w:rsidRDefault="00310B5A" w:rsidP="00B843E3">
      <w:pPr>
        <w:tabs>
          <w:tab w:val="left" w:pos="540"/>
        </w:tabs>
        <w:autoSpaceDE w:val="0"/>
        <w:autoSpaceDN w:val="0"/>
        <w:adjustRightInd w:val="0"/>
        <w:jc w:val="both"/>
        <w:rPr>
          <w:lang w:eastAsia="en-GB"/>
        </w:rPr>
      </w:pPr>
      <w:r w:rsidRPr="005269EC">
        <w:t>Bankalarca Kamuya Açıklanacak Finansal Tablolar ile Bunlara İlişkin Açıklama ve Dipnotlar Hakkında Tebliğ’in 25’inci maddesi uyarınca ara dönemde hazırlanmamıştır.</w:t>
      </w:r>
    </w:p>
    <w:p w14:paraId="2333CB8B" w14:textId="0157806D" w:rsidR="00D22163" w:rsidRPr="00311DAB" w:rsidRDefault="00D22163" w:rsidP="00310B5A">
      <w:pPr>
        <w:tabs>
          <w:tab w:val="left" w:pos="709"/>
        </w:tabs>
        <w:autoSpaceDE w:val="0"/>
        <w:autoSpaceDN w:val="0"/>
        <w:adjustRightInd w:val="0"/>
        <w:ind w:hanging="567"/>
        <w:rPr>
          <w:lang w:eastAsia="en-GB"/>
        </w:rPr>
      </w:pPr>
    </w:p>
    <w:p w14:paraId="0A43F461" w14:textId="7B93E851" w:rsidR="007A1113" w:rsidRPr="005269EC" w:rsidRDefault="007A1113" w:rsidP="0093339C">
      <w:pPr>
        <w:tabs>
          <w:tab w:val="left" w:pos="709"/>
        </w:tabs>
        <w:autoSpaceDE w:val="0"/>
        <w:autoSpaceDN w:val="0"/>
        <w:adjustRightInd w:val="0"/>
        <w:ind w:hanging="567"/>
        <w:rPr>
          <w:rFonts w:eastAsia="Arial Unicode MS"/>
          <w:b/>
        </w:rPr>
      </w:pPr>
    </w:p>
    <w:p w14:paraId="4056D085" w14:textId="35D080B5" w:rsidR="007A1113" w:rsidRPr="005269EC" w:rsidRDefault="007A1113" w:rsidP="0093339C">
      <w:pPr>
        <w:tabs>
          <w:tab w:val="left" w:pos="709"/>
        </w:tabs>
        <w:autoSpaceDE w:val="0"/>
        <w:autoSpaceDN w:val="0"/>
        <w:adjustRightInd w:val="0"/>
        <w:ind w:hanging="567"/>
        <w:rPr>
          <w:rFonts w:eastAsia="Arial Unicode MS"/>
          <w:b/>
        </w:rPr>
      </w:pPr>
    </w:p>
    <w:p w14:paraId="1AE6630B" w14:textId="137254D2" w:rsidR="00310B5A" w:rsidRPr="00270CE6" w:rsidRDefault="00310B5A" w:rsidP="0093339C">
      <w:pPr>
        <w:tabs>
          <w:tab w:val="left" w:pos="709"/>
        </w:tabs>
        <w:autoSpaceDE w:val="0"/>
        <w:autoSpaceDN w:val="0"/>
        <w:adjustRightInd w:val="0"/>
        <w:ind w:hanging="567"/>
        <w:rPr>
          <w:rFonts w:eastAsia="Arial Unicode MS"/>
          <w:b/>
          <w:highlight w:val="yellow"/>
        </w:rPr>
      </w:pPr>
    </w:p>
    <w:p w14:paraId="242CBC21" w14:textId="633A0E89" w:rsidR="00310B5A" w:rsidRPr="00270CE6" w:rsidRDefault="00310B5A" w:rsidP="0093339C">
      <w:pPr>
        <w:tabs>
          <w:tab w:val="left" w:pos="709"/>
        </w:tabs>
        <w:autoSpaceDE w:val="0"/>
        <w:autoSpaceDN w:val="0"/>
        <w:adjustRightInd w:val="0"/>
        <w:ind w:hanging="567"/>
        <w:rPr>
          <w:rFonts w:eastAsia="Arial Unicode MS"/>
          <w:b/>
          <w:highlight w:val="yellow"/>
        </w:rPr>
      </w:pPr>
    </w:p>
    <w:p w14:paraId="454C81B9" w14:textId="23197BE3" w:rsidR="00310B5A" w:rsidRPr="00270CE6" w:rsidRDefault="00310B5A" w:rsidP="0093339C">
      <w:pPr>
        <w:tabs>
          <w:tab w:val="left" w:pos="709"/>
        </w:tabs>
        <w:autoSpaceDE w:val="0"/>
        <w:autoSpaceDN w:val="0"/>
        <w:adjustRightInd w:val="0"/>
        <w:ind w:hanging="567"/>
        <w:rPr>
          <w:rFonts w:eastAsia="Arial Unicode MS"/>
          <w:b/>
          <w:highlight w:val="yellow"/>
        </w:rPr>
      </w:pPr>
    </w:p>
    <w:p w14:paraId="23B2799A" w14:textId="10EFBD06" w:rsidR="00310B5A" w:rsidRPr="00270CE6" w:rsidRDefault="00310B5A" w:rsidP="0093339C">
      <w:pPr>
        <w:tabs>
          <w:tab w:val="left" w:pos="709"/>
        </w:tabs>
        <w:autoSpaceDE w:val="0"/>
        <w:autoSpaceDN w:val="0"/>
        <w:adjustRightInd w:val="0"/>
        <w:ind w:hanging="567"/>
        <w:rPr>
          <w:rFonts w:eastAsia="Arial Unicode MS"/>
          <w:b/>
          <w:highlight w:val="yellow"/>
        </w:rPr>
      </w:pPr>
    </w:p>
    <w:p w14:paraId="58334BDF" w14:textId="42F288CC" w:rsidR="00310B5A" w:rsidRPr="00270CE6" w:rsidRDefault="00310B5A" w:rsidP="0093339C">
      <w:pPr>
        <w:tabs>
          <w:tab w:val="left" w:pos="709"/>
        </w:tabs>
        <w:autoSpaceDE w:val="0"/>
        <w:autoSpaceDN w:val="0"/>
        <w:adjustRightInd w:val="0"/>
        <w:ind w:hanging="567"/>
        <w:rPr>
          <w:rFonts w:eastAsia="Arial Unicode MS"/>
          <w:b/>
          <w:highlight w:val="yellow"/>
        </w:rPr>
      </w:pPr>
    </w:p>
    <w:p w14:paraId="6D76CB54" w14:textId="016351D3" w:rsidR="00310B5A" w:rsidRPr="00270CE6" w:rsidRDefault="00310B5A" w:rsidP="0093339C">
      <w:pPr>
        <w:tabs>
          <w:tab w:val="left" w:pos="709"/>
        </w:tabs>
        <w:autoSpaceDE w:val="0"/>
        <w:autoSpaceDN w:val="0"/>
        <w:adjustRightInd w:val="0"/>
        <w:ind w:hanging="567"/>
        <w:rPr>
          <w:rFonts w:eastAsia="Arial Unicode MS"/>
          <w:b/>
          <w:highlight w:val="yellow"/>
        </w:rPr>
      </w:pPr>
    </w:p>
    <w:p w14:paraId="5A46CC50" w14:textId="77777777" w:rsidR="00310B5A" w:rsidRPr="00270CE6" w:rsidRDefault="00310B5A" w:rsidP="0093339C">
      <w:pPr>
        <w:tabs>
          <w:tab w:val="left" w:pos="709"/>
        </w:tabs>
        <w:autoSpaceDE w:val="0"/>
        <w:autoSpaceDN w:val="0"/>
        <w:adjustRightInd w:val="0"/>
        <w:ind w:hanging="567"/>
        <w:rPr>
          <w:rFonts w:eastAsia="Arial Unicode MS"/>
          <w:b/>
          <w:highlight w:val="yellow"/>
        </w:rPr>
      </w:pPr>
    </w:p>
    <w:p w14:paraId="0DD32A90" w14:textId="79147BD9" w:rsidR="00E4772F" w:rsidRPr="00270CE6" w:rsidRDefault="00E4772F" w:rsidP="0093339C">
      <w:pPr>
        <w:tabs>
          <w:tab w:val="left" w:pos="709"/>
        </w:tabs>
        <w:autoSpaceDE w:val="0"/>
        <w:autoSpaceDN w:val="0"/>
        <w:adjustRightInd w:val="0"/>
        <w:ind w:hanging="567"/>
        <w:rPr>
          <w:rFonts w:eastAsia="Arial Unicode MS"/>
          <w:b/>
          <w:highlight w:val="yellow"/>
        </w:rPr>
      </w:pPr>
    </w:p>
    <w:p w14:paraId="21E0341D" w14:textId="313BEED0" w:rsidR="00E4772F" w:rsidRPr="00270CE6" w:rsidRDefault="00E4772F" w:rsidP="0093339C">
      <w:pPr>
        <w:tabs>
          <w:tab w:val="left" w:pos="709"/>
        </w:tabs>
        <w:autoSpaceDE w:val="0"/>
        <w:autoSpaceDN w:val="0"/>
        <w:adjustRightInd w:val="0"/>
        <w:ind w:hanging="567"/>
        <w:rPr>
          <w:rFonts w:eastAsia="Arial Unicode MS"/>
          <w:b/>
          <w:highlight w:val="yellow"/>
        </w:rPr>
      </w:pPr>
    </w:p>
    <w:p w14:paraId="634576D4" w14:textId="7AEC97FA" w:rsidR="00E4772F" w:rsidRPr="00270CE6" w:rsidRDefault="00E4772F" w:rsidP="0093339C">
      <w:pPr>
        <w:tabs>
          <w:tab w:val="left" w:pos="709"/>
        </w:tabs>
        <w:autoSpaceDE w:val="0"/>
        <w:autoSpaceDN w:val="0"/>
        <w:adjustRightInd w:val="0"/>
        <w:ind w:hanging="567"/>
        <w:rPr>
          <w:rFonts w:eastAsia="Arial Unicode MS"/>
          <w:b/>
          <w:highlight w:val="yellow"/>
        </w:rPr>
      </w:pPr>
    </w:p>
    <w:p w14:paraId="618F406A" w14:textId="4FA7003E" w:rsidR="00E4772F" w:rsidRPr="00270CE6" w:rsidRDefault="00E4772F" w:rsidP="0093339C">
      <w:pPr>
        <w:tabs>
          <w:tab w:val="left" w:pos="709"/>
        </w:tabs>
        <w:autoSpaceDE w:val="0"/>
        <w:autoSpaceDN w:val="0"/>
        <w:adjustRightInd w:val="0"/>
        <w:ind w:hanging="567"/>
        <w:rPr>
          <w:rFonts w:eastAsia="Arial Unicode MS"/>
          <w:b/>
          <w:highlight w:val="yellow"/>
        </w:rPr>
      </w:pPr>
    </w:p>
    <w:p w14:paraId="54C12D47" w14:textId="11F2E612" w:rsidR="00E4772F" w:rsidRPr="00270CE6" w:rsidRDefault="00E4772F" w:rsidP="0093339C">
      <w:pPr>
        <w:tabs>
          <w:tab w:val="left" w:pos="709"/>
        </w:tabs>
        <w:autoSpaceDE w:val="0"/>
        <w:autoSpaceDN w:val="0"/>
        <w:adjustRightInd w:val="0"/>
        <w:ind w:hanging="567"/>
        <w:rPr>
          <w:rFonts w:eastAsia="Arial Unicode MS"/>
          <w:b/>
          <w:highlight w:val="yellow"/>
        </w:rPr>
      </w:pPr>
    </w:p>
    <w:p w14:paraId="2E70FBE2" w14:textId="3783DD9B" w:rsidR="00E4772F" w:rsidRPr="00270CE6" w:rsidRDefault="00E4772F" w:rsidP="0093339C">
      <w:pPr>
        <w:tabs>
          <w:tab w:val="left" w:pos="709"/>
        </w:tabs>
        <w:autoSpaceDE w:val="0"/>
        <w:autoSpaceDN w:val="0"/>
        <w:adjustRightInd w:val="0"/>
        <w:ind w:hanging="567"/>
        <w:rPr>
          <w:rFonts w:eastAsia="Arial Unicode MS"/>
          <w:b/>
          <w:highlight w:val="yellow"/>
        </w:rPr>
      </w:pPr>
    </w:p>
    <w:p w14:paraId="58D95415" w14:textId="247B7C21" w:rsidR="00F42642" w:rsidRPr="00270CE6" w:rsidRDefault="00F42642" w:rsidP="0093339C">
      <w:pPr>
        <w:tabs>
          <w:tab w:val="left" w:pos="709"/>
        </w:tabs>
        <w:autoSpaceDE w:val="0"/>
        <w:autoSpaceDN w:val="0"/>
        <w:adjustRightInd w:val="0"/>
        <w:ind w:hanging="567"/>
        <w:rPr>
          <w:rFonts w:eastAsia="Arial Unicode MS"/>
          <w:b/>
          <w:highlight w:val="yellow"/>
        </w:rPr>
      </w:pPr>
    </w:p>
    <w:p w14:paraId="3055B0F1" w14:textId="6271D4CE" w:rsidR="00F42642" w:rsidRPr="00270CE6" w:rsidRDefault="00F42642" w:rsidP="0093339C">
      <w:pPr>
        <w:tabs>
          <w:tab w:val="left" w:pos="709"/>
        </w:tabs>
        <w:autoSpaceDE w:val="0"/>
        <w:autoSpaceDN w:val="0"/>
        <w:adjustRightInd w:val="0"/>
        <w:ind w:hanging="567"/>
        <w:rPr>
          <w:rFonts w:eastAsia="Arial Unicode MS"/>
          <w:b/>
          <w:highlight w:val="yellow"/>
        </w:rPr>
      </w:pPr>
    </w:p>
    <w:p w14:paraId="43FDD913" w14:textId="74AB2E44" w:rsidR="00F42642" w:rsidRPr="00270CE6" w:rsidRDefault="00F42642" w:rsidP="0093339C">
      <w:pPr>
        <w:tabs>
          <w:tab w:val="left" w:pos="709"/>
        </w:tabs>
        <w:autoSpaceDE w:val="0"/>
        <w:autoSpaceDN w:val="0"/>
        <w:adjustRightInd w:val="0"/>
        <w:ind w:hanging="567"/>
        <w:rPr>
          <w:rFonts w:eastAsia="Arial Unicode MS"/>
          <w:b/>
          <w:highlight w:val="yellow"/>
        </w:rPr>
      </w:pPr>
    </w:p>
    <w:p w14:paraId="661ACFD3" w14:textId="2DA3CBDD" w:rsidR="00F42642" w:rsidRPr="00270CE6" w:rsidRDefault="00F42642" w:rsidP="0093339C">
      <w:pPr>
        <w:tabs>
          <w:tab w:val="left" w:pos="709"/>
        </w:tabs>
        <w:autoSpaceDE w:val="0"/>
        <w:autoSpaceDN w:val="0"/>
        <w:adjustRightInd w:val="0"/>
        <w:ind w:hanging="567"/>
        <w:rPr>
          <w:rFonts w:eastAsia="Arial Unicode MS"/>
          <w:b/>
          <w:highlight w:val="yellow"/>
        </w:rPr>
      </w:pPr>
    </w:p>
    <w:p w14:paraId="7FD09A93" w14:textId="00C6E993" w:rsidR="00F42642" w:rsidRPr="00270CE6" w:rsidRDefault="00F42642" w:rsidP="0093339C">
      <w:pPr>
        <w:tabs>
          <w:tab w:val="left" w:pos="709"/>
        </w:tabs>
        <w:autoSpaceDE w:val="0"/>
        <w:autoSpaceDN w:val="0"/>
        <w:adjustRightInd w:val="0"/>
        <w:ind w:hanging="567"/>
        <w:rPr>
          <w:rFonts w:eastAsia="Arial Unicode MS"/>
          <w:b/>
          <w:highlight w:val="yellow"/>
        </w:rPr>
      </w:pPr>
    </w:p>
    <w:p w14:paraId="69FB5CBB" w14:textId="6B2151D7" w:rsidR="00F42642" w:rsidRPr="00270CE6" w:rsidRDefault="00F42642" w:rsidP="0093339C">
      <w:pPr>
        <w:tabs>
          <w:tab w:val="left" w:pos="709"/>
        </w:tabs>
        <w:autoSpaceDE w:val="0"/>
        <w:autoSpaceDN w:val="0"/>
        <w:adjustRightInd w:val="0"/>
        <w:ind w:hanging="567"/>
        <w:rPr>
          <w:rFonts w:eastAsia="Arial Unicode MS"/>
          <w:b/>
          <w:highlight w:val="yellow"/>
        </w:rPr>
      </w:pPr>
    </w:p>
    <w:p w14:paraId="784D9D96" w14:textId="77777777" w:rsidR="00F42642" w:rsidRPr="00270CE6" w:rsidRDefault="00F42642" w:rsidP="0093339C">
      <w:pPr>
        <w:tabs>
          <w:tab w:val="left" w:pos="709"/>
        </w:tabs>
        <w:autoSpaceDE w:val="0"/>
        <w:autoSpaceDN w:val="0"/>
        <w:adjustRightInd w:val="0"/>
        <w:ind w:hanging="567"/>
        <w:rPr>
          <w:rFonts w:eastAsia="Arial Unicode MS"/>
          <w:b/>
          <w:highlight w:val="yellow"/>
        </w:rPr>
      </w:pPr>
    </w:p>
    <w:p w14:paraId="0E88868A" w14:textId="269E04F8" w:rsidR="00E4772F" w:rsidRPr="00270CE6" w:rsidRDefault="00E4772F" w:rsidP="0093339C">
      <w:pPr>
        <w:tabs>
          <w:tab w:val="left" w:pos="709"/>
        </w:tabs>
        <w:autoSpaceDE w:val="0"/>
        <w:autoSpaceDN w:val="0"/>
        <w:adjustRightInd w:val="0"/>
        <w:ind w:hanging="567"/>
        <w:rPr>
          <w:rFonts w:eastAsia="Arial Unicode MS"/>
          <w:b/>
          <w:highlight w:val="yellow"/>
        </w:rPr>
      </w:pPr>
    </w:p>
    <w:p w14:paraId="173177B6" w14:textId="5FCA3DE2" w:rsidR="00E4772F" w:rsidRPr="00270CE6" w:rsidRDefault="00E4772F" w:rsidP="0093339C">
      <w:pPr>
        <w:tabs>
          <w:tab w:val="left" w:pos="709"/>
        </w:tabs>
        <w:autoSpaceDE w:val="0"/>
        <w:autoSpaceDN w:val="0"/>
        <w:adjustRightInd w:val="0"/>
        <w:ind w:hanging="567"/>
        <w:rPr>
          <w:rFonts w:eastAsia="Arial Unicode MS"/>
          <w:b/>
          <w:highlight w:val="yellow"/>
        </w:rPr>
      </w:pPr>
    </w:p>
    <w:p w14:paraId="6CB4ECDA" w14:textId="77777777" w:rsidR="00E4772F" w:rsidRPr="00270CE6" w:rsidRDefault="00E4772F" w:rsidP="0093339C">
      <w:pPr>
        <w:tabs>
          <w:tab w:val="left" w:pos="709"/>
        </w:tabs>
        <w:autoSpaceDE w:val="0"/>
        <w:autoSpaceDN w:val="0"/>
        <w:adjustRightInd w:val="0"/>
        <w:ind w:hanging="567"/>
        <w:rPr>
          <w:rFonts w:eastAsia="Arial Unicode MS"/>
          <w:b/>
          <w:highlight w:val="yellow"/>
        </w:rPr>
      </w:pPr>
    </w:p>
    <w:p w14:paraId="50D86997" w14:textId="77777777" w:rsidR="00B843E3" w:rsidRDefault="00B843E3">
      <w:pPr>
        <w:rPr>
          <w:rFonts w:eastAsia="Arial Unicode MS"/>
          <w:b/>
        </w:rPr>
      </w:pPr>
      <w:r>
        <w:rPr>
          <w:rFonts w:eastAsia="Arial Unicode MS"/>
          <w:b/>
        </w:rPr>
        <w:br w:type="page"/>
      </w:r>
    </w:p>
    <w:p w14:paraId="74582E87" w14:textId="651424E6" w:rsidR="000F096F" w:rsidRPr="00D31C46" w:rsidRDefault="0093339C" w:rsidP="0093339C">
      <w:pPr>
        <w:tabs>
          <w:tab w:val="left" w:pos="709"/>
        </w:tabs>
        <w:autoSpaceDE w:val="0"/>
        <w:autoSpaceDN w:val="0"/>
        <w:adjustRightInd w:val="0"/>
        <w:ind w:hanging="567"/>
        <w:rPr>
          <w:rFonts w:eastAsia="Arial Unicode MS"/>
          <w:b/>
        </w:rPr>
      </w:pPr>
      <w:r w:rsidRPr="00D31C46">
        <w:rPr>
          <w:rFonts w:eastAsia="Arial Unicode MS"/>
          <w:b/>
        </w:rPr>
        <w:lastRenderedPageBreak/>
        <w:t>4</w:t>
      </w:r>
      <w:r w:rsidR="00E253C8" w:rsidRPr="00D31C46">
        <w:rPr>
          <w:rFonts w:eastAsia="Arial Unicode MS"/>
          <w:b/>
        </w:rPr>
        <w:t>.</w:t>
      </w:r>
      <w:r w:rsidR="00E253C8" w:rsidRPr="00D31C46">
        <w:rPr>
          <w:rFonts w:eastAsia="Arial Unicode MS"/>
          <w:b/>
        </w:rPr>
        <w:tab/>
      </w:r>
      <w:r w:rsidR="005E0D58" w:rsidRPr="00D31C46">
        <w:rPr>
          <w:rFonts w:eastAsia="Arial Unicode MS"/>
          <w:b/>
        </w:rPr>
        <w:t>Gelir Tablosuna İlişkin A</w:t>
      </w:r>
      <w:r w:rsidR="00E253C8" w:rsidRPr="00D31C46">
        <w:rPr>
          <w:rFonts w:eastAsia="Arial Unicode MS"/>
          <w:b/>
        </w:rPr>
        <w:t>çıklam</w:t>
      </w:r>
      <w:r w:rsidR="005E0D58" w:rsidRPr="00D31C46">
        <w:rPr>
          <w:rFonts w:eastAsia="Arial Unicode MS"/>
          <w:b/>
        </w:rPr>
        <w:t>a ve D</w:t>
      </w:r>
      <w:r w:rsidR="00E253C8" w:rsidRPr="00D31C46">
        <w:rPr>
          <w:rFonts w:eastAsia="Arial Unicode MS"/>
          <w:b/>
        </w:rPr>
        <w:t>ipnotlar</w:t>
      </w:r>
    </w:p>
    <w:p w14:paraId="75FDD525" w14:textId="77777777" w:rsidR="000F096F" w:rsidRPr="00D31C46" w:rsidRDefault="000F096F" w:rsidP="000F096F">
      <w:pPr>
        <w:autoSpaceDE w:val="0"/>
        <w:autoSpaceDN w:val="0"/>
        <w:adjustRightInd w:val="0"/>
        <w:rPr>
          <w:rFonts w:eastAsia="Arial Unicode MS"/>
          <w:sz w:val="16"/>
          <w:szCs w:val="16"/>
        </w:rPr>
      </w:pPr>
    </w:p>
    <w:p w14:paraId="25E6E00F" w14:textId="77777777" w:rsidR="000F096F" w:rsidRPr="00D31C46" w:rsidRDefault="0093339C" w:rsidP="0093339C">
      <w:pPr>
        <w:tabs>
          <w:tab w:val="left" w:pos="709"/>
        </w:tabs>
        <w:autoSpaceDE w:val="0"/>
        <w:autoSpaceDN w:val="0"/>
        <w:adjustRightInd w:val="0"/>
        <w:ind w:hanging="567"/>
        <w:rPr>
          <w:rFonts w:eastAsia="Arial Unicode MS"/>
        </w:rPr>
      </w:pPr>
      <w:r w:rsidRPr="00D31C46">
        <w:rPr>
          <w:rFonts w:eastAsia="Arial Unicode MS"/>
          <w:b/>
        </w:rPr>
        <w:t>4</w:t>
      </w:r>
      <w:r w:rsidR="00E253C8" w:rsidRPr="00D31C46">
        <w:rPr>
          <w:rFonts w:eastAsia="Arial Unicode MS"/>
          <w:b/>
        </w:rPr>
        <w:t>.</w:t>
      </w:r>
      <w:r w:rsidRPr="00D31C46">
        <w:rPr>
          <w:rFonts w:eastAsia="Arial Unicode MS"/>
          <w:b/>
        </w:rPr>
        <w:t>1</w:t>
      </w:r>
      <w:r w:rsidR="00E253C8" w:rsidRPr="00D31C46">
        <w:rPr>
          <w:rFonts w:eastAsia="Arial Unicode MS"/>
        </w:rPr>
        <w:tab/>
      </w:r>
      <w:proofErr w:type="gramStart"/>
      <w:r w:rsidR="00E253C8" w:rsidRPr="00D31C46">
        <w:rPr>
          <w:rFonts w:eastAsia="Arial Unicode MS"/>
          <w:b/>
        </w:rPr>
        <w:t>Kar</w:t>
      </w:r>
      <w:proofErr w:type="gramEnd"/>
      <w:r w:rsidR="00E253C8" w:rsidRPr="00D31C46">
        <w:rPr>
          <w:rFonts w:eastAsia="Arial Unicode MS"/>
          <w:b/>
        </w:rPr>
        <w:t xml:space="preserve"> payı gelirlerine ilişkin bilgiler:</w:t>
      </w:r>
    </w:p>
    <w:p w14:paraId="252E5D6B" w14:textId="77777777" w:rsidR="000F096F" w:rsidRPr="00D31C46" w:rsidRDefault="000F096F" w:rsidP="000F096F">
      <w:pPr>
        <w:autoSpaceDE w:val="0"/>
        <w:autoSpaceDN w:val="0"/>
        <w:adjustRightInd w:val="0"/>
        <w:rPr>
          <w:b/>
          <w:bCs/>
          <w:iCs/>
          <w:sz w:val="16"/>
          <w:szCs w:val="16"/>
        </w:rPr>
      </w:pPr>
    </w:p>
    <w:p w14:paraId="7EC28DA9" w14:textId="77777777" w:rsidR="000F096F" w:rsidRPr="00D31C46" w:rsidRDefault="0093339C" w:rsidP="0093339C">
      <w:pPr>
        <w:tabs>
          <w:tab w:val="num" w:pos="709"/>
        </w:tabs>
        <w:autoSpaceDE w:val="0"/>
        <w:autoSpaceDN w:val="0"/>
        <w:adjustRightInd w:val="0"/>
        <w:ind w:hanging="567"/>
      </w:pPr>
      <w:r w:rsidRPr="00D31C46">
        <w:rPr>
          <w:rFonts w:eastAsia="Arial Unicode MS"/>
          <w:b/>
          <w:bCs/>
          <w:sz w:val="18"/>
          <w:szCs w:val="18"/>
        </w:rPr>
        <w:t>4</w:t>
      </w:r>
      <w:r w:rsidR="00D35A9A" w:rsidRPr="00D31C46">
        <w:rPr>
          <w:rFonts w:eastAsia="Arial Unicode MS"/>
          <w:b/>
          <w:bCs/>
          <w:sz w:val="18"/>
          <w:szCs w:val="18"/>
        </w:rPr>
        <w:t>.</w:t>
      </w:r>
      <w:r w:rsidRPr="00D31C46">
        <w:rPr>
          <w:rFonts w:eastAsia="Arial Unicode MS"/>
          <w:b/>
          <w:bCs/>
          <w:sz w:val="18"/>
          <w:szCs w:val="18"/>
        </w:rPr>
        <w:t>1.1</w:t>
      </w:r>
      <w:r w:rsidR="00D35A9A" w:rsidRPr="00D31C46">
        <w:rPr>
          <w:rFonts w:eastAsia="Arial Unicode MS"/>
          <w:b/>
          <w:bCs/>
          <w:sz w:val="18"/>
          <w:szCs w:val="18"/>
        </w:rPr>
        <w:tab/>
      </w:r>
      <w:r w:rsidR="00E253C8" w:rsidRPr="00D31C46">
        <w:rPr>
          <w:b/>
        </w:rPr>
        <w:t xml:space="preserve">Kredilerden alınan </w:t>
      </w:r>
      <w:proofErr w:type="gramStart"/>
      <w:r w:rsidR="00E253C8" w:rsidRPr="00D31C46">
        <w:rPr>
          <w:b/>
        </w:rPr>
        <w:t>kar</w:t>
      </w:r>
      <w:proofErr w:type="gramEnd"/>
      <w:r w:rsidR="00E253C8" w:rsidRPr="00D31C46">
        <w:rPr>
          <w:b/>
        </w:rPr>
        <w:t xml:space="preserve"> payı gelirlerine ilişkin bilgiler:</w:t>
      </w:r>
    </w:p>
    <w:p w14:paraId="26F8E130" w14:textId="6803F9D2" w:rsidR="00D31C46" w:rsidRPr="00D31C46" w:rsidRDefault="00D31C46" w:rsidP="0093339C">
      <w:pPr>
        <w:tabs>
          <w:tab w:val="num" w:pos="709"/>
          <w:tab w:val="num" w:pos="2880"/>
        </w:tabs>
        <w:autoSpaceDE w:val="0"/>
        <w:autoSpaceDN w:val="0"/>
        <w:adjustRightInd w:val="0"/>
        <w:ind w:hanging="567"/>
        <w:rPr>
          <w:lang w:val="en-GB" w:eastAsia="en-GB"/>
        </w:rPr>
      </w:pPr>
    </w:p>
    <w:tbl>
      <w:tblPr>
        <w:tblW w:w="9239" w:type="dxa"/>
        <w:tblCellMar>
          <w:left w:w="70" w:type="dxa"/>
          <w:right w:w="70" w:type="dxa"/>
        </w:tblCellMar>
        <w:tblLook w:val="04A0" w:firstRow="1" w:lastRow="0" w:firstColumn="1" w:lastColumn="0" w:noHBand="0" w:noVBand="1"/>
      </w:tblPr>
      <w:tblGrid>
        <w:gridCol w:w="4395"/>
        <w:gridCol w:w="1123"/>
        <w:gridCol w:w="1327"/>
        <w:gridCol w:w="1246"/>
        <w:gridCol w:w="1148"/>
      </w:tblGrid>
      <w:tr w:rsidR="00D31C46" w:rsidRPr="00D31C46" w14:paraId="2F46C58D" w14:textId="77777777" w:rsidTr="00B843E3">
        <w:trPr>
          <w:divId w:val="78404314"/>
          <w:trHeight w:val="268"/>
        </w:trPr>
        <w:tc>
          <w:tcPr>
            <w:tcW w:w="4395" w:type="dxa"/>
            <w:tcBorders>
              <w:top w:val="double" w:sz="6" w:space="0" w:color="auto"/>
              <w:left w:val="nil"/>
              <w:bottom w:val="single" w:sz="8" w:space="0" w:color="auto"/>
              <w:right w:val="nil"/>
            </w:tcBorders>
            <w:shd w:val="clear" w:color="auto" w:fill="auto"/>
            <w:vAlign w:val="center"/>
            <w:hideMark/>
          </w:tcPr>
          <w:p w14:paraId="11816598" w14:textId="5B74B2B6" w:rsidR="00D31C46" w:rsidRPr="00D31C46" w:rsidRDefault="00D31C46" w:rsidP="00D31C46">
            <w:pPr>
              <w:jc w:val="both"/>
              <w:rPr>
                <w:color w:val="000000"/>
                <w:sz w:val="18"/>
                <w:szCs w:val="18"/>
                <w:lang w:eastAsia="tr-TR"/>
              </w:rPr>
            </w:pPr>
            <w:r w:rsidRPr="00D31C46">
              <w:rPr>
                <w:color w:val="000000"/>
                <w:sz w:val="18"/>
                <w:szCs w:val="18"/>
                <w:lang w:eastAsia="tr-TR"/>
              </w:rPr>
              <w:t> </w:t>
            </w:r>
          </w:p>
        </w:tc>
        <w:tc>
          <w:tcPr>
            <w:tcW w:w="2450" w:type="dxa"/>
            <w:gridSpan w:val="2"/>
            <w:tcBorders>
              <w:top w:val="double" w:sz="6" w:space="0" w:color="auto"/>
              <w:left w:val="nil"/>
              <w:bottom w:val="single" w:sz="8" w:space="0" w:color="auto"/>
              <w:right w:val="nil"/>
            </w:tcBorders>
            <w:shd w:val="clear" w:color="auto" w:fill="auto"/>
            <w:vAlign w:val="center"/>
            <w:hideMark/>
          </w:tcPr>
          <w:p w14:paraId="2C23446C" w14:textId="77777777" w:rsidR="00D31C46" w:rsidRPr="00D31C46" w:rsidRDefault="00D31C46" w:rsidP="00D31C46">
            <w:pPr>
              <w:jc w:val="center"/>
              <w:rPr>
                <w:b/>
                <w:bCs/>
                <w:color w:val="000000"/>
                <w:sz w:val="18"/>
                <w:szCs w:val="18"/>
                <w:lang w:eastAsia="tr-TR"/>
              </w:rPr>
            </w:pPr>
            <w:r w:rsidRPr="00D31C46">
              <w:rPr>
                <w:b/>
                <w:bCs/>
                <w:color w:val="000000"/>
                <w:sz w:val="18"/>
                <w:szCs w:val="18"/>
                <w:lang w:eastAsia="tr-TR"/>
              </w:rPr>
              <w:t>Cari Dönem</w:t>
            </w:r>
          </w:p>
        </w:tc>
        <w:tc>
          <w:tcPr>
            <w:tcW w:w="2394" w:type="dxa"/>
            <w:gridSpan w:val="2"/>
            <w:tcBorders>
              <w:top w:val="double" w:sz="6" w:space="0" w:color="auto"/>
              <w:left w:val="nil"/>
              <w:bottom w:val="single" w:sz="8" w:space="0" w:color="auto"/>
              <w:right w:val="nil"/>
            </w:tcBorders>
            <w:shd w:val="clear" w:color="auto" w:fill="auto"/>
            <w:vAlign w:val="center"/>
            <w:hideMark/>
          </w:tcPr>
          <w:p w14:paraId="6004B2A8" w14:textId="77777777" w:rsidR="00D31C46" w:rsidRPr="00D31C46" w:rsidRDefault="00D31C46" w:rsidP="00D31C46">
            <w:pPr>
              <w:jc w:val="center"/>
              <w:rPr>
                <w:b/>
                <w:bCs/>
                <w:color w:val="000000"/>
                <w:sz w:val="18"/>
                <w:szCs w:val="18"/>
                <w:lang w:eastAsia="tr-TR"/>
              </w:rPr>
            </w:pPr>
            <w:r w:rsidRPr="00D31C46">
              <w:rPr>
                <w:b/>
                <w:bCs/>
                <w:color w:val="000000"/>
                <w:sz w:val="18"/>
                <w:szCs w:val="18"/>
                <w:lang w:eastAsia="tr-TR"/>
              </w:rPr>
              <w:t>Önceki Dönem</w:t>
            </w:r>
          </w:p>
        </w:tc>
      </w:tr>
      <w:tr w:rsidR="00D31C46" w:rsidRPr="00D31C46" w14:paraId="03A9A8A8" w14:textId="77777777" w:rsidTr="00B843E3">
        <w:trPr>
          <w:divId w:val="78404314"/>
          <w:trHeight w:val="253"/>
        </w:trPr>
        <w:tc>
          <w:tcPr>
            <w:tcW w:w="4395" w:type="dxa"/>
            <w:tcBorders>
              <w:top w:val="nil"/>
              <w:left w:val="nil"/>
              <w:bottom w:val="single" w:sz="8" w:space="0" w:color="auto"/>
              <w:right w:val="nil"/>
            </w:tcBorders>
            <w:shd w:val="clear" w:color="auto" w:fill="auto"/>
            <w:vAlign w:val="center"/>
            <w:hideMark/>
          </w:tcPr>
          <w:p w14:paraId="491588FD" w14:textId="77777777" w:rsidR="00D31C46" w:rsidRPr="00D31C46" w:rsidRDefault="00D31C46" w:rsidP="00D31C46">
            <w:pPr>
              <w:jc w:val="both"/>
              <w:rPr>
                <w:b/>
                <w:bCs/>
                <w:color w:val="000000"/>
                <w:sz w:val="18"/>
                <w:szCs w:val="18"/>
                <w:lang w:eastAsia="tr-TR"/>
              </w:rPr>
            </w:pPr>
            <w:r w:rsidRPr="00D31C46">
              <w:rPr>
                <w:b/>
                <w:bCs/>
                <w:color w:val="000000"/>
                <w:sz w:val="18"/>
                <w:szCs w:val="18"/>
                <w:lang w:eastAsia="tr-TR"/>
              </w:rPr>
              <w:t> </w:t>
            </w:r>
          </w:p>
        </w:tc>
        <w:tc>
          <w:tcPr>
            <w:tcW w:w="1123" w:type="dxa"/>
            <w:tcBorders>
              <w:top w:val="nil"/>
              <w:left w:val="nil"/>
              <w:bottom w:val="single" w:sz="8" w:space="0" w:color="auto"/>
              <w:right w:val="nil"/>
            </w:tcBorders>
            <w:shd w:val="clear" w:color="auto" w:fill="auto"/>
            <w:vAlign w:val="center"/>
            <w:hideMark/>
          </w:tcPr>
          <w:p w14:paraId="5A3538C9"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TP</w:t>
            </w:r>
          </w:p>
        </w:tc>
        <w:tc>
          <w:tcPr>
            <w:tcW w:w="1327" w:type="dxa"/>
            <w:tcBorders>
              <w:top w:val="nil"/>
              <w:left w:val="nil"/>
              <w:bottom w:val="single" w:sz="8" w:space="0" w:color="auto"/>
              <w:right w:val="nil"/>
            </w:tcBorders>
            <w:shd w:val="clear" w:color="auto" w:fill="auto"/>
            <w:vAlign w:val="center"/>
            <w:hideMark/>
          </w:tcPr>
          <w:p w14:paraId="46D05FEB"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YP</w:t>
            </w:r>
          </w:p>
        </w:tc>
        <w:tc>
          <w:tcPr>
            <w:tcW w:w="1246" w:type="dxa"/>
            <w:tcBorders>
              <w:top w:val="nil"/>
              <w:left w:val="nil"/>
              <w:bottom w:val="single" w:sz="8" w:space="0" w:color="auto"/>
              <w:right w:val="nil"/>
            </w:tcBorders>
            <w:shd w:val="clear" w:color="auto" w:fill="auto"/>
            <w:vAlign w:val="center"/>
            <w:hideMark/>
          </w:tcPr>
          <w:p w14:paraId="42FC9F99"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TP</w:t>
            </w:r>
          </w:p>
        </w:tc>
        <w:tc>
          <w:tcPr>
            <w:tcW w:w="1148" w:type="dxa"/>
            <w:tcBorders>
              <w:top w:val="nil"/>
              <w:left w:val="nil"/>
              <w:bottom w:val="single" w:sz="8" w:space="0" w:color="auto"/>
              <w:right w:val="nil"/>
            </w:tcBorders>
            <w:shd w:val="clear" w:color="auto" w:fill="auto"/>
            <w:vAlign w:val="center"/>
            <w:hideMark/>
          </w:tcPr>
          <w:p w14:paraId="708399A1"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YP</w:t>
            </w:r>
          </w:p>
        </w:tc>
      </w:tr>
      <w:tr w:rsidR="00D31C46" w:rsidRPr="00D31C46" w14:paraId="7C463E8F" w14:textId="77777777" w:rsidTr="00B843E3">
        <w:trPr>
          <w:divId w:val="78404314"/>
          <w:trHeight w:val="237"/>
        </w:trPr>
        <w:tc>
          <w:tcPr>
            <w:tcW w:w="4395" w:type="dxa"/>
            <w:tcBorders>
              <w:top w:val="nil"/>
              <w:left w:val="nil"/>
              <w:bottom w:val="nil"/>
              <w:right w:val="nil"/>
            </w:tcBorders>
            <w:shd w:val="clear" w:color="auto" w:fill="auto"/>
            <w:vAlign w:val="center"/>
            <w:hideMark/>
          </w:tcPr>
          <w:p w14:paraId="1EB7EF8D" w14:textId="77777777" w:rsidR="00D31C46" w:rsidRPr="00D31C46" w:rsidRDefault="00D31C46" w:rsidP="00D31C46">
            <w:pPr>
              <w:rPr>
                <w:b/>
                <w:bCs/>
                <w:color w:val="000000"/>
                <w:sz w:val="18"/>
                <w:szCs w:val="18"/>
                <w:lang w:eastAsia="tr-TR"/>
              </w:rPr>
            </w:pPr>
            <w:r w:rsidRPr="00D31C46">
              <w:rPr>
                <w:b/>
                <w:bCs/>
                <w:color w:val="000000"/>
                <w:sz w:val="18"/>
                <w:szCs w:val="18"/>
                <w:lang w:eastAsia="tr-TR"/>
              </w:rPr>
              <w:t xml:space="preserve">Kredilerden alınan </w:t>
            </w:r>
            <w:proofErr w:type="gramStart"/>
            <w:r w:rsidRPr="00D31C46">
              <w:rPr>
                <w:b/>
                <w:bCs/>
                <w:color w:val="000000"/>
                <w:sz w:val="18"/>
                <w:szCs w:val="18"/>
                <w:lang w:eastAsia="tr-TR"/>
              </w:rPr>
              <w:t>kar</w:t>
            </w:r>
            <w:proofErr w:type="gramEnd"/>
            <w:r w:rsidRPr="00D31C46">
              <w:rPr>
                <w:b/>
                <w:bCs/>
                <w:color w:val="000000"/>
                <w:sz w:val="18"/>
                <w:szCs w:val="18"/>
                <w:lang w:eastAsia="tr-TR"/>
              </w:rPr>
              <w:t xml:space="preserve"> payı </w:t>
            </w:r>
          </w:p>
        </w:tc>
        <w:tc>
          <w:tcPr>
            <w:tcW w:w="1123" w:type="dxa"/>
            <w:tcBorders>
              <w:top w:val="nil"/>
              <w:left w:val="nil"/>
              <w:bottom w:val="nil"/>
              <w:right w:val="nil"/>
            </w:tcBorders>
            <w:shd w:val="clear" w:color="auto" w:fill="auto"/>
            <w:vAlign w:val="center"/>
            <w:hideMark/>
          </w:tcPr>
          <w:p w14:paraId="116DC8BF"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3,782,353</w:t>
            </w:r>
          </w:p>
        </w:tc>
        <w:tc>
          <w:tcPr>
            <w:tcW w:w="1327" w:type="dxa"/>
            <w:tcBorders>
              <w:top w:val="nil"/>
              <w:left w:val="nil"/>
              <w:bottom w:val="nil"/>
              <w:right w:val="nil"/>
            </w:tcBorders>
            <w:shd w:val="clear" w:color="auto" w:fill="auto"/>
            <w:vAlign w:val="center"/>
            <w:hideMark/>
          </w:tcPr>
          <w:p w14:paraId="3BBAF6AB"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692,951</w:t>
            </w:r>
          </w:p>
        </w:tc>
        <w:tc>
          <w:tcPr>
            <w:tcW w:w="1246" w:type="dxa"/>
            <w:tcBorders>
              <w:top w:val="nil"/>
              <w:left w:val="nil"/>
              <w:bottom w:val="nil"/>
              <w:right w:val="nil"/>
            </w:tcBorders>
            <w:shd w:val="clear" w:color="auto" w:fill="auto"/>
            <w:vAlign w:val="center"/>
            <w:hideMark/>
          </w:tcPr>
          <w:p w14:paraId="0E95C934"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4,037,042</w:t>
            </w:r>
          </w:p>
        </w:tc>
        <w:tc>
          <w:tcPr>
            <w:tcW w:w="1148" w:type="dxa"/>
            <w:tcBorders>
              <w:top w:val="nil"/>
              <w:left w:val="nil"/>
              <w:bottom w:val="nil"/>
              <w:right w:val="nil"/>
            </w:tcBorders>
            <w:shd w:val="clear" w:color="auto" w:fill="auto"/>
            <w:vAlign w:val="center"/>
            <w:hideMark/>
          </w:tcPr>
          <w:p w14:paraId="23548385"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530,818</w:t>
            </w:r>
          </w:p>
        </w:tc>
      </w:tr>
      <w:tr w:rsidR="00D31C46" w:rsidRPr="00D31C46" w14:paraId="2E2C0734" w14:textId="77777777" w:rsidTr="00B843E3">
        <w:trPr>
          <w:divId w:val="78404314"/>
          <w:trHeight w:val="237"/>
        </w:trPr>
        <w:tc>
          <w:tcPr>
            <w:tcW w:w="4395" w:type="dxa"/>
            <w:tcBorders>
              <w:top w:val="nil"/>
              <w:left w:val="nil"/>
              <w:bottom w:val="nil"/>
              <w:right w:val="nil"/>
            </w:tcBorders>
            <w:shd w:val="clear" w:color="auto" w:fill="auto"/>
            <w:noWrap/>
            <w:vAlign w:val="center"/>
            <w:hideMark/>
          </w:tcPr>
          <w:p w14:paraId="2DDAEB76" w14:textId="77777777" w:rsidR="00D31C46" w:rsidRPr="00D31C46" w:rsidRDefault="00D31C46" w:rsidP="00D31C46">
            <w:pPr>
              <w:ind w:firstLineChars="100" w:firstLine="180"/>
              <w:rPr>
                <w:color w:val="000000"/>
                <w:sz w:val="18"/>
                <w:szCs w:val="18"/>
                <w:lang w:eastAsia="tr-TR"/>
              </w:rPr>
            </w:pPr>
            <w:r w:rsidRPr="00D31C46">
              <w:rPr>
                <w:color w:val="000000"/>
                <w:sz w:val="18"/>
                <w:szCs w:val="18"/>
                <w:lang w:eastAsia="tr-TR"/>
              </w:rPr>
              <w:t>Kısa vadeli kredilerden</w:t>
            </w:r>
          </w:p>
        </w:tc>
        <w:tc>
          <w:tcPr>
            <w:tcW w:w="1123" w:type="dxa"/>
            <w:tcBorders>
              <w:top w:val="nil"/>
              <w:left w:val="nil"/>
              <w:bottom w:val="nil"/>
              <w:right w:val="nil"/>
            </w:tcBorders>
            <w:shd w:val="clear" w:color="auto" w:fill="auto"/>
            <w:vAlign w:val="center"/>
            <w:hideMark/>
          </w:tcPr>
          <w:p w14:paraId="4287DCEB" w14:textId="77777777" w:rsidR="00D31C46" w:rsidRPr="00D31C46" w:rsidRDefault="00D31C46" w:rsidP="00D31C46">
            <w:pPr>
              <w:jc w:val="right"/>
              <w:rPr>
                <w:color w:val="000000"/>
                <w:sz w:val="18"/>
                <w:szCs w:val="18"/>
                <w:lang w:eastAsia="tr-TR"/>
              </w:rPr>
            </w:pPr>
            <w:r w:rsidRPr="00D31C46">
              <w:rPr>
                <w:color w:val="000000"/>
                <w:sz w:val="18"/>
                <w:szCs w:val="18"/>
                <w:lang w:eastAsia="tr-TR"/>
              </w:rPr>
              <w:t>773,834</w:t>
            </w:r>
          </w:p>
        </w:tc>
        <w:tc>
          <w:tcPr>
            <w:tcW w:w="1327" w:type="dxa"/>
            <w:tcBorders>
              <w:top w:val="nil"/>
              <w:left w:val="nil"/>
              <w:bottom w:val="nil"/>
              <w:right w:val="nil"/>
            </w:tcBorders>
            <w:shd w:val="clear" w:color="auto" w:fill="auto"/>
            <w:vAlign w:val="center"/>
            <w:hideMark/>
          </w:tcPr>
          <w:p w14:paraId="7132EF0C" w14:textId="77777777" w:rsidR="00D31C46" w:rsidRPr="00D31C46" w:rsidRDefault="00D31C46" w:rsidP="00D31C46">
            <w:pPr>
              <w:jc w:val="right"/>
              <w:rPr>
                <w:color w:val="000000"/>
                <w:sz w:val="18"/>
                <w:szCs w:val="18"/>
                <w:lang w:eastAsia="tr-TR"/>
              </w:rPr>
            </w:pPr>
            <w:r w:rsidRPr="00D31C46">
              <w:rPr>
                <w:color w:val="000000"/>
                <w:sz w:val="18"/>
                <w:szCs w:val="18"/>
                <w:lang w:eastAsia="tr-TR"/>
              </w:rPr>
              <w:t>67,136</w:t>
            </w:r>
          </w:p>
        </w:tc>
        <w:tc>
          <w:tcPr>
            <w:tcW w:w="1246" w:type="dxa"/>
            <w:tcBorders>
              <w:top w:val="nil"/>
              <w:left w:val="nil"/>
              <w:bottom w:val="nil"/>
              <w:right w:val="nil"/>
            </w:tcBorders>
            <w:shd w:val="clear" w:color="auto" w:fill="auto"/>
            <w:vAlign w:val="center"/>
            <w:hideMark/>
          </w:tcPr>
          <w:p w14:paraId="4A098ABB" w14:textId="77777777" w:rsidR="00D31C46" w:rsidRPr="00D31C46" w:rsidRDefault="00D31C46" w:rsidP="00D31C46">
            <w:pPr>
              <w:jc w:val="right"/>
              <w:rPr>
                <w:color w:val="000000"/>
                <w:sz w:val="18"/>
                <w:szCs w:val="18"/>
                <w:lang w:eastAsia="tr-TR"/>
              </w:rPr>
            </w:pPr>
            <w:r w:rsidRPr="00D31C46">
              <w:rPr>
                <w:color w:val="000000"/>
                <w:sz w:val="18"/>
                <w:szCs w:val="18"/>
                <w:lang w:eastAsia="tr-TR"/>
              </w:rPr>
              <w:t>1,179,282</w:t>
            </w:r>
          </w:p>
        </w:tc>
        <w:tc>
          <w:tcPr>
            <w:tcW w:w="1148" w:type="dxa"/>
            <w:tcBorders>
              <w:top w:val="nil"/>
              <w:left w:val="nil"/>
              <w:bottom w:val="nil"/>
              <w:right w:val="nil"/>
            </w:tcBorders>
            <w:shd w:val="clear" w:color="auto" w:fill="auto"/>
            <w:vAlign w:val="center"/>
            <w:hideMark/>
          </w:tcPr>
          <w:p w14:paraId="6B1C0D02" w14:textId="77777777" w:rsidR="00D31C46" w:rsidRPr="00D31C46" w:rsidRDefault="00D31C46" w:rsidP="00D31C46">
            <w:pPr>
              <w:jc w:val="right"/>
              <w:rPr>
                <w:color w:val="000000"/>
                <w:sz w:val="18"/>
                <w:szCs w:val="18"/>
                <w:lang w:eastAsia="tr-TR"/>
              </w:rPr>
            </w:pPr>
            <w:r w:rsidRPr="00D31C46">
              <w:rPr>
                <w:color w:val="000000"/>
                <w:sz w:val="18"/>
                <w:szCs w:val="18"/>
                <w:lang w:eastAsia="tr-TR"/>
              </w:rPr>
              <w:t>92,895</w:t>
            </w:r>
          </w:p>
        </w:tc>
      </w:tr>
      <w:tr w:rsidR="00D31C46" w:rsidRPr="00D31C46" w14:paraId="4A3E2901" w14:textId="77777777" w:rsidTr="00B843E3">
        <w:trPr>
          <w:divId w:val="78404314"/>
          <w:trHeight w:val="237"/>
        </w:trPr>
        <w:tc>
          <w:tcPr>
            <w:tcW w:w="4395" w:type="dxa"/>
            <w:tcBorders>
              <w:top w:val="nil"/>
              <w:left w:val="nil"/>
              <w:bottom w:val="nil"/>
              <w:right w:val="nil"/>
            </w:tcBorders>
            <w:shd w:val="clear" w:color="auto" w:fill="auto"/>
            <w:noWrap/>
            <w:vAlign w:val="center"/>
            <w:hideMark/>
          </w:tcPr>
          <w:p w14:paraId="6A1D2AEF" w14:textId="77777777" w:rsidR="00D31C46" w:rsidRPr="00D31C46" w:rsidRDefault="00D31C46" w:rsidP="00D31C46">
            <w:pPr>
              <w:ind w:firstLineChars="100" w:firstLine="180"/>
              <w:rPr>
                <w:color w:val="000000"/>
                <w:sz w:val="18"/>
                <w:szCs w:val="18"/>
                <w:lang w:eastAsia="tr-TR"/>
              </w:rPr>
            </w:pPr>
            <w:r w:rsidRPr="00D31C46">
              <w:rPr>
                <w:color w:val="000000"/>
                <w:sz w:val="18"/>
                <w:szCs w:val="18"/>
                <w:lang w:eastAsia="tr-TR"/>
              </w:rPr>
              <w:t>Orta ve uzun vadeli kredilerden</w:t>
            </w:r>
          </w:p>
        </w:tc>
        <w:tc>
          <w:tcPr>
            <w:tcW w:w="1123" w:type="dxa"/>
            <w:tcBorders>
              <w:top w:val="nil"/>
              <w:left w:val="nil"/>
              <w:bottom w:val="nil"/>
              <w:right w:val="nil"/>
            </w:tcBorders>
            <w:shd w:val="clear" w:color="auto" w:fill="auto"/>
            <w:vAlign w:val="center"/>
            <w:hideMark/>
          </w:tcPr>
          <w:p w14:paraId="7C04F2E1" w14:textId="77777777" w:rsidR="00D31C46" w:rsidRPr="00D31C46" w:rsidRDefault="00D31C46" w:rsidP="00D31C46">
            <w:pPr>
              <w:jc w:val="right"/>
              <w:rPr>
                <w:color w:val="000000"/>
                <w:sz w:val="18"/>
                <w:szCs w:val="18"/>
                <w:lang w:eastAsia="tr-TR"/>
              </w:rPr>
            </w:pPr>
            <w:r w:rsidRPr="00D31C46">
              <w:rPr>
                <w:color w:val="000000"/>
                <w:sz w:val="18"/>
                <w:szCs w:val="18"/>
                <w:lang w:eastAsia="tr-TR"/>
              </w:rPr>
              <w:t>2,975,209</w:t>
            </w:r>
          </w:p>
        </w:tc>
        <w:tc>
          <w:tcPr>
            <w:tcW w:w="1327" w:type="dxa"/>
            <w:tcBorders>
              <w:top w:val="nil"/>
              <w:left w:val="nil"/>
              <w:bottom w:val="nil"/>
              <w:right w:val="nil"/>
            </w:tcBorders>
            <w:shd w:val="clear" w:color="auto" w:fill="auto"/>
            <w:vAlign w:val="center"/>
            <w:hideMark/>
          </w:tcPr>
          <w:p w14:paraId="64E69CB2" w14:textId="77777777" w:rsidR="00D31C46" w:rsidRPr="00D31C46" w:rsidRDefault="00D31C46" w:rsidP="00D31C46">
            <w:pPr>
              <w:jc w:val="right"/>
              <w:rPr>
                <w:color w:val="000000"/>
                <w:sz w:val="18"/>
                <w:szCs w:val="18"/>
                <w:lang w:eastAsia="tr-TR"/>
              </w:rPr>
            </w:pPr>
            <w:r w:rsidRPr="00D31C46">
              <w:rPr>
                <w:color w:val="000000"/>
                <w:sz w:val="18"/>
                <w:szCs w:val="18"/>
                <w:lang w:eastAsia="tr-TR"/>
              </w:rPr>
              <w:t>624,044</w:t>
            </w:r>
          </w:p>
        </w:tc>
        <w:tc>
          <w:tcPr>
            <w:tcW w:w="1246" w:type="dxa"/>
            <w:tcBorders>
              <w:top w:val="nil"/>
              <w:left w:val="nil"/>
              <w:bottom w:val="nil"/>
              <w:right w:val="nil"/>
            </w:tcBorders>
            <w:shd w:val="clear" w:color="auto" w:fill="auto"/>
            <w:vAlign w:val="center"/>
            <w:hideMark/>
          </w:tcPr>
          <w:p w14:paraId="7E163559" w14:textId="77777777" w:rsidR="00D31C46" w:rsidRPr="00D31C46" w:rsidRDefault="00D31C46" w:rsidP="00D31C46">
            <w:pPr>
              <w:jc w:val="right"/>
              <w:rPr>
                <w:color w:val="000000"/>
                <w:sz w:val="18"/>
                <w:szCs w:val="18"/>
                <w:lang w:eastAsia="tr-TR"/>
              </w:rPr>
            </w:pPr>
            <w:r w:rsidRPr="00D31C46">
              <w:rPr>
                <w:color w:val="000000"/>
                <w:sz w:val="18"/>
                <w:szCs w:val="18"/>
                <w:lang w:eastAsia="tr-TR"/>
              </w:rPr>
              <w:t>2,822,492</w:t>
            </w:r>
          </w:p>
        </w:tc>
        <w:tc>
          <w:tcPr>
            <w:tcW w:w="1148" w:type="dxa"/>
            <w:tcBorders>
              <w:top w:val="nil"/>
              <w:left w:val="nil"/>
              <w:bottom w:val="nil"/>
              <w:right w:val="nil"/>
            </w:tcBorders>
            <w:shd w:val="clear" w:color="auto" w:fill="auto"/>
            <w:vAlign w:val="center"/>
            <w:hideMark/>
          </w:tcPr>
          <w:p w14:paraId="35098B9F" w14:textId="77777777" w:rsidR="00D31C46" w:rsidRPr="00D31C46" w:rsidRDefault="00D31C46" w:rsidP="00D31C46">
            <w:pPr>
              <w:jc w:val="right"/>
              <w:rPr>
                <w:color w:val="000000"/>
                <w:sz w:val="18"/>
                <w:szCs w:val="18"/>
                <w:lang w:eastAsia="tr-TR"/>
              </w:rPr>
            </w:pPr>
            <w:r w:rsidRPr="00D31C46">
              <w:rPr>
                <w:color w:val="000000"/>
                <w:sz w:val="18"/>
                <w:szCs w:val="18"/>
                <w:lang w:eastAsia="tr-TR"/>
              </w:rPr>
              <w:t>437,919</w:t>
            </w:r>
          </w:p>
        </w:tc>
      </w:tr>
      <w:tr w:rsidR="00D31C46" w:rsidRPr="00D31C46" w14:paraId="40407BDF" w14:textId="77777777" w:rsidTr="00B843E3">
        <w:trPr>
          <w:divId w:val="78404314"/>
          <w:trHeight w:val="237"/>
        </w:trPr>
        <w:tc>
          <w:tcPr>
            <w:tcW w:w="4395" w:type="dxa"/>
            <w:tcBorders>
              <w:top w:val="nil"/>
              <w:left w:val="nil"/>
              <w:bottom w:val="nil"/>
              <w:right w:val="nil"/>
            </w:tcBorders>
            <w:shd w:val="clear" w:color="auto" w:fill="auto"/>
            <w:noWrap/>
            <w:vAlign w:val="center"/>
            <w:hideMark/>
          </w:tcPr>
          <w:p w14:paraId="4DB7E7D3" w14:textId="77777777" w:rsidR="00D31C46" w:rsidRPr="00D31C46" w:rsidRDefault="00D31C46" w:rsidP="00D31C46">
            <w:pPr>
              <w:ind w:firstLineChars="100" w:firstLine="180"/>
              <w:rPr>
                <w:color w:val="000000"/>
                <w:sz w:val="18"/>
                <w:szCs w:val="18"/>
                <w:lang w:eastAsia="tr-TR"/>
              </w:rPr>
            </w:pPr>
            <w:r w:rsidRPr="00D31C46">
              <w:rPr>
                <w:color w:val="000000"/>
                <w:sz w:val="18"/>
                <w:szCs w:val="18"/>
                <w:lang w:eastAsia="tr-TR"/>
              </w:rPr>
              <w:t xml:space="preserve">Takipteki alacaklardan alınan </w:t>
            </w:r>
            <w:proofErr w:type="gramStart"/>
            <w:r w:rsidRPr="00D31C46">
              <w:rPr>
                <w:color w:val="000000"/>
                <w:sz w:val="18"/>
                <w:szCs w:val="18"/>
                <w:lang w:eastAsia="tr-TR"/>
              </w:rPr>
              <w:t>kar</w:t>
            </w:r>
            <w:proofErr w:type="gramEnd"/>
            <w:r w:rsidRPr="00D31C46">
              <w:rPr>
                <w:color w:val="000000"/>
                <w:sz w:val="18"/>
                <w:szCs w:val="18"/>
                <w:lang w:eastAsia="tr-TR"/>
              </w:rPr>
              <w:t xml:space="preserve"> payı</w:t>
            </w:r>
          </w:p>
        </w:tc>
        <w:tc>
          <w:tcPr>
            <w:tcW w:w="1123" w:type="dxa"/>
            <w:tcBorders>
              <w:top w:val="nil"/>
              <w:left w:val="nil"/>
              <w:bottom w:val="nil"/>
              <w:right w:val="nil"/>
            </w:tcBorders>
            <w:shd w:val="clear" w:color="auto" w:fill="auto"/>
            <w:vAlign w:val="center"/>
            <w:hideMark/>
          </w:tcPr>
          <w:p w14:paraId="2345690A" w14:textId="77777777" w:rsidR="00D31C46" w:rsidRPr="00D31C46" w:rsidRDefault="00D31C46" w:rsidP="00D31C46">
            <w:pPr>
              <w:jc w:val="right"/>
              <w:rPr>
                <w:color w:val="000000"/>
                <w:sz w:val="18"/>
                <w:szCs w:val="18"/>
                <w:lang w:eastAsia="tr-TR"/>
              </w:rPr>
            </w:pPr>
            <w:r w:rsidRPr="00D31C46">
              <w:rPr>
                <w:color w:val="000000"/>
                <w:sz w:val="18"/>
                <w:szCs w:val="18"/>
                <w:lang w:eastAsia="tr-TR"/>
              </w:rPr>
              <w:t>33,310</w:t>
            </w:r>
          </w:p>
        </w:tc>
        <w:tc>
          <w:tcPr>
            <w:tcW w:w="1327" w:type="dxa"/>
            <w:tcBorders>
              <w:top w:val="nil"/>
              <w:left w:val="nil"/>
              <w:bottom w:val="nil"/>
              <w:right w:val="nil"/>
            </w:tcBorders>
            <w:shd w:val="clear" w:color="auto" w:fill="auto"/>
            <w:vAlign w:val="center"/>
            <w:hideMark/>
          </w:tcPr>
          <w:p w14:paraId="38DB60E0" w14:textId="77777777" w:rsidR="00D31C46" w:rsidRPr="00D31C46" w:rsidRDefault="00D31C46" w:rsidP="00D31C46">
            <w:pPr>
              <w:jc w:val="right"/>
              <w:rPr>
                <w:color w:val="000000"/>
                <w:sz w:val="18"/>
                <w:szCs w:val="18"/>
                <w:lang w:eastAsia="tr-TR"/>
              </w:rPr>
            </w:pPr>
            <w:r w:rsidRPr="00D31C46">
              <w:rPr>
                <w:color w:val="000000"/>
                <w:sz w:val="18"/>
                <w:szCs w:val="18"/>
                <w:lang w:eastAsia="tr-TR"/>
              </w:rPr>
              <w:t>1,771</w:t>
            </w:r>
          </w:p>
        </w:tc>
        <w:tc>
          <w:tcPr>
            <w:tcW w:w="1246" w:type="dxa"/>
            <w:tcBorders>
              <w:top w:val="nil"/>
              <w:left w:val="nil"/>
              <w:bottom w:val="nil"/>
              <w:right w:val="nil"/>
            </w:tcBorders>
            <w:shd w:val="clear" w:color="auto" w:fill="auto"/>
            <w:vAlign w:val="center"/>
            <w:hideMark/>
          </w:tcPr>
          <w:p w14:paraId="53204CB6" w14:textId="77777777" w:rsidR="00D31C46" w:rsidRPr="00D31C46" w:rsidRDefault="00D31C46" w:rsidP="00D31C46">
            <w:pPr>
              <w:jc w:val="right"/>
              <w:rPr>
                <w:color w:val="000000"/>
                <w:sz w:val="18"/>
                <w:szCs w:val="18"/>
                <w:lang w:eastAsia="tr-TR"/>
              </w:rPr>
            </w:pPr>
            <w:r w:rsidRPr="00D31C46">
              <w:rPr>
                <w:color w:val="000000"/>
                <w:sz w:val="18"/>
                <w:szCs w:val="18"/>
                <w:lang w:eastAsia="tr-TR"/>
              </w:rPr>
              <w:t>35,268</w:t>
            </w:r>
          </w:p>
        </w:tc>
        <w:tc>
          <w:tcPr>
            <w:tcW w:w="1148" w:type="dxa"/>
            <w:tcBorders>
              <w:top w:val="nil"/>
              <w:left w:val="nil"/>
              <w:bottom w:val="nil"/>
              <w:right w:val="nil"/>
            </w:tcBorders>
            <w:shd w:val="clear" w:color="auto" w:fill="auto"/>
            <w:vAlign w:val="center"/>
            <w:hideMark/>
          </w:tcPr>
          <w:p w14:paraId="192BCC12" w14:textId="77777777" w:rsidR="00D31C46" w:rsidRPr="00D31C46" w:rsidRDefault="00D31C46" w:rsidP="00D31C46">
            <w:pPr>
              <w:jc w:val="right"/>
              <w:rPr>
                <w:color w:val="000000"/>
                <w:sz w:val="18"/>
                <w:szCs w:val="18"/>
                <w:lang w:eastAsia="tr-TR"/>
              </w:rPr>
            </w:pPr>
            <w:r w:rsidRPr="00D31C46">
              <w:rPr>
                <w:color w:val="000000"/>
                <w:sz w:val="18"/>
                <w:szCs w:val="18"/>
                <w:lang w:eastAsia="tr-TR"/>
              </w:rPr>
              <w:t>4</w:t>
            </w:r>
          </w:p>
        </w:tc>
      </w:tr>
      <w:tr w:rsidR="00D31C46" w:rsidRPr="00D31C46" w14:paraId="2B316DF9" w14:textId="77777777" w:rsidTr="00B843E3">
        <w:trPr>
          <w:divId w:val="78404314"/>
          <w:trHeight w:val="253"/>
        </w:trPr>
        <w:tc>
          <w:tcPr>
            <w:tcW w:w="4395" w:type="dxa"/>
            <w:tcBorders>
              <w:top w:val="nil"/>
              <w:left w:val="nil"/>
              <w:bottom w:val="nil"/>
              <w:right w:val="nil"/>
            </w:tcBorders>
            <w:shd w:val="clear" w:color="auto" w:fill="auto"/>
            <w:noWrap/>
            <w:vAlign w:val="center"/>
            <w:hideMark/>
          </w:tcPr>
          <w:p w14:paraId="04DCEFBC" w14:textId="77777777" w:rsidR="00D31C46" w:rsidRPr="00D31C46" w:rsidRDefault="00D31C46" w:rsidP="00D31C46">
            <w:pPr>
              <w:ind w:firstLineChars="100" w:firstLine="180"/>
              <w:rPr>
                <w:color w:val="000000"/>
                <w:sz w:val="18"/>
                <w:szCs w:val="18"/>
                <w:lang w:eastAsia="tr-TR"/>
              </w:rPr>
            </w:pPr>
            <w:r w:rsidRPr="00D31C46">
              <w:rPr>
                <w:color w:val="000000"/>
                <w:sz w:val="18"/>
                <w:szCs w:val="18"/>
                <w:lang w:eastAsia="tr-TR"/>
              </w:rPr>
              <w:t xml:space="preserve">Kaynak kul. </w:t>
            </w:r>
            <w:proofErr w:type="gramStart"/>
            <w:r w:rsidRPr="00D31C46">
              <w:rPr>
                <w:color w:val="000000"/>
                <w:sz w:val="18"/>
                <w:szCs w:val="18"/>
                <w:lang w:eastAsia="tr-TR"/>
              </w:rPr>
              <w:t>destekleme</w:t>
            </w:r>
            <w:proofErr w:type="gramEnd"/>
            <w:r w:rsidRPr="00D31C46">
              <w:rPr>
                <w:color w:val="000000"/>
                <w:sz w:val="18"/>
                <w:szCs w:val="18"/>
                <w:lang w:eastAsia="tr-TR"/>
              </w:rPr>
              <w:t xml:space="preserve"> fonundan alınan primler</w:t>
            </w:r>
          </w:p>
        </w:tc>
        <w:tc>
          <w:tcPr>
            <w:tcW w:w="1123" w:type="dxa"/>
            <w:tcBorders>
              <w:top w:val="nil"/>
              <w:left w:val="nil"/>
              <w:bottom w:val="nil"/>
              <w:right w:val="nil"/>
            </w:tcBorders>
            <w:shd w:val="clear" w:color="auto" w:fill="auto"/>
            <w:vAlign w:val="center"/>
            <w:hideMark/>
          </w:tcPr>
          <w:p w14:paraId="2AE5AAFB"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c>
          <w:tcPr>
            <w:tcW w:w="1327" w:type="dxa"/>
            <w:tcBorders>
              <w:top w:val="nil"/>
              <w:left w:val="nil"/>
              <w:bottom w:val="nil"/>
              <w:right w:val="nil"/>
            </w:tcBorders>
            <w:shd w:val="clear" w:color="auto" w:fill="auto"/>
            <w:vAlign w:val="center"/>
            <w:hideMark/>
          </w:tcPr>
          <w:p w14:paraId="47DD350D"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c>
          <w:tcPr>
            <w:tcW w:w="1246" w:type="dxa"/>
            <w:tcBorders>
              <w:top w:val="nil"/>
              <w:left w:val="nil"/>
              <w:bottom w:val="nil"/>
              <w:right w:val="nil"/>
            </w:tcBorders>
            <w:shd w:val="clear" w:color="auto" w:fill="auto"/>
            <w:vAlign w:val="center"/>
            <w:hideMark/>
          </w:tcPr>
          <w:p w14:paraId="0C4913B6"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c>
          <w:tcPr>
            <w:tcW w:w="1148" w:type="dxa"/>
            <w:tcBorders>
              <w:top w:val="nil"/>
              <w:left w:val="nil"/>
              <w:bottom w:val="nil"/>
              <w:right w:val="nil"/>
            </w:tcBorders>
            <w:shd w:val="clear" w:color="auto" w:fill="auto"/>
            <w:vAlign w:val="center"/>
            <w:hideMark/>
          </w:tcPr>
          <w:p w14:paraId="6A85D461"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r>
      <w:tr w:rsidR="00D31C46" w:rsidRPr="00D31C46" w14:paraId="403F678F" w14:textId="77777777" w:rsidTr="00B843E3">
        <w:trPr>
          <w:divId w:val="78404314"/>
          <w:trHeight w:val="253"/>
        </w:trPr>
        <w:tc>
          <w:tcPr>
            <w:tcW w:w="4395" w:type="dxa"/>
            <w:tcBorders>
              <w:top w:val="single" w:sz="8" w:space="0" w:color="auto"/>
              <w:left w:val="nil"/>
              <w:bottom w:val="double" w:sz="6" w:space="0" w:color="auto"/>
              <w:right w:val="nil"/>
            </w:tcBorders>
            <w:shd w:val="clear" w:color="auto" w:fill="auto"/>
            <w:vAlign w:val="center"/>
            <w:hideMark/>
          </w:tcPr>
          <w:p w14:paraId="2254B00B" w14:textId="77777777" w:rsidR="00D31C46" w:rsidRPr="00D31C46" w:rsidRDefault="00D31C46" w:rsidP="00D31C46">
            <w:pPr>
              <w:jc w:val="both"/>
              <w:rPr>
                <w:b/>
                <w:bCs/>
                <w:color w:val="000000"/>
                <w:sz w:val="18"/>
                <w:szCs w:val="18"/>
                <w:lang w:eastAsia="tr-TR"/>
              </w:rPr>
            </w:pPr>
            <w:r w:rsidRPr="00D31C46">
              <w:rPr>
                <w:b/>
                <w:bCs/>
                <w:color w:val="000000"/>
                <w:sz w:val="18"/>
                <w:szCs w:val="18"/>
                <w:lang w:eastAsia="tr-TR"/>
              </w:rPr>
              <w:t>Toplam</w:t>
            </w:r>
          </w:p>
        </w:tc>
        <w:tc>
          <w:tcPr>
            <w:tcW w:w="1123" w:type="dxa"/>
            <w:tcBorders>
              <w:top w:val="single" w:sz="8" w:space="0" w:color="auto"/>
              <w:left w:val="nil"/>
              <w:bottom w:val="double" w:sz="6" w:space="0" w:color="auto"/>
              <w:right w:val="nil"/>
            </w:tcBorders>
            <w:shd w:val="clear" w:color="auto" w:fill="auto"/>
            <w:vAlign w:val="center"/>
            <w:hideMark/>
          </w:tcPr>
          <w:p w14:paraId="25F24D85"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3,782,353</w:t>
            </w:r>
          </w:p>
        </w:tc>
        <w:tc>
          <w:tcPr>
            <w:tcW w:w="1327" w:type="dxa"/>
            <w:tcBorders>
              <w:top w:val="single" w:sz="8" w:space="0" w:color="auto"/>
              <w:left w:val="nil"/>
              <w:bottom w:val="double" w:sz="6" w:space="0" w:color="auto"/>
              <w:right w:val="nil"/>
            </w:tcBorders>
            <w:shd w:val="clear" w:color="auto" w:fill="auto"/>
            <w:vAlign w:val="center"/>
            <w:hideMark/>
          </w:tcPr>
          <w:p w14:paraId="5B94B1A5"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692,951</w:t>
            </w:r>
          </w:p>
        </w:tc>
        <w:tc>
          <w:tcPr>
            <w:tcW w:w="1246" w:type="dxa"/>
            <w:tcBorders>
              <w:top w:val="single" w:sz="8" w:space="0" w:color="auto"/>
              <w:left w:val="nil"/>
              <w:bottom w:val="double" w:sz="6" w:space="0" w:color="auto"/>
              <w:right w:val="nil"/>
            </w:tcBorders>
            <w:shd w:val="clear" w:color="auto" w:fill="auto"/>
            <w:vAlign w:val="center"/>
            <w:hideMark/>
          </w:tcPr>
          <w:p w14:paraId="726FE7F9"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4,037,042</w:t>
            </w:r>
          </w:p>
        </w:tc>
        <w:tc>
          <w:tcPr>
            <w:tcW w:w="1148" w:type="dxa"/>
            <w:tcBorders>
              <w:top w:val="single" w:sz="8" w:space="0" w:color="auto"/>
              <w:left w:val="nil"/>
              <w:bottom w:val="double" w:sz="6" w:space="0" w:color="auto"/>
              <w:right w:val="nil"/>
            </w:tcBorders>
            <w:shd w:val="clear" w:color="auto" w:fill="auto"/>
            <w:vAlign w:val="center"/>
            <w:hideMark/>
          </w:tcPr>
          <w:p w14:paraId="4A231DEA"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530,818</w:t>
            </w:r>
          </w:p>
        </w:tc>
      </w:tr>
    </w:tbl>
    <w:p w14:paraId="4B2F3DD9" w14:textId="4E27CD83" w:rsidR="009608CC" w:rsidRPr="00D31C46" w:rsidRDefault="009608CC" w:rsidP="0093339C">
      <w:pPr>
        <w:tabs>
          <w:tab w:val="num" w:pos="709"/>
          <w:tab w:val="num" w:pos="2880"/>
        </w:tabs>
        <w:autoSpaceDE w:val="0"/>
        <w:autoSpaceDN w:val="0"/>
        <w:adjustRightInd w:val="0"/>
        <w:ind w:hanging="567"/>
        <w:rPr>
          <w:b/>
        </w:rPr>
      </w:pPr>
    </w:p>
    <w:p w14:paraId="67ECA221" w14:textId="77777777" w:rsidR="00A90984" w:rsidRPr="00D31C46" w:rsidRDefault="0093339C" w:rsidP="0093339C">
      <w:pPr>
        <w:tabs>
          <w:tab w:val="num" w:pos="709"/>
          <w:tab w:val="num" w:pos="2880"/>
        </w:tabs>
        <w:autoSpaceDE w:val="0"/>
        <w:autoSpaceDN w:val="0"/>
        <w:adjustRightInd w:val="0"/>
        <w:ind w:hanging="567"/>
        <w:rPr>
          <w:b/>
        </w:rPr>
      </w:pPr>
      <w:r w:rsidRPr="00D31C46">
        <w:rPr>
          <w:b/>
        </w:rPr>
        <w:t>4.1.2</w:t>
      </w:r>
      <w:r w:rsidR="00A90984" w:rsidRPr="00D31C46">
        <w:rPr>
          <w:b/>
        </w:rPr>
        <w:tab/>
        <w:t xml:space="preserve">Bankalardan alınan </w:t>
      </w:r>
      <w:proofErr w:type="gramStart"/>
      <w:r w:rsidR="00A90984" w:rsidRPr="00D31C46">
        <w:rPr>
          <w:b/>
        </w:rPr>
        <w:t>kar</w:t>
      </w:r>
      <w:proofErr w:type="gramEnd"/>
      <w:r w:rsidR="00A90984" w:rsidRPr="00D31C46">
        <w:rPr>
          <w:b/>
        </w:rPr>
        <w:t xml:space="preserve"> payı gelirlerine ilişkin bilgiler: </w:t>
      </w:r>
    </w:p>
    <w:p w14:paraId="25E1A5A5" w14:textId="77FA0892" w:rsidR="00D31C46" w:rsidRPr="00D31C46" w:rsidRDefault="00D31C46" w:rsidP="000F096F">
      <w:pPr>
        <w:autoSpaceDE w:val="0"/>
        <w:autoSpaceDN w:val="0"/>
        <w:adjustRightInd w:val="0"/>
        <w:rPr>
          <w:lang w:val="en-GB" w:eastAsia="en-GB"/>
        </w:rPr>
      </w:pPr>
    </w:p>
    <w:tbl>
      <w:tblPr>
        <w:tblW w:w="9229" w:type="dxa"/>
        <w:tblCellMar>
          <w:left w:w="70" w:type="dxa"/>
          <w:right w:w="70" w:type="dxa"/>
        </w:tblCellMar>
        <w:tblLook w:val="04A0" w:firstRow="1" w:lastRow="0" w:firstColumn="1" w:lastColumn="0" w:noHBand="0" w:noVBand="1"/>
      </w:tblPr>
      <w:tblGrid>
        <w:gridCol w:w="4395"/>
        <w:gridCol w:w="1134"/>
        <w:gridCol w:w="1298"/>
        <w:gridCol w:w="7"/>
        <w:gridCol w:w="1240"/>
        <w:gridCol w:w="1148"/>
        <w:gridCol w:w="7"/>
      </w:tblGrid>
      <w:tr w:rsidR="00D31C46" w:rsidRPr="00D31C46" w14:paraId="5C8C7BE1" w14:textId="77777777" w:rsidTr="00B843E3">
        <w:trPr>
          <w:divId w:val="36205096"/>
          <w:trHeight w:val="268"/>
        </w:trPr>
        <w:tc>
          <w:tcPr>
            <w:tcW w:w="4395" w:type="dxa"/>
            <w:tcBorders>
              <w:top w:val="double" w:sz="6" w:space="0" w:color="auto"/>
              <w:left w:val="nil"/>
              <w:bottom w:val="nil"/>
              <w:right w:val="nil"/>
            </w:tcBorders>
            <w:shd w:val="clear" w:color="auto" w:fill="auto"/>
            <w:vAlign w:val="center"/>
            <w:hideMark/>
          </w:tcPr>
          <w:p w14:paraId="1EDD4528" w14:textId="681FC551" w:rsidR="00D31C46" w:rsidRPr="00D31C46" w:rsidRDefault="00D31C46" w:rsidP="00D31C46">
            <w:pPr>
              <w:jc w:val="both"/>
              <w:rPr>
                <w:color w:val="000000"/>
                <w:sz w:val="18"/>
                <w:szCs w:val="18"/>
                <w:lang w:eastAsia="tr-TR"/>
              </w:rPr>
            </w:pPr>
            <w:r w:rsidRPr="00D31C46">
              <w:rPr>
                <w:color w:val="000000"/>
                <w:sz w:val="18"/>
                <w:szCs w:val="18"/>
                <w:lang w:eastAsia="tr-TR"/>
              </w:rPr>
              <w:t> </w:t>
            </w:r>
          </w:p>
        </w:tc>
        <w:tc>
          <w:tcPr>
            <w:tcW w:w="2439" w:type="dxa"/>
            <w:gridSpan w:val="3"/>
            <w:tcBorders>
              <w:top w:val="double" w:sz="6" w:space="0" w:color="auto"/>
              <w:left w:val="nil"/>
              <w:bottom w:val="single" w:sz="8" w:space="0" w:color="auto"/>
              <w:right w:val="nil"/>
            </w:tcBorders>
            <w:shd w:val="clear" w:color="auto" w:fill="auto"/>
            <w:vAlign w:val="center"/>
            <w:hideMark/>
          </w:tcPr>
          <w:p w14:paraId="29B2C2B5" w14:textId="77777777" w:rsidR="00D31C46" w:rsidRPr="00D31C46" w:rsidRDefault="00D31C46" w:rsidP="00D31C46">
            <w:pPr>
              <w:jc w:val="center"/>
              <w:rPr>
                <w:b/>
                <w:bCs/>
                <w:color w:val="000000"/>
                <w:sz w:val="18"/>
                <w:szCs w:val="18"/>
                <w:lang w:eastAsia="tr-TR"/>
              </w:rPr>
            </w:pPr>
            <w:r w:rsidRPr="00D31C46">
              <w:rPr>
                <w:b/>
                <w:bCs/>
                <w:color w:val="000000"/>
                <w:sz w:val="18"/>
                <w:szCs w:val="18"/>
                <w:lang w:eastAsia="tr-TR"/>
              </w:rPr>
              <w:t>Cari Dönem</w:t>
            </w:r>
          </w:p>
        </w:tc>
        <w:tc>
          <w:tcPr>
            <w:tcW w:w="2395" w:type="dxa"/>
            <w:gridSpan w:val="3"/>
            <w:tcBorders>
              <w:top w:val="double" w:sz="6" w:space="0" w:color="auto"/>
              <w:left w:val="nil"/>
              <w:bottom w:val="single" w:sz="8" w:space="0" w:color="auto"/>
              <w:right w:val="nil"/>
            </w:tcBorders>
            <w:shd w:val="clear" w:color="auto" w:fill="auto"/>
            <w:vAlign w:val="center"/>
            <w:hideMark/>
          </w:tcPr>
          <w:p w14:paraId="49E475EA" w14:textId="77777777" w:rsidR="00D31C46" w:rsidRPr="00D31C46" w:rsidRDefault="00D31C46" w:rsidP="00D31C46">
            <w:pPr>
              <w:jc w:val="center"/>
              <w:rPr>
                <w:b/>
                <w:bCs/>
                <w:color w:val="000000"/>
                <w:sz w:val="18"/>
                <w:szCs w:val="18"/>
                <w:lang w:eastAsia="tr-TR"/>
              </w:rPr>
            </w:pPr>
            <w:r w:rsidRPr="00D31C46">
              <w:rPr>
                <w:b/>
                <w:bCs/>
                <w:color w:val="000000"/>
                <w:sz w:val="18"/>
                <w:szCs w:val="18"/>
                <w:lang w:eastAsia="tr-TR"/>
              </w:rPr>
              <w:t>Önceki Dönem</w:t>
            </w:r>
          </w:p>
        </w:tc>
      </w:tr>
      <w:tr w:rsidR="00D31C46" w:rsidRPr="00D31C46" w14:paraId="243F817E" w14:textId="77777777" w:rsidTr="00B843E3">
        <w:trPr>
          <w:gridAfter w:val="1"/>
          <w:divId w:val="36205096"/>
          <w:wAfter w:w="7" w:type="dxa"/>
          <w:trHeight w:val="252"/>
        </w:trPr>
        <w:tc>
          <w:tcPr>
            <w:tcW w:w="4395" w:type="dxa"/>
            <w:tcBorders>
              <w:top w:val="nil"/>
              <w:left w:val="nil"/>
              <w:bottom w:val="single" w:sz="8" w:space="0" w:color="auto"/>
              <w:right w:val="nil"/>
            </w:tcBorders>
            <w:shd w:val="clear" w:color="auto" w:fill="auto"/>
            <w:vAlign w:val="center"/>
            <w:hideMark/>
          </w:tcPr>
          <w:p w14:paraId="147959D5" w14:textId="77777777" w:rsidR="00D31C46" w:rsidRPr="00D31C46" w:rsidRDefault="00D31C46" w:rsidP="00D31C46">
            <w:pPr>
              <w:jc w:val="both"/>
              <w:rPr>
                <w:b/>
                <w:bCs/>
                <w:color w:val="000000"/>
                <w:sz w:val="18"/>
                <w:szCs w:val="18"/>
                <w:lang w:eastAsia="tr-TR"/>
              </w:rPr>
            </w:pPr>
            <w:r w:rsidRPr="00D31C46">
              <w:rPr>
                <w:b/>
                <w:bCs/>
                <w:color w:val="000000"/>
                <w:sz w:val="18"/>
                <w:szCs w:val="18"/>
                <w:lang w:eastAsia="tr-TR"/>
              </w:rPr>
              <w:t> </w:t>
            </w:r>
          </w:p>
        </w:tc>
        <w:tc>
          <w:tcPr>
            <w:tcW w:w="1134" w:type="dxa"/>
            <w:tcBorders>
              <w:top w:val="nil"/>
              <w:left w:val="nil"/>
              <w:bottom w:val="single" w:sz="8" w:space="0" w:color="auto"/>
              <w:right w:val="nil"/>
            </w:tcBorders>
            <w:shd w:val="clear" w:color="auto" w:fill="auto"/>
            <w:vAlign w:val="center"/>
            <w:hideMark/>
          </w:tcPr>
          <w:p w14:paraId="0E77F3DC"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TP</w:t>
            </w:r>
          </w:p>
        </w:tc>
        <w:tc>
          <w:tcPr>
            <w:tcW w:w="1298" w:type="dxa"/>
            <w:tcBorders>
              <w:top w:val="nil"/>
              <w:left w:val="nil"/>
              <w:bottom w:val="single" w:sz="8" w:space="0" w:color="auto"/>
              <w:right w:val="nil"/>
            </w:tcBorders>
            <w:shd w:val="clear" w:color="auto" w:fill="auto"/>
            <w:vAlign w:val="center"/>
            <w:hideMark/>
          </w:tcPr>
          <w:p w14:paraId="2AD2EA3B"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YP</w:t>
            </w:r>
          </w:p>
        </w:tc>
        <w:tc>
          <w:tcPr>
            <w:tcW w:w="1247" w:type="dxa"/>
            <w:gridSpan w:val="2"/>
            <w:tcBorders>
              <w:top w:val="nil"/>
              <w:left w:val="nil"/>
              <w:bottom w:val="single" w:sz="8" w:space="0" w:color="auto"/>
              <w:right w:val="nil"/>
            </w:tcBorders>
            <w:shd w:val="clear" w:color="auto" w:fill="auto"/>
            <w:vAlign w:val="center"/>
            <w:hideMark/>
          </w:tcPr>
          <w:p w14:paraId="7870B2D2"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TP</w:t>
            </w:r>
          </w:p>
        </w:tc>
        <w:tc>
          <w:tcPr>
            <w:tcW w:w="1148" w:type="dxa"/>
            <w:tcBorders>
              <w:top w:val="nil"/>
              <w:left w:val="nil"/>
              <w:bottom w:val="single" w:sz="8" w:space="0" w:color="auto"/>
              <w:right w:val="nil"/>
            </w:tcBorders>
            <w:shd w:val="clear" w:color="auto" w:fill="auto"/>
            <w:vAlign w:val="center"/>
            <w:hideMark/>
          </w:tcPr>
          <w:p w14:paraId="168916E1"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YP</w:t>
            </w:r>
          </w:p>
        </w:tc>
      </w:tr>
      <w:tr w:rsidR="00D31C46" w:rsidRPr="00D31C46" w14:paraId="7F5730A8" w14:textId="77777777" w:rsidTr="00B843E3">
        <w:trPr>
          <w:gridAfter w:val="1"/>
          <w:divId w:val="36205096"/>
          <w:wAfter w:w="7" w:type="dxa"/>
          <w:trHeight w:val="238"/>
        </w:trPr>
        <w:tc>
          <w:tcPr>
            <w:tcW w:w="4395" w:type="dxa"/>
            <w:tcBorders>
              <w:top w:val="nil"/>
              <w:left w:val="nil"/>
              <w:bottom w:val="nil"/>
              <w:right w:val="nil"/>
            </w:tcBorders>
            <w:shd w:val="clear" w:color="auto" w:fill="auto"/>
            <w:vAlign w:val="center"/>
            <w:hideMark/>
          </w:tcPr>
          <w:p w14:paraId="33578AC0" w14:textId="77777777" w:rsidR="00D31C46" w:rsidRPr="00D31C46" w:rsidRDefault="00D31C46" w:rsidP="00D31C46">
            <w:pPr>
              <w:jc w:val="both"/>
              <w:rPr>
                <w:color w:val="000000"/>
                <w:sz w:val="18"/>
                <w:szCs w:val="18"/>
                <w:lang w:eastAsia="tr-TR"/>
              </w:rPr>
            </w:pPr>
            <w:proofErr w:type="gramStart"/>
            <w:r w:rsidRPr="00D31C46">
              <w:rPr>
                <w:color w:val="000000"/>
                <w:sz w:val="18"/>
                <w:szCs w:val="18"/>
                <w:lang w:eastAsia="tr-TR"/>
              </w:rPr>
              <w:t>TC</w:t>
            </w:r>
            <w:proofErr w:type="gramEnd"/>
            <w:r w:rsidRPr="00D31C46">
              <w:rPr>
                <w:color w:val="000000"/>
                <w:sz w:val="18"/>
                <w:szCs w:val="18"/>
                <w:lang w:eastAsia="tr-TR"/>
              </w:rPr>
              <w:t xml:space="preserve"> Merkez Bankasından</w:t>
            </w:r>
          </w:p>
        </w:tc>
        <w:tc>
          <w:tcPr>
            <w:tcW w:w="1134" w:type="dxa"/>
            <w:tcBorders>
              <w:top w:val="nil"/>
              <w:left w:val="nil"/>
              <w:bottom w:val="nil"/>
              <w:right w:val="nil"/>
            </w:tcBorders>
            <w:shd w:val="clear" w:color="auto" w:fill="auto"/>
            <w:vAlign w:val="center"/>
            <w:hideMark/>
          </w:tcPr>
          <w:p w14:paraId="4072C8A2"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c>
          <w:tcPr>
            <w:tcW w:w="1298" w:type="dxa"/>
            <w:tcBorders>
              <w:top w:val="nil"/>
              <w:left w:val="nil"/>
              <w:bottom w:val="nil"/>
              <w:right w:val="nil"/>
            </w:tcBorders>
            <w:shd w:val="clear" w:color="auto" w:fill="auto"/>
            <w:vAlign w:val="center"/>
            <w:hideMark/>
          </w:tcPr>
          <w:p w14:paraId="0E87C360"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c>
          <w:tcPr>
            <w:tcW w:w="1247" w:type="dxa"/>
            <w:gridSpan w:val="2"/>
            <w:tcBorders>
              <w:top w:val="nil"/>
              <w:left w:val="nil"/>
              <w:bottom w:val="nil"/>
              <w:right w:val="nil"/>
            </w:tcBorders>
            <w:shd w:val="clear" w:color="auto" w:fill="auto"/>
            <w:vAlign w:val="center"/>
            <w:hideMark/>
          </w:tcPr>
          <w:p w14:paraId="095EE929"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c>
          <w:tcPr>
            <w:tcW w:w="1148" w:type="dxa"/>
            <w:tcBorders>
              <w:top w:val="nil"/>
              <w:left w:val="nil"/>
              <w:bottom w:val="nil"/>
              <w:right w:val="nil"/>
            </w:tcBorders>
            <w:shd w:val="clear" w:color="auto" w:fill="auto"/>
            <w:vAlign w:val="center"/>
            <w:hideMark/>
          </w:tcPr>
          <w:p w14:paraId="19236E9D"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r>
      <w:tr w:rsidR="00D31C46" w:rsidRPr="00D31C46" w14:paraId="00F9B55A" w14:textId="77777777" w:rsidTr="00B843E3">
        <w:trPr>
          <w:gridAfter w:val="1"/>
          <w:divId w:val="36205096"/>
          <w:wAfter w:w="7" w:type="dxa"/>
          <w:trHeight w:val="238"/>
        </w:trPr>
        <w:tc>
          <w:tcPr>
            <w:tcW w:w="4395" w:type="dxa"/>
            <w:tcBorders>
              <w:top w:val="nil"/>
              <w:left w:val="nil"/>
              <w:bottom w:val="nil"/>
              <w:right w:val="nil"/>
            </w:tcBorders>
            <w:shd w:val="clear" w:color="auto" w:fill="auto"/>
            <w:vAlign w:val="center"/>
            <w:hideMark/>
          </w:tcPr>
          <w:p w14:paraId="4EF2A301" w14:textId="77777777" w:rsidR="00D31C46" w:rsidRPr="00D31C46" w:rsidRDefault="00D31C46" w:rsidP="00D31C46">
            <w:pPr>
              <w:jc w:val="both"/>
              <w:rPr>
                <w:color w:val="000000"/>
                <w:sz w:val="18"/>
                <w:szCs w:val="18"/>
                <w:lang w:eastAsia="tr-TR"/>
              </w:rPr>
            </w:pPr>
            <w:r w:rsidRPr="00D31C46">
              <w:rPr>
                <w:color w:val="000000"/>
                <w:sz w:val="18"/>
                <w:szCs w:val="18"/>
                <w:lang w:eastAsia="tr-TR"/>
              </w:rPr>
              <w:t>Yurtiçi Bankalardan</w:t>
            </w:r>
          </w:p>
        </w:tc>
        <w:tc>
          <w:tcPr>
            <w:tcW w:w="1134" w:type="dxa"/>
            <w:tcBorders>
              <w:top w:val="nil"/>
              <w:left w:val="nil"/>
              <w:bottom w:val="nil"/>
              <w:right w:val="nil"/>
            </w:tcBorders>
            <w:shd w:val="clear" w:color="auto" w:fill="auto"/>
            <w:vAlign w:val="center"/>
            <w:hideMark/>
          </w:tcPr>
          <w:p w14:paraId="4D642E83"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c>
          <w:tcPr>
            <w:tcW w:w="1298" w:type="dxa"/>
            <w:tcBorders>
              <w:top w:val="nil"/>
              <w:left w:val="nil"/>
              <w:bottom w:val="nil"/>
              <w:right w:val="nil"/>
            </w:tcBorders>
            <w:shd w:val="clear" w:color="auto" w:fill="auto"/>
            <w:vAlign w:val="center"/>
            <w:hideMark/>
          </w:tcPr>
          <w:p w14:paraId="17592691"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c>
          <w:tcPr>
            <w:tcW w:w="1247" w:type="dxa"/>
            <w:gridSpan w:val="2"/>
            <w:tcBorders>
              <w:top w:val="nil"/>
              <w:left w:val="nil"/>
              <w:bottom w:val="nil"/>
              <w:right w:val="nil"/>
            </w:tcBorders>
            <w:shd w:val="clear" w:color="auto" w:fill="auto"/>
            <w:vAlign w:val="center"/>
            <w:hideMark/>
          </w:tcPr>
          <w:p w14:paraId="52294D62" w14:textId="77777777" w:rsidR="00D31C46" w:rsidRPr="00D31C46" w:rsidRDefault="00D31C46" w:rsidP="00D31C46">
            <w:pPr>
              <w:jc w:val="right"/>
              <w:rPr>
                <w:color w:val="000000"/>
                <w:sz w:val="18"/>
                <w:szCs w:val="18"/>
                <w:lang w:eastAsia="tr-TR"/>
              </w:rPr>
            </w:pPr>
            <w:r w:rsidRPr="00D31C46">
              <w:rPr>
                <w:color w:val="000000"/>
                <w:sz w:val="18"/>
                <w:szCs w:val="18"/>
                <w:lang w:eastAsia="tr-TR"/>
              </w:rPr>
              <w:t>265</w:t>
            </w:r>
          </w:p>
        </w:tc>
        <w:tc>
          <w:tcPr>
            <w:tcW w:w="1148" w:type="dxa"/>
            <w:tcBorders>
              <w:top w:val="nil"/>
              <w:left w:val="nil"/>
              <w:bottom w:val="nil"/>
              <w:right w:val="nil"/>
            </w:tcBorders>
            <w:shd w:val="clear" w:color="auto" w:fill="auto"/>
            <w:vAlign w:val="center"/>
            <w:hideMark/>
          </w:tcPr>
          <w:p w14:paraId="158A9819"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r>
      <w:tr w:rsidR="00D31C46" w:rsidRPr="00D31C46" w14:paraId="270DEE07" w14:textId="77777777" w:rsidTr="00B843E3">
        <w:trPr>
          <w:gridAfter w:val="1"/>
          <w:divId w:val="36205096"/>
          <w:wAfter w:w="7" w:type="dxa"/>
          <w:trHeight w:val="238"/>
        </w:trPr>
        <w:tc>
          <w:tcPr>
            <w:tcW w:w="4395" w:type="dxa"/>
            <w:tcBorders>
              <w:top w:val="nil"/>
              <w:left w:val="nil"/>
              <w:bottom w:val="nil"/>
              <w:right w:val="nil"/>
            </w:tcBorders>
            <w:shd w:val="clear" w:color="auto" w:fill="auto"/>
            <w:vAlign w:val="center"/>
            <w:hideMark/>
          </w:tcPr>
          <w:p w14:paraId="06AEEF01" w14:textId="77777777" w:rsidR="00D31C46" w:rsidRPr="00D31C46" w:rsidRDefault="00D31C46" w:rsidP="00D31C46">
            <w:pPr>
              <w:jc w:val="both"/>
              <w:rPr>
                <w:color w:val="000000"/>
                <w:sz w:val="18"/>
                <w:szCs w:val="18"/>
                <w:lang w:eastAsia="tr-TR"/>
              </w:rPr>
            </w:pPr>
            <w:r w:rsidRPr="00D31C46">
              <w:rPr>
                <w:color w:val="000000"/>
                <w:sz w:val="18"/>
                <w:szCs w:val="18"/>
                <w:lang w:eastAsia="tr-TR"/>
              </w:rPr>
              <w:t>Yurtdışı Bankalardan</w:t>
            </w:r>
          </w:p>
        </w:tc>
        <w:tc>
          <w:tcPr>
            <w:tcW w:w="1134" w:type="dxa"/>
            <w:tcBorders>
              <w:top w:val="nil"/>
              <w:left w:val="nil"/>
              <w:bottom w:val="nil"/>
              <w:right w:val="nil"/>
            </w:tcBorders>
            <w:shd w:val="clear" w:color="auto" w:fill="auto"/>
            <w:vAlign w:val="center"/>
            <w:hideMark/>
          </w:tcPr>
          <w:p w14:paraId="00139A69" w14:textId="77777777" w:rsidR="00D31C46" w:rsidRPr="00D31C46" w:rsidRDefault="00D31C46" w:rsidP="00D31C46">
            <w:pPr>
              <w:jc w:val="right"/>
              <w:rPr>
                <w:color w:val="000000"/>
                <w:sz w:val="18"/>
                <w:szCs w:val="18"/>
                <w:lang w:eastAsia="tr-TR"/>
              </w:rPr>
            </w:pPr>
            <w:r w:rsidRPr="00D31C46">
              <w:rPr>
                <w:color w:val="000000"/>
                <w:sz w:val="18"/>
                <w:szCs w:val="18"/>
                <w:lang w:eastAsia="tr-TR"/>
              </w:rPr>
              <w:t>38,196</w:t>
            </w:r>
          </w:p>
        </w:tc>
        <w:tc>
          <w:tcPr>
            <w:tcW w:w="1298" w:type="dxa"/>
            <w:tcBorders>
              <w:top w:val="nil"/>
              <w:left w:val="nil"/>
              <w:bottom w:val="nil"/>
              <w:right w:val="nil"/>
            </w:tcBorders>
            <w:shd w:val="clear" w:color="auto" w:fill="auto"/>
            <w:vAlign w:val="center"/>
            <w:hideMark/>
          </w:tcPr>
          <w:p w14:paraId="0B177119" w14:textId="77777777" w:rsidR="00D31C46" w:rsidRPr="00D31C46" w:rsidRDefault="00D31C46" w:rsidP="00D31C46">
            <w:pPr>
              <w:jc w:val="right"/>
              <w:rPr>
                <w:color w:val="000000"/>
                <w:sz w:val="18"/>
                <w:szCs w:val="18"/>
                <w:lang w:eastAsia="tr-TR"/>
              </w:rPr>
            </w:pPr>
            <w:r w:rsidRPr="00D31C46">
              <w:rPr>
                <w:color w:val="000000"/>
                <w:sz w:val="18"/>
                <w:szCs w:val="18"/>
                <w:lang w:eastAsia="tr-TR"/>
              </w:rPr>
              <w:t>53,978</w:t>
            </w:r>
          </w:p>
        </w:tc>
        <w:tc>
          <w:tcPr>
            <w:tcW w:w="1247" w:type="dxa"/>
            <w:gridSpan w:val="2"/>
            <w:tcBorders>
              <w:top w:val="nil"/>
              <w:left w:val="nil"/>
              <w:bottom w:val="nil"/>
              <w:right w:val="nil"/>
            </w:tcBorders>
            <w:shd w:val="clear" w:color="auto" w:fill="auto"/>
            <w:vAlign w:val="center"/>
            <w:hideMark/>
          </w:tcPr>
          <w:p w14:paraId="1D5A77BB" w14:textId="77777777" w:rsidR="00D31C46" w:rsidRPr="00D31C46" w:rsidRDefault="00D31C46" w:rsidP="00D31C46">
            <w:pPr>
              <w:jc w:val="right"/>
              <w:rPr>
                <w:color w:val="000000"/>
                <w:sz w:val="18"/>
                <w:szCs w:val="18"/>
                <w:lang w:eastAsia="tr-TR"/>
              </w:rPr>
            </w:pPr>
            <w:r w:rsidRPr="00D31C46">
              <w:rPr>
                <w:color w:val="000000"/>
                <w:sz w:val="18"/>
                <w:szCs w:val="18"/>
                <w:lang w:eastAsia="tr-TR"/>
              </w:rPr>
              <w:t>41,757</w:t>
            </w:r>
          </w:p>
        </w:tc>
        <w:tc>
          <w:tcPr>
            <w:tcW w:w="1148" w:type="dxa"/>
            <w:tcBorders>
              <w:top w:val="nil"/>
              <w:left w:val="nil"/>
              <w:bottom w:val="nil"/>
              <w:right w:val="nil"/>
            </w:tcBorders>
            <w:shd w:val="clear" w:color="auto" w:fill="auto"/>
            <w:vAlign w:val="center"/>
            <w:hideMark/>
          </w:tcPr>
          <w:p w14:paraId="32B00DCB" w14:textId="77777777" w:rsidR="00D31C46" w:rsidRPr="00D31C46" w:rsidRDefault="00D31C46" w:rsidP="00D31C46">
            <w:pPr>
              <w:jc w:val="right"/>
              <w:rPr>
                <w:color w:val="000000"/>
                <w:sz w:val="18"/>
                <w:szCs w:val="18"/>
                <w:lang w:eastAsia="tr-TR"/>
              </w:rPr>
            </w:pPr>
            <w:r w:rsidRPr="00D31C46">
              <w:rPr>
                <w:color w:val="000000"/>
                <w:sz w:val="18"/>
                <w:szCs w:val="18"/>
                <w:lang w:eastAsia="tr-TR"/>
              </w:rPr>
              <w:t>140,099</w:t>
            </w:r>
          </w:p>
        </w:tc>
      </w:tr>
      <w:tr w:rsidR="00D31C46" w:rsidRPr="00D31C46" w14:paraId="6980FF14" w14:textId="77777777" w:rsidTr="00B843E3">
        <w:trPr>
          <w:gridAfter w:val="1"/>
          <w:divId w:val="36205096"/>
          <w:wAfter w:w="7" w:type="dxa"/>
          <w:trHeight w:val="252"/>
        </w:trPr>
        <w:tc>
          <w:tcPr>
            <w:tcW w:w="4395" w:type="dxa"/>
            <w:tcBorders>
              <w:top w:val="nil"/>
              <w:left w:val="nil"/>
              <w:bottom w:val="nil"/>
              <w:right w:val="nil"/>
            </w:tcBorders>
            <w:shd w:val="clear" w:color="auto" w:fill="auto"/>
            <w:vAlign w:val="center"/>
            <w:hideMark/>
          </w:tcPr>
          <w:p w14:paraId="5C714EBE" w14:textId="77777777" w:rsidR="00D31C46" w:rsidRPr="00D31C46" w:rsidRDefault="00D31C46" w:rsidP="00D31C46">
            <w:pPr>
              <w:jc w:val="both"/>
              <w:rPr>
                <w:color w:val="000000"/>
                <w:sz w:val="18"/>
                <w:szCs w:val="18"/>
                <w:lang w:eastAsia="tr-TR"/>
              </w:rPr>
            </w:pPr>
            <w:r w:rsidRPr="00D31C46">
              <w:rPr>
                <w:color w:val="000000"/>
                <w:sz w:val="18"/>
                <w:szCs w:val="18"/>
                <w:lang w:eastAsia="tr-TR"/>
              </w:rPr>
              <w:t>Yurtdışı Merkez ve Şubelerden</w:t>
            </w:r>
          </w:p>
        </w:tc>
        <w:tc>
          <w:tcPr>
            <w:tcW w:w="1134" w:type="dxa"/>
            <w:tcBorders>
              <w:top w:val="nil"/>
              <w:left w:val="nil"/>
              <w:bottom w:val="nil"/>
              <w:right w:val="nil"/>
            </w:tcBorders>
            <w:shd w:val="clear" w:color="auto" w:fill="auto"/>
            <w:vAlign w:val="center"/>
            <w:hideMark/>
          </w:tcPr>
          <w:p w14:paraId="01E6C4D1"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c>
          <w:tcPr>
            <w:tcW w:w="1298" w:type="dxa"/>
            <w:tcBorders>
              <w:top w:val="nil"/>
              <w:left w:val="nil"/>
              <w:bottom w:val="nil"/>
              <w:right w:val="nil"/>
            </w:tcBorders>
            <w:shd w:val="clear" w:color="auto" w:fill="auto"/>
            <w:vAlign w:val="center"/>
            <w:hideMark/>
          </w:tcPr>
          <w:p w14:paraId="0D1927B9" w14:textId="77777777" w:rsidR="00D31C46" w:rsidRPr="00D31C46" w:rsidRDefault="00D31C46" w:rsidP="00D31C46">
            <w:pPr>
              <w:jc w:val="right"/>
              <w:rPr>
                <w:color w:val="000000"/>
                <w:sz w:val="18"/>
                <w:szCs w:val="18"/>
                <w:lang w:eastAsia="tr-TR"/>
              </w:rPr>
            </w:pPr>
            <w:r w:rsidRPr="00D31C46">
              <w:rPr>
                <w:color w:val="000000"/>
                <w:sz w:val="18"/>
                <w:szCs w:val="18"/>
                <w:lang w:eastAsia="tr-TR"/>
              </w:rPr>
              <w:t>335</w:t>
            </w:r>
          </w:p>
        </w:tc>
        <w:tc>
          <w:tcPr>
            <w:tcW w:w="1247" w:type="dxa"/>
            <w:gridSpan w:val="2"/>
            <w:tcBorders>
              <w:top w:val="nil"/>
              <w:left w:val="nil"/>
              <w:bottom w:val="nil"/>
              <w:right w:val="nil"/>
            </w:tcBorders>
            <w:shd w:val="clear" w:color="auto" w:fill="auto"/>
            <w:vAlign w:val="center"/>
            <w:hideMark/>
          </w:tcPr>
          <w:p w14:paraId="1915949E" w14:textId="77777777" w:rsidR="00D31C46" w:rsidRPr="00D31C46" w:rsidRDefault="00D31C46" w:rsidP="00D31C46">
            <w:pPr>
              <w:jc w:val="right"/>
              <w:rPr>
                <w:color w:val="000000"/>
                <w:sz w:val="18"/>
                <w:szCs w:val="18"/>
                <w:lang w:eastAsia="tr-TR"/>
              </w:rPr>
            </w:pPr>
            <w:r w:rsidRPr="00D31C46">
              <w:rPr>
                <w:color w:val="000000"/>
                <w:sz w:val="18"/>
                <w:szCs w:val="18"/>
                <w:lang w:eastAsia="tr-TR"/>
              </w:rPr>
              <w:t>-</w:t>
            </w:r>
          </w:p>
        </w:tc>
        <w:tc>
          <w:tcPr>
            <w:tcW w:w="1148" w:type="dxa"/>
            <w:tcBorders>
              <w:top w:val="nil"/>
              <w:left w:val="nil"/>
              <w:bottom w:val="nil"/>
              <w:right w:val="nil"/>
            </w:tcBorders>
            <w:shd w:val="clear" w:color="auto" w:fill="auto"/>
            <w:vAlign w:val="center"/>
            <w:hideMark/>
          </w:tcPr>
          <w:p w14:paraId="6BF3228A" w14:textId="77777777" w:rsidR="00D31C46" w:rsidRPr="00D31C46" w:rsidRDefault="00D31C46" w:rsidP="00D31C46">
            <w:pPr>
              <w:jc w:val="right"/>
              <w:rPr>
                <w:color w:val="000000"/>
                <w:sz w:val="18"/>
                <w:szCs w:val="18"/>
                <w:lang w:eastAsia="tr-TR"/>
              </w:rPr>
            </w:pPr>
            <w:r w:rsidRPr="00D31C46">
              <w:rPr>
                <w:color w:val="000000"/>
                <w:sz w:val="18"/>
                <w:szCs w:val="18"/>
                <w:lang w:eastAsia="tr-TR"/>
              </w:rPr>
              <w:t>1,000</w:t>
            </w:r>
          </w:p>
        </w:tc>
      </w:tr>
      <w:tr w:rsidR="00D31C46" w:rsidRPr="00D31C46" w14:paraId="7096E6C3" w14:textId="77777777" w:rsidTr="00B843E3">
        <w:trPr>
          <w:gridAfter w:val="1"/>
          <w:divId w:val="36205096"/>
          <w:wAfter w:w="7" w:type="dxa"/>
          <w:trHeight w:val="252"/>
        </w:trPr>
        <w:tc>
          <w:tcPr>
            <w:tcW w:w="4395" w:type="dxa"/>
            <w:tcBorders>
              <w:top w:val="single" w:sz="8" w:space="0" w:color="auto"/>
              <w:left w:val="nil"/>
              <w:bottom w:val="double" w:sz="6" w:space="0" w:color="auto"/>
              <w:right w:val="nil"/>
            </w:tcBorders>
            <w:shd w:val="clear" w:color="auto" w:fill="auto"/>
            <w:vAlign w:val="center"/>
            <w:hideMark/>
          </w:tcPr>
          <w:p w14:paraId="14C69CED" w14:textId="77777777" w:rsidR="00D31C46" w:rsidRPr="00D31C46" w:rsidRDefault="00D31C46" w:rsidP="00D31C46">
            <w:pPr>
              <w:jc w:val="both"/>
              <w:rPr>
                <w:b/>
                <w:bCs/>
                <w:color w:val="000000"/>
                <w:sz w:val="18"/>
                <w:szCs w:val="18"/>
                <w:lang w:eastAsia="tr-TR"/>
              </w:rPr>
            </w:pPr>
            <w:r w:rsidRPr="00D31C46">
              <w:rPr>
                <w:b/>
                <w:bCs/>
                <w:color w:val="000000"/>
                <w:sz w:val="18"/>
                <w:szCs w:val="18"/>
                <w:lang w:eastAsia="tr-TR"/>
              </w:rPr>
              <w:t>Toplam</w:t>
            </w:r>
          </w:p>
        </w:tc>
        <w:tc>
          <w:tcPr>
            <w:tcW w:w="1134" w:type="dxa"/>
            <w:tcBorders>
              <w:top w:val="single" w:sz="8" w:space="0" w:color="auto"/>
              <w:left w:val="nil"/>
              <w:bottom w:val="double" w:sz="6" w:space="0" w:color="auto"/>
              <w:right w:val="nil"/>
            </w:tcBorders>
            <w:shd w:val="clear" w:color="auto" w:fill="auto"/>
            <w:vAlign w:val="center"/>
            <w:hideMark/>
          </w:tcPr>
          <w:p w14:paraId="227EF0D6"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38,196</w:t>
            </w:r>
          </w:p>
        </w:tc>
        <w:tc>
          <w:tcPr>
            <w:tcW w:w="1298" w:type="dxa"/>
            <w:tcBorders>
              <w:top w:val="single" w:sz="8" w:space="0" w:color="auto"/>
              <w:left w:val="nil"/>
              <w:bottom w:val="double" w:sz="6" w:space="0" w:color="auto"/>
              <w:right w:val="nil"/>
            </w:tcBorders>
            <w:shd w:val="clear" w:color="auto" w:fill="auto"/>
            <w:vAlign w:val="center"/>
            <w:hideMark/>
          </w:tcPr>
          <w:p w14:paraId="7AEA192E"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54,313</w:t>
            </w:r>
          </w:p>
        </w:tc>
        <w:tc>
          <w:tcPr>
            <w:tcW w:w="1247" w:type="dxa"/>
            <w:gridSpan w:val="2"/>
            <w:tcBorders>
              <w:top w:val="single" w:sz="8" w:space="0" w:color="auto"/>
              <w:left w:val="nil"/>
              <w:bottom w:val="double" w:sz="6" w:space="0" w:color="auto"/>
              <w:right w:val="nil"/>
            </w:tcBorders>
            <w:shd w:val="clear" w:color="auto" w:fill="auto"/>
            <w:vAlign w:val="center"/>
            <w:hideMark/>
          </w:tcPr>
          <w:p w14:paraId="01D4F8F1"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42,022</w:t>
            </w:r>
          </w:p>
        </w:tc>
        <w:tc>
          <w:tcPr>
            <w:tcW w:w="1148" w:type="dxa"/>
            <w:tcBorders>
              <w:top w:val="single" w:sz="8" w:space="0" w:color="auto"/>
              <w:left w:val="nil"/>
              <w:bottom w:val="double" w:sz="6" w:space="0" w:color="auto"/>
              <w:right w:val="nil"/>
            </w:tcBorders>
            <w:shd w:val="clear" w:color="auto" w:fill="auto"/>
            <w:vAlign w:val="center"/>
            <w:hideMark/>
          </w:tcPr>
          <w:p w14:paraId="625EF982" w14:textId="77777777" w:rsidR="00D31C46" w:rsidRPr="00D31C46" w:rsidRDefault="00D31C46" w:rsidP="00D31C46">
            <w:pPr>
              <w:jc w:val="right"/>
              <w:rPr>
                <w:b/>
                <w:bCs/>
                <w:color w:val="000000"/>
                <w:sz w:val="18"/>
                <w:szCs w:val="18"/>
                <w:lang w:eastAsia="tr-TR"/>
              </w:rPr>
            </w:pPr>
            <w:r w:rsidRPr="00D31C46">
              <w:rPr>
                <w:b/>
                <w:bCs/>
                <w:color w:val="000000"/>
                <w:sz w:val="18"/>
                <w:szCs w:val="18"/>
                <w:lang w:eastAsia="tr-TR"/>
              </w:rPr>
              <w:t>141,099</w:t>
            </w:r>
          </w:p>
        </w:tc>
      </w:tr>
    </w:tbl>
    <w:p w14:paraId="237EAE98" w14:textId="04C440E3" w:rsidR="009608CC" w:rsidRPr="00D31C46" w:rsidRDefault="009608CC" w:rsidP="000F096F">
      <w:pPr>
        <w:autoSpaceDE w:val="0"/>
        <w:autoSpaceDN w:val="0"/>
        <w:adjustRightInd w:val="0"/>
        <w:rPr>
          <w:b/>
          <w:sz w:val="16"/>
          <w:szCs w:val="16"/>
        </w:rPr>
      </w:pPr>
    </w:p>
    <w:p w14:paraId="70291E74" w14:textId="7942C920" w:rsidR="008B1E20" w:rsidRPr="00D31C46" w:rsidRDefault="00B21C85" w:rsidP="00B21C85">
      <w:pPr>
        <w:tabs>
          <w:tab w:val="left" w:pos="709"/>
        </w:tabs>
        <w:autoSpaceDE w:val="0"/>
        <w:autoSpaceDN w:val="0"/>
        <w:adjustRightInd w:val="0"/>
        <w:ind w:hanging="567"/>
        <w:rPr>
          <w:b/>
        </w:rPr>
      </w:pPr>
      <w:r w:rsidRPr="00D31C46">
        <w:rPr>
          <w:b/>
        </w:rPr>
        <w:t>4</w:t>
      </w:r>
      <w:r w:rsidR="005F2AE3" w:rsidRPr="00D31C46">
        <w:rPr>
          <w:b/>
        </w:rPr>
        <w:t>.</w:t>
      </w:r>
      <w:r w:rsidRPr="00D31C46">
        <w:rPr>
          <w:b/>
        </w:rPr>
        <w:t>1.3</w:t>
      </w:r>
      <w:r w:rsidR="005F2AE3" w:rsidRPr="00D31C46">
        <w:rPr>
          <w:b/>
        </w:rPr>
        <w:tab/>
      </w:r>
      <w:r w:rsidR="00E253C8" w:rsidRPr="00D31C46">
        <w:rPr>
          <w:b/>
        </w:rPr>
        <w:t xml:space="preserve">Menkul değerlerden alınan kar paylarına ilişkin bilgiler: </w:t>
      </w:r>
    </w:p>
    <w:p w14:paraId="5408BE7B" w14:textId="195FA186" w:rsidR="00D31C46" w:rsidRPr="00D31C46" w:rsidRDefault="00D31C46" w:rsidP="002B3EA9">
      <w:pPr>
        <w:tabs>
          <w:tab w:val="left" w:pos="0"/>
        </w:tabs>
        <w:jc w:val="both"/>
        <w:rPr>
          <w:lang w:val="en-GB" w:eastAsia="en-GB"/>
        </w:rPr>
      </w:pPr>
    </w:p>
    <w:tbl>
      <w:tblPr>
        <w:tblW w:w="9267" w:type="dxa"/>
        <w:tblCellMar>
          <w:left w:w="70" w:type="dxa"/>
          <w:right w:w="70" w:type="dxa"/>
        </w:tblCellMar>
        <w:tblLook w:val="04A0" w:firstRow="1" w:lastRow="0" w:firstColumn="1" w:lastColumn="0" w:noHBand="0" w:noVBand="1"/>
      </w:tblPr>
      <w:tblGrid>
        <w:gridCol w:w="4410"/>
        <w:gridCol w:w="1119"/>
        <w:gridCol w:w="1275"/>
        <w:gridCol w:w="1276"/>
        <w:gridCol w:w="1187"/>
      </w:tblGrid>
      <w:tr w:rsidR="00D31C46" w:rsidRPr="00D31C46" w14:paraId="78E15DDE" w14:textId="77777777" w:rsidTr="00B843E3">
        <w:trPr>
          <w:divId w:val="731122428"/>
          <w:trHeight w:val="130"/>
        </w:trPr>
        <w:tc>
          <w:tcPr>
            <w:tcW w:w="4410" w:type="dxa"/>
            <w:tcBorders>
              <w:top w:val="double" w:sz="6" w:space="0" w:color="auto"/>
              <w:left w:val="nil"/>
              <w:bottom w:val="nil"/>
              <w:right w:val="nil"/>
            </w:tcBorders>
            <w:shd w:val="clear" w:color="auto" w:fill="auto"/>
            <w:vAlign w:val="center"/>
            <w:hideMark/>
          </w:tcPr>
          <w:p w14:paraId="01B1ED7F" w14:textId="59E22741" w:rsidR="00D31C46" w:rsidRPr="00D31C46" w:rsidRDefault="00D31C46" w:rsidP="00D31C46">
            <w:pPr>
              <w:jc w:val="both"/>
              <w:rPr>
                <w:sz w:val="18"/>
                <w:szCs w:val="18"/>
                <w:lang w:eastAsia="tr-TR"/>
              </w:rPr>
            </w:pPr>
            <w:r w:rsidRPr="00D31C46">
              <w:rPr>
                <w:sz w:val="18"/>
                <w:szCs w:val="18"/>
                <w:lang w:eastAsia="tr-TR"/>
              </w:rPr>
              <w:t> </w:t>
            </w:r>
          </w:p>
        </w:tc>
        <w:tc>
          <w:tcPr>
            <w:tcW w:w="2394" w:type="dxa"/>
            <w:gridSpan w:val="2"/>
            <w:tcBorders>
              <w:top w:val="double" w:sz="6" w:space="0" w:color="auto"/>
              <w:left w:val="nil"/>
              <w:bottom w:val="single" w:sz="8" w:space="0" w:color="auto"/>
              <w:right w:val="nil"/>
            </w:tcBorders>
            <w:shd w:val="clear" w:color="auto" w:fill="auto"/>
            <w:vAlign w:val="center"/>
            <w:hideMark/>
          </w:tcPr>
          <w:p w14:paraId="21F0DBA8" w14:textId="77777777" w:rsidR="00D31C46" w:rsidRPr="00D31C46" w:rsidRDefault="00D31C46" w:rsidP="00D31C46">
            <w:pPr>
              <w:jc w:val="center"/>
              <w:rPr>
                <w:b/>
                <w:bCs/>
                <w:sz w:val="18"/>
                <w:szCs w:val="18"/>
                <w:lang w:eastAsia="tr-TR"/>
              </w:rPr>
            </w:pPr>
            <w:r w:rsidRPr="00D31C46">
              <w:rPr>
                <w:b/>
                <w:bCs/>
                <w:sz w:val="18"/>
                <w:szCs w:val="18"/>
                <w:lang w:eastAsia="tr-TR"/>
              </w:rPr>
              <w:t>Cari Dönem</w:t>
            </w:r>
          </w:p>
        </w:tc>
        <w:tc>
          <w:tcPr>
            <w:tcW w:w="2463" w:type="dxa"/>
            <w:gridSpan w:val="2"/>
            <w:tcBorders>
              <w:top w:val="double" w:sz="6" w:space="0" w:color="auto"/>
              <w:left w:val="nil"/>
              <w:bottom w:val="single" w:sz="8" w:space="0" w:color="auto"/>
              <w:right w:val="nil"/>
            </w:tcBorders>
            <w:shd w:val="clear" w:color="auto" w:fill="auto"/>
            <w:vAlign w:val="center"/>
            <w:hideMark/>
          </w:tcPr>
          <w:p w14:paraId="3027908E" w14:textId="77777777" w:rsidR="00D31C46" w:rsidRPr="00D31C46" w:rsidRDefault="00D31C46" w:rsidP="00D31C46">
            <w:pPr>
              <w:jc w:val="center"/>
              <w:rPr>
                <w:b/>
                <w:bCs/>
                <w:sz w:val="18"/>
                <w:szCs w:val="18"/>
                <w:lang w:eastAsia="tr-TR"/>
              </w:rPr>
            </w:pPr>
            <w:r w:rsidRPr="00D31C46">
              <w:rPr>
                <w:b/>
                <w:bCs/>
                <w:sz w:val="18"/>
                <w:szCs w:val="18"/>
                <w:lang w:eastAsia="tr-TR"/>
              </w:rPr>
              <w:t>Önceki Dönem</w:t>
            </w:r>
          </w:p>
        </w:tc>
      </w:tr>
      <w:tr w:rsidR="00D31C46" w:rsidRPr="00D31C46" w14:paraId="00D86373" w14:textId="77777777" w:rsidTr="00B843E3">
        <w:trPr>
          <w:divId w:val="731122428"/>
          <w:trHeight w:val="124"/>
        </w:trPr>
        <w:tc>
          <w:tcPr>
            <w:tcW w:w="4410" w:type="dxa"/>
            <w:tcBorders>
              <w:top w:val="nil"/>
              <w:left w:val="nil"/>
              <w:bottom w:val="single" w:sz="8" w:space="0" w:color="auto"/>
              <w:right w:val="nil"/>
            </w:tcBorders>
            <w:shd w:val="clear" w:color="auto" w:fill="auto"/>
            <w:vAlign w:val="center"/>
            <w:hideMark/>
          </w:tcPr>
          <w:p w14:paraId="78DAF605" w14:textId="77777777" w:rsidR="00D31C46" w:rsidRPr="00D31C46" w:rsidRDefault="00D31C46" w:rsidP="00D31C46">
            <w:pPr>
              <w:jc w:val="both"/>
              <w:rPr>
                <w:b/>
                <w:bCs/>
                <w:sz w:val="18"/>
                <w:szCs w:val="18"/>
                <w:lang w:eastAsia="tr-TR"/>
              </w:rPr>
            </w:pPr>
            <w:r w:rsidRPr="00D31C46">
              <w:rPr>
                <w:b/>
                <w:bCs/>
                <w:sz w:val="18"/>
                <w:szCs w:val="18"/>
                <w:lang w:eastAsia="tr-TR"/>
              </w:rPr>
              <w:t> </w:t>
            </w:r>
          </w:p>
        </w:tc>
        <w:tc>
          <w:tcPr>
            <w:tcW w:w="1119" w:type="dxa"/>
            <w:tcBorders>
              <w:top w:val="nil"/>
              <w:left w:val="nil"/>
              <w:bottom w:val="single" w:sz="8" w:space="0" w:color="auto"/>
              <w:right w:val="nil"/>
            </w:tcBorders>
            <w:shd w:val="clear" w:color="auto" w:fill="auto"/>
            <w:vAlign w:val="center"/>
            <w:hideMark/>
          </w:tcPr>
          <w:p w14:paraId="031D1F12" w14:textId="77777777" w:rsidR="00D31C46" w:rsidRPr="00D31C46" w:rsidRDefault="00D31C46" w:rsidP="00D31C46">
            <w:pPr>
              <w:jc w:val="right"/>
              <w:rPr>
                <w:b/>
                <w:bCs/>
                <w:sz w:val="18"/>
                <w:szCs w:val="18"/>
                <w:lang w:eastAsia="tr-TR"/>
              </w:rPr>
            </w:pPr>
            <w:r w:rsidRPr="00D31C46">
              <w:rPr>
                <w:b/>
                <w:bCs/>
                <w:sz w:val="18"/>
                <w:szCs w:val="18"/>
                <w:lang w:eastAsia="tr-TR"/>
              </w:rPr>
              <w:t>TP</w:t>
            </w:r>
          </w:p>
        </w:tc>
        <w:tc>
          <w:tcPr>
            <w:tcW w:w="1275" w:type="dxa"/>
            <w:tcBorders>
              <w:top w:val="nil"/>
              <w:left w:val="nil"/>
              <w:bottom w:val="single" w:sz="8" w:space="0" w:color="auto"/>
              <w:right w:val="nil"/>
            </w:tcBorders>
            <w:shd w:val="clear" w:color="auto" w:fill="auto"/>
            <w:vAlign w:val="center"/>
            <w:hideMark/>
          </w:tcPr>
          <w:p w14:paraId="0F3DB5C2" w14:textId="77777777" w:rsidR="00D31C46" w:rsidRPr="00D31C46" w:rsidRDefault="00D31C46" w:rsidP="00D31C46">
            <w:pPr>
              <w:jc w:val="right"/>
              <w:rPr>
                <w:b/>
                <w:bCs/>
                <w:sz w:val="18"/>
                <w:szCs w:val="18"/>
                <w:lang w:eastAsia="tr-TR"/>
              </w:rPr>
            </w:pPr>
            <w:r w:rsidRPr="00D31C46">
              <w:rPr>
                <w:b/>
                <w:bCs/>
                <w:sz w:val="18"/>
                <w:szCs w:val="18"/>
                <w:lang w:eastAsia="tr-TR"/>
              </w:rPr>
              <w:t>YP</w:t>
            </w:r>
          </w:p>
        </w:tc>
        <w:tc>
          <w:tcPr>
            <w:tcW w:w="1276" w:type="dxa"/>
            <w:tcBorders>
              <w:top w:val="nil"/>
              <w:left w:val="nil"/>
              <w:bottom w:val="single" w:sz="8" w:space="0" w:color="auto"/>
              <w:right w:val="nil"/>
            </w:tcBorders>
            <w:shd w:val="clear" w:color="auto" w:fill="auto"/>
            <w:vAlign w:val="center"/>
            <w:hideMark/>
          </w:tcPr>
          <w:p w14:paraId="4D727A24" w14:textId="77777777" w:rsidR="00D31C46" w:rsidRPr="00D31C46" w:rsidRDefault="00D31C46" w:rsidP="00D31C46">
            <w:pPr>
              <w:jc w:val="right"/>
              <w:rPr>
                <w:b/>
                <w:bCs/>
                <w:sz w:val="18"/>
                <w:szCs w:val="18"/>
                <w:lang w:eastAsia="tr-TR"/>
              </w:rPr>
            </w:pPr>
            <w:r w:rsidRPr="00D31C46">
              <w:rPr>
                <w:b/>
                <w:bCs/>
                <w:sz w:val="18"/>
                <w:szCs w:val="18"/>
                <w:lang w:eastAsia="tr-TR"/>
              </w:rPr>
              <w:t>TP</w:t>
            </w:r>
          </w:p>
        </w:tc>
        <w:tc>
          <w:tcPr>
            <w:tcW w:w="1187" w:type="dxa"/>
            <w:tcBorders>
              <w:top w:val="nil"/>
              <w:left w:val="nil"/>
              <w:bottom w:val="single" w:sz="8" w:space="0" w:color="auto"/>
              <w:right w:val="nil"/>
            </w:tcBorders>
            <w:shd w:val="clear" w:color="auto" w:fill="auto"/>
            <w:vAlign w:val="center"/>
            <w:hideMark/>
          </w:tcPr>
          <w:p w14:paraId="3BC49D6E" w14:textId="77777777" w:rsidR="00D31C46" w:rsidRPr="00D31C46" w:rsidRDefault="00D31C46" w:rsidP="00D31C46">
            <w:pPr>
              <w:jc w:val="right"/>
              <w:rPr>
                <w:b/>
                <w:bCs/>
                <w:sz w:val="18"/>
                <w:szCs w:val="18"/>
                <w:lang w:eastAsia="tr-TR"/>
              </w:rPr>
            </w:pPr>
            <w:r w:rsidRPr="00D31C46">
              <w:rPr>
                <w:b/>
                <w:bCs/>
                <w:sz w:val="18"/>
                <w:szCs w:val="18"/>
                <w:lang w:eastAsia="tr-TR"/>
              </w:rPr>
              <w:t>YP</w:t>
            </w:r>
          </w:p>
        </w:tc>
      </w:tr>
      <w:tr w:rsidR="00D31C46" w:rsidRPr="00D31C46" w14:paraId="33C8CAD9" w14:textId="77777777" w:rsidTr="00B843E3">
        <w:trPr>
          <w:divId w:val="731122428"/>
          <w:trHeight w:val="359"/>
        </w:trPr>
        <w:tc>
          <w:tcPr>
            <w:tcW w:w="4410" w:type="dxa"/>
            <w:tcBorders>
              <w:top w:val="nil"/>
              <w:left w:val="nil"/>
              <w:bottom w:val="nil"/>
              <w:right w:val="nil"/>
            </w:tcBorders>
            <w:shd w:val="clear" w:color="auto" w:fill="auto"/>
            <w:vAlign w:val="center"/>
            <w:hideMark/>
          </w:tcPr>
          <w:p w14:paraId="086BE821" w14:textId="77777777" w:rsidR="00D31C46" w:rsidRPr="00D31C46" w:rsidRDefault="00D31C46" w:rsidP="00D31C46">
            <w:pPr>
              <w:rPr>
                <w:sz w:val="18"/>
                <w:szCs w:val="18"/>
                <w:lang w:eastAsia="tr-TR"/>
              </w:rPr>
            </w:pPr>
            <w:r w:rsidRPr="00D31C46">
              <w:rPr>
                <w:sz w:val="18"/>
                <w:szCs w:val="18"/>
                <w:lang w:eastAsia="tr-TR"/>
              </w:rPr>
              <w:t>Gerçeğe Uygun Değer Farkı Kar veya Zarara Yansıtılan Finansal Varlıklar</w:t>
            </w:r>
          </w:p>
        </w:tc>
        <w:tc>
          <w:tcPr>
            <w:tcW w:w="1119" w:type="dxa"/>
            <w:tcBorders>
              <w:top w:val="nil"/>
              <w:left w:val="nil"/>
              <w:bottom w:val="nil"/>
              <w:right w:val="nil"/>
            </w:tcBorders>
            <w:shd w:val="clear" w:color="auto" w:fill="auto"/>
            <w:vAlign w:val="bottom"/>
            <w:hideMark/>
          </w:tcPr>
          <w:p w14:paraId="2EB4FA0E" w14:textId="77777777" w:rsidR="00D31C46" w:rsidRPr="00D31C46" w:rsidRDefault="00D31C46" w:rsidP="00B843E3">
            <w:pPr>
              <w:jc w:val="right"/>
              <w:rPr>
                <w:sz w:val="18"/>
                <w:szCs w:val="18"/>
                <w:lang w:eastAsia="tr-TR"/>
              </w:rPr>
            </w:pPr>
            <w:r w:rsidRPr="00D31C46">
              <w:rPr>
                <w:sz w:val="18"/>
                <w:szCs w:val="18"/>
                <w:lang w:eastAsia="tr-TR"/>
              </w:rPr>
              <w:t>63,413</w:t>
            </w:r>
          </w:p>
        </w:tc>
        <w:tc>
          <w:tcPr>
            <w:tcW w:w="1275" w:type="dxa"/>
            <w:tcBorders>
              <w:top w:val="nil"/>
              <w:left w:val="nil"/>
              <w:bottom w:val="nil"/>
              <w:right w:val="nil"/>
            </w:tcBorders>
            <w:shd w:val="clear" w:color="auto" w:fill="auto"/>
            <w:vAlign w:val="bottom"/>
            <w:hideMark/>
          </w:tcPr>
          <w:p w14:paraId="6FE9B5AD" w14:textId="77777777" w:rsidR="00D31C46" w:rsidRPr="00D31C46" w:rsidRDefault="00D31C46" w:rsidP="00B843E3">
            <w:pPr>
              <w:jc w:val="right"/>
              <w:rPr>
                <w:sz w:val="18"/>
                <w:szCs w:val="18"/>
                <w:lang w:eastAsia="tr-TR"/>
              </w:rPr>
            </w:pPr>
            <w:r w:rsidRPr="00D31C46">
              <w:rPr>
                <w:sz w:val="18"/>
                <w:szCs w:val="18"/>
                <w:lang w:eastAsia="tr-TR"/>
              </w:rPr>
              <w:t>174,020</w:t>
            </w:r>
          </w:p>
        </w:tc>
        <w:tc>
          <w:tcPr>
            <w:tcW w:w="1276" w:type="dxa"/>
            <w:tcBorders>
              <w:top w:val="nil"/>
              <w:left w:val="nil"/>
              <w:bottom w:val="nil"/>
              <w:right w:val="nil"/>
            </w:tcBorders>
            <w:shd w:val="clear" w:color="auto" w:fill="auto"/>
            <w:vAlign w:val="bottom"/>
            <w:hideMark/>
          </w:tcPr>
          <w:p w14:paraId="73EB9416" w14:textId="77777777" w:rsidR="00D31C46" w:rsidRPr="00D31C46" w:rsidRDefault="00D31C46" w:rsidP="00B843E3">
            <w:pPr>
              <w:jc w:val="right"/>
              <w:rPr>
                <w:sz w:val="18"/>
                <w:szCs w:val="18"/>
                <w:lang w:eastAsia="tr-TR"/>
              </w:rPr>
            </w:pPr>
            <w:r w:rsidRPr="00D31C46">
              <w:rPr>
                <w:sz w:val="18"/>
                <w:szCs w:val="18"/>
                <w:lang w:eastAsia="tr-TR"/>
              </w:rPr>
              <w:t>11,671</w:t>
            </w:r>
          </w:p>
        </w:tc>
        <w:tc>
          <w:tcPr>
            <w:tcW w:w="1187" w:type="dxa"/>
            <w:tcBorders>
              <w:top w:val="nil"/>
              <w:left w:val="nil"/>
              <w:bottom w:val="nil"/>
              <w:right w:val="nil"/>
            </w:tcBorders>
            <w:shd w:val="clear" w:color="auto" w:fill="auto"/>
            <w:vAlign w:val="bottom"/>
            <w:hideMark/>
          </w:tcPr>
          <w:p w14:paraId="2F9CF752" w14:textId="77777777" w:rsidR="00D31C46" w:rsidRPr="00D31C46" w:rsidRDefault="00D31C46" w:rsidP="00B843E3">
            <w:pPr>
              <w:jc w:val="right"/>
              <w:rPr>
                <w:sz w:val="18"/>
                <w:szCs w:val="18"/>
                <w:lang w:eastAsia="tr-TR"/>
              </w:rPr>
            </w:pPr>
            <w:r w:rsidRPr="00D31C46">
              <w:rPr>
                <w:sz w:val="18"/>
                <w:szCs w:val="18"/>
                <w:lang w:eastAsia="tr-TR"/>
              </w:rPr>
              <w:t>30,175</w:t>
            </w:r>
          </w:p>
        </w:tc>
      </w:tr>
      <w:tr w:rsidR="00D31C46" w:rsidRPr="00D31C46" w14:paraId="77954D0F" w14:textId="77777777" w:rsidTr="00B843E3">
        <w:trPr>
          <w:divId w:val="731122428"/>
          <w:trHeight w:val="359"/>
        </w:trPr>
        <w:tc>
          <w:tcPr>
            <w:tcW w:w="4410" w:type="dxa"/>
            <w:tcBorders>
              <w:top w:val="nil"/>
              <w:left w:val="nil"/>
              <w:bottom w:val="nil"/>
              <w:right w:val="nil"/>
            </w:tcBorders>
            <w:shd w:val="clear" w:color="auto" w:fill="auto"/>
            <w:vAlign w:val="center"/>
            <w:hideMark/>
          </w:tcPr>
          <w:p w14:paraId="391ABA4E" w14:textId="77777777" w:rsidR="00D31C46" w:rsidRPr="00D31C46" w:rsidRDefault="00D31C46" w:rsidP="00D31C46">
            <w:pPr>
              <w:rPr>
                <w:sz w:val="18"/>
                <w:szCs w:val="18"/>
                <w:lang w:eastAsia="tr-TR"/>
              </w:rPr>
            </w:pPr>
            <w:r w:rsidRPr="00D31C46">
              <w:rPr>
                <w:sz w:val="18"/>
                <w:szCs w:val="18"/>
                <w:lang w:eastAsia="tr-TR"/>
              </w:rPr>
              <w:t>Gerçeğe Uygun Değer Farkı Diğer Kapsamlı Gelire Yansıtılan Finansal Varlıklar</w:t>
            </w:r>
          </w:p>
        </w:tc>
        <w:tc>
          <w:tcPr>
            <w:tcW w:w="1119" w:type="dxa"/>
            <w:tcBorders>
              <w:top w:val="nil"/>
              <w:left w:val="nil"/>
              <w:bottom w:val="nil"/>
              <w:right w:val="nil"/>
            </w:tcBorders>
            <w:shd w:val="clear" w:color="auto" w:fill="auto"/>
            <w:vAlign w:val="bottom"/>
            <w:hideMark/>
          </w:tcPr>
          <w:p w14:paraId="516A0326" w14:textId="77777777" w:rsidR="00D31C46" w:rsidRPr="00D31C46" w:rsidRDefault="00D31C46" w:rsidP="00B843E3">
            <w:pPr>
              <w:jc w:val="right"/>
              <w:rPr>
                <w:sz w:val="18"/>
                <w:szCs w:val="18"/>
                <w:lang w:eastAsia="tr-TR"/>
              </w:rPr>
            </w:pPr>
            <w:r w:rsidRPr="00D31C46">
              <w:rPr>
                <w:sz w:val="18"/>
                <w:szCs w:val="18"/>
                <w:lang w:eastAsia="tr-TR"/>
              </w:rPr>
              <w:t>1,148,787</w:t>
            </w:r>
          </w:p>
        </w:tc>
        <w:tc>
          <w:tcPr>
            <w:tcW w:w="1275" w:type="dxa"/>
            <w:tcBorders>
              <w:top w:val="nil"/>
              <w:left w:val="nil"/>
              <w:bottom w:val="nil"/>
              <w:right w:val="nil"/>
            </w:tcBorders>
            <w:shd w:val="clear" w:color="auto" w:fill="auto"/>
            <w:vAlign w:val="bottom"/>
            <w:hideMark/>
          </w:tcPr>
          <w:p w14:paraId="6B07A736" w14:textId="77777777" w:rsidR="00D31C46" w:rsidRPr="00D31C46" w:rsidRDefault="00D31C46" w:rsidP="00B843E3">
            <w:pPr>
              <w:jc w:val="right"/>
              <w:rPr>
                <w:sz w:val="18"/>
                <w:szCs w:val="18"/>
                <w:lang w:eastAsia="tr-TR"/>
              </w:rPr>
            </w:pPr>
            <w:r w:rsidRPr="00D31C46">
              <w:rPr>
                <w:sz w:val="18"/>
                <w:szCs w:val="18"/>
                <w:lang w:eastAsia="tr-TR"/>
              </w:rPr>
              <w:t>281,926</w:t>
            </w:r>
          </w:p>
        </w:tc>
        <w:tc>
          <w:tcPr>
            <w:tcW w:w="1276" w:type="dxa"/>
            <w:tcBorders>
              <w:top w:val="nil"/>
              <w:left w:val="nil"/>
              <w:bottom w:val="nil"/>
              <w:right w:val="nil"/>
            </w:tcBorders>
            <w:shd w:val="clear" w:color="auto" w:fill="auto"/>
            <w:vAlign w:val="bottom"/>
            <w:hideMark/>
          </w:tcPr>
          <w:p w14:paraId="1FA6BDBA" w14:textId="77777777" w:rsidR="00D31C46" w:rsidRPr="00D31C46" w:rsidRDefault="00D31C46" w:rsidP="00B843E3">
            <w:pPr>
              <w:jc w:val="right"/>
              <w:rPr>
                <w:sz w:val="18"/>
                <w:szCs w:val="18"/>
                <w:lang w:eastAsia="tr-TR"/>
              </w:rPr>
            </w:pPr>
            <w:r w:rsidRPr="00D31C46">
              <w:rPr>
                <w:sz w:val="18"/>
                <w:szCs w:val="18"/>
                <w:lang w:eastAsia="tr-TR"/>
              </w:rPr>
              <w:t>212,171</w:t>
            </w:r>
          </w:p>
        </w:tc>
        <w:tc>
          <w:tcPr>
            <w:tcW w:w="1187" w:type="dxa"/>
            <w:tcBorders>
              <w:top w:val="nil"/>
              <w:left w:val="nil"/>
              <w:bottom w:val="nil"/>
              <w:right w:val="nil"/>
            </w:tcBorders>
            <w:shd w:val="clear" w:color="auto" w:fill="auto"/>
            <w:vAlign w:val="bottom"/>
            <w:hideMark/>
          </w:tcPr>
          <w:p w14:paraId="5AC94CD4" w14:textId="77777777" w:rsidR="00D31C46" w:rsidRPr="00D31C46" w:rsidRDefault="00D31C46" w:rsidP="00B843E3">
            <w:pPr>
              <w:jc w:val="right"/>
              <w:rPr>
                <w:sz w:val="18"/>
                <w:szCs w:val="18"/>
                <w:lang w:eastAsia="tr-TR"/>
              </w:rPr>
            </w:pPr>
            <w:r w:rsidRPr="00D31C46">
              <w:rPr>
                <w:sz w:val="18"/>
                <w:szCs w:val="18"/>
                <w:lang w:eastAsia="tr-TR"/>
              </w:rPr>
              <w:t>235,143</w:t>
            </w:r>
          </w:p>
        </w:tc>
      </w:tr>
      <w:tr w:rsidR="00D31C46" w:rsidRPr="00D31C46" w14:paraId="0C51F48A" w14:textId="77777777" w:rsidTr="00B843E3">
        <w:trPr>
          <w:divId w:val="731122428"/>
          <w:trHeight w:val="359"/>
        </w:trPr>
        <w:tc>
          <w:tcPr>
            <w:tcW w:w="4410" w:type="dxa"/>
            <w:tcBorders>
              <w:top w:val="nil"/>
              <w:left w:val="nil"/>
              <w:bottom w:val="nil"/>
              <w:right w:val="nil"/>
            </w:tcBorders>
            <w:shd w:val="clear" w:color="auto" w:fill="auto"/>
            <w:vAlign w:val="center"/>
            <w:hideMark/>
          </w:tcPr>
          <w:p w14:paraId="35BA35CE" w14:textId="77777777" w:rsidR="00D31C46" w:rsidRPr="00D31C46" w:rsidRDefault="00D31C46" w:rsidP="00D31C46">
            <w:pPr>
              <w:rPr>
                <w:sz w:val="18"/>
                <w:szCs w:val="18"/>
                <w:lang w:eastAsia="tr-TR"/>
              </w:rPr>
            </w:pPr>
            <w:r w:rsidRPr="00D31C46">
              <w:rPr>
                <w:sz w:val="18"/>
                <w:szCs w:val="18"/>
                <w:lang w:eastAsia="tr-TR"/>
              </w:rPr>
              <w:t>İtfa Edilmiş Maliyeti Üzerinden Değerlenen Finansal Varlıklar</w:t>
            </w:r>
          </w:p>
        </w:tc>
        <w:tc>
          <w:tcPr>
            <w:tcW w:w="1119" w:type="dxa"/>
            <w:tcBorders>
              <w:top w:val="nil"/>
              <w:left w:val="nil"/>
              <w:bottom w:val="nil"/>
              <w:right w:val="nil"/>
            </w:tcBorders>
            <w:shd w:val="clear" w:color="auto" w:fill="auto"/>
            <w:vAlign w:val="bottom"/>
            <w:hideMark/>
          </w:tcPr>
          <w:p w14:paraId="43AEF554" w14:textId="77777777" w:rsidR="00D31C46" w:rsidRPr="00D31C46" w:rsidRDefault="00D31C46" w:rsidP="00B843E3">
            <w:pPr>
              <w:jc w:val="right"/>
              <w:rPr>
                <w:sz w:val="18"/>
                <w:szCs w:val="18"/>
                <w:lang w:eastAsia="tr-TR"/>
              </w:rPr>
            </w:pPr>
            <w:r w:rsidRPr="00D31C46">
              <w:rPr>
                <w:sz w:val="18"/>
                <w:szCs w:val="18"/>
                <w:lang w:eastAsia="tr-TR"/>
              </w:rPr>
              <w:t>-</w:t>
            </w:r>
          </w:p>
        </w:tc>
        <w:tc>
          <w:tcPr>
            <w:tcW w:w="1275" w:type="dxa"/>
            <w:tcBorders>
              <w:top w:val="nil"/>
              <w:left w:val="nil"/>
              <w:bottom w:val="nil"/>
              <w:right w:val="nil"/>
            </w:tcBorders>
            <w:shd w:val="clear" w:color="auto" w:fill="auto"/>
            <w:vAlign w:val="bottom"/>
            <w:hideMark/>
          </w:tcPr>
          <w:p w14:paraId="2A067B06" w14:textId="77777777" w:rsidR="00D31C46" w:rsidRPr="00D31C46" w:rsidRDefault="00D31C46" w:rsidP="00B843E3">
            <w:pPr>
              <w:jc w:val="right"/>
              <w:rPr>
                <w:sz w:val="18"/>
                <w:szCs w:val="18"/>
                <w:lang w:eastAsia="tr-TR"/>
              </w:rPr>
            </w:pPr>
            <w:r w:rsidRPr="00D31C46">
              <w:rPr>
                <w:sz w:val="18"/>
                <w:szCs w:val="18"/>
                <w:lang w:eastAsia="tr-TR"/>
              </w:rPr>
              <w:t>124,170</w:t>
            </w:r>
          </w:p>
        </w:tc>
        <w:tc>
          <w:tcPr>
            <w:tcW w:w="1276" w:type="dxa"/>
            <w:tcBorders>
              <w:top w:val="nil"/>
              <w:left w:val="nil"/>
              <w:bottom w:val="nil"/>
              <w:right w:val="nil"/>
            </w:tcBorders>
            <w:shd w:val="clear" w:color="auto" w:fill="auto"/>
            <w:vAlign w:val="bottom"/>
            <w:hideMark/>
          </w:tcPr>
          <w:p w14:paraId="55AA510C" w14:textId="77777777" w:rsidR="00D31C46" w:rsidRPr="00D31C46" w:rsidRDefault="00D31C46" w:rsidP="00B843E3">
            <w:pPr>
              <w:jc w:val="right"/>
              <w:rPr>
                <w:sz w:val="18"/>
                <w:szCs w:val="18"/>
                <w:lang w:eastAsia="tr-TR"/>
              </w:rPr>
            </w:pPr>
            <w:r w:rsidRPr="00D31C46">
              <w:rPr>
                <w:sz w:val="18"/>
                <w:szCs w:val="18"/>
                <w:lang w:eastAsia="tr-TR"/>
              </w:rPr>
              <w:t>-</w:t>
            </w:r>
          </w:p>
        </w:tc>
        <w:tc>
          <w:tcPr>
            <w:tcW w:w="1187" w:type="dxa"/>
            <w:tcBorders>
              <w:top w:val="nil"/>
              <w:left w:val="nil"/>
              <w:bottom w:val="nil"/>
              <w:right w:val="nil"/>
            </w:tcBorders>
            <w:shd w:val="clear" w:color="auto" w:fill="auto"/>
            <w:vAlign w:val="bottom"/>
            <w:hideMark/>
          </w:tcPr>
          <w:p w14:paraId="01F41839" w14:textId="77777777" w:rsidR="00D31C46" w:rsidRPr="00D31C46" w:rsidRDefault="00D31C46" w:rsidP="00B843E3">
            <w:pPr>
              <w:jc w:val="right"/>
              <w:rPr>
                <w:sz w:val="18"/>
                <w:szCs w:val="18"/>
                <w:lang w:eastAsia="tr-TR"/>
              </w:rPr>
            </w:pPr>
            <w:r w:rsidRPr="00D31C46">
              <w:rPr>
                <w:sz w:val="18"/>
                <w:szCs w:val="18"/>
                <w:lang w:eastAsia="tr-TR"/>
              </w:rPr>
              <w:t>54,626</w:t>
            </w:r>
          </w:p>
        </w:tc>
      </w:tr>
      <w:tr w:rsidR="00D31C46" w:rsidRPr="00D31C46" w14:paraId="5F4E4CB8" w14:textId="77777777" w:rsidTr="00B843E3">
        <w:trPr>
          <w:divId w:val="731122428"/>
          <w:trHeight w:val="124"/>
        </w:trPr>
        <w:tc>
          <w:tcPr>
            <w:tcW w:w="4410" w:type="dxa"/>
            <w:tcBorders>
              <w:top w:val="single" w:sz="8" w:space="0" w:color="auto"/>
              <w:left w:val="nil"/>
              <w:bottom w:val="double" w:sz="6" w:space="0" w:color="auto"/>
              <w:right w:val="nil"/>
            </w:tcBorders>
            <w:shd w:val="clear" w:color="auto" w:fill="auto"/>
            <w:vAlign w:val="center"/>
            <w:hideMark/>
          </w:tcPr>
          <w:p w14:paraId="3F1EFD98" w14:textId="77777777" w:rsidR="00D31C46" w:rsidRPr="00D31C46" w:rsidRDefault="00D31C46" w:rsidP="00D31C46">
            <w:pPr>
              <w:rPr>
                <w:b/>
                <w:bCs/>
                <w:sz w:val="18"/>
                <w:szCs w:val="18"/>
                <w:lang w:eastAsia="tr-TR"/>
              </w:rPr>
            </w:pPr>
            <w:r w:rsidRPr="00D31C46">
              <w:rPr>
                <w:b/>
                <w:bCs/>
                <w:sz w:val="18"/>
                <w:szCs w:val="18"/>
                <w:lang w:eastAsia="tr-TR"/>
              </w:rPr>
              <w:t>Toplam</w:t>
            </w:r>
          </w:p>
        </w:tc>
        <w:tc>
          <w:tcPr>
            <w:tcW w:w="1119" w:type="dxa"/>
            <w:tcBorders>
              <w:top w:val="single" w:sz="8" w:space="0" w:color="auto"/>
              <w:left w:val="nil"/>
              <w:bottom w:val="double" w:sz="6" w:space="0" w:color="auto"/>
              <w:right w:val="nil"/>
            </w:tcBorders>
            <w:shd w:val="clear" w:color="auto" w:fill="auto"/>
            <w:vAlign w:val="bottom"/>
            <w:hideMark/>
          </w:tcPr>
          <w:p w14:paraId="22F3882D" w14:textId="77777777" w:rsidR="00D31C46" w:rsidRPr="00D31C46" w:rsidRDefault="00D31C46" w:rsidP="00B843E3">
            <w:pPr>
              <w:jc w:val="right"/>
              <w:rPr>
                <w:b/>
                <w:bCs/>
                <w:sz w:val="18"/>
                <w:szCs w:val="18"/>
                <w:lang w:eastAsia="tr-TR"/>
              </w:rPr>
            </w:pPr>
            <w:r w:rsidRPr="00D31C46">
              <w:rPr>
                <w:b/>
                <w:bCs/>
                <w:sz w:val="18"/>
                <w:szCs w:val="18"/>
                <w:lang w:eastAsia="tr-TR"/>
              </w:rPr>
              <w:t>1,212,200</w:t>
            </w:r>
          </w:p>
        </w:tc>
        <w:tc>
          <w:tcPr>
            <w:tcW w:w="1275" w:type="dxa"/>
            <w:tcBorders>
              <w:top w:val="single" w:sz="8" w:space="0" w:color="auto"/>
              <w:left w:val="nil"/>
              <w:bottom w:val="double" w:sz="6" w:space="0" w:color="auto"/>
              <w:right w:val="nil"/>
            </w:tcBorders>
            <w:shd w:val="clear" w:color="auto" w:fill="auto"/>
            <w:vAlign w:val="bottom"/>
            <w:hideMark/>
          </w:tcPr>
          <w:p w14:paraId="73BBFA57" w14:textId="77777777" w:rsidR="00D31C46" w:rsidRPr="00D31C46" w:rsidRDefault="00D31C46" w:rsidP="00B843E3">
            <w:pPr>
              <w:jc w:val="right"/>
              <w:rPr>
                <w:b/>
                <w:bCs/>
                <w:sz w:val="18"/>
                <w:szCs w:val="18"/>
                <w:lang w:eastAsia="tr-TR"/>
              </w:rPr>
            </w:pPr>
            <w:r w:rsidRPr="00D31C46">
              <w:rPr>
                <w:b/>
                <w:bCs/>
                <w:sz w:val="18"/>
                <w:szCs w:val="18"/>
                <w:lang w:eastAsia="tr-TR"/>
              </w:rPr>
              <w:t>580,116</w:t>
            </w:r>
          </w:p>
        </w:tc>
        <w:tc>
          <w:tcPr>
            <w:tcW w:w="1276" w:type="dxa"/>
            <w:tcBorders>
              <w:top w:val="single" w:sz="8" w:space="0" w:color="auto"/>
              <w:left w:val="nil"/>
              <w:bottom w:val="double" w:sz="6" w:space="0" w:color="auto"/>
              <w:right w:val="nil"/>
            </w:tcBorders>
            <w:shd w:val="clear" w:color="auto" w:fill="auto"/>
            <w:vAlign w:val="bottom"/>
            <w:hideMark/>
          </w:tcPr>
          <w:p w14:paraId="0D7FCD33" w14:textId="77777777" w:rsidR="00D31C46" w:rsidRPr="00D31C46" w:rsidRDefault="00D31C46" w:rsidP="00B843E3">
            <w:pPr>
              <w:jc w:val="right"/>
              <w:rPr>
                <w:b/>
                <w:bCs/>
                <w:sz w:val="18"/>
                <w:szCs w:val="18"/>
                <w:lang w:eastAsia="tr-TR"/>
              </w:rPr>
            </w:pPr>
            <w:r w:rsidRPr="00D31C46">
              <w:rPr>
                <w:b/>
                <w:bCs/>
                <w:sz w:val="18"/>
                <w:szCs w:val="18"/>
                <w:lang w:eastAsia="tr-TR"/>
              </w:rPr>
              <w:t>223,842</w:t>
            </w:r>
          </w:p>
        </w:tc>
        <w:tc>
          <w:tcPr>
            <w:tcW w:w="1187" w:type="dxa"/>
            <w:tcBorders>
              <w:top w:val="single" w:sz="8" w:space="0" w:color="auto"/>
              <w:left w:val="nil"/>
              <w:bottom w:val="double" w:sz="6" w:space="0" w:color="auto"/>
              <w:right w:val="nil"/>
            </w:tcBorders>
            <w:shd w:val="clear" w:color="auto" w:fill="auto"/>
            <w:vAlign w:val="bottom"/>
            <w:hideMark/>
          </w:tcPr>
          <w:p w14:paraId="7AEFDF16" w14:textId="77777777" w:rsidR="00D31C46" w:rsidRPr="00D31C46" w:rsidRDefault="00D31C46" w:rsidP="00B843E3">
            <w:pPr>
              <w:jc w:val="right"/>
              <w:rPr>
                <w:b/>
                <w:bCs/>
                <w:sz w:val="18"/>
                <w:szCs w:val="18"/>
                <w:lang w:eastAsia="tr-TR"/>
              </w:rPr>
            </w:pPr>
            <w:r w:rsidRPr="00D31C46">
              <w:rPr>
                <w:b/>
                <w:bCs/>
                <w:sz w:val="18"/>
                <w:szCs w:val="18"/>
                <w:lang w:eastAsia="tr-TR"/>
              </w:rPr>
              <w:t>319,944</w:t>
            </w:r>
          </w:p>
        </w:tc>
      </w:tr>
    </w:tbl>
    <w:p w14:paraId="774EF211" w14:textId="6A0D4010" w:rsidR="009608CC" w:rsidRPr="00D31C46" w:rsidRDefault="009608CC" w:rsidP="002B3EA9">
      <w:pPr>
        <w:tabs>
          <w:tab w:val="left" w:pos="0"/>
        </w:tabs>
        <w:jc w:val="both"/>
        <w:rPr>
          <w:iCs/>
          <w:sz w:val="16"/>
          <w:szCs w:val="16"/>
        </w:rPr>
      </w:pPr>
    </w:p>
    <w:p w14:paraId="453D9B8A" w14:textId="77777777" w:rsidR="008B1E20" w:rsidRPr="00D31C46" w:rsidRDefault="00B21C85" w:rsidP="00B21C85">
      <w:pPr>
        <w:pStyle w:val="ListParagraph"/>
        <w:autoSpaceDE w:val="0"/>
        <w:autoSpaceDN w:val="0"/>
        <w:adjustRightInd w:val="0"/>
        <w:ind w:left="0" w:hanging="567"/>
        <w:rPr>
          <w:b/>
        </w:rPr>
      </w:pPr>
      <w:r w:rsidRPr="00D31C46">
        <w:rPr>
          <w:b/>
        </w:rPr>
        <w:t xml:space="preserve">4.1.4 </w:t>
      </w:r>
      <w:r w:rsidRPr="00D31C46">
        <w:rPr>
          <w:b/>
        </w:rPr>
        <w:tab/>
      </w:r>
      <w:r w:rsidR="00E253C8" w:rsidRPr="00D31C46">
        <w:rPr>
          <w:b/>
        </w:rPr>
        <w:t xml:space="preserve">İştirak ve bağlı ortaklıklardan alınan kar payı gelirine ilişkin </w:t>
      </w:r>
      <w:proofErr w:type="gramStart"/>
      <w:r w:rsidR="00E253C8" w:rsidRPr="00D31C46">
        <w:rPr>
          <w:b/>
        </w:rPr>
        <w:t>bilgiler :</w:t>
      </w:r>
      <w:proofErr w:type="gramEnd"/>
    </w:p>
    <w:p w14:paraId="3D5C9A68" w14:textId="55A30540" w:rsidR="00D31C46" w:rsidRPr="00311DAB" w:rsidRDefault="00D31C46" w:rsidP="00DA0127">
      <w:pPr>
        <w:pStyle w:val="BodyTextIndent2"/>
        <w:tabs>
          <w:tab w:val="left" w:pos="180"/>
        </w:tabs>
        <w:ind w:left="0"/>
        <w:jc w:val="left"/>
        <w:rPr>
          <w:rFonts w:ascii="Times New Roman" w:hAnsi="Times New Roman"/>
          <w:b w:val="0"/>
          <w:color w:val="auto"/>
          <w:sz w:val="20"/>
          <w:lang w:eastAsia="en-GB"/>
        </w:rPr>
      </w:pPr>
    </w:p>
    <w:tbl>
      <w:tblPr>
        <w:tblW w:w="9239" w:type="dxa"/>
        <w:tblCellMar>
          <w:left w:w="70" w:type="dxa"/>
          <w:right w:w="70" w:type="dxa"/>
        </w:tblCellMar>
        <w:tblLook w:val="04A0" w:firstRow="1" w:lastRow="0" w:firstColumn="1" w:lastColumn="0" w:noHBand="0" w:noVBand="1"/>
      </w:tblPr>
      <w:tblGrid>
        <w:gridCol w:w="5520"/>
        <w:gridCol w:w="1848"/>
        <w:gridCol w:w="1871"/>
      </w:tblGrid>
      <w:tr w:rsidR="00D31C46" w:rsidRPr="00D31C46" w14:paraId="0DB6D9B3" w14:textId="77777777" w:rsidTr="00B843E3">
        <w:trPr>
          <w:divId w:val="1001814948"/>
          <w:trHeight w:val="221"/>
        </w:trPr>
        <w:tc>
          <w:tcPr>
            <w:tcW w:w="5520" w:type="dxa"/>
            <w:tcBorders>
              <w:top w:val="double" w:sz="6" w:space="0" w:color="auto"/>
              <w:left w:val="nil"/>
              <w:bottom w:val="single" w:sz="8" w:space="0" w:color="auto"/>
              <w:right w:val="nil"/>
            </w:tcBorders>
            <w:shd w:val="clear" w:color="auto" w:fill="auto"/>
            <w:vAlign w:val="center"/>
            <w:hideMark/>
          </w:tcPr>
          <w:p w14:paraId="635940F2" w14:textId="0F61FE11" w:rsidR="00D31C46" w:rsidRPr="00D31C46" w:rsidRDefault="00D31C46" w:rsidP="00D31C46">
            <w:pPr>
              <w:jc w:val="center"/>
              <w:rPr>
                <w:b/>
                <w:bCs/>
                <w:sz w:val="18"/>
                <w:szCs w:val="18"/>
                <w:lang w:eastAsia="tr-TR"/>
              </w:rPr>
            </w:pPr>
            <w:r w:rsidRPr="00D31C46">
              <w:rPr>
                <w:b/>
                <w:bCs/>
                <w:sz w:val="18"/>
                <w:szCs w:val="18"/>
                <w:lang w:eastAsia="tr-TR"/>
              </w:rPr>
              <w:t> </w:t>
            </w:r>
          </w:p>
        </w:tc>
        <w:tc>
          <w:tcPr>
            <w:tcW w:w="1848" w:type="dxa"/>
            <w:tcBorders>
              <w:top w:val="double" w:sz="6" w:space="0" w:color="auto"/>
              <w:left w:val="nil"/>
              <w:bottom w:val="single" w:sz="8" w:space="0" w:color="auto"/>
              <w:right w:val="nil"/>
            </w:tcBorders>
            <w:shd w:val="clear" w:color="auto" w:fill="auto"/>
            <w:vAlign w:val="center"/>
            <w:hideMark/>
          </w:tcPr>
          <w:p w14:paraId="721D7188" w14:textId="77777777" w:rsidR="00D31C46" w:rsidRPr="00D31C46" w:rsidRDefault="00D31C46" w:rsidP="00D31C46">
            <w:pPr>
              <w:jc w:val="right"/>
              <w:rPr>
                <w:b/>
                <w:bCs/>
                <w:sz w:val="18"/>
                <w:szCs w:val="18"/>
                <w:lang w:eastAsia="tr-TR"/>
              </w:rPr>
            </w:pPr>
            <w:r w:rsidRPr="00D31C46">
              <w:rPr>
                <w:b/>
                <w:bCs/>
                <w:sz w:val="18"/>
                <w:szCs w:val="18"/>
                <w:lang w:eastAsia="tr-TR"/>
              </w:rPr>
              <w:t>Cari Dönem</w:t>
            </w:r>
          </w:p>
        </w:tc>
        <w:tc>
          <w:tcPr>
            <w:tcW w:w="1871" w:type="dxa"/>
            <w:tcBorders>
              <w:top w:val="double" w:sz="6" w:space="0" w:color="auto"/>
              <w:left w:val="nil"/>
              <w:bottom w:val="single" w:sz="8" w:space="0" w:color="auto"/>
              <w:right w:val="nil"/>
            </w:tcBorders>
            <w:shd w:val="clear" w:color="auto" w:fill="auto"/>
            <w:vAlign w:val="center"/>
            <w:hideMark/>
          </w:tcPr>
          <w:p w14:paraId="6E9964A4" w14:textId="77777777" w:rsidR="00D31C46" w:rsidRPr="00D31C46" w:rsidRDefault="00D31C46" w:rsidP="00D31C46">
            <w:pPr>
              <w:jc w:val="right"/>
              <w:rPr>
                <w:b/>
                <w:bCs/>
                <w:sz w:val="18"/>
                <w:szCs w:val="18"/>
                <w:lang w:eastAsia="tr-TR"/>
              </w:rPr>
            </w:pPr>
            <w:r w:rsidRPr="00D31C46">
              <w:rPr>
                <w:b/>
                <w:bCs/>
                <w:sz w:val="18"/>
                <w:szCs w:val="18"/>
                <w:lang w:eastAsia="tr-TR"/>
              </w:rPr>
              <w:t>Önceki Dönem</w:t>
            </w:r>
          </w:p>
        </w:tc>
      </w:tr>
      <w:tr w:rsidR="00D31C46" w:rsidRPr="00D31C46" w14:paraId="2C1727E3" w14:textId="77777777" w:rsidTr="00B843E3">
        <w:trPr>
          <w:divId w:val="1001814948"/>
          <w:trHeight w:val="209"/>
        </w:trPr>
        <w:tc>
          <w:tcPr>
            <w:tcW w:w="5520" w:type="dxa"/>
            <w:tcBorders>
              <w:top w:val="nil"/>
              <w:left w:val="nil"/>
              <w:bottom w:val="double" w:sz="6" w:space="0" w:color="auto"/>
              <w:right w:val="nil"/>
            </w:tcBorders>
            <w:shd w:val="clear" w:color="auto" w:fill="auto"/>
            <w:vAlign w:val="center"/>
            <w:hideMark/>
          </w:tcPr>
          <w:p w14:paraId="3ACA4DB8" w14:textId="77777777" w:rsidR="00D31C46" w:rsidRPr="00D31C46" w:rsidRDefault="00D31C46" w:rsidP="00D31C46">
            <w:pPr>
              <w:jc w:val="both"/>
              <w:rPr>
                <w:sz w:val="18"/>
                <w:szCs w:val="18"/>
                <w:lang w:eastAsia="tr-TR"/>
              </w:rPr>
            </w:pPr>
            <w:r w:rsidRPr="00D31C46">
              <w:rPr>
                <w:sz w:val="18"/>
                <w:szCs w:val="18"/>
                <w:lang w:eastAsia="tr-TR"/>
              </w:rPr>
              <w:t>İştirak ve bağlı ortaklıklardan alınan kar payları</w:t>
            </w:r>
          </w:p>
        </w:tc>
        <w:tc>
          <w:tcPr>
            <w:tcW w:w="1848" w:type="dxa"/>
            <w:tcBorders>
              <w:top w:val="nil"/>
              <w:left w:val="nil"/>
              <w:bottom w:val="double" w:sz="6" w:space="0" w:color="auto"/>
              <w:right w:val="nil"/>
            </w:tcBorders>
            <w:shd w:val="clear" w:color="auto" w:fill="auto"/>
            <w:vAlign w:val="center"/>
            <w:hideMark/>
          </w:tcPr>
          <w:p w14:paraId="7E144D54" w14:textId="77777777" w:rsidR="00D31C46" w:rsidRPr="00D31C46" w:rsidRDefault="00D31C46" w:rsidP="00D31C46">
            <w:pPr>
              <w:jc w:val="right"/>
              <w:rPr>
                <w:sz w:val="18"/>
                <w:szCs w:val="18"/>
                <w:lang w:eastAsia="tr-TR"/>
              </w:rPr>
            </w:pPr>
            <w:r w:rsidRPr="00D31C46">
              <w:rPr>
                <w:sz w:val="18"/>
                <w:szCs w:val="18"/>
                <w:lang w:eastAsia="tr-TR"/>
              </w:rPr>
              <w:t>254</w:t>
            </w:r>
          </w:p>
        </w:tc>
        <w:tc>
          <w:tcPr>
            <w:tcW w:w="1871" w:type="dxa"/>
            <w:tcBorders>
              <w:top w:val="nil"/>
              <w:left w:val="nil"/>
              <w:bottom w:val="double" w:sz="6" w:space="0" w:color="auto"/>
              <w:right w:val="nil"/>
            </w:tcBorders>
            <w:shd w:val="clear" w:color="auto" w:fill="auto"/>
            <w:vAlign w:val="center"/>
            <w:hideMark/>
          </w:tcPr>
          <w:p w14:paraId="6BE78646" w14:textId="77777777" w:rsidR="00D31C46" w:rsidRPr="00D31C46" w:rsidRDefault="00D31C46" w:rsidP="00D31C46">
            <w:pPr>
              <w:jc w:val="right"/>
              <w:rPr>
                <w:sz w:val="18"/>
                <w:szCs w:val="18"/>
                <w:lang w:eastAsia="tr-TR"/>
              </w:rPr>
            </w:pPr>
            <w:r w:rsidRPr="00D31C46">
              <w:rPr>
                <w:sz w:val="18"/>
                <w:szCs w:val="18"/>
                <w:lang w:eastAsia="tr-TR"/>
              </w:rPr>
              <w:t>44</w:t>
            </w:r>
          </w:p>
        </w:tc>
      </w:tr>
    </w:tbl>
    <w:p w14:paraId="0012A6C6" w14:textId="2AE95D0A" w:rsidR="003A6FB2" w:rsidRPr="00D31C46" w:rsidRDefault="003A6FB2" w:rsidP="00DA0127">
      <w:pPr>
        <w:pStyle w:val="BodyTextIndent2"/>
        <w:tabs>
          <w:tab w:val="left" w:pos="180"/>
        </w:tabs>
        <w:ind w:left="0"/>
        <w:jc w:val="left"/>
        <w:rPr>
          <w:rFonts w:ascii="Times New Roman" w:hAnsi="Times New Roman"/>
          <w:b w:val="0"/>
          <w:color w:val="auto"/>
          <w:sz w:val="16"/>
          <w:szCs w:val="16"/>
        </w:rPr>
      </w:pPr>
    </w:p>
    <w:p w14:paraId="3CB9E4F0" w14:textId="77777777" w:rsidR="000F096F" w:rsidRPr="00D31C46" w:rsidRDefault="00B21C85" w:rsidP="00B21C85">
      <w:pPr>
        <w:autoSpaceDE w:val="0"/>
        <w:autoSpaceDN w:val="0"/>
        <w:adjustRightInd w:val="0"/>
        <w:ind w:hanging="567"/>
        <w:rPr>
          <w:b/>
          <w:bCs/>
          <w:iCs/>
        </w:rPr>
      </w:pPr>
      <w:r w:rsidRPr="00D31C46">
        <w:rPr>
          <w:b/>
        </w:rPr>
        <w:t>4.2</w:t>
      </w:r>
      <w:r w:rsidRPr="00D31C46">
        <w:rPr>
          <w:b/>
        </w:rPr>
        <w:tab/>
      </w:r>
      <w:r w:rsidR="00E253C8" w:rsidRPr="00D31C46">
        <w:rPr>
          <w:b/>
        </w:rPr>
        <w:t xml:space="preserve">Kullanılan kredilere verilen </w:t>
      </w:r>
      <w:proofErr w:type="gramStart"/>
      <w:r w:rsidR="00E253C8" w:rsidRPr="00D31C46">
        <w:rPr>
          <w:b/>
        </w:rPr>
        <w:t>kar</w:t>
      </w:r>
      <w:proofErr w:type="gramEnd"/>
      <w:r w:rsidR="00E253C8" w:rsidRPr="00D31C46">
        <w:rPr>
          <w:b/>
        </w:rPr>
        <w:t xml:space="preserve"> payına ilişkin bilgiler: </w:t>
      </w:r>
    </w:p>
    <w:p w14:paraId="2B1D591C" w14:textId="4B16207E" w:rsidR="00D31C46" w:rsidRPr="00D31C46" w:rsidRDefault="00D31C46" w:rsidP="000F096F">
      <w:pPr>
        <w:tabs>
          <w:tab w:val="left" w:pos="-1980"/>
        </w:tabs>
        <w:rPr>
          <w:lang w:val="en-GB" w:eastAsia="en-GB"/>
        </w:rPr>
      </w:pPr>
    </w:p>
    <w:tbl>
      <w:tblPr>
        <w:tblW w:w="9239" w:type="dxa"/>
        <w:tblCellMar>
          <w:left w:w="70" w:type="dxa"/>
          <w:right w:w="70" w:type="dxa"/>
        </w:tblCellMar>
        <w:tblLook w:val="04A0" w:firstRow="1" w:lastRow="0" w:firstColumn="1" w:lastColumn="0" w:noHBand="0" w:noVBand="1"/>
      </w:tblPr>
      <w:tblGrid>
        <w:gridCol w:w="4424"/>
        <w:gridCol w:w="1120"/>
        <w:gridCol w:w="1291"/>
        <w:gridCol w:w="1270"/>
        <w:gridCol w:w="1134"/>
      </w:tblGrid>
      <w:tr w:rsidR="00D31C46" w:rsidRPr="00D31C46" w14:paraId="095E6F9B" w14:textId="77777777" w:rsidTr="00B843E3">
        <w:trPr>
          <w:divId w:val="1806659799"/>
          <w:trHeight w:val="271"/>
        </w:trPr>
        <w:tc>
          <w:tcPr>
            <w:tcW w:w="4424" w:type="dxa"/>
            <w:tcBorders>
              <w:top w:val="double" w:sz="6" w:space="0" w:color="auto"/>
              <w:left w:val="nil"/>
              <w:bottom w:val="nil"/>
              <w:right w:val="nil"/>
            </w:tcBorders>
            <w:shd w:val="clear" w:color="auto" w:fill="auto"/>
            <w:vAlign w:val="center"/>
            <w:hideMark/>
          </w:tcPr>
          <w:p w14:paraId="0DD1AFA9" w14:textId="4765E55F" w:rsidR="00D31C46" w:rsidRPr="00D31C46" w:rsidRDefault="00D31C46" w:rsidP="00D31C46">
            <w:pPr>
              <w:jc w:val="both"/>
              <w:rPr>
                <w:sz w:val="18"/>
                <w:szCs w:val="18"/>
                <w:lang w:eastAsia="tr-TR"/>
              </w:rPr>
            </w:pPr>
            <w:r w:rsidRPr="00D31C46">
              <w:rPr>
                <w:sz w:val="18"/>
                <w:szCs w:val="18"/>
                <w:lang w:eastAsia="tr-TR"/>
              </w:rPr>
              <w:t> </w:t>
            </w:r>
          </w:p>
        </w:tc>
        <w:tc>
          <w:tcPr>
            <w:tcW w:w="2411" w:type="dxa"/>
            <w:gridSpan w:val="2"/>
            <w:tcBorders>
              <w:top w:val="double" w:sz="6" w:space="0" w:color="auto"/>
              <w:left w:val="nil"/>
              <w:bottom w:val="single" w:sz="8" w:space="0" w:color="auto"/>
              <w:right w:val="nil"/>
            </w:tcBorders>
            <w:shd w:val="clear" w:color="auto" w:fill="auto"/>
            <w:vAlign w:val="center"/>
            <w:hideMark/>
          </w:tcPr>
          <w:p w14:paraId="404CB00D" w14:textId="77777777" w:rsidR="00D31C46" w:rsidRPr="00D31C46" w:rsidRDefault="00D31C46" w:rsidP="00D31C46">
            <w:pPr>
              <w:jc w:val="center"/>
              <w:rPr>
                <w:b/>
                <w:bCs/>
                <w:sz w:val="18"/>
                <w:szCs w:val="18"/>
                <w:lang w:eastAsia="tr-TR"/>
              </w:rPr>
            </w:pPr>
            <w:r w:rsidRPr="00D31C46">
              <w:rPr>
                <w:b/>
                <w:bCs/>
                <w:sz w:val="18"/>
                <w:szCs w:val="18"/>
                <w:lang w:eastAsia="tr-TR"/>
              </w:rPr>
              <w:t>Cari Dönem</w:t>
            </w:r>
          </w:p>
        </w:tc>
        <w:tc>
          <w:tcPr>
            <w:tcW w:w="2404" w:type="dxa"/>
            <w:gridSpan w:val="2"/>
            <w:tcBorders>
              <w:top w:val="double" w:sz="6" w:space="0" w:color="auto"/>
              <w:left w:val="nil"/>
              <w:bottom w:val="single" w:sz="8" w:space="0" w:color="auto"/>
              <w:right w:val="nil"/>
            </w:tcBorders>
            <w:shd w:val="clear" w:color="auto" w:fill="auto"/>
            <w:vAlign w:val="center"/>
            <w:hideMark/>
          </w:tcPr>
          <w:p w14:paraId="590AAB67" w14:textId="77777777" w:rsidR="00D31C46" w:rsidRPr="00D31C46" w:rsidRDefault="00D31C46" w:rsidP="00D31C46">
            <w:pPr>
              <w:jc w:val="center"/>
              <w:rPr>
                <w:b/>
                <w:bCs/>
                <w:sz w:val="18"/>
                <w:szCs w:val="18"/>
                <w:lang w:eastAsia="tr-TR"/>
              </w:rPr>
            </w:pPr>
            <w:r w:rsidRPr="00D31C46">
              <w:rPr>
                <w:b/>
                <w:bCs/>
                <w:sz w:val="18"/>
                <w:szCs w:val="18"/>
                <w:lang w:eastAsia="tr-TR"/>
              </w:rPr>
              <w:t>Önceki Dönem</w:t>
            </w:r>
          </w:p>
        </w:tc>
      </w:tr>
      <w:tr w:rsidR="00D31C46" w:rsidRPr="00D31C46" w14:paraId="2AFC65D4" w14:textId="77777777" w:rsidTr="00B843E3">
        <w:trPr>
          <w:divId w:val="1806659799"/>
          <w:trHeight w:val="256"/>
        </w:trPr>
        <w:tc>
          <w:tcPr>
            <w:tcW w:w="4424" w:type="dxa"/>
            <w:tcBorders>
              <w:top w:val="nil"/>
              <w:left w:val="nil"/>
              <w:bottom w:val="single" w:sz="8" w:space="0" w:color="auto"/>
              <w:right w:val="nil"/>
            </w:tcBorders>
            <w:shd w:val="clear" w:color="auto" w:fill="auto"/>
            <w:vAlign w:val="center"/>
            <w:hideMark/>
          </w:tcPr>
          <w:p w14:paraId="06EC30FA" w14:textId="77777777" w:rsidR="00D31C46" w:rsidRPr="00D31C46" w:rsidRDefault="00D31C46" w:rsidP="00D31C46">
            <w:pPr>
              <w:jc w:val="both"/>
              <w:rPr>
                <w:b/>
                <w:bCs/>
                <w:sz w:val="18"/>
                <w:szCs w:val="18"/>
                <w:lang w:eastAsia="tr-TR"/>
              </w:rPr>
            </w:pPr>
            <w:r w:rsidRPr="00D31C46">
              <w:rPr>
                <w:b/>
                <w:bCs/>
                <w:sz w:val="18"/>
                <w:szCs w:val="18"/>
                <w:lang w:eastAsia="tr-TR"/>
              </w:rPr>
              <w:t> </w:t>
            </w:r>
          </w:p>
        </w:tc>
        <w:tc>
          <w:tcPr>
            <w:tcW w:w="1120" w:type="dxa"/>
            <w:tcBorders>
              <w:top w:val="nil"/>
              <w:left w:val="nil"/>
              <w:bottom w:val="single" w:sz="8" w:space="0" w:color="auto"/>
              <w:right w:val="nil"/>
            </w:tcBorders>
            <w:shd w:val="clear" w:color="auto" w:fill="auto"/>
            <w:vAlign w:val="center"/>
            <w:hideMark/>
          </w:tcPr>
          <w:p w14:paraId="2E1FABFB" w14:textId="77777777" w:rsidR="00D31C46" w:rsidRPr="00D31C46" w:rsidRDefault="00D31C46" w:rsidP="00D31C46">
            <w:pPr>
              <w:jc w:val="right"/>
              <w:rPr>
                <w:b/>
                <w:bCs/>
                <w:sz w:val="18"/>
                <w:szCs w:val="18"/>
                <w:lang w:eastAsia="tr-TR"/>
              </w:rPr>
            </w:pPr>
            <w:r w:rsidRPr="00D31C46">
              <w:rPr>
                <w:b/>
                <w:bCs/>
                <w:sz w:val="18"/>
                <w:szCs w:val="18"/>
                <w:lang w:eastAsia="tr-TR"/>
              </w:rPr>
              <w:t>TP</w:t>
            </w:r>
          </w:p>
        </w:tc>
        <w:tc>
          <w:tcPr>
            <w:tcW w:w="1291" w:type="dxa"/>
            <w:tcBorders>
              <w:top w:val="nil"/>
              <w:left w:val="nil"/>
              <w:bottom w:val="single" w:sz="8" w:space="0" w:color="auto"/>
              <w:right w:val="nil"/>
            </w:tcBorders>
            <w:shd w:val="clear" w:color="auto" w:fill="auto"/>
            <w:vAlign w:val="center"/>
            <w:hideMark/>
          </w:tcPr>
          <w:p w14:paraId="101588C3" w14:textId="77777777" w:rsidR="00D31C46" w:rsidRPr="00D31C46" w:rsidRDefault="00D31C46" w:rsidP="00D31C46">
            <w:pPr>
              <w:jc w:val="right"/>
              <w:rPr>
                <w:b/>
                <w:bCs/>
                <w:sz w:val="18"/>
                <w:szCs w:val="18"/>
                <w:lang w:eastAsia="tr-TR"/>
              </w:rPr>
            </w:pPr>
            <w:r w:rsidRPr="00D31C46">
              <w:rPr>
                <w:b/>
                <w:bCs/>
                <w:sz w:val="18"/>
                <w:szCs w:val="18"/>
                <w:lang w:eastAsia="tr-TR"/>
              </w:rPr>
              <w:t>YP</w:t>
            </w:r>
          </w:p>
        </w:tc>
        <w:tc>
          <w:tcPr>
            <w:tcW w:w="1270" w:type="dxa"/>
            <w:tcBorders>
              <w:top w:val="nil"/>
              <w:left w:val="nil"/>
              <w:bottom w:val="single" w:sz="8" w:space="0" w:color="auto"/>
              <w:right w:val="nil"/>
            </w:tcBorders>
            <w:shd w:val="clear" w:color="auto" w:fill="auto"/>
            <w:vAlign w:val="center"/>
            <w:hideMark/>
          </w:tcPr>
          <w:p w14:paraId="252C6CBF" w14:textId="77777777" w:rsidR="00D31C46" w:rsidRPr="00D31C46" w:rsidRDefault="00D31C46" w:rsidP="00D31C46">
            <w:pPr>
              <w:jc w:val="right"/>
              <w:rPr>
                <w:b/>
                <w:bCs/>
                <w:sz w:val="18"/>
                <w:szCs w:val="18"/>
                <w:lang w:eastAsia="tr-TR"/>
              </w:rPr>
            </w:pPr>
            <w:r w:rsidRPr="00D31C46">
              <w:rPr>
                <w:b/>
                <w:bCs/>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34548EF0" w14:textId="77777777" w:rsidR="00D31C46" w:rsidRPr="00D31C46" w:rsidRDefault="00D31C46" w:rsidP="00D31C46">
            <w:pPr>
              <w:jc w:val="right"/>
              <w:rPr>
                <w:b/>
                <w:bCs/>
                <w:sz w:val="18"/>
                <w:szCs w:val="18"/>
                <w:lang w:eastAsia="tr-TR"/>
              </w:rPr>
            </w:pPr>
            <w:r w:rsidRPr="00D31C46">
              <w:rPr>
                <w:b/>
                <w:bCs/>
                <w:sz w:val="18"/>
                <w:szCs w:val="18"/>
                <w:lang w:eastAsia="tr-TR"/>
              </w:rPr>
              <w:t>YP</w:t>
            </w:r>
          </w:p>
        </w:tc>
      </w:tr>
      <w:tr w:rsidR="00D31C46" w:rsidRPr="00D31C46" w14:paraId="5B85C575" w14:textId="77777777" w:rsidTr="00B843E3">
        <w:trPr>
          <w:divId w:val="1806659799"/>
          <w:trHeight w:val="241"/>
        </w:trPr>
        <w:tc>
          <w:tcPr>
            <w:tcW w:w="4424" w:type="dxa"/>
            <w:tcBorders>
              <w:top w:val="nil"/>
              <w:left w:val="nil"/>
              <w:bottom w:val="nil"/>
              <w:right w:val="nil"/>
            </w:tcBorders>
            <w:shd w:val="clear" w:color="auto" w:fill="auto"/>
            <w:vAlign w:val="center"/>
            <w:hideMark/>
          </w:tcPr>
          <w:p w14:paraId="2FDB4B49" w14:textId="77777777" w:rsidR="00D31C46" w:rsidRPr="00D31C46" w:rsidRDefault="00D31C46" w:rsidP="00D31C46">
            <w:pPr>
              <w:rPr>
                <w:sz w:val="18"/>
                <w:szCs w:val="18"/>
                <w:lang w:eastAsia="tr-TR"/>
              </w:rPr>
            </w:pPr>
            <w:r w:rsidRPr="00D31C46">
              <w:rPr>
                <w:sz w:val="18"/>
                <w:szCs w:val="18"/>
                <w:lang w:eastAsia="tr-TR"/>
              </w:rPr>
              <w:t>Bankalara</w:t>
            </w:r>
          </w:p>
        </w:tc>
        <w:tc>
          <w:tcPr>
            <w:tcW w:w="1120" w:type="dxa"/>
            <w:tcBorders>
              <w:top w:val="nil"/>
              <w:left w:val="nil"/>
              <w:bottom w:val="nil"/>
              <w:right w:val="nil"/>
            </w:tcBorders>
            <w:shd w:val="clear" w:color="auto" w:fill="auto"/>
            <w:vAlign w:val="center"/>
            <w:hideMark/>
          </w:tcPr>
          <w:p w14:paraId="0AE3FE1F" w14:textId="77777777" w:rsidR="00D31C46" w:rsidRPr="00D31C46" w:rsidRDefault="00D31C46" w:rsidP="00D31C46">
            <w:pPr>
              <w:jc w:val="right"/>
              <w:rPr>
                <w:b/>
                <w:bCs/>
                <w:sz w:val="18"/>
                <w:szCs w:val="18"/>
                <w:lang w:eastAsia="tr-TR"/>
              </w:rPr>
            </w:pPr>
            <w:r w:rsidRPr="00D31C46">
              <w:rPr>
                <w:b/>
                <w:bCs/>
                <w:sz w:val="18"/>
                <w:szCs w:val="18"/>
                <w:lang w:eastAsia="tr-TR"/>
              </w:rPr>
              <w:t>19,403</w:t>
            </w:r>
          </w:p>
        </w:tc>
        <w:tc>
          <w:tcPr>
            <w:tcW w:w="1291" w:type="dxa"/>
            <w:tcBorders>
              <w:top w:val="nil"/>
              <w:left w:val="nil"/>
              <w:bottom w:val="nil"/>
              <w:right w:val="nil"/>
            </w:tcBorders>
            <w:shd w:val="clear" w:color="auto" w:fill="auto"/>
            <w:vAlign w:val="center"/>
            <w:hideMark/>
          </w:tcPr>
          <w:p w14:paraId="6798B37E" w14:textId="77777777" w:rsidR="00D31C46" w:rsidRPr="00D31C46" w:rsidRDefault="00D31C46" w:rsidP="00D31C46">
            <w:pPr>
              <w:jc w:val="right"/>
              <w:rPr>
                <w:b/>
                <w:bCs/>
                <w:sz w:val="18"/>
                <w:szCs w:val="18"/>
                <w:lang w:eastAsia="tr-TR"/>
              </w:rPr>
            </w:pPr>
            <w:r w:rsidRPr="00D31C46">
              <w:rPr>
                <w:b/>
                <w:bCs/>
                <w:sz w:val="18"/>
                <w:szCs w:val="18"/>
                <w:lang w:eastAsia="tr-TR"/>
              </w:rPr>
              <w:t>15,443</w:t>
            </w:r>
          </w:p>
        </w:tc>
        <w:tc>
          <w:tcPr>
            <w:tcW w:w="1270" w:type="dxa"/>
            <w:tcBorders>
              <w:top w:val="nil"/>
              <w:left w:val="nil"/>
              <w:bottom w:val="nil"/>
              <w:right w:val="nil"/>
            </w:tcBorders>
            <w:shd w:val="clear" w:color="auto" w:fill="auto"/>
            <w:vAlign w:val="center"/>
            <w:hideMark/>
          </w:tcPr>
          <w:p w14:paraId="682AC682" w14:textId="77777777" w:rsidR="00D31C46" w:rsidRPr="00D31C46" w:rsidRDefault="00D31C46" w:rsidP="00D31C46">
            <w:pPr>
              <w:jc w:val="right"/>
              <w:rPr>
                <w:b/>
                <w:bCs/>
                <w:sz w:val="18"/>
                <w:szCs w:val="18"/>
                <w:lang w:eastAsia="tr-TR"/>
              </w:rPr>
            </w:pPr>
            <w:r w:rsidRPr="00D31C46">
              <w:rPr>
                <w:b/>
                <w:bCs/>
                <w:sz w:val="18"/>
                <w:szCs w:val="18"/>
                <w:lang w:eastAsia="tr-TR"/>
              </w:rPr>
              <w:t>11,582</w:t>
            </w:r>
          </w:p>
        </w:tc>
        <w:tc>
          <w:tcPr>
            <w:tcW w:w="1134" w:type="dxa"/>
            <w:tcBorders>
              <w:top w:val="nil"/>
              <w:left w:val="nil"/>
              <w:bottom w:val="nil"/>
              <w:right w:val="nil"/>
            </w:tcBorders>
            <w:shd w:val="clear" w:color="auto" w:fill="auto"/>
            <w:vAlign w:val="center"/>
            <w:hideMark/>
          </w:tcPr>
          <w:p w14:paraId="4C0E4BFB" w14:textId="77777777" w:rsidR="00D31C46" w:rsidRPr="00D31C46" w:rsidRDefault="00D31C46" w:rsidP="00D31C46">
            <w:pPr>
              <w:jc w:val="right"/>
              <w:rPr>
                <w:b/>
                <w:bCs/>
                <w:sz w:val="18"/>
                <w:szCs w:val="18"/>
                <w:lang w:eastAsia="tr-TR"/>
              </w:rPr>
            </w:pPr>
            <w:r w:rsidRPr="00D31C46">
              <w:rPr>
                <w:b/>
                <w:bCs/>
                <w:sz w:val="18"/>
                <w:szCs w:val="18"/>
                <w:lang w:eastAsia="tr-TR"/>
              </w:rPr>
              <w:t>17,801</w:t>
            </w:r>
          </w:p>
        </w:tc>
      </w:tr>
      <w:tr w:rsidR="00D31C46" w:rsidRPr="00D31C46" w14:paraId="23974EA7" w14:textId="77777777" w:rsidTr="00B843E3">
        <w:trPr>
          <w:divId w:val="1806659799"/>
          <w:trHeight w:val="241"/>
        </w:trPr>
        <w:tc>
          <w:tcPr>
            <w:tcW w:w="4424" w:type="dxa"/>
            <w:tcBorders>
              <w:top w:val="nil"/>
              <w:left w:val="nil"/>
              <w:bottom w:val="nil"/>
              <w:right w:val="nil"/>
            </w:tcBorders>
            <w:shd w:val="clear" w:color="auto" w:fill="auto"/>
            <w:vAlign w:val="center"/>
            <w:hideMark/>
          </w:tcPr>
          <w:p w14:paraId="35F4FB36" w14:textId="77777777" w:rsidR="00D31C46" w:rsidRPr="00D31C46" w:rsidRDefault="00D31C46" w:rsidP="00D31C46">
            <w:pPr>
              <w:ind w:firstLineChars="200" w:firstLine="360"/>
              <w:rPr>
                <w:sz w:val="18"/>
                <w:szCs w:val="18"/>
                <w:lang w:eastAsia="tr-TR"/>
              </w:rPr>
            </w:pPr>
            <w:r w:rsidRPr="00D31C46">
              <w:rPr>
                <w:rFonts w:eastAsia="Arial Unicode MS"/>
                <w:sz w:val="18"/>
                <w:szCs w:val="18"/>
                <w:lang w:eastAsia="tr-TR"/>
              </w:rPr>
              <w:t>T.C. Merkez Bankasına</w:t>
            </w:r>
          </w:p>
        </w:tc>
        <w:tc>
          <w:tcPr>
            <w:tcW w:w="1120" w:type="dxa"/>
            <w:tcBorders>
              <w:top w:val="nil"/>
              <w:left w:val="nil"/>
              <w:bottom w:val="nil"/>
              <w:right w:val="nil"/>
            </w:tcBorders>
            <w:shd w:val="clear" w:color="auto" w:fill="auto"/>
            <w:vAlign w:val="center"/>
            <w:hideMark/>
          </w:tcPr>
          <w:p w14:paraId="12561B11" w14:textId="77777777" w:rsidR="00D31C46" w:rsidRPr="00D31C46" w:rsidRDefault="00D31C46" w:rsidP="00D31C46">
            <w:pPr>
              <w:jc w:val="right"/>
              <w:rPr>
                <w:sz w:val="18"/>
                <w:szCs w:val="18"/>
                <w:lang w:eastAsia="tr-TR"/>
              </w:rPr>
            </w:pPr>
            <w:r w:rsidRPr="00D31C46">
              <w:rPr>
                <w:sz w:val="18"/>
                <w:szCs w:val="18"/>
                <w:lang w:eastAsia="tr-TR"/>
              </w:rPr>
              <w:t>-</w:t>
            </w:r>
          </w:p>
        </w:tc>
        <w:tc>
          <w:tcPr>
            <w:tcW w:w="1291" w:type="dxa"/>
            <w:tcBorders>
              <w:top w:val="nil"/>
              <w:left w:val="nil"/>
              <w:bottom w:val="nil"/>
              <w:right w:val="nil"/>
            </w:tcBorders>
            <w:shd w:val="clear" w:color="auto" w:fill="auto"/>
            <w:vAlign w:val="center"/>
            <w:hideMark/>
          </w:tcPr>
          <w:p w14:paraId="0C59037E" w14:textId="77777777" w:rsidR="00D31C46" w:rsidRPr="00D31C46" w:rsidRDefault="00D31C46" w:rsidP="00D31C46">
            <w:pPr>
              <w:jc w:val="right"/>
              <w:rPr>
                <w:sz w:val="18"/>
                <w:szCs w:val="18"/>
                <w:lang w:eastAsia="tr-TR"/>
              </w:rPr>
            </w:pPr>
            <w:r w:rsidRPr="00D31C46">
              <w:rPr>
                <w:sz w:val="18"/>
                <w:szCs w:val="18"/>
                <w:lang w:eastAsia="tr-TR"/>
              </w:rPr>
              <w:t>-</w:t>
            </w:r>
          </w:p>
        </w:tc>
        <w:tc>
          <w:tcPr>
            <w:tcW w:w="1270" w:type="dxa"/>
            <w:tcBorders>
              <w:top w:val="nil"/>
              <w:left w:val="nil"/>
              <w:bottom w:val="nil"/>
              <w:right w:val="nil"/>
            </w:tcBorders>
            <w:shd w:val="clear" w:color="auto" w:fill="auto"/>
            <w:vAlign w:val="center"/>
            <w:hideMark/>
          </w:tcPr>
          <w:p w14:paraId="4DE7A19C" w14:textId="77777777" w:rsidR="00D31C46" w:rsidRPr="00D31C46" w:rsidRDefault="00D31C46" w:rsidP="00D31C46">
            <w:pPr>
              <w:jc w:val="right"/>
              <w:rPr>
                <w:sz w:val="18"/>
                <w:szCs w:val="18"/>
                <w:lang w:eastAsia="tr-TR"/>
              </w:rPr>
            </w:pPr>
            <w:r w:rsidRPr="00D31C46">
              <w:rPr>
                <w:sz w:val="18"/>
                <w:szCs w:val="18"/>
                <w:lang w:eastAsia="tr-TR"/>
              </w:rPr>
              <w:t>-</w:t>
            </w:r>
          </w:p>
        </w:tc>
        <w:tc>
          <w:tcPr>
            <w:tcW w:w="1134" w:type="dxa"/>
            <w:tcBorders>
              <w:top w:val="nil"/>
              <w:left w:val="nil"/>
              <w:bottom w:val="nil"/>
              <w:right w:val="nil"/>
            </w:tcBorders>
            <w:shd w:val="clear" w:color="auto" w:fill="auto"/>
            <w:vAlign w:val="center"/>
            <w:hideMark/>
          </w:tcPr>
          <w:p w14:paraId="4A2FB749" w14:textId="77777777" w:rsidR="00D31C46" w:rsidRPr="00D31C46" w:rsidRDefault="00D31C46" w:rsidP="00D31C46">
            <w:pPr>
              <w:jc w:val="right"/>
              <w:rPr>
                <w:sz w:val="18"/>
                <w:szCs w:val="18"/>
                <w:lang w:eastAsia="tr-TR"/>
              </w:rPr>
            </w:pPr>
            <w:r w:rsidRPr="00D31C46">
              <w:rPr>
                <w:sz w:val="18"/>
                <w:szCs w:val="18"/>
                <w:lang w:eastAsia="tr-TR"/>
              </w:rPr>
              <w:t>-</w:t>
            </w:r>
          </w:p>
        </w:tc>
      </w:tr>
      <w:tr w:rsidR="00D31C46" w:rsidRPr="00D31C46" w14:paraId="765F5B79" w14:textId="77777777" w:rsidTr="00B843E3">
        <w:trPr>
          <w:divId w:val="1806659799"/>
          <w:trHeight w:val="241"/>
        </w:trPr>
        <w:tc>
          <w:tcPr>
            <w:tcW w:w="4424" w:type="dxa"/>
            <w:tcBorders>
              <w:top w:val="nil"/>
              <w:left w:val="nil"/>
              <w:bottom w:val="nil"/>
              <w:right w:val="nil"/>
            </w:tcBorders>
            <w:shd w:val="clear" w:color="auto" w:fill="auto"/>
            <w:vAlign w:val="center"/>
            <w:hideMark/>
          </w:tcPr>
          <w:p w14:paraId="7EB11C0E" w14:textId="77777777" w:rsidR="00D31C46" w:rsidRPr="00D31C46" w:rsidRDefault="00D31C46" w:rsidP="00D31C46">
            <w:pPr>
              <w:ind w:firstLineChars="200" w:firstLine="360"/>
              <w:rPr>
                <w:sz w:val="18"/>
                <w:szCs w:val="18"/>
                <w:lang w:eastAsia="tr-TR"/>
              </w:rPr>
            </w:pPr>
            <w:r w:rsidRPr="00D31C46">
              <w:rPr>
                <w:rFonts w:eastAsia="Arial Unicode MS"/>
                <w:sz w:val="18"/>
                <w:szCs w:val="18"/>
                <w:lang w:eastAsia="tr-TR"/>
              </w:rPr>
              <w:t>Yurt İçi Bankalara</w:t>
            </w:r>
          </w:p>
        </w:tc>
        <w:tc>
          <w:tcPr>
            <w:tcW w:w="1120" w:type="dxa"/>
            <w:tcBorders>
              <w:top w:val="nil"/>
              <w:left w:val="nil"/>
              <w:bottom w:val="nil"/>
              <w:right w:val="nil"/>
            </w:tcBorders>
            <w:shd w:val="clear" w:color="auto" w:fill="auto"/>
            <w:vAlign w:val="center"/>
            <w:hideMark/>
          </w:tcPr>
          <w:p w14:paraId="6B8E388C" w14:textId="77777777" w:rsidR="00D31C46" w:rsidRPr="00D31C46" w:rsidRDefault="00D31C46" w:rsidP="00D31C46">
            <w:pPr>
              <w:jc w:val="right"/>
              <w:rPr>
                <w:sz w:val="18"/>
                <w:szCs w:val="18"/>
                <w:lang w:eastAsia="tr-TR"/>
              </w:rPr>
            </w:pPr>
            <w:r w:rsidRPr="00D31C46">
              <w:rPr>
                <w:sz w:val="18"/>
                <w:szCs w:val="18"/>
                <w:lang w:eastAsia="tr-TR"/>
              </w:rPr>
              <w:t>18,893</w:t>
            </w:r>
          </w:p>
        </w:tc>
        <w:tc>
          <w:tcPr>
            <w:tcW w:w="1291" w:type="dxa"/>
            <w:tcBorders>
              <w:top w:val="nil"/>
              <w:left w:val="nil"/>
              <w:bottom w:val="nil"/>
              <w:right w:val="nil"/>
            </w:tcBorders>
            <w:shd w:val="clear" w:color="auto" w:fill="auto"/>
            <w:vAlign w:val="center"/>
            <w:hideMark/>
          </w:tcPr>
          <w:p w14:paraId="4A1C4F9D" w14:textId="77777777" w:rsidR="00D31C46" w:rsidRPr="00D31C46" w:rsidRDefault="00D31C46" w:rsidP="00D31C46">
            <w:pPr>
              <w:jc w:val="right"/>
              <w:rPr>
                <w:sz w:val="18"/>
                <w:szCs w:val="18"/>
                <w:lang w:eastAsia="tr-TR"/>
              </w:rPr>
            </w:pPr>
            <w:r w:rsidRPr="00D31C46">
              <w:rPr>
                <w:sz w:val="18"/>
                <w:szCs w:val="18"/>
                <w:lang w:eastAsia="tr-TR"/>
              </w:rPr>
              <w:t>3,925</w:t>
            </w:r>
          </w:p>
        </w:tc>
        <w:tc>
          <w:tcPr>
            <w:tcW w:w="1270" w:type="dxa"/>
            <w:tcBorders>
              <w:top w:val="nil"/>
              <w:left w:val="nil"/>
              <w:bottom w:val="nil"/>
              <w:right w:val="nil"/>
            </w:tcBorders>
            <w:shd w:val="clear" w:color="auto" w:fill="auto"/>
            <w:vAlign w:val="center"/>
            <w:hideMark/>
          </w:tcPr>
          <w:p w14:paraId="3B272482" w14:textId="77777777" w:rsidR="00D31C46" w:rsidRPr="00D31C46" w:rsidRDefault="00D31C46" w:rsidP="00D31C46">
            <w:pPr>
              <w:jc w:val="right"/>
              <w:rPr>
                <w:sz w:val="18"/>
                <w:szCs w:val="18"/>
                <w:lang w:eastAsia="tr-TR"/>
              </w:rPr>
            </w:pPr>
            <w:r w:rsidRPr="00D31C46">
              <w:rPr>
                <w:sz w:val="18"/>
                <w:szCs w:val="18"/>
                <w:lang w:eastAsia="tr-TR"/>
              </w:rPr>
              <w:t>11,582</w:t>
            </w:r>
          </w:p>
        </w:tc>
        <w:tc>
          <w:tcPr>
            <w:tcW w:w="1134" w:type="dxa"/>
            <w:tcBorders>
              <w:top w:val="nil"/>
              <w:left w:val="nil"/>
              <w:bottom w:val="nil"/>
              <w:right w:val="nil"/>
            </w:tcBorders>
            <w:shd w:val="clear" w:color="auto" w:fill="auto"/>
            <w:vAlign w:val="center"/>
            <w:hideMark/>
          </w:tcPr>
          <w:p w14:paraId="67B06D56" w14:textId="77777777" w:rsidR="00D31C46" w:rsidRPr="00D31C46" w:rsidRDefault="00D31C46" w:rsidP="00D31C46">
            <w:pPr>
              <w:jc w:val="right"/>
              <w:rPr>
                <w:sz w:val="18"/>
                <w:szCs w:val="18"/>
                <w:lang w:eastAsia="tr-TR"/>
              </w:rPr>
            </w:pPr>
            <w:r w:rsidRPr="00D31C46">
              <w:rPr>
                <w:sz w:val="18"/>
                <w:szCs w:val="18"/>
                <w:lang w:eastAsia="tr-TR"/>
              </w:rPr>
              <w:t>7,759</w:t>
            </w:r>
          </w:p>
        </w:tc>
      </w:tr>
      <w:tr w:rsidR="00D31C46" w:rsidRPr="00D31C46" w14:paraId="51171A06" w14:textId="77777777" w:rsidTr="00B843E3">
        <w:trPr>
          <w:divId w:val="1806659799"/>
          <w:trHeight w:val="241"/>
        </w:trPr>
        <w:tc>
          <w:tcPr>
            <w:tcW w:w="4424" w:type="dxa"/>
            <w:tcBorders>
              <w:top w:val="nil"/>
              <w:left w:val="nil"/>
              <w:bottom w:val="nil"/>
              <w:right w:val="nil"/>
            </w:tcBorders>
            <w:shd w:val="clear" w:color="auto" w:fill="auto"/>
            <w:vAlign w:val="center"/>
            <w:hideMark/>
          </w:tcPr>
          <w:p w14:paraId="43452BFD" w14:textId="77777777" w:rsidR="00D31C46" w:rsidRPr="00D31C46" w:rsidRDefault="00D31C46" w:rsidP="00D31C46">
            <w:pPr>
              <w:ind w:firstLineChars="200" w:firstLine="360"/>
              <w:rPr>
                <w:sz w:val="18"/>
                <w:szCs w:val="18"/>
                <w:lang w:eastAsia="tr-TR"/>
              </w:rPr>
            </w:pPr>
            <w:r w:rsidRPr="00D31C46">
              <w:rPr>
                <w:rFonts w:eastAsia="Arial Unicode MS"/>
                <w:sz w:val="18"/>
                <w:szCs w:val="18"/>
                <w:lang w:eastAsia="tr-TR"/>
              </w:rPr>
              <w:t>Yurt Dışı Bankalara</w:t>
            </w:r>
          </w:p>
        </w:tc>
        <w:tc>
          <w:tcPr>
            <w:tcW w:w="1120" w:type="dxa"/>
            <w:tcBorders>
              <w:top w:val="nil"/>
              <w:left w:val="nil"/>
              <w:bottom w:val="nil"/>
              <w:right w:val="nil"/>
            </w:tcBorders>
            <w:shd w:val="clear" w:color="auto" w:fill="auto"/>
            <w:vAlign w:val="center"/>
            <w:hideMark/>
          </w:tcPr>
          <w:p w14:paraId="4FB56CA4" w14:textId="77777777" w:rsidR="00D31C46" w:rsidRPr="00D31C46" w:rsidRDefault="00D31C46" w:rsidP="00D31C46">
            <w:pPr>
              <w:jc w:val="right"/>
              <w:rPr>
                <w:sz w:val="18"/>
                <w:szCs w:val="18"/>
                <w:lang w:eastAsia="tr-TR"/>
              </w:rPr>
            </w:pPr>
            <w:r w:rsidRPr="00D31C46">
              <w:rPr>
                <w:sz w:val="18"/>
                <w:szCs w:val="18"/>
                <w:lang w:eastAsia="tr-TR"/>
              </w:rPr>
              <w:t>510</w:t>
            </w:r>
          </w:p>
        </w:tc>
        <w:tc>
          <w:tcPr>
            <w:tcW w:w="1291" w:type="dxa"/>
            <w:tcBorders>
              <w:top w:val="nil"/>
              <w:left w:val="nil"/>
              <w:bottom w:val="nil"/>
              <w:right w:val="nil"/>
            </w:tcBorders>
            <w:shd w:val="clear" w:color="auto" w:fill="auto"/>
            <w:vAlign w:val="center"/>
            <w:hideMark/>
          </w:tcPr>
          <w:p w14:paraId="7E15A059" w14:textId="77777777" w:rsidR="00D31C46" w:rsidRPr="00D31C46" w:rsidRDefault="00D31C46" w:rsidP="00D31C46">
            <w:pPr>
              <w:jc w:val="right"/>
              <w:rPr>
                <w:sz w:val="18"/>
                <w:szCs w:val="18"/>
                <w:lang w:eastAsia="tr-TR"/>
              </w:rPr>
            </w:pPr>
            <w:r w:rsidRPr="00D31C46">
              <w:rPr>
                <w:sz w:val="18"/>
                <w:szCs w:val="18"/>
                <w:lang w:eastAsia="tr-TR"/>
              </w:rPr>
              <w:t>11,518</w:t>
            </w:r>
          </w:p>
        </w:tc>
        <w:tc>
          <w:tcPr>
            <w:tcW w:w="1270" w:type="dxa"/>
            <w:tcBorders>
              <w:top w:val="nil"/>
              <w:left w:val="nil"/>
              <w:bottom w:val="nil"/>
              <w:right w:val="nil"/>
            </w:tcBorders>
            <w:shd w:val="clear" w:color="auto" w:fill="auto"/>
            <w:vAlign w:val="center"/>
            <w:hideMark/>
          </w:tcPr>
          <w:p w14:paraId="1EB56F32" w14:textId="77777777" w:rsidR="00D31C46" w:rsidRPr="00D31C46" w:rsidRDefault="00D31C46" w:rsidP="00D31C46">
            <w:pPr>
              <w:jc w:val="right"/>
              <w:rPr>
                <w:sz w:val="18"/>
                <w:szCs w:val="18"/>
                <w:lang w:eastAsia="tr-TR"/>
              </w:rPr>
            </w:pPr>
            <w:r w:rsidRPr="00D31C46">
              <w:rPr>
                <w:sz w:val="18"/>
                <w:szCs w:val="18"/>
                <w:lang w:eastAsia="tr-TR"/>
              </w:rPr>
              <w:t>-</w:t>
            </w:r>
          </w:p>
        </w:tc>
        <w:tc>
          <w:tcPr>
            <w:tcW w:w="1134" w:type="dxa"/>
            <w:tcBorders>
              <w:top w:val="nil"/>
              <w:left w:val="nil"/>
              <w:bottom w:val="nil"/>
              <w:right w:val="nil"/>
            </w:tcBorders>
            <w:shd w:val="clear" w:color="auto" w:fill="auto"/>
            <w:vAlign w:val="center"/>
            <w:hideMark/>
          </w:tcPr>
          <w:p w14:paraId="31778431" w14:textId="77777777" w:rsidR="00D31C46" w:rsidRPr="00D31C46" w:rsidRDefault="00D31C46" w:rsidP="00D31C46">
            <w:pPr>
              <w:jc w:val="right"/>
              <w:rPr>
                <w:sz w:val="18"/>
                <w:szCs w:val="18"/>
                <w:lang w:eastAsia="tr-TR"/>
              </w:rPr>
            </w:pPr>
            <w:r w:rsidRPr="00D31C46">
              <w:rPr>
                <w:sz w:val="18"/>
                <w:szCs w:val="18"/>
                <w:lang w:eastAsia="tr-TR"/>
              </w:rPr>
              <w:t>10,042</w:t>
            </w:r>
          </w:p>
        </w:tc>
      </w:tr>
      <w:tr w:rsidR="00D31C46" w:rsidRPr="00D31C46" w14:paraId="24E73DBA" w14:textId="77777777" w:rsidTr="00B843E3">
        <w:trPr>
          <w:divId w:val="1806659799"/>
          <w:trHeight w:val="241"/>
        </w:trPr>
        <w:tc>
          <w:tcPr>
            <w:tcW w:w="4424" w:type="dxa"/>
            <w:tcBorders>
              <w:top w:val="nil"/>
              <w:left w:val="nil"/>
              <w:bottom w:val="nil"/>
              <w:right w:val="nil"/>
            </w:tcBorders>
            <w:shd w:val="clear" w:color="auto" w:fill="auto"/>
            <w:vAlign w:val="center"/>
            <w:hideMark/>
          </w:tcPr>
          <w:p w14:paraId="7E4E4A4B" w14:textId="77777777" w:rsidR="00D31C46" w:rsidRPr="00D31C46" w:rsidRDefault="00D31C46" w:rsidP="00D31C46">
            <w:pPr>
              <w:ind w:firstLineChars="200" w:firstLine="360"/>
              <w:rPr>
                <w:sz w:val="18"/>
                <w:szCs w:val="18"/>
                <w:lang w:eastAsia="tr-TR"/>
              </w:rPr>
            </w:pPr>
            <w:r w:rsidRPr="00D31C46">
              <w:rPr>
                <w:rFonts w:eastAsia="Arial Unicode MS"/>
                <w:sz w:val="18"/>
                <w:szCs w:val="18"/>
                <w:lang w:eastAsia="tr-TR"/>
              </w:rPr>
              <w:t>Yurt Dışı Merkez ve Şubelere</w:t>
            </w:r>
          </w:p>
        </w:tc>
        <w:tc>
          <w:tcPr>
            <w:tcW w:w="1120" w:type="dxa"/>
            <w:tcBorders>
              <w:top w:val="nil"/>
              <w:left w:val="nil"/>
              <w:bottom w:val="nil"/>
              <w:right w:val="nil"/>
            </w:tcBorders>
            <w:shd w:val="clear" w:color="auto" w:fill="auto"/>
            <w:vAlign w:val="center"/>
            <w:hideMark/>
          </w:tcPr>
          <w:p w14:paraId="1C851197" w14:textId="77777777" w:rsidR="00D31C46" w:rsidRPr="00D31C46" w:rsidRDefault="00D31C46" w:rsidP="00D31C46">
            <w:pPr>
              <w:jc w:val="right"/>
              <w:rPr>
                <w:sz w:val="18"/>
                <w:szCs w:val="18"/>
                <w:lang w:eastAsia="tr-TR"/>
              </w:rPr>
            </w:pPr>
            <w:r w:rsidRPr="00D31C46">
              <w:rPr>
                <w:sz w:val="18"/>
                <w:szCs w:val="18"/>
                <w:lang w:eastAsia="tr-TR"/>
              </w:rPr>
              <w:t>-</w:t>
            </w:r>
          </w:p>
        </w:tc>
        <w:tc>
          <w:tcPr>
            <w:tcW w:w="1291" w:type="dxa"/>
            <w:tcBorders>
              <w:top w:val="nil"/>
              <w:left w:val="nil"/>
              <w:bottom w:val="nil"/>
              <w:right w:val="nil"/>
            </w:tcBorders>
            <w:shd w:val="clear" w:color="auto" w:fill="auto"/>
            <w:vAlign w:val="center"/>
            <w:hideMark/>
          </w:tcPr>
          <w:p w14:paraId="38008886" w14:textId="77777777" w:rsidR="00D31C46" w:rsidRPr="00D31C46" w:rsidRDefault="00D31C46" w:rsidP="00D31C46">
            <w:pPr>
              <w:jc w:val="right"/>
              <w:rPr>
                <w:sz w:val="18"/>
                <w:szCs w:val="18"/>
                <w:lang w:eastAsia="tr-TR"/>
              </w:rPr>
            </w:pPr>
            <w:r w:rsidRPr="00D31C46">
              <w:rPr>
                <w:sz w:val="18"/>
                <w:szCs w:val="18"/>
                <w:lang w:eastAsia="tr-TR"/>
              </w:rPr>
              <w:t>-</w:t>
            </w:r>
          </w:p>
        </w:tc>
        <w:tc>
          <w:tcPr>
            <w:tcW w:w="1270" w:type="dxa"/>
            <w:tcBorders>
              <w:top w:val="nil"/>
              <w:left w:val="nil"/>
              <w:bottom w:val="nil"/>
              <w:right w:val="nil"/>
            </w:tcBorders>
            <w:shd w:val="clear" w:color="auto" w:fill="auto"/>
            <w:vAlign w:val="center"/>
            <w:hideMark/>
          </w:tcPr>
          <w:p w14:paraId="07825F24" w14:textId="77777777" w:rsidR="00D31C46" w:rsidRPr="00D31C46" w:rsidRDefault="00D31C46" w:rsidP="00D31C46">
            <w:pPr>
              <w:jc w:val="right"/>
              <w:rPr>
                <w:sz w:val="18"/>
                <w:szCs w:val="18"/>
                <w:lang w:eastAsia="tr-TR"/>
              </w:rPr>
            </w:pPr>
            <w:r w:rsidRPr="00D31C46">
              <w:rPr>
                <w:sz w:val="18"/>
                <w:szCs w:val="18"/>
                <w:lang w:eastAsia="tr-TR"/>
              </w:rPr>
              <w:t>-</w:t>
            </w:r>
          </w:p>
        </w:tc>
        <w:tc>
          <w:tcPr>
            <w:tcW w:w="1134" w:type="dxa"/>
            <w:tcBorders>
              <w:top w:val="nil"/>
              <w:left w:val="nil"/>
              <w:bottom w:val="nil"/>
              <w:right w:val="nil"/>
            </w:tcBorders>
            <w:shd w:val="clear" w:color="auto" w:fill="auto"/>
            <w:vAlign w:val="center"/>
            <w:hideMark/>
          </w:tcPr>
          <w:p w14:paraId="2F888F1E" w14:textId="77777777" w:rsidR="00D31C46" w:rsidRPr="00D31C46" w:rsidRDefault="00D31C46" w:rsidP="00D31C46">
            <w:pPr>
              <w:jc w:val="right"/>
              <w:rPr>
                <w:sz w:val="18"/>
                <w:szCs w:val="18"/>
                <w:lang w:eastAsia="tr-TR"/>
              </w:rPr>
            </w:pPr>
            <w:r w:rsidRPr="00D31C46">
              <w:rPr>
                <w:sz w:val="18"/>
                <w:szCs w:val="18"/>
                <w:lang w:eastAsia="tr-TR"/>
              </w:rPr>
              <w:t>-</w:t>
            </w:r>
          </w:p>
        </w:tc>
      </w:tr>
      <w:tr w:rsidR="00D31C46" w:rsidRPr="00D31C46" w14:paraId="40FBA0D2" w14:textId="77777777" w:rsidTr="00B843E3">
        <w:trPr>
          <w:divId w:val="1806659799"/>
          <w:trHeight w:val="256"/>
        </w:trPr>
        <w:tc>
          <w:tcPr>
            <w:tcW w:w="4424" w:type="dxa"/>
            <w:tcBorders>
              <w:top w:val="nil"/>
              <w:left w:val="nil"/>
              <w:bottom w:val="nil"/>
              <w:right w:val="nil"/>
            </w:tcBorders>
            <w:shd w:val="clear" w:color="auto" w:fill="auto"/>
            <w:vAlign w:val="center"/>
            <w:hideMark/>
          </w:tcPr>
          <w:p w14:paraId="5637DB84" w14:textId="77777777" w:rsidR="00D31C46" w:rsidRPr="00D31C46" w:rsidRDefault="00D31C46" w:rsidP="00D31C46">
            <w:pPr>
              <w:rPr>
                <w:sz w:val="18"/>
                <w:szCs w:val="18"/>
                <w:lang w:eastAsia="tr-TR"/>
              </w:rPr>
            </w:pPr>
            <w:r w:rsidRPr="00D31C46">
              <w:rPr>
                <w:sz w:val="18"/>
                <w:szCs w:val="18"/>
                <w:lang w:eastAsia="tr-TR"/>
              </w:rPr>
              <w:t xml:space="preserve">Diğer Kuruluşlara </w:t>
            </w:r>
          </w:p>
        </w:tc>
        <w:tc>
          <w:tcPr>
            <w:tcW w:w="1120" w:type="dxa"/>
            <w:tcBorders>
              <w:top w:val="nil"/>
              <w:left w:val="nil"/>
              <w:bottom w:val="nil"/>
              <w:right w:val="nil"/>
            </w:tcBorders>
            <w:shd w:val="clear" w:color="auto" w:fill="auto"/>
            <w:vAlign w:val="center"/>
            <w:hideMark/>
          </w:tcPr>
          <w:p w14:paraId="37ED33B7" w14:textId="77777777" w:rsidR="00D31C46" w:rsidRPr="00D31C46" w:rsidRDefault="00D31C46" w:rsidP="00D31C46">
            <w:pPr>
              <w:jc w:val="right"/>
              <w:rPr>
                <w:sz w:val="18"/>
                <w:szCs w:val="18"/>
                <w:lang w:eastAsia="tr-TR"/>
              </w:rPr>
            </w:pPr>
            <w:r w:rsidRPr="00D31C46">
              <w:rPr>
                <w:sz w:val="18"/>
                <w:szCs w:val="18"/>
                <w:lang w:eastAsia="tr-TR"/>
              </w:rPr>
              <w:t>93,325</w:t>
            </w:r>
          </w:p>
        </w:tc>
        <w:tc>
          <w:tcPr>
            <w:tcW w:w="1291" w:type="dxa"/>
            <w:tcBorders>
              <w:top w:val="nil"/>
              <w:left w:val="nil"/>
              <w:bottom w:val="nil"/>
              <w:right w:val="nil"/>
            </w:tcBorders>
            <w:shd w:val="clear" w:color="auto" w:fill="auto"/>
            <w:vAlign w:val="center"/>
            <w:hideMark/>
          </w:tcPr>
          <w:p w14:paraId="21E5C860" w14:textId="77777777" w:rsidR="00D31C46" w:rsidRPr="00D31C46" w:rsidRDefault="00D31C46" w:rsidP="00D31C46">
            <w:pPr>
              <w:jc w:val="right"/>
              <w:rPr>
                <w:sz w:val="18"/>
                <w:szCs w:val="18"/>
                <w:lang w:eastAsia="tr-TR"/>
              </w:rPr>
            </w:pPr>
            <w:r w:rsidRPr="00D31C46">
              <w:rPr>
                <w:sz w:val="18"/>
                <w:szCs w:val="18"/>
                <w:lang w:eastAsia="tr-TR"/>
              </w:rPr>
              <w:t>421,042</w:t>
            </w:r>
          </w:p>
        </w:tc>
        <w:tc>
          <w:tcPr>
            <w:tcW w:w="1270" w:type="dxa"/>
            <w:tcBorders>
              <w:top w:val="nil"/>
              <w:left w:val="nil"/>
              <w:bottom w:val="nil"/>
              <w:right w:val="nil"/>
            </w:tcBorders>
            <w:shd w:val="clear" w:color="auto" w:fill="auto"/>
            <w:vAlign w:val="center"/>
            <w:hideMark/>
          </w:tcPr>
          <w:p w14:paraId="0744DD00" w14:textId="77777777" w:rsidR="00D31C46" w:rsidRPr="00D31C46" w:rsidRDefault="00D31C46" w:rsidP="00D31C46">
            <w:pPr>
              <w:jc w:val="right"/>
              <w:rPr>
                <w:sz w:val="18"/>
                <w:szCs w:val="18"/>
                <w:lang w:eastAsia="tr-TR"/>
              </w:rPr>
            </w:pPr>
            <w:r w:rsidRPr="00D31C46">
              <w:rPr>
                <w:sz w:val="18"/>
                <w:szCs w:val="18"/>
                <w:lang w:eastAsia="tr-TR"/>
              </w:rPr>
              <w:t>273,227</w:t>
            </w:r>
          </w:p>
        </w:tc>
        <w:tc>
          <w:tcPr>
            <w:tcW w:w="1134" w:type="dxa"/>
            <w:tcBorders>
              <w:top w:val="nil"/>
              <w:left w:val="nil"/>
              <w:bottom w:val="nil"/>
              <w:right w:val="nil"/>
            </w:tcBorders>
            <w:shd w:val="clear" w:color="auto" w:fill="auto"/>
            <w:vAlign w:val="center"/>
            <w:hideMark/>
          </w:tcPr>
          <w:p w14:paraId="77DEFF78" w14:textId="77777777" w:rsidR="00D31C46" w:rsidRPr="00D31C46" w:rsidRDefault="00D31C46" w:rsidP="00D31C46">
            <w:pPr>
              <w:jc w:val="right"/>
              <w:rPr>
                <w:sz w:val="18"/>
                <w:szCs w:val="18"/>
                <w:lang w:eastAsia="tr-TR"/>
              </w:rPr>
            </w:pPr>
            <w:r w:rsidRPr="00D31C46">
              <w:rPr>
                <w:sz w:val="18"/>
                <w:szCs w:val="18"/>
                <w:lang w:eastAsia="tr-TR"/>
              </w:rPr>
              <w:t>392,789</w:t>
            </w:r>
          </w:p>
        </w:tc>
      </w:tr>
      <w:tr w:rsidR="00D31C46" w:rsidRPr="00D31C46" w14:paraId="11641427" w14:textId="77777777" w:rsidTr="00B843E3">
        <w:trPr>
          <w:divId w:val="1806659799"/>
          <w:trHeight w:val="256"/>
        </w:trPr>
        <w:tc>
          <w:tcPr>
            <w:tcW w:w="4424" w:type="dxa"/>
            <w:tcBorders>
              <w:top w:val="single" w:sz="8" w:space="0" w:color="auto"/>
              <w:left w:val="nil"/>
              <w:bottom w:val="double" w:sz="6" w:space="0" w:color="auto"/>
              <w:right w:val="nil"/>
            </w:tcBorders>
            <w:shd w:val="clear" w:color="auto" w:fill="auto"/>
            <w:vAlign w:val="center"/>
            <w:hideMark/>
          </w:tcPr>
          <w:p w14:paraId="10556671" w14:textId="77777777" w:rsidR="00D31C46" w:rsidRPr="00D31C46" w:rsidRDefault="00D31C46" w:rsidP="00D31C46">
            <w:pPr>
              <w:jc w:val="both"/>
              <w:rPr>
                <w:b/>
                <w:bCs/>
                <w:sz w:val="18"/>
                <w:szCs w:val="18"/>
                <w:lang w:eastAsia="tr-TR"/>
              </w:rPr>
            </w:pPr>
            <w:r w:rsidRPr="00D31C46">
              <w:rPr>
                <w:b/>
                <w:bCs/>
                <w:sz w:val="18"/>
                <w:szCs w:val="18"/>
                <w:lang w:eastAsia="tr-TR"/>
              </w:rPr>
              <w:t>Toplam</w:t>
            </w:r>
          </w:p>
        </w:tc>
        <w:tc>
          <w:tcPr>
            <w:tcW w:w="1120" w:type="dxa"/>
            <w:tcBorders>
              <w:top w:val="single" w:sz="8" w:space="0" w:color="auto"/>
              <w:left w:val="nil"/>
              <w:bottom w:val="double" w:sz="6" w:space="0" w:color="auto"/>
              <w:right w:val="nil"/>
            </w:tcBorders>
            <w:shd w:val="clear" w:color="auto" w:fill="auto"/>
            <w:vAlign w:val="center"/>
            <w:hideMark/>
          </w:tcPr>
          <w:p w14:paraId="3747C1D6" w14:textId="77777777" w:rsidR="00D31C46" w:rsidRPr="00D31C46" w:rsidRDefault="00D31C46" w:rsidP="00D31C46">
            <w:pPr>
              <w:jc w:val="right"/>
              <w:rPr>
                <w:b/>
                <w:bCs/>
                <w:sz w:val="18"/>
                <w:szCs w:val="18"/>
                <w:lang w:eastAsia="tr-TR"/>
              </w:rPr>
            </w:pPr>
            <w:r w:rsidRPr="00D31C46">
              <w:rPr>
                <w:b/>
                <w:bCs/>
                <w:sz w:val="18"/>
                <w:szCs w:val="18"/>
                <w:lang w:eastAsia="tr-TR"/>
              </w:rPr>
              <w:t>112,728</w:t>
            </w:r>
          </w:p>
        </w:tc>
        <w:tc>
          <w:tcPr>
            <w:tcW w:w="1291" w:type="dxa"/>
            <w:tcBorders>
              <w:top w:val="single" w:sz="8" w:space="0" w:color="auto"/>
              <w:left w:val="nil"/>
              <w:bottom w:val="double" w:sz="6" w:space="0" w:color="auto"/>
              <w:right w:val="nil"/>
            </w:tcBorders>
            <w:shd w:val="clear" w:color="auto" w:fill="auto"/>
            <w:vAlign w:val="center"/>
            <w:hideMark/>
          </w:tcPr>
          <w:p w14:paraId="56E3FED7" w14:textId="77777777" w:rsidR="00D31C46" w:rsidRPr="00D31C46" w:rsidRDefault="00D31C46" w:rsidP="00D31C46">
            <w:pPr>
              <w:jc w:val="right"/>
              <w:rPr>
                <w:b/>
                <w:bCs/>
                <w:sz w:val="18"/>
                <w:szCs w:val="18"/>
                <w:lang w:eastAsia="tr-TR"/>
              </w:rPr>
            </w:pPr>
            <w:r w:rsidRPr="00D31C46">
              <w:rPr>
                <w:b/>
                <w:bCs/>
                <w:sz w:val="18"/>
                <w:szCs w:val="18"/>
                <w:lang w:eastAsia="tr-TR"/>
              </w:rPr>
              <w:t>436,485</w:t>
            </w:r>
          </w:p>
        </w:tc>
        <w:tc>
          <w:tcPr>
            <w:tcW w:w="1270" w:type="dxa"/>
            <w:tcBorders>
              <w:top w:val="single" w:sz="8" w:space="0" w:color="auto"/>
              <w:left w:val="nil"/>
              <w:bottom w:val="double" w:sz="6" w:space="0" w:color="auto"/>
              <w:right w:val="nil"/>
            </w:tcBorders>
            <w:shd w:val="clear" w:color="auto" w:fill="auto"/>
            <w:vAlign w:val="center"/>
            <w:hideMark/>
          </w:tcPr>
          <w:p w14:paraId="03B45E9E" w14:textId="77777777" w:rsidR="00D31C46" w:rsidRPr="00D31C46" w:rsidRDefault="00D31C46" w:rsidP="00D31C46">
            <w:pPr>
              <w:jc w:val="right"/>
              <w:rPr>
                <w:b/>
                <w:bCs/>
                <w:sz w:val="18"/>
                <w:szCs w:val="18"/>
                <w:lang w:eastAsia="tr-TR"/>
              </w:rPr>
            </w:pPr>
            <w:r w:rsidRPr="00D31C46">
              <w:rPr>
                <w:b/>
                <w:bCs/>
                <w:sz w:val="18"/>
                <w:szCs w:val="18"/>
                <w:lang w:eastAsia="tr-TR"/>
              </w:rPr>
              <w:t>284,809</w:t>
            </w:r>
          </w:p>
        </w:tc>
        <w:tc>
          <w:tcPr>
            <w:tcW w:w="1134" w:type="dxa"/>
            <w:tcBorders>
              <w:top w:val="single" w:sz="8" w:space="0" w:color="auto"/>
              <w:left w:val="nil"/>
              <w:bottom w:val="double" w:sz="6" w:space="0" w:color="auto"/>
              <w:right w:val="nil"/>
            </w:tcBorders>
            <w:shd w:val="clear" w:color="auto" w:fill="auto"/>
            <w:vAlign w:val="center"/>
            <w:hideMark/>
          </w:tcPr>
          <w:p w14:paraId="399E8514" w14:textId="77777777" w:rsidR="00D31C46" w:rsidRPr="00D31C46" w:rsidRDefault="00D31C46" w:rsidP="00D31C46">
            <w:pPr>
              <w:jc w:val="right"/>
              <w:rPr>
                <w:b/>
                <w:bCs/>
                <w:sz w:val="18"/>
                <w:szCs w:val="18"/>
                <w:lang w:eastAsia="tr-TR"/>
              </w:rPr>
            </w:pPr>
            <w:r w:rsidRPr="00D31C46">
              <w:rPr>
                <w:b/>
                <w:bCs/>
                <w:sz w:val="18"/>
                <w:szCs w:val="18"/>
                <w:lang w:eastAsia="tr-TR"/>
              </w:rPr>
              <w:t>410,590</w:t>
            </w:r>
          </w:p>
        </w:tc>
      </w:tr>
    </w:tbl>
    <w:p w14:paraId="18D5D2DB" w14:textId="4D9E4050" w:rsidR="009608CC" w:rsidRPr="00270CE6" w:rsidRDefault="009608CC" w:rsidP="000F096F">
      <w:pPr>
        <w:tabs>
          <w:tab w:val="left" w:pos="-1980"/>
        </w:tabs>
        <w:rPr>
          <w:bCs/>
          <w:iCs/>
          <w:sz w:val="16"/>
          <w:szCs w:val="16"/>
          <w:highlight w:val="yellow"/>
        </w:rPr>
      </w:pPr>
    </w:p>
    <w:p w14:paraId="235784DB" w14:textId="77777777" w:rsidR="00B843E3" w:rsidRDefault="00B843E3">
      <w:pPr>
        <w:rPr>
          <w:b/>
        </w:rPr>
      </w:pPr>
      <w:r>
        <w:rPr>
          <w:b/>
        </w:rPr>
        <w:br w:type="page"/>
      </w:r>
    </w:p>
    <w:p w14:paraId="61B6E3E5" w14:textId="78A66AAE" w:rsidR="000F096F" w:rsidRPr="00D31C46" w:rsidRDefault="00DE19A7" w:rsidP="00DE19A7">
      <w:pPr>
        <w:autoSpaceDE w:val="0"/>
        <w:autoSpaceDN w:val="0"/>
        <w:adjustRightInd w:val="0"/>
        <w:ind w:hanging="567"/>
        <w:rPr>
          <w:b/>
        </w:rPr>
      </w:pPr>
      <w:r w:rsidRPr="00D31C46">
        <w:rPr>
          <w:b/>
        </w:rPr>
        <w:lastRenderedPageBreak/>
        <w:t>4.2.1</w:t>
      </w:r>
      <w:r w:rsidRPr="00D31C46">
        <w:rPr>
          <w:b/>
        </w:rPr>
        <w:tab/>
      </w:r>
      <w:r w:rsidR="00E253C8" w:rsidRPr="00D31C46">
        <w:rPr>
          <w:b/>
        </w:rPr>
        <w:t xml:space="preserve">İştirakler ve bağlı ortaklıklara verilen </w:t>
      </w:r>
      <w:proofErr w:type="gramStart"/>
      <w:r w:rsidR="00E253C8" w:rsidRPr="00D31C46">
        <w:rPr>
          <w:b/>
        </w:rPr>
        <w:t>kar</w:t>
      </w:r>
      <w:proofErr w:type="gramEnd"/>
      <w:r w:rsidR="00E253C8" w:rsidRPr="00D31C46">
        <w:rPr>
          <w:b/>
        </w:rPr>
        <w:t xml:space="preserve"> payı giderlerine ilişkin bilgiler:</w:t>
      </w:r>
    </w:p>
    <w:p w14:paraId="1CDD1EFB" w14:textId="7D76B22C" w:rsidR="00D31C46" w:rsidRPr="00D31C46" w:rsidRDefault="00D31C46" w:rsidP="00A90984">
      <w:pPr>
        <w:pStyle w:val="BodyTextIndent2"/>
        <w:tabs>
          <w:tab w:val="left" w:pos="180"/>
        </w:tabs>
        <w:ind w:left="0"/>
        <w:jc w:val="left"/>
        <w:rPr>
          <w:rFonts w:ascii="Times New Roman" w:hAnsi="Times New Roman"/>
          <w:b w:val="0"/>
          <w:color w:val="auto"/>
          <w:sz w:val="20"/>
          <w:lang w:val="en-GB" w:eastAsia="en-GB"/>
        </w:rPr>
      </w:pPr>
    </w:p>
    <w:tbl>
      <w:tblPr>
        <w:tblW w:w="8708" w:type="dxa"/>
        <w:tblCellMar>
          <w:left w:w="70" w:type="dxa"/>
          <w:right w:w="70" w:type="dxa"/>
        </w:tblCellMar>
        <w:tblLook w:val="04A0" w:firstRow="1" w:lastRow="0" w:firstColumn="1" w:lastColumn="0" w:noHBand="0" w:noVBand="1"/>
      </w:tblPr>
      <w:tblGrid>
        <w:gridCol w:w="5273"/>
        <w:gridCol w:w="1765"/>
        <w:gridCol w:w="1670"/>
      </w:tblGrid>
      <w:tr w:rsidR="00D31C46" w:rsidRPr="00D31C46" w14:paraId="6B9DCB7D" w14:textId="77777777" w:rsidTr="00D31C46">
        <w:trPr>
          <w:divId w:val="931662840"/>
          <w:trHeight w:val="228"/>
        </w:trPr>
        <w:tc>
          <w:tcPr>
            <w:tcW w:w="5273" w:type="dxa"/>
            <w:tcBorders>
              <w:top w:val="double" w:sz="6" w:space="0" w:color="auto"/>
              <w:left w:val="nil"/>
              <w:bottom w:val="single" w:sz="8" w:space="0" w:color="auto"/>
              <w:right w:val="nil"/>
            </w:tcBorders>
            <w:shd w:val="clear" w:color="auto" w:fill="auto"/>
            <w:vAlign w:val="center"/>
            <w:hideMark/>
          </w:tcPr>
          <w:p w14:paraId="26BA7C27" w14:textId="2D151541" w:rsidR="00D31C46" w:rsidRPr="00D31C46" w:rsidRDefault="00D31C46" w:rsidP="00D31C46">
            <w:pPr>
              <w:jc w:val="center"/>
              <w:rPr>
                <w:b/>
                <w:bCs/>
                <w:sz w:val="18"/>
                <w:szCs w:val="18"/>
                <w:lang w:eastAsia="tr-TR"/>
              </w:rPr>
            </w:pPr>
            <w:r w:rsidRPr="00D31C46">
              <w:rPr>
                <w:b/>
                <w:bCs/>
                <w:sz w:val="18"/>
                <w:szCs w:val="18"/>
                <w:lang w:eastAsia="tr-TR"/>
              </w:rPr>
              <w:t> </w:t>
            </w:r>
          </w:p>
        </w:tc>
        <w:tc>
          <w:tcPr>
            <w:tcW w:w="1765" w:type="dxa"/>
            <w:tcBorders>
              <w:top w:val="double" w:sz="6" w:space="0" w:color="auto"/>
              <w:left w:val="nil"/>
              <w:bottom w:val="single" w:sz="8" w:space="0" w:color="auto"/>
              <w:right w:val="nil"/>
            </w:tcBorders>
            <w:shd w:val="clear" w:color="auto" w:fill="auto"/>
            <w:vAlign w:val="center"/>
            <w:hideMark/>
          </w:tcPr>
          <w:p w14:paraId="5B399F23" w14:textId="77777777" w:rsidR="00D31C46" w:rsidRPr="00D31C46" w:rsidRDefault="00D31C46" w:rsidP="00D31C46">
            <w:pPr>
              <w:jc w:val="right"/>
              <w:rPr>
                <w:b/>
                <w:bCs/>
                <w:sz w:val="18"/>
                <w:szCs w:val="18"/>
                <w:lang w:eastAsia="tr-TR"/>
              </w:rPr>
            </w:pPr>
            <w:r w:rsidRPr="00D31C46">
              <w:rPr>
                <w:b/>
                <w:bCs/>
                <w:sz w:val="18"/>
                <w:szCs w:val="18"/>
                <w:lang w:eastAsia="tr-TR"/>
              </w:rPr>
              <w:t>Cari Dönem</w:t>
            </w:r>
          </w:p>
        </w:tc>
        <w:tc>
          <w:tcPr>
            <w:tcW w:w="1670" w:type="dxa"/>
            <w:tcBorders>
              <w:top w:val="double" w:sz="6" w:space="0" w:color="auto"/>
              <w:left w:val="nil"/>
              <w:bottom w:val="single" w:sz="8" w:space="0" w:color="auto"/>
              <w:right w:val="nil"/>
            </w:tcBorders>
            <w:shd w:val="clear" w:color="auto" w:fill="auto"/>
            <w:vAlign w:val="center"/>
            <w:hideMark/>
          </w:tcPr>
          <w:p w14:paraId="4C9AD9AE" w14:textId="77777777" w:rsidR="00D31C46" w:rsidRPr="00D31C46" w:rsidRDefault="00D31C46" w:rsidP="00D31C46">
            <w:pPr>
              <w:jc w:val="right"/>
              <w:rPr>
                <w:b/>
                <w:bCs/>
                <w:sz w:val="18"/>
                <w:szCs w:val="18"/>
                <w:lang w:eastAsia="tr-TR"/>
              </w:rPr>
            </w:pPr>
            <w:r w:rsidRPr="00D31C46">
              <w:rPr>
                <w:b/>
                <w:bCs/>
                <w:sz w:val="18"/>
                <w:szCs w:val="18"/>
                <w:lang w:eastAsia="tr-TR"/>
              </w:rPr>
              <w:t>Önceki Dönem</w:t>
            </w:r>
          </w:p>
        </w:tc>
      </w:tr>
      <w:tr w:rsidR="00D31C46" w:rsidRPr="00D31C46" w14:paraId="387CF6CE" w14:textId="77777777" w:rsidTr="00D31C46">
        <w:trPr>
          <w:divId w:val="931662840"/>
          <w:trHeight w:val="215"/>
        </w:trPr>
        <w:tc>
          <w:tcPr>
            <w:tcW w:w="5273" w:type="dxa"/>
            <w:tcBorders>
              <w:top w:val="nil"/>
              <w:left w:val="nil"/>
              <w:bottom w:val="double" w:sz="6" w:space="0" w:color="auto"/>
              <w:right w:val="nil"/>
            </w:tcBorders>
            <w:shd w:val="clear" w:color="auto" w:fill="auto"/>
            <w:vAlign w:val="center"/>
            <w:hideMark/>
          </w:tcPr>
          <w:p w14:paraId="1F946E1A" w14:textId="77777777" w:rsidR="00D31C46" w:rsidRPr="00D31C46" w:rsidRDefault="00D31C46" w:rsidP="00D31C46">
            <w:pPr>
              <w:rPr>
                <w:sz w:val="18"/>
                <w:szCs w:val="18"/>
                <w:lang w:eastAsia="tr-TR"/>
              </w:rPr>
            </w:pPr>
            <w:r w:rsidRPr="00D31C46">
              <w:rPr>
                <w:sz w:val="18"/>
                <w:szCs w:val="18"/>
                <w:lang w:eastAsia="tr-TR"/>
              </w:rPr>
              <w:t>İştirak ve bağlı ortaklıklara verilen kar payları</w:t>
            </w:r>
          </w:p>
        </w:tc>
        <w:tc>
          <w:tcPr>
            <w:tcW w:w="1765" w:type="dxa"/>
            <w:tcBorders>
              <w:top w:val="nil"/>
              <w:left w:val="nil"/>
              <w:bottom w:val="double" w:sz="6" w:space="0" w:color="auto"/>
              <w:right w:val="nil"/>
            </w:tcBorders>
            <w:shd w:val="clear" w:color="auto" w:fill="auto"/>
            <w:vAlign w:val="center"/>
            <w:hideMark/>
          </w:tcPr>
          <w:p w14:paraId="1C50A04F" w14:textId="77777777" w:rsidR="00D31C46" w:rsidRPr="00D31C46" w:rsidRDefault="00D31C46" w:rsidP="00D31C46">
            <w:pPr>
              <w:jc w:val="right"/>
              <w:rPr>
                <w:sz w:val="18"/>
                <w:szCs w:val="18"/>
                <w:lang w:eastAsia="tr-TR"/>
              </w:rPr>
            </w:pPr>
            <w:r w:rsidRPr="00D31C46">
              <w:rPr>
                <w:sz w:val="18"/>
                <w:szCs w:val="18"/>
                <w:lang w:eastAsia="tr-TR"/>
              </w:rPr>
              <w:t>390,881</w:t>
            </w:r>
          </w:p>
        </w:tc>
        <w:tc>
          <w:tcPr>
            <w:tcW w:w="1670" w:type="dxa"/>
            <w:tcBorders>
              <w:top w:val="nil"/>
              <w:left w:val="nil"/>
              <w:bottom w:val="double" w:sz="6" w:space="0" w:color="auto"/>
              <w:right w:val="nil"/>
            </w:tcBorders>
            <w:shd w:val="clear" w:color="auto" w:fill="auto"/>
            <w:vAlign w:val="center"/>
            <w:hideMark/>
          </w:tcPr>
          <w:p w14:paraId="5C22A767" w14:textId="77777777" w:rsidR="00D31C46" w:rsidRPr="00D31C46" w:rsidRDefault="00D31C46" w:rsidP="00D31C46">
            <w:pPr>
              <w:jc w:val="right"/>
              <w:rPr>
                <w:sz w:val="18"/>
                <w:szCs w:val="18"/>
                <w:lang w:eastAsia="tr-TR"/>
              </w:rPr>
            </w:pPr>
            <w:r w:rsidRPr="00D31C46">
              <w:rPr>
                <w:sz w:val="18"/>
                <w:szCs w:val="18"/>
                <w:lang w:eastAsia="tr-TR"/>
              </w:rPr>
              <w:t>336,413</w:t>
            </w:r>
          </w:p>
        </w:tc>
      </w:tr>
    </w:tbl>
    <w:p w14:paraId="3198BEDA" w14:textId="1E6756B9" w:rsidR="000F096F" w:rsidRPr="00D31C46" w:rsidRDefault="000F096F" w:rsidP="00A90984">
      <w:pPr>
        <w:pStyle w:val="BodyTextIndent2"/>
        <w:tabs>
          <w:tab w:val="left" w:pos="180"/>
        </w:tabs>
        <w:ind w:left="0"/>
        <w:jc w:val="left"/>
        <w:rPr>
          <w:rFonts w:ascii="Times New Roman" w:hAnsi="Times New Roman"/>
          <w:b w:val="0"/>
          <w:color w:val="auto"/>
          <w:sz w:val="12"/>
        </w:rPr>
      </w:pPr>
    </w:p>
    <w:p w14:paraId="23687CB3" w14:textId="77777777" w:rsidR="00F42642" w:rsidRPr="00D31C46" w:rsidRDefault="00F42642" w:rsidP="00DE19A7">
      <w:pPr>
        <w:autoSpaceDE w:val="0"/>
        <w:autoSpaceDN w:val="0"/>
        <w:adjustRightInd w:val="0"/>
        <w:ind w:hanging="567"/>
        <w:jc w:val="both"/>
        <w:rPr>
          <w:b/>
        </w:rPr>
      </w:pPr>
    </w:p>
    <w:p w14:paraId="191E93D1" w14:textId="77777777" w:rsidR="00505363" w:rsidRPr="00D31C46" w:rsidRDefault="00DE19A7" w:rsidP="00DE19A7">
      <w:pPr>
        <w:autoSpaceDE w:val="0"/>
        <w:autoSpaceDN w:val="0"/>
        <w:adjustRightInd w:val="0"/>
        <w:ind w:hanging="567"/>
        <w:jc w:val="both"/>
        <w:rPr>
          <w:b/>
        </w:rPr>
      </w:pPr>
      <w:r w:rsidRPr="00D31C46">
        <w:rPr>
          <w:b/>
        </w:rPr>
        <w:t>4.2.2</w:t>
      </w:r>
      <w:r w:rsidRPr="00D31C46">
        <w:rPr>
          <w:b/>
        </w:rPr>
        <w:tab/>
      </w:r>
      <w:r w:rsidR="00E253C8" w:rsidRPr="00D31C46">
        <w:rPr>
          <w:b/>
        </w:rPr>
        <w:t xml:space="preserve">İhraç edilen menkul kıymetlere verilen kar paylarına ilişkin bilgiler: </w:t>
      </w:r>
    </w:p>
    <w:p w14:paraId="45196C2D" w14:textId="77777777" w:rsidR="00505363" w:rsidRPr="00D31C46" w:rsidRDefault="00505363" w:rsidP="00DE19A7">
      <w:pPr>
        <w:autoSpaceDE w:val="0"/>
        <w:autoSpaceDN w:val="0"/>
        <w:adjustRightInd w:val="0"/>
        <w:ind w:hanging="567"/>
        <w:jc w:val="both"/>
        <w:rPr>
          <w:b/>
          <w:sz w:val="16"/>
          <w:szCs w:val="16"/>
        </w:rPr>
      </w:pPr>
    </w:p>
    <w:p w14:paraId="7B57DD79" w14:textId="0B34489F" w:rsidR="004D5536" w:rsidRPr="00D31C46" w:rsidRDefault="00715897" w:rsidP="00505363">
      <w:pPr>
        <w:autoSpaceDE w:val="0"/>
        <w:autoSpaceDN w:val="0"/>
        <w:adjustRightInd w:val="0"/>
        <w:jc w:val="both"/>
        <w:rPr>
          <w:b/>
        </w:rPr>
      </w:pPr>
      <w:r w:rsidRPr="00D31C46">
        <w:t>Yoktur</w:t>
      </w:r>
      <w:r w:rsidRPr="00D31C46">
        <w:rPr>
          <w:b/>
        </w:rPr>
        <w:t xml:space="preserve"> </w:t>
      </w:r>
      <w:r w:rsidRPr="00D31C46">
        <w:t>(</w:t>
      </w:r>
      <w:r w:rsidR="008A2C85" w:rsidRPr="00D31C46">
        <w:t>1 Ocak-</w:t>
      </w:r>
      <w:r w:rsidR="00EA6E92" w:rsidRPr="00D31C46">
        <w:t>30 Eylül 2019</w:t>
      </w:r>
      <w:r w:rsidR="00C00968" w:rsidRPr="00D31C46">
        <w:t xml:space="preserve">- </w:t>
      </w:r>
      <w:r w:rsidR="00E253C8" w:rsidRPr="00D31C46">
        <w:t>Yoktur).</w:t>
      </w:r>
    </w:p>
    <w:p w14:paraId="74D87712" w14:textId="77777777" w:rsidR="00DA4876" w:rsidRPr="00D31C46" w:rsidRDefault="00DA4876" w:rsidP="00DE19A7">
      <w:pPr>
        <w:autoSpaceDE w:val="0"/>
        <w:autoSpaceDN w:val="0"/>
        <w:adjustRightInd w:val="0"/>
        <w:ind w:hanging="567"/>
        <w:rPr>
          <w:rFonts w:eastAsia="Arial Unicode MS"/>
          <w:b/>
          <w:sz w:val="16"/>
          <w:szCs w:val="16"/>
        </w:rPr>
      </w:pPr>
    </w:p>
    <w:p w14:paraId="2F5CE128" w14:textId="77777777" w:rsidR="003E0D9C" w:rsidRPr="00D31C46" w:rsidRDefault="00DE19A7" w:rsidP="00DE19A7">
      <w:pPr>
        <w:autoSpaceDE w:val="0"/>
        <w:autoSpaceDN w:val="0"/>
        <w:adjustRightInd w:val="0"/>
        <w:ind w:hanging="567"/>
        <w:rPr>
          <w:rFonts w:eastAsia="Arial Unicode MS"/>
          <w:b/>
        </w:rPr>
      </w:pPr>
      <w:r w:rsidRPr="00D31C46">
        <w:rPr>
          <w:rFonts w:eastAsia="Arial Unicode MS"/>
          <w:b/>
        </w:rPr>
        <w:t>4.3</w:t>
      </w:r>
      <w:r w:rsidRPr="00D31C46">
        <w:rPr>
          <w:rFonts w:eastAsia="Arial Unicode MS"/>
          <w:b/>
        </w:rPr>
        <w:tab/>
      </w:r>
      <w:r w:rsidR="00E253C8" w:rsidRPr="00D31C46">
        <w:rPr>
          <w:rFonts w:eastAsia="Arial Unicode MS"/>
          <w:b/>
        </w:rPr>
        <w:t>Temettü gelirlerine ilişkin açıklamalar:</w:t>
      </w:r>
    </w:p>
    <w:p w14:paraId="19367980" w14:textId="77777777" w:rsidR="00171277" w:rsidRPr="00D31C46" w:rsidRDefault="00171277" w:rsidP="00C4723A">
      <w:pPr>
        <w:autoSpaceDE w:val="0"/>
        <w:autoSpaceDN w:val="0"/>
        <w:adjustRightInd w:val="0"/>
        <w:rPr>
          <w:rFonts w:eastAsia="Arial Unicode MS"/>
          <w:b/>
          <w:sz w:val="16"/>
          <w:szCs w:val="16"/>
        </w:rPr>
      </w:pPr>
    </w:p>
    <w:p w14:paraId="2B2D250C" w14:textId="77129191" w:rsidR="00E4772F" w:rsidRPr="00311DAB" w:rsidRDefault="00E4772F" w:rsidP="00E4772F">
      <w:pPr>
        <w:tabs>
          <w:tab w:val="left" w:pos="540"/>
        </w:tabs>
        <w:autoSpaceDE w:val="0"/>
        <w:autoSpaceDN w:val="0"/>
        <w:adjustRightInd w:val="0"/>
        <w:rPr>
          <w:lang w:eastAsia="en-GB"/>
        </w:rPr>
      </w:pPr>
      <w:r w:rsidRPr="00D31C46">
        <w:t>Bankalarca Kamuya Açıklanacak Finansal Tablolar ile Bunlara İlişkin Açıklama ve Dipnotlar Hakkında Tebliğ’in 25’inci maddesi uyarınca ara dönemde hazırlanmamıştır.</w:t>
      </w:r>
    </w:p>
    <w:p w14:paraId="72465EDD" w14:textId="21C754F2" w:rsidR="00D22163" w:rsidRPr="00311DAB" w:rsidRDefault="00D22163" w:rsidP="00E4772F">
      <w:pPr>
        <w:autoSpaceDE w:val="0"/>
        <w:autoSpaceDN w:val="0"/>
        <w:adjustRightInd w:val="0"/>
        <w:rPr>
          <w:highlight w:val="yellow"/>
          <w:lang w:eastAsia="en-GB"/>
        </w:rPr>
      </w:pPr>
    </w:p>
    <w:p w14:paraId="7C861822" w14:textId="364C7356" w:rsidR="00171277" w:rsidRPr="00270CE6" w:rsidRDefault="00171277" w:rsidP="001715B9">
      <w:pPr>
        <w:autoSpaceDE w:val="0"/>
        <w:autoSpaceDN w:val="0"/>
        <w:adjustRightInd w:val="0"/>
        <w:ind w:left="709"/>
        <w:rPr>
          <w:rFonts w:eastAsia="Arial Unicode MS"/>
          <w:b/>
          <w:sz w:val="16"/>
          <w:szCs w:val="16"/>
          <w:highlight w:val="yellow"/>
        </w:rPr>
      </w:pPr>
    </w:p>
    <w:p w14:paraId="3F58D307" w14:textId="77777777" w:rsidR="00171277" w:rsidRPr="00270CE6" w:rsidRDefault="00171277" w:rsidP="001715B9">
      <w:pPr>
        <w:autoSpaceDE w:val="0"/>
        <w:autoSpaceDN w:val="0"/>
        <w:adjustRightInd w:val="0"/>
        <w:ind w:left="709"/>
        <w:rPr>
          <w:rFonts w:eastAsia="Arial Unicode MS"/>
          <w:b/>
          <w:sz w:val="16"/>
          <w:szCs w:val="16"/>
          <w:highlight w:val="yellow"/>
        </w:rPr>
      </w:pPr>
    </w:p>
    <w:p w14:paraId="4DA484FD" w14:textId="77777777" w:rsidR="00171277" w:rsidRPr="00270CE6" w:rsidRDefault="00171277" w:rsidP="001715B9">
      <w:pPr>
        <w:autoSpaceDE w:val="0"/>
        <w:autoSpaceDN w:val="0"/>
        <w:adjustRightInd w:val="0"/>
        <w:ind w:left="709"/>
        <w:rPr>
          <w:rFonts w:eastAsia="Arial Unicode MS"/>
          <w:b/>
          <w:sz w:val="16"/>
          <w:szCs w:val="16"/>
          <w:highlight w:val="yellow"/>
        </w:rPr>
      </w:pPr>
    </w:p>
    <w:p w14:paraId="3B8EC8C2" w14:textId="77777777" w:rsidR="00171277" w:rsidRPr="00270CE6" w:rsidRDefault="00171277" w:rsidP="001715B9">
      <w:pPr>
        <w:autoSpaceDE w:val="0"/>
        <w:autoSpaceDN w:val="0"/>
        <w:adjustRightInd w:val="0"/>
        <w:ind w:left="709"/>
        <w:rPr>
          <w:rFonts w:eastAsia="Arial Unicode MS"/>
          <w:b/>
          <w:sz w:val="16"/>
          <w:szCs w:val="16"/>
          <w:highlight w:val="yellow"/>
        </w:rPr>
      </w:pPr>
    </w:p>
    <w:p w14:paraId="6FB89510" w14:textId="77777777" w:rsidR="00171277" w:rsidRPr="00270CE6" w:rsidRDefault="00171277" w:rsidP="001715B9">
      <w:pPr>
        <w:autoSpaceDE w:val="0"/>
        <w:autoSpaceDN w:val="0"/>
        <w:adjustRightInd w:val="0"/>
        <w:ind w:left="709"/>
        <w:rPr>
          <w:rFonts w:eastAsia="Arial Unicode MS"/>
          <w:b/>
          <w:sz w:val="16"/>
          <w:szCs w:val="16"/>
          <w:highlight w:val="yellow"/>
        </w:rPr>
      </w:pPr>
    </w:p>
    <w:p w14:paraId="173B77CF" w14:textId="77777777" w:rsidR="00171277" w:rsidRPr="00270CE6" w:rsidRDefault="00171277" w:rsidP="001715B9">
      <w:pPr>
        <w:autoSpaceDE w:val="0"/>
        <w:autoSpaceDN w:val="0"/>
        <w:adjustRightInd w:val="0"/>
        <w:ind w:left="709"/>
        <w:rPr>
          <w:rFonts w:eastAsia="Arial Unicode MS"/>
          <w:b/>
          <w:sz w:val="16"/>
          <w:szCs w:val="16"/>
          <w:highlight w:val="yellow"/>
        </w:rPr>
      </w:pPr>
    </w:p>
    <w:p w14:paraId="5F6FF060" w14:textId="77777777" w:rsidR="00171277" w:rsidRPr="00270CE6" w:rsidRDefault="00171277" w:rsidP="001715B9">
      <w:pPr>
        <w:autoSpaceDE w:val="0"/>
        <w:autoSpaceDN w:val="0"/>
        <w:adjustRightInd w:val="0"/>
        <w:ind w:left="709"/>
        <w:rPr>
          <w:rFonts w:eastAsia="Arial Unicode MS"/>
          <w:b/>
          <w:sz w:val="16"/>
          <w:szCs w:val="16"/>
          <w:highlight w:val="yellow"/>
        </w:rPr>
      </w:pPr>
    </w:p>
    <w:p w14:paraId="64658B35" w14:textId="77777777" w:rsidR="00171277" w:rsidRPr="00270CE6" w:rsidRDefault="00171277" w:rsidP="001715B9">
      <w:pPr>
        <w:autoSpaceDE w:val="0"/>
        <w:autoSpaceDN w:val="0"/>
        <w:adjustRightInd w:val="0"/>
        <w:ind w:left="709"/>
        <w:rPr>
          <w:rFonts w:eastAsia="Arial Unicode MS"/>
          <w:b/>
          <w:sz w:val="16"/>
          <w:szCs w:val="16"/>
          <w:highlight w:val="yellow"/>
        </w:rPr>
      </w:pPr>
    </w:p>
    <w:p w14:paraId="269A6585" w14:textId="77777777" w:rsidR="00171277" w:rsidRPr="00270CE6" w:rsidRDefault="00171277" w:rsidP="001715B9">
      <w:pPr>
        <w:autoSpaceDE w:val="0"/>
        <w:autoSpaceDN w:val="0"/>
        <w:adjustRightInd w:val="0"/>
        <w:ind w:left="709"/>
        <w:rPr>
          <w:rFonts w:eastAsia="Arial Unicode MS"/>
          <w:b/>
          <w:sz w:val="16"/>
          <w:szCs w:val="16"/>
          <w:highlight w:val="yellow"/>
        </w:rPr>
      </w:pPr>
    </w:p>
    <w:p w14:paraId="3539B22B" w14:textId="77777777" w:rsidR="00C260E0" w:rsidRPr="005269EC" w:rsidRDefault="00A023D6" w:rsidP="00C260E0">
      <w:pPr>
        <w:autoSpaceDE w:val="0"/>
        <w:autoSpaceDN w:val="0"/>
        <w:adjustRightInd w:val="0"/>
        <w:ind w:hanging="567"/>
        <w:rPr>
          <w:rFonts w:eastAsia="Arial Unicode MS"/>
          <w:b/>
        </w:rPr>
      </w:pPr>
      <w:r w:rsidRPr="00270CE6">
        <w:rPr>
          <w:rFonts w:eastAsia="Arial Unicode MS"/>
          <w:b/>
          <w:sz w:val="16"/>
          <w:szCs w:val="16"/>
          <w:highlight w:val="yellow"/>
        </w:rPr>
        <w:br w:type="page"/>
      </w:r>
      <w:r w:rsidR="00DE19A7" w:rsidRPr="005269EC">
        <w:rPr>
          <w:rFonts w:eastAsia="Arial Unicode MS"/>
          <w:b/>
        </w:rPr>
        <w:lastRenderedPageBreak/>
        <w:t>4.4</w:t>
      </w:r>
      <w:r w:rsidR="00DE19A7" w:rsidRPr="005269EC">
        <w:rPr>
          <w:rFonts w:eastAsia="Arial Unicode MS"/>
          <w:b/>
        </w:rPr>
        <w:tab/>
      </w:r>
      <w:r w:rsidR="001E6154" w:rsidRPr="005269EC">
        <w:rPr>
          <w:rFonts w:eastAsia="Arial Unicode MS"/>
          <w:b/>
        </w:rPr>
        <w:t>Katılma hesaplarına ödenen kar paylarının vade yapısına göre gösterimi:</w:t>
      </w:r>
    </w:p>
    <w:p w14:paraId="3A18A11B" w14:textId="4F1A12B4" w:rsidR="005269EC" w:rsidRPr="005269EC" w:rsidRDefault="005269EC" w:rsidP="005269EC">
      <w:pPr>
        <w:autoSpaceDE w:val="0"/>
        <w:autoSpaceDN w:val="0"/>
        <w:adjustRightInd w:val="0"/>
        <w:ind w:hanging="567"/>
        <w:rPr>
          <w:rFonts w:eastAsia="Arial Unicode MS"/>
          <w:b/>
        </w:rPr>
      </w:pPr>
    </w:p>
    <w:tbl>
      <w:tblPr>
        <w:tblW w:w="9367" w:type="dxa"/>
        <w:tblCellMar>
          <w:left w:w="70" w:type="dxa"/>
          <w:right w:w="70" w:type="dxa"/>
        </w:tblCellMar>
        <w:tblLook w:val="04A0" w:firstRow="1" w:lastRow="0" w:firstColumn="1" w:lastColumn="0" w:noHBand="0" w:noVBand="1"/>
      </w:tblPr>
      <w:tblGrid>
        <w:gridCol w:w="2464"/>
        <w:gridCol w:w="938"/>
        <w:gridCol w:w="851"/>
        <w:gridCol w:w="855"/>
        <w:gridCol w:w="712"/>
        <w:gridCol w:w="835"/>
        <w:gridCol w:w="835"/>
        <w:gridCol w:w="916"/>
        <w:gridCol w:w="961"/>
      </w:tblGrid>
      <w:tr w:rsidR="005269EC" w:rsidRPr="005269EC" w14:paraId="56FBBE10" w14:textId="77777777" w:rsidTr="00B843E3">
        <w:trPr>
          <w:divId w:val="1176118601"/>
          <w:trHeight w:val="227"/>
        </w:trPr>
        <w:tc>
          <w:tcPr>
            <w:tcW w:w="2464" w:type="dxa"/>
            <w:tcBorders>
              <w:top w:val="single" w:sz="8" w:space="0" w:color="auto"/>
              <w:left w:val="nil"/>
              <w:bottom w:val="single" w:sz="8" w:space="0" w:color="auto"/>
              <w:right w:val="nil"/>
            </w:tcBorders>
            <w:shd w:val="clear" w:color="auto" w:fill="auto"/>
            <w:vAlign w:val="center"/>
            <w:hideMark/>
          </w:tcPr>
          <w:p w14:paraId="6E69D085" w14:textId="72517594" w:rsidR="005269EC" w:rsidRPr="005269EC" w:rsidRDefault="005269EC" w:rsidP="005269EC">
            <w:pPr>
              <w:rPr>
                <w:b/>
                <w:bCs/>
                <w:color w:val="000000"/>
                <w:sz w:val="18"/>
                <w:szCs w:val="18"/>
                <w:lang w:eastAsia="tr-TR"/>
              </w:rPr>
            </w:pPr>
            <w:r w:rsidRPr="005269EC">
              <w:rPr>
                <w:b/>
                <w:bCs/>
                <w:color w:val="000000"/>
                <w:sz w:val="18"/>
                <w:szCs w:val="18"/>
                <w:lang w:eastAsia="tr-TR"/>
              </w:rPr>
              <w:t>Cari Dönem</w:t>
            </w:r>
          </w:p>
        </w:tc>
        <w:tc>
          <w:tcPr>
            <w:tcW w:w="6898" w:type="dxa"/>
            <w:gridSpan w:val="8"/>
            <w:tcBorders>
              <w:top w:val="single" w:sz="8" w:space="0" w:color="auto"/>
              <w:left w:val="nil"/>
              <w:bottom w:val="single" w:sz="8" w:space="0" w:color="auto"/>
              <w:right w:val="nil"/>
            </w:tcBorders>
            <w:shd w:val="clear" w:color="auto" w:fill="auto"/>
            <w:vAlign w:val="center"/>
            <w:hideMark/>
          </w:tcPr>
          <w:p w14:paraId="6C7170A8" w14:textId="77777777" w:rsidR="005269EC" w:rsidRPr="005269EC" w:rsidRDefault="005269EC" w:rsidP="005269EC">
            <w:pPr>
              <w:jc w:val="center"/>
              <w:rPr>
                <w:b/>
                <w:bCs/>
                <w:color w:val="000000"/>
                <w:sz w:val="18"/>
                <w:szCs w:val="18"/>
                <w:lang w:eastAsia="tr-TR"/>
              </w:rPr>
            </w:pPr>
            <w:r w:rsidRPr="005269EC">
              <w:rPr>
                <w:b/>
                <w:bCs/>
                <w:color w:val="000000"/>
                <w:sz w:val="18"/>
                <w:szCs w:val="18"/>
                <w:lang w:eastAsia="tr-TR"/>
              </w:rPr>
              <w:t>Katılma hesapları</w:t>
            </w:r>
          </w:p>
        </w:tc>
      </w:tr>
      <w:tr w:rsidR="005269EC" w:rsidRPr="005269EC" w14:paraId="4CFC265E" w14:textId="77777777" w:rsidTr="00B843E3">
        <w:trPr>
          <w:divId w:val="1176118601"/>
          <w:trHeight w:val="213"/>
        </w:trPr>
        <w:tc>
          <w:tcPr>
            <w:tcW w:w="2464" w:type="dxa"/>
            <w:tcBorders>
              <w:top w:val="nil"/>
              <w:left w:val="nil"/>
              <w:bottom w:val="nil"/>
              <w:right w:val="nil"/>
            </w:tcBorders>
            <w:shd w:val="clear" w:color="auto" w:fill="auto"/>
            <w:vAlign w:val="center"/>
            <w:hideMark/>
          </w:tcPr>
          <w:p w14:paraId="12B74E59" w14:textId="77777777" w:rsidR="005269EC" w:rsidRPr="005269EC" w:rsidRDefault="005269EC" w:rsidP="005269EC">
            <w:pPr>
              <w:jc w:val="center"/>
              <w:rPr>
                <w:b/>
                <w:bCs/>
                <w:color w:val="000000"/>
                <w:sz w:val="18"/>
                <w:szCs w:val="18"/>
                <w:lang w:eastAsia="tr-TR"/>
              </w:rPr>
            </w:pPr>
          </w:p>
        </w:tc>
        <w:tc>
          <w:tcPr>
            <w:tcW w:w="938" w:type="dxa"/>
            <w:tcBorders>
              <w:top w:val="nil"/>
              <w:left w:val="nil"/>
              <w:bottom w:val="nil"/>
              <w:right w:val="nil"/>
            </w:tcBorders>
            <w:shd w:val="clear" w:color="auto" w:fill="auto"/>
            <w:vAlign w:val="center"/>
            <w:hideMark/>
          </w:tcPr>
          <w:p w14:paraId="1D455A57" w14:textId="77777777" w:rsidR="005269EC" w:rsidRPr="005269EC" w:rsidRDefault="005269EC" w:rsidP="005269EC">
            <w:pPr>
              <w:rPr>
                <w:lang w:eastAsia="tr-TR"/>
              </w:rPr>
            </w:pPr>
          </w:p>
        </w:tc>
        <w:tc>
          <w:tcPr>
            <w:tcW w:w="851" w:type="dxa"/>
            <w:tcBorders>
              <w:top w:val="nil"/>
              <w:left w:val="nil"/>
              <w:bottom w:val="nil"/>
              <w:right w:val="nil"/>
            </w:tcBorders>
            <w:shd w:val="clear" w:color="auto" w:fill="auto"/>
            <w:vAlign w:val="center"/>
            <w:hideMark/>
          </w:tcPr>
          <w:p w14:paraId="08A78351" w14:textId="77777777" w:rsidR="005269EC" w:rsidRPr="005269EC" w:rsidRDefault="005269EC" w:rsidP="005269EC">
            <w:pPr>
              <w:jc w:val="right"/>
              <w:rPr>
                <w:lang w:eastAsia="tr-TR"/>
              </w:rPr>
            </w:pPr>
          </w:p>
        </w:tc>
        <w:tc>
          <w:tcPr>
            <w:tcW w:w="855" w:type="dxa"/>
            <w:tcBorders>
              <w:top w:val="nil"/>
              <w:left w:val="nil"/>
              <w:bottom w:val="nil"/>
              <w:right w:val="nil"/>
            </w:tcBorders>
            <w:shd w:val="clear" w:color="auto" w:fill="auto"/>
            <w:vAlign w:val="center"/>
            <w:hideMark/>
          </w:tcPr>
          <w:p w14:paraId="1D656763" w14:textId="77777777" w:rsidR="005269EC" w:rsidRPr="005269EC" w:rsidRDefault="005269EC" w:rsidP="005269EC">
            <w:pPr>
              <w:jc w:val="right"/>
              <w:rPr>
                <w:lang w:eastAsia="tr-TR"/>
              </w:rPr>
            </w:pPr>
          </w:p>
        </w:tc>
        <w:tc>
          <w:tcPr>
            <w:tcW w:w="712" w:type="dxa"/>
            <w:tcBorders>
              <w:top w:val="nil"/>
              <w:left w:val="nil"/>
              <w:bottom w:val="nil"/>
              <w:right w:val="nil"/>
            </w:tcBorders>
            <w:shd w:val="clear" w:color="auto" w:fill="auto"/>
            <w:vAlign w:val="center"/>
            <w:hideMark/>
          </w:tcPr>
          <w:p w14:paraId="563BF3D7" w14:textId="77777777" w:rsidR="005269EC" w:rsidRPr="005269EC" w:rsidRDefault="005269EC" w:rsidP="005269EC">
            <w:pPr>
              <w:jc w:val="right"/>
              <w:rPr>
                <w:lang w:eastAsia="tr-TR"/>
              </w:rPr>
            </w:pPr>
          </w:p>
        </w:tc>
        <w:tc>
          <w:tcPr>
            <w:tcW w:w="835" w:type="dxa"/>
            <w:tcBorders>
              <w:top w:val="nil"/>
              <w:left w:val="nil"/>
              <w:bottom w:val="nil"/>
              <w:right w:val="nil"/>
            </w:tcBorders>
            <w:shd w:val="clear" w:color="auto" w:fill="auto"/>
            <w:vAlign w:val="center"/>
            <w:hideMark/>
          </w:tcPr>
          <w:p w14:paraId="550665C2" w14:textId="77777777" w:rsidR="005269EC" w:rsidRPr="005269EC" w:rsidRDefault="005269EC" w:rsidP="005269EC">
            <w:pPr>
              <w:jc w:val="right"/>
              <w:rPr>
                <w:lang w:eastAsia="tr-TR"/>
              </w:rPr>
            </w:pPr>
          </w:p>
        </w:tc>
        <w:tc>
          <w:tcPr>
            <w:tcW w:w="835" w:type="dxa"/>
            <w:tcBorders>
              <w:top w:val="nil"/>
              <w:left w:val="nil"/>
              <w:bottom w:val="nil"/>
              <w:right w:val="nil"/>
            </w:tcBorders>
            <w:shd w:val="clear" w:color="auto" w:fill="auto"/>
            <w:vAlign w:val="center"/>
            <w:hideMark/>
          </w:tcPr>
          <w:p w14:paraId="717A9778" w14:textId="77777777" w:rsidR="005269EC" w:rsidRPr="005269EC" w:rsidRDefault="005269EC" w:rsidP="005269EC">
            <w:pPr>
              <w:jc w:val="right"/>
              <w:rPr>
                <w:lang w:eastAsia="tr-TR"/>
              </w:rPr>
            </w:pPr>
          </w:p>
        </w:tc>
        <w:tc>
          <w:tcPr>
            <w:tcW w:w="916" w:type="dxa"/>
            <w:vMerge w:val="restart"/>
            <w:tcBorders>
              <w:top w:val="nil"/>
              <w:left w:val="nil"/>
              <w:bottom w:val="single" w:sz="8" w:space="0" w:color="000000"/>
              <w:right w:val="nil"/>
            </w:tcBorders>
            <w:shd w:val="clear" w:color="auto" w:fill="auto"/>
            <w:vAlign w:val="center"/>
            <w:hideMark/>
          </w:tcPr>
          <w:p w14:paraId="0711C830"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Birikimli katılma hesabı</w:t>
            </w:r>
          </w:p>
        </w:tc>
        <w:tc>
          <w:tcPr>
            <w:tcW w:w="961" w:type="dxa"/>
            <w:tcBorders>
              <w:top w:val="nil"/>
              <w:left w:val="nil"/>
              <w:bottom w:val="nil"/>
              <w:right w:val="nil"/>
            </w:tcBorders>
            <w:shd w:val="clear" w:color="auto" w:fill="auto"/>
            <w:vAlign w:val="center"/>
            <w:hideMark/>
          </w:tcPr>
          <w:p w14:paraId="50399B00" w14:textId="77777777" w:rsidR="005269EC" w:rsidRPr="005269EC" w:rsidRDefault="005269EC" w:rsidP="005269EC">
            <w:pPr>
              <w:jc w:val="right"/>
              <w:rPr>
                <w:b/>
                <w:bCs/>
                <w:color w:val="000000"/>
                <w:sz w:val="18"/>
                <w:szCs w:val="18"/>
                <w:lang w:eastAsia="tr-TR"/>
              </w:rPr>
            </w:pPr>
          </w:p>
        </w:tc>
      </w:tr>
      <w:tr w:rsidR="005269EC" w:rsidRPr="005269EC" w14:paraId="6BB42E5D" w14:textId="77777777" w:rsidTr="00B843E3">
        <w:trPr>
          <w:divId w:val="1176118601"/>
          <w:trHeight w:val="213"/>
        </w:trPr>
        <w:tc>
          <w:tcPr>
            <w:tcW w:w="2464" w:type="dxa"/>
            <w:tcBorders>
              <w:top w:val="nil"/>
              <w:left w:val="nil"/>
              <w:bottom w:val="nil"/>
              <w:right w:val="nil"/>
            </w:tcBorders>
            <w:shd w:val="clear" w:color="auto" w:fill="auto"/>
            <w:vAlign w:val="center"/>
            <w:hideMark/>
          </w:tcPr>
          <w:p w14:paraId="0058B60D" w14:textId="77777777" w:rsidR="005269EC" w:rsidRPr="005269EC" w:rsidRDefault="005269EC" w:rsidP="005269EC">
            <w:pPr>
              <w:jc w:val="right"/>
              <w:rPr>
                <w:lang w:eastAsia="tr-TR"/>
              </w:rPr>
            </w:pPr>
          </w:p>
        </w:tc>
        <w:tc>
          <w:tcPr>
            <w:tcW w:w="938" w:type="dxa"/>
            <w:tcBorders>
              <w:top w:val="nil"/>
              <w:left w:val="nil"/>
              <w:bottom w:val="nil"/>
              <w:right w:val="nil"/>
            </w:tcBorders>
            <w:shd w:val="clear" w:color="auto" w:fill="auto"/>
            <w:vAlign w:val="center"/>
            <w:hideMark/>
          </w:tcPr>
          <w:p w14:paraId="664CB24A"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 xml:space="preserve">1 aya </w:t>
            </w:r>
          </w:p>
        </w:tc>
        <w:tc>
          <w:tcPr>
            <w:tcW w:w="851" w:type="dxa"/>
            <w:tcBorders>
              <w:top w:val="nil"/>
              <w:left w:val="nil"/>
              <w:bottom w:val="nil"/>
              <w:right w:val="nil"/>
            </w:tcBorders>
            <w:shd w:val="clear" w:color="auto" w:fill="auto"/>
            <w:vAlign w:val="center"/>
            <w:hideMark/>
          </w:tcPr>
          <w:p w14:paraId="2760A91D"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 xml:space="preserve">3 aya </w:t>
            </w:r>
          </w:p>
        </w:tc>
        <w:tc>
          <w:tcPr>
            <w:tcW w:w="855" w:type="dxa"/>
            <w:tcBorders>
              <w:top w:val="nil"/>
              <w:left w:val="nil"/>
              <w:bottom w:val="nil"/>
              <w:right w:val="nil"/>
            </w:tcBorders>
            <w:shd w:val="clear" w:color="auto" w:fill="auto"/>
            <w:vAlign w:val="center"/>
            <w:hideMark/>
          </w:tcPr>
          <w:p w14:paraId="4244726F"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 xml:space="preserve">6 aya </w:t>
            </w:r>
          </w:p>
        </w:tc>
        <w:tc>
          <w:tcPr>
            <w:tcW w:w="712" w:type="dxa"/>
            <w:tcBorders>
              <w:top w:val="nil"/>
              <w:left w:val="nil"/>
              <w:bottom w:val="nil"/>
              <w:right w:val="nil"/>
            </w:tcBorders>
            <w:shd w:val="clear" w:color="auto" w:fill="auto"/>
            <w:vAlign w:val="center"/>
            <w:hideMark/>
          </w:tcPr>
          <w:p w14:paraId="56E6EF4E"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74775B26"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 xml:space="preserve">1 yıla </w:t>
            </w:r>
          </w:p>
        </w:tc>
        <w:tc>
          <w:tcPr>
            <w:tcW w:w="835" w:type="dxa"/>
            <w:tcBorders>
              <w:top w:val="nil"/>
              <w:left w:val="nil"/>
              <w:bottom w:val="nil"/>
              <w:right w:val="nil"/>
            </w:tcBorders>
            <w:shd w:val="clear" w:color="auto" w:fill="auto"/>
            <w:vAlign w:val="center"/>
            <w:hideMark/>
          </w:tcPr>
          <w:p w14:paraId="21F0BC83"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1 yıldan</w:t>
            </w:r>
          </w:p>
        </w:tc>
        <w:tc>
          <w:tcPr>
            <w:tcW w:w="916" w:type="dxa"/>
            <w:vMerge/>
            <w:tcBorders>
              <w:top w:val="nil"/>
              <w:left w:val="nil"/>
              <w:bottom w:val="single" w:sz="8" w:space="0" w:color="000000"/>
              <w:right w:val="nil"/>
            </w:tcBorders>
            <w:vAlign w:val="center"/>
            <w:hideMark/>
          </w:tcPr>
          <w:p w14:paraId="2B7CC33C" w14:textId="77777777" w:rsidR="005269EC" w:rsidRPr="005269EC" w:rsidRDefault="005269EC" w:rsidP="005269EC">
            <w:pPr>
              <w:rPr>
                <w:b/>
                <w:bCs/>
                <w:color w:val="000000"/>
                <w:sz w:val="18"/>
                <w:szCs w:val="18"/>
                <w:lang w:eastAsia="tr-TR"/>
              </w:rPr>
            </w:pPr>
          </w:p>
        </w:tc>
        <w:tc>
          <w:tcPr>
            <w:tcW w:w="961" w:type="dxa"/>
            <w:tcBorders>
              <w:top w:val="nil"/>
              <w:left w:val="nil"/>
              <w:bottom w:val="nil"/>
              <w:right w:val="nil"/>
            </w:tcBorders>
            <w:shd w:val="clear" w:color="auto" w:fill="auto"/>
            <w:vAlign w:val="center"/>
            <w:hideMark/>
          </w:tcPr>
          <w:p w14:paraId="6C5A9FDF" w14:textId="77777777" w:rsidR="005269EC" w:rsidRPr="005269EC" w:rsidRDefault="005269EC" w:rsidP="005269EC">
            <w:pPr>
              <w:jc w:val="right"/>
              <w:rPr>
                <w:b/>
                <w:bCs/>
                <w:color w:val="000000"/>
                <w:sz w:val="18"/>
                <w:szCs w:val="18"/>
                <w:lang w:eastAsia="tr-TR"/>
              </w:rPr>
            </w:pPr>
          </w:p>
        </w:tc>
      </w:tr>
      <w:tr w:rsidR="005269EC" w:rsidRPr="005269EC" w14:paraId="28BF859B" w14:textId="77777777" w:rsidTr="00B843E3">
        <w:trPr>
          <w:divId w:val="1176118601"/>
          <w:trHeight w:val="227"/>
        </w:trPr>
        <w:tc>
          <w:tcPr>
            <w:tcW w:w="2464" w:type="dxa"/>
            <w:tcBorders>
              <w:top w:val="nil"/>
              <w:left w:val="nil"/>
              <w:bottom w:val="single" w:sz="8" w:space="0" w:color="auto"/>
              <w:right w:val="nil"/>
            </w:tcBorders>
            <w:shd w:val="clear" w:color="auto" w:fill="auto"/>
            <w:vAlign w:val="center"/>
            <w:hideMark/>
          </w:tcPr>
          <w:p w14:paraId="7A638577" w14:textId="77777777" w:rsidR="005269EC" w:rsidRPr="005269EC" w:rsidRDefault="005269EC" w:rsidP="005269EC">
            <w:pPr>
              <w:rPr>
                <w:b/>
                <w:bCs/>
                <w:color w:val="000000"/>
                <w:sz w:val="18"/>
                <w:szCs w:val="18"/>
                <w:lang w:eastAsia="tr-TR"/>
              </w:rPr>
            </w:pPr>
            <w:r w:rsidRPr="005269EC">
              <w:rPr>
                <w:b/>
                <w:bCs/>
                <w:color w:val="000000"/>
                <w:sz w:val="18"/>
                <w:szCs w:val="18"/>
                <w:lang w:eastAsia="tr-TR"/>
              </w:rPr>
              <w:t>Hesap adı</w:t>
            </w:r>
          </w:p>
        </w:tc>
        <w:tc>
          <w:tcPr>
            <w:tcW w:w="938" w:type="dxa"/>
            <w:tcBorders>
              <w:top w:val="nil"/>
              <w:left w:val="nil"/>
              <w:bottom w:val="single" w:sz="8" w:space="0" w:color="auto"/>
              <w:right w:val="nil"/>
            </w:tcBorders>
            <w:shd w:val="clear" w:color="auto" w:fill="auto"/>
            <w:vAlign w:val="center"/>
            <w:hideMark/>
          </w:tcPr>
          <w:p w14:paraId="570424C9" w14:textId="77777777" w:rsidR="005269EC" w:rsidRPr="005269EC" w:rsidRDefault="005269EC" w:rsidP="005269EC">
            <w:pPr>
              <w:jc w:val="right"/>
              <w:rPr>
                <w:b/>
                <w:bCs/>
                <w:color w:val="000000"/>
                <w:sz w:val="18"/>
                <w:szCs w:val="18"/>
                <w:lang w:eastAsia="tr-TR"/>
              </w:rPr>
            </w:pPr>
            <w:proofErr w:type="gramStart"/>
            <w:r w:rsidRPr="005269EC">
              <w:rPr>
                <w:b/>
                <w:bCs/>
                <w:color w:val="000000"/>
                <w:sz w:val="18"/>
                <w:szCs w:val="18"/>
                <w:lang w:eastAsia="tr-TR"/>
              </w:rPr>
              <w:t>kadar</w:t>
            </w:r>
            <w:proofErr w:type="gramEnd"/>
          </w:p>
        </w:tc>
        <w:tc>
          <w:tcPr>
            <w:tcW w:w="851" w:type="dxa"/>
            <w:tcBorders>
              <w:top w:val="nil"/>
              <w:left w:val="nil"/>
              <w:bottom w:val="single" w:sz="8" w:space="0" w:color="auto"/>
              <w:right w:val="nil"/>
            </w:tcBorders>
            <w:shd w:val="clear" w:color="auto" w:fill="auto"/>
            <w:vAlign w:val="center"/>
            <w:hideMark/>
          </w:tcPr>
          <w:p w14:paraId="550404EA" w14:textId="77777777" w:rsidR="005269EC" w:rsidRPr="005269EC" w:rsidRDefault="005269EC" w:rsidP="005269EC">
            <w:pPr>
              <w:jc w:val="right"/>
              <w:rPr>
                <w:b/>
                <w:bCs/>
                <w:color w:val="000000"/>
                <w:sz w:val="18"/>
                <w:szCs w:val="18"/>
                <w:lang w:eastAsia="tr-TR"/>
              </w:rPr>
            </w:pPr>
            <w:proofErr w:type="gramStart"/>
            <w:r w:rsidRPr="005269EC">
              <w:rPr>
                <w:b/>
                <w:bCs/>
                <w:color w:val="000000"/>
                <w:sz w:val="18"/>
                <w:szCs w:val="18"/>
                <w:lang w:eastAsia="tr-TR"/>
              </w:rPr>
              <w:t>kadar</w:t>
            </w:r>
            <w:proofErr w:type="gramEnd"/>
          </w:p>
        </w:tc>
        <w:tc>
          <w:tcPr>
            <w:tcW w:w="855" w:type="dxa"/>
            <w:tcBorders>
              <w:top w:val="nil"/>
              <w:left w:val="nil"/>
              <w:bottom w:val="single" w:sz="8" w:space="0" w:color="auto"/>
              <w:right w:val="nil"/>
            </w:tcBorders>
            <w:shd w:val="clear" w:color="auto" w:fill="auto"/>
            <w:vAlign w:val="center"/>
            <w:hideMark/>
          </w:tcPr>
          <w:p w14:paraId="163D734E" w14:textId="77777777" w:rsidR="005269EC" w:rsidRPr="005269EC" w:rsidRDefault="005269EC" w:rsidP="005269EC">
            <w:pPr>
              <w:jc w:val="right"/>
              <w:rPr>
                <w:b/>
                <w:bCs/>
                <w:color w:val="000000"/>
                <w:sz w:val="18"/>
                <w:szCs w:val="18"/>
                <w:lang w:eastAsia="tr-TR"/>
              </w:rPr>
            </w:pPr>
            <w:proofErr w:type="gramStart"/>
            <w:r w:rsidRPr="005269EC">
              <w:rPr>
                <w:b/>
                <w:bCs/>
                <w:color w:val="000000"/>
                <w:sz w:val="18"/>
                <w:szCs w:val="18"/>
                <w:lang w:eastAsia="tr-TR"/>
              </w:rPr>
              <w:t>kadar</w:t>
            </w:r>
            <w:proofErr w:type="gramEnd"/>
          </w:p>
        </w:tc>
        <w:tc>
          <w:tcPr>
            <w:tcW w:w="712" w:type="dxa"/>
            <w:tcBorders>
              <w:top w:val="nil"/>
              <w:left w:val="nil"/>
              <w:bottom w:val="single" w:sz="8" w:space="0" w:color="auto"/>
              <w:right w:val="nil"/>
            </w:tcBorders>
            <w:shd w:val="clear" w:color="auto" w:fill="auto"/>
            <w:vAlign w:val="center"/>
            <w:hideMark/>
          </w:tcPr>
          <w:p w14:paraId="4E7D3933" w14:textId="77777777" w:rsidR="005269EC" w:rsidRPr="005269EC" w:rsidRDefault="005269EC" w:rsidP="005269EC">
            <w:pPr>
              <w:jc w:val="right"/>
              <w:rPr>
                <w:b/>
                <w:bCs/>
                <w:color w:val="000000"/>
                <w:sz w:val="18"/>
                <w:szCs w:val="18"/>
                <w:lang w:eastAsia="tr-TR"/>
              </w:rPr>
            </w:pPr>
            <w:proofErr w:type="gramStart"/>
            <w:r w:rsidRPr="005269EC">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35082668"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 xml:space="preserve"> </w:t>
            </w:r>
            <w:proofErr w:type="gramStart"/>
            <w:r w:rsidRPr="005269EC">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14B62532" w14:textId="77777777" w:rsidR="005269EC" w:rsidRPr="005269EC" w:rsidRDefault="005269EC" w:rsidP="005269EC">
            <w:pPr>
              <w:jc w:val="right"/>
              <w:rPr>
                <w:b/>
                <w:bCs/>
                <w:color w:val="000000"/>
                <w:sz w:val="18"/>
                <w:szCs w:val="18"/>
                <w:lang w:eastAsia="tr-TR"/>
              </w:rPr>
            </w:pPr>
            <w:proofErr w:type="gramStart"/>
            <w:r w:rsidRPr="005269EC">
              <w:rPr>
                <w:b/>
                <w:bCs/>
                <w:color w:val="000000"/>
                <w:sz w:val="18"/>
                <w:szCs w:val="18"/>
                <w:lang w:eastAsia="tr-TR"/>
              </w:rPr>
              <w:t>uzun</w:t>
            </w:r>
            <w:proofErr w:type="gramEnd"/>
          </w:p>
        </w:tc>
        <w:tc>
          <w:tcPr>
            <w:tcW w:w="916" w:type="dxa"/>
            <w:vMerge/>
            <w:tcBorders>
              <w:top w:val="nil"/>
              <w:left w:val="nil"/>
              <w:bottom w:val="single" w:sz="8" w:space="0" w:color="000000"/>
              <w:right w:val="nil"/>
            </w:tcBorders>
            <w:vAlign w:val="center"/>
            <w:hideMark/>
          </w:tcPr>
          <w:p w14:paraId="2ABDB898" w14:textId="77777777" w:rsidR="005269EC" w:rsidRPr="005269EC" w:rsidRDefault="005269EC" w:rsidP="005269EC">
            <w:pPr>
              <w:rPr>
                <w:b/>
                <w:bCs/>
                <w:color w:val="000000"/>
                <w:sz w:val="18"/>
                <w:szCs w:val="18"/>
                <w:lang w:eastAsia="tr-TR"/>
              </w:rPr>
            </w:pPr>
          </w:p>
        </w:tc>
        <w:tc>
          <w:tcPr>
            <w:tcW w:w="961" w:type="dxa"/>
            <w:tcBorders>
              <w:top w:val="nil"/>
              <w:left w:val="nil"/>
              <w:bottom w:val="single" w:sz="8" w:space="0" w:color="auto"/>
              <w:right w:val="nil"/>
            </w:tcBorders>
            <w:shd w:val="clear" w:color="auto" w:fill="auto"/>
            <w:vAlign w:val="center"/>
            <w:hideMark/>
          </w:tcPr>
          <w:p w14:paraId="4B5F795B"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Toplam</w:t>
            </w:r>
          </w:p>
        </w:tc>
      </w:tr>
      <w:tr w:rsidR="005269EC" w:rsidRPr="005269EC" w14:paraId="24ED33AF" w14:textId="77777777" w:rsidTr="00B843E3">
        <w:trPr>
          <w:divId w:val="1176118601"/>
          <w:trHeight w:val="213"/>
        </w:trPr>
        <w:tc>
          <w:tcPr>
            <w:tcW w:w="2464" w:type="dxa"/>
            <w:tcBorders>
              <w:top w:val="nil"/>
              <w:left w:val="nil"/>
              <w:bottom w:val="nil"/>
              <w:right w:val="nil"/>
            </w:tcBorders>
            <w:shd w:val="clear" w:color="auto" w:fill="auto"/>
            <w:vAlign w:val="center"/>
            <w:hideMark/>
          </w:tcPr>
          <w:p w14:paraId="56755436" w14:textId="77777777" w:rsidR="005269EC" w:rsidRPr="005269EC" w:rsidRDefault="005269EC" w:rsidP="005269EC">
            <w:pPr>
              <w:rPr>
                <w:b/>
                <w:bCs/>
                <w:color w:val="000000"/>
                <w:sz w:val="18"/>
                <w:szCs w:val="18"/>
                <w:lang w:eastAsia="tr-TR"/>
              </w:rPr>
            </w:pPr>
            <w:r w:rsidRPr="005269EC">
              <w:rPr>
                <w:b/>
                <w:bCs/>
                <w:color w:val="000000"/>
                <w:sz w:val="18"/>
                <w:szCs w:val="18"/>
                <w:lang w:eastAsia="tr-TR"/>
              </w:rPr>
              <w:t>Türk parası</w:t>
            </w:r>
          </w:p>
        </w:tc>
        <w:tc>
          <w:tcPr>
            <w:tcW w:w="938" w:type="dxa"/>
            <w:tcBorders>
              <w:top w:val="nil"/>
              <w:left w:val="nil"/>
              <w:bottom w:val="nil"/>
              <w:right w:val="nil"/>
            </w:tcBorders>
            <w:shd w:val="clear" w:color="auto" w:fill="auto"/>
            <w:vAlign w:val="center"/>
            <w:hideMark/>
          </w:tcPr>
          <w:p w14:paraId="6E2C91B4" w14:textId="77777777" w:rsidR="005269EC" w:rsidRPr="005269EC" w:rsidRDefault="005269EC" w:rsidP="005269EC">
            <w:pPr>
              <w:rPr>
                <w:b/>
                <w:bCs/>
                <w:color w:val="000000"/>
                <w:sz w:val="18"/>
                <w:szCs w:val="18"/>
                <w:lang w:eastAsia="tr-TR"/>
              </w:rPr>
            </w:pPr>
          </w:p>
        </w:tc>
        <w:tc>
          <w:tcPr>
            <w:tcW w:w="851" w:type="dxa"/>
            <w:tcBorders>
              <w:top w:val="nil"/>
              <w:left w:val="nil"/>
              <w:bottom w:val="nil"/>
              <w:right w:val="nil"/>
            </w:tcBorders>
            <w:shd w:val="clear" w:color="auto" w:fill="auto"/>
            <w:vAlign w:val="center"/>
            <w:hideMark/>
          </w:tcPr>
          <w:p w14:paraId="3EDE8A6C" w14:textId="77777777" w:rsidR="005269EC" w:rsidRPr="005269EC" w:rsidRDefault="005269EC" w:rsidP="005269EC">
            <w:pPr>
              <w:jc w:val="right"/>
              <w:rPr>
                <w:lang w:eastAsia="tr-TR"/>
              </w:rPr>
            </w:pPr>
          </w:p>
        </w:tc>
        <w:tc>
          <w:tcPr>
            <w:tcW w:w="855" w:type="dxa"/>
            <w:tcBorders>
              <w:top w:val="nil"/>
              <w:left w:val="nil"/>
              <w:bottom w:val="nil"/>
              <w:right w:val="nil"/>
            </w:tcBorders>
            <w:shd w:val="clear" w:color="auto" w:fill="auto"/>
            <w:vAlign w:val="center"/>
            <w:hideMark/>
          </w:tcPr>
          <w:p w14:paraId="7A711797" w14:textId="77777777" w:rsidR="005269EC" w:rsidRPr="005269EC" w:rsidRDefault="005269EC" w:rsidP="005269EC">
            <w:pPr>
              <w:jc w:val="right"/>
              <w:rPr>
                <w:lang w:eastAsia="tr-TR"/>
              </w:rPr>
            </w:pPr>
          </w:p>
        </w:tc>
        <w:tc>
          <w:tcPr>
            <w:tcW w:w="712" w:type="dxa"/>
            <w:tcBorders>
              <w:top w:val="nil"/>
              <w:left w:val="nil"/>
              <w:bottom w:val="nil"/>
              <w:right w:val="nil"/>
            </w:tcBorders>
            <w:shd w:val="clear" w:color="auto" w:fill="auto"/>
            <w:vAlign w:val="center"/>
            <w:hideMark/>
          </w:tcPr>
          <w:p w14:paraId="5FA2EB33" w14:textId="77777777" w:rsidR="005269EC" w:rsidRPr="005269EC" w:rsidRDefault="005269EC" w:rsidP="005269EC">
            <w:pPr>
              <w:jc w:val="right"/>
              <w:rPr>
                <w:lang w:eastAsia="tr-TR"/>
              </w:rPr>
            </w:pPr>
          </w:p>
        </w:tc>
        <w:tc>
          <w:tcPr>
            <w:tcW w:w="835" w:type="dxa"/>
            <w:tcBorders>
              <w:top w:val="nil"/>
              <w:left w:val="nil"/>
              <w:bottom w:val="nil"/>
              <w:right w:val="nil"/>
            </w:tcBorders>
            <w:shd w:val="clear" w:color="auto" w:fill="auto"/>
            <w:vAlign w:val="center"/>
            <w:hideMark/>
          </w:tcPr>
          <w:p w14:paraId="0825DA5F" w14:textId="77777777" w:rsidR="005269EC" w:rsidRPr="005269EC" w:rsidRDefault="005269EC" w:rsidP="005269EC">
            <w:pPr>
              <w:jc w:val="right"/>
              <w:rPr>
                <w:lang w:eastAsia="tr-TR"/>
              </w:rPr>
            </w:pPr>
          </w:p>
        </w:tc>
        <w:tc>
          <w:tcPr>
            <w:tcW w:w="835" w:type="dxa"/>
            <w:tcBorders>
              <w:top w:val="nil"/>
              <w:left w:val="nil"/>
              <w:bottom w:val="nil"/>
              <w:right w:val="nil"/>
            </w:tcBorders>
            <w:shd w:val="clear" w:color="auto" w:fill="auto"/>
            <w:vAlign w:val="center"/>
            <w:hideMark/>
          </w:tcPr>
          <w:p w14:paraId="2F3735FF" w14:textId="77777777" w:rsidR="005269EC" w:rsidRPr="005269EC" w:rsidRDefault="005269EC" w:rsidP="005269EC">
            <w:pPr>
              <w:jc w:val="right"/>
              <w:rPr>
                <w:lang w:eastAsia="tr-TR"/>
              </w:rPr>
            </w:pPr>
          </w:p>
        </w:tc>
        <w:tc>
          <w:tcPr>
            <w:tcW w:w="916" w:type="dxa"/>
            <w:tcBorders>
              <w:top w:val="nil"/>
              <w:left w:val="nil"/>
              <w:bottom w:val="nil"/>
              <w:right w:val="nil"/>
            </w:tcBorders>
            <w:shd w:val="clear" w:color="auto" w:fill="auto"/>
            <w:vAlign w:val="center"/>
            <w:hideMark/>
          </w:tcPr>
          <w:p w14:paraId="741F360D" w14:textId="77777777" w:rsidR="005269EC" w:rsidRPr="005269EC" w:rsidRDefault="005269EC" w:rsidP="005269EC">
            <w:pPr>
              <w:jc w:val="right"/>
              <w:rPr>
                <w:lang w:eastAsia="tr-TR"/>
              </w:rPr>
            </w:pPr>
          </w:p>
        </w:tc>
        <w:tc>
          <w:tcPr>
            <w:tcW w:w="961" w:type="dxa"/>
            <w:tcBorders>
              <w:top w:val="nil"/>
              <w:left w:val="nil"/>
              <w:bottom w:val="nil"/>
              <w:right w:val="nil"/>
            </w:tcBorders>
            <w:shd w:val="clear" w:color="auto" w:fill="auto"/>
            <w:vAlign w:val="center"/>
            <w:hideMark/>
          </w:tcPr>
          <w:p w14:paraId="6C697653" w14:textId="77777777" w:rsidR="005269EC" w:rsidRPr="005269EC" w:rsidRDefault="005269EC" w:rsidP="005269EC">
            <w:pPr>
              <w:jc w:val="right"/>
              <w:rPr>
                <w:lang w:eastAsia="tr-TR"/>
              </w:rPr>
            </w:pPr>
          </w:p>
        </w:tc>
      </w:tr>
      <w:tr w:rsidR="005269EC" w:rsidRPr="005269EC" w14:paraId="651E1F36" w14:textId="77777777" w:rsidTr="00B843E3">
        <w:trPr>
          <w:divId w:val="1176118601"/>
          <w:trHeight w:val="227"/>
        </w:trPr>
        <w:tc>
          <w:tcPr>
            <w:tcW w:w="2464" w:type="dxa"/>
            <w:tcBorders>
              <w:top w:val="nil"/>
              <w:left w:val="nil"/>
              <w:bottom w:val="nil"/>
              <w:right w:val="nil"/>
            </w:tcBorders>
            <w:shd w:val="clear" w:color="auto" w:fill="auto"/>
            <w:vAlign w:val="center"/>
            <w:hideMark/>
          </w:tcPr>
          <w:p w14:paraId="3AE478D9"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Özel cari hesap ve katılma hesapları aracılığı ile bankalardan toplanan fonlar</w:t>
            </w:r>
          </w:p>
        </w:tc>
        <w:tc>
          <w:tcPr>
            <w:tcW w:w="938" w:type="dxa"/>
            <w:tcBorders>
              <w:top w:val="nil"/>
              <w:left w:val="nil"/>
              <w:bottom w:val="nil"/>
              <w:right w:val="nil"/>
            </w:tcBorders>
            <w:shd w:val="clear" w:color="auto" w:fill="auto"/>
            <w:vAlign w:val="bottom"/>
            <w:hideMark/>
          </w:tcPr>
          <w:p w14:paraId="69FCE01E"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51" w:type="dxa"/>
            <w:tcBorders>
              <w:top w:val="nil"/>
              <w:left w:val="nil"/>
              <w:bottom w:val="nil"/>
              <w:right w:val="nil"/>
            </w:tcBorders>
            <w:shd w:val="clear" w:color="auto" w:fill="auto"/>
            <w:vAlign w:val="bottom"/>
            <w:hideMark/>
          </w:tcPr>
          <w:p w14:paraId="252EBD16"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55" w:type="dxa"/>
            <w:tcBorders>
              <w:top w:val="nil"/>
              <w:left w:val="nil"/>
              <w:bottom w:val="nil"/>
              <w:right w:val="nil"/>
            </w:tcBorders>
            <w:shd w:val="clear" w:color="auto" w:fill="auto"/>
            <w:vAlign w:val="bottom"/>
            <w:hideMark/>
          </w:tcPr>
          <w:p w14:paraId="0D18B4D6"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712" w:type="dxa"/>
            <w:tcBorders>
              <w:top w:val="nil"/>
              <w:left w:val="nil"/>
              <w:bottom w:val="nil"/>
              <w:right w:val="nil"/>
            </w:tcBorders>
            <w:shd w:val="clear" w:color="auto" w:fill="auto"/>
            <w:vAlign w:val="bottom"/>
            <w:hideMark/>
          </w:tcPr>
          <w:p w14:paraId="07DE1FEE"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6F7BAB0D"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765DF766"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16" w:type="dxa"/>
            <w:tcBorders>
              <w:top w:val="nil"/>
              <w:left w:val="nil"/>
              <w:bottom w:val="nil"/>
              <w:right w:val="nil"/>
            </w:tcBorders>
            <w:shd w:val="clear" w:color="auto" w:fill="auto"/>
            <w:vAlign w:val="bottom"/>
            <w:hideMark/>
          </w:tcPr>
          <w:p w14:paraId="0DE8F0A1"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1" w:type="dxa"/>
            <w:tcBorders>
              <w:top w:val="nil"/>
              <w:left w:val="nil"/>
              <w:bottom w:val="nil"/>
              <w:right w:val="nil"/>
            </w:tcBorders>
            <w:shd w:val="clear" w:color="auto" w:fill="auto"/>
            <w:vAlign w:val="bottom"/>
            <w:hideMark/>
          </w:tcPr>
          <w:p w14:paraId="3C640B9B"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r>
      <w:tr w:rsidR="005269EC" w:rsidRPr="005269EC" w14:paraId="18A208C8" w14:textId="77777777" w:rsidTr="00B843E3">
        <w:trPr>
          <w:divId w:val="1176118601"/>
          <w:trHeight w:val="427"/>
        </w:trPr>
        <w:tc>
          <w:tcPr>
            <w:tcW w:w="2464" w:type="dxa"/>
            <w:tcBorders>
              <w:top w:val="nil"/>
              <w:left w:val="nil"/>
              <w:bottom w:val="nil"/>
              <w:right w:val="nil"/>
            </w:tcBorders>
            <w:shd w:val="clear" w:color="auto" w:fill="auto"/>
            <w:vAlign w:val="center"/>
            <w:hideMark/>
          </w:tcPr>
          <w:p w14:paraId="4FA035A8"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Gerçek kişilerin ticari olmayan katılma </w:t>
            </w:r>
            <w:proofErr w:type="spellStart"/>
            <w:r w:rsidRPr="005269EC">
              <w:rPr>
                <w:color w:val="000000"/>
                <w:sz w:val="18"/>
                <w:szCs w:val="18"/>
                <w:lang w:eastAsia="tr-TR"/>
              </w:rPr>
              <w:t>hs.</w:t>
            </w:r>
            <w:proofErr w:type="spellEnd"/>
          </w:p>
        </w:tc>
        <w:tc>
          <w:tcPr>
            <w:tcW w:w="938" w:type="dxa"/>
            <w:tcBorders>
              <w:top w:val="nil"/>
              <w:left w:val="nil"/>
              <w:bottom w:val="nil"/>
              <w:right w:val="nil"/>
            </w:tcBorders>
            <w:shd w:val="clear" w:color="auto" w:fill="auto"/>
            <w:vAlign w:val="bottom"/>
            <w:hideMark/>
          </w:tcPr>
          <w:p w14:paraId="50373C1B" w14:textId="77777777" w:rsidR="005269EC" w:rsidRPr="005269EC" w:rsidRDefault="005269EC" w:rsidP="00B843E3">
            <w:pPr>
              <w:jc w:val="right"/>
              <w:rPr>
                <w:color w:val="000000"/>
                <w:sz w:val="18"/>
                <w:szCs w:val="18"/>
                <w:lang w:eastAsia="tr-TR"/>
              </w:rPr>
            </w:pPr>
            <w:r w:rsidRPr="005269EC">
              <w:rPr>
                <w:color w:val="000000"/>
                <w:sz w:val="18"/>
                <w:szCs w:val="18"/>
                <w:lang w:eastAsia="tr-TR"/>
              </w:rPr>
              <w:t>394,187</w:t>
            </w:r>
          </w:p>
        </w:tc>
        <w:tc>
          <w:tcPr>
            <w:tcW w:w="851" w:type="dxa"/>
            <w:tcBorders>
              <w:top w:val="nil"/>
              <w:left w:val="nil"/>
              <w:bottom w:val="nil"/>
              <w:right w:val="nil"/>
            </w:tcBorders>
            <w:shd w:val="clear" w:color="auto" w:fill="auto"/>
            <w:vAlign w:val="bottom"/>
            <w:hideMark/>
          </w:tcPr>
          <w:p w14:paraId="7209BBFC" w14:textId="77777777" w:rsidR="005269EC" w:rsidRPr="005269EC" w:rsidRDefault="005269EC" w:rsidP="00B843E3">
            <w:pPr>
              <w:jc w:val="right"/>
              <w:rPr>
                <w:color w:val="000000"/>
                <w:sz w:val="18"/>
                <w:szCs w:val="18"/>
                <w:lang w:eastAsia="tr-TR"/>
              </w:rPr>
            </w:pPr>
            <w:r w:rsidRPr="005269EC">
              <w:rPr>
                <w:color w:val="000000"/>
                <w:sz w:val="18"/>
                <w:szCs w:val="18"/>
                <w:lang w:eastAsia="tr-TR"/>
              </w:rPr>
              <w:t>595,938</w:t>
            </w:r>
          </w:p>
        </w:tc>
        <w:tc>
          <w:tcPr>
            <w:tcW w:w="855" w:type="dxa"/>
            <w:tcBorders>
              <w:top w:val="nil"/>
              <w:left w:val="nil"/>
              <w:bottom w:val="nil"/>
              <w:right w:val="nil"/>
            </w:tcBorders>
            <w:shd w:val="clear" w:color="auto" w:fill="auto"/>
            <w:vAlign w:val="bottom"/>
            <w:hideMark/>
          </w:tcPr>
          <w:p w14:paraId="7A7DAD20" w14:textId="77777777" w:rsidR="005269EC" w:rsidRPr="005269EC" w:rsidRDefault="005269EC" w:rsidP="00B843E3">
            <w:pPr>
              <w:jc w:val="right"/>
              <w:rPr>
                <w:color w:val="000000"/>
                <w:sz w:val="18"/>
                <w:szCs w:val="18"/>
                <w:lang w:eastAsia="tr-TR"/>
              </w:rPr>
            </w:pPr>
            <w:r w:rsidRPr="005269EC">
              <w:rPr>
                <w:color w:val="000000"/>
                <w:sz w:val="18"/>
                <w:szCs w:val="18"/>
                <w:lang w:eastAsia="tr-TR"/>
              </w:rPr>
              <w:t>38,501</w:t>
            </w:r>
          </w:p>
        </w:tc>
        <w:tc>
          <w:tcPr>
            <w:tcW w:w="712" w:type="dxa"/>
            <w:tcBorders>
              <w:top w:val="nil"/>
              <w:left w:val="nil"/>
              <w:bottom w:val="nil"/>
              <w:right w:val="nil"/>
            </w:tcBorders>
            <w:shd w:val="clear" w:color="auto" w:fill="auto"/>
            <w:vAlign w:val="bottom"/>
            <w:hideMark/>
          </w:tcPr>
          <w:p w14:paraId="4267AB1F"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1E1C9FE7" w14:textId="77777777" w:rsidR="005269EC" w:rsidRPr="005269EC" w:rsidRDefault="005269EC" w:rsidP="00B843E3">
            <w:pPr>
              <w:jc w:val="right"/>
              <w:rPr>
                <w:color w:val="000000"/>
                <w:sz w:val="18"/>
                <w:szCs w:val="18"/>
                <w:lang w:eastAsia="tr-TR"/>
              </w:rPr>
            </w:pPr>
            <w:r w:rsidRPr="005269EC">
              <w:rPr>
                <w:color w:val="000000"/>
                <w:sz w:val="18"/>
                <w:szCs w:val="18"/>
                <w:lang w:eastAsia="tr-TR"/>
              </w:rPr>
              <w:t>45,085</w:t>
            </w:r>
          </w:p>
        </w:tc>
        <w:tc>
          <w:tcPr>
            <w:tcW w:w="835" w:type="dxa"/>
            <w:tcBorders>
              <w:top w:val="nil"/>
              <w:left w:val="nil"/>
              <w:bottom w:val="nil"/>
              <w:right w:val="nil"/>
            </w:tcBorders>
            <w:shd w:val="clear" w:color="auto" w:fill="auto"/>
            <w:vAlign w:val="bottom"/>
            <w:hideMark/>
          </w:tcPr>
          <w:p w14:paraId="4B2F1A03" w14:textId="77777777" w:rsidR="005269EC" w:rsidRPr="005269EC" w:rsidRDefault="005269EC" w:rsidP="00B843E3">
            <w:pPr>
              <w:jc w:val="right"/>
              <w:rPr>
                <w:color w:val="000000"/>
                <w:sz w:val="18"/>
                <w:szCs w:val="18"/>
                <w:lang w:eastAsia="tr-TR"/>
              </w:rPr>
            </w:pPr>
            <w:r w:rsidRPr="005269EC">
              <w:rPr>
                <w:color w:val="000000"/>
                <w:sz w:val="18"/>
                <w:szCs w:val="18"/>
                <w:lang w:eastAsia="tr-TR"/>
              </w:rPr>
              <w:t>69,126</w:t>
            </w:r>
          </w:p>
        </w:tc>
        <w:tc>
          <w:tcPr>
            <w:tcW w:w="916" w:type="dxa"/>
            <w:tcBorders>
              <w:top w:val="nil"/>
              <w:left w:val="nil"/>
              <w:bottom w:val="nil"/>
              <w:right w:val="nil"/>
            </w:tcBorders>
            <w:shd w:val="clear" w:color="auto" w:fill="auto"/>
            <w:vAlign w:val="bottom"/>
            <w:hideMark/>
          </w:tcPr>
          <w:p w14:paraId="6905CEA9" w14:textId="77777777" w:rsidR="005269EC" w:rsidRPr="005269EC" w:rsidRDefault="005269EC" w:rsidP="00B843E3">
            <w:pPr>
              <w:jc w:val="right"/>
              <w:rPr>
                <w:color w:val="000000"/>
                <w:sz w:val="18"/>
                <w:szCs w:val="18"/>
                <w:lang w:eastAsia="tr-TR"/>
              </w:rPr>
            </w:pPr>
            <w:r w:rsidRPr="005269EC">
              <w:rPr>
                <w:color w:val="000000"/>
                <w:sz w:val="18"/>
                <w:szCs w:val="18"/>
                <w:lang w:eastAsia="tr-TR"/>
              </w:rPr>
              <w:t>902</w:t>
            </w:r>
          </w:p>
        </w:tc>
        <w:tc>
          <w:tcPr>
            <w:tcW w:w="961" w:type="dxa"/>
            <w:tcBorders>
              <w:top w:val="nil"/>
              <w:left w:val="nil"/>
              <w:bottom w:val="nil"/>
              <w:right w:val="nil"/>
            </w:tcBorders>
            <w:shd w:val="clear" w:color="auto" w:fill="auto"/>
            <w:vAlign w:val="bottom"/>
            <w:hideMark/>
          </w:tcPr>
          <w:p w14:paraId="1ED626FA" w14:textId="77777777" w:rsidR="005269EC" w:rsidRPr="005269EC" w:rsidRDefault="005269EC" w:rsidP="00B843E3">
            <w:pPr>
              <w:jc w:val="right"/>
              <w:rPr>
                <w:color w:val="000000"/>
                <w:sz w:val="18"/>
                <w:szCs w:val="18"/>
                <w:lang w:eastAsia="tr-TR"/>
              </w:rPr>
            </w:pPr>
            <w:r w:rsidRPr="005269EC">
              <w:rPr>
                <w:color w:val="000000"/>
                <w:sz w:val="18"/>
                <w:szCs w:val="18"/>
                <w:lang w:eastAsia="tr-TR"/>
              </w:rPr>
              <w:t>1,143,739</w:t>
            </w:r>
          </w:p>
        </w:tc>
      </w:tr>
      <w:tr w:rsidR="005269EC" w:rsidRPr="005269EC" w14:paraId="2A753BA8" w14:textId="77777777" w:rsidTr="00B843E3">
        <w:trPr>
          <w:divId w:val="1176118601"/>
          <w:trHeight w:val="213"/>
        </w:trPr>
        <w:tc>
          <w:tcPr>
            <w:tcW w:w="2464" w:type="dxa"/>
            <w:tcBorders>
              <w:top w:val="nil"/>
              <w:left w:val="nil"/>
              <w:bottom w:val="nil"/>
              <w:right w:val="nil"/>
            </w:tcBorders>
            <w:shd w:val="clear" w:color="auto" w:fill="auto"/>
            <w:vAlign w:val="center"/>
            <w:hideMark/>
          </w:tcPr>
          <w:p w14:paraId="1B37B0D5"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Resmi kuruluş katılma </w:t>
            </w:r>
            <w:proofErr w:type="spellStart"/>
            <w:r w:rsidRPr="005269EC">
              <w:rPr>
                <w:color w:val="000000"/>
                <w:sz w:val="18"/>
                <w:szCs w:val="18"/>
                <w:lang w:eastAsia="tr-TR"/>
              </w:rPr>
              <w:t>hs.</w:t>
            </w:r>
            <w:proofErr w:type="spellEnd"/>
          </w:p>
        </w:tc>
        <w:tc>
          <w:tcPr>
            <w:tcW w:w="938" w:type="dxa"/>
            <w:tcBorders>
              <w:top w:val="nil"/>
              <w:left w:val="nil"/>
              <w:bottom w:val="nil"/>
              <w:right w:val="nil"/>
            </w:tcBorders>
            <w:shd w:val="clear" w:color="auto" w:fill="auto"/>
            <w:vAlign w:val="center"/>
            <w:hideMark/>
          </w:tcPr>
          <w:p w14:paraId="42879C7E" w14:textId="77777777" w:rsidR="005269EC" w:rsidRPr="005269EC" w:rsidRDefault="005269EC" w:rsidP="005269EC">
            <w:pPr>
              <w:jc w:val="right"/>
              <w:rPr>
                <w:color w:val="000000"/>
                <w:sz w:val="18"/>
                <w:szCs w:val="18"/>
                <w:lang w:eastAsia="tr-TR"/>
              </w:rPr>
            </w:pPr>
            <w:r w:rsidRPr="005269EC">
              <w:rPr>
                <w:color w:val="000000"/>
                <w:sz w:val="18"/>
                <w:szCs w:val="18"/>
                <w:lang w:eastAsia="tr-TR"/>
              </w:rPr>
              <w:t>17</w:t>
            </w:r>
          </w:p>
        </w:tc>
        <w:tc>
          <w:tcPr>
            <w:tcW w:w="851" w:type="dxa"/>
            <w:tcBorders>
              <w:top w:val="nil"/>
              <w:left w:val="nil"/>
              <w:bottom w:val="nil"/>
              <w:right w:val="nil"/>
            </w:tcBorders>
            <w:shd w:val="clear" w:color="auto" w:fill="auto"/>
            <w:vAlign w:val="center"/>
            <w:hideMark/>
          </w:tcPr>
          <w:p w14:paraId="678B61B1" w14:textId="77777777" w:rsidR="005269EC" w:rsidRPr="005269EC" w:rsidRDefault="005269EC" w:rsidP="005269EC">
            <w:pPr>
              <w:jc w:val="right"/>
              <w:rPr>
                <w:color w:val="000000"/>
                <w:sz w:val="18"/>
                <w:szCs w:val="18"/>
                <w:lang w:eastAsia="tr-TR"/>
              </w:rPr>
            </w:pPr>
            <w:r w:rsidRPr="005269EC">
              <w:rPr>
                <w:color w:val="000000"/>
                <w:sz w:val="18"/>
                <w:szCs w:val="18"/>
                <w:lang w:eastAsia="tr-TR"/>
              </w:rPr>
              <w:t>12</w:t>
            </w:r>
          </w:p>
        </w:tc>
        <w:tc>
          <w:tcPr>
            <w:tcW w:w="855" w:type="dxa"/>
            <w:tcBorders>
              <w:top w:val="nil"/>
              <w:left w:val="nil"/>
              <w:bottom w:val="nil"/>
              <w:right w:val="nil"/>
            </w:tcBorders>
            <w:shd w:val="clear" w:color="auto" w:fill="auto"/>
            <w:vAlign w:val="center"/>
            <w:hideMark/>
          </w:tcPr>
          <w:p w14:paraId="692FADEC" w14:textId="77777777" w:rsidR="005269EC" w:rsidRPr="005269EC" w:rsidRDefault="005269EC" w:rsidP="005269EC">
            <w:pPr>
              <w:jc w:val="right"/>
              <w:rPr>
                <w:color w:val="000000"/>
                <w:sz w:val="18"/>
                <w:szCs w:val="18"/>
                <w:lang w:eastAsia="tr-TR"/>
              </w:rPr>
            </w:pPr>
            <w:r w:rsidRPr="005269EC">
              <w:rPr>
                <w:color w:val="000000"/>
                <w:sz w:val="18"/>
                <w:szCs w:val="18"/>
                <w:lang w:eastAsia="tr-TR"/>
              </w:rPr>
              <w:t>37</w:t>
            </w:r>
          </w:p>
        </w:tc>
        <w:tc>
          <w:tcPr>
            <w:tcW w:w="712" w:type="dxa"/>
            <w:tcBorders>
              <w:top w:val="nil"/>
              <w:left w:val="nil"/>
              <w:bottom w:val="nil"/>
              <w:right w:val="nil"/>
            </w:tcBorders>
            <w:shd w:val="clear" w:color="auto" w:fill="auto"/>
            <w:vAlign w:val="center"/>
            <w:hideMark/>
          </w:tcPr>
          <w:p w14:paraId="653022C7" w14:textId="77777777" w:rsidR="005269EC" w:rsidRPr="005269EC" w:rsidRDefault="005269EC" w:rsidP="005269EC">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02B329A7" w14:textId="77777777" w:rsidR="005269EC" w:rsidRPr="005269EC" w:rsidRDefault="005269EC" w:rsidP="005269EC">
            <w:pPr>
              <w:jc w:val="right"/>
              <w:rPr>
                <w:color w:val="000000"/>
                <w:sz w:val="18"/>
                <w:szCs w:val="18"/>
                <w:lang w:eastAsia="tr-TR"/>
              </w:rPr>
            </w:pPr>
            <w:r w:rsidRPr="005269EC">
              <w:rPr>
                <w:color w:val="000000"/>
                <w:sz w:val="18"/>
                <w:szCs w:val="18"/>
                <w:lang w:eastAsia="tr-TR"/>
              </w:rPr>
              <w:t>21</w:t>
            </w:r>
          </w:p>
        </w:tc>
        <w:tc>
          <w:tcPr>
            <w:tcW w:w="835" w:type="dxa"/>
            <w:tcBorders>
              <w:top w:val="nil"/>
              <w:left w:val="nil"/>
              <w:bottom w:val="nil"/>
              <w:right w:val="nil"/>
            </w:tcBorders>
            <w:shd w:val="clear" w:color="auto" w:fill="auto"/>
            <w:vAlign w:val="center"/>
            <w:hideMark/>
          </w:tcPr>
          <w:p w14:paraId="2E519AB9" w14:textId="77777777" w:rsidR="005269EC" w:rsidRPr="005269EC" w:rsidRDefault="005269EC" w:rsidP="005269EC">
            <w:pPr>
              <w:jc w:val="right"/>
              <w:rPr>
                <w:color w:val="000000"/>
                <w:sz w:val="18"/>
                <w:szCs w:val="18"/>
                <w:lang w:eastAsia="tr-TR"/>
              </w:rPr>
            </w:pPr>
            <w:r w:rsidRPr="005269EC">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0BA987C0" w14:textId="77777777" w:rsidR="005269EC" w:rsidRPr="005269EC" w:rsidRDefault="005269EC" w:rsidP="005269EC">
            <w:pPr>
              <w:jc w:val="right"/>
              <w:rPr>
                <w:color w:val="000000"/>
                <w:sz w:val="18"/>
                <w:szCs w:val="18"/>
                <w:lang w:eastAsia="tr-TR"/>
              </w:rPr>
            </w:pPr>
            <w:r w:rsidRPr="005269EC">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01C98162" w14:textId="77777777" w:rsidR="005269EC" w:rsidRPr="005269EC" w:rsidRDefault="005269EC" w:rsidP="005269EC">
            <w:pPr>
              <w:jc w:val="right"/>
              <w:rPr>
                <w:color w:val="000000"/>
                <w:sz w:val="18"/>
                <w:szCs w:val="18"/>
                <w:lang w:eastAsia="tr-TR"/>
              </w:rPr>
            </w:pPr>
            <w:r w:rsidRPr="005269EC">
              <w:rPr>
                <w:color w:val="000000"/>
                <w:sz w:val="18"/>
                <w:szCs w:val="18"/>
                <w:lang w:eastAsia="tr-TR"/>
              </w:rPr>
              <w:t>87</w:t>
            </w:r>
          </w:p>
        </w:tc>
      </w:tr>
      <w:tr w:rsidR="005269EC" w:rsidRPr="005269EC" w14:paraId="640F4C88" w14:textId="77777777" w:rsidTr="00B843E3">
        <w:trPr>
          <w:divId w:val="1176118601"/>
          <w:trHeight w:val="213"/>
        </w:trPr>
        <w:tc>
          <w:tcPr>
            <w:tcW w:w="2464" w:type="dxa"/>
            <w:tcBorders>
              <w:top w:val="nil"/>
              <w:left w:val="nil"/>
              <w:bottom w:val="nil"/>
              <w:right w:val="nil"/>
            </w:tcBorders>
            <w:shd w:val="clear" w:color="auto" w:fill="auto"/>
            <w:vAlign w:val="center"/>
            <w:hideMark/>
          </w:tcPr>
          <w:p w14:paraId="6E7E7891"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Ticari kuruluş katılma </w:t>
            </w:r>
            <w:proofErr w:type="spellStart"/>
            <w:r w:rsidRPr="005269EC">
              <w:rPr>
                <w:color w:val="000000"/>
                <w:sz w:val="18"/>
                <w:szCs w:val="18"/>
                <w:lang w:eastAsia="tr-TR"/>
              </w:rPr>
              <w:t>hs.</w:t>
            </w:r>
            <w:proofErr w:type="spellEnd"/>
          </w:p>
        </w:tc>
        <w:tc>
          <w:tcPr>
            <w:tcW w:w="938" w:type="dxa"/>
            <w:tcBorders>
              <w:top w:val="nil"/>
              <w:left w:val="nil"/>
              <w:bottom w:val="nil"/>
              <w:right w:val="nil"/>
            </w:tcBorders>
            <w:shd w:val="clear" w:color="auto" w:fill="auto"/>
            <w:vAlign w:val="center"/>
            <w:hideMark/>
          </w:tcPr>
          <w:p w14:paraId="04E45009" w14:textId="77777777" w:rsidR="005269EC" w:rsidRPr="005269EC" w:rsidRDefault="005269EC" w:rsidP="005269EC">
            <w:pPr>
              <w:jc w:val="right"/>
              <w:rPr>
                <w:color w:val="000000"/>
                <w:sz w:val="18"/>
                <w:szCs w:val="18"/>
                <w:lang w:eastAsia="tr-TR"/>
              </w:rPr>
            </w:pPr>
            <w:r w:rsidRPr="005269EC">
              <w:rPr>
                <w:color w:val="000000"/>
                <w:sz w:val="18"/>
                <w:szCs w:val="18"/>
                <w:lang w:eastAsia="tr-TR"/>
              </w:rPr>
              <w:t>33,318</w:t>
            </w:r>
          </w:p>
        </w:tc>
        <w:tc>
          <w:tcPr>
            <w:tcW w:w="851" w:type="dxa"/>
            <w:tcBorders>
              <w:top w:val="nil"/>
              <w:left w:val="nil"/>
              <w:bottom w:val="nil"/>
              <w:right w:val="nil"/>
            </w:tcBorders>
            <w:shd w:val="clear" w:color="auto" w:fill="auto"/>
            <w:vAlign w:val="center"/>
            <w:hideMark/>
          </w:tcPr>
          <w:p w14:paraId="45DF1866" w14:textId="77777777" w:rsidR="005269EC" w:rsidRPr="005269EC" w:rsidRDefault="005269EC" w:rsidP="005269EC">
            <w:pPr>
              <w:jc w:val="right"/>
              <w:rPr>
                <w:color w:val="000000"/>
                <w:sz w:val="18"/>
                <w:szCs w:val="18"/>
                <w:lang w:eastAsia="tr-TR"/>
              </w:rPr>
            </w:pPr>
            <w:r w:rsidRPr="005269EC">
              <w:rPr>
                <w:color w:val="000000"/>
                <w:sz w:val="18"/>
                <w:szCs w:val="18"/>
                <w:lang w:eastAsia="tr-TR"/>
              </w:rPr>
              <w:t>71,483</w:t>
            </w:r>
          </w:p>
        </w:tc>
        <w:tc>
          <w:tcPr>
            <w:tcW w:w="855" w:type="dxa"/>
            <w:tcBorders>
              <w:top w:val="nil"/>
              <w:left w:val="nil"/>
              <w:bottom w:val="nil"/>
              <w:right w:val="nil"/>
            </w:tcBorders>
            <w:shd w:val="clear" w:color="auto" w:fill="auto"/>
            <w:vAlign w:val="center"/>
            <w:hideMark/>
          </w:tcPr>
          <w:p w14:paraId="1AB7E490" w14:textId="77777777" w:rsidR="005269EC" w:rsidRPr="005269EC" w:rsidRDefault="005269EC" w:rsidP="005269EC">
            <w:pPr>
              <w:jc w:val="right"/>
              <w:rPr>
                <w:color w:val="000000"/>
                <w:sz w:val="18"/>
                <w:szCs w:val="18"/>
                <w:lang w:eastAsia="tr-TR"/>
              </w:rPr>
            </w:pPr>
            <w:r w:rsidRPr="005269EC">
              <w:rPr>
                <w:color w:val="000000"/>
                <w:sz w:val="18"/>
                <w:szCs w:val="18"/>
                <w:lang w:eastAsia="tr-TR"/>
              </w:rPr>
              <w:t>3,411</w:t>
            </w:r>
          </w:p>
        </w:tc>
        <w:tc>
          <w:tcPr>
            <w:tcW w:w="712" w:type="dxa"/>
            <w:tcBorders>
              <w:top w:val="nil"/>
              <w:left w:val="nil"/>
              <w:bottom w:val="nil"/>
              <w:right w:val="nil"/>
            </w:tcBorders>
            <w:shd w:val="clear" w:color="auto" w:fill="auto"/>
            <w:vAlign w:val="center"/>
            <w:hideMark/>
          </w:tcPr>
          <w:p w14:paraId="1BC8242F" w14:textId="77777777" w:rsidR="005269EC" w:rsidRPr="005269EC" w:rsidRDefault="005269EC" w:rsidP="005269EC">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6820D791" w14:textId="77777777" w:rsidR="005269EC" w:rsidRPr="005269EC" w:rsidRDefault="005269EC" w:rsidP="005269EC">
            <w:pPr>
              <w:jc w:val="right"/>
              <w:rPr>
                <w:color w:val="000000"/>
                <w:sz w:val="18"/>
                <w:szCs w:val="18"/>
                <w:lang w:eastAsia="tr-TR"/>
              </w:rPr>
            </w:pPr>
            <w:r w:rsidRPr="005269EC">
              <w:rPr>
                <w:color w:val="000000"/>
                <w:sz w:val="18"/>
                <w:szCs w:val="18"/>
                <w:lang w:eastAsia="tr-TR"/>
              </w:rPr>
              <w:t>1,477</w:t>
            </w:r>
          </w:p>
        </w:tc>
        <w:tc>
          <w:tcPr>
            <w:tcW w:w="835" w:type="dxa"/>
            <w:tcBorders>
              <w:top w:val="nil"/>
              <w:left w:val="nil"/>
              <w:bottom w:val="nil"/>
              <w:right w:val="nil"/>
            </w:tcBorders>
            <w:shd w:val="clear" w:color="auto" w:fill="auto"/>
            <w:vAlign w:val="center"/>
            <w:hideMark/>
          </w:tcPr>
          <w:p w14:paraId="4EFAD43B" w14:textId="77777777" w:rsidR="005269EC" w:rsidRPr="005269EC" w:rsidRDefault="005269EC" w:rsidP="005269EC">
            <w:pPr>
              <w:jc w:val="right"/>
              <w:rPr>
                <w:color w:val="000000"/>
                <w:sz w:val="18"/>
                <w:szCs w:val="18"/>
                <w:lang w:eastAsia="tr-TR"/>
              </w:rPr>
            </w:pPr>
            <w:r w:rsidRPr="005269EC">
              <w:rPr>
                <w:color w:val="000000"/>
                <w:sz w:val="18"/>
                <w:szCs w:val="18"/>
                <w:lang w:eastAsia="tr-TR"/>
              </w:rPr>
              <w:t>1,010</w:t>
            </w:r>
          </w:p>
        </w:tc>
        <w:tc>
          <w:tcPr>
            <w:tcW w:w="916" w:type="dxa"/>
            <w:tcBorders>
              <w:top w:val="nil"/>
              <w:left w:val="nil"/>
              <w:bottom w:val="nil"/>
              <w:right w:val="nil"/>
            </w:tcBorders>
            <w:shd w:val="clear" w:color="auto" w:fill="auto"/>
            <w:vAlign w:val="center"/>
            <w:hideMark/>
          </w:tcPr>
          <w:p w14:paraId="07ACAD42" w14:textId="77777777" w:rsidR="005269EC" w:rsidRPr="005269EC" w:rsidRDefault="005269EC" w:rsidP="005269EC">
            <w:pPr>
              <w:jc w:val="right"/>
              <w:rPr>
                <w:color w:val="000000"/>
                <w:sz w:val="18"/>
                <w:szCs w:val="18"/>
                <w:lang w:eastAsia="tr-TR"/>
              </w:rPr>
            </w:pPr>
            <w:r w:rsidRPr="005269EC">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067F7DF1" w14:textId="77777777" w:rsidR="005269EC" w:rsidRPr="005269EC" w:rsidRDefault="005269EC" w:rsidP="005269EC">
            <w:pPr>
              <w:jc w:val="right"/>
              <w:rPr>
                <w:color w:val="000000"/>
                <w:sz w:val="18"/>
                <w:szCs w:val="18"/>
                <w:lang w:eastAsia="tr-TR"/>
              </w:rPr>
            </w:pPr>
            <w:r w:rsidRPr="005269EC">
              <w:rPr>
                <w:color w:val="000000"/>
                <w:sz w:val="18"/>
                <w:szCs w:val="18"/>
                <w:lang w:eastAsia="tr-TR"/>
              </w:rPr>
              <w:t>110,699</w:t>
            </w:r>
          </w:p>
        </w:tc>
      </w:tr>
      <w:tr w:rsidR="005269EC" w:rsidRPr="005269EC" w14:paraId="1DBE5D62" w14:textId="77777777" w:rsidTr="00B843E3">
        <w:trPr>
          <w:divId w:val="1176118601"/>
          <w:trHeight w:val="213"/>
        </w:trPr>
        <w:tc>
          <w:tcPr>
            <w:tcW w:w="2464" w:type="dxa"/>
            <w:tcBorders>
              <w:top w:val="nil"/>
              <w:left w:val="nil"/>
              <w:bottom w:val="nil"/>
              <w:right w:val="nil"/>
            </w:tcBorders>
            <w:shd w:val="clear" w:color="auto" w:fill="auto"/>
            <w:vAlign w:val="center"/>
            <w:hideMark/>
          </w:tcPr>
          <w:p w14:paraId="39F7F046"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Diğer kuruluş katılma </w:t>
            </w:r>
            <w:proofErr w:type="spellStart"/>
            <w:r w:rsidRPr="005269EC">
              <w:rPr>
                <w:color w:val="000000"/>
                <w:sz w:val="18"/>
                <w:szCs w:val="18"/>
                <w:lang w:eastAsia="tr-TR"/>
              </w:rPr>
              <w:t>hs.</w:t>
            </w:r>
            <w:proofErr w:type="spellEnd"/>
          </w:p>
        </w:tc>
        <w:tc>
          <w:tcPr>
            <w:tcW w:w="938" w:type="dxa"/>
            <w:tcBorders>
              <w:top w:val="nil"/>
              <w:left w:val="nil"/>
              <w:bottom w:val="nil"/>
              <w:right w:val="nil"/>
            </w:tcBorders>
            <w:shd w:val="clear" w:color="auto" w:fill="auto"/>
            <w:vAlign w:val="center"/>
            <w:hideMark/>
          </w:tcPr>
          <w:p w14:paraId="77C9725C" w14:textId="77777777" w:rsidR="005269EC" w:rsidRPr="005269EC" w:rsidRDefault="005269EC" w:rsidP="005269EC">
            <w:pPr>
              <w:jc w:val="right"/>
              <w:rPr>
                <w:color w:val="000000"/>
                <w:sz w:val="18"/>
                <w:szCs w:val="18"/>
                <w:lang w:eastAsia="tr-TR"/>
              </w:rPr>
            </w:pPr>
            <w:r w:rsidRPr="005269EC">
              <w:rPr>
                <w:color w:val="000000"/>
                <w:sz w:val="18"/>
                <w:szCs w:val="18"/>
                <w:lang w:eastAsia="tr-TR"/>
              </w:rPr>
              <w:t>3,453</w:t>
            </w:r>
          </w:p>
        </w:tc>
        <w:tc>
          <w:tcPr>
            <w:tcW w:w="851" w:type="dxa"/>
            <w:tcBorders>
              <w:top w:val="nil"/>
              <w:left w:val="nil"/>
              <w:bottom w:val="nil"/>
              <w:right w:val="nil"/>
            </w:tcBorders>
            <w:shd w:val="clear" w:color="auto" w:fill="auto"/>
            <w:vAlign w:val="center"/>
            <w:hideMark/>
          </w:tcPr>
          <w:p w14:paraId="063537D3" w14:textId="77777777" w:rsidR="005269EC" w:rsidRPr="005269EC" w:rsidRDefault="005269EC" w:rsidP="005269EC">
            <w:pPr>
              <w:jc w:val="right"/>
              <w:rPr>
                <w:color w:val="000000"/>
                <w:sz w:val="18"/>
                <w:szCs w:val="18"/>
                <w:lang w:eastAsia="tr-TR"/>
              </w:rPr>
            </w:pPr>
            <w:r w:rsidRPr="005269EC">
              <w:rPr>
                <w:color w:val="000000"/>
                <w:sz w:val="18"/>
                <w:szCs w:val="18"/>
                <w:lang w:eastAsia="tr-TR"/>
              </w:rPr>
              <w:t>8,142</w:t>
            </w:r>
          </w:p>
        </w:tc>
        <w:tc>
          <w:tcPr>
            <w:tcW w:w="855" w:type="dxa"/>
            <w:tcBorders>
              <w:top w:val="nil"/>
              <w:left w:val="nil"/>
              <w:bottom w:val="nil"/>
              <w:right w:val="nil"/>
            </w:tcBorders>
            <w:shd w:val="clear" w:color="auto" w:fill="auto"/>
            <w:vAlign w:val="center"/>
            <w:hideMark/>
          </w:tcPr>
          <w:p w14:paraId="42AB4BA1" w14:textId="77777777" w:rsidR="005269EC" w:rsidRPr="005269EC" w:rsidRDefault="005269EC" w:rsidP="005269EC">
            <w:pPr>
              <w:jc w:val="right"/>
              <w:rPr>
                <w:color w:val="000000"/>
                <w:sz w:val="18"/>
                <w:szCs w:val="18"/>
                <w:lang w:eastAsia="tr-TR"/>
              </w:rPr>
            </w:pPr>
            <w:r w:rsidRPr="005269EC">
              <w:rPr>
                <w:color w:val="000000"/>
                <w:sz w:val="18"/>
                <w:szCs w:val="18"/>
                <w:lang w:eastAsia="tr-TR"/>
              </w:rPr>
              <w:t>765</w:t>
            </w:r>
          </w:p>
        </w:tc>
        <w:tc>
          <w:tcPr>
            <w:tcW w:w="712" w:type="dxa"/>
            <w:tcBorders>
              <w:top w:val="nil"/>
              <w:left w:val="nil"/>
              <w:bottom w:val="nil"/>
              <w:right w:val="nil"/>
            </w:tcBorders>
            <w:shd w:val="clear" w:color="auto" w:fill="auto"/>
            <w:vAlign w:val="center"/>
            <w:hideMark/>
          </w:tcPr>
          <w:p w14:paraId="40813F3F" w14:textId="77777777" w:rsidR="005269EC" w:rsidRPr="005269EC" w:rsidRDefault="005269EC" w:rsidP="005269EC">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96432F9" w14:textId="77777777" w:rsidR="005269EC" w:rsidRPr="005269EC" w:rsidRDefault="005269EC" w:rsidP="005269EC">
            <w:pPr>
              <w:jc w:val="right"/>
              <w:rPr>
                <w:color w:val="000000"/>
                <w:sz w:val="18"/>
                <w:szCs w:val="18"/>
                <w:lang w:eastAsia="tr-TR"/>
              </w:rPr>
            </w:pPr>
            <w:r w:rsidRPr="005269EC">
              <w:rPr>
                <w:color w:val="000000"/>
                <w:sz w:val="18"/>
                <w:szCs w:val="18"/>
                <w:lang w:eastAsia="tr-TR"/>
              </w:rPr>
              <w:t>308</w:t>
            </w:r>
          </w:p>
        </w:tc>
        <w:tc>
          <w:tcPr>
            <w:tcW w:w="835" w:type="dxa"/>
            <w:tcBorders>
              <w:top w:val="nil"/>
              <w:left w:val="nil"/>
              <w:bottom w:val="nil"/>
              <w:right w:val="nil"/>
            </w:tcBorders>
            <w:shd w:val="clear" w:color="auto" w:fill="auto"/>
            <w:vAlign w:val="center"/>
            <w:hideMark/>
          </w:tcPr>
          <w:p w14:paraId="54044130" w14:textId="77777777" w:rsidR="005269EC" w:rsidRPr="005269EC" w:rsidRDefault="005269EC" w:rsidP="005269EC">
            <w:pPr>
              <w:jc w:val="right"/>
              <w:rPr>
                <w:color w:val="000000"/>
                <w:sz w:val="18"/>
                <w:szCs w:val="18"/>
                <w:lang w:eastAsia="tr-TR"/>
              </w:rPr>
            </w:pPr>
            <w:r w:rsidRPr="005269EC">
              <w:rPr>
                <w:color w:val="000000"/>
                <w:sz w:val="18"/>
                <w:szCs w:val="18"/>
                <w:lang w:eastAsia="tr-TR"/>
              </w:rPr>
              <w:t>113</w:t>
            </w:r>
          </w:p>
        </w:tc>
        <w:tc>
          <w:tcPr>
            <w:tcW w:w="916" w:type="dxa"/>
            <w:tcBorders>
              <w:top w:val="nil"/>
              <w:left w:val="nil"/>
              <w:bottom w:val="nil"/>
              <w:right w:val="nil"/>
            </w:tcBorders>
            <w:shd w:val="clear" w:color="auto" w:fill="auto"/>
            <w:vAlign w:val="center"/>
            <w:hideMark/>
          </w:tcPr>
          <w:p w14:paraId="4245BA42" w14:textId="77777777" w:rsidR="005269EC" w:rsidRPr="005269EC" w:rsidRDefault="005269EC" w:rsidP="005269EC">
            <w:pPr>
              <w:jc w:val="right"/>
              <w:rPr>
                <w:color w:val="000000"/>
                <w:sz w:val="18"/>
                <w:szCs w:val="18"/>
                <w:lang w:eastAsia="tr-TR"/>
              </w:rPr>
            </w:pPr>
            <w:r w:rsidRPr="005269EC">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08075E6E" w14:textId="77777777" w:rsidR="005269EC" w:rsidRPr="005269EC" w:rsidRDefault="005269EC" w:rsidP="005269EC">
            <w:pPr>
              <w:jc w:val="right"/>
              <w:rPr>
                <w:color w:val="000000"/>
                <w:sz w:val="18"/>
                <w:szCs w:val="18"/>
                <w:lang w:eastAsia="tr-TR"/>
              </w:rPr>
            </w:pPr>
            <w:r w:rsidRPr="005269EC">
              <w:rPr>
                <w:color w:val="000000"/>
                <w:sz w:val="18"/>
                <w:szCs w:val="18"/>
                <w:lang w:eastAsia="tr-TR"/>
              </w:rPr>
              <w:t>12,781</w:t>
            </w:r>
          </w:p>
        </w:tc>
      </w:tr>
      <w:tr w:rsidR="005269EC" w:rsidRPr="005269EC" w14:paraId="4090806D" w14:textId="77777777" w:rsidTr="00B843E3">
        <w:trPr>
          <w:divId w:val="1176118601"/>
          <w:trHeight w:val="133"/>
        </w:trPr>
        <w:tc>
          <w:tcPr>
            <w:tcW w:w="2464" w:type="dxa"/>
            <w:tcBorders>
              <w:top w:val="nil"/>
              <w:left w:val="nil"/>
              <w:bottom w:val="single" w:sz="8" w:space="0" w:color="auto"/>
              <w:right w:val="nil"/>
            </w:tcBorders>
            <w:shd w:val="clear" w:color="auto" w:fill="auto"/>
            <w:vAlign w:val="bottom"/>
            <w:hideMark/>
          </w:tcPr>
          <w:p w14:paraId="2B112DA7" w14:textId="77777777" w:rsidR="005269EC" w:rsidRPr="005269EC" w:rsidRDefault="005269EC" w:rsidP="005269EC">
            <w:pPr>
              <w:rPr>
                <w:color w:val="000000"/>
                <w:lang w:eastAsia="tr-TR"/>
              </w:rPr>
            </w:pPr>
            <w:r w:rsidRPr="005269EC">
              <w:rPr>
                <w:color w:val="000000"/>
                <w:lang w:eastAsia="tr-TR"/>
              </w:rPr>
              <w:t> </w:t>
            </w:r>
          </w:p>
        </w:tc>
        <w:tc>
          <w:tcPr>
            <w:tcW w:w="938" w:type="dxa"/>
            <w:tcBorders>
              <w:top w:val="nil"/>
              <w:left w:val="nil"/>
              <w:bottom w:val="single" w:sz="8" w:space="0" w:color="auto"/>
              <w:right w:val="nil"/>
            </w:tcBorders>
            <w:shd w:val="clear" w:color="auto" w:fill="auto"/>
            <w:vAlign w:val="center"/>
            <w:hideMark/>
          </w:tcPr>
          <w:p w14:paraId="4D112A39" w14:textId="77777777" w:rsidR="005269EC" w:rsidRPr="005269EC" w:rsidRDefault="005269EC" w:rsidP="005269EC">
            <w:pPr>
              <w:jc w:val="right"/>
              <w:rPr>
                <w:color w:val="000000"/>
                <w:sz w:val="18"/>
                <w:szCs w:val="18"/>
                <w:lang w:eastAsia="tr-TR"/>
              </w:rPr>
            </w:pPr>
            <w:r w:rsidRPr="005269EC">
              <w:rPr>
                <w:color w:val="000000"/>
                <w:sz w:val="18"/>
                <w:szCs w:val="18"/>
                <w:lang w:eastAsia="tr-TR"/>
              </w:rPr>
              <w:t> </w:t>
            </w:r>
          </w:p>
        </w:tc>
        <w:tc>
          <w:tcPr>
            <w:tcW w:w="851" w:type="dxa"/>
            <w:tcBorders>
              <w:top w:val="nil"/>
              <w:left w:val="nil"/>
              <w:bottom w:val="single" w:sz="8" w:space="0" w:color="auto"/>
              <w:right w:val="nil"/>
            </w:tcBorders>
            <w:shd w:val="clear" w:color="auto" w:fill="auto"/>
            <w:vAlign w:val="center"/>
            <w:hideMark/>
          </w:tcPr>
          <w:p w14:paraId="268D9C48" w14:textId="77777777" w:rsidR="005269EC" w:rsidRPr="005269EC" w:rsidRDefault="005269EC" w:rsidP="005269EC">
            <w:pPr>
              <w:jc w:val="right"/>
              <w:rPr>
                <w:color w:val="000000"/>
                <w:sz w:val="18"/>
                <w:szCs w:val="18"/>
                <w:lang w:eastAsia="tr-TR"/>
              </w:rPr>
            </w:pPr>
            <w:r w:rsidRPr="005269EC">
              <w:rPr>
                <w:color w:val="000000"/>
                <w:sz w:val="18"/>
                <w:szCs w:val="18"/>
                <w:lang w:eastAsia="tr-TR"/>
              </w:rPr>
              <w:t> </w:t>
            </w:r>
          </w:p>
        </w:tc>
        <w:tc>
          <w:tcPr>
            <w:tcW w:w="855" w:type="dxa"/>
            <w:tcBorders>
              <w:top w:val="nil"/>
              <w:left w:val="nil"/>
              <w:bottom w:val="single" w:sz="8" w:space="0" w:color="auto"/>
              <w:right w:val="nil"/>
            </w:tcBorders>
            <w:shd w:val="clear" w:color="auto" w:fill="auto"/>
            <w:vAlign w:val="center"/>
            <w:hideMark/>
          </w:tcPr>
          <w:p w14:paraId="21B14C40" w14:textId="77777777" w:rsidR="005269EC" w:rsidRPr="005269EC" w:rsidRDefault="005269EC" w:rsidP="005269EC">
            <w:pPr>
              <w:jc w:val="right"/>
              <w:rPr>
                <w:color w:val="000000"/>
                <w:sz w:val="18"/>
                <w:szCs w:val="18"/>
                <w:lang w:eastAsia="tr-TR"/>
              </w:rPr>
            </w:pPr>
            <w:r w:rsidRPr="005269EC">
              <w:rPr>
                <w:color w:val="000000"/>
                <w:sz w:val="18"/>
                <w:szCs w:val="18"/>
                <w:lang w:eastAsia="tr-TR"/>
              </w:rPr>
              <w:t> </w:t>
            </w:r>
          </w:p>
        </w:tc>
        <w:tc>
          <w:tcPr>
            <w:tcW w:w="712" w:type="dxa"/>
            <w:tcBorders>
              <w:top w:val="nil"/>
              <w:left w:val="nil"/>
              <w:bottom w:val="single" w:sz="8" w:space="0" w:color="auto"/>
              <w:right w:val="nil"/>
            </w:tcBorders>
            <w:shd w:val="clear" w:color="auto" w:fill="auto"/>
            <w:vAlign w:val="center"/>
            <w:hideMark/>
          </w:tcPr>
          <w:p w14:paraId="29C701C7" w14:textId="77777777" w:rsidR="005269EC" w:rsidRPr="005269EC" w:rsidRDefault="005269EC" w:rsidP="005269EC">
            <w:pPr>
              <w:jc w:val="right"/>
              <w:rPr>
                <w:color w:val="000000"/>
                <w:sz w:val="18"/>
                <w:szCs w:val="18"/>
                <w:lang w:eastAsia="tr-TR"/>
              </w:rPr>
            </w:pPr>
            <w:r w:rsidRPr="005269EC">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529BF08E" w14:textId="77777777" w:rsidR="005269EC" w:rsidRPr="005269EC" w:rsidRDefault="005269EC" w:rsidP="005269EC">
            <w:pPr>
              <w:jc w:val="right"/>
              <w:rPr>
                <w:color w:val="000000"/>
                <w:sz w:val="18"/>
                <w:szCs w:val="18"/>
                <w:lang w:eastAsia="tr-TR"/>
              </w:rPr>
            </w:pPr>
            <w:r w:rsidRPr="005269EC">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43685971" w14:textId="77777777" w:rsidR="005269EC" w:rsidRPr="005269EC" w:rsidRDefault="005269EC" w:rsidP="005269EC">
            <w:pPr>
              <w:jc w:val="right"/>
              <w:rPr>
                <w:color w:val="000000"/>
                <w:sz w:val="18"/>
                <w:szCs w:val="18"/>
                <w:lang w:eastAsia="tr-TR"/>
              </w:rPr>
            </w:pPr>
            <w:r w:rsidRPr="005269EC">
              <w:rPr>
                <w:color w:val="000000"/>
                <w:sz w:val="18"/>
                <w:szCs w:val="18"/>
                <w:lang w:eastAsia="tr-TR"/>
              </w:rPr>
              <w:t> </w:t>
            </w:r>
          </w:p>
        </w:tc>
        <w:tc>
          <w:tcPr>
            <w:tcW w:w="916" w:type="dxa"/>
            <w:tcBorders>
              <w:top w:val="nil"/>
              <w:left w:val="nil"/>
              <w:bottom w:val="single" w:sz="8" w:space="0" w:color="auto"/>
              <w:right w:val="nil"/>
            </w:tcBorders>
            <w:shd w:val="clear" w:color="auto" w:fill="auto"/>
            <w:vAlign w:val="center"/>
            <w:hideMark/>
          </w:tcPr>
          <w:p w14:paraId="153C266F" w14:textId="77777777" w:rsidR="005269EC" w:rsidRPr="005269EC" w:rsidRDefault="005269EC" w:rsidP="005269EC">
            <w:pPr>
              <w:jc w:val="right"/>
              <w:rPr>
                <w:color w:val="000000"/>
                <w:sz w:val="18"/>
                <w:szCs w:val="18"/>
                <w:lang w:eastAsia="tr-TR"/>
              </w:rPr>
            </w:pPr>
            <w:r w:rsidRPr="005269EC">
              <w:rPr>
                <w:color w:val="000000"/>
                <w:sz w:val="18"/>
                <w:szCs w:val="18"/>
                <w:lang w:eastAsia="tr-TR"/>
              </w:rPr>
              <w:t> </w:t>
            </w:r>
          </w:p>
        </w:tc>
        <w:tc>
          <w:tcPr>
            <w:tcW w:w="961" w:type="dxa"/>
            <w:tcBorders>
              <w:top w:val="nil"/>
              <w:left w:val="nil"/>
              <w:bottom w:val="single" w:sz="8" w:space="0" w:color="auto"/>
              <w:right w:val="nil"/>
            </w:tcBorders>
            <w:shd w:val="clear" w:color="auto" w:fill="auto"/>
            <w:vAlign w:val="center"/>
            <w:hideMark/>
          </w:tcPr>
          <w:p w14:paraId="3F9B36C2" w14:textId="77777777" w:rsidR="005269EC" w:rsidRPr="005269EC" w:rsidRDefault="005269EC" w:rsidP="005269EC">
            <w:pPr>
              <w:jc w:val="right"/>
              <w:rPr>
                <w:color w:val="000000"/>
                <w:sz w:val="18"/>
                <w:szCs w:val="18"/>
                <w:lang w:eastAsia="tr-TR"/>
              </w:rPr>
            </w:pPr>
            <w:r w:rsidRPr="005269EC">
              <w:rPr>
                <w:color w:val="000000"/>
                <w:sz w:val="18"/>
                <w:szCs w:val="18"/>
                <w:lang w:eastAsia="tr-TR"/>
              </w:rPr>
              <w:t> </w:t>
            </w:r>
          </w:p>
        </w:tc>
      </w:tr>
      <w:tr w:rsidR="005269EC" w:rsidRPr="005269EC" w14:paraId="75B773AA" w14:textId="77777777" w:rsidTr="00B843E3">
        <w:trPr>
          <w:divId w:val="1176118601"/>
          <w:trHeight w:val="227"/>
        </w:trPr>
        <w:tc>
          <w:tcPr>
            <w:tcW w:w="2464" w:type="dxa"/>
            <w:tcBorders>
              <w:top w:val="nil"/>
              <w:left w:val="nil"/>
              <w:bottom w:val="single" w:sz="8" w:space="0" w:color="auto"/>
              <w:right w:val="nil"/>
            </w:tcBorders>
            <w:shd w:val="clear" w:color="auto" w:fill="auto"/>
            <w:vAlign w:val="center"/>
            <w:hideMark/>
          </w:tcPr>
          <w:p w14:paraId="029BA82C" w14:textId="77777777" w:rsidR="005269EC" w:rsidRPr="005269EC" w:rsidRDefault="005269EC" w:rsidP="005269EC">
            <w:pPr>
              <w:ind w:firstLineChars="100" w:firstLine="181"/>
              <w:rPr>
                <w:b/>
                <w:bCs/>
                <w:color w:val="000000"/>
                <w:sz w:val="18"/>
                <w:szCs w:val="18"/>
                <w:lang w:eastAsia="tr-TR"/>
              </w:rPr>
            </w:pPr>
            <w:r w:rsidRPr="005269EC">
              <w:rPr>
                <w:b/>
                <w:bCs/>
                <w:color w:val="000000"/>
                <w:sz w:val="18"/>
                <w:szCs w:val="18"/>
                <w:lang w:eastAsia="tr-TR"/>
              </w:rPr>
              <w:t>Toplam</w:t>
            </w:r>
          </w:p>
        </w:tc>
        <w:tc>
          <w:tcPr>
            <w:tcW w:w="938" w:type="dxa"/>
            <w:tcBorders>
              <w:top w:val="nil"/>
              <w:left w:val="nil"/>
              <w:bottom w:val="single" w:sz="8" w:space="0" w:color="auto"/>
              <w:right w:val="nil"/>
            </w:tcBorders>
            <w:shd w:val="clear" w:color="auto" w:fill="auto"/>
            <w:vAlign w:val="center"/>
            <w:hideMark/>
          </w:tcPr>
          <w:p w14:paraId="288F59E8"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430,975</w:t>
            </w:r>
          </w:p>
        </w:tc>
        <w:tc>
          <w:tcPr>
            <w:tcW w:w="851" w:type="dxa"/>
            <w:tcBorders>
              <w:top w:val="nil"/>
              <w:left w:val="nil"/>
              <w:bottom w:val="single" w:sz="8" w:space="0" w:color="auto"/>
              <w:right w:val="nil"/>
            </w:tcBorders>
            <w:shd w:val="clear" w:color="auto" w:fill="auto"/>
            <w:vAlign w:val="center"/>
            <w:hideMark/>
          </w:tcPr>
          <w:p w14:paraId="1E78DC6C"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675,575</w:t>
            </w:r>
          </w:p>
        </w:tc>
        <w:tc>
          <w:tcPr>
            <w:tcW w:w="855" w:type="dxa"/>
            <w:tcBorders>
              <w:top w:val="nil"/>
              <w:left w:val="nil"/>
              <w:bottom w:val="single" w:sz="8" w:space="0" w:color="auto"/>
              <w:right w:val="nil"/>
            </w:tcBorders>
            <w:shd w:val="clear" w:color="auto" w:fill="auto"/>
            <w:vAlign w:val="center"/>
            <w:hideMark/>
          </w:tcPr>
          <w:p w14:paraId="1DACDC20"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42,714</w:t>
            </w:r>
          </w:p>
        </w:tc>
        <w:tc>
          <w:tcPr>
            <w:tcW w:w="712" w:type="dxa"/>
            <w:tcBorders>
              <w:top w:val="nil"/>
              <w:left w:val="nil"/>
              <w:bottom w:val="single" w:sz="8" w:space="0" w:color="auto"/>
              <w:right w:val="nil"/>
            </w:tcBorders>
            <w:shd w:val="clear" w:color="auto" w:fill="auto"/>
            <w:vAlign w:val="center"/>
            <w:hideMark/>
          </w:tcPr>
          <w:p w14:paraId="0B8576A5"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1A254234"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46,891</w:t>
            </w:r>
          </w:p>
        </w:tc>
        <w:tc>
          <w:tcPr>
            <w:tcW w:w="835" w:type="dxa"/>
            <w:tcBorders>
              <w:top w:val="nil"/>
              <w:left w:val="nil"/>
              <w:bottom w:val="single" w:sz="8" w:space="0" w:color="auto"/>
              <w:right w:val="nil"/>
            </w:tcBorders>
            <w:shd w:val="clear" w:color="auto" w:fill="auto"/>
            <w:vAlign w:val="center"/>
            <w:hideMark/>
          </w:tcPr>
          <w:p w14:paraId="22698974"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70,249</w:t>
            </w:r>
          </w:p>
        </w:tc>
        <w:tc>
          <w:tcPr>
            <w:tcW w:w="916" w:type="dxa"/>
            <w:tcBorders>
              <w:top w:val="nil"/>
              <w:left w:val="nil"/>
              <w:bottom w:val="single" w:sz="8" w:space="0" w:color="auto"/>
              <w:right w:val="nil"/>
            </w:tcBorders>
            <w:shd w:val="clear" w:color="auto" w:fill="auto"/>
            <w:vAlign w:val="center"/>
            <w:hideMark/>
          </w:tcPr>
          <w:p w14:paraId="45CAE255"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902</w:t>
            </w:r>
          </w:p>
        </w:tc>
        <w:tc>
          <w:tcPr>
            <w:tcW w:w="961" w:type="dxa"/>
            <w:tcBorders>
              <w:top w:val="nil"/>
              <w:left w:val="nil"/>
              <w:bottom w:val="single" w:sz="8" w:space="0" w:color="auto"/>
              <w:right w:val="nil"/>
            </w:tcBorders>
            <w:shd w:val="clear" w:color="auto" w:fill="auto"/>
            <w:vAlign w:val="center"/>
            <w:hideMark/>
          </w:tcPr>
          <w:p w14:paraId="1359C3C1"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1,267,306</w:t>
            </w:r>
          </w:p>
        </w:tc>
      </w:tr>
      <w:tr w:rsidR="005269EC" w:rsidRPr="005269EC" w14:paraId="1B052D5D" w14:textId="77777777" w:rsidTr="00B843E3">
        <w:trPr>
          <w:divId w:val="1176118601"/>
          <w:trHeight w:val="213"/>
        </w:trPr>
        <w:tc>
          <w:tcPr>
            <w:tcW w:w="2464" w:type="dxa"/>
            <w:tcBorders>
              <w:top w:val="nil"/>
              <w:left w:val="nil"/>
              <w:bottom w:val="nil"/>
              <w:right w:val="nil"/>
            </w:tcBorders>
            <w:shd w:val="clear" w:color="auto" w:fill="auto"/>
            <w:vAlign w:val="center"/>
            <w:hideMark/>
          </w:tcPr>
          <w:p w14:paraId="19DD3593" w14:textId="77777777" w:rsidR="005269EC" w:rsidRPr="005269EC" w:rsidRDefault="005269EC" w:rsidP="005269EC">
            <w:pPr>
              <w:rPr>
                <w:b/>
                <w:bCs/>
                <w:color w:val="000000"/>
                <w:sz w:val="18"/>
                <w:szCs w:val="18"/>
                <w:lang w:eastAsia="tr-TR"/>
              </w:rPr>
            </w:pPr>
            <w:r w:rsidRPr="005269EC">
              <w:rPr>
                <w:b/>
                <w:bCs/>
                <w:color w:val="000000"/>
                <w:sz w:val="18"/>
                <w:szCs w:val="18"/>
                <w:lang w:eastAsia="tr-TR"/>
              </w:rPr>
              <w:t>Yabancı para</w:t>
            </w:r>
          </w:p>
        </w:tc>
        <w:tc>
          <w:tcPr>
            <w:tcW w:w="938" w:type="dxa"/>
            <w:tcBorders>
              <w:top w:val="nil"/>
              <w:left w:val="nil"/>
              <w:bottom w:val="nil"/>
              <w:right w:val="nil"/>
            </w:tcBorders>
            <w:shd w:val="clear" w:color="auto" w:fill="auto"/>
            <w:vAlign w:val="center"/>
            <w:hideMark/>
          </w:tcPr>
          <w:p w14:paraId="565D02C5" w14:textId="77777777" w:rsidR="005269EC" w:rsidRPr="005269EC" w:rsidRDefault="005269EC" w:rsidP="005269EC">
            <w:pPr>
              <w:rPr>
                <w:b/>
                <w:bCs/>
                <w:color w:val="000000"/>
                <w:sz w:val="18"/>
                <w:szCs w:val="18"/>
                <w:lang w:eastAsia="tr-TR"/>
              </w:rPr>
            </w:pPr>
          </w:p>
        </w:tc>
        <w:tc>
          <w:tcPr>
            <w:tcW w:w="851" w:type="dxa"/>
            <w:tcBorders>
              <w:top w:val="nil"/>
              <w:left w:val="nil"/>
              <w:bottom w:val="nil"/>
              <w:right w:val="nil"/>
            </w:tcBorders>
            <w:shd w:val="clear" w:color="auto" w:fill="auto"/>
            <w:vAlign w:val="center"/>
            <w:hideMark/>
          </w:tcPr>
          <w:p w14:paraId="49402C83" w14:textId="77777777" w:rsidR="005269EC" w:rsidRPr="005269EC" w:rsidRDefault="005269EC" w:rsidP="005269EC">
            <w:pPr>
              <w:jc w:val="right"/>
              <w:rPr>
                <w:lang w:eastAsia="tr-TR"/>
              </w:rPr>
            </w:pPr>
          </w:p>
        </w:tc>
        <w:tc>
          <w:tcPr>
            <w:tcW w:w="855" w:type="dxa"/>
            <w:tcBorders>
              <w:top w:val="nil"/>
              <w:left w:val="nil"/>
              <w:bottom w:val="nil"/>
              <w:right w:val="nil"/>
            </w:tcBorders>
            <w:shd w:val="clear" w:color="auto" w:fill="auto"/>
            <w:vAlign w:val="center"/>
            <w:hideMark/>
          </w:tcPr>
          <w:p w14:paraId="3DF87B7A" w14:textId="77777777" w:rsidR="005269EC" w:rsidRPr="005269EC" w:rsidRDefault="005269EC" w:rsidP="005269EC">
            <w:pPr>
              <w:jc w:val="right"/>
              <w:rPr>
                <w:lang w:eastAsia="tr-TR"/>
              </w:rPr>
            </w:pPr>
          </w:p>
        </w:tc>
        <w:tc>
          <w:tcPr>
            <w:tcW w:w="712" w:type="dxa"/>
            <w:tcBorders>
              <w:top w:val="nil"/>
              <w:left w:val="nil"/>
              <w:bottom w:val="nil"/>
              <w:right w:val="nil"/>
            </w:tcBorders>
            <w:shd w:val="clear" w:color="auto" w:fill="auto"/>
            <w:vAlign w:val="center"/>
            <w:hideMark/>
          </w:tcPr>
          <w:p w14:paraId="00A5C1A7" w14:textId="77777777" w:rsidR="005269EC" w:rsidRPr="005269EC" w:rsidRDefault="005269EC" w:rsidP="005269EC">
            <w:pPr>
              <w:jc w:val="right"/>
              <w:rPr>
                <w:lang w:eastAsia="tr-TR"/>
              </w:rPr>
            </w:pPr>
          </w:p>
        </w:tc>
        <w:tc>
          <w:tcPr>
            <w:tcW w:w="835" w:type="dxa"/>
            <w:tcBorders>
              <w:top w:val="nil"/>
              <w:left w:val="nil"/>
              <w:bottom w:val="nil"/>
              <w:right w:val="nil"/>
            </w:tcBorders>
            <w:shd w:val="clear" w:color="auto" w:fill="auto"/>
            <w:vAlign w:val="center"/>
            <w:hideMark/>
          </w:tcPr>
          <w:p w14:paraId="7202DE56" w14:textId="77777777" w:rsidR="005269EC" w:rsidRPr="005269EC" w:rsidRDefault="005269EC" w:rsidP="005269EC">
            <w:pPr>
              <w:jc w:val="right"/>
              <w:rPr>
                <w:lang w:eastAsia="tr-TR"/>
              </w:rPr>
            </w:pPr>
          </w:p>
        </w:tc>
        <w:tc>
          <w:tcPr>
            <w:tcW w:w="835" w:type="dxa"/>
            <w:tcBorders>
              <w:top w:val="nil"/>
              <w:left w:val="nil"/>
              <w:bottom w:val="nil"/>
              <w:right w:val="nil"/>
            </w:tcBorders>
            <w:shd w:val="clear" w:color="auto" w:fill="auto"/>
            <w:vAlign w:val="center"/>
            <w:hideMark/>
          </w:tcPr>
          <w:p w14:paraId="73186BB2" w14:textId="77777777" w:rsidR="005269EC" w:rsidRPr="005269EC" w:rsidRDefault="005269EC" w:rsidP="005269EC">
            <w:pPr>
              <w:jc w:val="right"/>
              <w:rPr>
                <w:lang w:eastAsia="tr-TR"/>
              </w:rPr>
            </w:pPr>
          </w:p>
        </w:tc>
        <w:tc>
          <w:tcPr>
            <w:tcW w:w="916" w:type="dxa"/>
            <w:tcBorders>
              <w:top w:val="nil"/>
              <w:left w:val="nil"/>
              <w:bottom w:val="nil"/>
              <w:right w:val="nil"/>
            </w:tcBorders>
            <w:shd w:val="clear" w:color="auto" w:fill="auto"/>
            <w:vAlign w:val="center"/>
            <w:hideMark/>
          </w:tcPr>
          <w:p w14:paraId="0AE88AF9" w14:textId="77777777" w:rsidR="005269EC" w:rsidRPr="005269EC" w:rsidRDefault="005269EC" w:rsidP="005269EC">
            <w:pPr>
              <w:jc w:val="right"/>
              <w:rPr>
                <w:lang w:eastAsia="tr-TR"/>
              </w:rPr>
            </w:pPr>
          </w:p>
        </w:tc>
        <w:tc>
          <w:tcPr>
            <w:tcW w:w="961" w:type="dxa"/>
            <w:tcBorders>
              <w:top w:val="nil"/>
              <w:left w:val="nil"/>
              <w:bottom w:val="nil"/>
              <w:right w:val="nil"/>
            </w:tcBorders>
            <w:shd w:val="clear" w:color="auto" w:fill="auto"/>
            <w:vAlign w:val="center"/>
            <w:hideMark/>
          </w:tcPr>
          <w:p w14:paraId="162816F3" w14:textId="77777777" w:rsidR="005269EC" w:rsidRPr="005269EC" w:rsidRDefault="005269EC" w:rsidP="005269EC">
            <w:pPr>
              <w:jc w:val="right"/>
              <w:rPr>
                <w:lang w:eastAsia="tr-TR"/>
              </w:rPr>
            </w:pPr>
          </w:p>
        </w:tc>
      </w:tr>
      <w:tr w:rsidR="005269EC" w:rsidRPr="005269EC" w14:paraId="38CE9471" w14:textId="77777777" w:rsidTr="00B843E3">
        <w:trPr>
          <w:divId w:val="1176118601"/>
          <w:trHeight w:val="213"/>
        </w:trPr>
        <w:tc>
          <w:tcPr>
            <w:tcW w:w="2464" w:type="dxa"/>
            <w:tcBorders>
              <w:top w:val="nil"/>
              <w:left w:val="nil"/>
              <w:bottom w:val="nil"/>
              <w:right w:val="nil"/>
            </w:tcBorders>
            <w:shd w:val="clear" w:color="auto" w:fill="auto"/>
            <w:vAlign w:val="center"/>
            <w:hideMark/>
          </w:tcPr>
          <w:p w14:paraId="30AA0E65" w14:textId="77777777" w:rsidR="005269EC" w:rsidRPr="005269EC" w:rsidRDefault="005269EC" w:rsidP="005269EC">
            <w:pPr>
              <w:ind w:firstLineChars="100" w:firstLine="180"/>
              <w:rPr>
                <w:color w:val="000000"/>
                <w:sz w:val="18"/>
                <w:szCs w:val="18"/>
                <w:lang w:eastAsia="tr-TR"/>
              </w:rPr>
            </w:pPr>
            <w:r w:rsidRPr="005269EC">
              <w:rPr>
                <w:bCs/>
                <w:color w:val="000000"/>
                <w:sz w:val="18"/>
                <w:szCs w:val="18"/>
                <w:lang w:eastAsia="tr-TR"/>
              </w:rPr>
              <w:t>Bankalar</w:t>
            </w:r>
          </w:p>
        </w:tc>
        <w:tc>
          <w:tcPr>
            <w:tcW w:w="938" w:type="dxa"/>
            <w:tcBorders>
              <w:top w:val="nil"/>
              <w:left w:val="nil"/>
              <w:bottom w:val="nil"/>
              <w:right w:val="nil"/>
            </w:tcBorders>
            <w:shd w:val="clear" w:color="auto" w:fill="auto"/>
            <w:vAlign w:val="center"/>
            <w:hideMark/>
          </w:tcPr>
          <w:p w14:paraId="06F708B8" w14:textId="77777777" w:rsidR="005269EC" w:rsidRPr="005269EC" w:rsidRDefault="005269EC" w:rsidP="005269EC">
            <w:pPr>
              <w:jc w:val="right"/>
              <w:rPr>
                <w:color w:val="000000"/>
                <w:sz w:val="18"/>
                <w:szCs w:val="18"/>
                <w:lang w:eastAsia="tr-TR"/>
              </w:rPr>
            </w:pPr>
            <w:r w:rsidRPr="005269EC">
              <w:rPr>
                <w:color w:val="000000"/>
                <w:sz w:val="18"/>
                <w:szCs w:val="18"/>
                <w:lang w:eastAsia="tr-TR"/>
              </w:rPr>
              <w:t>15</w:t>
            </w:r>
          </w:p>
        </w:tc>
        <w:tc>
          <w:tcPr>
            <w:tcW w:w="851" w:type="dxa"/>
            <w:tcBorders>
              <w:top w:val="nil"/>
              <w:left w:val="nil"/>
              <w:bottom w:val="nil"/>
              <w:right w:val="nil"/>
            </w:tcBorders>
            <w:shd w:val="clear" w:color="auto" w:fill="auto"/>
            <w:vAlign w:val="center"/>
            <w:hideMark/>
          </w:tcPr>
          <w:p w14:paraId="4E162E05" w14:textId="77777777" w:rsidR="005269EC" w:rsidRPr="005269EC" w:rsidRDefault="005269EC" w:rsidP="005269EC">
            <w:pPr>
              <w:jc w:val="right"/>
              <w:rPr>
                <w:color w:val="000000"/>
                <w:sz w:val="18"/>
                <w:szCs w:val="18"/>
                <w:lang w:eastAsia="tr-TR"/>
              </w:rPr>
            </w:pPr>
            <w:r w:rsidRPr="005269EC">
              <w:rPr>
                <w:color w:val="000000"/>
                <w:sz w:val="18"/>
                <w:szCs w:val="18"/>
                <w:lang w:eastAsia="tr-TR"/>
              </w:rPr>
              <w:t>543</w:t>
            </w:r>
          </w:p>
        </w:tc>
        <w:tc>
          <w:tcPr>
            <w:tcW w:w="855" w:type="dxa"/>
            <w:tcBorders>
              <w:top w:val="nil"/>
              <w:left w:val="nil"/>
              <w:bottom w:val="nil"/>
              <w:right w:val="nil"/>
            </w:tcBorders>
            <w:shd w:val="clear" w:color="auto" w:fill="auto"/>
            <w:vAlign w:val="center"/>
            <w:hideMark/>
          </w:tcPr>
          <w:p w14:paraId="43F051FA" w14:textId="77777777" w:rsidR="005269EC" w:rsidRPr="005269EC" w:rsidRDefault="005269EC" w:rsidP="005269EC">
            <w:pPr>
              <w:jc w:val="right"/>
              <w:rPr>
                <w:color w:val="000000"/>
                <w:sz w:val="18"/>
                <w:szCs w:val="18"/>
                <w:lang w:eastAsia="tr-TR"/>
              </w:rPr>
            </w:pPr>
            <w:r w:rsidRPr="005269EC">
              <w:rPr>
                <w:color w:val="000000"/>
                <w:sz w:val="18"/>
                <w:szCs w:val="18"/>
                <w:lang w:eastAsia="tr-TR"/>
              </w:rPr>
              <w:t>27</w:t>
            </w:r>
          </w:p>
        </w:tc>
        <w:tc>
          <w:tcPr>
            <w:tcW w:w="712" w:type="dxa"/>
            <w:tcBorders>
              <w:top w:val="nil"/>
              <w:left w:val="nil"/>
              <w:bottom w:val="nil"/>
              <w:right w:val="nil"/>
            </w:tcBorders>
            <w:shd w:val="clear" w:color="auto" w:fill="auto"/>
            <w:vAlign w:val="center"/>
            <w:hideMark/>
          </w:tcPr>
          <w:p w14:paraId="7585CDB1" w14:textId="77777777" w:rsidR="005269EC" w:rsidRPr="005269EC" w:rsidRDefault="005269EC" w:rsidP="005269EC">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2930F264" w14:textId="77777777" w:rsidR="005269EC" w:rsidRPr="005269EC" w:rsidRDefault="005269EC" w:rsidP="005269EC">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55CFC02B" w14:textId="77777777" w:rsidR="005269EC" w:rsidRPr="005269EC" w:rsidRDefault="005269EC" w:rsidP="005269EC">
            <w:pPr>
              <w:jc w:val="right"/>
              <w:rPr>
                <w:color w:val="000000"/>
                <w:sz w:val="18"/>
                <w:szCs w:val="18"/>
                <w:lang w:eastAsia="tr-TR"/>
              </w:rPr>
            </w:pPr>
            <w:r w:rsidRPr="005269EC">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1E0C034C" w14:textId="77777777" w:rsidR="005269EC" w:rsidRPr="005269EC" w:rsidRDefault="005269EC" w:rsidP="005269EC">
            <w:pPr>
              <w:jc w:val="right"/>
              <w:rPr>
                <w:color w:val="000000"/>
                <w:sz w:val="18"/>
                <w:szCs w:val="18"/>
                <w:lang w:eastAsia="tr-TR"/>
              </w:rPr>
            </w:pPr>
            <w:r w:rsidRPr="005269EC">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4DE72DA3" w14:textId="77777777" w:rsidR="005269EC" w:rsidRPr="005269EC" w:rsidRDefault="005269EC" w:rsidP="005269EC">
            <w:pPr>
              <w:jc w:val="right"/>
              <w:rPr>
                <w:color w:val="000000"/>
                <w:sz w:val="18"/>
                <w:szCs w:val="18"/>
                <w:lang w:eastAsia="tr-TR"/>
              </w:rPr>
            </w:pPr>
            <w:r w:rsidRPr="005269EC">
              <w:rPr>
                <w:color w:val="000000"/>
                <w:sz w:val="18"/>
                <w:szCs w:val="18"/>
                <w:lang w:eastAsia="tr-TR"/>
              </w:rPr>
              <w:t>585</w:t>
            </w:r>
          </w:p>
        </w:tc>
      </w:tr>
      <w:tr w:rsidR="005269EC" w:rsidRPr="005269EC" w14:paraId="202A2DFF" w14:textId="77777777" w:rsidTr="00B843E3">
        <w:trPr>
          <w:divId w:val="1176118601"/>
          <w:trHeight w:val="427"/>
        </w:trPr>
        <w:tc>
          <w:tcPr>
            <w:tcW w:w="2464" w:type="dxa"/>
            <w:tcBorders>
              <w:top w:val="nil"/>
              <w:left w:val="nil"/>
              <w:bottom w:val="nil"/>
              <w:right w:val="nil"/>
            </w:tcBorders>
            <w:shd w:val="clear" w:color="auto" w:fill="auto"/>
            <w:vAlign w:val="center"/>
            <w:hideMark/>
          </w:tcPr>
          <w:p w14:paraId="68217ECD"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Gerçek kişilerin ticari olmayan katılma </w:t>
            </w:r>
            <w:proofErr w:type="spellStart"/>
            <w:r w:rsidRPr="005269EC">
              <w:rPr>
                <w:color w:val="000000"/>
                <w:sz w:val="18"/>
                <w:szCs w:val="18"/>
                <w:lang w:eastAsia="tr-TR"/>
              </w:rPr>
              <w:t>hs.</w:t>
            </w:r>
            <w:proofErr w:type="spellEnd"/>
          </w:p>
        </w:tc>
        <w:tc>
          <w:tcPr>
            <w:tcW w:w="938" w:type="dxa"/>
            <w:tcBorders>
              <w:top w:val="nil"/>
              <w:left w:val="nil"/>
              <w:bottom w:val="nil"/>
              <w:right w:val="nil"/>
            </w:tcBorders>
            <w:shd w:val="clear" w:color="auto" w:fill="auto"/>
            <w:vAlign w:val="bottom"/>
            <w:hideMark/>
          </w:tcPr>
          <w:p w14:paraId="680A70D0" w14:textId="77777777" w:rsidR="005269EC" w:rsidRPr="005269EC" w:rsidRDefault="005269EC" w:rsidP="00B843E3">
            <w:pPr>
              <w:jc w:val="right"/>
              <w:rPr>
                <w:color w:val="000000"/>
                <w:sz w:val="18"/>
                <w:szCs w:val="18"/>
                <w:lang w:eastAsia="tr-TR"/>
              </w:rPr>
            </w:pPr>
            <w:r w:rsidRPr="005269EC">
              <w:rPr>
                <w:color w:val="000000"/>
                <w:sz w:val="18"/>
                <w:szCs w:val="18"/>
                <w:lang w:eastAsia="tr-TR"/>
              </w:rPr>
              <w:t>29,998</w:t>
            </w:r>
          </w:p>
        </w:tc>
        <w:tc>
          <w:tcPr>
            <w:tcW w:w="851" w:type="dxa"/>
            <w:tcBorders>
              <w:top w:val="nil"/>
              <w:left w:val="nil"/>
              <w:bottom w:val="nil"/>
              <w:right w:val="nil"/>
            </w:tcBorders>
            <w:shd w:val="clear" w:color="auto" w:fill="auto"/>
            <w:vAlign w:val="bottom"/>
            <w:hideMark/>
          </w:tcPr>
          <w:p w14:paraId="7396BC71" w14:textId="77777777" w:rsidR="005269EC" w:rsidRPr="005269EC" w:rsidRDefault="005269EC" w:rsidP="00B843E3">
            <w:pPr>
              <w:jc w:val="right"/>
              <w:rPr>
                <w:color w:val="000000"/>
                <w:sz w:val="18"/>
                <w:szCs w:val="18"/>
                <w:lang w:eastAsia="tr-TR"/>
              </w:rPr>
            </w:pPr>
            <w:r w:rsidRPr="005269EC">
              <w:rPr>
                <w:color w:val="000000"/>
                <w:sz w:val="18"/>
                <w:szCs w:val="18"/>
                <w:lang w:eastAsia="tr-TR"/>
              </w:rPr>
              <w:t>49,027</w:t>
            </w:r>
          </w:p>
        </w:tc>
        <w:tc>
          <w:tcPr>
            <w:tcW w:w="855" w:type="dxa"/>
            <w:tcBorders>
              <w:top w:val="nil"/>
              <w:left w:val="nil"/>
              <w:bottom w:val="nil"/>
              <w:right w:val="nil"/>
            </w:tcBorders>
            <w:shd w:val="clear" w:color="auto" w:fill="auto"/>
            <w:vAlign w:val="bottom"/>
            <w:hideMark/>
          </w:tcPr>
          <w:p w14:paraId="78C835EE" w14:textId="77777777" w:rsidR="005269EC" w:rsidRPr="005269EC" w:rsidRDefault="005269EC" w:rsidP="00B843E3">
            <w:pPr>
              <w:jc w:val="right"/>
              <w:rPr>
                <w:color w:val="000000"/>
                <w:sz w:val="18"/>
                <w:szCs w:val="18"/>
                <w:lang w:eastAsia="tr-TR"/>
              </w:rPr>
            </w:pPr>
            <w:r w:rsidRPr="005269EC">
              <w:rPr>
                <w:color w:val="000000"/>
                <w:sz w:val="18"/>
                <w:szCs w:val="18"/>
                <w:lang w:eastAsia="tr-TR"/>
              </w:rPr>
              <w:t>7,261</w:t>
            </w:r>
          </w:p>
        </w:tc>
        <w:tc>
          <w:tcPr>
            <w:tcW w:w="712" w:type="dxa"/>
            <w:tcBorders>
              <w:top w:val="nil"/>
              <w:left w:val="nil"/>
              <w:bottom w:val="nil"/>
              <w:right w:val="nil"/>
            </w:tcBorders>
            <w:shd w:val="clear" w:color="auto" w:fill="auto"/>
            <w:vAlign w:val="bottom"/>
            <w:hideMark/>
          </w:tcPr>
          <w:p w14:paraId="33C9E778"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63C1B1BF" w14:textId="77777777" w:rsidR="005269EC" w:rsidRPr="005269EC" w:rsidRDefault="005269EC" w:rsidP="00B843E3">
            <w:pPr>
              <w:jc w:val="right"/>
              <w:rPr>
                <w:color w:val="000000"/>
                <w:sz w:val="18"/>
                <w:szCs w:val="18"/>
                <w:lang w:eastAsia="tr-TR"/>
              </w:rPr>
            </w:pPr>
            <w:r w:rsidRPr="005269EC">
              <w:rPr>
                <w:color w:val="000000"/>
                <w:sz w:val="18"/>
                <w:szCs w:val="18"/>
                <w:lang w:eastAsia="tr-TR"/>
              </w:rPr>
              <w:t>7,569</w:t>
            </w:r>
          </w:p>
        </w:tc>
        <w:tc>
          <w:tcPr>
            <w:tcW w:w="835" w:type="dxa"/>
            <w:tcBorders>
              <w:top w:val="nil"/>
              <w:left w:val="nil"/>
              <w:bottom w:val="nil"/>
              <w:right w:val="nil"/>
            </w:tcBorders>
            <w:shd w:val="clear" w:color="auto" w:fill="auto"/>
            <w:vAlign w:val="bottom"/>
            <w:hideMark/>
          </w:tcPr>
          <w:p w14:paraId="18CCCD59" w14:textId="77777777" w:rsidR="005269EC" w:rsidRPr="005269EC" w:rsidRDefault="005269EC" w:rsidP="00B843E3">
            <w:pPr>
              <w:jc w:val="right"/>
              <w:rPr>
                <w:color w:val="000000"/>
                <w:sz w:val="18"/>
                <w:szCs w:val="18"/>
                <w:lang w:eastAsia="tr-TR"/>
              </w:rPr>
            </w:pPr>
            <w:r w:rsidRPr="005269EC">
              <w:rPr>
                <w:color w:val="000000"/>
                <w:sz w:val="18"/>
                <w:szCs w:val="18"/>
                <w:lang w:eastAsia="tr-TR"/>
              </w:rPr>
              <w:t>10,657</w:t>
            </w:r>
          </w:p>
        </w:tc>
        <w:tc>
          <w:tcPr>
            <w:tcW w:w="916" w:type="dxa"/>
            <w:tcBorders>
              <w:top w:val="nil"/>
              <w:left w:val="nil"/>
              <w:bottom w:val="nil"/>
              <w:right w:val="nil"/>
            </w:tcBorders>
            <w:shd w:val="clear" w:color="auto" w:fill="auto"/>
            <w:vAlign w:val="bottom"/>
            <w:hideMark/>
          </w:tcPr>
          <w:p w14:paraId="03EE8476" w14:textId="77777777" w:rsidR="005269EC" w:rsidRPr="005269EC" w:rsidRDefault="005269EC" w:rsidP="00B843E3">
            <w:pPr>
              <w:jc w:val="right"/>
              <w:rPr>
                <w:color w:val="000000"/>
                <w:sz w:val="18"/>
                <w:szCs w:val="18"/>
                <w:lang w:eastAsia="tr-TR"/>
              </w:rPr>
            </w:pPr>
            <w:r w:rsidRPr="005269EC">
              <w:rPr>
                <w:color w:val="000000"/>
                <w:sz w:val="18"/>
                <w:szCs w:val="18"/>
                <w:lang w:eastAsia="tr-TR"/>
              </w:rPr>
              <w:t>16</w:t>
            </w:r>
          </w:p>
        </w:tc>
        <w:tc>
          <w:tcPr>
            <w:tcW w:w="961" w:type="dxa"/>
            <w:tcBorders>
              <w:top w:val="nil"/>
              <w:left w:val="nil"/>
              <w:bottom w:val="nil"/>
              <w:right w:val="nil"/>
            </w:tcBorders>
            <w:shd w:val="clear" w:color="auto" w:fill="auto"/>
            <w:vAlign w:val="bottom"/>
            <w:hideMark/>
          </w:tcPr>
          <w:p w14:paraId="705C4E06" w14:textId="77777777" w:rsidR="005269EC" w:rsidRPr="005269EC" w:rsidRDefault="005269EC" w:rsidP="00B843E3">
            <w:pPr>
              <w:jc w:val="right"/>
              <w:rPr>
                <w:color w:val="000000"/>
                <w:sz w:val="18"/>
                <w:szCs w:val="18"/>
                <w:lang w:eastAsia="tr-TR"/>
              </w:rPr>
            </w:pPr>
            <w:r w:rsidRPr="005269EC">
              <w:rPr>
                <w:color w:val="000000"/>
                <w:sz w:val="18"/>
                <w:szCs w:val="18"/>
                <w:lang w:eastAsia="tr-TR"/>
              </w:rPr>
              <w:t>104,528</w:t>
            </w:r>
          </w:p>
        </w:tc>
      </w:tr>
      <w:tr w:rsidR="005269EC" w:rsidRPr="005269EC" w14:paraId="4AD02054" w14:textId="77777777" w:rsidTr="00B843E3">
        <w:trPr>
          <w:divId w:val="1176118601"/>
          <w:trHeight w:val="213"/>
        </w:trPr>
        <w:tc>
          <w:tcPr>
            <w:tcW w:w="2464" w:type="dxa"/>
            <w:tcBorders>
              <w:top w:val="nil"/>
              <w:left w:val="nil"/>
              <w:bottom w:val="nil"/>
              <w:right w:val="nil"/>
            </w:tcBorders>
            <w:shd w:val="clear" w:color="auto" w:fill="auto"/>
            <w:vAlign w:val="center"/>
            <w:hideMark/>
          </w:tcPr>
          <w:p w14:paraId="0D33662F"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Resmi kuruluş katılma </w:t>
            </w:r>
            <w:proofErr w:type="spellStart"/>
            <w:r w:rsidRPr="005269EC">
              <w:rPr>
                <w:color w:val="000000"/>
                <w:sz w:val="18"/>
                <w:szCs w:val="18"/>
                <w:lang w:eastAsia="tr-TR"/>
              </w:rPr>
              <w:t>hs.</w:t>
            </w:r>
            <w:proofErr w:type="spellEnd"/>
          </w:p>
        </w:tc>
        <w:tc>
          <w:tcPr>
            <w:tcW w:w="938" w:type="dxa"/>
            <w:tcBorders>
              <w:top w:val="nil"/>
              <w:left w:val="nil"/>
              <w:bottom w:val="nil"/>
              <w:right w:val="nil"/>
            </w:tcBorders>
            <w:shd w:val="clear" w:color="auto" w:fill="auto"/>
            <w:vAlign w:val="bottom"/>
            <w:hideMark/>
          </w:tcPr>
          <w:p w14:paraId="07E3C4B0"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51" w:type="dxa"/>
            <w:tcBorders>
              <w:top w:val="nil"/>
              <w:left w:val="nil"/>
              <w:bottom w:val="nil"/>
              <w:right w:val="nil"/>
            </w:tcBorders>
            <w:shd w:val="clear" w:color="auto" w:fill="auto"/>
            <w:vAlign w:val="bottom"/>
            <w:hideMark/>
          </w:tcPr>
          <w:p w14:paraId="47FD3C79"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55" w:type="dxa"/>
            <w:tcBorders>
              <w:top w:val="nil"/>
              <w:left w:val="nil"/>
              <w:bottom w:val="nil"/>
              <w:right w:val="nil"/>
            </w:tcBorders>
            <w:shd w:val="clear" w:color="auto" w:fill="auto"/>
            <w:vAlign w:val="bottom"/>
            <w:hideMark/>
          </w:tcPr>
          <w:p w14:paraId="5905D20F"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712" w:type="dxa"/>
            <w:tcBorders>
              <w:top w:val="nil"/>
              <w:left w:val="nil"/>
              <w:bottom w:val="nil"/>
              <w:right w:val="nil"/>
            </w:tcBorders>
            <w:shd w:val="clear" w:color="auto" w:fill="auto"/>
            <w:vAlign w:val="bottom"/>
            <w:hideMark/>
          </w:tcPr>
          <w:p w14:paraId="4F587D10"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10C2B312"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185C6E5E"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16" w:type="dxa"/>
            <w:tcBorders>
              <w:top w:val="nil"/>
              <w:left w:val="nil"/>
              <w:bottom w:val="nil"/>
              <w:right w:val="nil"/>
            </w:tcBorders>
            <w:shd w:val="clear" w:color="auto" w:fill="auto"/>
            <w:vAlign w:val="bottom"/>
            <w:hideMark/>
          </w:tcPr>
          <w:p w14:paraId="2D02C1CC"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1" w:type="dxa"/>
            <w:tcBorders>
              <w:top w:val="nil"/>
              <w:left w:val="nil"/>
              <w:bottom w:val="nil"/>
              <w:right w:val="nil"/>
            </w:tcBorders>
            <w:shd w:val="clear" w:color="auto" w:fill="auto"/>
            <w:vAlign w:val="bottom"/>
            <w:hideMark/>
          </w:tcPr>
          <w:p w14:paraId="5DD18B0B"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r>
      <w:tr w:rsidR="005269EC" w:rsidRPr="005269EC" w14:paraId="31A7FC62" w14:textId="77777777" w:rsidTr="00B843E3">
        <w:trPr>
          <w:divId w:val="1176118601"/>
          <w:trHeight w:val="213"/>
        </w:trPr>
        <w:tc>
          <w:tcPr>
            <w:tcW w:w="2464" w:type="dxa"/>
            <w:tcBorders>
              <w:top w:val="nil"/>
              <w:left w:val="nil"/>
              <w:bottom w:val="nil"/>
              <w:right w:val="nil"/>
            </w:tcBorders>
            <w:shd w:val="clear" w:color="auto" w:fill="auto"/>
            <w:vAlign w:val="center"/>
            <w:hideMark/>
          </w:tcPr>
          <w:p w14:paraId="2D750F9B"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Ticari kuruluş katılma </w:t>
            </w:r>
            <w:proofErr w:type="spellStart"/>
            <w:r w:rsidRPr="005269EC">
              <w:rPr>
                <w:color w:val="000000"/>
                <w:sz w:val="18"/>
                <w:szCs w:val="18"/>
                <w:lang w:eastAsia="tr-TR"/>
              </w:rPr>
              <w:t>hs.</w:t>
            </w:r>
            <w:proofErr w:type="spellEnd"/>
          </w:p>
        </w:tc>
        <w:tc>
          <w:tcPr>
            <w:tcW w:w="938" w:type="dxa"/>
            <w:tcBorders>
              <w:top w:val="nil"/>
              <w:left w:val="nil"/>
              <w:bottom w:val="nil"/>
              <w:right w:val="nil"/>
            </w:tcBorders>
            <w:shd w:val="clear" w:color="auto" w:fill="auto"/>
            <w:vAlign w:val="bottom"/>
            <w:hideMark/>
          </w:tcPr>
          <w:p w14:paraId="7EE48605" w14:textId="77777777" w:rsidR="005269EC" w:rsidRPr="005269EC" w:rsidRDefault="005269EC" w:rsidP="00B843E3">
            <w:pPr>
              <w:jc w:val="right"/>
              <w:rPr>
                <w:color w:val="000000"/>
                <w:sz w:val="18"/>
                <w:szCs w:val="18"/>
                <w:lang w:eastAsia="tr-TR"/>
              </w:rPr>
            </w:pPr>
            <w:r w:rsidRPr="005269EC">
              <w:rPr>
                <w:color w:val="000000"/>
                <w:sz w:val="18"/>
                <w:szCs w:val="18"/>
                <w:lang w:eastAsia="tr-TR"/>
              </w:rPr>
              <w:t>2,755</w:t>
            </w:r>
          </w:p>
        </w:tc>
        <w:tc>
          <w:tcPr>
            <w:tcW w:w="851" w:type="dxa"/>
            <w:tcBorders>
              <w:top w:val="nil"/>
              <w:left w:val="nil"/>
              <w:bottom w:val="nil"/>
              <w:right w:val="nil"/>
            </w:tcBorders>
            <w:shd w:val="clear" w:color="auto" w:fill="auto"/>
            <w:vAlign w:val="bottom"/>
            <w:hideMark/>
          </w:tcPr>
          <w:p w14:paraId="1FF6706B" w14:textId="77777777" w:rsidR="005269EC" w:rsidRPr="005269EC" w:rsidRDefault="005269EC" w:rsidP="00B843E3">
            <w:pPr>
              <w:jc w:val="right"/>
              <w:rPr>
                <w:color w:val="000000"/>
                <w:sz w:val="18"/>
                <w:szCs w:val="18"/>
                <w:lang w:eastAsia="tr-TR"/>
              </w:rPr>
            </w:pPr>
            <w:r w:rsidRPr="005269EC">
              <w:rPr>
                <w:color w:val="000000"/>
                <w:sz w:val="18"/>
                <w:szCs w:val="18"/>
                <w:lang w:eastAsia="tr-TR"/>
              </w:rPr>
              <w:t>8,686</w:t>
            </w:r>
          </w:p>
        </w:tc>
        <w:tc>
          <w:tcPr>
            <w:tcW w:w="855" w:type="dxa"/>
            <w:tcBorders>
              <w:top w:val="nil"/>
              <w:left w:val="nil"/>
              <w:bottom w:val="nil"/>
              <w:right w:val="nil"/>
            </w:tcBorders>
            <w:shd w:val="clear" w:color="auto" w:fill="auto"/>
            <w:vAlign w:val="bottom"/>
            <w:hideMark/>
          </w:tcPr>
          <w:p w14:paraId="4C43836D" w14:textId="77777777" w:rsidR="005269EC" w:rsidRPr="005269EC" w:rsidRDefault="005269EC" w:rsidP="00B843E3">
            <w:pPr>
              <w:jc w:val="right"/>
              <w:rPr>
                <w:color w:val="000000"/>
                <w:sz w:val="18"/>
                <w:szCs w:val="18"/>
                <w:lang w:eastAsia="tr-TR"/>
              </w:rPr>
            </w:pPr>
            <w:r w:rsidRPr="005269EC">
              <w:rPr>
                <w:color w:val="000000"/>
                <w:sz w:val="18"/>
                <w:szCs w:val="18"/>
                <w:lang w:eastAsia="tr-TR"/>
              </w:rPr>
              <w:t>318</w:t>
            </w:r>
          </w:p>
        </w:tc>
        <w:tc>
          <w:tcPr>
            <w:tcW w:w="712" w:type="dxa"/>
            <w:tcBorders>
              <w:top w:val="nil"/>
              <w:left w:val="nil"/>
              <w:bottom w:val="nil"/>
              <w:right w:val="nil"/>
            </w:tcBorders>
            <w:shd w:val="clear" w:color="auto" w:fill="auto"/>
            <w:vAlign w:val="bottom"/>
            <w:hideMark/>
          </w:tcPr>
          <w:p w14:paraId="5515BC2C"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DE0BA14" w14:textId="77777777" w:rsidR="005269EC" w:rsidRPr="005269EC" w:rsidRDefault="005269EC" w:rsidP="00B843E3">
            <w:pPr>
              <w:jc w:val="right"/>
              <w:rPr>
                <w:color w:val="000000"/>
                <w:sz w:val="18"/>
                <w:szCs w:val="18"/>
                <w:lang w:eastAsia="tr-TR"/>
              </w:rPr>
            </w:pPr>
            <w:r w:rsidRPr="005269EC">
              <w:rPr>
                <w:color w:val="000000"/>
                <w:sz w:val="18"/>
                <w:szCs w:val="18"/>
                <w:lang w:eastAsia="tr-TR"/>
              </w:rPr>
              <w:t>370</w:t>
            </w:r>
          </w:p>
        </w:tc>
        <w:tc>
          <w:tcPr>
            <w:tcW w:w="835" w:type="dxa"/>
            <w:tcBorders>
              <w:top w:val="nil"/>
              <w:left w:val="nil"/>
              <w:bottom w:val="nil"/>
              <w:right w:val="nil"/>
            </w:tcBorders>
            <w:shd w:val="clear" w:color="auto" w:fill="auto"/>
            <w:vAlign w:val="bottom"/>
            <w:hideMark/>
          </w:tcPr>
          <w:p w14:paraId="714F5FCA" w14:textId="77777777" w:rsidR="005269EC" w:rsidRPr="005269EC" w:rsidRDefault="005269EC" w:rsidP="00B843E3">
            <w:pPr>
              <w:jc w:val="right"/>
              <w:rPr>
                <w:color w:val="000000"/>
                <w:sz w:val="18"/>
                <w:szCs w:val="18"/>
                <w:lang w:eastAsia="tr-TR"/>
              </w:rPr>
            </w:pPr>
            <w:r w:rsidRPr="005269EC">
              <w:rPr>
                <w:color w:val="000000"/>
                <w:sz w:val="18"/>
                <w:szCs w:val="18"/>
                <w:lang w:eastAsia="tr-TR"/>
              </w:rPr>
              <w:t>88</w:t>
            </w:r>
          </w:p>
        </w:tc>
        <w:tc>
          <w:tcPr>
            <w:tcW w:w="916" w:type="dxa"/>
            <w:tcBorders>
              <w:top w:val="nil"/>
              <w:left w:val="nil"/>
              <w:bottom w:val="nil"/>
              <w:right w:val="nil"/>
            </w:tcBorders>
            <w:shd w:val="clear" w:color="auto" w:fill="auto"/>
            <w:vAlign w:val="bottom"/>
            <w:hideMark/>
          </w:tcPr>
          <w:p w14:paraId="0D1AB003"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1" w:type="dxa"/>
            <w:tcBorders>
              <w:top w:val="nil"/>
              <w:left w:val="nil"/>
              <w:bottom w:val="nil"/>
              <w:right w:val="nil"/>
            </w:tcBorders>
            <w:shd w:val="clear" w:color="auto" w:fill="auto"/>
            <w:vAlign w:val="bottom"/>
            <w:hideMark/>
          </w:tcPr>
          <w:p w14:paraId="53DF1EA8" w14:textId="77777777" w:rsidR="005269EC" w:rsidRPr="005269EC" w:rsidRDefault="005269EC" w:rsidP="00B843E3">
            <w:pPr>
              <w:jc w:val="right"/>
              <w:rPr>
                <w:color w:val="000000"/>
                <w:sz w:val="18"/>
                <w:szCs w:val="18"/>
                <w:lang w:eastAsia="tr-TR"/>
              </w:rPr>
            </w:pPr>
            <w:r w:rsidRPr="005269EC">
              <w:rPr>
                <w:color w:val="000000"/>
                <w:sz w:val="18"/>
                <w:szCs w:val="18"/>
                <w:lang w:eastAsia="tr-TR"/>
              </w:rPr>
              <w:t>12,217</w:t>
            </w:r>
          </w:p>
        </w:tc>
      </w:tr>
      <w:tr w:rsidR="005269EC" w:rsidRPr="005269EC" w14:paraId="60481792" w14:textId="77777777" w:rsidTr="00B843E3">
        <w:trPr>
          <w:divId w:val="1176118601"/>
          <w:trHeight w:val="213"/>
        </w:trPr>
        <w:tc>
          <w:tcPr>
            <w:tcW w:w="2464" w:type="dxa"/>
            <w:tcBorders>
              <w:top w:val="nil"/>
              <w:left w:val="nil"/>
              <w:bottom w:val="nil"/>
              <w:right w:val="nil"/>
            </w:tcBorders>
            <w:shd w:val="clear" w:color="auto" w:fill="auto"/>
            <w:vAlign w:val="center"/>
            <w:hideMark/>
          </w:tcPr>
          <w:p w14:paraId="1489FDEB"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Diğer kuruluş katılma </w:t>
            </w:r>
            <w:proofErr w:type="spellStart"/>
            <w:r w:rsidRPr="005269EC">
              <w:rPr>
                <w:color w:val="000000"/>
                <w:sz w:val="18"/>
                <w:szCs w:val="18"/>
                <w:lang w:eastAsia="tr-TR"/>
              </w:rPr>
              <w:t>hs.</w:t>
            </w:r>
            <w:proofErr w:type="spellEnd"/>
            <w:r w:rsidRPr="005269EC">
              <w:rPr>
                <w:color w:val="000000"/>
                <w:sz w:val="18"/>
                <w:szCs w:val="18"/>
                <w:lang w:eastAsia="tr-TR"/>
              </w:rPr>
              <w:t xml:space="preserve"> </w:t>
            </w:r>
          </w:p>
        </w:tc>
        <w:tc>
          <w:tcPr>
            <w:tcW w:w="938" w:type="dxa"/>
            <w:tcBorders>
              <w:top w:val="nil"/>
              <w:left w:val="nil"/>
              <w:bottom w:val="nil"/>
              <w:right w:val="nil"/>
            </w:tcBorders>
            <w:shd w:val="clear" w:color="auto" w:fill="auto"/>
            <w:vAlign w:val="bottom"/>
            <w:hideMark/>
          </w:tcPr>
          <w:p w14:paraId="0CDECA56" w14:textId="77777777" w:rsidR="005269EC" w:rsidRPr="005269EC" w:rsidRDefault="005269EC" w:rsidP="00B843E3">
            <w:pPr>
              <w:jc w:val="right"/>
              <w:rPr>
                <w:color w:val="000000"/>
                <w:sz w:val="18"/>
                <w:szCs w:val="18"/>
                <w:lang w:eastAsia="tr-TR"/>
              </w:rPr>
            </w:pPr>
            <w:r w:rsidRPr="005269EC">
              <w:rPr>
                <w:color w:val="000000"/>
                <w:sz w:val="18"/>
                <w:szCs w:val="18"/>
                <w:lang w:eastAsia="tr-TR"/>
              </w:rPr>
              <w:t>287</w:t>
            </w:r>
          </w:p>
        </w:tc>
        <w:tc>
          <w:tcPr>
            <w:tcW w:w="851" w:type="dxa"/>
            <w:tcBorders>
              <w:top w:val="nil"/>
              <w:left w:val="nil"/>
              <w:bottom w:val="nil"/>
              <w:right w:val="nil"/>
            </w:tcBorders>
            <w:shd w:val="clear" w:color="auto" w:fill="auto"/>
            <w:vAlign w:val="bottom"/>
            <w:hideMark/>
          </w:tcPr>
          <w:p w14:paraId="5A04EDED" w14:textId="77777777" w:rsidR="005269EC" w:rsidRPr="005269EC" w:rsidRDefault="005269EC" w:rsidP="00B843E3">
            <w:pPr>
              <w:jc w:val="right"/>
              <w:rPr>
                <w:color w:val="000000"/>
                <w:sz w:val="18"/>
                <w:szCs w:val="18"/>
                <w:lang w:eastAsia="tr-TR"/>
              </w:rPr>
            </w:pPr>
            <w:r w:rsidRPr="005269EC">
              <w:rPr>
                <w:color w:val="000000"/>
                <w:sz w:val="18"/>
                <w:szCs w:val="18"/>
                <w:lang w:eastAsia="tr-TR"/>
              </w:rPr>
              <w:t>1,073</w:t>
            </w:r>
          </w:p>
        </w:tc>
        <w:tc>
          <w:tcPr>
            <w:tcW w:w="855" w:type="dxa"/>
            <w:tcBorders>
              <w:top w:val="nil"/>
              <w:left w:val="nil"/>
              <w:bottom w:val="nil"/>
              <w:right w:val="nil"/>
            </w:tcBorders>
            <w:shd w:val="clear" w:color="auto" w:fill="auto"/>
            <w:vAlign w:val="bottom"/>
            <w:hideMark/>
          </w:tcPr>
          <w:p w14:paraId="0A288F24" w14:textId="77777777" w:rsidR="005269EC" w:rsidRPr="005269EC" w:rsidRDefault="005269EC" w:rsidP="00B843E3">
            <w:pPr>
              <w:jc w:val="right"/>
              <w:rPr>
                <w:color w:val="000000"/>
                <w:sz w:val="18"/>
                <w:szCs w:val="18"/>
                <w:lang w:eastAsia="tr-TR"/>
              </w:rPr>
            </w:pPr>
            <w:r w:rsidRPr="005269EC">
              <w:rPr>
                <w:color w:val="000000"/>
                <w:sz w:val="18"/>
                <w:szCs w:val="18"/>
                <w:lang w:eastAsia="tr-TR"/>
              </w:rPr>
              <w:t>109</w:t>
            </w:r>
          </w:p>
        </w:tc>
        <w:tc>
          <w:tcPr>
            <w:tcW w:w="712" w:type="dxa"/>
            <w:tcBorders>
              <w:top w:val="nil"/>
              <w:left w:val="nil"/>
              <w:bottom w:val="nil"/>
              <w:right w:val="nil"/>
            </w:tcBorders>
            <w:shd w:val="clear" w:color="auto" w:fill="auto"/>
            <w:vAlign w:val="bottom"/>
            <w:hideMark/>
          </w:tcPr>
          <w:p w14:paraId="51081D16"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F50B9FF" w14:textId="77777777" w:rsidR="005269EC" w:rsidRPr="005269EC" w:rsidRDefault="005269EC" w:rsidP="00B843E3">
            <w:pPr>
              <w:jc w:val="right"/>
              <w:rPr>
                <w:color w:val="000000"/>
                <w:sz w:val="18"/>
                <w:szCs w:val="18"/>
                <w:lang w:eastAsia="tr-TR"/>
              </w:rPr>
            </w:pPr>
            <w:r w:rsidRPr="005269EC">
              <w:rPr>
                <w:color w:val="000000"/>
                <w:sz w:val="18"/>
                <w:szCs w:val="18"/>
                <w:lang w:eastAsia="tr-TR"/>
              </w:rPr>
              <w:t>62</w:t>
            </w:r>
          </w:p>
        </w:tc>
        <w:tc>
          <w:tcPr>
            <w:tcW w:w="835" w:type="dxa"/>
            <w:tcBorders>
              <w:top w:val="nil"/>
              <w:left w:val="nil"/>
              <w:bottom w:val="nil"/>
              <w:right w:val="nil"/>
            </w:tcBorders>
            <w:shd w:val="clear" w:color="auto" w:fill="auto"/>
            <w:vAlign w:val="bottom"/>
            <w:hideMark/>
          </w:tcPr>
          <w:p w14:paraId="16FC3FC9"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16" w:type="dxa"/>
            <w:tcBorders>
              <w:top w:val="nil"/>
              <w:left w:val="nil"/>
              <w:bottom w:val="nil"/>
              <w:right w:val="nil"/>
            </w:tcBorders>
            <w:shd w:val="clear" w:color="auto" w:fill="auto"/>
            <w:vAlign w:val="bottom"/>
            <w:hideMark/>
          </w:tcPr>
          <w:p w14:paraId="6627B4D2"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1" w:type="dxa"/>
            <w:tcBorders>
              <w:top w:val="nil"/>
              <w:left w:val="nil"/>
              <w:bottom w:val="nil"/>
              <w:right w:val="nil"/>
            </w:tcBorders>
            <w:shd w:val="clear" w:color="auto" w:fill="auto"/>
            <w:vAlign w:val="bottom"/>
            <w:hideMark/>
          </w:tcPr>
          <w:p w14:paraId="1C50BBFA" w14:textId="77777777" w:rsidR="005269EC" w:rsidRPr="005269EC" w:rsidRDefault="005269EC" w:rsidP="00B843E3">
            <w:pPr>
              <w:jc w:val="right"/>
              <w:rPr>
                <w:color w:val="000000"/>
                <w:sz w:val="18"/>
                <w:szCs w:val="18"/>
                <w:lang w:eastAsia="tr-TR"/>
              </w:rPr>
            </w:pPr>
            <w:r w:rsidRPr="005269EC">
              <w:rPr>
                <w:color w:val="000000"/>
                <w:sz w:val="18"/>
                <w:szCs w:val="18"/>
                <w:lang w:eastAsia="tr-TR"/>
              </w:rPr>
              <w:t>1,531</w:t>
            </w:r>
          </w:p>
        </w:tc>
      </w:tr>
      <w:tr w:rsidR="005269EC" w:rsidRPr="005269EC" w14:paraId="24547046" w14:textId="77777777" w:rsidTr="00B843E3">
        <w:trPr>
          <w:divId w:val="1176118601"/>
          <w:trHeight w:val="213"/>
        </w:trPr>
        <w:tc>
          <w:tcPr>
            <w:tcW w:w="2464" w:type="dxa"/>
            <w:tcBorders>
              <w:top w:val="nil"/>
              <w:left w:val="nil"/>
              <w:bottom w:val="nil"/>
              <w:right w:val="nil"/>
            </w:tcBorders>
            <w:shd w:val="clear" w:color="auto" w:fill="auto"/>
            <w:vAlign w:val="center"/>
            <w:hideMark/>
          </w:tcPr>
          <w:p w14:paraId="48BD2D41"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Kıymetli maden katılma </w:t>
            </w:r>
            <w:proofErr w:type="spellStart"/>
            <w:r w:rsidRPr="005269EC">
              <w:rPr>
                <w:color w:val="000000"/>
                <w:sz w:val="18"/>
                <w:szCs w:val="18"/>
                <w:lang w:eastAsia="tr-TR"/>
              </w:rPr>
              <w:t>hs.</w:t>
            </w:r>
            <w:proofErr w:type="spellEnd"/>
          </w:p>
        </w:tc>
        <w:tc>
          <w:tcPr>
            <w:tcW w:w="938" w:type="dxa"/>
            <w:tcBorders>
              <w:top w:val="nil"/>
              <w:left w:val="nil"/>
              <w:bottom w:val="nil"/>
              <w:right w:val="nil"/>
            </w:tcBorders>
            <w:shd w:val="clear" w:color="auto" w:fill="auto"/>
            <w:vAlign w:val="bottom"/>
            <w:hideMark/>
          </w:tcPr>
          <w:p w14:paraId="1C7E0210" w14:textId="77777777" w:rsidR="005269EC" w:rsidRPr="005269EC" w:rsidRDefault="005269EC" w:rsidP="00B843E3">
            <w:pPr>
              <w:jc w:val="right"/>
              <w:rPr>
                <w:color w:val="000000"/>
                <w:sz w:val="18"/>
                <w:szCs w:val="18"/>
                <w:lang w:eastAsia="tr-TR"/>
              </w:rPr>
            </w:pPr>
            <w:r w:rsidRPr="005269EC">
              <w:rPr>
                <w:color w:val="000000"/>
                <w:sz w:val="18"/>
                <w:szCs w:val="18"/>
                <w:lang w:eastAsia="tr-TR"/>
              </w:rPr>
              <w:t>6,780</w:t>
            </w:r>
          </w:p>
        </w:tc>
        <w:tc>
          <w:tcPr>
            <w:tcW w:w="851" w:type="dxa"/>
            <w:tcBorders>
              <w:top w:val="nil"/>
              <w:left w:val="nil"/>
              <w:bottom w:val="nil"/>
              <w:right w:val="nil"/>
            </w:tcBorders>
            <w:shd w:val="clear" w:color="auto" w:fill="auto"/>
            <w:vAlign w:val="bottom"/>
            <w:hideMark/>
          </w:tcPr>
          <w:p w14:paraId="2921E56C" w14:textId="77777777" w:rsidR="005269EC" w:rsidRPr="005269EC" w:rsidRDefault="005269EC" w:rsidP="00B843E3">
            <w:pPr>
              <w:jc w:val="right"/>
              <w:rPr>
                <w:color w:val="000000"/>
                <w:sz w:val="18"/>
                <w:szCs w:val="18"/>
                <w:lang w:eastAsia="tr-TR"/>
              </w:rPr>
            </w:pPr>
            <w:r w:rsidRPr="005269EC">
              <w:rPr>
                <w:color w:val="000000"/>
                <w:sz w:val="18"/>
                <w:szCs w:val="18"/>
                <w:lang w:eastAsia="tr-TR"/>
              </w:rPr>
              <w:t>5,273</w:t>
            </w:r>
          </w:p>
        </w:tc>
        <w:tc>
          <w:tcPr>
            <w:tcW w:w="855" w:type="dxa"/>
            <w:tcBorders>
              <w:top w:val="nil"/>
              <w:left w:val="nil"/>
              <w:bottom w:val="nil"/>
              <w:right w:val="nil"/>
            </w:tcBorders>
            <w:shd w:val="clear" w:color="auto" w:fill="auto"/>
            <w:vAlign w:val="bottom"/>
            <w:hideMark/>
          </w:tcPr>
          <w:p w14:paraId="146B3043" w14:textId="77777777" w:rsidR="005269EC" w:rsidRPr="005269EC" w:rsidRDefault="005269EC" w:rsidP="00B843E3">
            <w:pPr>
              <w:jc w:val="right"/>
              <w:rPr>
                <w:color w:val="000000"/>
                <w:sz w:val="18"/>
                <w:szCs w:val="18"/>
                <w:lang w:eastAsia="tr-TR"/>
              </w:rPr>
            </w:pPr>
            <w:r w:rsidRPr="005269EC">
              <w:rPr>
                <w:color w:val="000000"/>
                <w:sz w:val="18"/>
                <w:szCs w:val="18"/>
                <w:lang w:eastAsia="tr-TR"/>
              </w:rPr>
              <w:t>705</w:t>
            </w:r>
          </w:p>
        </w:tc>
        <w:tc>
          <w:tcPr>
            <w:tcW w:w="712" w:type="dxa"/>
            <w:tcBorders>
              <w:top w:val="nil"/>
              <w:left w:val="nil"/>
              <w:bottom w:val="nil"/>
              <w:right w:val="nil"/>
            </w:tcBorders>
            <w:shd w:val="clear" w:color="auto" w:fill="auto"/>
            <w:vAlign w:val="bottom"/>
            <w:hideMark/>
          </w:tcPr>
          <w:p w14:paraId="6F272D83"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4D09FD1D" w14:textId="77777777" w:rsidR="005269EC" w:rsidRPr="005269EC" w:rsidRDefault="005269EC" w:rsidP="00B843E3">
            <w:pPr>
              <w:jc w:val="right"/>
              <w:rPr>
                <w:color w:val="000000"/>
                <w:sz w:val="18"/>
                <w:szCs w:val="18"/>
                <w:lang w:eastAsia="tr-TR"/>
              </w:rPr>
            </w:pPr>
            <w:r w:rsidRPr="005269EC">
              <w:rPr>
                <w:color w:val="000000"/>
                <w:sz w:val="18"/>
                <w:szCs w:val="18"/>
                <w:lang w:eastAsia="tr-TR"/>
              </w:rPr>
              <w:t>677</w:t>
            </w:r>
          </w:p>
        </w:tc>
        <w:tc>
          <w:tcPr>
            <w:tcW w:w="835" w:type="dxa"/>
            <w:tcBorders>
              <w:top w:val="nil"/>
              <w:left w:val="nil"/>
              <w:bottom w:val="nil"/>
              <w:right w:val="nil"/>
            </w:tcBorders>
            <w:shd w:val="clear" w:color="auto" w:fill="auto"/>
            <w:vAlign w:val="bottom"/>
            <w:hideMark/>
          </w:tcPr>
          <w:p w14:paraId="13402B90"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16" w:type="dxa"/>
            <w:tcBorders>
              <w:top w:val="nil"/>
              <w:left w:val="nil"/>
              <w:bottom w:val="nil"/>
              <w:right w:val="nil"/>
            </w:tcBorders>
            <w:shd w:val="clear" w:color="auto" w:fill="auto"/>
            <w:vAlign w:val="bottom"/>
            <w:hideMark/>
          </w:tcPr>
          <w:p w14:paraId="1FD3E79D"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1" w:type="dxa"/>
            <w:tcBorders>
              <w:top w:val="nil"/>
              <w:left w:val="nil"/>
              <w:bottom w:val="nil"/>
              <w:right w:val="nil"/>
            </w:tcBorders>
            <w:shd w:val="clear" w:color="auto" w:fill="auto"/>
            <w:vAlign w:val="bottom"/>
            <w:hideMark/>
          </w:tcPr>
          <w:p w14:paraId="1F6943A2" w14:textId="77777777" w:rsidR="005269EC" w:rsidRPr="005269EC" w:rsidRDefault="005269EC" w:rsidP="00B843E3">
            <w:pPr>
              <w:jc w:val="right"/>
              <w:rPr>
                <w:color w:val="000000"/>
                <w:sz w:val="18"/>
                <w:szCs w:val="18"/>
                <w:lang w:eastAsia="tr-TR"/>
              </w:rPr>
            </w:pPr>
            <w:r w:rsidRPr="005269EC">
              <w:rPr>
                <w:color w:val="000000"/>
                <w:sz w:val="18"/>
                <w:szCs w:val="18"/>
                <w:lang w:eastAsia="tr-TR"/>
              </w:rPr>
              <w:t>13,435</w:t>
            </w:r>
          </w:p>
        </w:tc>
      </w:tr>
      <w:tr w:rsidR="005269EC" w:rsidRPr="005269EC" w14:paraId="4E6863B7" w14:textId="77777777" w:rsidTr="00B843E3">
        <w:trPr>
          <w:divId w:val="1176118601"/>
          <w:trHeight w:val="120"/>
        </w:trPr>
        <w:tc>
          <w:tcPr>
            <w:tcW w:w="2464" w:type="dxa"/>
            <w:tcBorders>
              <w:top w:val="nil"/>
              <w:left w:val="nil"/>
              <w:bottom w:val="single" w:sz="8" w:space="0" w:color="auto"/>
              <w:right w:val="nil"/>
            </w:tcBorders>
            <w:shd w:val="clear" w:color="auto" w:fill="auto"/>
            <w:vAlign w:val="bottom"/>
            <w:hideMark/>
          </w:tcPr>
          <w:p w14:paraId="5663FFC6" w14:textId="77777777" w:rsidR="005269EC" w:rsidRPr="005269EC" w:rsidRDefault="005269EC" w:rsidP="005269EC">
            <w:pPr>
              <w:rPr>
                <w:color w:val="000000"/>
                <w:lang w:eastAsia="tr-TR"/>
              </w:rPr>
            </w:pPr>
            <w:r w:rsidRPr="005269EC">
              <w:rPr>
                <w:color w:val="000000"/>
                <w:lang w:eastAsia="tr-TR"/>
              </w:rPr>
              <w:t> </w:t>
            </w:r>
          </w:p>
        </w:tc>
        <w:tc>
          <w:tcPr>
            <w:tcW w:w="938" w:type="dxa"/>
            <w:tcBorders>
              <w:top w:val="nil"/>
              <w:left w:val="nil"/>
              <w:bottom w:val="single" w:sz="8" w:space="0" w:color="auto"/>
              <w:right w:val="nil"/>
            </w:tcBorders>
            <w:shd w:val="clear" w:color="auto" w:fill="auto"/>
            <w:vAlign w:val="bottom"/>
            <w:hideMark/>
          </w:tcPr>
          <w:p w14:paraId="555840AB"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851" w:type="dxa"/>
            <w:tcBorders>
              <w:top w:val="nil"/>
              <w:left w:val="nil"/>
              <w:bottom w:val="single" w:sz="8" w:space="0" w:color="auto"/>
              <w:right w:val="nil"/>
            </w:tcBorders>
            <w:shd w:val="clear" w:color="auto" w:fill="auto"/>
            <w:vAlign w:val="bottom"/>
            <w:hideMark/>
          </w:tcPr>
          <w:p w14:paraId="35B5D5FC"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855" w:type="dxa"/>
            <w:tcBorders>
              <w:top w:val="nil"/>
              <w:left w:val="nil"/>
              <w:bottom w:val="single" w:sz="8" w:space="0" w:color="auto"/>
              <w:right w:val="nil"/>
            </w:tcBorders>
            <w:shd w:val="clear" w:color="auto" w:fill="auto"/>
            <w:vAlign w:val="bottom"/>
            <w:hideMark/>
          </w:tcPr>
          <w:p w14:paraId="1BDEF3AC"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712" w:type="dxa"/>
            <w:tcBorders>
              <w:top w:val="nil"/>
              <w:left w:val="nil"/>
              <w:bottom w:val="single" w:sz="8" w:space="0" w:color="auto"/>
              <w:right w:val="nil"/>
            </w:tcBorders>
            <w:shd w:val="clear" w:color="auto" w:fill="auto"/>
            <w:vAlign w:val="bottom"/>
            <w:hideMark/>
          </w:tcPr>
          <w:p w14:paraId="5336E021"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7B41393C"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103DBE8B"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916" w:type="dxa"/>
            <w:tcBorders>
              <w:top w:val="nil"/>
              <w:left w:val="nil"/>
              <w:bottom w:val="single" w:sz="8" w:space="0" w:color="auto"/>
              <w:right w:val="nil"/>
            </w:tcBorders>
            <w:shd w:val="clear" w:color="auto" w:fill="auto"/>
            <w:vAlign w:val="bottom"/>
            <w:hideMark/>
          </w:tcPr>
          <w:p w14:paraId="2BC384D5"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961" w:type="dxa"/>
            <w:tcBorders>
              <w:top w:val="nil"/>
              <w:left w:val="nil"/>
              <w:bottom w:val="single" w:sz="8" w:space="0" w:color="auto"/>
              <w:right w:val="nil"/>
            </w:tcBorders>
            <w:shd w:val="clear" w:color="auto" w:fill="auto"/>
            <w:vAlign w:val="bottom"/>
            <w:hideMark/>
          </w:tcPr>
          <w:p w14:paraId="06CBAAE9"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r>
      <w:tr w:rsidR="005269EC" w:rsidRPr="005269EC" w14:paraId="2DB8D4D9" w14:textId="77777777" w:rsidTr="00B843E3">
        <w:trPr>
          <w:divId w:val="1176118601"/>
          <w:trHeight w:val="227"/>
        </w:trPr>
        <w:tc>
          <w:tcPr>
            <w:tcW w:w="2464" w:type="dxa"/>
            <w:tcBorders>
              <w:top w:val="nil"/>
              <w:left w:val="nil"/>
              <w:bottom w:val="single" w:sz="8" w:space="0" w:color="auto"/>
              <w:right w:val="nil"/>
            </w:tcBorders>
            <w:shd w:val="clear" w:color="auto" w:fill="auto"/>
            <w:vAlign w:val="center"/>
            <w:hideMark/>
          </w:tcPr>
          <w:p w14:paraId="15C650BB" w14:textId="77777777" w:rsidR="005269EC" w:rsidRPr="005269EC" w:rsidRDefault="005269EC" w:rsidP="005269EC">
            <w:pPr>
              <w:ind w:firstLineChars="100" w:firstLine="181"/>
              <w:rPr>
                <w:b/>
                <w:bCs/>
                <w:color w:val="000000"/>
                <w:sz w:val="18"/>
                <w:szCs w:val="18"/>
                <w:lang w:eastAsia="tr-TR"/>
              </w:rPr>
            </w:pPr>
            <w:r w:rsidRPr="005269EC">
              <w:rPr>
                <w:b/>
                <w:bCs/>
                <w:color w:val="000000"/>
                <w:sz w:val="18"/>
                <w:szCs w:val="18"/>
                <w:lang w:eastAsia="tr-TR"/>
              </w:rPr>
              <w:t>Toplam</w:t>
            </w:r>
          </w:p>
        </w:tc>
        <w:tc>
          <w:tcPr>
            <w:tcW w:w="938" w:type="dxa"/>
            <w:tcBorders>
              <w:top w:val="nil"/>
              <w:left w:val="nil"/>
              <w:bottom w:val="single" w:sz="8" w:space="0" w:color="auto"/>
              <w:right w:val="nil"/>
            </w:tcBorders>
            <w:shd w:val="clear" w:color="auto" w:fill="auto"/>
            <w:vAlign w:val="bottom"/>
            <w:hideMark/>
          </w:tcPr>
          <w:p w14:paraId="7413C2F6"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39,835</w:t>
            </w:r>
          </w:p>
        </w:tc>
        <w:tc>
          <w:tcPr>
            <w:tcW w:w="851" w:type="dxa"/>
            <w:tcBorders>
              <w:top w:val="nil"/>
              <w:left w:val="nil"/>
              <w:bottom w:val="single" w:sz="8" w:space="0" w:color="auto"/>
              <w:right w:val="nil"/>
            </w:tcBorders>
            <w:shd w:val="clear" w:color="auto" w:fill="auto"/>
            <w:vAlign w:val="bottom"/>
            <w:hideMark/>
          </w:tcPr>
          <w:p w14:paraId="352B5DF0"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64,602</w:t>
            </w:r>
          </w:p>
        </w:tc>
        <w:tc>
          <w:tcPr>
            <w:tcW w:w="855" w:type="dxa"/>
            <w:tcBorders>
              <w:top w:val="nil"/>
              <w:left w:val="nil"/>
              <w:bottom w:val="single" w:sz="8" w:space="0" w:color="auto"/>
              <w:right w:val="nil"/>
            </w:tcBorders>
            <w:shd w:val="clear" w:color="auto" w:fill="auto"/>
            <w:vAlign w:val="bottom"/>
            <w:hideMark/>
          </w:tcPr>
          <w:p w14:paraId="5BBFA2B8"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8,420</w:t>
            </w:r>
          </w:p>
        </w:tc>
        <w:tc>
          <w:tcPr>
            <w:tcW w:w="712" w:type="dxa"/>
            <w:tcBorders>
              <w:top w:val="nil"/>
              <w:left w:val="nil"/>
              <w:bottom w:val="single" w:sz="8" w:space="0" w:color="auto"/>
              <w:right w:val="nil"/>
            </w:tcBorders>
            <w:shd w:val="clear" w:color="auto" w:fill="auto"/>
            <w:vAlign w:val="bottom"/>
            <w:hideMark/>
          </w:tcPr>
          <w:p w14:paraId="61D24136"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bottom"/>
            <w:hideMark/>
          </w:tcPr>
          <w:p w14:paraId="5A1CA2B0"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8,678</w:t>
            </w:r>
          </w:p>
        </w:tc>
        <w:tc>
          <w:tcPr>
            <w:tcW w:w="835" w:type="dxa"/>
            <w:tcBorders>
              <w:top w:val="nil"/>
              <w:left w:val="nil"/>
              <w:bottom w:val="single" w:sz="8" w:space="0" w:color="auto"/>
              <w:right w:val="nil"/>
            </w:tcBorders>
            <w:shd w:val="clear" w:color="auto" w:fill="auto"/>
            <w:vAlign w:val="bottom"/>
            <w:hideMark/>
          </w:tcPr>
          <w:p w14:paraId="179A0D43"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10,745</w:t>
            </w:r>
          </w:p>
        </w:tc>
        <w:tc>
          <w:tcPr>
            <w:tcW w:w="916" w:type="dxa"/>
            <w:tcBorders>
              <w:top w:val="nil"/>
              <w:left w:val="nil"/>
              <w:bottom w:val="single" w:sz="8" w:space="0" w:color="auto"/>
              <w:right w:val="nil"/>
            </w:tcBorders>
            <w:shd w:val="clear" w:color="auto" w:fill="auto"/>
            <w:vAlign w:val="bottom"/>
            <w:hideMark/>
          </w:tcPr>
          <w:p w14:paraId="0BFB7638"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16</w:t>
            </w:r>
          </w:p>
        </w:tc>
        <w:tc>
          <w:tcPr>
            <w:tcW w:w="961" w:type="dxa"/>
            <w:tcBorders>
              <w:top w:val="nil"/>
              <w:left w:val="nil"/>
              <w:bottom w:val="single" w:sz="8" w:space="0" w:color="auto"/>
              <w:right w:val="nil"/>
            </w:tcBorders>
            <w:shd w:val="clear" w:color="auto" w:fill="auto"/>
            <w:vAlign w:val="bottom"/>
            <w:hideMark/>
          </w:tcPr>
          <w:p w14:paraId="48F302A2"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132,296</w:t>
            </w:r>
          </w:p>
        </w:tc>
      </w:tr>
      <w:tr w:rsidR="005269EC" w:rsidRPr="005269EC" w14:paraId="75137BEB" w14:textId="77777777" w:rsidTr="00B843E3">
        <w:trPr>
          <w:divId w:val="1176118601"/>
          <w:trHeight w:val="120"/>
        </w:trPr>
        <w:tc>
          <w:tcPr>
            <w:tcW w:w="2464" w:type="dxa"/>
            <w:tcBorders>
              <w:top w:val="nil"/>
              <w:left w:val="nil"/>
              <w:bottom w:val="single" w:sz="8" w:space="0" w:color="auto"/>
              <w:right w:val="nil"/>
            </w:tcBorders>
            <w:shd w:val="clear" w:color="auto" w:fill="auto"/>
            <w:vAlign w:val="bottom"/>
            <w:hideMark/>
          </w:tcPr>
          <w:p w14:paraId="26CA5410" w14:textId="77777777" w:rsidR="005269EC" w:rsidRPr="005269EC" w:rsidRDefault="005269EC" w:rsidP="005269EC">
            <w:pPr>
              <w:rPr>
                <w:color w:val="000000"/>
                <w:lang w:eastAsia="tr-TR"/>
              </w:rPr>
            </w:pPr>
            <w:r w:rsidRPr="005269EC">
              <w:rPr>
                <w:color w:val="000000"/>
                <w:lang w:eastAsia="tr-TR"/>
              </w:rPr>
              <w:t> </w:t>
            </w:r>
          </w:p>
        </w:tc>
        <w:tc>
          <w:tcPr>
            <w:tcW w:w="938" w:type="dxa"/>
            <w:tcBorders>
              <w:top w:val="nil"/>
              <w:left w:val="nil"/>
              <w:bottom w:val="single" w:sz="8" w:space="0" w:color="auto"/>
              <w:right w:val="nil"/>
            </w:tcBorders>
            <w:shd w:val="clear" w:color="auto" w:fill="auto"/>
            <w:vAlign w:val="center"/>
            <w:hideMark/>
          </w:tcPr>
          <w:p w14:paraId="3B07AB60" w14:textId="77777777" w:rsidR="005269EC" w:rsidRPr="005269EC" w:rsidRDefault="005269EC" w:rsidP="005269EC">
            <w:pPr>
              <w:jc w:val="right"/>
              <w:rPr>
                <w:color w:val="000000"/>
                <w:sz w:val="18"/>
                <w:szCs w:val="18"/>
                <w:lang w:eastAsia="tr-TR"/>
              </w:rPr>
            </w:pPr>
            <w:r w:rsidRPr="005269EC">
              <w:rPr>
                <w:rFonts w:eastAsia="SimSun"/>
                <w:color w:val="000000"/>
                <w:sz w:val="18"/>
                <w:szCs w:val="18"/>
                <w:lang w:eastAsia="tr-TR"/>
              </w:rPr>
              <w:t> </w:t>
            </w:r>
          </w:p>
        </w:tc>
        <w:tc>
          <w:tcPr>
            <w:tcW w:w="851" w:type="dxa"/>
            <w:tcBorders>
              <w:top w:val="nil"/>
              <w:left w:val="nil"/>
              <w:bottom w:val="single" w:sz="8" w:space="0" w:color="auto"/>
              <w:right w:val="nil"/>
            </w:tcBorders>
            <w:shd w:val="clear" w:color="auto" w:fill="auto"/>
            <w:vAlign w:val="center"/>
            <w:hideMark/>
          </w:tcPr>
          <w:p w14:paraId="3046593E" w14:textId="77777777" w:rsidR="005269EC" w:rsidRPr="005269EC" w:rsidRDefault="005269EC" w:rsidP="005269EC">
            <w:pPr>
              <w:jc w:val="right"/>
              <w:rPr>
                <w:color w:val="000000"/>
                <w:sz w:val="18"/>
                <w:szCs w:val="18"/>
                <w:lang w:eastAsia="tr-TR"/>
              </w:rPr>
            </w:pPr>
            <w:r w:rsidRPr="005269EC">
              <w:rPr>
                <w:rFonts w:eastAsia="SimSun"/>
                <w:color w:val="000000"/>
                <w:sz w:val="18"/>
                <w:szCs w:val="18"/>
                <w:lang w:eastAsia="tr-TR"/>
              </w:rPr>
              <w:t> </w:t>
            </w:r>
          </w:p>
        </w:tc>
        <w:tc>
          <w:tcPr>
            <w:tcW w:w="855" w:type="dxa"/>
            <w:tcBorders>
              <w:top w:val="nil"/>
              <w:left w:val="nil"/>
              <w:bottom w:val="single" w:sz="8" w:space="0" w:color="auto"/>
              <w:right w:val="nil"/>
            </w:tcBorders>
            <w:shd w:val="clear" w:color="auto" w:fill="auto"/>
            <w:vAlign w:val="center"/>
            <w:hideMark/>
          </w:tcPr>
          <w:p w14:paraId="15DA716C" w14:textId="77777777" w:rsidR="005269EC" w:rsidRPr="005269EC" w:rsidRDefault="005269EC" w:rsidP="005269EC">
            <w:pPr>
              <w:jc w:val="right"/>
              <w:rPr>
                <w:color w:val="000000"/>
                <w:sz w:val="18"/>
                <w:szCs w:val="18"/>
                <w:lang w:eastAsia="tr-TR"/>
              </w:rPr>
            </w:pPr>
            <w:r w:rsidRPr="005269EC">
              <w:rPr>
                <w:rFonts w:eastAsia="SimSun"/>
                <w:color w:val="000000"/>
                <w:sz w:val="18"/>
                <w:szCs w:val="18"/>
                <w:lang w:eastAsia="tr-TR"/>
              </w:rPr>
              <w:t> </w:t>
            </w:r>
          </w:p>
        </w:tc>
        <w:tc>
          <w:tcPr>
            <w:tcW w:w="712" w:type="dxa"/>
            <w:tcBorders>
              <w:top w:val="nil"/>
              <w:left w:val="nil"/>
              <w:bottom w:val="single" w:sz="8" w:space="0" w:color="auto"/>
              <w:right w:val="nil"/>
            </w:tcBorders>
            <w:shd w:val="clear" w:color="auto" w:fill="auto"/>
            <w:vAlign w:val="center"/>
            <w:hideMark/>
          </w:tcPr>
          <w:p w14:paraId="783E042A" w14:textId="77777777" w:rsidR="005269EC" w:rsidRPr="005269EC" w:rsidRDefault="005269EC" w:rsidP="005269EC">
            <w:pPr>
              <w:jc w:val="right"/>
              <w:rPr>
                <w:color w:val="000000"/>
                <w:sz w:val="18"/>
                <w:szCs w:val="18"/>
                <w:lang w:eastAsia="tr-TR"/>
              </w:rPr>
            </w:pPr>
            <w:r w:rsidRPr="005269EC">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7E32A77B" w14:textId="77777777" w:rsidR="005269EC" w:rsidRPr="005269EC" w:rsidRDefault="005269EC" w:rsidP="005269EC">
            <w:pPr>
              <w:jc w:val="right"/>
              <w:rPr>
                <w:color w:val="000000"/>
                <w:sz w:val="18"/>
                <w:szCs w:val="18"/>
                <w:lang w:eastAsia="tr-TR"/>
              </w:rPr>
            </w:pPr>
            <w:r w:rsidRPr="005269EC">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78500CFF" w14:textId="77777777" w:rsidR="005269EC" w:rsidRPr="005269EC" w:rsidRDefault="005269EC" w:rsidP="005269EC">
            <w:pPr>
              <w:jc w:val="right"/>
              <w:rPr>
                <w:color w:val="000000"/>
                <w:sz w:val="18"/>
                <w:szCs w:val="18"/>
                <w:lang w:eastAsia="tr-TR"/>
              </w:rPr>
            </w:pPr>
            <w:r w:rsidRPr="005269EC">
              <w:rPr>
                <w:rFonts w:eastAsia="SimSun"/>
                <w:color w:val="000000"/>
                <w:sz w:val="18"/>
                <w:szCs w:val="18"/>
                <w:lang w:eastAsia="tr-TR"/>
              </w:rPr>
              <w:t> </w:t>
            </w:r>
          </w:p>
        </w:tc>
        <w:tc>
          <w:tcPr>
            <w:tcW w:w="916" w:type="dxa"/>
            <w:tcBorders>
              <w:top w:val="nil"/>
              <w:left w:val="nil"/>
              <w:bottom w:val="single" w:sz="8" w:space="0" w:color="auto"/>
              <w:right w:val="nil"/>
            </w:tcBorders>
            <w:shd w:val="clear" w:color="auto" w:fill="auto"/>
            <w:vAlign w:val="center"/>
            <w:hideMark/>
          </w:tcPr>
          <w:p w14:paraId="320F8175" w14:textId="77777777" w:rsidR="005269EC" w:rsidRPr="005269EC" w:rsidRDefault="005269EC" w:rsidP="005269EC">
            <w:pPr>
              <w:jc w:val="right"/>
              <w:rPr>
                <w:color w:val="000000"/>
                <w:sz w:val="18"/>
                <w:szCs w:val="18"/>
                <w:lang w:eastAsia="tr-TR"/>
              </w:rPr>
            </w:pPr>
            <w:r w:rsidRPr="005269EC">
              <w:rPr>
                <w:rFonts w:eastAsia="SimSun"/>
                <w:color w:val="000000"/>
                <w:sz w:val="18"/>
                <w:szCs w:val="18"/>
                <w:lang w:eastAsia="tr-TR"/>
              </w:rPr>
              <w:t> </w:t>
            </w:r>
          </w:p>
        </w:tc>
        <w:tc>
          <w:tcPr>
            <w:tcW w:w="961" w:type="dxa"/>
            <w:tcBorders>
              <w:top w:val="nil"/>
              <w:left w:val="nil"/>
              <w:bottom w:val="single" w:sz="8" w:space="0" w:color="auto"/>
              <w:right w:val="nil"/>
            </w:tcBorders>
            <w:shd w:val="clear" w:color="auto" w:fill="auto"/>
            <w:vAlign w:val="center"/>
            <w:hideMark/>
          </w:tcPr>
          <w:p w14:paraId="17E631DC" w14:textId="77777777" w:rsidR="005269EC" w:rsidRPr="005269EC" w:rsidRDefault="005269EC" w:rsidP="005269EC">
            <w:pPr>
              <w:jc w:val="right"/>
              <w:rPr>
                <w:color w:val="000000"/>
                <w:sz w:val="18"/>
                <w:szCs w:val="18"/>
                <w:lang w:eastAsia="tr-TR"/>
              </w:rPr>
            </w:pPr>
            <w:r w:rsidRPr="005269EC">
              <w:rPr>
                <w:rFonts w:eastAsia="SimSun"/>
                <w:color w:val="000000"/>
                <w:sz w:val="18"/>
                <w:szCs w:val="18"/>
                <w:lang w:eastAsia="tr-TR"/>
              </w:rPr>
              <w:t> </w:t>
            </w:r>
          </w:p>
        </w:tc>
      </w:tr>
      <w:tr w:rsidR="005269EC" w:rsidRPr="005269EC" w14:paraId="4AA68BE4" w14:textId="77777777" w:rsidTr="00B843E3">
        <w:trPr>
          <w:divId w:val="1176118601"/>
          <w:trHeight w:val="227"/>
        </w:trPr>
        <w:tc>
          <w:tcPr>
            <w:tcW w:w="2464" w:type="dxa"/>
            <w:tcBorders>
              <w:top w:val="nil"/>
              <w:left w:val="nil"/>
              <w:bottom w:val="double" w:sz="6" w:space="0" w:color="auto"/>
              <w:right w:val="nil"/>
            </w:tcBorders>
            <w:shd w:val="clear" w:color="auto" w:fill="auto"/>
            <w:vAlign w:val="center"/>
            <w:hideMark/>
          </w:tcPr>
          <w:p w14:paraId="0785CCA7" w14:textId="77777777" w:rsidR="005269EC" w:rsidRPr="005269EC" w:rsidRDefault="005269EC" w:rsidP="005269EC">
            <w:pPr>
              <w:ind w:firstLineChars="100" w:firstLine="181"/>
              <w:rPr>
                <w:b/>
                <w:bCs/>
                <w:color w:val="000000"/>
                <w:sz w:val="18"/>
                <w:szCs w:val="18"/>
                <w:lang w:eastAsia="tr-TR"/>
              </w:rPr>
            </w:pPr>
            <w:r w:rsidRPr="005269EC">
              <w:rPr>
                <w:b/>
                <w:bCs/>
                <w:color w:val="000000"/>
                <w:sz w:val="18"/>
                <w:szCs w:val="18"/>
                <w:lang w:eastAsia="tr-TR"/>
              </w:rPr>
              <w:t>Genel toplam</w:t>
            </w:r>
          </w:p>
        </w:tc>
        <w:tc>
          <w:tcPr>
            <w:tcW w:w="938" w:type="dxa"/>
            <w:tcBorders>
              <w:top w:val="nil"/>
              <w:left w:val="nil"/>
              <w:bottom w:val="double" w:sz="6" w:space="0" w:color="auto"/>
              <w:right w:val="nil"/>
            </w:tcBorders>
            <w:shd w:val="clear" w:color="auto" w:fill="auto"/>
            <w:vAlign w:val="center"/>
            <w:hideMark/>
          </w:tcPr>
          <w:p w14:paraId="3308D3E6"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470,810</w:t>
            </w:r>
          </w:p>
        </w:tc>
        <w:tc>
          <w:tcPr>
            <w:tcW w:w="851" w:type="dxa"/>
            <w:tcBorders>
              <w:top w:val="nil"/>
              <w:left w:val="nil"/>
              <w:bottom w:val="double" w:sz="6" w:space="0" w:color="auto"/>
              <w:right w:val="nil"/>
            </w:tcBorders>
            <w:shd w:val="clear" w:color="auto" w:fill="auto"/>
            <w:vAlign w:val="center"/>
            <w:hideMark/>
          </w:tcPr>
          <w:p w14:paraId="74B5DEFD"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740,177</w:t>
            </w:r>
          </w:p>
        </w:tc>
        <w:tc>
          <w:tcPr>
            <w:tcW w:w="855" w:type="dxa"/>
            <w:tcBorders>
              <w:top w:val="nil"/>
              <w:left w:val="nil"/>
              <w:bottom w:val="double" w:sz="6" w:space="0" w:color="auto"/>
              <w:right w:val="nil"/>
            </w:tcBorders>
            <w:shd w:val="clear" w:color="auto" w:fill="auto"/>
            <w:vAlign w:val="center"/>
            <w:hideMark/>
          </w:tcPr>
          <w:p w14:paraId="00389835"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51,134</w:t>
            </w:r>
          </w:p>
        </w:tc>
        <w:tc>
          <w:tcPr>
            <w:tcW w:w="712" w:type="dxa"/>
            <w:tcBorders>
              <w:top w:val="nil"/>
              <w:left w:val="nil"/>
              <w:bottom w:val="double" w:sz="6" w:space="0" w:color="auto"/>
              <w:right w:val="nil"/>
            </w:tcBorders>
            <w:shd w:val="clear" w:color="auto" w:fill="auto"/>
            <w:vAlign w:val="center"/>
            <w:hideMark/>
          </w:tcPr>
          <w:p w14:paraId="1633EC51"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w:t>
            </w:r>
          </w:p>
        </w:tc>
        <w:tc>
          <w:tcPr>
            <w:tcW w:w="835" w:type="dxa"/>
            <w:tcBorders>
              <w:top w:val="nil"/>
              <w:left w:val="nil"/>
              <w:bottom w:val="double" w:sz="6" w:space="0" w:color="auto"/>
              <w:right w:val="nil"/>
            </w:tcBorders>
            <w:shd w:val="clear" w:color="auto" w:fill="auto"/>
            <w:vAlign w:val="center"/>
            <w:hideMark/>
          </w:tcPr>
          <w:p w14:paraId="60FDA8B5"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55,569</w:t>
            </w:r>
          </w:p>
        </w:tc>
        <w:tc>
          <w:tcPr>
            <w:tcW w:w="835" w:type="dxa"/>
            <w:tcBorders>
              <w:top w:val="nil"/>
              <w:left w:val="nil"/>
              <w:bottom w:val="double" w:sz="6" w:space="0" w:color="auto"/>
              <w:right w:val="nil"/>
            </w:tcBorders>
            <w:shd w:val="clear" w:color="auto" w:fill="auto"/>
            <w:vAlign w:val="center"/>
            <w:hideMark/>
          </w:tcPr>
          <w:p w14:paraId="7E3E0252"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80,994</w:t>
            </w:r>
          </w:p>
        </w:tc>
        <w:tc>
          <w:tcPr>
            <w:tcW w:w="916" w:type="dxa"/>
            <w:tcBorders>
              <w:top w:val="nil"/>
              <w:left w:val="nil"/>
              <w:bottom w:val="double" w:sz="6" w:space="0" w:color="auto"/>
              <w:right w:val="nil"/>
            </w:tcBorders>
            <w:shd w:val="clear" w:color="auto" w:fill="auto"/>
            <w:vAlign w:val="center"/>
            <w:hideMark/>
          </w:tcPr>
          <w:p w14:paraId="2BEBFCA6"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918</w:t>
            </w:r>
          </w:p>
        </w:tc>
        <w:tc>
          <w:tcPr>
            <w:tcW w:w="961" w:type="dxa"/>
            <w:tcBorders>
              <w:top w:val="nil"/>
              <w:left w:val="nil"/>
              <w:bottom w:val="double" w:sz="6" w:space="0" w:color="auto"/>
              <w:right w:val="nil"/>
            </w:tcBorders>
            <w:shd w:val="clear" w:color="auto" w:fill="auto"/>
            <w:vAlign w:val="center"/>
            <w:hideMark/>
          </w:tcPr>
          <w:p w14:paraId="174845B2"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1,399,602</w:t>
            </w:r>
          </w:p>
        </w:tc>
      </w:tr>
    </w:tbl>
    <w:p w14:paraId="3B637A82" w14:textId="5A2B6DA4" w:rsidR="005269EC" w:rsidRPr="005269EC" w:rsidRDefault="005269EC" w:rsidP="000F096F">
      <w:pPr>
        <w:autoSpaceDE w:val="0"/>
        <w:autoSpaceDN w:val="0"/>
        <w:adjustRightInd w:val="0"/>
        <w:rPr>
          <w:lang w:val="en-GB" w:eastAsia="en-GB"/>
        </w:rPr>
      </w:pPr>
    </w:p>
    <w:tbl>
      <w:tblPr>
        <w:tblW w:w="9373" w:type="dxa"/>
        <w:tblCellMar>
          <w:left w:w="70" w:type="dxa"/>
          <w:right w:w="70" w:type="dxa"/>
        </w:tblCellMar>
        <w:tblLook w:val="04A0" w:firstRow="1" w:lastRow="0" w:firstColumn="1" w:lastColumn="0" w:noHBand="0" w:noVBand="1"/>
      </w:tblPr>
      <w:tblGrid>
        <w:gridCol w:w="2461"/>
        <w:gridCol w:w="935"/>
        <w:gridCol w:w="860"/>
        <w:gridCol w:w="855"/>
        <w:gridCol w:w="713"/>
        <w:gridCol w:w="834"/>
        <w:gridCol w:w="834"/>
        <w:gridCol w:w="917"/>
        <w:gridCol w:w="964"/>
      </w:tblGrid>
      <w:tr w:rsidR="005269EC" w:rsidRPr="005269EC" w14:paraId="56DEF175" w14:textId="77777777" w:rsidTr="00B843E3">
        <w:trPr>
          <w:divId w:val="818349871"/>
          <w:trHeight w:val="201"/>
        </w:trPr>
        <w:tc>
          <w:tcPr>
            <w:tcW w:w="2466" w:type="dxa"/>
            <w:tcBorders>
              <w:top w:val="single" w:sz="8" w:space="0" w:color="auto"/>
              <w:left w:val="nil"/>
              <w:bottom w:val="single" w:sz="8" w:space="0" w:color="auto"/>
              <w:right w:val="nil"/>
            </w:tcBorders>
            <w:shd w:val="clear" w:color="auto" w:fill="auto"/>
            <w:vAlign w:val="center"/>
            <w:hideMark/>
          </w:tcPr>
          <w:p w14:paraId="1E6EF16B" w14:textId="53428E8C" w:rsidR="005269EC" w:rsidRPr="005269EC" w:rsidRDefault="005269EC" w:rsidP="005269EC">
            <w:pPr>
              <w:rPr>
                <w:b/>
                <w:bCs/>
                <w:color w:val="000000"/>
                <w:sz w:val="18"/>
                <w:szCs w:val="18"/>
                <w:lang w:eastAsia="tr-TR"/>
              </w:rPr>
            </w:pPr>
            <w:r w:rsidRPr="005269EC">
              <w:rPr>
                <w:b/>
                <w:bCs/>
                <w:color w:val="000000"/>
                <w:sz w:val="18"/>
                <w:szCs w:val="18"/>
                <w:lang w:eastAsia="tr-TR"/>
              </w:rPr>
              <w:t>Önceki Dönem</w:t>
            </w:r>
          </w:p>
        </w:tc>
        <w:tc>
          <w:tcPr>
            <w:tcW w:w="6903" w:type="dxa"/>
            <w:gridSpan w:val="8"/>
            <w:tcBorders>
              <w:top w:val="single" w:sz="8" w:space="0" w:color="auto"/>
              <w:left w:val="nil"/>
              <w:bottom w:val="single" w:sz="8" w:space="0" w:color="auto"/>
              <w:right w:val="nil"/>
            </w:tcBorders>
            <w:shd w:val="clear" w:color="auto" w:fill="auto"/>
            <w:vAlign w:val="center"/>
            <w:hideMark/>
          </w:tcPr>
          <w:p w14:paraId="2130594F" w14:textId="77777777" w:rsidR="005269EC" w:rsidRPr="005269EC" w:rsidRDefault="005269EC" w:rsidP="005269EC">
            <w:pPr>
              <w:jc w:val="center"/>
              <w:rPr>
                <w:b/>
                <w:bCs/>
                <w:color w:val="000000"/>
                <w:sz w:val="18"/>
                <w:szCs w:val="18"/>
                <w:lang w:eastAsia="tr-TR"/>
              </w:rPr>
            </w:pPr>
            <w:r w:rsidRPr="005269EC">
              <w:rPr>
                <w:b/>
                <w:bCs/>
                <w:color w:val="000000"/>
                <w:sz w:val="18"/>
                <w:szCs w:val="18"/>
                <w:lang w:eastAsia="tr-TR"/>
              </w:rPr>
              <w:t>Katılma hesapları</w:t>
            </w:r>
          </w:p>
        </w:tc>
      </w:tr>
      <w:tr w:rsidR="005269EC" w:rsidRPr="005269EC" w14:paraId="168D60CC" w14:textId="77777777" w:rsidTr="00B843E3">
        <w:trPr>
          <w:divId w:val="818349871"/>
          <w:trHeight w:val="189"/>
        </w:trPr>
        <w:tc>
          <w:tcPr>
            <w:tcW w:w="2466" w:type="dxa"/>
            <w:tcBorders>
              <w:top w:val="nil"/>
              <w:left w:val="nil"/>
              <w:bottom w:val="nil"/>
              <w:right w:val="nil"/>
            </w:tcBorders>
            <w:shd w:val="clear" w:color="auto" w:fill="auto"/>
            <w:vAlign w:val="center"/>
            <w:hideMark/>
          </w:tcPr>
          <w:p w14:paraId="41E1F377" w14:textId="77777777" w:rsidR="005269EC" w:rsidRPr="005269EC" w:rsidRDefault="005269EC" w:rsidP="005269EC">
            <w:pPr>
              <w:jc w:val="center"/>
              <w:rPr>
                <w:b/>
                <w:bCs/>
                <w:color w:val="000000"/>
                <w:sz w:val="18"/>
                <w:szCs w:val="18"/>
                <w:lang w:eastAsia="tr-TR"/>
              </w:rPr>
            </w:pPr>
          </w:p>
        </w:tc>
        <w:tc>
          <w:tcPr>
            <w:tcW w:w="936" w:type="dxa"/>
            <w:tcBorders>
              <w:top w:val="nil"/>
              <w:left w:val="nil"/>
              <w:bottom w:val="nil"/>
              <w:right w:val="nil"/>
            </w:tcBorders>
            <w:shd w:val="clear" w:color="auto" w:fill="auto"/>
            <w:vAlign w:val="center"/>
            <w:hideMark/>
          </w:tcPr>
          <w:p w14:paraId="1445ED88" w14:textId="77777777" w:rsidR="005269EC" w:rsidRPr="005269EC" w:rsidRDefault="005269EC" w:rsidP="005269EC">
            <w:pPr>
              <w:rPr>
                <w:lang w:eastAsia="tr-TR"/>
              </w:rPr>
            </w:pPr>
          </w:p>
        </w:tc>
        <w:tc>
          <w:tcPr>
            <w:tcW w:w="851" w:type="dxa"/>
            <w:tcBorders>
              <w:top w:val="nil"/>
              <w:left w:val="nil"/>
              <w:bottom w:val="nil"/>
              <w:right w:val="nil"/>
            </w:tcBorders>
            <w:shd w:val="clear" w:color="auto" w:fill="auto"/>
            <w:vAlign w:val="center"/>
            <w:hideMark/>
          </w:tcPr>
          <w:p w14:paraId="59B630F4" w14:textId="77777777" w:rsidR="005269EC" w:rsidRPr="005269EC" w:rsidRDefault="005269EC" w:rsidP="005269EC">
            <w:pPr>
              <w:jc w:val="right"/>
              <w:rPr>
                <w:lang w:eastAsia="tr-TR"/>
              </w:rPr>
            </w:pPr>
          </w:p>
        </w:tc>
        <w:tc>
          <w:tcPr>
            <w:tcW w:w="856" w:type="dxa"/>
            <w:tcBorders>
              <w:top w:val="nil"/>
              <w:left w:val="nil"/>
              <w:bottom w:val="nil"/>
              <w:right w:val="nil"/>
            </w:tcBorders>
            <w:shd w:val="clear" w:color="auto" w:fill="auto"/>
            <w:vAlign w:val="center"/>
            <w:hideMark/>
          </w:tcPr>
          <w:p w14:paraId="3D80E379" w14:textId="77777777" w:rsidR="005269EC" w:rsidRPr="005269EC" w:rsidRDefault="005269EC" w:rsidP="005269EC">
            <w:pPr>
              <w:jc w:val="right"/>
              <w:rPr>
                <w:lang w:eastAsia="tr-TR"/>
              </w:rPr>
            </w:pPr>
          </w:p>
        </w:tc>
        <w:tc>
          <w:tcPr>
            <w:tcW w:w="713" w:type="dxa"/>
            <w:tcBorders>
              <w:top w:val="nil"/>
              <w:left w:val="nil"/>
              <w:bottom w:val="nil"/>
              <w:right w:val="nil"/>
            </w:tcBorders>
            <w:shd w:val="clear" w:color="auto" w:fill="auto"/>
            <w:vAlign w:val="center"/>
            <w:hideMark/>
          </w:tcPr>
          <w:p w14:paraId="14A362D7" w14:textId="77777777" w:rsidR="005269EC" w:rsidRPr="005269EC" w:rsidRDefault="005269EC" w:rsidP="005269EC">
            <w:pPr>
              <w:jc w:val="right"/>
              <w:rPr>
                <w:lang w:eastAsia="tr-TR"/>
              </w:rPr>
            </w:pPr>
          </w:p>
        </w:tc>
        <w:tc>
          <w:tcPr>
            <w:tcW w:w="835" w:type="dxa"/>
            <w:tcBorders>
              <w:top w:val="nil"/>
              <w:left w:val="nil"/>
              <w:bottom w:val="nil"/>
              <w:right w:val="nil"/>
            </w:tcBorders>
            <w:shd w:val="clear" w:color="auto" w:fill="auto"/>
            <w:vAlign w:val="center"/>
            <w:hideMark/>
          </w:tcPr>
          <w:p w14:paraId="5B138954" w14:textId="77777777" w:rsidR="005269EC" w:rsidRPr="005269EC" w:rsidRDefault="005269EC" w:rsidP="005269EC">
            <w:pPr>
              <w:jc w:val="right"/>
              <w:rPr>
                <w:lang w:eastAsia="tr-TR"/>
              </w:rPr>
            </w:pPr>
          </w:p>
        </w:tc>
        <w:tc>
          <w:tcPr>
            <w:tcW w:w="835" w:type="dxa"/>
            <w:tcBorders>
              <w:top w:val="nil"/>
              <w:left w:val="nil"/>
              <w:bottom w:val="nil"/>
              <w:right w:val="nil"/>
            </w:tcBorders>
            <w:shd w:val="clear" w:color="auto" w:fill="auto"/>
            <w:vAlign w:val="center"/>
            <w:hideMark/>
          </w:tcPr>
          <w:p w14:paraId="17883056" w14:textId="77777777" w:rsidR="005269EC" w:rsidRPr="005269EC" w:rsidRDefault="005269EC" w:rsidP="005269EC">
            <w:pPr>
              <w:jc w:val="right"/>
              <w:rPr>
                <w:lang w:eastAsia="tr-TR"/>
              </w:rPr>
            </w:pPr>
          </w:p>
        </w:tc>
        <w:tc>
          <w:tcPr>
            <w:tcW w:w="917" w:type="dxa"/>
            <w:vMerge w:val="restart"/>
            <w:tcBorders>
              <w:top w:val="nil"/>
              <w:left w:val="nil"/>
              <w:bottom w:val="single" w:sz="8" w:space="0" w:color="000000"/>
              <w:right w:val="nil"/>
            </w:tcBorders>
            <w:shd w:val="clear" w:color="auto" w:fill="auto"/>
            <w:vAlign w:val="center"/>
            <w:hideMark/>
          </w:tcPr>
          <w:p w14:paraId="5EB31E65"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Birikimli katılma hesabı</w:t>
            </w:r>
          </w:p>
        </w:tc>
        <w:tc>
          <w:tcPr>
            <w:tcW w:w="964" w:type="dxa"/>
            <w:tcBorders>
              <w:top w:val="nil"/>
              <w:left w:val="nil"/>
              <w:bottom w:val="nil"/>
              <w:right w:val="nil"/>
            </w:tcBorders>
            <w:shd w:val="clear" w:color="auto" w:fill="auto"/>
            <w:vAlign w:val="center"/>
            <w:hideMark/>
          </w:tcPr>
          <w:p w14:paraId="18A1E9A7" w14:textId="77777777" w:rsidR="005269EC" w:rsidRPr="005269EC" w:rsidRDefault="005269EC" w:rsidP="005269EC">
            <w:pPr>
              <w:jc w:val="right"/>
              <w:rPr>
                <w:b/>
                <w:bCs/>
                <w:color w:val="000000"/>
                <w:sz w:val="18"/>
                <w:szCs w:val="18"/>
                <w:lang w:eastAsia="tr-TR"/>
              </w:rPr>
            </w:pPr>
          </w:p>
        </w:tc>
      </w:tr>
      <w:tr w:rsidR="005269EC" w:rsidRPr="005269EC" w14:paraId="1D511626" w14:textId="77777777" w:rsidTr="00B843E3">
        <w:trPr>
          <w:divId w:val="818349871"/>
          <w:trHeight w:val="189"/>
        </w:trPr>
        <w:tc>
          <w:tcPr>
            <w:tcW w:w="2466" w:type="dxa"/>
            <w:tcBorders>
              <w:top w:val="nil"/>
              <w:left w:val="nil"/>
              <w:bottom w:val="nil"/>
              <w:right w:val="nil"/>
            </w:tcBorders>
            <w:shd w:val="clear" w:color="auto" w:fill="auto"/>
            <w:vAlign w:val="center"/>
            <w:hideMark/>
          </w:tcPr>
          <w:p w14:paraId="48C71D45" w14:textId="77777777" w:rsidR="005269EC" w:rsidRPr="005269EC" w:rsidRDefault="005269EC" w:rsidP="005269EC">
            <w:pPr>
              <w:jc w:val="right"/>
              <w:rPr>
                <w:lang w:eastAsia="tr-TR"/>
              </w:rPr>
            </w:pPr>
          </w:p>
        </w:tc>
        <w:tc>
          <w:tcPr>
            <w:tcW w:w="936" w:type="dxa"/>
            <w:tcBorders>
              <w:top w:val="nil"/>
              <w:left w:val="nil"/>
              <w:bottom w:val="nil"/>
              <w:right w:val="nil"/>
            </w:tcBorders>
            <w:shd w:val="clear" w:color="auto" w:fill="auto"/>
            <w:vAlign w:val="center"/>
            <w:hideMark/>
          </w:tcPr>
          <w:p w14:paraId="19BAAB86"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 xml:space="preserve">1 aya </w:t>
            </w:r>
          </w:p>
        </w:tc>
        <w:tc>
          <w:tcPr>
            <w:tcW w:w="851" w:type="dxa"/>
            <w:tcBorders>
              <w:top w:val="nil"/>
              <w:left w:val="nil"/>
              <w:bottom w:val="nil"/>
              <w:right w:val="nil"/>
            </w:tcBorders>
            <w:shd w:val="clear" w:color="auto" w:fill="auto"/>
            <w:vAlign w:val="center"/>
            <w:hideMark/>
          </w:tcPr>
          <w:p w14:paraId="2952E3C9"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 xml:space="preserve">3 aya </w:t>
            </w:r>
          </w:p>
        </w:tc>
        <w:tc>
          <w:tcPr>
            <w:tcW w:w="856" w:type="dxa"/>
            <w:tcBorders>
              <w:top w:val="nil"/>
              <w:left w:val="nil"/>
              <w:bottom w:val="nil"/>
              <w:right w:val="nil"/>
            </w:tcBorders>
            <w:shd w:val="clear" w:color="auto" w:fill="auto"/>
            <w:vAlign w:val="center"/>
            <w:hideMark/>
          </w:tcPr>
          <w:p w14:paraId="6BF96105"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 xml:space="preserve">6 aya </w:t>
            </w:r>
          </w:p>
        </w:tc>
        <w:tc>
          <w:tcPr>
            <w:tcW w:w="713" w:type="dxa"/>
            <w:tcBorders>
              <w:top w:val="nil"/>
              <w:left w:val="nil"/>
              <w:bottom w:val="nil"/>
              <w:right w:val="nil"/>
            </w:tcBorders>
            <w:shd w:val="clear" w:color="auto" w:fill="auto"/>
            <w:vAlign w:val="center"/>
            <w:hideMark/>
          </w:tcPr>
          <w:p w14:paraId="590BF633"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3AF0E642"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 xml:space="preserve">1 yıla </w:t>
            </w:r>
          </w:p>
        </w:tc>
        <w:tc>
          <w:tcPr>
            <w:tcW w:w="835" w:type="dxa"/>
            <w:tcBorders>
              <w:top w:val="nil"/>
              <w:left w:val="nil"/>
              <w:bottom w:val="nil"/>
              <w:right w:val="nil"/>
            </w:tcBorders>
            <w:shd w:val="clear" w:color="auto" w:fill="auto"/>
            <w:vAlign w:val="center"/>
            <w:hideMark/>
          </w:tcPr>
          <w:p w14:paraId="46BE42C0"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1 yıldan</w:t>
            </w:r>
          </w:p>
        </w:tc>
        <w:tc>
          <w:tcPr>
            <w:tcW w:w="917" w:type="dxa"/>
            <w:vMerge/>
            <w:tcBorders>
              <w:top w:val="nil"/>
              <w:left w:val="nil"/>
              <w:bottom w:val="single" w:sz="8" w:space="0" w:color="000000"/>
              <w:right w:val="nil"/>
            </w:tcBorders>
            <w:vAlign w:val="center"/>
            <w:hideMark/>
          </w:tcPr>
          <w:p w14:paraId="0C139240" w14:textId="77777777" w:rsidR="005269EC" w:rsidRPr="005269EC" w:rsidRDefault="005269EC" w:rsidP="005269EC">
            <w:pPr>
              <w:rPr>
                <w:b/>
                <w:bCs/>
                <w:color w:val="000000"/>
                <w:sz w:val="18"/>
                <w:szCs w:val="18"/>
                <w:lang w:eastAsia="tr-TR"/>
              </w:rPr>
            </w:pPr>
          </w:p>
        </w:tc>
        <w:tc>
          <w:tcPr>
            <w:tcW w:w="964" w:type="dxa"/>
            <w:tcBorders>
              <w:top w:val="nil"/>
              <w:left w:val="nil"/>
              <w:bottom w:val="nil"/>
              <w:right w:val="nil"/>
            </w:tcBorders>
            <w:shd w:val="clear" w:color="auto" w:fill="auto"/>
            <w:vAlign w:val="center"/>
            <w:hideMark/>
          </w:tcPr>
          <w:p w14:paraId="65DE5433" w14:textId="77777777" w:rsidR="005269EC" w:rsidRPr="005269EC" w:rsidRDefault="005269EC" w:rsidP="005269EC">
            <w:pPr>
              <w:jc w:val="right"/>
              <w:rPr>
                <w:b/>
                <w:bCs/>
                <w:color w:val="000000"/>
                <w:sz w:val="18"/>
                <w:szCs w:val="18"/>
                <w:lang w:eastAsia="tr-TR"/>
              </w:rPr>
            </w:pPr>
          </w:p>
        </w:tc>
      </w:tr>
      <w:tr w:rsidR="005269EC" w:rsidRPr="005269EC" w14:paraId="058CF3D0" w14:textId="77777777" w:rsidTr="00B843E3">
        <w:trPr>
          <w:divId w:val="818349871"/>
          <w:trHeight w:val="201"/>
        </w:trPr>
        <w:tc>
          <w:tcPr>
            <w:tcW w:w="2466" w:type="dxa"/>
            <w:tcBorders>
              <w:top w:val="nil"/>
              <w:left w:val="nil"/>
              <w:bottom w:val="single" w:sz="8" w:space="0" w:color="auto"/>
              <w:right w:val="nil"/>
            </w:tcBorders>
            <w:shd w:val="clear" w:color="auto" w:fill="auto"/>
            <w:vAlign w:val="center"/>
            <w:hideMark/>
          </w:tcPr>
          <w:p w14:paraId="4ACB7FAE" w14:textId="77777777" w:rsidR="005269EC" w:rsidRPr="005269EC" w:rsidRDefault="005269EC" w:rsidP="005269EC">
            <w:pPr>
              <w:rPr>
                <w:b/>
                <w:bCs/>
                <w:color w:val="000000"/>
                <w:sz w:val="18"/>
                <w:szCs w:val="18"/>
                <w:lang w:eastAsia="tr-TR"/>
              </w:rPr>
            </w:pPr>
            <w:r w:rsidRPr="005269EC">
              <w:rPr>
                <w:b/>
                <w:bCs/>
                <w:color w:val="000000"/>
                <w:sz w:val="18"/>
                <w:szCs w:val="18"/>
                <w:lang w:eastAsia="tr-TR"/>
              </w:rPr>
              <w:t>Hesap adı</w:t>
            </w:r>
          </w:p>
        </w:tc>
        <w:tc>
          <w:tcPr>
            <w:tcW w:w="936" w:type="dxa"/>
            <w:tcBorders>
              <w:top w:val="nil"/>
              <w:left w:val="nil"/>
              <w:bottom w:val="single" w:sz="8" w:space="0" w:color="auto"/>
              <w:right w:val="nil"/>
            </w:tcBorders>
            <w:shd w:val="clear" w:color="auto" w:fill="auto"/>
            <w:vAlign w:val="center"/>
            <w:hideMark/>
          </w:tcPr>
          <w:p w14:paraId="7BEE01CF" w14:textId="77777777" w:rsidR="005269EC" w:rsidRPr="005269EC" w:rsidRDefault="005269EC" w:rsidP="005269EC">
            <w:pPr>
              <w:jc w:val="right"/>
              <w:rPr>
                <w:b/>
                <w:bCs/>
                <w:color w:val="000000"/>
                <w:sz w:val="18"/>
                <w:szCs w:val="18"/>
                <w:lang w:eastAsia="tr-TR"/>
              </w:rPr>
            </w:pPr>
            <w:proofErr w:type="gramStart"/>
            <w:r w:rsidRPr="005269EC">
              <w:rPr>
                <w:b/>
                <w:bCs/>
                <w:color w:val="000000"/>
                <w:sz w:val="18"/>
                <w:szCs w:val="18"/>
                <w:lang w:eastAsia="tr-TR"/>
              </w:rPr>
              <w:t>kadar</w:t>
            </w:r>
            <w:proofErr w:type="gramEnd"/>
          </w:p>
        </w:tc>
        <w:tc>
          <w:tcPr>
            <w:tcW w:w="851" w:type="dxa"/>
            <w:tcBorders>
              <w:top w:val="nil"/>
              <w:left w:val="nil"/>
              <w:bottom w:val="single" w:sz="8" w:space="0" w:color="auto"/>
              <w:right w:val="nil"/>
            </w:tcBorders>
            <w:shd w:val="clear" w:color="auto" w:fill="auto"/>
            <w:vAlign w:val="center"/>
            <w:hideMark/>
          </w:tcPr>
          <w:p w14:paraId="74C86CF7" w14:textId="77777777" w:rsidR="005269EC" w:rsidRPr="005269EC" w:rsidRDefault="005269EC" w:rsidP="005269EC">
            <w:pPr>
              <w:jc w:val="right"/>
              <w:rPr>
                <w:b/>
                <w:bCs/>
                <w:color w:val="000000"/>
                <w:sz w:val="18"/>
                <w:szCs w:val="18"/>
                <w:lang w:eastAsia="tr-TR"/>
              </w:rPr>
            </w:pPr>
            <w:proofErr w:type="gramStart"/>
            <w:r w:rsidRPr="005269EC">
              <w:rPr>
                <w:b/>
                <w:bCs/>
                <w:color w:val="000000"/>
                <w:sz w:val="18"/>
                <w:szCs w:val="18"/>
                <w:lang w:eastAsia="tr-TR"/>
              </w:rPr>
              <w:t>kadar</w:t>
            </w:r>
            <w:proofErr w:type="gramEnd"/>
          </w:p>
        </w:tc>
        <w:tc>
          <w:tcPr>
            <w:tcW w:w="856" w:type="dxa"/>
            <w:tcBorders>
              <w:top w:val="nil"/>
              <w:left w:val="nil"/>
              <w:bottom w:val="single" w:sz="8" w:space="0" w:color="auto"/>
              <w:right w:val="nil"/>
            </w:tcBorders>
            <w:shd w:val="clear" w:color="auto" w:fill="auto"/>
            <w:vAlign w:val="center"/>
            <w:hideMark/>
          </w:tcPr>
          <w:p w14:paraId="480928DB" w14:textId="77777777" w:rsidR="005269EC" w:rsidRPr="005269EC" w:rsidRDefault="005269EC" w:rsidP="005269EC">
            <w:pPr>
              <w:jc w:val="right"/>
              <w:rPr>
                <w:b/>
                <w:bCs/>
                <w:color w:val="000000"/>
                <w:sz w:val="18"/>
                <w:szCs w:val="18"/>
                <w:lang w:eastAsia="tr-TR"/>
              </w:rPr>
            </w:pPr>
            <w:proofErr w:type="gramStart"/>
            <w:r w:rsidRPr="005269EC">
              <w:rPr>
                <w:b/>
                <w:bCs/>
                <w:color w:val="000000"/>
                <w:sz w:val="18"/>
                <w:szCs w:val="18"/>
                <w:lang w:eastAsia="tr-TR"/>
              </w:rPr>
              <w:t>kadar</w:t>
            </w:r>
            <w:proofErr w:type="gramEnd"/>
          </w:p>
        </w:tc>
        <w:tc>
          <w:tcPr>
            <w:tcW w:w="713" w:type="dxa"/>
            <w:tcBorders>
              <w:top w:val="nil"/>
              <w:left w:val="nil"/>
              <w:bottom w:val="single" w:sz="8" w:space="0" w:color="auto"/>
              <w:right w:val="nil"/>
            </w:tcBorders>
            <w:shd w:val="clear" w:color="auto" w:fill="auto"/>
            <w:vAlign w:val="center"/>
            <w:hideMark/>
          </w:tcPr>
          <w:p w14:paraId="22712D68" w14:textId="77777777" w:rsidR="005269EC" w:rsidRPr="005269EC" w:rsidRDefault="005269EC" w:rsidP="005269EC">
            <w:pPr>
              <w:jc w:val="right"/>
              <w:rPr>
                <w:b/>
                <w:bCs/>
                <w:color w:val="000000"/>
                <w:sz w:val="18"/>
                <w:szCs w:val="18"/>
                <w:lang w:eastAsia="tr-TR"/>
              </w:rPr>
            </w:pPr>
            <w:proofErr w:type="gramStart"/>
            <w:r w:rsidRPr="005269EC">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6AE7AC12"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 xml:space="preserve"> </w:t>
            </w:r>
            <w:proofErr w:type="gramStart"/>
            <w:r w:rsidRPr="005269EC">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54C11EB5" w14:textId="77777777" w:rsidR="005269EC" w:rsidRPr="005269EC" w:rsidRDefault="005269EC" w:rsidP="005269EC">
            <w:pPr>
              <w:jc w:val="right"/>
              <w:rPr>
                <w:b/>
                <w:bCs/>
                <w:color w:val="000000"/>
                <w:sz w:val="18"/>
                <w:szCs w:val="18"/>
                <w:lang w:eastAsia="tr-TR"/>
              </w:rPr>
            </w:pPr>
            <w:proofErr w:type="gramStart"/>
            <w:r w:rsidRPr="005269EC">
              <w:rPr>
                <w:b/>
                <w:bCs/>
                <w:color w:val="000000"/>
                <w:sz w:val="18"/>
                <w:szCs w:val="18"/>
                <w:lang w:eastAsia="tr-TR"/>
              </w:rPr>
              <w:t>uzun</w:t>
            </w:r>
            <w:proofErr w:type="gramEnd"/>
          </w:p>
        </w:tc>
        <w:tc>
          <w:tcPr>
            <w:tcW w:w="917" w:type="dxa"/>
            <w:vMerge/>
            <w:tcBorders>
              <w:top w:val="nil"/>
              <w:left w:val="nil"/>
              <w:bottom w:val="single" w:sz="8" w:space="0" w:color="000000"/>
              <w:right w:val="nil"/>
            </w:tcBorders>
            <w:vAlign w:val="center"/>
            <w:hideMark/>
          </w:tcPr>
          <w:p w14:paraId="0FC3DC73" w14:textId="77777777" w:rsidR="005269EC" w:rsidRPr="005269EC" w:rsidRDefault="005269EC" w:rsidP="005269EC">
            <w:pPr>
              <w:rPr>
                <w:b/>
                <w:bCs/>
                <w:color w:val="000000"/>
                <w:sz w:val="18"/>
                <w:szCs w:val="18"/>
                <w:lang w:eastAsia="tr-TR"/>
              </w:rPr>
            </w:pPr>
          </w:p>
        </w:tc>
        <w:tc>
          <w:tcPr>
            <w:tcW w:w="964" w:type="dxa"/>
            <w:tcBorders>
              <w:top w:val="nil"/>
              <w:left w:val="nil"/>
              <w:bottom w:val="single" w:sz="8" w:space="0" w:color="auto"/>
              <w:right w:val="nil"/>
            </w:tcBorders>
            <w:shd w:val="clear" w:color="auto" w:fill="auto"/>
            <w:vAlign w:val="center"/>
            <w:hideMark/>
          </w:tcPr>
          <w:p w14:paraId="67ECE152"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Toplam</w:t>
            </w:r>
          </w:p>
        </w:tc>
      </w:tr>
      <w:tr w:rsidR="005269EC" w:rsidRPr="005269EC" w14:paraId="559C5BB8" w14:textId="77777777" w:rsidTr="00B843E3">
        <w:trPr>
          <w:divId w:val="818349871"/>
          <w:trHeight w:val="189"/>
        </w:trPr>
        <w:tc>
          <w:tcPr>
            <w:tcW w:w="2466" w:type="dxa"/>
            <w:tcBorders>
              <w:top w:val="nil"/>
              <w:left w:val="nil"/>
              <w:bottom w:val="nil"/>
              <w:right w:val="nil"/>
            </w:tcBorders>
            <w:shd w:val="clear" w:color="auto" w:fill="auto"/>
            <w:vAlign w:val="center"/>
            <w:hideMark/>
          </w:tcPr>
          <w:p w14:paraId="0B72310E" w14:textId="77777777" w:rsidR="005269EC" w:rsidRPr="005269EC" w:rsidRDefault="005269EC" w:rsidP="005269EC">
            <w:pPr>
              <w:rPr>
                <w:b/>
                <w:bCs/>
                <w:color w:val="000000"/>
                <w:sz w:val="18"/>
                <w:szCs w:val="18"/>
                <w:lang w:eastAsia="tr-TR"/>
              </w:rPr>
            </w:pPr>
            <w:r w:rsidRPr="005269EC">
              <w:rPr>
                <w:b/>
                <w:bCs/>
                <w:color w:val="000000"/>
                <w:sz w:val="18"/>
                <w:szCs w:val="18"/>
                <w:lang w:eastAsia="tr-TR"/>
              </w:rPr>
              <w:t>Türk parası</w:t>
            </w:r>
          </w:p>
        </w:tc>
        <w:tc>
          <w:tcPr>
            <w:tcW w:w="936" w:type="dxa"/>
            <w:tcBorders>
              <w:top w:val="nil"/>
              <w:left w:val="nil"/>
              <w:bottom w:val="nil"/>
              <w:right w:val="nil"/>
            </w:tcBorders>
            <w:shd w:val="clear" w:color="auto" w:fill="auto"/>
            <w:vAlign w:val="center"/>
            <w:hideMark/>
          </w:tcPr>
          <w:p w14:paraId="36D0AC4B" w14:textId="77777777" w:rsidR="005269EC" w:rsidRPr="005269EC" w:rsidRDefault="005269EC" w:rsidP="005269EC">
            <w:pPr>
              <w:rPr>
                <w:b/>
                <w:bCs/>
                <w:color w:val="000000"/>
                <w:sz w:val="18"/>
                <w:szCs w:val="18"/>
                <w:lang w:eastAsia="tr-TR"/>
              </w:rPr>
            </w:pPr>
          </w:p>
        </w:tc>
        <w:tc>
          <w:tcPr>
            <w:tcW w:w="851" w:type="dxa"/>
            <w:tcBorders>
              <w:top w:val="nil"/>
              <w:left w:val="nil"/>
              <w:bottom w:val="nil"/>
              <w:right w:val="nil"/>
            </w:tcBorders>
            <w:shd w:val="clear" w:color="auto" w:fill="auto"/>
            <w:vAlign w:val="center"/>
            <w:hideMark/>
          </w:tcPr>
          <w:p w14:paraId="7E6E9AA6" w14:textId="77777777" w:rsidR="005269EC" w:rsidRPr="005269EC" w:rsidRDefault="005269EC" w:rsidP="005269EC">
            <w:pPr>
              <w:jc w:val="right"/>
              <w:rPr>
                <w:lang w:eastAsia="tr-TR"/>
              </w:rPr>
            </w:pPr>
          </w:p>
        </w:tc>
        <w:tc>
          <w:tcPr>
            <w:tcW w:w="856" w:type="dxa"/>
            <w:tcBorders>
              <w:top w:val="nil"/>
              <w:left w:val="nil"/>
              <w:bottom w:val="nil"/>
              <w:right w:val="nil"/>
            </w:tcBorders>
            <w:shd w:val="clear" w:color="auto" w:fill="auto"/>
            <w:vAlign w:val="center"/>
            <w:hideMark/>
          </w:tcPr>
          <w:p w14:paraId="742FD799" w14:textId="77777777" w:rsidR="005269EC" w:rsidRPr="005269EC" w:rsidRDefault="005269EC" w:rsidP="005269EC">
            <w:pPr>
              <w:jc w:val="right"/>
              <w:rPr>
                <w:lang w:eastAsia="tr-TR"/>
              </w:rPr>
            </w:pPr>
          </w:p>
        </w:tc>
        <w:tc>
          <w:tcPr>
            <w:tcW w:w="713" w:type="dxa"/>
            <w:tcBorders>
              <w:top w:val="nil"/>
              <w:left w:val="nil"/>
              <w:bottom w:val="nil"/>
              <w:right w:val="nil"/>
            </w:tcBorders>
            <w:shd w:val="clear" w:color="auto" w:fill="auto"/>
            <w:vAlign w:val="center"/>
            <w:hideMark/>
          </w:tcPr>
          <w:p w14:paraId="6A6F0E2D" w14:textId="77777777" w:rsidR="005269EC" w:rsidRPr="005269EC" w:rsidRDefault="005269EC" w:rsidP="005269EC">
            <w:pPr>
              <w:jc w:val="right"/>
              <w:rPr>
                <w:lang w:eastAsia="tr-TR"/>
              </w:rPr>
            </w:pPr>
          </w:p>
        </w:tc>
        <w:tc>
          <w:tcPr>
            <w:tcW w:w="835" w:type="dxa"/>
            <w:tcBorders>
              <w:top w:val="nil"/>
              <w:left w:val="nil"/>
              <w:bottom w:val="nil"/>
              <w:right w:val="nil"/>
            </w:tcBorders>
            <w:shd w:val="clear" w:color="auto" w:fill="auto"/>
            <w:vAlign w:val="center"/>
            <w:hideMark/>
          </w:tcPr>
          <w:p w14:paraId="417FCF74" w14:textId="77777777" w:rsidR="005269EC" w:rsidRPr="005269EC" w:rsidRDefault="005269EC" w:rsidP="005269EC">
            <w:pPr>
              <w:jc w:val="right"/>
              <w:rPr>
                <w:lang w:eastAsia="tr-TR"/>
              </w:rPr>
            </w:pPr>
          </w:p>
        </w:tc>
        <w:tc>
          <w:tcPr>
            <w:tcW w:w="835" w:type="dxa"/>
            <w:tcBorders>
              <w:top w:val="nil"/>
              <w:left w:val="nil"/>
              <w:bottom w:val="nil"/>
              <w:right w:val="nil"/>
            </w:tcBorders>
            <w:shd w:val="clear" w:color="auto" w:fill="auto"/>
            <w:vAlign w:val="center"/>
            <w:hideMark/>
          </w:tcPr>
          <w:p w14:paraId="5F467FB0" w14:textId="77777777" w:rsidR="005269EC" w:rsidRPr="005269EC" w:rsidRDefault="005269EC" w:rsidP="005269EC">
            <w:pPr>
              <w:jc w:val="right"/>
              <w:rPr>
                <w:lang w:eastAsia="tr-TR"/>
              </w:rPr>
            </w:pPr>
          </w:p>
        </w:tc>
        <w:tc>
          <w:tcPr>
            <w:tcW w:w="917" w:type="dxa"/>
            <w:tcBorders>
              <w:top w:val="nil"/>
              <w:left w:val="nil"/>
              <w:bottom w:val="nil"/>
              <w:right w:val="nil"/>
            </w:tcBorders>
            <w:shd w:val="clear" w:color="auto" w:fill="auto"/>
            <w:vAlign w:val="center"/>
            <w:hideMark/>
          </w:tcPr>
          <w:p w14:paraId="2E9D6804" w14:textId="77777777" w:rsidR="005269EC" w:rsidRPr="005269EC" w:rsidRDefault="005269EC" w:rsidP="005269EC">
            <w:pPr>
              <w:jc w:val="right"/>
              <w:rPr>
                <w:lang w:eastAsia="tr-TR"/>
              </w:rPr>
            </w:pPr>
          </w:p>
        </w:tc>
        <w:tc>
          <w:tcPr>
            <w:tcW w:w="964" w:type="dxa"/>
            <w:tcBorders>
              <w:top w:val="nil"/>
              <w:left w:val="nil"/>
              <w:bottom w:val="nil"/>
              <w:right w:val="nil"/>
            </w:tcBorders>
            <w:shd w:val="clear" w:color="auto" w:fill="auto"/>
            <w:vAlign w:val="center"/>
            <w:hideMark/>
          </w:tcPr>
          <w:p w14:paraId="67AC3C90" w14:textId="77777777" w:rsidR="005269EC" w:rsidRPr="005269EC" w:rsidRDefault="005269EC" w:rsidP="005269EC">
            <w:pPr>
              <w:jc w:val="right"/>
              <w:rPr>
                <w:lang w:eastAsia="tr-TR"/>
              </w:rPr>
            </w:pPr>
          </w:p>
        </w:tc>
      </w:tr>
      <w:tr w:rsidR="005269EC" w:rsidRPr="005269EC" w14:paraId="577BEB86" w14:textId="77777777" w:rsidTr="00B843E3">
        <w:trPr>
          <w:divId w:val="818349871"/>
          <w:trHeight w:val="567"/>
        </w:trPr>
        <w:tc>
          <w:tcPr>
            <w:tcW w:w="2466" w:type="dxa"/>
            <w:tcBorders>
              <w:top w:val="nil"/>
              <w:left w:val="nil"/>
              <w:bottom w:val="nil"/>
              <w:right w:val="nil"/>
            </w:tcBorders>
            <w:shd w:val="clear" w:color="auto" w:fill="auto"/>
            <w:vAlign w:val="center"/>
            <w:hideMark/>
          </w:tcPr>
          <w:p w14:paraId="6A7781E6"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Özel cari hesap ve katılma hesapları aracılığı ile bankalardan toplanan fonlar</w:t>
            </w:r>
          </w:p>
        </w:tc>
        <w:tc>
          <w:tcPr>
            <w:tcW w:w="936" w:type="dxa"/>
            <w:tcBorders>
              <w:top w:val="nil"/>
              <w:left w:val="nil"/>
              <w:bottom w:val="nil"/>
              <w:right w:val="nil"/>
            </w:tcBorders>
            <w:shd w:val="clear" w:color="auto" w:fill="auto"/>
            <w:vAlign w:val="bottom"/>
            <w:hideMark/>
          </w:tcPr>
          <w:p w14:paraId="05BF4F84"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51" w:type="dxa"/>
            <w:tcBorders>
              <w:top w:val="nil"/>
              <w:left w:val="nil"/>
              <w:bottom w:val="nil"/>
              <w:right w:val="nil"/>
            </w:tcBorders>
            <w:shd w:val="clear" w:color="auto" w:fill="auto"/>
            <w:vAlign w:val="bottom"/>
            <w:hideMark/>
          </w:tcPr>
          <w:p w14:paraId="175A3134" w14:textId="77777777" w:rsidR="005269EC" w:rsidRPr="005269EC" w:rsidRDefault="005269EC" w:rsidP="00B843E3">
            <w:pPr>
              <w:jc w:val="right"/>
              <w:rPr>
                <w:color w:val="000000"/>
                <w:sz w:val="18"/>
                <w:szCs w:val="18"/>
                <w:lang w:eastAsia="tr-TR"/>
              </w:rPr>
            </w:pPr>
            <w:r w:rsidRPr="005269EC">
              <w:rPr>
                <w:color w:val="000000"/>
                <w:sz w:val="18"/>
                <w:szCs w:val="18"/>
                <w:lang w:eastAsia="tr-TR"/>
              </w:rPr>
              <w:t>144</w:t>
            </w:r>
          </w:p>
        </w:tc>
        <w:tc>
          <w:tcPr>
            <w:tcW w:w="856" w:type="dxa"/>
            <w:tcBorders>
              <w:top w:val="nil"/>
              <w:left w:val="nil"/>
              <w:bottom w:val="nil"/>
              <w:right w:val="nil"/>
            </w:tcBorders>
            <w:shd w:val="clear" w:color="auto" w:fill="auto"/>
            <w:vAlign w:val="bottom"/>
            <w:hideMark/>
          </w:tcPr>
          <w:p w14:paraId="7A1E5ED8"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713" w:type="dxa"/>
            <w:tcBorders>
              <w:top w:val="nil"/>
              <w:left w:val="nil"/>
              <w:bottom w:val="nil"/>
              <w:right w:val="nil"/>
            </w:tcBorders>
            <w:shd w:val="clear" w:color="auto" w:fill="auto"/>
            <w:vAlign w:val="bottom"/>
            <w:hideMark/>
          </w:tcPr>
          <w:p w14:paraId="7A298531"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25E7AB67"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43A758F9"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060D1809"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4" w:type="dxa"/>
            <w:tcBorders>
              <w:top w:val="nil"/>
              <w:left w:val="nil"/>
              <w:bottom w:val="nil"/>
              <w:right w:val="nil"/>
            </w:tcBorders>
            <w:shd w:val="clear" w:color="auto" w:fill="auto"/>
            <w:vAlign w:val="bottom"/>
            <w:hideMark/>
          </w:tcPr>
          <w:p w14:paraId="3F5FC100" w14:textId="77777777" w:rsidR="005269EC" w:rsidRPr="005269EC" w:rsidRDefault="005269EC" w:rsidP="00B843E3">
            <w:pPr>
              <w:jc w:val="right"/>
              <w:rPr>
                <w:color w:val="000000"/>
                <w:sz w:val="18"/>
                <w:szCs w:val="18"/>
                <w:lang w:eastAsia="tr-TR"/>
              </w:rPr>
            </w:pPr>
            <w:r w:rsidRPr="005269EC">
              <w:rPr>
                <w:color w:val="000000"/>
                <w:sz w:val="18"/>
                <w:szCs w:val="18"/>
                <w:lang w:eastAsia="tr-TR"/>
              </w:rPr>
              <w:t>144</w:t>
            </w:r>
          </w:p>
        </w:tc>
      </w:tr>
      <w:tr w:rsidR="005269EC" w:rsidRPr="005269EC" w14:paraId="11C8F577" w14:textId="77777777" w:rsidTr="00B843E3">
        <w:trPr>
          <w:divId w:val="818349871"/>
          <w:trHeight w:val="378"/>
        </w:trPr>
        <w:tc>
          <w:tcPr>
            <w:tcW w:w="2466" w:type="dxa"/>
            <w:tcBorders>
              <w:top w:val="nil"/>
              <w:left w:val="nil"/>
              <w:bottom w:val="nil"/>
              <w:right w:val="nil"/>
            </w:tcBorders>
            <w:shd w:val="clear" w:color="auto" w:fill="auto"/>
            <w:vAlign w:val="center"/>
            <w:hideMark/>
          </w:tcPr>
          <w:p w14:paraId="48075B4E"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Gerçek kişilerin ticari olmayan katılma </w:t>
            </w:r>
            <w:proofErr w:type="spellStart"/>
            <w:r w:rsidRPr="005269EC">
              <w:rPr>
                <w:color w:val="000000"/>
                <w:sz w:val="18"/>
                <w:szCs w:val="18"/>
                <w:lang w:eastAsia="tr-TR"/>
              </w:rPr>
              <w:t>hs.</w:t>
            </w:r>
            <w:proofErr w:type="spellEnd"/>
          </w:p>
        </w:tc>
        <w:tc>
          <w:tcPr>
            <w:tcW w:w="936" w:type="dxa"/>
            <w:tcBorders>
              <w:top w:val="nil"/>
              <w:left w:val="nil"/>
              <w:bottom w:val="nil"/>
              <w:right w:val="nil"/>
            </w:tcBorders>
            <w:shd w:val="clear" w:color="auto" w:fill="auto"/>
            <w:vAlign w:val="bottom"/>
            <w:hideMark/>
          </w:tcPr>
          <w:p w14:paraId="5D46A131" w14:textId="77777777" w:rsidR="005269EC" w:rsidRPr="005269EC" w:rsidRDefault="005269EC" w:rsidP="00B843E3">
            <w:pPr>
              <w:jc w:val="right"/>
              <w:rPr>
                <w:color w:val="000000"/>
                <w:sz w:val="18"/>
                <w:szCs w:val="18"/>
                <w:lang w:eastAsia="tr-TR"/>
              </w:rPr>
            </w:pPr>
            <w:r w:rsidRPr="005269EC">
              <w:rPr>
                <w:color w:val="000000"/>
                <w:sz w:val="18"/>
                <w:szCs w:val="18"/>
                <w:lang w:eastAsia="tr-TR"/>
              </w:rPr>
              <w:t>637,943</w:t>
            </w:r>
          </w:p>
        </w:tc>
        <w:tc>
          <w:tcPr>
            <w:tcW w:w="851" w:type="dxa"/>
            <w:tcBorders>
              <w:top w:val="nil"/>
              <w:left w:val="nil"/>
              <w:bottom w:val="nil"/>
              <w:right w:val="nil"/>
            </w:tcBorders>
            <w:shd w:val="clear" w:color="auto" w:fill="auto"/>
            <w:vAlign w:val="bottom"/>
            <w:hideMark/>
          </w:tcPr>
          <w:p w14:paraId="79A2B72E" w14:textId="77777777" w:rsidR="005269EC" w:rsidRPr="005269EC" w:rsidRDefault="005269EC" w:rsidP="00B843E3">
            <w:pPr>
              <w:jc w:val="right"/>
              <w:rPr>
                <w:color w:val="000000"/>
                <w:sz w:val="18"/>
                <w:szCs w:val="18"/>
                <w:lang w:eastAsia="tr-TR"/>
              </w:rPr>
            </w:pPr>
            <w:r w:rsidRPr="005269EC">
              <w:rPr>
                <w:color w:val="000000"/>
                <w:sz w:val="18"/>
                <w:szCs w:val="18"/>
                <w:lang w:eastAsia="tr-TR"/>
              </w:rPr>
              <w:t>989,273</w:t>
            </w:r>
          </w:p>
        </w:tc>
        <w:tc>
          <w:tcPr>
            <w:tcW w:w="856" w:type="dxa"/>
            <w:tcBorders>
              <w:top w:val="nil"/>
              <w:left w:val="nil"/>
              <w:bottom w:val="nil"/>
              <w:right w:val="nil"/>
            </w:tcBorders>
            <w:shd w:val="clear" w:color="auto" w:fill="auto"/>
            <w:vAlign w:val="bottom"/>
            <w:hideMark/>
          </w:tcPr>
          <w:p w14:paraId="725A4C81" w14:textId="77777777" w:rsidR="005269EC" w:rsidRPr="005269EC" w:rsidRDefault="005269EC" w:rsidP="00B843E3">
            <w:pPr>
              <w:jc w:val="right"/>
              <w:rPr>
                <w:color w:val="000000"/>
                <w:sz w:val="18"/>
                <w:szCs w:val="18"/>
                <w:lang w:eastAsia="tr-TR"/>
              </w:rPr>
            </w:pPr>
            <w:r w:rsidRPr="005269EC">
              <w:rPr>
                <w:color w:val="000000"/>
                <w:sz w:val="18"/>
                <w:szCs w:val="18"/>
                <w:lang w:eastAsia="tr-TR"/>
              </w:rPr>
              <w:t>57,119</w:t>
            </w:r>
          </w:p>
        </w:tc>
        <w:tc>
          <w:tcPr>
            <w:tcW w:w="713" w:type="dxa"/>
            <w:tcBorders>
              <w:top w:val="nil"/>
              <w:left w:val="nil"/>
              <w:bottom w:val="nil"/>
              <w:right w:val="nil"/>
            </w:tcBorders>
            <w:shd w:val="clear" w:color="auto" w:fill="auto"/>
            <w:vAlign w:val="bottom"/>
            <w:hideMark/>
          </w:tcPr>
          <w:p w14:paraId="0D35E72E"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67F27BFE" w14:textId="77777777" w:rsidR="005269EC" w:rsidRPr="005269EC" w:rsidRDefault="005269EC" w:rsidP="00B843E3">
            <w:pPr>
              <w:jc w:val="right"/>
              <w:rPr>
                <w:color w:val="000000"/>
                <w:sz w:val="18"/>
                <w:szCs w:val="18"/>
                <w:lang w:eastAsia="tr-TR"/>
              </w:rPr>
            </w:pPr>
            <w:r w:rsidRPr="005269EC">
              <w:rPr>
                <w:color w:val="000000"/>
                <w:sz w:val="18"/>
                <w:szCs w:val="18"/>
                <w:lang w:eastAsia="tr-TR"/>
              </w:rPr>
              <w:t>32,507</w:t>
            </w:r>
          </w:p>
        </w:tc>
        <w:tc>
          <w:tcPr>
            <w:tcW w:w="835" w:type="dxa"/>
            <w:tcBorders>
              <w:top w:val="nil"/>
              <w:left w:val="nil"/>
              <w:bottom w:val="nil"/>
              <w:right w:val="nil"/>
            </w:tcBorders>
            <w:shd w:val="clear" w:color="auto" w:fill="auto"/>
            <w:vAlign w:val="bottom"/>
            <w:hideMark/>
          </w:tcPr>
          <w:p w14:paraId="5C8BA686" w14:textId="77777777" w:rsidR="005269EC" w:rsidRPr="005269EC" w:rsidRDefault="005269EC" w:rsidP="00B843E3">
            <w:pPr>
              <w:jc w:val="right"/>
              <w:rPr>
                <w:color w:val="000000"/>
                <w:sz w:val="18"/>
                <w:szCs w:val="18"/>
                <w:lang w:eastAsia="tr-TR"/>
              </w:rPr>
            </w:pPr>
            <w:r w:rsidRPr="005269EC">
              <w:rPr>
                <w:color w:val="000000"/>
                <w:sz w:val="18"/>
                <w:szCs w:val="18"/>
                <w:lang w:eastAsia="tr-TR"/>
              </w:rPr>
              <w:t>36,710</w:t>
            </w:r>
          </w:p>
        </w:tc>
        <w:tc>
          <w:tcPr>
            <w:tcW w:w="917" w:type="dxa"/>
            <w:tcBorders>
              <w:top w:val="nil"/>
              <w:left w:val="nil"/>
              <w:bottom w:val="nil"/>
              <w:right w:val="nil"/>
            </w:tcBorders>
            <w:shd w:val="clear" w:color="auto" w:fill="auto"/>
            <w:vAlign w:val="bottom"/>
            <w:hideMark/>
          </w:tcPr>
          <w:p w14:paraId="7480480E" w14:textId="77777777" w:rsidR="005269EC" w:rsidRPr="005269EC" w:rsidRDefault="005269EC" w:rsidP="00B843E3">
            <w:pPr>
              <w:jc w:val="right"/>
              <w:rPr>
                <w:color w:val="000000"/>
                <w:sz w:val="18"/>
                <w:szCs w:val="18"/>
                <w:lang w:eastAsia="tr-TR"/>
              </w:rPr>
            </w:pPr>
            <w:r w:rsidRPr="005269EC">
              <w:rPr>
                <w:color w:val="000000"/>
                <w:sz w:val="18"/>
                <w:szCs w:val="18"/>
                <w:lang w:eastAsia="tr-TR"/>
              </w:rPr>
              <w:t>2,158</w:t>
            </w:r>
          </w:p>
        </w:tc>
        <w:tc>
          <w:tcPr>
            <w:tcW w:w="964" w:type="dxa"/>
            <w:tcBorders>
              <w:top w:val="nil"/>
              <w:left w:val="nil"/>
              <w:bottom w:val="nil"/>
              <w:right w:val="nil"/>
            </w:tcBorders>
            <w:shd w:val="clear" w:color="auto" w:fill="auto"/>
            <w:vAlign w:val="bottom"/>
            <w:hideMark/>
          </w:tcPr>
          <w:p w14:paraId="78593812" w14:textId="77777777" w:rsidR="005269EC" w:rsidRPr="005269EC" w:rsidRDefault="005269EC" w:rsidP="00B843E3">
            <w:pPr>
              <w:jc w:val="right"/>
              <w:rPr>
                <w:color w:val="000000"/>
                <w:sz w:val="18"/>
                <w:szCs w:val="18"/>
                <w:lang w:eastAsia="tr-TR"/>
              </w:rPr>
            </w:pPr>
            <w:r w:rsidRPr="005269EC">
              <w:rPr>
                <w:color w:val="000000"/>
                <w:sz w:val="18"/>
                <w:szCs w:val="18"/>
                <w:lang w:eastAsia="tr-TR"/>
              </w:rPr>
              <w:t>1,755,710</w:t>
            </w:r>
          </w:p>
        </w:tc>
      </w:tr>
      <w:tr w:rsidR="005269EC" w:rsidRPr="005269EC" w14:paraId="45468563" w14:textId="77777777" w:rsidTr="00B843E3">
        <w:trPr>
          <w:divId w:val="818349871"/>
          <w:trHeight w:val="189"/>
        </w:trPr>
        <w:tc>
          <w:tcPr>
            <w:tcW w:w="2466" w:type="dxa"/>
            <w:tcBorders>
              <w:top w:val="nil"/>
              <w:left w:val="nil"/>
              <w:bottom w:val="nil"/>
              <w:right w:val="nil"/>
            </w:tcBorders>
            <w:shd w:val="clear" w:color="auto" w:fill="auto"/>
            <w:vAlign w:val="center"/>
            <w:hideMark/>
          </w:tcPr>
          <w:p w14:paraId="657D917F"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Resmi kuruluş katılma </w:t>
            </w:r>
            <w:proofErr w:type="spellStart"/>
            <w:r w:rsidRPr="005269EC">
              <w:rPr>
                <w:color w:val="000000"/>
                <w:sz w:val="18"/>
                <w:szCs w:val="18"/>
                <w:lang w:eastAsia="tr-TR"/>
              </w:rPr>
              <w:t>hs.</w:t>
            </w:r>
            <w:proofErr w:type="spellEnd"/>
          </w:p>
        </w:tc>
        <w:tc>
          <w:tcPr>
            <w:tcW w:w="936" w:type="dxa"/>
            <w:tcBorders>
              <w:top w:val="nil"/>
              <w:left w:val="nil"/>
              <w:bottom w:val="nil"/>
              <w:right w:val="nil"/>
            </w:tcBorders>
            <w:shd w:val="clear" w:color="auto" w:fill="auto"/>
            <w:vAlign w:val="bottom"/>
            <w:hideMark/>
          </w:tcPr>
          <w:p w14:paraId="1D43A8FA" w14:textId="77777777" w:rsidR="005269EC" w:rsidRPr="005269EC" w:rsidRDefault="005269EC" w:rsidP="00B843E3">
            <w:pPr>
              <w:jc w:val="right"/>
              <w:rPr>
                <w:color w:val="000000"/>
                <w:sz w:val="18"/>
                <w:szCs w:val="18"/>
                <w:lang w:eastAsia="tr-TR"/>
              </w:rPr>
            </w:pPr>
            <w:r w:rsidRPr="005269EC">
              <w:rPr>
                <w:color w:val="000000"/>
                <w:sz w:val="18"/>
                <w:szCs w:val="18"/>
                <w:lang w:eastAsia="tr-TR"/>
              </w:rPr>
              <w:t>20</w:t>
            </w:r>
          </w:p>
        </w:tc>
        <w:tc>
          <w:tcPr>
            <w:tcW w:w="851" w:type="dxa"/>
            <w:tcBorders>
              <w:top w:val="nil"/>
              <w:left w:val="nil"/>
              <w:bottom w:val="nil"/>
              <w:right w:val="nil"/>
            </w:tcBorders>
            <w:shd w:val="clear" w:color="auto" w:fill="auto"/>
            <w:vAlign w:val="bottom"/>
            <w:hideMark/>
          </w:tcPr>
          <w:p w14:paraId="47B6519E" w14:textId="77777777" w:rsidR="005269EC" w:rsidRPr="005269EC" w:rsidRDefault="005269EC" w:rsidP="00B843E3">
            <w:pPr>
              <w:jc w:val="right"/>
              <w:rPr>
                <w:color w:val="000000"/>
                <w:sz w:val="18"/>
                <w:szCs w:val="18"/>
                <w:lang w:eastAsia="tr-TR"/>
              </w:rPr>
            </w:pPr>
            <w:r w:rsidRPr="005269EC">
              <w:rPr>
                <w:color w:val="000000"/>
                <w:sz w:val="18"/>
                <w:szCs w:val="18"/>
                <w:lang w:eastAsia="tr-TR"/>
              </w:rPr>
              <w:t>102</w:t>
            </w:r>
          </w:p>
        </w:tc>
        <w:tc>
          <w:tcPr>
            <w:tcW w:w="856" w:type="dxa"/>
            <w:tcBorders>
              <w:top w:val="nil"/>
              <w:left w:val="nil"/>
              <w:bottom w:val="nil"/>
              <w:right w:val="nil"/>
            </w:tcBorders>
            <w:shd w:val="clear" w:color="auto" w:fill="auto"/>
            <w:vAlign w:val="bottom"/>
            <w:hideMark/>
          </w:tcPr>
          <w:p w14:paraId="3865E939" w14:textId="77777777" w:rsidR="005269EC" w:rsidRPr="005269EC" w:rsidRDefault="005269EC" w:rsidP="00B843E3">
            <w:pPr>
              <w:jc w:val="right"/>
              <w:rPr>
                <w:color w:val="000000"/>
                <w:sz w:val="18"/>
                <w:szCs w:val="18"/>
                <w:lang w:eastAsia="tr-TR"/>
              </w:rPr>
            </w:pPr>
            <w:r w:rsidRPr="005269EC">
              <w:rPr>
                <w:color w:val="000000"/>
                <w:sz w:val="18"/>
                <w:szCs w:val="18"/>
                <w:lang w:eastAsia="tr-TR"/>
              </w:rPr>
              <w:t>25</w:t>
            </w:r>
          </w:p>
        </w:tc>
        <w:tc>
          <w:tcPr>
            <w:tcW w:w="713" w:type="dxa"/>
            <w:tcBorders>
              <w:top w:val="nil"/>
              <w:left w:val="nil"/>
              <w:bottom w:val="nil"/>
              <w:right w:val="nil"/>
            </w:tcBorders>
            <w:shd w:val="clear" w:color="auto" w:fill="auto"/>
            <w:vAlign w:val="bottom"/>
            <w:hideMark/>
          </w:tcPr>
          <w:p w14:paraId="38B10CD8"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7B468BD6" w14:textId="77777777" w:rsidR="005269EC" w:rsidRPr="005269EC" w:rsidRDefault="005269EC" w:rsidP="00B843E3">
            <w:pPr>
              <w:jc w:val="right"/>
              <w:rPr>
                <w:color w:val="000000"/>
                <w:sz w:val="18"/>
                <w:szCs w:val="18"/>
                <w:lang w:eastAsia="tr-TR"/>
              </w:rPr>
            </w:pPr>
            <w:r w:rsidRPr="005269EC">
              <w:rPr>
                <w:color w:val="000000"/>
                <w:sz w:val="18"/>
                <w:szCs w:val="18"/>
                <w:lang w:eastAsia="tr-TR"/>
              </w:rPr>
              <w:t>6</w:t>
            </w:r>
          </w:p>
        </w:tc>
        <w:tc>
          <w:tcPr>
            <w:tcW w:w="835" w:type="dxa"/>
            <w:tcBorders>
              <w:top w:val="nil"/>
              <w:left w:val="nil"/>
              <w:bottom w:val="nil"/>
              <w:right w:val="nil"/>
            </w:tcBorders>
            <w:shd w:val="clear" w:color="auto" w:fill="auto"/>
            <w:vAlign w:val="bottom"/>
            <w:hideMark/>
          </w:tcPr>
          <w:p w14:paraId="5C6F9AFC"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40999455"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4" w:type="dxa"/>
            <w:tcBorders>
              <w:top w:val="nil"/>
              <w:left w:val="nil"/>
              <w:bottom w:val="nil"/>
              <w:right w:val="nil"/>
            </w:tcBorders>
            <w:shd w:val="clear" w:color="auto" w:fill="auto"/>
            <w:vAlign w:val="bottom"/>
            <w:hideMark/>
          </w:tcPr>
          <w:p w14:paraId="5EDC521A" w14:textId="77777777" w:rsidR="005269EC" w:rsidRPr="005269EC" w:rsidRDefault="005269EC" w:rsidP="00B843E3">
            <w:pPr>
              <w:jc w:val="right"/>
              <w:rPr>
                <w:color w:val="000000"/>
                <w:sz w:val="18"/>
                <w:szCs w:val="18"/>
                <w:lang w:eastAsia="tr-TR"/>
              </w:rPr>
            </w:pPr>
            <w:r w:rsidRPr="005269EC">
              <w:rPr>
                <w:color w:val="000000"/>
                <w:sz w:val="18"/>
                <w:szCs w:val="18"/>
                <w:lang w:eastAsia="tr-TR"/>
              </w:rPr>
              <w:t>153</w:t>
            </w:r>
          </w:p>
        </w:tc>
      </w:tr>
      <w:tr w:rsidR="005269EC" w:rsidRPr="005269EC" w14:paraId="7A1820A8" w14:textId="77777777" w:rsidTr="00B843E3">
        <w:trPr>
          <w:divId w:val="818349871"/>
          <w:trHeight w:val="189"/>
        </w:trPr>
        <w:tc>
          <w:tcPr>
            <w:tcW w:w="2466" w:type="dxa"/>
            <w:tcBorders>
              <w:top w:val="nil"/>
              <w:left w:val="nil"/>
              <w:bottom w:val="nil"/>
              <w:right w:val="nil"/>
            </w:tcBorders>
            <w:shd w:val="clear" w:color="auto" w:fill="auto"/>
            <w:vAlign w:val="center"/>
            <w:hideMark/>
          </w:tcPr>
          <w:p w14:paraId="3D780DEB"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Ticari kuruluş katılma </w:t>
            </w:r>
            <w:proofErr w:type="spellStart"/>
            <w:r w:rsidRPr="005269EC">
              <w:rPr>
                <w:color w:val="000000"/>
                <w:sz w:val="18"/>
                <w:szCs w:val="18"/>
                <w:lang w:eastAsia="tr-TR"/>
              </w:rPr>
              <w:t>hs.</w:t>
            </w:r>
            <w:proofErr w:type="spellEnd"/>
          </w:p>
        </w:tc>
        <w:tc>
          <w:tcPr>
            <w:tcW w:w="936" w:type="dxa"/>
            <w:tcBorders>
              <w:top w:val="nil"/>
              <w:left w:val="nil"/>
              <w:bottom w:val="nil"/>
              <w:right w:val="nil"/>
            </w:tcBorders>
            <w:shd w:val="clear" w:color="auto" w:fill="auto"/>
            <w:vAlign w:val="bottom"/>
            <w:hideMark/>
          </w:tcPr>
          <w:p w14:paraId="41BAB9E0" w14:textId="77777777" w:rsidR="005269EC" w:rsidRPr="005269EC" w:rsidRDefault="005269EC" w:rsidP="00B843E3">
            <w:pPr>
              <w:jc w:val="right"/>
              <w:rPr>
                <w:color w:val="000000"/>
                <w:sz w:val="18"/>
                <w:szCs w:val="18"/>
                <w:lang w:eastAsia="tr-TR"/>
              </w:rPr>
            </w:pPr>
            <w:r w:rsidRPr="005269EC">
              <w:rPr>
                <w:color w:val="000000"/>
                <w:sz w:val="18"/>
                <w:szCs w:val="18"/>
                <w:lang w:eastAsia="tr-TR"/>
              </w:rPr>
              <w:t>45,567</w:t>
            </w:r>
          </w:p>
        </w:tc>
        <w:tc>
          <w:tcPr>
            <w:tcW w:w="851" w:type="dxa"/>
            <w:tcBorders>
              <w:top w:val="nil"/>
              <w:left w:val="nil"/>
              <w:bottom w:val="nil"/>
              <w:right w:val="nil"/>
            </w:tcBorders>
            <w:shd w:val="clear" w:color="auto" w:fill="auto"/>
            <w:vAlign w:val="bottom"/>
            <w:hideMark/>
          </w:tcPr>
          <w:p w14:paraId="3379A77C" w14:textId="77777777" w:rsidR="005269EC" w:rsidRPr="005269EC" w:rsidRDefault="005269EC" w:rsidP="00B843E3">
            <w:pPr>
              <w:jc w:val="right"/>
              <w:rPr>
                <w:color w:val="000000"/>
                <w:sz w:val="18"/>
                <w:szCs w:val="18"/>
                <w:lang w:eastAsia="tr-TR"/>
              </w:rPr>
            </w:pPr>
            <w:r w:rsidRPr="005269EC">
              <w:rPr>
                <w:color w:val="000000"/>
                <w:sz w:val="18"/>
                <w:szCs w:val="18"/>
                <w:lang w:eastAsia="tr-TR"/>
              </w:rPr>
              <w:t>109,523</w:t>
            </w:r>
          </w:p>
        </w:tc>
        <w:tc>
          <w:tcPr>
            <w:tcW w:w="856" w:type="dxa"/>
            <w:tcBorders>
              <w:top w:val="nil"/>
              <w:left w:val="nil"/>
              <w:bottom w:val="nil"/>
              <w:right w:val="nil"/>
            </w:tcBorders>
            <w:shd w:val="clear" w:color="auto" w:fill="auto"/>
            <w:vAlign w:val="bottom"/>
            <w:hideMark/>
          </w:tcPr>
          <w:p w14:paraId="5D1B031B" w14:textId="77777777" w:rsidR="005269EC" w:rsidRPr="005269EC" w:rsidRDefault="005269EC" w:rsidP="00B843E3">
            <w:pPr>
              <w:jc w:val="right"/>
              <w:rPr>
                <w:color w:val="000000"/>
                <w:sz w:val="18"/>
                <w:szCs w:val="18"/>
                <w:lang w:eastAsia="tr-TR"/>
              </w:rPr>
            </w:pPr>
            <w:r w:rsidRPr="005269EC">
              <w:rPr>
                <w:color w:val="000000"/>
                <w:sz w:val="18"/>
                <w:szCs w:val="18"/>
                <w:lang w:eastAsia="tr-TR"/>
              </w:rPr>
              <w:t>12,222</w:t>
            </w:r>
          </w:p>
        </w:tc>
        <w:tc>
          <w:tcPr>
            <w:tcW w:w="713" w:type="dxa"/>
            <w:tcBorders>
              <w:top w:val="nil"/>
              <w:left w:val="nil"/>
              <w:bottom w:val="nil"/>
              <w:right w:val="nil"/>
            </w:tcBorders>
            <w:shd w:val="clear" w:color="auto" w:fill="auto"/>
            <w:vAlign w:val="bottom"/>
            <w:hideMark/>
          </w:tcPr>
          <w:p w14:paraId="70531273"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DF7B858" w14:textId="77777777" w:rsidR="005269EC" w:rsidRPr="005269EC" w:rsidRDefault="005269EC" w:rsidP="00B843E3">
            <w:pPr>
              <w:jc w:val="right"/>
              <w:rPr>
                <w:color w:val="000000"/>
                <w:sz w:val="18"/>
                <w:szCs w:val="18"/>
                <w:lang w:eastAsia="tr-TR"/>
              </w:rPr>
            </w:pPr>
            <w:r w:rsidRPr="005269EC">
              <w:rPr>
                <w:color w:val="000000"/>
                <w:sz w:val="18"/>
                <w:szCs w:val="18"/>
                <w:lang w:eastAsia="tr-TR"/>
              </w:rPr>
              <w:t>1,941</w:t>
            </w:r>
          </w:p>
        </w:tc>
        <w:tc>
          <w:tcPr>
            <w:tcW w:w="835" w:type="dxa"/>
            <w:tcBorders>
              <w:top w:val="nil"/>
              <w:left w:val="nil"/>
              <w:bottom w:val="nil"/>
              <w:right w:val="nil"/>
            </w:tcBorders>
            <w:shd w:val="clear" w:color="auto" w:fill="auto"/>
            <w:vAlign w:val="bottom"/>
            <w:hideMark/>
          </w:tcPr>
          <w:p w14:paraId="6367D777" w14:textId="77777777" w:rsidR="005269EC" w:rsidRPr="005269EC" w:rsidRDefault="005269EC" w:rsidP="00B843E3">
            <w:pPr>
              <w:jc w:val="right"/>
              <w:rPr>
                <w:color w:val="000000"/>
                <w:sz w:val="18"/>
                <w:szCs w:val="18"/>
                <w:lang w:eastAsia="tr-TR"/>
              </w:rPr>
            </w:pPr>
            <w:r w:rsidRPr="005269EC">
              <w:rPr>
                <w:color w:val="000000"/>
                <w:sz w:val="18"/>
                <w:szCs w:val="18"/>
                <w:lang w:eastAsia="tr-TR"/>
              </w:rPr>
              <w:t>1,316</w:t>
            </w:r>
          </w:p>
        </w:tc>
        <w:tc>
          <w:tcPr>
            <w:tcW w:w="917" w:type="dxa"/>
            <w:tcBorders>
              <w:top w:val="nil"/>
              <w:left w:val="nil"/>
              <w:bottom w:val="nil"/>
              <w:right w:val="nil"/>
            </w:tcBorders>
            <w:shd w:val="clear" w:color="auto" w:fill="auto"/>
            <w:vAlign w:val="bottom"/>
            <w:hideMark/>
          </w:tcPr>
          <w:p w14:paraId="21C1E5B8"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4" w:type="dxa"/>
            <w:tcBorders>
              <w:top w:val="nil"/>
              <w:left w:val="nil"/>
              <w:bottom w:val="nil"/>
              <w:right w:val="nil"/>
            </w:tcBorders>
            <w:shd w:val="clear" w:color="auto" w:fill="auto"/>
            <w:vAlign w:val="bottom"/>
            <w:hideMark/>
          </w:tcPr>
          <w:p w14:paraId="2696967E" w14:textId="77777777" w:rsidR="005269EC" w:rsidRPr="005269EC" w:rsidRDefault="005269EC" w:rsidP="00B843E3">
            <w:pPr>
              <w:jc w:val="right"/>
              <w:rPr>
                <w:color w:val="000000"/>
                <w:sz w:val="18"/>
                <w:szCs w:val="18"/>
                <w:lang w:eastAsia="tr-TR"/>
              </w:rPr>
            </w:pPr>
            <w:r w:rsidRPr="005269EC">
              <w:rPr>
                <w:color w:val="000000"/>
                <w:sz w:val="18"/>
                <w:szCs w:val="18"/>
                <w:lang w:eastAsia="tr-TR"/>
              </w:rPr>
              <w:t>170,569</w:t>
            </w:r>
          </w:p>
        </w:tc>
      </w:tr>
      <w:tr w:rsidR="005269EC" w:rsidRPr="005269EC" w14:paraId="7A0FF1ED" w14:textId="77777777" w:rsidTr="00B843E3">
        <w:trPr>
          <w:divId w:val="818349871"/>
          <w:trHeight w:val="189"/>
        </w:trPr>
        <w:tc>
          <w:tcPr>
            <w:tcW w:w="2466" w:type="dxa"/>
            <w:tcBorders>
              <w:top w:val="nil"/>
              <w:left w:val="nil"/>
              <w:bottom w:val="nil"/>
              <w:right w:val="nil"/>
            </w:tcBorders>
            <w:shd w:val="clear" w:color="auto" w:fill="auto"/>
            <w:vAlign w:val="center"/>
            <w:hideMark/>
          </w:tcPr>
          <w:p w14:paraId="0AA9D8C7"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Diğer kuruluş katılma </w:t>
            </w:r>
            <w:proofErr w:type="spellStart"/>
            <w:r w:rsidRPr="005269EC">
              <w:rPr>
                <w:color w:val="000000"/>
                <w:sz w:val="18"/>
                <w:szCs w:val="18"/>
                <w:lang w:eastAsia="tr-TR"/>
              </w:rPr>
              <w:t>hs.</w:t>
            </w:r>
            <w:proofErr w:type="spellEnd"/>
          </w:p>
        </w:tc>
        <w:tc>
          <w:tcPr>
            <w:tcW w:w="936" w:type="dxa"/>
            <w:tcBorders>
              <w:top w:val="nil"/>
              <w:left w:val="nil"/>
              <w:bottom w:val="nil"/>
              <w:right w:val="nil"/>
            </w:tcBorders>
            <w:shd w:val="clear" w:color="auto" w:fill="auto"/>
            <w:vAlign w:val="bottom"/>
            <w:hideMark/>
          </w:tcPr>
          <w:p w14:paraId="30EDF4A1" w14:textId="77777777" w:rsidR="005269EC" w:rsidRPr="005269EC" w:rsidRDefault="005269EC" w:rsidP="00B843E3">
            <w:pPr>
              <w:jc w:val="right"/>
              <w:rPr>
                <w:color w:val="000000"/>
                <w:sz w:val="18"/>
                <w:szCs w:val="18"/>
                <w:lang w:eastAsia="tr-TR"/>
              </w:rPr>
            </w:pPr>
            <w:r w:rsidRPr="005269EC">
              <w:rPr>
                <w:color w:val="000000"/>
                <w:sz w:val="18"/>
                <w:szCs w:val="18"/>
                <w:lang w:eastAsia="tr-TR"/>
              </w:rPr>
              <w:t>5,689</w:t>
            </w:r>
          </w:p>
        </w:tc>
        <w:tc>
          <w:tcPr>
            <w:tcW w:w="851" w:type="dxa"/>
            <w:tcBorders>
              <w:top w:val="nil"/>
              <w:left w:val="nil"/>
              <w:bottom w:val="nil"/>
              <w:right w:val="nil"/>
            </w:tcBorders>
            <w:shd w:val="clear" w:color="auto" w:fill="auto"/>
            <w:vAlign w:val="bottom"/>
            <w:hideMark/>
          </w:tcPr>
          <w:p w14:paraId="33CE9004" w14:textId="77777777" w:rsidR="005269EC" w:rsidRPr="005269EC" w:rsidRDefault="005269EC" w:rsidP="00B843E3">
            <w:pPr>
              <w:jc w:val="right"/>
              <w:rPr>
                <w:color w:val="000000"/>
                <w:sz w:val="18"/>
                <w:szCs w:val="18"/>
                <w:lang w:eastAsia="tr-TR"/>
              </w:rPr>
            </w:pPr>
            <w:r w:rsidRPr="005269EC">
              <w:rPr>
                <w:color w:val="000000"/>
                <w:sz w:val="18"/>
                <w:szCs w:val="18"/>
                <w:lang w:eastAsia="tr-TR"/>
              </w:rPr>
              <w:t>8,997</w:t>
            </w:r>
          </w:p>
        </w:tc>
        <w:tc>
          <w:tcPr>
            <w:tcW w:w="856" w:type="dxa"/>
            <w:tcBorders>
              <w:top w:val="nil"/>
              <w:left w:val="nil"/>
              <w:bottom w:val="nil"/>
              <w:right w:val="nil"/>
            </w:tcBorders>
            <w:shd w:val="clear" w:color="auto" w:fill="auto"/>
            <w:vAlign w:val="bottom"/>
            <w:hideMark/>
          </w:tcPr>
          <w:p w14:paraId="1677C6E4" w14:textId="77777777" w:rsidR="005269EC" w:rsidRPr="005269EC" w:rsidRDefault="005269EC" w:rsidP="00B843E3">
            <w:pPr>
              <w:jc w:val="right"/>
              <w:rPr>
                <w:color w:val="000000"/>
                <w:sz w:val="18"/>
                <w:szCs w:val="18"/>
                <w:lang w:eastAsia="tr-TR"/>
              </w:rPr>
            </w:pPr>
            <w:r w:rsidRPr="005269EC">
              <w:rPr>
                <w:color w:val="000000"/>
                <w:sz w:val="18"/>
                <w:szCs w:val="18"/>
                <w:lang w:eastAsia="tr-TR"/>
              </w:rPr>
              <w:t>1,275</w:t>
            </w:r>
          </w:p>
        </w:tc>
        <w:tc>
          <w:tcPr>
            <w:tcW w:w="713" w:type="dxa"/>
            <w:tcBorders>
              <w:top w:val="nil"/>
              <w:left w:val="nil"/>
              <w:bottom w:val="nil"/>
              <w:right w:val="nil"/>
            </w:tcBorders>
            <w:shd w:val="clear" w:color="auto" w:fill="auto"/>
            <w:vAlign w:val="bottom"/>
            <w:hideMark/>
          </w:tcPr>
          <w:p w14:paraId="0C15DFB7"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E341C83" w14:textId="77777777" w:rsidR="005269EC" w:rsidRPr="005269EC" w:rsidRDefault="005269EC" w:rsidP="00B843E3">
            <w:pPr>
              <w:jc w:val="right"/>
              <w:rPr>
                <w:color w:val="000000"/>
                <w:sz w:val="18"/>
                <w:szCs w:val="18"/>
                <w:lang w:eastAsia="tr-TR"/>
              </w:rPr>
            </w:pPr>
            <w:r w:rsidRPr="005269EC">
              <w:rPr>
                <w:color w:val="000000"/>
                <w:sz w:val="18"/>
                <w:szCs w:val="18"/>
                <w:lang w:eastAsia="tr-TR"/>
              </w:rPr>
              <w:t>376</w:t>
            </w:r>
          </w:p>
        </w:tc>
        <w:tc>
          <w:tcPr>
            <w:tcW w:w="835" w:type="dxa"/>
            <w:tcBorders>
              <w:top w:val="nil"/>
              <w:left w:val="nil"/>
              <w:bottom w:val="nil"/>
              <w:right w:val="nil"/>
            </w:tcBorders>
            <w:shd w:val="clear" w:color="auto" w:fill="auto"/>
            <w:vAlign w:val="bottom"/>
            <w:hideMark/>
          </w:tcPr>
          <w:p w14:paraId="7036ADCC" w14:textId="77777777" w:rsidR="005269EC" w:rsidRPr="005269EC" w:rsidRDefault="005269EC" w:rsidP="00B843E3">
            <w:pPr>
              <w:jc w:val="right"/>
              <w:rPr>
                <w:color w:val="000000"/>
                <w:sz w:val="18"/>
                <w:szCs w:val="18"/>
                <w:lang w:eastAsia="tr-TR"/>
              </w:rPr>
            </w:pPr>
            <w:r w:rsidRPr="005269EC">
              <w:rPr>
                <w:color w:val="000000"/>
                <w:sz w:val="18"/>
                <w:szCs w:val="18"/>
                <w:lang w:eastAsia="tr-TR"/>
              </w:rPr>
              <w:t>143</w:t>
            </w:r>
          </w:p>
        </w:tc>
        <w:tc>
          <w:tcPr>
            <w:tcW w:w="917" w:type="dxa"/>
            <w:tcBorders>
              <w:top w:val="nil"/>
              <w:left w:val="nil"/>
              <w:bottom w:val="nil"/>
              <w:right w:val="nil"/>
            </w:tcBorders>
            <w:shd w:val="clear" w:color="auto" w:fill="auto"/>
            <w:vAlign w:val="bottom"/>
            <w:hideMark/>
          </w:tcPr>
          <w:p w14:paraId="7CB64DA3"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4" w:type="dxa"/>
            <w:tcBorders>
              <w:top w:val="nil"/>
              <w:left w:val="nil"/>
              <w:bottom w:val="nil"/>
              <w:right w:val="nil"/>
            </w:tcBorders>
            <w:shd w:val="clear" w:color="auto" w:fill="auto"/>
            <w:vAlign w:val="bottom"/>
            <w:hideMark/>
          </w:tcPr>
          <w:p w14:paraId="78CD6105" w14:textId="77777777" w:rsidR="005269EC" w:rsidRPr="005269EC" w:rsidRDefault="005269EC" w:rsidP="00B843E3">
            <w:pPr>
              <w:jc w:val="right"/>
              <w:rPr>
                <w:color w:val="000000"/>
                <w:sz w:val="18"/>
                <w:szCs w:val="18"/>
                <w:lang w:eastAsia="tr-TR"/>
              </w:rPr>
            </w:pPr>
            <w:r w:rsidRPr="005269EC">
              <w:rPr>
                <w:color w:val="000000"/>
                <w:sz w:val="18"/>
                <w:szCs w:val="18"/>
                <w:lang w:eastAsia="tr-TR"/>
              </w:rPr>
              <w:t>16,480</w:t>
            </w:r>
          </w:p>
        </w:tc>
      </w:tr>
      <w:tr w:rsidR="005269EC" w:rsidRPr="005269EC" w14:paraId="7AE1EE32" w14:textId="77777777" w:rsidTr="00B843E3">
        <w:trPr>
          <w:divId w:val="818349871"/>
          <w:trHeight w:val="118"/>
        </w:trPr>
        <w:tc>
          <w:tcPr>
            <w:tcW w:w="2466" w:type="dxa"/>
            <w:tcBorders>
              <w:top w:val="nil"/>
              <w:left w:val="nil"/>
              <w:bottom w:val="single" w:sz="8" w:space="0" w:color="auto"/>
              <w:right w:val="nil"/>
            </w:tcBorders>
            <w:shd w:val="clear" w:color="auto" w:fill="auto"/>
            <w:vAlign w:val="bottom"/>
            <w:hideMark/>
          </w:tcPr>
          <w:p w14:paraId="50C10DB4" w14:textId="77777777" w:rsidR="005269EC" w:rsidRPr="005269EC" w:rsidRDefault="005269EC" w:rsidP="005269EC">
            <w:pPr>
              <w:rPr>
                <w:color w:val="000000"/>
                <w:lang w:eastAsia="tr-TR"/>
              </w:rPr>
            </w:pPr>
            <w:r w:rsidRPr="005269EC">
              <w:rPr>
                <w:color w:val="000000"/>
                <w:lang w:eastAsia="tr-TR"/>
              </w:rPr>
              <w:t> </w:t>
            </w:r>
          </w:p>
        </w:tc>
        <w:tc>
          <w:tcPr>
            <w:tcW w:w="936" w:type="dxa"/>
            <w:tcBorders>
              <w:top w:val="nil"/>
              <w:left w:val="nil"/>
              <w:bottom w:val="single" w:sz="8" w:space="0" w:color="auto"/>
              <w:right w:val="nil"/>
            </w:tcBorders>
            <w:shd w:val="clear" w:color="auto" w:fill="auto"/>
            <w:vAlign w:val="bottom"/>
            <w:hideMark/>
          </w:tcPr>
          <w:p w14:paraId="19378EEE"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851" w:type="dxa"/>
            <w:tcBorders>
              <w:top w:val="nil"/>
              <w:left w:val="nil"/>
              <w:bottom w:val="single" w:sz="8" w:space="0" w:color="auto"/>
              <w:right w:val="nil"/>
            </w:tcBorders>
            <w:shd w:val="clear" w:color="auto" w:fill="auto"/>
            <w:vAlign w:val="bottom"/>
            <w:hideMark/>
          </w:tcPr>
          <w:p w14:paraId="03730074"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856" w:type="dxa"/>
            <w:tcBorders>
              <w:top w:val="nil"/>
              <w:left w:val="nil"/>
              <w:bottom w:val="single" w:sz="8" w:space="0" w:color="auto"/>
              <w:right w:val="nil"/>
            </w:tcBorders>
            <w:shd w:val="clear" w:color="auto" w:fill="auto"/>
            <w:vAlign w:val="bottom"/>
            <w:hideMark/>
          </w:tcPr>
          <w:p w14:paraId="6DE51A42"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713" w:type="dxa"/>
            <w:tcBorders>
              <w:top w:val="nil"/>
              <w:left w:val="nil"/>
              <w:bottom w:val="single" w:sz="8" w:space="0" w:color="auto"/>
              <w:right w:val="nil"/>
            </w:tcBorders>
            <w:shd w:val="clear" w:color="auto" w:fill="auto"/>
            <w:vAlign w:val="bottom"/>
            <w:hideMark/>
          </w:tcPr>
          <w:p w14:paraId="092D580E"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2B97D127"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7A3F8441"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917" w:type="dxa"/>
            <w:tcBorders>
              <w:top w:val="nil"/>
              <w:left w:val="nil"/>
              <w:bottom w:val="single" w:sz="8" w:space="0" w:color="auto"/>
              <w:right w:val="nil"/>
            </w:tcBorders>
            <w:shd w:val="clear" w:color="auto" w:fill="auto"/>
            <w:vAlign w:val="bottom"/>
            <w:hideMark/>
          </w:tcPr>
          <w:p w14:paraId="71C1AF91"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964" w:type="dxa"/>
            <w:tcBorders>
              <w:top w:val="nil"/>
              <w:left w:val="nil"/>
              <w:bottom w:val="single" w:sz="8" w:space="0" w:color="auto"/>
              <w:right w:val="nil"/>
            </w:tcBorders>
            <w:shd w:val="clear" w:color="auto" w:fill="auto"/>
            <w:vAlign w:val="bottom"/>
            <w:hideMark/>
          </w:tcPr>
          <w:p w14:paraId="2E79348E"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r>
      <w:tr w:rsidR="005269EC" w:rsidRPr="005269EC" w14:paraId="5697E74B" w14:textId="77777777" w:rsidTr="00B843E3">
        <w:trPr>
          <w:divId w:val="818349871"/>
          <w:trHeight w:val="201"/>
        </w:trPr>
        <w:tc>
          <w:tcPr>
            <w:tcW w:w="2466" w:type="dxa"/>
            <w:tcBorders>
              <w:top w:val="nil"/>
              <w:left w:val="nil"/>
              <w:bottom w:val="single" w:sz="8" w:space="0" w:color="auto"/>
              <w:right w:val="nil"/>
            </w:tcBorders>
            <w:shd w:val="clear" w:color="auto" w:fill="auto"/>
            <w:vAlign w:val="center"/>
            <w:hideMark/>
          </w:tcPr>
          <w:p w14:paraId="487BE05C" w14:textId="77777777" w:rsidR="005269EC" w:rsidRPr="005269EC" w:rsidRDefault="005269EC" w:rsidP="005269EC">
            <w:pPr>
              <w:ind w:firstLineChars="100" w:firstLine="181"/>
              <w:rPr>
                <w:b/>
                <w:bCs/>
                <w:color w:val="000000"/>
                <w:sz w:val="18"/>
                <w:szCs w:val="18"/>
                <w:lang w:eastAsia="tr-TR"/>
              </w:rPr>
            </w:pPr>
            <w:r w:rsidRPr="005269EC">
              <w:rPr>
                <w:b/>
                <w:bCs/>
                <w:color w:val="000000"/>
                <w:sz w:val="18"/>
                <w:szCs w:val="18"/>
                <w:lang w:eastAsia="tr-TR"/>
              </w:rPr>
              <w:t>Toplam</w:t>
            </w:r>
          </w:p>
        </w:tc>
        <w:tc>
          <w:tcPr>
            <w:tcW w:w="936" w:type="dxa"/>
            <w:tcBorders>
              <w:top w:val="nil"/>
              <w:left w:val="nil"/>
              <w:bottom w:val="single" w:sz="8" w:space="0" w:color="auto"/>
              <w:right w:val="nil"/>
            </w:tcBorders>
            <w:shd w:val="clear" w:color="auto" w:fill="auto"/>
            <w:vAlign w:val="bottom"/>
            <w:hideMark/>
          </w:tcPr>
          <w:p w14:paraId="535B0E59"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689,219</w:t>
            </w:r>
          </w:p>
        </w:tc>
        <w:tc>
          <w:tcPr>
            <w:tcW w:w="851" w:type="dxa"/>
            <w:tcBorders>
              <w:top w:val="nil"/>
              <w:left w:val="nil"/>
              <w:bottom w:val="single" w:sz="8" w:space="0" w:color="auto"/>
              <w:right w:val="nil"/>
            </w:tcBorders>
            <w:shd w:val="clear" w:color="auto" w:fill="auto"/>
            <w:vAlign w:val="bottom"/>
            <w:hideMark/>
          </w:tcPr>
          <w:p w14:paraId="67425FDF"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1,108,039</w:t>
            </w:r>
          </w:p>
        </w:tc>
        <w:tc>
          <w:tcPr>
            <w:tcW w:w="856" w:type="dxa"/>
            <w:tcBorders>
              <w:top w:val="nil"/>
              <w:left w:val="nil"/>
              <w:bottom w:val="single" w:sz="8" w:space="0" w:color="auto"/>
              <w:right w:val="nil"/>
            </w:tcBorders>
            <w:shd w:val="clear" w:color="auto" w:fill="auto"/>
            <w:vAlign w:val="bottom"/>
            <w:hideMark/>
          </w:tcPr>
          <w:p w14:paraId="7864CB4B"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70,641</w:t>
            </w:r>
          </w:p>
        </w:tc>
        <w:tc>
          <w:tcPr>
            <w:tcW w:w="713" w:type="dxa"/>
            <w:tcBorders>
              <w:top w:val="nil"/>
              <w:left w:val="nil"/>
              <w:bottom w:val="single" w:sz="8" w:space="0" w:color="auto"/>
              <w:right w:val="nil"/>
            </w:tcBorders>
            <w:shd w:val="clear" w:color="auto" w:fill="auto"/>
            <w:vAlign w:val="bottom"/>
            <w:hideMark/>
          </w:tcPr>
          <w:p w14:paraId="4DD801EB"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bottom"/>
            <w:hideMark/>
          </w:tcPr>
          <w:p w14:paraId="72CE7001"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34,830</w:t>
            </w:r>
          </w:p>
        </w:tc>
        <w:tc>
          <w:tcPr>
            <w:tcW w:w="835" w:type="dxa"/>
            <w:tcBorders>
              <w:top w:val="nil"/>
              <w:left w:val="nil"/>
              <w:bottom w:val="single" w:sz="8" w:space="0" w:color="auto"/>
              <w:right w:val="nil"/>
            </w:tcBorders>
            <w:shd w:val="clear" w:color="auto" w:fill="auto"/>
            <w:vAlign w:val="bottom"/>
            <w:hideMark/>
          </w:tcPr>
          <w:p w14:paraId="74ABDC2F"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38,169</w:t>
            </w:r>
          </w:p>
        </w:tc>
        <w:tc>
          <w:tcPr>
            <w:tcW w:w="917" w:type="dxa"/>
            <w:tcBorders>
              <w:top w:val="nil"/>
              <w:left w:val="nil"/>
              <w:bottom w:val="single" w:sz="8" w:space="0" w:color="auto"/>
              <w:right w:val="nil"/>
            </w:tcBorders>
            <w:shd w:val="clear" w:color="auto" w:fill="auto"/>
            <w:vAlign w:val="bottom"/>
            <w:hideMark/>
          </w:tcPr>
          <w:p w14:paraId="002AE0CD"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2,158</w:t>
            </w:r>
          </w:p>
        </w:tc>
        <w:tc>
          <w:tcPr>
            <w:tcW w:w="964" w:type="dxa"/>
            <w:tcBorders>
              <w:top w:val="nil"/>
              <w:left w:val="nil"/>
              <w:bottom w:val="single" w:sz="8" w:space="0" w:color="auto"/>
              <w:right w:val="nil"/>
            </w:tcBorders>
            <w:shd w:val="clear" w:color="auto" w:fill="auto"/>
            <w:vAlign w:val="bottom"/>
            <w:hideMark/>
          </w:tcPr>
          <w:p w14:paraId="07FED757"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1,943,056</w:t>
            </w:r>
          </w:p>
        </w:tc>
      </w:tr>
      <w:tr w:rsidR="005269EC" w:rsidRPr="005269EC" w14:paraId="5C5209D3" w14:textId="77777777" w:rsidTr="00B843E3">
        <w:trPr>
          <w:divId w:val="818349871"/>
          <w:trHeight w:val="189"/>
        </w:trPr>
        <w:tc>
          <w:tcPr>
            <w:tcW w:w="2466" w:type="dxa"/>
            <w:tcBorders>
              <w:top w:val="nil"/>
              <w:left w:val="nil"/>
              <w:bottom w:val="nil"/>
              <w:right w:val="nil"/>
            </w:tcBorders>
            <w:shd w:val="clear" w:color="auto" w:fill="auto"/>
            <w:vAlign w:val="center"/>
            <w:hideMark/>
          </w:tcPr>
          <w:p w14:paraId="1C91036D" w14:textId="77777777" w:rsidR="005269EC" w:rsidRPr="005269EC" w:rsidRDefault="005269EC" w:rsidP="005269EC">
            <w:pPr>
              <w:rPr>
                <w:b/>
                <w:bCs/>
                <w:color w:val="000000"/>
                <w:sz w:val="18"/>
                <w:szCs w:val="18"/>
                <w:lang w:eastAsia="tr-TR"/>
              </w:rPr>
            </w:pPr>
            <w:r w:rsidRPr="005269EC">
              <w:rPr>
                <w:b/>
                <w:bCs/>
                <w:color w:val="000000"/>
                <w:sz w:val="18"/>
                <w:szCs w:val="18"/>
                <w:lang w:eastAsia="tr-TR"/>
              </w:rPr>
              <w:t>Yabancı para</w:t>
            </w:r>
          </w:p>
        </w:tc>
        <w:tc>
          <w:tcPr>
            <w:tcW w:w="936" w:type="dxa"/>
            <w:tcBorders>
              <w:top w:val="nil"/>
              <w:left w:val="nil"/>
              <w:bottom w:val="nil"/>
              <w:right w:val="nil"/>
            </w:tcBorders>
            <w:shd w:val="clear" w:color="auto" w:fill="auto"/>
            <w:vAlign w:val="bottom"/>
            <w:hideMark/>
          </w:tcPr>
          <w:p w14:paraId="023D3954" w14:textId="77777777" w:rsidR="005269EC" w:rsidRPr="005269EC" w:rsidRDefault="005269EC" w:rsidP="00B843E3">
            <w:pPr>
              <w:jc w:val="right"/>
              <w:rPr>
                <w:b/>
                <w:bCs/>
                <w:color w:val="000000"/>
                <w:sz w:val="18"/>
                <w:szCs w:val="18"/>
                <w:lang w:eastAsia="tr-TR"/>
              </w:rPr>
            </w:pPr>
          </w:p>
        </w:tc>
        <w:tc>
          <w:tcPr>
            <w:tcW w:w="851" w:type="dxa"/>
            <w:tcBorders>
              <w:top w:val="nil"/>
              <w:left w:val="nil"/>
              <w:bottom w:val="nil"/>
              <w:right w:val="nil"/>
            </w:tcBorders>
            <w:shd w:val="clear" w:color="auto" w:fill="auto"/>
            <w:vAlign w:val="bottom"/>
            <w:hideMark/>
          </w:tcPr>
          <w:p w14:paraId="01CCFEFF" w14:textId="77777777" w:rsidR="005269EC" w:rsidRPr="005269EC" w:rsidRDefault="005269EC" w:rsidP="00B843E3">
            <w:pPr>
              <w:jc w:val="right"/>
              <w:rPr>
                <w:lang w:eastAsia="tr-TR"/>
              </w:rPr>
            </w:pPr>
          </w:p>
        </w:tc>
        <w:tc>
          <w:tcPr>
            <w:tcW w:w="856" w:type="dxa"/>
            <w:tcBorders>
              <w:top w:val="nil"/>
              <w:left w:val="nil"/>
              <w:bottom w:val="nil"/>
              <w:right w:val="nil"/>
            </w:tcBorders>
            <w:shd w:val="clear" w:color="auto" w:fill="auto"/>
            <w:vAlign w:val="bottom"/>
            <w:hideMark/>
          </w:tcPr>
          <w:p w14:paraId="305F27F3" w14:textId="77777777" w:rsidR="005269EC" w:rsidRPr="005269EC" w:rsidRDefault="005269EC" w:rsidP="00B843E3">
            <w:pPr>
              <w:jc w:val="right"/>
              <w:rPr>
                <w:lang w:eastAsia="tr-TR"/>
              </w:rPr>
            </w:pPr>
          </w:p>
        </w:tc>
        <w:tc>
          <w:tcPr>
            <w:tcW w:w="713" w:type="dxa"/>
            <w:tcBorders>
              <w:top w:val="nil"/>
              <w:left w:val="nil"/>
              <w:bottom w:val="nil"/>
              <w:right w:val="nil"/>
            </w:tcBorders>
            <w:shd w:val="clear" w:color="auto" w:fill="auto"/>
            <w:vAlign w:val="bottom"/>
            <w:hideMark/>
          </w:tcPr>
          <w:p w14:paraId="4D8C5F4D" w14:textId="77777777" w:rsidR="005269EC" w:rsidRPr="005269EC" w:rsidRDefault="005269EC" w:rsidP="00B843E3">
            <w:pPr>
              <w:jc w:val="right"/>
              <w:rPr>
                <w:lang w:eastAsia="tr-TR"/>
              </w:rPr>
            </w:pPr>
          </w:p>
        </w:tc>
        <w:tc>
          <w:tcPr>
            <w:tcW w:w="835" w:type="dxa"/>
            <w:tcBorders>
              <w:top w:val="nil"/>
              <w:left w:val="nil"/>
              <w:bottom w:val="nil"/>
              <w:right w:val="nil"/>
            </w:tcBorders>
            <w:shd w:val="clear" w:color="auto" w:fill="auto"/>
            <w:vAlign w:val="bottom"/>
            <w:hideMark/>
          </w:tcPr>
          <w:p w14:paraId="1D30F0DB" w14:textId="77777777" w:rsidR="005269EC" w:rsidRPr="005269EC" w:rsidRDefault="005269EC" w:rsidP="00B843E3">
            <w:pPr>
              <w:jc w:val="right"/>
              <w:rPr>
                <w:lang w:eastAsia="tr-TR"/>
              </w:rPr>
            </w:pPr>
          </w:p>
        </w:tc>
        <w:tc>
          <w:tcPr>
            <w:tcW w:w="835" w:type="dxa"/>
            <w:tcBorders>
              <w:top w:val="nil"/>
              <w:left w:val="nil"/>
              <w:bottom w:val="nil"/>
              <w:right w:val="nil"/>
            </w:tcBorders>
            <w:shd w:val="clear" w:color="auto" w:fill="auto"/>
            <w:vAlign w:val="bottom"/>
            <w:hideMark/>
          </w:tcPr>
          <w:p w14:paraId="7994B9E7" w14:textId="77777777" w:rsidR="005269EC" w:rsidRPr="005269EC" w:rsidRDefault="005269EC" w:rsidP="00B843E3">
            <w:pPr>
              <w:jc w:val="right"/>
              <w:rPr>
                <w:lang w:eastAsia="tr-TR"/>
              </w:rPr>
            </w:pPr>
          </w:p>
        </w:tc>
        <w:tc>
          <w:tcPr>
            <w:tcW w:w="917" w:type="dxa"/>
            <w:tcBorders>
              <w:top w:val="nil"/>
              <w:left w:val="nil"/>
              <w:bottom w:val="nil"/>
              <w:right w:val="nil"/>
            </w:tcBorders>
            <w:shd w:val="clear" w:color="auto" w:fill="auto"/>
            <w:vAlign w:val="bottom"/>
            <w:hideMark/>
          </w:tcPr>
          <w:p w14:paraId="59ACC389" w14:textId="77777777" w:rsidR="005269EC" w:rsidRPr="005269EC" w:rsidRDefault="005269EC" w:rsidP="00B843E3">
            <w:pPr>
              <w:jc w:val="right"/>
              <w:rPr>
                <w:lang w:eastAsia="tr-TR"/>
              </w:rPr>
            </w:pPr>
          </w:p>
        </w:tc>
        <w:tc>
          <w:tcPr>
            <w:tcW w:w="964" w:type="dxa"/>
            <w:tcBorders>
              <w:top w:val="nil"/>
              <w:left w:val="nil"/>
              <w:bottom w:val="nil"/>
              <w:right w:val="nil"/>
            </w:tcBorders>
            <w:shd w:val="clear" w:color="auto" w:fill="auto"/>
            <w:vAlign w:val="bottom"/>
            <w:hideMark/>
          </w:tcPr>
          <w:p w14:paraId="53D638E8" w14:textId="77777777" w:rsidR="005269EC" w:rsidRPr="005269EC" w:rsidRDefault="005269EC" w:rsidP="00B843E3">
            <w:pPr>
              <w:jc w:val="right"/>
              <w:rPr>
                <w:lang w:eastAsia="tr-TR"/>
              </w:rPr>
            </w:pPr>
          </w:p>
        </w:tc>
      </w:tr>
      <w:tr w:rsidR="005269EC" w:rsidRPr="005269EC" w14:paraId="18091B3F" w14:textId="77777777" w:rsidTr="00B843E3">
        <w:trPr>
          <w:divId w:val="818349871"/>
          <w:trHeight w:val="189"/>
        </w:trPr>
        <w:tc>
          <w:tcPr>
            <w:tcW w:w="2466" w:type="dxa"/>
            <w:tcBorders>
              <w:top w:val="nil"/>
              <w:left w:val="nil"/>
              <w:bottom w:val="nil"/>
              <w:right w:val="nil"/>
            </w:tcBorders>
            <w:shd w:val="clear" w:color="auto" w:fill="auto"/>
            <w:vAlign w:val="center"/>
            <w:hideMark/>
          </w:tcPr>
          <w:p w14:paraId="524FD2EC" w14:textId="77777777" w:rsidR="005269EC" w:rsidRPr="005269EC" w:rsidRDefault="005269EC" w:rsidP="005269EC">
            <w:pPr>
              <w:ind w:firstLineChars="100" w:firstLine="180"/>
              <w:rPr>
                <w:color w:val="000000"/>
                <w:sz w:val="18"/>
                <w:szCs w:val="18"/>
                <w:lang w:eastAsia="tr-TR"/>
              </w:rPr>
            </w:pPr>
            <w:r w:rsidRPr="005269EC">
              <w:rPr>
                <w:bCs/>
                <w:color w:val="000000"/>
                <w:sz w:val="18"/>
                <w:szCs w:val="18"/>
                <w:lang w:eastAsia="tr-TR"/>
              </w:rPr>
              <w:t>Bankalar</w:t>
            </w:r>
          </w:p>
        </w:tc>
        <w:tc>
          <w:tcPr>
            <w:tcW w:w="936" w:type="dxa"/>
            <w:tcBorders>
              <w:top w:val="nil"/>
              <w:left w:val="nil"/>
              <w:bottom w:val="nil"/>
              <w:right w:val="nil"/>
            </w:tcBorders>
            <w:shd w:val="clear" w:color="auto" w:fill="auto"/>
            <w:vAlign w:val="bottom"/>
            <w:hideMark/>
          </w:tcPr>
          <w:p w14:paraId="5B5B7775" w14:textId="77777777" w:rsidR="005269EC" w:rsidRPr="005269EC" w:rsidRDefault="005269EC" w:rsidP="00B843E3">
            <w:pPr>
              <w:jc w:val="right"/>
              <w:rPr>
                <w:color w:val="000000"/>
                <w:sz w:val="18"/>
                <w:szCs w:val="18"/>
                <w:lang w:eastAsia="tr-TR"/>
              </w:rPr>
            </w:pPr>
            <w:r w:rsidRPr="005269EC">
              <w:rPr>
                <w:color w:val="000000"/>
                <w:sz w:val="18"/>
                <w:szCs w:val="18"/>
                <w:lang w:eastAsia="tr-TR"/>
              </w:rPr>
              <w:t>60</w:t>
            </w:r>
          </w:p>
        </w:tc>
        <w:tc>
          <w:tcPr>
            <w:tcW w:w="851" w:type="dxa"/>
            <w:tcBorders>
              <w:top w:val="nil"/>
              <w:left w:val="nil"/>
              <w:bottom w:val="nil"/>
              <w:right w:val="nil"/>
            </w:tcBorders>
            <w:shd w:val="clear" w:color="auto" w:fill="auto"/>
            <w:vAlign w:val="bottom"/>
            <w:hideMark/>
          </w:tcPr>
          <w:p w14:paraId="5F02A788" w14:textId="77777777" w:rsidR="005269EC" w:rsidRPr="005269EC" w:rsidRDefault="005269EC" w:rsidP="00B843E3">
            <w:pPr>
              <w:jc w:val="right"/>
              <w:rPr>
                <w:color w:val="000000"/>
                <w:sz w:val="18"/>
                <w:szCs w:val="18"/>
                <w:lang w:eastAsia="tr-TR"/>
              </w:rPr>
            </w:pPr>
            <w:r w:rsidRPr="005269EC">
              <w:rPr>
                <w:color w:val="000000"/>
                <w:sz w:val="18"/>
                <w:szCs w:val="18"/>
                <w:lang w:eastAsia="tr-TR"/>
              </w:rPr>
              <w:t>1,947</w:t>
            </w:r>
          </w:p>
        </w:tc>
        <w:tc>
          <w:tcPr>
            <w:tcW w:w="856" w:type="dxa"/>
            <w:tcBorders>
              <w:top w:val="nil"/>
              <w:left w:val="nil"/>
              <w:bottom w:val="nil"/>
              <w:right w:val="nil"/>
            </w:tcBorders>
            <w:shd w:val="clear" w:color="auto" w:fill="auto"/>
            <w:vAlign w:val="bottom"/>
            <w:hideMark/>
          </w:tcPr>
          <w:p w14:paraId="03E1F90E"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713" w:type="dxa"/>
            <w:tcBorders>
              <w:top w:val="nil"/>
              <w:left w:val="nil"/>
              <w:bottom w:val="nil"/>
              <w:right w:val="nil"/>
            </w:tcBorders>
            <w:shd w:val="clear" w:color="auto" w:fill="auto"/>
            <w:vAlign w:val="bottom"/>
            <w:hideMark/>
          </w:tcPr>
          <w:p w14:paraId="0F1C501A"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4C39A9E5"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5B3795B9"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7E77CABF"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4" w:type="dxa"/>
            <w:tcBorders>
              <w:top w:val="nil"/>
              <w:left w:val="nil"/>
              <w:bottom w:val="nil"/>
              <w:right w:val="nil"/>
            </w:tcBorders>
            <w:shd w:val="clear" w:color="auto" w:fill="auto"/>
            <w:vAlign w:val="bottom"/>
            <w:hideMark/>
          </w:tcPr>
          <w:p w14:paraId="54A9FAD8" w14:textId="77777777" w:rsidR="005269EC" w:rsidRPr="005269EC" w:rsidRDefault="005269EC" w:rsidP="00B843E3">
            <w:pPr>
              <w:jc w:val="right"/>
              <w:rPr>
                <w:color w:val="000000"/>
                <w:sz w:val="18"/>
                <w:szCs w:val="18"/>
                <w:lang w:eastAsia="tr-TR"/>
              </w:rPr>
            </w:pPr>
            <w:r w:rsidRPr="005269EC">
              <w:rPr>
                <w:color w:val="000000"/>
                <w:sz w:val="18"/>
                <w:szCs w:val="18"/>
                <w:lang w:eastAsia="tr-TR"/>
              </w:rPr>
              <w:t>2,007</w:t>
            </w:r>
          </w:p>
        </w:tc>
      </w:tr>
      <w:tr w:rsidR="005269EC" w:rsidRPr="005269EC" w14:paraId="3EEDD8D8" w14:textId="77777777" w:rsidTr="00B843E3">
        <w:trPr>
          <w:divId w:val="818349871"/>
          <w:trHeight w:val="378"/>
        </w:trPr>
        <w:tc>
          <w:tcPr>
            <w:tcW w:w="2466" w:type="dxa"/>
            <w:tcBorders>
              <w:top w:val="nil"/>
              <w:left w:val="nil"/>
              <w:bottom w:val="nil"/>
              <w:right w:val="nil"/>
            </w:tcBorders>
            <w:shd w:val="clear" w:color="auto" w:fill="auto"/>
            <w:vAlign w:val="center"/>
            <w:hideMark/>
          </w:tcPr>
          <w:p w14:paraId="3066ED25"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Gerçek kişilerin ticari olmayan katılma </w:t>
            </w:r>
            <w:proofErr w:type="spellStart"/>
            <w:r w:rsidRPr="005269EC">
              <w:rPr>
                <w:color w:val="000000"/>
                <w:sz w:val="18"/>
                <w:szCs w:val="18"/>
                <w:lang w:eastAsia="tr-TR"/>
              </w:rPr>
              <w:t>hs.</w:t>
            </w:r>
            <w:proofErr w:type="spellEnd"/>
          </w:p>
        </w:tc>
        <w:tc>
          <w:tcPr>
            <w:tcW w:w="936" w:type="dxa"/>
            <w:tcBorders>
              <w:top w:val="nil"/>
              <w:left w:val="nil"/>
              <w:bottom w:val="nil"/>
              <w:right w:val="nil"/>
            </w:tcBorders>
            <w:shd w:val="clear" w:color="auto" w:fill="auto"/>
            <w:vAlign w:val="bottom"/>
            <w:hideMark/>
          </w:tcPr>
          <w:p w14:paraId="77A47330" w14:textId="77777777" w:rsidR="005269EC" w:rsidRPr="005269EC" w:rsidRDefault="005269EC" w:rsidP="00B843E3">
            <w:pPr>
              <w:jc w:val="right"/>
              <w:rPr>
                <w:color w:val="000000"/>
                <w:sz w:val="18"/>
                <w:szCs w:val="18"/>
                <w:lang w:eastAsia="tr-TR"/>
              </w:rPr>
            </w:pPr>
            <w:r w:rsidRPr="005269EC">
              <w:rPr>
                <w:color w:val="000000"/>
                <w:sz w:val="18"/>
                <w:szCs w:val="18"/>
                <w:lang w:eastAsia="tr-TR"/>
              </w:rPr>
              <w:t>90,853</w:t>
            </w:r>
          </w:p>
        </w:tc>
        <w:tc>
          <w:tcPr>
            <w:tcW w:w="851" w:type="dxa"/>
            <w:tcBorders>
              <w:top w:val="nil"/>
              <w:left w:val="nil"/>
              <w:bottom w:val="nil"/>
              <w:right w:val="nil"/>
            </w:tcBorders>
            <w:shd w:val="clear" w:color="auto" w:fill="auto"/>
            <w:vAlign w:val="bottom"/>
            <w:hideMark/>
          </w:tcPr>
          <w:p w14:paraId="7AE3F4F7" w14:textId="77777777" w:rsidR="005269EC" w:rsidRPr="005269EC" w:rsidRDefault="005269EC" w:rsidP="00B843E3">
            <w:pPr>
              <w:jc w:val="right"/>
              <w:rPr>
                <w:color w:val="000000"/>
                <w:sz w:val="18"/>
                <w:szCs w:val="18"/>
                <w:lang w:eastAsia="tr-TR"/>
              </w:rPr>
            </w:pPr>
            <w:r w:rsidRPr="005269EC">
              <w:rPr>
                <w:color w:val="000000"/>
                <w:sz w:val="18"/>
                <w:szCs w:val="18"/>
                <w:lang w:eastAsia="tr-TR"/>
              </w:rPr>
              <w:t>155,916</w:t>
            </w:r>
          </w:p>
        </w:tc>
        <w:tc>
          <w:tcPr>
            <w:tcW w:w="856" w:type="dxa"/>
            <w:tcBorders>
              <w:top w:val="nil"/>
              <w:left w:val="nil"/>
              <w:bottom w:val="nil"/>
              <w:right w:val="nil"/>
            </w:tcBorders>
            <w:shd w:val="clear" w:color="auto" w:fill="auto"/>
            <w:vAlign w:val="bottom"/>
            <w:hideMark/>
          </w:tcPr>
          <w:p w14:paraId="1639A3BD" w14:textId="77777777" w:rsidR="005269EC" w:rsidRPr="005269EC" w:rsidRDefault="005269EC" w:rsidP="00B843E3">
            <w:pPr>
              <w:jc w:val="right"/>
              <w:rPr>
                <w:color w:val="000000"/>
                <w:sz w:val="18"/>
                <w:szCs w:val="18"/>
                <w:lang w:eastAsia="tr-TR"/>
              </w:rPr>
            </w:pPr>
            <w:r w:rsidRPr="005269EC">
              <w:rPr>
                <w:color w:val="000000"/>
                <w:sz w:val="18"/>
                <w:szCs w:val="18"/>
                <w:lang w:eastAsia="tr-TR"/>
              </w:rPr>
              <w:t>22,259</w:t>
            </w:r>
          </w:p>
        </w:tc>
        <w:tc>
          <w:tcPr>
            <w:tcW w:w="713" w:type="dxa"/>
            <w:tcBorders>
              <w:top w:val="nil"/>
              <w:left w:val="nil"/>
              <w:bottom w:val="nil"/>
              <w:right w:val="nil"/>
            </w:tcBorders>
            <w:shd w:val="clear" w:color="auto" w:fill="auto"/>
            <w:vAlign w:val="bottom"/>
            <w:hideMark/>
          </w:tcPr>
          <w:p w14:paraId="3C4B54D0"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1019085" w14:textId="77777777" w:rsidR="005269EC" w:rsidRPr="005269EC" w:rsidRDefault="005269EC" w:rsidP="00B843E3">
            <w:pPr>
              <w:jc w:val="right"/>
              <w:rPr>
                <w:color w:val="000000"/>
                <w:sz w:val="18"/>
                <w:szCs w:val="18"/>
                <w:lang w:eastAsia="tr-TR"/>
              </w:rPr>
            </w:pPr>
            <w:r w:rsidRPr="005269EC">
              <w:rPr>
                <w:color w:val="000000"/>
                <w:sz w:val="18"/>
                <w:szCs w:val="18"/>
                <w:lang w:eastAsia="tr-TR"/>
              </w:rPr>
              <w:t>13,587</w:t>
            </w:r>
          </w:p>
        </w:tc>
        <w:tc>
          <w:tcPr>
            <w:tcW w:w="835" w:type="dxa"/>
            <w:tcBorders>
              <w:top w:val="nil"/>
              <w:left w:val="nil"/>
              <w:bottom w:val="nil"/>
              <w:right w:val="nil"/>
            </w:tcBorders>
            <w:shd w:val="clear" w:color="auto" w:fill="auto"/>
            <w:vAlign w:val="bottom"/>
            <w:hideMark/>
          </w:tcPr>
          <w:p w14:paraId="241219CE" w14:textId="77777777" w:rsidR="005269EC" w:rsidRPr="005269EC" w:rsidRDefault="005269EC" w:rsidP="00B843E3">
            <w:pPr>
              <w:jc w:val="right"/>
              <w:rPr>
                <w:color w:val="000000"/>
                <w:sz w:val="18"/>
                <w:szCs w:val="18"/>
                <w:lang w:eastAsia="tr-TR"/>
              </w:rPr>
            </w:pPr>
            <w:r w:rsidRPr="005269EC">
              <w:rPr>
                <w:color w:val="000000"/>
                <w:sz w:val="18"/>
                <w:szCs w:val="18"/>
                <w:lang w:eastAsia="tr-TR"/>
              </w:rPr>
              <w:t>12,359</w:t>
            </w:r>
          </w:p>
        </w:tc>
        <w:tc>
          <w:tcPr>
            <w:tcW w:w="917" w:type="dxa"/>
            <w:tcBorders>
              <w:top w:val="nil"/>
              <w:left w:val="nil"/>
              <w:bottom w:val="nil"/>
              <w:right w:val="nil"/>
            </w:tcBorders>
            <w:shd w:val="clear" w:color="auto" w:fill="auto"/>
            <w:vAlign w:val="bottom"/>
            <w:hideMark/>
          </w:tcPr>
          <w:p w14:paraId="6574C55B" w14:textId="77777777" w:rsidR="005269EC" w:rsidRPr="005269EC" w:rsidRDefault="005269EC" w:rsidP="00B843E3">
            <w:pPr>
              <w:jc w:val="right"/>
              <w:rPr>
                <w:color w:val="000000"/>
                <w:sz w:val="18"/>
                <w:szCs w:val="18"/>
                <w:lang w:eastAsia="tr-TR"/>
              </w:rPr>
            </w:pPr>
            <w:r w:rsidRPr="005269EC">
              <w:rPr>
                <w:color w:val="000000"/>
                <w:sz w:val="18"/>
                <w:szCs w:val="18"/>
                <w:lang w:eastAsia="tr-TR"/>
              </w:rPr>
              <w:t>46</w:t>
            </w:r>
          </w:p>
        </w:tc>
        <w:tc>
          <w:tcPr>
            <w:tcW w:w="964" w:type="dxa"/>
            <w:tcBorders>
              <w:top w:val="nil"/>
              <w:left w:val="nil"/>
              <w:bottom w:val="nil"/>
              <w:right w:val="nil"/>
            </w:tcBorders>
            <w:shd w:val="clear" w:color="auto" w:fill="auto"/>
            <w:vAlign w:val="bottom"/>
            <w:hideMark/>
          </w:tcPr>
          <w:p w14:paraId="4BC425E0" w14:textId="77777777" w:rsidR="005269EC" w:rsidRPr="005269EC" w:rsidRDefault="005269EC" w:rsidP="00B843E3">
            <w:pPr>
              <w:jc w:val="right"/>
              <w:rPr>
                <w:color w:val="000000"/>
                <w:sz w:val="18"/>
                <w:szCs w:val="18"/>
                <w:lang w:eastAsia="tr-TR"/>
              </w:rPr>
            </w:pPr>
            <w:r w:rsidRPr="005269EC">
              <w:rPr>
                <w:color w:val="000000"/>
                <w:sz w:val="18"/>
                <w:szCs w:val="18"/>
                <w:lang w:eastAsia="tr-TR"/>
              </w:rPr>
              <w:t>295,020</w:t>
            </w:r>
          </w:p>
        </w:tc>
      </w:tr>
      <w:tr w:rsidR="005269EC" w:rsidRPr="005269EC" w14:paraId="21DC2D1F" w14:textId="77777777" w:rsidTr="00B843E3">
        <w:trPr>
          <w:divId w:val="818349871"/>
          <w:trHeight w:val="189"/>
        </w:trPr>
        <w:tc>
          <w:tcPr>
            <w:tcW w:w="2466" w:type="dxa"/>
            <w:tcBorders>
              <w:top w:val="nil"/>
              <w:left w:val="nil"/>
              <w:bottom w:val="nil"/>
              <w:right w:val="nil"/>
            </w:tcBorders>
            <w:shd w:val="clear" w:color="auto" w:fill="auto"/>
            <w:vAlign w:val="center"/>
            <w:hideMark/>
          </w:tcPr>
          <w:p w14:paraId="45A4A179"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Resmi kuruluş katılma </w:t>
            </w:r>
            <w:proofErr w:type="spellStart"/>
            <w:r w:rsidRPr="005269EC">
              <w:rPr>
                <w:color w:val="000000"/>
                <w:sz w:val="18"/>
                <w:szCs w:val="18"/>
                <w:lang w:eastAsia="tr-TR"/>
              </w:rPr>
              <w:t>hs.</w:t>
            </w:r>
            <w:proofErr w:type="spellEnd"/>
          </w:p>
        </w:tc>
        <w:tc>
          <w:tcPr>
            <w:tcW w:w="936" w:type="dxa"/>
            <w:tcBorders>
              <w:top w:val="nil"/>
              <w:left w:val="nil"/>
              <w:bottom w:val="nil"/>
              <w:right w:val="nil"/>
            </w:tcBorders>
            <w:shd w:val="clear" w:color="auto" w:fill="auto"/>
            <w:vAlign w:val="bottom"/>
            <w:hideMark/>
          </w:tcPr>
          <w:p w14:paraId="57D371FA"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51" w:type="dxa"/>
            <w:tcBorders>
              <w:top w:val="nil"/>
              <w:left w:val="nil"/>
              <w:bottom w:val="nil"/>
              <w:right w:val="nil"/>
            </w:tcBorders>
            <w:shd w:val="clear" w:color="auto" w:fill="auto"/>
            <w:vAlign w:val="bottom"/>
            <w:hideMark/>
          </w:tcPr>
          <w:p w14:paraId="65C8678C" w14:textId="77777777" w:rsidR="005269EC" w:rsidRPr="005269EC" w:rsidRDefault="005269EC" w:rsidP="00B843E3">
            <w:pPr>
              <w:jc w:val="right"/>
              <w:rPr>
                <w:color w:val="000000"/>
                <w:sz w:val="18"/>
                <w:szCs w:val="18"/>
                <w:lang w:eastAsia="tr-TR"/>
              </w:rPr>
            </w:pPr>
            <w:r w:rsidRPr="005269EC">
              <w:rPr>
                <w:color w:val="000000"/>
                <w:sz w:val="18"/>
                <w:szCs w:val="18"/>
                <w:lang w:eastAsia="tr-TR"/>
              </w:rPr>
              <w:t>14</w:t>
            </w:r>
          </w:p>
        </w:tc>
        <w:tc>
          <w:tcPr>
            <w:tcW w:w="856" w:type="dxa"/>
            <w:tcBorders>
              <w:top w:val="nil"/>
              <w:left w:val="nil"/>
              <w:bottom w:val="nil"/>
              <w:right w:val="nil"/>
            </w:tcBorders>
            <w:shd w:val="clear" w:color="auto" w:fill="auto"/>
            <w:vAlign w:val="bottom"/>
            <w:hideMark/>
          </w:tcPr>
          <w:p w14:paraId="54395CFF"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713" w:type="dxa"/>
            <w:tcBorders>
              <w:top w:val="nil"/>
              <w:left w:val="nil"/>
              <w:bottom w:val="nil"/>
              <w:right w:val="nil"/>
            </w:tcBorders>
            <w:shd w:val="clear" w:color="auto" w:fill="auto"/>
            <w:vAlign w:val="bottom"/>
            <w:hideMark/>
          </w:tcPr>
          <w:p w14:paraId="37B17522"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2DE772AB"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2326D161"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233B461D"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4" w:type="dxa"/>
            <w:tcBorders>
              <w:top w:val="nil"/>
              <w:left w:val="nil"/>
              <w:bottom w:val="nil"/>
              <w:right w:val="nil"/>
            </w:tcBorders>
            <w:shd w:val="clear" w:color="auto" w:fill="auto"/>
            <w:vAlign w:val="bottom"/>
            <w:hideMark/>
          </w:tcPr>
          <w:p w14:paraId="33FD9224" w14:textId="77777777" w:rsidR="005269EC" w:rsidRPr="005269EC" w:rsidRDefault="005269EC" w:rsidP="00B843E3">
            <w:pPr>
              <w:jc w:val="right"/>
              <w:rPr>
                <w:color w:val="000000"/>
                <w:sz w:val="18"/>
                <w:szCs w:val="18"/>
                <w:lang w:eastAsia="tr-TR"/>
              </w:rPr>
            </w:pPr>
            <w:r w:rsidRPr="005269EC">
              <w:rPr>
                <w:color w:val="000000"/>
                <w:sz w:val="18"/>
                <w:szCs w:val="18"/>
                <w:lang w:eastAsia="tr-TR"/>
              </w:rPr>
              <w:t>14</w:t>
            </w:r>
          </w:p>
        </w:tc>
      </w:tr>
      <w:tr w:rsidR="005269EC" w:rsidRPr="005269EC" w14:paraId="525246F2" w14:textId="77777777" w:rsidTr="00B843E3">
        <w:trPr>
          <w:divId w:val="818349871"/>
          <w:trHeight w:val="189"/>
        </w:trPr>
        <w:tc>
          <w:tcPr>
            <w:tcW w:w="2466" w:type="dxa"/>
            <w:tcBorders>
              <w:top w:val="nil"/>
              <w:left w:val="nil"/>
              <w:bottom w:val="nil"/>
              <w:right w:val="nil"/>
            </w:tcBorders>
            <w:shd w:val="clear" w:color="auto" w:fill="auto"/>
            <w:vAlign w:val="center"/>
            <w:hideMark/>
          </w:tcPr>
          <w:p w14:paraId="16BBC107"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Ticari kuruluş katılma </w:t>
            </w:r>
            <w:proofErr w:type="spellStart"/>
            <w:r w:rsidRPr="005269EC">
              <w:rPr>
                <w:color w:val="000000"/>
                <w:sz w:val="18"/>
                <w:szCs w:val="18"/>
                <w:lang w:eastAsia="tr-TR"/>
              </w:rPr>
              <w:t>hs.</w:t>
            </w:r>
            <w:proofErr w:type="spellEnd"/>
          </w:p>
        </w:tc>
        <w:tc>
          <w:tcPr>
            <w:tcW w:w="936" w:type="dxa"/>
            <w:tcBorders>
              <w:top w:val="nil"/>
              <w:left w:val="nil"/>
              <w:bottom w:val="nil"/>
              <w:right w:val="nil"/>
            </w:tcBorders>
            <w:shd w:val="clear" w:color="auto" w:fill="auto"/>
            <w:vAlign w:val="bottom"/>
            <w:hideMark/>
          </w:tcPr>
          <w:p w14:paraId="3BE8D6F3" w14:textId="77777777" w:rsidR="005269EC" w:rsidRPr="005269EC" w:rsidRDefault="005269EC" w:rsidP="00B843E3">
            <w:pPr>
              <w:jc w:val="right"/>
              <w:rPr>
                <w:color w:val="000000"/>
                <w:sz w:val="18"/>
                <w:szCs w:val="18"/>
                <w:lang w:eastAsia="tr-TR"/>
              </w:rPr>
            </w:pPr>
            <w:r w:rsidRPr="005269EC">
              <w:rPr>
                <w:color w:val="000000"/>
                <w:sz w:val="18"/>
                <w:szCs w:val="18"/>
                <w:lang w:eastAsia="tr-TR"/>
              </w:rPr>
              <w:t>8,119</w:t>
            </w:r>
          </w:p>
        </w:tc>
        <w:tc>
          <w:tcPr>
            <w:tcW w:w="851" w:type="dxa"/>
            <w:tcBorders>
              <w:top w:val="nil"/>
              <w:left w:val="nil"/>
              <w:bottom w:val="nil"/>
              <w:right w:val="nil"/>
            </w:tcBorders>
            <w:shd w:val="clear" w:color="auto" w:fill="auto"/>
            <w:vAlign w:val="bottom"/>
            <w:hideMark/>
          </w:tcPr>
          <w:p w14:paraId="6E8B04F6" w14:textId="77777777" w:rsidR="005269EC" w:rsidRPr="005269EC" w:rsidRDefault="005269EC" w:rsidP="00B843E3">
            <w:pPr>
              <w:jc w:val="right"/>
              <w:rPr>
                <w:color w:val="000000"/>
                <w:sz w:val="18"/>
                <w:szCs w:val="18"/>
                <w:lang w:eastAsia="tr-TR"/>
              </w:rPr>
            </w:pPr>
            <w:r w:rsidRPr="005269EC">
              <w:rPr>
                <w:color w:val="000000"/>
                <w:sz w:val="18"/>
                <w:szCs w:val="18"/>
                <w:lang w:eastAsia="tr-TR"/>
              </w:rPr>
              <w:t>53,783</w:t>
            </w:r>
          </w:p>
        </w:tc>
        <w:tc>
          <w:tcPr>
            <w:tcW w:w="856" w:type="dxa"/>
            <w:tcBorders>
              <w:top w:val="nil"/>
              <w:left w:val="nil"/>
              <w:bottom w:val="nil"/>
              <w:right w:val="nil"/>
            </w:tcBorders>
            <w:shd w:val="clear" w:color="auto" w:fill="auto"/>
            <w:vAlign w:val="bottom"/>
            <w:hideMark/>
          </w:tcPr>
          <w:p w14:paraId="664A45A7" w14:textId="77777777" w:rsidR="005269EC" w:rsidRPr="005269EC" w:rsidRDefault="005269EC" w:rsidP="00B843E3">
            <w:pPr>
              <w:jc w:val="right"/>
              <w:rPr>
                <w:color w:val="000000"/>
                <w:sz w:val="18"/>
                <w:szCs w:val="18"/>
                <w:lang w:eastAsia="tr-TR"/>
              </w:rPr>
            </w:pPr>
            <w:r w:rsidRPr="005269EC">
              <w:rPr>
                <w:color w:val="000000"/>
                <w:sz w:val="18"/>
                <w:szCs w:val="18"/>
                <w:lang w:eastAsia="tr-TR"/>
              </w:rPr>
              <w:t>2,689</w:t>
            </w:r>
          </w:p>
        </w:tc>
        <w:tc>
          <w:tcPr>
            <w:tcW w:w="713" w:type="dxa"/>
            <w:tcBorders>
              <w:top w:val="nil"/>
              <w:left w:val="nil"/>
              <w:bottom w:val="nil"/>
              <w:right w:val="nil"/>
            </w:tcBorders>
            <w:shd w:val="clear" w:color="auto" w:fill="auto"/>
            <w:vAlign w:val="bottom"/>
            <w:hideMark/>
          </w:tcPr>
          <w:p w14:paraId="4A5F1446"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C999DE4" w14:textId="77777777" w:rsidR="005269EC" w:rsidRPr="005269EC" w:rsidRDefault="005269EC" w:rsidP="00B843E3">
            <w:pPr>
              <w:jc w:val="right"/>
              <w:rPr>
                <w:color w:val="000000"/>
                <w:sz w:val="18"/>
                <w:szCs w:val="18"/>
                <w:lang w:eastAsia="tr-TR"/>
              </w:rPr>
            </w:pPr>
            <w:r w:rsidRPr="005269EC">
              <w:rPr>
                <w:color w:val="000000"/>
                <w:sz w:val="18"/>
                <w:szCs w:val="18"/>
                <w:lang w:eastAsia="tr-TR"/>
              </w:rPr>
              <w:t>211</w:t>
            </w:r>
          </w:p>
        </w:tc>
        <w:tc>
          <w:tcPr>
            <w:tcW w:w="835" w:type="dxa"/>
            <w:tcBorders>
              <w:top w:val="nil"/>
              <w:left w:val="nil"/>
              <w:bottom w:val="nil"/>
              <w:right w:val="nil"/>
            </w:tcBorders>
            <w:shd w:val="clear" w:color="auto" w:fill="auto"/>
            <w:vAlign w:val="bottom"/>
            <w:hideMark/>
          </w:tcPr>
          <w:p w14:paraId="6C4B1336" w14:textId="77777777" w:rsidR="005269EC" w:rsidRPr="005269EC" w:rsidRDefault="005269EC" w:rsidP="00B843E3">
            <w:pPr>
              <w:jc w:val="right"/>
              <w:rPr>
                <w:color w:val="000000"/>
                <w:sz w:val="18"/>
                <w:szCs w:val="18"/>
                <w:lang w:eastAsia="tr-TR"/>
              </w:rPr>
            </w:pPr>
            <w:r w:rsidRPr="005269EC">
              <w:rPr>
                <w:color w:val="000000"/>
                <w:sz w:val="18"/>
                <w:szCs w:val="18"/>
                <w:lang w:eastAsia="tr-TR"/>
              </w:rPr>
              <w:t>203</w:t>
            </w:r>
          </w:p>
        </w:tc>
        <w:tc>
          <w:tcPr>
            <w:tcW w:w="917" w:type="dxa"/>
            <w:tcBorders>
              <w:top w:val="nil"/>
              <w:left w:val="nil"/>
              <w:bottom w:val="nil"/>
              <w:right w:val="nil"/>
            </w:tcBorders>
            <w:shd w:val="clear" w:color="auto" w:fill="auto"/>
            <w:vAlign w:val="bottom"/>
            <w:hideMark/>
          </w:tcPr>
          <w:p w14:paraId="172CE13A"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4" w:type="dxa"/>
            <w:tcBorders>
              <w:top w:val="nil"/>
              <w:left w:val="nil"/>
              <w:bottom w:val="nil"/>
              <w:right w:val="nil"/>
            </w:tcBorders>
            <w:shd w:val="clear" w:color="auto" w:fill="auto"/>
            <w:vAlign w:val="bottom"/>
            <w:hideMark/>
          </w:tcPr>
          <w:p w14:paraId="2FC9230C" w14:textId="77777777" w:rsidR="005269EC" w:rsidRPr="005269EC" w:rsidRDefault="005269EC" w:rsidP="00B843E3">
            <w:pPr>
              <w:jc w:val="right"/>
              <w:rPr>
                <w:color w:val="000000"/>
                <w:sz w:val="18"/>
                <w:szCs w:val="18"/>
                <w:lang w:eastAsia="tr-TR"/>
              </w:rPr>
            </w:pPr>
            <w:r w:rsidRPr="005269EC">
              <w:rPr>
                <w:color w:val="000000"/>
                <w:sz w:val="18"/>
                <w:szCs w:val="18"/>
                <w:lang w:eastAsia="tr-TR"/>
              </w:rPr>
              <w:t>65,005</w:t>
            </w:r>
          </w:p>
        </w:tc>
      </w:tr>
      <w:tr w:rsidR="005269EC" w:rsidRPr="005269EC" w14:paraId="1F98AAEF" w14:textId="77777777" w:rsidTr="00B843E3">
        <w:trPr>
          <w:divId w:val="818349871"/>
          <w:trHeight w:val="189"/>
        </w:trPr>
        <w:tc>
          <w:tcPr>
            <w:tcW w:w="2466" w:type="dxa"/>
            <w:tcBorders>
              <w:top w:val="nil"/>
              <w:left w:val="nil"/>
              <w:bottom w:val="nil"/>
              <w:right w:val="nil"/>
            </w:tcBorders>
            <w:shd w:val="clear" w:color="auto" w:fill="auto"/>
            <w:vAlign w:val="center"/>
            <w:hideMark/>
          </w:tcPr>
          <w:p w14:paraId="3978859C"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Diğer kuruluş katılma </w:t>
            </w:r>
            <w:proofErr w:type="spellStart"/>
            <w:r w:rsidRPr="005269EC">
              <w:rPr>
                <w:color w:val="000000"/>
                <w:sz w:val="18"/>
                <w:szCs w:val="18"/>
                <w:lang w:eastAsia="tr-TR"/>
              </w:rPr>
              <w:t>hs.</w:t>
            </w:r>
            <w:proofErr w:type="spellEnd"/>
            <w:r w:rsidRPr="005269EC">
              <w:rPr>
                <w:color w:val="000000"/>
                <w:sz w:val="18"/>
                <w:szCs w:val="18"/>
                <w:lang w:eastAsia="tr-TR"/>
              </w:rPr>
              <w:t xml:space="preserve"> </w:t>
            </w:r>
          </w:p>
        </w:tc>
        <w:tc>
          <w:tcPr>
            <w:tcW w:w="936" w:type="dxa"/>
            <w:tcBorders>
              <w:top w:val="nil"/>
              <w:left w:val="nil"/>
              <w:bottom w:val="nil"/>
              <w:right w:val="nil"/>
            </w:tcBorders>
            <w:shd w:val="clear" w:color="auto" w:fill="auto"/>
            <w:vAlign w:val="bottom"/>
            <w:hideMark/>
          </w:tcPr>
          <w:p w14:paraId="5FAA8763" w14:textId="77777777" w:rsidR="005269EC" w:rsidRPr="005269EC" w:rsidRDefault="005269EC" w:rsidP="00B843E3">
            <w:pPr>
              <w:jc w:val="right"/>
              <w:rPr>
                <w:color w:val="000000"/>
                <w:sz w:val="18"/>
                <w:szCs w:val="18"/>
                <w:lang w:eastAsia="tr-TR"/>
              </w:rPr>
            </w:pPr>
            <w:r w:rsidRPr="005269EC">
              <w:rPr>
                <w:color w:val="000000"/>
                <w:sz w:val="18"/>
                <w:szCs w:val="18"/>
                <w:lang w:eastAsia="tr-TR"/>
              </w:rPr>
              <w:t>634</w:t>
            </w:r>
          </w:p>
        </w:tc>
        <w:tc>
          <w:tcPr>
            <w:tcW w:w="851" w:type="dxa"/>
            <w:tcBorders>
              <w:top w:val="nil"/>
              <w:left w:val="nil"/>
              <w:bottom w:val="nil"/>
              <w:right w:val="nil"/>
            </w:tcBorders>
            <w:shd w:val="clear" w:color="auto" w:fill="auto"/>
            <w:vAlign w:val="bottom"/>
            <w:hideMark/>
          </w:tcPr>
          <w:p w14:paraId="2C18D960" w14:textId="77777777" w:rsidR="005269EC" w:rsidRPr="005269EC" w:rsidRDefault="005269EC" w:rsidP="00B843E3">
            <w:pPr>
              <w:jc w:val="right"/>
              <w:rPr>
                <w:color w:val="000000"/>
                <w:sz w:val="18"/>
                <w:szCs w:val="18"/>
                <w:lang w:eastAsia="tr-TR"/>
              </w:rPr>
            </w:pPr>
            <w:r w:rsidRPr="005269EC">
              <w:rPr>
                <w:color w:val="000000"/>
                <w:sz w:val="18"/>
                <w:szCs w:val="18"/>
                <w:lang w:eastAsia="tr-TR"/>
              </w:rPr>
              <w:t>8,441</w:t>
            </w:r>
          </w:p>
        </w:tc>
        <w:tc>
          <w:tcPr>
            <w:tcW w:w="856" w:type="dxa"/>
            <w:tcBorders>
              <w:top w:val="nil"/>
              <w:left w:val="nil"/>
              <w:bottom w:val="nil"/>
              <w:right w:val="nil"/>
            </w:tcBorders>
            <w:shd w:val="clear" w:color="auto" w:fill="auto"/>
            <w:vAlign w:val="bottom"/>
            <w:hideMark/>
          </w:tcPr>
          <w:p w14:paraId="50580DBE" w14:textId="77777777" w:rsidR="005269EC" w:rsidRPr="005269EC" w:rsidRDefault="005269EC" w:rsidP="00B843E3">
            <w:pPr>
              <w:jc w:val="right"/>
              <w:rPr>
                <w:color w:val="000000"/>
                <w:sz w:val="18"/>
                <w:szCs w:val="18"/>
                <w:lang w:eastAsia="tr-TR"/>
              </w:rPr>
            </w:pPr>
            <w:r w:rsidRPr="005269EC">
              <w:rPr>
                <w:color w:val="000000"/>
                <w:sz w:val="18"/>
                <w:szCs w:val="18"/>
                <w:lang w:eastAsia="tr-TR"/>
              </w:rPr>
              <w:t>68</w:t>
            </w:r>
          </w:p>
        </w:tc>
        <w:tc>
          <w:tcPr>
            <w:tcW w:w="713" w:type="dxa"/>
            <w:tcBorders>
              <w:top w:val="nil"/>
              <w:left w:val="nil"/>
              <w:bottom w:val="nil"/>
              <w:right w:val="nil"/>
            </w:tcBorders>
            <w:shd w:val="clear" w:color="auto" w:fill="auto"/>
            <w:vAlign w:val="bottom"/>
            <w:hideMark/>
          </w:tcPr>
          <w:p w14:paraId="5D141201"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6603A45A" w14:textId="77777777" w:rsidR="005269EC" w:rsidRPr="005269EC" w:rsidRDefault="005269EC" w:rsidP="00B843E3">
            <w:pPr>
              <w:jc w:val="right"/>
              <w:rPr>
                <w:color w:val="000000"/>
                <w:sz w:val="18"/>
                <w:szCs w:val="18"/>
                <w:lang w:eastAsia="tr-TR"/>
              </w:rPr>
            </w:pPr>
            <w:r w:rsidRPr="005269EC">
              <w:rPr>
                <w:color w:val="000000"/>
                <w:sz w:val="18"/>
                <w:szCs w:val="18"/>
                <w:lang w:eastAsia="tr-TR"/>
              </w:rPr>
              <w:t>77</w:t>
            </w:r>
          </w:p>
        </w:tc>
        <w:tc>
          <w:tcPr>
            <w:tcW w:w="835" w:type="dxa"/>
            <w:tcBorders>
              <w:top w:val="nil"/>
              <w:left w:val="nil"/>
              <w:bottom w:val="nil"/>
              <w:right w:val="nil"/>
            </w:tcBorders>
            <w:shd w:val="clear" w:color="auto" w:fill="auto"/>
            <w:vAlign w:val="bottom"/>
            <w:hideMark/>
          </w:tcPr>
          <w:p w14:paraId="34C4F16E"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026ECF8C"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4" w:type="dxa"/>
            <w:tcBorders>
              <w:top w:val="nil"/>
              <w:left w:val="nil"/>
              <w:bottom w:val="nil"/>
              <w:right w:val="nil"/>
            </w:tcBorders>
            <w:shd w:val="clear" w:color="auto" w:fill="auto"/>
            <w:vAlign w:val="bottom"/>
            <w:hideMark/>
          </w:tcPr>
          <w:p w14:paraId="701CE561" w14:textId="77777777" w:rsidR="005269EC" w:rsidRPr="005269EC" w:rsidRDefault="005269EC" w:rsidP="00B843E3">
            <w:pPr>
              <w:jc w:val="right"/>
              <w:rPr>
                <w:color w:val="000000"/>
                <w:sz w:val="18"/>
                <w:szCs w:val="18"/>
                <w:lang w:eastAsia="tr-TR"/>
              </w:rPr>
            </w:pPr>
            <w:r w:rsidRPr="005269EC">
              <w:rPr>
                <w:color w:val="000000"/>
                <w:sz w:val="18"/>
                <w:szCs w:val="18"/>
                <w:lang w:eastAsia="tr-TR"/>
              </w:rPr>
              <w:t>9,220</w:t>
            </w:r>
          </w:p>
        </w:tc>
      </w:tr>
      <w:tr w:rsidR="005269EC" w:rsidRPr="005269EC" w14:paraId="37461057" w14:textId="77777777" w:rsidTr="00B843E3">
        <w:trPr>
          <w:divId w:val="818349871"/>
          <w:trHeight w:val="189"/>
        </w:trPr>
        <w:tc>
          <w:tcPr>
            <w:tcW w:w="2466" w:type="dxa"/>
            <w:tcBorders>
              <w:top w:val="nil"/>
              <w:left w:val="nil"/>
              <w:bottom w:val="nil"/>
              <w:right w:val="nil"/>
            </w:tcBorders>
            <w:shd w:val="clear" w:color="auto" w:fill="auto"/>
            <w:vAlign w:val="center"/>
            <w:hideMark/>
          </w:tcPr>
          <w:p w14:paraId="3EE26492" w14:textId="77777777" w:rsidR="005269EC" w:rsidRPr="005269EC" w:rsidRDefault="005269EC" w:rsidP="005269EC">
            <w:pPr>
              <w:ind w:firstLineChars="100" w:firstLine="180"/>
              <w:rPr>
                <w:color w:val="000000"/>
                <w:sz w:val="18"/>
                <w:szCs w:val="18"/>
                <w:lang w:eastAsia="tr-TR"/>
              </w:rPr>
            </w:pPr>
            <w:r w:rsidRPr="005269EC">
              <w:rPr>
                <w:color w:val="000000"/>
                <w:sz w:val="18"/>
                <w:szCs w:val="18"/>
                <w:lang w:eastAsia="tr-TR"/>
              </w:rPr>
              <w:t xml:space="preserve">Kıymetli maden katılma </w:t>
            </w:r>
            <w:proofErr w:type="spellStart"/>
            <w:r w:rsidRPr="005269EC">
              <w:rPr>
                <w:color w:val="000000"/>
                <w:sz w:val="18"/>
                <w:szCs w:val="18"/>
                <w:lang w:eastAsia="tr-TR"/>
              </w:rPr>
              <w:t>hs.</w:t>
            </w:r>
            <w:proofErr w:type="spellEnd"/>
          </w:p>
        </w:tc>
        <w:tc>
          <w:tcPr>
            <w:tcW w:w="936" w:type="dxa"/>
            <w:tcBorders>
              <w:top w:val="nil"/>
              <w:left w:val="nil"/>
              <w:bottom w:val="nil"/>
              <w:right w:val="nil"/>
            </w:tcBorders>
            <w:shd w:val="clear" w:color="auto" w:fill="auto"/>
            <w:vAlign w:val="bottom"/>
            <w:hideMark/>
          </w:tcPr>
          <w:p w14:paraId="0E391566" w14:textId="77777777" w:rsidR="005269EC" w:rsidRPr="005269EC" w:rsidRDefault="005269EC" w:rsidP="00B843E3">
            <w:pPr>
              <w:jc w:val="right"/>
              <w:rPr>
                <w:color w:val="000000"/>
                <w:sz w:val="18"/>
                <w:szCs w:val="18"/>
                <w:lang w:eastAsia="tr-TR"/>
              </w:rPr>
            </w:pPr>
            <w:r w:rsidRPr="005269EC">
              <w:rPr>
                <w:color w:val="000000"/>
                <w:sz w:val="18"/>
                <w:szCs w:val="18"/>
                <w:lang w:eastAsia="tr-TR"/>
              </w:rPr>
              <w:t>14,331</w:t>
            </w:r>
          </w:p>
        </w:tc>
        <w:tc>
          <w:tcPr>
            <w:tcW w:w="851" w:type="dxa"/>
            <w:tcBorders>
              <w:top w:val="nil"/>
              <w:left w:val="nil"/>
              <w:bottom w:val="nil"/>
              <w:right w:val="nil"/>
            </w:tcBorders>
            <w:shd w:val="clear" w:color="auto" w:fill="auto"/>
            <w:vAlign w:val="bottom"/>
            <w:hideMark/>
          </w:tcPr>
          <w:p w14:paraId="3EF6B429" w14:textId="77777777" w:rsidR="005269EC" w:rsidRPr="005269EC" w:rsidRDefault="005269EC" w:rsidP="00B843E3">
            <w:pPr>
              <w:jc w:val="right"/>
              <w:rPr>
                <w:color w:val="000000"/>
                <w:sz w:val="18"/>
                <w:szCs w:val="18"/>
                <w:lang w:eastAsia="tr-TR"/>
              </w:rPr>
            </w:pPr>
            <w:r w:rsidRPr="005269EC">
              <w:rPr>
                <w:color w:val="000000"/>
                <w:sz w:val="18"/>
                <w:szCs w:val="18"/>
                <w:lang w:eastAsia="tr-TR"/>
              </w:rPr>
              <w:t>13,720</w:t>
            </w:r>
          </w:p>
        </w:tc>
        <w:tc>
          <w:tcPr>
            <w:tcW w:w="856" w:type="dxa"/>
            <w:tcBorders>
              <w:top w:val="nil"/>
              <w:left w:val="nil"/>
              <w:bottom w:val="nil"/>
              <w:right w:val="nil"/>
            </w:tcBorders>
            <w:shd w:val="clear" w:color="auto" w:fill="auto"/>
            <w:vAlign w:val="bottom"/>
            <w:hideMark/>
          </w:tcPr>
          <w:p w14:paraId="196A5506" w14:textId="77777777" w:rsidR="005269EC" w:rsidRPr="005269EC" w:rsidRDefault="005269EC" w:rsidP="00B843E3">
            <w:pPr>
              <w:jc w:val="right"/>
              <w:rPr>
                <w:color w:val="000000"/>
                <w:sz w:val="18"/>
                <w:szCs w:val="18"/>
                <w:lang w:eastAsia="tr-TR"/>
              </w:rPr>
            </w:pPr>
            <w:r w:rsidRPr="005269EC">
              <w:rPr>
                <w:color w:val="000000"/>
                <w:sz w:val="18"/>
                <w:szCs w:val="18"/>
                <w:lang w:eastAsia="tr-TR"/>
              </w:rPr>
              <w:t>1,603</w:t>
            </w:r>
          </w:p>
        </w:tc>
        <w:tc>
          <w:tcPr>
            <w:tcW w:w="713" w:type="dxa"/>
            <w:tcBorders>
              <w:top w:val="nil"/>
              <w:left w:val="nil"/>
              <w:bottom w:val="nil"/>
              <w:right w:val="nil"/>
            </w:tcBorders>
            <w:shd w:val="clear" w:color="auto" w:fill="auto"/>
            <w:vAlign w:val="bottom"/>
            <w:hideMark/>
          </w:tcPr>
          <w:p w14:paraId="1F4C8FA3"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572F2C7E" w14:textId="77777777" w:rsidR="005269EC" w:rsidRPr="005269EC" w:rsidRDefault="005269EC" w:rsidP="00B843E3">
            <w:pPr>
              <w:jc w:val="right"/>
              <w:rPr>
                <w:color w:val="000000"/>
                <w:sz w:val="18"/>
                <w:szCs w:val="18"/>
                <w:lang w:eastAsia="tr-TR"/>
              </w:rPr>
            </w:pPr>
            <w:r w:rsidRPr="005269EC">
              <w:rPr>
                <w:color w:val="000000"/>
                <w:sz w:val="18"/>
                <w:szCs w:val="18"/>
                <w:lang w:eastAsia="tr-TR"/>
              </w:rPr>
              <w:t>707</w:t>
            </w:r>
          </w:p>
        </w:tc>
        <w:tc>
          <w:tcPr>
            <w:tcW w:w="835" w:type="dxa"/>
            <w:tcBorders>
              <w:top w:val="nil"/>
              <w:left w:val="nil"/>
              <w:bottom w:val="nil"/>
              <w:right w:val="nil"/>
            </w:tcBorders>
            <w:shd w:val="clear" w:color="auto" w:fill="auto"/>
            <w:vAlign w:val="bottom"/>
            <w:hideMark/>
          </w:tcPr>
          <w:p w14:paraId="47CAB42A"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466E99A8" w14:textId="77777777" w:rsidR="005269EC" w:rsidRPr="005269EC" w:rsidRDefault="005269EC" w:rsidP="00B843E3">
            <w:pPr>
              <w:jc w:val="right"/>
              <w:rPr>
                <w:color w:val="000000"/>
                <w:sz w:val="18"/>
                <w:szCs w:val="18"/>
                <w:lang w:eastAsia="tr-TR"/>
              </w:rPr>
            </w:pPr>
            <w:r w:rsidRPr="005269EC">
              <w:rPr>
                <w:color w:val="000000"/>
                <w:sz w:val="18"/>
                <w:szCs w:val="18"/>
                <w:lang w:eastAsia="tr-TR"/>
              </w:rPr>
              <w:t>-</w:t>
            </w:r>
          </w:p>
        </w:tc>
        <w:tc>
          <w:tcPr>
            <w:tcW w:w="964" w:type="dxa"/>
            <w:tcBorders>
              <w:top w:val="nil"/>
              <w:left w:val="nil"/>
              <w:bottom w:val="nil"/>
              <w:right w:val="nil"/>
            </w:tcBorders>
            <w:shd w:val="clear" w:color="auto" w:fill="auto"/>
            <w:vAlign w:val="bottom"/>
            <w:hideMark/>
          </w:tcPr>
          <w:p w14:paraId="1C09992D" w14:textId="77777777" w:rsidR="005269EC" w:rsidRPr="005269EC" w:rsidRDefault="005269EC" w:rsidP="00B843E3">
            <w:pPr>
              <w:jc w:val="right"/>
              <w:rPr>
                <w:color w:val="000000"/>
                <w:sz w:val="18"/>
                <w:szCs w:val="18"/>
                <w:lang w:eastAsia="tr-TR"/>
              </w:rPr>
            </w:pPr>
            <w:r w:rsidRPr="005269EC">
              <w:rPr>
                <w:color w:val="000000"/>
                <w:sz w:val="18"/>
                <w:szCs w:val="18"/>
                <w:lang w:eastAsia="tr-TR"/>
              </w:rPr>
              <w:t>30,361</w:t>
            </w:r>
          </w:p>
        </w:tc>
      </w:tr>
      <w:tr w:rsidR="005269EC" w:rsidRPr="005269EC" w14:paraId="559D47E6" w14:textId="77777777" w:rsidTr="00B843E3">
        <w:trPr>
          <w:divId w:val="818349871"/>
          <w:trHeight w:val="118"/>
        </w:trPr>
        <w:tc>
          <w:tcPr>
            <w:tcW w:w="2466" w:type="dxa"/>
            <w:tcBorders>
              <w:top w:val="nil"/>
              <w:left w:val="nil"/>
              <w:bottom w:val="single" w:sz="8" w:space="0" w:color="auto"/>
              <w:right w:val="nil"/>
            </w:tcBorders>
            <w:shd w:val="clear" w:color="auto" w:fill="auto"/>
            <w:vAlign w:val="bottom"/>
            <w:hideMark/>
          </w:tcPr>
          <w:p w14:paraId="15EDADE7" w14:textId="77777777" w:rsidR="005269EC" w:rsidRPr="005269EC" w:rsidRDefault="005269EC" w:rsidP="005269EC">
            <w:pPr>
              <w:rPr>
                <w:color w:val="000000"/>
                <w:lang w:eastAsia="tr-TR"/>
              </w:rPr>
            </w:pPr>
            <w:r w:rsidRPr="005269EC">
              <w:rPr>
                <w:color w:val="000000"/>
                <w:lang w:eastAsia="tr-TR"/>
              </w:rPr>
              <w:t> </w:t>
            </w:r>
          </w:p>
        </w:tc>
        <w:tc>
          <w:tcPr>
            <w:tcW w:w="936" w:type="dxa"/>
            <w:tcBorders>
              <w:top w:val="nil"/>
              <w:left w:val="nil"/>
              <w:bottom w:val="single" w:sz="8" w:space="0" w:color="auto"/>
              <w:right w:val="nil"/>
            </w:tcBorders>
            <w:shd w:val="clear" w:color="auto" w:fill="auto"/>
            <w:vAlign w:val="bottom"/>
            <w:hideMark/>
          </w:tcPr>
          <w:p w14:paraId="5A3537A8"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851" w:type="dxa"/>
            <w:tcBorders>
              <w:top w:val="nil"/>
              <w:left w:val="nil"/>
              <w:bottom w:val="single" w:sz="8" w:space="0" w:color="auto"/>
              <w:right w:val="nil"/>
            </w:tcBorders>
            <w:shd w:val="clear" w:color="auto" w:fill="auto"/>
            <w:vAlign w:val="bottom"/>
            <w:hideMark/>
          </w:tcPr>
          <w:p w14:paraId="46A4FF79"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856" w:type="dxa"/>
            <w:tcBorders>
              <w:top w:val="nil"/>
              <w:left w:val="nil"/>
              <w:bottom w:val="single" w:sz="8" w:space="0" w:color="auto"/>
              <w:right w:val="nil"/>
            </w:tcBorders>
            <w:shd w:val="clear" w:color="auto" w:fill="auto"/>
            <w:vAlign w:val="bottom"/>
            <w:hideMark/>
          </w:tcPr>
          <w:p w14:paraId="42E99DD2"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713" w:type="dxa"/>
            <w:tcBorders>
              <w:top w:val="nil"/>
              <w:left w:val="nil"/>
              <w:bottom w:val="single" w:sz="8" w:space="0" w:color="auto"/>
              <w:right w:val="nil"/>
            </w:tcBorders>
            <w:shd w:val="clear" w:color="auto" w:fill="auto"/>
            <w:vAlign w:val="bottom"/>
            <w:hideMark/>
          </w:tcPr>
          <w:p w14:paraId="17586B77"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361F7678"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7010A2F2"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917" w:type="dxa"/>
            <w:tcBorders>
              <w:top w:val="nil"/>
              <w:left w:val="nil"/>
              <w:bottom w:val="single" w:sz="8" w:space="0" w:color="auto"/>
              <w:right w:val="nil"/>
            </w:tcBorders>
            <w:shd w:val="clear" w:color="auto" w:fill="auto"/>
            <w:vAlign w:val="bottom"/>
            <w:hideMark/>
          </w:tcPr>
          <w:p w14:paraId="49481773"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c>
          <w:tcPr>
            <w:tcW w:w="964" w:type="dxa"/>
            <w:tcBorders>
              <w:top w:val="nil"/>
              <w:left w:val="nil"/>
              <w:bottom w:val="single" w:sz="8" w:space="0" w:color="auto"/>
              <w:right w:val="nil"/>
            </w:tcBorders>
            <w:shd w:val="clear" w:color="auto" w:fill="auto"/>
            <w:vAlign w:val="bottom"/>
            <w:hideMark/>
          </w:tcPr>
          <w:p w14:paraId="6DB8623A" w14:textId="77777777" w:rsidR="005269EC" w:rsidRPr="005269EC" w:rsidRDefault="005269EC" w:rsidP="00B843E3">
            <w:pPr>
              <w:jc w:val="right"/>
              <w:rPr>
                <w:color w:val="000000"/>
                <w:sz w:val="18"/>
                <w:szCs w:val="18"/>
                <w:lang w:eastAsia="tr-TR"/>
              </w:rPr>
            </w:pPr>
            <w:r w:rsidRPr="005269EC">
              <w:rPr>
                <w:color w:val="000000"/>
                <w:sz w:val="18"/>
                <w:szCs w:val="18"/>
                <w:lang w:eastAsia="tr-TR"/>
              </w:rPr>
              <w:t> </w:t>
            </w:r>
          </w:p>
        </w:tc>
      </w:tr>
      <w:tr w:rsidR="005269EC" w:rsidRPr="005269EC" w14:paraId="67DB904B" w14:textId="77777777" w:rsidTr="00B843E3">
        <w:trPr>
          <w:divId w:val="818349871"/>
          <w:trHeight w:val="201"/>
        </w:trPr>
        <w:tc>
          <w:tcPr>
            <w:tcW w:w="2466" w:type="dxa"/>
            <w:tcBorders>
              <w:top w:val="nil"/>
              <w:left w:val="nil"/>
              <w:bottom w:val="single" w:sz="8" w:space="0" w:color="auto"/>
              <w:right w:val="nil"/>
            </w:tcBorders>
            <w:shd w:val="clear" w:color="auto" w:fill="auto"/>
            <w:vAlign w:val="center"/>
            <w:hideMark/>
          </w:tcPr>
          <w:p w14:paraId="0DDC3413" w14:textId="77777777" w:rsidR="005269EC" w:rsidRPr="005269EC" w:rsidRDefault="005269EC" w:rsidP="005269EC">
            <w:pPr>
              <w:ind w:firstLineChars="100" w:firstLine="181"/>
              <w:rPr>
                <w:b/>
                <w:bCs/>
                <w:color w:val="000000"/>
                <w:sz w:val="18"/>
                <w:szCs w:val="18"/>
                <w:lang w:eastAsia="tr-TR"/>
              </w:rPr>
            </w:pPr>
            <w:r w:rsidRPr="005269EC">
              <w:rPr>
                <w:b/>
                <w:bCs/>
                <w:color w:val="000000"/>
                <w:sz w:val="18"/>
                <w:szCs w:val="18"/>
                <w:lang w:eastAsia="tr-TR"/>
              </w:rPr>
              <w:t>Toplam</w:t>
            </w:r>
          </w:p>
        </w:tc>
        <w:tc>
          <w:tcPr>
            <w:tcW w:w="936" w:type="dxa"/>
            <w:tcBorders>
              <w:top w:val="nil"/>
              <w:left w:val="nil"/>
              <w:bottom w:val="single" w:sz="8" w:space="0" w:color="auto"/>
              <w:right w:val="nil"/>
            </w:tcBorders>
            <w:shd w:val="clear" w:color="auto" w:fill="auto"/>
            <w:vAlign w:val="bottom"/>
            <w:hideMark/>
          </w:tcPr>
          <w:p w14:paraId="53C6777F"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113,997</w:t>
            </w:r>
          </w:p>
        </w:tc>
        <w:tc>
          <w:tcPr>
            <w:tcW w:w="851" w:type="dxa"/>
            <w:tcBorders>
              <w:top w:val="nil"/>
              <w:left w:val="nil"/>
              <w:bottom w:val="single" w:sz="8" w:space="0" w:color="auto"/>
              <w:right w:val="nil"/>
            </w:tcBorders>
            <w:shd w:val="clear" w:color="auto" w:fill="auto"/>
            <w:vAlign w:val="bottom"/>
            <w:hideMark/>
          </w:tcPr>
          <w:p w14:paraId="7FE31E9F"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233,821</w:t>
            </w:r>
          </w:p>
        </w:tc>
        <w:tc>
          <w:tcPr>
            <w:tcW w:w="856" w:type="dxa"/>
            <w:tcBorders>
              <w:top w:val="nil"/>
              <w:left w:val="nil"/>
              <w:bottom w:val="single" w:sz="8" w:space="0" w:color="auto"/>
              <w:right w:val="nil"/>
            </w:tcBorders>
            <w:shd w:val="clear" w:color="auto" w:fill="auto"/>
            <w:vAlign w:val="bottom"/>
            <w:hideMark/>
          </w:tcPr>
          <w:p w14:paraId="471AB1A6"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26,619</w:t>
            </w:r>
          </w:p>
        </w:tc>
        <w:tc>
          <w:tcPr>
            <w:tcW w:w="713" w:type="dxa"/>
            <w:tcBorders>
              <w:top w:val="nil"/>
              <w:left w:val="nil"/>
              <w:bottom w:val="single" w:sz="8" w:space="0" w:color="auto"/>
              <w:right w:val="nil"/>
            </w:tcBorders>
            <w:shd w:val="clear" w:color="auto" w:fill="auto"/>
            <w:vAlign w:val="bottom"/>
            <w:hideMark/>
          </w:tcPr>
          <w:p w14:paraId="661DF8C1"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bottom"/>
            <w:hideMark/>
          </w:tcPr>
          <w:p w14:paraId="26DD00F2"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14,582</w:t>
            </w:r>
          </w:p>
        </w:tc>
        <w:tc>
          <w:tcPr>
            <w:tcW w:w="835" w:type="dxa"/>
            <w:tcBorders>
              <w:top w:val="nil"/>
              <w:left w:val="nil"/>
              <w:bottom w:val="single" w:sz="8" w:space="0" w:color="auto"/>
              <w:right w:val="nil"/>
            </w:tcBorders>
            <w:shd w:val="clear" w:color="auto" w:fill="auto"/>
            <w:vAlign w:val="bottom"/>
            <w:hideMark/>
          </w:tcPr>
          <w:p w14:paraId="077A0EEC"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12,562</w:t>
            </w:r>
          </w:p>
        </w:tc>
        <w:tc>
          <w:tcPr>
            <w:tcW w:w="917" w:type="dxa"/>
            <w:tcBorders>
              <w:top w:val="nil"/>
              <w:left w:val="nil"/>
              <w:bottom w:val="single" w:sz="8" w:space="0" w:color="auto"/>
              <w:right w:val="nil"/>
            </w:tcBorders>
            <w:shd w:val="clear" w:color="auto" w:fill="auto"/>
            <w:vAlign w:val="bottom"/>
            <w:hideMark/>
          </w:tcPr>
          <w:p w14:paraId="709B2064"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46</w:t>
            </w:r>
          </w:p>
        </w:tc>
        <w:tc>
          <w:tcPr>
            <w:tcW w:w="964" w:type="dxa"/>
            <w:tcBorders>
              <w:top w:val="nil"/>
              <w:left w:val="nil"/>
              <w:bottom w:val="single" w:sz="8" w:space="0" w:color="auto"/>
              <w:right w:val="nil"/>
            </w:tcBorders>
            <w:shd w:val="clear" w:color="auto" w:fill="auto"/>
            <w:vAlign w:val="bottom"/>
            <w:hideMark/>
          </w:tcPr>
          <w:p w14:paraId="0A368010" w14:textId="77777777" w:rsidR="005269EC" w:rsidRPr="005269EC" w:rsidRDefault="005269EC" w:rsidP="00B843E3">
            <w:pPr>
              <w:jc w:val="right"/>
              <w:rPr>
                <w:b/>
                <w:bCs/>
                <w:color w:val="000000"/>
                <w:sz w:val="18"/>
                <w:szCs w:val="18"/>
                <w:lang w:eastAsia="tr-TR"/>
              </w:rPr>
            </w:pPr>
            <w:r w:rsidRPr="005269EC">
              <w:rPr>
                <w:b/>
                <w:bCs/>
                <w:color w:val="000000"/>
                <w:sz w:val="18"/>
                <w:szCs w:val="18"/>
                <w:lang w:eastAsia="tr-TR"/>
              </w:rPr>
              <w:t>401,627</w:t>
            </w:r>
          </w:p>
        </w:tc>
      </w:tr>
      <w:tr w:rsidR="005269EC" w:rsidRPr="005269EC" w14:paraId="3D245C60" w14:textId="77777777" w:rsidTr="00B843E3">
        <w:trPr>
          <w:divId w:val="818349871"/>
          <w:trHeight w:val="212"/>
        </w:trPr>
        <w:tc>
          <w:tcPr>
            <w:tcW w:w="2466" w:type="dxa"/>
            <w:tcBorders>
              <w:top w:val="nil"/>
              <w:left w:val="nil"/>
              <w:bottom w:val="single" w:sz="8" w:space="0" w:color="auto"/>
              <w:right w:val="nil"/>
            </w:tcBorders>
            <w:shd w:val="clear" w:color="auto" w:fill="auto"/>
            <w:vAlign w:val="bottom"/>
            <w:hideMark/>
          </w:tcPr>
          <w:p w14:paraId="6D3B8D12" w14:textId="77777777" w:rsidR="005269EC" w:rsidRPr="005269EC" w:rsidRDefault="005269EC" w:rsidP="005269EC">
            <w:pPr>
              <w:rPr>
                <w:color w:val="000000"/>
                <w:lang w:eastAsia="tr-TR"/>
              </w:rPr>
            </w:pPr>
            <w:r w:rsidRPr="005269EC">
              <w:rPr>
                <w:color w:val="000000"/>
                <w:lang w:eastAsia="tr-TR"/>
              </w:rPr>
              <w:t> </w:t>
            </w:r>
          </w:p>
        </w:tc>
        <w:tc>
          <w:tcPr>
            <w:tcW w:w="936" w:type="dxa"/>
            <w:tcBorders>
              <w:top w:val="nil"/>
              <w:left w:val="nil"/>
              <w:bottom w:val="single" w:sz="8" w:space="0" w:color="auto"/>
              <w:right w:val="nil"/>
            </w:tcBorders>
            <w:shd w:val="clear" w:color="auto" w:fill="auto"/>
            <w:vAlign w:val="bottom"/>
            <w:hideMark/>
          </w:tcPr>
          <w:p w14:paraId="209FE719" w14:textId="77777777" w:rsidR="005269EC" w:rsidRPr="005269EC" w:rsidRDefault="005269EC" w:rsidP="00B843E3">
            <w:pPr>
              <w:jc w:val="right"/>
              <w:rPr>
                <w:color w:val="000000"/>
                <w:sz w:val="18"/>
                <w:szCs w:val="18"/>
                <w:lang w:eastAsia="tr-TR"/>
              </w:rPr>
            </w:pPr>
            <w:r w:rsidRPr="005269EC">
              <w:rPr>
                <w:rFonts w:eastAsia="SimSun"/>
                <w:color w:val="000000"/>
                <w:sz w:val="18"/>
                <w:szCs w:val="18"/>
                <w:lang w:eastAsia="tr-TR"/>
              </w:rPr>
              <w:t> </w:t>
            </w:r>
          </w:p>
        </w:tc>
        <w:tc>
          <w:tcPr>
            <w:tcW w:w="851" w:type="dxa"/>
            <w:tcBorders>
              <w:top w:val="nil"/>
              <w:left w:val="nil"/>
              <w:bottom w:val="single" w:sz="8" w:space="0" w:color="auto"/>
              <w:right w:val="nil"/>
            </w:tcBorders>
            <w:shd w:val="clear" w:color="auto" w:fill="auto"/>
            <w:vAlign w:val="bottom"/>
            <w:hideMark/>
          </w:tcPr>
          <w:p w14:paraId="317171CA" w14:textId="77777777" w:rsidR="005269EC" w:rsidRPr="005269EC" w:rsidRDefault="005269EC" w:rsidP="00B843E3">
            <w:pPr>
              <w:jc w:val="right"/>
              <w:rPr>
                <w:color w:val="000000"/>
                <w:sz w:val="18"/>
                <w:szCs w:val="18"/>
                <w:lang w:eastAsia="tr-TR"/>
              </w:rPr>
            </w:pPr>
            <w:r w:rsidRPr="005269EC">
              <w:rPr>
                <w:rFonts w:eastAsia="SimSun"/>
                <w:color w:val="000000"/>
                <w:sz w:val="18"/>
                <w:szCs w:val="18"/>
                <w:lang w:eastAsia="tr-TR"/>
              </w:rPr>
              <w:t> </w:t>
            </w:r>
          </w:p>
        </w:tc>
        <w:tc>
          <w:tcPr>
            <w:tcW w:w="856" w:type="dxa"/>
            <w:tcBorders>
              <w:top w:val="nil"/>
              <w:left w:val="nil"/>
              <w:bottom w:val="single" w:sz="8" w:space="0" w:color="auto"/>
              <w:right w:val="nil"/>
            </w:tcBorders>
            <w:shd w:val="clear" w:color="auto" w:fill="auto"/>
            <w:vAlign w:val="bottom"/>
            <w:hideMark/>
          </w:tcPr>
          <w:p w14:paraId="682725B3" w14:textId="77777777" w:rsidR="005269EC" w:rsidRPr="005269EC" w:rsidRDefault="005269EC" w:rsidP="00B843E3">
            <w:pPr>
              <w:jc w:val="right"/>
              <w:rPr>
                <w:color w:val="000000"/>
                <w:sz w:val="18"/>
                <w:szCs w:val="18"/>
                <w:lang w:eastAsia="tr-TR"/>
              </w:rPr>
            </w:pPr>
            <w:r w:rsidRPr="005269EC">
              <w:rPr>
                <w:rFonts w:eastAsia="SimSun"/>
                <w:color w:val="000000"/>
                <w:sz w:val="18"/>
                <w:szCs w:val="18"/>
                <w:lang w:eastAsia="tr-TR"/>
              </w:rPr>
              <w:t> </w:t>
            </w:r>
          </w:p>
        </w:tc>
        <w:tc>
          <w:tcPr>
            <w:tcW w:w="713" w:type="dxa"/>
            <w:tcBorders>
              <w:top w:val="nil"/>
              <w:left w:val="nil"/>
              <w:bottom w:val="single" w:sz="8" w:space="0" w:color="auto"/>
              <w:right w:val="nil"/>
            </w:tcBorders>
            <w:shd w:val="clear" w:color="auto" w:fill="auto"/>
            <w:vAlign w:val="bottom"/>
            <w:hideMark/>
          </w:tcPr>
          <w:p w14:paraId="40DE43A1" w14:textId="77777777" w:rsidR="005269EC" w:rsidRPr="005269EC" w:rsidRDefault="005269EC" w:rsidP="00B843E3">
            <w:pPr>
              <w:jc w:val="right"/>
              <w:rPr>
                <w:color w:val="000000"/>
                <w:sz w:val="18"/>
                <w:szCs w:val="18"/>
                <w:lang w:eastAsia="tr-TR"/>
              </w:rPr>
            </w:pPr>
            <w:r w:rsidRPr="005269EC">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29D55E24" w14:textId="77777777" w:rsidR="005269EC" w:rsidRPr="005269EC" w:rsidRDefault="005269EC" w:rsidP="00B843E3">
            <w:pPr>
              <w:jc w:val="right"/>
              <w:rPr>
                <w:color w:val="000000"/>
                <w:sz w:val="18"/>
                <w:szCs w:val="18"/>
                <w:lang w:eastAsia="tr-TR"/>
              </w:rPr>
            </w:pPr>
            <w:r w:rsidRPr="005269EC">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79895F12" w14:textId="77777777" w:rsidR="005269EC" w:rsidRPr="005269EC" w:rsidRDefault="005269EC" w:rsidP="00B843E3">
            <w:pPr>
              <w:jc w:val="right"/>
              <w:rPr>
                <w:color w:val="000000"/>
                <w:sz w:val="18"/>
                <w:szCs w:val="18"/>
                <w:lang w:eastAsia="tr-TR"/>
              </w:rPr>
            </w:pPr>
            <w:r w:rsidRPr="005269EC">
              <w:rPr>
                <w:rFonts w:eastAsia="SimSun"/>
                <w:color w:val="000000"/>
                <w:sz w:val="18"/>
                <w:szCs w:val="18"/>
                <w:lang w:eastAsia="tr-TR"/>
              </w:rPr>
              <w:t> </w:t>
            </w:r>
          </w:p>
        </w:tc>
        <w:tc>
          <w:tcPr>
            <w:tcW w:w="917" w:type="dxa"/>
            <w:tcBorders>
              <w:top w:val="nil"/>
              <w:left w:val="nil"/>
              <w:bottom w:val="single" w:sz="8" w:space="0" w:color="auto"/>
              <w:right w:val="nil"/>
            </w:tcBorders>
            <w:shd w:val="clear" w:color="auto" w:fill="auto"/>
            <w:vAlign w:val="bottom"/>
            <w:hideMark/>
          </w:tcPr>
          <w:p w14:paraId="26112722" w14:textId="77777777" w:rsidR="005269EC" w:rsidRPr="005269EC" w:rsidRDefault="005269EC" w:rsidP="00B843E3">
            <w:pPr>
              <w:jc w:val="right"/>
              <w:rPr>
                <w:color w:val="000000"/>
                <w:sz w:val="18"/>
                <w:szCs w:val="18"/>
                <w:lang w:eastAsia="tr-TR"/>
              </w:rPr>
            </w:pPr>
            <w:r w:rsidRPr="005269EC">
              <w:rPr>
                <w:rFonts w:eastAsia="SimSun"/>
                <w:color w:val="000000"/>
                <w:sz w:val="18"/>
                <w:szCs w:val="18"/>
                <w:lang w:eastAsia="tr-TR"/>
              </w:rPr>
              <w:t> </w:t>
            </w:r>
          </w:p>
        </w:tc>
        <w:tc>
          <w:tcPr>
            <w:tcW w:w="964" w:type="dxa"/>
            <w:tcBorders>
              <w:top w:val="nil"/>
              <w:left w:val="nil"/>
              <w:bottom w:val="single" w:sz="8" w:space="0" w:color="auto"/>
              <w:right w:val="nil"/>
            </w:tcBorders>
            <w:shd w:val="clear" w:color="auto" w:fill="auto"/>
            <w:vAlign w:val="bottom"/>
            <w:hideMark/>
          </w:tcPr>
          <w:p w14:paraId="7B1704E9" w14:textId="77777777" w:rsidR="005269EC" w:rsidRPr="005269EC" w:rsidRDefault="005269EC" w:rsidP="00B843E3">
            <w:pPr>
              <w:jc w:val="right"/>
              <w:rPr>
                <w:color w:val="000000"/>
                <w:sz w:val="18"/>
                <w:szCs w:val="18"/>
                <w:lang w:eastAsia="tr-TR"/>
              </w:rPr>
            </w:pPr>
            <w:r w:rsidRPr="005269EC">
              <w:rPr>
                <w:rFonts w:eastAsia="SimSun"/>
                <w:color w:val="000000"/>
                <w:sz w:val="18"/>
                <w:szCs w:val="18"/>
                <w:lang w:eastAsia="tr-TR"/>
              </w:rPr>
              <w:t> </w:t>
            </w:r>
          </w:p>
        </w:tc>
      </w:tr>
      <w:tr w:rsidR="005269EC" w:rsidRPr="005269EC" w14:paraId="1EE85CF3" w14:textId="77777777" w:rsidTr="00B843E3">
        <w:trPr>
          <w:divId w:val="818349871"/>
          <w:trHeight w:val="201"/>
        </w:trPr>
        <w:tc>
          <w:tcPr>
            <w:tcW w:w="2466" w:type="dxa"/>
            <w:tcBorders>
              <w:top w:val="nil"/>
              <w:left w:val="nil"/>
              <w:bottom w:val="double" w:sz="6" w:space="0" w:color="auto"/>
              <w:right w:val="nil"/>
            </w:tcBorders>
            <w:shd w:val="clear" w:color="auto" w:fill="auto"/>
            <w:vAlign w:val="center"/>
            <w:hideMark/>
          </w:tcPr>
          <w:p w14:paraId="36F8A0EC" w14:textId="77777777" w:rsidR="005269EC" w:rsidRPr="005269EC" w:rsidRDefault="005269EC" w:rsidP="005269EC">
            <w:pPr>
              <w:ind w:firstLineChars="100" w:firstLine="181"/>
              <w:rPr>
                <w:b/>
                <w:bCs/>
                <w:color w:val="000000"/>
                <w:sz w:val="18"/>
                <w:szCs w:val="18"/>
                <w:lang w:eastAsia="tr-TR"/>
              </w:rPr>
            </w:pPr>
            <w:r w:rsidRPr="005269EC">
              <w:rPr>
                <w:b/>
                <w:bCs/>
                <w:color w:val="000000"/>
                <w:sz w:val="18"/>
                <w:szCs w:val="18"/>
                <w:lang w:eastAsia="tr-TR"/>
              </w:rPr>
              <w:t>Genel toplam</w:t>
            </w:r>
          </w:p>
        </w:tc>
        <w:tc>
          <w:tcPr>
            <w:tcW w:w="936" w:type="dxa"/>
            <w:tcBorders>
              <w:top w:val="nil"/>
              <w:left w:val="nil"/>
              <w:bottom w:val="double" w:sz="6" w:space="0" w:color="auto"/>
              <w:right w:val="nil"/>
            </w:tcBorders>
            <w:shd w:val="clear" w:color="auto" w:fill="auto"/>
            <w:vAlign w:val="center"/>
            <w:hideMark/>
          </w:tcPr>
          <w:p w14:paraId="7B425399"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803,216</w:t>
            </w:r>
          </w:p>
        </w:tc>
        <w:tc>
          <w:tcPr>
            <w:tcW w:w="851" w:type="dxa"/>
            <w:tcBorders>
              <w:top w:val="nil"/>
              <w:left w:val="nil"/>
              <w:bottom w:val="double" w:sz="6" w:space="0" w:color="auto"/>
              <w:right w:val="nil"/>
            </w:tcBorders>
            <w:shd w:val="clear" w:color="auto" w:fill="auto"/>
            <w:vAlign w:val="center"/>
            <w:hideMark/>
          </w:tcPr>
          <w:p w14:paraId="3A8E1AEE"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1,341,860</w:t>
            </w:r>
          </w:p>
        </w:tc>
        <w:tc>
          <w:tcPr>
            <w:tcW w:w="856" w:type="dxa"/>
            <w:tcBorders>
              <w:top w:val="nil"/>
              <w:left w:val="nil"/>
              <w:bottom w:val="double" w:sz="6" w:space="0" w:color="auto"/>
              <w:right w:val="nil"/>
            </w:tcBorders>
            <w:shd w:val="clear" w:color="auto" w:fill="auto"/>
            <w:vAlign w:val="center"/>
            <w:hideMark/>
          </w:tcPr>
          <w:p w14:paraId="78ABEA29"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97,260</w:t>
            </w:r>
          </w:p>
        </w:tc>
        <w:tc>
          <w:tcPr>
            <w:tcW w:w="713" w:type="dxa"/>
            <w:tcBorders>
              <w:top w:val="nil"/>
              <w:left w:val="nil"/>
              <w:bottom w:val="double" w:sz="6" w:space="0" w:color="auto"/>
              <w:right w:val="nil"/>
            </w:tcBorders>
            <w:shd w:val="clear" w:color="auto" w:fill="auto"/>
            <w:vAlign w:val="center"/>
            <w:hideMark/>
          </w:tcPr>
          <w:p w14:paraId="76430E98"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w:t>
            </w:r>
          </w:p>
        </w:tc>
        <w:tc>
          <w:tcPr>
            <w:tcW w:w="835" w:type="dxa"/>
            <w:tcBorders>
              <w:top w:val="nil"/>
              <w:left w:val="nil"/>
              <w:bottom w:val="double" w:sz="6" w:space="0" w:color="auto"/>
              <w:right w:val="nil"/>
            </w:tcBorders>
            <w:shd w:val="clear" w:color="auto" w:fill="auto"/>
            <w:vAlign w:val="center"/>
            <w:hideMark/>
          </w:tcPr>
          <w:p w14:paraId="0593C60C"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49,412</w:t>
            </w:r>
          </w:p>
        </w:tc>
        <w:tc>
          <w:tcPr>
            <w:tcW w:w="835" w:type="dxa"/>
            <w:tcBorders>
              <w:top w:val="nil"/>
              <w:left w:val="nil"/>
              <w:bottom w:val="double" w:sz="6" w:space="0" w:color="auto"/>
              <w:right w:val="nil"/>
            </w:tcBorders>
            <w:shd w:val="clear" w:color="auto" w:fill="auto"/>
            <w:vAlign w:val="center"/>
            <w:hideMark/>
          </w:tcPr>
          <w:p w14:paraId="11217256"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50,731</w:t>
            </w:r>
          </w:p>
        </w:tc>
        <w:tc>
          <w:tcPr>
            <w:tcW w:w="917" w:type="dxa"/>
            <w:tcBorders>
              <w:top w:val="nil"/>
              <w:left w:val="nil"/>
              <w:bottom w:val="double" w:sz="6" w:space="0" w:color="auto"/>
              <w:right w:val="nil"/>
            </w:tcBorders>
            <w:shd w:val="clear" w:color="auto" w:fill="auto"/>
            <w:vAlign w:val="center"/>
            <w:hideMark/>
          </w:tcPr>
          <w:p w14:paraId="4B2BF4A7"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2,204</w:t>
            </w:r>
          </w:p>
        </w:tc>
        <w:tc>
          <w:tcPr>
            <w:tcW w:w="964" w:type="dxa"/>
            <w:tcBorders>
              <w:top w:val="nil"/>
              <w:left w:val="nil"/>
              <w:bottom w:val="double" w:sz="6" w:space="0" w:color="auto"/>
              <w:right w:val="nil"/>
            </w:tcBorders>
            <w:shd w:val="clear" w:color="auto" w:fill="auto"/>
            <w:vAlign w:val="center"/>
            <w:hideMark/>
          </w:tcPr>
          <w:p w14:paraId="70559956"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2,344,683</w:t>
            </w:r>
          </w:p>
        </w:tc>
      </w:tr>
    </w:tbl>
    <w:p w14:paraId="625FC62D" w14:textId="383A32F9" w:rsidR="002C0F98" w:rsidRPr="00270CE6" w:rsidRDefault="002C0F98" w:rsidP="000F096F">
      <w:pPr>
        <w:autoSpaceDE w:val="0"/>
        <w:autoSpaceDN w:val="0"/>
        <w:adjustRightInd w:val="0"/>
        <w:rPr>
          <w:b/>
          <w:bCs/>
          <w:iCs/>
          <w:sz w:val="16"/>
          <w:szCs w:val="16"/>
          <w:highlight w:val="yellow"/>
        </w:rPr>
      </w:pPr>
    </w:p>
    <w:p w14:paraId="0F42A429" w14:textId="77777777" w:rsidR="002C0F98" w:rsidRPr="00270CE6" w:rsidRDefault="002C0F98" w:rsidP="000F096F">
      <w:pPr>
        <w:autoSpaceDE w:val="0"/>
        <w:autoSpaceDN w:val="0"/>
        <w:adjustRightInd w:val="0"/>
        <w:rPr>
          <w:b/>
          <w:bCs/>
          <w:iCs/>
          <w:sz w:val="16"/>
          <w:szCs w:val="16"/>
          <w:highlight w:val="yellow"/>
        </w:rPr>
      </w:pPr>
    </w:p>
    <w:p w14:paraId="0AA07D62" w14:textId="77777777" w:rsidR="002C0F98" w:rsidRPr="00270CE6" w:rsidRDefault="002C0F98" w:rsidP="000F096F">
      <w:pPr>
        <w:autoSpaceDE w:val="0"/>
        <w:autoSpaceDN w:val="0"/>
        <w:adjustRightInd w:val="0"/>
        <w:rPr>
          <w:b/>
          <w:bCs/>
          <w:iCs/>
          <w:sz w:val="16"/>
          <w:szCs w:val="16"/>
          <w:highlight w:val="yellow"/>
        </w:rPr>
      </w:pPr>
    </w:p>
    <w:p w14:paraId="12F1AF7D" w14:textId="77777777" w:rsidR="00A01DD8" w:rsidRPr="005269EC" w:rsidRDefault="001F7228" w:rsidP="00DE19A7">
      <w:pPr>
        <w:autoSpaceDE w:val="0"/>
        <w:autoSpaceDN w:val="0"/>
        <w:adjustRightInd w:val="0"/>
        <w:ind w:hanging="567"/>
        <w:rPr>
          <w:b/>
          <w:bCs/>
          <w:iCs/>
        </w:rPr>
      </w:pPr>
      <w:r w:rsidRPr="00270CE6">
        <w:rPr>
          <w:b/>
          <w:bCs/>
          <w:iCs/>
          <w:highlight w:val="yellow"/>
        </w:rPr>
        <w:br w:type="page"/>
      </w:r>
      <w:r w:rsidR="00DE19A7" w:rsidRPr="005269EC">
        <w:rPr>
          <w:b/>
          <w:bCs/>
          <w:iCs/>
        </w:rPr>
        <w:lastRenderedPageBreak/>
        <w:t>4.5</w:t>
      </w:r>
      <w:r w:rsidR="00DE19A7" w:rsidRPr="005269EC">
        <w:rPr>
          <w:b/>
          <w:bCs/>
          <w:iCs/>
        </w:rPr>
        <w:tab/>
      </w:r>
      <w:r w:rsidR="00A01DD8" w:rsidRPr="005269EC">
        <w:rPr>
          <w:b/>
          <w:bCs/>
          <w:iCs/>
        </w:rPr>
        <w:t>Ticari kar/zarara ilişkin açıklamalar (Net):</w:t>
      </w:r>
    </w:p>
    <w:p w14:paraId="5B3EB5ED" w14:textId="5BFAEFF8" w:rsidR="005269EC" w:rsidRPr="005269EC" w:rsidRDefault="005269EC" w:rsidP="000F096F">
      <w:pPr>
        <w:autoSpaceDE w:val="0"/>
        <w:autoSpaceDN w:val="0"/>
        <w:adjustRightInd w:val="0"/>
        <w:rPr>
          <w:lang w:val="en-GB" w:eastAsia="en-GB"/>
        </w:rPr>
      </w:pPr>
    </w:p>
    <w:tbl>
      <w:tblPr>
        <w:tblW w:w="9261" w:type="dxa"/>
        <w:tblCellMar>
          <w:left w:w="70" w:type="dxa"/>
          <w:right w:w="70" w:type="dxa"/>
        </w:tblCellMar>
        <w:tblLook w:val="04A0" w:firstRow="1" w:lastRow="0" w:firstColumn="1" w:lastColumn="0" w:noHBand="0" w:noVBand="1"/>
      </w:tblPr>
      <w:tblGrid>
        <w:gridCol w:w="4948"/>
        <w:gridCol w:w="2187"/>
        <w:gridCol w:w="2126"/>
      </w:tblGrid>
      <w:tr w:rsidR="005269EC" w:rsidRPr="005269EC" w14:paraId="0038E6C6" w14:textId="77777777" w:rsidTr="005269EC">
        <w:trPr>
          <w:divId w:val="1822499234"/>
          <w:trHeight w:val="229"/>
        </w:trPr>
        <w:tc>
          <w:tcPr>
            <w:tcW w:w="4948" w:type="dxa"/>
            <w:tcBorders>
              <w:top w:val="double" w:sz="6" w:space="0" w:color="auto"/>
              <w:left w:val="nil"/>
              <w:bottom w:val="single" w:sz="8" w:space="0" w:color="auto"/>
              <w:right w:val="nil"/>
            </w:tcBorders>
            <w:shd w:val="clear" w:color="auto" w:fill="auto"/>
            <w:vAlign w:val="center"/>
            <w:hideMark/>
          </w:tcPr>
          <w:p w14:paraId="4A5B9632" w14:textId="455B50FC" w:rsidR="005269EC" w:rsidRPr="005269EC" w:rsidRDefault="005269EC" w:rsidP="005269EC">
            <w:pPr>
              <w:jc w:val="center"/>
              <w:rPr>
                <w:b/>
                <w:bCs/>
                <w:color w:val="000000"/>
                <w:sz w:val="18"/>
                <w:szCs w:val="18"/>
                <w:lang w:eastAsia="tr-TR"/>
              </w:rPr>
            </w:pPr>
            <w:r w:rsidRPr="005269EC">
              <w:rPr>
                <w:b/>
                <w:bCs/>
                <w:color w:val="000000"/>
                <w:sz w:val="18"/>
                <w:szCs w:val="18"/>
                <w:lang w:eastAsia="tr-TR"/>
              </w:rPr>
              <w:t> </w:t>
            </w:r>
          </w:p>
        </w:tc>
        <w:tc>
          <w:tcPr>
            <w:tcW w:w="2187" w:type="dxa"/>
            <w:tcBorders>
              <w:top w:val="double" w:sz="6" w:space="0" w:color="auto"/>
              <w:left w:val="nil"/>
              <w:bottom w:val="single" w:sz="8" w:space="0" w:color="auto"/>
              <w:right w:val="nil"/>
            </w:tcBorders>
            <w:shd w:val="clear" w:color="auto" w:fill="auto"/>
            <w:vAlign w:val="center"/>
            <w:hideMark/>
          </w:tcPr>
          <w:p w14:paraId="369DD5EE"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6024D62A" w14:textId="77777777" w:rsidR="005269EC" w:rsidRPr="005269EC" w:rsidRDefault="005269EC" w:rsidP="005269EC">
            <w:pPr>
              <w:jc w:val="right"/>
              <w:rPr>
                <w:b/>
                <w:bCs/>
                <w:color w:val="000000"/>
                <w:sz w:val="18"/>
                <w:szCs w:val="18"/>
                <w:lang w:eastAsia="tr-TR"/>
              </w:rPr>
            </w:pPr>
            <w:r w:rsidRPr="005269EC">
              <w:rPr>
                <w:b/>
                <w:bCs/>
                <w:color w:val="000000"/>
                <w:sz w:val="18"/>
                <w:szCs w:val="18"/>
                <w:lang w:eastAsia="tr-TR"/>
              </w:rPr>
              <w:t>Önceki Dönem</w:t>
            </w:r>
          </w:p>
        </w:tc>
      </w:tr>
      <w:tr w:rsidR="005269EC" w:rsidRPr="005269EC" w14:paraId="40B5E55C" w14:textId="77777777" w:rsidTr="005269EC">
        <w:trPr>
          <w:divId w:val="1822499234"/>
          <w:trHeight w:val="216"/>
        </w:trPr>
        <w:tc>
          <w:tcPr>
            <w:tcW w:w="4948" w:type="dxa"/>
            <w:tcBorders>
              <w:top w:val="nil"/>
              <w:left w:val="nil"/>
              <w:bottom w:val="nil"/>
              <w:right w:val="nil"/>
            </w:tcBorders>
            <w:shd w:val="clear" w:color="auto" w:fill="auto"/>
            <w:noWrap/>
            <w:vAlign w:val="center"/>
            <w:hideMark/>
          </w:tcPr>
          <w:p w14:paraId="21F9E16B" w14:textId="77777777" w:rsidR="005269EC" w:rsidRPr="005269EC" w:rsidRDefault="005269EC" w:rsidP="005269EC">
            <w:pPr>
              <w:rPr>
                <w:b/>
                <w:bCs/>
                <w:color w:val="000000"/>
                <w:sz w:val="18"/>
                <w:szCs w:val="18"/>
                <w:lang w:eastAsia="tr-TR"/>
              </w:rPr>
            </w:pPr>
            <w:r w:rsidRPr="005269EC">
              <w:rPr>
                <w:b/>
                <w:bCs/>
                <w:color w:val="000000"/>
                <w:sz w:val="18"/>
                <w:szCs w:val="18"/>
                <w:lang w:eastAsia="tr-TR"/>
              </w:rPr>
              <w:t>Ticari kar/zarar (net)</w:t>
            </w:r>
          </w:p>
        </w:tc>
        <w:tc>
          <w:tcPr>
            <w:tcW w:w="2187" w:type="dxa"/>
            <w:tcBorders>
              <w:top w:val="nil"/>
              <w:left w:val="nil"/>
              <w:bottom w:val="nil"/>
              <w:right w:val="nil"/>
            </w:tcBorders>
            <w:shd w:val="clear" w:color="auto" w:fill="auto"/>
            <w:vAlign w:val="center"/>
            <w:hideMark/>
          </w:tcPr>
          <w:p w14:paraId="0A499526" w14:textId="77777777" w:rsidR="005269EC" w:rsidRPr="005269EC" w:rsidRDefault="005269EC" w:rsidP="005269EC">
            <w:pPr>
              <w:jc w:val="right"/>
              <w:rPr>
                <w:b/>
                <w:bCs/>
                <w:sz w:val="18"/>
                <w:szCs w:val="18"/>
                <w:lang w:eastAsia="tr-TR"/>
              </w:rPr>
            </w:pPr>
            <w:r w:rsidRPr="005269EC">
              <w:rPr>
                <w:b/>
                <w:bCs/>
                <w:sz w:val="18"/>
                <w:szCs w:val="18"/>
                <w:lang w:eastAsia="tr-TR"/>
              </w:rPr>
              <w:t>844,334</w:t>
            </w:r>
          </w:p>
        </w:tc>
        <w:tc>
          <w:tcPr>
            <w:tcW w:w="2126" w:type="dxa"/>
            <w:tcBorders>
              <w:top w:val="nil"/>
              <w:left w:val="nil"/>
              <w:bottom w:val="nil"/>
              <w:right w:val="nil"/>
            </w:tcBorders>
            <w:shd w:val="clear" w:color="auto" w:fill="auto"/>
            <w:vAlign w:val="center"/>
            <w:hideMark/>
          </w:tcPr>
          <w:p w14:paraId="43EB9B69" w14:textId="77777777" w:rsidR="005269EC" w:rsidRPr="005269EC" w:rsidRDefault="005269EC" w:rsidP="005269EC">
            <w:pPr>
              <w:jc w:val="right"/>
              <w:rPr>
                <w:b/>
                <w:bCs/>
                <w:sz w:val="18"/>
                <w:szCs w:val="18"/>
                <w:lang w:eastAsia="tr-TR"/>
              </w:rPr>
            </w:pPr>
            <w:r w:rsidRPr="005269EC">
              <w:rPr>
                <w:b/>
                <w:bCs/>
                <w:sz w:val="18"/>
                <w:szCs w:val="18"/>
                <w:lang w:eastAsia="tr-TR"/>
              </w:rPr>
              <w:t>886,401</w:t>
            </w:r>
          </w:p>
        </w:tc>
      </w:tr>
      <w:tr w:rsidR="005269EC" w:rsidRPr="005269EC" w14:paraId="0299D948" w14:textId="77777777" w:rsidTr="005269EC">
        <w:trPr>
          <w:divId w:val="1822499234"/>
          <w:trHeight w:val="216"/>
        </w:trPr>
        <w:tc>
          <w:tcPr>
            <w:tcW w:w="4948" w:type="dxa"/>
            <w:tcBorders>
              <w:top w:val="nil"/>
              <w:left w:val="nil"/>
              <w:bottom w:val="nil"/>
              <w:right w:val="nil"/>
            </w:tcBorders>
            <w:shd w:val="clear" w:color="auto" w:fill="auto"/>
            <w:noWrap/>
            <w:vAlign w:val="center"/>
            <w:hideMark/>
          </w:tcPr>
          <w:p w14:paraId="1D2CC893" w14:textId="77777777" w:rsidR="005269EC" w:rsidRPr="005269EC" w:rsidRDefault="005269EC" w:rsidP="005269EC">
            <w:pPr>
              <w:rPr>
                <w:b/>
                <w:bCs/>
                <w:color w:val="000000"/>
                <w:sz w:val="18"/>
                <w:szCs w:val="18"/>
                <w:lang w:eastAsia="tr-TR"/>
              </w:rPr>
            </w:pPr>
            <w:r w:rsidRPr="005269EC">
              <w:rPr>
                <w:b/>
                <w:bCs/>
                <w:color w:val="000000"/>
                <w:sz w:val="18"/>
                <w:szCs w:val="18"/>
                <w:lang w:eastAsia="tr-TR"/>
              </w:rPr>
              <w:t>Kar</w:t>
            </w:r>
          </w:p>
        </w:tc>
        <w:tc>
          <w:tcPr>
            <w:tcW w:w="2187" w:type="dxa"/>
            <w:tcBorders>
              <w:top w:val="nil"/>
              <w:left w:val="nil"/>
              <w:bottom w:val="nil"/>
              <w:right w:val="nil"/>
            </w:tcBorders>
            <w:shd w:val="clear" w:color="auto" w:fill="auto"/>
            <w:vAlign w:val="center"/>
            <w:hideMark/>
          </w:tcPr>
          <w:p w14:paraId="5A17742F" w14:textId="77777777" w:rsidR="005269EC" w:rsidRPr="005269EC" w:rsidRDefault="005269EC" w:rsidP="005269EC">
            <w:pPr>
              <w:jc w:val="right"/>
              <w:rPr>
                <w:b/>
                <w:bCs/>
                <w:sz w:val="18"/>
                <w:szCs w:val="18"/>
                <w:lang w:eastAsia="tr-TR"/>
              </w:rPr>
            </w:pPr>
            <w:r w:rsidRPr="005269EC">
              <w:rPr>
                <w:b/>
                <w:bCs/>
                <w:sz w:val="18"/>
                <w:szCs w:val="18"/>
                <w:lang w:eastAsia="tr-TR"/>
              </w:rPr>
              <w:t>37,932,974</w:t>
            </w:r>
          </w:p>
        </w:tc>
        <w:tc>
          <w:tcPr>
            <w:tcW w:w="2126" w:type="dxa"/>
            <w:tcBorders>
              <w:top w:val="nil"/>
              <w:left w:val="nil"/>
              <w:bottom w:val="nil"/>
              <w:right w:val="nil"/>
            </w:tcBorders>
            <w:shd w:val="clear" w:color="auto" w:fill="auto"/>
            <w:vAlign w:val="center"/>
            <w:hideMark/>
          </w:tcPr>
          <w:p w14:paraId="50D12589" w14:textId="77777777" w:rsidR="005269EC" w:rsidRPr="005269EC" w:rsidRDefault="005269EC" w:rsidP="005269EC">
            <w:pPr>
              <w:jc w:val="right"/>
              <w:rPr>
                <w:b/>
                <w:bCs/>
                <w:sz w:val="18"/>
                <w:szCs w:val="18"/>
                <w:lang w:eastAsia="tr-TR"/>
              </w:rPr>
            </w:pPr>
            <w:r w:rsidRPr="005269EC">
              <w:rPr>
                <w:b/>
                <w:bCs/>
                <w:sz w:val="18"/>
                <w:szCs w:val="18"/>
                <w:lang w:eastAsia="tr-TR"/>
              </w:rPr>
              <w:t>30,877,536</w:t>
            </w:r>
          </w:p>
        </w:tc>
      </w:tr>
      <w:tr w:rsidR="005269EC" w:rsidRPr="005269EC" w14:paraId="36835C32" w14:textId="77777777" w:rsidTr="005269EC">
        <w:trPr>
          <w:divId w:val="1822499234"/>
          <w:trHeight w:val="216"/>
        </w:trPr>
        <w:tc>
          <w:tcPr>
            <w:tcW w:w="4948" w:type="dxa"/>
            <w:tcBorders>
              <w:top w:val="nil"/>
              <w:left w:val="nil"/>
              <w:bottom w:val="nil"/>
              <w:right w:val="nil"/>
            </w:tcBorders>
            <w:shd w:val="clear" w:color="auto" w:fill="auto"/>
            <w:noWrap/>
            <w:vAlign w:val="center"/>
            <w:hideMark/>
          </w:tcPr>
          <w:p w14:paraId="633150D5" w14:textId="77777777" w:rsidR="005269EC" w:rsidRPr="005269EC" w:rsidRDefault="005269EC" w:rsidP="005269EC">
            <w:pPr>
              <w:rPr>
                <w:color w:val="000000"/>
                <w:sz w:val="18"/>
                <w:szCs w:val="18"/>
                <w:lang w:eastAsia="tr-TR"/>
              </w:rPr>
            </w:pPr>
            <w:r w:rsidRPr="005269EC">
              <w:rPr>
                <w:color w:val="000000"/>
                <w:sz w:val="18"/>
                <w:szCs w:val="18"/>
                <w:lang w:eastAsia="tr-TR"/>
              </w:rPr>
              <w:t>Sermaye piyasası işlemleri karı</w:t>
            </w:r>
          </w:p>
        </w:tc>
        <w:tc>
          <w:tcPr>
            <w:tcW w:w="2187" w:type="dxa"/>
            <w:tcBorders>
              <w:top w:val="nil"/>
              <w:left w:val="nil"/>
              <w:bottom w:val="nil"/>
              <w:right w:val="nil"/>
            </w:tcBorders>
            <w:shd w:val="clear" w:color="auto" w:fill="auto"/>
            <w:vAlign w:val="center"/>
            <w:hideMark/>
          </w:tcPr>
          <w:p w14:paraId="75F6E5A0" w14:textId="77777777" w:rsidR="005269EC" w:rsidRPr="005269EC" w:rsidRDefault="005269EC" w:rsidP="005269EC">
            <w:pPr>
              <w:jc w:val="right"/>
              <w:rPr>
                <w:sz w:val="18"/>
                <w:szCs w:val="18"/>
                <w:lang w:eastAsia="tr-TR"/>
              </w:rPr>
            </w:pPr>
            <w:r w:rsidRPr="005269EC">
              <w:rPr>
                <w:sz w:val="18"/>
                <w:szCs w:val="18"/>
                <w:lang w:eastAsia="tr-TR"/>
              </w:rPr>
              <w:t>63,274</w:t>
            </w:r>
          </w:p>
        </w:tc>
        <w:tc>
          <w:tcPr>
            <w:tcW w:w="2126" w:type="dxa"/>
            <w:tcBorders>
              <w:top w:val="nil"/>
              <w:left w:val="nil"/>
              <w:bottom w:val="nil"/>
              <w:right w:val="nil"/>
            </w:tcBorders>
            <w:shd w:val="clear" w:color="auto" w:fill="auto"/>
            <w:vAlign w:val="center"/>
            <w:hideMark/>
          </w:tcPr>
          <w:p w14:paraId="1BD431B3" w14:textId="77777777" w:rsidR="005269EC" w:rsidRPr="005269EC" w:rsidRDefault="005269EC" w:rsidP="005269EC">
            <w:pPr>
              <w:jc w:val="right"/>
              <w:rPr>
                <w:sz w:val="18"/>
                <w:szCs w:val="18"/>
                <w:lang w:eastAsia="tr-TR"/>
              </w:rPr>
            </w:pPr>
            <w:r w:rsidRPr="005269EC">
              <w:rPr>
                <w:sz w:val="18"/>
                <w:szCs w:val="18"/>
                <w:lang w:eastAsia="tr-TR"/>
              </w:rPr>
              <w:t>38,548</w:t>
            </w:r>
          </w:p>
        </w:tc>
      </w:tr>
      <w:tr w:rsidR="005269EC" w:rsidRPr="005269EC" w14:paraId="41A5F8D1" w14:textId="77777777" w:rsidTr="005269EC">
        <w:trPr>
          <w:divId w:val="1822499234"/>
          <w:trHeight w:val="216"/>
        </w:trPr>
        <w:tc>
          <w:tcPr>
            <w:tcW w:w="4948" w:type="dxa"/>
            <w:tcBorders>
              <w:top w:val="nil"/>
              <w:left w:val="nil"/>
              <w:bottom w:val="nil"/>
              <w:right w:val="nil"/>
            </w:tcBorders>
            <w:shd w:val="clear" w:color="auto" w:fill="auto"/>
            <w:noWrap/>
            <w:vAlign w:val="center"/>
            <w:hideMark/>
          </w:tcPr>
          <w:p w14:paraId="6874BE88" w14:textId="77777777" w:rsidR="005269EC" w:rsidRPr="005269EC" w:rsidRDefault="005269EC" w:rsidP="005269EC">
            <w:pPr>
              <w:rPr>
                <w:color w:val="000000"/>
                <w:sz w:val="18"/>
                <w:szCs w:val="18"/>
                <w:lang w:eastAsia="tr-TR"/>
              </w:rPr>
            </w:pPr>
            <w:r w:rsidRPr="005269EC">
              <w:rPr>
                <w:color w:val="000000"/>
                <w:sz w:val="18"/>
                <w:szCs w:val="18"/>
                <w:lang w:eastAsia="tr-TR"/>
              </w:rPr>
              <w:t>Türev finansal işlemlerden kar</w:t>
            </w:r>
          </w:p>
        </w:tc>
        <w:tc>
          <w:tcPr>
            <w:tcW w:w="2187" w:type="dxa"/>
            <w:tcBorders>
              <w:top w:val="nil"/>
              <w:left w:val="nil"/>
              <w:bottom w:val="nil"/>
              <w:right w:val="nil"/>
            </w:tcBorders>
            <w:shd w:val="clear" w:color="auto" w:fill="auto"/>
            <w:vAlign w:val="center"/>
            <w:hideMark/>
          </w:tcPr>
          <w:p w14:paraId="61BE5579" w14:textId="77777777" w:rsidR="005269EC" w:rsidRPr="005269EC" w:rsidRDefault="005269EC" w:rsidP="005269EC">
            <w:pPr>
              <w:jc w:val="right"/>
              <w:rPr>
                <w:sz w:val="18"/>
                <w:szCs w:val="18"/>
                <w:lang w:eastAsia="tr-TR"/>
              </w:rPr>
            </w:pPr>
            <w:r w:rsidRPr="005269EC">
              <w:rPr>
                <w:sz w:val="18"/>
                <w:szCs w:val="18"/>
                <w:lang w:eastAsia="tr-TR"/>
              </w:rPr>
              <w:t>5,933,606</w:t>
            </w:r>
          </w:p>
        </w:tc>
        <w:tc>
          <w:tcPr>
            <w:tcW w:w="2126" w:type="dxa"/>
            <w:tcBorders>
              <w:top w:val="nil"/>
              <w:left w:val="nil"/>
              <w:bottom w:val="nil"/>
              <w:right w:val="nil"/>
            </w:tcBorders>
            <w:shd w:val="clear" w:color="auto" w:fill="auto"/>
            <w:vAlign w:val="center"/>
            <w:hideMark/>
          </w:tcPr>
          <w:p w14:paraId="5DE1FCA4" w14:textId="77777777" w:rsidR="005269EC" w:rsidRPr="005269EC" w:rsidRDefault="005269EC" w:rsidP="005269EC">
            <w:pPr>
              <w:jc w:val="right"/>
              <w:rPr>
                <w:sz w:val="18"/>
                <w:szCs w:val="18"/>
                <w:lang w:eastAsia="tr-TR"/>
              </w:rPr>
            </w:pPr>
            <w:r w:rsidRPr="005269EC">
              <w:rPr>
                <w:sz w:val="18"/>
                <w:szCs w:val="18"/>
                <w:lang w:eastAsia="tr-TR"/>
              </w:rPr>
              <w:t>2,437,468</w:t>
            </w:r>
          </w:p>
        </w:tc>
      </w:tr>
      <w:tr w:rsidR="005269EC" w:rsidRPr="005269EC" w14:paraId="3608411A" w14:textId="77777777" w:rsidTr="005269EC">
        <w:trPr>
          <w:divId w:val="1822499234"/>
          <w:trHeight w:val="203"/>
        </w:trPr>
        <w:tc>
          <w:tcPr>
            <w:tcW w:w="4948" w:type="dxa"/>
            <w:tcBorders>
              <w:top w:val="nil"/>
              <w:left w:val="nil"/>
              <w:bottom w:val="nil"/>
              <w:right w:val="nil"/>
            </w:tcBorders>
            <w:shd w:val="clear" w:color="auto" w:fill="auto"/>
            <w:noWrap/>
            <w:vAlign w:val="center"/>
            <w:hideMark/>
          </w:tcPr>
          <w:p w14:paraId="17475095" w14:textId="77777777" w:rsidR="005269EC" w:rsidRPr="005269EC" w:rsidRDefault="005269EC" w:rsidP="005269EC">
            <w:pPr>
              <w:rPr>
                <w:color w:val="000000"/>
                <w:sz w:val="18"/>
                <w:szCs w:val="18"/>
                <w:lang w:eastAsia="tr-TR"/>
              </w:rPr>
            </w:pPr>
            <w:r w:rsidRPr="005269EC">
              <w:rPr>
                <w:color w:val="000000"/>
                <w:sz w:val="18"/>
                <w:szCs w:val="18"/>
                <w:lang w:eastAsia="tr-TR"/>
              </w:rPr>
              <w:t>Kambiyo işlemlerinden kar</w:t>
            </w:r>
          </w:p>
        </w:tc>
        <w:tc>
          <w:tcPr>
            <w:tcW w:w="2187" w:type="dxa"/>
            <w:tcBorders>
              <w:top w:val="nil"/>
              <w:left w:val="nil"/>
              <w:bottom w:val="nil"/>
              <w:right w:val="nil"/>
            </w:tcBorders>
            <w:shd w:val="clear" w:color="auto" w:fill="auto"/>
            <w:vAlign w:val="center"/>
            <w:hideMark/>
          </w:tcPr>
          <w:p w14:paraId="25EB11C3" w14:textId="77777777" w:rsidR="005269EC" w:rsidRPr="005269EC" w:rsidRDefault="005269EC" w:rsidP="005269EC">
            <w:pPr>
              <w:jc w:val="right"/>
              <w:rPr>
                <w:sz w:val="18"/>
                <w:szCs w:val="18"/>
                <w:lang w:eastAsia="tr-TR"/>
              </w:rPr>
            </w:pPr>
            <w:r w:rsidRPr="005269EC">
              <w:rPr>
                <w:sz w:val="18"/>
                <w:szCs w:val="18"/>
                <w:lang w:eastAsia="tr-TR"/>
              </w:rPr>
              <w:t>31,936,094</w:t>
            </w:r>
          </w:p>
        </w:tc>
        <w:tc>
          <w:tcPr>
            <w:tcW w:w="2126" w:type="dxa"/>
            <w:tcBorders>
              <w:top w:val="nil"/>
              <w:left w:val="nil"/>
              <w:bottom w:val="nil"/>
              <w:right w:val="nil"/>
            </w:tcBorders>
            <w:shd w:val="clear" w:color="auto" w:fill="auto"/>
            <w:vAlign w:val="center"/>
            <w:hideMark/>
          </w:tcPr>
          <w:p w14:paraId="46153111" w14:textId="77777777" w:rsidR="005269EC" w:rsidRPr="005269EC" w:rsidRDefault="005269EC" w:rsidP="005269EC">
            <w:pPr>
              <w:jc w:val="right"/>
              <w:rPr>
                <w:sz w:val="18"/>
                <w:szCs w:val="18"/>
                <w:lang w:eastAsia="tr-TR"/>
              </w:rPr>
            </w:pPr>
            <w:r w:rsidRPr="005269EC">
              <w:rPr>
                <w:sz w:val="18"/>
                <w:szCs w:val="18"/>
                <w:lang w:eastAsia="tr-TR"/>
              </w:rPr>
              <w:t>28,401,520</w:t>
            </w:r>
          </w:p>
        </w:tc>
      </w:tr>
      <w:tr w:rsidR="005269EC" w:rsidRPr="005269EC" w14:paraId="2A2D9A48" w14:textId="77777777" w:rsidTr="005269EC">
        <w:trPr>
          <w:divId w:val="1822499234"/>
          <w:trHeight w:val="203"/>
        </w:trPr>
        <w:tc>
          <w:tcPr>
            <w:tcW w:w="4948" w:type="dxa"/>
            <w:tcBorders>
              <w:top w:val="nil"/>
              <w:left w:val="nil"/>
              <w:bottom w:val="nil"/>
              <w:right w:val="nil"/>
            </w:tcBorders>
            <w:shd w:val="clear" w:color="auto" w:fill="auto"/>
            <w:noWrap/>
            <w:vAlign w:val="center"/>
            <w:hideMark/>
          </w:tcPr>
          <w:p w14:paraId="75B659CF" w14:textId="77777777" w:rsidR="005269EC" w:rsidRPr="005269EC" w:rsidRDefault="005269EC" w:rsidP="005269EC">
            <w:pPr>
              <w:rPr>
                <w:b/>
                <w:bCs/>
                <w:color w:val="000000"/>
                <w:sz w:val="18"/>
                <w:szCs w:val="18"/>
                <w:lang w:eastAsia="tr-TR"/>
              </w:rPr>
            </w:pPr>
            <w:r w:rsidRPr="005269EC">
              <w:rPr>
                <w:b/>
                <w:bCs/>
                <w:color w:val="000000"/>
                <w:sz w:val="18"/>
                <w:szCs w:val="18"/>
                <w:lang w:eastAsia="tr-TR"/>
              </w:rPr>
              <w:t>Zarar (-)</w:t>
            </w:r>
          </w:p>
        </w:tc>
        <w:tc>
          <w:tcPr>
            <w:tcW w:w="2187" w:type="dxa"/>
            <w:tcBorders>
              <w:top w:val="nil"/>
              <w:left w:val="nil"/>
              <w:bottom w:val="nil"/>
              <w:right w:val="nil"/>
            </w:tcBorders>
            <w:shd w:val="clear" w:color="auto" w:fill="auto"/>
            <w:vAlign w:val="center"/>
            <w:hideMark/>
          </w:tcPr>
          <w:p w14:paraId="6FA05275" w14:textId="77777777" w:rsidR="005269EC" w:rsidRPr="005269EC" w:rsidRDefault="005269EC" w:rsidP="005269EC">
            <w:pPr>
              <w:jc w:val="right"/>
              <w:rPr>
                <w:b/>
                <w:bCs/>
                <w:sz w:val="18"/>
                <w:szCs w:val="18"/>
                <w:lang w:eastAsia="tr-TR"/>
              </w:rPr>
            </w:pPr>
            <w:r w:rsidRPr="005269EC">
              <w:rPr>
                <w:b/>
                <w:bCs/>
                <w:sz w:val="18"/>
                <w:szCs w:val="18"/>
                <w:lang w:eastAsia="tr-TR"/>
              </w:rPr>
              <w:t>(37,088,640)</w:t>
            </w:r>
          </w:p>
        </w:tc>
        <w:tc>
          <w:tcPr>
            <w:tcW w:w="2126" w:type="dxa"/>
            <w:tcBorders>
              <w:top w:val="nil"/>
              <w:left w:val="nil"/>
              <w:bottom w:val="nil"/>
              <w:right w:val="nil"/>
            </w:tcBorders>
            <w:shd w:val="clear" w:color="auto" w:fill="auto"/>
            <w:vAlign w:val="center"/>
            <w:hideMark/>
          </w:tcPr>
          <w:p w14:paraId="748840DF" w14:textId="77777777" w:rsidR="005269EC" w:rsidRPr="005269EC" w:rsidRDefault="005269EC" w:rsidP="005269EC">
            <w:pPr>
              <w:jc w:val="right"/>
              <w:rPr>
                <w:b/>
                <w:bCs/>
                <w:sz w:val="18"/>
                <w:szCs w:val="18"/>
                <w:lang w:eastAsia="tr-TR"/>
              </w:rPr>
            </w:pPr>
            <w:r w:rsidRPr="005269EC">
              <w:rPr>
                <w:b/>
                <w:bCs/>
                <w:sz w:val="18"/>
                <w:szCs w:val="18"/>
                <w:lang w:eastAsia="tr-TR"/>
              </w:rPr>
              <w:t>(29,991,135)</w:t>
            </w:r>
          </w:p>
        </w:tc>
      </w:tr>
      <w:tr w:rsidR="005269EC" w:rsidRPr="005269EC" w14:paraId="432E6669" w14:textId="77777777" w:rsidTr="005269EC">
        <w:trPr>
          <w:divId w:val="1822499234"/>
          <w:trHeight w:val="203"/>
        </w:trPr>
        <w:tc>
          <w:tcPr>
            <w:tcW w:w="4948" w:type="dxa"/>
            <w:tcBorders>
              <w:top w:val="nil"/>
              <w:left w:val="nil"/>
              <w:bottom w:val="nil"/>
              <w:right w:val="nil"/>
            </w:tcBorders>
            <w:shd w:val="clear" w:color="auto" w:fill="auto"/>
            <w:noWrap/>
            <w:vAlign w:val="center"/>
            <w:hideMark/>
          </w:tcPr>
          <w:p w14:paraId="32848BF5" w14:textId="77777777" w:rsidR="005269EC" w:rsidRPr="005269EC" w:rsidRDefault="005269EC" w:rsidP="005269EC">
            <w:pPr>
              <w:rPr>
                <w:color w:val="000000"/>
                <w:sz w:val="18"/>
                <w:szCs w:val="18"/>
                <w:lang w:eastAsia="tr-TR"/>
              </w:rPr>
            </w:pPr>
            <w:r w:rsidRPr="005269EC">
              <w:rPr>
                <w:color w:val="000000"/>
                <w:sz w:val="18"/>
                <w:szCs w:val="18"/>
                <w:lang w:eastAsia="tr-TR"/>
              </w:rPr>
              <w:t>Sermaye piyasası işlemleri zararı</w:t>
            </w:r>
          </w:p>
        </w:tc>
        <w:tc>
          <w:tcPr>
            <w:tcW w:w="2187" w:type="dxa"/>
            <w:tcBorders>
              <w:top w:val="nil"/>
              <w:left w:val="nil"/>
              <w:bottom w:val="nil"/>
              <w:right w:val="nil"/>
            </w:tcBorders>
            <w:shd w:val="clear" w:color="auto" w:fill="auto"/>
            <w:vAlign w:val="center"/>
            <w:hideMark/>
          </w:tcPr>
          <w:p w14:paraId="21F9FAA4" w14:textId="77777777" w:rsidR="005269EC" w:rsidRPr="005269EC" w:rsidRDefault="005269EC" w:rsidP="005269EC">
            <w:pPr>
              <w:jc w:val="right"/>
              <w:rPr>
                <w:sz w:val="18"/>
                <w:szCs w:val="18"/>
                <w:lang w:eastAsia="tr-TR"/>
              </w:rPr>
            </w:pPr>
            <w:r w:rsidRPr="005269EC">
              <w:rPr>
                <w:sz w:val="18"/>
                <w:szCs w:val="18"/>
                <w:lang w:eastAsia="tr-TR"/>
              </w:rPr>
              <w:t>(13,204)</w:t>
            </w:r>
          </w:p>
        </w:tc>
        <w:tc>
          <w:tcPr>
            <w:tcW w:w="2126" w:type="dxa"/>
            <w:tcBorders>
              <w:top w:val="nil"/>
              <w:left w:val="nil"/>
              <w:bottom w:val="nil"/>
              <w:right w:val="nil"/>
            </w:tcBorders>
            <w:shd w:val="clear" w:color="auto" w:fill="auto"/>
            <w:vAlign w:val="center"/>
            <w:hideMark/>
          </w:tcPr>
          <w:p w14:paraId="0E1127BE" w14:textId="77777777" w:rsidR="005269EC" w:rsidRPr="005269EC" w:rsidRDefault="005269EC" w:rsidP="005269EC">
            <w:pPr>
              <w:jc w:val="right"/>
              <w:rPr>
                <w:sz w:val="18"/>
                <w:szCs w:val="18"/>
                <w:lang w:eastAsia="tr-TR"/>
              </w:rPr>
            </w:pPr>
            <w:r w:rsidRPr="005269EC">
              <w:rPr>
                <w:sz w:val="18"/>
                <w:szCs w:val="18"/>
                <w:lang w:eastAsia="tr-TR"/>
              </w:rPr>
              <w:t>(11,613)</w:t>
            </w:r>
          </w:p>
        </w:tc>
      </w:tr>
      <w:tr w:rsidR="005269EC" w:rsidRPr="005269EC" w14:paraId="7565A8A0" w14:textId="77777777" w:rsidTr="005269EC">
        <w:trPr>
          <w:divId w:val="1822499234"/>
          <w:trHeight w:val="203"/>
        </w:trPr>
        <w:tc>
          <w:tcPr>
            <w:tcW w:w="4948" w:type="dxa"/>
            <w:tcBorders>
              <w:top w:val="nil"/>
              <w:left w:val="nil"/>
              <w:bottom w:val="nil"/>
              <w:right w:val="nil"/>
            </w:tcBorders>
            <w:shd w:val="clear" w:color="auto" w:fill="auto"/>
            <w:noWrap/>
            <w:vAlign w:val="center"/>
            <w:hideMark/>
          </w:tcPr>
          <w:p w14:paraId="661BA16F" w14:textId="77777777" w:rsidR="005269EC" w:rsidRPr="005269EC" w:rsidRDefault="005269EC" w:rsidP="005269EC">
            <w:pPr>
              <w:rPr>
                <w:color w:val="000000"/>
                <w:sz w:val="18"/>
                <w:szCs w:val="18"/>
                <w:lang w:eastAsia="tr-TR"/>
              </w:rPr>
            </w:pPr>
            <w:r w:rsidRPr="005269EC">
              <w:rPr>
                <w:color w:val="000000"/>
                <w:sz w:val="18"/>
                <w:szCs w:val="18"/>
                <w:lang w:eastAsia="tr-TR"/>
              </w:rPr>
              <w:t>Türev finansal işlemlerden zarar</w:t>
            </w:r>
          </w:p>
        </w:tc>
        <w:tc>
          <w:tcPr>
            <w:tcW w:w="2187" w:type="dxa"/>
            <w:tcBorders>
              <w:top w:val="nil"/>
              <w:left w:val="nil"/>
              <w:bottom w:val="nil"/>
              <w:right w:val="nil"/>
            </w:tcBorders>
            <w:shd w:val="clear" w:color="auto" w:fill="auto"/>
            <w:vAlign w:val="center"/>
            <w:hideMark/>
          </w:tcPr>
          <w:p w14:paraId="4D0D109E" w14:textId="77777777" w:rsidR="005269EC" w:rsidRPr="005269EC" w:rsidRDefault="005269EC" w:rsidP="005269EC">
            <w:pPr>
              <w:jc w:val="right"/>
              <w:rPr>
                <w:sz w:val="18"/>
                <w:szCs w:val="18"/>
                <w:lang w:eastAsia="tr-TR"/>
              </w:rPr>
            </w:pPr>
            <w:r w:rsidRPr="005269EC">
              <w:rPr>
                <w:sz w:val="18"/>
                <w:szCs w:val="18"/>
                <w:lang w:eastAsia="tr-TR"/>
              </w:rPr>
              <w:t>(5,626,244)</w:t>
            </w:r>
          </w:p>
        </w:tc>
        <w:tc>
          <w:tcPr>
            <w:tcW w:w="2126" w:type="dxa"/>
            <w:tcBorders>
              <w:top w:val="nil"/>
              <w:left w:val="nil"/>
              <w:bottom w:val="nil"/>
              <w:right w:val="nil"/>
            </w:tcBorders>
            <w:shd w:val="clear" w:color="auto" w:fill="auto"/>
            <w:vAlign w:val="center"/>
            <w:hideMark/>
          </w:tcPr>
          <w:p w14:paraId="09434974" w14:textId="77777777" w:rsidR="005269EC" w:rsidRPr="005269EC" w:rsidRDefault="005269EC" w:rsidP="005269EC">
            <w:pPr>
              <w:jc w:val="right"/>
              <w:rPr>
                <w:sz w:val="18"/>
                <w:szCs w:val="18"/>
                <w:lang w:eastAsia="tr-TR"/>
              </w:rPr>
            </w:pPr>
            <w:r w:rsidRPr="005269EC">
              <w:rPr>
                <w:sz w:val="18"/>
                <w:szCs w:val="18"/>
                <w:lang w:eastAsia="tr-TR"/>
              </w:rPr>
              <w:t>(1,482,269)</w:t>
            </w:r>
          </w:p>
        </w:tc>
      </w:tr>
      <w:tr w:rsidR="005269EC" w:rsidRPr="005269EC" w14:paraId="1200D796" w14:textId="77777777" w:rsidTr="005269EC">
        <w:trPr>
          <w:divId w:val="1822499234"/>
          <w:trHeight w:val="203"/>
        </w:trPr>
        <w:tc>
          <w:tcPr>
            <w:tcW w:w="4948" w:type="dxa"/>
            <w:tcBorders>
              <w:top w:val="nil"/>
              <w:left w:val="nil"/>
              <w:bottom w:val="nil"/>
              <w:right w:val="nil"/>
            </w:tcBorders>
            <w:shd w:val="clear" w:color="auto" w:fill="auto"/>
            <w:noWrap/>
            <w:vAlign w:val="center"/>
            <w:hideMark/>
          </w:tcPr>
          <w:p w14:paraId="5802F8E3" w14:textId="77777777" w:rsidR="005269EC" w:rsidRPr="005269EC" w:rsidRDefault="005269EC" w:rsidP="005269EC">
            <w:pPr>
              <w:rPr>
                <w:color w:val="000000"/>
                <w:sz w:val="18"/>
                <w:szCs w:val="18"/>
                <w:lang w:eastAsia="tr-TR"/>
              </w:rPr>
            </w:pPr>
            <w:r w:rsidRPr="005269EC">
              <w:rPr>
                <w:color w:val="000000"/>
                <w:sz w:val="18"/>
                <w:szCs w:val="18"/>
                <w:lang w:eastAsia="tr-TR"/>
              </w:rPr>
              <w:t>Kambiyo işlemlerinden zarar</w:t>
            </w:r>
          </w:p>
        </w:tc>
        <w:tc>
          <w:tcPr>
            <w:tcW w:w="2187" w:type="dxa"/>
            <w:tcBorders>
              <w:top w:val="nil"/>
              <w:left w:val="nil"/>
              <w:bottom w:val="nil"/>
              <w:right w:val="nil"/>
            </w:tcBorders>
            <w:shd w:val="clear" w:color="auto" w:fill="auto"/>
            <w:vAlign w:val="center"/>
            <w:hideMark/>
          </w:tcPr>
          <w:p w14:paraId="0512F290" w14:textId="77777777" w:rsidR="005269EC" w:rsidRPr="005269EC" w:rsidRDefault="005269EC" w:rsidP="005269EC">
            <w:pPr>
              <w:jc w:val="right"/>
              <w:rPr>
                <w:sz w:val="18"/>
                <w:szCs w:val="18"/>
                <w:lang w:eastAsia="tr-TR"/>
              </w:rPr>
            </w:pPr>
            <w:r w:rsidRPr="005269EC">
              <w:rPr>
                <w:sz w:val="18"/>
                <w:szCs w:val="18"/>
                <w:lang w:eastAsia="tr-TR"/>
              </w:rPr>
              <w:t>(31,449,192)</w:t>
            </w:r>
          </w:p>
        </w:tc>
        <w:tc>
          <w:tcPr>
            <w:tcW w:w="2126" w:type="dxa"/>
            <w:tcBorders>
              <w:top w:val="nil"/>
              <w:left w:val="nil"/>
              <w:bottom w:val="nil"/>
              <w:right w:val="nil"/>
            </w:tcBorders>
            <w:shd w:val="clear" w:color="auto" w:fill="auto"/>
            <w:vAlign w:val="center"/>
            <w:hideMark/>
          </w:tcPr>
          <w:p w14:paraId="42F02679" w14:textId="77777777" w:rsidR="005269EC" w:rsidRPr="005269EC" w:rsidRDefault="005269EC" w:rsidP="005269EC">
            <w:pPr>
              <w:jc w:val="right"/>
              <w:rPr>
                <w:sz w:val="18"/>
                <w:szCs w:val="18"/>
                <w:lang w:eastAsia="tr-TR"/>
              </w:rPr>
            </w:pPr>
            <w:r w:rsidRPr="005269EC">
              <w:rPr>
                <w:sz w:val="18"/>
                <w:szCs w:val="18"/>
                <w:lang w:eastAsia="tr-TR"/>
              </w:rPr>
              <w:t>(28,497,253)</w:t>
            </w:r>
          </w:p>
        </w:tc>
      </w:tr>
    </w:tbl>
    <w:p w14:paraId="1167D85D" w14:textId="51181F81" w:rsidR="00505363" w:rsidRPr="00270CE6" w:rsidRDefault="00505363" w:rsidP="000F096F">
      <w:pPr>
        <w:autoSpaceDE w:val="0"/>
        <w:autoSpaceDN w:val="0"/>
        <w:adjustRightInd w:val="0"/>
        <w:rPr>
          <w:b/>
          <w:bCs/>
          <w:iCs/>
          <w:highlight w:val="yellow"/>
        </w:rPr>
      </w:pPr>
    </w:p>
    <w:p w14:paraId="57E41FE8" w14:textId="77777777" w:rsidR="000F096F" w:rsidRPr="00046D7E" w:rsidRDefault="0089470C" w:rsidP="0089470C">
      <w:pPr>
        <w:autoSpaceDE w:val="0"/>
        <w:autoSpaceDN w:val="0"/>
        <w:adjustRightInd w:val="0"/>
        <w:ind w:hanging="567"/>
        <w:rPr>
          <w:b/>
          <w:bCs/>
          <w:iCs/>
        </w:rPr>
      </w:pPr>
      <w:r w:rsidRPr="00046D7E">
        <w:rPr>
          <w:b/>
          <w:bCs/>
          <w:iCs/>
        </w:rPr>
        <w:t>4.6</w:t>
      </w:r>
      <w:r w:rsidRPr="00046D7E">
        <w:rPr>
          <w:b/>
          <w:bCs/>
          <w:iCs/>
        </w:rPr>
        <w:tab/>
      </w:r>
      <w:r w:rsidR="00E253C8" w:rsidRPr="00046D7E">
        <w:rPr>
          <w:b/>
          <w:bCs/>
          <w:iCs/>
        </w:rPr>
        <w:t>Diğer faaliyet gelirlerine ilişkin açıklamalar:</w:t>
      </w:r>
    </w:p>
    <w:p w14:paraId="65A8E2FE" w14:textId="77777777" w:rsidR="00DA4876" w:rsidRPr="00046D7E" w:rsidRDefault="00DA4876" w:rsidP="0089470C">
      <w:pPr>
        <w:autoSpaceDE w:val="0"/>
        <w:autoSpaceDN w:val="0"/>
        <w:adjustRightInd w:val="0"/>
        <w:ind w:hanging="567"/>
        <w:rPr>
          <w:b/>
          <w:bCs/>
          <w:iCs/>
          <w:sz w:val="16"/>
          <w:szCs w:val="16"/>
        </w:rPr>
      </w:pPr>
    </w:p>
    <w:p w14:paraId="1B1910B4" w14:textId="1FE1D17B" w:rsidR="000F096F" w:rsidRPr="00046D7E" w:rsidRDefault="00E253C8" w:rsidP="00DA4876">
      <w:pPr>
        <w:jc w:val="both"/>
        <w:rPr>
          <w:spacing w:val="-6"/>
        </w:rPr>
      </w:pPr>
      <w:r w:rsidRPr="00046D7E">
        <w:rPr>
          <w:spacing w:val="-6"/>
        </w:rPr>
        <w:t>Diğer faaliyet gelirlerinin detayları aşağıda sunulmaktadır</w:t>
      </w:r>
      <w:r w:rsidR="00302EC0" w:rsidRPr="00046D7E">
        <w:rPr>
          <w:spacing w:val="-6"/>
        </w:rPr>
        <w:t>.</w:t>
      </w:r>
      <w:r w:rsidRPr="00046D7E">
        <w:rPr>
          <w:spacing w:val="-6"/>
        </w:rPr>
        <w:t xml:space="preserve"> Diğer faaliyet gelirleri içerisinde yeni gelişmeleri içeren ve </w:t>
      </w:r>
      <w:r w:rsidR="00E33AB7" w:rsidRPr="00046D7E">
        <w:rPr>
          <w:spacing w:val="-6"/>
        </w:rPr>
        <w:t>Banka’nın</w:t>
      </w:r>
      <w:r w:rsidRPr="00046D7E">
        <w:rPr>
          <w:spacing w:val="-6"/>
        </w:rPr>
        <w:t xml:space="preserve"> gelirlerini önemli ölçüde etkil</w:t>
      </w:r>
      <w:r w:rsidR="007155D6" w:rsidRPr="00046D7E">
        <w:rPr>
          <w:spacing w:val="-6"/>
        </w:rPr>
        <w:t>eyen olağandışı kalemler yoktur.</w:t>
      </w:r>
    </w:p>
    <w:p w14:paraId="049B1698" w14:textId="59FCC4D6" w:rsidR="00AA0CD0" w:rsidRPr="00311DAB" w:rsidRDefault="00AA0CD0" w:rsidP="00CB3165">
      <w:pPr>
        <w:autoSpaceDE w:val="0"/>
        <w:autoSpaceDN w:val="0"/>
        <w:adjustRightInd w:val="0"/>
        <w:ind w:hanging="567"/>
        <w:rPr>
          <w:lang w:eastAsia="en-GB"/>
        </w:rPr>
      </w:pPr>
    </w:p>
    <w:tbl>
      <w:tblPr>
        <w:tblW w:w="9249" w:type="dxa"/>
        <w:tblCellMar>
          <w:left w:w="70" w:type="dxa"/>
          <w:right w:w="70" w:type="dxa"/>
        </w:tblCellMar>
        <w:tblLook w:val="04A0" w:firstRow="1" w:lastRow="0" w:firstColumn="1" w:lastColumn="0" w:noHBand="0" w:noVBand="1"/>
      </w:tblPr>
      <w:tblGrid>
        <w:gridCol w:w="4962"/>
        <w:gridCol w:w="2126"/>
        <w:gridCol w:w="2161"/>
      </w:tblGrid>
      <w:tr w:rsidR="00AA0CD0" w:rsidRPr="00AA0CD0" w14:paraId="764CCB71" w14:textId="77777777" w:rsidTr="00B843E3">
        <w:trPr>
          <w:trHeight w:val="297"/>
        </w:trPr>
        <w:tc>
          <w:tcPr>
            <w:tcW w:w="4962" w:type="dxa"/>
            <w:tcBorders>
              <w:top w:val="double" w:sz="6" w:space="0" w:color="auto"/>
              <w:left w:val="nil"/>
              <w:bottom w:val="single" w:sz="8" w:space="0" w:color="auto"/>
              <w:right w:val="nil"/>
            </w:tcBorders>
            <w:shd w:val="clear" w:color="auto" w:fill="auto"/>
            <w:vAlign w:val="center"/>
            <w:hideMark/>
          </w:tcPr>
          <w:p w14:paraId="4545D652" w14:textId="0F2B20EE" w:rsidR="00AA0CD0" w:rsidRPr="00AA0CD0" w:rsidRDefault="00AA0CD0" w:rsidP="00AA0CD0">
            <w:pPr>
              <w:jc w:val="center"/>
              <w:rPr>
                <w:b/>
                <w:bCs/>
                <w:color w:val="000000"/>
                <w:sz w:val="18"/>
                <w:szCs w:val="18"/>
                <w:lang w:eastAsia="tr-TR"/>
              </w:rPr>
            </w:pPr>
            <w:r w:rsidRPr="00AA0CD0">
              <w:rPr>
                <w:b/>
                <w:bCs/>
                <w:color w:val="000000"/>
                <w:sz w:val="18"/>
                <w:szCs w:val="18"/>
                <w:lang w:eastAsia="tr-TR"/>
              </w:rPr>
              <w:t> </w:t>
            </w:r>
          </w:p>
        </w:tc>
        <w:tc>
          <w:tcPr>
            <w:tcW w:w="2126" w:type="dxa"/>
            <w:tcBorders>
              <w:top w:val="double" w:sz="6" w:space="0" w:color="auto"/>
              <w:left w:val="nil"/>
              <w:bottom w:val="single" w:sz="8" w:space="0" w:color="auto"/>
              <w:right w:val="nil"/>
            </w:tcBorders>
            <w:shd w:val="clear" w:color="auto" w:fill="auto"/>
            <w:vAlign w:val="center"/>
            <w:hideMark/>
          </w:tcPr>
          <w:p w14:paraId="233BE860" w14:textId="77777777" w:rsidR="00AA0CD0" w:rsidRPr="00AA0CD0" w:rsidRDefault="00AA0CD0" w:rsidP="00AA0CD0">
            <w:pPr>
              <w:jc w:val="right"/>
              <w:rPr>
                <w:b/>
                <w:bCs/>
                <w:color w:val="000000"/>
                <w:sz w:val="18"/>
                <w:szCs w:val="18"/>
                <w:lang w:eastAsia="tr-TR"/>
              </w:rPr>
            </w:pPr>
            <w:r w:rsidRPr="00AA0CD0">
              <w:rPr>
                <w:b/>
                <w:bCs/>
                <w:color w:val="000000"/>
                <w:sz w:val="18"/>
                <w:szCs w:val="18"/>
                <w:lang w:eastAsia="tr-TR"/>
              </w:rPr>
              <w:t>Cari Dönem</w:t>
            </w:r>
          </w:p>
        </w:tc>
        <w:tc>
          <w:tcPr>
            <w:tcW w:w="2161" w:type="dxa"/>
            <w:tcBorders>
              <w:top w:val="double" w:sz="6" w:space="0" w:color="auto"/>
              <w:left w:val="nil"/>
              <w:bottom w:val="single" w:sz="8" w:space="0" w:color="auto"/>
              <w:right w:val="nil"/>
            </w:tcBorders>
            <w:shd w:val="clear" w:color="auto" w:fill="auto"/>
            <w:vAlign w:val="center"/>
            <w:hideMark/>
          </w:tcPr>
          <w:p w14:paraId="4C4E6385" w14:textId="77777777" w:rsidR="00AA0CD0" w:rsidRPr="00AA0CD0" w:rsidRDefault="00AA0CD0" w:rsidP="00AA0CD0">
            <w:pPr>
              <w:jc w:val="right"/>
              <w:rPr>
                <w:b/>
                <w:bCs/>
                <w:color w:val="000000"/>
                <w:sz w:val="18"/>
                <w:szCs w:val="18"/>
                <w:lang w:eastAsia="tr-TR"/>
              </w:rPr>
            </w:pPr>
            <w:r w:rsidRPr="00AA0CD0">
              <w:rPr>
                <w:b/>
                <w:bCs/>
                <w:color w:val="000000"/>
                <w:sz w:val="18"/>
                <w:szCs w:val="18"/>
                <w:lang w:eastAsia="tr-TR"/>
              </w:rPr>
              <w:t>Önceki Dönem</w:t>
            </w:r>
          </w:p>
        </w:tc>
      </w:tr>
      <w:tr w:rsidR="00AA0CD0" w:rsidRPr="00AA0CD0" w14:paraId="6A7F2298" w14:textId="77777777" w:rsidTr="00B843E3">
        <w:trPr>
          <w:trHeight w:val="279"/>
        </w:trPr>
        <w:tc>
          <w:tcPr>
            <w:tcW w:w="4962" w:type="dxa"/>
            <w:tcBorders>
              <w:top w:val="nil"/>
              <w:left w:val="nil"/>
              <w:bottom w:val="nil"/>
              <w:right w:val="nil"/>
            </w:tcBorders>
            <w:shd w:val="clear" w:color="auto" w:fill="auto"/>
            <w:vAlign w:val="center"/>
            <w:hideMark/>
          </w:tcPr>
          <w:p w14:paraId="7B259DFE" w14:textId="77777777" w:rsidR="00AA0CD0" w:rsidRPr="00AA0CD0" w:rsidRDefault="00AA0CD0" w:rsidP="00AA0CD0">
            <w:pPr>
              <w:rPr>
                <w:color w:val="000000"/>
                <w:sz w:val="18"/>
                <w:szCs w:val="18"/>
                <w:lang w:eastAsia="tr-TR"/>
              </w:rPr>
            </w:pPr>
            <w:r w:rsidRPr="00AA0CD0">
              <w:rPr>
                <w:color w:val="000000"/>
                <w:sz w:val="18"/>
                <w:szCs w:val="18"/>
                <w:lang w:eastAsia="tr-TR"/>
              </w:rPr>
              <w:t>Önceki yıllarda ayrılan karşılıklardan gelirler</w:t>
            </w:r>
          </w:p>
        </w:tc>
        <w:tc>
          <w:tcPr>
            <w:tcW w:w="2126" w:type="dxa"/>
            <w:tcBorders>
              <w:top w:val="nil"/>
              <w:left w:val="nil"/>
              <w:bottom w:val="nil"/>
              <w:right w:val="nil"/>
            </w:tcBorders>
            <w:shd w:val="clear" w:color="auto" w:fill="auto"/>
            <w:vAlign w:val="center"/>
            <w:hideMark/>
          </w:tcPr>
          <w:p w14:paraId="6D2B017F" w14:textId="77777777" w:rsidR="00AA0CD0" w:rsidRPr="00AA0CD0" w:rsidRDefault="00AA0CD0" w:rsidP="00AA0CD0">
            <w:pPr>
              <w:jc w:val="right"/>
              <w:rPr>
                <w:color w:val="000000"/>
                <w:sz w:val="18"/>
                <w:szCs w:val="18"/>
                <w:lang w:eastAsia="tr-TR"/>
              </w:rPr>
            </w:pPr>
            <w:r w:rsidRPr="00AA0CD0">
              <w:rPr>
                <w:color w:val="000000"/>
                <w:sz w:val="18"/>
                <w:szCs w:val="18"/>
                <w:lang w:eastAsia="tr-TR"/>
              </w:rPr>
              <w:t>324,180</w:t>
            </w:r>
          </w:p>
        </w:tc>
        <w:tc>
          <w:tcPr>
            <w:tcW w:w="2161" w:type="dxa"/>
            <w:tcBorders>
              <w:top w:val="nil"/>
              <w:left w:val="nil"/>
              <w:bottom w:val="nil"/>
              <w:right w:val="nil"/>
            </w:tcBorders>
            <w:shd w:val="clear" w:color="auto" w:fill="auto"/>
            <w:vAlign w:val="center"/>
            <w:hideMark/>
          </w:tcPr>
          <w:p w14:paraId="25E55874" w14:textId="77777777" w:rsidR="00AA0CD0" w:rsidRPr="00AA0CD0" w:rsidRDefault="00AA0CD0" w:rsidP="00AA0CD0">
            <w:pPr>
              <w:jc w:val="right"/>
              <w:rPr>
                <w:color w:val="000000"/>
                <w:sz w:val="18"/>
                <w:szCs w:val="18"/>
                <w:lang w:eastAsia="tr-TR"/>
              </w:rPr>
            </w:pPr>
            <w:r w:rsidRPr="00AA0CD0">
              <w:rPr>
                <w:color w:val="000000"/>
                <w:sz w:val="18"/>
                <w:szCs w:val="18"/>
                <w:lang w:eastAsia="tr-TR"/>
              </w:rPr>
              <w:t>762,316</w:t>
            </w:r>
          </w:p>
        </w:tc>
      </w:tr>
      <w:tr w:rsidR="00AA0CD0" w:rsidRPr="00AA0CD0" w14:paraId="43348E02" w14:textId="77777777" w:rsidTr="00B843E3">
        <w:trPr>
          <w:trHeight w:val="177"/>
        </w:trPr>
        <w:tc>
          <w:tcPr>
            <w:tcW w:w="4962" w:type="dxa"/>
            <w:tcBorders>
              <w:top w:val="nil"/>
              <w:left w:val="nil"/>
              <w:bottom w:val="nil"/>
              <w:right w:val="nil"/>
            </w:tcBorders>
            <w:shd w:val="clear" w:color="auto" w:fill="auto"/>
            <w:vAlign w:val="center"/>
            <w:hideMark/>
          </w:tcPr>
          <w:p w14:paraId="2A5F13DC" w14:textId="77777777" w:rsidR="00AA0CD0" w:rsidRPr="00AA0CD0" w:rsidRDefault="00AA0CD0" w:rsidP="00AA0CD0">
            <w:pPr>
              <w:rPr>
                <w:color w:val="000000"/>
                <w:sz w:val="18"/>
                <w:szCs w:val="18"/>
                <w:lang w:eastAsia="tr-TR"/>
              </w:rPr>
            </w:pPr>
            <w:r w:rsidRPr="00AA0CD0">
              <w:rPr>
                <w:color w:val="000000"/>
                <w:sz w:val="18"/>
                <w:szCs w:val="18"/>
                <w:lang w:eastAsia="tr-TR"/>
              </w:rPr>
              <w:t>Aktiflerin satışından elde edilen gelirler</w:t>
            </w:r>
          </w:p>
        </w:tc>
        <w:tc>
          <w:tcPr>
            <w:tcW w:w="2126" w:type="dxa"/>
            <w:tcBorders>
              <w:top w:val="nil"/>
              <w:left w:val="nil"/>
              <w:bottom w:val="nil"/>
              <w:right w:val="nil"/>
            </w:tcBorders>
            <w:shd w:val="clear" w:color="auto" w:fill="auto"/>
            <w:vAlign w:val="center"/>
            <w:hideMark/>
          </w:tcPr>
          <w:p w14:paraId="1C89B551" w14:textId="77777777" w:rsidR="00AA0CD0" w:rsidRPr="00AA0CD0" w:rsidRDefault="00AA0CD0" w:rsidP="00AA0CD0">
            <w:pPr>
              <w:jc w:val="right"/>
              <w:rPr>
                <w:color w:val="000000"/>
                <w:sz w:val="18"/>
                <w:szCs w:val="18"/>
                <w:lang w:eastAsia="tr-TR"/>
              </w:rPr>
            </w:pPr>
            <w:r w:rsidRPr="00AA0CD0">
              <w:rPr>
                <w:color w:val="000000"/>
                <w:sz w:val="18"/>
                <w:szCs w:val="18"/>
                <w:lang w:eastAsia="tr-TR"/>
              </w:rPr>
              <w:t>64,887</w:t>
            </w:r>
          </w:p>
        </w:tc>
        <w:tc>
          <w:tcPr>
            <w:tcW w:w="2161" w:type="dxa"/>
            <w:tcBorders>
              <w:top w:val="nil"/>
              <w:left w:val="nil"/>
              <w:bottom w:val="nil"/>
              <w:right w:val="nil"/>
            </w:tcBorders>
            <w:shd w:val="clear" w:color="auto" w:fill="auto"/>
            <w:vAlign w:val="center"/>
            <w:hideMark/>
          </w:tcPr>
          <w:p w14:paraId="69FDA875" w14:textId="77777777" w:rsidR="00AA0CD0" w:rsidRPr="00AA0CD0" w:rsidRDefault="00AA0CD0" w:rsidP="00AA0CD0">
            <w:pPr>
              <w:jc w:val="right"/>
              <w:rPr>
                <w:color w:val="000000"/>
                <w:sz w:val="18"/>
                <w:szCs w:val="18"/>
                <w:lang w:eastAsia="tr-TR"/>
              </w:rPr>
            </w:pPr>
            <w:r w:rsidRPr="00AA0CD0">
              <w:rPr>
                <w:color w:val="000000"/>
                <w:sz w:val="18"/>
                <w:szCs w:val="18"/>
                <w:lang w:eastAsia="tr-TR"/>
              </w:rPr>
              <w:t>33,155</w:t>
            </w:r>
          </w:p>
        </w:tc>
      </w:tr>
      <w:tr w:rsidR="00AA0CD0" w:rsidRPr="00AA0CD0" w14:paraId="1EF8FC30" w14:textId="77777777" w:rsidTr="00B843E3">
        <w:trPr>
          <w:trHeight w:val="269"/>
        </w:trPr>
        <w:tc>
          <w:tcPr>
            <w:tcW w:w="4962" w:type="dxa"/>
            <w:tcBorders>
              <w:top w:val="nil"/>
              <w:left w:val="nil"/>
              <w:bottom w:val="nil"/>
              <w:right w:val="nil"/>
            </w:tcBorders>
            <w:shd w:val="clear" w:color="auto" w:fill="auto"/>
            <w:vAlign w:val="center"/>
            <w:hideMark/>
          </w:tcPr>
          <w:p w14:paraId="5238C615" w14:textId="4A50B4E3" w:rsidR="00AA0CD0" w:rsidRPr="00AA0CD0" w:rsidRDefault="00AA0CD0" w:rsidP="00AA0CD0">
            <w:pPr>
              <w:rPr>
                <w:color w:val="000000"/>
                <w:sz w:val="18"/>
                <w:szCs w:val="18"/>
                <w:lang w:eastAsia="tr-TR"/>
              </w:rPr>
            </w:pPr>
            <w:r w:rsidRPr="00AA0CD0">
              <w:rPr>
                <w:color w:val="000000"/>
                <w:sz w:val="18"/>
                <w:szCs w:val="18"/>
                <w:lang w:eastAsia="tr-TR"/>
              </w:rPr>
              <w:t>Kiralama gelirleri</w:t>
            </w:r>
          </w:p>
        </w:tc>
        <w:tc>
          <w:tcPr>
            <w:tcW w:w="2126" w:type="dxa"/>
            <w:tcBorders>
              <w:top w:val="nil"/>
              <w:left w:val="nil"/>
              <w:bottom w:val="nil"/>
              <w:right w:val="nil"/>
            </w:tcBorders>
            <w:shd w:val="clear" w:color="auto" w:fill="auto"/>
            <w:vAlign w:val="center"/>
            <w:hideMark/>
          </w:tcPr>
          <w:p w14:paraId="6713E7EC" w14:textId="2C684416" w:rsidR="00AA0CD0" w:rsidRPr="00AA0CD0" w:rsidRDefault="00AA0CD0" w:rsidP="00AA0CD0">
            <w:pPr>
              <w:jc w:val="right"/>
              <w:rPr>
                <w:color w:val="000000"/>
                <w:sz w:val="18"/>
                <w:szCs w:val="18"/>
                <w:lang w:eastAsia="tr-TR"/>
              </w:rPr>
            </w:pPr>
            <w:r w:rsidRPr="00AA0CD0">
              <w:rPr>
                <w:color w:val="000000"/>
                <w:sz w:val="18"/>
                <w:szCs w:val="18"/>
                <w:lang w:eastAsia="tr-TR"/>
              </w:rPr>
              <w:t>5,089</w:t>
            </w:r>
          </w:p>
        </w:tc>
        <w:tc>
          <w:tcPr>
            <w:tcW w:w="2161" w:type="dxa"/>
            <w:tcBorders>
              <w:top w:val="nil"/>
              <w:left w:val="nil"/>
              <w:bottom w:val="nil"/>
              <w:right w:val="nil"/>
            </w:tcBorders>
            <w:shd w:val="clear" w:color="auto" w:fill="auto"/>
            <w:vAlign w:val="center"/>
            <w:hideMark/>
          </w:tcPr>
          <w:p w14:paraId="01B52FD7" w14:textId="64836CA2" w:rsidR="00AA0CD0" w:rsidRPr="00AA0CD0" w:rsidRDefault="00AA0CD0" w:rsidP="00AA0CD0">
            <w:pPr>
              <w:jc w:val="right"/>
              <w:rPr>
                <w:color w:val="000000"/>
                <w:sz w:val="18"/>
                <w:szCs w:val="18"/>
                <w:lang w:eastAsia="tr-TR"/>
              </w:rPr>
            </w:pPr>
            <w:r w:rsidRPr="00AA0CD0">
              <w:rPr>
                <w:color w:val="000000"/>
                <w:sz w:val="18"/>
                <w:szCs w:val="18"/>
                <w:lang w:eastAsia="tr-TR"/>
              </w:rPr>
              <w:t>2,245</w:t>
            </w:r>
          </w:p>
        </w:tc>
      </w:tr>
      <w:tr w:rsidR="00AA0CD0" w:rsidRPr="00AA0CD0" w14:paraId="178029F9" w14:textId="77777777" w:rsidTr="00B843E3">
        <w:trPr>
          <w:trHeight w:val="139"/>
        </w:trPr>
        <w:tc>
          <w:tcPr>
            <w:tcW w:w="4962" w:type="dxa"/>
            <w:tcBorders>
              <w:top w:val="nil"/>
              <w:left w:val="nil"/>
              <w:bottom w:val="single" w:sz="8" w:space="0" w:color="auto"/>
              <w:right w:val="nil"/>
            </w:tcBorders>
            <w:shd w:val="clear" w:color="auto" w:fill="auto"/>
            <w:vAlign w:val="center"/>
            <w:hideMark/>
          </w:tcPr>
          <w:p w14:paraId="50EF6FF1" w14:textId="040CF8E9" w:rsidR="00AA0CD0" w:rsidRPr="00AA0CD0" w:rsidRDefault="00AA0CD0" w:rsidP="00AA0CD0">
            <w:pPr>
              <w:rPr>
                <w:color w:val="000000"/>
                <w:sz w:val="18"/>
                <w:szCs w:val="18"/>
                <w:lang w:eastAsia="tr-TR"/>
              </w:rPr>
            </w:pPr>
            <w:r w:rsidRPr="00AA0CD0">
              <w:rPr>
                <w:color w:val="000000"/>
                <w:sz w:val="18"/>
                <w:szCs w:val="18"/>
                <w:lang w:eastAsia="tr-TR"/>
              </w:rPr>
              <w:t>Diğer gelirler</w:t>
            </w:r>
          </w:p>
        </w:tc>
        <w:tc>
          <w:tcPr>
            <w:tcW w:w="2126" w:type="dxa"/>
            <w:tcBorders>
              <w:top w:val="nil"/>
              <w:left w:val="nil"/>
              <w:bottom w:val="single" w:sz="8" w:space="0" w:color="auto"/>
              <w:right w:val="nil"/>
            </w:tcBorders>
            <w:shd w:val="clear" w:color="auto" w:fill="auto"/>
            <w:vAlign w:val="center"/>
            <w:hideMark/>
          </w:tcPr>
          <w:p w14:paraId="0CA64B5E" w14:textId="5757A694" w:rsidR="00AA0CD0" w:rsidRPr="00AA0CD0" w:rsidRDefault="00AA0CD0" w:rsidP="00AA0CD0">
            <w:pPr>
              <w:jc w:val="right"/>
              <w:rPr>
                <w:color w:val="000000"/>
                <w:sz w:val="18"/>
                <w:szCs w:val="18"/>
                <w:lang w:eastAsia="tr-TR"/>
              </w:rPr>
            </w:pPr>
            <w:r w:rsidRPr="00AA0CD0">
              <w:rPr>
                <w:color w:val="000000"/>
                <w:sz w:val="18"/>
                <w:szCs w:val="18"/>
                <w:lang w:eastAsia="tr-TR"/>
              </w:rPr>
              <w:t>6,102</w:t>
            </w:r>
          </w:p>
        </w:tc>
        <w:tc>
          <w:tcPr>
            <w:tcW w:w="2161" w:type="dxa"/>
            <w:tcBorders>
              <w:top w:val="nil"/>
              <w:left w:val="nil"/>
              <w:bottom w:val="single" w:sz="8" w:space="0" w:color="auto"/>
              <w:right w:val="nil"/>
            </w:tcBorders>
            <w:shd w:val="clear" w:color="auto" w:fill="auto"/>
            <w:vAlign w:val="center"/>
            <w:hideMark/>
          </w:tcPr>
          <w:p w14:paraId="62A60E51" w14:textId="4DA5D42D" w:rsidR="00AA0CD0" w:rsidRPr="00AA0CD0" w:rsidRDefault="00AA0CD0" w:rsidP="00AA0CD0">
            <w:pPr>
              <w:jc w:val="right"/>
              <w:rPr>
                <w:color w:val="000000"/>
                <w:sz w:val="18"/>
                <w:szCs w:val="18"/>
                <w:lang w:eastAsia="tr-TR"/>
              </w:rPr>
            </w:pPr>
            <w:r w:rsidRPr="00AA0CD0">
              <w:rPr>
                <w:color w:val="000000"/>
                <w:sz w:val="18"/>
                <w:szCs w:val="18"/>
                <w:lang w:eastAsia="tr-TR"/>
              </w:rPr>
              <w:t>4,474</w:t>
            </w:r>
          </w:p>
        </w:tc>
      </w:tr>
      <w:tr w:rsidR="00AA0CD0" w:rsidRPr="00AA0CD0" w14:paraId="1A834E06" w14:textId="77777777" w:rsidTr="00B843E3">
        <w:trPr>
          <w:trHeight w:val="148"/>
        </w:trPr>
        <w:tc>
          <w:tcPr>
            <w:tcW w:w="4962" w:type="dxa"/>
            <w:tcBorders>
              <w:top w:val="nil"/>
              <w:left w:val="nil"/>
              <w:bottom w:val="double" w:sz="6" w:space="0" w:color="auto"/>
              <w:right w:val="nil"/>
            </w:tcBorders>
            <w:shd w:val="clear" w:color="auto" w:fill="auto"/>
            <w:vAlign w:val="center"/>
            <w:hideMark/>
          </w:tcPr>
          <w:p w14:paraId="2AD6E231" w14:textId="6BD29F97" w:rsidR="00AA0CD0" w:rsidRPr="00AA0CD0" w:rsidRDefault="00AA0CD0" w:rsidP="00AA0CD0">
            <w:pPr>
              <w:rPr>
                <w:color w:val="000000"/>
                <w:sz w:val="18"/>
                <w:szCs w:val="18"/>
                <w:lang w:eastAsia="tr-TR"/>
              </w:rPr>
            </w:pPr>
            <w:r w:rsidRPr="00AA0CD0">
              <w:rPr>
                <w:b/>
                <w:bCs/>
                <w:color w:val="000000"/>
                <w:sz w:val="18"/>
                <w:szCs w:val="18"/>
                <w:lang w:eastAsia="tr-TR"/>
              </w:rPr>
              <w:t>Toplam</w:t>
            </w:r>
          </w:p>
        </w:tc>
        <w:tc>
          <w:tcPr>
            <w:tcW w:w="2126" w:type="dxa"/>
            <w:tcBorders>
              <w:top w:val="nil"/>
              <w:left w:val="nil"/>
              <w:bottom w:val="double" w:sz="6" w:space="0" w:color="auto"/>
              <w:right w:val="nil"/>
            </w:tcBorders>
            <w:shd w:val="clear" w:color="auto" w:fill="auto"/>
            <w:vAlign w:val="center"/>
            <w:hideMark/>
          </w:tcPr>
          <w:p w14:paraId="10B03623" w14:textId="047E20B1" w:rsidR="00AA0CD0" w:rsidRPr="00AA0CD0" w:rsidRDefault="00AA0CD0" w:rsidP="00AA0CD0">
            <w:pPr>
              <w:jc w:val="right"/>
              <w:rPr>
                <w:color w:val="000000"/>
                <w:sz w:val="18"/>
                <w:szCs w:val="18"/>
                <w:lang w:eastAsia="tr-TR"/>
              </w:rPr>
            </w:pPr>
            <w:r w:rsidRPr="00AA0CD0">
              <w:rPr>
                <w:b/>
                <w:bCs/>
                <w:color w:val="000000"/>
                <w:sz w:val="18"/>
                <w:szCs w:val="18"/>
                <w:lang w:eastAsia="tr-TR"/>
              </w:rPr>
              <w:t>400,258</w:t>
            </w:r>
          </w:p>
        </w:tc>
        <w:tc>
          <w:tcPr>
            <w:tcW w:w="2161" w:type="dxa"/>
            <w:tcBorders>
              <w:top w:val="nil"/>
              <w:left w:val="nil"/>
              <w:bottom w:val="double" w:sz="6" w:space="0" w:color="auto"/>
              <w:right w:val="nil"/>
            </w:tcBorders>
            <w:shd w:val="clear" w:color="auto" w:fill="auto"/>
            <w:vAlign w:val="center"/>
            <w:hideMark/>
          </w:tcPr>
          <w:p w14:paraId="5319A95E" w14:textId="4D233483" w:rsidR="00AA0CD0" w:rsidRPr="00AA0CD0" w:rsidRDefault="00AA0CD0" w:rsidP="00AA0CD0">
            <w:pPr>
              <w:jc w:val="right"/>
              <w:rPr>
                <w:color w:val="000000"/>
                <w:sz w:val="18"/>
                <w:szCs w:val="18"/>
                <w:lang w:eastAsia="tr-TR"/>
              </w:rPr>
            </w:pPr>
            <w:r w:rsidRPr="00AA0CD0">
              <w:rPr>
                <w:b/>
                <w:bCs/>
                <w:color w:val="000000"/>
                <w:sz w:val="18"/>
                <w:szCs w:val="18"/>
                <w:lang w:eastAsia="tr-TR"/>
              </w:rPr>
              <w:t>802,190</w:t>
            </w:r>
          </w:p>
        </w:tc>
      </w:tr>
    </w:tbl>
    <w:p w14:paraId="2E797CDE" w14:textId="70976D70" w:rsidR="00E53CFC" w:rsidRPr="00270CE6" w:rsidRDefault="00E53CFC" w:rsidP="00CB3165">
      <w:pPr>
        <w:autoSpaceDE w:val="0"/>
        <w:autoSpaceDN w:val="0"/>
        <w:adjustRightInd w:val="0"/>
        <w:ind w:hanging="567"/>
        <w:rPr>
          <w:b/>
          <w:bCs/>
          <w:iCs/>
          <w:sz w:val="16"/>
          <w:szCs w:val="16"/>
          <w:highlight w:val="yellow"/>
        </w:rPr>
      </w:pPr>
    </w:p>
    <w:p w14:paraId="05B82612" w14:textId="2B081B87" w:rsidR="000F096F" w:rsidRPr="00C65A73" w:rsidRDefault="0089470C" w:rsidP="00CB3165">
      <w:pPr>
        <w:autoSpaceDE w:val="0"/>
        <w:autoSpaceDN w:val="0"/>
        <w:adjustRightInd w:val="0"/>
        <w:ind w:hanging="567"/>
        <w:rPr>
          <w:b/>
          <w:bCs/>
          <w:iCs/>
        </w:rPr>
      </w:pPr>
      <w:r w:rsidRPr="00C65A73">
        <w:rPr>
          <w:b/>
          <w:bCs/>
          <w:iCs/>
        </w:rPr>
        <w:t>4.7</w:t>
      </w:r>
      <w:r w:rsidRPr="00C65A73">
        <w:rPr>
          <w:b/>
          <w:bCs/>
          <w:iCs/>
        </w:rPr>
        <w:tab/>
      </w:r>
      <w:r w:rsidR="00E253C8" w:rsidRPr="00C65A73">
        <w:rPr>
          <w:b/>
          <w:bCs/>
          <w:iCs/>
        </w:rPr>
        <w:t>Bankaların kredi alacaklarına ilişkin</w:t>
      </w:r>
      <w:r w:rsidR="000D2462" w:rsidRPr="00C65A73">
        <w:rPr>
          <w:b/>
          <w:bCs/>
          <w:iCs/>
        </w:rPr>
        <w:t xml:space="preserve"> beklenen zarar</w:t>
      </w:r>
      <w:r w:rsidR="00E253C8" w:rsidRPr="00C65A73">
        <w:rPr>
          <w:b/>
          <w:bCs/>
          <w:iCs/>
        </w:rPr>
        <w:t xml:space="preserve"> karşılıkları:</w:t>
      </w:r>
    </w:p>
    <w:p w14:paraId="049936B7" w14:textId="77777777" w:rsidR="00CB3165" w:rsidRPr="00C65A73" w:rsidRDefault="00CB3165" w:rsidP="00CB3165">
      <w:pPr>
        <w:autoSpaceDE w:val="0"/>
        <w:autoSpaceDN w:val="0"/>
        <w:adjustRightInd w:val="0"/>
        <w:ind w:left="567" w:hanging="567"/>
        <w:rPr>
          <w:b/>
          <w:bCs/>
          <w:iCs/>
          <w:sz w:val="16"/>
          <w:szCs w:val="16"/>
        </w:rPr>
      </w:pPr>
    </w:p>
    <w:tbl>
      <w:tblPr>
        <w:tblW w:w="9219" w:type="dxa"/>
        <w:tblCellMar>
          <w:left w:w="70" w:type="dxa"/>
          <w:right w:w="70" w:type="dxa"/>
        </w:tblCellMar>
        <w:tblLook w:val="04A0" w:firstRow="1" w:lastRow="0" w:firstColumn="1" w:lastColumn="0" w:noHBand="0" w:noVBand="1"/>
      </w:tblPr>
      <w:tblGrid>
        <w:gridCol w:w="7389"/>
        <w:gridCol w:w="936"/>
        <w:gridCol w:w="894"/>
      </w:tblGrid>
      <w:tr w:rsidR="00C65A73" w:rsidRPr="00C65A73" w14:paraId="35E0648E" w14:textId="77777777" w:rsidTr="00C65A73">
        <w:trPr>
          <w:divId w:val="1423722571"/>
          <w:trHeight w:val="471"/>
        </w:trPr>
        <w:tc>
          <w:tcPr>
            <w:tcW w:w="7389" w:type="dxa"/>
            <w:tcBorders>
              <w:top w:val="double" w:sz="6" w:space="0" w:color="auto"/>
              <w:left w:val="nil"/>
              <w:bottom w:val="single" w:sz="8" w:space="0" w:color="auto"/>
              <w:right w:val="nil"/>
            </w:tcBorders>
            <w:shd w:val="clear" w:color="auto" w:fill="auto"/>
            <w:vAlign w:val="center"/>
            <w:hideMark/>
          </w:tcPr>
          <w:p w14:paraId="7788F71A" w14:textId="4AD29CBD" w:rsidR="00C65A73" w:rsidRPr="00C65A73" w:rsidRDefault="00C65A73" w:rsidP="00C65A73">
            <w:pPr>
              <w:jc w:val="center"/>
              <w:rPr>
                <w:b/>
                <w:bCs/>
                <w:color w:val="000000"/>
                <w:sz w:val="18"/>
                <w:szCs w:val="18"/>
                <w:lang w:eastAsia="tr-TR"/>
              </w:rPr>
            </w:pPr>
            <w:r w:rsidRPr="00C65A73">
              <w:rPr>
                <w:b/>
                <w:bCs/>
                <w:color w:val="000000"/>
                <w:sz w:val="18"/>
                <w:szCs w:val="18"/>
                <w:lang w:eastAsia="tr-TR"/>
              </w:rPr>
              <w:t> </w:t>
            </w:r>
          </w:p>
        </w:tc>
        <w:tc>
          <w:tcPr>
            <w:tcW w:w="936" w:type="dxa"/>
            <w:tcBorders>
              <w:top w:val="double" w:sz="6" w:space="0" w:color="auto"/>
              <w:left w:val="nil"/>
              <w:bottom w:val="single" w:sz="8" w:space="0" w:color="auto"/>
              <w:right w:val="nil"/>
            </w:tcBorders>
            <w:shd w:val="clear" w:color="auto" w:fill="auto"/>
            <w:vAlign w:val="center"/>
            <w:hideMark/>
          </w:tcPr>
          <w:p w14:paraId="5C7C9495" w14:textId="77777777" w:rsidR="00C65A73" w:rsidRPr="00C65A73" w:rsidRDefault="00C65A73" w:rsidP="00C65A73">
            <w:pPr>
              <w:jc w:val="right"/>
              <w:rPr>
                <w:b/>
                <w:bCs/>
                <w:color w:val="000000"/>
                <w:sz w:val="18"/>
                <w:szCs w:val="18"/>
                <w:lang w:eastAsia="tr-TR"/>
              </w:rPr>
            </w:pPr>
            <w:r w:rsidRPr="00C65A73">
              <w:rPr>
                <w:b/>
                <w:bCs/>
                <w:color w:val="000000"/>
                <w:sz w:val="18"/>
                <w:szCs w:val="18"/>
                <w:lang w:eastAsia="tr-TR"/>
              </w:rPr>
              <w:t xml:space="preserve">Cari </w:t>
            </w:r>
            <w:proofErr w:type="gramStart"/>
            <w:r w:rsidRPr="00C65A73">
              <w:rPr>
                <w:b/>
                <w:bCs/>
                <w:color w:val="000000"/>
                <w:sz w:val="18"/>
                <w:szCs w:val="18"/>
                <w:lang w:eastAsia="tr-TR"/>
              </w:rPr>
              <w:t>Dönem(</w:t>
            </w:r>
            <w:proofErr w:type="gramEnd"/>
            <w:r w:rsidRPr="00C65A73">
              <w:rPr>
                <w:b/>
                <w:bCs/>
                <w:color w:val="000000"/>
                <w:sz w:val="18"/>
                <w:szCs w:val="18"/>
                <w:lang w:eastAsia="tr-TR"/>
              </w:rPr>
              <w:t>*)</w:t>
            </w:r>
          </w:p>
        </w:tc>
        <w:tc>
          <w:tcPr>
            <w:tcW w:w="894" w:type="dxa"/>
            <w:tcBorders>
              <w:top w:val="double" w:sz="6" w:space="0" w:color="auto"/>
              <w:left w:val="nil"/>
              <w:bottom w:val="single" w:sz="8" w:space="0" w:color="auto"/>
              <w:right w:val="nil"/>
            </w:tcBorders>
            <w:shd w:val="clear" w:color="auto" w:fill="auto"/>
            <w:vAlign w:val="center"/>
            <w:hideMark/>
          </w:tcPr>
          <w:p w14:paraId="325D06F3" w14:textId="77777777" w:rsidR="00C65A73" w:rsidRPr="00C65A73" w:rsidRDefault="00C65A73" w:rsidP="00C65A73">
            <w:pPr>
              <w:jc w:val="right"/>
              <w:rPr>
                <w:b/>
                <w:bCs/>
                <w:color w:val="000000"/>
                <w:sz w:val="18"/>
                <w:szCs w:val="18"/>
                <w:lang w:eastAsia="tr-TR"/>
              </w:rPr>
            </w:pPr>
            <w:r w:rsidRPr="00C65A73">
              <w:rPr>
                <w:b/>
                <w:bCs/>
                <w:color w:val="000000"/>
                <w:sz w:val="18"/>
                <w:szCs w:val="18"/>
                <w:lang w:eastAsia="tr-TR"/>
              </w:rPr>
              <w:t>Önceki Dönem</w:t>
            </w:r>
          </w:p>
        </w:tc>
      </w:tr>
      <w:tr w:rsidR="00C65A73" w:rsidRPr="00C65A73" w14:paraId="5D834566" w14:textId="77777777" w:rsidTr="00C65A73">
        <w:trPr>
          <w:divId w:val="1423722571"/>
          <w:trHeight w:val="221"/>
        </w:trPr>
        <w:tc>
          <w:tcPr>
            <w:tcW w:w="7389" w:type="dxa"/>
            <w:tcBorders>
              <w:top w:val="nil"/>
              <w:left w:val="nil"/>
              <w:bottom w:val="nil"/>
              <w:right w:val="nil"/>
            </w:tcBorders>
            <w:shd w:val="clear" w:color="auto" w:fill="auto"/>
            <w:noWrap/>
            <w:vAlign w:val="center"/>
            <w:hideMark/>
          </w:tcPr>
          <w:p w14:paraId="7C7E71FA" w14:textId="77777777" w:rsidR="00C65A73" w:rsidRPr="00C65A73" w:rsidRDefault="00C65A73" w:rsidP="00C65A73">
            <w:pPr>
              <w:rPr>
                <w:b/>
                <w:bCs/>
                <w:color w:val="000000"/>
                <w:sz w:val="18"/>
                <w:szCs w:val="18"/>
                <w:lang w:eastAsia="tr-TR"/>
              </w:rPr>
            </w:pPr>
            <w:r w:rsidRPr="00C65A73">
              <w:rPr>
                <w:b/>
                <w:bCs/>
                <w:color w:val="000000"/>
                <w:sz w:val="18"/>
                <w:szCs w:val="18"/>
                <w:lang w:eastAsia="tr-TR"/>
              </w:rPr>
              <w:t>Beklenen Kredi Zararı Karşılıkları</w:t>
            </w:r>
          </w:p>
        </w:tc>
        <w:tc>
          <w:tcPr>
            <w:tcW w:w="936" w:type="dxa"/>
            <w:tcBorders>
              <w:top w:val="nil"/>
              <w:left w:val="nil"/>
              <w:bottom w:val="nil"/>
              <w:right w:val="nil"/>
            </w:tcBorders>
            <w:shd w:val="clear" w:color="auto" w:fill="auto"/>
            <w:vAlign w:val="center"/>
            <w:hideMark/>
          </w:tcPr>
          <w:p w14:paraId="19E76E39" w14:textId="77777777" w:rsidR="00C65A73" w:rsidRPr="00C65A73" w:rsidRDefault="00C65A73" w:rsidP="00C65A73">
            <w:pPr>
              <w:jc w:val="right"/>
              <w:rPr>
                <w:b/>
                <w:bCs/>
                <w:color w:val="000000"/>
                <w:sz w:val="18"/>
                <w:szCs w:val="18"/>
                <w:lang w:eastAsia="tr-TR"/>
              </w:rPr>
            </w:pPr>
            <w:r w:rsidRPr="00C65A73">
              <w:rPr>
                <w:b/>
                <w:bCs/>
                <w:color w:val="000000"/>
                <w:sz w:val="18"/>
                <w:szCs w:val="18"/>
                <w:lang w:eastAsia="tr-TR"/>
              </w:rPr>
              <w:t>2,649,124</w:t>
            </w:r>
          </w:p>
        </w:tc>
        <w:tc>
          <w:tcPr>
            <w:tcW w:w="894" w:type="dxa"/>
            <w:tcBorders>
              <w:top w:val="nil"/>
              <w:left w:val="nil"/>
              <w:bottom w:val="nil"/>
              <w:right w:val="nil"/>
            </w:tcBorders>
            <w:shd w:val="clear" w:color="auto" w:fill="auto"/>
            <w:vAlign w:val="center"/>
            <w:hideMark/>
          </w:tcPr>
          <w:p w14:paraId="5E7C317C" w14:textId="77777777" w:rsidR="00C65A73" w:rsidRPr="00C65A73" w:rsidRDefault="00C65A73" w:rsidP="00C65A73">
            <w:pPr>
              <w:jc w:val="right"/>
              <w:rPr>
                <w:b/>
                <w:bCs/>
                <w:color w:val="000000"/>
                <w:sz w:val="18"/>
                <w:szCs w:val="18"/>
                <w:lang w:eastAsia="tr-TR"/>
              </w:rPr>
            </w:pPr>
            <w:r w:rsidRPr="00C65A73">
              <w:rPr>
                <w:b/>
                <w:bCs/>
                <w:color w:val="000000"/>
                <w:sz w:val="18"/>
                <w:szCs w:val="18"/>
                <w:lang w:eastAsia="tr-TR"/>
              </w:rPr>
              <w:t>2,152,806</w:t>
            </w:r>
          </w:p>
        </w:tc>
      </w:tr>
      <w:tr w:rsidR="00C65A73" w:rsidRPr="00C65A73" w14:paraId="453B5FF6" w14:textId="77777777" w:rsidTr="00C65A73">
        <w:trPr>
          <w:divId w:val="1423722571"/>
          <w:trHeight w:val="221"/>
        </w:trPr>
        <w:tc>
          <w:tcPr>
            <w:tcW w:w="7389" w:type="dxa"/>
            <w:tcBorders>
              <w:top w:val="nil"/>
              <w:left w:val="nil"/>
              <w:bottom w:val="nil"/>
              <w:right w:val="nil"/>
            </w:tcBorders>
            <w:shd w:val="clear" w:color="auto" w:fill="auto"/>
            <w:noWrap/>
            <w:vAlign w:val="center"/>
            <w:hideMark/>
          </w:tcPr>
          <w:p w14:paraId="100A54B7" w14:textId="77777777" w:rsidR="00C65A73" w:rsidRPr="00C65A73" w:rsidRDefault="00C65A73" w:rsidP="00C65A73">
            <w:pPr>
              <w:rPr>
                <w:color w:val="000000"/>
                <w:sz w:val="18"/>
                <w:szCs w:val="18"/>
                <w:lang w:eastAsia="tr-TR"/>
              </w:rPr>
            </w:pPr>
            <w:r w:rsidRPr="00C65A73">
              <w:rPr>
                <w:color w:val="000000"/>
                <w:sz w:val="18"/>
                <w:szCs w:val="18"/>
                <w:lang w:eastAsia="tr-TR"/>
              </w:rPr>
              <w:t>12 Aylık Beklenen Zarar Karşılığı (Birinci Aşama)</w:t>
            </w:r>
          </w:p>
        </w:tc>
        <w:tc>
          <w:tcPr>
            <w:tcW w:w="936" w:type="dxa"/>
            <w:tcBorders>
              <w:top w:val="nil"/>
              <w:left w:val="nil"/>
              <w:bottom w:val="nil"/>
              <w:right w:val="nil"/>
            </w:tcBorders>
            <w:shd w:val="clear" w:color="auto" w:fill="auto"/>
            <w:vAlign w:val="center"/>
            <w:hideMark/>
          </w:tcPr>
          <w:p w14:paraId="7760B137" w14:textId="77777777" w:rsidR="00C65A73" w:rsidRPr="00C65A73" w:rsidRDefault="00C65A73" w:rsidP="00C65A73">
            <w:pPr>
              <w:jc w:val="right"/>
              <w:rPr>
                <w:color w:val="000000"/>
                <w:sz w:val="18"/>
                <w:szCs w:val="18"/>
                <w:lang w:eastAsia="tr-TR"/>
              </w:rPr>
            </w:pPr>
            <w:r w:rsidRPr="00C65A73">
              <w:rPr>
                <w:color w:val="000000"/>
                <w:sz w:val="18"/>
                <w:szCs w:val="18"/>
                <w:lang w:eastAsia="tr-TR"/>
              </w:rPr>
              <w:t>652,414</w:t>
            </w:r>
          </w:p>
        </w:tc>
        <w:tc>
          <w:tcPr>
            <w:tcW w:w="894" w:type="dxa"/>
            <w:tcBorders>
              <w:top w:val="nil"/>
              <w:left w:val="nil"/>
              <w:bottom w:val="nil"/>
              <w:right w:val="nil"/>
            </w:tcBorders>
            <w:shd w:val="clear" w:color="auto" w:fill="auto"/>
            <w:vAlign w:val="center"/>
            <w:hideMark/>
          </w:tcPr>
          <w:p w14:paraId="537B88C9" w14:textId="77777777" w:rsidR="00C65A73" w:rsidRPr="00C65A73" w:rsidRDefault="00C65A73" w:rsidP="00C65A73">
            <w:pPr>
              <w:jc w:val="right"/>
              <w:rPr>
                <w:color w:val="000000"/>
                <w:sz w:val="18"/>
                <w:szCs w:val="18"/>
                <w:lang w:eastAsia="tr-TR"/>
              </w:rPr>
            </w:pPr>
            <w:r w:rsidRPr="00C65A73">
              <w:rPr>
                <w:color w:val="000000"/>
                <w:sz w:val="18"/>
                <w:szCs w:val="18"/>
                <w:lang w:eastAsia="tr-TR"/>
              </w:rPr>
              <w:t>13,975</w:t>
            </w:r>
          </w:p>
        </w:tc>
      </w:tr>
      <w:tr w:rsidR="00C65A73" w:rsidRPr="00C65A73" w14:paraId="63BCCDE1" w14:textId="77777777" w:rsidTr="00C65A73">
        <w:trPr>
          <w:divId w:val="1423722571"/>
          <w:trHeight w:val="221"/>
        </w:trPr>
        <w:tc>
          <w:tcPr>
            <w:tcW w:w="7389" w:type="dxa"/>
            <w:tcBorders>
              <w:top w:val="nil"/>
              <w:left w:val="nil"/>
              <w:bottom w:val="nil"/>
              <w:right w:val="nil"/>
            </w:tcBorders>
            <w:shd w:val="clear" w:color="auto" w:fill="auto"/>
            <w:noWrap/>
            <w:vAlign w:val="center"/>
            <w:hideMark/>
          </w:tcPr>
          <w:p w14:paraId="11DD2B26" w14:textId="77777777" w:rsidR="00C65A73" w:rsidRPr="00C65A73" w:rsidRDefault="00C65A73" w:rsidP="00C65A73">
            <w:pPr>
              <w:rPr>
                <w:color w:val="000000"/>
                <w:sz w:val="18"/>
                <w:szCs w:val="18"/>
                <w:lang w:eastAsia="tr-TR"/>
              </w:rPr>
            </w:pPr>
            <w:r w:rsidRPr="00C65A73">
              <w:rPr>
                <w:color w:val="000000"/>
                <w:sz w:val="18"/>
                <w:szCs w:val="18"/>
                <w:lang w:eastAsia="tr-TR"/>
              </w:rPr>
              <w:t>Kredi Riskinde Önemli Artış (İkinci Aşama)</w:t>
            </w:r>
          </w:p>
        </w:tc>
        <w:tc>
          <w:tcPr>
            <w:tcW w:w="936" w:type="dxa"/>
            <w:tcBorders>
              <w:top w:val="nil"/>
              <w:left w:val="nil"/>
              <w:bottom w:val="nil"/>
              <w:right w:val="nil"/>
            </w:tcBorders>
            <w:shd w:val="clear" w:color="auto" w:fill="auto"/>
            <w:vAlign w:val="center"/>
            <w:hideMark/>
          </w:tcPr>
          <w:p w14:paraId="6CCD0EEB" w14:textId="77777777" w:rsidR="00C65A73" w:rsidRPr="00C65A73" w:rsidRDefault="00C65A73" w:rsidP="00C65A73">
            <w:pPr>
              <w:jc w:val="right"/>
              <w:rPr>
                <w:color w:val="000000"/>
                <w:sz w:val="18"/>
                <w:szCs w:val="18"/>
                <w:lang w:eastAsia="tr-TR"/>
              </w:rPr>
            </w:pPr>
            <w:r w:rsidRPr="00C65A73">
              <w:rPr>
                <w:color w:val="000000"/>
                <w:sz w:val="18"/>
                <w:szCs w:val="18"/>
                <w:lang w:eastAsia="tr-TR"/>
              </w:rPr>
              <w:t>1,061,065</w:t>
            </w:r>
          </w:p>
        </w:tc>
        <w:tc>
          <w:tcPr>
            <w:tcW w:w="894" w:type="dxa"/>
            <w:tcBorders>
              <w:top w:val="nil"/>
              <w:left w:val="nil"/>
              <w:bottom w:val="nil"/>
              <w:right w:val="nil"/>
            </w:tcBorders>
            <w:shd w:val="clear" w:color="auto" w:fill="auto"/>
            <w:vAlign w:val="center"/>
            <w:hideMark/>
          </w:tcPr>
          <w:p w14:paraId="11C23D78" w14:textId="77777777" w:rsidR="00C65A73" w:rsidRPr="00C65A73" w:rsidRDefault="00C65A73" w:rsidP="00C65A73">
            <w:pPr>
              <w:jc w:val="right"/>
              <w:rPr>
                <w:color w:val="000000"/>
                <w:sz w:val="18"/>
                <w:szCs w:val="18"/>
                <w:lang w:eastAsia="tr-TR"/>
              </w:rPr>
            </w:pPr>
            <w:r w:rsidRPr="00C65A73">
              <w:rPr>
                <w:color w:val="000000"/>
                <w:sz w:val="18"/>
                <w:szCs w:val="18"/>
                <w:lang w:eastAsia="tr-TR"/>
              </w:rPr>
              <w:t>605,279</w:t>
            </w:r>
          </w:p>
        </w:tc>
      </w:tr>
      <w:tr w:rsidR="00C65A73" w:rsidRPr="00C65A73" w14:paraId="3E3D8936" w14:textId="77777777" w:rsidTr="00C65A73">
        <w:trPr>
          <w:divId w:val="1423722571"/>
          <w:trHeight w:val="221"/>
        </w:trPr>
        <w:tc>
          <w:tcPr>
            <w:tcW w:w="7389" w:type="dxa"/>
            <w:tcBorders>
              <w:top w:val="nil"/>
              <w:left w:val="nil"/>
              <w:bottom w:val="nil"/>
              <w:right w:val="nil"/>
            </w:tcBorders>
            <w:shd w:val="clear" w:color="auto" w:fill="auto"/>
            <w:noWrap/>
            <w:vAlign w:val="center"/>
            <w:hideMark/>
          </w:tcPr>
          <w:p w14:paraId="5D330DCC" w14:textId="77777777" w:rsidR="00C65A73" w:rsidRPr="00C65A73" w:rsidRDefault="00C65A73" w:rsidP="00C65A73">
            <w:pPr>
              <w:rPr>
                <w:color w:val="000000"/>
                <w:sz w:val="18"/>
                <w:szCs w:val="18"/>
                <w:lang w:eastAsia="tr-TR"/>
              </w:rPr>
            </w:pPr>
            <w:r w:rsidRPr="00C65A73">
              <w:rPr>
                <w:color w:val="000000"/>
                <w:sz w:val="18"/>
                <w:szCs w:val="18"/>
                <w:lang w:eastAsia="tr-TR"/>
              </w:rPr>
              <w:t>Temerrüt (</w:t>
            </w:r>
            <w:proofErr w:type="spellStart"/>
            <w:r w:rsidRPr="00C65A73">
              <w:rPr>
                <w:color w:val="000000"/>
                <w:sz w:val="18"/>
                <w:szCs w:val="18"/>
                <w:lang w:eastAsia="tr-TR"/>
              </w:rPr>
              <w:t>Üçünçü</w:t>
            </w:r>
            <w:proofErr w:type="spellEnd"/>
            <w:r w:rsidRPr="00C65A73">
              <w:rPr>
                <w:color w:val="000000"/>
                <w:sz w:val="18"/>
                <w:szCs w:val="18"/>
                <w:lang w:eastAsia="tr-TR"/>
              </w:rPr>
              <w:t xml:space="preserve"> Aşama)</w:t>
            </w:r>
          </w:p>
        </w:tc>
        <w:tc>
          <w:tcPr>
            <w:tcW w:w="936" w:type="dxa"/>
            <w:tcBorders>
              <w:top w:val="nil"/>
              <w:left w:val="nil"/>
              <w:bottom w:val="nil"/>
              <w:right w:val="nil"/>
            </w:tcBorders>
            <w:shd w:val="clear" w:color="auto" w:fill="auto"/>
            <w:vAlign w:val="center"/>
            <w:hideMark/>
          </w:tcPr>
          <w:p w14:paraId="0AA53BE1" w14:textId="77777777" w:rsidR="00C65A73" w:rsidRPr="00C65A73" w:rsidRDefault="00C65A73" w:rsidP="00C65A73">
            <w:pPr>
              <w:jc w:val="right"/>
              <w:rPr>
                <w:color w:val="000000"/>
                <w:sz w:val="18"/>
                <w:szCs w:val="18"/>
                <w:lang w:eastAsia="tr-TR"/>
              </w:rPr>
            </w:pPr>
            <w:r w:rsidRPr="00C65A73">
              <w:rPr>
                <w:color w:val="000000"/>
                <w:sz w:val="18"/>
                <w:szCs w:val="18"/>
                <w:lang w:eastAsia="tr-TR"/>
              </w:rPr>
              <w:t>935,645</w:t>
            </w:r>
          </w:p>
        </w:tc>
        <w:tc>
          <w:tcPr>
            <w:tcW w:w="894" w:type="dxa"/>
            <w:tcBorders>
              <w:top w:val="nil"/>
              <w:left w:val="nil"/>
              <w:bottom w:val="nil"/>
              <w:right w:val="nil"/>
            </w:tcBorders>
            <w:shd w:val="clear" w:color="auto" w:fill="auto"/>
            <w:vAlign w:val="center"/>
            <w:hideMark/>
          </w:tcPr>
          <w:p w14:paraId="7FF6E85F" w14:textId="77777777" w:rsidR="00C65A73" w:rsidRPr="00C65A73" w:rsidRDefault="00C65A73" w:rsidP="00C65A73">
            <w:pPr>
              <w:jc w:val="right"/>
              <w:rPr>
                <w:color w:val="000000"/>
                <w:sz w:val="18"/>
                <w:szCs w:val="18"/>
                <w:lang w:eastAsia="tr-TR"/>
              </w:rPr>
            </w:pPr>
            <w:r w:rsidRPr="00C65A73">
              <w:rPr>
                <w:color w:val="000000"/>
                <w:sz w:val="18"/>
                <w:szCs w:val="18"/>
                <w:lang w:eastAsia="tr-TR"/>
              </w:rPr>
              <w:t>1,533,552</w:t>
            </w:r>
          </w:p>
        </w:tc>
      </w:tr>
      <w:tr w:rsidR="00C65A73" w:rsidRPr="00C65A73" w14:paraId="5C521371" w14:textId="77777777" w:rsidTr="00C65A73">
        <w:trPr>
          <w:divId w:val="1423722571"/>
          <w:trHeight w:val="221"/>
        </w:trPr>
        <w:tc>
          <w:tcPr>
            <w:tcW w:w="7389" w:type="dxa"/>
            <w:tcBorders>
              <w:top w:val="nil"/>
              <w:left w:val="nil"/>
              <w:bottom w:val="nil"/>
              <w:right w:val="nil"/>
            </w:tcBorders>
            <w:shd w:val="clear" w:color="auto" w:fill="auto"/>
            <w:noWrap/>
            <w:vAlign w:val="center"/>
            <w:hideMark/>
          </w:tcPr>
          <w:p w14:paraId="59C5AA77" w14:textId="77777777" w:rsidR="00C65A73" w:rsidRPr="00C65A73" w:rsidRDefault="00C65A73" w:rsidP="00C65A73">
            <w:pPr>
              <w:rPr>
                <w:b/>
                <w:bCs/>
                <w:color w:val="000000"/>
                <w:sz w:val="18"/>
                <w:szCs w:val="18"/>
                <w:lang w:eastAsia="tr-TR"/>
              </w:rPr>
            </w:pPr>
            <w:r w:rsidRPr="00C65A73">
              <w:rPr>
                <w:b/>
                <w:bCs/>
                <w:color w:val="000000"/>
                <w:sz w:val="18"/>
                <w:szCs w:val="18"/>
                <w:lang w:eastAsia="tr-TR"/>
              </w:rPr>
              <w:t>Menkul Değerler Değer Düşme Giderleri</w:t>
            </w:r>
          </w:p>
        </w:tc>
        <w:tc>
          <w:tcPr>
            <w:tcW w:w="936" w:type="dxa"/>
            <w:tcBorders>
              <w:top w:val="nil"/>
              <w:left w:val="nil"/>
              <w:bottom w:val="nil"/>
              <w:right w:val="nil"/>
            </w:tcBorders>
            <w:shd w:val="clear" w:color="auto" w:fill="auto"/>
            <w:vAlign w:val="center"/>
            <w:hideMark/>
          </w:tcPr>
          <w:p w14:paraId="0F298CDF" w14:textId="77777777" w:rsidR="00C65A73" w:rsidRPr="00C65A73" w:rsidRDefault="00C65A73" w:rsidP="00C65A73">
            <w:pPr>
              <w:jc w:val="right"/>
              <w:rPr>
                <w:b/>
                <w:bCs/>
                <w:color w:val="000000"/>
                <w:sz w:val="18"/>
                <w:szCs w:val="18"/>
                <w:lang w:eastAsia="tr-TR"/>
              </w:rPr>
            </w:pPr>
            <w:r w:rsidRPr="00C65A73">
              <w:rPr>
                <w:b/>
                <w:bCs/>
                <w:color w:val="000000"/>
                <w:sz w:val="18"/>
                <w:szCs w:val="18"/>
                <w:lang w:eastAsia="tr-TR"/>
              </w:rPr>
              <w:t>16,805</w:t>
            </w:r>
          </w:p>
        </w:tc>
        <w:tc>
          <w:tcPr>
            <w:tcW w:w="894" w:type="dxa"/>
            <w:tcBorders>
              <w:top w:val="nil"/>
              <w:left w:val="nil"/>
              <w:bottom w:val="nil"/>
              <w:right w:val="nil"/>
            </w:tcBorders>
            <w:shd w:val="clear" w:color="auto" w:fill="auto"/>
            <w:vAlign w:val="center"/>
            <w:hideMark/>
          </w:tcPr>
          <w:p w14:paraId="480E013B" w14:textId="77777777" w:rsidR="00C65A73" w:rsidRPr="00C65A73" w:rsidRDefault="00C65A73" w:rsidP="00C65A73">
            <w:pPr>
              <w:jc w:val="right"/>
              <w:rPr>
                <w:b/>
                <w:bCs/>
                <w:color w:val="000000"/>
                <w:sz w:val="18"/>
                <w:szCs w:val="18"/>
                <w:lang w:eastAsia="tr-TR"/>
              </w:rPr>
            </w:pPr>
            <w:r w:rsidRPr="00C65A73">
              <w:rPr>
                <w:b/>
                <w:bCs/>
                <w:color w:val="000000"/>
                <w:sz w:val="18"/>
                <w:szCs w:val="18"/>
                <w:lang w:eastAsia="tr-TR"/>
              </w:rPr>
              <w:t>864</w:t>
            </w:r>
          </w:p>
        </w:tc>
      </w:tr>
      <w:tr w:rsidR="00C65A73" w:rsidRPr="00C65A73" w14:paraId="482A2C4F" w14:textId="77777777" w:rsidTr="00C65A73">
        <w:trPr>
          <w:divId w:val="1423722571"/>
          <w:trHeight w:val="221"/>
        </w:trPr>
        <w:tc>
          <w:tcPr>
            <w:tcW w:w="7389" w:type="dxa"/>
            <w:tcBorders>
              <w:top w:val="nil"/>
              <w:left w:val="nil"/>
              <w:bottom w:val="nil"/>
              <w:right w:val="nil"/>
            </w:tcBorders>
            <w:shd w:val="clear" w:color="auto" w:fill="auto"/>
            <w:noWrap/>
            <w:vAlign w:val="center"/>
            <w:hideMark/>
          </w:tcPr>
          <w:p w14:paraId="53C0BC2D" w14:textId="77777777" w:rsidR="00C65A73" w:rsidRPr="00C65A73" w:rsidRDefault="00C65A73" w:rsidP="00C65A73">
            <w:pPr>
              <w:rPr>
                <w:color w:val="000000"/>
                <w:sz w:val="18"/>
                <w:szCs w:val="18"/>
                <w:lang w:eastAsia="tr-TR"/>
              </w:rPr>
            </w:pPr>
            <w:r w:rsidRPr="00C65A73">
              <w:rPr>
                <w:color w:val="000000"/>
                <w:sz w:val="18"/>
                <w:szCs w:val="18"/>
                <w:lang w:eastAsia="tr-TR"/>
              </w:rPr>
              <w:t>Gerçeğe Uygun Değer Farkı Kar veya Zarara Yansıtılan Finansal Varlıklar</w:t>
            </w:r>
          </w:p>
        </w:tc>
        <w:tc>
          <w:tcPr>
            <w:tcW w:w="936" w:type="dxa"/>
            <w:tcBorders>
              <w:top w:val="nil"/>
              <w:left w:val="nil"/>
              <w:bottom w:val="nil"/>
              <w:right w:val="nil"/>
            </w:tcBorders>
            <w:shd w:val="clear" w:color="auto" w:fill="auto"/>
            <w:vAlign w:val="center"/>
            <w:hideMark/>
          </w:tcPr>
          <w:p w14:paraId="23FFFA4B" w14:textId="77777777" w:rsidR="00C65A73" w:rsidRPr="00C65A73" w:rsidRDefault="00C65A73" w:rsidP="00C65A73">
            <w:pPr>
              <w:jc w:val="right"/>
              <w:rPr>
                <w:color w:val="000000"/>
                <w:sz w:val="18"/>
                <w:szCs w:val="18"/>
                <w:lang w:eastAsia="tr-TR"/>
              </w:rPr>
            </w:pPr>
            <w:r w:rsidRPr="00C65A73">
              <w:rPr>
                <w:color w:val="000000"/>
                <w:sz w:val="18"/>
                <w:szCs w:val="18"/>
                <w:lang w:eastAsia="tr-TR"/>
              </w:rPr>
              <w:t>16,805</w:t>
            </w:r>
          </w:p>
        </w:tc>
        <w:tc>
          <w:tcPr>
            <w:tcW w:w="894" w:type="dxa"/>
            <w:tcBorders>
              <w:top w:val="nil"/>
              <w:left w:val="nil"/>
              <w:bottom w:val="nil"/>
              <w:right w:val="nil"/>
            </w:tcBorders>
            <w:shd w:val="clear" w:color="auto" w:fill="auto"/>
            <w:vAlign w:val="center"/>
            <w:hideMark/>
          </w:tcPr>
          <w:p w14:paraId="2E31D0F6" w14:textId="77777777" w:rsidR="00C65A73" w:rsidRPr="00C65A73" w:rsidRDefault="00C65A73" w:rsidP="00C65A73">
            <w:pPr>
              <w:jc w:val="right"/>
              <w:rPr>
                <w:color w:val="000000"/>
                <w:sz w:val="18"/>
                <w:szCs w:val="18"/>
                <w:lang w:eastAsia="tr-TR"/>
              </w:rPr>
            </w:pPr>
            <w:r w:rsidRPr="00C65A73">
              <w:rPr>
                <w:color w:val="000000"/>
                <w:sz w:val="18"/>
                <w:szCs w:val="18"/>
                <w:lang w:eastAsia="tr-TR"/>
              </w:rPr>
              <w:t>864</w:t>
            </w:r>
          </w:p>
        </w:tc>
      </w:tr>
      <w:tr w:rsidR="00C65A73" w:rsidRPr="00C65A73" w14:paraId="3B10BE80" w14:textId="77777777" w:rsidTr="00C65A73">
        <w:trPr>
          <w:divId w:val="1423722571"/>
          <w:trHeight w:val="221"/>
        </w:trPr>
        <w:tc>
          <w:tcPr>
            <w:tcW w:w="7389" w:type="dxa"/>
            <w:tcBorders>
              <w:top w:val="nil"/>
              <w:left w:val="nil"/>
              <w:bottom w:val="nil"/>
              <w:right w:val="nil"/>
            </w:tcBorders>
            <w:shd w:val="clear" w:color="auto" w:fill="auto"/>
            <w:noWrap/>
            <w:vAlign w:val="center"/>
            <w:hideMark/>
          </w:tcPr>
          <w:p w14:paraId="14F29C5B" w14:textId="77777777" w:rsidR="00C65A73" w:rsidRPr="00C65A73" w:rsidRDefault="00C65A73" w:rsidP="00C65A73">
            <w:pPr>
              <w:rPr>
                <w:color w:val="000000"/>
                <w:sz w:val="18"/>
                <w:szCs w:val="18"/>
                <w:lang w:eastAsia="tr-TR"/>
              </w:rPr>
            </w:pPr>
            <w:r w:rsidRPr="00C65A73">
              <w:rPr>
                <w:color w:val="000000"/>
                <w:sz w:val="18"/>
                <w:szCs w:val="18"/>
                <w:lang w:eastAsia="tr-TR"/>
              </w:rPr>
              <w:t>Gerçeğe Uygun Değer Farkı Diğer Kapsamlı Gelire Yansıtılan Varlıklar</w:t>
            </w:r>
          </w:p>
        </w:tc>
        <w:tc>
          <w:tcPr>
            <w:tcW w:w="936" w:type="dxa"/>
            <w:tcBorders>
              <w:top w:val="nil"/>
              <w:left w:val="nil"/>
              <w:bottom w:val="nil"/>
              <w:right w:val="nil"/>
            </w:tcBorders>
            <w:shd w:val="clear" w:color="auto" w:fill="auto"/>
            <w:vAlign w:val="center"/>
            <w:hideMark/>
          </w:tcPr>
          <w:p w14:paraId="3A6517BD" w14:textId="77777777" w:rsidR="00C65A73" w:rsidRPr="00C65A73" w:rsidRDefault="00C65A73" w:rsidP="00C65A73">
            <w:pPr>
              <w:jc w:val="right"/>
              <w:rPr>
                <w:color w:val="000000"/>
                <w:sz w:val="18"/>
                <w:szCs w:val="18"/>
                <w:lang w:eastAsia="tr-TR"/>
              </w:rPr>
            </w:pPr>
            <w:r w:rsidRPr="00C65A73">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534C8ED7" w14:textId="77777777" w:rsidR="00C65A73" w:rsidRPr="00C65A73" w:rsidRDefault="00C65A73" w:rsidP="00C65A73">
            <w:pPr>
              <w:jc w:val="right"/>
              <w:rPr>
                <w:color w:val="000000"/>
                <w:sz w:val="18"/>
                <w:szCs w:val="18"/>
                <w:lang w:eastAsia="tr-TR"/>
              </w:rPr>
            </w:pPr>
            <w:r w:rsidRPr="00C65A73">
              <w:rPr>
                <w:color w:val="000000"/>
                <w:sz w:val="18"/>
                <w:szCs w:val="18"/>
                <w:lang w:eastAsia="tr-TR"/>
              </w:rPr>
              <w:t>-</w:t>
            </w:r>
          </w:p>
        </w:tc>
      </w:tr>
      <w:tr w:rsidR="00C65A73" w:rsidRPr="00C65A73" w14:paraId="7EDD0355" w14:textId="77777777" w:rsidTr="00C65A73">
        <w:trPr>
          <w:divId w:val="1423722571"/>
          <w:trHeight w:val="221"/>
        </w:trPr>
        <w:tc>
          <w:tcPr>
            <w:tcW w:w="7389" w:type="dxa"/>
            <w:tcBorders>
              <w:top w:val="nil"/>
              <w:left w:val="nil"/>
              <w:bottom w:val="nil"/>
              <w:right w:val="nil"/>
            </w:tcBorders>
            <w:shd w:val="clear" w:color="auto" w:fill="auto"/>
            <w:noWrap/>
            <w:vAlign w:val="center"/>
            <w:hideMark/>
          </w:tcPr>
          <w:p w14:paraId="0C68F9AA" w14:textId="77777777" w:rsidR="00C65A73" w:rsidRPr="00C65A73" w:rsidRDefault="00C65A73" w:rsidP="00C65A73">
            <w:pPr>
              <w:rPr>
                <w:b/>
                <w:bCs/>
                <w:color w:val="000000"/>
                <w:sz w:val="18"/>
                <w:szCs w:val="18"/>
                <w:lang w:eastAsia="tr-TR"/>
              </w:rPr>
            </w:pPr>
            <w:r w:rsidRPr="00C65A73">
              <w:rPr>
                <w:b/>
                <w:bCs/>
                <w:color w:val="000000"/>
                <w:sz w:val="18"/>
                <w:szCs w:val="18"/>
                <w:lang w:eastAsia="tr-TR"/>
              </w:rPr>
              <w:t>İştirakler, Bağlı Ortaklıklar ve Birlikte Kontrol Edilen Ortaklıklar Değer Düşüş Karşılıkları</w:t>
            </w:r>
          </w:p>
        </w:tc>
        <w:tc>
          <w:tcPr>
            <w:tcW w:w="936" w:type="dxa"/>
            <w:tcBorders>
              <w:top w:val="nil"/>
              <w:left w:val="nil"/>
              <w:bottom w:val="nil"/>
              <w:right w:val="nil"/>
            </w:tcBorders>
            <w:shd w:val="clear" w:color="auto" w:fill="auto"/>
            <w:vAlign w:val="center"/>
            <w:hideMark/>
          </w:tcPr>
          <w:p w14:paraId="323E94F9" w14:textId="77777777" w:rsidR="00C65A73" w:rsidRPr="00C65A73" w:rsidRDefault="00C65A73" w:rsidP="00C65A73">
            <w:pPr>
              <w:jc w:val="right"/>
              <w:rPr>
                <w:b/>
                <w:bCs/>
                <w:color w:val="000000"/>
                <w:sz w:val="18"/>
                <w:szCs w:val="18"/>
                <w:lang w:eastAsia="tr-TR"/>
              </w:rPr>
            </w:pPr>
            <w:r w:rsidRPr="00C65A73">
              <w:rPr>
                <w:b/>
                <w:bCs/>
                <w:color w:val="000000"/>
                <w:sz w:val="18"/>
                <w:szCs w:val="18"/>
                <w:lang w:eastAsia="tr-TR"/>
              </w:rPr>
              <w:t>-</w:t>
            </w:r>
          </w:p>
        </w:tc>
        <w:tc>
          <w:tcPr>
            <w:tcW w:w="894" w:type="dxa"/>
            <w:tcBorders>
              <w:top w:val="nil"/>
              <w:left w:val="nil"/>
              <w:bottom w:val="nil"/>
              <w:right w:val="nil"/>
            </w:tcBorders>
            <w:shd w:val="clear" w:color="auto" w:fill="auto"/>
            <w:vAlign w:val="center"/>
            <w:hideMark/>
          </w:tcPr>
          <w:p w14:paraId="25E5E05C" w14:textId="77777777" w:rsidR="00C65A73" w:rsidRPr="00C65A73" w:rsidRDefault="00C65A73" w:rsidP="00C65A73">
            <w:pPr>
              <w:jc w:val="right"/>
              <w:rPr>
                <w:b/>
                <w:bCs/>
                <w:color w:val="000000"/>
                <w:sz w:val="18"/>
                <w:szCs w:val="18"/>
                <w:lang w:eastAsia="tr-TR"/>
              </w:rPr>
            </w:pPr>
            <w:r w:rsidRPr="00C65A73">
              <w:rPr>
                <w:b/>
                <w:bCs/>
                <w:color w:val="000000"/>
                <w:sz w:val="18"/>
                <w:szCs w:val="18"/>
                <w:lang w:eastAsia="tr-TR"/>
              </w:rPr>
              <w:t>-</w:t>
            </w:r>
          </w:p>
        </w:tc>
      </w:tr>
      <w:tr w:rsidR="00C65A73" w:rsidRPr="00C65A73" w14:paraId="65DE0E86" w14:textId="77777777" w:rsidTr="00C65A73">
        <w:trPr>
          <w:divId w:val="1423722571"/>
          <w:trHeight w:val="221"/>
        </w:trPr>
        <w:tc>
          <w:tcPr>
            <w:tcW w:w="7389" w:type="dxa"/>
            <w:tcBorders>
              <w:top w:val="nil"/>
              <w:left w:val="nil"/>
              <w:bottom w:val="nil"/>
              <w:right w:val="nil"/>
            </w:tcBorders>
            <w:shd w:val="clear" w:color="auto" w:fill="auto"/>
            <w:noWrap/>
            <w:vAlign w:val="center"/>
            <w:hideMark/>
          </w:tcPr>
          <w:p w14:paraId="7FD5D2E1" w14:textId="77777777" w:rsidR="00C65A73" w:rsidRPr="00C65A73" w:rsidRDefault="00C65A73" w:rsidP="00C65A73">
            <w:pPr>
              <w:rPr>
                <w:color w:val="000000"/>
                <w:sz w:val="18"/>
                <w:szCs w:val="18"/>
                <w:lang w:eastAsia="tr-TR"/>
              </w:rPr>
            </w:pPr>
            <w:r w:rsidRPr="00C65A73">
              <w:rPr>
                <w:color w:val="000000"/>
                <w:sz w:val="18"/>
                <w:szCs w:val="18"/>
                <w:lang w:eastAsia="tr-TR"/>
              </w:rPr>
              <w:t>İştirakler</w:t>
            </w:r>
          </w:p>
        </w:tc>
        <w:tc>
          <w:tcPr>
            <w:tcW w:w="936" w:type="dxa"/>
            <w:tcBorders>
              <w:top w:val="nil"/>
              <w:left w:val="nil"/>
              <w:bottom w:val="nil"/>
              <w:right w:val="nil"/>
            </w:tcBorders>
            <w:shd w:val="clear" w:color="auto" w:fill="auto"/>
            <w:vAlign w:val="center"/>
            <w:hideMark/>
          </w:tcPr>
          <w:p w14:paraId="4907FD72" w14:textId="77777777" w:rsidR="00C65A73" w:rsidRPr="00C65A73" w:rsidRDefault="00C65A73" w:rsidP="00C65A73">
            <w:pPr>
              <w:jc w:val="right"/>
              <w:rPr>
                <w:color w:val="000000"/>
                <w:sz w:val="18"/>
                <w:szCs w:val="18"/>
                <w:lang w:eastAsia="tr-TR"/>
              </w:rPr>
            </w:pPr>
            <w:r w:rsidRPr="00C65A73">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5292D40E" w14:textId="77777777" w:rsidR="00C65A73" w:rsidRPr="00C65A73" w:rsidRDefault="00C65A73" w:rsidP="00C65A73">
            <w:pPr>
              <w:jc w:val="right"/>
              <w:rPr>
                <w:color w:val="000000"/>
                <w:sz w:val="18"/>
                <w:szCs w:val="18"/>
                <w:lang w:eastAsia="tr-TR"/>
              </w:rPr>
            </w:pPr>
            <w:r w:rsidRPr="00C65A73">
              <w:rPr>
                <w:color w:val="000000"/>
                <w:sz w:val="18"/>
                <w:szCs w:val="18"/>
                <w:lang w:eastAsia="tr-TR"/>
              </w:rPr>
              <w:t>-</w:t>
            </w:r>
          </w:p>
        </w:tc>
      </w:tr>
      <w:tr w:rsidR="00C65A73" w:rsidRPr="00C65A73" w14:paraId="4CED426B" w14:textId="77777777" w:rsidTr="00C65A73">
        <w:trPr>
          <w:divId w:val="1423722571"/>
          <w:trHeight w:val="221"/>
        </w:trPr>
        <w:tc>
          <w:tcPr>
            <w:tcW w:w="7389" w:type="dxa"/>
            <w:tcBorders>
              <w:top w:val="nil"/>
              <w:left w:val="nil"/>
              <w:bottom w:val="nil"/>
              <w:right w:val="nil"/>
            </w:tcBorders>
            <w:shd w:val="clear" w:color="auto" w:fill="auto"/>
            <w:noWrap/>
            <w:vAlign w:val="center"/>
            <w:hideMark/>
          </w:tcPr>
          <w:p w14:paraId="12E02B09" w14:textId="77777777" w:rsidR="00C65A73" w:rsidRPr="00C65A73" w:rsidRDefault="00C65A73" w:rsidP="00C65A73">
            <w:pPr>
              <w:rPr>
                <w:color w:val="000000"/>
                <w:sz w:val="18"/>
                <w:szCs w:val="18"/>
                <w:lang w:eastAsia="tr-TR"/>
              </w:rPr>
            </w:pPr>
            <w:r w:rsidRPr="00C65A73">
              <w:rPr>
                <w:color w:val="000000"/>
                <w:sz w:val="18"/>
                <w:szCs w:val="18"/>
                <w:lang w:eastAsia="tr-TR"/>
              </w:rPr>
              <w:t>Bağlı Ortaklıklar</w:t>
            </w:r>
          </w:p>
        </w:tc>
        <w:tc>
          <w:tcPr>
            <w:tcW w:w="936" w:type="dxa"/>
            <w:tcBorders>
              <w:top w:val="nil"/>
              <w:left w:val="nil"/>
              <w:bottom w:val="nil"/>
              <w:right w:val="nil"/>
            </w:tcBorders>
            <w:shd w:val="clear" w:color="auto" w:fill="auto"/>
            <w:vAlign w:val="center"/>
            <w:hideMark/>
          </w:tcPr>
          <w:p w14:paraId="3CDFB184" w14:textId="77777777" w:rsidR="00C65A73" w:rsidRPr="00C65A73" w:rsidRDefault="00C65A73" w:rsidP="00C65A73">
            <w:pPr>
              <w:jc w:val="right"/>
              <w:rPr>
                <w:color w:val="000000"/>
                <w:sz w:val="18"/>
                <w:szCs w:val="18"/>
                <w:lang w:eastAsia="tr-TR"/>
              </w:rPr>
            </w:pPr>
            <w:r w:rsidRPr="00C65A73">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6CA9E619" w14:textId="77777777" w:rsidR="00C65A73" w:rsidRPr="00C65A73" w:rsidRDefault="00C65A73" w:rsidP="00C65A73">
            <w:pPr>
              <w:jc w:val="right"/>
              <w:rPr>
                <w:color w:val="000000"/>
                <w:sz w:val="18"/>
                <w:szCs w:val="18"/>
                <w:lang w:eastAsia="tr-TR"/>
              </w:rPr>
            </w:pPr>
            <w:r w:rsidRPr="00C65A73">
              <w:rPr>
                <w:color w:val="000000"/>
                <w:sz w:val="18"/>
                <w:szCs w:val="18"/>
                <w:lang w:eastAsia="tr-TR"/>
              </w:rPr>
              <w:t>-</w:t>
            </w:r>
          </w:p>
        </w:tc>
      </w:tr>
      <w:tr w:rsidR="00C65A73" w:rsidRPr="00C65A73" w14:paraId="53476A32" w14:textId="77777777" w:rsidTr="00C65A73">
        <w:trPr>
          <w:divId w:val="1423722571"/>
          <w:trHeight w:val="221"/>
        </w:trPr>
        <w:tc>
          <w:tcPr>
            <w:tcW w:w="7389" w:type="dxa"/>
            <w:tcBorders>
              <w:top w:val="nil"/>
              <w:left w:val="nil"/>
              <w:bottom w:val="nil"/>
              <w:right w:val="nil"/>
            </w:tcBorders>
            <w:shd w:val="clear" w:color="auto" w:fill="auto"/>
            <w:noWrap/>
            <w:vAlign w:val="center"/>
            <w:hideMark/>
          </w:tcPr>
          <w:p w14:paraId="4519EE18" w14:textId="77777777" w:rsidR="00C65A73" w:rsidRPr="00C65A73" w:rsidRDefault="00C65A73" w:rsidP="00C65A73">
            <w:pPr>
              <w:rPr>
                <w:color w:val="000000"/>
                <w:sz w:val="18"/>
                <w:szCs w:val="18"/>
                <w:lang w:eastAsia="tr-TR"/>
              </w:rPr>
            </w:pPr>
            <w:r w:rsidRPr="00C65A73">
              <w:rPr>
                <w:color w:val="000000"/>
                <w:sz w:val="18"/>
                <w:szCs w:val="18"/>
                <w:lang w:eastAsia="tr-TR"/>
              </w:rPr>
              <w:t>Birlikte Kontrol Edilen Ortaklıklar</w:t>
            </w:r>
          </w:p>
        </w:tc>
        <w:tc>
          <w:tcPr>
            <w:tcW w:w="936" w:type="dxa"/>
            <w:tcBorders>
              <w:top w:val="nil"/>
              <w:left w:val="nil"/>
              <w:bottom w:val="nil"/>
              <w:right w:val="nil"/>
            </w:tcBorders>
            <w:shd w:val="clear" w:color="auto" w:fill="auto"/>
            <w:vAlign w:val="center"/>
            <w:hideMark/>
          </w:tcPr>
          <w:p w14:paraId="0ECFE5CA" w14:textId="77777777" w:rsidR="00C65A73" w:rsidRPr="00C65A73" w:rsidRDefault="00C65A73" w:rsidP="00C65A73">
            <w:pPr>
              <w:jc w:val="right"/>
              <w:rPr>
                <w:color w:val="000000"/>
                <w:sz w:val="18"/>
                <w:szCs w:val="18"/>
                <w:lang w:eastAsia="tr-TR"/>
              </w:rPr>
            </w:pPr>
            <w:r w:rsidRPr="00C65A73">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58AF2C68" w14:textId="77777777" w:rsidR="00C65A73" w:rsidRPr="00C65A73" w:rsidRDefault="00C65A73" w:rsidP="00C65A73">
            <w:pPr>
              <w:jc w:val="right"/>
              <w:rPr>
                <w:color w:val="000000"/>
                <w:sz w:val="18"/>
                <w:szCs w:val="18"/>
                <w:lang w:eastAsia="tr-TR"/>
              </w:rPr>
            </w:pPr>
            <w:r w:rsidRPr="00C65A73">
              <w:rPr>
                <w:color w:val="000000"/>
                <w:sz w:val="18"/>
                <w:szCs w:val="18"/>
                <w:lang w:eastAsia="tr-TR"/>
              </w:rPr>
              <w:t>-</w:t>
            </w:r>
          </w:p>
        </w:tc>
      </w:tr>
      <w:tr w:rsidR="00C65A73" w:rsidRPr="00C65A73" w14:paraId="0765E83E" w14:textId="77777777" w:rsidTr="00C65A73">
        <w:trPr>
          <w:divId w:val="1423722571"/>
          <w:trHeight w:val="235"/>
        </w:trPr>
        <w:tc>
          <w:tcPr>
            <w:tcW w:w="7389" w:type="dxa"/>
            <w:tcBorders>
              <w:top w:val="nil"/>
              <w:left w:val="nil"/>
              <w:bottom w:val="single" w:sz="8" w:space="0" w:color="auto"/>
              <w:right w:val="nil"/>
            </w:tcBorders>
            <w:shd w:val="clear" w:color="auto" w:fill="auto"/>
            <w:noWrap/>
            <w:vAlign w:val="center"/>
            <w:hideMark/>
          </w:tcPr>
          <w:p w14:paraId="75C1E6E3" w14:textId="77777777" w:rsidR="00C65A73" w:rsidRPr="00C65A73" w:rsidRDefault="00C65A73" w:rsidP="00C65A73">
            <w:pPr>
              <w:rPr>
                <w:b/>
                <w:bCs/>
                <w:color w:val="000000"/>
                <w:sz w:val="18"/>
                <w:szCs w:val="18"/>
                <w:lang w:eastAsia="tr-TR"/>
              </w:rPr>
            </w:pPr>
            <w:r w:rsidRPr="00C65A73">
              <w:rPr>
                <w:b/>
                <w:bCs/>
                <w:color w:val="000000"/>
                <w:sz w:val="18"/>
                <w:szCs w:val="18"/>
                <w:lang w:eastAsia="tr-TR"/>
              </w:rPr>
              <w:t>Diğer (**)</w:t>
            </w:r>
          </w:p>
        </w:tc>
        <w:tc>
          <w:tcPr>
            <w:tcW w:w="936" w:type="dxa"/>
            <w:tcBorders>
              <w:top w:val="nil"/>
              <w:left w:val="nil"/>
              <w:bottom w:val="single" w:sz="8" w:space="0" w:color="auto"/>
              <w:right w:val="nil"/>
            </w:tcBorders>
            <w:shd w:val="clear" w:color="auto" w:fill="auto"/>
            <w:vAlign w:val="center"/>
            <w:hideMark/>
          </w:tcPr>
          <w:p w14:paraId="2AC393CB" w14:textId="77777777" w:rsidR="00C65A73" w:rsidRPr="00C65A73" w:rsidRDefault="00C65A73" w:rsidP="00C65A73">
            <w:pPr>
              <w:jc w:val="right"/>
              <w:rPr>
                <w:b/>
                <w:bCs/>
                <w:color w:val="000000"/>
                <w:sz w:val="18"/>
                <w:szCs w:val="18"/>
                <w:lang w:eastAsia="tr-TR"/>
              </w:rPr>
            </w:pPr>
            <w:r w:rsidRPr="00C65A73">
              <w:rPr>
                <w:b/>
                <w:bCs/>
                <w:color w:val="000000"/>
                <w:sz w:val="18"/>
                <w:szCs w:val="18"/>
                <w:lang w:eastAsia="tr-TR"/>
              </w:rPr>
              <w:t>210,585</w:t>
            </w:r>
          </w:p>
        </w:tc>
        <w:tc>
          <w:tcPr>
            <w:tcW w:w="894" w:type="dxa"/>
            <w:tcBorders>
              <w:top w:val="nil"/>
              <w:left w:val="nil"/>
              <w:bottom w:val="single" w:sz="8" w:space="0" w:color="auto"/>
              <w:right w:val="nil"/>
            </w:tcBorders>
            <w:shd w:val="clear" w:color="auto" w:fill="auto"/>
            <w:vAlign w:val="center"/>
            <w:hideMark/>
          </w:tcPr>
          <w:p w14:paraId="2C099A01" w14:textId="77777777" w:rsidR="00C65A73" w:rsidRPr="00C65A73" w:rsidRDefault="00C65A73" w:rsidP="00C65A73">
            <w:pPr>
              <w:jc w:val="right"/>
              <w:rPr>
                <w:b/>
                <w:bCs/>
                <w:color w:val="000000"/>
                <w:sz w:val="18"/>
                <w:szCs w:val="18"/>
                <w:lang w:eastAsia="tr-TR"/>
              </w:rPr>
            </w:pPr>
            <w:r w:rsidRPr="00C65A73">
              <w:rPr>
                <w:b/>
                <w:bCs/>
                <w:color w:val="000000"/>
                <w:sz w:val="18"/>
                <w:szCs w:val="18"/>
                <w:lang w:eastAsia="tr-TR"/>
              </w:rPr>
              <w:t>35,417</w:t>
            </w:r>
          </w:p>
        </w:tc>
      </w:tr>
      <w:tr w:rsidR="00C65A73" w:rsidRPr="00C65A73" w14:paraId="7DF21312" w14:textId="77777777" w:rsidTr="00C65A73">
        <w:trPr>
          <w:divId w:val="1423722571"/>
          <w:trHeight w:val="235"/>
        </w:trPr>
        <w:tc>
          <w:tcPr>
            <w:tcW w:w="7389" w:type="dxa"/>
            <w:tcBorders>
              <w:top w:val="nil"/>
              <w:left w:val="nil"/>
              <w:bottom w:val="double" w:sz="6" w:space="0" w:color="auto"/>
              <w:right w:val="nil"/>
            </w:tcBorders>
            <w:shd w:val="clear" w:color="auto" w:fill="auto"/>
            <w:noWrap/>
            <w:vAlign w:val="bottom"/>
            <w:hideMark/>
          </w:tcPr>
          <w:p w14:paraId="6B8B37C3" w14:textId="77777777" w:rsidR="00C65A73" w:rsidRPr="00C65A73" w:rsidRDefault="00C65A73" w:rsidP="00C65A73">
            <w:pPr>
              <w:rPr>
                <w:b/>
                <w:bCs/>
                <w:color w:val="000000"/>
                <w:sz w:val="18"/>
                <w:szCs w:val="18"/>
                <w:lang w:eastAsia="tr-TR"/>
              </w:rPr>
            </w:pPr>
            <w:r w:rsidRPr="00C65A73">
              <w:rPr>
                <w:b/>
                <w:bCs/>
                <w:color w:val="000000"/>
                <w:sz w:val="18"/>
                <w:szCs w:val="18"/>
                <w:lang w:eastAsia="tr-TR"/>
              </w:rPr>
              <w:t>Toplam</w:t>
            </w:r>
          </w:p>
        </w:tc>
        <w:tc>
          <w:tcPr>
            <w:tcW w:w="936" w:type="dxa"/>
            <w:tcBorders>
              <w:top w:val="nil"/>
              <w:left w:val="nil"/>
              <w:bottom w:val="double" w:sz="6" w:space="0" w:color="auto"/>
              <w:right w:val="nil"/>
            </w:tcBorders>
            <w:shd w:val="clear" w:color="auto" w:fill="auto"/>
            <w:vAlign w:val="center"/>
            <w:hideMark/>
          </w:tcPr>
          <w:p w14:paraId="56E7183E" w14:textId="77777777" w:rsidR="00C65A73" w:rsidRPr="00C65A73" w:rsidRDefault="00C65A73" w:rsidP="00C65A73">
            <w:pPr>
              <w:jc w:val="right"/>
              <w:rPr>
                <w:b/>
                <w:bCs/>
                <w:color w:val="000000"/>
                <w:sz w:val="18"/>
                <w:szCs w:val="18"/>
                <w:lang w:eastAsia="tr-TR"/>
              </w:rPr>
            </w:pPr>
            <w:r w:rsidRPr="00C65A73">
              <w:rPr>
                <w:b/>
                <w:bCs/>
                <w:color w:val="000000"/>
                <w:sz w:val="18"/>
                <w:szCs w:val="18"/>
                <w:lang w:eastAsia="tr-TR"/>
              </w:rPr>
              <w:t>2,876,514</w:t>
            </w:r>
          </w:p>
        </w:tc>
        <w:tc>
          <w:tcPr>
            <w:tcW w:w="894" w:type="dxa"/>
            <w:tcBorders>
              <w:top w:val="nil"/>
              <w:left w:val="nil"/>
              <w:bottom w:val="double" w:sz="6" w:space="0" w:color="auto"/>
              <w:right w:val="nil"/>
            </w:tcBorders>
            <w:shd w:val="clear" w:color="auto" w:fill="auto"/>
            <w:vAlign w:val="center"/>
            <w:hideMark/>
          </w:tcPr>
          <w:p w14:paraId="7A99EBA5" w14:textId="77777777" w:rsidR="00C65A73" w:rsidRPr="00C65A73" w:rsidRDefault="00C65A73" w:rsidP="00C65A73">
            <w:pPr>
              <w:jc w:val="right"/>
              <w:rPr>
                <w:b/>
                <w:bCs/>
                <w:color w:val="000000"/>
                <w:sz w:val="18"/>
                <w:szCs w:val="18"/>
                <w:lang w:eastAsia="tr-TR"/>
              </w:rPr>
            </w:pPr>
            <w:r w:rsidRPr="00C65A73">
              <w:rPr>
                <w:b/>
                <w:bCs/>
                <w:color w:val="000000"/>
                <w:sz w:val="18"/>
                <w:szCs w:val="18"/>
                <w:lang w:eastAsia="tr-TR"/>
              </w:rPr>
              <w:t>2,189,087</w:t>
            </w:r>
          </w:p>
        </w:tc>
      </w:tr>
    </w:tbl>
    <w:p w14:paraId="3C123F90" w14:textId="26BE7BEC" w:rsidR="00E53CFC" w:rsidRPr="00C65A73" w:rsidRDefault="00CB3165" w:rsidP="00505363">
      <w:pPr>
        <w:pStyle w:val="NormalIndent"/>
        <w:ind w:left="0"/>
        <w:jc w:val="both"/>
        <w:rPr>
          <w:b/>
          <w:bCs/>
          <w:iCs/>
          <w:sz w:val="16"/>
          <w:szCs w:val="16"/>
        </w:rPr>
      </w:pPr>
      <w:r w:rsidRPr="00C65A73">
        <w:rPr>
          <w:noProof w:val="0"/>
          <w:color w:val="000000"/>
          <w:spacing w:val="-6"/>
          <w:sz w:val="18"/>
          <w:szCs w:val="18"/>
        </w:rPr>
        <w:t xml:space="preserve"> </w:t>
      </w:r>
    </w:p>
    <w:p w14:paraId="231D50EE" w14:textId="77777777" w:rsidR="009A7395" w:rsidRPr="00C65A73" w:rsidRDefault="009A7395" w:rsidP="00BA357F">
      <w:pPr>
        <w:autoSpaceDE w:val="0"/>
        <w:autoSpaceDN w:val="0"/>
        <w:adjustRightInd w:val="0"/>
        <w:rPr>
          <w:b/>
          <w:bCs/>
          <w:iCs/>
          <w:sz w:val="16"/>
          <w:szCs w:val="16"/>
        </w:rPr>
      </w:pPr>
      <w:r w:rsidRPr="00C65A73">
        <w:rPr>
          <w:color w:val="000000"/>
          <w:spacing w:val="-6"/>
          <w:sz w:val="18"/>
          <w:szCs w:val="18"/>
        </w:rPr>
        <w:t xml:space="preserve">(*) Gelir Tablosunda “Diğer Karşılık Giderleri” satırında yer </w:t>
      </w:r>
      <w:proofErr w:type="gramStart"/>
      <w:r w:rsidRPr="00C65A73">
        <w:rPr>
          <w:color w:val="000000"/>
          <w:spacing w:val="-6"/>
          <w:sz w:val="18"/>
          <w:szCs w:val="18"/>
        </w:rPr>
        <w:t xml:space="preserve">alan </w:t>
      </w:r>
      <w:r w:rsidR="00630991" w:rsidRPr="00C65A73">
        <w:rPr>
          <w:color w:val="000000"/>
          <w:spacing w:val="-6"/>
          <w:sz w:val="18"/>
          <w:szCs w:val="18"/>
        </w:rPr>
        <w:t xml:space="preserve"> </w:t>
      </w:r>
      <w:r w:rsidRPr="00C65A73">
        <w:rPr>
          <w:color w:val="000000"/>
          <w:spacing w:val="-6"/>
          <w:sz w:val="18"/>
          <w:szCs w:val="18"/>
        </w:rPr>
        <w:t>karşılıkları</w:t>
      </w:r>
      <w:proofErr w:type="gramEnd"/>
      <w:r w:rsidRPr="00C65A73">
        <w:rPr>
          <w:color w:val="000000"/>
          <w:spacing w:val="-6"/>
          <w:sz w:val="18"/>
          <w:szCs w:val="18"/>
        </w:rPr>
        <w:t xml:space="preserve"> da içermektedir.</w:t>
      </w:r>
    </w:p>
    <w:p w14:paraId="36B6773B" w14:textId="77777777" w:rsidR="009A7395" w:rsidRPr="00C65A73" w:rsidRDefault="00630991" w:rsidP="00BA357F">
      <w:pPr>
        <w:autoSpaceDE w:val="0"/>
        <w:autoSpaceDN w:val="0"/>
        <w:adjustRightInd w:val="0"/>
        <w:rPr>
          <w:color w:val="000000"/>
          <w:spacing w:val="-6"/>
          <w:sz w:val="18"/>
          <w:szCs w:val="18"/>
        </w:rPr>
      </w:pPr>
      <w:r w:rsidRPr="00C65A73">
        <w:rPr>
          <w:color w:val="000000"/>
          <w:spacing w:val="-6"/>
          <w:sz w:val="18"/>
          <w:szCs w:val="18"/>
        </w:rPr>
        <w:t>(*</w:t>
      </w:r>
      <w:r w:rsidR="009A7395" w:rsidRPr="00C65A73">
        <w:rPr>
          <w:color w:val="000000"/>
          <w:spacing w:val="-6"/>
          <w:sz w:val="18"/>
          <w:szCs w:val="18"/>
        </w:rPr>
        <w:t>*</w:t>
      </w:r>
      <w:proofErr w:type="gramStart"/>
      <w:r w:rsidRPr="00C65A73">
        <w:rPr>
          <w:color w:val="000000"/>
          <w:spacing w:val="-6"/>
          <w:sz w:val="18"/>
          <w:szCs w:val="18"/>
        </w:rPr>
        <w:t>)  Karşılıklar</w:t>
      </w:r>
      <w:proofErr w:type="gramEnd"/>
      <w:r w:rsidRPr="00C65A73">
        <w:rPr>
          <w:color w:val="000000"/>
          <w:spacing w:val="-6"/>
          <w:sz w:val="18"/>
          <w:szCs w:val="18"/>
        </w:rPr>
        <w:t xml:space="preserve"> yönetmeliğine göre, katılma hesapların</w:t>
      </w:r>
      <w:r w:rsidR="00BB37B6" w:rsidRPr="00C65A73">
        <w:rPr>
          <w:color w:val="000000"/>
          <w:spacing w:val="-6"/>
          <w:sz w:val="18"/>
          <w:szCs w:val="18"/>
        </w:rPr>
        <w:t>a dağıtılacak kardan</w:t>
      </w:r>
      <w:r w:rsidRPr="00C65A73">
        <w:rPr>
          <w:color w:val="000000"/>
          <w:spacing w:val="-6"/>
          <w:sz w:val="18"/>
          <w:szCs w:val="18"/>
        </w:rPr>
        <w:t xml:space="preserve"> ayrılabilen serbest karşılıkları içermektedir.</w:t>
      </w:r>
      <w:r w:rsidR="009A7395" w:rsidRPr="00C65A73">
        <w:rPr>
          <w:color w:val="000000"/>
          <w:spacing w:val="-6"/>
          <w:sz w:val="18"/>
          <w:szCs w:val="18"/>
        </w:rPr>
        <w:t xml:space="preserve"> </w:t>
      </w:r>
    </w:p>
    <w:p w14:paraId="1108D1D3" w14:textId="77777777" w:rsidR="00E53CFC" w:rsidRPr="00270CE6" w:rsidRDefault="00E53CFC" w:rsidP="008F7510">
      <w:pPr>
        <w:autoSpaceDE w:val="0"/>
        <w:autoSpaceDN w:val="0"/>
        <w:adjustRightInd w:val="0"/>
        <w:rPr>
          <w:b/>
          <w:bCs/>
          <w:iCs/>
          <w:sz w:val="16"/>
          <w:szCs w:val="16"/>
          <w:highlight w:val="yellow"/>
        </w:rPr>
      </w:pPr>
    </w:p>
    <w:p w14:paraId="2FB06A79" w14:textId="77777777" w:rsidR="00E53CFC" w:rsidRPr="00270CE6" w:rsidRDefault="00E53CFC" w:rsidP="00B87C02">
      <w:pPr>
        <w:autoSpaceDE w:val="0"/>
        <w:autoSpaceDN w:val="0"/>
        <w:adjustRightInd w:val="0"/>
        <w:ind w:left="540"/>
        <w:rPr>
          <w:b/>
          <w:bCs/>
          <w:iCs/>
          <w:sz w:val="16"/>
          <w:szCs w:val="16"/>
          <w:highlight w:val="yellow"/>
        </w:rPr>
      </w:pPr>
    </w:p>
    <w:p w14:paraId="43B6065A" w14:textId="00004E0A" w:rsidR="00FB7F3E" w:rsidRPr="00FB7F3E" w:rsidRDefault="001F7228" w:rsidP="00977D4E">
      <w:pPr>
        <w:autoSpaceDE w:val="0"/>
        <w:autoSpaceDN w:val="0"/>
        <w:adjustRightInd w:val="0"/>
        <w:ind w:hanging="567"/>
        <w:rPr>
          <w:lang w:val="en-GB" w:eastAsia="en-GB"/>
        </w:rPr>
      </w:pPr>
      <w:r w:rsidRPr="00270CE6">
        <w:rPr>
          <w:b/>
          <w:bCs/>
          <w:iCs/>
          <w:sz w:val="16"/>
          <w:szCs w:val="16"/>
          <w:highlight w:val="yellow"/>
        </w:rPr>
        <w:br w:type="page"/>
      </w:r>
      <w:r w:rsidR="0089470C" w:rsidRPr="00FB7F3E">
        <w:rPr>
          <w:b/>
          <w:bCs/>
          <w:iCs/>
        </w:rPr>
        <w:lastRenderedPageBreak/>
        <w:t>4.8</w:t>
      </w:r>
      <w:r w:rsidR="0089470C" w:rsidRPr="00FB7F3E">
        <w:rPr>
          <w:b/>
          <w:bCs/>
          <w:iCs/>
        </w:rPr>
        <w:tab/>
      </w:r>
      <w:r w:rsidR="00E253C8" w:rsidRPr="00FB7F3E">
        <w:rPr>
          <w:b/>
          <w:bCs/>
          <w:iCs/>
        </w:rPr>
        <w:t>Diğer faaliyet giderlerine ilişkin bilgiler:</w:t>
      </w:r>
      <w:r w:rsidR="00677359" w:rsidRPr="00FB7F3E">
        <w:rPr>
          <w:b/>
          <w:bCs/>
          <w:iCs/>
        </w:rPr>
        <w:br/>
      </w:r>
    </w:p>
    <w:tbl>
      <w:tblPr>
        <w:tblW w:w="9193" w:type="dxa"/>
        <w:tblCellMar>
          <w:left w:w="70" w:type="dxa"/>
          <w:right w:w="70" w:type="dxa"/>
        </w:tblCellMar>
        <w:tblLook w:val="04A0" w:firstRow="1" w:lastRow="0" w:firstColumn="1" w:lastColumn="0" w:noHBand="0" w:noVBand="1"/>
      </w:tblPr>
      <w:tblGrid>
        <w:gridCol w:w="6386"/>
        <w:gridCol w:w="1411"/>
        <w:gridCol w:w="1396"/>
      </w:tblGrid>
      <w:tr w:rsidR="00FB7F3E" w:rsidRPr="00FB7F3E" w14:paraId="49F74224" w14:textId="77777777" w:rsidTr="00B843E3">
        <w:trPr>
          <w:divId w:val="680932076"/>
          <w:trHeight w:val="248"/>
        </w:trPr>
        <w:tc>
          <w:tcPr>
            <w:tcW w:w="6386" w:type="dxa"/>
            <w:tcBorders>
              <w:top w:val="double" w:sz="6" w:space="0" w:color="auto"/>
              <w:left w:val="nil"/>
              <w:bottom w:val="single" w:sz="8" w:space="0" w:color="auto"/>
              <w:right w:val="nil"/>
            </w:tcBorders>
            <w:shd w:val="clear" w:color="auto" w:fill="auto"/>
            <w:vAlign w:val="center"/>
            <w:hideMark/>
          </w:tcPr>
          <w:p w14:paraId="1335F0F7" w14:textId="744F6E2A" w:rsidR="00FB7F3E" w:rsidRPr="00FB7F3E" w:rsidRDefault="00FB7F3E" w:rsidP="00FB7F3E">
            <w:pPr>
              <w:jc w:val="center"/>
              <w:rPr>
                <w:b/>
                <w:bCs/>
                <w:color w:val="000000"/>
                <w:sz w:val="18"/>
                <w:szCs w:val="18"/>
                <w:lang w:eastAsia="tr-TR"/>
              </w:rPr>
            </w:pPr>
          </w:p>
        </w:tc>
        <w:tc>
          <w:tcPr>
            <w:tcW w:w="1411" w:type="dxa"/>
            <w:tcBorders>
              <w:top w:val="double" w:sz="6" w:space="0" w:color="auto"/>
              <w:left w:val="nil"/>
              <w:bottom w:val="single" w:sz="8" w:space="0" w:color="auto"/>
              <w:right w:val="nil"/>
            </w:tcBorders>
            <w:shd w:val="clear" w:color="auto" w:fill="auto"/>
            <w:vAlign w:val="center"/>
            <w:hideMark/>
          </w:tcPr>
          <w:p w14:paraId="1769E1F7" w14:textId="77777777" w:rsidR="00FB7F3E" w:rsidRPr="00FB7F3E" w:rsidRDefault="00FB7F3E" w:rsidP="00FB7F3E">
            <w:pPr>
              <w:jc w:val="right"/>
              <w:rPr>
                <w:b/>
                <w:bCs/>
                <w:color w:val="000000"/>
                <w:sz w:val="18"/>
                <w:szCs w:val="18"/>
                <w:lang w:eastAsia="tr-TR"/>
              </w:rPr>
            </w:pPr>
            <w:r w:rsidRPr="00FB7F3E">
              <w:rPr>
                <w:b/>
                <w:bCs/>
                <w:color w:val="000000"/>
                <w:sz w:val="18"/>
                <w:szCs w:val="18"/>
                <w:lang w:eastAsia="tr-TR"/>
              </w:rPr>
              <w:t>Cari Dönem</w:t>
            </w:r>
          </w:p>
        </w:tc>
        <w:tc>
          <w:tcPr>
            <w:tcW w:w="1396" w:type="dxa"/>
            <w:tcBorders>
              <w:top w:val="double" w:sz="6" w:space="0" w:color="auto"/>
              <w:left w:val="nil"/>
              <w:bottom w:val="single" w:sz="8" w:space="0" w:color="auto"/>
              <w:right w:val="nil"/>
            </w:tcBorders>
            <w:shd w:val="clear" w:color="auto" w:fill="auto"/>
            <w:vAlign w:val="center"/>
            <w:hideMark/>
          </w:tcPr>
          <w:p w14:paraId="540E76FA" w14:textId="77777777" w:rsidR="00FB7F3E" w:rsidRPr="00FB7F3E" w:rsidRDefault="00FB7F3E" w:rsidP="00FB7F3E">
            <w:pPr>
              <w:jc w:val="right"/>
              <w:rPr>
                <w:b/>
                <w:bCs/>
                <w:color w:val="000000"/>
                <w:sz w:val="18"/>
                <w:szCs w:val="18"/>
                <w:lang w:eastAsia="tr-TR"/>
              </w:rPr>
            </w:pPr>
            <w:r w:rsidRPr="00FB7F3E">
              <w:rPr>
                <w:b/>
                <w:bCs/>
                <w:color w:val="000000"/>
                <w:sz w:val="18"/>
                <w:szCs w:val="18"/>
                <w:lang w:eastAsia="tr-TR"/>
              </w:rPr>
              <w:t>Önceki Dönem</w:t>
            </w:r>
          </w:p>
        </w:tc>
      </w:tr>
      <w:tr w:rsidR="00FB7F3E" w:rsidRPr="00FB7F3E" w14:paraId="33E2219D"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2DB13971" w14:textId="77777777" w:rsidR="00FB7F3E" w:rsidRPr="00FB7F3E" w:rsidRDefault="00FB7F3E" w:rsidP="00FB7F3E">
            <w:pPr>
              <w:rPr>
                <w:color w:val="000000"/>
                <w:sz w:val="18"/>
                <w:szCs w:val="18"/>
                <w:lang w:eastAsia="tr-TR"/>
              </w:rPr>
            </w:pPr>
            <w:r w:rsidRPr="00FB7F3E">
              <w:rPr>
                <w:color w:val="000000"/>
                <w:sz w:val="18"/>
                <w:szCs w:val="18"/>
                <w:lang w:eastAsia="tr-TR"/>
              </w:rPr>
              <w:t>Personel giderleri (*)</w:t>
            </w:r>
          </w:p>
        </w:tc>
        <w:tc>
          <w:tcPr>
            <w:tcW w:w="1411" w:type="dxa"/>
            <w:tcBorders>
              <w:top w:val="nil"/>
              <w:left w:val="nil"/>
              <w:bottom w:val="nil"/>
              <w:right w:val="nil"/>
            </w:tcBorders>
            <w:shd w:val="clear" w:color="auto" w:fill="auto"/>
            <w:vAlign w:val="center"/>
            <w:hideMark/>
          </w:tcPr>
          <w:p w14:paraId="02F58024" w14:textId="77777777" w:rsidR="00FB7F3E" w:rsidRPr="00FB7F3E" w:rsidRDefault="00FB7F3E" w:rsidP="00FB7F3E">
            <w:pPr>
              <w:jc w:val="right"/>
              <w:rPr>
                <w:color w:val="000000"/>
                <w:sz w:val="18"/>
                <w:szCs w:val="18"/>
                <w:lang w:eastAsia="tr-TR"/>
              </w:rPr>
            </w:pPr>
            <w:r w:rsidRPr="00FB7F3E">
              <w:rPr>
                <w:color w:val="000000"/>
                <w:sz w:val="18"/>
                <w:szCs w:val="18"/>
                <w:lang w:eastAsia="tr-TR"/>
              </w:rPr>
              <w:t>864,221</w:t>
            </w:r>
          </w:p>
        </w:tc>
        <w:tc>
          <w:tcPr>
            <w:tcW w:w="1396" w:type="dxa"/>
            <w:tcBorders>
              <w:top w:val="nil"/>
              <w:left w:val="nil"/>
              <w:bottom w:val="nil"/>
              <w:right w:val="nil"/>
            </w:tcBorders>
            <w:shd w:val="clear" w:color="auto" w:fill="auto"/>
            <w:vAlign w:val="center"/>
            <w:hideMark/>
          </w:tcPr>
          <w:p w14:paraId="1F41A19F" w14:textId="77777777" w:rsidR="00FB7F3E" w:rsidRPr="00FB7F3E" w:rsidRDefault="00FB7F3E" w:rsidP="00FB7F3E">
            <w:pPr>
              <w:jc w:val="right"/>
              <w:rPr>
                <w:color w:val="000000"/>
                <w:sz w:val="18"/>
                <w:szCs w:val="18"/>
                <w:lang w:eastAsia="tr-TR"/>
              </w:rPr>
            </w:pPr>
            <w:r w:rsidRPr="00FB7F3E">
              <w:rPr>
                <w:color w:val="000000"/>
                <w:sz w:val="18"/>
                <w:szCs w:val="18"/>
                <w:lang w:eastAsia="tr-TR"/>
              </w:rPr>
              <w:t>742,626</w:t>
            </w:r>
          </w:p>
        </w:tc>
      </w:tr>
      <w:tr w:rsidR="00FB7F3E" w:rsidRPr="00FB7F3E" w14:paraId="647C4664"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05304E25" w14:textId="77777777" w:rsidR="00FB7F3E" w:rsidRPr="00FB7F3E" w:rsidRDefault="00FB7F3E" w:rsidP="00FB7F3E">
            <w:pPr>
              <w:rPr>
                <w:color w:val="000000"/>
                <w:sz w:val="18"/>
                <w:szCs w:val="18"/>
                <w:lang w:eastAsia="tr-TR"/>
              </w:rPr>
            </w:pPr>
            <w:r w:rsidRPr="00FB7F3E">
              <w:rPr>
                <w:color w:val="000000"/>
                <w:sz w:val="18"/>
                <w:szCs w:val="18"/>
                <w:lang w:eastAsia="tr-TR"/>
              </w:rPr>
              <w:t>Kıdem tazminatı karşılığı (*)</w:t>
            </w:r>
          </w:p>
        </w:tc>
        <w:tc>
          <w:tcPr>
            <w:tcW w:w="1411" w:type="dxa"/>
            <w:tcBorders>
              <w:top w:val="nil"/>
              <w:left w:val="nil"/>
              <w:bottom w:val="nil"/>
              <w:right w:val="nil"/>
            </w:tcBorders>
            <w:shd w:val="clear" w:color="auto" w:fill="auto"/>
            <w:vAlign w:val="center"/>
            <w:hideMark/>
          </w:tcPr>
          <w:p w14:paraId="29328735" w14:textId="77777777" w:rsidR="00FB7F3E" w:rsidRPr="00FB7F3E" w:rsidRDefault="00FB7F3E" w:rsidP="00FB7F3E">
            <w:pPr>
              <w:jc w:val="right"/>
              <w:rPr>
                <w:color w:val="000000"/>
                <w:sz w:val="18"/>
                <w:szCs w:val="18"/>
                <w:lang w:eastAsia="tr-TR"/>
              </w:rPr>
            </w:pPr>
            <w:r w:rsidRPr="00FB7F3E">
              <w:rPr>
                <w:color w:val="000000"/>
                <w:sz w:val="18"/>
                <w:szCs w:val="18"/>
                <w:lang w:eastAsia="tr-TR"/>
              </w:rPr>
              <w:t>22,423</w:t>
            </w:r>
          </w:p>
        </w:tc>
        <w:tc>
          <w:tcPr>
            <w:tcW w:w="1396" w:type="dxa"/>
            <w:tcBorders>
              <w:top w:val="nil"/>
              <w:left w:val="nil"/>
              <w:bottom w:val="nil"/>
              <w:right w:val="nil"/>
            </w:tcBorders>
            <w:shd w:val="clear" w:color="auto" w:fill="auto"/>
            <w:vAlign w:val="center"/>
            <w:hideMark/>
          </w:tcPr>
          <w:p w14:paraId="1279C4B6" w14:textId="77777777" w:rsidR="00FB7F3E" w:rsidRPr="00FB7F3E" w:rsidRDefault="00FB7F3E" w:rsidP="00FB7F3E">
            <w:pPr>
              <w:jc w:val="right"/>
              <w:rPr>
                <w:color w:val="000000"/>
                <w:sz w:val="18"/>
                <w:szCs w:val="18"/>
                <w:lang w:eastAsia="tr-TR"/>
              </w:rPr>
            </w:pPr>
            <w:r w:rsidRPr="00FB7F3E">
              <w:rPr>
                <w:color w:val="000000"/>
                <w:sz w:val="18"/>
                <w:szCs w:val="18"/>
                <w:lang w:eastAsia="tr-TR"/>
              </w:rPr>
              <w:t>20,063</w:t>
            </w:r>
          </w:p>
        </w:tc>
      </w:tr>
      <w:tr w:rsidR="00FB7F3E" w:rsidRPr="00FB7F3E" w14:paraId="71042700"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0EA56716" w14:textId="77777777" w:rsidR="00FB7F3E" w:rsidRPr="00FB7F3E" w:rsidRDefault="00FB7F3E" w:rsidP="00FB7F3E">
            <w:pPr>
              <w:rPr>
                <w:color w:val="000000"/>
                <w:sz w:val="18"/>
                <w:szCs w:val="18"/>
                <w:lang w:eastAsia="tr-TR"/>
              </w:rPr>
            </w:pPr>
            <w:r w:rsidRPr="00FB7F3E">
              <w:rPr>
                <w:color w:val="000000"/>
                <w:sz w:val="18"/>
                <w:szCs w:val="18"/>
                <w:lang w:eastAsia="tr-TR"/>
              </w:rPr>
              <w:t>Maddi duran varlık amortisman giderleri</w:t>
            </w:r>
          </w:p>
        </w:tc>
        <w:tc>
          <w:tcPr>
            <w:tcW w:w="1411" w:type="dxa"/>
            <w:tcBorders>
              <w:top w:val="nil"/>
              <w:left w:val="nil"/>
              <w:bottom w:val="nil"/>
              <w:right w:val="nil"/>
            </w:tcBorders>
            <w:shd w:val="clear" w:color="auto" w:fill="auto"/>
            <w:vAlign w:val="center"/>
            <w:hideMark/>
          </w:tcPr>
          <w:p w14:paraId="7A707B06" w14:textId="77777777" w:rsidR="00FB7F3E" w:rsidRPr="00FB7F3E" w:rsidRDefault="00FB7F3E" w:rsidP="00FB7F3E">
            <w:pPr>
              <w:jc w:val="right"/>
              <w:rPr>
                <w:color w:val="000000"/>
                <w:sz w:val="18"/>
                <w:szCs w:val="18"/>
                <w:lang w:eastAsia="tr-TR"/>
              </w:rPr>
            </w:pPr>
            <w:r w:rsidRPr="00FB7F3E">
              <w:rPr>
                <w:color w:val="000000"/>
                <w:sz w:val="18"/>
                <w:szCs w:val="18"/>
                <w:lang w:eastAsia="tr-TR"/>
              </w:rPr>
              <w:t>151,039</w:t>
            </w:r>
          </w:p>
        </w:tc>
        <w:tc>
          <w:tcPr>
            <w:tcW w:w="1396" w:type="dxa"/>
            <w:tcBorders>
              <w:top w:val="nil"/>
              <w:left w:val="nil"/>
              <w:bottom w:val="nil"/>
              <w:right w:val="nil"/>
            </w:tcBorders>
            <w:shd w:val="clear" w:color="auto" w:fill="auto"/>
            <w:vAlign w:val="center"/>
            <w:hideMark/>
          </w:tcPr>
          <w:p w14:paraId="482C92AF" w14:textId="77777777" w:rsidR="00FB7F3E" w:rsidRPr="00FB7F3E" w:rsidRDefault="00FB7F3E" w:rsidP="00FB7F3E">
            <w:pPr>
              <w:jc w:val="right"/>
              <w:rPr>
                <w:color w:val="000000"/>
                <w:sz w:val="18"/>
                <w:szCs w:val="18"/>
                <w:lang w:eastAsia="tr-TR"/>
              </w:rPr>
            </w:pPr>
            <w:r w:rsidRPr="00FB7F3E">
              <w:rPr>
                <w:color w:val="000000"/>
                <w:sz w:val="18"/>
                <w:szCs w:val="18"/>
                <w:lang w:eastAsia="tr-TR"/>
              </w:rPr>
              <w:t>134,727</w:t>
            </w:r>
          </w:p>
        </w:tc>
      </w:tr>
      <w:tr w:rsidR="00FB7F3E" w:rsidRPr="00FB7F3E" w14:paraId="0BBE7B41"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47592CA0" w14:textId="77777777" w:rsidR="00FB7F3E" w:rsidRPr="00FB7F3E" w:rsidRDefault="00FB7F3E" w:rsidP="00FB7F3E">
            <w:pPr>
              <w:rPr>
                <w:color w:val="000000"/>
                <w:sz w:val="18"/>
                <w:szCs w:val="18"/>
                <w:lang w:eastAsia="tr-TR"/>
              </w:rPr>
            </w:pPr>
            <w:r w:rsidRPr="00FB7F3E">
              <w:rPr>
                <w:color w:val="000000"/>
                <w:sz w:val="18"/>
                <w:szCs w:val="18"/>
                <w:lang w:eastAsia="tr-TR"/>
              </w:rPr>
              <w:t>Maddi duran varlık değer düşüş karşılığı</w:t>
            </w:r>
          </w:p>
        </w:tc>
        <w:tc>
          <w:tcPr>
            <w:tcW w:w="1411" w:type="dxa"/>
            <w:tcBorders>
              <w:top w:val="nil"/>
              <w:left w:val="nil"/>
              <w:bottom w:val="nil"/>
              <w:right w:val="nil"/>
            </w:tcBorders>
            <w:shd w:val="clear" w:color="auto" w:fill="auto"/>
            <w:vAlign w:val="center"/>
            <w:hideMark/>
          </w:tcPr>
          <w:p w14:paraId="4311D941" w14:textId="77777777" w:rsidR="00FB7F3E" w:rsidRPr="00FB7F3E" w:rsidRDefault="00FB7F3E" w:rsidP="00FB7F3E">
            <w:pPr>
              <w:jc w:val="right"/>
              <w:rPr>
                <w:color w:val="000000"/>
                <w:sz w:val="18"/>
                <w:szCs w:val="18"/>
                <w:lang w:eastAsia="tr-TR"/>
              </w:rPr>
            </w:pPr>
            <w:r w:rsidRPr="00FB7F3E">
              <w:rPr>
                <w:color w:val="000000"/>
                <w:sz w:val="18"/>
                <w:szCs w:val="18"/>
                <w:lang w:eastAsia="tr-TR"/>
              </w:rPr>
              <w:t>-</w:t>
            </w:r>
          </w:p>
        </w:tc>
        <w:tc>
          <w:tcPr>
            <w:tcW w:w="1396" w:type="dxa"/>
            <w:tcBorders>
              <w:top w:val="nil"/>
              <w:left w:val="nil"/>
              <w:bottom w:val="nil"/>
              <w:right w:val="nil"/>
            </w:tcBorders>
            <w:shd w:val="clear" w:color="auto" w:fill="auto"/>
            <w:vAlign w:val="center"/>
            <w:hideMark/>
          </w:tcPr>
          <w:p w14:paraId="1EC8785E" w14:textId="77777777" w:rsidR="00FB7F3E" w:rsidRPr="00FB7F3E" w:rsidRDefault="00FB7F3E" w:rsidP="00FB7F3E">
            <w:pPr>
              <w:jc w:val="right"/>
              <w:rPr>
                <w:color w:val="000000"/>
                <w:sz w:val="18"/>
                <w:szCs w:val="18"/>
                <w:lang w:eastAsia="tr-TR"/>
              </w:rPr>
            </w:pPr>
            <w:r w:rsidRPr="00FB7F3E">
              <w:rPr>
                <w:color w:val="000000"/>
                <w:sz w:val="18"/>
                <w:szCs w:val="18"/>
                <w:lang w:eastAsia="tr-TR"/>
              </w:rPr>
              <w:t>-</w:t>
            </w:r>
          </w:p>
        </w:tc>
      </w:tr>
      <w:tr w:rsidR="00FB7F3E" w:rsidRPr="00FB7F3E" w14:paraId="2EE91A85"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258B1C92" w14:textId="77777777" w:rsidR="00FB7F3E" w:rsidRPr="00FB7F3E" w:rsidRDefault="00FB7F3E" w:rsidP="00FB7F3E">
            <w:pPr>
              <w:rPr>
                <w:color w:val="000000"/>
                <w:sz w:val="18"/>
                <w:szCs w:val="18"/>
                <w:lang w:eastAsia="tr-TR"/>
              </w:rPr>
            </w:pPr>
            <w:r w:rsidRPr="00FB7F3E">
              <w:rPr>
                <w:color w:val="000000"/>
                <w:sz w:val="18"/>
                <w:szCs w:val="18"/>
                <w:lang w:eastAsia="tr-TR"/>
              </w:rPr>
              <w:t>Maddi olmayan duran varlık amortisman giderleri</w:t>
            </w:r>
          </w:p>
        </w:tc>
        <w:tc>
          <w:tcPr>
            <w:tcW w:w="1411" w:type="dxa"/>
            <w:tcBorders>
              <w:top w:val="nil"/>
              <w:left w:val="nil"/>
              <w:bottom w:val="nil"/>
              <w:right w:val="nil"/>
            </w:tcBorders>
            <w:shd w:val="clear" w:color="auto" w:fill="auto"/>
            <w:vAlign w:val="center"/>
            <w:hideMark/>
          </w:tcPr>
          <w:p w14:paraId="64D3CA1B" w14:textId="77777777" w:rsidR="00FB7F3E" w:rsidRPr="00FB7F3E" w:rsidRDefault="00FB7F3E" w:rsidP="00FB7F3E">
            <w:pPr>
              <w:jc w:val="right"/>
              <w:rPr>
                <w:color w:val="000000"/>
                <w:sz w:val="18"/>
                <w:szCs w:val="18"/>
                <w:lang w:eastAsia="tr-TR"/>
              </w:rPr>
            </w:pPr>
            <w:r w:rsidRPr="00FB7F3E">
              <w:rPr>
                <w:color w:val="000000"/>
                <w:sz w:val="18"/>
                <w:szCs w:val="18"/>
                <w:lang w:eastAsia="tr-TR"/>
              </w:rPr>
              <w:t>25,253</w:t>
            </w:r>
          </w:p>
        </w:tc>
        <w:tc>
          <w:tcPr>
            <w:tcW w:w="1396" w:type="dxa"/>
            <w:tcBorders>
              <w:top w:val="nil"/>
              <w:left w:val="nil"/>
              <w:bottom w:val="nil"/>
              <w:right w:val="nil"/>
            </w:tcBorders>
            <w:shd w:val="clear" w:color="auto" w:fill="auto"/>
            <w:vAlign w:val="center"/>
            <w:hideMark/>
          </w:tcPr>
          <w:p w14:paraId="2BFD4913" w14:textId="77777777" w:rsidR="00FB7F3E" w:rsidRPr="00FB7F3E" w:rsidRDefault="00FB7F3E" w:rsidP="00FB7F3E">
            <w:pPr>
              <w:jc w:val="right"/>
              <w:rPr>
                <w:color w:val="000000"/>
                <w:sz w:val="18"/>
                <w:szCs w:val="18"/>
                <w:lang w:eastAsia="tr-TR"/>
              </w:rPr>
            </w:pPr>
            <w:r w:rsidRPr="00FB7F3E">
              <w:rPr>
                <w:color w:val="000000"/>
                <w:sz w:val="18"/>
                <w:szCs w:val="18"/>
                <w:lang w:eastAsia="tr-TR"/>
              </w:rPr>
              <w:t>30,843</w:t>
            </w:r>
          </w:p>
        </w:tc>
      </w:tr>
      <w:tr w:rsidR="00FB7F3E" w:rsidRPr="00FB7F3E" w14:paraId="4FE028E8"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3FAB3822" w14:textId="77777777" w:rsidR="00FB7F3E" w:rsidRPr="00FB7F3E" w:rsidRDefault="00FB7F3E" w:rsidP="00FB7F3E">
            <w:pPr>
              <w:rPr>
                <w:color w:val="000000"/>
                <w:sz w:val="18"/>
                <w:szCs w:val="18"/>
                <w:lang w:eastAsia="tr-TR"/>
              </w:rPr>
            </w:pPr>
            <w:r w:rsidRPr="00FB7F3E">
              <w:rPr>
                <w:color w:val="000000"/>
                <w:sz w:val="18"/>
                <w:szCs w:val="18"/>
                <w:lang w:eastAsia="tr-TR"/>
              </w:rPr>
              <w:t>Elden çıkarılacak kıymetler amortisman giderleri</w:t>
            </w:r>
          </w:p>
        </w:tc>
        <w:tc>
          <w:tcPr>
            <w:tcW w:w="1411" w:type="dxa"/>
            <w:tcBorders>
              <w:top w:val="nil"/>
              <w:left w:val="nil"/>
              <w:bottom w:val="nil"/>
              <w:right w:val="nil"/>
            </w:tcBorders>
            <w:shd w:val="clear" w:color="auto" w:fill="auto"/>
            <w:vAlign w:val="center"/>
            <w:hideMark/>
          </w:tcPr>
          <w:p w14:paraId="269545B2" w14:textId="77777777" w:rsidR="00FB7F3E" w:rsidRPr="00FB7F3E" w:rsidRDefault="00FB7F3E" w:rsidP="00FB7F3E">
            <w:pPr>
              <w:jc w:val="right"/>
              <w:rPr>
                <w:color w:val="000000"/>
                <w:sz w:val="18"/>
                <w:szCs w:val="18"/>
                <w:lang w:eastAsia="tr-TR"/>
              </w:rPr>
            </w:pPr>
            <w:r w:rsidRPr="00FB7F3E">
              <w:rPr>
                <w:color w:val="000000"/>
                <w:sz w:val="18"/>
                <w:szCs w:val="18"/>
                <w:lang w:eastAsia="tr-TR"/>
              </w:rPr>
              <w:t>-</w:t>
            </w:r>
          </w:p>
        </w:tc>
        <w:tc>
          <w:tcPr>
            <w:tcW w:w="1396" w:type="dxa"/>
            <w:tcBorders>
              <w:top w:val="nil"/>
              <w:left w:val="nil"/>
              <w:bottom w:val="nil"/>
              <w:right w:val="nil"/>
            </w:tcBorders>
            <w:shd w:val="clear" w:color="auto" w:fill="auto"/>
            <w:vAlign w:val="center"/>
            <w:hideMark/>
          </w:tcPr>
          <w:p w14:paraId="479F933B" w14:textId="77777777" w:rsidR="00FB7F3E" w:rsidRPr="00FB7F3E" w:rsidRDefault="00FB7F3E" w:rsidP="00FB7F3E">
            <w:pPr>
              <w:jc w:val="right"/>
              <w:rPr>
                <w:color w:val="000000"/>
                <w:sz w:val="18"/>
                <w:szCs w:val="18"/>
                <w:lang w:eastAsia="tr-TR"/>
              </w:rPr>
            </w:pPr>
            <w:r w:rsidRPr="00FB7F3E">
              <w:rPr>
                <w:color w:val="000000"/>
                <w:sz w:val="18"/>
                <w:szCs w:val="18"/>
                <w:lang w:eastAsia="tr-TR"/>
              </w:rPr>
              <w:t>-</w:t>
            </w:r>
          </w:p>
        </w:tc>
      </w:tr>
      <w:tr w:rsidR="00FB7F3E" w:rsidRPr="00FB7F3E" w14:paraId="7B470DC3"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658E2A64" w14:textId="77777777" w:rsidR="00FB7F3E" w:rsidRPr="00FB7F3E" w:rsidRDefault="00FB7F3E" w:rsidP="00FB7F3E">
            <w:pPr>
              <w:rPr>
                <w:color w:val="000000"/>
                <w:sz w:val="18"/>
                <w:szCs w:val="18"/>
                <w:lang w:eastAsia="tr-TR"/>
              </w:rPr>
            </w:pPr>
            <w:r w:rsidRPr="00FB7F3E">
              <w:rPr>
                <w:color w:val="000000"/>
                <w:sz w:val="18"/>
                <w:szCs w:val="18"/>
                <w:lang w:eastAsia="tr-TR"/>
              </w:rPr>
              <w:t>Diğer işletme giderleri</w:t>
            </w:r>
          </w:p>
        </w:tc>
        <w:tc>
          <w:tcPr>
            <w:tcW w:w="1411" w:type="dxa"/>
            <w:tcBorders>
              <w:top w:val="nil"/>
              <w:left w:val="nil"/>
              <w:bottom w:val="nil"/>
              <w:right w:val="nil"/>
            </w:tcBorders>
            <w:shd w:val="clear" w:color="auto" w:fill="auto"/>
            <w:vAlign w:val="center"/>
            <w:hideMark/>
          </w:tcPr>
          <w:p w14:paraId="19FD1D91" w14:textId="77777777" w:rsidR="00FB7F3E" w:rsidRPr="00FB7F3E" w:rsidRDefault="00FB7F3E" w:rsidP="00FB7F3E">
            <w:pPr>
              <w:jc w:val="right"/>
              <w:rPr>
                <w:b/>
                <w:bCs/>
                <w:color w:val="000000"/>
                <w:sz w:val="18"/>
                <w:szCs w:val="18"/>
                <w:lang w:eastAsia="tr-TR"/>
              </w:rPr>
            </w:pPr>
            <w:r w:rsidRPr="00FB7F3E">
              <w:rPr>
                <w:b/>
                <w:bCs/>
                <w:color w:val="000000"/>
                <w:sz w:val="18"/>
                <w:szCs w:val="18"/>
                <w:lang w:eastAsia="tr-TR"/>
              </w:rPr>
              <w:t>285,302</w:t>
            </w:r>
          </w:p>
        </w:tc>
        <w:tc>
          <w:tcPr>
            <w:tcW w:w="1396" w:type="dxa"/>
            <w:tcBorders>
              <w:top w:val="nil"/>
              <w:left w:val="nil"/>
              <w:bottom w:val="nil"/>
              <w:right w:val="nil"/>
            </w:tcBorders>
            <w:shd w:val="clear" w:color="auto" w:fill="auto"/>
            <w:vAlign w:val="center"/>
            <w:hideMark/>
          </w:tcPr>
          <w:p w14:paraId="1E63F1FC" w14:textId="77777777" w:rsidR="00FB7F3E" w:rsidRPr="00FB7F3E" w:rsidRDefault="00FB7F3E" w:rsidP="00FB7F3E">
            <w:pPr>
              <w:jc w:val="right"/>
              <w:rPr>
                <w:b/>
                <w:bCs/>
                <w:color w:val="000000"/>
                <w:sz w:val="18"/>
                <w:szCs w:val="18"/>
                <w:lang w:eastAsia="tr-TR"/>
              </w:rPr>
            </w:pPr>
            <w:r w:rsidRPr="00FB7F3E">
              <w:rPr>
                <w:b/>
                <w:bCs/>
                <w:color w:val="000000"/>
                <w:sz w:val="18"/>
                <w:szCs w:val="18"/>
                <w:lang w:eastAsia="tr-TR"/>
              </w:rPr>
              <w:t>253,374</w:t>
            </w:r>
          </w:p>
        </w:tc>
      </w:tr>
      <w:tr w:rsidR="00FB7F3E" w:rsidRPr="00FB7F3E" w14:paraId="495D3F70"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6FE7DB09" w14:textId="77777777" w:rsidR="00FB7F3E" w:rsidRPr="00FB7F3E" w:rsidRDefault="00FB7F3E" w:rsidP="00FB7F3E">
            <w:pPr>
              <w:ind w:firstLineChars="100" w:firstLine="180"/>
              <w:rPr>
                <w:color w:val="000000"/>
                <w:sz w:val="18"/>
                <w:szCs w:val="18"/>
                <w:lang w:eastAsia="tr-TR"/>
              </w:rPr>
            </w:pPr>
            <w:r w:rsidRPr="00FB7F3E">
              <w:rPr>
                <w:color w:val="000000"/>
                <w:sz w:val="18"/>
                <w:szCs w:val="18"/>
                <w:lang w:eastAsia="tr-TR"/>
              </w:rPr>
              <w:t>Faaliyet kiralama giderleri</w:t>
            </w:r>
          </w:p>
        </w:tc>
        <w:tc>
          <w:tcPr>
            <w:tcW w:w="1411" w:type="dxa"/>
            <w:tcBorders>
              <w:top w:val="nil"/>
              <w:left w:val="nil"/>
              <w:bottom w:val="nil"/>
              <w:right w:val="nil"/>
            </w:tcBorders>
            <w:shd w:val="clear" w:color="auto" w:fill="auto"/>
            <w:vAlign w:val="center"/>
            <w:hideMark/>
          </w:tcPr>
          <w:p w14:paraId="2CCAE95F" w14:textId="77777777" w:rsidR="00FB7F3E" w:rsidRPr="00FB7F3E" w:rsidRDefault="00FB7F3E" w:rsidP="00FB7F3E">
            <w:pPr>
              <w:jc w:val="right"/>
              <w:rPr>
                <w:color w:val="000000"/>
                <w:sz w:val="18"/>
                <w:szCs w:val="18"/>
                <w:lang w:eastAsia="tr-TR"/>
              </w:rPr>
            </w:pPr>
            <w:r w:rsidRPr="00FB7F3E">
              <w:rPr>
                <w:color w:val="000000"/>
                <w:sz w:val="18"/>
                <w:szCs w:val="18"/>
                <w:lang w:eastAsia="tr-TR"/>
              </w:rPr>
              <w:t>1,689</w:t>
            </w:r>
          </w:p>
        </w:tc>
        <w:tc>
          <w:tcPr>
            <w:tcW w:w="1396" w:type="dxa"/>
            <w:tcBorders>
              <w:top w:val="nil"/>
              <w:left w:val="nil"/>
              <w:bottom w:val="nil"/>
              <w:right w:val="nil"/>
            </w:tcBorders>
            <w:shd w:val="clear" w:color="auto" w:fill="auto"/>
            <w:vAlign w:val="center"/>
            <w:hideMark/>
          </w:tcPr>
          <w:p w14:paraId="7F67BA26" w14:textId="77777777" w:rsidR="00FB7F3E" w:rsidRPr="00FB7F3E" w:rsidRDefault="00FB7F3E" w:rsidP="00FB7F3E">
            <w:pPr>
              <w:jc w:val="right"/>
              <w:rPr>
                <w:color w:val="000000"/>
                <w:sz w:val="18"/>
                <w:szCs w:val="18"/>
                <w:lang w:eastAsia="tr-TR"/>
              </w:rPr>
            </w:pPr>
            <w:r w:rsidRPr="00FB7F3E">
              <w:rPr>
                <w:color w:val="000000"/>
                <w:sz w:val="18"/>
                <w:szCs w:val="18"/>
                <w:lang w:eastAsia="tr-TR"/>
              </w:rPr>
              <w:t>1,835</w:t>
            </w:r>
          </w:p>
        </w:tc>
      </w:tr>
      <w:tr w:rsidR="00FB7F3E" w:rsidRPr="00FB7F3E" w14:paraId="2F5AF13B"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19577A71" w14:textId="77777777" w:rsidR="00FB7F3E" w:rsidRPr="00FB7F3E" w:rsidRDefault="00FB7F3E" w:rsidP="00FB7F3E">
            <w:pPr>
              <w:ind w:firstLineChars="100" w:firstLine="180"/>
              <w:rPr>
                <w:color w:val="000000"/>
                <w:sz w:val="18"/>
                <w:szCs w:val="18"/>
                <w:lang w:eastAsia="tr-TR"/>
              </w:rPr>
            </w:pPr>
            <w:r w:rsidRPr="00FB7F3E">
              <w:rPr>
                <w:color w:val="000000"/>
                <w:sz w:val="18"/>
                <w:szCs w:val="18"/>
                <w:lang w:eastAsia="tr-TR"/>
              </w:rPr>
              <w:t xml:space="preserve">Bakım ve onarım giderleri </w:t>
            </w:r>
          </w:p>
        </w:tc>
        <w:tc>
          <w:tcPr>
            <w:tcW w:w="1411" w:type="dxa"/>
            <w:tcBorders>
              <w:top w:val="nil"/>
              <w:left w:val="nil"/>
              <w:bottom w:val="nil"/>
              <w:right w:val="nil"/>
            </w:tcBorders>
            <w:shd w:val="clear" w:color="auto" w:fill="auto"/>
            <w:vAlign w:val="center"/>
            <w:hideMark/>
          </w:tcPr>
          <w:p w14:paraId="4C00F0DB" w14:textId="77777777" w:rsidR="00FB7F3E" w:rsidRPr="00FB7F3E" w:rsidRDefault="00FB7F3E" w:rsidP="00FB7F3E">
            <w:pPr>
              <w:jc w:val="right"/>
              <w:rPr>
                <w:color w:val="000000"/>
                <w:sz w:val="18"/>
                <w:szCs w:val="18"/>
                <w:lang w:eastAsia="tr-TR"/>
              </w:rPr>
            </w:pPr>
            <w:r w:rsidRPr="00FB7F3E">
              <w:rPr>
                <w:color w:val="000000"/>
                <w:sz w:val="18"/>
                <w:szCs w:val="18"/>
                <w:lang w:eastAsia="tr-TR"/>
              </w:rPr>
              <w:t>50,949</w:t>
            </w:r>
          </w:p>
        </w:tc>
        <w:tc>
          <w:tcPr>
            <w:tcW w:w="1396" w:type="dxa"/>
            <w:tcBorders>
              <w:top w:val="nil"/>
              <w:left w:val="nil"/>
              <w:bottom w:val="nil"/>
              <w:right w:val="nil"/>
            </w:tcBorders>
            <w:shd w:val="clear" w:color="auto" w:fill="auto"/>
            <w:vAlign w:val="center"/>
            <w:hideMark/>
          </w:tcPr>
          <w:p w14:paraId="5B24D70D" w14:textId="77777777" w:rsidR="00FB7F3E" w:rsidRPr="00FB7F3E" w:rsidRDefault="00FB7F3E" w:rsidP="00FB7F3E">
            <w:pPr>
              <w:jc w:val="right"/>
              <w:rPr>
                <w:color w:val="000000"/>
                <w:sz w:val="18"/>
                <w:szCs w:val="18"/>
                <w:lang w:eastAsia="tr-TR"/>
              </w:rPr>
            </w:pPr>
            <w:r w:rsidRPr="00FB7F3E">
              <w:rPr>
                <w:color w:val="000000"/>
                <w:sz w:val="18"/>
                <w:szCs w:val="18"/>
                <w:lang w:eastAsia="tr-TR"/>
              </w:rPr>
              <w:t>73,433</w:t>
            </w:r>
          </w:p>
        </w:tc>
      </w:tr>
      <w:tr w:rsidR="00FB7F3E" w:rsidRPr="00FB7F3E" w14:paraId="6DC2D1DC"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4EE5204D" w14:textId="77777777" w:rsidR="00FB7F3E" w:rsidRPr="00FB7F3E" w:rsidRDefault="00FB7F3E" w:rsidP="00FB7F3E">
            <w:pPr>
              <w:ind w:firstLineChars="100" w:firstLine="180"/>
              <w:rPr>
                <w:color w:val="000000"/>
                <w:sz w:val="18"/>
                <w:szCs w:val="18"/>
                <w:lang w:eastAsia="tr-TR"/>
              </w:rPr>
            </w:pPr>
            <w:r w:rsidRPr="00FB7F3E">
              <w:rPr>
                <w:color w:val="000000"/>
                <w:sz w:val="18"/>
                <w:szCs w:val="18"/>
                <w:lang w:eastAsia="tr-TR"/>
              </w:rPr>
              <w:t>Reklam ve ilan giderleri</w:t>
            </w:r>
          </w:p>
        </w:tc>
        <w:tc>
          <w:tcPr>
            <w:tcW w:w="1411" w:type="dxa"/>
            <w:tcBorders>
              <w:top w:val="nil"/>
              <w:left w:val="nil"/>
              <w:bottom w:val="nil"/>
              <w:right w:val="nil"/>
            </w:tcBorders>
            <w:shd w:val="clear" w:color="auto" w:fill="auto"/>
            <w:vAlign w:val="center"/>
            <w:hideMark/>
          </w:tcPr>
          <w:p w14:paraId="471508D5" w14:textId="77777777" w:rsidR="00FB7F3E" w:rsidRPr="00FB7F3E" w:rsidRDefault="00FB7F3E" w:rsidP="00FB7F3E">
            <w:pPr>
              <w:jc w:val="right"/>
              <w:rPr>
                <w:color w:val="000000"/>
                <w:sz w:val="18"/>
                <w:szCs w:val="18"/>
                <w:lang w:eastAsia="tr-TR"/>
              </w:rPr>
            </w:pPr>
            <w:r w:rsidRPr="00FB7F3E">
              <w:rPr>
                <w:color w:val="000000"/>
                <w:sz w:val="18"/>
                <w:szCs w:val="18"/>
                <w:lang w:eastAsia="tr-TR"/>
              </w:rPr>
              <w:t>17,172</w:t>
            </w:r>
          </w:p>
        </w:tc>
        <w:tc>
          <w:tcPr>
            <w:tcW w:w="1396" w:type="dxa"/>
            <w:tcBorders>
              <w:top w:val="nil"/>
              <w:left w:val="nil"/>
              <w:bottom w:val="nil"/>
              <w:right w:val="nil"/>
            </w:tcBorders>
            <w:shd w:val="clear" w:color="auto" w:fill="auto"/>
            <w:vAlign w:val="center"/>
            <w:hideMark/>
          </w:tcPr>
          <w:p w14:paraId="0D00AB93" w14:textId="77777777" w:rsidR="00FB7F3E" w:rsidRPr="00FB7F3E" w:rsidRDefault="00FB7F3E" w:rsidP="00FB7F3E">
            <w:pPr>
              <w:jc w:val="right"/>
              <w:rPr>
                <w:color w:val="000000"/>
                <w:sz w:val="18"/>
                <w:szCs w:val="18"/>
                <w:lang w:eastAsia="tr-TR"/>
              </w:rPr>
            </w:pPr>
            <w:r w:rsidRPr="00FB7F3E">
              <w:rPr>
                <w:color w:val="000000"/>
                <w:sz w:val="18"/>
                <w:szCs w:val="18"/>
                <w:lang w:eastAsia="tr-TR"/>
              </w:rPr>
              <w:t>25,616</w:t>
            </w:r>
          </w:p>
        </w:tc>
      </w:tr>
      <w:tr w:rsidR="00FB7F3E" w:rsidRPr="00FB7F3E" w14:paraId="0FBE1BCD"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65F9CC3F" w14:textId="77777777" w:rsidR="00FB7F3E" w:rsidRPr="00FB7F3E" w:rsidRDefault="00FB7F3E" w:rsidP="00FB7F3E">
            <w:pPr>
              <w:ind w:firstLineChars="100" w:firstLine="180"/>
              <w:rPr>
                <w:color w:val="000000"/>
                <w:sz w:val="18"/>
                <w:szCs w:val="18"/>
                <w:lang w:eastAsia="tr-TR"/>
              </w:rPr>
            </w:pPr>
            <w:r w:rsidRPr="00FB7F3E">
              <w:rPr>
                <w:color w:val="000000"/>
                <w:sz w:val="18"/>
                <w:szCs w:val="18"/>
                <w:lang w:eastAsia="tr-TR"/>
              </w:rPr>
              <w:t>Haberleşme giderleri</w:t>
            </w:r>
          </w:p>
        </w:tc>
        <w:tc>
          <w:tcPr>
            <w:tcW w:w="1411" w:type="dxa"/>
            <w:tcBorders>
              <w:top w:val="nil"/>
              <w:left w:val="nil"/>
              <w:bottom w:val="nil"/>
              <w:right w:val="nil"/>
            </w:tcBorders>
            <w:shd w:val="clear" w:color="auto" w:fill="auto"/>
            <w:vAlign w:val="center"/>
            <w:hideMark/>
          </w:tcPr>
          <w:p w14:paraId="3B1D794F" w14:textId="77777777" w:rsidR="00FB7F3E" w:rsidRPr="00FB7F3E" w:rsidRDefault="00FB7F3E" w:rsidP="00FB7F3E">
            <w:pPr>
              <w:jc w:val="right"/>
              <w:rPr>
                <w:color w:val="000000"/>
                <w:sz w:val="18"/>
                <w:szCs w:val="18"/>
                <w:lang w:eastAsia="tr-TR"/>
              </w:rPr>
            </w:pPr>
            <w:r w:rsidRPr="00FB7F3E">
              <w:rPr>
                <w:color w:val="000000"/>
                <w:sz w:val="18"/>
                <w:szCs w:val="18"/>
                <w:lang w:eastAsia="tr-TR"/>
              </w:rPr>
              <w:t>45,245</w:t>
            </w:r>
          </w:p>
        </w:tc>
        <w:tc>
          <w:tcPr>
            <w:tcW w:w="1396" w:type="dxa"/>
            <w:tcBorders>
              <w:top w:val="nil"/>
              <w:left w:val="nil"/>
              <w:bottom w:val="nil"/>
              <w:right w:val="nil"/>
            </w:tcBorders>
            <w:shd w:val="clear" w:color="auto" w:fill="auto"/>
            <w:vAlign w:val="center"/>
            <w:hideMark/>
          </w:tcPr>
          <w:p w14:paraId="74C39F2B" w14:textId="77777777" w:rsidR="00FB7F3E" w:rsidRPr="00FB7F3E" w:rsidRDefault="00FB7F3E" w:rsidP="00FB7F3E">
            <w:pPr>
              <w:jc w:val="right"/>
              <w:rPr>
                <w:color w:val="000000"/>
                <w:sz w:val="18"/>
                <w:szCs w:val="18"/>
                <w:lang w:eastAsia="tr-TR"/>
              </w:rPr>
            </w:pPr>
            <w:r w:rsidRPr="00FB7F3E">
              <w:rPr>
                <w:color w:val="000000"/>
                <w:sz w:val="18"/>
                <w:szCs w:val="18"/>
                <w:lang w:eastAsia="tr-TR"/>
              </w:rPr>
              <w:t>37,358</w:t>
            </w:r>
          </w:p>
        </w:tc>
      </w:tr>
      <w:tr w:rsidR="00FB7F3E" w:rsidRPr="00FB7F3E" w14:paraId="2B31A6EB"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0B3D3F99" w14:textId="77777777" w:rsidR="00FB7F3E" w:rsidRPr="00FB7F3E" w:rsidRDefault="00FB7F3E" w:rsidP="00FB7F3E">
            <w:pPr>
              <w:ind w:firstLineChars="100" w:firstLine="180"/>
              <w:rPr>
                <w:color w:val="000000"/>
                <w:sz w:val="18"/>
                <w:szCs w:val="18"/>
                <w:lang w:eastAsia="tr-TR"/>
              </w:rPr>
            </w:pPr>
            <w:r w:rsidRPr="00FB7F3E">
              <w:rPr>
                <w:color w:val="000000"/>
                <w:sz w:val="18"/>
                <w:szCs w:val="18"/>
                <w:lang w:eastAsia="tr-TR"/>
              </w:rPr>
              <w:t>Isınma aydınlatma ve su giderleri</w:t>
            </w:r>
          </w:p>
        </w:tc>
        <w:tc>
          <w:tcPr>
            <w:tcW w:w="1411" w:type="dxa"/>
            <w:tcBorders>
              <w:top w:val="nil"/>
              <w:left w:val="nil"/>
              <w:bottom w:val="nil"/>
              <w:right w:val="nil"/>
            </w:tcBorders>
            <w:shd w:val="clear" w:color="auto" w:fill="auto"/>
            <w:vAlign w:val="center"/>
            <w:hideMark/>
          </w:tcPr>
          <w:p w14:paraId="47BD85EE" w14:textId="77777777" w:rsidR="00FB7F3E" w:rsidRPr="00FB7F3E" w:rsidRDefault="00FB7F3E" w:rsidP="00FB7F3E">
            <w:pPr>
              <w:jc w:val="right"/>
              <w:rPr>
                <w:color w:val="000000"/>
                <w:sz w:val="18"/>
                <w:szCs w:val="18"/>
                <w:lang w:eastAsia="tr-TR"/>
              </w:rPr>
            </w:pPr>
            <w:r w:rsidRPr="00FB7F3E">
              <w:rPr>
                <w:color w:val="000000"/>
                <w:sz w:val="18"/>
                <w:szCs w:val="18"/>
                <w:lang w:eastAsia="tr-TR"/>
              </w:rPr>
              <w:t>19,640</w:t>
            </w:r>
          </w:p>
        </w:tc>
        <w:tc>
          <w:tcPr>
            <w:tcW w:w="1396" w:type="dxa"/>
            <w:tcBorders>
              <w:top w:val="nil"/>
              <w:left w:val="nil"/>
              <w:bottom w:val="nil"/>
              <w:right w:val="nil"/>
            </w:tcBorders>
            <w:shd w:val="clear" w:color="auto" w:fill="auto"/>
            <w:vAlign w:val="center"/>
            <w:hideMark/>
          </w:tcPr>
          <w:p w14:paraId="4CC7E1E3" w14:textId="77777777" w:rsidR="00FB7F3E" w:rsidRPr="00FB7F3E" w:rsidRDefault="00FB7F3E" w:rsidP="00FB7F3E">
            <w:pPr>
              <w:jc w:val="right"/>
              <w:rPr>
                <w:color w:val="000000"/>
                <w:sz w:val="18"/>
                <w:szCs w:val="18"/>
                <w:lang w:eastAsia="tr-TR"/>
              </w:rPr>
            </w:pPr>
            <w:r w:rsidRPr="00FB7F3E">
              <w:rPr>
                <w:color w:val="000000"/>
                <w:sz w:val="18"/>
                <w:szCs w:val="18"/>
                <w:lang w:eastAsia="tr-TR"/>
              </w:rPr>
              <w:t>19,057</w:t>
            </w:r>
          </w:p>
        </w:tc>
      </w:tr>
      <w:tr w:rsidR="00FB7F3E" w:rsidRPr="00FB7F3E" w14:paraId="3D72E193"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2ADD5CF7" w14:textId="77777777" w:rsidR="00FB7F3E" w:rsidRPr="00FB7F3E" w:rsidRDefault="00FB7F3E" w:rsidP="00FB7F3E">
            <w:pPr>
              <w:ind w:firstLineChars="100" w:firstLine="180"/>
              <w:rPr>
                <w:color w:val="000000"/>
                <w:sz w:val="18"/>
                <w:szCs w:val="18"/>
                <w:lang w:eastAsia="tr-TR"/>
              </w:rPr>
            </w:pPr>
            <w:r w:rsidRPr="00FB7F3E">
              <w:rPr>
                <w:color w:val="000000"/>
                <w:sz w:val="18"/>
                <w:szCs w:val="18"/>
                <w:lang w:eastAsia="tr-TR"/>
              </w:rPr>
              <w:t>Temizlik giderleri</w:t>
            </w:r>
          </w:p>
        </w:tc>
        <w:tc>
          <w:tcPr>
            <w:tcW w:w="1411" w:type="dxa"/>
            <w:tcBorders>
              <w:top w:val="nil"/>
              <w:left w:val="nil"/>
              <w:bottom w:val="nil"/>
              <w:right w:val="nil"/>
            </w:tcBorders>
            <w:shd w:val="clear" w:color="auto" w:fill="auto"/>
            <w:vAlign w:val="center"/>
            <w:hideMark/>
          </w:tcPr>
          <w:p w14:paraId="0944302C" w14:textId="77777777" w:rsidR="00FB7F3E" w:rsidRPr="00FB7F3E" w:rsidRDefault="00FB7F3E" w:rsidP="00FB7F3E">
            <w:pPr>
              <w:jc w:val="right"/>
              <w:rPr>
                <w:color w:val="000000"/>
                <w:sz w:val="18"/>
                <w:szCs w:val="18"/>
                <w:lang w:eastAsia="tr-TR"/>
              </w:rPr>
            </w:pPr>
            <w:r w:rsidRPr="00FB7F3E">
              <w:rPr>
                <w:color w:val="000000"/>
                <w:sz w:val="18"/>
                <w:szCs w:val="18"/>
                <w:lang w:eastAsia="tr-TR"/>
              </w:rPr>
              <w:t>5,453</w:t>
            </w:r>
          </w:p>
        </w:tc>
        <w:tc>
          <w:tcPr>
            <w:tcW w:w="1396" w:type="dxa"/>
            <w:tcBorders>
              <w:top w:val="nil"/>
              <w:left w:val="nil"/>
              <w:bottom w:val="nil"/>
              <w:right w:val="nil"/>
            </w:tcBorders>
            <w:shd w:val="clear" w:color="auto" w:fill="auto"/>
            <w:vAlign w:val="center"/>
            <w:hideMark/>
          </w:tcPr>
          <w:p w14:paraId="17F8C38E" w14:textId="77777777" w:rsidR="00FB7F3E" w:rsidRPr="00FB7F3E" w:rsidRDefault="00FB7F3E" w:rsidP="00FB7F3E">
            <w:pPr>
              <w:jc w:val="right"/>
              <w:rPr>
                <w:color w:val="000000"/>
                <w:sz w:val="18"/>
                <w:szCs w:val="18"/>
                <w:lang w:eastAsia="tr-TR"/>
              </w:rPr>
            </w:pPr>
            <w:r w:rsidRPr="00FB7F3E">
              <w:rPr>
                <w:color w:val="000000"/>
                <w:sz w:val="18"/>
                <w:szCs w:val="18"/>
                <w:lang w:eastAsia="tr-TR"/>
              </w:rPr>
              <w:t>5,073</w:t>
            </w:r>
          </w:p>
        </w:tc>
      </w:tr>
      <w:tr w:rsidR="00FB7F3E" w:rsidRPr="00FB7F3E" w14:paraId="23A46325"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7B4486B6" w14:textId="77777777" w:rsidR="00FB7F3E" w:rsidRPr="00FB7F3E" w:rsidRDefault="00FB7F3E" w:rsidP="00FB7F3E">
            <w:pPr>
              <w:ind w:firstLineChars="100" w:firstLine="180"/>
              <w:rPr>
                <w:color w:val="000000"/>
                <w:sz w:val="18"/>
                <w:szCs w:val="18"/>
                <w:lang w:eastAsia="tr-TR"/>
              </w:rPr>
            </w:pPr>
            <w:r w:rsidRPr="00FB7F3E">
              <w:rPr>
                <w:color w:val="000000"/>
                <w:sz w:val="18"/>
                <w:szCs w:val="18"/>
                <w:lang w:eastAsia="tr-TR"/>
              </w:rPr>
              <w:t>Taşıt aracı giderleri</w:t>
            </w:r>
          </w:p>
        </w:tc>
        <w:tc>
          <w:tcPr>
            <w:tcW w:w="1411" w:type="dxa"/>
            <w:tcBorders>
              <w:top w:val="nil"/>
              <w:left w:val="nil"/>
              <w:bottom w:val="nil"/>
              <w:right w:val="nil"/>
            </w:tcBorders>
            <w:shd w:val="clear" w:color="auto" w:fill="auto"/>
            <w:vAlign w:val="center"/>
            <w:hideMark/>
          </w:tcPr>
          <w:p w14:paraId="0EF0EACF" w14:textId="77777777" w:rsidR="00FB7F3E" w:rsidRPr="00FB7F3E" w:rsidRDefault="00FB7F3E" w:rsidP="00FB7F3E">
            <w:pPr>
              <w:jc w:val="right"/>
              <w:rPr>
                <w:color w:val="000000"/>
                <w:sz w:val="18"/>
                <w:szCs w:val="18"/>
                <w:lang w:eastAsia="tr-TR"/>
              </w:rPr>
            </w:pPr>
            <w:r w:rsidRPr="00FB7F3E">
              <w:rPr>
                <w:color w:val="000000"/>
                <w:sz w:val="18"/>
                <w:szCs w:val="18"/>
                <w:lang w:eastAsia="tr-TR"/>
              </w:rPr>
              <w:t>6,085</w:t>
            </w:r>
          </w:p>
        </w:tc>
        <w:tc>
          <w:tcPr>
            <w:tcW w:w="1396" w:type="dxa"/>
            <w:tcBorders>
              <w:top w:val="nil"/>
              <w:left w:val="nil"/>
              <w:bottom w:val="nil"/>
              <w:right w:val="nil"/>
            </w:tcBorders>
            <w:shd w:val="clear" w:color="auto" w:fill="auto"/>
            <w:vAlign w:val="center"/>
            <w:hideMark/>
          </w:tcPr>
          <w:p w14:paraId="4B6CAFE3" w14:textId="77777777" w:rsidR="00FB7F3E" w:rsidRPr="00FB7F3E" w:rsidRDefault="00FB7F3E" w:rsidP="00FB7F3E">
            <w:pPr>
              <w:jc w:val="right"/>
              <w:rPr>
                <w:color w:val="000000"/>
                <w:sz w:val="18"/>
                <w:szCs w:val="18"/>
                <w:lang w:eastAsia="tr-TR"/>
              </w:rPr>
            </w:pPr>
            <w:r w:rsidRPr="00FB7F3E">
              <w:rPr>
                <w:color w:val="000000"/>
                <w:sz w:val="18"/>
                <w:szCs w:val="18"/>
                <w:lang w:eastAsia="tr-TR"/>
              </w:rPr>
              <w:t>6,917</w:t>
            </w:r>
          </w:p>
        </w:tc>
      </w:tr>
      <w:tr w:rsidR="00FB7F3E" w:rsidRPr="00FB7F3E" w14:paraId="1F2C30A4"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747C4773" w14:textId="77777777" w:rsidR="00FB7F3E" w:rsidRPr="00FB7F3E" w:rsidRDefault="00FB7F3E" w:rsidP="00FB7F3E">
            <w:pPr>
              <w:ind w:firstLineChars="100" w:firstLine="180"/>
              <w:rPr>
                <w:color w:val="000000"/>
                <w:sz w:val="18"/>
                <w:szCs w:val="18"/>
                <w:lang w:eastAsia="tr-TR"/>
              </w:rPr>
            </w:pPr>
            <w:r w:rsidRPr="00FB7F3E">
              <w:rPr>
                <w:color w:val="000000"/>
                <w:sz w:val="18"/>
                <w:szCs w:val="18"/>
                <w:lang w:eastAsia="tr-TR"/>
              </w:rPr>
              <w:t>Kırtasiye giderleri</w:t>
            </w:r>
          </w:p>
        </w:tc>
        <w:tc>
          <w:tcPr>
            <w:tcW w:w="1411" w:type="dxa"/>
            <w:tcBorders>
              <w:top w:val="nil"/>
              <w:left w:val="nil"/>
              <w:bottom w:val="nil"/>
              <w:right w:val="nil"/>
            </w:tcBorders>
            <w:shd w:val="clear" w:color="auto" w:fill="auto"/>
            <w:vAlign w:val="center"/>
            <w:hideMark/>
          </w:tcPr>
          <w:p w14:paraId="5ECDEBC7" w14:textId="77777777" w:rsidR="00FB7F3E" w:rsidRPr="00FB7F3E" w:rsidRDefault="00FB7F3E" w:rsidP="00FB7F3E">
            <w:pPr>
              <w:jc w:val="right"/>
              <w:rPr>
                <w:color w:val="000000"/>
                <w:sz w:val="18"/>
                <w:szCs w:val="18"/>
                <w:lang w:eastAsia="tr-TR"/>
              </w:rPr>
            </w:pPr>
            <w:r w:rsidRPr="00FB7F3E">
              <w:rPr>
                <w:color w:val="000000"/>
                <w:sz w:val="18"/>
                <w:szCs w:val="18"/>
                <w:lang w:eastAsia="tr-TR"/>
              </w:rPr>
              <w:t>7,523</w:t>
            </w:r>
          </w:p>
        </w:tc>
        <w:tc>
          <w:tcPr>
            <w:tcW w:w="1396" w:type="dxa"/>
            <w:tcBorders>
              <w:top w:val="nil"/>
              <w:left w:val="nil"/>
              <w:bottom w:val="nil"/>
              <w:right w:val="nil"/>
            </w:tcBorders>
            <w:shd w:val="clear" w:color="auto" w:fill="auto"/>
            <w:vAlign w:val="center"/>
            <w:hideMark/>
          </w:tcPr>
          <w:p w14:paraId="1CDB2BCE" w14:textId="77777777" w:rsidR="00FB7F3E" w:rsidRPr="00FB7F3E" w:rsidRDefault="00FB7F3E" w:rsidP="00FB7F3E">
            <w:pPr>
              <w:jc w:val="right"/>
              <w:rPr>
                <w:color w:val="000000"/>
                <w:sz w:val="18"/>
                <w:szCs w:val="18"/>
                <w:lang w:eastAsia="tr-TR"/>
              </w:rPr>
            </w:pPr>
            <w:r w:rsidRPr="00FB7F3E">
              <w:rPr>
                <w:color w:val="000000"/>
                <w:sz w:val="18"/>
                <w:szCs w:val="18"/>
                <w:lang w:eastAsia="tr-TR"/>
              </w:rPr>
              <w:t>6,765</w:t>
            </w:r>
          </w:p>
        </w:tc>
      </w:tr>
      <w:tr w:rsidR="00FB7F3E" w:rsidRPr="00FB7F3E" w14:paraId="71982EB0"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7D52BCE5" w14:textId="77777777" w:rsidR="00FB7F3E" w:rsidRPr="00FB7F3E" w:rsidRDefault="00FB7F3E" w:rsidP="00FB7F3E">
            <w:pPr>
              <w:ind w:firstLineChars="100" w:firstLine="180"/>
              <w:rPr>
                <w:color w:val="000000"/>
                <w:sz w:val="18"/>
                <w:szCs w:val="18"/>
                <w:lang w:eastAsia="tr-TR"/>
              </w:rPr>
            </w:pPr>
            <w:r w:rsidRPr="00FB7F3E">
              <w:rPr>
                <w:color w:val="000000"/>
                <w:sz w:val="18"/>
                <w:szCs w:val="18"/>
                <w:lang w:eastAsia="tr-TR"/>
              </w:rPr>
              <w:t>Diğer giderler</w:t>
            </w:r>
          </w:p>
        </w:tc>
        <w:tc>
          <w:tcPr>
            <w:tcW w:w="1411" w:type="dxa"/>
            <w:tcBorders>
              <w:top w:val="nil"/>
              <w:left w:val="nil"/>
              <w:bottom w:val="nil"/>
              <w:right w:val="nil"/>
            </w:tcBorders>
            <w:shd w:val="clear" w:color="auto" w:fill="auto"/>
            <w:vAlign w:val="center"/>
            <w:hideMark/>
          </w:tcPr>
          <w:p w14:paraId="6A259BAB" w14:textId="77777777" w:rsidR="00FB7F3E" w:rsidRPr="00FB7F3E" w:rsidRDefault="00FB7F3E" w:rsidP="00FB7F3E">
            <w:pPr>
              <w:jc w:val="right"/>
              <w:rPr>
                <w:color w:val="000000"/>
                <w:sz w:val="18"/>
                <w:szCs w:val="18"/>
                <w:lang w:eastAsia="tr-TR"/>
              </w:rPr>
            </w:pPr>
            <w:r w:rsidRPr="00FB7F3E">
              <w:rPr>
                <w:color w:val="000000"/>
                <w:sz w:val="18"/>
                <w:szCs w:val="18"/>
                <w:lang w:eastAsia="tr-TR"/>
              </w:rPr>
              <w:t>131,546</w:t>
            </w:r>
          </w:p>
        </w:tc>
        <w:tc>
          <w:tcPr>
            <w:tcW w:w="1396" w:type="dxa"/>
            <w:tcBorders>
              <w:top w:val="nil"/>
              <w:left w:val="nil"/>
              <w:bottom w:val="nil"/>
              <w:right w:val="nil"/>
            </w:tcBorders>
            <w:shd w:val="clear" w:color="auto" w:fill="auto"/>
            <w:vAlign w:val="center"/>
            <w:hideMark/>
          </w:tcPr>
          <w:p w14:paraId="3FD1E057" w14:textId="77777777" w:rsidR="00FB7F3E" w:rsidRPr="00FB7F3E" w:rsidRDefault="00FB7F3E" w:rsidP="00FB7F3E">
            <w:pPr>
              <w:jc w:val="right"/>
              <w:rPr>
                <w:color w:val="000000"/>
                <w:sz w:val="18"/>
                <w:szCs w:val="18"/>
                <w:lang w:eastAsia="tr-TR"/>
              </w:rPr>
            </w:pPr>
            <w:r w:rsidRPr="00FB7F3E">
              <w:rPr>
                <w:color w:val="000000"/>
                <w:sz w:val="18"/>
                <w:szCs w:val="18"/>
                <w:lang w:eastAsia="tr-TR"/>
              </w:rPr>
              <w:t>77,320</w:t>
            </w:r>
          </w:p>
        </w:tc>
      </w:tr>
      <w:tr w:rsidR="00FB7F3E" w:rsidRPr="00FB7F3E" w14:paraId="3A467D51"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764401E8" w14:textId="77777777" w:rsidR="00FB7F3E" w:rsidRPr="00FB7F3E" w:rsidRDefault="00FB7F3E" w:rsidP="00FB7F3E">
            <w:pPr>
              <w:rPr>
                <w:color w:val="000000"/>
                <w:sz w:val="18"/>
                <w:szCs w:val="18"/>
                <w:lang w:eastAsia="tr-TR"/>
              </w:rPr>
            </w:pPr>
            <w:r w:rsidRPr="00FB7F3E">
              <w:rPr>
                <w:color w:val="000000"/>
                <w:sz w:val="18"/>
                <w:szCs w:val="18"/>
                <w:lang w:eastAsia="tr-TR"/>
              </w:rPr>
              <w:t>Aktiflerin satışından doğan zararlar</w:t>
            </w:r>
          </w:p>
        </w:tc>
        <w:tc>
          <w:tcPr>
            <w:tcW w:w="1411" w:type="dxa"/>
            <w:tcBorders>
              <w:top w:val="nil"/>
              <w:left w:val="nil"/>
              <w:bottom w:val="nil"/>
              <w:right w:val="nil"/>
            </w:tcBorders>
            <w:shd w:val="clear" w:color="auto" w:fill="auto"/>
            <w:vAlign w:val="center"/>
            <w:hideMark/>
          </w:tcPr>
          <w:p w14:paraId="2A0A17BF" w14:textId="77777777" w:rsidR="00FB7F3E" w:rsidRPr="00FB7F3E" w:rsidRDefault="00FB7F3E" w:rsidP="00FB7F3E">
            <w:pPr>
              <w:jc w:val="right"/>
              <w:rPr>
                <w:color w:val="000000"/>
                <w:sz w:val="18"/>
                <w:szCs w:val="18"/>
                <w:lang w:eastAsia="tr-TR"/>
              </w:rPr>
            </w:pPr>
            <w:r w:rsidRPr="00FB7F3E">
              <w:rPr>
                <w:color w:val="000000"/>
                <w:sz w:val="18"/>
                <w:szCs w:val="18"/>
                <w:lang w:eastAsia="tr-TR"/>
              </w:rPr>
              <w:t>280</w:t>
            </w:r>
          </w:p>
        </w:tc>
        <w:tc>
          <w:tcPr>
            <w:tcW w:w="1396" w:type="dxa"/>
            <w:tcBorders>
              <w:top w:val="nil"/>
              <w:left w:val="nil"/>
              <w:bottom w:val="nil"/>
              <w:right w:val="nil"/>
            </w:tcBorders>
            <w:shd w:val="clear" w:color="auto" w:fill="auto"/>
            <w:vAlign w:val="center"/>
            <w:hideMark/>
          </w:tcPr>
          <w:p w14:paraId="603DB49B" w14:textId="77777777" w:rsidR="00FB7F3E" w:rsidRPr="00FB7F3E" w:rsidRDefault="00FB7F3E" w:rsidP="00FB7F3E">
            <w:pPr>
              <w:jc w:val="right"/>
              <w:rPr>
                <w:color w:val="000000"/>
                <w:sz w:val="18"/>
                <w:szCs w:val="18"/>
                <w:lang w:eastAsia="tr-TR"/>
              </w:rPr>
            </w:pPr>
            <w:r w:rsidRPr="00FB7F3E">
              <w:rPr>
                <w:color w:val="000000"/>
                <w:sz w:val="18"/>
                <w:szCs w:val="18"/>
                <w:lang w:eastAsia="tr-TR"/>
              </w:rPr>
              <w:t>984</w:t>
            </w:r>
          </w:p>
        </w:tc>
      </w:tr>
      <w:tr w:rsidR="00FB7F3E" w:rsidRPr="00FB7F3E" w14:paraId="7F4DBC2E" w14:textId="77777777" w:rsidTr="00FB7F3E">
        <w:trPr>
          <w:divId w:val="680932076"/>
          <w:trHeight w:val="226"/>
        </w:trPr>
        <w:tc>
          <w:tcPr>
            <w:tcW w:w="6386" w:type="dxa"/>
            <w:tcBorders>
              <w:top w:val="nil"/>
              <w:left w:val="nil"/>
              <w:bottom w:val="nil"/>
              <w:right w:val="nil"/>
            </w:tcBorders>
            <w:shd w:val="clear" w:color="auto" w:fill="auto"/>
            <w:noWrap/>
            <w:vAlign w:val="center"/>
            <w:hideMark/>
          </w:tcPr>
          <w:p w14:paraId="3D42728E" w14:textId="77777777" w:rsidR="00FB7F3E" w:rsidRPr="00FB7F3E" w:rsidRDefault="00FB7F3E" w:rsidP="00FB7F3E">
            <w:pPr>
              <w:rPr>
                <w:color w:val="000000"/>
                <w:sz w:val="18"/>
                <w:szCs w:val="18"/>
                <w:lang w:eastAsia="tr-TR"/>
              </w:rPr>
            </w:pPr>
            <w:r w:rsidRPr="00FB7F3E">
              <w:rPr>
                <w:color w:val="000000"/>
                <w:sz w:val="18"/>
                <w:szCs w:val="18"/>
                <w:lang w:eastAsia="tr-TR"/>
              </w:rPr>
              <w:t>Mevduat sigortası gideri</w:t>
            </w:r>
          </w:p>
        </w:tc>
        <w:tc>
          <w:tcPr>
            <w:tcW w:w="1411" w:type="dxa"/>
            <w:tcBorders>
              <w:top w:val="nil"/>
              <w:left w:val="nil"/>
              <w:bottom w:val="nil"/>
              <w:right w:val="nil"/>
            </w:tcBorders>
            <w:shd w:val="clear" w:color="auto" w:fill="auto"/>
            <w:vAlign w:val="center"/>
            <w:hideMark/>
          </w:tcPr>
          <w:p w14:paraId="39317B2B" w14:textId="77777777" w:rsidR="00FB7F3E" w:rsidRPr="00FB7F3E" w:rsidRDefault="00FB7F3E" w:rsidP="00FB7F3E">
            <w:pPr>
              <w:jc w:val="right"/>
              <w:rPr>
                <w:color w:val="000000"/>
                <w:sz w:val="18"/>
                <w:szCs w:val="18"/>
                <w:lang w:eastAsia="tr-TR"/>
              </w:rPr>
            </w:pPr>
            <w:r w:rsidRPr="00FB7F3E">
              <w:rPr>
                <w:color w:val="000000"/>
                <w:sz w:val="18"/>
                <w:szCs w:val="18"/>
                <w:lang w:eastAsia="tr-TR"/>
              </w:rPr>
              <w:t>231,401</w:t>
            </w:r>
          </w:p>
        </w:tc>
        <w:tc>
          <w:tcPr>
            <w:tcW w:w="1396" w:type="dxa"/>
            <w:tcBorders>
              <w:top w:val="nil"/>
              <w:left w:val="nil"/>
              <w:bottom w:val="nil"/>
              <w:right w:val="nil"/>
            </w:tcBorders>
            <w:shd w:val="clear" w:color="auto" w:fill="auto"/>
            <w:vAlign w:val="center"/>
            <w:hideMark/>
          </w:tcPr>
          <w:p w14:paraId="3A4EE255" w14:textId="77777777" w:rsidR="00FB7F3E" w:rsidRPr="00FB7F3E" w:rsidRDefault="00FB7F3E" w:rsidP="00FB7F3E">
            <w:pPr>
              <w:jc w:val="right"/>
              <w:rPr>
                <w:color w:val="000000"/>
                <w:sz w:val="18"/>
                <w:szCs w:val="18"/>
                <w:lang w:eastAsia="tr-TR"/>
              </w:rPr>
            </w:pPr>
            <w:r w:rsidRPr="00FB7F3E">
              <w:rPr>
                <w:color w:val="000000"/>
                <w:sz w:val="18"/>
                <w:szCs w:val="18"/>
                <w:lang w:eastAsia="tr-TR"/>
              </w:rPr>
              <w:t>118,537</w:t>
            </w:r>
          </w:p>
        </w:tc>
      </w:tr>
      <w:tr w:rsidR="00FB7F3E" w:rsidRPr="00FB7F3E" w14:paraId="6842BE69" w14:textId="77777777" w:rsidTr="00FB7F3E">
        <w:trPr>
          <w:divId w:val="680932076"/>
          <w:trHeight w:val="226"/>
        </w:trPr>
        <w:tc>
          <w:tcPr>
            <w:tcW w:w="6386" w:type="dxa"/>
            <w:tcBorders>
              <w:top w:val="nil"/>
              <w:left w:val="nil"/>
              <w:bottom w:val="single" w:sz="8" w:space="0" w:color="auto"/>
              <w:right w:val="nil"/>
            </w:tcBorders>
            <w:shd w:val="clear" w:color="auto" w:fill="auto"/>
            <w:noWrap/>
            <w:vAlign w:val="center"/>
            <w:hideMark/>
          </w:tcPr>
          <w:p w14:paraId="643920BA" w14:textId="77777777" w:rsidR="00FB7F3E" w:rsidRPr="00FB7F3E" w:rsidRDefault="00FB7F3E" w:rsidP="00FB7F3E">
            <w:pPr>
              <w:rPr>
                <w:color w:val="000000"/>
                <w:sz w:val="18"/>
                <w:szCs w:val="18"/>
                <w:lang w:eastAsia="tr-TR"/>
              </w:rPr>
            </w:pPr>
            <w:r w:rsidRPr="00FB7F3E">
              <w:rPr>
                <w:color w:val="000000"/>
                <w:sz w:val="18"/>
                <w:szCs w:val="18"/>
                <w:lang w:eastAsia="tr-TR"/>
              </w:rPr>
              <w:t>Diğer</w:t>
            </w:r>
          </w:p>
        </w:tc>
        <w:tc>
          <w:tcPr>
            <w:tcW w:w="1411" w:type="dxa"/>
            <w:tcBorders>
              <w:top w:val="nil"/>
              <w:left w:val="nil"/>
              <w:bottom w:val="single" w:sz="8" w:space="0" w:color="auto"/>
              <w:right w:val="nil"/>
            </w:tcBorders>
            <w:shd w:val="clear" w:color="auto" w:fill="auto"/>
            <w:vAlign w:val="center"/>
            <w:hideMark/>
          </w:tcPr>
          <w:p w14:paraId="7EA96EAF" w14:textId="77777777" w:rsidR="00FB7F3E" w:rsidRPr="00FB7F3E" w:rsidRDefault="00FB7F3E" w:rsidP="00FB7F3E">
            <w:pPr>
              <w:jc w:val="right"/>
              <w:rPr>
                <w:color w:val="000000"/>
                <w:sz w:val="18"/>
                <w:szCs w:val="18"/>
                <w:lang w:eastAsia="tr-TR"/>
              </w:rPr>
            </w:pPr>
            <w:r w:rsidRPr="00FB7F3E">
              <w:rPr>
                <w:color w:val="000000"/>
                <w:sz w:val="18"/>
                <w:szCs w:val="18"/>
                <w:lang w:eastAsia="tr-TR"/>
              </w:rPr>
              <w:t>139,940</w:t>
            </w:r>
          </w:p>
        </w:tc>
        <w:tc>
          <w:tcPr>
            <w:tcW w:w="1396" w:type="dxa"/>
            <w:tcBorders>
              <w:top w:val="nil"/>
              <w:left w:val="nil"/>
              <w:bottom w:val="single" w:sz="8" w:space="0" w:color="auto"/>
              <w:right w:val="nil"/>
            </w:tcBorders>
            <w:shd w:val="clear" w:color="auto" w:fill="auto"/>
            <w:vAlign w:val="center"/>
            <w:hideMark/>
          </w:tcPr>
          <w:p w14:paraId="45083E16" w14:textId="77777777" w:rsidR="00FB7F3E" w:rsidRPr="00FB7F3E" w:rsidRDefault="00FB7F3E" w:rsidP="00FB7F3E">
            <w:pPr>
              <w:jc w:val="right"/>
              <w:rPr>
                <w:color w:val="000000"/>
                <w:sz w:val="18"/>
                <w:szCs w:val="18"/>
                <w:lang w:eastAsia="tr-TR"/>
              </w:rPr>
            </w:pPr>
            <w:r w:rsidRPr="00FB7F3E">
              <w:rPr>
                <w:color w:val="000000"/>
                <w:sz w:val="18"/>
                <w:szCs w:val="18"/>
                <w:lang w:eastAsia="tr-TR"/>
              </w:rPr>
              <w:t>107,182</w:t>
            </w:r>
          </w:p>
        </w:tc>
      </w:tr>
      <w:tr w:rsidR="00FB7F3E" w:rsidRPr="00FB7F3E" w14:paraId="5AD5EE1A" w14:textId="77777777" w:rsidTr="00FB7F3E">
        <w:trPr>
          <w:divId w:val="680932076"/>
          <w:trHeight w:val="240"/>
        </w:trPr>
        <w:tc>
          <w:tcPr>
            <w:tcW w:w="6386" w:type="dxa"/>
            <w:tcBorders>
              <w:top w:val="nil"/>
              <w:left w:val="nil"/>
              <w:bottom w:val="double" w:sz="6" w:space="0" w:color="auto"/>
              <w:right w:val="nil"/>
            </w:tcBorders>
            <w:shd w:val="clear" w:color="auto" w:fill="auto"/>
            <w:vAlign w:val="center"/>
            <w:hideMark/>
          </w:tcPr>
          <w:p w14:paraId="638FBBFA" w14:textId="77777777" w:rsidR="00FB7F3E" w:rsidRPr="00FB7F3E" w:rsidRDefault="00FB7F3E" w:rsidP="00FB7F3E">
            <w:pPr>
              <w:jc w:val="both"/>
              <w:rPr>
                <w:b/>
                <w:bCs/>
                <w:color w:val="000000"/>
                <w:sz w:val="18"/>
                <w:szCs w:val="18"/>
                <w:lang w:eastAsia="tr-TR"/>
              </w:rPr>
            </w:pPr>
            <w:r w:rsidRPr="00FB7F3E">
              <w:rPr>
                <w:b/>
                <w:bCs/>
                <w:color w:val="000000"/>
                <w:sz w:val="18"/>
                <w:szCs w:val="18"/>
                <w:lang w:eastAsia="tr-TR"/>
              </w:rPr>
              <w:t>Toplam</w:t>
            </w:r>
          </w:p>
        </w:tc>
        <w:tc>
          <w:tcPr>
            <w:tcW w:w="1411" w:type="dxa"/>
            <w:tcBorders>
              <w:top w:val="nil"/>
              <w:left w:val="nil"/>
              <w:bottom w:val="double" w:sz="6" w:space="0" w:color="auto"/>
              <w:right w:val="nil"/>
            </w:tcBorders>
            <w:shd w:val="clear" w:color="auto" w:fill="auto"/>
            <w:vAlign w:val="center"/>
            <w:hideMark/>
          </w:tcPr>
          <w:p w14:paraId="1C2B4D00" w14:textId="77777777" w:rsidR="00FB7F3E" w:rsidRPr="00FB7F3E" w:rsidRDefault="00FB7F3E" w:rsidP="00FB7F3E">
            <w:pPr>
              <w:jc w:val="right"/>
              <w:rPr>
                <w:b/>
                <w:bCs/>
                <w:color w:val="000000"/>
                <w:sz w:val="18"/>
                <w:szCs w:val="18"/>
                <w:lang w:eastAsia="tr-TR"/>
              </w:rPr>
            </w:pPr>
            <w:r w:rsidRPr="00FB7F3E">
              <w:rPr>
                <w:b/>
                <w:bCs/>
                <w:color w:val="000000"/>
                <w:sz w:val="18"/>
                <w:szCs w:val="18"/>
                <w:lang w:eastAsia="tr-TR"/>
              </w:rPr>
              <w:t>1,719,859</w:t>
            </w:r>
          </w:p>
        </w:tc>
        <w:tc>
          <w:tcPr>
            <w:tcW w:w="1396" w:type="dxa"/>
            <w:tcBorders>
              <w:top w:val="nil"/>
              <w:left w:val="nil"/>
              <w:bottom w:val="double" w:sz="6" w:space="0" w:color="auto"/>
              <w:right w:val="nil"/>
            </w:tcBorders>
            <w:shd w:val="clear" w:color="auto" w:fill="auto"/>
            <w:vAlign w:val="center"/>
            <w:hideMark/>
          </w:tcPr>
          <w:p w14:paraId="4435B10C" w14:textId="77777777" w:rsidR="00FB7F3E" w:rsidRPr="00FB7F3E" w:rsidRDefault="00FB7F3E" w:rsidP="00FB7F3E">
            <w:pPr>
              <w:jc w:val="right"/>
              <w:rPr>
                <w:b/>
                <w:bCs/>
                <w:color w:val="000000"/>
                <w:sz w:val="18"/>
                <w:szCs w:val="18"/>
                <w:lang w:eastAsia="tr-TR"/>
              </w:rPr>
            </w:pPr>
            <w:r w:rsidRPr="00FB7F3E">
              <w:rPr>
                <w:b/>
                <w:bCs/>
                <w:color w:val="000000"/>
                <w:sz w:val="18"/>
                <w:szCs w:val="18"/>
                <w:lang w:eastAsia="tr-TR"/>
              </w:rPr>
              <w:t>1,408,336</w:t>
            </w:r>
          </w:p>
        </w:tc>
      </w:tr>
    </w:tbl>
    <w:p w14:paraId="0EA9AD28" w14:textId="3EF960B8" w:rsidR="00115629" w:rsidRPr="00FB7F3E" w:rsidRDefault="00115629" w:rsidP="00115629">
      <w:pPr>
        <w:autoSpaceDE w:val="0"/>
        <w:autoSpaceDN w:val="0"/>
        <w:adjustRightInd w:val="0"/>
        <w:rPr>
          <w:sz w:val="12"/>
        </w:rPr>
      </w:pPr>
    </w:p>
    <w:p w14:paraId="5C8A4C47" w14:textId="77777777" w:rsidR="009A7395" w:rsidRPr="00FB7F3E" w:rsidRDefault="009A7395" w:rsidP="009A7395">
      <w:pPr>
        <w:autoSpaceDE w:val="0"/>
        <w:autoSpaceDN w:val="0"/>
        <w:adjustRightInd w:val="0"/>
        <w:rPr>
          <w:b/>
          <w:bCs/>
          <w:iCs/>
          <w:sz w:val="16"/>
          <w:szCs w:val="16"/>
        </w:rPr>
      </w:pPr>
      <w:r w:rsidRPr="00FB7F3E">
        <w:rPr>
          <w:color w:val="000000"/>
          <w:spacing w:val="-6"/>
          <w:sz w:val="18"/>
          <w:szCs w:val="18"/>
        </w:rPr>
        <w:t>(*) Gelir Tablosunda “Personel Giderleri” olarak sunulan kalemi ifade etmektedir.</w:t>
      </w:r>
    </w:p>
    <w:p w14:paraId="409D32E2" w14:textId="77777777" w:rsidR="009A7395" w:rsidRPr="00270CE6" w:rsidRDefault="009A7395">
      <w:pPr>
        <w:rPr>
          <w:sz w:val="12"/>
          <w:highlight w:val="yellow"/>
        </w:rPr>
      </w:pPr>
    </w:p>
    <w:p w14:paraId="69B5E1F0" w14:textId="77777777" w:rsidR="00033391" w:rsidRPr="005269EC" w:rsidRDefault="0089470C" w:rsidP="0089470C">
      <w:pPr>
        <w:autoSpaceDE w:val="0"/>
        <w:autoSpaceDN w:val="0"/>
        <w:adjustRightInd w:val="0"/>
        <w:ind w:hanging="567"/>
        <w:jc w:val="both"/>
        <w:rPr>
          <w:b/>
          <w:bCs/>
          <w:iCs/>
        </w:rPr>
      </w:pPr>
      <w:r w:rsidRPr="005269EC">
        <w:rPr>
          <w:b/>
          <w:bCs/>
          <w:iCs/>
        </w:rPr>
        <w:t>4.9</w:t>
      </w:r>
      <w:r w:rsidRPr="005269EC">
        <w:rPr>
          <w:b/>
          <w:bCs/>
          <w:iCs/>
        </w:rPr>
        <w:tab/>
      </w:r>
      <w:r w:rsidR="00E253C8" w:rsidRPr="005269EC">
        <w:rPr>
          <w:b/>
          <w:bCs/>
          <w:iCs/>
        </w:rPr>
        <w:t>Sürdürülen faaliyetler ile durdurulan faaliyetler vergi öncesi kar/zarara ilişkin açıklamalar:</w:t>
      </w:r>
    </w:p>
    <w:p w14:paraId="01A9AC3A" w14:textId="77777777" w:rsidR="00E73302" w:rsidRPr="005269EC" w:rsidRDefault="00E73302" w:rsidP="00E534FA">
      <w:pPr>
        <w:autoSpaceDE w:val="0"/>
        <w:autoSpaceDN w:val="0"/>
        <w:adjustRightInd w:val="0"/>
        <w:jc w:val="both"/>
        <w:rPr>
          <w:b/>
          <w:bCs/>
          <w:iCs/>
          <w:sz w:val="16"/>
          <w:szCs w:val="16"/>
        </w:rPr>
      </w:pPr>
    </w:p>
    <w:p w14:paraId="42B6F0DB" w14:textId="025CD8E4" w:rsidR="00FB4887" w:rsidRPr="00311DAB" w:rsidRDefault="00FB4887" w:rsidP="00B843E3">
      <w:pPr>
        <w:tabs>
          <w:tab w:val="left" w:pos="540"/>
        </w:tabs>
        <w:autoSpaceDE w:val="0"/>
        <w:autoSpaceDN w:val="0"/>
        <w:adjustRightInd w:val="0"/>
        <w:jc w:val="both"/>
        <w:rPr>
          <w:lang w:eastAsia="en-GB"/>
        </w:rPr>
      </w:pPr>
      <w:r w:rsidRPr="005269EC">
        <w:t>Bankalarca Kamuya Açıklanacak Finansal Tablolar ile Bunlara İlişkin Açıklama ve Dipnotlar Hakkında Tebliğ’in 25’inci maddesi uyarınca ara dönemde hazırlanmamıştır.</w:t>
      </w:r>
    </w:p>
    <w:p w14:paraId="04E1ED50" w14:textId="0CE9DA00" w:rsidR="00E73302" w:rsidRPr="00270CE6" w:rsidRDefault="00E73302" w:rsidP="00FB4887">
      <w:pPr>
        <w:autoSpaceDE w:val="0"/>
        <w:autoSpaceDN w:val="0"/>
        <w:adjustRightInd w:val="0"/>
        <w:jc w:val="both"/>
        <w:rPr>
          <w:b/>
          <w:bCs/>
          <w:iCs/>
          <w:sz w:val="16"/>
          <w:szCs w:val="16"/>
          <w:highlight w:val="yellow"/>
        </w:rPr>
      </w:pPr>
    </w:p>
    <w:p w14:paraId="6A59C6EA" w14:textId="77777777" w:rsidR="00033391" w:rsidRPr="00A752C1" w:rsidRDefault="0089470C" w:rsidP="0089470C">
      <w:pPr>
        <w:autoSpaceDE w:val="0"/>
        <w:autoSpaceDN w:val="0"/>
        <w:adjustRightInd w:val="0"/>
        <w:ind w:hanging="567"/>
        <w:jc w:val="both"/>
        <w:rPr>
          <w:b/>
          <w:bCs/>
          <w:iCs/>
        </w:rPr>
      </w:pPr>
      <w:r w:rsidRPr="00A752C1">
        <w:rPr>
          <w:b/>
          <w:bCs/>
          <w:iCs/>
        </w:rPr>
        <w:t>4.10</w:t>
      </w:r>
      <w:r w:rsidRPr="00A752C1">
        <w:rPr>
          <w:b/>
          <w:bCs/>
          <w:iCs/>
        </w:rPr>
        <w:tab/>
      </w:r>
      <w:r w:rsidR="00E253C8" w:rsidRPr="00A752C1">
        <w:rPr>
          <w:b/>
          <w:bCs/>
          <w:iCs/>
        </w:rPr>
        <w:t>Sürdürülen faaliyetler ile durdurulan faaliyetler vergi karşılığına ilişkin açıklamalar:</w:t>
      </w:r>
    </w:p>
    <w:p w14:paraId="1130E956" w14:textId="77777777" w:rsidR="00E73302" w:rsidRPr="00A752C1" w:rsidRDefault="00E73302" w:rsidP="00E534FA">
      <w:pPr>
        <w:tabs>
          <w:tab w:val="left" w:pos="360"/>
        </w:tabs>
        <w:autoSpaceDE w:val="0"/>
        <w:autoSpaceDN w:val="0"/>
        <w:adjustRightInd w:val="0"/>
        <w:jc w:val="both"/>
        <w:rPr>
          <w:b/>
          <w:bCs/>
          <w:iCs/>
          <w:sz w:val="16"/>
          <w:szCs w:val="16"/>
        </w:rPr>
      </w:pPr>
    </w:p>
    <w:p w14:paraId="1C74320E" w14:textId="2F7D41B5" w:rsidR="00CD56E0" w:rsidRPr="00A752C1" w:rsidRDefault="00CD56E0" w:rsidP="001F7228">
      <w:pPr>
        <w:autoSpaceDE w:val="0"/>
        <w:autoSpaceDN w:val="0"/>
        <w:jc w:val="both"/>
        <w:rPr>
          <w:spacing w:val="-6"/>
        </w:rPr>
      </w:pPr>
      <w:r w:rsidRPr="00A752C1">
        <w:rPr>
          <w:spacing w:val="-6"/>
        </w:rPr>
        <w:t xml:space="preserve">Banka’nın dönem içerisinde </w:t>
      </w:r>
      <w:r w:rsidR="00A752C1" w:rsidRPr="00A752C1">
        <w:rPr>
          <w:spacing w:val="-6"/>
        </w:rPr>
        <w:t>432</w:t>
      </w:r>
      <w:r w:rsidR="00FB4887" w:rsidRPr="00A752C1">
        <w:rPr>
          <w:spacing w:val="-6"/>
        </w:rPr>
        <w:t>,</w:t>
      </w:r>
      <w:r w:rsidR="00A752C1" w:rsidRPr="00A752C1">
        <w:rPr>
          <w:spacing w:val="-6"/>
        </w:rPr>
        <w:t>927</w:t>
      </w:r>
      <w:r w:rsidR="00FB4887" w:rsidRPr="00A752C1">
        <w:rPr>
          <w:spacing w:val="-6"/>
        </w:rPr>
        <w:t xml:space="preserve"> </w:t>
      </w:r>
      <w:r w:rsidRPr="00A752C1">
        <w:rPr>
          <w:spacing w:val="-6"/>
        </w:rPr>
        <w:t>TL (</w:t>
      </w:r>
      <w:r w:rsidR="00051E2A" w:rsidRPr="00A752C1">
        <w:rPr>
          <w:spacing w:val="-4"/>
        </w:rPr>
        <w:t>1 Ocak-</w:t>
      </w:r>
      <w:r w:rsidR="00EA6E92" w:rsidRPr="00A752C1">
        <w:t>30 Eylül</w:t>
      </w:r>
      <w:r w:rsidR="00BD6CCE" w:rsidRPr="00A752C1">
        <w:t xml:space="preserve"> 2019</w:t>
      </w:r>
      <w:r w:rsidRPr="00A752C1">
        <w:rPr>
          <w:spacing w:val="-6"/>
        </w:rPr>
        <w:t xml:space="preserve"> – </w:t>
      </w:r>
      <w:r w:rsidR="00BD6CCE" w:rsidRPr="00A752C1">
        <w:rPr>
          <w:spacing w:val="-6"/>
        </w:rPr>
        <w:t>17</w:t>
      </w:r>
      <w:r w:rsidR="00FA07F2" w:rsidRPr="00A752C1">
        <w:rPr>
          <w:spacing w:val="-6"/>
        </w:rPr>
        <w:t>2</w:t>
      </w:r>
      <w:r w:rsidR="00051E2A" w:rsidRPr="00A752C1">
        <w:rPr>
          <w:spacing w:val="-6"/>
        </w:rPr>
        <w:t>,</w:t>
      </w:r>
      <w:r w:rsidR="00FA07F2" w:rsidRPr="00A752C1">
        <w:rPr>
          <w:spacing w:val="-6"/>
        </w:rPr>
        <w:t>329</w:t>
      </w:r>
      <w:r w:rsidRPr="00A752C1">
        <w:rPr>
          <w:spacing w:val="-6"/>
        </w:rPr>
        <w:t xml:space="preserve"> TL) tutarında cari dönem vergi karşılığı gideri, </w:t>
      </w:r>
      <w:r w:rsidR="00A752C1" w:rsidRPr="00A752C1">
        <w:rPr>
          <w:spacing w:val="-6"/>
        </w:rPr>
        <w:t>283</w:t>
      </w:r>
      <w:r w:rsidR="00FB4887" w:rsidRPr="00A752C1">
        <w:rPr>
          <w:spacing w:val="-6"/>
        </w:rPr>
        <w:t>,</w:t>
      </w:r>
      <w:r w:rsidR="00A752C1" w:rsidRPr="00A752C1">
        <w:rPr>
          <w:spacing w:val="-6"/>
        </w:rPr>
        <w:t>923</w:t>
      </w:r>
      <w:r w:rsidRPr="00A752C1">
        <w:rPr>
          <w:spacing w:val="-6"/>
        </w:rPr>
        <w:t xml:space="preserve"> TL (</w:t>
      </w:r>
      <w:r w:rsidR="00051E2A" w:rsidRPr="00A752C1">
        <w:rPr>
          <w:spacing w:val="-4"/>
        </w:rPr>
        <w:t>1 Ocak-</w:t>
      </w:r>
      <w:r w:rsidR="00EA6E92" w:rsidRPr="00A752C1">
        <w:t>30 Eylül</w:t>
      </w:r>
      <w:r w:rsidR="00EC1841" w:rsidRPr="00A752C1">
        <w:t xml:space="preserve"> 2019</w:t>
      </w:r>
      <w:r w:rsidR="00051E2A" w:rsidRPr="00A752C1">
        <w:rPr>
          <w:spacing w:val="-6"/>
        </w:rPr>
        <w:t xml:space="preserve"> </w:t>
      </w:r>
      <w:r w:rsidRPr="00A752C1">
        <w:rPr>
          <w:spacing w:val="-6"/>
        </w:rPr>
        <w:t xml:space="preserve">– </w:t>
      </w:r>
      <w:r w:rsidR="00E60709" w:rsidRPr="00A752C1">
        <w:rPr>
          <w:spacing w:val="-6"/>
        </w:rPr>
        <w:t>172,068</w:t>
      </w:r>
      <w:r w:rsidRPr="00A752C1">
        <w:rPr>
          <w:spacing w:val="-6"/>
        </w:rPr>
        <w:t xml:space="preserve"> TL) tutarında ertelenmiş vergi </w:t>
      </w:r>
      <w:r w:rsidR="000F30E4" w:rsidRPr="00A752C1">
        <w:rPr>
          <w:spacing w:val="-6"/>
        </w:rPr>
        <w:t>geliri</w:t>
      </w:r>
      <w:r w:rsidRPr="00A752C1">
        <w:rPr>
          <w:spacing w:val="-6"/>
        </w:rPr>
        <w:t xml:space="preserve"> ve </w:t>
      </w:r>
      <w:r w:rsidR="00A752C1" w:rsidRPr="00A752C1">
        <w:rPr>
          <w:spacing w:val="-6"/>
        </w:rPr>
        <w:t>134</w:t>
      </w:r>
      <w:r w:rsidR="00FB4887" w:rsidRPr="00A752C1">
        <w:rPr>
          <w:spacing w:val="-6"/>
        </w:rPr>
        <w:t>,</w:t>
      </w:r>
      <w:r w:rsidR="00A752C1" w:rsidRPr="00A752C1">
        <w:rPr>
          <w:spacing w:val="-6"/>
        </w:rPr>
        <w:t>484</w:t>
      </w:r>
      <w:r w:rsidRPr="00A752C1">
        <w:rPr>
          <w:spacing w:val="-6"/>
        </w:rPr>
        <w:t xml:space="preserve"> TL (</w:t>
      </w:r>
      <w:r w:rsidR="00051E2A" w:rsidRPr="00A752C1">
        <w:rPr>
          <w:spacing w:val="-4"/>
        </w:rPr>
        <w:t>1 Ocak-</w:t>
      </w:r>
      <w:r w:rsidR="00EA6E92" w:rsidRPr="00A752C1">
        <w:t>30 Eylül</w:t>
      </w:r>
      <w:r w:rsidR="00EC1841" w:rsidRPr="00A752C1">
        <w:t xml:space="preserve"> 2019</w:t>
      </w:r>
      <w:r w:rsidRPr="00A752C1">
        <w:rPr>
          <w:spacing w:val="-6"/>
        </w:rPr>
        <w:t xml:space="preserve"> –</w:t>
      </w:r>
      <w:r w:rsidR="00E60709" w:rsidRPr="00A752C1">
        <w:rPr>
          <w:spacing w:val="-6"/>
        </w:rPr>
        <w:t>194</w:t>
      </w:r>
      <w:r w:rsidR="00094BC0" w:rsidRPr="00A752C1">
        <w:rPr>
          <w:spacing w:val="-6"/>
        </w:rPr>
        <w:t>,</w:t>
      </w:r>
      <w:r w:rsidR="00E60709" w:rsidRPr="00A752C1">
        <w:rPr>
          <w:spacing w:val="-6"/>
        </w:rPr>
        <w:t>309</w:t>
      </w:r>
      <w:r w:rsidRPr="00A752C1">
        <w:rPr>
          <w:spacing w:val="-6"/>
        </w:rPr>
        <w:t xml:space="preserve"> </w:t>
      </w:r>
      <w:proofErr w:type="gramStart"/>
      <w:r w:rsidRPr="00A752C1">
        <w:rPr>
          <w:spacing w:val="-6"/>
        </w:rPr>
        <w:t>TL )</w:t>
      </w:r>
      <w:proofErr w:type="gramEnd"/>
      <w:r w:rsidRPr="00A752C1">
        <w:rPr>
          <w:spacing w:val="-6"/>
        </w:rPr>
        <w:t xml:space="preserve"> t</w:t>
      </w:r>
      <w:r w:rsidR="000F30E4" w:rsidRPr="00A752C1">
        <w:rPr>
          <w:spacing w:val="-6"/>
        </w:rPr>
        <w:t>utarında ertelenmiş vergi gideri</w:t>
      </w:r>
      <w:r w:rsidRPr="00A752C1">
        <w:rPr>
          <w:spacing w:val="-6"/>
        </w:rPr>
        <w:t xml:space="preserve"> oluşmuştur.</w:t>
      </w:r>
    </w:p>
    <w:p w14:paraId="30B10433" w14:textId="77777777" w:rsidR="00E73302" w:rsidRPr="00270CE6" w:rsidRDefault="00E73302" w:rsidP="00E534FA">
      <w:pPr>
        <w:tabs>
          <w:tab w:val="num" w:pos="540"/>
          <w:tab w:val="num" w:pos="720"/>
        </w:tabs>
        <w:autoSpaceDE w:val="0"/>
        <w:autoSpaceDN w:val="0"/>
        <w:adjustRightInd w:val="0"/>
        <w:jc w:val="both"/>
        <w:rPr>
          <w:sz w:val="16"/>
          <w:szCs w:val="16"/>
          <w:highlight w:val="yellow"/>
        </w:rPr>
      </w:pPr>
    </w:p>
    <w:p w14:paraId="11FAEC73" w14:textId="77777777" w:rsidR="00033391" w:rsidRPr="005269EC" w:rsidRDefault="0089470C" w:rsidP="0089470C">
      <w:pPr>
        <w:autoSpaceDE w:val="0"/>
        <w:autoSpaceDN w:val="0"/>
        <w:adjustRightInd w:val="0"/>
        <w:ind w:hanging="567"/>
        <w:jc w:val="both"/>
        <w:rPr>
          <w:b/>
          <w:bCs/>
          <w:iCs/>
        </w:rPr>
      </w:pPr>
      <w:r w:rsidRPr="005269EC">
        <w:rPr>
          <w:b/>
          <w:bCs/>
          <w:iCs/>
        </w:rPr>
        <w:t>4.11</w:t>
      </w:r>
      <w:r w:rsidRPr="005269EC">
        <w:rPr>
          <w:b/>
          <w:bCs/>
          <w:iCs/>
        </w:rPr>
        <w:tab/>
      </w:r>
      <w:r w:rsidR="00E253C8" w:rsidRPr="005269EC">
        <w:rPr>
          <w:b/>
          <w:bCs/>
          <w:iCs/>
        </w:rPr>
        <w:t>Sürdürülen faaliyetler ile durdurulan faaliyetler dönem net kar/zararına ilişkin açıklama:</w:t>
      </w:r>
    </w:p>
    <w:p w14:paraId="624DBC09" w14:textId="77777777" w:rsidR="00E73302" w:rsidRPr="005269EC" w:rsidRDefault="00E73302" w:rsidP="00E534FA">
      <w:pPr>
        <w:autoSpaceDE w:val="0"/>
        <w:autoSpaceDN w:val="0"/>
        <w:adjustRightInd w:val="0"/>
        <w:jc w:val="both"/>
        <w:rPr>
          <w:b/>
          <w:bCs/>
          <w:iCs/>
          <w:sz w:val="16"/>
          <w:szCs w:val="16"/>
        </w:rPr>
      </w:pPr>
    </w:p>
    <w:p w14:paraId="672BE515" w14:textId="77777777" w:rsidR="0022205C" w:rsidRPr="005269EC" w:rsidRDefault="0022205C" w:rsidP="0022205C">
      <w:pPr>
        <w:autoSpaceDE w:val="0"/>
        <w:autoSpaceDN w:val="0"/>
        <w:adjustRightInd w:val="0"/>
        <w:jc w:val="both"/>
        <w:rPr>
          <w:b/>
          <w:bCs/>
          <w:iCs/>
        </w:rPr>
      </w:pPr>
      <w:r w:rsidRPr="005269EC">
        <w:rPr>
          <w:bCs/>
          <w:iCs/>
        </w:rPr>
        <w:t>Vergi sonrası faaliyet kar/zararı içinde durdurulan faaliyetlerden kaynaklanan kar/zarar yoktur.</w:t>
      </w:r>
    </w:p>
    <w:p w14:paraId="645AA76A" w14:textId="77777777" w:rsidR="00833C66" w:rsidRPr="005269EC" w:rsidRDefault="00833C66" w:rsidP="006A694F">
      <w:pPr>
        <w:autoSpaceDE w:val="0"/>
        <w:autoSpaceDN w:val="0"/>
        <w:adjustRightInd w:val="0"/>
        <w:rPr>
          <w:b/>
          <w:bCs/>
          <w:iCs/>
          <w:sz w:val="16"/>
          <w:szCs w:val="16"/>
        </w:rPr>
      </w:pPr>
    </w:p>
    <w:p w14:paraId="04D5894B" w14:textId="77777777" w:rsidR="00033391" w:rsidRPr="005269EC" w:rsidRDefault="0089470C" w:rsidP="006A694F">
      <w:pPr>
        <w:autoSpaceDE w:val="0"/>
        <w:autoSpaceDN w:val="0"/>
        <w:adjustRightInd w:val="0"/>
        <w:ind w:hanging="567"/>
        <w:rPr>
          <w:b/>
          <w:bCs/>
          <w:iCs/>
        </w:rPr>
      </w:pPr>
      <w:r w:rsidRPr="005269EC">
        <w:rPr>
          <w:b/>
          <w:bCs/>
          <w:iCs/>
        </w:rPr>
        <w:t>4.12</w:t>
      </w:r>
      <w:r w:rsidRPr="005269EC">
        <w:rPr>
          <w:b/>
          <w:bCs/>
          <w:iCs/>
        </w:rPr>
        <w:tab/>
      </w:r>
      <w:r w:rsidR="00E253C8" w:rsidRPr="005269EC">
        <w:rPr>
          <w:b/>
          <w:bCs/>
          <w:iCs/>
        </w:rPr>
        <w:t>Net dönem kar/zararına ilişkin açıklamalar:</w:t>
      </w:r>
    </w:p>
    <w:p w14:paraId="0F00B86C" w14:textId="77777777" w:rsidR="00E73302" w:rsidRPr="005269EC" w:rsidRDefault="00E73302">
      <w:pPr>
        <w:pStyle w:val="BodyTextIndent2"/>
        <w:ind w:left="540" w:hanging="540"/>
        <w:jc w:val="left"/>
        <w:rPr>
          <w:rFonts w:ascii="Times New Roman" w:eastAsia="Arial Unicode MS" w:hAnsi="Times New Roman"/>
          <w:b w:val="0"/>
          <w:color w:val="auto"/>
          <w:sz w:val="16"/>
          <w:szCs w:val="16"/>
        </w:rPr>
      </w:pPr>
    </w:p>
    <w:p w14:paraId="29AFC73A" w14:textId="247FCF8E" w:rsidR="008F10D4" w:rsidRDefault="0035500B" w:rsidP="0035500B">
      <w:pPr>
        <w:autoSpaceDE w:val="0"/>
        <w:autoSpaceDN w:val="0"/>
        <w:adjustRightInd w:val="0"/>
        <w:ind w:hanging="567"/>
        <w:jc w:val="both"/>
        <w:rPr>
          <w:spacing w:val="-6"/>
        </w:rPr>
      </w:pPr>
      <w:r w:rsidRPr="005269EC">
        <w:rPr>
          <w:b/>
        </w:rPr>
        <w:t>4.12.1</w:t>
      </w:r>
      <w:r w:rsidRPr="005269EC">
        <w:tab/>
      </w:r>
      <w:r w:rsidR="00E253C8" w:rsidRPr="005269EC">
        <w:rPr>
          <w:spacing w:val="-6"/>
        </w:rPr>
        <w:t>Olağan bankacılık işlemlerinden kaynaklanan gelir ve gider kalemlerinin niteliği, boyutu ve tekrarlanma oranının açıklanması Banka’nın dönem içindeki performansının anlaşılması için gerekli ise, bu kalemleri</w:t>
      </w:r>
      <w:r w:rsidR="0054509F" w:rsidRPr="005269EC">
        <w:rPr>
          <w:spacing w:val="-6"/>
        </w:rPr>
        <w:t xml:space="preserve">n niteliği ve tutarı: </w:t>
      </w:r>
    </w:p>
    <w:p w14:paraId="564A46F0" w14:textId="77777777" w:rsidR="00B843E3" w:rsidRPr="005269EC" w:rsidRDefault="00B843E3" w:rsidP="0035500B">
      <w:pPr>
        <w:autoSpaceDE w:val="0"/>
        <w:autoSpaceDN w:val="0"/>
        <w:adjustRightInd w:val="0"/>
        <w:ind w:hanging="567"/>
        <w:jc w:val="both"/>
        <w:rPr>
          <w:spacing w:val="-6"/>
        </w:rPr>
      </w:pPr>
    </w:p>
    <w:p w14:paraId="577AB431" w14:textId="077A549F" w:rsidR="00033391" w:rsidRPr="005269EC" w:rsidRDefault="008F10D4" w:rsidP="0035500B">
      <w:pPr>
        <w:autoSpaceDE w:val="0"/>
        <w:autoSpaceDN w:val="0"/>
        <w:adjustRightInd w:val="0"/>
        <w:ind w:hanging="567"/>
        <w:jc w:val="both"/>
      </w:pPr>
      <w:r w:rsidRPr="005269EC">
        <w:rPr>
          <w:spacing w:val="-6"/>
        </w:rPr>
        <w:t xml:space="preserve">             </w:t>
      </w:r>
      <w:r w:rsidR="00EA6E92" w:rsidRPr="005269EC">
        <w:t>30 Eylül</w:t>
      </w:r>
      <w:r w:rsidR="00EC1841" w:rsidRPr="005269EC">
        <w:t xml:space="preserve"> 2020</w:t>
      </w:r>
      <w:r w:rsidR="00E613EA" w:rsidRPr="005269EC">
        <w:t xml:space="preserve"> </w:t>
      </w:r>
      <w:r w:rsidR="00E253C8" w:rsidRPr="005269EC">
        <w:rPr>
          <w:spacing w:val="-6"/>
        </w:rPr>
        <w:t xml:space="preserve">tarihi </w:t>
      </w:r>
      <w:r w:rsidR="00CF4F17" w:rsidRPr="005269EC">
        <w:rPr>
          <w:spacing w:val="-6"/>
        </w:rPr>
        <w:t>itibarıyla</w:t>
      </w:r>
      <w:r w:rsidR="00E253C8" w:rsidRPr="005269EC">
        <w:rPr>
          <w:spacing w:val="-6"/>
        </w:rPr>
        <w:t xml:space="preserve"> sona eren hesap dönemi içinde gelir kalemleri içerisinde net kar p</w:t>
      </w:r>
      <w:r w:rsidR="0054509F" w:rsidRPr="005269EC">
        <w:rPr>
          <w:spacing w:val="-6"/>
        </w:rPr>
        <w:t xml:space="preserve">ayı geliri </w:t>
      </w:r>
      <w:r w:rsidR="005269EC" w:rsidRPr="005269EC">
        <w:rPr>
          <w:spacing w:val="-6"/>
        </w:rPr>
        <w:t>4,415</w:t>
      </w:r>
      <w:r w:rsidR="00FB4887" w:rsidRPr="005269EC">
        <w:rPr>
          <w:spacing w:val="-6"/>
        </w:rPr>
        <w:t>,</w:t>
      </w:r>
      <w:r w:rsidR="005269EC" w:rsidRPr="005269EC">
        <w:rPr>
          <w:spacing w:val="-6"/>
        </w:rPr>
        <w:t>628</w:t>
      </w:r>
      <w:r w:rsidRPr="005269EC">
        <w:rPr>
          <w:spacing w:val="-6"/>
        </w:rPr>
        <w:t xml:space="preserve"> TL </w:t>
      </w:r>
      <w:r w:rsidR="00E86FFE" w:rsidRPr="005269EC">
        <w:rPr>
          <w:spacing w:val="-6"/>
        </w:rPr>
        <w:t xml:space="preserve"> </w:t>
      </w:r>
      <w:r w:rsidRPr="005269EC">
        <w:rPr>
          <w:spacing w:val="-6"/>
        </w:rPr>
        <w:t xml:space="preserve">          </w:t>
      </w:r>
      <w:proofErr w:type="gramStart"/>
      <w:r w:rsidRPr="005269EC">
        <w:rPr>
          <w:spacing w:val="-6"/>
        </w:rPr>
        <w:t xml:space="preserve">   (</w:t>
      </w:r>
      <w:proofErr w:type="gramEnd"/>
      <w:r w:rsidR="00051E2A" w:rsidRPr="005269EC">
        <w:rPr>
          <w:spacing w:val="-4"/>
        </w:rPr>
        <w:t>1 Ocak-</w:t>
      </w:r>
      <w:r w:rsidR="00EA6E92" w:rsidRPr="005269EC">
        <w:t>30 Eylül</w:t>
      </w:r>
      <w:r w:rsidR="00EC1841" w:rsidRPr="005269EC">
        <w:t xml:space="preserve"> 2019</w:t>
      </w:r>
      <w:r w:rsidR="00E613EA" w:rsidRPr="005269EC">
        <w:t xml:space="preserve"> </w:t>
      </w:r>
      <w:r w:rsidR="00E613EA" w:rsidRPr="005269EC">
        <w:rPr>
          <w:spacing w:val="-6"/>
        </w:rPr>
        <w:t>-</w:t>
      </w:r>
      <w:r w:rsidR="00E253C8" w:rsidRPr="005269EC">
        <w:rPr>
          <w:spacing w:val="-6"/>
        </w:rPr>
        <w:t xml:space="preserve"> </w:t>
      </w:r>
      <w:r w:rsidR="00E60709" w:rsidRPr="005269EC">
        <w:rPr>
          <w:spacing w:val="-6"/>
        </w:rPr>
        <w:t>2</w:t>
      </w:r>
      <w:r w:rsidR="00EC1841" w:rsidRPr="005269EC">
        <w:rPr>
          <w:spacing w:val="-6"/>
        </w:rPr>
        <w:t>,</w:t>
      </w:r>
      <w:r w:rsidR="00E60709" w:rsidRPr="005269EC">
        <w:rPr>
          <w:spacing w:val="-6"/>
        </w:rPr>
        <w:t>538</w:t>
      </w:r>
      <w:r w:rsidR="00051E2A" w:rsidRPr="005269EC">
        <w:t>,</w:t>
      </w:r>
      <w:r w:rsidR="00E60709" w:rsidRPr="005269EC">
        <w:t>33</w:t>
      </w:r>
      <w:r w:rsidR="00EC1841" w:rsidRPr="005269EC">
        <w:t>8</w:t>
      </w:r>
      <w:r w:rsidR="004C32E3" w:rsidRPr="005269EC">
        <w:t xml:space="preserve"> TL</w:t>
      </w:r>
      <w:r w:rsidR="00E253C8" w:rsidRPr="005269EC">
        <w:rPr>
          <w:spacing w:val="-6"/>
        </w:rPr>
        <w:t>). Net ücret ve komisyo</w:t>
      </w:r>
      <w:r w:rsidR="0054509F" w:rsidRPr="005269EC">
        <w:rPr>
          <w:spacing w:val="-6"/>
        </w:rPr>
        <w:t xml:space="preserve">n gelirleri </w:t>
      </w:r>
      <w:r w:rsidR="005269EC" w:rsidRPr="005269EC">
        <w:rPr>
          <w:spacing w:val="-6"/>
        </w:rPr>
        <w:t>255</w:t>
      </w:r>
      <w:r w:rsidR="00FB4887" w:rsidRPr="005269EC">
        <w:rPr>
          <w:spacing w:val="-6"/>
        </w:rPr>
        <w:t>,</w:t>
      </w:r>
      <w:r w:rsidR="005269EC" w:rsidRPr="005269EC">
        <w:rPr>
          <w:spacing w:val="-6"/>
        </w:rPr>
        <w:t>629</w:t>
      </w:r>
      <w:r w:rsidR="006A694F" w:rsidRPr="005269EC">
        <w:rPr>
          <w:spacing w:val="-6"/>
        </w:rPr>
        <w:t xml:space="preserve"> TL</w:t>
      </w:r>
      <w:r w:rsidR="0035500B" w:rsidRPr="005269EC">
        <w:rPr>
          <w:spacing w:val="-6"/>
        </w:rPr>
        <w:t xml:space="preserve"> (</w:t>
      </w:r>
      <w:r w:rsidR="00051E2A" w:rsidRPr="005269EC">
        <w:rPr>
          <w:spacing w:val="-4"/>
        </w:rPr>
        <w:t>1 Ocak-</w:t>
      </w:r>
      <w:r w:rsidR="00EA6E92" w:rsidRPr="005269EC">
        <w:t>30 Eylül</w:t>
      </w:r>
      <w:r w:rsidR="00EC1841" w:rsidRPr="005269EC">
        <w:t xml:space="preserve"> </w:t>
      </w:r>
      <w:proofErr w:type="gramStart"/>
      <w:r w:rsidR="00EC1841" w:rsidRPr="005269EC">
        <w:t>2019</w:t>
      </w:r>
      <w:r w:rsidR="00051E2A" w:rsidRPr="005269EC">
        <w:rPr>
          <w:spacing w:val="-6"/>
        </w:rPr>
        <w:t xml:space="preserve"> </w:t>
      </w:r>
      <w:r w:rsidR="00E253C8" w:rsidRPr="005269EC">
        <w:rPr>
          <w:spacing w:val="-6"/>
        </w:rPr>
        <w:t xml:space="preserve"> –</w:t>
      </w:r>
      <w:proofErr w:type="gramEnd"/>
      <w:r w:rsidR="00E253C8" w:rsidRPr="005269EC">
        <w:rPr>
          <w:spacing w:val="-6"/>
        </w:rPr>
        <w:t xml:space="preserve"> </w:t>
      </w:r>
      <w:r w:rsidR="00E60709" w:rsidRPr="005269EC">
        <w:t>3</w:t>
      </w:r>
      <w:r w:rsidR="005269EC" w:rsidRPr="005269EC">
        <w:t>3</w:t>
      </w:r>
      <w:r w:rsidR="00EC1841" w:rsidRPr="005269EC">
        <w:t>9</w:t>
      </w:r>
      <w:r w:rsidR="00051E2A" w:rsidRPr="005269EC">
        <w:t>,</w:t>
      </w:r>
      <w:r w:rsidR="00E60709" w:rsidRPr="005269EC">
        <w:t>638</w:t>
      </w:r>
      <w:r w:rsidR="00F942B9" w:rsidRPr="005269EC">
        <w:rPr>
          <w:spacing w:val="-6"/>
        </w:rPr>
        <w:t xml:space="preserve"> </w:t>
      </w:r>
      <w:r w:rsidR="006A694F" w:rsidRPr="005269EC">
        <w:rPr>
          <w:spacing w:val="-6"/>
        </w:rPr>
        <w:t>TL</w:t>
      </w:r>
      <w:r w:rsidR="00E253C8" w:rsidRPr="005269EC">
        <w:rPr>
          <w:spacing w:val="-6"/>
        </w:rPr>
        <w:t>) ile yer almaktadır.</w:t>
      </w:r>
    </w:p>
    <w:p w14:paraId="195F9784" w14:textId="77777777" w:rsidR="00CD56E0" w:rsidRPr="005269EC" w:rsidRDefault="00CD56E0">
      <w:pPr>
        <w:pStyle w:val="BodyTextIndent2"/>
        <w:jc w:val="left"/>
        <w:rPr>
          <w:rFonts w:ascii="Times New Roman" w:eastAsia="Arial Unicode MS" w:hAnsi="Times New Roman"/>
          <w:b w:val="0"/>
          <w:color w:val="auto"/>
          <w:sz w:val="16"/>
          <w:szCs w:val="16"/>
        </w:rPr>
      </w:pPr>
    </w:p>
    <w:p w14:paraId="03446305" w14:textId="77777777" w:rsidR="00833C66" w:rsidRPr="005269EC" w:rsidRDefault="0035500B" w:rsidP="0035500B">
      <w:pPr>
        <w:autoSpaceDE w:val="0"/>
        <w:autoSpaceDN w:val="0"/>
        <w:adjustRightInd w:val="0"/>
        <w:ind w:hanging="567"/>
        <w:jc w:val="both"/>
        <w:rPr>
          <w:spacing w:val="-6"/>
        </w:rPr>
      </w:pPr>
      <w:r w:rsidRPr="005269EC">
        <w:rPr>
          <w:b/>
        </w:rPr>
        <w:t>4.12.2</w:t>
      </w:r>
      <w:r w:rsidRPr="005269EC">
        <w:tab/>
      </w:r>
      <w:r w:rsidR="00E253C8" w:rsidRPr="005269EC">
        <w:rPr>
          <w:spacing w:val="-6"/>
        </w:rPr>
        <w:t xml:space="preserve">Finansal tablo kalemlerine ilişkin olarak yapılan bir tahmindeki değişikliğin </w:t>
      </w:r>
      <w:proofErr w:type="gramStart"/>
      <w:r w:rsidR="00E253C8" w:rsidRPr="005269EC">
        <w:rPr>
          <w:spacing w:val="-6"/>
        </w:rPr>
        <w:t>kar</w:t>
      </w:r>
      <w:proofErr w:type="gramEnd"/>
      <w:r w:rsidR="00E253C8" w:rsidRPr="005269EC">
        <w:rPr>
          <w:spacing w:val="-6"/>
        </w:rPr>
        <w:t xml:space="preserve"> zarara etkisi, daha sonraki dönemleri de etkilemesi olasılığı varsa, o dönemleri de kapsayacak ş</w:t>
      </w:r>
      <w:r w:rsidR="0054509F" w:rsidRPr="005269EC">
        <w:rPr>
          <w:spacing w:val="-6"/>
        </w:rPr>
        <w:t xml:space="preserve">ekilde etkisi: </w:t>
      </w:r>
    </w:p>
    <w:p w14:paraId="719775E7" w14:textId="77777777" w:rsidR="00833C66" w:rsidRPr="005269EC" w:rsidRDefault="00833C66" w:rsidP="00833C66">
      <w:pPr>
        <w:autoSpaceDE w:val="0"/>
        <w:autoSpaceDN w:val="0"/>
        <w:adjustRightInd w:val="0"/>
        <w:jc w:val="both"/>
        <w:rPr>
          <w:spacing w:val="-6"/>
          <w:sz w:val="16"/>
          <w:szCs w:val="16"/>
        </w:rPr>
      </w:pPr>
    </w:p>
    <w:p w14:paraId="5A931CE0" w14:textId="0F5C017B" w:rsidR="00E73302" w:rsidRPr="005269EC" w:rsidRDefault="0054509F" w:rsidP="00833C66">
      <w:pPr>
        <w:autoSpaceDE w:val="0"/>
        <w:autoSpaceDN w:val="0"/>
        <w:adjustRightInd w:val="0"/>
        <w:jc w:val="both"/>
        <w:rPr>
          <w:spacing w:val="-6"/>
        </w:rPr>
      </w:pPr>
      <w:r w:rsidRPr="005269EC">
        <w:rPr>
          <w:spacing w:val="-6"/>
        </w:rPr>
        <w:t>Yoktur (</w:t>
      </w:r>
      <w:r w:rsidR="00051E2A" w:rsidRPr="005269EC">
        <w:rPr>
          <w:spacing w:val="-4"/>
        </w:rPr>
        <w:t>1 Ocak-</w:t>
      </w:r>
      <w:r w:rsidR="00EA6E92" w:rsidRPr="005269EC">
        <w:t xml:space="preserve">30 Eylül </w:t>
      </w:r>
      <w:r w:rsidR="00EC1841" w:rsidRPr="005269EC">
        <w:t>20</w:t>
      </w:r>
      <w:r w:rsidR="00E60709" w:rsidRPr="005269EC">
        <w:t>19</w:t>
      </w:r>
      <w:r w:rsidR="003A0E58" w:rsidRPr="005269EC">
        <w:rPr>
          <w:spacing w:val="-6"/>
        </w:rPr>
        <w:t xml:space="preserve">– </w:t>
      </w:r>
      <w:r w:rsidR="006B423B" w:rsidRPr="005269EC">
        <w:rPr>
          <w:spacing w:val="-6"/>
        </w:rPr>
        <w:t>Y</w:t>
      </w:r>
      <w:r w:rsidR="009D12A6" w:rsidRPr="005269EC">
        <w:rPr>
          <w:spacing w:val="-6"/>
        </w:rPr>
        <w:t>oktur)</w:t>
      </w:r>
      <w:r w:rsidR="003A0E58" w:rsidRPr="005269EC">
        <w:rPr>
          <w:spacing w:val="-6"/>
        </w:rPr>
        <w:t>.</w:t>
      </w:r>
    </w:p>
    <w:p w14:paraId="58C794D1" w14:textId="77777777" w:rsidR="00E73302" w:rsidRPr="005269EC" w:rsidRDefault="00E73302">
      <w:pPr>
        <w:tabs>
          <w:tab w:val="num" w:pos="2880"/>
          <w:tab w:val="num" w:pos="3060"/>
        </w:tabs>
        <w:autoSpaceDE w:val="0"/>
        <w:autoSpaceDN w:val="0"/>
        <w:adjustRightInd w:val="0"/>
        <w:ind w:left="180"/>
        <w:rPr>
          <w:sz w:val="16"/>
          <w:szCs w:val="16"/>
        </w:rPr>
      </w:pPr>
    </w:p>
    <w:p w14:paraId="7BA4EECA" w14:textId="0C0AEEF8" w:rsidR="00833C66" w:rsidRPr="005269EC" w:rsidRDefault="009D12A6" w:rsidP="009D12A6">
      <w:pPr>
        <w:autoSpaceDE w:val="0"/>
        <w:autoSpaceDN w:val="0"/>
        <w:adjustRightInd w:val="0"/>
        <w:ind w:hanging="567"/>
      </w:pPr>
      <w:r w:rsidRPr="005269EC">
        <w:rPr>
          <w:b/>
        </w:rPr>
        <w:t>4.12.3</w:t>
      </w:r>
      <w:r w:rsidRPr="005269EC">
        <w:tab/>
      </w:r>
      <w:r w:rsidR="00E253C8" w:rsidRPr="005269EC">
        <w:t xml:space="preserve">Azınlık paylarına </w:t>
      </w:r>
      <w:r w:rsidR="003A0E58" w:rsidRPr="005269EC">
        <w:t xml:space="preserve">ait kar/zarar: </w:t>
      </w:r>
    </w:p>
    <w:p w14:paraId="1A7E596B" w14:textId="77777777" w:rsidR="000C3F6E" w:rsidRPr="005269EC" w:rsidRDefault="000C3F6E" w:rsidP="009D12A6">
      <w:pPr>
        <w:autoSpaceDE w:val="0"/>
        <w:autoSpaceDN w:val="0"/>
        <w:adjustRightInd w:val="0"/>
        <w:ind w:hanging="567"/>
      </w:pPr>
    </w:p>
    <w:p w14:paraId="4D012143" w14:textId="6EFAAB23" w:rsidR="00833C66" w:rsidRPr="00E60709" w:rsidRDefault="006B423B" w:rsidP="00BB37B6">
      <w:pPr>
        <w:autoSpaceDE w:val="0"/>
        <w:autoSpaceDN w:val="0"/>
        <w:adjustRightInd w:val="0"/>
      </w:pPr>
      <w:r w:rsidRPr="005269EC">
        <w:t>Y</w:t>
      </w:r>
      <w:r w:rsidR="0054509F" w:rsidRPr="005269EC">
        <w:t xml:space="preserve">oktur </w:t>
      </w:r>
      <w:r w:rsidR="00EA6E92" w:rsidRPr="005269EC">
        <w:t>30 Eylül</w:t>
      </w:r>
      <w:r w:rsidR="00EC1841" w:rsidRPr="005269EC">
        <w:t xml:space="preserve"> 20</w:t>
      </w:r>
      <w:r w:rsidR="00E60709" w:rsidRPr="005269EC">
        <w:t>19</w:t>
      </w:r>
      <w:r w:rsidR="00051E2A" w:rsidRPr="005269EC">
        <w:rPr>
          <w:spacing w:val="-6"/>
        </w:rPr>
        <w:t>– Yoktur</w:t>
      </w:r>
      <w:r w:rsidR="009D12A6" w:rsidRPr="005269EC">
        <w:t>)</w:t>
      </w:r>
      <w:r w:rsidR="003A0E58" w:rsidRPr="005269EC">
        <w:t>.</w:t>
      </w:r>
    </w:p>
    <w:p w14:paraId="3F65D7AA" w14:textId="77777777" w:rsidR="00033391" w:rsidRPr="00A752C1" w:rsidRDefault="001F7228" w:rsidP="009D12A6">
      <w:pPr>
        <w:autoSpaceDE w:val="0"/>
        <w:autoSpaceDN w:val="0"/>
        <w:adjustRightInd w:val="0"/>
        <w:ind w:hanging="567"/>
        <w:rPr>
          <w:b/>
          <w:bCs/>
          <w:iCs/>
          <w:color w:val="000000"/>
        </w:rPr>
      </w:pPr>
      <w:r w:rsidRPr="00270CE6">
        <w:rPr>
          <w:b/>
          <w:bCs/>
          <w:iCs/>
          <w:color w:val="000000"/>
          <w:highlight w:val="yellow"/>
        </w:rPr>
        <w:br w:type="page"/>
      </w:r>
      <w:r w:rsidR="009D12A6" w:rsidRPr="00A752C1">
        <w:rPr>
          <w:b/>
          <w:bCs/>
          <w:iCs/>
          <w:color w:val="000000"/>
        </w:rPr>
        <w:lastRenderedPageBreak/>
        <w:t>4.13</w:t>
      </w:r>
      <w:r w:rsidR="009D12A6" w:rsidRPr="00A752C1">
        <w:rPr>
          <w:b/>
          <w:bCs/>
          <w:iCs/>
          <w:color w:val="000000"/>
        </w:rPr>
        <w:tab/>
      </w:r>
      <w:r w:rsidR="00E253C8" w:rsidRPr="00A752C1">
        <w:rPr>
          <w:b/>
          <w:bCs/>
          <w:iCs/>
          <w:color w:val="000000"/>
        </w:rPr>
        <w:t xml:space="preserve">Gelir tablosunda yer alan diğer kalemlerin, gelir tablosu toplamının %10’unu aşması halinde bu kalemlerin en az %20’sini oluşturan alt hesaplar: </w:t>
      </w:r>
    </w:p>
    <w:p w14:paraId="410F6F45" w14:textId="77777777" w:rsidR="00033391" w:rsidRPr="00A752C1" w:rsidRDefault="00033391">
      <w:pPr>
        <w:tabs>
          <w:tab w:val="num" w:pos="1080"/>
        </w:tabs>
        <w:autoSpaceDE w:val="0"/>
        <w:autoSpaceDN w:val="0"/>
        <w:adjustRightInd w:val="0"/>
        <w:ind w:left="-360"/>
        <w:rPr>
          <w:b/>
          <w:bCs/>
          <w:iCs/>
          <w:color w:val="000000"/>
          <w:sz w:val="16"/>
          <w:szCs w:val="16"/>
        </w:rPr>
      </w:pPr>
    </w:p>
    <w:p w14:paraId="082C9418" w14:textId="096BB328" w:rsidR="00033391" w:rsidRPr="00AE2554" w:rsidRDefault="00EA6E92" w:rsidP="003A2295">
      <w:pPr>
        <w:jc w:val="both"/>
        <w:rPr>
          <w:bCs/>
          <w:color w:val="000000"/>
          <w:spacing w:val="-6"/>
        </w:rPr>
      </w:pPr>
      <w:r w:rsidRPr="00AE2554">
        <w:t>30 Eylül</w:t>
      </w:r>
      <w:r w:rsidR="00EC1841" w:rsidRPr="00AE2554">
        <w:t xml:space="preserve"> 2020</w:t>
      </w:r>
      <w:r w:rsidR="00E253C8" w:rsidRPr="00AE2554">
        <w:rPr>
          <w:bCs/>
          <w:color w:val="000000"/>
          <w:spacing w:val="-6"/>
        </w:rPr>
        <w:t xml:space="preserve"> tarihi</w:t>
      </w:r>
      <w:r w:rsidR="0054509F" w:rsidRPr="00AE2554">
        <w:rPr>
          <w:bCs/>
          <w:color w:val="000000"/>
          <w:spacing w:val="-6"/>
        </w:rPr>
        <w:t xml:space="preserve"> </w:t>
      </w:r>
      <w:r w:rsidR="00CF4F17" w:rsidRPr="00AE2554">
        <w:rPr>
          <w:bCs/>
          <w:color w:val="000000"/>
          <w:spacing w:val="-6"/>
        </w:rPr>
        <w:t>itibarıyla</w:t>
      </w:r>
      <w:r w:rsidR="009F1C4A" w:rsidRPr="00AE2554">
        <w:rPr>
          <w:bCs/>
          <w:color w:val="000000"/>
          <w:spacing w:val="-6"/>
        </w:rPr>
        <w:t xml:space="preserve"> </w:t>
      </w:r>
      <w:r w:rsidR="00A752C1" w:rsidRPr="00AE2554">
        <w:rPr>
          <w:bCs/>
          <w:color w:val="000000"/>
          <w:spacing w:val="-6"/>
        </w:rPr>
        <w:t>481</w:t>
      </w:r>
      <w:r w:rsidR="00FB4887" w:rsidRPr="00AE2554">
        <w:rPr>
          <w:bCs/>
          <w:color w:val="000000"/>
          <w:spacing w:val="-6"/>
        </w:rPr>
        <w:t>,</w:t>
      </w:r>
      <w:r w:rsidR="00A752C1" w:rsidRPr="00AE2554">
        <w:rPr>
          <w:bCs/>
          <w:color w:val="000000"/>
          <w:spacing w:val="-6"/>
        </w:rPr>
        <w:t>719</w:t>
      </w:r>
      <w:r w:rsidR="000D0E89" w:rsidRPr="00AE2554">
        <w:rPr>
          <w:bCs/>
          <w:color w:val="000000"/>
          <w:spacing w:val="-6"/>
        </w:rPr>
        <w:t xml:space="preserve"> </w:t>
      </w:r>
      <w:r w:rsidR="0054509F" w:rsidRPr="00AE2554">
        <w:rPr>
          <w:bCs/>
          <w:color w:val="000000"/>
          <w:spacing w:val="-6"/>
        </w:rPr>
        <w:t>TL (</w:t>
      </w:r>
      <w:r w:rsidR="00051E2A" w:rsidRPr="00AE2554">
        <w:rPr>
          <w:spacing w:val="-4"/>
        </w:rPr>
        <w:t>1 Ocak-</w:t>
      </w:r>
      <w:r w:rsidRPr="00AE2554">
        <w:t>30 Eylül</w:t>
      </w:r>
      <w:r w:rsidR="00662E0C" w:rsidRPr="00AE2554">
        <w:t xml:space="preserve"> 2019</w:t>
      </w:r>
      <w:r w:rsidR="00E253C8" w:rsidRPr="00AE2554">
        <w:rPr>
          <w:bCs/>
          <w:color w:val="000000"/>
          <w:spacing w:val="-6"/>
        </w:rPr>
        <w:t xml:space="preserve"> – </w:t>
      </w:r>
      <w:r w:rsidR="00E60709" w:rsidRPr="00AE2554">
        <w:rPr>
          <w:bCs/>
        </w:rPr>
        <w:t>458</w:t>
      </w:r>
      <w:r w:rsidR="00A201D9" w:rsidRPr="00AE2554">
        <w:rPr>
          <w:bCs/>
        </w:rPr>
        <w:t>,</w:t>
      </w:r>
      <w:r w:rsidR="00E60709" w:rsidRPr="00AE2554">
        <w:rPr>
          <w:bCs/>
        </w:rPr>
        <w:t>372</w:t>
      </w:r>
      <w:r w:rsidR="00F942B9" w:rsidRPr="00AE2554">
        <w:rPr>
          <w:bCs/>
          <w:color w:val="000000"/>
          <w:spacing w:val="-6"/>
        </w:rPr>
        <w:t xml:space="preserve"> </w:t>
      </w:r>
      <w:r w:rsidR="006A694F" w:rsidRPr="00AE2554">
        <w:rPr>
          <w:bCs/>
          <w:color w:val="000000"/>
          <w:spacing w:val="-6"/>
        </w:rPr>
        <w:t>TL</w:t>
      </w:r>
      <w:r w:rsidR="00E253C8" w:rsidRPr="00AE2554">
        <w:rPr>
          <w:bCs/>
          <w:color w:val="000000"/>
          <w:spacing w:val="-6"/>
        </w:rPr>
        <w:t>) tutarındaki diğer alınan ücret ve komi</w:t>
      </w:r>
      <w:r w:rsidR="009D12A6" w:rsidRPr="00AE2554">
        <w:rPr>
          <w:bCs/>
          <w:color w:val="000000"/>
          <w:spacing w:val="-6"/>
        </w:rPr>
        <w:t>syonların</w:t>
      </w:r>
      <w:r w:rsidR="00152DA8" w:rsidRPr="00AE2554">
        <w:rPr>
          <w:bCs/>
          <w:color w:val="000000"/>
          <w:spacing w:val="-6"/>
        </w:rPr>
        <w:t xml:space="preserve"> </w:t>
      </w:r>
      <w:r w:rsidR="00A752C1" w:rsidRPr="00AE2554">
        <w:rPr>
          <w:bCs/>
          <w:color w:val="000000"/>
          <w:spacing w:val="-6"/>
        </w:rPr>
        <w:t>100</w:t>
      </w:r>
      <w:r w:rsidR="00FB4887" w:rsidRPr="00AE2554">
        <w:rPr>
          <w:bCs/>
          <w:color w:val="000000"/>
          <w:spacing w:val="-6"/>
        </w:rPr>
        <w:t>,</w:t>
      </w:r>
      <w:r w:rsidR="00A752C1" w:rsidRPr="00AE2554">
        <w:rPr>
          <w:bCs/>
          <w:color w:val="000000"/>
          <w:spacing w:val="-6"/>
        </w:rPr>
        <w:t>879</w:t>
      </w:r>
      <w:r w:rsidR="000D0E89" w:rsidRPr="00AE2554">
        <w:rPr>
          <w:bCs/>
          <w:color w:val="000000"/>
          <w:spacing w:val="-6"/>
        </w:rPr>
        <w:t xml:space="preserve"> </w:t>
      </w:r>
      <w:r w:rsidR="0054509F" w:rsidRPr="00AE2554">
        <w:rPr>
          <w:bCs/>
          <w:color w:val="000000"/>
          <w:spacing w:val="-6"/>
        </w:rPr>
        <w:t>TL’si (</w:t>
      </w:r>
      <w:r w:rsidR="00051E2A" w:rsidRPr="00AE2554">
        <w:rPr>
          <w:spacing w:val="-4"/>
        </w:rPr>
        <w:t>1 Ocak-</w:t>
      </w:r>
      <w:r w:rsidRPr="00AE2554">
        <w:t>30 Eylül</w:t>
      </w:r>
      <w:r w:rsidR="00662E0C" w:rsidRPr="00AE2554">
        <w:t xml:space="preserve"> 2019</w:t>
      </w:r>
      <w:r w:rsidR="00E253C8" w:rsidRPr="00AE2554">
        <w:rPr>
          <w:bCs/>
          <w:color w:val="000000"/>
          <w:spacing w:val="-6"/>
        </w:rPr>
        <w:t xml:space="preserve"> – </w:t>
      </w:r>
      <w:r w:rsidR="00E60709" w:rsidRPr="00AE2554">
        <w:rPr>
          <w:bCs/>
        </w:rPr>
        <w:t>152</w:t>
      </w:r>
      <w:r w:rsidR="00662E0C" w:rsidRPr="00AE2554">
        <w:rPr>
          <w:bCs/>
        </w:rPr>
        <w:t>,</w:t>
      </w:r>
      <w:r w:rsidR="00E60709" w:rsidRPr="00AE2554">
        <w:rPr>
          <w:bCs/>
        </w:rPr>
        <w:t>377</w:t>
      </w:r>
      <w:r w:rsidR="000B5B8A" w:rsidRPr="00AE2554">
        <w:rPr>
          <w:bCs/>
          <w:color w:val="000000"/>
          <w:spacing w:val="-6"/>
        </w:rPr>
        <w:t xml:space="preserve"> </w:t>
      </w:r>
      <w:r w:rsidR="006A694F" w:rsidRPr="00AE2554">
        <w:rPr>
          <w:bCs/>
          <w:color w:val="000000"/>
          <w:spacing w:val="-6"/>
        </w:rPr>
        <w:t>TL</w:t>
      </w:r>
      <w:r w:rsidR="00E253C8" w:rsidRPr="00AE2554">
        <w:rPr>
          <w:bCs/>
          <w:color w:val="000000"/>
          <w:spacing w:val="-6"/>
        </w:rPr>
        <w:t>) kredi kartı ücr</w:t>
      </w:r>
      <w:r w:rsidR="006A694F" w:rsidRPr="00AE2554">
        <w:rPr>
          <w:bCs/>
          <w:color w:val="000000"/>
          <w:spacing w:val="-6"/>
        </w:rPr>
        <w:t>et ve komisyonlarından ve</w:t>
      </w:r>
      <w:r w:rsidR="00152DA8" w:rsidRPr="00AE2554">
        <w:rPr>
          <w:bCs/>
          <w:color w:val="000000"/>
          <w:spacing w:val="-6"/>
        </w:rPr>
        <w:t xml:space="preserve"> </w:t>
      </w:r>
      <w:r w:rsidR="00A752C1" w:rsidRPr="00AE2554">
        <w:rPr>
          <w:bCs/>
          <w:color w:val="000000"/>
          <w:spacing w:val="-6"/>
        </w:rPr>
        <w:t>83</w:t>
      </w:r>
      <w:r w:rsidR="00FB4887" w:rsidRPr="00AE2554">
        <w:rPr>
          <w:bCs/>
          <w:color w:val="000000"/>
          <w:spacing w:val="-6"/>
        </w:rPr>
        <w:t>,</w:t>
      </w:r>
      <w:r w:rsidR="00A752C1" w:rsidRPr="00AE2554">
        <w:rPr>
          <w:bCs/>
          <w:color w:val="000000"/>
          <w:spacing w:val="-6"/>
        </w:rPr>
        <w:t>950</w:t>
      </w:r>
      <w:r w:rsidR="00E86FFE" w:rsidRPr="00AE2554">
        <w:rPr>
          <w:bCs/>
          <w:color w:val="000000"/>
          <w:spacing w:val="-6"/>
        </w:rPr>
        <w:t xml:space="preserve"> </w:t>
      </w:r>
      <w:r w:rsidR="00E253C8" w:rsidRPr="00AE2554">
        <w:rPr>
          <w:bCs/>
          <w:color w:val="000000"/>
          <w:spacing w:val="-6"/>
        </w:rPr>
        <w:t>TL’si üye işyeri POS i</w:t>
      </w:r>
      <w:r w:rsidR="0054509F" w:rsidRPr="00AE2554">
        <w:rPr>
          <w:bCs/>
          <w:color w:val="000000"/>
          <w:spacing w:val="-6"/>
        </w:rPr>
        <w:t>şlem komisyonlarından (</w:t>
      </w:r>
      <w:r w:rsidR="00A201D9" w:rsidRPr="00AE2554">
        <w:rPr>
          <w:spacing w:val="-4"/>
        </w:rPr>
        <w:t>1 Ocak-</w:t>
      </w:r>
      <w:r w:rsidRPr="00AE2554">
        <w:t>30 Eylül</w:t>
      </w:r>
      <w:r w:rsidR="00A201D9" w:rsidRPr="00AE2554">
        <w:t xml:space="preserve"> 2019</w:t>
      </w:r>
      <w:r w:rsidR="007E425D" w:rsidRPr="00AE2554">
        <w:rPr>
          <w:bCs/>
          <w:color w:val="000000"/>
          <w:spacing w:val="-6"/>
        </w:rPr>
        <w:t xml:space="preserve">– </w:t>
      </w:r>
      <w:r w:rsidR="00E60709" w:rsidRPr="00AE2554">
        <w:rPr>
          <w:bCs/>
        </w:rPr>
        <w:t>112</w:t>
      </w:r>
      <w:r w:rsidR="00A201D9" w:rsidRPr="00AE2554">
        <w:rPr>
          <w:bCs/>
        </w:rPr>
        <w:t>,</w:t>
      </w:r>
      <w:r w:rsidR="00E60709" w:rsidRPr="00AE2554">
        <w:rPr>
          <w:bCs/>
        </w:rPr>
        <w:t>130</w:t>
      </w:r>
      <w:r w:rsidR="000B5B8A" w:rsidRPr="00AE2554">
        <w:rPr>
          <w:bCs/>
          <w:color w:val="000000"/>
          <w:spacing w:val="-6"/>
        </w:rPr>
        <w:t xml:space="preserve"> </w:t>
      </w:r>
      <w:r w:rsidR="006A694F" w:rsidRPr="00AE2554">
        <w:rPr>
          <w:bCs/>
          <w:color w:val="000000"/>
          <w:spacing w:val="-6"/>
        </w:rPr>
        <w:t>TL</w:t>
      </w:r>
      <w:r w:rsidR="00E253C8" w:rsidRPr="00AE2554">
        <w:rPr>
          <w:bCs/>
          <w:color w:val="000000"/>
          <w:spacing w:val="-6"/>
        </w:rPr>
        <w:t>) oluşmaktadır.</w:t>
      </w:r>
    </w:p>
    <w:p w14:paraId="313A1105" w14:textId="77777777" w:rsidR="00033391" w:rsidRPr="00AE2554" w:rsidRDefault="00033391" w:rsidP="002D130F">
      <w:pPr>
        <w:ind w:left="567"/>
        <w:jc w:val="both"/>
        <w:rPr>
          <w:bCs/>
          <w:color w:val="000000"/>
          <w:sz w:val="16"/>
          <w:szCs w:val="16"/>
        </w:rPr>
      </w:pPr>
    </w:p>
    <w:p w14:paraId="1BABBE6A" w14:textId="22237869" w:rsidR="00033391" w:rsidRPr="00AE2554" w:rsidRDefault="00EA6E92" w:rsidP="003A2295">
      <w:pPr>
        <w:jc w:val="both"/>
        <w:rPr>
          <w:bCs/>
          <w:color w:val="000000"/>
        </w:rPr>
      </w:pPr>
      <w:r w:rsidRPr="00AE2554">
        <w:t>30 Eylül</w:t>
      </w:r>
      <w:r w:rsidR="00EC1841" w:rsidRPr="00AE2554">
        <w:t xml:space="preserve"> 2020</w:t>
      </w:r>
      <w:r w:rsidR="00F972CB" w:rsidRPr="00AE2554">
        <w:rPr>
          <w:bCs/>
          <w:color w:val="000000"/>
          <w:spacing w:val="-6"/>
        </w:rPr>
        <w:t xml:space="preserve"> </w:t>
      </w:r>
      <w:r w:rsidR="00E253C8" w:rsidRPr="00AE2554">
        <w:rPr>
          <w:bCs/>
          <w:color w:val="000000"/>
        </w:rPr>
        <w:t>tarihi</w:t>
      </w:r>
      <w:r w:rsidR="0054509F" w:rsidRPr="00AE2554">
        <w:rPr>
          <w:bCs/>
          <w:color w:val="000000"/>
        </w:rPr>
        <w:t xml:space="preserve"> </w:t>
      </w:r>
      <w:r w:rsidR="00CF4F17" w:rsidRPr="00AE2554">
        <w:rPr>
          <w:bCs/>
          <w:color w:val="000000"/>
        </w:rPr>
        <w:t>itibarıyla</w:t>
      </w:r>
      <w:r w:rsidR="00152DA8" w:rsidRPr="00AE2554">
        <w:rPr>
          <w:bCs/>
          <w:color w:val="000000"/>
        </w:rPr>
        <w:t xml:space="preserve"> </w:t>
      </w:r>
      <w:r w:rsidR="00A752C1" w:rsidRPr="00AE2554">
        <w:rPr>
          <w:bCs/>
          <w:color w:val="000000"/>
        </w:rPr>
        <w:t>328</w:t>
      </w:r>
      <w:r w:rsidR="008D6A34" w:rsidRPr="00AE2554">
        <w:rPr>
          <w:bCs/>
          <w:color w:val="000000"/>
        </w:rPr>
        <w:t>,</w:t>
      </w:r>
      <w:r w:rsidR="00A752C1" w:rsidRPr="00AE2554">
        <w:rPr>
          <w:bCs/>
          <w:color w:val="000000"/>
        </w:rPr>
        <w:t>896</w:t>
      </w:r>
      <w:r w:rsidR="000D0E89" w:rsidRPr="00AE2554">
        <w:rPr>
          <w:bCs/>
          <w:color w:val="000000"/>
        </w:rPr>
        <w:t xml:space="preserve"> </w:t>
      </w:r>
      <w:r w:rsidR="0054509F" w:rsidRPr="00AE2554">
        <w:rPr>
          <w:bCs/>
          <w:color w:val="000000"/>
        </w:rPr>
        <w:t xml:space="preserve">TL </w:t>
      </w:r>
      <w:r w:rsidR="00A201D9" w:rsidRPr="00AE2554">
        <w:rPr>
          <w:spacing w:val="-6"/>
        </w:rPr>
        <w:t>(</w:t>
      </w:r>
      <w:r w:rsidR="00A201D9" w:rsidRPr="00AE2554">
        <w:rPr>
          <w:spacing w:val="-4"/>
        </w:rPr>
        <w:t>1 Ocak-</w:t>
      </w:r>
      <w:r w:rsidRPr="00AE2554">
        <w:t>30 Eylül</w:t>
      </w:r>
      <w:r w:rsidR="00662E0C" w:rsidRPr="00AE2554">
        <w:t xml:space="preserve"> 20</w:t>
      </w:r>
      <w:r w:rsidR="00E60709" w:rsidRPr="00AE2554">
        <w:t>19</w:t>
      </w:r>
      <w:r w:rsidR="00E253C8" w:rsidRPr="00AE2554">
        <w:rPr>
          <w:bCs/>
          <w:color w:val="000000"/>
        </w:rPr>
        <w:t xml:space="preserve"> – </w:t>
      </w:r>
      <w:r w:rsidR="00E60709" w:rsidRPr="00AE2554">
        <w:rPr>
          <w:bCs/>
          <w:color w:val="000000"/>
        </w:rPr>
        <w:t>226</w:t>
      </w:r>
      <w:r w:rsidR="00A201D9" w:rsidRPr="00AE2554">
        <w:rPr>
          <w:bCs/>
        </w:rPr>
        <w:t>,</w:t>
      </w:r>
      <w:r w:rsidR="00E60709" w:rsidRPr="00AE2554">
        <w:rPr>
          <w:bCs/>
        </w:rPr>
        <w:t>078</w:t>
      </w:r>
      <w:r w:rsidR="00C4702F" w:rsidRPr="00AE2554">
        <w:rPr>
          <w:bCs/>
        </w:rPr>
        <w:t xml:space="preserve"> </w:t>
      </w:r>
      <w:r w:rsidR="006A694F" w:rsidRPr="00AE2554">
        <w:rPr>
          <w:bCs/>
          <w:color w:val="000000"/>
        </w:rPr>
        <w:t>TL</w:t>
      </w:r>
      <w:r w:rsidR="00E253C8" w:rsidRPr="00AE2554">
        <w:rPr>
          <w:bCs/>
          <w:color w:val="000000"/>
        </w:rPr>
        <w:t>) tutarındaki diğer verilen ücret ve komisy</w:t>
      </w:r>
      <w:r w:rsidR="0054509F" w:rsidRPr="00AE2554">
        <w:rPr>
          <w:bCs/>
          <w:color w:val="000000"/>
        </w:rPr>
        <w:t xml:space="preserve">onların; </w:t>
      </w:r>
      <w:r w:rsidR="00A752C1" w:rsidRPr="00AE2554">
        <w:rPr>
          <w:bCs/>
          <w:color w:val="000000"/>
        </w:rPr>
        <w:t>77</w:t>
      </w:r>
      <w:r w:rsidR="00590CFA" w:rsidRPr="00AE2554">
        <w:rPr>
          <w:bCs/>
          <w:color w:val="000000"/>
        </w:rPr>
        <w:t>,</w:t>
      </w:r>
      <w:r w:rsidR="00A752C1" w:rsidRPr="00AE2554">
        <w:rPr>
          <w:bCs/>
          <w:color w:val="000000"/>
        </w:rPr>
        <w:t>127</w:t>
      </w:r>
      <w:r w:rsidR="000D0E89" w:rsidRPr="00AE2554">
        <w:rPr>
          <w:bCs/>
          <w:color w:val="000000"/>
        </w:rPr>
        <w:t xml:space="preserve"> </w:t>
      </w:r>
      <w:r w:rsidR="0054509F" w:rsidRPr="00AE2554">
        <w:rPr>
          <w:bCs/>
          <w:color w:val="000000"/>
        </w:rPr>
        <w:t xml:space="preserve">TL’si </w:t>
      </w:r>
      <w:r w:rsidR="00A201D9" w:rsidRPr="00AE2554">
        <w:rPr>
          <w:spacing w:val="-6"/>
        </w:rPr>
        <w:t>(</w:t>
      </w:r>
      <w:r w:rsidR="00A201D9" w:rsidRPr="00AE2554">
        <w:rPr>
          <w:spacing w:val="-4"/>
        </w:rPr>
        <w:t>1 Ocak-</w:t>
      </w:r>
      <w:r w:rsidRPr="00AE2554">
        <w:t>30 Eylül</w:t>
      </w:r>
      <w:r w:rsidR="00662E0C" w:rsidRPr="00AE2554">
        <w:t xml:space="preserve"> 2019</w:t>
      </w:r>
      <w:r w:rsidR="00E253C8" w:rsidRPr="00AE2554">
        <w:rPr>
          <w:bCs/>
          <w:color w:val="000000"/>
        </w:rPr>
        <w:t xml:space="preserve"> – </w:t>
      </w:r>
      <w:r w:rsidR="00E60709" w:rsidRPr="00AE2554">
        <w:rPr>
          <w:bCs/>
          <w:color w:val="000000"/>
        </w:rPr>
        <w:t>133</w:t>
      </w:r>
      <w:r w:rsidR="00662E0C" w:rsidRPr="00AE2554">
        <w:rPr>
          <w:bCs/>
          <w:color w:val="000000"/>
        </w:rPr>
        <w:t>,2</w:t>
      </w:r>
      <w:r w:rsidR="00E60709" w:rsidRPr="00AE2554">
        <w:rPr>
          <w:bCs/>
          <w:color w:val="000000"/>
        </w:rPr>
        <w:t>93</w:t>
      </w:r>
      <w:r w:rsidR="000B5B8A" w:rsidRPr="00AE2554">
        <w:rPr>
          <w:bCs/>
          <w:color w:val="000000"/>
        </w:rPr>
        <w:t xml:space="preserve"> </w:t>
      </w:r>
      <w:r w:rsidR="006A694F" w:rsidRPr="00AE2554">
        <w:rPr>
          <w:bCs/>
          <w:color w:val="000000"/>
        </w:rPr>
        <w:t>TL</w:t>
      </w:r>
      <w:r w:rsidR="00E253C8" w:rsidRPr="00AE2554">
        <w:rPr>
          <w:bCs/>
          <w:color w:val="000000"/>
        </w:rPr>
        <w:t>) POS komisyonları ve kurulum gider</w:t>
      </w:r>
      <w:r w:rsidR="0054509F" w:rsidRPr="00AE2554">
        <w:rPr>
          <w:bCs/>
          <w:color w:val="000000"/>
        </w:rPr>
        <w:t xml:space="preserve">lerinden, </w:t>
      </w:r>
      <w:r w:rsidR="00E613EA" w:rsidRPr="00AE2554">
        <w:rPr>
          <w:bCs/>
          <w:color w:val="000000"/>
        </w:rPr>
        <w:t>15</w:t>
      </w:r>
      <w:r w:rsidR="008D6A34" w:rsidRPr="00AE2554">
        <w:rPr>
          <w:bCs/>
          <w:color w:val="000000"/>
        </w:rPr>
        <w:t>,</w:t>
      </w:r>
      <w:r w:rsidR="00E613EA" w:rsidRPr="00AE2554">
        <w:rPr>
          <w:bCs/>
          <w:color w:val="000000"/>
        </w:rPr>
        <w:t>852</w:t>
      </w:r>
      <w:r w:rsidR="000D0E89" w:rsidRPr="00AE2554">
        <w:rPr>
          <w:bCs/>
          <w:color w:val="000000"/>
        </w:rPr>
        <w:t xml:space="preserve"> </w:t>
      </w:r>
      <w:r w:rsidR="0054509F" w:rsidRPr="00AE2554">
        <w:rPr>
          <w:bCs/>
          <w:color w:val="000000"/>
        </w:rPr>
        <w:t>TL’si (</w:t>
      </w:r>
      <w:r w:rsidR="00A201D9" w:rsidRPr="00AE2554">
        <w:rPr>
          <w:spacing w:val="-4"/>
        </w:rPr>
        <w:t>1 Ocak-</w:t>
      </w:r>
      <w:r w:rsidRPr="00AE2554">
        <w:t>30 Eylül</w:t>
      </w:r>
      <w:r w:rsidR="00662E0C" w:rsidRPr="00AE2554">
        <w:t xml:space="preserve"> 2019</w:t>
      </w:r>
      <w:r w:rsidR="00E253C8" w:rsidRPr="00AE2554">
        <w:rPr>
          <w:bCs/>
          <w:color w:val="000000"/>
        </w:rPr>
        <w:t xml:space="preserve"> – </w:t>
      </w:r>
      <w:r w:rsidR="00662E0C" w:rsidRPr="00AE2554">
        <w:rPr>
          <w:bCs/>
          <w:color w:val="000000"/>
        </w:rPr>
        <w:t>1</w:t>
      </w:r>
      <w:r w:rsidR="00E60709" w:rsidRPr="00AE2554">
        <w:rPr>
          <w:bCs/>
          <w:color w:val="000000"/>
        </w:rPr>
        <w:t>8</w:t>
      </w:r>
      <w:r w:rsidR="00662E0C" w:rsidRPr="00AE2554">
        <w:rPr>
          <w:bCs/>
          <w:color w:val="000000"/>
        </w:rPr>
        <w:t>,</w:t>
      </w:r>
      <w:r w:rsidR="00E60709" w:rsidRPr="00AE2554">
        <w:rPr>
          <w:bCs/>
          <w:color w:val="000000"/>
        </w:rPr>
        <w:t>946</w:t>
      </w:r>
      <w:r w:rsidR="000B5B8A" w:rsidRPr="00AE2554">
        <w:rPr>
          <w:bCs/>
          <w:color w:val="000000"/>
        </w:rPr>
        <w:t xml:space="preserve"> </w:t>
      </w:r>
      <w:r w:rsidR="006A694F" w:rsidRPr="00AE2554">
        <w:rPr>
          <w:bCs/>
          <w:color w:val="000000"/>
        </w:rPr>
        <w:t>TL</w:t>
      </w:r>
      <w:r w:rsidR="00E253C8" w:rsidRPr="00AE2554">
        <w:rPr>
          <w:bCs/>
          <w:color w:val="000000"/>
        </w:rPr>
        <w:t xml:space="preserve">) kredi kartları için ödenen ücret ve </w:t>
      </w:r>
      <w:proofErr w:type="gramStart"/>
      <w:r w:rsidR="00E253C8" w:rsidRPr="00AE2554">
        <w:rPr>
          <w:bCs/>
          <w:color w:val="000000"/>
        </w:rPr>
        <w:t>komisyonlardan  oluşmaktadır</w:t>
      </w:r>
      <w:proofErr w:type="gramEnd"/>
      <w:r w:rsidR="00E253C8" w:rsidRPr="00AE2554">
        <w:rPr>
          <w:bCs/>
          <w:iCs/>
          <w:color w:val="000000"/>
        </w:rPr>
        <w:t>.</w:t>
      </w:r>
    </w:p>
    <w:p w14:paraId="26B4BAEE" w14:textId="77777777" w:rsidR="00CB3165" w:rsidRPr="00AE2554" w:rsidRDefault="00CB3165" w:rsidP="003A2295">
      <w:pPr>
        <w:ind w:right="183"/>
        <w:rPr>
          <w:b/>
        </w:rPr>
      </w:pPr>
    </w:p>
    <w:p w14:paraId="7E740ECE" w14:textId="77777777" w:rsidR="00EC1D5D" w:rsidRPr="00AE2554" w:rsidRDefault="00EC1D5D" w:rsidP="00EC1D5D">
      <w:pPr>
        <w:ind w:right="183" w:hanging="567"/>
        <w:rPr>
          <w:b/>
        </w:rPr>
      </w:pPr>
      <w:r w:rsidRPr="00AE2554">
        <w:rPr>
          <w:b/>
        </w:rPr>
        <w:t>5.</w:t>
      </w:r>
      <w:r w:rsidRPr="00AE2554">
        <w:rPr>
          <w:b/>
        </w:rPr>
        <w:tab/>
      </w:r>
      <w:proofErr w:type="spellStart"/>
      <w:r w:rsidRPr="00AE2554">
        <w:rPr>
          <w:b/>
        </w:rPr>
        <w:t>Özkaynak</w:t>
      </w:r>
      <w:proofErr w:type="spellEnd"/>
      <w:r w:rsidRPr="00AE2554">
        <w:rPr>
          <w:b/>
        </w:rPr>
        <w:t xml:space="preserve"> Değişim Tablosuna İlişkin Açıklama ve Dipnotlar</w:t>
      </w:r>
    </w:p>
    <w:p w14:paraId="4568E694" w14:textId="77777777" w:rsidR="00EC1D5D" w:rsidRPr="00AE2554" w:rsidRDefault="00EC1D5D" w:rsidP="00EC1D5D">
      <w:pPr>
        <w:ind w:right="183" w:hanging="567"/>
        <w:rPr>
          <w:b/>
        </w:rPr>
      </w:pPr>
    </w:p>
    <w:p w14:paraId="352F80BB" w14:textId="7BCD4555" w:rsidR="0003063C" w:rsidRPr="00311DAB" w:rsidRDefault="0003063C" w:rsidP="00B843E3">
      <w:pPr>
        <w:tabs>
          <w:tab w:val="left" w:pos="540"/>
        </w:tabs>
        <w:autoSpaceDE w:val="0"/>
        <w:autoSpaceDN w:val="0"/>
        <w:adjustRightInd w:val="0"/>
        <w:jc w:val="both"/>
        <w:rPr>
          <w:lang w:eastAsia="en-GB"/>
        </w:rPr>
      </w:pPr>
      <w:r w:rsidRPr="00AE2554">
        <w:t>Bankalarca Kamuya Açıklanacak Finansal Tablolar ile Bunlara İlişkin Açıklama ve Dipnotlar Hakkında Tebliğ’in 25’inci maddesi uyarınca ara dönemde hazırlanmamıştır.</w:t>
      </w:r>
    </w:p>
    <w:p w14:paraId="19BD3451" w14:textId="77777777" w:rsidR="009608CC" w:rsidRPr="00AE2554" w:rsidRDefault="009608CC" w:rsidP="009608CC">
      <w:pPr>
        <w:autoSpaceDE w:val="0"/>
        <w:autoSpaceDN w:val="0"/>
        <w:adjustRightInd w:val="0"/>
        <w:jc w:val="both"/>
        <w:rPr>
          <w:b/>
          <w:sz w:val="16"/>
          <w:szCs w:val="16"/>
        </w:rPr>
      </w:pPr>
    </w:p>
    <w:p w14:paraId="2331A40E" w14:textId="77777777" w:rsidR="00EC1D5D" w:rsidRPr="00AE2554" w:rsidRDefault="00EC1D5D" w:rsidP="00EC1D5D">
      <w:pPr>
        <w:ind w:right="183" w:hanging="567"/>
        <w:rPr>
          <w:b/>
        </w:rPr>
      </w:pPr>
      <w:r w:rsidRPr="00AE2554">
        <w:rPr>
          <w:b/>
        </w:rPr>
        <w:t>6.</w:t>
      </w:r>
      <w:r w:rsidRPr="00AE2554">
        <w:rPr>
          <w:b/>
        </w:rPr>
        <w:tab/>
        <w:t>Nakit Akış Tablosuna İlişkin Açıklama ve Dipnotlar</w:t>
      </w:r>
    </w:p>
    <w:p w14:paraId="426F650F" w14:textId="77777777" w:rsidR="00EC1D5D" w:rsidRPr="00AE2554" w:rsidRDefault="00EC1D5D" w:rsidP="00EC1D5D">
      <w:pPr>
        <w:ind w:left="540"/>
        <w:rPr>
          <w:b/>
          <w:sz w:val="12"/>
          <w:szCs w:val="12"/>
        </w:rPr>
      </w:pPr>
    </w:p>
    <w:p w14:paraId="5B0361F7" w14:textId="1CB37ACD" w:rsidR="0003063C" w:rsidRPr="00311DAB" w:rsidRDefault="0003063C" w:rsidP="00B843E3">
      <w:pPr>
        <w:tabs>
          <w:tab w:val="left" w:pos="540"/>
        </w:tabs>
        <w:autoSpaceDE w:val="0"/>
        <w:autoSpaceDN w:val="0"/>
        <w:adjustRightInd w:val="0"/>
        <w:jc w:val="both"/>
        <w:rPr>
          <w:lang w:eastAsia="en-GB"/>
        </w:rPr>
      </w:pPr>
      <w:r w:rsidRPr="00AE2554">
        <w:t>Bankalarca Kamuya Açıklanacak Finansal Tablolar ile Bunlara İlişkin Açıklama ve Dipnotlar Hakkında Tebliğ’in 25’inci maddesi uyarınca ara dönemde hazırlanmamıştır.</w:t>
      </w:r>
    </w:p>
    <w:p w14:paraId="4CA631DE" w14:textId="631E4E6C" w:rsidR="0022205C" w:rsidRPr="00270CE6" w:rsidRDefault="0022205C" w:rsidP="0003063C">
      <w:pPr>
        <w:ind w:right="183"/>
        <w:rPr>
          <w:sz w:val="12"/>
          <w:szCs w:val="12"/>
          <w:highlight w:val="yellow"/>
        </w:rPr>
      </w:pPr>
    </w:p>
    <w:p w14:paraId="6D827F60" w14:textId="77777777" w:rsidR="004A0829" w:rsidRPr="00AE2554" w:rsidRDefault="004A0829" w:rsidP="00C530B2">
      <w:pPr>
        <w:ind w:hanging="567"/>
        <w:rPr>
          <w:b/>
          <w:sz w:val="16"/>
          <w:szCs w:val="16"/>
        </w:rPr>
      </w:pPr>
    </w:p>
    <w:p w14:paraId="425D6A94" w14:textId="77777777" w:rsidR="000F096F" w:rsidRPr="00AE2554" w:rsidRDefault="00EC1D5D" w:rsidP="00C530B2">
      <w:pPr>
        <w:ind w:hanging="567"/>
        <w:rPr>
          <w:b/>
        </w:rPr>
      </w:pPr>
      <w:r w:rsidRPr="00AE2554">
        <w:rPr>
          <w:b/>
        </w:rPr>
        <w:t>7</w:t>
      </w:r>
      <w:r w:rsidR="00E253C8" w:rsidRPr="00AE2554">
        <w:rPr>
          <w:b/>
        </w:rPr>
        <w:t>.</w:t>
      </w:r>
      <w:r w:rsidR="00E253C8" w:rsidRPr="00AE2554">
        <w:rPr>
          <w:b/>
        </w:rPr>
        <w:tab/>
        <w:t>Banka’nın dahil olduğu risk grubu ile ilgili açıklama</w:t>
      </w:r>
      <w:r w:rsidR="00243A0C" w:rsidRPr="00AE2554">
        <w:rPr>
          <w:b/>
        </w:rPr>
        <w:t>lar</w:t>
      </w:r>
      <w:r w:rsidR="00C530B2" w:rsidRPr="00AE2554">
        <w:rPr>
          <w:b/>
        </w:rPr>
        <w:t>:</w:t>
      </w:r>
    </w:p>
    <w:p w14:paraId="14CE8E67" w14:textId="77777777" w:rsidR="000F096F" w:rsidRPr="00AE2554" w:rsidRDefault="000F096F" w:rsidP="000F096F">
      <w:pPr>
        <w:autoSpaceDE w:val="0"/>
        <w:autoSpaceDN w:val="0"/>
        <w:adjustRightInd w:val="0"/>
        <w:ind w:left="540" w:hanging="540"/>
        <w:rPr>
          <w:rFonts w:eastAsia="Arial Unicode MS"/>
          <w:b/>
          <w:sz w:val="16"/>
          <w:szCs w:val="16"/>
        </w:rPr>
      </w:pPr>
    </w:p>
    <w:p w14:paraId="5339C8B4" w14:textId="77777777" w:rsidR="000F096F" w:rsidRPr="00AE2554" w:rsidRDefault="00EC1D5D" w:rsidP="001F7228">
      <w:pPr>
        <w:autoSpaceDE w:val="0"/>
        <w:autoSpaceDN w:val="0"/>
        <w:adjustRightInd w:val="0"/>
        <w:ind w:hanging="567"/>
        <w:jc w:val="both"/>
        <w:rPr>
          <w:b/>
          <w:bCs/>
          <w:iCs/>
        </w:rPr>
      </w:pPr>
      <w:r w:rsidRPr="00AE2554">
        <w:rPr>
          <w:b/>
          <w:bCs/>
          <w:iCs/>
        </w:rPr>
        <w:t>7</w:t>
      </w:r>
      <w:r w:rsidR="00C530B2" w:rsidRPr="00AE2554">
        <w:rPr>
          <w:b/>
          <w:bCs/>
          <w:iCs/>
        </w:rPr>
        <w:t>.1</w:t>
      </w:r>
      <w:r w:rsidR="00C530B2" w:rsidRPr="00AE2554">
        <w:rPr>
          <w:b/>
          <w:bCs/>
          <w:iCs/>
        </w:rPr>
        <w:tab/>
      </w:r>
      <w:r w:rsidR="00E253C8" w:rsidRPr="00AE2554">
        <w:rPr>
          <w:b/>
          <w:bCs/>
          <w:iCs/>
        </w:rPr>
        <w:t xml:space="preserve">Banka’nın dahil olduğu risk grubuna ilişkin işlemlerin hacmi, dönem sonunda sonuçlanmamış kredi ve toplanan fonlar ile döneme ilişkin gelir ve giderler: </w:t>
      </w:r>
    </w:p>
    <w:p w14:paraId="6AD57F93" w14:textId="77777777" w:rsidR="000F096F" w:rsidRPr="00AE2554" w:rsidRDefault="000F096F" w:rsidP="000F096F">
      <w:pPr>
        <w:autoSpaceDE w:val="0"/>
        <w:autoSpaceDN w:val="0"/>
        <w:adjustRightInd w:val="0"/>
        <w:rPr>
          <w:rFonts w:eastAsia="Arial Unicode MS"/>
          <w:sz w:val="16"/>
          <w:szCs w:val="16"/>
        </w:rPr>
      </w:pPr>
    </w:p>
    <w:p w14:paraId="1B8C109B" w14:textId="77777777" w:rsidR="000F096F" w:rsidRPr="00AE2554" w:rsidRDefault="00E253C8" w:rsidP="00C530B2">
      <w:pPr>
        <w:tabs>
          <w:tab w:val="num" w:pos="3060"/>
          <w:tab w:val="num" w:pos="3420"/>
        </w:tabs>
        <w:autoSpaceDE w:val="0"/>
        <w:autoSpaceDN w:val="0"/>
        <w:adjustRightInd w:val="0"/>
      </w:pPr>
      <w:r w:rsidRPr="00AE2554">
        <w:t>Cari dönem:</w:t>
      </w:r>
    </w:p>
    <w:p w14:paraId="6F64861D" w14:textId="1BC802C0" w:rsidR="00AE2554" w:rsidRPr="00AE2554" w:rsidRDefault="00AE2554" w:rsidP="000F096F">
      <w:pPr>
        <w:autoSpaceDE w:val="0"/>
        <w:autoSpaceDN w:val="0"/>
        <w:adjustRightInd w:val="0"/>
        <w:rPr>
          <w:lang w:val="en-GB" w:eastAsia="en-GB"/>
        </w:rPr>
      </w:pPr>
    </w:p>
    <w:tbl>
      <w:tblPr>
        <w:tblW w:w="9627" w:type="dxa"/>
        <w:tblCellMar>
          <w:left w:w="70" w:type="dxa"/>
          <w:right w:w="70" w:type="dxa"/>
        </w:tblCellMar>
        <w:tblLook w:val="04A0" w:firstRow="1" w:lastRow="0" w:firstColumn="1" w:lastColumn="0" w:noHBand="0" w:noVBand="1"/>
      </w:tblPr>
      <w:tblGrid>
        <w:gridCol w:w="2861"/>
        <w:gridCol w:w="1205"/>
        <w:gridCol w:w="1125"/>
        <w:gridCol w:w="1109"/>
        <w:gridCol w:w="1334"/>
        <w:gridCol w:w="996"/>
        <w:gridCol w:w="997"/>
      </w:tblGrid>
      <w:tr w:rsidR="00AE2554" w:rsidRPr="00AE2554" w14:paraId="69A4D7E3" w14:textId="77777777" w:rsidTr="00AE2554">
        <w:trPr>
          <w:divId w:val="1649744788"/>
          <w:trHeight w:val="513"/>
        </w:trPr>
        <w:tc>
          <w:tcPr>
            <w:tcW w:w="2861" w:type="dxa"/>
            <w:tcBorders>
              <w:top w:val="nil"/>
              <w:left w:val="nil"/>
              <w:bottom w:val="nil"/>
              <w:right w:val="nil"/>
            </w:tcBorders>
            <w:shd w:val="clear" w:color="auto" w:fill="auto"/>
            <w:vAlign w:val="center"/>
            <w:hideMark/>
          </w:tcPr>
          <w:p w14:paraId="10DA1D3C" w14:textId="6F42C3F5" w:rsidR="00AE2554" w:rsidRPr="00AE2554" w:rsidRDefault="00AE2554" w:rsidP="00AE2554">
            <w:pPr>
              <w:jc w:val="both"/>
              <w:rPr>
                <w:b/>
                <w:bCs/>
                <w:color w:val="000000"/>
                <w:sz w:val="16"/>
                <w:szCs w:val="16"/>
                <w:lang w:eastAsia="tr-TR"/>
              </w:rPr>
            </w:pPr>
            <w:r w:rsidRPr="00AE2554">
              <w:rPr>
                <w:b/>
                <w:bCs/>
                <w:color w:val="000000"/>
                <w:sz w:val="16"/>
                <w:szCs w:val="16"/>
                <w:lang w:eastAsia="tr-TR"/>
              </w:rPr>
              <w:t>Banka'nın dahil olduğu risk grubu (*)</w:t>
            </w:r>
          </w:p>
        </w:tc>
        <w:tc>
          <w:tcPr>
            <w:tcW w:w="2330" w:type="dxa"/>
            <w:gridSpan w:val="2"/>
            <w:tcBorders>
              <w:top w:val="double" w:sz="6" w:space="0" w:color="auto"/>
              <w:left w:val="nil"/>
              <w:bottom w:val="nil"/>
              <w:right w:val="nil"/>
            </w:tcBorders>
            <w:shd w:val="clear" w:color="auto" w:fill="auto"/>
            <w:vAlign w:val="center"/>
            <w:hideMark/>
          </w:tcPr>
          <w:p w14:paraId="1AA03D92" w14:textId="77777777" w:rsidR="00AE2554" w:rsidRPr="00AE2554" w:rsidRDefault="00AE2554" w:rsidP="00AE2554">
            <w:pPr>
              <w:jc w:val="center"/>
              <w:rPr>
                <w:b/>
                <w:bCs/>
                <w:color w:val="000000"/>
                <w:sz w:val="16"/>
                <w:szCs w:val="16"/>
                <w:lang w:eastAsia="tr-TR"/>
              </w:rPr>
            </w:pPr>
            <w:r w:rsidRPr="00AE2554">
              <w:rPr>
                <w:b/>
                <w:bCs/>
                <w:color w:val="000000"/>
                <w:sz w:val="16"/>
                <w:szCs w:val="16"/>
                <w:lang w:eastAsia="tr-TR"/>
              </w:rPr>
              <w:t>İştirak, bağlı ortaklıklar ve birlikte kontrol edilen ortaklıklar (iş ortaklıkları)</w:t>
            </w:r>
          </w:p>
        </w:tc>
        <w:tc>
          <w:tcPr>
            <w:tcW w:w="2443" w:type="dxa"/>
            <w:gridSpan w:val="2"/>
            <w:tcBorders>
              <w:top w:val="double" w:sz="6" w:space="0" w:color="auto"/>
              <w:left w:val="nil"/>
              <w:bottom w:val="nil"/>
              <w:right w:val="nil"/>
            </w:tcBorders>
            <w:shd w:val="clear" w:color="auto" w:fill="auto"/>
            <w:vAlign w:val="center"/>
            <w:hideMark/>
          </w:tcPr>
          <w:p w14:paraId="1066DB6A" w14:textId="77777777" w:rsidR="00AE2554" w:rsidRPr="00AE2554" w:rsidRDefault="00AE2554" w:rsidP="00AE2554">
            <w:pPr>
              <w:jc w:val="center"/>
              <w:rPr>
                <w:b/>
                <w:bCs/>
                <w:color w:val="000000"/>
                <w:sz w:val="16"/>
                <w:szCs w:val="16"/>
                <w:lang w:eastAsia="tr-TR"/>
              </w:rPr>
            </w:pPr>
            <w:r w:rsidRPr="00AE2554">
              <w:rPr>
                <w:b/>
                <w:bCs/>
                <w:color w:val="000000"/>
                <w:sz w:val="16"/>
                <w:szCs w:val="16"/>
                <w:lang w:eastAsia="tr-TR"/>
              </w:rPr>
              <w:t>Bankanın doğrudan ve dolaylı ortaklıkları</w:t>
            </w:r>
          </w:p>
        </w:tc>
        <w:tc>
          <w:tcPr>
            <w:tcW w:w="1993" w:type="dxa"/>
            <w:gridSpan w:val="2"/>
            <w:tcBorders>
              <w:top w:val="double" w:sz="6" w:space="0" w:color="auto"/>
              <w:left w:val="nil"/>
              <w:bottom w:val="nil"/>
              <w:right w:val="nil"/>
            </w:tcBorders>
            <w:shd w:val="clear" w:color="auto" w:fill="auto"/>
            <w:vAlign w:val="center"/>
            <w:hideMark/>
          </w:tcPr>
          <w:p w14:paraId="54FC2F06" w14:textId="77777777" w:rsidR="00AE2554" w:rsidRPr="00AE2554" w:rsidRDefault="00AE2554" w:rsidP="00AE2554">
            <w:pPr>
              <w:jc w:val="center"/>
              <w:rPr>
                <w:b/>
                <w:bCs/>
                <w:color w:val="000000"/>
                <w:sz w:val="16"/>
                <w:szCs w:val="16"/>
                <w:lang w:eastAsia="tr-TR"/>
              </w:rPr>
            </w:pPr>
            <w:r w:rsidRPr="00AE2554">
              <w:rPr>
                <w:b/>
                <w:bCs/>
                <w:color w:val="000000"/>
                <w:sz w:val="16"/>
                <w:szCs w:val="16"/>
                <w:lang w:eastAsia="tr-TR"/>
              </w:rPr>
              <w:t>Risk grubuna dahil olan diğer gerçek ve tüzel kişiler</w:t>
            </w:r>
          </w:p>
        </w:tc>
      </w:tr>
      <w:tr w:rsidR="00AE2554" w:rsidRPr="00AE2554" w14:paraId="1A44DD50" w14:textId="77777777" w:rsidTr="00AE2554">
        <w:trPr>
          <w:divId w:val="1649744788"/>
          <w:trHeight w:val="195"/>
        </w:trPr>
        <w:tc>
          <w:tcPr>
            <w:tcW w:w="2861" w:type="dxa"/>
            <w:tcBorders>
              <w:top w:val="nil"/>
              <w:left w:val="nil"/>
              <w:bottom w:val="single" w:sz="8" w:space="0" w:color="auto"/>
              <w:right w:val="nil"/>
            </w:tcBorders>
            <w:shd w:val="clear" w:color="auto" w:fill="auto"/>
            <w:noWrap/>
            <w:vAlign w:val="bottom"/>
            <w:hideMark/>
          </w:tcPr>
          <w:p w14:paraId="73FB1014" w14:textId="77777777" w:rsidR="00AE2554" w:rsidRPr="00AE2554" w:rsidRDefault="00AE2554" w:rsidP="00AE2554">
            <w:pPr>
              <w:rPr>
                <w:color w:val="000000"/>
                <w:sz w:val="16"/>
                <w:szCs w:val="16"/>
                <w:lang w:eastAsia="tr-TR"/>
              </w:rPr>
            </w:pPr>
            <w:r w:rsidRPr="00AE2554">
              <w:rPr>
                <w:color w:val="000000"/>
                <w:sz w:val="16"/>
                <w:szCs w:val="16"/>
                <w:lang w:eastAsia="tr-TR"/>
              </w:rPr>
              <w:t> </w:t>
            </w:r>
          </w:p>
        </w:tc>
        <w:tc>
          <w:tcPr>
            <w:tcW w:w="1205" w:type="dxa"/>
            <w:tcBorders>
              <w:top w:val="nil"/>
              <w:left w:val="nil"/>
              <w:bottom w:val="single" w:sz="8" w:space="0" w:color="auto"/>
              <w:right w:val="nil"/>
            </w:tcBorders>
            <w:shd w:val="clear" w:color="auto" w:fill="auto"/>
            <w:vAlign w:val="center"/>
            <w:hideMark/>
          </w:tcPr>
          <w:p w14:paraId="01A4CFB2" w14:textId="77777777" w:rsidR="00AE2554" w:rsidRPr="00AE2554" w:rsidRDefault="00AE2554" w:rsidP="00AE2554">
            <w:pPr>
              <w:jc w:val="right"/>
              <w:rPr>
                <w:b/>
                <w:bCs/>
                <w:color w:val="000000"/>
                <w:sz w:val="16"/>
                <w:szCs w:val="16"/>
                <w:lang w:eastAsia="tr-TR"/>
              </w:rPr>
            </w:pPr>
            <w:r w:rsidRPr="00AE2554">
              <w:rPr>
                <w:b/>
                <w:bCs/>
                <w:color w:val="000000"/>
                <w:sz w:val="16"/>
                <w:szCs w:val="16"/>
                <w:lang w:eastAsia="tr-TR"/>
              </w:rPr>
              <w:t>Nakdi</w:t>
            </w:r>
          </w:p>
        </w:tc>
        <w:tc>
          <w:tcPr>
            <w:tcW w:w="1125" w:type="dxa"/>
            <w:tcBorders>
              <w:top w:val="nil"/>
              <w:left w:val="nil"/>
              <w:bottom w:val="single" w:sz="8" w:space="0" w:color="auto"/>
              <w:right w:val="nil"/>
            </w:tcBorders>
            <w:shd w:val="clear" w:color="auto" w:fill="auto"/>
            <w:vAlign w:val="center"/>
            <w:hideMark/>
          </w:tcPr>
          <w:p w14:paraId="2AC0A007" w14:textId="77777777" w:rsidR="00AE2554" w:rsidRPr="00AE2554" w:rsidRDefault="00AE2554" w:rsidP="00AE2554">
            <w:pPr>
              <w:jc w:val="right"/>
              <w:rPr>
                <w:b/>
                <w:bCs/>
                <w:color w:val="000000"/>
                <w:sz w:val="16"/>
                <w:szCs w:val="16"/>
                <w:lang w:eastAsia="tr-TR"/>
              </w:rPr>
            </w:pPr>
            <w:proofErr w:type="spellStart"/>
            <w:proofErr w:type="gramStart"/>
            <w:r w:rsidRPr="00AE2554">
              <w:rPr>
                <w:b/>
                <w:bCs/>
                <w:color w:val="000000"/>
                <w:sz w:val="16"/>
                <w:szCs w:val="16"/>
                <w:lang w:eastAsia="tr-TR"/>
              </w:rPr>
              <w:t>G.Nakdi</w:t>
            </w:r>
            <w:proofErr w:type="spellEnd"/>
            <w:proofErr w:type="gramEnd"/>
          </w:p>
        </w:tc>
        <w:tc>
          <w:tcPr>
            <w:tcW w:w="1109" w:type="dxa"/>
            <w:tcBorders>
              <w:top w:val="nil"/>
              <w:left w:val="nil"/>
              <w:bottom w:val="single" w:sz="8" w:space="0" w:color="auto"/>
              <w:right w:val="nil"/>
            </w:tcBorders>
            <w:shd w:val="clear" w:color="auto" w:fill="auto"/>
            <w:vAlign w:val="center"/>
            <w:hideMark/>
          </w:tcPr>
          <w:p w14:paraId="3AC80782" w14:textId="77777777" w:rsidR="00AE2554" w:rsidRPr="00AE2554" w:rsidRDefault="00AE2554" w:rsidP="00AE2554">
            <w:pPr>
              <w:jc w:val="right"/>
              <w:rPr>
                <w:b/>
                <w:bCs/>
                <w:color w:val="000000"/>
                <w:sz w:val="16"/>
                <w:szCs w:val="16"/>
                <w:lang w:eastAsia="tr-TR"/>
              </w:rPr>
            </w:pPr>
            <w:r w:rsidRPr="00AE2554">
              <w:rPr>
                <w:b/>
                <w:bCs/>
                <w:color w:val="000000"/>
                <w:sz w:val="16"/>
                <w:szCs w:val="16"/>
                <w:lang w:eastAsia="tr-TR"/>
              </w:rPr>
              <w:t>Nakdi</w:t>
            </w:r>
          </w:p>
        </w:tc>
        <w:tc>
          <w:tcPr>
            <w:tcW w:w="1334" w:type="dxa"/>
            <w:tcBorders>
              <w:top w:val="nil"/>
              <w:left w:val="nil"/>
              <w:bottom w:val="single" w:sz="8" w:space="0" w:color="auto"/>
              <w:right w:val="nil"/>
            </w:tcBorders>
            <w:shd w:val="clear" w:color="auto" w:fill="auto"/>
            <w:vAlign w:val="center"/>
            <w:hideMark/>
          </w:tcPr>
          <w:p w14:paraId="26D4D8D6" w14:textId="77777777" w:rsidR="00AE2554" w:rsidRPr="00AE2554" w:rsidRDefault="00AE2554" w:rsidP="00AE2554">
            <w:pPr>
              <w:jc w:val="right"/>
              <w:rPr>
                <w:b/>
                <w:bCs/>
                <w:color w:val="000000"/>
                <w:sz w:val="16"/>
                <w:szCs w:val="16"/>
                <w:lang w:eastAsia="tr-TR"/>
              </w:rPr>
            </w:pPr>
            <w:proofErr w:type="spellStart"/>
            <w:proofErr w:type="gramStart"/>
            <w:r w:rsidRPr="00AE2554">
              <w:rPr>
                <w:b/>
                <w:bCs/>
                <w:color w:val="000000"/>
                <w:sz w:val="16"/>
                <w:szCs w:val="16"/>
                <w:lang w:eastAsia="tr-TR"/>
              </w:rPr>
              <w:t>G.Nakdi</w:t>
            </w:r>
            <w:proofErr w:type="spellEnd"/>
            <w:proofErr w:type="gramEnd"/>
          </w:p>
        </w:tc>
        <w:tc>
          <w:tcPr>
            <w:tcW w:w="996" w:type="dxa"/>
            <w:tcBorders>
              <w:top w:val="nil"/>
              <w:left w:val="nil"/>
              <w:bottom w:val="single" w:sz="8" w:space="0" w:color="auto"/>
              <w:right w:val="nil"/>
            </w:tcBorders>
            <w:shd w:val="clear" w:color="auto" w:fill="auto"/>
            <w:vAlign w:val="center"/>
            <w:hideMark/>
          </w:tcPr>
          <w:p w14:paraId="4E8F5A5D" w14:textId="77777777" w:rsidR="00AE2554" w:rsidRPr="00AE2554" w:rsidRDefault="00AE2554" w:rsidP="00AE2554">
            <w:pPr>
              <w:jc w:val="right"/>
              <w:rPr>
                <w:b/>
                <w:bCs/>
                <w:color w:val="000000"/>
                <w:sz w:val="16"/>
                <w:szCs w:val="16"/>
                <w:lang w:eastAsia="tr-TR"/>
              </w:rPr>
            </w:pPr>
            <w:r w:rsidRPr="00AE2554">
              <w:rPr>
                <w:b/>
                <w:bCs/>
                <w:color w:val="000000"/>
                <w:sz w:val="16"/>
                <w:szCs w:val="16"/>
                <w:lang w:eastAsia="tr-TR"/>
              </w:rPr>
              <w:t>Nakdi</w:t>
            </w:r>
          </w:p>
        </w:tc>
        <w:tc>
          <w:tcPr>
            <w:tcW w:w="996" w:type="dxa"/>
            <w:tcBorders>
              <w:top w:val="nil"/>
              <w:left w:val="nil"/>
              <w:bottom w:val="single" w:sz="8" w:space="0" w:color="auto"/>
              <w:right w:val="nil"/>
            </w:tcBorders>
            <w:shd w:val="clear" w:color="auto" w:fill="auto"/>
            <w:vAlign w:val="center"/>
            <w:hideMark/>
          </w:tcPr>
          <w:p w14:paraId="6C8A8CB5" w14:textId="77777777" w:rsidR="00AE2554" w:rsidRPr="00AE2554" w:rsidRDefault="00AE2554" w:rsidP="00AE2554">
            <w:pPr>
              <w:jc w:val="right"/>
              <w:rPr>
                <w:b/>
                <w:bCs/>
                <w:color w:val="000000"/>
                <w:sz w:val="16"/>
                <w:szCs w:val="16"/>
                <w:lang w:eastAsia="tr-TR"/>
              </w:rPr>
            </w:pPr>
            <w:proofErr w:type="spellStart"/>
            <w:proofErr w:type="gramStart"/>
            <w:r w:rsidRPr="00AE2554">
              <w:rPr>
                <w:b/>
                <w:bCs/>
                <w:color w:val="000000"/>
                <w:sz w:val="16"/>
                <w:szCs w:val="16"/>
                <w:lang w:eastAsia="tr-TR"/>
              </w:rPr>
              <w:t>G.Nakdi</w:t>
            </w:r>
            <w:proofErr w:type="spellEnd"/>
            <w:proofErr w:type="gramEnd"/>
          </w:p>
        </w:tc>
      </w:tr>
      <w:tr w:rsidR="00AE2554" w:rsidRPr="00AE2554" w14:paraId="1ED24F9D" w14:textId="77777777" w:rsidTr="00AE2554">
        <w:trPr>
          <w:divId w:val="1649744788"/>
          <w:trHeight w:val="183"/>
        </w:trPr>
        <w:tc>
          <w:tcPr>
            <w:tcW w:w="2861" w:type="dxa"/>
            <w:tcBorders>
              <w:top w:val="nil"/>
              <w:left w:val="nil"/>
              <w:bottom w:val="nil"/>
              <w:right w:val="nil"/>
            </w:tcBorders>
            <w:shd w:val="clear" w:color="auto" w:fill="auto"/>
            <w:vAlign w:val="center"/>
            <w:hideMark/>
          </w:tcPr>
          <w:p w14:paraId="5EEB0CB8" w14:textId="77777777" w:rsidR="00AE2554" w:rsidRPr="00AE2554" w:rsidRDefault="00AE2554" w:rsidP="00AE2554">
            <w:pPr>
              <w:jc w:val="both"/>
              <w:rPr>
                <w:b/>
                <w:bCs/>
                <w:color w:val="000000"/>
                <w:sz w:val="16"/>
                <w:szCs w:val="16"/>
                <w:lang w:eastAsia="tr-TR"/>
              </w:rPr>
            </w:pPr>
            <w:r w:rsidRPr="00AE2554">
              <w:rPr>
                <w:b/>
                <w:bCs/>
                <w:color w:val="000000"/>
                <w:sz w:val="16"/>
                <w:szCs w:val="16"/>
                <w:lang w:eastAsia="tr-TR"/>
              </w:rPr>
              <w:t>Krediler ve diğer alacaklar</w:t>
            </w:r>
          </w:p>
        </w:tc>
        <w:tc>
          <w:tcPr>
            <w:tcW w:w="1205" w:type="dxa"/>
            <w:tcBorders>
              <w:top w:val="nil"/>
              <w:left w:val="nil"/>
              <w:bottom w:val="nil"/>
              <w:right w:val="nil"/>
            </w:tcBorders>
            <w:shd w:val="clear" w:color="auto" w:fill="auto"/>
            <w:vAlign w:val="center"/>
            <w:hideMark/>
          </w:tcPr>
          <w:p w14:paraId="7A53D3B2" w14:textId="77777777" w:rsidR="00AE2554" w:rsidRPr="00AE2554" w:rsidRDefault="00AE2554" w:rsidP="00AE2554">
            <w:pPr>
              <w:jc w:val="both"/>
              <w:rPr>
                <w:b/>
                <w:bCs/>
                <w:color w:val="000000"/>
                <w:sz w:val="16"/>
                <w:szCs w:val="16"/>
                <w:lang w:eastAsia="tr-TR"/>
              </w:rPr>
            </w:pPr>
          </w:p>
        </w:tc>
        <w:tc>
          <w:tcPr>
            <w:tcW w:w="1125" w:type="dxa"/>
            <w:tcBorders>
              <w:top w:val="nil"/>
              <w:left w:val="nil"/>
              <w:bottom w:val="nil"/>
              <w:right w:val="nil"/>
            </w:tcBorders>
            <w:shd w:val="clear" w:color="auto" w:fill="auto"/>
            <w:vAlign w:val="center"/>
            <w:hideMark/>
          </w:tcPr>
          <w:p w14:paraId="7CED403B" w14:textId="77777777" w:rsidR="00AE2554" w:rsidRPr="00AE2554" w:rsidRDefault="00AE2554" w:rsidP="00AE2554">
            <w:pPr>
              <w:jc w:val="right"/>
              <w:rPr>
                <w:lang w:eastAsia="tr-TR"/>
              </w:rPr>
            </w:pPr>
          </w:p>
        </w:tc>
        <w:tc>
          <w:tcPr>
            <w:tcW w:w="1109" w:type="dxa"/>
            <w:tcBorders>
              <w:top w:val="nil"/>
              <w:left w:val="nil"/>
              <w:bottom w:val="nil"/>
              <w:right w:val="nil"/>
            </w:tcBorders>
            <w:shd w:val="clear" w:color="auto" w:fill="auto"/>
            <w:vAlign w:val="center"/>
            <w:hideMark/>
          </w:tcPr>
          <w:p w14:paraId="34C61F48" w14:textId="77777777" w:rsidR="00AE2554" w:rsidRPr="00AE2554" w:rsidRDefault="00AE2554" w:rsidP="00AE2554">
            <w:pPr>
              <w:jc w:val="right"/>
              <w:rPr>
                <w:lang w:eastAsia="tr-TR"/>
              </w:rPr>
            </w:pPr>
          </w:p>
        </w:tc>
        <w:tc>
          <w:tcPr>
            <w:tcW w:w="1334" w:type="dxa"/>
            <w:tcBorders>
              <w:top w:val="nil"/>
              <w:left w:val="nil"/>
              <w:bottom w:val="nil"/>
              <w:right w:val="nil"/>
            </w:tcBorders>
            <w:shd w:val="clear" w:color="auto" w:fill="auto"/>
            <w:vAlign w:val="center"/>
            <w:hideMark/>
          </w:tcPr>
          <w:p w14:paraId="2FAACCC6" w14:textId="77777777" w:rsidR="00AE2554" w:rsidRPr="00AE2554" w:rsidRDefault="00AE2554" w:rsidP="00AE2554">
            <w:pPr>
              <w:jc w:val="right"/>
              <w:rPr>
                <w:lang w:eastAsia="tr-TR"/>
              </w:rPr>
            </w:pPr>
          </w:p>
        </w:tc>
        <w:tc>
          <w:tcPr>
            <w:tcW w:w="996" w:type="dxa"/>
            <w:tcBorders>
              <w:top w:val="nil"/>
              <w:left w:val="nil"/>
              <w:bottom w:val="nil"/>
              <w:right w:val="nil"/>
            </w:tcBorders>
            <w:shd w:val="clear" w:color="auto" w:fill="auto"/>
            <w:vAlign w:val="center"/>
            <w:hideMark/>
          </w:tcPr>
          <w:p w14:paraId="467E8393" w14:textId="77777777" w:rsidR="00AE2554" w:rsidRPr="00AE2554" w:rsidRDefault="00AE2554" w:rsidP="00AE2554">
            <w:pPr>
              <w:jc w:val="right"/>
              <w:rPr>
                <w:lang w:eastAsia="tr-TR"/>
              </w:rPr>
            </w:pPr>
          </w:p>
        </w:tc>
        <w:tc>
          <w:tcPr>
            <w:tcW w:w="996" w:type="dxa"/>
            <w:tcBorders>
              <w:top w:val="nil"/>
              <w:left w:val="nil"/>
              <w:bottom w:val="nil"/>
              <w:right w:val="nil"/>
            </w:tcBorders>
            <w:shd w:val="clear" w:color="auto" w:fill="auto"/>
            <w:vAlign w:val="center"/>
            <w:hideMark/>
          </w:tcPr>
          <w:p w14:paraId="7E8A685A" w14:textId="77777777" w:rsidR="00AE2554" w:rsidRPr="00AE2554" w:rsidRDefault="00AE2554" w:rsidP="00AE2554">
            <w:pPr>
              <w:jc w:val="right"/>
              <w:rPr>
                <w:lang w:eastAsia="tr-TR"/>
              </w:rPr>
            </w:pPr>
          </w:p>
        </w:tc>
      </w:tr>
      <w:tr w:rsidR="00AE2554" w:rsidRPr="00AE2554" w14:paraId="3A63E016" w14:textId="77777777" w:rsidTr="00AE2554">
        <w:trPr>
          <w:divId w:val="1649744788"/>
          <w:trHeight w:val="195"/>
        </w:trPr>
        <w:tc>
          <w:tcPr>
            <w:tcW w:w="2861" w:type="dxa"/>
            <w:tcBorders>
              <w:top w:val="nil"/>
              <w:left w:val="nil"/>
              <w:bottom w:val="nil"/>
              <w:right w:val="nil"/>
            </w:tcBorders>
            <w:shd w:val="clear" w:color="auto" w:fill="auto"/>
            <w:vAlign w:val="center"/>
            <w:hideMark/>
          </w:tcPr>
          <w:p w14:paraId="05450AE3" w14:textId="77777777" w:rsidR="00AE2554" w:rsidRPr="00AE2554" w:rsidRDefault="00AE2554" w:rsidP="00AE2554">
            <w:pPr>
              <w:ind w:firstLineChars="100" w:firstLine="160"/>
              <w:rPr>
                <w:color w:val="404040"/>
                <w:sz w:val="16"/>
                <w:szCs w:val="16"/>
                <w:lang w:eastAsia="tr-TR"/>
              </w:rPr>
            </w:pPr>
            <w:r w:rsidRPr="00AE2554">
              <w:rPr>
                <w:color w:val="404040"/>
                <w:sz w:val="16"/>
                <w:szCs w:val="16"/>
                <w:lang w:eastAsia="tr-TR"/>
              </w:rPr>
              <w:t xml:space="preserve">Dönem Başı Bakiyesi </w:t>
            </w:r>
          </w:p>
        </w:tc>
        <w:tc>
          <w:tcPr>
            <w:tcW w:w="1205" w:type="dxa"/>
            <w:tcBorders>
              <w:top w:val="nil"/>
              <w:left w:val="nil"/>
              <w:bottom w:val="nil"/>
              <w:right w:val="nil"/>
            </w:tcBorders>
            <w:shd w:val="clear" w:color="auto" w:fill="auto"/>
            <w:vAlign w:val="center"/>
            <w:hideMark/>
          </w:tcPr>
          <w:p w14:paraId="44BF5991" w14:textId="77777777" w:rsidR="00AE2554" w:rsidRPr="00AE2554" w:rsidRDefault="00AE2554" w:rsidP="00AE2554">
            <w:pPr>
              <w:jc w:val="right"/>
              <w:rPr>
                <w:color w:val="404040"/>
                <w:sz w:val="16"/>
                <w:szCs w:val="16"/>
                <w:lang w:eastAsia="tr-TR"/>
              </w:rPr>
            </w:pPr>
            <w:r w:rsidRPr="00AE2554">
              <w:rPr>
                <w:color w:val="404040"/>
                <w:sz w:val="16"/>
                <w:szCs w:val="16"/>
                <w:lang w:eastAsia="tr-TR"/>
              </w:rPr>
              <w:t>178,601</w:t>
            </w:r>
          </w:p>
        </w:tc>
        <w:tc>
          <w:tcPr>
            <w:tcW w:w="1125" w:type="dxa"/>
            <w:tcBorders>
              <w:top w:val="nil"/>
              <w:left w:val="nil"/>
              <w:bottom w:val="nil"/>
              <w:right w:val="nil"/>
            </w:tcBorders>
            <w:shd w:val="clear" w:color="auto" w:fill="auto"/>
            <w:vAlign w:val="center"/>
            <w:hideMark/>
          </w:tcPr>
          <w:p w14:paraId="7BDBE4DE" w14:textId="77777777" w:rsidR="00AE2554" w:rsidRPr="00AE2554" w:rsidRDefault="00AE2554" w:rsidP="00AE2554">
            <w:pPr>
              <w:jc w:val="right"/>
              <w:rPr>
                <w:color w:val="404040"/>
                <w:sz w:val="16"/>
                <w:szCs w:val="16"/>
                <w:lang w:eastAsia="tr-TR"/>
              </w:rPr>
            </w:pPr>
            <w:r w:rsidRPr="00AE2554">
              <w:rPr>
                <w:color w:val="404040"/>
                <w:sz w:val="16"/>
                <w:szCs w:val="16"/>
                <w:lang w:eastAsia="tr-TR"/>
              </w:rPr>
              <w:t>18,527</w:t>
            </w:r>
          </w:p>
        </w:tc>
        <w:tc>
          <w:tcPr>
            <w:tcW w:w="1109" w:type="dxa"/>
            <w:tcBorders>
              <w:top w:val="nil"/>
              <w:left w:val="nil"/>
              <w:bottom w:val="nil"/>
              <w:right w:val="nil"/>
            </w:tcBorders>
            <w:shd w:val="clear" w:color="auto" w:fill="auto"/>
            <w:vAlign w:val="center"/>
            <w:hideMark/>
          </w:tcPr>
          <w:p w14:paraId="3DE806A5" w14:textId="77777777" w:rsidR="00AE2554" w:rsidRPr="00AE2554" w:rsidRDefault="00AE2554" w:rsidP="00AE2554">
            <w:pPr>
              <w:jc w:val="right"/>
              <w:rPr>
                <w:color w:val="404040"/>
                <w:sz w:val="16"/>
                <w:szCs w:val="16"/>
                <w:lang w:eastAsia="tr-TR"/>
              </w:rPr>
            </w:pPr>
            <w:r w:rsidRPr="00AE2554">
              <w:rPr>
                <w:color w:val="404040"/>
                <w:sz w:val="16"/>
                <w:szCs w:val="16"/>
                <w:lang w:eastAsia="tr-TR"/>
              </w:rPr>
              <w:t>1,868</w:t>
            </w:r>
          </w:p>
        </w:tc>
        <w:tc>
          <w:tcPr>
            <w:tcW w:w="1334" w:type="dxa"/>
            <w:tcBorders>
              <w:top w:val="nil"/>
              <w:left w:val="nil"/>
              <w:bottom w:val="nil"/>
              <w:right w:val="nil"/>
            </w:tcBorders>
            <w:shd w:val="clear" w:color="auto" w:fill="auto"/>
            <w:vAlign w:val="center"/>
            <w:hideMark/>
          </w:tcPr>
          <w:p w14:paraId="0953B44C" w14:textId="77777777" w:rsidR="00AE2554" w:rsidRPr="00AE2554" w:rsidRDefault="00AE2554" w:rsidP="00AE2554">
            <w:pPr>
              <w:jc w:val="right"/>
              <w:rPr>
                <w:color w:val="404040"/>
                <w:sz w:val="16"/>
                <w:szCs w:val="16"/>
                <w:lang w:eastAsia="tr-TR"/>
              </w:rPr>
            </w:pPr>
            <w:r w:rsidRPr="00AE2554">
              <w:rPr>
                <w:color w:val="404040"/>
                <w:sz w:val="16"/>
                <w:szCs w:val="16"/>
                <w:lang w:eastAsia="tr-TR"/>
              </w:rPr>
              <w:t>7,206</w:t>
            </w:r>
          </w:p>
        </w:tc>
        <w:tc>
          <w:tcPr>
            <w:tcW w:w="996" w:type="dxa"/>
            <w:tcBorders>
              <w:top w:val="nil"/>
              <w:left w:val="nil"/>
              <w:bottom w:val="nil"/>
              <w:right w:val="nil"/>
            </w:tcBorders>
            <w:shd w:val="clear" w:color="auto" w:fill="auto"/>
            <w:vAlign w:val="center"/>
            <w:hideMark/>
          </w:tcPr>
          <w:p w14:paraId="6B387E9B" w14:textId="77777777" w:rsidR="00AE2554" w:rsidRPr="00AE2554" w:rsidRDefault="00AE2554" w:rsidP="00AE2554">
            <w:pPr>
              <w:jc w:val="right"/>
              <w:rPr>
                <w:color w:val="404040"/>
                <w:sz w:val="16"/>
                <w:szCs w:val="16"/>
                <w:lang w:eastAsia="tr-TR"/>
              </w:rPr>
            </w:pPr>
            <w:r w:rsidRPr="00AE2554">
              <w:rPr>
                <w:color w:val="404040"/>
                <w:sz w:val="16"/>
                <w:szCs w:val="16"/>
                <w:lang w:eastAsia="tr-TR"/>
              </w:rPr>
              <w:t>780,512</w:t>
            </w:r>
          </w:p>
        </w:tc>
        <w:tc>
          <w:tcPr>
            <w:tcW w:w="996" w:type="dxa"/>
            <w:tcBorders>
              <w:top w:val="nil"/>
              <w:left w:val="nil"/>
              <w:bottom w:val="nil"/>
              <w:right w:val="nil"/>
            </w:tcBorders>
            <w:shd w:val="clear" w:color="auto" w:fill="auto"/>
            <w:vAlign w:val="center"/>
            <w:hideMark/>
          </w:tcPr>
          <w:p w14:paraId="715DE695" w14:textId="77777777" w:rsidR="00AE2554" w:rsidRPr="00AE2554" w:rsidRDefault="00AE2554" w:rsidP="00AE2554">
            <w:pPr>
              <w:jc w:val="right"/>
              <w:rPr>
                <w:color w:val="404040"/>
                <w:sz w:val="16"/>
                <w:szCs w:val="16"/>
                <w:lang w:eastAsia="tr-TR"/>
              </w:rPr>
            </w:pPr>
            <w:r w:rsidRPr="00AE2554">
              <w:rPr>
                <w:color w:val="404040"/>
                <w:sz w:val="16"/>
                <w:szCs w:val="16"/>
                <w:lang w:eastAsia="tr-TR"/>
              </w:rPr>
              <w:t>723</w:t>
            </w:r>
          </w:p>
        </w:tc>
      </w:tr>
      <w:tr w:rsidR="00AE2554" w:rsidRPr="00AE2554" w14:paraId="588D92DE" w14:textId="77777777" w:rsidTr="00AE2554">
        <w:trPr>
          <w:divId w:val="1649744788"/>
          <w:trHeight w:val="183"/>
        </w:trPr>
        <w:tc>
          <w:tcPr>
            <w:tcW w:w="2861" w:type="dxa"/>
            <w:tcBorders>
              <w:top w:val="nil"/>
              <w:left w:val="nil"/>
              <w:bottom w:val="nil"/>
              <w:right w:val="nil"/>
            </w:tcBorders>
            <w:shd w:val="clear" w:color="auto" w:fill="auto"/>
            <w:vAlign w:val="center"/>
            <w:hideMark/>
          </w:tcPr>
          <w:p w14:paraId="24986C82" w14:textId="77777777" w:rsidR="00AE2554" w:rsidRPr="00AE2554" w:rsidRDefault="00AE2554" w:rsidP="00AE2554">
            <w:pPr>
              <w:ind w:firstLineChars="100" w:firstLine="160"/>
              <w:rPr>
                <w:color w:val="404040"/>
                <w:sz w:val="16"/>
                <w:szCs w:val="16"/>
                <w:lang w:eastAsia="tr-TR"/>
              </w:rPr>
            </w:pPr>
            <w:r w:rsidRPr="00AE2554">
              <w:rPr>
                <w:color w:val="404040"/>
                <w:sz w:val="16"/>
                <w:szCs w:val="16"/>
                <w:lang w:eastAsia="tr-TR"/>
              </w:rPr>
              <w:t>Dönem Sonu Bakiyesi</w:t>
            </w:r>
          </w:p>
        </w:tc>
        <w:tc>
          <w:tcPr>
            <w:tcW w:w="1205" w:type="dxa"/>
            <w:tcBorders>
              <w:top w:val="nil"/>
              <w:left w:val="nil"/>
              <w:bottom w:val="nil"/>
              <w:right w:val="nil"/>
            </w:tcBorders>
            <w:shd w:val="clear" w:color="auto" w:fill="auto"/>
            <w:vAlign w:val="center"/>
            <w:hideMark/>
          </w:tcPr>
          <w:p w14:paraId="068779C4" w14:textId="77777777" w:rsidR="00AE2554" w:rsidRPr="00AE2554" w:rsidRDefault="00AE2554" w:rsidP="00AE2554">
            <w:pPr>
              <w:jc w:val="right"/>
              <w:rPr>
                <w:color w:val="404040"/>
                <w:sz w:val="16"/>
                <w:szCs w:val="16"/>
                <w:lang w:eastAsia="tr-TR"/>
              </w:rPr>
            </w:pPr>
            <w:r w:rsidRPr="00AE2554">
              <w:rPr>
                <w:color w:val="404040"/>
                <w:sz w:val="16"/>
                <w:szCs w:val="16"/>
                <w:lang w:eastAsia="tr-TR"/>
              </w:rPr>
              <w:t>194,529</w:t>
            </w:r>
          </w:p>
        </w:tc>
        <w:tc>
          <w:tcPr>
            <w:tcW w:w="1125" w:type="dxa"/>
            <w:tcBorders>
              <w:top w:val="nil"/>
              <w:left w:val="nil"/>
              <w:bottom w:val="nil"/>
              <w:right w:val="nil"/>
            </w:tcBorders>
            <w:shd w:val="clear" w:color="auto" w:fill="auto"/>
            <w:vAlign w:val="center"/>
            <w:hideMark/>
          </w:tcPr>
          <w:p w14:paraId="16571312" w14:textId="77777777" w:rsidR="00AE2554" w:rsidRPr="00AE2554" w:rsidRDefault="00AE2554" w:rsidP="00AE2554">
            <w:pPr>
              <w:jc w:val="right"/>
              <w:rPr>
                <w:color w:val="404040"/>
                <w:sz w:val="16"/>
                <w:szCs w:val="16"/>
                <w:lang w:eastAsia="tr-TR"/>
              </w:rPr>
            </w:pPr>
            <w:r w:rsidRPr="00AE2554">
              <w:rPr>
                <w:color w:val="404040"/>
                <w:sz w:val="16"/>
                <w:szCs w:val="16"/>
                <w:lang w:eastAsia="tr-TR"/>
              </w:rPr>
              <w:t>20,487</w:t>
            </w:r>
          </w:p>
        </w:tc>
        <w:tc>
          <w:tcPr>
            <w:tcW w:w="1109" w:type="dxa"/>
            <w:tcBorders>
              <w:top w:val="nil"/>
              <w:left w:val="nil"/>
              <w:bottom w:val="nil"/>
              <w:right w:val="nil"/>
            </w:tcBorders>
            <w:shd w:val="clear" w:color="auto" w:fill="auto"/>
            <w:vAlign w:val="center"/>
            <w:hideMark/>
          </w:tcPr>
          <w:p w14:paraId="25835C3A" w14:textId="77777777" w:rsidR="00AE2554" w:rsidRPr="00AE2554" w:rsidRDefault="00AE2554" w:rsidP="00AE2554">
            <w:pPr>
              <w:jc w:val="right"/>
              <w:rPr>
                <w:color w:val="404040"/>
                <w:sz w:val="16"/>
                <w:szCs w:val="16"/>
                <w:lang w:eastAsia="tr-TR"/>
              </w:rPr>
            </w:pPr>
            <w:r w:rsidRPr="00AE2554">
              <w:rPr>
                <w:color w:val="404040"/>
                <w:sz w:val="16"/>
                <w:szCs w:val="16"/>
                <w:lang w:eastAsia="tr-TR"/>
              </w:rPr>
              <w:t>4,822</w:t>
            </w:r>
          </w:p>
        </w:tc>
        <w:tc>
          <w:tcPr>
            <w:tcW w:w="1334" w:type="dxa"/>
            <w:tcBorders>
              <w:top w:val="nil"/>
              <w:left w:val="nil"/>
              <w:bottom w:val="nil"/>
              <w:right w:val="nil"/>
            </w:tcBorders>
            <w:shd w:val="clear" w:color="auto" w:fill="auto"/>
            <w:vAlign w:val="center"/>
            <w:hideMark/>
          </w:tcPr>
          <w:p w14:paraId="3B75E9DF" w14:textId="77777777" w:rsidR="00AE2554" w:rsidRPr="00AE2554" w:rsidRDefault="00AE2554" w:rsidP="00AE2554">
            <w:pPr>
              <w:jc w:val="right"/>
              <w:rPr>
                <w:color w:val="404040"/>
                <w:sz w:val="16"/>
                <w:szCs w:val="16"/>
                <w:lang w:eastAsia="tr-TR"/>
              </w:rPr>
            </w:pPr>
            <w:r w:rsidRPr="00AE2554">
              <w:rPr>
                <w:color w:val="404040"/>
                <w:sz w:val="16"/>
                <w:szCs w:val="16"/>
                <w:lang w:eastAsia="tr-TR"/>
              </w:rPr>
              <w:t>8,474</w:t>
            </w:r>
          </w:p>
        </w:tc>
        <w:tc>
          <w:tcPr>
            <w:tcW w:w="996" w:type="dxa"/>
            <w:tcBorders>
              <w:top w:val="nil"/>
              <w:left w:val="nil"/>
              <w:bottom w:val="nil"/>
              <w:right w:val="nil"/>
            </w:tcBorders>
            <w:shd w:val="clear" w:color="auto" w:fill="auto"/>
            <w:vAlign w:val="center"/>
            <w:hideMark/>
          </w:tcPr>
          <w:p w14:paraId="3599F0D2" w14:textId="77777777" w:rsidR="00AE2554" w:rsidRPr="00AE2554" w:rsidRDefault="00AE2554" w:rsidP="00AE2554">
            <w:pPr>
              <w:jc w:val="right"/>
              <w:rPr>
                <w:color w:val="404040"/>
                <w:sz w:val="16"/>
                <w:szCs w:val="16"/>
                <w:lang w:eastAsia="tr-TR"/>
              </w:rPr>
            </w:pPr>
            <w:r w:rsidRPr="00AE2554">
              <w:rPr>
                <w:color w:val="404040"/>
                <w:sz w:val="16"/>
                <w:szCs w:val="16"/>
                <w:lang w:eastAsia="tr-TR"/>
              </w:rPr>
              <w:t>61,916</w:t>
            </w:r>
          </w:p>
        </w:tc>
        <w:tc>
          <w:tcPr>
            <w:tcW w:w="996" w:type="dxa"/>
            <w:tcBorders>
              <w:top w:val="nil"/>
              <w:left w:val="nil"/>
              <w:bottom w:val="nil"/>
              <w:right w:val="nil"/>
            </w:tcBorders>
            <w:shd w:val="clear" w:color="auto" w:fill="auto"/>
            <w:vAlign w:val="center"/>
            <w:hideMark/>
          </w:tcPr>
          <w:p w14:paraId="6DB875D6" w14:textId="77777777" w:rsidR="00AE2554" w:rsidRPr="00AE2554" w:rsidRDefault="00AE2554" w:rsidP="00AE2554">
            <w:pPr>
              <w:jc w:val="right"/>
              <w:rPr>
                <w:color w:val="404040"/>
                <w:sz w:val="16"/>
                <w:szCs w:val="16"/>
                <w:lang w:eastAsia="tr-TR"/>
              </w:rPr>
            </w:pPr>
            <w:r w:rsidRPr="00AE2554">
              <w:rPr>
                <w:color w:val="404040"/>
                <w:sz w:val="16"/>
                <w:szCs w:val="16"/>
                <w:lang w:eastAsia="tr-TR"/>
              </w:rPr>
              <w:t>663</w:t>
            </w:r>
          </w:p>
        </w:tc>
      </w:tr>
      <w:tr w:rsidR="00AE2554" w:rsidRPr="00AE2554" w14:paraId="74F4D2AA" w14:textId="77777777" w:rsidTr="00AE2554">
        <w:trPr>
          <w:divId w:val="1649744788"/>
          <w:trHeight w:val="195"/>
        </w:trPr>
        <w:tc>
          <w:tcPr>
            <w:tcW w:w="2861" w:type="dxa"/>
            <w:tcBorders>
              <w:top w:val="nil"/>
              <w:left w:val="nil"/>
              <w:bottom w:val="double" w:sz="6" w:space="0" w:color="auto"/>
              <w:right w:val="nil"/>
            </w:tcBorders>
            <w:shd w:val="clear" w:color="auto" w:fill="auto"/>
            <w:vAlign w:val="center"/>
            <w:hideMark/>
          </w:tcPr>
          <w:p w14:paraId="4A483FDD" w14:textId="77777777" w:rsidR="00AE2554" w:rsidRPr="00AE2554" w:rsidRDefault="00AE2554" w:rsidP="00AE2554">
            <w:pPr>
              <w:jc w:val="both"/>
              <w:rPr>
                <w:color w:val="404040"/>
                <w:sz w:val="16"/>
                <w:szCs w:val="16"/>
                <w:lang w:eastAsia="tr-TR"/>
              </w:rPr>
            </w:pPr>
            <w:r w:rsidRPr="00AE2554">
              <w:rPr>
                <w:color w:val="404040"/>
                <w:sz w:val="16"/>
                <w:szCs w:val="16"/>
                <w:lang w:eastAsia="tr-TR"/>
              </w:rPr>
              <w:t xml:space="preserve">Alınan </w:t>
            </w:r>
            <w:proofErr w:type="gramStart"/>
            <w:r w:rsidRPr="00AE2554">
              <w:rPr>
                <w:color w:val="404040"/>
                <w:sz w:val="16"/>
                <w:szCs w:val="16"/>
                <w:lang w:eastAsia="tr-TR"/>
              </w:rPr>
              <w:t>kar</w:t>
            </w:r>
            <w:proofErr w:type="gramEnd"/>
            <w:r w:rsidRPr="00AE2554">
              <w:rPr>
                <w:color w:val="404040"/>
                <w:sz w:val="16"/>
                <w:szCs w:val="16"/>
                <w:lang w:eastAsia="tr-TR"/>
              </w:rPr>
              <w:t xml:space="preserve"> payı ve komisyon gelirleri</w:t>
            </w:r>
          </w:p>
        </w:tc>
        <w:tc>
          <w:tcPr>
            <w:tcW w:w="1205" w:type="dxa"/>
            <w:tcBorders>
              <w:top w:val="nil"/>
              <w:left w:val="nil"/>
              <w:bottom w:val="double" w:sz="6" w:space="0" w:color="auto"/>
              <w:right w:val="nil"/>
            </w:tcBorders>
            <w:shd w:val="clear" w:color="auto" w:fill="auto"/>
            <w:vAlign w:val="center"/>
            <w:hideMark/>
          </w:tcPr>
          <w:p w14:paraId="50C6ECBB" w14:textId="77777777" w:rsidR="00AE2554" w:rsidRPr="00AE2554" w:rsidRDefault="00AE2554" w:rsidP="00AE2554">
            <w:pPr>
              <w:jc w:val="right"/>
              <w:rPr>
                <w:color w:val="404040"/>
                <w:sz w:val="16"/>
                <w:szCs w:val="16"/>
                <w:lang w:eastAsia="tr-TR"/>
              </w:rPr>
            </w:pPr>
            <w:r w:rsidRPr="00AE2554">
              <w:rPr>
                <w:color w:val="404040"/>
                <w:sz w:val="16"/>
                <w:szCs w:val="16"/>
                <w:lang w:eastAsia="tr-TR"/>
              </w:rPr>
              <w:t>62</w:t>
            </w:r>
          </w:p>
        </w:tc>
        <w:tc>
          <w:tcPr>
            <w:tcW w:w="1125" w:type="dxa"/>
            <w:tcBorders>
              <w:top w:val="nil"/>
              <w:left w:val="nil"/>
              <w:bottom w:val="double" w:sz="6" w:space="0" w:color="auto"/>
              <w:right w:val="nil"/>
            </w:tcBorders>
            <w:shd w:val="clear" w:color="auto" w:fill="auto"/>
            <w:vAlign w:val="center"/>
            <w:hideMark/>
          </w:tcPr>
          <w:p w14:paraId="7A74ADE7" w14:textId="77777777" w:rsidR="00AE2554" w:rsidRPr="00AE2554" w:rsidRDefault="00AE2554" w:rsidP="00AE2554">
            <w:pPr>
              <w:jc w:val="right"/>
              <w:rPr>
                <w:color w:val="404040"/>
                <w:sz w:val="16"/>
                <w:szCs w:val="16"/>
                <w:lang w:eastAsia="tr-TR"/>
              </w:rPr>
            </w:pPr>
            <w:r w:rsidRPr="00AE2554">
              <w:rPr>
                <w:color w:val="404040"/>
                <w:sz w:val="16"/>
                <w:szCs w:val="16"/>
                <w:lang w:eastAsia="tr-TR"/>
              </w:rPr>
              <w:t>192</w:t>
            </w:r>
          </w:p>
        </w:tc>
        <w:tc>
          <w:tcPr>
            <w:tcW w:w="1109" w:type="dxa"/>
            <w:tcBorders>
              <w:top w:val="nil"/>
              <w:left w:val="nil"/>
              <w:bottom w:val="double" w:sz="6" w:space="0" w:color="auto"/>
              <w:right w:val="nil"/>
            </w:tcBorders>
            <w:shd w:val="clear" w:color="auto" w:fill="auto"/>
            <w:vAlign w:val="center"/>
            <w:hideMark/>
          </w:tcPr>
          <w:p w14:paraId="69406D4D" w14:textId="77777777" w:rsidR="00AE2554" w:rsidRPr="00AE2554" w:rsidRDefault="00AE2554" w:rsidP="00AE2554">
            <w:pPr>
              <w:jc w:val="right"/>
              <w:rPr>
                <w:color w:val="404040"/>
                <w:sz w:val="16"/>
                <w:szCs w:val="16"/>
                <w:lang w:eastAsia="tr-TR"/>
              </w:rPr>
            </w:pPr>
            <w:r w:rsidRPr="00AE2554">
              <w:rPr>
                <w:color w:val="404040"/>
                <w:sz w:val="16"/>
                <w:szCs w:val="16"/>
                <w:lang w:eastAsia="tr-TR"/>
              </w:rPr>
              <w:t>158</w:t>
            </w:r>
          </w:p>
        </w:tc>
        <w:tc>
          <w:tcPr>
            <w:tcW w:w="1334" w:type="dxa"/>
            <w:tcBorders>
              <w:top w:val="nil"/>
              <w:left w:val="nil"/>
              <w:bottom w:val="double" w:sz="6" w:space="0" w:color="auto"/>
              <w:right w:val="nil"/>
            </w:tcBorders>
            <w:shd w:val="clear" w:color="auto" w:fill="auto"/>
            <w:vAlign w:val="center"/>
            <w:hideMark/>
          </w:tcPr>
          <w:p w14:paraId="67AE22E0" w14:textId="77777777" w:rsidR="00AE2554" w:rsidRPr="00AE2554" w:rsidRDefault="00AE2554" w:rsidP="00AE2554">
            <w:pPr>
              <w:jc w:val="right"/>
              <w:rPr>
                <w:color w:val="404040"/>
                <w:sz w:val="16"/>
                <w:szCs w:val="16"/>
                <w:lang w:eastAsia="tr-TR"/>
              </w:rPr>
            </w:pPr>
            <w:r w:rsidRPr="00AE2554">
              <w:rPr>
                <w:color w:val="404040"/>
                <w:sz w:val="16"/>
                <w:szCs w:val="16"/>
                <w:lang w:eastAsia="tr-TR"/>
              </w:rPr>
              <w:t>63</w:t>
            </w:r>
          </w:p>
        </w:tc>
        <w:tc>
          <w:tcPr>
            <w:tcW w:w="996" w:type="dxa"/>
            <w:tcBorders>
              <w:top w:val="nil"/>
              <w:left w:val="nil"/>
              <w:bottom w:val="double" w:sz="6" w:space="0" w:color="auto"/>
              <w:right w:val="nil"/>
            </w:tcBorders>
            <w:shd w:val="clear" w:color="auto" w:fill="auto"/>
            <w:vAlign w:val="center"/>
            <w:hideMark/>
          </w:tcPr>
          <w:p w14:paraId="1E7CC78A" w14:textId="77777777" w:rsidR="00AE2554" w:rsidRPr="00AE2554" w:rsidRDefault="00AE2554" w:rsidP="00AE2554">
            <w:pPr>
              <w:jc w:val="right"/>
              <w:rPr>
                <w:color w:val="404040"/>
                <w:sz w:val="16"/>
                <w:szCs w:val="16"/>
                <w:lang w:eastAsia="tr-TR"/>
              </w:rPr>
            </w:pPr>
            <w:r w:rsidRPr="00AE2554">
              <w:rPr>
                <w:color w:val="404040"/>
                <w:sz w:val="16"/>
                <w:szCs w:val="16"/>
                <w:lang w:eastAsia="tr-TR"/>
              </w:rPr>
              <w:t>3,993</w:t>
            </w:r>
          </w:p>
        </w:tc>
        <w:tc>
          <w:tcPr>
            <w:tcW w:w="996" w:type="dxa"/>
            <w:tcBorders>
              <w:top w:val="nil"/>
              <w:left w:val="nil"/>
              <w:bottom w:val="double" w:sz="6" w:space="0" w:color="auto"/>
              <w:right w:val="nil"/>
            </w:tcBorders>
            <w:shd w:val="clear" w:color="auto" w:fill="auto"/>
            <w:vAlign w:val="center"/>
            <w:hideMark/>
          </w:tcPr>
          <w:p w14:paraId="33FFBCA5" w14:textId="77777777" w:rsidR="00AE2554" w:rsidRPr="00AE2554" w:rsidRDefault="00AE2554" w:rsidP="00AE2554">
            <w:pPr>
              <w:jc w:val="right"/>
              <w:rPr>
                <w:color w:val="404040"/>
                <w:sz w:val="16"/>
                <w:szCs w:val="16"/>
                <w:lang w:eastAsia="tr-TR"/>
              </w:rPr>
            </w:pPr>
            <w:r w:rsidRPr="00AE2554">
              <w:rPr>
                <w:color w:val="404040"/>
                <w:sz w:val="16"/>
                <w:szCs w:val="16"/>
                <w:lang w:eastAsia="tr-TR"/>
              </w:rPr>
              <w:t>-</w:t>
            </w:r>
          </w:p>
        </w:tc>
      </w:tr>
    </w:tbl>
    <w:p w14:paraId="6765DADB" w14:textId="46AAA6A6" w:rsidR="000F096F" w:rsidRPr="00AE2554" w:rsidRDefault="000F096F" w:rsidP="000F096F">
      <w:pPr>
        <w:autoSpaceDE w:val="0"/>
        <w:autoSpaceDN w:val="0"/>
        <w:adjustRightInd w:val="0"/>
        <w:rPr>
          <w:rFonts w:eastAsia="Arial Unicode MS"/>
          <w:sz w:val="16"/>
          <w:szCs w:val="16"/>
        </w:rPr>
      </w:pPr>
    </w:p>
    <w:p w14:paraId="2F900FCB" w14:textId="77777777" w:rsidR="00E26541" w:rsidRPr="00AE2554"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AE2554">
        <w:rPr>
          <w:rFonts w:eastAsia="Times New Roman"/>
          <w:sz w:val="16"/>
          <w:szCs w:val="16"/>
        </w:rPr>
        <w:t>(*</w:t>
      </w:r>
      <w:proofErr w:type="gramStart"/>
      <w:r w:rsidRPr="00AE2554">
        <w:rPr>
          <w:rFonts w:eastAsia="Times New Roman"/>
          <w:sz w:val="16"/>
          <w:szCs w:val="16"/>
        </w:rPr>
        <w:t xml:space="preserve">)  </w:t>
      </w:r>
      <w:r w:rsidR="00D35A9A" w:rsidRPr="00AE2554">
        <w:rPr>
          <w:rFonts w:eastAsia="Times New Roman"/>
          <w:sz w:val="16"/>
          <w:szCs w:val="16"/>
        </w:rPr>
        <w:t>5411</w:t>
      </w:r>
      <w:proofErr w:type="gramEnd"/>
      <w:r w:rsidR="00D35A9A" w:rsidRPr="00AE2554">
        <w:rPr>
          <w:rFonts w:eastAsia="Times New Roman"/>
          <w:sz w:val="16"/>
          <w:szCs w:val="16"/>
        </w:rPr>
        <w:t xml:space="preserve"> Sayılı Bankacılık Kanunu’nun 49 uncu maddesinin 2 </w:t>
      </w:r>
      <w:proofErr w:type="spellStart"/>
      <w:r w:rsidR="00D35A9A" w:rsidRPr="00AE2554">
        <w:rPr>
          <w:rFonts w:eastAsia="Times New Roman"/>
          <w:sz w:val="16"/>
          <w:szCs w:val="16"/>
        </w:rPr>
        <w:t>nci</w:t>
      </w:r>
      <w:proofErr w:type="spellEnd"/>
      <w:r w:rsidR="00D35A9A" w:rsidRPr="00AE2554">
        <w:rPr>
          <w:rFonts w:eastAsia="Times New Roman"/>
          <w:sz w:val="16"/>
          <w:szCs w:val="16"/>
        </w:rPr>
        <w:t xml:space="preserve"> fıkrasında tanımlanmıştır.</w:t>
      </w:r>
    </w:p>
    <w:p w14:paraId="1AD7C815" w14:textId="632389F2" w:rsidR="009608CC" w:rsidRPr="00AE2554" w:rsidRDefault="009608CC" w:rsidP="002F5629">
      <w:pPr>
        <w:autoSpaceDE w:val="0"/>
        <w:autoSpaceDN w:val="0"/>
        <w:adjustRightInd w:val="0"/>
        <w:ind w:hanging="567"/>
        <w:rPr>
          <w:b/>
          <w:bCs/>
          <w:iCs/>
          <w:sz w:val="16"/>
          <w:szCs w:val="16"/>
        </w:rPr>
      </w:pPr>
    </w:p>
    <w:p w14:paraId="44BAB86F" w14:textId="7A90428B" w:rsidR="000F096F" w:rsidRPr="00AE2554" w:rsidRDefault="00E253C8" w:rsidP="00B843E3">
      <w:pPr>
        <w:autoSpaceDE w:val="0"/>
        <w:autoSpaceDN w:val="0"/>
        <w:adjustRightInd w:val="0"/>
      </w:pPr>
      <w:r w:rsidRPr="00AE2554">
        <w:t>Önceki dönem:</w:t>
      </w:r>
    </w:p>
    <w:p w14:paraId="7527D766" w14:textId="2BD287A6" w:rsidR="009E73BA" w:rsidRPr="00AE2554" w:rsidRDefault="009E73BA"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val="en-GB" w:eastAsia="en-GB"/>
        </w:rPr>
      </w:pPr>
    </w:p>
    <w:tbl>
      <w:tblPr>
        <w:tblW w:w="9564" w:type="dxa"/>
        <w:tblCellMar>
          <w:left w:w="70" w:type="dxa"/>
          <w:right w:w="70" w:type="dxa"/>
        </w:tblCellMar>
        <w:tblLook w:val="04A0" w:firstRow="1" w:lastRow="0" w:firstColumn="1" w:lastColumn="0" w:noHBand="0" w:noVBand="1"/>
      </w:tblPr>
      <w:tblGrid>
        <w:gridCol w:w="2842"/>
        <w:gridCol w:w="1197"/>
        <w:gridCol w:w="1118"/>
        <w:gridCol w:w="1101"/>
        <w:gridCol w:w="1326"/>
        <w:gridCol w:w="990"/>
        <w:gridCol w:w="990"/>
      </w:tblGrid>
      <w:tr w:rsidR="009E73BA" w:rsidRPr="00AE2554" w14:paraId="475A465C" w14:textId="77777777" w:rsidTr="009E73BA">
        <w:trPr>
          <w:divId w:val="338118441"/>
          <w:trHeight w:val="510"/>
        </w:trPr>
        <w:tc>
          <w:tcPr>
            <w:tcW w:w="2842" w:type="dxa"/>
            <w:tcBorders>
              <w:top w:val="nil"/>
              <w:left w:val="nil"/>
              <w:bottom w:val="single" w:sz="8" w:space="0" w:color="auto"/>
              <w:right w:val="nil"/>
            </w:tcBorders>
            <w:shd w:val="clear" w:color="auto" w:fill="auto"/>
            <w:vAlign w:val="center"/>
            <w:hideMark/>
          </w:tcPr>
          <w:p w14:paraId="01AD7E35" w14:textId="6E23F982" w:rsidR="009E73BA" w:rsidRPr="00AE2554" w:rsidRDefault="009E73BA" w:rsidP="009E73BA">
            <w:pPr>
              <w:jc w:val="both"/>
              <w:rPr>
                <w:b/>
                <w:bCs/>
                <w:color w:val="000000"/>
                <w:sz w:val="16"/>
                <w:szCs w:val="16"/>
                <w:lang w:eastAsia="tr-TR"/>
              </w:rPr>
            </w:pPr>
            <w:r w:rsidRPr="00AE2554">
              <w:rPr>
                <w:b/>
                <w:bCs/>
                <w:color w:val="000000"/>
                <w:sz w:val="16"/>
                <w:szCs w:val="16"/>
                <w:lang w:eastAsia="tr-TR"/>
              </w:rPr>
              <w:t>Banka'nın dahil olduğu risk grubu (*)</w:t>
            </w:r>
          </w:p>
        </w:tc>
        <w:tc>
          <w:tcPr>
            <w:tcW w:w="2315" w:type="dxa"/>
            <w:gridSpan w:val="2"/>
            <w:tcBorders>
              <w:top w:val="double" w:sz="6" w:space="0" w:color="auto"/>
              <w:left w:val="nil"/>
              <w:bottom w:val="nil"/>
              <w:right w:val="nil"/>
            </w:tcBorders>
            <w:shd w:val="clear" w:color="auto" w:fill="auto"/>
            <w:vAlign w:val="center"/>
            <w:hideMark/>
          </w:tcPr>
          <w:p w14:paraId="77CF6C86" w14:textId="77777777" w:rsidR="009E73BA" w:rsidRPr="00AE2554" w:rsidRDefault="009E73BA" w:rsidP="009E73BA">
            <w:pPr>
              <w:jc w:val="center"/>
              <w:rPr>
                <w:b/>
                <w:bCs/>
                <w:color w:val="000000"/>
                <w:sz w:val="16"/>
                <w:szCs w:val="16"/>
                <w:lang w:eastAsia="tr-TR"/>
              </w:rPr>
            </w:pPr>
            <w:r w:rsidRPr="00AE2554">
              <w:rPr>
                <w:b/>
                <w:bCs/>
                <w:color w:val="000000"/>
                <w:sz w:val="16"/>
                <w:szCs w:val="16"/>
                <w:lang w:eastAsia="tr-TR"/>
              </w:rPr>
              <w:t>İştirak, bağlı ortaklıklar ve birlikte kontrol edilen ortaklıklar (iş ortaklıkları)</w:t>
            </w:r>
          </w:p>
        </w:tc>
        <w:tc>
          <w:tcPr>
            <w:tcW w:w="2427" w:type="dxa"/>
            <w:gridSpan w:val="2"/>
            <w:tcBorders>
              <w:top w:val="double" w:sz="6" w:space="0" w:color="auto"/>
              <w:left w:val="nil"/>
              <w:bottom w:val="nil"/>
              <w:right w:val="nil"/>
            </w:tcBorders>
            <w:shd w:val="clear" w:color="auto" w:fill="auto"/>
            <w:vAlign w:val="center"/>
            <w:hideMark/>
          </w:tcPr>
          <w:p w14:paraId="6B835680" w14:textId="77777777" w:rsidR="009E73BA" w:rsidRPr="00AE2554" w:rsidRDefault="009E73BA" w:rsidP="009E73BA">
            <w:pPr>
              <w:jc w:val="center"/>
              <w:rPr>
                <w:b/>
                <w:bCs/>
                <w:color w:val="000000"/>
                <w:sz w:val="16"/>
                <w:szCs w:val="16"/>
                <w:lang w:eastAsia="tr-TR"/>
              </w:rPr>
            </w:pPr>
            <w:r w:rsidRPr="00AE2554">
              <w:rPr>
                <w:b/>
                <w:bCs/>
                <w:color w:val="000000"/>
                <w:sz w:val="16"/>
                <w:szCs w:val="16"/>
                <w:lang w:eastAsia="tr-TR"/>
              </w:rPr>
              <w:t>Bankanın doğrudan ve dolaylı ortaklıkları</w:t>
            </w:r>
          </w:p>
        </w:tc>
        <w:tc>
          <w:tcPr>
            <w:tcW w:w="1980" w:type="dxa"/>
            <w:gridSpan w:val="2"/>
            <w:tcBorders>
              <w:top w:val="double" w:sz="6" w:space="0" w:color="auto"/>
              <w:left w:val="nil"/>
              <w:bottom w:val="nil"/>
              <w:right w:val="nil"/>
            </w:tcBorders>
            <w:shd w:val="clear" w:color="auto" w:fill="auto"/>
            <w:vAlign w:val="center"/>
            <w:hideMark/>
          </w:tcPr>
          <w:p w14:paraId="289A6D27" w14:textId="77777777" w:rsidR="009E73BA" w:rsidRPr="00AE2554" w:rsidRDefault="009E73BA" w:rsidP="009E73BA">
            <w:pPr>
              <w:jc w:val="center"/>
              <w:rPr>
                <w:b/>
                <w:bCs/>
                <w:color w:val="000000"/>
                <w:sz w:val="16"/>
                <w:szCs w:val="16"/>
                <w:lang w:eastAsia="tr-TR"/>
              </w:rPr>
            </w:pPr>
            <w:r w:rsidRPr="00AE2554">
              <w:rPr>
                <w:b/>
                <w:bCs/>
                <w:color w:val="000000"/>
                <w:sz w:val="16"/>
                <w:szCs w:val="16"/>
                <w:lang w:eastAsia="tr-TR"/>
              </w:rPr>
              <w:t>Risk grubuna dahil olan diğer gerçek ve tüzel kişiler</w:t>
            </w:r>
          </w:p>
        </w:tc>
      </w:tr>
      <w:tr w:rsidR="009E73BA" w:rsidRPr="00AE2554" w14:paraId="30B63C20" w14:textId="77777777" w:rsidTr="009E73BA">
        <w:trPr>
          <w:divId w:val="338118441"/>
          <w:trHeight w:val="194"/>
        </w:trPr>
        <w:tc>
          <w:tcPr>
            <w:tcW w:w="2842" w:type="dxa"/>
            <w:tcBorders>
              <w:top w:val="nil"/>
              <w:left w:val="nil"/>
              <w:bottom w:val="nil"/>
              <w:right w:val="nil"/>
            </w:tcBorders>
            <w:shd w:val="clear" w:color="auto" w:fill="auto"/>
            <w:noWrap/>
            <w:vAlign w:val="bottom"/>
            <w:hideMark/>
          </w:tcPr>
          <w:p w14:paraId="6D4A256A" w14:textId="77777777" w:rsidR="009E73BA" w:rsidRPr="00AE2554" w:rsidRDefault="009E73BA" w:rsidP="009E73BA">
            <w:pPr>
              <w:jc w:val="center"/>
              <w:rPr>
                <w:color w:val="000000"/>
                <w:sz w:val="16"/>
                <w:szCs w:val="16"/>
                <w:lang w:eastAsia="tr-TR"/>
              </w:rPr>
            </w:pPr>
            <w:r w:rsidRPr="00AE2554">
              <w:rPr>
                <w:b/>
                <w:bCs/>
                <w:color w:val="000000"/>
                <w:sz w:val="16"/>
                <w:szCs w:val="16"/>
                <w:lang w:eastAsia="tr-TR"/>
              </w:rPr>
              <w:t> </w:t>
            </w:r>
          </w:p>
        </w:tc>
        <w:tc>
          <w:tcPr>
            <w:tcW w:w="1197" w:type="dxa"/>
            <w:tcBorders>
              <w:top w:val="nil"/>
              <w:left w:val="nil"/>
              <w:bottom w:val="single" w:sz="8" w:space="0" w:color="auto"/>
              <w:right w:val="nil"/>
            </w:tcBorders>
            <w:shd w:val="clear" w:color="auto" w:fill="auto"/>
            <w:vAlign w:val="center"/>
            <w:hideMark/>
          </w:tcPr>
          <w:p w14:paraId="508A4639" w14:textId="77777777" w:rsidR="009E73BA" w:rsidRPr="00AE2554" w:rsidRDefault="009E73BA" w:rsidP="009E73BA">
            <w:pPr>
              <w:jc w:val="right"/>
              <w:rPr>
                <w:b/>
                <w:bCs/>
                <w:color w:val="000000"/>
                <w:sz w:val="16"/>
                <w:szCs w:val="16"/>
                <w:lang w:eastAsia="tr-TR"/>
              </w:rPr>
            </w:pPr>
            <w:r w:rsidRPr="00AE2554">
              <w:rPr>
                <w:b/>
                <w:bCs/>
                <w:color w:val="000000"/>
                <w:sz w:val="16"/>
                <w:szCs w:val="16"/>
                <w:lang w:eastAsia="tr-TR"/>
              </w:rPr>
              <w:t>Nakdi</w:t>
            </w:r>
          </w:p>
        </w:tc>
        <w:tc>
          <w:tcPr>
            <w:tcW w:w="1117" w:type="dxa"/>
            <w:tcBorders>
              <w:top w:val="nil"/>
              <w:left w:val="nil"/>
              <w:bottom w:val="single" w:sz="8" w:space="0" w:color="auto"/>
              <w:right w:val="nil"/>
            </w:tcBorders>
            <w:shd w:val="clear" w:color="auto" w:fill="auto"/>
            <w:vAlign w:val="center"/>
            <w:hideMark/>
          </w:tcPr>
          <w:p w14:paraId="63B4D624" w14:textId="77777777" w:rsidR="009E73BA" w:rsidRPr="00AE2554" w:rsidRDefault="009E73BA" w:rsidP="009E73BA">
            <w:pPr>
              <w:jc w:val="right"/>
              <w:rPr>
                <w:b/>
                <w:bCs/>
                <w:color w:val="000000"/>
                <w:sz w:val="16"/>
                <w:szCs w:val="16"/>
                <w:lang w:eastAsia="tr-TR"/>
              </w:rPr>
            </w:pPr>
            <w:proofErr w:type="spellStart"/>
            <w:proofErr w:type="gramStart"/>
            <w:r w:rsidRPr="00AE2554">
              <w:rPr>
                <w:b/>
                <w:bCs/>
                <w:color w:val="000000"/>
                <w:sz w:val="16"/>
                <w:szCs w:val="16"/>
                <w:lang w:eastAsia="tr-TR"/>
              </w:rPr>
              <w:t>G.Nakdi</w:t>
            </w:r>
            <w:proofErr w:type="spellEnd"/>
            <w:proofErr w:type="gramEnd"/>
          </w:p>
        </w:tc>
        <w:tc>
          <w:tcPr>
            <w:tcW w:w="1101" w:type="dxa"/>
            <w:tcBorders>
              <w:top w:val="nil"/>
              <w:left w:val="nil"/>
              <w:bottom w:val="single" w:sz="8" w:space="0" w:color="auto"/>
              <w:right w:val="nil"/>
            </w:tcBorders>
            <w:shd w:val="clear" w:color="auto" w:fill="auto"/>
            <w:vAlign w:val="center"/>
            <w:hideMark/>
          </w:tcPr>
          <w:p w14:paraId="2B881053" w14:textId="77777777" w:rsidR="009E73BA" w:rsidRPr="00AE2554" w:rsidRDefault="009E73BA" w:rsidP="009E73BA">
            <w:pPr>
              <w:jc w:val="right"/>
              <w:rPr>
                <w:b/>
                <w:bCs/>
                <w:color w:val="000000"/>
                <w:sz w:val="16"/>
                <w:szCs w:val="16"/>
                <w:lang w:eastAsia="tr-TR"/>
              </w:rPr>
            </w:pPr>
            <w:r w:rsidRPr="00AE2554">
              <w:rPr>
                <w:b/>
                <w:bCs/>
                <w:color w:val="000000"/>
                <w:sz w:val="16"/>
                <w:szCs w:val="16"/>
                <w:lang w:eastAsia="tr-TR"/>
              </w:rPr>
              <w:t>Nakdi</w:t>
            </w:r>
          </w:p>
        </w:tc>
        <w:tc>
          <w:tcPr>
            <w:tcW w:w="1325" w:type="dxa"/>
            <w:tcBorders>
              <w:top w:val="nil"/>
              <w:left w:val="nil"/>
              <w:bottom w:val="single" w:sz="8" w:space="0" w:color="auto"/>
              <w:right w:val="nil"/>
            </w:tcBorders>
            <w:shd w:val="clear" w:color="auto" w:fill="auto"/>
            <w:vAlign w:val="center"/>
            <w:hideMark/>
          </w:tcPr>
          <w:p w14:paraId="1DE7138D" w14:textId="77777777" w:rsidR="009E73BA" w:rsidRPr="00AE2554" w:rsidRDefault="009E73BA" w:rsidP="009E73BA">
            <w:pPr>
              <w:jc w:val="right"/>
              <w:rPr>
                <w:b/>
                <w:bCs/>
                <w:color w:val="000000"/>
                <w:sz w:val="16"/>
                <w:szCs w:val="16"/>
                <w:lang w:eastAsia="tr-TR"/>
              </w:rPr>
            </w:pPr>
            <w:proofErr w:type="spellStart"/>
            <w:proofErr w:type="gramStart"/>
            <w:r w:rsidRPr="00AE2554">
              <w:rPr>
                <w:b/>
                <w:bCs/>
                <w:color w:val="000000"/>
                <w:sz w:val="16"/>
                <w:szCs w:val="16"/>
                <w:lang w:eastAsia="tr-TR"/>
              </w:rPr>
              <w:t>G.Nakdi</w:t>
            </w:r>
            <w:proofErr w:type="spellEnd"/>
            <w:proofErr w:type="gramEnd"/>
          </w:p>
        </w:tc>
        <w:tc>
          <w:tcPr>
            <w:tcW w:w="990" w:type="dxa"/>
            <w:tcBorders>
              <w:top w:val="nil"/>
              <w:left w:val="nil"/>
              <w:bottom w:val="single" w:sz="8" w:space="0" w:color="auto"/>
              <w:right w:val="nil"/>
            </w:tcBorders>
            <w:shd w:val="clear" w:color="auto" w:fill="auto"/>
            <w:vAlign w:val="center"/>
            <w:hideMark/>
          </w:tcPr>
          <w:p w14:paraId="44E5C211" w14:textId="77777777" w:rsidR="009E73BA" w:rsidRPr="00AE2554" w:rsidRDefault="009E73BA" w:rsidP="009E73BA">
            <w:pPr>
              <w:jc w:val="right"/>
              <w:rPr>
                <w:b/>
                <w:bCs/>
                <w:color w:val="000000"/>
                <w:sz w:val="16"/>
                <w:szCs w:val="16"/>
                <w:lang w:eastAsia="tr-TR"/>
              </w:rPr>
            </w:pPr>
            <w:r w:rsidRPr="00AE2554">
              <w:rPr>
                <w:b/>
                <w:bCs/>
                <w:color w:val="000000"/>
                <w:sz w:val="16"/>
                <w:szCs w:val="16"/>
                <w:lang w:eastAsia="tr-TR"/>
              </w:rPr>
              <w:t>Nakdi</w:t>
            </w:r>
          </w:p>
        </w:tc>
        <w:tc>
          <w:tcPr>
            <w:tcW w:w="990" w:type="dxa"/>
            <w:tcBorders>
              <w:top w:val="nil"/>
              <w:left w:val="nil"/>
              <w:bottom w:val="single" w:sz="8" w:space="0" w:color="auto"/>
              <w:right w:val="nil"/>
            </w:tcBorders>
            <w:shd w:val="clear" w:color="auto" w:fill="auto"/>
            <w:vAlign w:val="center"/>
            <w:hideMark/>
          </w:tcPr>
          <w:p w14:paraId="3D52E8B5" w14:textId="77777777" w:rsidR="009E73BA" w:rsidRPr="00AE2554" w:rsidRDefault="009E73BA" w:rsidP="009E73BA">
            <w:pPr>
              <w:jc w:val="right"/>
              <w:rPr>
                <w:b/>
                <w:bCs/>
                <w:color w:val="000000"/>
                <w:sz w:val="16"/>
                <w:szCs w:val="16"/>
                <w:lang w:eastAsia="tr-TR"/>
              </w:rPr>
            </w:pPr>
            <w:proofErr w:type="spellStart"/>
            <w:proofErr w:type="gramStart"/>
            <w:r w:rsidRPr="00AE2554">
              <w:rPr>
                <w:b/>
                <w:bCs/>
                <w:color w:val="000000"/>
                <w:sz w:val="16"/>
                <w:szCs w:val="16"/>
                <w:lang w:eastAsia="tr-TR"/>
              </w:rPr>
              <w:t>G.Nakdi</w:t>
            </w:r>
            <w:proofErr w:type="spellEnd"/>
            <w:proofErr w:type="gramEnd"/>
          </w:p>
        </w:tc>
      </w:tr>
      <w:tr w:rsidR="009E73BA" w:rsidRPr="00AE2554" w14:paraId="21F55E2F" w14:textId="77777777" w:rsidTr="009E73BA">
        <w:trPr>
          <w:divId w:val="338118441"/>
          <w:trHeight w:val="182"/>
        </w:trPr>
        <w:tc>
          <w:tcPr>
            <w:tcW w:w="2842" w:type="dxa"/>
            <w:tcBorders>
              <w:top w:val="nil"/>
              <w:left w:val="nil"/>
              <w:bottom w:val="nil"/>
              <w:right w:val="nil"/>
            </w:tcBorders>
            <w:shd w:val="clear" w:color="auto" w:fill="auto"/>
            <w:vAlign w:val="center"/>
            <w:hideMark/>
          </w:tcPr>
          <w:p w14:paraId="5A2D5F55" w14:textId="77777777" w:rsidR="009E73BA" w:rsidRPr="00AE2554" w:rsidRDefault="009E73BA" w:rsidP="009E73BA">
            <w:pPr>
              <w:jc w:val="both"/>
              <w:rPr>
                <w:b/>
                <w:bCs/>
                <w:color w:val="000000"/>
                <w:sz w:val="16"/>
                <w:szCs w:val="16"/>
                <w:lang w:eastAsia="tr-TR"/>
              </w:rPr>
            </w:pPr>
            <w:r w:rsidRPr="00AE2554">
              <w:rPr>
                <w:b/>
                <w:bCs/>
                <w:color w:val="000000"/>
                <w:sz w:val="16"/>
                <w:szCs w:val="16"/>
                <w:lang w:eastAsia="tr-TR"/>
              </w:rPr>
              <w:t>Krediler ve diğer alacaklar</w:t>
            </w:r>
          </w:p>
        </w:tc>
        <w:tc>
          <w:tcPr>
            <w:tcW w:w="1197" w:type="dxa"/>
            <w:tcBorders>
              <w:top w:val="nil"/>
              <w:left w:val="nil"/>
              <w:bottom w:val="nil"/>
              <w:right w:val="nil"/>
            </w:tcBorders>
            <w:shd w:val="clear" w:color="auto" w:fill="auto"/>
            <w:vAlign w:val="center"/>
            <w:hideMark/>
          </w:tcPr>
          <w:p w14:paraId="19AF1334" w14:textId="77777777" w:rsidR="009E73BA" w:rsidRPr="00AE2554" w:rsidRDefault="009E73BA" w:rsidP="009E73BA">
            <w:pPr>
              <w:jc w:val="both"/>
              <w:rPr>
                <w:b/>
                <w:bCs/>
                <w:color w:val="000000"/>
                <w:sz w:val="16"/>
                <w:szCs w:val="16"/>
                <w:lang w:eastAsia="tr-TR"/>
              </w:rPr>
            </w:pPr>
          </w:p>
        </w:tc>
        <w:tc>
          <w:tcPr>
            <w:tcW w:w="1117" w:type="dxa"/>
            <w:tcBorders>
              <w:top w:val="nil"/>
              <w:left w:val="nil"/>
              <w:bottom w:val="nil"/>
              <w:right w:val="nil"/>
            </w:tcBorders>
            <w:shd w:val="clear" w:color="auto" w:fill="auto"/>
            <w:vAlign w:val="center"/>
            <w:hideMark/>
          </w:tcPr>
          <w:p w14:paraId="6C8064C4" w14:textId="77777777" w:rsidR="009E73BA" w:rsidRPr="00AE2554" w:rsidRDefault="009E73BA" w:rsidP="009E73BA">
            <w:pPr>
              <w:jc w:val="right"/>
              <w:rPr>
                <w:lang w:eastAsia="tr-TR"/>
              </w:rPr>
            </w:pPr>
          </w:p>
        </w:tc>
        <w:tc>
          <w:tcPr>
            <w:tcW w:w="1101" w:type="dxa"/>
            <w:tcBorders>
              <w:top w:val="nil"/>
              <w:left w:val="nil"/>
              <w:bottom w:val="nil"/>
              <w:right w:val="nil"/>
            </w:tcBorders>
            <w:shd w:val="clear" w:color="auto" w:fill="auto"/>
            <w:vAlign w:val="center"/>
            <w:hideMark/>
          </w:tcPr>
          <w:p w14:paraId="14A699DC" w14:textId="77777777" w:rsidR="009E73BA" w:rsidRPr="00AE2554" w:rsidRDefault="009E73BA" w:rsidP="009E73BA">
            <w:pPr>
              <w:jc w:val="right"/>
              <w:rPr>
                <w:lang w:eastAsia="tr-TR"/>
              </w:rPr>
            </w:pPr>
          </w:p>
        </w:tc>
        <w:tc>
          <w:tcPr>
            <w:tcW w:w="1325" w:type="dxa"/>
            <w:tcBorders>
              <w:top w:val="nil"/>
              <w:left w:val="nil"/>
              <w:bottom w:val="nil"/>
              <w:right w:val="nil"/>
            </w:tcBorders>
            <w:shd w:val="clear" w:color="auto" w:fill="auto"/>
            <w:vAlign w:val="center"/>
            <w:hideMark/>
          </w:tcPr>
          <w:p w14:paraId="56693AB4" w14:textId="77777777" w:rsidR="009E73BA" w:rsidRPr="00AE2554" w:rsidRDefault="009E73BA" w:rsidP="009E73BA">
            <w:pPr>
              <w:jc w:val="right"/>
              <w:rPr>
                <w:lang w:eastAsia="tr-TR"/>
              </w:rPr>
            </w:pPr>
          </w:p>
        </w:tc>
        <w:tc>
          <w:tcPr>
            <w:tcW w:w="990" w:type="dxa"/>
            <w:tcBorders>
              <w:top w:val="nil"/>
              <w:left w:val="nil"/>
              <w:bottom w:val="nil"/>
              <w:right w:val="nil"/>
            </w:tcBorders>
            <w:shd w:val="clear" w:color="auto" w:fill="auto"/>
            <w:vAlign w:val="center"/>
            <w:hideMark/>
          </w:tcPr>
          <w:p w14:paraId="1DFDE48F" w14:textId="77777777" w:rsidR="009E73BA" w:rsidRPr="00AE2554" w:rsidRDefault="009E73BA" w:rsidP="009E73BA">
            <w:pPr>
              <w:jc w:val="right"/>
              <w:rPr>
                <w:lang w:eastAsia="tr-TR"/>
              </w:rPr>
            </w:pPr>
          </w:p>
        </w:tc>
        <w:tc>
          <w:tcPr>
            <w:tcW w:w="990" w:type="dxa"/>
            <w:tcBorders>
              <w:top w:val="nil"/>
              <w:left w:val="nil"/>
              <w:bottom w:val="nil"/>
              <w:right w:val="nil"/>
            </w:tcBorders>
            <w:shd w:val="clear" w:color="auto" w:fill="auto"/>
            <w:vAlign w:val="center"/>
            <w:hideMark/>
          </w:tcPr>
          <w:p w14:paraId="3035FB45" w14:textId="77777777" w:rsidR="009E73BA" w:rsidRPr="00AE2554" w:rsidRDefault="009E73BA" w:rsidP="009E73BA">
            <w:pPr>
              <w:jc w:val="right"/>
              <w:rPr>
                <w:lang w:eastAsia="tr-TR"/>
              </w:rPr>
            </w:pPr>
          </w:p>
        </w:tc>
      </w:tr>
      <w:tr w:rsidR="009E73BA" w:rsidRPr="00AE2554" w14:paraId="1197300F" w14:textId="77777777" w:rsidTr="009E73BA">
        <w:trPr>
          <w:divId w:val="338118441"/>
          <w:trHeight w:val="182"/>
        </w:trPr>
        <w:tc>
          <w:tcPr>
            <w:tcW w:w="2842" w:type="dxa"/>
            <w:tcBorders>
              <w:top w:val="nil"/>
              <w:left w:val="nil"/>
              <w:bottom w:val="nil"/>
              <w:right w:val="nil"/>
            </w:tcBorders>
            <w:shd w:val="clear" w:color="auto" w:fill="auto"/>
            <w:vAlign w:val="center"/>
            <w:hideMark/>
          </w:tcPr>
          <w:p w14:paraId="5D2AFBED" w14:textId="77777777" w:rsidR="009E73BA" w:rsidRPr="00AE2554" w:rsidRDefault="009E73BA" w:rsidP="009E73BA">
            <w:pPr>
              <w:ind w:firstLineChars="100" w:firstLine="160"/>
              <w:rPr>
                <w:color w:val="404040"/>
                <w:sz w:val="16"/>
                <w:szCs w:val="16"/>
                <w:lang w:eastAsia="tr-TR"/>
              </w:rPr>
            </w:pPr>
            <w:r w:rsidRPr="00AE2554">
              <w:rPr>
                <w:color w:val="404040"/>
                <w:sz w:val="16"/>
                <w:szCs w:val="16"/>
                <w:lang w:eastAsia="tr-TR"/>
              </w:rPr>
              <w:t xml:space="preserve">Dönem Başı Bakiyesi </w:t>
            </w:r>
          </w:p>
        </w:tc>
        <w:tc>
          <w:tcPr>
            <w:tcW w:w="1197" w:type="dxa"/>
            <w:tcBorders>
              <w:top w:val="nil"/>
              <w:left w:val="nil"/>
              <w:bottom w:val="nil"/>
              <w:right w:val="nil"/>
            </w:tcBorders>
            <w:shd w:val="clear" w:color="auto" w:fill="auto"/>
            <w:vAlign w:val="center"/>
            <w:hideMark/>
          </w:tcPr>
          <w:p w14:paraId="550F9E8B" w14:textId="77777777" w:rsidR="009E73BA" w:rsidRPr="00AE2554" w:rsidRDefault="009E73BA" w:rsidP="009E73BA">
            <w:pPr>
              <w:jc w:val="right"/>
              <w:rPr>
                <w:color w:val="404040"/>
                <w:sz w:val="16"/>
                <w:szCs w:val="16"/>
                <w:lang w:eastAsia="tr-TR"/>
              </w:rPr>
            </w:pPr>
            <w:r w:rsidRPr="00AE2554">
              <w:rPr>
                <w:color w:val="404040"/>
                <w:sz w:val="16"/>
                <w:szCs w:val="16"/>
                <w:lang w:eastAsia="tr-TR"/>
              </w:rPr>
              <w:t>121,040</w:t>
            </w:r>
          </w:p>
        </w:tc>
        <w:tc>
          <w:tcPr>
            <w:tcW w:w="1117" w:type="dxa"/>
            <w:tcBorders>
              <w:top w:val="nil"/>
              <w:left w:val="nil"/>
              <w:bottom w:val="nil"/>
              <w:right w:val="nil"/>
            </w:tcBorders>
            <w:shd w:val="clear" w:color="auto" w:fill="auto"/>
            <w:vAlign w:val="center"/>
            <w:hideMark/>
          </w:tcPr>
          <w:p w14:paraId="53422678" w14:textId="77777777" w:rsidR="009E73BA" w:rsidRPr="00AE2554" w:rsidRDefault="009E73BA" w:rsidP="009E73BA">
            <w:pPr>
              <w:jc w:val="right"/>
              <w:rPr>
                <w:color w:val="404040"/>
                <w:sz w:val="16"/>
                <w:szCs w:val="16"/>
                <w:lang w:eastAsia="tr-TR"/>
              </w:rPr>
            </w:pPr>
            <w:r w:rsidRPr="00AE2554">
              <w:rPr>
                <w:color w:val="404040"/>
                <w:sz w:val="16"/>
                <w:szCs w:val="16"/>
                <w:lang w:eastAsia="tr-TR"/>
              </w:rPr>
              <w:t>19,092</w:t>
            </w:r>
          </w:p>
        </w:tc>
        <w:tc>
          <w:tcPr>
            <w:tcW w:w="1101" w:type="dxa"/>
            <w:tcBorders>
              <w:top w:val="nil"/>
              <w:left w:val="nil"/>
              <w:bottom w:val="nil"/>
              <w:right w:val="nil"/>
            </w:tcBorders>
            <w:shd w:val="clear" w:color="auto" w:fill="auto"/>
            <w:vAlign w:val="center"/>
            <w:hideMark/>
          </w:tcPr>
          <w:p w14:paraId="2BCA999E" w14:textId="77777777" w:rsidR="009E73BA" w:rsidRPr="00AE2554" w:rsidRDefault="009E73BA" w:rsidP="009E73BA">
            <w:pPr>
              <w:jc w:val="right"/>
              <w:rPr>
                <w:color w:val="404040"/>
                <w:sz w:val="16"/>
                <w:szCs w:val="16"/>
                <w:lang w:eastAsia="tr-TR"/>
              </w:rPr>
            </w:pPr>
            <w:r w:rsidRPr="00AE2554">
              <w:rPr>
                <w:color w:val="404040"/>
                <w:sz w:val="16"/>
                <w:szCs w:val="16"/>
                <w:lang w:eastAsia="tr-TR"/>
              </w:rPr>
              <w:t>1,034</w:t>
            </w:r>
          </w:p>
        </w:tc>
        <w:tc>
          <w:tcPr>
            <w:tcW w:w="1325" w:type="dxa"/>
            <w:tcBorders>
              <w:top w:val="nil"/>
              <w:left w:val="nil"/>
              <w:bottom w:val="nil"/>
              <w:right w:val="nil"/>
            </w:tcBorders>
            <w:shd w:val="clear" w:color="auto" w:fill="auto"/>
            <w:vAlign w:val="center"/>
            <w:hideMark/>
          </w:tcPr>
          <w:p w14:paraId="16741BF1" w14:textId="77777777" w:rsidR="009E73BA" w:rsidRPr="00AE2554" w:rsidRDefault="009E73BA" w:rsidP="009E73BA">
            <w:pPr>
              <w:jc w:val="right"/>
              <w:rPr>
                <w:color w:val="404040"/>
                <w:sz w:val="16"/>
                <w:szCs w:val="16"/>
                <w:lang w:eastAsia="tr-TR"/>
              </w:rPr>
            </w:pPr>
            <w:r w:rsidRPr="00AE2554">
              <w:rPr>
                <w:color w:val="404040"/>
                <w:sz w:val="16"/>
                <w:szCs w:val="16"/>
                <w:lang w:eastAsia="tr-TR"/>
              </w:rPr>
              <w:t>398</w:t>
            </w:r>
          </w:p>
        </w:tc>
        <w:tc>
          <w:tcPr>
            <w:tcW w:w="990" w:type="dxa"/>
            <w:tcBorders>
              <w:top w:val="nil"/>
              <w:left w:val="nil"/>
              <w:bottom w:val="nil"/>
              <w:right w:val="nil"/>
            </w:tcBorders>
            <w:shd w:val="clear" w:color="auto" w:fill="auto"/>
            <w:vAlign w:val="center"/>
            <w:hideMark/>
          </w:tcPr>
          <w:p w14:paraId="7F60A259" w14:textId="77777777" w:rsidR="009E73BA" w:rsidRPr="00AE2554" w:rsidRDefault="009E73BA" w:rsidP="009E73BA">
            <w:pPr>
              <w:jc w:val="right"/>
              <w:rPr>
                <w:color w:val="404040"/>
                <w:sz w:val="16"/>
                <w:szCs w:val="16"/>
                <w:lang w:eastAsia="tr-TR"/>
              </w:rPr>
            </w:pPr>
            <w:r w:rsidRPr="00AE2554">
              <w:rPr>
                <w:color w:val="404040"/>
                <w:sz w:val="16"/>
                <w:szCs w:val="16"/>
                <w:lang w:eastAsia="tr-TR"/>
              </w:rPr>
              <w:t>204,988</w:t>
            </w:r>
          </w:p>
        </w:tc>
        <w:tc>
          <w:tcPr>
            <w:tcW w:w="990" w:type="dxa"/>
            <w:tcBorders>
              <w:top w:val="nil"/>
              <w:left w:val="nil"/>
              <w:bottom w:val="nil"/>
              <w:right w:val="nil"/>
            </w:tcBorders>
            <w:shd w:val="clear" w:color="auto" w:fill="auto"/>
            <w:vAlign w:val="center"/>
            <w:hideMark/>
          </w:tcPr>
          <w:p w14:paraId="39411A35" w14:textId="77777777" w:rsidR="009E73BA" w:rsidRPr="00AE2554" w:rsidRDefault="009E73BA" w:rsidP="009E73BA">
            <w:pPr>
              <w:jc w:val="right"/>
              <w:rPr>
                <w:color w:val="404040"/>
                <w:sz w:val="16"/>
                <w:szCs w:val="16"/>
                <w:lang w:eastAsia="tr-TR"/>
              </w:rPr>
            </w:pPr>
            <w:r w:rsidRPr="00AE2554">
              <w:rPr>
                <w:color w:val="404040"/>
                <w:sz w:val="16"/>
                <w:szCs w:val="16"/>
                <w:lang w:eastAsia="tr-TR"/>
              </w:rPr>
              <w:t>520</w:t>
            </w:r>
          </w:p>
        </w:tc>
      </w:tr>
      <w:tr w:rsidR="009E73BA" w:rsidRPr="00AE2554" w14:paraId="784E82AD" w14:textId="77777777" w:rsidTr="009E73BA">
        <w:trPr>
          <w:divId w:val="338118441"/>
          <w:trHeight w:val="182"/>
        </w:trPr>
        <w:tc>
          <w:tcPr>
            <w:tcW w:w="2842" w:type="dxa"/>
            <w:tcBorders>
              <w:top w:val="nil"/>
              <w:left w:val="nil"/>
              <w:bottom w:val="nil"/>
              <w:right w:val="nil"/>
            </w:tcBorders>
            <w:shd w:val="clear" w:color="auto" w:fill="auto"/>
            <w:vAlign w:val="center"/>
            <w:hideMark/>
          </w:tcPr>
          <w:p w14:paraId="701B69E4" w14:textId="77777777" w:rsidR="009E73BA" w:rsidRPr="00AE2554" w:rsidRDefault="009E73BA" w:rsidP="009E73BA">
            <w:pPr>
              <w:ind w:firstLineChars="100" w:firstLine="160"/>
              <w:rPr>
                <w:color w:val="404040"/>
                <w:sz w:val="16"/>
                <w:szCs w:val="16"/>
                <w:lang w:eastAsia="tr-TR"/>
              </w:rPr>
            </w:pPr>
            <w:r w:rsidRPr="00AE2554">
              <w:rPr>
                <w:color w:val="404040"/>
                <w:sz w:val="16"/>
                <w:szCs w:val="16"/>
                <w:lang w:eastAsia="tr-TR"/>
              </w:rPr>
              <w:t>Dönem Sonu Bakiyesi</w:t>
            </w:r>
          </w:p>
        </w:tc>
        <w:tc>
          <w:tcPr>
            <w:tcW w:w="1197" w:type="dxa"/>
            <w:tcBorders>
              <w:top w:val="nil"/>
              <w:left w:val="nil"/>
              <w:bottom w:val="nil"/>
              <w:right w:val="nil"/>
            </w:tcBorders>
            <w:shd w:val="clear" w:color="auto" w:fill="auto"/>
            <w:vAlign w:val="center"/>
            <w:hideMark/>
          </w:tcPr>
          <w:p w14:paraId="66BA43BD" w14:textId="77777777" w:rsidR="009E73BA" w:rsidRPr="00AE2554" w:rsidRDefault="009E73BA" w:rsidP="009E73BA">
            <w:pPr>
              <w:jc w:val="right"/>
              <w:rPr>
                <w:color w:val="404040"/>
                <w:sz w:val="16"/>
                <w:szCs w:val="16"/>
                <w:lang w:eastAsia="tr-TR"/>
              </w:rPr>
            </w:pPr>
            <w:r w:rsidRPr="00AE2554">
              <w:rPr>
                <w:color w:val="404040"/>
                <w:sz w:val="16"/>
                <w:szCs w:val="16"/>
                <w:lang w:eastAsia="tr-TR"/>
              </w:rPr>
              <w:t>178,601</w:t>
            </w:r>
          </w:p>
        </w:tc>
        <w:tc>
          <w:tcPr>
            <w:tcW w:w="1117" w:type="dxa"/>
            <w:tcBorders>
              <w:top w:val="nil"/>
              <w:left w:val="nil"/>
              <w:bottom w:val="nil"/>
              <w:right w:val="nil"/>
            </w:tcBorders>
            <w:shd w:val="clear" w:color="auto" w:fill="auto"/>
            <w:vAlign w:val="center"/>
            <w:hideMark/>
          </w:tcPr>
          <w:p w14:paraId="12C5A9DE" w14:textId="77777777" w:rsidR="009E73BA" w:rsidRPr="00AE2554" w:rsidRDefault="009E73BA" w:rsidP="009E73BA">
            <w:pPr>
              <w:jc w:val="right"/>
              <w:rPr>
                <w:color w:val="404040"/>
                <w:sz w:val="16"/>
                <w:szCs w:val="16"/>
                <w:lang w:eastAsia="tr-TR"/>
              </w:rPr>
            </w:pPr>
            <w:r w:rsidRPr="00AE2554">
              <w:rPr>
                <w:color w:val="404040"/>
                <w:sz w:val="16"/>
                <w:szCs w:val="16"/>
                <w:lang w:eastAsia="tr-TR"/>
              </w:rPr>
              <w:t>18,527</w:t>
            </w:r>
          </w:p>
        </w:tc>
        <w:tc>
          <w:tcPr>
            <w:tcW w:w="1101" w:type="dxa"/>
            <w:tcBorders>
              <w:top w:val="nil"/>
              <w:left w:val="nil"/>
              <w:bottom w:val="nil"/>
              <w:right w:val="nil"/>
            </w:tcBorders>
            <w:shd w:val="clear" w:color="auto" w:fill="auto"/>
            <w:vAlign w:val="center"/>
            <w:hideMark/>
          </w:tcPr>
          <w:p w14:paraId="441254F5" w14:textId="77777777" w:rsidR="009E73BA" w:rsidRPr="00AE2554" w:rsidRDefault="009E73BA" w:rsidP="009E73BA">
            <w:pPr>
              <w:jc w:val="right"/>
              <w:rPr>
                <w:color w:val="404040"/>
                <w:sz w:val="16"/>
                <w:szCs w:val="16"/>
                <w:lang w:eastAsia="tr-TR"/>
              </w:rPr>
            </w:pPr>
            <w:r w:rsidRPr="00AE2554">
              <w:rPr>
                <w:color w:val="404040"/>
                <w:sz w:val="16"/>
                <w:szCs w:val="16"/>
                <w:lang w:eastAsia="tr-TR"/>
              </w:rPr>
              <w:t>1,868</w:t>
            </w:r>
          </w:p>
        </w:tc>
        <w:tc>
          <w:tcPr>
            <w:tcW w:w="1325" w:type="dxa"/>
            <w:tcBorders>
              <w:top w:val="nil"/>
              <w:left w:val="nil"/>
              <w:bottom w:val="nil"/>
              <w:right w:val="nil"/>
            </w:tcBorders>
            <w:shd w:val="clear" w:color="auto" w:fill="auto"/>
            <w:vAlign w:val="center"/>
            <w:hideMark/>
          </w:tcPr>
          <w:p w14:paraId="0E521466" w14:textId="77777777" w:rsidR="009E73BA" w:rsidRPr="00AE2554" w:rsidRDefault="009E73BA" w:rsidP="009E73BA">
            <w:pPr>
              <w:jc w:val="right"/>
              <w:rPr>
                <w:color w:val="404040"/>
                <w:sz w:val="16"/>
                <w:szCs w:val="16"/>
                <w:lang w:eastAsia="tr-TR"/>
              </w:rPr>
            </w:pPr>
            <w:r w:rsidRPr="00AE2554">
              <w:rPr>
                <w:color w:val="404040"/>
                <w:sz w:val="16"/>
                <w:szCs w:val="16"/>
                <w:lang w:eastAsia="tr-TR"/>
              </w:rPr>
              <w:t>7,206</w:t>
            </w:r>
          </w:p>
        </w:tc>
        <w:tc>
          <w:tcPr>
            <w:tcW w:w="990" w:type="dxa"/>
            <w:tcBorders>
              <w:top w:val="nil"/>
              <w:left w:val="nil"/>
              <w:bottom w:val="nil"/>
              <w:right w:val="nil"/>
            </w:tcBorders>
            <w:shd w:val="clear" w:color="auto" w:fill="auto"/>
            <w:vAlign w:val="center"/>
            <w:hideMark/>
          </w:tcPr>
          <w:p w14:paraId="7DE534EA" w14:textId="77777777" w:rsidR="009E73BA" w:rsidRPr="00AE2554" w:rsidRDefault="009E73BA" w:rsidP="009E73BA">
            <w:pPr>
              <w:jc w:val="right"/>
              <w:rPr>
                <w:color w:val="404040"/>
                <w:sz w:val="16"/>
                <w:szCs w:val="16"/>
                <w:lang w:eastAsia="tr-TR"/>
              </w:rPr>
            </w:pPr>
            <w:r w:rsidRPr="00AE2554">
              <w:rPr>
                <w:color w:val="404040"/>
                <w:sz w:val="16"/>
                <w:szCs w:val="16"/>
                <w:lang w:eastAsia="tr-TR"/>
              </w:rPr>
              <w:t>780,512</w:t>
            </w:r>
          </w:p>
        </w:tc>
        <w:tc>
          <w:tcPr>
            <w:tcW w:w="990" w:type="dxa"/>
            <w:tcBorders>
              <w:top w:val="nil"/>
              <w:left w:val="nil"/>
              <w:bottom w:val="nil"/>
              <w:right w:val="nil"/>
            </w:tcBorders>
            <w:shd w:val="clear" w:color="auto" w:fill="auto"/>
            <w:vAlign w:val="center"/>
            <w:hideMark/>
          </w:tcPr>
          <w:p w14:paraId="5D2BE71F" w14:textId="77777777" w:rsidR="009E73BA" w:rsidRPr="00AE2554" w:rsidRDefault="009E73BA" w:rsidP="009E73BA">
            <w:pPr>
              <w:jc w:val="right"/>
              <w:rPr>
                <w:color w:val="404040"/>
                <w:sz w:val="16"/>
                <w:szCs w:val="16"/>
                <w:lang w:eastAsia="tr-TR"/>
              </w:rPr>
            </w:pPr>
            <w:r w:rsidRPr="00AE2554">
              <w:rPr>
                <w:color w:val="404040"/>
                <w:sz w:val="16"/>
                <w:szCs w:val="16"/>
                <w:lang w:eastAsia="tr-TR"/>
              </w:rPr>
              <w:t>723</w:t>
            </w:r>
          </w:p>
        </w:tc>
      </w:tr>
      <w:tr w:rsidR="009E73BA" w:rsidRPr="00AE2554" w14:paraId="2DC80992" w14:textId="77777777" w:rsidTr="009E73BA">
        <w:trPr>
          <w:divId w:val="338118441"/>
          <w:trHeight w:val="194"/>
        </w:trPr>
        <w:tc>
          <w:tcPr>
            <w:tcW w:w="2842" w:type="dxa"/>
            <w:tcBorders>
              <w:top w:val="nil"/>
              <w:left w:val="nil"/>
              <w:bottom w:val="double" w:sz="6" w:space="0" w:color="auto"/>
              <w:right w:val="nil"/>
            </w:tcBorders>
            <w:shd w:val="clear" w:color="auto" w:fill="auto"/>
            <w:vAlign w:val="center"/>
            <w:hideMark/>
          </w:tcPr>
          <w:p w14:paraId="76F80EB2" w14:textId="77777777" w:rsidR="009E73BA" w:rsidRPr="00AE2554" w:rsidRDefault="009E73BA" w:rsidP="009E73BA">
            <w:pPr>
              <w:jc w:val="both"/>
              <w:rPr>
                <w:color w:val="404040"/>
                <w:sz w:val="16"/>
                <w:szCs w:val="16"/>
                <w:lang w:eastAsia="tr-TR"/>
              </w:rPr>
            </w:pPr>
            <w:r w:rsidRPr="00AE2554">
              <w:rPr>
                <w:color w:val="404040"/>
                <w:sz w:val="16"/>
                <w:szCs w:val="16"/>
                <w:lang w:eastAsia="tr-TR"/>
              </w:rPr>
              <w:t xml:space="preserve">Alınan </w:t>
            </w:r>
            <w:proofErr w:type="gramStart"/>
            <w:r w:rsidRPr="00AE2554">
              <w:rPr>
                <w:color w:val="404040"/>
                <w:sz w:val="16"/>
                <w:szCs w:val="16"/>
                <w:lang w:eastAsia="tr-TR"/>
              </w:rPr>
              <w:t>kar</w:t>
            </w:r>
            <w:proofErr w:type="gramEnd"/>
            <w:r w:rsidRPr="00AE2554">
              <w:rPr>
                <w:color w:val="404040"/>
                <w:sz w:val="16"/>
                <w:szCs w:val="16"/>
                <w:lang w:eastAsia="tr-TR"/>
              </w:rPr>
              <w:t xml:space="preserve"> payı ve komisyon gelirleri</w:t>
            </w:r>
          </w:p>
        </w:tc>
        <w:tc>
          <w:tcPr>
            <w:tcW w:w="1197" w:type="dxa"/>
            <w:tcBorders>
              <w:top w:val="nil"/>
              <w:left w:val="nil"/>
              <w:bottom w:val="double" w:sz="6" w:space="0" w:color="auto"/>
              <w:right w:val="nil"/>
            </w:tcBorders>
            <w:shd w:val="clear" w:color="auto" w:fill="auto"/>
            <w:vAlign w:val="center"/>
            <w:hideMark/>
          </w:tcPr>
          <w:p w14:paraId="2558B994" w14:textId="77777777" w:rsidR="009E73BA" w:rsidRPr="00AE2554" w:rsidRDefault="009E73BA" w:rsidP="009E73BA">
            <w:pPr>
              <w:jc w:val="right"/>
              <w:rPr>
                <w:color w:val="404040"/>
                <w:sz w:val="16"/>
                <w:szCs w:val="16"/>
                <w:lang w:eastAsia="tr-TR"/>
              </w:rPr>
            </w:pPr>
            <w:r w:rsidRPr="00AE2554">
              <w:rPr>
                <w:color w:val="404040"/>
                <w:sz w:val="16"/>
                <w:szCs w:val="16"/>
                <w:lang w:eastAsia="tr-TR"/>
              </w:rPr>
              <w:t>-</w:t>
            </w:r>
          </w:p>
        </w:tc>
        <w:tc>
          <w:tcPr>
            <w:tcW w:w="1117" w:type="dxa"/>
            <w:tcBorders>
              <w:top w:val="nil"/>
              <w:left w:val="nil"/>
              <w:bottom w:val="double" w:sz="6" w:space="0" w:color="auto"/>
              <w:right w:val="nil"/>
            </w:tcBorders>
            <w:shd w:val="clear" w:color="auto" w:fill="auto"/>
            <w:vAlign w:val="center"/>
            <w:hideMark/>
          </w:tcPr>
          <w:p w14:paraId="57D4206E" w14:textId="77777777" w:rsidR="009E73BA" w:rsidRPr="00AE2554" w:rsidRDefault="009E73BA" w:rsidP="009E73BA">
            <w:pPr>
              <w:jc w:val="right"/>
              <w:rPr>
                <w:color w:val="404040"/>
                <w:sz w:val="16"/>
                <w:szCs w:val="16"/>
                <w:lang w:eastAsia="tr-TR"/>
              </w:rPr>
            </w:pPr>
            <w:r w:rsidRPr="00AE2554">
              <w:rPr>
                <w:color w:val="404040"/>
                <w:sz w:val="16"/>
                <w:szCs w:val="16"/>
                <w:lang w:eastAsia="tr-TR"/>
              </w:rPr>
              <w:t>8</w:t>
            </w:r>
          </w:p>
        </w:tc>
        <w:tc>
          <w:tcPr>
            <w:tcW w:w="1101" w:type="dxa"/>
            <w:tcBorders>
              <w:top w:val="nil"/>
              <w:left w:val="nil"/>
              <w:bottom w:val="double" w:sz="6" w:space="0" w:color="auto"/>
              <w:right w:val="nil"/>
            </w:tcBorders>
            <w:shd w:val="clear" w:color="auto" w:fill="auto"/>
            <w:vAlign w:val="center"/>
            <w:hideMark/>
          </w:tcPr>
          <w:p w14:paraId="7FED089A" w14:textId="77777777" w:rsidR="009E73BA" w:rsidRPr="00AE2554" w:rsidRDefault="009E73BA" w:rsidP="009E73BA">
            <w:pPr>
              <w:jc w:val="right"/>
              <w:rPr>
                <w:color w:val="404040"/>
                <w:sz w:val="16"/>
                <w:szCs w:val="16"/>
                <w:lang w:eastAsia="tr-TR"/>
              </w:rPr>
            </w:pPr>
            <w:r w:rsidRPr="00AE2554">
              <w:rPr>
                <w:color w:val="404040"/>
                <w:sz w:val="16"/>
                <w:szCs w:val="16"/>
                <w:lang w:eastAsia="tr-TR"/>
              </w:rPr>
              <w:t>145</w:t>
            </w:r>
          </w:p>
        </w:tc>
        <w:tc>
          <w:tcPr>
            <w:tcW w:w="1325" w:type="dxa"/>
            <w:tcBorders>
              <w:top w:val="nil"/>
              <w:left w:val="nil"/>
              <w:bottom w:val="double" w:sz="6" w:space="0" w:color="auto"/>
              <w:right w:val="nil"/>
            </w:tcBorders>
            <w:shd w:val="clear" w:color="auto" w:fill="auto"/>
            <w:vAlign w:val="center"/>
            <w:hideMark/>
          </w:tcPr>
          <w:p w14:paraId="43700AAF" w14:textId="77777777" w:rsidR="009E73BA" w:rsidRPr="00AE2554" w:rsidRDefault="009E73BA" w:rsidP="009E73BA">
            <w:pPr>
              <w:jc w:val="right"/>
              <w:rPr>
                <w:color w:val="404040"/>
                <w:sz w:val="16"/>
                <w:szCs w:val="16"/>
                <w:lang w:eastAsia="tr-TR"/>
              </w:rPr>
            </w:pPr>
            <w:r w:rsidRPr="00AE2554">
              <w:rPr>
                <w:color w:val="404040"/>
                <w:sz w:val="16"/>
                <w:szCs w:val="16"/>
                <w:lang w:eastAsia="tr-TR"/>
              </w:rPr>
              <w:t>-</w:t>
            </w:r>
          </w:p>
        </w:tc>
        <w:tc>
          <w:tcPr>
            <w:tcW w:w="990" w:type="dxa"/>
            <w:tcBorders>
              <w:top w:val="nil"/>
              <w:left w:val="nil"/>
              <w:bottom w:val="double" w:sz="6" w:space="0" w:color="auto"/>
              <w:right w:val="nil"/>
            </w:tcBorders>
            <w:shd w:val="clear" w:color="auto" w:fill="auto"/>
            <w:vAlign w:val="center"/>
            <w:hideMark/>
          </w:tcPr>
          <w:p w14:paraId="3C56B676" w14:textId="77777777" w:rsidR="009E73BA" w:rsidRPr="00AE2554" w:rsidRDefault="009E73BA" w:rsidP="009E73BA">
            <w:pPr>
              <w:jc w:val="right"/>
              <w:rPr>
                <w:color w:val="404040"/>
                <w:sz w:val="16"/>
                <w:szCs w:val="16"/>
                <w:lang w:eastAsia="tr-TR"/>
              </w:rPr>
            </w:pPr>
            <w:r w:rsidRPr="00AE2554">
              <w:rPr>
                <w:color w:val="404040"/>
                <w:sz w:val="16"/>
                <w:szCs w:val="16"/>
                <w:lang w:eastAsia="tr-TR"/>
              </w:rPr>
              <w:t>10,066</w:t>
            </w:r>
          </w:p>
        </w:tc>
        <w:tc>
          <w:tcPr>
            <w:tcW w:w="990" w:type="dxa"/>
            <w:tcBorders>
              <w:top w:val="nil"/>
              <w:left w:val="nil"/>
              <w:bottom w:val="double" w:sz="6" w:space="0" w:color="auto"/>
              <w:right w:val="nil"/>
            </w:tcBorders>
            <w:shd w:val="clear" w:color="auto" w:fill="auto"/>
            <w:vAlign w:val="center"/>
            <w:hideMark/>
          </w:tcPr>
          <w:p w14:paraId="65A2B35E" w14:textId="77777777" w:rsidR="009E73BA" w:rsidRPr="00AE2554" w:rsidRDefault="009E73BA" w:rsidP="009E73BA">
            <w:pPr>
              <w:jc w:val="right"/>
              <w:rPr>
                <w:color w:val="404040"/>
                <w:sz w:val="16"/>
                <w:szCs w:val="16"/>
                <w:lang w:eastAsia="tr-TR"/>
              </w:rPr>
            </w:pPr>
            <w:r w:rsidRPr="00AE2554">
              <w:rPr>
                <w:color w:val="404040"/>
                <w:sz w:val="16"/>
                <w:szCs w:val="16"/>
                <w:lang w:eastAsia="tr-TR"/>
              </w:rPr>
              <w:t>1,531</w:t>
            </w:r>
          </w:p>
        </w:tc>
      </w:tr>
    </w:tbl>
    <w:p w14:paraId="2045D849" w14:textId="255793EC" w:rsidR="009608CC" w:rsidRPr="00AE2554" w:rsidRDefault="009608CC"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rPr>
      </w:pPr>
    </w:p>
    <w:p w14:paraId="079A525F" w14:textId="3529D10E" w:rsidR="000F096F" w:rsidRPr="00AE2554" w:rsidRDefault="002F5629"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6"/>
        </w:rPr>
      </w:pPr>
      <w:r w:rsidRPr="00AE2554">
        <w:rPr>
          <w:rFonts w:eastAsia="Times New Roman"/>
        </w:rPr>
        <w:t xml:space="preserve">(*)   </w:t>
      </w:r>
      <w:r w:rsidR="00D35A9A" w:rsidRPr="00AE2554">
        <w:rPr>
          <w:rFonts w:eastAsia="Times New Roman"/>
          <w:sz w:val="16"/>
        </w:rPr>
        <w:t>5411 Sayılı Bankacılık Kanunu’nun 49</w:t>
      </w:r>
      <w:r w:rsidR="001743E7" w:rsidRPr="00AE2554">
        <w:rPr>
          <w:rFonts w:eastAsia="Times New Roman"/>
          <w:sz w:val="16"/>
        </w:rPr>
        <w:t>’</w:t>
      </w:r>
      <w:r w:rsidR="00D35A9A" w:rsidRPr="00AE2554">
        <w:rPr>
          <w:rFonts w:eastAsia="Times New Roman"/>
          <w:sz w:val="16"/>
        </w:rPr>
        <w:t>uncu maddesinin 2</w:t>
      </w:r>
      <w:r w:rsidR="001743E7" w:rsidRPr="00AE2554">
        <w:rPr>
          <w:rFonts w:eastAsia="Times New Roman"/>
          <w:sz w:val="16"/>
        </w:rPr>
        <w:t>’</w:t>
      </w:r>
      <w:r w:rsidR="00D35A9A" w:rsidRPr="00AE2554">
        <w:rPr>
          <w:rFonts w:eastAsia="Times New Roman"/>
          <w:sz w:val="16"/>
        </w:rPr>
        <w:t>nci fıkrasında tanımlanmıştır.</w:t>
      </w:r>
      <w:r w:rsidR="00C530B2" w:rsidRPr="00AE2554">
        <w:rPr>
          <w:rFonts w:eastAsia="Times New Roman"/>
          <w:sz w:val="16"/>
        </w:rPr>
        <w:br/>
      </w:r>
    </w:p>
    <w:p w14:paraId="4656CA79" w14:textId="77777777" w:rsidR="004A0829" w:rsidRPr="00AE2554"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0AA25422" w14:textId="77777777" w:rsidR="004A0829" w:rsidRPr="00AE2554"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10825D78" w14:textId="77777777" w:rsidR="00B44CE2" w:rsidRPr="00AE2554"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74487226" w14:textId="77777777" w:rsidR="00B44CE2" w:rsidRPr="00AE2554"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1A50066E" w14:textId="77777777" w:rsidR="00B44CE2" w:rsidRPr="00AE2554"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0B136FB9" w14:textId="77777777" w:rsidR="004A0829" w:rsidRPr="00AE2554"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03B1C3CF" w14:textId="1768F8E9" w:rsidR="000F096F" w:rsidRPr="00AE2554" w:rsidRDefault="001F7228" w:rsidP="009F33C3">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ind w:hanging="567"/>
        <w:rPr>
          <w:b/>
          <w:iCs/>
        </w:rPr>
      </w:pPr>
      <w:r w:rsidRPr="00AE2554">
        <w:rPr>
          <w:sz w:val="16"/>
        </w:rPr>
        <w:br w:type="page"/>
      </w:r>
      <w:r w:rsidR="0030639E" w:rsidRPr="00AE2554">
        <w:rPr>
          <w:b/>
          <w:bCs/>
          <w:iCs/>
        </w:rPr>
        <w:lastRenderedPageBreak/>
        <w:t>7</w:t>
      </w:r>
      <w:r w:rsidR="001E1941" w:rsidRPr="00AE2554">
        <w:rPr>
          <w:b/>
          <w:bCs/>
          <w:iCs/>
        </w:rPr>
        <w:t xml:space="preserve">.2 </w:t>
      </w:r>
      <w:r w:rsidR="001E1941" w:rsidRPr="00AE2554">
        <w:rPr>
          <w:b/>
          <w:bCs/>
          <w:iCs/>
        </w:rPr>
        <w:tab/>
        <w:t>Banka’nın dahil olduğu risk grubuna ait Özel Cari ve Katılma hesaplarına ilişkin bilgiler:</w:t>
      </w:r>
      <w:r w:rsidR="009F33C3" w:rsidRPr="00AE2554">
        <w:rPr>
          <w:b/>
          <w:bCs/>
          <w:iCs/>
        </w:rPr>
        <w:tab/>
      </w:r>
    </w:p>
    <w:p w14:paraId="3838A78D" w14:textId="2856CF33" w:rsidR="00AE2554" w:rsidRPr="00311DAB" w:rsidRDefault="00AE2554" w:rsidP="00F11877">
      <w:pPr>
        <w:pStyle w:val="BodyText"/>
        <w:rPr>
          <w:lang w:eastAsia="en-GB"/>
        </w:rPr>
      </w:pPr>
    </w:p>
    <w:tbl>
      <w:tblPr>
        <w:tblW w:w="9241" w:type="dxa"/>
        <w:tblCellMar>
          <w:left w:w="70" w:type="dxa"/>
          <w:right w:w="70" w:type="dxa"/>
        </w:tblCellMar>
        <w:tblLook w:val="04A0" w:firstRow="1" w:lastRow="0" w:firstColumn="1" w:lastColumn="0" w:noHBand="0" w:noVBand="1"/>
      </w:tblPr>
      <w:tblGrid>
        <w:gridCol w:w="2964"/>
        <w:gridCol w:w="1032"/>
        <w:gridCol w:w="1049"/>
        <w:gridCol w:w="1149"/>
        <w:gridCol w:w="816"/>
        <w:gridCol w:w="1149"/>
        <w:gridCol w:w="1082"/>
      </w:tblGrid>
      <w:tr w:rsidR="00AE2554" w:rsidRPr="00AE2554" w14:paraId="074250A1" w14:textId="77777777" w:rsidTr="00AE2554">
        <w:trPr>
          <w:divId w:val="486019940"/>
          <w:trHeight w:val="477"/>
        </w:trPr>
        <w:tc>
          <w:tcPr>
            <w:tcW w:w="2964" w:type="dxa"/>
            <w:tcBorders>
              <w:top w:val="nil"/>
              <w:left w:val="nil"/>
              <w:bottom w:val="nil"/>
              <w:right w:val="nil"/>
            </w:tcBorders>
            <w:shd w:val="clear" w:color="auto" w:fill="auto"/>
            <w:vAlign w:val="center"/>
            <w:hideMark/>
          </w:tcPr>
          <w:p w14:paraId="6C739E58" w14:textId="5C18A32C" w:rsidR="00AE2554" w:rsidRPr="00AE2554" w:rsidRDefault="00AE2554" w:rsidP="00AE2554">
            <w:pPr>
              <w:jc w:val="both"/>
              <w:rPr>
                <w:b/>
                <w:bCs/>
                <w:color w:val="000000"/>
                <w:sz w:val="16"/>
                <w:szCs w:val="16"/>
                <w:lang w:eastAsia="tr-TR"/>
              </w:rPr>
            </w:pPr>
            <w:r w:rsidRPr="00AE2554">
              <w:rPr>
                <w:b/>
                <w:bCs/>
                <w:color w:val="000000"/>
                <w:sz w:val="16"/>
                <w:szCs w:val="16"/>
                <w:lang w:eastAsia="tr-TR"/>
              </w:rPr>
              <w:t>Banka'nın dahil olduğu risk grubu (*)</w:t>
            </w:r>
          </w:p>
        </w:tc>
        <w:tc>
          <w:tcPr>
            <w:tcW w:w="2081" w:type="dxa"/>
            <w:gridSpan w:val="2"/>
            <w:tcBorders>
              <w:top w:val="double" w:sz="6" w:space="0" w:color="auto"/>
              <w:left w:val="nil"/>
              <w:bottom w:val="nil"/>
              <w:right w:val="nil"/>
            </w:tcBorders>
            <w:shd w:val="clear" w:color="auto" w:fill="auto"/>
            <w:vAlign w:val="center"/>
            <w:hideMark/>
          </w:tcPr>
          <w:p w14:paraId="2A8E7D26" w14:textId="77777777" w:rsidR="00AE2554" w:rsidRPr="00AE2554" w:rsidRDefault="00AE2554" w:rsidP="00AE2554">
            <w:pPr>
              <w:jc w:val="right"/>
              <w:rPr>
                <w:b/>
                <w:bCs/>
                <w:color w:val="000000"/>
                <w:sz w:val="16"/>
                <w:szCs w:val="16"/>
                <w:lang w:eastAsia="tr-TR"/>
              </w:rPr>
            </w:pPr>
            <w:r w:rsidRPr="00AE2554">
              <w:rPr>
                <w:b/>
                <w:bCs/>
                <w:color w:val="000000"/>
                <w:sz w:val="16"/>
                <w:szCs w:val="16"/>
                <w:lang w:eastAsia="tr-TR"/>
              </w:rPr>
              <w:t>İştirak, bağlı ortaklıklar ve birlikte kontrol edilen ortaklıklar (iş ortaklıkları)</w:t>
            </w:r>
          </w:p>
        </w:tc>
        <w:tc>
          <w:tcPr>
            <w:tcW w:w="1965" w:type="dxa"/>
            <w:gridSpan w:val="2"/>
            <w:tcBorders>
              <w:top w:val="double" w:sz="6" w:space="0" w:color="auto"/>
              <w:left w:val="nil"/>
              <w:bottom w:val="nil"/>
              <w:right w:val="nil"/>
            </w:tcBorders>
            <w:shd w:val="clear" w:color="auto" w:fill="auto"/>
            <w:vAlign w:val="center"/>
            <w:hideMark/>
          </w:tcPr>
          <w:p w14:paraId="3763D2ED" w14:textId="77777777" w:rsidR="00AE2554" w:rsidRPr="00AE2554" w:rsidRDefault="00AE2554" w:rsidP="00AE2554">
            <w:pPr>
              <w:jc w:val="right"/>
              <w:rPr>
                <w:b/>
                <w:bCs/>
                <w:color w:val="000000"/>
                <w:sz w:val="16"/>
                <w:szCs w:val="16"/>
                <w:lang w:eastAsia="tr-TR"/>
              </w:rPr>
            </w:pPr>
            <w:r w:rsidRPr="00AE2554">
              <w:rPr>
                <w:b/>
                <w:bCs/>
                <w:color w:val="000000"/>
                <w:sz w:val="16"/>
                <w:szCs w:val="16"/>
                <w:lang w:eastAsia="tr-TR"/>
              </w:rPr>
              <w:t>Bankanın doğrudan ve dolaylı ortaklıkları</w:t>
            </w:r>
          </w:p>
        </w:tc>
        <w:tc>
          <w:tcPr>
            <w:tcW w:w="2231" w:type="dxa"/>
            <w:gridSpan w:val="2"/>
            <w:tcBorders>
              <w:top w:val="double" w:sz="6" w:space="0" w:color="auto"/>
              <w:left w:val="nil"/>
              <w:bottom w:val="nil"/>
              <w:right w:val="nil"/>
            </w:tcBorders>
            <w:shd w:val="clear" w:color="auto" w:fill="auto"/>
            <w:vAlign w:val="center"/>
            <w:hideMark/>
          </w:tcPr>
          <w:p w14:paraId="0B9FA9D0" w14:textId="77777777" w:rsidR="00AE2554" w:rsidRPr="00AE2554" w:rsidRDefault="00AE2554" w:rsidP="00AE2554">
            <w:pPr>
              <w:jc w:val="right"/>
              <w:rPr>
                <w:b/>
                <w:bCs/>
                <w:color w:val="000000"/>
                <w:sz w:val="16"/>
                <w:szCs w:val="16"/>
                <w:lang w:eastAsia="tr-TR"/>
              </w:rPr>
            </w:pPr>
            <w:r w:rsidRPr="00AE2554">
              <w:rPr>
                <w:b/>
                <w:bCs/>
                <w:color w:val="000000"/>
                <w:sz w:val="16"/>
                <w:szCs w:val="16"/>
                <w:lang w:eastAsia="tr-TR"/>
              </w:rPr>
              <w:t>Risk grubuna dahil olan diğer gerçek ve tüzel kişiler</w:t>
            </w:r>
          </w:p>
        </w:tc>
      </w:tr>
      <w:tr w:rsidR="00AE2554" w:rsidRPr="00AE2554" w14:paraId="45DD1CF4" w14:textId="77777777" w:rsidTr="00AE2554">
        <w:trPr>
          <w:divId w:val="486019940"/>
          <w:trHeight w:val="182"/>
        </w:trPr>
        <w:tc>
          <w:tcPr>
            <w:tcW w:w="2964" w:type="dxa"/>
            <w:tcBorders>
              <w:top w:val="nil"/>
              <w:left w:val="nil"/>
              <w:bottom w:val="single" w:sz="8" w:space="0" w:color="auto"/>
              <w:right w:val="nil"/>
            </w:tcBorders>
            <w:shd w:val="clear" w:color="auto" w:fill="auto"/>
            <w:noWrap/>
            <w:vAlign w:val="bottom"/>
            <w:hideMark/>
          </w:tcPr>
          <w:p w14:paraId="161BEF95" w14:textId="77777777" w:rsidR="00AE2554" w:rsidRPr="00AE2554" w:rsidRDefault="00AE2554" w:rsidP="00AE2554">
            <w:pPr>
              <w:rPr>
                <w:color w:val="000000"/>
                <w:sz w:val="16"/>
                <w:szCs w:val="16"/>
                <w:lang w:eastAsia="tr-TR"/>
              </w:rPr>
            </w:pPr>
            <w:r w:rsidRPr="00AE2554">
              <w:rPr>
                <w:color w:val="000000"/>
                <w:sz w:val="16"/>
                <w:szCs w:val="16"/>
                <w:lang w:eastAsia="tr-TR"/>
              </w:rPr>
              <w:t> </w:t>
            </w:r>
          </w:p>
        </w:tc>
        <w:tc>
          <w:tcPr>
            <w:tcW w:w="1032" w:type="dxa"/>
            <w:tcBorders>
              <w:top w:val="nil"/>
              <w:left w:val="nil"/>
              <w:bottom w:val="single" w:sz="8" w:space="0" w:color="auto"/>
              <w:right w:val="nil"/>
            </w:tcBorders>
            <w:shd w:val="clear" w:color="auto" w:fill="auto"/>
            <w:vAlign w:val="center"/>
            <w:hideMark/>
          </w:tcPr>
          <w:p w14:paraId="48C2D85B" w14:textId="77777777" w:rsidR="00AE2554" w:rsidRPr="00AE2554" w:rsidRDefault="00AE2554" w:rsidP="00AE2554">
            <w:pPr>
              <w:jc w:val="right"/>
              <w:rPr>
                <w:b/>
                <w:bCs/>
                <w:color w:val="000000"/>
                <w:sz w:val="16"/>
                <w:szCs w:val="16"/>
                <w:lang w:eastAsia="tr-TR"/>
              </w:rPr>
            </w:pPr>
            <w:r w:rsidRPr="00AE2554">
              <w:rPr>
                <w:b/>
                <w:bCs/>
                <w:color w:val="000000"/>
                <w:sz w:val="16"/>
                <w:szCs w:val="16"/>
                <w:lang w:eastAsia="tr-TR"/>
              </w:rPr>
              <w:t>Cari Dönem</w:t>
            </w:r>
          </w:p>
        </w:tc>
        <w:tc>
          <w:tcPr>
            <w:tcW w:w="1049" w:type="dxa"/>
            <w:tcBorders>
              <w:top w:val="nil"/>
              <w:left w:val="nil"/>
              <w:bottom w:val="single" w:sz="8" w:space="0" w:color="auto"/>
              <w:right w:val="nil"/>
            </w:tcBorders>
            <w:shd w:val="clear" w:color="auto" w:fill="auto"/>
            <w:vAlign w:val="center"/>
            <w:hideMark/>
          </w:tcPr>
          <w:p w14:paraId="75F301DB" w14:textId="77777777" w:rsidR="00AE2554" w:rsidRPr="00AE2554" w:rsidRDefault="00AE2554" w:rsidP="00AE2554">
            <w:pPr>
              <w:jc w:val="right"/>
              <w:rPr>
                <w:b/>
                <w:bCs/>
                <w:color w:val="000000"/>
                <w:sz w:val="16"/>
                <w:szCs w:val="16"/>
                <w:lang w:eastAsia="tr-TR"/>
              </w:rPr>
            </w:pPr>
            <w:r w:rsidRPr="00AE2554">
              <w:rPr>
                <w:b/>
                <w:bCs/>
                <w:color w:val="000000"/>
                <w:sz w:val="16"/>
                <w:szCs w:val="16"/>
                <w:lang w:eastAsia="tr-TR"/>
              </w:rPr>
              <w:t>Önceki Dönem</w:t>
            </w:r>
          </w:p>
        </w:tc>
        <w:tc>
          <w:tcPr>
            <w:tcW w:w="1149" w:type="dxa"/>
            <w:tcBorders>
              <w:top w:val="nil"/>
              <w:left w:val="nil"/>
              <w:bottom w:val="single" w:sz="8" w:space="0" w:color="auto"/>
              <w:right w:val="nil"/>
            </w:tcBorders>
            <w:shd w:val="clear" w:color="auto" w:fill="auto"/>
            <w:vAlign w:val="center"/>
            <w:hideMark/>
          </w:tcPr>
          <w:p w14:paraId="069B36DB" w14:textId="77777777" w:rsidR="00AE2554" w:rsidRPr="00AE2554" w:rsidRDefault="00AE2554" w:rsidP="00AE2554">
            <w:pPr>
              <w:jc w:val="right"/>
              <w:rPr>
                <w:b/>
                <w:bCs/>
                <w:color w:val="000000"/>
                <w:sz w:val="16"/>
                <w:szCs w:val="16"/>
                <w:lang w:eastAsia="tr-TR"/>
              </w:rPr>
            </w:pPr>
            <w:r w:rsidRPr="00AE2554">
              <w:rPr>
                <w:b/>
                <w:bCs/>
                <w:color w:val="000000"/>
                <w:sz w:val="16"/>
                <w:szCs w:val="16"/>
                <w:lang w:eastAsia="tr-TR"/>
              </w:rPr>
              <w:t>Cari Dönem</w:t>
            </w:r>
          </w:p>
        </w:tc>
        <w:tc>
          <w:tcPr>
            <w:tcW w:w="816" w:type="dxa"/>
            <w:tcBorders>
              <w:top w:val="nil"/>
              <w:left w:val="nil"/>
              <w:bottom w:val="single" w:sz="8" w:space="0" w:color="auto"/>
              <w:right w:val="nil"/>
            </w:tcBorders>
            <w:shd w:val="clear" w:color="auto" w:fill="auto"/>
            <w:vAlign w:val="center"/>
            <w:hideMark/>
          </w:tcPr>
          <w:p w14:paraId="0B94329F" w14:textId="77777777" w:rsidR="00AE2554" w:rsidRPr="00AE2554" w:rsidRDefault="00AE2554" w:rsidP="00AE2554">
            <w:pPr>
              <w:jc w:val="right"/>
              <w:rPr>
                <w:b/>
                <w:bCs/>
                <w:color w:val="000000"/>
                <w:sz w:val="16"/>
                <w:szCs w:val="16"/>
                <w:lang w:eastAsia="tr-TR"/>
              </w:rPr>
            </w:pPr>
            <w:r w:rsidRPr="00AE2554">
              <w:rPr>
                <w:b/>
                <w:bCs/>
                <w:color w:val="000000"/>
                <w:sz w:val="16"/>
                <w:szCs w:val="16"/>
                <w:lang w:eastAsia="tr-TR"/>
              </w:rPr>
              <w:t>Önceki Dönem</w:t>
            </w:r>
          </w:p>
        </w:tc>
        <w:tc>
          <w:tcPr>
            <w:tcW w:w="1149" w:type="dxa"/>
            <w:tcBorders>
              <w:top w:val="nil"/>
              <w:left w:val="nil"/>
              <w:bottom w:val="single" w:sz="8" w:space="0" w:color="auto"/>
              <w:right w:val="nil"/>
            </w:tcBorders>
            <w:shd w:val="clear" w:color="auto" w:fill="auto"/>
            <w:vAlign w:val="center"/>
            <w:hideMark/>
          </w:tcPr>
          <w:p w14:paraId="4F66C70A" w14:textId="77777777" w:rsidR="00AE2554" w:rsidRPr="00AE2554" w:rsidRDefault="00AE2554" w:rsidP="00AE2554">
            <w:pPr>
              <w:jc w:val="right"/>
              <w:rPr>
                <w:b/>
                <w:bCs/>
                <w:color w:val="000000"/>
                <w:sz w:val="16"/>
                <w:szCs w:val="16"/>
                <w:lang w:eastAsia="tr-TR"/>
              </w:rPr>
            </w:pPr>
            <w:r w:rsidRPr="00AE2554">
              <w:rPr>
                <w:b/>
                <w:bCs/>
                <w:color w:val="000000"/>
                <w:sz w:val="16"/>
                <w:szCs w:val="16"/>
                <w:lang w:eastAsia="tr-TR"/>
              </w:rPr>
              <w:t>Cari Dönem</w:t>
            </w:r>
          </w:p>
        </w:tc>
        <w:tc>
          <w:tcPr>
            <w:tcW w:w="1082" w:type="dxa"/>
            <w:tcBorders>
              <w:top w:val="nil"/>
              <w:left w:val="nil"/>
              <w:bottom w:val="single" w:sz="8" w:space="0" w:color="auto"/>
              <w:right w:val="nil"/>
            </w:tcBorders>
            <w:shd w:val="clear" w:color="auto" w:fill="auto"/>
            <w:vAlign w:val="center"/>
            <w:hideMark/>
          </w:tcPr>
          <w:p w14:paraId="34EEBD33" w14:textId="77777777" w:rsidR="00AE2554" w:rsidRPr="00AE2554" w:rsidRDefault="00AE2554" w:rsidP="00AE2554">
            <w:pPr>
              <w:jc w:val="right"/>
              <w:rPr>
                <w:b/>
                <w:bCs/>
                <w:color w:val="000000"/>
                <w:sz w:val="16"/>
                <w:szCs w:val="16"/>
                <w:lang w:eastAsia="tr-TR"/>
              </w:rPr>
            </w:pPr>
            <w:r w:rsidRPr="00AE2554">
              <w:rPr>
                <w:b/>
                <w:bCs/>
                <w:color w:val="000000"/>
                <w:sz w:val="16"/>
                <w:szCs w:val="16"/>
                <w:lang w:eastAsia="tr-TR"/>
              </w:rPr>
              <w:t>Önceki Dönem</w:t>
            </w:r>
          </w:p>
        </w:tc>
      </w:tr>
      <w:tr w:rsidR="00AE2554" w:rsidRPr="00AE2554" w14:paraId="3CDB7A89" w14:textId="77777777" w:rsidTr="00AE2554">
        <w:trPr>
          <w:divId w:val="486019940"/>
          <w:trHeight w:val="170"/>
        </w:trPr>
        <w:tc>
          <w:tcPr>
            <w:tcW w:w="2964" w:type="dxa"/>
            <w:tcBorders>
              <w:top w:val="nil"/>
              <w:left w:val="nil"/>
              <w:bottom w:val="nil"/>
              <w:right w:val="nil"/>
            </w:tcBorders>
            <w:shd w:val="clear" w:color="auto" w:fill="auto"/>
            <w:vAlign w:val="center"/>
            <w:hideMark/>
          </w:tcPr>
          <w:p w14:paraId="4EAC84CC" w14:textId="77777777" w:rsidR="00AE2554" w:rsidRPr="00AE2554" w:rsidRDefault="00AE2554" w:rsidP="00AE2554">
            <w:pPr>
              <w:jc w:val="both"/>
              <w:rPr>
                <w:b/>
                <w:bCs/>
                <w:sz w:val="16"/>
                <w:szCs w:val="16"/>
                <w:lang w:eastAsia="tr-TR"/>
              </w:rPr>
            </w:pPr>
            <w:r w:rsidRPr="00AE2554">
              <w:rPr>
                <w:b/>
                <w:bCs/>
                <w:sz w:val="16"/>
                <w:szCs w:val="16"/>
                <w:lang w:eastAsia="tr-TR"/>
              </w:rPr>
              <w:t xml:space="preserve">Özel. </w:t>
            </w:r>
            <w:proofErr w:type="gramStart"/>
            <w:r w:rsidRPr="00AE2554">
              <w:rPr>
                <w:b/>
                <w:bCs/>
                <w:sz w:val="16"/>
                <w:szCs w:val="16"/>
                <w:lang w:eastAsia="tr-TR"/>
              </w:rPr>
              <w:t>cari</w:t>
            </w:r>
            <w:proofErr w:type="gramEnd"/>
            <w:r w:rsidRPr="00AE2554">
              <w:rPr>
                <w:b/>
                <w:bCs/>
                <w:sz w:val="16"/>
                <w:szCs w:val="16"/>
                <w:lang w:eastAsia="tr-TR"/>
              </w:rPr>
              <w:t xml:space="preserve"> ve katılma hesapları</w:t>
            </w:r>
          </w:p>
        </w:tc>
        <w:tc>
          <w:tcPr>
            <w:tcW w:w="1032" w:type="dxa"/>
            <w:tcBorders>
              <w:top w:val="nil"/>
              <w:left w:val="nil"/>
              <w:bottom w:val="nil"/>
              <w:right w:val="nil"/>
            </w:tcBorders>
            <w:shd w:val="clear" w:color="auto" w:fill="auto"/>
            <w:vAlign w:val="center"/>
            <w:hideMark/>
          </w:tcPr>
          <w:p w14:paraId="4B6F5CE0" w14:textId="77777777" w:rsidR="00AE2554" w:rsidRPr="00AE2554" w:rsidRDefault="00AE2554" w:rsidP="00AE2554">
            <w:pPr>
              <w:jc w:val="both"/>
              <w:rPr>
                <w:b/>
                <w:bCs/>
                <w:sz w:val="16"/>
                <w:szCs w:val="16"/>
                <w:lang w:eastAsia="tr-TR"/>
              </w:rPr>
            </w:pPr>
          </w:p>
        </w:tc>
        <w:tc>
          <w:tcPr>
            <w:tcW w:w="1049" w:type="dxa"/>
            <w:tcBorders>
              <w:top w:val="nil"/>
              <w:left w:val="nil"/>
              <w:bottom w:val="nil"/>
              <w:right w:val="nil"/>
            </w:tcBorders>
            <w:shd w:val="clear" w:color="auto" w:fill="auto"/>
            <w:vAlign w:val="center"/>
            <w:hideMark/>
          </w:tcPr>
          <w:p w14:paraId="0A4AE441" w14:textId="77777777" w:rsidR="00AE2554" w:rsidRPr="00AE2554" w:rsidRDefault="00AE2554" w:rsidP="00AE2554">
            <w:pPr>
              <w:jc w:val="right"/>
              <w:rPr>
                <w:lang w:eastAsia="tr-TR"/>
              </w:rPr>
            </w:pPr>
          </w:p>
        </w:tc>
        <w:tc>
          <w:tcPr>
            <w:tcW w:w="1149" w:type="dxa"/>
            <w:tcBorders>
              <w:top w:val="nil"/>
              <w:left w:val="nil"/>
              <w:bottom w:val="nil"/>
              <w:right w:val="nil"/>
            </w:tcBorders>
            <w:shd w:val="clear" w:color="auto" w:fill="auto"/>
            <w:vAlign w:val="center"/>
            <w:hideMark/>
          </w:tcPr>
          <w:p w14:paraId="76235426" w14:textId="77777777" w:rsidR="00AE2554" w:rsidRPr="00AE2554" w:rsidRDefault="00AE2554" w:rsidP="00AE2554">
            <w:pPr>
              <w:jc w:val="right"/>
              <w:rPr>
                <w:lang w:eastAsia="tr-TR"/>
              </w:rPr>
            </w:pPr>
          </w:p>
        </w:tc>
        <w:tc>
          <w:tcPr>
            <w:tcW w:w="816" w:type="dxa"/>
            <w:tcBorders>
              <w:top w:val="nil"/>
              <w:left w:val="nil"/>
              <w:bottom w:val="nil"/>
              <w:right w:val="nil"/>
            </w:tcBorders>
            <w:shd w:val="clear" w:color="auto" w:fill="auto"/>
            <w:vAlign w:val="center"/>
            <w:hideMark/>
          </w:tcPr>
          <w:p w14:paraId="44601B08" w14:textId="77777777" w:rsidR="00AE2554" w:rsidRPr="00AE2554" w:rsidRDefault="00AE2554" w:rsidP="00AE2554">
            <w:pPr>
              <w:jc w:val="right"/>
              <w:rPr>
                <w:lang w:eastAsia="tr-TR"/>
              </w:rPr>
            </w:pPr>
          </w:p>
        </w:tc>
        <w:tc>
          <w:tcPr>
            <w:tcW w:w="1149" w:type="dxa"/>
            <w:tcBorders>
              <w:top w:val="nil"/>
              <w:left w:val="nil"/>
              <w:bottom w:val="nil"/>
              <w:right w:val="nil"/>
            </w:tcBorders>
            <w:shd w:val="clear" w:color="auto" w:fill="auto"/>
            <w:vAlign w:val="center"/>
            <w:hideMark/>
          </w:tcPr>
          <w:p w14:paraId="35F9EB08" w14:textId="77777777" w:rsidR="00AE2554" w:rsidRPr="00AE2554" w:rsidRDefault="00AE2554" w:rsidP="00AE2554">
            <w:pPr>
              <w:jc w:val="right"/>
              <w:rPr>
                <w:lang w:eastAsia="tr-TR"/>
              </w:rPr>
            </w:pPr>
          </w:p>
        </w:tc>
        <w:tc>
          <w:tcPr>
            <w:tcW w:w="1082" w:type="dxa"/>
            <w:tcBorders>
              <w:top w:val="nil"/>
              <w:left w:val="nil"/>
              <w:bottom w:val="nil"/>
              <w:right w:val="nil"/>
            </w:tcBorders>
            <w:shd w:val="clear" w:color="auto" w:fill="auto"/>
            <w:vAlign w:val="center"/>
            <w:hideMark/>
          </w:tcPr>
          <w:p w14:paraId="4FBA65AD" w14:textId="77777777" w:rsidR="00AE2554" w:rsidRPr="00AE2554" w:rsidRDefault="00AE2554" w:rsidP="00AE2554">
            <w:pPr>
              <w:jc w:val="right"/>
              <w:rPr>
                <w:lang w:eastAsia="tr-TR"/>
              </w:rPr>
            </w:pPr>
          </w:p>
        </w:tc>
      </w:tr>
      <w:tr w:rsidR="00AE2554" w:rsidRPr="00AE2554" w14:paraId="6B07A66D" w14:textId="77777777" w:rsidTr="00AE2554">
        <w:trPr>
          <w:divId w:val="486019940"/>
          <w:trHeight w:val="182"/>
        </w:trPr>
        <w:tc>
          <w:tcPr>
            <w:tcW w:w="2964" w:type="dxa"/>
            <w:tcBorders>
              <w:top w:val="nil"/>
              <w:left w:val="nil"/>
              <w:bottom w:val="nil"/>
              <w:right w:val="nil"/>
            </w:tcBorders>
            <w:shd w:val="clear" w:color="auto" w:fill="auto"/>
            <w:vAlign w:val="center"/>
            <w:hideMark/>
          </w:tcPr>
          <w:p w14:paraId="4AF8A7B2" w14:textId="77777777" w:rsidR="00AE2554" w:rsidRPr="00AE2554" w:rsidRDefault="00AE2554" w:rsidP="00AE2554">
            <w:pPr>
              <w:ind w:firstLineChars="100" w:firstLine="160"/>
              <w:rPr>
                <w:sz w:val="16"/>
                <w:szCs w:val="16"/>
                <w:lang w:eastAsia="tr-TR"/>
              </w:rPr>
            </w:pPr>
            <w:r w:rsidRPr="00AE2554">
              <w:rPr>
                <w:sz w:val="16"/>
                <w:szCs w:val="16"/>
                <w:lang w:eastAsia="tr-TR"/>
              </w:rPr>
              <w:t xml:space="preserve">Dönem Başı Bakiyesi </w:t>
            </w:r>
          </w:p>
        </w:tc>
        <w:tc>
          <w:tcPr>
            <w:tcW w:w="1032" w:type="dxa"/>
            <w:tcBorders>
              <w:top w:val="nil"/>
              <w:left w:val="nil"/>
              <w:bottom w:val="nil"/>
              <w:right w:val="nil"/>
            </w:tcBorders>
            <w:shd w:val="clear" w:color="auto" w:fill="auto"/>
            <w:vAlign w:val="center"/>
            <w:hideMark/>
          </w:tcPr>
          <w:p w14:paraId="40462DE8" w14:textId="77777777" w:rsidR="00AE2554" w:rsidRPr="00AE2554" w:rsidRDefault="00AE2554" w:rsidP="00AE2554">
            <w:pPr>
              <w:jc w:val="right"/>
              <w:rPr>
                <w:sz w:val="18"/>
                <w:szCs w:val="18"/>
                <w:lang w:eastAsia="tr-TR"/>
              </w:rPr>
            </w:pPr>
            <w:r w:rsidRPr="00AE2554">
              <w:rPr>
                <w:sz w:val="18"/>
                <w:szCs w:val="18"/>
                <w:lang w:eastAsia="tr-TR"/>
              </w:rPr>
              <w:t>181,714</w:t>
            </w:r>
          </w:p>
        </w:tc>
        <w:tc>
          <w:tcPr>
            <w:tcW w:w="1049" w:type="dxa"/>
            <w:tcBorders>
              <w:top w:val="nil"/>
              <w:left w:val="nil"/>
              <w:bottom w:val="nil"/>
              <w:right w:val="nil"/>
            </w:tcBorders>
            <w:shd w:val="clear" w:color="auto" w:fill="auto"/>
            <w:vAlign w:val="center"/>
            <w:hideMark/>
          </w:tcPr>
          <w:p w14:paraId="5F5BF9BE" w14:textId="77777777" w:rsidR="00AE2554" w:rsidRPr="00AE2554" w:rsidRDefault="00AE2554" w:rsidP="00AE2554">
            <w:pPr>
              <w:jc w:val="right"/>
              <w:rPr>
                <w:sz w:val="18"/>
                <w:szCs w:val="18"/>
                <w:lang w:eastAsia="tr-TR"/>
              </w:rPr>
            </w:pPr>
            <w:r w:rsidRPr="00AE2554">
              <w:rPr>
                <w:sz w:val="18"/>
                <w:szCs w:val="18"/>
                <w:lang w:eastAsia="tr-TR"/>
              </w:rPr>
              <w:t>62,800</w:t>
            </w:r>
          </w:p>
        </w:tc>
        <w:tc>
          <w:tcPr>
            <w:tcW w:w="1149" w:type="dxa"/>
            <w:tcBorders>
              <w:top w:val="nil"/>
              <w:left w:val="nil"/>
              <w:bottom w:val="nil"/>
              <w:right w:val="nil"/>
            </w:tcBorders>
            <w:shd w:val="clear" w:color="auto" w:fill="auto"/>
            <w:vAlign w:val="center"/>
            <w:hideMark/>
          </w:tcPr>
          <w:p w14:paraId="6688CD68" w14:textId="77777777" w:rsidR="00AE2554" w:rsidRPr="00AE2554" w:rsidRDefault="00AE2554" w:rsidP="00AE2554">
            <w:pPr>
              <w:jc w:val="right"/>
              <w:rPr>
                <w:sz w:val="18"/>
                <w:szCs w:val="18"/>
                <w:lang w:eastAsia="tr-TR"/>
              </w:rPr>
            </w:pPr>
            <w:r w:rsidRPr="00AE2554">
              <w:rPr>
                <w:sz w:val="18"/>
                <w:szCs w:val="18"/>
                <w:lang w:eastAsia="tr-TR"/>
              </w:rPr>
              <w:t>151,321</w:t>
            </w:r>
          </w:p>
        </w:tc>
        <w:tc>
          <w:tcPr>
            <w:tcW w:w="816" w:type="dxa"/>
            <w:tcBorders>
              <w:top w:val="nil"/>
              <w:left w:val="nil"/>
              <w:bottom w:val="nil"/>
              <w:right w:val="nil"/>
            </w:tcBorders>
            <w:shd w:val="clear" w:color="auto" w:fill="auto"/>
            <w:vAlign w:val="center"/>
            <w:hideMark/>
          </w:tcPr>
          <w:p w14:paraId="293CF163" w14:textId="77777777" w:rsidR="00AE2554" w:rsidRPr="00AE2554" w:rsidRDefault="00AE2554" w:rsidP="00AE2554">
            <w:pPr>
              <w:jc w:val="right"/>
              <w:rPr>
                <w:sz w:val="18"/>
                <w:szCs w:val="18"/>
                <w:lang w:eastAsia="tr-TR"/>
              </w:rPr>
            </w:pPr>
            <w:r w:rsidRPr="00AE2554">
              <w:rPr>
                <w:sz w:val="18"/>
                <w:szCs w:val="18"/>
                <w:lang w:eastAsia="tr-TR"/>
              </w:rPr>
              <w:t>35,032</w:t>
            </w:r>
          </w:p>
        </w:tc>
        <w:tc>
          <w:tcPr>
            <w:tcW w:w="1149" w:type="dxa"/>
            <w:tcBorders>
              <w:top w:val="nil"/>
              <w:left w:val="nil"/>
              <w:bottom w:val="nil"/>
              <w:right w:val="nil"/>
            </w:tcBorders>
            <w:shd w:val="clear" w:color="auto" w:fill="auto"/>
            <w:vAlign w:val="center"/>
            <w:hideMark/>
          </w:tcPr>
          <w:p w14:paraId="22053E4E" w14:textId="77777777" w:rsidR="00AE2554" w:rsidRPr="00AE2554" w:rsidRDefault="00AE2554" w:rsidP="00AE2554">
            <w:pPr>
              <w:jc w:val="right"/>
              <w:rPr>
                <w:sz w:val="18"/>
                <w:szCs w:val="18"/>
                <w:lang w:eastAsia="tr-TR"/>
              </w:rPr>
            </w:pPr>
            <w:r w:rsidRPr="00AE2554">
              <w:rPr>
                <w:sz w:val="18"/>
                <w:szCs w:val="18"/>
                <w:lang w:eastAsia="tr-TR"/>
              </w:rPr>
              <w:t>390,698</w:t>
            </w:r>
          </w:p>
        </w:tc>
        <w:tc>
          <w:tcPr>
            <w:tcW w:w="1082" w:type="dxa"/>
            <w:tcBorders>
              <w:top w:val="nil"/>
              <w:left w:val="nil"/>
              <w:bottom w:val="nil"/>
              <w:right w:val="nil"/>
            </w:tcBorders>
            <w:shd w:val="clear" w:color="auto" w:fill="auto"/>
            <w:vAlign w:val="center"/>
            <w:hideMark/>
          </w:tcPr>
          <w:p w14:paraId="3E33F9EC" w14:textId="77777777" w:rsidR="00AE2554" w:rsidRPr="00AE2554" w:rsidRDefault="00AE2554" w:rsidP="00AE2554">
            <w:pPr>
              <w:jc w:val="right"/>
              <w:rPr>
                <w:sz w:val="18"/>
                <w:szCs w:val="18"/>
                <w:lang w:eastAsia="tr-TR"/>
              </w:rPr>
            </w:pPr>
            <w:r w:rsidRPr="00AE2554">
              <w:rPr>
                <w:sz w:val="18"/>
                <w:szCs w:val="18"/>
                <w:lang w:eastAsia="tr-TR"/>
              </w:rPr>
              <w:t>255,239</w:t>
            </w:r>
          </w:p>
        </w:tc>
      </w:tr>
      <w:tr w:rsidR="00AE2554" w:rsidRPr="00AE2554" w14:paraId="392009A8" w14:textId="77777777" w:rsidTr="00AE2554">
        <w:trPr>
          <w:divId w:val="486019940"/>
          <w:trHeight w:val="182"/>
        </w:trPr>
        <w:tc>
          <w:tcPr>
            <w:tcW w:w="2964" w:type="dxa"/>
            <w:tcBorders>
              <w:top w:val="nil"/>
              <w:left w:val="nil"/>
              <w:bottom w:val="nil"/>
              <w:right w:val="nil"/>
            </w:tcBorders>
            <w:shd w:val="clear" w:color="auto" w:fill="auto"/>
            <w:vAlign w:val="center"/>
            <w:hideMark/>
          </w:tcPr>
          <w:p w14:paraId="1F889FAE" w14:textId="77777777" w:rsidR="00AE2554" w:rsidRPr="00AE2554" w:rsidRDefault="00AE2554" w:rsidP="00AE2554">
            <w:pPr>
              <w:ind w:firstLineChars="100" w:firstLine="160"/>
              <w:rPr>
                <w:sz w:val="16"/>
                <w:szCs w:val="16"/>
                <w:lang w:eastAsia="tr-TR"/>
              </w:rPr>
            </w:pPr>
            <w:r w:rsidRPr="00AE2554">
              <w:rPr>
                <w:sz w:val="16"/>
                <w:szCs w:val="16"/>
                <w:lang w:eastAsia="tr-TR"/>
              </w:rPr>
              <w:t>Dönem Sonu Bakiyesi</w:t>
            </w:r>
          </w:p>
        </w:tc>
        <w:tc>
          <w:tcPr>
            <w:tcW w:w="1032" w:type="dxa"/>
            <w:tcBorders>
              <w:top w:val="nil"/>
              <w:left w:val="nil"/>
              <w:bottom w:val="nil"/>
              <w:right w:val="nil"/>
            </w:tcBorders>
            <w:shd w:val="clear" w:color="auto" w:fill="auto"/>
            <w:vAlign w:val="center"/>
            <w:hideMark/>
          </w:tcPr>
          <w:p w14:paraId="5762A842" w14:textId="77777777" w:rsidR="00AE2554" w:rsidRPr="00AE2554" w:rsidRDefault="00AE2554" w:rsidP="00AE2554">
            <w:pPr>
              <w:jc w:val="right"/>
              <w:rPr>
                <w:sz w:val="18"/>
                <w:szCs w:val="18"/>
                <w:lang w:eastAsia="tr-TR"/>
              </w:rPr>
            </w:pPr>
            <w:r w:rsidRPr="00AE2554">
              <w:rPr>
                <w:sz w:val="18"/>
                <w:szCs w:val="18"/>
                <w:lang w:eastAsia="tr-TR"/>
              </w:rPr>
              <w:t>64,353</w:t>
            </w:r>
          </w:p>
        </w:tc>
        <w:tc>
          <w:tcPr>
            <w:tcW w:w="1049" w:type="dxa"/>
            <w:tcBorders>
              <w:top w:val="nil"/>
              <w:left w:val="nil"/>
              <w:bottom w:val="nil"/>
              <w:right w:val="nil"/>
            </w:tcBorders>
            <w:shd w:val="clear" w:color="auto" w:fill="auto"/>
            <w:vAlign w:val="center"/>
            <w:hideMark/>
          </w:tcPr>
          <w:p w14:paraId="7EDDC1D7" w14:textId="77777777" w:rsidR="00AE2554" w:rsidRPr="00AE2554" w:rsidRDefault="00AE2554" w:rsidP="00AE2554">
            <w:pPr>
              <w:jc w:val="right"/>
              <w:rPr>
                <w:sz w:val="18"/>
                <w:szCs w:val="18"/>
                <w:lang w:eastAsia="tr-TR"/>
              </w:rPr>
            </w:pPr>
            <w:r w:rsidRPr="00AE2554">
              <w:rPr>
                <w:sz w:val="18"/>
                <w:szCs w:val="18"/>
                <w:lang w:eastAsia="tr-TR"/>
              </w:rPr>
              <w:t>181,714</w:t>
            </w:r>
          </w:p>
        </w:tc>
        <w:tc>
          <w:tcPr>
            <w:tcW w:w="1149" w:type="dxa"/>
            <w:tcBorders>
              <w:top w:val="nil"/>
              <w:left w:val="nil"/>
              <w:bottom w:val="nil"/>
              <w:right w:val="nil"/>
            </w:tcBorders>
            <w:shd w:val="clear" w:color="auto" w:fill="auto"/>
            <w:vAlign w:val="center"/>
            <w:hideMark/>
          </w:tcPr>
          <w:p w14:paraId="1C625B74" w14:textId="77777777" w:rsidR="00AE2554" w:rsidRPr="00AE2554" w:rsidRDefault="00AE2554" w:rsidP="00AE2554">
            <w:pPr>
              <w:jc w:val="right"/>
              <w:rPr>
                <w:sz w:val="18"/>
                <w:szCs w:val="18"/>
                <w:lang w:eastAsia="tr-TR"/>
              </w:rPr>
            </w:pPr>
            <w:r w:rsidRPr="00AE2554">
              <w:rPr>
                <w:sz w:val="18"/>
                <w:szCs w:val="18"/>
                <w:lang w:eastAsia="tr-TR"/>
              </w:rPr>
              <w:t>85,835</w:t>
            </w:r>
          </w:p>
        </w:tc>
        <w:tc>
          <w:tcPr>
            <w:tcW w:w="816" w:type="dxa"/>
            <w:tcBorders>
              <w:top w:val="nil"/>
              <w:left w:val="nil"/>
              <w:bottom w:val="nil"/>
              <w:right w:val="nil"/>
            </w:tcBorders>
            <w:shd w:val="clear" w:color="auto" w:fill="auto"/>
            <w:vAlign w:val="center"/>
            <w:hideMark/>
          </w:tcPr>
          <w:p w14:paraId="045B3ED8" w14:textId="77777777" w:rsidR="00AE2554" w:rsidRPr="00AE2554" w:rsidRDefault="00AE2554" w:rsidP="00AE2554">
            <w:pPr>
              <w:jc w:val="right"/>
              <w:rPr>
                <w:sz w:val="18"/>
                <w:szCs w:val="18"/>
                <w:lang w:eastAsia="tr-TR"/>
              </w:rPr>
            </w:pPr>
            <w:r w:rsidRPr="00AE2554">
              <w:rPr>
                <w:sz w:val="18"/>
                <w:szCs w:val="18"/>
                <w:lang w:eastAsia="tr-TR"/>
              </w:rPr>
              <w:t>151,321</w:t>
            </w:r>
          </w:p>
        </w:tc>
        <w:tc>
          <w:tcPr>
            <w:tcW w:w="1149" w:type="dxa"/>
            <w:tcBorders>
              <w:top w:val="nil"/>
              <w:left w:val="nil"/>
              <w:bottom w:val="nil"/>
              <w:right w:val="nil"/>
            </w:tcBorders>
            <w:shd w:val="clear" w:color="auto" w:fill="auto"/>
            <w:vAlign w:val="center"/>
            <w:hideMark/>
          </w:tcPr>
          <w:p w14:paraId="3B86A5CF" w14:textId="77777777" w:rsidR="00AE2554" w:rsidRPr="00AE2554" w:rsidRDefault="00AE2554" w:rsidP="00AE2554">
            <w:pPr>
              <w:jc w:val="right"/>
              <w:rPr>
                <w:sz w:val="18"/>
                <w:szCs w:val="18"/>
                <w:lang w:eastAsia="tr-TR"/>
              </w:rPr>
            </w:pPr>
            <w:r w:rsidRPr="00AE2554">
              <w:rPr>
                <w:sz w:val="18"/>
                <w:szCs w:val="18"/>
                <w:lang w:eastAsia="tr-TR"/>
              </w:rPr>
              <w:t>207,298</w:t>
            </w:r>
          </w:p>
        </w:tc>
        <w:tc>
          <w:tcPr>
            <w:tcW w:w="1082" w:type="dxa"/>
            <w:tcBorders>
              <w:top w:val="nil"/>
              <w:left w:val="nil"/>
              <w:bottom w:val="nil"/>
              <w:right w:val="nil"/>
            </w:tcBorders>
            <w:shd w:val="clear" w:color="auto" w:fill="auto"/>
            <w:vAlign w:val="center"/>
            <w:hideMark/>
          </w:tcPr>
          <w:p w14:paraId="3793B8A9" w14:textId="77777777" w:rsidR="00AE2554" w:rsidRPr="00AE2554" w:rsidRDefault="00AE2554" w:rsidP="00AE2554">
            <w:pPr>
              <w:jc w:val="right"/>
              <w:rPr>
                <w:sz w:val="18"/>
                <w:szCs w:val="18"/>
                <w:lang w:eastAsia="tr-TR"/>
              </w:rPr>
            </w:pPr>
            <w:r w:rsidRPr="00AE2554">
              <w:rPr>
                <w:sz w:val="18"/>
                <w:szCs w:val="18"/>
                <w:lang w:eastAsia="tr-TR"/>
              </w:rPr>
              <w:t>390,698</w:t>
            </w:r>
          </w:p>
        </w:tc>
      </w:tr>
      <w:tr w:rsidR="00AE2554" w:rsidRPr="00AE2554" w14:paraId="12DDA53C" w14:textId="77777777" w:rsidTr="00AE2554">
        <w:trPr>
          <w:divId w:val="486019940"/>
          <w:trHeight w:val="182"/>
        </w:trPr>
        <w:tc>
          <w:tcPr>
            <w:tcW w:w="2964" w:type="dxa"/>
            <w:tcBorders>
              <w:top w:val="nil"/>
              <w:left w:val="nil"/>
              <w:bottom w:val="double" w:sz="6" w:space="0" w:color="auto"/>
              <w:right w:val="nil"/>
            </w:tcBorders>
            <w:shd w:val="clear" w:color="auto" w:fill="auto"/>
            <w:vAlign w:val="center"/>
            <w:hideMark/>
          </w:tcPr>
          <w:p w14:paraId="1D1F38D7" w14:textId="77777777" w:rsidR="00AE2554" w:rsidRPr="00AE2554" w:rsidRDefault="00AE2554" w:rsidP="00AE2554">
            <w:pPr>
              <w:jc w:val="both"/>
              <w:rPr>
                <w:sz w:val="16"/>
                <w:szCs w:val="16"/>
                <w:lang w:eastAsia="tr-TR"/>
              </w:rPr>
            </w:pPr>
            <w:r w:rsidRPr="00AE2554">
              <w:rPr>
                <w:sz w:val="16"/>
                <w:szCs w:val="16"/>
                <w:lang w:eastAsia="tr-TR"/>
              </w:rPr>
              <w:t xml:space="preserve">Katılma hesapları </w:t>
            </w:r>
            <w:proofErr w:type="gramStart"/>
            <w:r w:rsidRPr="00AE2554">
              <w:rPr>
                <w:sz w:val="16"/>
                <w:szCs w:val="16"/>
                <w:lang w:eastAsia="tr-TR"/>
              </w:rPr>
              <w:t>kar</w:t>
            </w:r>
            <w:proofErr w:type="gramEnd"/>
            <w:r w:rsidRPr="00AE2554">
              <w:rPr>
                <w:sz w:val="16"/>
                <w:szCs w:val="16"/>
                <w:lang w:eastAsia="tr-TR"/>
              </w:rPr>
              <w:t xml:space="preserve"> payı gideri</w:t>
            </w:r>
          </w:p>
        </w:tc>
        <w:tc>
          <w:tcPr>
            <w:tcW w:w="1032" w:type="dxa"/>
            <w:tcBorders>
              <w:top w:val="nil"/>
              <w:left w:val="nil"/>
              <w:bottom w:val="double" w:sz="6" w:space="0" w:color="auto"/>
              <w:right w:val="nil"/>
            </w:tcBorders>
            <w:shd w:val="clear" w:color="auto" w:fill="auto"/>
            <w:vAlign w:val="center"/>
            <w:hideMark/>
          </w:tcPr>
          <w:p w14:paraId="51D45C88" w14:textId="77777777" w:rsidR="00AE2554" w:rsidRPr="00AE2554" w:rsidRDefault="00AE2554" w:rsidP="00AE2554">
            <w:pPr>
              <w:jc w:val="right"/>
              <w:rPr>
                <w:sz w:val="18"/>
                <w:szCs w:val="18"/>
                <w:lang w:eastAsia="tr-TR"/>
              </w:rPr>
            </w:pPr>
            <w:r w:rsidRPr="00AE2554">
              <w:rPr>
                <w:sz w:val="18"/>
                <w:szCs w:val="18"/>
                <w:lang w:eastAsia="tr-TR"/>
              </w:rPr>
              <w:t>4,890</w:t>
            </w:r>
          </w:p>
        </w:tc>
        <w:tc>
          <w:tcPr>
            <w:tcW w:w="1049" w:type="dxa"/>
            <w:tcBorders>
              <w:top w:val="nil"/>
              <w:left w:val="nil"/>
              <w:bottom w:val="double" w:sz="6" w:space="0" w:color="auto"/>
              <w:right w:val="nil"/>
            </w:tcBorders>
            <w:shd w:val="clear" w:color="auto" w:fill="auto"/>
            <w:vAlign w:val="center"/>
            <w:hideMark/>
          </w:tcPr>
          <w:p w14:paraId="5AEEB1BC" w14:textId="77777777" w:rsidR="00AE2554" w:rsidRPr="00AE2554" w:rsidRDefault="00AE2554" w:rsidP="00AE2554">
            <w:pPr>
              <w:jc w:val="right"/>
              <w:rPr>
                <w:sz w:val="18"/>
                <w:szCs w:val="18"/>
                <w:lang w:eastAsia="tr-TR"/>
              </w:rPr>
            </w:pPr>
            <w:r w:rsidRPr="00AE2554">
              <w:rPr>
                <w:sz w:val="18"/>
                <w:szCs w:val="18"/>
                <w:lang w:eastAsia="tr-TR"/>
              </w:rPr>
              <w:t>4,634</w:t>
            </w:r>
          </w:p>
        </w:tc>
        <w:tc>
          <w:tcPr>
            <w:tcW w:w="1149" w:type="dxa"/>
            <w:tcBorders>
              <w:top w:val="nil"/>
              <w:left w:val="nil"/>
              <w:bottom w:val="double" w:sz="6" w:space="0" w:color="auto"/>
              <w:right w:val="nil"/>
            </w:tcBorders>
            <w:shd w:val="clear" w:color="auto" w:fill="auto"/>
            <w:vAlign w:val="center"/>
            <w:hideMark/>
          </w:tcPr>
          <w:p w14:paraId="12255B75" w14:textId="77777777" w:rsidR="00AE2554" w:rsidRPr="00AE2554" w:rsidRDefault="00AE2554" w:rsidP="00AE2554">
            <w:pPr>
              <w:jc w:val="right"/>
              <w:rPr>
                <w:sz w:val="18"/>
                <w:szCs w:val="18"/>
                <w:lang w:eastAsia="tr-TR"/>
              </w:rPr>
            </w:pPr>
            <w:r w:rsidRPr="00AE2554">
              <w:rPr>
                <w:sz w:val="18"/>
                <w:szCs w:val="18"/>
                <w:lang w:eastAsia="tr-TR"/>
              </w:rPr>
              <w:t>832</w:t>
            </w:r>
          </w:p>
        </w:tc>
        <w:tc>
          <w:tcPr>
            <w:tcW w:w="816" w:type="dxa"/>
            <w:tcBorders>
              <w:top w:val="nil"/>
              <w:left w:val="nil"/>
              <w:bottom w:val="double" w:sz="6" w:space="0" w:color="auto"/>
              <w:right w:val="nil"/>
            </w:tcBorders>
            <w:shd w:val="clear" w:color="auto" w:fill="auto"/>
            <w:vAlign w:val="center"/>
            <w:hideMark/>
          </w:tcPr>
          <w:p w14:paraId="3E324908" w14:textId="77777777" w:rsidR="00AE2554" w:rsidRPr="00AE2554" w:rsidRDefault="00AE2554" w:rsidP="00AE2554">
            <w:pPr>
              <w:jc w:val="right"/>
              <w:rPr>
                <w:sz w:val="18"/>
                <w:szCs w:val="18"/>
                <w:lang w:eastAsia="tr-TR"/>
              </w:rPr>
            </w:pPr>
            <w:r w:rsidRPr="00AE2554">
              <w:rPr>
                <w:sz w:val="18"/>
                <w:szCs w:val="18"/>
                <w:lang w:eastAsia="tr-TR"/>
              </w:rPr>
              <w:t>1,824</w:t>
            </w:r>
          </w:p>
        </w:tc>
        <w:tc>
          <w:tcPr>
            <w:tcW w:w="1149" w:type="dxa"/>
            <w:tcBorders>
              <w:top w:val="nil"/>
              <w:left w:val="nil"/>
              <w:bottom w:val="double" w:sz="6" w:space="0" w:color="auto"/>
              <w:right w:val="nil"/>
            </w:tcBorders>
            <w:shd w:val="clear" w:color="auto" w:fill="auto"/>
            <w:vAlign w:val="center"/>
            <w:hideMark/>
          </w:tcPr>
          <w:p w14:paraId="2A289438" w14:textId="77777777" w:rsidR="00AE2554" w:rsidRPr="00AE2554" w:rsidRDefault="00AE2554" w:rsidP="00AE2554">
            <w:pPr>
              <w:jc w:val="right"/>
              <w:rPr>
                <w:sz w:val="18"/>
                <w:szCs w:val="18"/>
                <w:lang w:eastAsia="tr-TR"/>
              </w:rPr>
            </w:pPr>
            <w:r w:rsidRPr="00AE2554">
              <w:rPr>
                <w:sz w:val="18"/>
                <w:szCs w:val="18"/>
                <w:lang w:eastAsia="tr-TR"/>
              </w:rPr>
              <w:t>304</w:t>
            </w:r>
          </w:p>
        </w:tc>
        <w:tc>
          <w:tcPr>
            <w:tcW w:w="1082" w:type="dxa"/>
            <w:tcBorders>
              <w:top w:val="nil"/>
              <w:left w:val="nil"/>
              <w:bottom w:val="double" w:sz="6" w:space="0" w:color="auto"/>
              <w:right w:val="nil"/>
            </w:tcBorders>
            <w:shd w:val="clear" w:color="auto" w:fill="auto"/>
            <w:vAlign w:val="center"/>
            <w:hideMark/>
          </w:tcPr>
          <w:p w14:paraId="71CAF9CA" w14:textId="77777777" w:rsidR="00AE2554" w:rsidRPr="00AE2554" w:rsidRDefault="00AE2554" w:rsidP="00AE2554">
            <w:pPr>
              <w:jc w:val="right"/>
              <w:rPr>
                <w:sz w:val="18"/>
                <w:szCs w:val="18"/>
                <w:lang w:eastAsia="tr-TR"/>
              </w:rPr>
            </w:pPr>
            <w:r w:rsidRPr="00AE2554">
              <w:rPr>
                <w:sz w:val="18"/>
                <w:szCs w:val="18"/>
                <w:lang w:eastAsia="tr-TR"/>
              </w:rPr>
              <w:t>29,492</w:t>
            </w:r>
          </w:p>
        </w:tc>
      </w:tr>
    </w:tbl>
    <w:p w14:paraId="211DF009" w14:textId="07ECF3EF" w:rsidR="000F096F" w:rsidRPr="00AE2554" w:rsidRDefault="000F096F" w:rsidP="00F11877">
      <w:pPr>
        <w:pStyle w:val="BodyText"/>
        <w:rPr>
          <w:sz w:val="16"/>
          <w:szCs w:val="16"/>
        </w:rPr>
      </w:pPr>
    </w:p>
    <w:p w14:paraId="148E3F98" w14:textId="77777777" w:rsidR="000F096F" w:rsidRPr="00AE2554"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AE2554">
        <w:rPr>
          <w:rFonts w:eastAsia="Times New Roman"/>
          <w:sz w:val="16"/>
          <w:szCs w:val="16"/>
        </w:rPr>
        <w:t xml:space="preserve">(*)    </w:t>
      </w:r>
      <w:r w:rsidR="00E253C8" w:rsidRPr="00AE2554">
        <w:rPr>
          <w:rFonts w:eastAsia="Times New Roman"/>
          <w:sz w:val="16"/>
          <w:szCs w:val="16"/>
        </w:rPr>
        <w:t>5411 Sayılı Bankacılık Kanunu’nun 49</w:t>
      </w:r>
      <w:r w:rsidR="001743E7" w:rsidRPr="00AE2554">
        <w:rPr>
          <w:rFonts w:eastAsia="Times New Roman"/>
          <w:sz w:val="16"/>
          <w:szCs w:val="16"/>
        </w:rPr>
        <w:t>’</w:t>
      </w:r>
      <w:r w:rsidR="00E253C8" w:rsidRPr="00AE2554">
        <w:rPr>
          <w:rFonts w:eastAsia="Times New Roman"/>
          <w:sz w:val="16"/>
          <w:szCs w:val="16"/>
        </w:rPr>
        <w:t>uncu maddesinin 2</w:t>
      </w:r>
      <w:r w:rsidR="001743E7" w:rsidRPr="00AE2554">
        <w:rPr>
          <w:rFonts w:eastAsia="Times New Roman"/>
          <w:sz w:val="16"/>
          <w:szCs w:val="16"/>
        </w:rPr>
        <w:t>’</w:t>
      </w:r>
      <w:r w:rsidR="00E253C8" w:rsidRPr="00AE2554">
        <w:rPr>
          <w:rFonts w:eastAsia="Times New Roman"/>
          <w:sz w:val="16"/>
          <w:szCs w:val="16"/>
        </w:rPr>
        <w:t>nci fıkrasında tanımlanmıştır.</w:t>
      </w:r>
    </w:p>
    <w:p w14:paraId="302A7825" w14:textId="77777777" w:rsidR="000F096F" w:rsidRPr="00AE2554" w:rsidRDefault="000F096F" w:rsidP="00F11877">
      <w:pPr>
        <w:autoSpaceDE w:val="0"/>
        <w:autoSpaceDN w:val="0"/>
        <w:adjustRightInd w:val="0"/>
        <w:ind w:left="1080" w:hanging="360"/>
        <w:jc w:val="both"/>
        <w:rPr>
          <w:bCs/>
          <w:iCs/>
          <w:sz w:val="16"/>
          <w:szCs w:val="16"/>
        </w:rPr>
      </w:pPr>
    </w:p>
    <w:p w14:paraId="684FF9AF" w14:textId="77777777" w:rsidR="001E1941" w:rsidRPr="00AE2554" w:rsidRDefault="0030639E" w:rsidP="00B843E3">
      <w:pPr>
        <w:autoSpaceDE w:val="0"/>
        <w:autoSpaceDN w:val="0"/>
        <w:adjustRightInd w:val="0"/>
        <w:ind w:hanging="567"/>
        <w:jc w:val="both"/>
        <w:rPr>
          <w:b/>
          <w:bCs/>
          <w:iCs/>
        </w:rPr>
      </w:pPr>
      <w:r w:rsidRPr="00AE2554">
        <w:rPr>
          <w:b/>
          <w:bCs/>
          <w:iCs/>
        </w:rPr>
        <w:t>7.</w:t>
      </w:r>
      <w:r w:rsidR="001E1941" w:rsidRPr="00AE2554">
        <w:rPr>
          <w:b/>
          <w:bCs/>
          <w:iCs/>
        </w:rPr>
        <w:t>3</w:t>
      </w:r>
      <w:r w:rsidR="001E1941" w:rsidRPr="00AE2554">
        <w:rPr>
          <w:b/>
          <w:bCs/>
          <w:iCs/>
        </w:rPr>
        <w:tab/>
        <w:t>Banka’nın dahil olduğu risk grubu ile yaptığı vadeli işlemler ile opsiyon sözleşmeleri ile benzeri diğer sözleşmelere ilişkin bilgiler:</w:t>
      </w:r>
    </w:p>
    <w:p w14:paraId="6C262E46" w14:textId="2996594F" w:rsidR="00AE2554" w:rsidRPr="00311DAB" w:rsidRDefault="00AE2554" w:rsidP="00220D06">
      <w:pPr>
        <w:tabs>
          <w:tab w:val="left" w:pos="709"/>
        </w:tabs>
        <w:rPr>
          <w:lang w:eastAsia="en-GB"/>
        </w:rPr>
      </w:pPr>
    </w:p>
    <w:tbl>
      <w:tblPr>
        <w:tblW w:w="9166" w:type="dxa"/>
        <w:tblCellMar>
          <w:left w:w="70" w:type="dxa"/>
          <w:right w:w="70" w:type="dxa"/>
        </w:tblCellMar>
        <w:tblLook w:val="04A0" w:firstRow="1" w:lastRow="0" w:firstColumn="1" w:lastColumn="0" w:noHBand="0" w:noVBand="1"/>
      </w:tblPr>
      <w:tblGrid>
        <w:gridCol w:w="2929"/>
        <w:gridCol w:w="1020"/>
        <w:gridCol w:w="1037"/>
        <w:gridCol w:w="1135"/>
        <w:gridCol w:w="955"/>
        <w:gridCol w:w="1020"/>
        <w:gridCol w:w="1070"/>
      </w:tblGrid>
      <w:tr w:rsidR="00AE2554" w:rsidRPr="00AE2554" w14:paraId="3963AFEE" w14:textId="77777777" w:rsidTr="00AE2554">
        <w:trPr>
          <w:divId w:val="1356731850"/>
          <w:trHeight w:val="540"/>
        </w:trPr>
        <w:tc>
          <w:tcPr>
            <w:tcW w:w="2929" w:type="dxa"/>
            <w:tcBorders>
              <w:top w:val="double" w:sz="6" w:space="0" w:color="auto"/>
              <w:left w:val="nil"/>
              <w:bottom w:val="nil"/>
              <w:right w:val="nil"/>
            </w:tcBorders>
            <w:shd w:val="clear" w:color="auto" w:fill="auto"/>
            <w:vAlign w:val="center"/>
            <w:hideMark/>
          </w:tcPr>
          <w:p w14:paraId="7D633D56" w14:textId="07448EC7" w:rsidR="00AE2554" w:rsidRPr="00AE2554" w:rsidRDefault="00AE2554" w:rsidP="00AE2554">
            <w:pPr>
              <w:jc w:val="both"/>
              <w:rPr>
                <w:sz w:val="2"/>
                <w:szCs w:val="2"/>
                <w:lang w:eastAsia="tr-TR"/>
              </w:rPr>
            </w:pPr>
            <w:r w:rsidRPr="00AE2554">
              <w:rPr>
                <w:sz w:val="2"/>
                <w:szCs w:val="2"/>
                <w:lang w:eastAsia="tr-TR"/>
              </w:rPr>
              <w:t> </w:t>
            </w:r>
          </w:p>
        </w:tc>
        <w:tc>
          <w:tcPr>
            <w:tcW w:w="2057" w:type="dxa"/>
            <w:gridSpan w:val="2"/>
            <w:tcBorders>
              <w:top w:val="double" w:sz="6" w:space="0" w:color="auto"/>
              <w:left w:val="nil"/>
              <w:bottom w:val="nil"/>
              <w:right w:val="nil"/>
            </w:tcBorders>
            <w:shd w:val="clear" w:color="auto" w:fill="auto"/>
            <w:vAlign w:val="center"/>
            <w:hideMark/>
          </w:tcPr>
          <w:p w14:paraId="6335149C" w14:textId="77777777" w:rsidR="00AE2554" w:rsidRPr="00AE2554" w:rsidRDefault="00AE2554" w:rsidP="00AE2554">
            <w:pPr>
              <w:jc w:val="center"/>
              <w:rPr>
                <w:b/>
                <w:bCs/>
                <w:sz w:val="16"/>
                <w:szCs w:val="16"/>
                <w:lang w:eastAsia="tr-TR"/>
              </w:rPr>
            </w:pPr>
            <w:r w:rsidRPr="00AE2554">
              <w:rPr>
                <w:b/>
                <w:bCs/>
                <w:sz w:val="16"/>
                <w:szCs w:val="16"/>
                <w:lang w:eastAsia="tr-TR"/>
              </w:rPr>
              <w:t>İştirak, bağlı ortaklıklar ve birlikte kontrol edilen ortaklıklar (iş ortaklıkları)</w:t>
            </w:r>
          </w:p>
        </w:tc>
        <w:tc>
          <w:tcPr>
            <w:tcW w:w="2090" w:type="dxa"/>
            <w:gridSpan w:val="2"/>
            <w:tcBorders>
              <w:top w:val="double" w:sz="6" w:space="0" w:color="auto"/>
              <w:left w:val="nil"/>
              <w:bottom w:val="nil"/>
              <w:right w:val="nil"/>
            </w:tcBorders>
            <w:shd w:val="clear" w:color="auto" w:fill="auto"/>
            <w:vAlign w:val="center"/>
            <w:hideMark/>
          </w:tcPr>
          <w:p w14:paraId="066494FE" w14:textId="77777777" w:rsidR="00AE2554" w:rsidRPr="00AE2554" w:rsidRDefault="00AE2554" w:rsidP="00AE2554">
            <w:pPr>
              <w:jc w:val="right"/>
              <w:rPr>
                <w:b/>
                <w:bCs/>
                <w:sz w:val="16"/>
                <w:szCs w:val="16"/>
                <w:lang w:eastAsia="tr-TR"/>
              </w:rPr>
            </w:pPr>
            <w:r w:rsidRPr="00AE2554">
              <w:rPr>
                <w:b/>
                <w:bCs/>
                <w:sz w:val="16"/>
                <w:szCs w:val="16"/>
                <w:lang w:eastAsia="tr-TR"/>
              </w:rPr>
              <w:t>Bankanın doğrudan ve dolaylı ortaklıkları</w:t>
            </w:r>
          </w:p>
        </w:tc>
        <w:tc>
          <w:tcPr>
            <w:tcW w:w="2090" w:type="dxa"/>
            <w:gridSpan w:val="2"/>
            <w:tcBorders>
              <w:top w:val="double" w:sz="6" w:space="0" w:color="auto"/>
              <w:left w:val="nil"/>
              <w:bottom w:val="nil"/>
              <w:right w:val="nil"/>
            </w:tcBorders>
            <w:shd w:val="clear" w:color="auto" w:fill="auto"/>
            <w:vAlign w:val="center"/>
            <w:hideMark/>
          </w:tcPr>
          <w:p w14:paraId="5BB49276" w14:textId="77777777" w:rsidR="00AE2554" w:rsidRPr="00AE2554" w:rsidRDefault="00AE2554" w:rsidP="00AE2554">
            <w:pPr>
              <w:jc w:val="right"/>
              <w:rPr>
                <w:b/>
                <w:bCs/>
                <w:sz w:val="16"/>
                <w:szCs w:val="16"/>
                <w:lang w:eastAsia="tr-TR"/>
              </w:rPr>
            </w:pPr>
            <w:r w:rsidRPr="00AE2554">
              <w:rPr>
                <w:b/>
                <w:bCs/>
                <w:sz w:val="16"/>
                <w:szCs w:val="16"/>
                <w:lang w:eastAsia="tr-TR"/>
              </w:rPr>
              <w:t>Risk grubuna dahil olan diğer gerçek ve tüzel kişiler</w:t>
            </w:r>
          </w:p>
        </w:tc>
      </w:tr>
      <w:tr w:rsidR="00AE2554" w:rsidRPr="00AE2554" w14:paraId="12E5D56A" w14:textId="77777777" w:rsidTr="00AE2554">
        <w:trPr>
          <w:divId w:val="1356731850"/>
          <w:trHeight w:val="193"/>
        </w:trPr>
        <w:tc>
          <w:tcPr>
            <w:tcW w:w="2929" w:type="dxa"/>
            <w:tcBorders>
              <w:top w:val="nil"/>
              <w:left w:val="nil"/>
              <w:bottom w:val="nil"/>
              <w:right w:val="nil"/>
            </w:tcBorders>
            <w:shd w:val="clear" w:color="auto" w:fill="auto"/>
            <w:vAlign w:val="center"/>
            <w:hideMark/>
          </w:tcPr>
          <w:p w14:paraId="406108FD" w14:textId="77777777" w:rsidR="00AE2554" w:rsidRPr="00AE2554" w:rsidRDefault="00AE2554" w:rsidP="00AE2554">
            <w:pPr>
              <w:rPr>
                <w:b/>
                <w:bCs/>
                <w:sz w:val="16"/>
                <w:szCs w:val="16"/>
                <w:lang w:eastAsia="tr-TR"/>
              </w:rPr>
            </w:pPr>
            <w:r w:rsidRPr="00AE2554">
              <w:rPr>
                <w:b/>
                <w:bCs/>
                <w:sz w:val="16"/>
                <w:szCs w:val="16"/>
                <w:lang w:eastAsia="tr-TR"/>
              </w:rPr>
              <w:t>Banka'nın dahil olduğu risk grubu (*)</w:t>
            </w:r>
          </w:p>
        </w:tc>
        <w:tc>
          <w:tcPr>
            <w:tcW w:w="1020" w:type="dxa"/>
            <w:vMerge w:val="restart"/>
            <w:tcBorders>
              <w:top w:val="nil"/>
              <w:left w:val="nil"/>
              <w:bottom w:val="single" w:sz="8" w:space="0" w:color="000000"/>
              <w:right w:val="nil"/>
            </w:tcBorders>
            <w:shd w:val="clear" w:color="auto" w:fill="auto"/>
            <w:vAlign w:val="center"/>
            <w:hideMark/>
          </w:tcPr>
          <w:p w14:paraId="65A2AF58" w14:textId="77777777" w:rsidR="00AE2554" w:rsidRPr="00AE2554" w:rsidRDefault="00AE2554" w:rsidP="00AE2554">
            <w:pPr>
              <w:jc w:val="center"/>
              <w:rPr>
                <w:b/>
                <w:bCs/>
                <w:sz w:val="16"/>
                <w:szCs w:val="16"/>
                <w:lang w:eastAsia="tr-TR"/>
              </w:rPr>
            </w:pPr>
            <w:r w:rsidRPr="00AE2554">
              <w:rPr>
                <w:b/>
                <w:bCs/>
                <w:sz w:val="16"/>
                <w:szCs w:val="16"/>
                <w:lang w:eastAsia="tr-TR"/>
              </w:rPr>
              <w:t>Cari Dönem</w:t>
            </w:r>
          </w:p>
        </w:tc>
        <w:tc>
          <w:tcPr>
            <w:tcW w:w="1037" w:type="dxa"/>
            <w:vMerge w:val="restart"/>
            <w:tcBorders>
              <w:top w:val="nil"/>
              <w:left w:val="nil"/>
              <w:bottom w:val="single" w:sz="8" w:space="0" w:color="000000"/>
              <w:right w:val="nil"/>
            </w:tcBorders>
            <w:shd w:val="clear" w:color="auto" w:fill="auto"/>
            <w:vAlign w:val="center"/>
            <w:hideMark/>
          </w:tcPr>
          <w:p w14:paraId="2D2DB037" w14:textId="77777777" w:rsidR="00AE2554" w:rsidRPr="00AE2554" w:rsidRDefault="00AE2554" w:rsidP="00AE2554">
            <w:pPr>
              <w:jc w:val="right"/>
              <w:rPr>
                <w:b/>
                <w:bCs/>
                <w:sz w:val="16"/>
                <w:szCs w:val="16"/>
                <w:lang w:eastAsia="tr-TR"/>
              </w:rPr>
            </w:pPr>
            <w:r w:rsidRPr="00AE2554">
              <w:rPr>
                <w:b/>
                <w:bCs/>
                <w:sz w:val="16"/>
                <w:szCs w:val="16"/>
                <w:lang w:eastAsia="tr-TR"/>
              </w:rPr>
              <w:t>Önceki Dönem</w:t>
            </w:r>
          </w:p>
        </w:tc>
        <w:tc>
          <w:tcPr>
            <w:tcW w:w="1135" w:type="dxa"/>
            <w:vMerge w:val="restart"/>
            <w:tcBorders>
              <w:top w:val="nil"/>
              <w:left w:val="nil"/>
              <w:bottom w:val="single" w:sz="8" w:space="0" w:color="000000"/>
              <w:right w:val="nil"/>
            </w:tcBorders>
            <w:shd w:val="clear" w:color="auto" w:fill="auto"/>
            <w:vAlign w:val="center"/>
            <w:hideMark/>
          </w:tcPr>
          <w:p w14:paraId="4CCE0160" w14:textId="77777777" w:rsidR="00AE2554" w:rsidRPr="00AE2554" w:rsidRDefault="00AE2554" w:rsidP="00AE2554">
            <w:pPr>
              <w:jc w:val="center"/>
              <w:rPr>
                <w:b/>
                <w:bCs/>
                <w:sz w:val="16"/>
                <w:szCs w:val="16"/>
                <w:lang w:eastAsia="tr-TR"/>
              </w:rPr>
            </w:pPr>
            <w:r w:rsidRPr="00AE2554">
              <w:rPr>
                <w:b/>
                <w:bCs/>
                <w:sz w:val="16"/>
                <w:szCs w:val="16"/>
                <w:lang w:eastAsia="tr-TR"/>
              </w:rPr>
              <w:t>Cari Dönem</w:t>
            </w:r>
          </w:p>
        </w:tc>
        <w:tc>
          <w:tcPr>
            <w:tcW w:w="954" w:type="dxa"/>
            <w:vMerge w:val="restart"/>
            <w:tcBorders>
              <w:top w:val="nil"/>
              <w:left w:val="nil"/>
              <w:bottom w:val="single" w:sz="8" w:space="0" w:color="000000"/>
              <w:right w:val="nil"/>
            </w:tcBorders>
            <w:shd w:val="clear" w:color="auto" w:fill="auto"/>
            <w:vAlign w:val="center"/>
            <w:hideMark/>
          </w:tcPr>
          <w:p w14:paraId="1617A016" w14:textId="77777777" w:rsidR="00AE2554" w:rsidRPr="00AE2554" w:rsidRDefault="00AE2554" w:rsidP="00AE2554">
            <w:pPr>
              <w:jc w:val="right"/>
              <w:rPr>
                <w:b/>
                <w:bCs/>
                <w:sz w:val="16"/>
                <w:szCs w:val="16"/>
                <w:lang w:eastAsia="tr-TR"/>
              </w:rPr>
            </w:pPr>
            <w:r w:rsidRPr="00AE2554">
              <w:rPr>
                <w:b/>
                <w:bCs/>
                <w:sz w:val="16"/>
                <w:szCs w:val="16"/>
                <w:lang w:eastAsia="tr-TR"/>
              </w:rPr>
              <w:t>Önceki Dönem</w:t>
            </w:r>
          </w:p>
        </w:tc>
        <w:tc>
          <w:tcPr>
            <w:tcW w:w="1020" w:type="dxa"/>
            <w:vMerge w:val="restart"/>
            <w:tcBorders>
              <w:top w:val="nil"/>
              <w:left w:val="nil"/>
              <w:bottom w:val="single" w:sz="8" w:space="0" w:color="000000"/>
              <w:right w:val="nil"/>
            </w:tcBorders>
            <w:shd w:val="clear" w:color="auto" w:fill="auto"/>
            <w:vAlign w:val="center"/>
            <w:hideMark/>
          </w:tcPr>
          <w:p w14:paraId="23652829" w14:textId="77777777" w:rsidR="00AE2554" w:rsidRPr="00AE2554" w:rsidRDefault="00AE2554" w:rsidP="00AE2554">
            <w:pPr>
              <w:jc w:val="center"/>
              <w:rPr>
                <w:b/>
                <w:bCs/>
                <w:sz w:val="16"/>
                <w:szCs w:val="16"/>
                <w:lang w:eastAsia="tr-TR"/>
              </w:rPr>
            </w:pPr>
            <w:r w:rsidRPr="00AE2554">
              <w:rPr>
                <w:b/>
                <w:bCs/>
                <w:sz w:val="16"/>
                <w:szCs w:val="16"/>
                <w:lang w:eastAsia="tr-TR"/>
              </w:rPr>
              <w:t>Cari Dönem</w:t>
            </w:r>
          </w:p>
        </w:tc>
        <w:tc>
          <w:tcPr>
            <w:tcW w:w="1069" w:type="dxa"/>
            <w:vMerge w:val="restart"/>
            <w:tcBorders>
              <w:top w:val="nil"/>
              <w:left w:val="nil"/>
              <w:bottom w:val="single" w:sz="8" w:space="0" w:color="000000"/>
              <w:right w:val="nil"/>
            </w:tcBorders>
            <w:shd w:val="clear" w:color="auto" w:fill="auto"/>
            <w:vAlign w:val="center"/>
            <w:hideMark/>
          </w:tcPr>
          <w:p w14:paraId="7AC28143" w14:textId="77777777" w:rsidR="00AE2554" w:rsidRPr="00AE2554" w:rsidRDefault="00AE2554" w:rsidP="00AE2554">
            <w:pPr>
              <w:jc w:val="right"/>
              <w:rPr>
                <w:b/>
                <w:bCs/>
                <w:sz w:val="16"/>
                <w:szCs w:val="16"/>
                <w:lang w:eastAsia="tr-TR"/>
              </w:rPr>
            </w:pPr>
            <w:r w:rsidRPr="00AE2554">
              <w:rPr>
                <w:b/>
                <w:bCs/>
                <w:sz w:val="16"/>
                <w:szCs w:val="16"/>
                <w:lang w:eastAsia="tr-TR"/>
              </w:rPr>
              <w:t>Önceki Dönem</w:t>
            </w:r>
          </w:p>
        </w:tc>
      </w:tr>
      <w:tr w:rsidR="00AE2554" w:rsidRPr="00AE2554" w14:paraId="6A2E7CD6" w14:textId="77777777" w:rsidTr="00AE2554">
        <w:trPr>
          <w:divId w:val="1356731850"/>
          <w:trHeight w:val="270"/>
        </w:trPr>
        <w:tc>
          <w:tcPr>
            <w:tcW w:w="2929" w:type="dxa"/>
            <w:tcBorders>
              <w:top w:val="nil"/>
              <w:left w:val="nil"/>
              <w:bottom w:val="single" w:sz="8" w:space="0" w:color="auto"/>
              <w:right w:val="nil"/>
            </w:tcBorders>
            <w:shd w:val="clear" w:color="auto" w:fill="auto"/>
            <w:vAlign w:val="center"/>
            <w:hideMark/>
          </w:tcPr>
          <w:p w14:paraId="1638F08B" w14:textId="77777777" w:rsidR="00AE2554" w:rsidRPr="00AE2554" w:rsidRDefault="00AE2554" w:rsidP="00AE2554">
            <w:pPr>
              <w:rPr>
                <w:b/>
                <w:bCs/>
                <w:sz w:val="16"/>
                <w:szCs w:val="16"/>
                <w:lang w:eastAsia="tr-TR"/>
              </w:rPr>
            </w:pPr>
            <w:r w:rsidRPr="00AE2554">
              <w:rPr>
                <w:b/>
                <w:bCs/>
                <w:sz w:val="16"/>
                <w:szCs w:val="16"/>
                <w:lang w:eastAsia="tr-TR"/>
              </w:rPr>
              <w:t> </w:t>
            </w:r>
          </w:p>
        </w:tc>
        <w:tc>
          <w:tcPr>
            <w:tcW w:w="1020" w:type="dxa"/>
            <w:vMerge/>
            <w:tcBorders>
              <w:top w:val="nil"/>
              <w:left w:val="nil"/>
              <w:bottom w:val="single" w:sz="8" w:space="0" w:color="000000"/>
              <w:right w:val="nil"/>
            </w:tcBorders>
            <w:vAlign w:val="center"/>
            <w:hideMark/>
          </w:tcPr>
          <w:p w14:paraId="2170BE58" w14:textId="77777777" w:rsidR="00AE2554" w:rsidRPr="00AE2554" w:rsidRDefault="00AE2554" w:rsidP="00AE2554">
            <w:pPr>
              <w:rPr>
                <w:b/>
                <w:bCs/>
                <w:sz w:val="16"/>
                <w:szCs w:val="16"/>
                <w:lang w:eastAsia="tr-TR"/>
              </w:rPr>
            </w:pPr>
          </w:p>
        </w:tc>
        <w:tc>
          <w:tcPr>
            <w:tcW w:w="1037" w:type="dxa"/>
            <w:vMerge/>
            <w:tcBorders>
              <w:top w:val="nil"/>
              <w:left w:val="nil"/>
              <w:bottom w:val="single" w:sz="8" w:space="0" w:color="000000"/>
              <w:right w:val="nil"/>
            </w:tcBorders>
            <w:vAlign w:val="center"/>
            <w:hideMark/>
          </w:tcPr>
          <w:p w14:paraId="7D42F222" w14:textId="77777777" w:rsidR="00AE2554" w:rsidRPr="00AE2554" w:rsidRDefault="00AE2554" w:rsidP="00AE2554">
            <w:pPr>
              <w:rPr>
                <w:b/>
                <w:bCs/>
                <w:sz w:val="16"/>
                <w:szCs w:val="16"/>
                <w:lang w:eastAsia="tr-TR"/>
              </w:rPr>
            </w:pPr>
          </w:p>
        </w:tc>
        <w:tc>
          <w:tcPr>
            <w:tcW w:w="1135" w:type="dxa"/>
            <w:vMerge/>
            <w:tcBorders>
              <w:top w:val="nil"/>
              <w:left w:val="nil"/>
              <w:bottom w:val="single" w:sz="8" w:space="0" w:color="000000"/>
              <w:right w:val="nil"/>
            </w:tcBorders>
            <w:vAlign w:val="center"/>
            <w:hideMark/>
          </w:tcPr>
          <w:p w14:paraId="0C4FFD16" w14:textId="77777777" w:rsidR="00AE2554" w:rsidRPr="00AE2554" w:rsidRDefault="00AE2554" w:rsidP="00AE2554">
            <w:pPr>
              <w:rPr>
                <w:b/>
                <w:bCs/>
                <w:sz w:val="16"/>
                <w:szCs w:val="16"/>
                <w:lang w:eastAsia="tr-TR"/>
              </w:rPr>
            </w:pPr>
          </w:p>
        </w:tc>
        <w:tc>
          <w:tcPr>
            <w:tcW w:w="954" w:type="dxa"/>
            <w:vMerge/>
            <w:tcBorders>
              <w:top w:val="nil"/>
              <w:left w:val="nil"/>
              <w:bottom w:val="single" w:sz="8" w:space="0" w:color="000000"/>
              <w:right w:val="nil"/>
            </w:tcBorders>
            <w:vAlign w:val="center"/>
            <w:hideMark/>
          </w:tcPr>
          <w:p w14:paraId="73ACFCD8" w14:textId="77777777" w:rsidR="00AE2554" w:rsidRPr="00AE2554" w:rsidRDefault="00AE2554" w:rsidP="00AE2554">
            <w:pPr>
              <w:rPr>
                <w:b/>
                <w:bCs/>
                <w:sz w:val="16"/>
                <w:szCs w:val="16"/>
                <w:lang w:eastAsia="tr-TR"/>
              </w:rPr>
            </w:pPr>
          </w:p>
        </w:tc>
        <w:tc>
          <w:tcPr>
            <w:tcW w:w="1020" w:type="dxa"/>
            <w:vMerge/>
            <w:tcBorders>
              <w:top w:val="nil"/>
              <w:left w:val="nil"/>
              <w:bottom w:val="single" w:sz="8" w:space="0" w:color="000000"/>
              <w:right w:val="nil"/>
            </w:tcBorders>
            <w:vAlign w:val="center"/>
            <w:hideMark/>
          </w:tcPr>
          <w:p w14:paraId="4E6CF217" w14:textId="77777777" w:rsidR="00AE2554" w:rsidRPr="00AE2554" w:rsidRDefault="00AE2554" w:rsidP="00AE2554">
            <w:pPr>
              <w:rPr>
                <w:b/>
                <w:bCs/>
                <w:sz w:val="16"/>
                <w:szCs w:val="16"/>
                <w:lang w:eastAsia="tr-TR"/>
              </w:rPr>
            </w:pPr>
          </w:p>
        </w:tc>
        <w:tc>
          <w:tcPr>
            <w:tcW w:w="1069" w:type="dxa"/>
            <w:vMerge/>
            <w:tcBorders>
              <w:top w:val="nil"/>
              <w:left w:val="nil"/>
              <w:bottom w:val="single" w:sz="8" w:space="0" w:color="000000"/>
              <w:right w:val="nil"/>
            </w:tcBorders>
            <w:vAlign w:val="center"/>
            <w:hideMark/>
          </w:tcPr>
          <w:p w14:paraId="44902D81" w14:textId="77777777" w:rsidR="00AE2554" w:rsidRPr="00AE2554" w:rsidRDefault="00AE2554" w:rsidP="00AE2554">
            <w:pPr>
              <w:rPr>
                <w:b/>
                <w:bCs/>
                <w:sz w:val="16"/>
                <w:szCs w:val="16"/>
                <w:lang w:eastAsia="tr-TR"/>
              </w:rPr>
            </w:pPr>
          </w:p>
        </w:tc>
      </w:tr>
      <w:tr w:rsidR="00AE2554" w:rsidRPr="00AE2554" w14:paraId="130A3DD6" w14:textId="77777777" w:rsidTr="00AE2554">
        <w:trPr>
          <w:divId w:val="1356731850"/>
          <w:trHeight w:val="360"/>
        </w:trPr>
        <w:tc>
          <w:tcPr>
            <w:tcW w:w="2929" w:type="dxa"/>
            <w:tcBorders>
              <w:top w:val="nil"/>
              <w:left w:val="nil"/>
              <w:bottom w:val="nil"/>
              <w:right w:val="nil"/>
            </w:tcBorders>
            <w:shd w:val="clear" w:color="auto" w:fill="auto"/>
            <w:vAlign w:val="center"/>
            <w:hideMark/>
          </w:tcPr>
          <w:p w14:paraId="147808D1" w14:textId="77777777" w:rsidR="00AE2554" w:rsidRPr="00AE2554" w:rsidRDefault="00AE2554" w:rsidP="00AE2554">
            <w:pPr>
              <w:jc w:val="both"/>
              <w:rPr>
                <w:b/>
                <w:bCs/>
                <w:sz w:val="16"/>
                <w:szCs w:val="16"/>
                <w:lang w:eastAsia="tr-TR"/>
              </w:rPr>
            </w:pPr>
            <w:r w:rsidRPr="00AE2554">
              <w:rPr>
                <w:b/>
                <w:bCs/>
                <w:sz w:val="16"/>
                <w:szCs w:val="16"/>
                <w:lang w:eastAsia="tr-TR"/>
              </w:rPr>
              <w:t>Gerçeğe Uygun Değer Farkı Kâr veya Zarara Yansıtılan İşlemler:</w:t>
            </w:r>
          </w:p>
        </w:tc>
        <w:tc>
          <w:tcPr>
            <w:tcW w:w="1020" w:type="dxa"/>
            <w:tcBorders>
              <w:top w:val="nil"/>
              <w:left w:val="nil"/>
              <w:bottom w:val="nil"/>
              <w:right w:val="nil"/>
            </w:tcBorders>
            <w:shd w:val="clear" w:color="auto" w:fill="auto"/>
            <w:vAlign w:val="center"/>
            <w:hideMark/>
          </w:tcPr>
          <w:p w14:paraId="5BF7030E" w14:textId="77777777" w:rsidR="00AE2554" w:rsidRPr="00AE2554" w:rsidRDefault="00AE2554" w:rsidP="00AE2554">
            <w:pPr>
              <w:jc w:val="both"/>
              <w:rPr>
                <w:b/>
                <w:bCs/>
                <w:sz w:val="16"/>
                <w:szCs w:val="16"/>
                <w:lang w:eastAsia="tr-TR"/>
              </w:rPr>
            </w:pPr>
          </w:p>
        </w:tc>
        <w:tc>
          <w:tcPr>
            <w:tcW w:w="1037" w:type="dxa"/>
            <w:tcBorders>
              <w:top w:val="nil"/>
              <w:left w:val="nil"/>
              <w:bottom w:val="nil"/>
              <w:right w:val="nil"/>
            </w:tcBorders>
            <w:shd w:val="clear" w:color="auto" w:fill="auto"/>
            <w:vAlign w:val="center"/>
            <w:hideMark/>
          </w:tcPr>
          <w:p w14:paraId="2E3D14B7" w14:textId="77777777" w:rsidR="00AE2554" w:rsidRPr="00AE2554" w:rsidRDefault="00AE2554" w:rsidP="00AE2554">
            <w:pPr>
              <w:jc w:val="both"/>
              <w:rPr>
                <w:lang w:eastAsia="tr-TR"/>
              </w:rPr>
            </w:pPr>
          </w:p>
        </w:tc>
        <w:tc>
          <w:tcPr>
            <w:tcW w:w="1135" w:type="dxa"/>
            <w:tcBorders>
              <w:top w:val="nil"/>
              <w:left w:val="nil"/>
              <w:bottom w:val="nil"/>
              <w:right w:val="nil"/>
            </w:tcBorders>
            <w:shd w:val="clear" w:color="auto" w:fill="auto"/>
            <w:vAlign w:val="center"/>
            <w:hideMark/>
          </w:tcPr>
          <w:p w14:paraId="78508825" w14:textId="77777777" w:rsidR="00AE2554" w:rsidRPr="00AE2554" w:rsidRDefault="00AE2554" w:rsidP="00AE2554">
            <w:pPr>
              <w:jc w:val="both"/>
              <w:rPr>
                <w:lang w:eastAsia="tr-TR"/>
              </w:rPr>
            </w:pPr>
          </w:p>
        </w:tc>
        <w:tc>
          <w:tcPr>
            <w:tcW w:w="954" w:type="dxa"/>
            <w:tcBorders>
              <w:top w:val="nil"/>
              <w:left w:val="nil"/>
              <w:bottom w:val="nil"/>
              <w:right w:val="nil"/>
            </w:tcBorders>
            <w:shd w:val="clear" w:color="auto" w:fill="auto"/>
            <w:vAlign w:val="center"/>
            <w:hideMark/>
          </w:tcPr>
          <w:p w14:paraId="4483E136" w14:textId="77777777" w:rsidR="00AE2554" w:rsidRPr="00AE2554" w:rsidRDefault="00AE2554" w:rsidP="00AE2554">
            <w:pPr>
              <w:jc w:val="both"/>
              <w:rPr>
                <w:lang w:eastAsia="tr-TR"/>
              </w:rPr>
            </w:pPr>
          </w:p>
        </w:tc>
        <w:tc>
          <w:tcPr>
            <w:tcW w:w="1020" w:type="dxa"/>
            <w:tcBorders>
              <w:top w:val="nil"/>
              <w:left w:val="nil"/>
              <w:bottom w:val="nil"/>
              <w:right w:val="nil"/>
            </w:tcBorders>
            <w:shd w:val="clear" w:color="auto" w:fill="auto"/>
            <w:vAlign w:val="center"/>
            <w:hideMark/>
          </w:tcPr>
          <w:p w14:paraId="1263B281" w14:textId="77777777" w:rsidR="00AE2554" w:rsidRPr="00AE2554" w:rsidRDefault="00AE2554" w:rsidP="00AE2554">
            <w:pPr>
              <w:jc w:val="both"/>
              <w:rPr>
                <w:lang w:eastAsia="tr-TR"/>
              </w:rPr>
            </w:pPr>
          </w:p>
        </w:tc>
        <w:tc>
          <w:tcPr>
            <w:tcW w:w="1069" w:type="dxa"/>
            <w:tcBorders>
              <w:top w:val="nil"/>
              <w:left w:val="nil"/>
              <w:bottom w:val="nil"/>
              <w:right w:val="nil"/>
            </w:tcBorders>
            <w:shd w:val="clear" w:color="auto" w:fill="auto"/>
            <w:vAlign w:val="center"/>
            <w:hideMark/>
          </w:tcPr>
          <w:p w14:paraId="15C3C932" w14:textId="77777777" w:rsidR="00AE2554" w:rsidRPr="00AE2554" w:rsidRDefault="00AE2554" w:rsidP="00AE2554">
            <w:pPr>
              <w:jc w:val="both"/>
              <w:rPr>
                <w:lang w:eastAsia="tr-TR"/>
              </w:rPr>
            </w:pPr>
          </w:p>
        </w:tc>
      </w:tr>
      <w:tr w:rsidR="00AE2554" w:rsidRPr="00AE2554" w14:paraId="036E8E08" w14:textId="77777777" w:rsidTr="00AE2554">
        <w:trPr>
          <w:divId w:val="1356731850"/>
          <w:trHeight w:val="193"/>
        </w:trPr>
        <w:tc>
          <w:tcPr>
            <w:tcW w:w="2929" w:type="dxa"/>
            <w:tcBorders>
              <w:top w:val="nil"/>
              <w:left w:val="nil"/>
              <w:bottom w:val="nil"/>
              <w:right w:val="nil"/>
            </w:tcBorders>
            <w:shd w:val="clear" w:color="auto" w:fill="auto"/>
            <w:vAlign w:val="center"/>
            <w:hideMark/>
          </w:tcPr>
          <w:p w14:paraId="0AF2F6D7" w14:textId="77777777" w:rsidR="00AE2554" w:rsidRPr="00AE2554" w:rsidRDefault="00AE2554" w:rsidP="00AE2554">
            <w:pPr>
              <w:jc w:val="both"/>
              <w:rPr>
                <w:sz w:val="16"/>
                <w:szCs w:val="16"/>
                <w:lang w:eastAsia="tr-TR"/>
              </w:rPr>
            </w:pPr>
            <w:r w:rsidRPr="00AE2554">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25F43D25" w14:textId="77777777" w:rsidR="00AE2554" w:rsidRPr="00AE2554" w:rsidRDefault="00AE2554" w:rsidP="00AE2554">
            <w:pPr>
              <w:jc w:val="right"/>
              <w:rPr>
                <w:sz w:val="18"/>
                <w:szCs w:val="18"/>
                <w:lang w:eastAsia="tr-TR"/>
              </w:rPr>
            </w:pPr>
            <w:r w:rsidRPr="00AE2554">
              <w:rPr>
                <w:sz w:val="18"/>
                <w:szCs w:val="18"/>
                <w:lang w:eastAsia="tr-TR"/>
              </w:rPr>
              <w:t>75,460</w:t>
            </w:r>
          </w:p>
        </w:tc>
        <w:tc>
          <w:tcPr>
            <w:tcW w:w="1037" w:type="dxa"/>
            <w:tcBorders>
              <w:top w:val="nil"/>
              <w:left w:val="nil"/>
              <w:bottom w:val="nil"/>
              <w:right w:val="nil"/>
            </w:tcBorders>
            <w:shd w:val="clear" w:color="auto" w:fill="auto"/>
            <w:vAlign w:val="center"/>
            <w:hideMark/>
          </w:tcPr>
          <w:p w14:paraId="25DA8045" w14:textId="77777777" w:rsidR="00AE2554" w:rsidRPr="00AE2554" w:rsidRDefault="00AE2554" w:rsidP="00AE2554">
            <w:pPr>
              <w:jc w:val="right"/>
              <w:rPr>
                <w:sz w:val="18"/>
                <w:szCs w:val="18"/>
                <w:lang w:eastAsia="tr-TR"/>
              </w:rPr>
            </w:pPr>
            <w:r w:rsidRPr="00AE2554">
              <w:rPr>
                <w:sz w:val="18"/>
                <w:szCs w:val="18"/>
                <w:lang w:eastAsia="tr-TR"/>
              </w:rPr>
              <w:t>274,933</w:t>
            </w:r>
          </w:p>
        </w:tc>
        <w:tc>
          <w:tcPr>
            <w:tcW w:w="1135" w:type="dxa"/>
            <w:tcBorders>
              <w:top w:val="nil"/>
              <w:left w:val="nil"/>
              <w:bottom w:val="nil"/>
              <w:right w:val="nil"/>
            </w:tcBorders>
            <w:shd w:val="clear" w:color="auto" w:fill="auto"/>
            <w:vAlign w:val="center"/>
            <w:hideMark/>
          </w:tcPr>
          <w:p w14:paraId="4A77AA03" w14:textId="77777777" w:rsidR="00AE2554" w:rsidRPr="00AE2554" w:rsidRDefault="00AE2554" w:rsidP="00AE2554">
            <w:pPr>
              <w:jc w:val="right"/>
              <w:rPr>
                <w:sz w:val="18"/>
                <w:szCs w:val="18"/>
                <w:lang w:eastAsia="tr-TR"/>
              </w:rPr>
            </w:pPr>
            <w:r w:rsidRPr="00AE2554">
              <w:rPr>
                <w:sz w:val="18"/>
                <w:szCs w:val="18"/>
                <w:lang w:eastAsia="tr-TR"/>
              </w:rPr>
              <w:t>607,498</w:t>
            </w:r>
          </w:p>
        </w:tc>
        <w:tc>
          <w:tcPr>
            <w:tcW w:w="954" w:type="dxa"/>
            <w:tcBorders>
              <w:top w:val="nil"/>
              <w:left w:val="nil"/>
              <w:bottom w:val="nil"/>
              <w:right w:val="nil"/>
            </w:tcBorders>
            <w:shd w:val="clear" w:color="auto" w:fill="auto"/>
            <w:vAlign w:val="center"/>
            <w:hideMark/>
          </w:tcPr>
          <w:p w14:paraId="6BC211D9" w14:textId="77777777" w:rsidR="00AE2554" w:rsidRPr="00AE2554" w:rsidRDefault="00AE2554" w:rsidP="00AE2554">
            <w:pPr>
              <w:jc w:val="right"/>
              <w:rPr>
                <w:sz w:val="18"/>
                <w:szCs w:val="18"/>
                <w:lang w:eastAsia="tr-TR"/>
              </w:rPr>
            </w:pPr>
            <w:r w:rsidRPr="00AE2554">
              <w:rPr>
                <w:sz w:val="18"/>
                <w:szCs w:val="18"/>
                <w:lang w:eastAsia="tr-TR"/>
              </w:rPr>
              <w:t>287,483</w:t>
            </w:r>
          </w:p>
        </w:tc>
        <w:tc>
          <w:tcPr>
            <w:tcW w:w="1020" w:type="dxa"/>
            <w:tcBorders>
              <w:top w:val="nil"/>
              <w:left w:val="nil"/>
              <w:bottom w:val="nil"/>
              <w:right w:val="nil"/>
            </w:tcBorders>
            <w:shd w:val="clear" w:color="auto" w:fill="auto"/>
            <w:vAlign w:val="center"/>
            <w:hideMark/>
          </w:tcPr>
          <w:p w14:paraId="0F33AD18" w14:textId="77777777" w:rsidR="00AE2554" w:rsidRPr="00AE2554" w:rsidRDefault="00AE2554" w:rsidP="00AE2554">
            <w:pPr>
              <w:jc w:val="right"/>
              <w:rPr>
                <w:sz w:val="18"/>
                <w:szCs w:val="18"/>
                <w:lang w:eastAsia="tr-TR"/>
              </w:rPr>
            </w:pPr>
            <w:r w:rsidRPr="00AE2554">
              <w:rPr>
                <w:sz w:val="18"/>
                <w:szCs w:val="18"/>
                <w:lang w:eastAsia="tr-TR"/>
              </w:rPr>
              <w:t>-</w:t>
            </w:r>
          </w:p>
        </w:tc>
        <w:tc>
          <w:tcPr>
            <w:tcW w:w="1069" w:type="dxa"/>
            <w:tcBorders>
              <w:top w:val="nil"/>
              <w:left w:val="nil"/>
              <w:bottom w:val="nil"/>
              <w:right w:val="nil"/>
            </w:tcBorders>
            <w:shd w:val="clear" w:color="auto" w:fill="auto"/>
            <w:vAlign w:val="center"/>
            <w:hideMark/>
          </w:tcPr>
          <w:p w14:paraId="4C841D8D" w14:textId="77777777" w:rsidR="00AE2554" w:rsidRPr="00AE2554" w:rsidRDefault="00AE2554" w:rsidP="00AE2554">
            <w:pPr>
              <w:jc w:val="right"/>
              <w:rPr>
                <w:sz w:val="18"/>
                <w:szCs w:val="18"/>
                <w:lang w:eastAsia="tr-TR"/>
              </w:rPr>
            </w:pPr>
            <w:r w:rsidRPr="00AE2554">
              <w:rPr>
                <w:sz w:val="18"/>
                <w:szCs w:val="18"/>
                <w:lang w:eastAsia="tr-TR"/>
              </w:rPr>
              <w:t>-</w:t>
            </w:r>
          </w:p>
        </w:tc>
      </w:tr>
      <w:tr w:rsidR="00AE2554" w:rsidRPr="00AE2554" w14:paraId="57CCB599" w14:textId="77777777" w:rsidTr="00AE2554">
        <w:trPr>
          <w:divId w:val="1356731850"/>
          <w:trHeight w:val="193"/>
        </w:trPr>
        <w:tc>
          <w:tcPr>
            <w:tcW w:w="2929" w:type="dxa"/>
            <w:tcBorders>
              <w:top w:val="nil"/>
              <w:left w:val="nil"/>
              <w:bottom w:val="nil"/>
              <w:right w:val="nil"/>
            </w:tcBorders>
            <w:shd w:val="clear" w:color="auto" w:fill="auto"/>
            <w:vAlign w:val="center"/>
            <w:hideMark/>
          </w:tcPr>
          <w:p w14:paraId="434B7A49" w14:textId="77777777" w:rsidR="00AE2554" w:rsidRPr="00AE2554" w:rsidRDefault="00AE2554" w:rsidP="00AE2554">
            <w:pPr>
              <w:jc w:val="both"/>
              <w:rPr>
                <w:sz w:val="16"/>
                <w:szCs w:val="16"/>
                <w:lang w:eastAsia="tr-TR"/>
              </w:rPr>
            </w:pPr>
            <w:r w:rsidRPr="00AE2554">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419F10E5" w14:textId="77777777" w:rsidR="00AE2554" w:rsidRPr="00AE2554" w:rsidRDefault="00AE2554" w:rsidP="00AE2554">
            <w:pPr>
              <w:jc w:val="right"/>
              <w:rPr>
                <w:sz w:val="18"/>
                <w:szCs w:val="18"/>
                <w:lang w:eastAsia="tr-TR"/>
              </w:rPr>
            </w:pPr>
            <w:r w:rsidRPr="00AE2554">
              <w:rPr>
                <w:sz w:val="18"/>
                <w:szCs w:val="18"/>
                <w:lang w:eastAsia="tr-TR"/>
              </w:rPr>
              <w:t>118,447</w:t>
            </w:r>
          </w:p>
        </w:tc>
        <w:tc>
          <w:tcPr>
            <w:tcW w:w="1037" w:type="dxa"/>
            <w:tcBorders>
              <w:top w:val="nil"/>
              <w:left w:val="nil"/>
              <w:bottom w:val="nil"/>
              <w:right w:val="nil"/>
            </w:tcBorders>
            <w:shd w:val="clear" w:color="auto" w:fill="auto"/>
            <w:vAlign w:val="center"/>
            <w:hideMark/>
          </w:tcPr>
          <w:p w14:paraId="0E57FAE2" w14:textId="77777777" w:rsidR="00AE2554" w:rsidRPr="00AE2554" w:rsidRDefault="00AE2554" w:rsidP="00AE2554">
            <w:pPr>
              <w:jc w:val="right"/>
              <w:rPr>
                <w:sz w:val="18"/>
                <w:szCs w:val="18"/>
                <w:lang w:eastAsia="tr-TR"/>
              </w:rPr>
            </w:pPr>
            <w:r w:rsidRPr="00AE2554">
              <w:rPr>
                <w:sz w:val="18"/>
                <w:szCs w:val="18"/>
                <w:lang w:eastAsia="tr-TR"/>
              </w:rPr>
              <w:t>75,460</w:t>
            </w:r>
          </w:p>
        </w:tc>
        <w:tc>
          <w:tcPr>
            <w:tcW w:w="1135" w:type="dxa"/>
            <w:tcBorders>
              <w:top w:val="nil"/>
              <w:left w:val="nil"/>
              <w:bottom w:val="nil"/>
              <w:right w:val="nil"/>
            </w:tcBorders>
            <w:shd w:val="clear" w:color="auto" w:fill="auto"/>
            <w:vAlign w:val="center"/>
            <w:hideMark/>
          </w:tcPr>
          <w:p w14:paraId="604073D6" w14:textId="77777777" w:rsidR="00AE2554" w:rsidRPr="00AE2554" w:rsidRDefault="00AE2554" w:rsidP="00AE2554">
            <w:pPr>
              <w:jc w:val="right"/>
              <w:rPr>
                <w:sz w:val="18"/>
                <w:szCs w:val="18"/>
                <w:lang w:eastAsia="tr-TR"/>
              </w:rPr>
            </w:pPr>
            <w:r w:rsidRPr="00AE2554">
              <w:rPr>
                <w:sz w:val="18"/>
                <w:szCs w:val="18"/>
                <w:lang w:eastAsia="tr-TR"/>
              </w:rPr>
              <w:t>650,588</w:t>
            </w:r>
          </w:p>
        </w:tc>
        <w:tc>
          <w:tcPr>
            <w:tcW w:w="954" w:type="dxa"/>
            <w:tcBorders>
              <w:top w:val="nil"/>
              <w:left w:val="nil"/>
              <w:bottom w:val="nil"/>
              <w:right w:val="nil"/>
            </w:tcBorders>
            <w:shd w:val="clear" w:color="auto" w:fill="auto"/>
            <w:vAlign w:val="center"/>
            <w:hideMark/>
          </w:tcPr>
          <w:p w14:paraId="23A8BA60" w14:textId="77777777" w:rsidR="00AE2554" w:rsidRPr="00AE2554" w:rsidRDefault="00AE2554" w:rsidP="00AE2554">
            <w:pPr>
              <w:jc w:val="right"/>
              <w:rPr>
                <w:sz w:val="18"/>
                <w:szCs w:val="18"/>
                <w:lang w:eastAsia="tr-TR"/>
              </w:rPr>
            </w:pPr>
            <w:r w:rsidRPr="00AE2554">
              <w:rPr>
                <w:sz w:val="18"/>
                <w:szCs w:val="18"/>
                <w:lang w:eastAsia="tr-TR"/>
              </w:rPr>
              <w:t>607,498</w:t>
            </w:r>
          </w:p>
        </w:tc>
        <w:tc>
          <w:tcPr>
            <w:tcW w:w="1020" w:type="dxa"/>
            <w:tcBorders>
              <w:top w:val="nil"/>
              <w:left w:val="nil"/>
              <w:bottom w:val="nil"/>
              <w:right w:val="nil"/>
            </w:tcBorders>
            <w:shd w:val="clear" w:color="auto" w:fill="auto"/>
            <w:vAlign w:val="center"/>
            <w:hideMark/>
          </w:tcPr>
          <w:p w14:paraId="1B02C25A" w14:textId="77777777" w:rsidR="00AE2554" w:rsidRPr="00AE2554" w:rsidRDefault="00AE2554" w:rsidP="00AE2554">
            <w:pPr>
              <w:jc w:val="right"/>
              <w:rPr>
                <w:sz w:val="18"/>
                <w:szCs w:val="18"/>
                <w:lang w:eastAsia="tr-TR"/>
              </w:rPr>
            </w:pPr>
            <w:r w:rsidRPr="00AE2554">
              <w:rPr>
                <w:sz w:val="18"/>
                <w:szCs w:val="18"/>
                <w:lang w:eastAsia="tr-TR"/>
              </w:rPr>
              <w:t>-</w:t>
            </w:r>
          </w:p>
        </w:tc>
        <w:tc>
          <w:tcPr>
            <w:tcW w:w="1069" w:type="dxa"/>
            <w:tcBorders>
              <w:top w:val="nil"/>
              <w:left w:val="nil"/>
              <w:bottom w:val="nil"/>
              <w:right w:val="nil"/>
            </w:tcBorders>
            <w:shd w:val="clear" w:color="auto" w:fill="auto"/>
            <w:vAlign w:val="center"/>
            <w:hideMark/>
          </w:tcPr>
          <w:p w14:paraId="53E6C97D" w14:textId="77777777" w:rsidR="00AE2554" w:rsidRPr="00AE2554" w:rsidRDefault="00AE2554" w:rsidP="00AE2554">
            <w:pPr>
              <w:jc w:val="right"/>
              <w:rPr>
                <w:sz w:val="18"/>
                <w:szCs w:val="18"/>
                <w:lang w:eastAsia="tr-TR"/>
              </w:rPr>
            </w:pPr>
            <w:r w:rsidRPr="00AE2554">
              <w:rPr>
                <w:sz w:val="18"/>
                <w:szCs w:val="18"/>
                <w:lang w:eastAsia="tr-TR"/>
              </w:rPr>
              <w:t>-</w:t>
            </w:r>
          </w:p>
        </w:tc>
      </w:tr>
      <w:tr w:rsidR="00AE2554" w:rsidRPr="00AE2554" w14:paraId="52D7D4C6" w14:textId="77777777" w:rsidTr="00AE2554">
        <w:trPr>
          <w:divId w:val="1356731850"/>
          <w:trHeight w:val="193"/>
        </w:trPr>
        <w:tc>
          <w:tcPr>
            <w:tcW w:w="2929" w:type="dxa"/>
            <w:tcBorders>
              <w:top w:val="nil"/>
              <w:left w:val="nil"/>
              <w:bottom w:val="nil"/>
              <w:right w:val="nil"/>
            </w:tcBorders>
            <w:shd w:val="clear" w:color="auto" w:fill="auto"/>
            <w:vAlign w:val="center"/>
            <w:hideMark/>
          </w:tcPr>
          <w:p w14:paraId="635F8BB7" w14:textId="77777777" w:rsidR="00AE2554" w:rsidRPr="00AE2554" w:rsidRDefault="00AE2554" w:rsidP="00AE2554">
            <w:pPr>
              <w:jc w:val="both"/>
              <w:rPr>
                <w:sz w:val="16"/>
                <w:szCs w:val="16"/>
                <w:lang w:eastAsia="tr-TR"/>
              </w:rPr>
            </w:pPr>
            <w:r w:rsidRPr="00AE2554">
              <w:rPr>
                <w:sz w:val="16"/>
                <w:szCs w:val="16"/>
                <w:lang w:eastAsia="tr-TR"/>
              </w:rPr>
              <w:t>Toplam Kar/(Zarar)</w:t>
            </w:r>
          </w:p>
        </w:tc>
        <w:tc>
          <w:tcPr>
            <w:tcW w:w="1020" w:type="dxa"/>
            <w:tcBorders>
              <w:top w:val="nil"/>
              <w:left w:val="nil"/>
              <w:bottom w:val="nil"/>
              <w:right w:val="nil"/>
            </w:tcBorders>
            <w:shd w:val="clear" w:color="auto" w:fill="auto"/>
            <w:vAlign w:val="center"/>
            <w:hideMark/>
          </w:tcPr>
          <w:p w14:paraId="637FE337" w14:textId="77777777" w:rsidR="00AE2554" w:rsidRPr="00AE2554" w:rsidRDefault="00AE2554" w:rsidP="00AE2554">
            <w:pPr>
              <w:jc w:val="right"/>
              <w:rPr>
                <w:sz w:val="18"/>
                <w:szCs w:val="18"/>
                <w:lang w:eastAsia="tr-TR"/>
              </w:rPr>
            </w:pPr>
            <w:r w:rsidRPr="00AE2554">
              <w:rPr>
                <w:sz w:val="18"/>
                <w:szCs w:val="18"/>
                <w:lang w:eastAsia="tr-TR"/>
              </w:rPr>
              <w:t>438</w:t>
            </w:r>
          </w:p>
        </w:tc>
        <w:tc>
          <w:tcPr>
            <w:tcW w:w="1037" w:type="dxa"/>
            <w:tcBorders>
              <w:top w:val="nil"/>
              <w:left w:val="nil"/>
              <w:bottom w:val="nil"/>
              <w:right w:val="nil"/>
            </w:tcBorders>
            <w:shd w:val="clear" w:color="auto" w:fill="auto"/>
            <w:vAlign w:val="center"/>
            <w:hideMark/>
          </w:tcPr>
          <w:p w14:paraId="3C3C98DC" w14:textId="77777777" w:rsidR="00AE2554" w:rsidRPr="00AE2554" w:rsidRDefault="00AE2554" w:rsidP="00AE2554">
            <w:pPr>
              <w:jc w:val="right"/>
              <w:rPr>
                <w:sz w:val="18"/>
                <w:szCs w:val="18"/>
                <w:lang w:eastAsia="tr-TR"/>
              </w:rPr>
            </w:pPr>
            <w:r w:rsidRPr="00AE2554">
              <w:rPr>
                <w:sz w:val="18"/>
                <w:szCs w:val="18"/>
                <w:lang w:eastAsia="tr-TR"/>
              </w:rPr>
              <w:t>1,669</w:t>
            </w:r>
          </w:p>
        </w:tc>
        <w:tc>
          <w:tcPr>
            <w:tcW w:w="1135" w:type="dxa"/>
            <w:tcBorders>
              <w:top w:val="nil"/>
              <w:left w:val="nil"/>
              <w:bottom w:val="nil"/>
              <w:right w:val="nil"/>
            </w:tcBorders>
            <w:shd w:val="clear" w:color="auto" w:fill="auto"/>
            <w:vAlign w:val="center"/>
            <w:hideMark/>
          </w:tcPr>
          <w:p w14:paraId="7BC10EA1" w14:textId="77777777" w:rsidR="00AE2554" w:rsidRPr="00AE2554" w:rsidRDefault="00AE2554" w:rsidP="00AE2554">
            <w:pPr>
              <w:jc w:val="right"/>
              <w:rPr>
                <w:color w:val="000000"/>
                <w:sz w:val="18"/>
                <w:szCs w:val="18"/>
                <w:lang w:eastAsia="tr-TR"/>
              </w:rPr>
            </w:pPr>
            <w:r w:rsidRPr="00AE2554">
              <w:rPr>
                <w:sz w:val="18"/>
                <w:szCs w:val="18"/>
                <w:lang w:eastAsia="tr-TR"/>
              </w:rPr>
              <w:t>(9,654</w:t>
            </w:r>
            <w:r w:rsidRPr="00AE2554">
              <w:rPr>
                <w:color w:val="000000"/>
                <w:sz w:val="18"/>
                <w:szCs w:val="18"/>
                <w:lang w:eastAsia="tr-TR"/>
              </w:rPr>
              <w:t>)</w:t>
            </w:r>
          </w:p>
        </w:tc>
        <w:tc>
          <w:tcPr>
            <w:tcW w:w="954" w:type="dxa"/>
            <w:tcBorders>
              <w:top w:val="nil"/>
              <w:left w:val="nil"/>
              <w:bottom w:val="nil"/>
              <w:right w:val="nil"/>
            </w:tcBorders>
            <w:shd w:val="clear" w:color="auto" w:fill="auto"/>
            <w:vAlign w:val="center"/>
            <w:hideMark/>
          </w:tcPr>
          <w:p w14:paraId="385B271B" w14:textId="77777777" w:rsidR="00AE2554" w:rsidRPr="00AE2554" w:rsidRDefault="00AE2554" w:rsidP="00AE2554">
            <w:pPr>
              <w:jc w:val="right"/>
              <w:rPr>
                <w:sz w:val="18"/>
                <w:szCs w:val="18"/>
                <w:lang w:eastAsia="tr-TR"/>
              </w:rPr>
            </w:pPr>
            <w:r w:rsidRPr="00AE2554">
              <w:rPr>
                <w:sz w:val="18"/>
                <w:szCs w:val="18"/>
                <w:lang w:eastAsia="tr-TR"/>
              </w:rPr>
              <w:t>1</w:t>
            </w:r>
          </w:p>
        </w:tc>
        <w:tc>
          <w:tcPr>
            <w:tcW w:w="1020" w:type="dxa"/>
            <w:tcBorders>
              <w:top w:val="nil"/>
              <w:left w:val="nil"/>
              <w:bottom w:val="nil"/>
              <w:right w:val="nil"/>
            </w:tcBorders>
            <w:shd w:val="clear" w:color="auto" w:fill="auto"/>
            <w:vAlign w:val="center"/>
            <w:hideMark/>
          </w:tcPr>
          <w:p w14:paraId="1BF810F3" w14:textId="77777777" w:rsidR="00AE2554" w:rsidRPr="00AE2554" w:rsidRDefault="00AE2554" w:rsidP="00AE2554">
            <w:pPr>
              <w:jc w:val="right"/>
              <w:rPr>
                <w:sz w:val="18"/>
                <w:szCs w:val="18"/>
                <w:lang w:eastAsia="tr-TR"/>
              </w:rPr>
            </w:pPr>
            <w:r w:rsidRPr="00AE2554">
              <w:rPr>
                <w:sz w:val="18"/>
                <w:szCs w:val="18"/>
                <w:lang w:eastAsia="tr-TR"/>
              </w:rPr>
              <w:t>-</w:t>
            </w:r>
          </w:p>
        </w:tc>
        <w:tc>
          <w:tcPr>
            <w:tcW w:w="1069" w:type="dxa"/>
            <w:tcBorders>
              <w:top w:val="nil"/>
              <w:left w:val="nil"/>
              <w:bottom w:val="nil"/>
              <w:right w:val="nil"/>
            </w:tcBorders>
            <w:shd w:val="clear" w:color="auto" w:fill="auto"/>
            <w:vAlign w:val="center"/>
            <w:hideMark/>
          </w:tcPr>
          <w:p w14:paraId="16AF0176" w14:textId="77777777" w:rsidR="00AE2554" w:rsidRPr="00AE2554" w:rsidRDefault="00AE2554" w:rsidP="00AE2554">
            <w:pPr>
              <w:jc w:val="right"/>
              <w:rPr>
                <w:sz w:val="18"/>
                <w:szCs w:val="18"/>
                <w:lang w:eastAsia="tr-TR"/>
              </w:rPr>
            </w:pPr>
            <w:r w:rsidRPr="00AE2554">
              <w:rPr>
                <w:sz w:val="18"/>
                <w:szCs w:val="18"/>
                <w:lang w:eastAsia="tr-TR"/>
              </w:rPr>
              <w:t>-</w:t>
            </w:r>
          </w:p>
        </w:tc>
      </w:tr>
      <w:tr w:rsidR="00AE2554" w:rsidRPr="00AE2554" w14:paraId="768D14F2" w14:textId="77777777" w:rsidTr="00AE2554">
        <w:trPr>
          <w:divId w:val="1356731850"/>
          <w:trHeight w:val="193"/>
        </w:trPr>
        <w:tc>
          <w:tcPr>
            <w:tcW w:w="2929" w:type="dxa"/>
            <w:tcBorders>
              <w:top w:val="nil"/>
              <w:left w:val="nil"/>
              <w:bottom w:val="nil"/>
              <w:right w:val="nil"/>
            </w:tcBorders>
            <w:shd w:val="clear" w:color="auto" w:fill="auto"/>
            <w:vAlign w:val="center"/>
            <w:hideMark/>
          </w:tcPr>
          <w:p w14:paraId="3D0A7FA7" w14:textId="77777777" w:rsidR="00AE2554" w:rsidRPr="00AE2554" w:rsidRDefault="00AE2554" w:rsidP="00AE2554">
            <w:pPr>
              <w:jc w:val="both"/>
              <w:rPr>
                <w:b/>
                <w:bCs/>
                <w:sz w:val="16"/>
                <w:szCs w:val="16"/>
                <w:lang w:eastAsia="tr-TR"/>
              </w:rPr>
            </w:pPr>
            <w:r w:rsidRPr="00AE2554">
              <w:rPr>
                <w:b/>
                <w:bCs/>
                <w:sz w:val="16"/>
                <w:szCs w:val="16"/>
                <w:lang w:eastAsia="tr-TR"/>
              </w:rPr>
              <w:t>Riskten Korunma Amaçlı İşlemler:</w:t>
            </w:r>
          </w:p>
        </w:tc>
        <w:tc>
          <w:tcPr>
            <w:tcW w:w="1020" w:type="dxa"/>
            <w:tcBorders>
              <w:top w:val="nil"/>
              <w:left w:val="nil"/>
              <w:bottom w:val="nil"/>
              <w:right w:val="nil"/>
            </w:tcBorders>
            <w:shd w:val="clear" w:color="auto" w:fill="auto"/>
            <w:vAlign w:val="center"/>
            <w:hideMark/>
          </w:tcPr>
          <w:p w14:paraId="56D00DB2" w14:textId="77777777" w:rsidR="00AE2554" w:rsidRPr="00AE2554" w:rsidRDefault="00AE2554" w:rsidP="00AE2554">
            <w:pPr>
              <w:jc w:val="right"/>
              <w:rPr>
                <w:sz w:val="18"/>
                <w:szCs w:val="18"/>
                <w:lang w:eastAsia="tr-TR"/>
              </w:rPr>
            </w:pPr>
            <w:r w:rsidRPr="00AE2554">
              <w:rPr>
                <w:b/>
                <w:bCs/>
                <w:sz w:val="18"/>
                <w:szCs w:val="18"/>
                <w:lang w:eastAsia="tr-TR"/>
              </w:rPr>
              <w:t>-</w:t>
            </w:r>
          </w:p>
        </w:tc>
        <w:tc>
          <w:tcPr>
            <w:tcW w:w="1037" w:type="dxa"/>
            <w:tcBorders>
              <w:top w:val="nil"/>
              <w:left w:val="nil"/>
              <w:bottom w:val="nil"/>
              <w:right w:val="nil"/>
            </w:tcBorders>
            <w:shd w:val="clear" w:color="auto" w:fill="auto"/>
            <w:vAlign w:val="center"/>
            <w:hideMark/>
          </w:tcPr>
          <w:p w14:paraId="06AA5250" w14:textId="77777777" w:rsidR="00AE2554" w:rsidRPr="00AE2554" w:rsidRDefault="00AE2554" w:rsidP="00AE2554">
            <w:pPr>
              <w:jc w:val="right"/>
              <w:rPr>
                <w:sz w:val="18"/>
                <w:szCs w:val="18"/>
                <w:lang w:eastAsia="tr-TR"/>
              </w:rPr>
            </w:pPr>
            <w:r w:rsidRPr="00AE2554">
              <w:rPr>
                <w:sz w:val="18"/>
                <w:szCs w:val="18"/>
                <w:lang w:eastAsia="tr-TR"/>
              </w:rPr>
              <w:t>-</w:t>
            </w:r>
          </w:p>
        </w:tc>
        <w:tc>
          <w:tcPr>
            <w:tcW w:w="1135" w:type="dxa"/>
            <w:tcBorders>
              <w:top w:val="nil"/>
              <w:left w:val="nil"/>
              <w:bottom w:val="nil"/>
              <w:right w:val="nil"/>
            </w:tcBorders>
            <w:shd w:val="clear" w:color="auto" w:fill="auto"/>
            <w:vAlign w:val="center"/>
            <w:hideMark/>
          </w:tcPr>
          <w:p w14:paraId="4F248913" w14:textId="77777777" w:rsidR="00AE2554" w:rsidRPr="00AE2554" w:rsidRDefault="00AE2554" w:rsidP="00AE2554">
            <w:pPr>
              <w:jc w:val="right"/>
              <w:rPr>
                <w:sz w:val="18"/>
                <w:szCs w:val="18"/>
                <w:lang w:eastAsia="tr-TR"/>
              </w:rPr>
            </w:pPr>
            <w:r w:rsidRPr="00AE2554">
              <w:rPr>
                <w:sz w:val="18"/>
                <w:szCs w:val="18"/>
                <w:lang w:eastAsia="tr-TR"/>
              </w:rPr>
              <w:t>-</w:t>
            </w:r>
          </w:p>
        </w:tc>
        <w:tc>
          <w:tcPr>
            <w:tcW w:w="954" w:type="dxa"/>
            <w:tcBorders>
              <w:top w:val="nil"/>
              <w:left w:val="nil"/>
              <w:bottom w:val="nil"/>
              <w:right w:val="nil"/>
            </w:tcBorders>
            <w:shd w:val="clear" w:color="auto" w:fill="auto"/>
            <w:vAlign w:val="center"/>
            <w:hideMark/>
          </w:tcPr>
          <w:p w14:paraId="47AB78B7" w14:textId="77777777" w:rsidR="00AE2554" w:rsidRPr="00AE2554" w:rsidRDefault="00AE2554" w:rsidP="00AE2554">
            <w:pPr>
              <w:jc w:val="right"/>
              <w:rPr>
                <w:sz w:val="18"/>
                <w:szCs w:val="18"/>
                <w:lang w:eastAsia="tr-TR"/>
              </w:rPr>
            </w:pPr>
            <w:r w:rsidRPr="00AE2554">
              <w:rPr>
                <w:sz w:val="18"/>
                <w:szCs w:val="18"/>
                <w:lang w:eastAsia="tr-TR"/>
              </w:rPr>
              <w:t>-</w:t>
            </w:r>
          </w:p>
        </w:tc>
        <w:tc>
          <w:tcPr>
            <w:tcW w:w="1020" w:type="dxa"/>
            <w:tcBorders>
              <w:top w:val="nil"/>
              <w:left w:val="nil"/>
              <w:bottom w:val="nil"/>
              <w:right w:val="nil"/>
            </w:tcBorders>
            <w:shd w:val="clear" w:color="auto" w:fill="auto"/>
            <w:vAlign w:val="center"/>
            <w:hideMark/>
          </w:tcPr>
          <w:p w14:paraId="1842E404" w14:textId="77777777" w:rsidR="00AE2554" w:rsidRPr="00AE2554" w:rsidRDefault="00AE2554" w:rsidP="00AE2554">
            <w:pPr>
              <w:jc w:val="right"/>
              <w:rPr>
                <w:sz w:val="18"/>
                <w:szCs w:val="18"/>
                <w:lang w:eastAsia="tr-TR"/>
              </w:rPr>
            </w:pPr>
            <w:r w:rsidRPr="00AE2554">
              <w:rPr>
                <w:sz w:val="18"/>
                <w:szCs w:val="18"/>
                <w:lang w:eastAsia="tr-TR"/>
              </w:rPr>
              <w:t>-</w:t>
            </w:r>
          </w:p>
        </w:tc>
        <w:tc>
          <w:tcPr>
            <w:tcW w:w="1069" w:type="dxa"/>
            <w:tcBorders>
              <w:top w:val="nil"/>
              <w:left w:val="nil"/>
              <w:bottom w:val="nil"/>
              <w:right w:val="nil"/>
            </w:tcBorders>
            <w:shd w:val="clear" w:color="auto" w:fill="auto"/>
            <w:vAlign w:val="center"/>
            <w:hideMark/>
          </w:tcPr>
          <w:p w14:paraId="593237A2" w14:textId="77777777" w:rsidR="00AE2554" w:rsidRPr="00AE2554" w:rsidRDefault="00AE2554" w:rsidP="00AE2554">
            <w:pPr>
              <w:jc w:val="right"/>
              <w:rPr>
                <w:sz w:val="18"/>
                <w:szCs w:val="18"/>
                <w:lang w:eastAsia="tr-TR"/>
              </w:rPr>
            </w:pPr>
            <w:r w:rsidRPr="00AE2554">
              <w:rPr>
                <w:sz w:val="18"/>
                <w:szCs w:val="18"/>
                <w:lang w:eastAsia="tr-TR"/>
              </w:rPr>
              <w:t>-</w:t>
            </w:r>
          </w:p>
        </w:tc>
      </w:tr>
      <w:tr w:rsidR="00AE2554" w:rsidRPr="00AE2554" w14:paraId="18486BAD" w14:textId="77777777" w:rsidTr="00AE2554">
        <w:trPr>
          <w:divId w:val="1356731850"/>
          <w:trHeight w:val="193"/>
        </w:trPr>
        <w:tc>
          <w:tcPr>
            <w:tcW w:w="2929" w:type="dxa"/>
            <w:tcBorders>
              <w:top w:val="nil"/>
              <w:left w:val="nil"/>
              <w:bottom w:val="nil"/>
              <w:right w:val="nil"/>
            </w:tcBorders>
            <w:shd w:val="clear" w:color="auto" w:fill="auto"/>
            <w:vAlign w:val="center"/>
            <w:hideMark/>
          </w:tcPr>
          <w:p w14:paraId="1D69729D" w14:textId="77777777" w:rsidR="00AE2554" w:rsidRPr="00AE2554" w:rsidRDefault="00AE2554" w:rsidP="00AE2554">
            <w:pPr>
              <w:jc w:val="both"/>
              <w:rPr>
                <w:sz w:val="16"/>
                <w:szCs w:val="16"/>
                <w:lang w:eastAsia="tr-TR"/>
              </w:rPr>
            </w:pPr>
            <w:r w:rsidRPr="00AE2554">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715EBDAF" w14:textId="77777777" w:rsidR="00AE2554" w:rsidRPr="00AE2554" w:rsidRDefault="00AE2554" w:rsidP="00AE2554">
            <w:pPr>
              <w:jc w:val="right"/>
              <w:rPr>
                <w:sz w:val="18"/>
                <w:szCs w:val="18"/>
                <w:lang w:eastAsia="tr-TR"/>
              </w:rPr>
            </w:pPr>
            <w:r w:rsidRPr="00AE2554">
              <w:rPr>
                <w:sz w:val="18"/>
                <w:szCs w:val="18"/>
                <w:lang w:eastAsia="tr-TR"/>
              </w:rPr>
              <w:t>-</w:t>
            </w:r>
          </w:p>
        </w:tc>
        <w:tc>
          <w:tcPr>
            <w:tcW w:w="1037" w:type="dxa"/>
            <w:tcBorders>
              <w:top w:val="nil"/>
              <w:left w:val="nil"/>
              <w:bottom w:val="nil"/>
              <w:right w:val="nil"/>
            </w:tcBorders>
            <w:shd w:val="clear" w:color="auto" w:fill="auto"/>
            <w:vAlign w:val="center"/>
            <w:hideMark/>
          </w:tcPr>
          <w:p w14:paraId="5A9FDBCF" w14:textId="77777777" w:rsidR="00AE2554" w:rsidRPr="00AE2554" w:rsidRDefault="00AE2554" w:rsidP="00AE2554">
            <w:pPr>
              <w:jc w:val="right"/>
              <w:rPr>
                <w:sz w:val="18"/>
                <w:szCs w:val="18"/>
                <w:lang w:eastAsia="tr-TR"/>
              </w:rPr>
            </w:pPr>
            <w:r w:rsidRPr="00AE2554">
              <w:rPr>
                <w:sz w:val="18"/>
                <w:szCs w:val="18"/>
                <w:lang w:eastAsia="tr-TR"/>
              </w:rPr>
              <w:t>-</w:t>
            </w:r>
          </w:p>
        </w:tc>
        <w:tc>
          <w:tcPr>
            <w:tcW w:w="1135" w:type="dxa"/>
            <w:tcBorders>
              <w:top w:val="nil"/>
              <w:left w:val="nil"/>
              <w:bottom w:val="nil"/>
              <w:right w:val="nil"/>
            </w:tcBorders>
            <w:shd w:val="clear" w:color="auto" w:fill="auto"/>
            <w:vAlign w:val="center"/>
            <w:hideMark/>
          </w:tcPr>
          <w:p w14:paraId="41C06A24" w14:textId="77777777" w:rsidR="00AE2554" w:rsidRPr="00AE2554" w:rsidRDefault="00AE2554" w:rsidP="00AE2554">
            <w:pPr>
              <w:jc w:val="right"/>
              <w:rPr>
                <w:sz w:val="18"/>
                <w:szCs w:val="18"/>
                <w:lang w:eastAsia="tr-TR"/>
              </w:rPr>
            </w:pPr>
            <w:r w:rsidRPr="00AE2554">
              <w:rPr>
                <w:sz w:val="18"/>
                <w:szCs w:val="18"/>
                <w:lang w:eastAsia="tr-TR"/>
              </w:rPr>
              <w:t>-</w:t>
            </w:r>
          </w:p>
        </w:tc>
        <w:tc>
          <w:tcPr>
            <w:tcW w:w="954" w:type="dxa"/>
            <w:tcBorders>
              <w:top w:val="nil"/>
              <w:left w:val="nil"/>
              <w:bottom w:val="nil"/>
              <w:right w:val="nil"/>
            </w:tcBorders>
            <w:shd w:val="clear" w:color="auto" w:fill="auto"/>
            <w:vAlign w:val="center"/>
            <w:hideMark/>
          </w:tcPr>
          <w:p w14:paraId="0DB4CE08" w14:textId="77777777" w:rsidR="00AE2554" w:rsidRPr="00AE2554" w:rsidRDefault="00AE2554" w:rsidP="00AE2554">
            <w:pPr>
              <w:jc w:val="right"/>
              <w:rPr>
                <w:sz w:val="18"/>
                <w:szCs w:val="18"/>
                <w:lang w:eastAsia="tr-TR"/>
              </w:rPr>
            </w:pPr>
            <w:r w:rsidRPr="00AE2554">
              <w:rPr>
                <w:sz w:val="18"/>
                <w:szCs w:val="18"/>
                <w:lang w:eastAsia="tr-TR"/>
              </w:rPr>
              <w:t>-</w:t>
            </w:r>
          </w:p>
        </w:tc>
        <w:tc>
          <w:tcPr>
            <w:tcW w:w="1020" w:type="dxa"/>
            <w:tcBorders>
              <w:top w:val="nil"/>
              <w:left w:val="nil"/>
              <w:bottom w:val="nil"/>
              <w:right w:val="nil"/>
            </w:tcBorders>
            <w:shd w:val="clear" w:color="auto" w:fill="auto"/>
            <w:vAlign w:val="center"/>
            <w:hideMark/>
          </w:tcPr>
          <w:p w14:paraId="6C50D269" w14:textId="77777777" w:rsidR="00AE2554" w:rsidRPr="00AE2554" w:rsidRDefault="00AE2554" w:rsidP="00AE2554">
            <w:pPr>
              <w:jc w:val="right"/>
              <w:rPr>
                <w:sz w:val="18"/>
                <w:szCs w:val="18"/>
                <w:lang w:eastAsia="tr-TR"/>
              </w:rPr>
            </w:pPr>
            <w:r w:rsidRPr="00AE2554">
              <w:rPr>
                <w:sz w:val="18"/>
                <w:szCs w:val="18"/>
                <w:lang w:eastAsia="tr-TR"/>
              </w:rPr>
              <w:t>-</w:t>
            </w:r>
          </w:p>
        </w:tc>
        <w:tc>
          <w:tcPr>
            <w:tcW w:w="1069" w:type="dxa"/>
            <w:tcBorders>
              <w:top w:val="nil"/>
              <w:left w:val="nil"/>
              <w:bottom w:val="nil"/>
              <w:right w:val="nil"/>
            </w:tcBorders>
            <w:shd w:val="clear" w:color="auto" w:fill="auto"/>
            <w:vAlign w:val="center"/>
            <w:hideMark/>
          </w:tcPr>
          <w:p w14:paraId="73A4E740" w14:textId="77777777" w:rsidR="00AE2554" w:rsidRPr="00AE2554" w:rsidRDefault="00AE2554" w:rsidP="00AE2554">
            <w:pPr>
              <w:jc w:val="right"/>
              <w:rPr>
                <w:sz w:val="18"/>
                <w:szCs w:val="18"/>
                <w:lang w:eastAsia="tr-TR"/>
              </w:rPr>
            </w:pPr>
            <w:r w:rsidRPr="00AE2554">
              <w:rPr>
                <w:sz w:val="18"/>
                <w:szCs w:val="18"/>
                <w:lang w:eastAsia="tr-TR"/>
              </w:rPr>
              <w:t>-</w:t>
            </w:r>
          </w:p>
        </w:tc>
      </w:tr>
      <w:tr w:rsidR="00AE2554" w:rsidRPr="00AE2554" w14:paraId="24C979C3" w14:textId="77777777" w:rsidTr="00AE2554">
        <w:trPr>
          <w:divId w:val="1356731850"/>
          <w:trHeight w:val="193"/>
        </w:trPr>
        <w:tc>
          <w:tcPr>
            <w:tcW w:w="2929" w:type="dxa"/>
            <w:tcBorders>
              <w:top w:val="nil"/>
              <w:left w:val="nil"/>
              <w:bottom w:val="nil"/>
              <w:right w:val="nil"/>
            </w:tcBorders>
            <w:shd w:val="clear" w:color="auto" w:fill="auto"/>
            <w:vAlign w:val="center"/>
            <w:hideMark/>
          </w:tcPr>
          <w:p w14:paraId="2D579534" w14:textId="77777777" w:rsidR="00AE2554" w:rsidRPr="00AE2554" w:rsidRDefault="00AE2554" w:rsidP="00AE2554">
            <w:pPr>
              <w:jc w:val="both"/>
              <w:rPr>
                <w:sz w:val="16"/>
                <w:szCs w:val="16"/>
                <w:lang w:eastAsia="tr-TR"/>
              </w:rPr>
            </w:pPr>
            <w:r w:rsidRPr="00AE2554">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1403BF10" w14:textId="77777777" w:rsidR="00AE2554" w:rsidRPr="00AE2554" w:rsidRDefault="00AE2554" w:rsidP="00AE2554">
            <w:pPr>
              <w:jc w:val="right"/>
              <w:rPr>
                <w:sz w:val="18"/>
                <w:szCs w:val="18"/>
                <w:lang w:eastAsia="tr-TR"/>
              </w:rPr>
            </w:pPr>
            <w:r w:rsidRPr="00AE2554">
              <w:rPr>
                <w:sz w:val="18"/>
                <w:szCs w:val="18"/>
                <w:lang w:eastAsia="tr-TR"/>
              </w:rPr>
              <w:t>-</w:t>
            </w:r>
          </w:p>
        </w:tc>
        <w:tc>
          <w:tcPr>
            <w:tcW w:w="1037" w:type="dxa"/>
            <w:tcBorders>
              <w:top w:val="nil"/>
              <w:left w:val="nil"/>
              <w:bottom w:val="nil"/>
              <w:right w:val="nil"/>
            </w:tcBorders>
            <w:shd w:val="clear" w:color="auto" w:fill="auto"/>
            <w:vAlign w:val="center"/>
            <w:hideMark/>
          </w:tcPr>
          <w:p w14:paraId="6EC5941D" w14:textId="77777777" w:rsidR="00AE2554" w:rsidRPr="00AE2554" w:rsidRDefault="00AE2554" w:rsidP="00AE2554">
            <w:pPr>
              <w:jc w:val="right"/>
              <w:rPr>
                <w:sz w:val="18"/>
                <w:szCs w:val="18"/>
                <w:lang w:eastAsia="tr-TR"/>
              </w:rPr>
            </w:pPr>
            <w:r w:rsidRPr="00AE2554">
              <w:rPr>
                <w:sz w:val="18"/>
                <w:szCs w:val="18"/>
                <w:lang w:eastAsia="tr-TR"/>
              </w:rPr>
              <w:t>-</w:t>
            </w:r>
          </w:p>
        </w:tc>
        <w:tc>
          <w:tcPr>
            <w:tcW w:w="1135" w:type="dxa"/>
            <w:tcBorders>
              <w:top w:val="nil"/>
              <w:left w:val="nil"/>
              <w:bottom w:val="nil"/>
              <w:right w:val="nil"/>
            </w:tcBorders>
            <w:shd w:val="clear" w:color="auto" w:fill="auto"/>
            <w:vAlign w:val="center"/>
            <w:hideMark/>
          </w:tcPr>
          <w:p w14:paraId="2CD00B6E" w14:textId="77777777" w:rsidR="00AE2554" w:rsidRPr="00AE2554" w:rsidRDefault="00AE2554" w:rsidP="00AE2554">
            <w:pPr>
              <w:jc w:val="right"/>
              <w:rPr>
                <w:sz w:val="18"/>
                <w:szCs w:val="18"/>
                <w:lang w:eastAsia="tr-TR"/>
              </w:rPr>
            </w:pPr>
            <w:r w:rsidRPr="00AE2554">
              <w:rPr>
                <w:sz w:val="18"/>
                <w:szCs w:val="18"/>
                <w:lang w:eastAsia="tr-TR"/>
              </w:rPr>
              <w:t>-</w:t>
            </w:r>
          </w:p>
        </w:tc>
        <w:tc>
          <w:tcPr>
            <w:tcW w:w="954" w:type="dxa"/>
            <w:tcBorders>
              <w:top w:val="nil"/>
              <w:left w:val="nil"/>
              <w:bottom w:val="nil"/>
              <w:right w:val="nil"/>
            </w:tcBorders>
            <w:shd w:val="clear" w:color="auto" w:fill="auto"/>
            <w:vAlign w:val="center"/>
            <w:hideMark/>
          </w:tcPr>
          <w:p w14:paraId="44534E35" w14:textId="77777777" w:rsidR="00AE2554" w:rsidRPr="00AE2554" w:rsidRDefault="00AE2554" w:rsidP="00AE2554">
            <w:pPr>
              <w:jc w:val="right"/>
              <w:rPr>
                <w:sz w:val="18"/>
                <w:szCs w:val="18"/>
                <w:lang w:eastAsia="tr-TR"/>
              </w:rPr>
            </w:pPr>
            <w:r w:rsidRPr="00AE2554">
              <w:rPr>
                <w:sz w:val="18"/>
                <w:szCs w:val="18"/>
                <w:lang w:eastAsia="tr-TR"/>
              </w:rPr>
              <w:t>-</w:t>
            </w:r>
          </w:p>
        </w:tc>
        <w:tc>
          <w:tcPr>
            <w:tcW w:w="1020" w:type="dxa"/>
            <w:tcBorders>
              <w:top w:val="nil"/>
              <w:left w:val="nil"/>
              <w:bottom w:val="nil"/>
              <w:right w:val="nil"/>
            </w:tcBorders>
            <w:shd w:val="clear" w:color="auto" w:fill="auto"/>
            <w:vAlign w:val="center"/>
            <w:hideMark/>
          </w:tcPr>
          <w:p w14:paraId="4AEC1986" w14:textId="77777777" w:rsidR="00AE2554" w:rsidRPr="00AE2554" w:rsidRDefault="00AE2554" w:rsidP="00AE2554">
            <w:pPr>
              <w:jc w:val="right"/>
              <w:rPr>
                <w:sz w:val="18"/>
                <w:szCs w:val="18"/>
                <w:lang w:eastAsia="tr-TR"/>
              </w:rPr>
            </w:pPr>
            <w:r w:rsidRPr="00AE2554">
              <w:rPr>
                <w:sz w:val="18"/>
                <w:szCs w:val="18"/>
                <w:lang w:eastAsia="tr-TR"/>
              </w:rPr>
              <w:t>-</w:t>
            </w:r>
          </w:p>
        </w:tc>
        <w:tc>
          <w:tcPr>
            <w:tcW w:w="1069" w:type="dxa"/>
            <w:tcBorders>
              <w:top w:val="nil"/>
              <w:left w:val="nil"/>
              <w:bottom w:val="nil"/>
              <w:right w:val="nil"/>
            </w:tcBorders>
            <w:shd w:val="clear" w:color="auto" w:fill="auto"/>
            <w:vAlign w:val="center"/>
            <w:hideMark/>
          </w:tcPr>
          <w:p w14:paraId="5E9C1473" w14:textId="77777777" w:rsidR="00AE2554" w:rsidRPr="00AE2554" w:rsidRDefault="00AE2554" w:rsidP="00AE2554">
            <w:pPr>
              <w:jc w:val="right"/>
              <w:rPr>
                <w:sz w:val="18"/>
                <w:szCs w:val="18"/>
                <w:lang w:eastAsia="tr-TR"/>
              </w:rPr>
            </w:pPr>
            <w:r w:rsidRPr="00AE2554">
              <w:rPr>
                <w:sz w:val="18"/>
                <w:szCs w:val="18"/>
                <w:lang w:eastAsia="tr-TR"/>
              </w:rPr>
              <w:t>-</w:t>
            </w:r>
          </w:p>
        </w:tc>
      </w:tr>
      <w:tr w:rsidR="00AE2554" w:rsidRPr="00AE2554" w14:paraId="11E48810" w14:textId="77777777" w:rsidTr="00AE2554">
        <w:trPr>
          <w:divId w:val="1356731850"/>
          <w:trHeight w:val="206"/>
        </w:trPr>
        <w:tc>
          <w:tcPr>
            <w:tcW w:w="2929" w:type="dxa"/>
            <w:tcBorders>
              <w:top w:val="nil"/>
              <w:left w:val="nil"/>
              <w:bottom w:val="double" w:sz="6" w:space="0" w:color="auto"/>
              <w:right w:val="nil"/>
            </w:tcBorders>
            <w:shd w:val="clear" w:color="auto" w:fill="auto"/>
            <w:vAlign w:val="center"/>
            <w:hideMark/>
          </w:tcPr>
          <w:p w14:paraId="6050FC96" w14:textId="77777777" w:rsidR="00AE2554" w:rsidRPr="00AE2554" w:rsidRDefault="00AE2554" w:rsidP="00AE2554">
            <w:pPr>
              <w:jc w:val="both"/>
              <w:rPr>
                <w:sz w:val="16"/>
                <w:szCs w:val="16"/>
                <w:lang w:eastAsia="tr-TR"/>
              </w:rPr>
            </w:pPr>
            <w:r w:rsidRPr="00AE2554">
              <w:rPr>
                <w:sz w:val="16"/>
                <w:szCs w:val="16"/>
                <w:lang w:eastAsia="tr-TR"/>
              </w:rPr>
              <w:t>Toplam Kar/(Zarar)</w:t>
            </w:r>
          </w:p>
        </w:tc>
        <w:tc>
          <w:tcPr>
            <w:tcW w:w="1020" w:type="dxa"/>
            <w:tcBorders>
              <w:top w:val="nil"/>
              <w:left w:val="nil"/>
              <w:bottom w:val="double" w:sz="6" w:space="0" w:color="auto"/>
              <w:right w:val="nil"/>
            </w:tcBorders>
            <w:shd w:val="clear" w:color="auto" w:fill="auto"/>
            <w:vAlign w:val="center"/>
            <w:hideMark/>
          </w:tcPr>
          <w:p w14:paraId="1DF70307" w14:textId="77777777" w:rsidR="00AE2554" w:rsidRPr="00AE2554" w:rsidRDefault="00AE2554" w:rsidP="00AE2554">
            <w:pPr>
              <w:jc w:val="right"/>
              <w:rPr>
                <w:sz w:val="18"/>
                <w:szCs w:val="18"/>
                <w:lang w:eastAsia="tr-TR"/>
              </w:rPr>
            </w:pPr>
            <w:r w:rsidRPr="00AE2554">
              <w:rPr>
                <w:sz w:val="18"/>
                <w:szCs w:val="18"/>
                <w:lang w:eastAsia="tr-TR"/>
              </w:rPr>
              <w:t>-</w:t>
            </w:r>
          </w:p>
        </w:tc>
        <w:tc>
          <w:tcPr>
            <w:tcW w:w="1037" w:type="dxa"/>
            <w:tcBorders>
              <w:top w:val="nil"/>
              <w:left w:val="nil"/>
              <w:bottom w:val="double" w:sz="6" w:space="0" w:color="auto"/>
              <w:right w:val="nil"/>
            </w:tcBorders>
            <w:shd w:val="clear" w:color="auto" w:fill="auto"/>
            <w:vAlign w:val="center"/>
            <w:hideMark/>
          </w:tcPr>
          <w:p w14:paraId="283BD2AD" w14:textId="77777777" w:rsidR="00AE2554" w:rsidRPr="00AE2554" w:rsidRDefault="00AE2554" w:rsidP="00AE2554">
            <w:pPr>
              <w:jc w:val="right"/>
              <w:rPr>
                <w:sz w:val="18"/>
                <w:szCs w:val="18"/>
                <w:lang w:eastAsia="tr-TR"/>
              </w:rPr>
            </w:pPr>
            <w:r w:rsidRPr="00AE2554">
              <w:rPr>
                <w:sz w:val="18"/>
                <w:szCs w:val="18"/>
                <w:lang w:eastAsia="tr-TR"/>
              </w:rPr>
              <w:t>-</w:t>
            </w:r>
          </w:p>
        </w:tc>
        <w:tc>
          <w:tcPr>
            <w:tcW w:w="1135" w:type="dxa"/>
            <w:tcBorders>
              <w:top w:val="nil"/>
              <w:left w:val="nil"/>
              <w:bottom w:val="double" w:sz="6" w:space="0" w:color="auto"/>
              <w:right w:val="nil"/>
            </w:tcBorders>
            <w:shd w:val="clear" w:color="auto" w:fill="auto"/>
            <w:vAlign w:val="center"/>
            <w:hideMark/>
          </w:tcPr>
          <w:p w14:paraId="1A0DF3FE" w14:textId="77777777" w:rsidR="00AE2554" w:rsidRPr="00AE2554" w:rsidRDefault="00AE2554" w:rsidP="00AE2554">
            <w:pPr>
              <w:jc w:val="right"/>
              <w:rPr>
                <w:sz w:val="18"/>
                <w:szCs w:val="18"/>
                <w:lang w:eastAsia="tr-TR"/>
              </w:rPr>
            </w:pPr>
            <w:r w:rsidRPr="00AE2554">
              <w:rPr>
                <w:sz w:val="18"/>
                <w:szCs w:val="18"/>
                <w:lang w:eastAsia="tr-TR"/>
              </w:rPr>
              <w:t>-</w:t>
            </w:r>
          </w:p>
        </w:tc>
        <w:tc>
          <w:tcPr>
            <w:tcW w:w="954" w:type="dxa"/>
            <w:tcBorders>
              <w:top w:val="nil"/>
              <w:left w:val="nil"/>
              <w:bottom w:val="double" w:sz="6" w:space="0" w:color="auto"/>
              <w:right w:val="nil"/>
            </w:tcBorders>
            <w:shd w:val="clear" w:color="auto" w:fill="auto"/>
            <w:vAlign w:val="center"/>
            <w:hideMark/>
          </w:tcPr>
          <w:p w14:paraId="24561325" w14:textId="77777777" w:rsidR="00AE2554" w:rsidRPr="00AE2554" w:rsidRDefault="00AE2554" w:rsidP="00AE2554">
            <w:pPr>
              <w:jc w:val="right"/>
              <w:rPr>
                <w:sz w:val="18"/>
                <w:szCs w:val="18"/>
                <w:lang w:eastAsia="tr-TR"/>
              </w:rPr>
            </w:pPr>
            <w:r w:rsidRPr="00AE2554">
              <w:rPr>
                <w:sz w:val="18"/>
                <w:szCs w:val="18"/>
                <w:lang w:eastAsia="tr-TR"/>
              </w:rPr>
              <w:t>-</w:t>
            </w:r>
          </w:p>
        </w:tc>
        <w:tc>
          <w:tcPr>
            <w:tcW w:w="1020" w:type="dxa"/>
            <w:tcBorders>
              <w:top w:val="nil"/>
              <w:left w:val="nil"/>
              <w:bottom w:val="double" w:sz="6" w:space="0" w:color="auto"/>
              <w:right w:val="nil"/>
            </w:tcBorders>
            <w:shd w:val="clear" w:color="auto" w:fill="auto"/>
            <w:vAlign w:val="center"/>
            <w:hideMark/>
          </w:tcPr>
          <w:p w14:paraId="15292AF1" w14:textId="77777777" w:rsidR="00AE2554" w:rsidRPr="00AE2554" w:rsidRDefault="00AE2554" w:rsidP="00AE2554">
            <w:pPr>
              <w:jc w:val="right"/>
              <w:rPr>
                <w:sz w:val="18"/>
                <w:szCs w:val="18"/>
                <w:lang w:eastAsia="tr-TR"/>
              </w:rPr>
            </w:pPr>
            <w:r w:rsidRPr="00AE2554">
              <w:rPr>
                <w:sz w:val="18"/>
                <w:szCs w:val="18"/>
                <w:lang w:eastAsia="tr-TR"/>
              </w:rPr>
              <w:t>-</w:t>
            </w:r>
          </w:p>
        </w:tc>
        <w:tc>
          <w:tcPr>
            <w:tcW w:w="1069" w:type="dxa"/>
            <w:tcBorders>
              <w:top w:val="nil"/>
              <w:left w:val="nil"/>
              <w:bottom w:val="double" w:sz="6" w:space="0" w:color="auto"/>
              <w:right w:val="nil"/>
            </w:tcBorders>
            <w:shd w:val="clear" w:color="auto" w:fill="auto"/>
            <w:vAlign w:val="center"/>
            <w:hideMark/>
          </w:tcPr>
          <w:p w14:paraId="67611160" w14:textId="77777777" w:rsidR="00AE2554" w:rsidRPr="00AE2554" w:rsidRDefault="00AE2554" w:rsidP="00AE2554">
            <w:pPr>
              <w:jc w:val="right"/>
              <w:rPr>
                <w:sz w:val="18"/>
                <w:szCs w:val="18"/>
                <w:lang w:eastAsia="tr-TR"/>
              </w:rPr>
            </w:pPr>
            <w:r w:rsidRPr="00AE2554">
              <w:rPr>
                <w:sz w:val="18"/>
                <w:szCs w:val="18"/>
                <w:lang w:eastAsia="tr-TR"/>
              </w:rPr>
              <w:t>-</w:t>
            </w:r>
          </w:p>
        </w:tc>
      </w:tr>
    </w:tbl>
    <w:p w14:paraId="10615F2B" w14:textId="3E750039" w:rsidR="00220D06" w:rsidRPr="00270CE6" w:rsidRDefault="00220D06" w:rsidP="00220D06">
      <w:pPr>
        <w:tabs>
          <w:tab w:val="left" w:pos="709"/>
        </w:tabs>
        <w:rPr>
          <w:sz w:val="12"/>
          <w:highlight w:val="yellow"/>
        </w:rPr>
      </w:pPr>
    </w:p>
    <w:p w14:paraId="27F02510" w14:textId="77777777" w:rsidR="001E1941" w:rsidRPr="00AE2554" w:rsidRDefault="0030639E" w:rsidP="001E1941">
      <w:pPr>
        <w:tabs>
          <w:tab w:val="left" w:pos="709"/>
        </w:tabs>
        <w:ind w:hanging="567"/>
        <w:rPr>
          <w:b/>
          <w:bCs/>
          <w:iCs/>
        </w:rPr>
      </w:pPr>
      <w:r w:rsidRPr="00AE2554">
        <w:rPr>
          <w:b/>
          <w:iCs/>
        </w:rPr>
        <w:t>7</w:t>
      </w:r>
      <w:r w:rsidR="001E1941" w:rsidRPr="00AE2554">
        <w:rPr>
          <w:b/>
          <w:iCs/>
        </w:rPr>
        <w:t>.4</w:t>
      </w:r>
      <w:r w:rsidR="001E1941" w:rsidRPr="00AE2554">
        <w:rPr>
          <w:b/>
          <w:iCs/>
        </w:rPr>
        <w:tab/>
      </w:r>
      <w:r w:rsidR="001E1941" w:rsidRPr="00AE2554">
        <w:rPr>
          <w:b/>
        </w:rPr>
        <w:t>Banka’nın dahil olduğu risk grubundan alınan kredilere ilişkin bilgiler:</w:t>
      </w:r>
    </w:p>
    <w:p w14:paraId="0AFB5874" w14:textId="2C39BF84" w:rsidR="00AE2554" w:rsidRPr="00AE2554" w:rsidRDefault="00AE2554" w:rsidP="00553A47">
      <w:pPr>
        <w:autoSpaceDE w:val="0"/>
        <w:autoSpaceDN w:val="0"/>
        <w:adjustRightInd w:val="0"/>
        <w:rPr>
          <w:lang w:val="en-GB" w:eastAsia="en-GB"/>
        </w:rPr>
      </w:pPr>
    </w:p>
    <w:tbl>
      <w:tblPr>
        <w:tblW w:w="9149" w:type="dxa"/>
        <w:tblCellMar>
          <w:left w:w="70" w:type="dxa"/>
          <w:right w:w="70" w:type="dxa"/>
        </w:tblCellMar>
        <w:tblLook w:val="04A0" w:firstRow="1" w:lastRow="0" w:firstColumn="1" w:lastColumn="0" w:noHBand="0" w:noVBand="1"/>
      </w:tblPr>
      <w:tblGrid>
        <w:gridCol w:w="2924"/>
        <w:gridCol w:w="1018"/>
        <w:gridCol w:w="1035"/>
        <w:gridCol w:w="1133"/>
        <w:gridCol w:w="953"/>
        <w:gridCol w:w="1018"/>
        <w:gridCol w:w="1068"/>
      </w:tblGrid>
      <w:tr w:rsidR="00AE2554" w:rsidRPr="00AE2554" w14:paraId="0824B493" w14:textId="77777777" w:rsidTr="00AE2554">
        <w:trPr>
          <w:divId w:val="773281365"/>
          <w:trHeight w:val="504"/>
        </w:trPr>
        <w:tc>
          <w:tcPr>
            <w:tcW w:w="2924" w:type="dxa"/>
            <w:tcBorders>
              <w:top w:val="nil"/>
              <w:left w:val="nil"/>
              <w:bottom w:val="nil"/>
              <w:right w:val="nil"/>
            </w:tcBorders>
            <w:shd w:val="clear" w:color="auto" w:fill="auto"/>
            <w:vAlign w:val="center"/>
            <w:hideMark/>
          </w:tcPr>
          <w:p w14:paraId="16CB4071" w14:textId="132B9B8E" w:rsidR="00AE2554" w:rsidRPr="00AE2554" w:rsidRDefault="00AE2554" w:rsidP="00AE2554">
            <w:pPr>
              <w:jc w:val="both"/>
              <w:rPr>
                <w:b/>
                <w:bCs/>
                <w:sz w:val="16"/>
                <w:szCs w:val="16"/>
                <w:lang w:eastAsia="tr-TR"/>
              </w:rPr>
            </w:pPr>
            <w:r w:rsidRPr="00AE2554">
              <w:rPr>
                <w:b/>
                <w:bCs/>
                <w:sz w:val="16"/>
                <w:szCs w:val="16"/>
                <w:lang w:eastAsia="tr-TR"/>
              </w:rPr>
              <w:t>Banka'nın dahil olduğu risk grubu (*)</w:t>
            </w:r>
          </w:p>
        </w:tc>
        <w:tc>
          <w:tcPr>
            <w:tcW w:w="2053" w:type="dxa"/>
            <w:gridSpan w:val="2"/>
            <w:tcBorders>
              <w:top w:val="double" w:sz="6" w:space="0" w:color="auto"/>
              <w:left w:val="nil"/>
              <w:bottom w:val="nil"/>
              <w:right w:val="nil"/>
            </w:tcBorders>
            <w:shd w:val="clear" w:color="auto" w:fill="auto"/>
            <w:vAlign w:val="center"/>
            <w:hideMark/>
          </w:tcPr>
          <w:p w14:paraId="0E73FBC8" w14:textId="77777777" w:rsidR="00AE2554" w:rsidRPr="00AE2554" w:rsidRDefault="00AE2554" w:rsidP="00AE2554">
            <w:pPr>
              <w:jc w:val="right"/>
              <w:rPr>
                <w:b/>
                <w:bCs/>
                <w:sz w:val="16"/>
                <w:szCs w:val="16"/>
                <w:lang w:eastAsia="tr-TR"/>
              </w:rPr>
            </w:pPr>
            <w:r w:rsidRPr="00AE2554">
              <w:rPr>
                <w:b/>
                <w:bCs/>
                <w:sz w:val="16"/>
                <w:szCs w:val="16"/>
                <w:lang w:eastAsia="tr-TR"/>
              </w:rPr>
              <w:t>İştirak, bağlı ortaklıklar ve birlikte kontrol edilen ortaklıklar (iş ortaklıkları)</w:t>
            </w:r>
          </w:p>
        </w:tc>
        <w:tc>
          <w:tcPr>
            <w:tcW w:w="2086" w:type="dxa"/>
            <w:gridSpan w:val="2"/>
            <w:tcBorders>
              <w:top w:val="double" w:sz="6" w:space="0" w:color="auto"/>
              <w:left w:val="nil"/>
              <w:bottom w:val="nil"/>
              <w:right w:val="nil"/>
            </w:tcBorders>
            <w:shd w:val="clear" w:color="auto" w:fill="auto"/>
            <w:vAlign w:val="center"/>
            <w:hideMark/>
          </w:tcPr>
          <w:p w14:paraId="128EDB23" w14:textId="77777777" w:rsidR="00AE2554" w:rsidRPr="00AE2554" w:rsidRDefault="00AE2554" w:rsidP="00AE2554">
            <w:pPr>
              <w:jc w:val="right"/>
              <w:rPr>
                <w:b/>
                <w:bCs/>
                <w:sz w:val="16"/>
                <w:szCs w:val="16"/>
                <w:lang w:eastAsia="tr-TR"/>
              </w:rPr>
            </w:pPr>
            <w:r w:rsidRPr="00AE2554">
              <w:rPr>
                <w:b/>
                <w:bCs/>
                <w:sz w:val="16"/>
                <w:szCs w:val="16"/>
                <w:lang w:eastAsia="tr-TR"/>
              </w:rPr>
              <w:t>Bankanın doğrudan ve dolaylı ortaklıkları</w:t>
            </w:r>
          </w:p>
        </w:tc>
        <w:tc>
          <w:tcPr>
            <w:tcW w:w="2086" w:type="dxa"/>
            <w:gridSpan w:val="2"/>
            <w:tcBorders>
              <w:top w:val="double" w:sz="6" w:space="0" w:color="auto"/>
              <w:left w:val="nil"/>
              <w:bottom w:val="nil"/>
              <w:right w:val="nil"/>
            </w:tcBorders>
            <w:shd w:val="clear" w:color="auto" w:fill="auto"/>
            <w:vAlign w:val="center"/>
            <w:hideMark/>
          </w:tcPr>
          <w:p w14:paraId="0D797907" w14:textId="77777777" w:rsidR="00AE2554" w:rsidRPr="00AE2554" w:rsidRDefault="00AE2554" w:rsidP="00AE2554">
            <w:pPr>
              <w:jc w:val="right"/>
              <w:rPr>
                <w:b/>
                <w:bCs/>
                <w:sz w:val="16"/>
                <w:szCs w:val="16"/>
                <w:lang w:eastAsia="tr-TR"/>
              </w:rPr>
            </w:pPr>
            <w:r w:rsidRPr="00AE2554">
              <w:rPr>
                <w:b/>
                <w:bCs/>
                <w:sz w:val="16"/>
                <w:szCs w:val="16"/>
                <w:lang w:eastAsia="tr-TR"/>
              </w:rPr>
              <w:t>Risk grubuna dahil olan diğer gerçek ve tüzel kişiler</w:t>
            </w:r>
          </w:p>
        </w:tc>
      </w:tr>
      <w:tr w:rsidR="00AE2554" w:rsidRPr="00AE2554" w14:paraId="5E9801D3" w14:textId="77777777" w:rsidTr="00AE2554">
        <w:trPr>
          <w:divId w:val="773281365"/>
          <w:trHeight w:val="180"/>
        </w:trPr>
        <w:tc>
          <w:tcPr>
            <w:tcW w:w="2924" w:type="dxa"/>
            <w:tcBorders>
              <w:top w:val="nil"/>
              <w:left w:val="nil"/>
              <w:bottom w:val="single" w:sz="8" w:space="0" w:color="auto"/>
              <w:right w:val="nil"/>
            </w:tcBorders>
            <w:shd w:val="clear" w:color="auto" w:fill="auto"/>
            <w:noWrap/>
            <w:vAlign w:val="bottom"/>
            <w:hideMark/>
          </w:tcPr>
          <w:p w14:paraId="03301345" w14:textId="77777777" w:rsidR="00AE2554" w:rsidRPr="00AE2554" w:rsidRDefault="00AE2554" w:rsidP="00AE2554">
            <w:pPr>
              <w:rPr>
                <w:sz w:val="16"/>
                <w:szCs w:val="16"/>
                <w:lang w:eastAsia="tr-TR"/>
              </w:rPr>
            </w:pPr>
            <w:r w:rsidRPr="00AE2554">
              <w:rPr>
                <w:sz w:val="16"/>
                <w:szCs w:val="16"/>
                <w:lang w:eastAsia="tr-TR"/>
              </w:rPr>
              <w:t> </w:t>
            </w:r>
          </w:p>
        </w:tc>
        <w:tc>
          <w:tcPr>
            <w:tcW w:w="1018" w:type="dxa"/>
            <w:tcBorders>
              <w:top w:val="nil"/>
              <w:left w:val="nil"/>
              <w:bottom w:val="single" w:sz="8" w:space="0" w:color="auto"/>
              <w:right w:val="nil"/>
            </w:tcBorders>
            <w:shd w:val="clear" w:color="auto" w:fill="auto"/>
            <w:vAlign w:val="center"/>
            <w:hideMark/>
          </w:tcPr>
          <w:p w14:paraId="665FE374" w14:textId="77777777" w:rsidR="00AE2554" w:rsidRPr="00AE2554" w:rsidRDefault="00AE2554" w:rsidP="00AE2554">
            <w:pPr>
              <w:jc w:val="right"/>
              <w:rPr>
                <w:b/>
                <w:bCs/>
                <w:sz w:val="16"/>
                <w:szCs w:val="16"/>
                <w:lang w:eastAsia="tr-TR"/>
              </w:rPr>
            </w:pPr>
            <w:r w:rsidRPr="00AE2554">
              <w:rPr>
                <w:b/>
                <w:bCs/>
                <w:sz w:val="16"/>
                <w:szCs w:val="16"/>
                <w:lang w:eastAsia="tr-TR"/>
              </w:rPr>
              <w:t>Cari Dönem</w:t>
            </w:r>
          </w:p>
        </w:tc>
        <w:tc>
          <w:tcPr>
            <w:tcW w:w="1034" w:type="dxa"/>
            <w:tcBorders>
              <w:top w:val="nil"/>
              <w:left w:val="nil"/>
              <w:bottom w:val="single" w:sz="8" w:space="0" w:color="auto"/>
              <w:right w:val="nil"/>
            </w:tcBorders>
            <w:shd w:val="clear" w:color="auto" w:fill="auto"/>
            <w:vAlign w:val="center"/>
            <w:hideMark/>
          </w:tcPr>
          <w:p w14:paraId="07A5CB7D" w14:textId="77777777" w:rsidR="00AE2554" w:rsidRPr="00AE2554" w:rsidRDefault="00AE2554" w:rsidP="00AE2554">
            <w:pPr>
              <w:jc w:val="right"/>
              <w:rPr>
                <w:b/>
                <w:bCs/>
                <w:sz w:val="16"/>
                <w:szCs w:val="16"/>
                <w:lang w:eastAsia="tr-TR"/>
              </w:rPr>
            </w:pPr>
            <w:r w:rsidRPr="00AE2554">
              <w:rPr>
                <w:b/>
                <w:bCs/>
                <w:sz w:val="16"/>
                <w:szCs w:val="16"/>
                <w:lang w:eastAsia="tr-TR"/>
              </w:rPr>
              <w:t>Önceki Dönem</w:t>
            </w:r>
          </w:p>
        </w:tc>
        <w:tc>
          <w:tcPr>
            <w:tcW w:w="1133" w:type="dxa"/>
            <w:tcBorders>
              <w:top w:val="nil"/>
              <w:left w:val="nil"/>
              <w:bottom w:val="single" w:sz="8" w:space="0" w:color="auto"/>
              <w:right w:val="nil"/>
            </w:tcBorders>
            <w:shd w:val="clear" w:color="auto" w:fill="auto"/>
            <w:vAlign w:val="center"/>
            <w:hideMark/>
          </w:tcPr>
          <w:p w14:paraId="7E7C2591" w14:textId="77777777" w:rsidR="00AE2554" w:rsidRPr="00AE2554" w:rsidRDefault="00AE2554" w:rsidP="00AE2554">
            <w:pPr>
              <w:jc w:val="right"/>
              <w:rPr>
                <w:b/>
                <w:bCs/>
                <w:sz w:val="16"/>
                <w:szCs w:val="16"/>
                <w:lang w:eastAsia="tr-TR"/>
              </w:rPr>
            </w:pPr>
            <w:r w:rsidRPr="00AE2554">
              <w:rPr>
                <w:b/>
                <w:bCs/>
                <w:sz w:val="16"/>
                <w:szCs w:val="16"/>
                <w:lang w:eastAsia="tr-TR"/>
              </w:rPr>
              <w:t>Cari Dönem</w:t>
            </w:r>
          </w:p>
        </w:tc>
        <w:tc>
          <w:tcPr>
            <w:tcW w:w="952" w:type="dxa"/>
            <w:tcBorders>
              <w:top w:val="nil"/>
              <w:left w:val="nil"/>
              <w:bottom w:val="single" w:sz="8" w:space="0" w:color="auto"/>
              <w:right w:val="nil"/>
            </w:tcBorders>
            <w:shd w:val="clear" w:color="auto" w:fill="auto"/>
            <w:vAlign w:val="center"/>
            <w:hideMark/>
          </w:tcPr>
          <w:p w14:paraId="7BBA1D7D" w14:textId="77777777" w:rsidR="00AE2554" w:rsidRPr="00AE2554" w:rsidRDefault="00AE2554" w:rsidP="00AE2554">
            <w:pPr>
              <w:jc w:val="right"/>
              <w:rPr>
                <w:b/>
                <w:bCs/>
                <w:sz w:val="16"/>
                <w:szCs w:val="16"/>
                <w:lang w:eastAsia="tr-TR"/>
              </w:rPr>
            </w:pPr>
            <w:r w:rsidRPr="00AE2554">
              <w:rPr>
                <w:b/>
                <w:bCs/>
                <w:sz w:val="16"/>
                <w:szCs w:val="16"/>
                <w:lang w:eastAsia="tr-TR"/>
              </w:rPr>
              <w:t>Önceki Dönem</w:t>
            </w:r>
          </w:p>
        </w:tc>
        <w:tc>
          <w:tcPr>
            <w:tcW w:w="1018" w:type="dxa"/>
            <w:tcBorders>
              <w:top w:val="nil"/>
              <w:left w:val="nil"/>
              <w:bottom w:val="single" w:sz="8" w:space="0" w:color="auto"/>
              <w:right w:val="nil"/>
            </w:tcBorders>
            <w:shd w:val="clear" w:color="auto" w:fill="auto"/>
            <w:vAlign w:val="center"/>
            <w:hideMark/>
          </w:tcPr>
          <w:p w14:paraId="2E0A4151" w14:textId="77777777" w:rsidR="00AE2554" w:rsidRPr="00AE2554" w:rsidRDefault="00AE2554" w:rsidP="00AE2554">
            <w:pPr>
              <w:jc w:val="right"/>
              <w:rPr>
                <w:b/>
                <w:bCs/>
                <w:sz w:val="16"/>
                <w:szCs w:val="16"/>
                <w:lang w:eastAsia="tr-TR"/>
              </w:rPr>
            </w:pPr>
            <w:r w:rsidRPr="00AE2554">
              <w:rPr>
                <w:b/>
                <w:bCs/>
                <w:sz w:val="16"/>
                <w:szCs w:val="16"/>
                <w:lang w:eastAsia="tr-TR"/>
              </w:rPr>
              <w:t>Cari Dönem</w:t>
            </w:r>
          </w:p>
        </w:tc>
        <w:tc>
          <w:tcPr>
            <w:tcW w:w="1067" w:type="dxa"/>
            <w:tcBorders>
              <w:top w:val="nil"/>
              <w:left w:val="nil"/>
              <w:bottom w:val="single" w:sz="8" w:space="0" w:color="auto"/>
              <w:right w:val="nil"/>
            </w:tcBorders>
            <w:shd w:val="clear" w:color="auto" w:fill="auto"/>
            <w:vAlign w:val="center"/>
            <w:hideMark/>
          </w:tcPr>
          <w:p w14:paraId="5A789279" w14:textId="77777777" w:rsidR="00AE2554" w:rsidRPr="00AE2554" w:rsidRDefault="00AE2554" w:rsidP="00AE2554">
            <w:pPr>
              <w:jc w:val="right"/>
              <w:rPr>
                <w:b/>
                <w:bCs/>
                <w:sz w:val="16"/>
                <w:szCs w:val="16"/>
                <w:lang w:eastAsia="tr-TR"/>
              </w:rPr>
            </w:pPr>
            <w:r w:rsidRPr="00AE2554">
              <w:rPr>
                <w:b/>
                <w:bCs/>
                <w:sz w:val="16"/>
                <w:szCs w:val="16"/>
                <w:lang w:eastAsia="tr-TR"/>
              </w:rPr>
              <w:t>Önceki Dönem</w:t>
            </w:r>
          </w:p>
        </w:tc>
      </w:tr>
      <w:tr w:rsidR="00AE2554" w:rsidRPr="00AE2554" w14:paraId="5D3AF66F" w14:textId="77777777" w:rsidTr="00AE2554">
        <w:trPr>
          <w:divId w:val="773281365"/>
          <w:trHeight w:val="180"/>
        </w:trPr>
        <w:tc>
          <w:tcPr>
            <w:tcW w:w="2924" w:type="dxa"/>
            <w:tcBorders>
              <w:top w:val="nil"/>
              <w:left w:val="nil"/>
              <w:bottom w:val="nil"/>
              <w:right w:val="nil"/>
            </w:tcBorders>
            <w:shd w:val="clear" w:color="auto" w:fill="auto"/>
            <w:vAlign w:val="center"/>
            <w:hideMark/>
          </w:tcPr>
          <w:p w14:paraId="088ADBA4" w14:textId="47F94173" w:rsidR="00AE2554" w:rsidRPr="0070174D" w:rsidRDefault="00AE2554" w:rsidP="00AE2554">
            <w:pPr>
              <w:rPr>
                <w:sz w:val="16"/>
                <w:szCs w:val="16"/>
                <w:u w:val="single"/>
                <w:lang w:eastAsia="tr-TR"/>
              </w:rPr>
            </w:pPr>
            <w:r w:rsidRPr="0070174D">
              <w:rPr>
                <w:sz w:val="16"/>
                <w:szCs w:val="16"/>
                <w:u w:val="single"/>
                <w:lang w:eastAsia="tr-TR"/>
              </w:rPr>
              <w:t>Alınan Krediler</w:t>
            </w:r>
            <w:r w:rsidR="00D61765">
              <w:rPr>
                <w:sz w:val="16"/>
                <w:szCs w:val="16"/>
                <w:u w:val="single"/>
                <w:lang w:eastAsia="tr-TR"/>
              </w:rPr>
              <w:t xml:space="preserve"> (*)</w:t>
            </w:r>
          </w:p>
        </w:tc>
        <w:tc>
          <w:tcPr>
            <w:tcW w:w="1018" w:type="dxa"/>
            <w:tcBorders>
              <w:top w:val="nil"/>
              <w:left w:val="nil"/>
              <w:bottom w:val="nil"/>
              <w:right w:val="nil"/>
            </w:tcBorders>
            <w:shd w:val="clear" w:color="auto" w:fill="auto"/>
            <w:vAlign w:val="center"/>
            <w:hideMark/>
          </w:tcPr>
          <w:p w14:paraId="5218C9D7" w14:textId="77777777" w:rsidR="00AE2554" w:rsidRPr="00AE2554" w:rsidRDefault="00AE2554" w:rsidP="00AE2554">
            <w:pPr>
              <w:rPr>
                <w:sz w:val="18"/>
                <w:szCs w:val="18"/>
                <w:lang w:eastAsia="tr-TR"/>
              </w:rPr>
            </w:pPr>
          </w:p>
        </w:tc>
        <w:tc>
          <w:tcPr>
            <w:tcW w:w="1034" w:type="dxa"/>
            <w:tcBorders>
              <w:top w:val="nil"/>
              <w:left w:val="nil"/>
              <w:bottom w:val="nil"/>
              <w:right w:val="nil"/>
            </w:tcBorders>
            <w:shd w:val="clear" w:color="auto" w:fill="auto"/>
            <w:vAlign w:val="center"/>
            <w:hideMark/>
          </w:tcPr>
          <w:p w14:paraId="1C041DD7" w14:textId="77777777" w:rsidR="00AE2554" w:rsidRPr="00AE2554" w:rsidRDefault="00AE2554" w:rsidP="00AE2554">
            <w:pPr>
              <w:jc w:val="right"/>
              <w:rPr>
                <w:sz w:val="18"/>
                <w:szCs w:val="18"/>
                <w:lang w:eastAsia="tr-TR"/>
              </w:rPr>
            </w:pPr>
          </w:p>
        </w:tc>
        <w:tc>
          <w:tcPr>
            <w:tcW w:w="1133" w:type="dxa"/>
            <w:tcBorders>
              <w:top w:val="nil"/>
              <w:left w:val="nil"/>
              <w:bottom w:val="nil"/>
              <w:right w:val="nil"/>
            </w:tcBorders>
            <w:shd w:val="clear" w:color="auto" w:fill="auto"/>
            <w:vAlign w:val="center"/>
            <w:hideMark/>
          </w:tcPr>
          <w:p w14:paraId="64F987B0" w14:textId="77777777" w:rsidR="00AE2554" w:rsidRPr="00AE2554" w:rsidRDefault="00AE2554" w:rsidP="00AE2554">
            <w:pPr>
              <w:jc w:val="right"/>
              <w:rPr>
                <w:sz w:val="18"/>
                <w:szCs w:val="18"/>
                <w:lang w:eastAsia="tr-TR"/>
              </w:rPr>
            </w:pPr>
          </w:p>
        </w:tc>
        <w:tc>
          <w:tcPr>
            <w:tcW w:w="952" w:type="dxa"/>
            <w:tcBorders>
              <w:top w:val="nil"/>
              <w:left w:val="nil"/>
              <w:bottom w:val="nil"/>
              <w:right w:val="nil"/>
            </w:tcBorders>
            <w:shd w:val="clear" w:color="auto" w:fill="auto"/>
            <w:vAlign w:val="center"/>
            <w:hideMark/>
          </w:tcPr>
          <w:p w14:paraId="53D748D2" w14:textId="77777777" w:rsidR="00AE2554" w:rsidRPr="00AE2554" w:rsidRDefault="00AE2554" w:rsidP="00AE2554">
            <w:pPr>
              <w:jc w:val="right"/>
              <w:rPr>
                <w:sz w:val="18"/>
                <w:szCs w:val="18"/>
                <w:lang w:eastAsia="tr-TR"/>
              </w:rPr>
            </w:pPr>
          </w:p>
        </w:tc>
        <w:tc>
          <w:tcPr>
            <w:tcW w:w="1018" w:type="dxa"/>
            <w:tcBorders>
              <w:top w:val="nil"/>
              <w:left w:val="nil"/>
              <w:bottom w:val="nil"/>
              <w:right w:val="nil"/>
            </w:tcBorders>
            <w:shd w:val="clear" w:color="auto" w:fill="auto"/>
            <w:vAlign w:val="center"/>
            <w:hideMark/>
          </w:tcPr>
          <w:p w14:paraId="051190FC" w14:textId="77777777" w:rsidR="00AE2554" w:rsidRPr="00AE2554" w:rsidRDefault="00AE2554" w:rsidP="00AE2554">
            <w:pPr>
              <w:jc w:val="right"/>
              <w:rPr>
                <w:sz w:val="18"/>
                <w:szCs w:val="18"/>
                <w:lang w:eastAsia="tr-TR"/>
              </w:rPr>
            </w:pPr>
          </w:p>
        </w:tc>
        <w:tc>
          <w:tcPr>
            <w:tcW w:w="1067" w:type="dxa"/>
            <w:tcBorders>
              <w:top w:val="nil"/>
              <w:left w:val="nil"/>
              <w:bottom w:val="nil"/>
              <w:right w:val="nil"/>
            </w:tcBorders>
            <w:shd w:val="clear" w:color="auto" w:fill="auto"/>
            <w:vAlign w:val="center"/>
            <w:hideMark/>
          </w:tcPr>
          <w:p w14:paraId="0DF3CE38" w14:textId="77777777" w:rsidR="00AE2554" w:rsidRPr="00AE2554" w:rsidRDefault="00AE2554" w:rsidP="00AE2554">
            <w:pPr>
              <w:jc w:val="right"/>
              <w:rPr>
                <w:sz w:val="18"/>
                <w:szCs w:val="18"/>
                <w:lang w:eastAsia="tr-TR"/>
              </w:rPr>
            </w:pPr>
          </w:p>
        </w:tc>
      </w:tr>
      <w:tr w:rsidR="00AE2554" w:rsidRPr="00AE2554" w14:paraId="5680C03E" w14:textId="77777777" w:rsidTr="00AE2554">
        <w:trPr>
          <w:divId w:val="773281365"/>
          <w:trHeight w:val="204"/>
        </w:trPr>
        <w:tc>
          <w:tcPr>
            <w:tcW w:w="2924" w:type="dxa"/>
            <w:tcBorders>
              <w:top w:val="nil"/>
              <w:left w:val="nil"/>
              <w:bottom w:val="nil"/>
              <w:right w:val="nil"/>
            </w:tcBorders>
            <w:shd w:val="clear" w:color="auto" w:fill="auto"/>
            <w:vAlign w:val="center"/>
            <w:hideMark/>
          </w:tcPr>
          <w:p w14:paraId="3A0CF417" w14:textId="5D852B8E" w:rsidR="00AE2554" w:rsidRPr="00AE2554" w:rsidRDefault="00F17949" w:rsidP="00AE2554">
            <w:pPr>
              <w:rPr>
                <w:sz w:val="16"/>
                <w:szCs w:val="16"/>
                <w:lang w:eastAsia="tr-TR"/>
              </w:rPr>
            </w:pPr>
            <w:r>
              <w:rPr>
                <w:sz w:val="16"/>
                <w:szCs w:val="16"/>
                <w:lang w:eastAsia="tr-TR"/>
              </w:rPr>
              <w:t xml:space="preserve">  </w:t>
            </w:r>
            <w:r w:rsidR="00AE2554" w:rsidRPr="00AE2554">
              <w:rPr>
                <w:sz w:val="16"/>
                <w:szCs w:val="16"/>
                <w:lang w:eastAsia="tr-TR"/>
              </w:rPr>
              <w:t xml:space="preserve">Dönem Başı Bakiyesi </w:t>
            </w:r>
          </w:p>
        </w:tc>
        <w:tc>
          <w:tcPr>
            <w:tcW w:w="1018" w:type="dxa"/>
            <w:tcBorders>
              <w:top w:val="nil"/>
              <w:left w:val="nil"/>
              <w:bottom w:val="nil"/>
              <w:right w:val="nil"/>
            </w:tcBorders>
            <w:shd w:val="clear" w:color="auto" w:fill="auto"/>
            <w:vAlign w:val="center"/>
            <w:hideMark/>
          </w:tcPr>
          <w:p w14:paraId="1DFCE22F" w14:textId="77777777" w:rsidR="00AE2554" w:rsidRPr="00AE2554" w:rsidRDefault="00AE2554" w:rsidP="00AE2554">
            <w:pPr>
              <w:jc w:val="right"/>
              <w:rPr>
                <w:sz w:val="18"/>
                <w:szCs w:val="18"/>
                <w:lang w:eastAsia="tr-TR"/>
              </w:rPr>
            </w:pPr>
            <w:r w:rsidRPr="00AE2554">
              <w:rPr>
                <w:sz w:val="18"/>
                <w:szCs w:val="18"/>
                <w:lang w:eastAsia="tr-TR"/>
              </w:rPr>
              <w:t>8,324,759</w:t>
            </w:r>
          </w:p>
        </w:tc>
        <w:tc>
          <w:tcPr>
            <w:tcW w:w="1034" w:type="dxa"/>
            <w:tcBorders>
              <w:top w:val="nil"/>
              <w:left w:val="nil"/>
              <w:bottom w:val="nil"/>
              <w:right w:val="nil"/>
            </w:tcBorders>
            <w:shd w:val="clear" w:color="auto" w:fill="auto"/>
            <w:vAlign w:val="center"/>
            <w:hideMark/>
          </w:tcPr>
          <w:p w14:paraId="097DF806" w14:textId="77777777" w:rsidR="00AE2554" w:rsidRPr="00AE2554" w:rsidRDefault="00AE2554" w:rsidP="00AE2554">
            <w:pPr>
              <w:jc w:val="right"/>
              <w:rPr>
                <w:sz w:val="18"/>
                <w:szCs w:val="18"/>
                <w:lang w:eastAsia="tr-TR"/>
              </w:rPr>
            </w:pPr>
            <w:r w:rsidRPr="00AE2554">
              <w:rPr>
                <w:sz w:val="18"/>
                <w:szCs w:val="18"/>
                <w:lang w:eastAsia="tr-TR"/>
              </w:rPr>
              <w:t>5,646,443</w:t>
            </w:r>
          </w:p>
        </w:tc>
        <w:tc>
          <w:tcPr>
            <w:tcW w:w="1133" w:type="dxa"/>
            <w:tcBorders>
              <w:top w:val="nil"/>
              <w:left w:val="nil"/>
              <w:bottom w:val="nil"/>
              <w:right w:val="nil"/>
            </w:tcBorders>
            <w:shd w:val="clear" w:color="auto" w:fill="auto"/>
            <w:vAlign w:val="center"/>
            <w:hideMark/>
          </w:tcPr>
          <w:p w14:paraId="40A0B494" w14:textId="77777777" w:rsidR="00AE2554" w:rsidRPr="00AE2554" w:rsidRDefault="00AE2554" w:rsidP="00AE2554">
            <w:pPr>
              <w:jc w:val="right"/>
              <w:rPr>
                <w:sz w:val="18"/>
                <w:szCs w:val="18"/>
                <w:lang w:eastAsia="tr-TR"/>
              </w:rPr>
            </w:pPr>
            <w:r w:rsidRPr="00AE2554">
              <w:rPr>
                <w:sz w:val="18"/>
                <w:szCs w:val="18"/>
                <w:lang w:eastAsia="tr-TR"/>
              </w:rPr>
              <w:t>68,696</w:t>
            </w:r>
          </w:p>
        </w:tc>
        <w:tc>
          <w:tcPr>
            <w:tcW w:w="952" w:type="dxa"/>
            <w:tcBorders>
              <w:top w:val="nil"/>
              <w:left w:val="nil"/>
              <w:bottom w:val="nil"/>
              <w:right w:val="nil"/>
            </w:tcBorders>
            <w:shd w:val="clear" w:color="auto" w:fill="auto"/>
            <w:vAlign w:val="center"/>
            <w:hideMark/>
          </w:tcPr>
          <w:p w14:paraId="703C66A8" w14:textId="77777777" w:rsidR="00AE2554" w:rsidRPr="00AE2554" w:rsidRDefault="00AE2554" w:rsidP="00AE2554">
            <w:pPr>
              <w:jc w:val="right"/>
              <w:rPr>
                <w:sz w:val="18"/>
                <w:szCs w:val="18"/>
                <w:lang w:eastAsia="tr-TR"/>
              </w:rPr>
            </w:pPr>
            <w:r w:rsidRPr="00AE2554">
              <w:rPr>
                <w:sz w:val="18"/>
                <w:szCs w:val="18"/>
                <w:lang w:eastAsia="tr-TR"/>
              </w:rPr>
              <w:t>802,108</w:t>
            </w:r>
          </w:p>
        </w:tc>
        <w:tc>
          <w:tcPr>
            <w:tcW w:w="1018" w:type="dxa"/>
            <w:tcBorders>
              <w:top w:val="nil"/>
              <w:left w:val="nil"/>
              <w:bottom w:val="nil"/>
              <w:right w:val="nil"/>
            </w:tcBorders>
            <w:shd w:val="clear" w:color="auto" w:fill="auto"/>
            <w:vAlign w:val="center"/>
            <w:hideMark/>
          </w:tcPr>
          <w:p w14:paraId="583B3384" w14:textId="77777777" w:rsidR="00AE2554" w:rsidRPr="00AE2554" w:rsidRDefault="00AE2554" w:rsidP="00AE2554">
            <w:pPr>
              <w:jc w:val="right"/>
              <w:rPr>
                <w:sz w:val="18"/>
                <w:szCs w:val="18"/>
                <w:lang w:eastAsia="tr-TR"/>
              </w:rPr>
            </w:pPr>
            <w:r w:rsidRPr="00AE2554">
              <w:rPr>
                <w:sz w:val="18"/>
                <w:szCs w:val="18"/>
                <w:lang w:eastAsia="tr-TR"/>
              </w:rPr>
              <w:t>-</w:t>
            </w:r>
          </w:p>
        </w:tc>
        <w:tc>
          <w:tcPr>
            <w:tcW w:w="1067" w:type="dxa"/>
            <w:tcBorders>
              <w:top w:val="nil"/>
              <w:left w:val="nil"/>
              <w:bottom w:val="nil"/>
              <w:right w:val="nil"/>
            </w:tcBorders>
            <w:shd w:val="clear" w:color="auto" w:fill="auto"/>
            <w:vAlign w:val="center"/>
            <w:hideMark/>
          </w:tcPr>
          <w:p w14:paraId="72342BC9" w14:textId="77777777" w:rsidR="00AE2554" w:rsidRPr="00AE2554" w:rsidRDefault="00AE2554" w:rsidP="00AE2554">
            <w:pPr>
              <w:jc w:val="right"/>
              <w:rPr>
                <w:sz w:val="18"/>
                <w:szCs w:val="18"/>
                <w:lang w:eastAsia="tr-TR"/>
              </w:rPr>
            </w:pPr>
            <w:r w:rsidRPr="00AE2554">
              <w:rPr>
                <w:sz w:val="18"/>
                <w:szCs w:val="18"/>
                <w:lang w:eastAsia="tr-TR"/>
              </w:rPr>
              <w:t>-</w:t>
            </w:r>
          </w:p>
        </w:tc>
      </w:tr>
      <w:tr w:rsidR="00AE2554" w:rsidRPr="00AE2554" w14:paraId="2E9D780F" w14:textId="77777777" w:rsidTr="00AE2554">
        <w:trPr>
          <w:divId w:val="773281365"/>
          <w:trHeight w:val="204"/>
        </w:trPr>
        <w:tc>
          <w:tcPr>
            <w:tcW w:w="2924" w:type="dxa"/>
            <w:tcBorders>
              <w:top w:val="nil"/>
              <w:left w:val="nil"/>
              <w:bottom w:val="nil"/>
              <w:right w:val="nil"/>
            </w:tcBorders>
            <w:shd w:val="clear" w:color="auto" w:fill="auto"/>
            <w:vAlign w:val="center"/>
            <w:hideMark/>
          </w:tcPr>
          <w:p w14:paraId="245BFF0A" w14:textId="3FA2A448" w:rsidR="00AE2554" w:rsidRPr="00AE2554" w:rsidRDefault="00F17949" w:rsidP="00AE2554">
            <w:pPr>
              <w:rPr>
                <w:sz w:val="16"/>
                <w:szCs w:val="16"/>
                <w:lang w:eastAsia="tr-TR"/>
              </w:rPr>
            </w:pPr>
            <w:r>
              <w:rPr>
                <w:sz w:val="16"/>
                <w:szCs w:val="16"/>
                <w:lang w:eastAsia="tr-TR"/>
              </w:rPr>
              <w:t xml:space="preserve">  </w:t>
            </w:r>
            <w:r w:rsidR="00AE2554" w:rsidRPr="00AE2554">
              <w:rPr>
                <w:sz w:val="16"/>
                <w:szCs w:val="16"/>
                <w:lang w:eastAsia="tr-TR"/>
              </w:rPr>
              <w:t>Dönem Sonu Bakiyesi</w:t>
            </w:r>
          </w:p>
        </w:tc>
        <w:tc>
          <w:tcPr>
            <w:tcW w:w="1018" w:type="dxa"/>
            <w:tcBorders>
              <w:top w:val="nil"/>
              <w:left w:val="nil"/>
              <w:bottom w:val="nil"/>
              <w:right w:val="nil"/>
            </w:tcBorders>
            <w:shd w:val="clear" w:color="auto" w:fill="auto"/>
            <w:vAlign w:val="center"/>
            <w:hideMark/>
          </w:tcPr>
          <w:p w14:paraId="7853E76A" w14:textId="77777777" w:rsidR="00AE2554" w:rsidRPr="00AE2554" w:rsidRDefault="00AE2554" w:rsidP="00AE2554">
            <w:pPr>
              <w:jc w:val="right"/>
              <w:rPr>
                <w:sz w:val="18"/>
                <w:szCs w:val="18"/>
                <w:lang w:eastAsia="tr-TR"/>
              </w:rPr>
            </w:pPr>
            <w:r w:rsidRPr="00AE2554">
              <w:rPr>
                <w:sz w:val="18"/>
                <w:szCs w:val="18"/>
                <w:lang w:eastAsia="tr-TR"/>
              </w:rPr>
              <w:t>10,844,091</w:t>
            </w:r>
          </w:p>
        </w:tc>
        <w:tc>
          <w:tcPr>
            <w:tcW w:w="1034" w:type="dxa"/>
            <w:tcBorders>
              <w:top w:val="nil"/>
              <w:left w:val="nil"/>
              <w:bottom w:val="nil"/>
              <w:right w:val="nil"/>
            </w:tcBorders>
            <w:shd w:val="clear" w:color="auto" w:fill="auto"/>
            <w:vAlign w:val="center"/>
            <w:hideMark/>
          </w:tcPr>
          <w:p w14:paraId="45E1C3F8" w14:textId="77777777" w:rsidR="00AE2554" w:rsidRPr="00AE2554" w:rsidRDefault="00AE2554" w:rsidP="00AE2554">
            <w:pPr>
              <w:jc w:val="right"/>
              <w:rPr>
                <w:sz w:val="18"/>
                <w:szCs w:val="18"/>
                <w:lang w:eastAsia="tr-TR"/>
              </w:rPr>
            </w:pPr>
            <w:r w:rsidRPr="00AE2554">
              <w:rPr>
                <w:sz w:val="18"/>
                <w:szCs w:val="18"/>
                <w:lang w:eastAsia="tr-TR"/>
              </w:rPr>
              <w:t>8,324,759</w:t>
            </w:r>
          </w:p>
        </w:tc>
        <w:tc>
          <w:tcPr>
            <w:tcW w:w="1133" w:type="dxa"/>
            <w:tcBorders>
              <w:top w:val="nil"/>
              <w:left w:val="nil"/>
              <w:bottom w:val="nil"/>
              <w:right w:val="nil"/>
            </w:tcBorders>
            <w:shd w:val="clear" w:color="auto" w:fill="auto"/>
            <w:vAlign w:val="center"/>
            <w:hideMark/>
          </w:tcPr>
          <w:p w14:paraId="0127E1AE" w14:textId="77777777" w:rsidR="00AE2554" w:rsidRPr="00AE2554" w:rsidRDefault="00AE2554" w:rsidP="00AE2554">
            <w:pPr>
              <w:jc w:val="right"/>
              <w:rPr>
                <w:sz w:val="18"/>
                <w:szCs w:val="18"/>
                <w:lang w:eastAsia="tr-TR"/>
              </w:rPr>
            </w:pPr>
            <w:r w:rsidRPr="00AE2554">
              <w:rPr>
                <w:sz w:val="18"/>
                <w:szCs w:val="18"/>
                <w:lang w:eastAsia="tr-TR"/>
              </w:rPr>
              <w:t>777,641</w:t>
            </w:r>
          </w:p>
        </w:tc>
        <w:tc>
          <w:tcPr>
            <w:tcW w:w="952" w:type="dxa"/>
            <w:tcBorders>
              <w:top w:val="nil"/>
              <w:left w:val="nil"/>
              <w:bottom w:val="nil"/>
              <w:right w:val="nil"/>
            </w:tcBorders>
            <w:shd w:val="clear" w:color="auto" w:fill="auto"/>
            <w:vAlign w:val="center"/>
            <w:hideMark/>
          </w:tcPr>
          <w:p w14:paraId="720988DB" w14:textId="77777777" w:rsidR="00AE2554" w:rsidRPr="00AE2554" w:rsidRDefault="00AE2554" w:rsidP="00AE2554">
            <w:pPr>
              <w:jc w:val="right"/>
              <w:rPr>
                <w:sz w:val="18"/>
                <w:szCs w:val="18"/>
                <w:lang w:eastAsia="tr-TR"/>
              </w:rPr>
            </w:pPr>
            <w:r w:rsidRPr="00AE2554">
              <w:rPr>
                <w:sz w:val="18"/>
                <w:szCs w:val="18"/>
                <w:lang w:eastAsia="tr-TR"/>
              </w:rPr>
              <w:t>68,696</w:t>
            </w:r>
          </w:p>
        </w:tc>
        <w:tc>
          <w:tcPr>
            <w:tcW w:w="1018" w:type="dxa"/>
            <w:tcBorders>
              <w:top w:val="nil"/>
              <w:left w:val="nil"/>
              <w:bottom w:val="nil"/>
              <w:right w:val="nil"/>
            </w:tcBorders>
            <w:shd w:val="clear" w:color="auto" w:fill="auto"/>
            <w:vAlign w:val="center"/>
            <w:hideMark/>
          </w:tcPr>
          <w:p w14:paraId="72D41FAF" w14:textId="77777777" w:rsidR="00AE2554" w:rsidRPr="00AE2554" w:rsidRDefault="00AE2554" w:rsidP="00AE2554">
            <w:pPr>
              <w:jc w:val="right"/>
              <w:rPr>
                <w:sz w:val="18"/>
                <w:szCs w:val="18"/>
                <w:lang w:eastAsia="tr-TR"/>
              </w:rPr>
            </w:pPr>
            <w:r w:rsidRPr="00AE2554">
              <w:rPr>
                <w:sz w:val="18"/>
                <w:szCs w:val="18"/>
                <w:lang w:eastAsia="tr-TR"/>
              </w:rPr>
              <w:t>-</w:t>
            </w:r>
          </w:p>
        </w:tc>
        <w:tc>
          <w:tcPr>
            <w:tcW w:w="1067" w:type="dxa"/>
            <w:tcBorders>
              <w:top w:val="nil"/>
              <w:left w:val="nil"/>
              <w:bottom w:val="nil"/>
              <w:right w:val="nil"/>
            </w:tcBorders>
            <w:shd w:val="clear" w:color="auto" w:fill="auto"/>
            <w:vAlign w:val="center"/>
            <w:hideMark/>
          </w:tcPr>
          <w:p w14:paraId="4ED07821" w14:textId="77777777" w:rsidR="00AE2554" w:rsidRPr="00AE2554" w:rsidRDefault="00AE2554" w:rsidP="00AE2554">
            <w:pPr>
              <w:jc w:val="right"/>
              <w:rPr>
                <w:sz w:val="18"/>
                <w:szCs w:val="18"/>
                <w:lang w:eastAsia="tr-TR"/>
              </w:rPr>
            </w:pPr>
            <w:r w:rsidRPr="00AE2554">
              <w:rPr>
                <w:sz w:val="18"/>
                <w:szCs w:val="18"/>
                <w:lang w:eastAsia="tr-TR"/>
              </w:rPr>
              <w:t>-</w:t>
            </w:r>
          </w:p>
        </w:tc>
      </w:tr>
      <w:tr w:rsidR="00AE2554" w:rsidRPr="00AE2554" w14:paraId="1DEFCA2B" w14:textId="77777777" w:rsidTr="00AE2554">
        <w:trPr>
          <w:divId w:val="773281365"/>
          <w:trHeight w:val="192"/>
        </w:trPr>
        <w:tc>
          <w:tcPr>
            <w:tcW w:w="2924" w:type="dxa"/>
            <w:tcBorders>
              <w:top w:val="nil"/>
              <w:left w:val="nil"/>
              <w:bottom w:val="double" w:sz="6" w:space="0" w:color="auto"/>
              <w:right w:val="nil"/>
            </w:tcBorders>
            <w:shd w:val="clear" w:color="auto" w:fill="auto"/>
            <w:vAlign w:val="center"/>
            <w:hideMark/>
          </w:tcPr>
          <w:p w14:paraId="6A13AAC4" w14:textId="0F18A5F0" w:rsidR="00AE2554" w:rsidRPr="00AE2554" w:rsidRDefault="00F17949" w:rsidP="00AE2554">
            <w:pPr>
              <w:jc w:val="both"/>
              <w:rPr>
                <w:sz w:val="16"/>
                <w:szCs w:val="16"/>
                <w:lang w:eastAsia="tr-TR"/>
              </w:rPr>
            </w:pPr>
            <w:r>
              <w:rPr>
                <w:sz w:val="16"/>
                <w:szCs w:val="16"/>
                <w:lang w:eastAsia="tr-TR"/>
              </w:rPr>
              <w:t xml:space="preserve">  </w:t>
            </w:r>
            <w:r w:rsidR="00AE2554" w:rsidRPr="00AE2554">
              <w:rPr>
                <w:sz w:val="16"/>
                <w:szCs w:val="16"/>
                <w:lang w:eastAsia="tr-TR"/>
              </w:rPr>
              <w:t xml:space="preserve">Ödenen </w:t>
            </w:r>
            <w:proofErr w:type="gramStart"/>
            <w:r w:rsidR="00AE2554" w:rsidRPr="00AE2554">
              <w:rPr>
                <w:sz w:val="16"/>
                <w:szCs w:val="16"/>
                <w:lang w:eastAsia="tr-TR"/>
              </w:rPr>
              <w:t>kar</w:t>
            </w:r>
            <w:proofErr w:type="gramEnd"/>
            <w:r w:rsidR="00AE2554" w:rsidRPr="00AE2554">
              <w:rPr>
                <w:sz w:val="16"/>
                <w:szCs w:val="16"/>
                <w:lang w:eastAsia="tr-TR"/>
              </w:rPr>
              <w:t xml:space="preserve"> payı gideri</w:t>
            </w:r>
          </w:p>
        </w:tc>
        <w:tc>
          <w:tcPr>
            <w:tcW w:w="1018" w:type="dxa"/>
            <w:tcBorders>
              <w:top w:val="nil"/>
              <w:left w:val="nil"/>
              <w:bottom w:val="double" w:sz="6" w:space="0" w:color="auto"/>
              <w:right w:val="nil"/>
            </w:tcBorders>
            <w:shd w:val="clear" w:color="auto" w:fill="auto"/>
            <w:vAlign w:val="center"/>
            <w:hideMark/>
          </w:tcPr>
          <w:p w14:paraId="0F8B20CF" w14:textId="77777777" w:rsidR="00AE2554" w:rsidRPr="00AE2554" w:rsidRDefault="00AE2554" w:rsidP="00AE2554">
            <w:pPr>
              <w:jc w:val="right"/>
              <w:rPr>
                <w:sz w:val="18"/>
                <w:szCs w:val="18"/>
                <w:lang w:eastAsia="tr-TR"/>
              </w:rPr>
            </w:pPr>
            <w:r w:rsidRPr="00AE2554">
              <w:rPr>
                <w:sz w:val="18"/>
                <w:szCs w:val="18"/>
                <w:lang w:eastAsia="tr-TR"/>
              </w:rPr>
              <w:t>385,991</w:t>
            </w:r>
          </w:p>
        </w:tc>
        <w:tc>
          <w:tcPr>
            <w:tcW w:w="1034" w:type="dxa"/>
            <w:tcBorders>
              <w:top w:val="nil"/>
              <w:left w:val="nil"/>
              <w:bottom w:val="double" w:sz="6" w:space="0" w:color="auto"/>
              <w:right w:val="nil"/>
            </w:tcBorders>
            <w:shd w:val="clear" w:color="auto" w:fill="auto"/>
            <w:vAlign w:val="center"/>
            <w:hideMark/>
          </w:tcPr>
          <w:p w14:paraId="6776657C" w14:textId="77777777" w:rsidR="00AE2554" w:rsidRPr="00AE2554" w:rsidRDefault="00AE2554" w:rsidP="00AE2554">
            <w:pPr>
              <w:jc w:val="right"/>
              <w:rPr>
                <w:sz w:val="18"/>
                <w:szCs w:val="18"/>
                <w:lang w:eastAsia="tr-TR"/>
              </w:rPr>
            </w:pPr>
            <w:r w:rsidRPr="00AE2554">
              <w:rPr>
                <w:sz w:val="18"/>
                <w:szCs w:val="18"/>
                <w:lang w:eastAsia="tr-TR"/>
              </w:rPr>
              <w:t>331,779</w:t>
            </w:r>
          </w:p>
        </w:tc>
        <w:tc>
          <w:tcPr>
            <w:tcW w:w="1133" w:type="dxa"/>
            <w:tcBorders>
              <w:top w:val="nil"/>
              <w:left w:val="nil"/>
              <w:bottom w:val="double" w:sz="6" w:space="0" w:color="auto"/>
              <w:right w:val="nil"/>
            </w:tcBorders>
            <w:shd w:val="clear" w:color="auto" w:fill="auto"/>
            <w:vAlign w:val="center"/>
            <w:hideMark/>
          </w:tcPr>
          <w:p w14:paraId="44204068" w14:textId="77777777" w:rsidR="00AE2554" w:rsidRPr="00AE2554" w:rsidRDefault="00AE2554" w:rsidP="00AE2554">
            <w:pPr>
              <w:jc w:val="right"/>
              <w:rPr>
                <w:sz w:val="18"/>
                <w:szCs w:val="18"/>
                <w:lang w:eastAsia="tr-TR"/>
              </w:rPr>
            </w:pPr>
            <w:r w:rsidRPr="00AE2554">
              <w:rPr>
                <w:sz w:val="18"/>
                <w:szCs w:val="18"/>
                <w:lang w:eastAsia="tr-TR"/>
              </w:rPr>
              <w:t>11</w:t>
            </w:r>
          </w:p>
        </w:tc>
        <w:tc>
          <w:tcPr>
            <w:tcW w:w="952" w:type="dxa"/>
            <w:tcBorders>
              <w:top w:val="nil"/>
              <w:left w:val="nil"/>
              <w:bottom w:val="double" w:sz="6" w:space="0" w:color="auto"/>
              <w:right w:val="nil"/>
            </w:tcBorders>
            <w:shd w:val="clear" w:color="auto" w:fill="auto"/>
            <w:vAlign w:val="center"/>
            <w:hideMark/>
          </w:tcPr>
          <w:p w14:paraId="2453A103" w14:textId="77777777" w:rsidR="00AE2554" w:rsidRPr="00AE2554" w:rsidRDefault="00AE2554" w:rsidP="00AE2554">
            <w:pPr>
              <w:jc w:val="right"/>
              <w:rPr>
                <w:sz w:val="18"/>
                <w:szCs w:val="18"/>
                <w:lang w:eastAsia="tr-TR"/>
              </w:rPr>
            </w:pPr>
            <w:r w:rsidRPr="00AE2554">
              <w:rPr>
                <w:sz w:val="18"/>
                <w:szCs w:val="18"/>
                <w:lang w:eastAsia="tr-TR"/>
              </w:rPr>
              <w:t>38,735</w:t>
            </w:r>
          </w:p>
        </w:tc>
        <w:tc>
          <w:tcPr>
            <w:tcW w:w="1018" w:type="dxa"/>
            <w:tcBorders>
              <w:top w:val="nil"/>
              <w:left w:val="nil"/>
              <w:bottom w:val="double" w:sz="6" w:space="0" w:color="auto"/>
              <w:right w:val="nil"/>
            </w:tcBorders>
            <w:shd w:val="clear" w:color="auto" w:fill="auto"/>
            <w:vAlign w:val="center"/>
            <w:hideMark/>
          </w:tcPr>
          <w:p w14:paraId="3754B1A7" w14:textId="77777777" w:rsidR="00AE2554" w:rsidRPr="00AE2554" w:rsidRDefault="00AE2554" w:rsidP="00AE2554">
            <w:pPr>
              <w:jc w:val="right"/>
              <w:rPr>
                <w:sz w:val="18"/>
                <w:szCs w:val="18"/>
                <w:lang w:eastAsia="tr-TR"/>
              </w:rPr>
            </w:pPr>
            <w:r w:rsidRPr="00AE2554">
              <w:rPr>
                <w:sz w:val="18"/>
                <w:szCs w:val="18"/>
                <w:lang w:eastAsia="tr-TR"/>
              </w:rPr>
              <w:t>-</w:t>
            </w:r>
          </w:p>
        </w:tc>
        <w:tc>
          <w:tcPr>
            <w:tcW w:w="1067" w:type="dxa"/>
            <w:tcBorders>
              <w:top w:val="nil"/>
              <w:left w:val="nil"/>
              <w:bottom w:val="double" w:sz="6" w:space="0" w:color="auto"/>
              <w:right w:val="nil"/>
            </w:tcBorders>
            <w:shd w:val="clear" w:color="auto" w:fill="auto"/>
            <w:vAlign w:val="center"/>
            <w:hideMark/>
          </w:tcPr>
          <w:p w14:paraId="47302B09" w14:textId="77777777" w:rsidR="00AE2554" w:rsidRPr="00AE2554" w:rsidRDefault="00AE2554" w:rsidP="00AE2554">
            <w:pPr>
              <w:jc w:val="right"/>
              <w:rPr>
                <w:sz w:val="18"/>
                <w:szCs w:val="18"/>
                <w:lang w:eastAsia="tr-TR"/>
              </w:rPr>
            </w:pPr>
            <w:r w:rsidRPr="00AE2554">
              <w:rPr>
                <w:sz w:val="18"/>
                <w:szCs w:val="18"/>
                <w:lang w:eastAsia="tr-TR"/>
              </w:rPr>
              <w:t>-</w:t>
            </w:r>
          </w:p>
        </w:tc>
      </w:tr>
    </w:tbl>
    <w:p w14:paraId="1BA2532A" w14:textId="77777777" w:rsidR="00006DD1" w:rsidRDefault="00006DD1" w:rsidP="00006DD1">
      <w:pPr>
        <w:ind w:left="142" w:hanging="142"/>
        <w:jc w:val="both"/>
        <w:rPr>
          <w:bCs/>
          <w:iCs/>
          <w:sz w:val="6"/>
          <w:szCs w:val="6"/>
        </w:rPr>
      </w:pPr>
    </w:p>
    <w:p w14:paraId="5EF7F4E0" w14:textId="15D15B25" w:rsidR="007A2842" w:rsidRPr="00DB2E67" w:rsidRDefault="00175F3D" w:rsidP="00006DD1">
      <w:pPr>
        <w:ind w:left="142" w:hanging="142"/>
        <w:jc w:val="both"/>
        <w:rPr>
          <w:sz w:val="14"/>
        </w:rPr>
      </w:pPr>
      <w:r>
        <w:rPr>
          <w:sz w:val="14"/>
        </w:rPr>
        <w:t xml:space="preserve">(*) </w:t>
      </w:r>
      <w:r w:rsidR="007A2842" w:rsidRPr="00DB2E67">
        <w:rPr>
          <w:sz w:val="14"/>
        </w:rPr>
        <w:t>Banka</w:t>
      </w:r>
      <w:r w:rsidR="00B60726">
        <w:rPr>
          <w:sz w:val="14"/>
        </w:rPr>
        <w:t>’</w:t>
      </w:r>
      <w:r w:rsidR="007A2842" w:rsidRPr="00DB2E67">
        <w:rPr>
          <w:sz w:val="14"/>
        </w:rPr>
        <w:t>nın 17/02/2016 tarihinde gerçekleştirmiş olduğu 350,000</w:t>
      </w:r>
      <w:r w:rsidR="00043D5E">
        <w:rPr>
          <w:sz w:val="14"/>
        </w:rPr>
        <w:t>,000</w:t>
      </w:r>
      <w:r w:rsidR="007A2842" w:rsidRPr="00DB2E67">
        <w:rPr>
          <w:sz w:val="14"/>
        </w:rPr>
        <w:t xml:space="preserve"> ABD Doları </w:t>
      </w:r>
      <w:r w:rsidR="00043D5E">
        <w:rPr>
          <w:sz w:val="14"/>
        </w:rPr>
        <w:t xml:space="preserve">(tam bakiye) </w:t>
      </w:r>
      <w:r w:rsidR="007A2842" w:rsidRPr="00DB2E67">
        <w:rPr>
          <w:sz w:val="14"/>
        </w:rPr>
        <w:t xml:space="preserve">tutarlı sermaye benzeri </w:t>
      </w:r>
      <w:proofErr w:type="spellStart"/>
      <w:r w:rsidR="007A2842" w:rsidRPr="00DB2E67">
        <w:rPr>
          <w:sz w:val="14"/>
        </w:rPr>
        <w:t>Tier</w:t>
      </w:r>
      <w:proofErr w:type="spellEnd"/>
      <w:r w:rsidR="007A2842" w:rsidRPr="00DB2E67">
        <w:rPr>
          <w:sz w:val="14"/>
        </w:rPr>
        <w:t xml:space="preserve">-II </w:t>
      </w:r>
      <w:proofErr w:type="spellStart"/>
      <w:r w:rsidR="00F252BD" w:rsidRPr="00DB2E67">
        <w:rPr>
          <w:sz w:val="14"/>
        </w:rPr>
        <w:t>sukukunun</w:t>
      </w:r>
      <w:proofErr w:type="spellEnd"/>
      <w:r w:rsidR="007A2842" w:rsidRPr="00DB2E67">
        <w:rPr>
          <w:sz w:val="14"/>
        </w:rPr>
        <w:t xml:space="preserve"> 1,450,000 ABD dolarlık</w:t>
      </w:r>
      <w:r w:rsidR="00043D5E">
        <w:rPr>
          <w:sz w:val="14"/>
        </w:rPr>
        <w:t xml:space="preserve"> </w:t>
      </w:r>
      <w:r w:rsidR="00043D5E">
        <w:rPr>
          <w:sz w:val="14"/>
        </w:rPr>
        <w:t>(tam bakiye)</w:t>
      </w:r>
      <w:r w:rsidR="00043D5E">
        <w:rPr>
          <w:sz w:val="14"/>
        </w:rPr>
        <w:t xml:space="preserve"> tutar</w:t>
      </w:r>
      <w:r w:rsidR="007A2842" w:rsidRPr="00DB2E67">
        <w:rPr>
          <w:sz w:val="14"/>
        </w:rPr>
        <w:t xml:space="preserve"> kısmı, Kuwait Finance House’a; 50,000,000 ABD Dolarlık </w:t>
      </w:r>
      <w:r w:rsidR="00043D5E">
        <w:rPr>
          <w:sz w:val="14"/>
        </w:rPr>
        <w:t>(tam bakiye)</w:t>
      </w:r>
      <w:r w:rsidR="00043D5E">
        <w:rPr>
          <w:sz w:val="14"/>
        </w:rPr>
        <w:t xml:space="preserve"> tutar </w:t>
      </w:r>
      <w:r w:rsidR="007A2842" w:rsidRPr="00DB2E67">
        <w:rPr>
          <w:sz w:val="14"/>
        </w:rPr>
        <w:t xml:space="preserve">kısmı, </w:t>
      </w:r>
      <w:proofErr w:type="spellStart"/>
      <w:r w:rsidR="007A2842" w:rsidRPr="00DB2E67">
        <w:rPr>
          <w:sz w:val="14"/>
        </w:rPr>
        <w:t>Islamic</w:t>
      </w:r>
      <w:proofErr w:type="spellEnd"/>
      <w:r w:rsidR="007A2842" w:rsidRPr="00DB2E67">
        <w:rPr>
          <w:sz w:val="14"/>
        </w:rPr>
        <w:t xml:space="preserve"> Development Bank’a aittir.</w:t>
      </w:r>
    </w:p>
    <w:p w14:paraId="697A2C22" w14:textId="77777777" w:rsidR="007A2842" w:rsidRPr="00B20FB4" w:rsidRDefault="007A2842" w:rsidP="007A2842">
      <w:pPr>
        <w:jc w:val="both"/>
        <w:rPr>
          <w:sz w:val="6"/>
          <w:szCs w:val="6"/>
        </w:rPr>
      </w:pPr>
    </w:p>
    <w:p w14:paraId="0EFC10BC" w14:textId="7B60BC6E" w:rsidR="007A2842" w:rsidRPr="00006DD1" w:rsidRDefault="00175F3D" w:rsidP="00006DD1">
      <w:pPr>
        <w:ind w:left="142" w:hanging="142"/>
        <w:jc w:val="both"/>
        <w:rPr>
          <w:sz w:val="14"/>
        </w:rPr>
      </w:pPr>
      <w:r>
        <w:rPr>
          <w:sz w:val="14"/>
        </w:rPr>
        <w:t xml:space="preserve">(*) </w:t>
      </w:r>
      <w:r w:rsidR="007A2842" w:rsidRPr="00DB2E67">
        <w:rPr>
          <w:sz w:val="14"/>
        </w:rPr>
        <w:t>Banka</w:t>
      </w:r>
      <w:r w:rsidR="00B60726">
        <w:rPr>
          <w:sz w:val="14"/>
        </w:rPr>
        <w:t>’</w:t>
      </w:r>
      <w:r w:rsidR="007A2842" w:rsidRPr="00DB2E67">
        <w:rPr>
          <w:sz w:val="14"/>
        </w:rPr>
        <w:t xml:space="preserve">nın 16/07/2019 tarihinde gerçekleştirmiş olduğu 200,000,000 ABD Doları tutarlı </w:t>
      </w:r>
      <w:r w:rsidR="00B60726">
        <w:rPr>
          <w:sz w:val="14"/>
        </w:rPr>
        <w:t>(tam bakiye)</w:t>
      </w:r>
      <w:r w:rsidR="00B60726">
        <w:rPr>
          <w:sz w:val="14"/>
        </w:rPr>
        <w:t xml:space="preserve"> </w:t>
      </w:r>
      <w:r w:rsidR="007A2842" w:rsidRPr="00DB2E67">
        <w:rPr>
          <w:sz w:val="14"/>
        </w:rPr>
        <w:t xml:space="preserve">sermaye benzeri </w:t>
      </w:r>
      <w:proofErr w:type="spellStart"/>
      <w:r w:rsidR="007A2842" w:rsidRPr="00DB2E67">
        <w:rPr>
          <w:sz w:val="14"/>
        </w:rPr>
        <w:t>Tier</w:t>
      </w:r>
      <w:proofErr w:type="spellEnd"/>
      <w:r w:rsidR="007A2842" w:rsidRPr="00DB2E67">
        <w:rPr>
          <w:sz w:val="14"/>
        </w:rPr>
        <w:t xml:space="preserve">-I </w:t>
      </w:r>
      <w:proofErr w:type="spellStart"/>
      <w:r w:rsidR="00F252BD" w:rsidRPr="00DB2E67">
        <w:rPr>
          <w:sz w:val="14"/>
        </w:rPr>
        <w:t>sukukunun</w:t>
      </w:r>
      <w:proofErr w:type="spellEnd"/>
      <w:r w:rsidR="007A2842" w:rsidRPr="00DB2E67">
        <w:rPr>
          <w:sz w:val="14"/>
        </w:rPr>
        <w:t xml:space="preserve"> tamamı ve Banka</w:t>
      </w:r>
      <w:r w:rsidR="00B60726">
        <w:rPr>
          <w:sz w:val="14"/>
        </w:rPr>
        <w:t>’</w:t>
      </w:r>
      <w:r w:rsidR="007A2842" w:rsidRPr="00DB2E67">
        <w:rPr>
          <w:sz w:val="14"/>
        </w:rPr>
        <w:t xml:space="preserve">nın 28/09/2020 tarihinde gerçekleştirmiş olduğu 50,000,000 ABD Doları tutarlı </w:t>
      </w:r>
      <w:r w:rsidR="00B60726">
        <w:rPr>
          <w:sz w:val="14"/>
        </w:rPr>
        <w:t>(tam bakiye)</w:t>
      </w:r>
      <w:r w:rsidR="00B60726">
        <w:rPr>
          <w:sz w:val="14"/>
        </w:rPr>
        <w:t xml:space="preserve"> </w:t>
      </w:r>
      <w:r w:rsidR="007A2842" w:rsidRPr="00DB2E67">
        <w:rPr>
          <w:sz w:val="14"/>
        </w:rPr>
        <w:t xml:space="preserve">sermaye benzeri </w:t>
      </w:r>
      <w:proofErr w:type="spellStart"/>
      <w:r w:rsidR="007A2842" w:rsidRPr="00DB2E67">
        <w:rPr>
          <w:sz w:val="14"/>
        </w:rPr>
        <w:t>Tier</w:t>
      </w:r>
      <w:proofErr w:type="spellEnd"/>
      <w:r w:rsidR="007A2842" w:rsidRPr="00DB2E67">
        <w:rPr>
          <w:sz w:val="14"/>
        </w:rPr>
        <w:t xml:space="preserve">-I </w:t>
      </w:r>
      <w:proofErr w:type="spellStart"/>
      <w:r w:rsidR="00F252BD" w:rsidRPr="00DB2E67">
        <w:rPr>
          <w:sz w:val="14"/>
        </w:rPr>
        <w:t>sukukunun</w:t>
      </w:r>
      <w:proofErr w:type="spellEnd"/>
      <w:r w:rsidR="007A2842" w:rsidRPr="00DB2E67">
        <w:rPr>
          <w:sz w:val="14"/>
        </w:rPr>
        <w:t xml:space="preserve"> tamamı, Kuwait Finance House’a aittir</w:t>
      </w:r>
      <w:bookmarkStart w:id="22" w:name="_GoBack"/>
      <w:bookmarkEnd w:id="22"/>
      <w:r w:rsidR="007A2842" w:rsidRPr="00DB2E67">
        <w:rPr>
          <w:sz w:val="14"/>
        </w:rPr>
        <w:t>.</w:t>
      </w:r>
    </w:p>
    <w:p w14:paraId="322A02BE" w14:textId="01FE9830" w:rsidR="00E53CFC" w:rsidRPr="00943283" w:rsidRDefault="00E53CFC" w:rsidP="00553A47">
      <w:pPr>
        <w:autoSpaceDE w:val="0"/>
        <w:autoSpaceDN w:val="0"/>
        <w:adjustRightInd w:val="0"/>
        <w:rPr>
          <w:bCs/>
          <w:iCs/>
          <w:highlight w:val="yellow"/>
        </w:rPr>
      </w:pPr>
    </w:p>
    <w:p w14:paraId="10B7F38A" w14:textId="77777777" w:rsidR="000F096F" w:rsidRPr="00AE2554" w:rsidRDefault="00EC1D5D" w:rsidP="006029DA">
      <w:pPr>
        <w:autoSpaceDE w:val="0"/>
        <w:autoSpaceDN w:val="0"/>
        <w:adjustRightInd w:val="0"/>
        <w:ind w:hanging="567"/>
        <w:rPr>
          <w:b/>
          <w:bCs/>
          <w:iCs/>
        </w:rPr>
      </w:pPr>
      <w:r w:rsidRPr="00AE2554">
        <w:rPr>
          <w:b/>
          <w:bCs/>
          <w:iCs/>
        </w:rPr>
        <w:t>7</w:t>
      </w:r>
      <w:r w:rsidR="0030639E" w:rsidRPr="00AE2554">
        <w:rPr>
          <w:b/>
          <w:bCs/>
          <w:iCs/>
        </w:rPr>
        <w:t>.5</w:t>
      </w:r>
      <w:r w:rsidR="006029DA" w:rsidRPr="00AE2554">
        <w:rPr>
          <w:b/>
          <w:bCs/>
          <w:iCs/>
        </w:rPr>
        <w:tab/>
      </w:r>
      <w:r w:rsidR="00E253C8" w:rsidRPr="00AE2554">
        <w:rPr>
          <w:b/>
          <w:bCs/>
          <w:iCs/>
        </w:rPr>
        <w:t>Üst Yönetime sağlanan faydalara ilişkin bilgiler:</w:t>
      </w:r>
    </w:p>
    <w:p w14:paraId="7C06B7AA" w14:textId="77777777" w:rsidR="000F096F" w:rsidRPr="00AE2554" w:rsidRDefault="000F096F" w:rsidP="000F096F">
      <w:pPr>
        <w:ind w:left="540"/>
        <w:rPr>
          <w:bCs/>
          <w:iCs/>
          <w:sz w:val="16"/>
          <w:szCs w:val="16"/>
        </w:rPr>
      </w:pPr>
    </w:p>
    <w:p w14:paraId="28C1005A" w14:textId="3D25845F" w:rsidR="00F11877" w:rsidRPr="00AE2554" w:rsidRDefault="00527FBB" w:rsidP="004C4FA7">
      <w:pPr>
        <w:jc w:val="both"/>
        <w:rPr>
          <w:bCs/>
          <w:iCs/>
          <w:spacing w:val="-6"/>
        </w:rPr>
      </w:pPr>
      <w:r w:rsidRPr="00AE2554">
        <w:rPr>
          <w:bCs/>
          <w:iCs/>
          <w:spacing w:val="-6"/>
        </w:rPr>
        <w:t>1 Ocak-</w:t>
      </w:r>
      <w:r w:rsidR="00EA6E92" w:rsidRPr="00AE2554">
        <w:t>30 Eylül</w:t>
      </w:r>
      <w:r w:rsidR="00662E0C" w:rsidRPr="00AE2554">
        <w:t xml:space="preserve"> 2020</w:t>
      </w:r>
      <w:r w:rsidR="00E253C8" w:rsidRPr="00AE2554">
        <w:rPr>
          <w:bCs/>
          <w:iCs/>
          <w:spacing w:val="-6"/>
        </w:rPr>
        <w:t xml:space="preserve"> </w:t>
      </w:r>
      <w:r w:rsidRPr="00AE2554">
        <w:rPr>
          <w:bCs/>
          <w:iCs/>
          <w:spacing w:val="-6"/>
        </w:rPr>
        <w:t>döneminde</w:t>
      </w:r>
      <w:r w:rsidR="00E253C8" w:rsidRPr="00AE2554">
        <w:rPr>
          <w:bCs/>
          <w:iCs/>
          <w:spacing w:val="-6"/>
        </w:rPr>
        <w:t xml:space="preserve"> Banka üst yönetimine </w:t>
      </w:r>
      <w:r w:rsidR="00AE2554" w:rsidRPr="00AE2554">
        <w:rPr>
          <w:bCs/>
          <w:iCs/>
          <w:spacing w:val="-6"/>
        </w:rPr>
        <w:t>42</w:t>
      </w:r>
      <w:r w:rsidR="00891F62" w:rsidRPr="00AE2554">
        <w:rPr>
          <w:bCs/>
          <w:iCs/>
          <w:spacing w:val="-6"/>
        </w:rPr>
        <w:t>,</w:t>
      </w:r>
      <w:r w:rsidR="00AE2554" w:rsidRPr="00AE2554">
        <w:rPr>
          <w:bCs/>
          <w:iCs/>
          <w:spacing w:val="-6"/>
        </w:rPr>
        <w:t>636</w:t>
      </w:r>
      <w:r w:rsidR="00CD03F4" w:rsidRPr="00AE2554">
        <w:rPr>
          <w:bCs/>
          <w:iCs/>
          <w:spacing w:val="-6"/>
        </w:rPr>
        <w:t xml:space="preserve"> </w:t>
      </w:r>
      <w:r w:rsidR="00E253C8" w:rsidRPr="00AE2554">
        <w:rPr>
          <w:bCs/>
          <w:iCs/>
          <w:spacing w:val="-6"/>
        </w:rPr>
        <w:t>TL (</w:t>
      </w:r>
      <w:r w:rsidR="005D1B6E" w:rsidRPr="00AE2554">
        <w:rPr>
          <w:bCs/>
          <w:iCs/>
          <w:spacing w:val="-6"/>
        </w:rPr>
        <w:t>1 Ocak-</w:t>
      </w:r>
      <w:r w:rsidR="00EA6E92" w:rsidRPr="00AE2554">
        <w:t>30 Eylül</w:t>
      </w:r>
      <w:r w:rsidR="00662E0C" w:rsidRPr="00AE2554">
        <w:t xml:space="preserve"> 2019</w:t>
      </w:r>
      <w:r w:rsidR="00E253C8" w:rsidRPr="00AE2554">
        <w:rPr>
          <w:bCs/>
          <w:iCs/>
          <w:spacing w:val="-6"/>
        </w:rPr>
        <w:t xml:space="preserve">– </w:t>
      </w:r>
      <w:r w:rsidR="00E60709" w:rsidRPr="00AE2554">
        <w:rPr>
          <w:bCs/>
          <w:iCs/>
          <w:spacing w:val="-6"/>
        </w:rPr>
        <w:t>33</w:t>
      </w:r>
      <w:r w:rsidR="000F30E4" w:rsidRPr="00AE2554">
        <w:rPr>
          <w:bCs/>
          <w:iCs/>
          <w:spacing w:val="-6"/>
        </w:rPr>
        <w:t>,</w:t>
      </w:r>
      <w:r w:rsidR="00E60709" w:rsidRPr="00AE2554">
        <w:rPr>
          <w:bCs/>
          <w:iCs/>
          <w:spacing w:val="-6"/>
        </w:rPr>
        <w:t>516</w:t>
      </w:r>
      <w:r w:rsidR="000B5B8A" w:rsidRPr="00AE2554">
        <w:rPr>
          <w:bCs/>
          <w:iCs/>
          <w:spacing w:val="-6"/>
        </w:rPr>
        <w:t xml:space="preserve"> </w:t>
      </w:r>
      <w:r w:rsidR="002F5629" w:rsidRPr="00AE2554">
        <w:rPr>
          <w:bCs/>
          <w:iCs/>
          <w:spacing w:val="-6"/>
        </w:rPr>
        <w:t>TL</w:t>
      </w:r>
      <w:r w:rsidR="00E253C8" w:rsidRPr="00AE2554">
        <w:rPr>
          <w:bCs/>
          <w:iCs/>
          <w:spacing w:val="-6"/>
        </w:rPr>
        <w:t>) tutarında ödeme yapılmıştır.</w:t>
      </w:r>
    </w:p>
    <w:p w14:paraId="3EB345C8" w14:textId="63DFF701" w:rsidR="0022205C" w:rsidRPr="00270CE6" w:rsidRDefault="0022205C" w:rsidP="004C4FA7">
      <w:pPr>
        <w:jc w:val="both"/>
        <w:rPr>
          <w:bCs/>
          <w:iCs/>
          <w:spacing w:val="-6"/>
          <w:highlight w:val="yellow"/>
        </w:rPr>
      </w:pPr>
    </w:p>
    <w:p w14:paraId="64F56F8D" w14:textId="560B1D00" w:rsidR="0022205C" w:rsidRPr="001D3A4D" w:rsidRDefault="0022205C" w:rsidP="00B843E3">
      <w:pPr>
        <w:pStyle w:val="EndnoteText"/>
        <w:autoSpaceDE w:val="0"/>
        <w:autoSpaceDN w:val="0"/>
        <w:adjustRightInd w:val="0"/>
        <w:ind w:hanging="567"/>
        <w:jc w:val="both"/>
        <w:rPr>
          <w:b/>
        </w:rPr>
      </w:pPr>
      <w:r w:rsidRPr="001D3A4D">
        <w:rPr>
          <w:b/>
        </w:rPr>
        <w:t>8.</w:t>
      </w:r>
      <w:r w:rsidRPr="001D3A4D">
        <w:rPr>
          <w:b/>
        </w:rPr>
        <w:tab/>
        <w:t xml:space="preserve">Banka’nın yurtiçi, yurtdışı, kıyı bankacılığı bölgelerindeki şubeleri ile yurtdışı temsilciliklerine ilişkin bilgiler </w:t>
      </w:r>
    </w:p>
    <w:p w14:paraId="36C572A1" w14:textId="77777777" w:rsidR="0022205C" w:rsidRPr="001D3A4D" w:rsidRDefault="0022205C" w:rsidP="0022205C">
      <w:pPr>
        <w:pStyle w:val="EndnoteText"/>
        <w:autoSpaceDE w:val="0"/>
        <w:autoSpaceDN w:val="0"/>
        <w:adjustRightInd w:val="0"/>
        <w:ind w:hanging="540"/>
        <w:rPr>
          <w:b/>
          <w:sz w:val="16"/>
          <w:szCs w:val="16"/>
        </w:rPr>
      </w:pPr>
    </w:p>
    <w:p w14:paraId="7EBE0C2B" w14:textId="6F662F0F" w:rsidR="00584611" w:rsidRPr="00311DAB" w:rsidRDefault="00584611" w:rsidP="00311DAB">
      <w:pPr>
        <w:tabs>
          <w:tab w:val="left" w:pos="540"/>
        </w:tabs>
        <w:autoSpaceDE w:val="0"/>
        <w:autoSpaceDN w:val="0"/>
        <w:adjustRightInd w:val="0"/>
        <w:jc w:val="both"/>
        <w:rPr>
          <w:lang w:eastAsia="en-GB"/>
        </w:rPr>
      </w:pPr>
      <w:r w:rsidRPr="001D3A4D">
        <w:t>Bankalarca Kamuya Açıklanacak Finansal Tablolar ile Bunlara İlişkin Açıklama ve Dipnotlar Hakkında Tebliğ’in 25’inci maddesi uyarınca ara dönemde hazırlanmamıştır.</w:t>
      </w:r>
    </w:p>
    <w:p w14:paraId="752CE2BA" w14:textId="5BC9FFC6" w:rsidR="0022205C" w:rsidRPr="00270CE6" w:rsidRDefault="0022205C" w:rsidP="00584611">
      <w:pPr>
        <w:ind w:left="540" w:hanging="540"/>
        <w:rPr>
          <w:b/>
          <w:highlight w:val="yellow"/>
        </w:rPr>
      </w:pPr>
    </w:p>
    <w:p w14:paraId="558A3F46" w14:textId="79C2F05D" w:rsidR="000F096F" w:rsidRPr="00E162DB" w:rsidRDefault="007A10B9" w:rsidP="006029DA">
      <w:pPr>
        <w:tabs>
          <w:tab w:val="left" w:pos="709"/>
        </w:tabs>
        <w:ind w:hanging="567"/>
        <w:rPr>
          <w:b/>
        </w:rPr>
      </w:pPr>
      <w:bookmarkStart w:id="23" w:name="_Hlk39946395"/>
      <w:r w:rsidRPr="00E162DB">
        <w:rPr>
          <w:b/>
        </w:rPr>
        <w:t>9</w:t>
      </w:r>
      <w:r w:rsidR="00E253C8" w:rsidRPr="00E162DB">
        <w:rPr>
          <w:b/>
        </w:rPr>
        <w:t>.</w:t>
      </w:r>
      <w:r w:rsidR="00E253C8" w:rsidRPr="00E162DB">
        <w:rPr>
          <w:b/>
        </w:rPr>
        <w:tab/>
        <w:t>Bilanço sonrası hususlara ilişkin olarak açıklanması gereken hususlar</w:t>
      </w:r>
    </w:p>
    <w:p w14:paraId="33AA3D1E" w14:textId="712FBFB2" w:rsidR="000E4353" w:rsidRPr="00270CE6" w:rsidRDefault="000E4353" w:rsidP="007203F9">
      <w:pPr>
        <w:pStyle w:val="EndnoteText"/>
        <w:tabs>
          <w:tab w:val="left" w:pos="567"/>
        </w:tabs>
        <w:autoSpaceDE w:val="0"/>
        <w:autoSpaceDN w:val="0"/>
        <w:adjustRightInd w:val="0"/>
        <w:rPr>
          <w:sz w:val="16"/>
          <w:szCs w:val="16"/>
          <w:highlight w:val="yellow"/>
        </w:rPr>
      </w:pPr>
    </w:p>
    <w:bookmarkEnd w:id="23"/>
    <w:p w14:paraId="39C4EE8A" w14:textId="77777777" w:rsidR="00E162DB" w:rsidRDefault="00E162DB">
      <w:pPr>
        <w:pStyle w:val="BodyText2"/>
        <w:ind w:firstLine="0"/>
        <w:rPr>
          <w:sz w:val="16"/>
          <w:szCs w:val="16"/>
          <w:highlight w:val="yellow"/>
        </w:rPr>
      </w:pPr>
      <w:r>
        <w:rPr>
          <w:spacing w:val="-6"/>
          <w:sz w:val="20"/>
        </w:rPr>
        <w:t>Banka, KT Kira Sertifikaları Varlık Kiralama A.Ş. üzerinden 27 Ekim 2020 tarihinde 198,370 bin TL nominal değerli, 94 gün vadeli %</w:t>
      </w:r>
      <w:proofErr w:type="gramStart"/>
      <w:r>
        <w:rPr>
          <w:spacing w:val="-6"/>
          <w:sz w:val="20"/>
        </w:rPr>
        <w:t>13.07</w:t>
      </w:r>
      <w:proofErr w:type="gramEnd"/>
      <w:r>
        <w:rPr>
          <w:spacing w:val="-6"/>
          <w:sz w:val="20"/>
        </w:rPr>
        <w:t xml:space="preserve"> maliyetli </w:t>
      </w:r>
      <w:proofErr w:type="spellStart"/>
      <w:r>
        <w:rPr>
          <w:spacing w:val="-6"/>
          <w:sz w:val="20"/>
        </w:rPr>
        <w:t>sukuk</w:t>
      </w:r>
      <w:proofErr w:type="spellEnd"/>
      <w:r>
        <w:rPr>
          <w:spacing w:val="-6"/>
          <w:sz w:val="20"/>
        </w:rPr>
        <w:t xml:space="preserve"> ihraç etmiştir. </w:t>
      </w:r>
    </w:p>
    <w:p w14:paraId="749A01ED" w14:textId="77777777" w:rsidR="003D608A" w:rsidRDefault="000F6B75" w:rsidP="003D608A">
      <w:pPr>
        <w:autoSpaceDE w:val="0"/>
        <w:autoSpaceDN w:val="0"/>
        <w:jc w:val="center"/>
        <w:rPr>
          <w:rFonts w:eastAsia="Arial Unicode MS"/>
          <w:b/>
          <w:sz w:val="22"/>
          <w:szCs w:val="22"/>
        </w:rPr>
      </w:pPr>
      <w:r w:rsidRPr="00270CE6">
        <w:rPr>
          <w:rFonts w:eastAsia="Arial Unicode MS"/>
          <w:b/>
          <w:sz w:val="22"/>
          <w:szCs w:val="22"/>
          <w:highlight w:val="yellow"/>
        </w:rPr>
        <w:br w:type="page"/>
      </w:r>
      <w:r w:rsidR="003D608A">
        <w:rPr>
          <w:rFonts w:eastAsia="Arial Unicode MS"/>
          <w:b/>
          <w:sz w:val="22"/>
          <w:szCs w:val="22"/>
        </w:rPr>
        <w:lastRenderedPageBreak/>
        <w:t>ALTINCI BÖLÜM</w:t>
      </w:r>
    </w:p>
    <w:p w14:paraId="5348D875" w14:textId="77777777" w:rsidR="003D608A" w:rsidRDefault="003D608A" w:rsidP="003D608A">
      <w:pPr>
        <w:autoSpaceDE w:val="0"/>
        <w:autoSpaceDN w:val="0"/>
        <w:jc w:val="center"/>
        <w:rPr>
          <w:rFonts w:eastAsia="Arial Unicode MS"/>
          <w:b/>
          <w:sz w:val="16"/>
          <w:szCs w:val="16"/>
        </w:rPr>
      </w:pPr>
    </w:p>
    <w:p w14:paraId="2CA4E7FB" w14:textId="77777777" w:rsidR="003D608A" w:rsidRDefault="003D608A" w:rsidP="003D608A">
      <w:pPr>
        <w:tabs>
          <w:tab w:val="left" w:pos="3119"/>
        </w:tabs>
        <w:autoSpaceDE w:val="0"/>
        <w:autoSpaceDN w:val="0"/>
        <w:adjustRightInd w:val="0"/>
        <w:jc w:val="center"/>
        <w:rPr>
          <w:rFonts w:eastAsia="Arial Unicode MS"/>
          <w:b/>
          <w:spacing w:val="-6"/>
          <w:sz w:val="22"/>
          <w:szCs w:val="22"/>
        </w:rPr>
      </w:pPr>
      <w:r>
        <w:rPr>
          <w:rFonts w:eastAsia="Arial Unicode MS"/>
          <w:b/>
          <w:spacing w:val="-6"/>
          <w:sz w:val="22"/>
          <w:szCs w:val="22"/>
        </w:rPr>
        <w:t>DİĞER AÇIKLAMALAR</w:t>
      </w:r>
    </w:p>
    <w:p w14:paraId="4D645C1A" w14:textId="77777777" w:rsidR="003D608A" w:rsidRDefault="003D608A" w:rsidP="003D608A">
      <w:pPr>
        <w:pStyle w:val="BodyTextIndent"/>
        <w:autoSpaceDE/>
        <w:adjustRightInd/>
        <w:ind w:left="0" w:firstLine="0"/>
        <w:jc w:val="left"/>
        <w:rPr>
          <w:rFonts w:eastAsia="Arial Unicode MS"/>
          <w:sz w:val="16"/>
          <w:szCs w:val="16"/>
        </w:rPr>
      </w:pPr>
    </w:p>
    <w:p w14:paraId="1E2E3C12" w14:textId="77777777" w:rsidR="003D608A" w:rsidRDefault="003D608A" w:rsidP="003D608A">
      <w:pPr>
        <w:pStyle w:val="Heading7"/>
        <w:ind w:left="0" w:hanging="567"/>
        <w:rPr>
          <w:b w:val="0"/>
          <w:bCs w:val="0"/>
        </w:rPr>
      </w:pPr>
      <w:r>
        <w:t>1.</w:t>
      </w:r>
      <w:r>
        <w:tab/>
        <w:t xml:space="preserve">Bilançoyu önemli ölçüde etkileyen ya da bilançonun açık yorumlanabilir ve anlaşılabilir olması açısından açıklanması gerekli olan diğer </w:t>
      </w:r>
      <w:proofErr w:type="gramStart"/>
      <w:r>
        <w:t>hususlar :</w:t>
      </w:r>
      <w:proofErr w:type="gramEnd"/>
      <w:r>
        <w:rPr>
          <w:b w:val="0"/>
          <w:bCs w:val="0"/>
        </w:rPr>
        <w:t xml:space="preserve"> Yoktur.</w:t>
      </w:r>
    </w:p>
    <w:p w14:paraId="6EC34438" w14:textId="77777777" w:rsidR="003D608A" w:rsidRDefault="003D608A" w:rsidP="003D608A"/>
    <w:p w14:paraId="541D15B3" w14:textId="77777777" w:rsidR="003D608A" w:rsidRDefault="003D608A" w:rsidP="003D608A">
      <w:pPr>
        <w:jc w:val="center"/>
        <w:rPr>
          <w:rFonts w:eastAsia="Arial Unicode MS"/>
          <w:b/>
          <w:sz w:val="22"/>
          <w:szCs w:val="22"/>
        </w:rPr>
      </w:pPr>
      <w:r>
        <w:rPr>
          <w:rFonts w:eastAsia="Arial Unicode MS"/>
          <w:b/>
          <w:sz w:val="22"/>
          <w:szCs w:val="22"/>
        </w:rPr>
        <w:t>YEDİNCİ BÖLÜM</w:t>
      </w:r>
    </w:p>
    <w:p w14:paraId="7AD64984" w14:textId="77777777" w:rsidR="003D608A" w:rsidRDefault="003D608A" w:rsidP="003D608A">
      <w:pPr>
        <w:autoSpaceDE w:val="0"/>
        <w:autoSpaceDN w:val="0"/>
        <w:adjustRightInd w:val="0"/>
        <w:rPr>
          <w:rFonts w:eastAsia="Arial Unicode MS"/>
          <w:b/>
          <w:sz w:val="16"/>
          <w:szCs w:val="16"/>
        </w:rPr>
      </w:pPr>
    </w:p>
    <w:p w14:paraId="09CF56D3" w14:textId="77777777" w:rsidR="003D608A" w:rsidRDefault="003D608A" w:rsidP="003D608A">
      <w:pPr>
        <w:jc w:val="center"/>
        <w:rPr>
          <w:b/>
          <w:sz w:val="22"/>
          <w:szCs w:val="22"/>
        </w:rPr>
      </w:pPr>
      <w:r>
        <w:rPr>
          <w:b/>
          <w:sz w:val="22"/>
          <w:szCs w:val="22"/>
        </w:rPr>
        <w:t>BAĞIMSIZ SINIRLI DENETİM RAPORU</w:t>
      </w:r>
    </w:p>
    <w:p w14:paraId="72429884" w14:textId="77777777" w:rsidR="003D608A" w:rsidRDefault="003D608A" w:rsidP="003D608A">
      <w:pPr>
        <w:pStyle w:val="BodyTextIndent"/>
        <w:autoSpaceDE/>
        <w:adjustRightInd/>
        <w:ind w:left="0" w:firstLine="0"/>
        <w:jc w:val="left"/>
        <w:rPr>
          <w:bCs/>
          <w:sz w:val="16"/>
          <w:szCs w:val="16"/>
        </w:rPr>
      </w:pPr>
    </w:p>
    <w:p w14:paraId="7FE2052C" w14:textId="77777777" w:rsidR="003D608A" w:rsidRDefault="003D608A" w:rsidP="003D608A">
      <w:pPr>
        <w:pStyle w:val="Heading7"/>
        <w:tabs>
          <w:tab w:val="left" w:pos="709"/>
        </w:tabs>
        <w:ind w:left="0" w:hanging="567"/>
      </w:pPr>
      <w:r>
        <w:t>1.</w:t>
      </w:r>
      <w:r>
        <w:tab/>
        <w:t xml:space="preserve">Bağımsız sınırlı denetim raporuna ilişkin açıklamalar </w:t>
      </w:r>
    </w:p>
    <w:p w14:paraId="1CED67B1" w14:textId="77777777" w:rsidR="003D608A" w:rsidRDefault="003D608A" w:rsidP="003D608A">
      <w:pPr>
        <w:pStyle w:val="BodyTextIndent"/>
        <w:autoSpaceDE/>
        <w:adjustRightInd/>
        <w:jc w:val="left"/>
        <w:rPr>
          <w:sz w:val="16"/>
          <w:szCs w:val="16"/>
        </w:rPr>
      </w:pPr>
    </w:p>
    <w:p w14:paraId="5AAFAAC5" w14:textId="23B3ADE1" w:rsidR="003D608A" w:rsidRDefault="003D608A" w:rsidP="003D608A">
      <w:pPr>
        <w:pStyle w:val="BodyText2"/>
        <w:ind w:firstLine="0"/>
        <w:rPr>
          <w:sz w:val="20"/>
        </w:rPr>
      </w:pPr>
      <w:r>
        <w:rPr>
          <w:sz w:val="20"/>
        </w:rPr>
        <w:t xml:space="preserve">Banka’nın kamuya açıklanan konsolide olmayan finansal tablo ve dipnotları Güney Bağımsız Denetim ve Serbest Muhasebeci Mali Müşavirlik A.Ş. (A </w:t>
      </w:r>
      <w:proofErr w:type="spellStart"/>
      <w:r>
        <w:rPr>
          <w:sz w:val="20"/>
        </w:rPr>
        <w:t>Member</w:t>
      </w:r>
      <w:proofErr w:type="spellEnd"/>
      <w:r>
        <w:rPr>
          <w:sz w:val="20"/>
        </w:rPr>
        <w:t xml:space="preserve"> </w:t>
      </w:r>
      <w:proofErr w:type="spellStart"/>
      <w:r>
        <w:rPr>
          <w:sz w:val="20"/>
        </w:rPr>
        <w:t>Firm</w:t>
      </w:r>
      <w:proofErr w:type="spellEnd"/>
      <w:r>
        <w:rPr>
          <w:sz w:val="20"/>
        </w:rPr>
        <w:t xml:space="preserve"> of Ernst &amp; </w:t>
      </w:r>
      <w:proofErr w:type="spellStart"/>
      <w:r>
        <w:rPr>
          <w:sz w:val="20"/>
        </w:rPr>
        <w:t>Young</w:t>
      </w:r>
      <w:proofErr w:type="spellEnd"/>
      <w:r>
        <w:rPr>
          <w:sz w:val="20"/>
        </w:rPr>
        <w:t xml:space="preserve"> Global Limited) tarafından bağımsız sınırlı denetime tabi tutulmuş olup, </w:t>
      </w:r>
      <w:r w:rsidR="0065280C">
        <w:rPr>
          <w:sz w:val="20"/>
        </w:rPr>
        <w:t>10</w:t>
      </w:r>
      <w:r>
        <w:rPr>
          <w:sz w:val="20"/>
        </w:rPr>
        <w:t xml:space="preserve"> Kasım 2020 tarihli bağımsız sınırlı denetim raporu konsolide olmayan finansal tabloların önünde sunulmuştur.</w:t>
      </w:r>
    </w:p>
    <w:p w14:paraId="20372D9F" w14:textId="77777777" w:rsidR="003D608A" w:rsidRDefault="003D608A" w:rsidP="003D608A">
      <w:pPr>
        <w:pStyle w:val="BodyTextIndent"/>
        <w:autoSpaceDE/>
        <w:adjustRightInd/>
        <w:ind w:left="0" w:firstLine="0"/>
        <w:jc w:val="left"/>
        <w:rPr>
          <w:sz w:val="16"/>
          <w:szCs w:val="16"/>
        </w:rPr>
      </w:pPr>
    </w:p>
    <w:p w14:paraId="7FDDEF5F" w14:textId="77777777" w:rsidR="003D608A" w:rsidRDefault="003D608A" w:rsidP="00B843E3">
      <w:pPr>
        <w:pStyle w:val="Heading7"/>
        <w:tabs>
          <w:tab w:val="left" w:pos="709"/>
        </w:tabs>
        <w:ind w:left="0" w:hanging="567"/>
      </w:pPr>
      <w:r>
        <w:t>2.</w:t>
      </w:r>
      <w:r>
        <w:tab/>
        <w:t xml:space="preserve">Bağımsız denetçi tarafından hazırlanan açıklama ve </w:t>
      </w:r>
      <w:proofErr w:type="gramStart"/>
      <w:r>
        <w:t>dipnotlar :</w:t>
      </w:r>
      <w:proofErr w:type="gramEnd"/>
      <w:r>
        <w:t xml:space="preserve"> </w:t>
      </w:r>
      <w:r>
        <w:rPr>
          <w:b w:val="0"/>
        </w:rPr>
        <w:t>Yoktur.</w:t>
      </w:r>
    </w:p>
    <w:p w14:paraId="0EC4697D" w14:textId="0470C09D" w:rsidR="007D404C" w:rsidRPr="00270CE6" w:rsidRDefault="007D404C" w:rsidP="003D608A">
      <w:pPr>
        <w:autoSpaceDE w:val="0"/>
        <w:autoSpaceDN w:val="0"/>
        <w:jc w:val="center"/>
        <w:rPr>
          <w:highlight w:val="yellow"/>
        </w:rPr>
      </w:pPr>
    </w:p>
    <w:p w14:paraId="20798052" w14:textId="703C89ED" w:rsidR="006B2581" w:rsidRPr="00270CE6" w:rsidRDefault="006B2581" w:rsidP="000F096F">
      <w:pPr>
        <w:autoSpaceDE w:val="0"/>
        <w:autoSpaceDN w:val="0"/>
        <w:adjustRightInd w:val="0"/>
        <w:ind w:left="-540"/>
        <w:rPr>
          <w:highlight w:val="yellow"/>
        </w:rPr>
      </w:pPr>
    </w:p>
    <w:p w14:paraId="5D843584" w14:textId="340602DD" w:rsidR="006B2581" w:rsidRPr="001D3A4D" w:rsidRDefault="006B2581" w:rsidP="000F096F">
      <w:pPr>
        <w:autoSpaceDE w:val="0"/>
        <w:autoSpaceDN w:val="0"/>
        <w:adjustRightInd w:val="0"/>
        <w:ind w:left="-540"/>
      </w:pPr>
    </w:p>
    <w:p w14:paraId="11118678" w14:textId="3F52299A" w:rsidR="006B2581" w:rsidRPr="001D3A4D" w:rsidRDefault="006B2581" w:rsidP="006B2581">
      <w:pPr>
        <w:tabs>
          <w:tab w:val="left" w:pos="3863"/>
        </w:tabs>
        <w:rPr>
          <w:b/>
          <w:sz w:val="22"/>
          <w:szCs w:val="22"/>
        </w:rPr>
      </w:pPr>
      <w:r w:rsidRPr="001D3A4D">
        <w:rPr>
          <w:b/>
          <w:sz w:val="22"/>
          <w:szCs w:val="22"/>
        </w:rPr>
        <w:t xml:space="preserve">                                                               SEKİZİNCİ BÖLÜM</w:t>
      </w:r>
    </w:p>
    <w:p w14:paraId="68605859" w14:textId="77777777" w:rsidR="006B2581" w:rsidRPr="001D3A4D" w:rsidRDefault="006B2581" w:rsidP="006B2581">
      <w:pPr>
        <w:tabs>
          <w:tab w:val="left" w:pos="3863"/>
        </w:tabs>
        <w:jc w:val="center"/>
        <w:rPr>
          <w:b/>
          <w:sz w:val="16"/>
          <w:szCs w:val="16"/>
        </w:rPr>
      </w:pPr>
    </w:p>
    <w:p w14:paraId="532A355C" w14:textId="77777777" w:rsidR="006B2581" w:rsidRPr="001D3A4D" w:rsidRDefault="006B2581" w:rsidP="006B2581">
      <w:pPr>
        <w:jc w:val="center"/>
        <w:rPr>
          <w:b/>
          <w:sz w:val="22"/>
          <w:szCs w:val="22"/>
        </w:rPr>
      </w:pPr>
      <w:r w:rsidRPr="001D3A4D">
        <w:rPr>
          <w:b/>
          <w:sz w:val="22"/>
          <w:szCs w:val="22"/>
        </w:rPr>
        <w:t>ARA DÖNEM FAALİYET RAPORU</w:t>
      </w:r>
    </w:p>
    <w:p w14:paraId="154DDAE6" w14:textId="77777777" w:rsidR="006B2581" w:rsidRPr="001D3A4D" w:rsidRDefault="006B2581" w:rsidP="006B2581">
      <w:pPr>
        <w:tabs>
          <w:tab w:val="left" w:pos="3863"/>
        </w:tabs>
      </w:pPr>
    </w:p>
    <w:p w14:paraId="66D3602D" w14:textId="77777777" w:rsidR="006B2581" w:rsidRPr="001D3A4D" w:rsidRDefault="006B2581" w:rsidP="006B2581">
      <w:pPr>
        <w:tabs>
          <w:tab w:val="left" w:pos="709"/>
        </w:tabs>
        <w:ind w:hanging="567"/>
        <w:jc w:val="both"/>
      </w:pPr>
      <w:r w:rsidRPr="001D3A4D">
        <w:rPr>
          <w:rFonts w:ascii="TimesNewRomanPS-BoldMT" w:hAnsi="TimesNewRomanPS-BoldMT"/>
          <w:b/>
          <w:bCs/>
          <w:color w:val="000000"/>
        </w:rPr>
        <w:t>1.</w:t>
      </w:r>
      <w:r w:rsidRPr="001D3A4D">
        <w:rPr>
          <w:rFonts w:ascii="TimesNewRomanPS-BoldMT" w:hAnsi="TimesNewRomanPS-BoldMT"/>
          <w:b/>
          <w:bCs/>
          <w:color w:val="000000"/>
        </w:rPr>
        <w:tab/>
        <w:t>Banka yönetim kurulu başkanı ve genel müdürünün ara dönem faaliyetlerine ilişkin değerlendirmelerini içerecek ara dönem faaliyet raporu</w:t>
      </w:r>
    </w:p>
    <w:p w14:paraId="561D8825" w14:textId="77777777" w:rsidR="006B2581" w:rsidRPr="001D3A4D" w:rsidRDefault="006B2581" w:rsidP="006B2581">
      <w:pPr>
        <w:tabs>
          <w:tab w:val="left" w:pos="709"/>
        </w:tabs>
        <w:ind w:left="1080"/>
        <w:rPr>
          <w:rFonts w:ascii="TimesNewRomanPS-BoldMT" w:hAnsi="TimesNewRomanPS-BoldMT"/>
          <w:b/>
          <w:bCs/>
          <w:color w:val="000000"/>
          <w:sz w:val="16"/>
          <w:szCs w:val="16"/>
        </w:rPr>
      </w:pPr>
    </w:p>
    <w:p w14:paraId="45FCDF90" w14:textId="77777777" w:rsidR="006B2581" w:rsidRPr="001D3A4D" w:rsidRDefault="006B2581" w:rsidP="006B2581">
      <w:pPr>
        <w:pStyle w:val="BodyText"/>
        <w:autoSpaceDE/>
        <w:autoSpaceDN/>
        <w:adjustRightInd/>
        <w:ind w:hanging="567"/>
        <w:rPr>
          <w:b/>
        </w:rPr>
      </w:pPr>
      <w:r w:rsidRPr="001D3A4D">
        <w:rPr>
          <w:b/>
        </w:rPr>
        <w:t>1.1</w:t>
      </w:r>
      <w:r w:rsidRPr="001D3A4D">
        <w:rPr>
          <w:b/>
        </w:rPr>
        <w:tab/>
        <w:t>Kısaca Kuveyt Türk</w:t>
      </w:r>
    </w:p>
    <w:p w14:paraId="11197547" w14:textId="77777777" w:rsidR="006B2581" w:rsidRPr="001D3A4D" w:rsidRDefault="006B2581" w:rsidP="006B2581">
      <w:pPr>
        <w:pStyle w:val="BodyText"/>
        <w:rPr>
          <w:sz w:val="16"/>
          <w:szCs w:val="16"/>
        </w:rPr>
      </w:pPr>
    </w:p>
    <w:p w14:paraId="18B4CFBB" w14:textId="77777777" w:rsidR="006B2581" w:rsidRPr="001D3A4D" w:rsidRDefault="006B2581" w:rsidP="006B2581">
      <w:pPr>
        <w:pStyle w:val="BodyText"/>
      </w:pPr>
      <w:r w:rsidRPr="001D3A4D">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6B91EF7B" w14:textId="77777777" w:rsidR="006B2581" w:rsidRPr="001D3A4D" w:rsidRDefault="006B2581" w:rsidP="006B2581">
      <w:pPr>
        <w:pStyle w:val="BodyText"/>
        <w:rPr>
          <w:sz w:val="16"/>
          <w:szCs w:val="16"/>
        </w:rPr>
      </w:pPr>
    </w:p>
    <w:p w14:paraId="277EA816" w14:textId="41030DB0" w:rsidR="001D3A4D" w:rsidRPr="001D3A4D" w:rsidRDefault="001D3A4D" w:rsidP="00B843E3">
      <w:pPr>
        <w:autoSpaceDE w:val="0"/>
        <w:autoSpaceDN w:val="0"/>
        <w:jc w:val="both"/>
        <w:rPr>
          <w:lang w:eastAsia="x-none"/>
        </w:rPr>
      </w:pPr>
      <w:r w:rsidRPr="001D3A4D">
        <w:rPr>
          <w:lang w:eastAsia="x-none"/>
        </w:rPr>
        <w:t xml:space="preserve">Banka hisselerinin </w:t>
      </w:r>
      <w:proofErr w:type="gramStart"/>
      <w:r w:rsidRPr="001D3A4D">
        <w:rPr>
          <w:lang w:eastAsia="x-none"/>
        </w:rPr>
        <w:t>%62.24</w:t>
      </w:r>
      <w:proofErr w:type="gramEnd"/>
      <w:r w:rsidRPr="001D3A4D">
        <w:rPr>
          <w:lang w:eastAsia="x-none"/>
        </w:rPr>
        <w:t xml:space="preserve">’ü Kuveyt’te mukim Kuwait Finance House’a, %18.72’si Vakıflar Genel Müdürlüğü Mazbut </w:t>
      </w:r>
      <w:proofErr w:type="spellStart"/>
      <w:r w:rsidRPr="001D3A4D">
        <w:rPr>
          <w:lang w:eastAsia="x-none"/>
        </w:rPr>
        <w:t>Vakıfları’na</w:t>
      </w:r>
      <w:proofErr w:type="spellEnd"/>
      <w:r w:rsidRPr="001D3A4D">
        <w:rPr>
          <w:lang w:eastAsia="x-none"/>
        </w:rPr>
        <w:t xml:space="preserve">, %9.00’u Kuveyt’te mukim </w:t>
      </w:r>
      <w:proofErr w:type="spellStart"/>
      <w:r w:rsidRPr="001D3A4D">
        <w:rPr>
          <w:lang w:eastAsia="x-none"/>
        </w:rPr>
        <w:t>Wafra</w:t>
      </w:r>
      <w:proofErr w:type="spellEnd"/>
      <w:r w:rsidRPr="001D3A4D">
        <w:rPr>
          <w:lang w:eastAsia="x-none"/>
        </w:rPr>
        <w:t xml:space="preserve"> International </w:t>
      </w:r>
      <w:proofErr w:type="spellStart"/>
      <w:r w:rsidRPr="001D3A4D">
        <w:rPr>
          <w:lang w:eastAsia="x-none"/>
        </w:rPr>
        <w:t>Investment</w:t>
      </w:r>
      <w:proofErr w:type="spellEnd"/>
      <w:r w:rsidRPr="001D3A4D">
        <w:rPr>
          <w:lang w:eastAsia="x-none"/>
        </w:rPr>
        <w:t xml:space="preserve"> </w:t>
      </w:r>
      <w:proofErr w:type="spellStart"/>
      <w:r w:rsidRPr="001D3A4D">
        <w:rPr>
          <w:lang w:eastAsia="x-none"/>
        </w:rPr>
        <w:t>Company’ye</w:t>
      </w:r>
      <w:proofErr w:type="spellEnd"/>
      <w:r w:rsidRPr="001D3A4D">
        <w:rPr>
          <w:lang w:eastAsia="x-none"/>
        </w:rPr>
        <w:t xml:space="preserve"> ve %9.00’u </w:t>
      </w:r>
      <w:proofErr w:type="spellStart"/>
      <w:r w:rsidRPr="001D3A4D">
        <w:rPr>
          <w:lang w:eastAsia="x-none"/>
        </w:rPr>
        <w:t>Islamic</w:t>
      </w:r>
      <w:proofErr w:type="spellEnd"/>
      <w:r w:rsidRPr="001D3A4D">
        <w:rPr>
          <w:lang w:eastAsia="x-none"/>
        </w:rPr>
        <w:t xml:space="preserve"> Development Bank’a ait olup geriye kalan %1.04 oranındaki hisseler diğer gerçek ve tüzel kişilere aittir.</w:t>
      </w:r>
    </w:p>
    <w:p w14:paraId="1F8EA5E9" w14:textId="77777777" w:rsidR="006B2581" w:rsidRPr="001D3A4D" w:rsidRDefault="006B2581" w:rsidP="006B2581">
      <w:pPr>
        <w:pStyle w:val="BodyText"/>
      </w:pPr>
    </w:p>
    <w:p w14:paraId="3E7F99D6" w14:textId="77777777" w:rsidR="006B2581" w:rsidRPr="001D3A4D" w:rsidRDefault="006B2581" w:rsidP="006B2581">
      <w:pPr>
        <w:pStyle w:val="BodyText"/>
      </w:pPr>
    </w:p>
    <w:p w14:paraId="403D7771" w14:textId="77777777" w:rsidR="006B2581" w:rsidRPr="001D3A4D" w:rsidRDefault="006B2581" w:rsidP="006B2581">
      <w:pPr>
        <w:pStyle w:val="BodyText"/>
      </w:pPr>
    </w:p>
    <w:p w14:paraId="111BF595" w14:textId="77777777" w:rsidR="006B2581" w:rsidRPr="00270CE6" w:rsidRDefault="006B2581" w:rsidP="006B2581">
      <w:pPr>
        <w:pStyle w:val="BodyText"/>
        <w:rPr>
          <w:highlight w:val="yellow"/>
        </w:rPr>
      </w:pPr>
    </w:p>
    <w:p w14:paraId="78A90C33" w14:textId="77777777" w:rsidR="006B2581" w:rsidRPr="00270CE6" w:rsidRDefault="006B2581" w:rsidP="006B2581">
      <w:pPr>
        <w:pStyle w:val="BodyText"/>
        <w:rPr>
          <w:highlight w:val="yellow"/>
        </w:rPr>
      </w:pPr>
    </w:p>
    <w:p w14:paraId="0845EDC7" w14:textId="77777777" w:rsidR="006B2581" w:rsidRPr="00270CE6" w:rsidRDefault="006B2581" w:rsidP="006B2581">
      <w:pPr>
        <w:pStyle w:val="BodyText"/>
        <w:rPr>
          <w:highlight w:val="yellow"/>
        </w:rPr>
      </w:pPr>
    </w:p>
    <w:p w14:paraId="7DBF9879" w14:textId="77777777" w:rsidR="006B2581" w:rsidRPr="001D3A4D" w:rsidRDefault="006B2581" w:rsidP="006B2581">
      <w:pPr>
        <w:pStyle w:val="BodyText"/>
        <w:ind w:hanging="567"/>
        <w:rPr>
          <w:b/>
        </w:rPr>
      </w:pPr>
      <w:r w:rsidRPr="00270CE6">
        <w:rPr>
          <w:highlight w:val="yellow"/>
        </w:rPr>
        <w:br w:type="page"/>
      </w:r>
      <w:r w:rsidRPr="001D3A4D">
        <w:rPr>
          <w:b/>
        </w:rPr>
        <w:lastRenderedPageBreak/>
        <w:t>1.2</w:t>
      </w:r>
      <w:r w:rsidRPr="001D3A4D">
        <w:rPr>
          <w:b/>
        </w:rPr>
        <w:tab/>
        <w:t>Özet Finansal Bilgiler:</w:t>
      </w:r>
      <w:r w:rsidRPr="001D3A4D">
        <w:rPr>
          <w:b/>
        </w:rPr>
        <w:tab/>
      </w:r>
    </w:p>
    <w:p w14:paraId="757619BE" w14:textId="724853F6" w:rsidR="00AE66CD" w:rsidRDefault="00AE66CD" w:rsidP="00DE5FD5">
      <w:pPr>
        <w:pStyle w:val="BodyText"/>
        <w:ind w:hanging="567"/>
        <w:rPr>
          <w:lang w:val="en-GB" w:eastAsia="en-GB"/>
        </w:rPr>
      </w:pPr>
    </w:p>
    <w:tbl>
      <w:tblPr>
        <w:tblW w:w="9221" w:type="dxa"/>
        <w:tblCellMar>
          <w:left w:w="70" w:type="dxa"/>
          <w:right w:w="70" w:type="dxa"/>
        </w:tblCellMar>
        <w:tblLook w:val="04A0" w:firstRow="1" w:lastRow="0" w:firstColumn="1" w:lastColumn="0" w:noHBand="0" w:noVBand="1"/>
      </w:tblPr>
      <w:tblGrid>
        <w:gridCol w:w="6453"/>
        <w:gridCol w:w="1417"/>
        <w:gridCol w:w="1351"/>
      </w:tblGrid>
      <w:tr w:rsidR="00AE66CD" w:rsidRPr="00AE66CD" w14:paraId="5F4A8F82" w14:textId="77777777" w:rsidTr="00B843E3">
        <w:trPr>
          <w:divId w:val="546450076"/>
          <w:trHeight w:val="264"/>
        </w:trPr>
        <w:tc>
          <w:tcPr>
            <w:tcW w:w="6453" w:type="dxa"/>
            <w:tcBorders>
              <w:top w:val="single" w:sz="8" w:space="0" w:color="auto"/>
              <w:left w:val="nil"/>
              <w:bottom w:val="single" w:sz="8" w:space="0" w:color="auto"/>
              <w:right w:val="nil"/>
            </w:tcBorders>
            <w:shd w:val="clear" w:color="auto" w:fill="auto"/>
            <w:noWrap/>
            <w:vAlign w:val="center"/>
            <w:hideMark/>
          </w:tcPr>
          <w:p w14:paraId="314B65C1" w14:textId="15E46151" w:rsidR="00AE66CD" w:rsidRPr="00AE66CD" w:rsidRDefault="00AE66CD" w:rsidP="00AE66CD">
            <w:pPr>
              <w:rPr>
                <w:b/>
                <w:bCs/>
                <w:color w:val="000000"/>
                <w:sz w:val="16"/>
                <w:szCs w:val="16"/>
                <w:lang w:eastAsia="tr-TR"/>
              </w:rPr>
            </w:pPr>
            <w:r w:rsidRPr="00AE66CD">
              <w:rPr>
                <w:b/>
                <w:bCs/>
                <w:color w:val="000000"/>
                <w:sz w:val="16"/>
                <w:szCs w:val="16"/>
                <w:lang w:eastAsia="tr-TR"/>
              </w:rPr>
              <w:t>KONSOLİDE OLMAYAN BİLANÇO (SEÇİLMİŞ KALEMLER)</w:t>
            </w:r>
          </w:p>
        </w:tc>
        <w:tc>
          <w:tcPr>
            <w:tcW w:w="1417" w:type="dxa"/>
            <w:tcBorders>
              <w:top w:val="single" w:sz="8" w:space="0" w:color="auto"/>
              <w:left w:val="nil"/>
              <w:bottom w:val="single" w:sz="8" w:space="0" w:color="auto"/>
              <w:right w:val="nil"/>
            </w:tcBorders>
            <w:shd w:val="clear" w:color="auto" w:fill="auto"/>
            <w:vAlign w:val="center"/>
            <w:hideMark/>
          </w:tcPr>
          <w:p w14:paraId="348B6B44" w14:textId="77777777" w:rsidR="00AE66CD" w:rsidRPr="00AE66CD" w:rsidRDefault="00AE66CD" w:rsidP="00AE66CD">
            <w:pPr>
              <w:jc w:val="right"/>
              <w:rPr>
                <w:b/>
                <w:bCs/>
                <w:color w:val="000000"/>
                <w:sz w:val="18"/>
                <w:szCs w:val="16"/>
                <w:lang w:eastAsia="tr-TR"/>
              </w:rPr>
            </w:pPr>
            <w:r w:rsidRPr="00AE66CD">
              <w:rPr>
                <w:b/>
                <w:bCs/>
                <w:color w:val="000000"/>
                <w:sz w:val="18"/>
                <w:szCs w:val="16"/>
                <w:lang w:eastAsia="tr-TR"/>
              </w:rPr>
              <w:t>30.09.2020</w:t>
            </w:r>
          </w:p>
        </w:tc>
        <w:tc>
          <w:tcPr>
            <w:tcW w:w="1351" w:type="dxa"/>
            <w:tcBorders>
              <w:top w:val="single" w:sz="8" w:space="0" w:color="auto"/>
              <w:left w:val="nil"/>
              <w:bottom w:val="single" w:sz="8" w:space="0" w:color="auto"/>
              <w:right w:val="nil"/>
            </w:tcBorders>
            <w:shd w:val="clear" w:color="auto" w:fill="auto"/>
            <w:noWrap/>
            <w:vAlign w:val="center"/>
            <w:hideMark/>
          </w:tcPr>
          <w:p w14:paraId="639ED47C" w14:textId="77777777" w:rsidR="00AE66CD" w:rsidRPr="00AE66CD" w:rsidRDefault="00AE66CD" w:rsidP="00AE66CD">
            <w:pPr>
              <w:jc w:val="right"/>
              <w:rPr>
                <w:b/>
                <w:bCs/>
                <w:color w:val="000000"/>
                <w:sz w:val="18"/>
                <w:szCs w:val="16"/>
                <w:lang w:eastAsia="tr-TR"/>
              </w:rPr>
            </w:pPr>
            <w:r w:rsidRPr="00AE66CD">
              <w:rPr>
                <w:b/>
                <w:bCs/>
                <w:color w:val="000000"/>
                <w:sz w:val="18"/>
                <w:szCs w:val="16"/>
                <w:lang w:eastAsia="tr-TR"/>
              </w:rPr>
              <w:t>31.12.2019</w:t>
            </w:r>
          </w:p>
        </w:tc>
      </w:tr>
      <w:tr w:rsidR="00AE66CD" w:rsidRPr="00AE66CD" w14:paraId="5A36CDFA" w14:textId="77777777" w:rsidTr="00B843E3">
        <w:trPr>
          <w:divId w:val="546450076"/>
          <w:trHeight w:val="251"/>
        </w:trPr>
        <w:tc>
          <w:tcPr>
            <w:tcW w:w="6453" w:type="dxa"/>
            <w:tcBorders>
              <w:top w:val="nil"/>
              <w:left w:val="nil"/>
              <w:bottom w:val="nil"/>
              <w:right w:val="nil"/>
            </w:tcBorders>
            <w:shd w:val="clear" w:color="auto" w:fill="auto"/>
            <w:noWrap/>
            <w:vAlign w:val="bottom"/>
            <w:hideMark/>
          </w:tcPr>
          <w:p w14:paraId="4A704EBC" w14:textId="77777777" w:rsidR="00AE66CD" w:rsidRPr="00AE66CD" w:rsidRDefault="00AE66CD" w:rsidP="00AE66CD">
            <w:pPr>
              <w:jc w:val="right"/>
              <w:rPr>
                <w:b/>
                <w:bCs/>
                <w:color w:val="000000"/>
                <w:sz w:val="16"/>
                <w:szCs w:val="16"/>
                <w:lang w:eastAsia="tr-TR"/>
              </w:rPr>
            </w:pPr>
          </w:p>
        </w:tc>
        <w:tc>
          <w:tcPr>
            <w:tcW w:w="1417" w:type="dxa"/>
            <w:tcBorders>
              <w:top w:val="nil"/>
              <w:left w:val="nil"/>
              <w:bottom w:val="nil"/>
              <w:right w:val="nil"/>
            </w:tcBorders>
            <w:shd w:val="clear" w:color="auto" w:fill="auto"/>
            <w:noWrap/>
            <w:vAlign w:val="bottom"/>
            <w:hideMark/>
          </w:tcPr>
          <w:p w14:paraId="51895A56" w14:textId="77777777" w:rsidR="00AE66CD" w:rsidRPr="00AE66CD" w:rsidRDefault="00AE66CD" w:rsidP="00AE66CD">
            <w:pPr>
              <w:rPr>
                <w:lang w:eastAsia="tr-TR"/>
              </w:rPr>
            </w:pPr>
          </w:p>
        </w:tc>
        <w:tc>
          <w:tcPr>
            <w:tcW w:w="1351" w:type="dxa"/>
            <w:tcBorders>
              <w:top w:val="nil"/>
              <w:left w:val="nil"/>
              <w:bottom w:val="nil"/>
              <w:right w:val="nil"/>
            </w:tcBorders>
            <w:shd w:val="clear" w:color="auto" w:fill="auto"/>
            <w:noWrap/>
            <w:vAlign w:val="bottom"/>
            <w:hideMark/>
          </w:tcPr>
          <w:p w14:paraId="1D5B7F7E" w14:textId="77777777" w:rsidR="00AE66CD" w:rsidRPr="00AE66CD" w:rsidRDefault="00AE66CD" w:rsidP="00AE66CD">
            <w:pPr>
              <w:rPr>
                <w:lang w:eastAsia="tr-TR"/>
              </w:rPr>
            </w:pPr>
          </w:p>
        </w:tc>
      </w:tr>
      <w:tr w:rsidR="00AE66CD" w:rsidRPr="00AE66CD" w14:paraId="755673F4"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0388DB6C" w14:textId="77777777" w:rsidR="00AE66CD" w:rsidRPr="00AE66CD" w:rsidRDefault="00AE66CD" w:rsidP="00AE66CD">
            <w:pPr>
              <w:rPr>
                <w:color w:val="000000"/>
                <w:sz w:val="16"/>
                <w:szCs w:val="16"/>
                <w:lang w:eastAsia="tr-TR"/>
              </w:rPr>
            </w:pPr>
            <w:r w:rsidRPr="00AE66CD">
              <w:rPr>
                <w:color w:val="000000"/>
                <w:sz w:val="16"/>
                <w:szCs w:val="16"/>
                <w:lang w:eastAsia="tr-TR"/>
              </w:rPr>
              <w:t>NAKİT DEĞERLER VE MERKEZ BANKASI</w:t>
            </w:r>
          </w:p>
        </w:tc>
        <w:tc>
          <w:tcPr>
            <w:tcW w:w="1417" w:type="dxa"/>
            <w:tcBorders>
              <w:top w:val="nil"/>
              <w:left w:val="nil"/>
              <w:bottom w:val="nil"/>
              <w:right w:val="nil"/>
            </w:tcBorders>
            <w:shd w:val="clear" w:color="auto" w:fill="auto"/>
            <w:vAlign w:val="center"/>
            <w:hideMark/>
          </w:tcPr>
          <w:p w14:paraId="34566B6B" w14:textId="77777777" w:rsidR="00AE66CD" w:rsidRPr="00AE66CD" w:rsidRDefault="00AE66CD" w:rsidP="00AE66CD">
            <w:pPr>
              <w:jc w:val="right"/>
              <w:rPr>
                <w:sz w:val="18"/>
                <w:szCs w:val="18"/>
                <w:lang w:eastAsia="tr-TR"/>
              </w:rPr>
            </w:pPr>
            <w:r w:rsidRPr="00AE66CD">
              <w:rPr>
                <w:sz w:val="18"/>
                <w:szCs w:val="18"/>
                <w:lang w:eastAsia="tr-TR"/>
              </w:rPr>
              <w:t>21,820,674</w:t>
            </w:r>
          </w:p>
        </w:tc>
        <w:tc>
          <w:tcPr>
            <w:tcW w:w="1351" w:type="dxa"/>
            <w:tcBorders>
              <w:top w:val="nil"/>
              <w:left w:val="nil"/>
              <w:bottom w:val="nil"/>
              <w:right w:val="nil"/>
            </w:tcBorders>
            <w:shd w:val="clear" w:color="auto" w:fill="auto"/>
            <w:vAlign w:val="center"/>
            <w:hideMark/>
          </w:tcPr>
          <w:p w14:paraId="7263AFA6" w14:textId="77777777" w:rsidR="00AE66CD" w:rsidRPr="00AE66CD" w:rsidRDefault="00AE66CD" w:rsidP="00AE66CD">
            <w:pPr>
              <w:jc w:val="right"/>
              <w:rPr>
                <w:sz w:val="18"/>
                <w:szCs w:val="18"/>
                <w:lang w:eastAsia="tr-TR"/>
              </w:rPr>
            </w:pPr>
            <w:r w:rsidRPr="00AE66CD">
              <w:rPr>
                <w:sz w:val="18"/>
                <w:szCs w:val="18"/>
                <w:lang w:eastAsia="tr-TR"/>
              </w:rPr>
              <w:t>18,893,086</w:t>
            </w:r>
          </w:p>
        </w:tc>
      </w:tr>
      <w:tr w:rsidR="00AE66CD" w:rsidRPr="00AE66CD" w14:paraId="2EF9B024" w14:textId="77777777" w:rsidTr="00B843E3">
        <w:trPr>
          <w:divId w:val="546450076"/>
          <w:trHeight w:val="251"/>
        </w:trPr>
        <w:tc>
          <w:tcPr>
            <w:tcW w:w="6453" w:type="dxa"/>
            <w:tcBorders>
              <w:top w:val="nil"/>
              <w:left w:val="nil"/>
              <w:bottom w:val="nil"/>
              <w:right w:val="nil"/>
            </w:tcBorders>
            <w:shd w:val="clear" w:color="auto" w:fill="auto"/>
            <w:vAlign w:val="center"/>
            <w:hideMark/>
          </w:tcPr>
          <w:p w14:paraId="10AB5333" w14:textId="77777777" w:rsidR="00AE66CD" w:rsidRPr="00AE66CD" w:rsidRDefault="00AE66CD" w:rsidP="00AE66CD">
            <w:pPr>
              <w:rPr>
                <w:color w:val="000000"/>
                <w:sz w:val="16"/>
                <w:szCs w:val="16"/>
                <w:lang w:eastAsia="tr-TR"/>
              </w:rPr>
            </w:pPr>
            <w:r w:rsidRPr="00AE66CD">
              <w:rPr>
                <w:color w:val="000000"/>
                <w:sz w:val="16"/>
                <w:szCs w:val="16"/>
                <w:lang w:eastAsia="tr-TR"/>
              </w:rPr>
              <w:t>BANKALAR</w:t>
            </w:r>
          </w:p>
        </w:tc>
        <w:tc>
          <w:tcPr>
            <w:tcW w:w="1417" w:type="dxa"/>
            <w:tcBorders>
              <w:top w:val="nil"/>
              <w:left w:val="nil"/>
              <w:bottom w:val="nil"/>
              <w:right w:val="nil"/>
            </w:tcBorders>
            <w:shd w:val="clear" w:color="auto" w:fill="auto"/>
            <w:vAlign w:val="center"/>
            <w:hideMark/>
          </w:tcPr>
          <w:p w14:paraId="17A3933D" w14:textId="77777777" w:rsidR="00AE66CD" w:rsidRPr="00AE66CD" w:rsidRDefault="00AE66CD" w:rsidP="00AE66CD">
            <w:pPr>
              <w:jc w:val="right"/>
              <w:rPr>
                <w:sz w:val="18"/>
                <w:szCs w:val="18"/>
                <w:lang w:eastAsia="tr-TR"/>
              </w:rPr>
            </w:pPr>
            <w:r w:rsidRPr="00AE66CD">
              <w:rPr>
                <w:sz w:val="18"/>
                <w:szCs w:val="18"/>
                <w:lang w:eastAsia="tr-TR"/>
              </w:rPr>
              <w:t>4,147,141</w:t>
            </w:r>
          </w:p>
        </w:tc>
        <w:tc>
          <w:tcPr>
            <w:tcW w:w="1351" w:type="dxa"/>
            <w:tcBorders>
              <w:top w:val="nil"/>
              <w:left w:val="nil"/>
              <w:bottom w:val="nil"/>
              <w:right w:val="nil"/>
            </w:tcBorders>
            <w:shd w:val="clear" w:color="auto" w:fill="auto"/>
            <w:vAlign w:val="center"/>
            <w:hideMark/>
          </w:tcPr>
          <w:p w14:paraId="7954381D" w14:textId="77777777" w:rsidR="00AE66CD" w:rsidRPr="00AE66CD" w:rsidRDefault="00AE66CD" w:rsidP="00AE66CD">
            <w:pPr>
              <w:jc w:val="right"/>
              <w:rPr>
                <w:sz w:val="18"/>
                <w:szCs w:val="18"/>
                <w:lang w:eastAsia="tr-TR"/>
              </w:rPr>
            </w:pPr>
            <w:r w:rsidRPr="00AE66CD">
              <w:rPr>
                <w:sz w:val="18"/>
                <w:szCs w:val="18"/>
                <w:lang w:eastAsia="tr-TR"/>
              </w:rPr>
              <w:t>6,990,830</w:t>
            </w:r>
          </w:p>
        </w:tc>
      </w:tr>
      <w:tr w:rsidR="00AE66CD" w:rsidRPr="00AE66CD" w14:paraId="6CAF393F" w14:textId="77777777" w:rsidTr="00B843E3">
        <w:trPr>
          <w:divId w:val="546450076"/>
          <w:trHeight w:val="251"/>
        </w:trPr>
        <w:tc>
          <w:tcPr>
            <w:tcW w:w="6453" w:type="dxa"/>
            <w:tcBorders>
              <w:top w:val="nil"/>
              <w:left w:val="nil"/>
              <w:bottom w:val="nil"/>
              <w:right w:val="nil"/>
            </w:tcBorders>
            <w:shd w:val="clear" w:color="auto" w:fill="auto"/>
            <w:vAlign w:val="center"/>
            <w:hideMark/>
          </w:tcPr>
          <w:p w14:paraId="3BE71571" w14:textId="77777777" w:rsidR="00AE66CD" w:rsidRPr="00AE66CD" w:rsidRDefault="00AE66CD" w:rsidP="00AE66CD">
            <w:pPr>
              <w:rPr>
                <w:color w:val="000000"/>
                <w:sz w:val="16"/>
                <w:szCs w:val="16"/>
                <w:lang w:eastAsia="tr-TR"/>
              </w:rPr>
            </w:pPr>
            <w:r w:rsidRPr="00AE66CD">
              <w:rPr>
                <w:color w:val="000000"/>
                <w:sz w:val="16"/>
                <w:szCs w:val="16"/>
                <w:lang w:eastAsia="tr-TR"/>
              </w:rPr>
              <w:t>MENKUL DEĞERLER</w:t>
            </w:r>
          </w:p>
        </w:tc>
        <w:tc>
          <w:tcPr>
            <w:tcW w:w="1417" w:type="dxa"/>
            <w:tcBorders>
              <w:top w:val="nil"/>
              <w:left w:val="nil"/>
              <w:bottom w:val="nil"/>
              <w:right w:val="nil"/>
            </w:tcBorders>
            <w:shd w:val="clear" w:color="auto" w:fill="auto"/>
            <w:vAlign w:val="center"/>
            <w:hideMark/>
          </w:tcPr>
          <w:p w14:paraId="2B2E6B04" w14:textId="77777777" w:rsidR="00AE66CD" w:rsidRPr="00AE66CD" w:rsidRDefault="00AE66CD" w:rsidP="00AE66CD">
            <w:pPr>
              <w:jc w:val="right"/>
              <w:rPr>
                <w:sz w:val="18"/>
                <w:szCs w:val="18"/>
                <w:lang w:eastAsia="tr-TR"/>
              </w:rPr>
            </w:pPr>
            <w:r w:rsidRPr="00AE66CD">
              <w:rPr>
                <w:sz w:val="18"/>
                <w:szCs w:val="18"/>
                <w:lang w:eastAsia="tr-TR"/>
              </w:rPr>
              <w:t>46,617,754</w:t>
            </w:r>
          </w:p>
        </w:tc>
        <w:tc>
          <w:tcPr>
            <w:tcW w:w="1351" w:type="dxa"/>
            <w:tcBorders>
              <w:top w:val="nil"/>
              <w:left w:val="nil"/>
              <w:bottom w:val="nil"/>
              <w:right w:val="nil"/>
            </w:tcBorders>
            <w:shd w:val="clear" w:color="auto" w:fill="auto"/>
            <w:vAlign w:val="center"/>
            <w:hideMark/>
          </w:tcPr>
          <w:p w14:paraId="2ECC3F90" w14:textId="77777777" w:rsidR="00AE66CD" w:rsidRPr="00AE66CD" w:rsidRDefault="00AE66CD" w:rsidP="00AE66CD">
            <w:pPr>
              <w:jc w:val="right"/>
              <w:rPr>
                <w:sz w:val="18"/>
                <w:szCs w:val="18"/>
                <w:lang w:eastAsia="tr-TR"/>
              </w:rPr>
            </w:pPr>
            <w:r w:rsidRPr="00AE66CD">
              <w:rPr>
                <w:sz w:val="18"/>
                <w:szCs w:val="18"/>
                <w:lang w:eastAsia="tr-TR"/>
              </w:rPr>
              <w:t>19,273,123</w:t>
            </w:r>
          </w:p>
        </w:tc>
      </w:tr>
      <w:tr w:rsidR="00AE66CD" w:rsidRPr="00AE66CD" w14:paraId="71564BDE"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19342019" w14:textId="77777777" w:rsidR="00AE66CD" w:rsidRPr="00AE66CD" w:rsidRDefault="00AE66CD" w:rsidP="00AE66CD">
            <w:pPr>
              <w:rPr>
                <w:color w:val="000000"/>
                <w:sz w:val="16"/>
                <w:szCs w:val="16"/>
                <w:lang w:eastAsia="tr-TR"/>
              </w:rPr>
            </w:pPr>
            <w:r w:rsidRPr="00AE66CD">
              <w:rPr>
                <w:color w:val="000000"/>
                <w:sz w:val="16"/>
                <w:szCs w:val="16"/>
                <w:lang w:eastAsia="tr-TR"/>
              </w:rPr>
              <w:t>KREDİLER VE ALACAKLAR</w:t>
            </w:r>
          </w:p>
        </w:tc>
        <w:tc>
          <w:tcPr>
            <w:tcW w:w="1417" w:type="dxa"/>
            <w:tcBorders>
              <w:top w:val="nil"/>
              <w:left w:val="nil"/>
              <w:bottom w:val="nil"/>
              <w:right w:val="nil"/>
            </w:tcBorders>
            <w:shd w:val="clear" w:color="auto" w:fill="auto"/>
            <w:vAlign w:val="center"/>
            <w:hideMark/>
          </w:tcPr>
          <w:p w14:paraId="7FC01C72" w14:textId="77777777" w:rsidR="00AE66CD" w:rsidRPr="00AE66CD" w:rsidRDefault="00AE66CD" w:rsidP="00AE66CD">
            <w:pPr>
              <w:jc w:val="right"/>
              <w:rPr>
                <w:sz w:val="18"/>
                <w:szCs w:val="18"/>
                <w:lang w:eastAsia="tr-TR"/>
              </w:rPr>
            </w:pPr>
            <w:r w:rsidRPr="00AE66CD">
              <w:rPr>
                <w:sz w:val="18"/>
                <w:szCs w:val="18"/>
                <w:lang w:eastAsia="tr-TR"/>
              </w:rPr>
              <w:t>74,049,025</w:t>
            </w:r>
          </w:p>
        </w:tc>
        <w:tc>
          <w:tcPr>
            <w:tcW w:w="1351" w:type="dxa"/>
            <w:tcBorders>
              <w:top w:val="nil"/>
              <w:left w:val="nil"/>
              <w:bottom w:val="nil"/>
              <w:right w:val="nil"/>
            </w:tcBorders>
            <w:shd w:val="clear" w:color="auto" w:fill="auto"/>
            <w:vAlign w:val="center"/>
            <w:hideMark/>
          </w:tcPr>
          <w:p w14:paraId="0810388E" w14:textId="77777777" w:rsidR="00AE66CD" w:rsidRPr="00AE66CD" w:rsidRDefault="00AE66CD" w:rsidP="00AE66CD">
            <w:pPr>
              <w:jc w:val="right"/>
              <w:rPr>
                <w:sz w:val="18"/>
                <w:szCs w:val="18"/>
                <w:lang w:eastAsia="tr-TR"/>
              </w:rPr>
            </w:pPr>
            <w:r w:rsidRPr="00AE66CD">
              <w:rPr>
                <w:sz w:val="18"/>
                <w:szCs w:val="18"/>
                <w:lang w:eastAsia="tr-TR"/>
              </w:rPr>
              <w:t>55,218,449</w:t>
            </w:r>
          </w:p>
        </w:tc>
      </w:tr>
      <w:tr w:rsidR="00AE66CD" w:rsidRPr="00AE66CD" w14:paraId="2D759F45"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16A96AE7" w14:textId="77777777" w:rsidR="00AE66CD" w:rsidRPr="00AE66CD" w:rsidRDefault="00AE66CD" w:rsidP="00AE66CD">
            <w:pPr>
              <w:rPr>
                <w:color w:val="000000"/>
                <w:sz w:val="16"/>
                <w:szCs w:val="16"/>
                <w:lang w:eastAsia="tr-TR"/>
              </w:rPr>
            </w:pPr>
            <w:r w:rsidRPr="00AE66CD">
              <w:rPr>
                <w:color w:val="000000"/>
                <w:sz w:val="16"/>
                <w:szCs w:val="16"/>
                <w:lang w:eastAsia="tr-TR"/>
              </w:rPr>
              <w:t>KİRALAMA İŞLEMLERİNDEN ALACAKLAR (NET)</w:t>
            </w:r>
          </w:p>
        </w:tc>
        <w:tc>
          <w:tcPr>
            <w:tcW w:w="1417" w:type="dxa"/>
            <w:tcBorders>
              <w:top w:val="nil"/>
              <w:left w:val="nil"/>
              <w:bottom w:val="nil"/>
              <w:right w:val="nil"/>
            </w:tcBorders>
            <w:shd w:val="clear" w:color="auto" w:fill="auto"/>
            <w:vAlign w:val="center"/>
            <w:hideMark/>
          </w:tcPr>
          <w:p w14:paraId="7C76DF14" w14:textId="77777777" w:rsidR="00AE66CD" w:rsidRPr="00AE66CD" w:rsidRDefault="00AE66CD" w:rsidP="00AE66CD">
            <w:pPr>
              <w:jc w:val="right"/>
              <w:rPr>
                <w:sz w:val="18"/>
                <w:szCs w:val="18"/>
                <w:lang w:eastAsia="tr-TR"/>
              </w:rPr>
            </w:pPr>
            <w:r w:rsidRPr="00AE66CD">
              <w:rPr>
                <w:sz w:val="18"/>
                <w:szCs w:val="18"/>
                <w:lang w:eastAsia="tr-TR"/>
              </w:rPr>
              <w:t>4,883,689</w:t>
            </w:r>
          </w:p>
        </w:tc>
        <w:tc>
          <w:tcPr>
            <w:tcW w:w="1351" w:type="dxa"/>
            <w:tcBorders>
              <w:top w:val="nil"/>
              <w:left w:val="nil"/>
              <w:bottom w:val="nil"/>
              <w:right w:val="nil"/>
            </w:tcBorders>
            <w:shd w:val="clear" w:color="auto" w:fill="auto"/>
            <w:vAlign w:val="center"/>
            <w:hideMark/>
          </w:tcPr>
          <w:p w14:paraId="7759072F" w14:textId="77777777" w:rsidR="00AE66CD" w:rsidRPr="00AE66CD" w:rsidRDefault="00AE66CD" w:rsidP="00AE66CD">
            <w:pPr>
              <w:jc w:val="right"/>
              <w:rPr>
                <w:sz w:val="18"/>
                <w:szCs w:val="18"/>
                <w:lang w:eastAsia="tr-TR"/>
              </w:rPr>
            </w:pPr>
            <w:r w:rsidRPr="00AE66CD">
              <w:rPr>
                <w:sz w:val="18"/>
                <w:szCs w:val="18"/>
                <w:lang w:eastAsia="tr-TR"/>
              </w:rPr>
              <w:t>2,707,520</w:t>
            </w:r>
          </w:p>
        </w:tc>
      </w:tr>
      <w:tr w:rsidR="00AE66CD" w:rsidRPr="00AE66CD" w14:paraId="3FDBD425"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146BE406" w14:textId="77777777" w:rsidR="00AE66CD" w:rsidRPr="00AE66CD" w:rsidRDefault="00AE66CD" w:rsidP="00AE66CD">
            <w:pPr>
              <w:rPr>
                <w:rFonts w:ascii="Calibri" w:hAnsi="Calibri" w:cs="Calibri"/>
                <w:color w:val="000000"/>
                <w:sz w:val="22"/>
                <w:szCs w:val="22"/>
                <w:lang w:eastAsia="tr-TR"/>
              </w:rPr>
            </w:pPr>
            <w:r w:rsidRPr="00AE66CD">
              <w:rPr>
                <w:color w:val="000000"/>
                <w:sz w:val="16"/>
                <w:szCs w:val="16"/>
                <w:lang w:eastAsia="tr-TR"/>
              </w:rPr>
              <w:t>BEKLENEN ZARAR KARŞILIKLARI (-)</w:t>
            </w:r>
          </w:p>
        </w:tc>
        <w:tc>
          <w:tcPr>
            <w:tcW w:w="1417" w:type="dxa"/>
            <w:tcBorders>
              <w:top w:val="nil"/>
              <w:left w:val="nil"/>
              <w:bottom w:val="nil"/>
              <w:right w:val="nil"/>
            </w:tcBorders>
            <w:shd w:val="clear" w:color="auto" w:fill="auto"/>
            <w:vAlign w:val="center"/>
            <w:hideMark/>
          </w:tcPr>
          <w:p w14:paraId="0A177860" w14:textId="77777777" w:rsidR="00AE66CD" w:rsidRPr="00AE66CD" w:rsidRDefault="00AE66CD" w:rsidP="00AE66CD">
            <w:pPr>
              <w:jc w:val="right"/>
              <w:rPr>
                <w:sz w:val="18"/>
                <w:szCs w:val="18"/>
                <w:lang w:eastAsia="tr-TR"/>
              </w:rPr>
            </w:pPr>
            <w:r w:rsidRPr="00AE66CD">
              <w:rPr>
                <w:sz w:val="18"/>
                <w:szCs w:val="18"/>
                <w:lang w:eastAsia="tr-TR"/>
              </w:rPr>
              <w:t>5,232,744</w:t>
            </w:r>
          </w:p>
        </w:tc>
        <w:tc>
          <w:tcPr>
            <w:tcW w:w="1351" w:type="dxa"/>
            <w:tcBorders>
              <w:top w:val="nil"/>
              <w:left w:val="nil"/>
              <w:bottom w:val="nil"/>
              <w:right w:val="nil"/>
            </w:tcBorders>
            <w:shd w:val="clear" w:color="auto" w:fill="auto"/>
            <w:vAlign w:val="center"/>
            <w:hideMark/>
          </w:tcPr>
          <w:p w14:paraId="4171A536" w14:textId="77777777" w:rsidR="00AE66CD" w:rsidRPr="00AE66CD" w:rsidRDefault="00AE66CD" w:rsidP="00AE66CD">
            <w:pPr>
              <w:jc w:val="right"/>
              <w:rPr>
                <w:sz w:val="18"/>
                <w:szCs w:val="18"/>
                <w:lang w:eastAsia="tr-TR"/>
              </w:rPr>
            </w:pPr>
            <w:r w:rsidRPr="00AE66CD">
              <w:rPr>
                <w:sz w:val="18"/>
                <w:szCs w:val="18"/>
                <w:lang w:eastAsia="tr-TR"/>
              </w:rPr>
              <w:t>3,014,394</w:t>
            </w:r>
          </w:p>
        </w:tc>
      </w:tr>
      <w:tr w:rsidR="00AE66CD" w:rsidRPr="00AE66CD" w14:paraId="4A1A537B"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6F666CE0" w14:textId="77777777" w:rsidR="00AE66CD" w:rsidRPr="00AE66CD" w:rsidRDefault="00AE66CD" w:rsidP="00AE66CD">
            <w:pPr>
              <w:rPr>
                <w:color w:val="000000"/>
                <w:sz w:val="16"/>
                <w:szCs w:val="16"/>
                <w:lang w:eastAsia="tr-TR"/>
              </w:rPr>
            </w:pPr>
            <w:r w:rsidRPr="00AE66CD">
              <w:rPr>
                <w:color w:val="000000"/>
                <w:sz w:val="16"/>
                <w:szCs w:val="16"/>
                <w:lang w:eastAsia="tr-TR"/>
              </w:rPr>
              <w:t>MADDİ DURAN VARLIKLAR (NET)</w:t>
            </w:r>
          </w:p>
        </w:tc>
        <w:tc>
          <w:tcPr>
            <w:tcW w:w="1417" w:type="dxa"/>
            <w:tcBorders>
              <w:top w:val="nil"/>
              <w:left w:val="nil"/>
              <w:bottom w:val="nil"/>
              <w:right w:val="nil"/>
            </w:tcBorders>
            <w:shd w:val="clear" w:color="auto" w:fill="auto"/>
            <w:vAlign w:val="center"/>
            <w:hideMark/>
          </w:tcPr>
          <w:p w14:paraId="476BBA9F" w14:textId="77777777" w:rsidR="00AE66CD" w:rsidRPr="00AE66CD" w:rsidRDefault="00AE66CD" w:rsidP="00AE66CD">
            <w:pPr>
              <w:jc w:val="right"/>
              <w:rPr>
                <w:sz w:val="18"/>
                <w:szCs w:val="18"/>
                <w:lang w:eastAsia="tr-TR"/>
              </w:rPr>
            </w:pPr>
            <w:r w:rsidRPr="00AE66CD">
              <w:rPr>
                <w:sz w:val="18"/>
                <w:szCs w:val="18"/>
                <w:lang w:eastAsia="tr-TR"/>
              </w:rPr>
              <w:t>1,075,369</w:t>
            </w:r>
          </w:p>
        </w:tc>
        <w:tc>
          <w:tcPr>
            <w:tcW w:w="1351" w:type="dxa"/>
            <w:tcBorders>
              <w:top w:val="nil"/>
              <w:left w:val="nil"/>
              <w:bottom w:val="nil"/>
              <w:right w:val="nil"/>
            </w:tcBorders>
            <w:shd w:val="clear" w:color="auto" w:fill="auto"/>
            <w:vAlign w:val="center"/>
            <w:hideMark/>
          </w:tcPr>
          <w:p w14:paraId="0AE3394F" w14:textId="77777777" w:rsidR="00AE66CD" w:rsidRPr="00AE66CD" w:rsidRDefault="00AE66CD" w:rsidP="00AE66CD">
            <w:pPr>
              <w:jc w:val="right"/>
              <w:rPr>
                <w:sz w:val="18"/>
                <w:szCs w:val="18"/>
                <w:lang w:eastAsia="tr-TR"/>
              </w:rPr>
            </w:pPr>
            <w:r w:rsidRPr="00AE66CD">
              <w:rPr>
                <w:sz w:val="18"/>
                <w:szCs w:val="18"/>
                <w:lang w:eastAsia="tr-TR"/>
              </w:rPr>
              <w:t>1,034,952</w:t>
            </w:r>
          </w:p>
        </w:tc>
      </w:tr>
      <w:tr w:rsidR="00AE66CD" w:rsidRPr="00AE66CD" w14:paraId="6790FA6F"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6F016FF8" w14:textId="77777777" w:rsidR="00AE66CD" w:rsidRPr="00AE66CD" w:rsidRDefault="00AE66CD" w:rsidP="00AE66CD">
            <w:pPr>
              <w:rPr>
                <w:color w:val="000000"/>
                <w:sz w:val="16"/>
                <w:szCs w:val="16"/>
                <w:lang w:eastAsia="tr-TR"/>
              </w:rPr>
            </w:pPr>
            <w:r w:rsidRPr="00AE66CD">
              <w:rPr>
                <w:color w:val="000000"/>
                <w:sz w:val="16"/>
                <w:szCs w:val="16"/>
                <w:lang w:eastAsia="tr-TR"/>
              </w:rPr>
              <w:t>DİĞER AKTİF KALEMLER</w:t>
            </w:r>
          </w:p>
        </w:tc>
        <w:tc>
          <w:tcPr>
            <w:tcW w:w="1417" w:type="dxa"/>
            <w:tcBorders>
              <w:top w:val="nil"/>
              <w:left w:val="nil"/>
              <w:bottom w:val="nil"/>
              <w:right w:val="nil"/>
            </w:tcBorders>
            <w:shd w:val="clear" w:color="auto" w:fill="auto"/>
            <w:vAlign w:val="center"/>
            <w:hideMark/>
          </w:tcPr>
          <w:p w14:paraId="25317894" w14:textId="77777777" w:rsidR="00AE66CD" w:rsidRPr="00AE66CD" w:rsidRDefault="00AE66CD" w:rsidP="00AE66CD">
            <w:pPr>
              <w:jc w:val="right"/>
              <w:rPr>
                <w:sz w:val="18"/>
                <w:szCs w:val="18"/>
                <w:lang w:eastAsia="tr-TR"/>
              </w:rPr>
            </w:pPr>
            <w:r w:rsidRPr="00AE66CD">
              <w:rPr>
                <w:sz w:val="18"/>
                <w:szCs w:val="18"/>
                <w:lang w:eastAsia="tr-TR"/>
              </w:rPr>
              <w:t>5,758,812</w:t>
            </w:r>
          </w:p>
        </w:tc>
        <w:tc>
          <w:tcPr>
            <w:tcW w:w="1351" w:type="dxa"/>
            <w:tcBorders>
              <w:top w:val="nil"/>
              <w:left w:val="nil"/>
              <w:bottom w:val="nil"/>
              <w:right w:val="nil"/>
            </w:tcBorders>
            <w:shd w:val="clear" w:color="auto" w:fill="auto"/>
            <w:vAlign w:val="center"/>
            <w:hideMark/>
          </w:tcPr>
          <w:p w14:paraId="75EB866D" w14:textId="77777777" w:rsidR="00AE66CD" w:rsidRPr="00AE66CD" w:rsidRDefault="00AE66CD" w:rsidP="00AE66CD">
            <w:pPr>
              <w:jc w:val="right"/>
              <w:rPr>
                <w:sz w:val="18"/>
                <w:szCs w:val="18"/>
                <w:lang w:eastAsia="tr-TR"/>
              </w:rPr>
            </w:pPr>
            <w:r w:rsidRPr="00AE66CD">
              <w:rPr>
                <w:sz w:val="18"/>
                <w:szCs w:val="18"/>
                <w:lang w:eastAsia="tr-TR"/>
              </w:rPr>
              <w:t>3,335,779</w:t>
            </w:r>
          </w:p>
        </w:tc>
      </w:tr>
      <w:tr w:rsidR="00AE66CD" w:rsidRPr="00AE66CD" w14:paraId="686F5B57" w14:textId="77777777" w:rsidTr="00B843E3">
        <w:trPr>
          <w:divId w:val="546450076"/>
          <w:trHeight w:val="264"/>
        </w:trPr>
        <w:tc>
          <w:tcPr>
            <w:tcW w:w="6453" w:type="dxa"/>
            <w:tcBorders>
              <w:top w:val="nil"/>
              <w:left w:val="nil"/>
              <w:bottom w:val="nil"/>
              <w:right w:val="nil"/>
            </w:tcBorders>
            <w:shd w:val="clear" w:color="auto" w:fill="auto"/>
            <w:noWrap/>
            <w:vAlign w:val="bottom"/>
            <w:hideMark/>
          </w:tcPr>
          <w:p w14:paraId="3FE45176" w14:textId="77777777" w:rsidR="00AE66CD" w:rsidRPr="00AE66CD" w:rsidRDefault="00AE66CD" w:rsidP="00AE66CD">
            <w:pPr>
              <w:jc w:val="right"/>
              <w:rPr>
                <w:sz w:val="18"/>
                <w:szCs w:val="18"/>
                <w:lang w:eastAsia="tr-TR"/>
              </w:rPr>
            </w:pPr>
          </w:p>
        </w:tc>
        <w:tc>
          <w:tcPr>
            <w:tcW w:w="1417" w:type="dxa"/>
            <w:tcBorders>
              <w:top w:val="nil"/>
              <w:left w:val="nil"/>
              <w:bottom w:val="nil"/>
              <w:right w:val="nil"/>
            </w:tcBorders>
            <w:shd w:val="clear" w:color="auto" w:fill="auto"/>
            <w:noWrap/>
            <w:vAlign w:val="bottom"/>
            <w:hideMark/>
          </w:tcPr>
          <w:p w14:paraId="3515ED3E" w14:textId="77777777" w:rsidR="00AE66CD" w:rsidRPr="00AE66CD" w:rsidRDefault="00AE66CD" w:rsidP="00AE66CD">
            <w:pPr>
              <w:rPr>
                <w:lang w:eastAsia="tr-TR"/>
              </w:rPr>
            </w:pPr>
          </w:p>
        </w:tc>
        <w:tc>
          <w:tcPr>
            <w:tcW w:w="1351" w:type="dxa"/>
            <w:tcBorders>
              <w:top w:val="nil"/>
              <w:left w:val="nil"/>
              <w:bottom w:val="nil"/>
              <w:right w:val="nil"/>
            </w:tcBorders>
            <w:shd w:val="clear" w:color="auto" w:fill="auto"/>
            <w:noWrap/>
            <w:vAlign w:val="bottom"/>
            <w:hideMark/>
          </w:tcPr>
          <w:p w14:paraId="253B210B" w14:textId="77777777" w:rsidR="00AE66CD" w:rsidRPr="00AE66CD" w:rsidRDefault="00AE66CD" w:rsidP="00AE66CD">
            <w:pPr>
              <w:rPr>
                <w:lang w:eastAsia="tr-TR"/>
              </w:rPr>
            </w:pPr>
          </w:p>
        </w:tc>
      </w:tr>
      <w:tr w:rsidR="00AE66CD" w:rsidRPr="00AE66CD" w14:paraId="417B4578" w14:textId="77777777" w:rsidTr="00B843E3">
        <w:trPr>
          <w:divId w:val="546450076"/>
          <w:trHeight w:val="264"/>
        </w:trPr>
        <w:tc>
          <w:tcPr>
            <w:tcW w:w="6453" w:type="dxa"/>
            <w:tcBorders>
              <w:top w:val="single" w:sz="8" w:space="0" w:color="auto"/>
              <w:left w:val="nil"/>
              <w:bottom w:val="single" w:sz="8" w:space="0" w:color="auto"/>
              <w:right w:val="nil"/>
            </w:tcBorders>
            <w:shd w:val="clear" w:color="auto" w:fill="auto"/>
            <w:noWrap/>
            <w:vAlign w:val="center"/>
            <w:hideMark/>
          </w:tcPr>
          <w:p w14:paraId="1310093A" w14:textId="77777777" w:rsidR="00AE66CD" w:rsidRPr="00AE66CD" w:rsidRDefault="00AE66CD" w:rsidP="00AE66CD">
            <w:pPr>
              <w:rPr>
                <w:b/>
                <w:bCs/>
                <w:color w:val="000000"/>
                <w:sz w:val="16"/>
                <w:szCs w:val="16"/>
                <w:lang w:eastAsia="tr-TR"/>
              </w:rPr>
            </w:pPr>
            <w:r w:rsidRPr="00AE66CD">
              <w:rPr>
                <w:b/>
                <w:bCs/>
                <w:color w:val="000000"/>
                <w:sz w:val="16"/>
                <w:szCs w:val="16"/>
                <w:lang w:eastAsia="tr-TR"/>
              </w:rPr>
              <w:t>AKTİF TOPLAMI</w:t>
            </w:r>
          </w:p>
        </w:tc>
        <w:tc>
          <w:tcPr>
            <w:tcW w:w="1417" w:type="dxa"/>
            <w:tcBorders>
              <w:top w:val="single" w:sz="8" w:space="0" w:color="auto"/>
              <w:left w:val="nil"/>
              <w:bottom w:val="single" w:sz="8" w:space="0" w:color="auto"/>
              <w:right w:val="nil"/>
            </w:tcBorders>
            <w:shd w:val="clear" w:color="auto" w:fill="auto"/>
            <w:vAlign w:val="center"/>
            <w:hideMark/>
          </w:tcPr>
          <w:p w14:paraId="693EA9C5" w14:textId="77777777" w:rsidR="00AE66CD" w:rsidRPr="00AE66CD" w:rsidRDefault="00AE66CD" w:rsidP="00AE66CD">
            <w:pPr>
              <w:jc w:val="right"/>
              <w:rPr>
                <w:b/>
                <w:bCs/>
                <w:sz w:val="18"/>
                <w:szCs w:val="18"/>
                <w:lang w:eastAsia="tr-TR"/>
              </w:rPr>
            </w:pPr>
            <w:r w:rsidRPr="00AE66CD">
              <w:rPr>
                <w:b/>
                <w:bCs/>
                <w:sz w:val="18"/>
                <w:szCs w:val="18"/>
                <w:lang w:eastAsia="tr-TR"/>
              </w:rPr>
              <w:t>153,119,720</w:t>
            </w:r>
          </w:p>
        </w:tc>
        <w:tc>
          <w:tcPr>
            <w:tcW w:w="1351" w:type="dxa"/>
            <w:tcBorders>
              <w:top w:val="single" w:sz="8" w:space="0" w:color="auto"/>
              <w:left w:val="nil"/>
              <w:bottom w:val="single" w:sz="8" w:space="0" w:color="auto"/>
              <w:right w:val="nil"/>
            </w:tcBorders>
            <w:shd w:val="clear" w:color="auto" w:fill="auto"/>
            <w:vAlign w:val="center"/>
            <w:hideMark/>
          </w:tcPr>
          <w:p w14:paraId="2403D125" w14:textId="77777777" w:rsidR="00AE66CD" w:rsidRPr="00AE66CD" w:rsidRDefault="00AE66CD" w:rsidP="00AE66CD">
            <w:pPr>
              <w:jc w:val="right"/>
              <w:rPr>
                <w:b/>
                <w:bCs/>
                <w:sz w:val="18"/>
                <w:szCs w:val="18"/>
                <w:lang w:eastAsia="tr-TR"/>
              </w:rPr>
            </w:pPr>
            <w:r w:rsidRPr="00AE66CD">
              <w:rPr>
                <w:b/>
                <w:bCs/>
                <w:sz w:val="18"/>
                <w:szCs w:val="18"/>
                <w:lang w:eastAsia="tr-TR"/>
              </w:rPr>
              <w:t>104,439,345</w:t>
            </w:r>
          </w:p>
        </w:tc>
      </w:tr>
      <w:tr w:rsidR="00AE66CD" w:rsidRPr="00AE66CD" w14:paraId="73AD9774" w14:textId="77777777" w:rsidTr="00B843E3">
        <w:trPr>
          <w:divId w:val="546450076"/>
          <w:trHeight w:val="251"/>
        </w:trPr>
        <w:tc>
          <w:tcPr>
            <w:tcW w:w="6453" w:type="dxa"/>
            <w:tcBorders>
              <w:top w:val="nil"/>
              <w:left w:val="nil"/>
              <w:bottom w:val="nil"/>
              <w:right w:val="nil"/>
            </w:tcBorders>
            <w:shd w:val="clear" w:color="auto" w:fill="auto"/>
            <w:noWrap/>
            <w:vAlign w:val="bottom"/>
            <w:hideMark/>
          </w:tcPr>
          <w:p w14:paraId="3124DBF2" w14:textId="77777777" w:rsidR="00AE66CD" w:rsidRPr="00AE66CD" w:rsidRDefault="00AE66CD" w:rsidP="00AE66CD">
            <w:pPr>
              <w:jc w:val="right"/>
              <w:rPr>
                <w:b/>
                <w:bCs/>
                <w:sz w:val="18"/>
                <w:szCs w:val="18"/>
                <w:lang w:eastAsia="tr-TR"/>
              </w:rPr>
            </w:pPr>
          </w:p>
        </w:tc>
        <w:tc>
          <w:tcPr>
            <w:tcW w:w="1417" w:type="dxa"/>
            <w:tcBorders>
              <w:top w:val="nil"/>
              <w:left w:val="nil"/>
              <w:bottom w:val="nil"/>
              <w:right w:val="nil"/>
            </w:tcBorders>
            <w:shd w:val="clear" w:color="auto" w:fill="auto"/>
            <w:noWrap/>
            <w:vAlign w:val="bottom"/>
            <w:hideMark/>
          </w:tcPr>
          <w:p w14:paraId="6E169419" w14:textId="77777777" w:rsidR="00AE66CD" w:rsidRPr="00AE66CD" w:rsidRDefault="00AE66CD" w:rsidP="00AE66CD">
            <w:pPr>
              <w:rPr>
                <w:lang w:eastAsia="tr-TR"/>
              </w:rPr>
            </w:pPr>
          </w:p>
        </w:tc>
        <w:tc>
          <w:tcPr>
            <w:tcW w:w="1351" w:type="dxa"/>
            <w:tcBorders>
              <w:top w:val="nil"/>
              <w:left w:val="nil"/>
              <w:bottom w:val="nil"/>
              <w:right w:val="nil"/>
            </w:tcBorders>
            <w:shd w:val="clear" w:color="auto" w:fill="auto"/>
            <w:noWrap/>
            <w:vAlign w:val="bottom"/>
            <w:hideMark/>
          </w:tcPr>
          <w:p w14:paraId="733C8455" w14:textId="77777777" w:rsidR="00AE66CD" w:rsidRPr="00AE66CD" w:rsidRDefault="00AE66CD" w:rsidP="00AE66CD">
            <w:pPr>
              <w:rPr>
                <w:lang w:eastAsia="tr-TR"/>
              </w:rPr>
            </w:pPr>
          </w:p>
        </w:tc>
      </w:tr>
      <w:tr w:rsidR="00AE66CD" w:rsidRPr="00AE66CD" w14:paraId="2F3455BE"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6598309A" w14:textId="77777777" w:rsidR="00AE66CD" w:rsidRPr="00AE66CD" w:rsidRDefault="00AE66CD" w:rsidP="00AE66CD">
            <w:pPr>
              <w:rPr>
                <w:color w:val="000000"/>
                <w:sz w:val="16"/>
                <w:szCs w:val="16"/>
                <w:lang w:eastAsia="tr-TR"/>
              </w:rPr>
            </w:pPr>
            <w:r w:rsidRPr="00AE66CD">
              <w:rPr>
                <w:color w:val="000000"/>
                <w:sz w:val="16"/>
                <w:szCs w:val="16"/>
                <w:lang w:eastAsia="tr-TR"/>
              </w:rPr>
              <w:t>TOPLANAN FONLAR</w:t>
            </w:r>
          </w:p>
        </w:tc>
        <w:tc>
          <w:tcPr>
            <w:tcW w:w="1417" w:type="dxa"/>
            <w:tcBorders>
              <w:top w:val="nil"/>
              <w:left w:val="nil"/>
              <w:bottom w:val="nil"/>
              <w:right w:val="nil"/>
            </w:tcBorders>
            <w:shd w:val="clear" w:color="auto" w:fill="auto"/>
            <w:vAlign w:val="center"/>
            <w:hideMark/>
          </w:tcPr>
          <w:p w14:paraId="1A8D80B4" w14:textId="77777777" w:rsidR="00AE66CD" w:rsidRPr="00AE66CD" w:rsidRDefault="00AE66CD" w:rsidP="00AE66CD">
            <w:pPr>
              <w:jc w:val="right"/>
              <w:rPr>
                <w:sz w:val="18"/>
                <w:szCs w:val="18"/>
                <w:lang w:eastAsia="tr-TR"/>
              </w:rPr>
            </w:pPr>
            <w:r w:rsidRPr="00AE66CD">
              <w:rPr>
                <w:sz w:val="18"/>
                <w:szCs w:val="18"/>
                <w:lang w:eastAsia="tr-TR"/>
              </w:rPr>
              <w:t>119,340,149</w:t>
            </w:r>
          </w:p>
        </w:tc>
        <w:tc>
          <w:tcPr>
            <w:tcW w:w="1351" w:type="dxa"/>
            <w:tcBorders>
              <w:top w:val="nil"/>
              <w:left w:val="nil"/>
              <w:bottom w:val="nil"/>
              <w:right w:val="nil"/>
            </w:tcBorders>
            <w:shd w:val="clear" w:color="auto" w:fill="auto"/>
            <w:vAlign w:val="center"/>
            <w:hideMark/>
          </w:tcPr>
          <w:p w14:paraId="418F3D6D" w14:textId="77777777" w:rsidR="00AE66CD" w:rsidRPr="00AE66CD" w:rsidRDefault="00AE66CD" w:rsidP="00AE66CD">
            <w:pPr>
              <w:jc w:val="right"/>
              <w:rPr>
                <w:sz w:val="18"/>
                <w:szCs w:val="18"/>
                <w:lang w:eastAsia="tr-TR"/>
              </w:rPr>
            </w:pPr>
            <w:r w:rsidRPr="00AE66CD">
              <w:rPr>
                <w:sz w:val="18"/>
                <w:szCs w:val="18"/>
                <w:lang w:eastAsia="tr-TR"/>
              </w:rPr>
              <w:t>85,494,387</w:t>
            </w:r>
          </w:p>
        </w:tc>
      </w:tr>
      <w:tr w:rsidR="00AE66CD" w:rsidRPr="00AE66CD" w14:paraId="110748DB"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05CA1705" w14:textId="77777777" w:rsidR="00AE66CD" w:rsidRPr="00AE66CD" w:rsidRDefault="00AE66CD" w:rsidP="00AE66CD">
            <w:pPr>
              <w:rPr>
                <w:color w:val="000000"/>
                <w:sz w:val="16"/>
                <w:szCs w:val="16"/>
                <w:lang w:eastAsia="tr-TR"/>
              </w:rPr>
            </w:pPr>
            <w:r w:rsidRPr="00AE66CD">
              <w:rPr>
                <w:color w:val="000000"/>
                <w:sz w:val="16"/>
                <w:szCs w:val="16"/>
                <w:lang w:eastAsia="tr-TR"/>
              </w:rPr>
              <w:t>ALINAN KREDİLER</w:t>
            </w:r>
          </w:p>
        </w:tc>
        <w:tc>
          <w:tcPr>
            <w:tcW w:w="1417" w:type="dxa"/>
            <w:tcBorders>
              <w:top w:val="nil"/>
              <w:left w:val="nil"/>
              <w:bottom w:val="nil"/>
              <w:right w:val="nil"/>
            </w:tcBorders>
            <w:shd w:val="clear" w:color="auto" w:fill="auto"/>
            <w:vAlign w:val="center"/>
            <w:hideMark/>
          </w:tcPr>
          <w:p w14:paraId="34E1C8C0" w14:textId="77777777" w:rsidR="00AE66CD" w:rsidRPr="00AE66CD" w:rsidRDefault="00AE66CD" w:rsidP="00AE66CD">
            <w:pPr>
              <w:jc w:val="right"/>
              <w:rPr>
                <w:sz w:val="18"/>
                <w:szCs w:val="18"/>
                <w:lang w:eastAsia="tr-TR"/>
              </w:rPr>
            </w:pPr>
            <w:r w:rsidRPr="00AE66CD">
              <w:rPr>
                <w:sz w:val="18"/>
                <w:szCs w:val="18"/>
                <w:lang w:eastAsia="tr-TR"/>
              </w:rPr>
              <w:t>8,922,423</w:t>
            </w:r>
          </w:p>
        </w:tc>
        <w:tc>
          <w:tcPr>
            <w:tcW w:w="1351" w:type="dxa"/>
            <w:tcBorders>
              <w:top w:val="nil"/>
              <w:left w:val="nil"/>
              <w:bottom w:val="nil"/>
              <w:right w:val="nil"/>
            </w:tcBorders>
            <w:shd w:val="clear" w:color="auto" w:fill="auto"/>
            <w:vAlign w:val="center"/>
            <w:hideMark/>
          </w:tcPr>
          <w:p w14:paraId="54DF2E7D" w14:textId="77777777" w:rsidR="00AE66CD" w:rsidRPr="00AE66CD" w:rsidRDefault="00AE66CD" w:rsidP="00AE66CD">
            <w:pPr>
              <w:jc w:val="right"/>
              <w:rPr>
                <w:sz w:val="18"/>
                <w:szCs w:val="18"/>
                <w:lang w:eastAsia="tr-TR"/>
              </w:rPr>
            </w:pPr>
            <w:r w:rsidRPr="00AE66CD">
              <w:rPr>
                <w:sz w:val="18"/>
                <w:szCs w:val="18"/>
                <w:lang w:eastAsia="tr-TR"/>
              </w:rPr>
              <w:t>5,391,677</w:t>
            </w:r>
          </w:p>
        </w:tc>
      </w:tr>
      <w:tr w:rsidR="00AE66CD" w:rsidRPr="00AE66CD" w14:paraId="2A749224"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5F82AC0F" w14:textId="77777777" w:rsidR="00AE66CD" w:rsidRPr="00AE66CD" w:rsidRDefault="00AE66CD" w:rsidP="00AE66CD">
            <w:pPr>
              <w:rPr>
                <w:color w:val="000000"/>
                <w:sz w:val="16"/>
                <w:szCs w:val="16"/>
                <w:lang w:eastAsia="tr-TR"/>
              </w:rPr>
            </w:pPr>
            <w:r w:rsidRPr="00AE66CD">
              <w:rPr>
                <w:color w:val="000000"/>
                <w:sz w:val="16"/>
                <w:szCs w:val="16"/>
                <w:lang w:eastAsia="tr-TR"/>
              </w:rPr>
              <w:t>İHRAÇ EDİLEN MENKUL KIYMETLER</w:t>
            </w:r>
          </w:p>
        </w:tc>
        <w:tc>
          <w:tcPr>
            <w:tcW w:w="1417" w:type="dxa"/>
            <w:tcBorders>
              <w:top w:val="nil"/>
              <w:left w:val="nil"/>
              <w:bottom w:val="nil"/>
              <w:right w:val="nil"/>
            </w:tcBorders>
            <w:shd w:val="clear" w:color="auto" w:fill="auto"/>
            <w:vAlign w:val="center"/>
            <w:hideMark/>
          </w:tcPr>
          <w:p w14:paraId="330FA5A0" w14:textId="77777777" w:rsidR="00AE66CD" w:rsidRPr="00AE66CD" w:rsidRDefault="00AE66CD" w:rsidP="00AE66CD">
            <w:pPr>
              <w:jc w:val="right"/>
              <w:rPr>
                <w:sz w:val="18"/>
                <w:szCs w:val="18"/>
                <w:lang w:eastAsia="tr-TR"/>
              </w:rPr>
            </w:pPr>
            <w:r w:rsidRPr="00AE66CD">
              <w:rPr>
                <w:sz w:val="18"/>
                <w:szCs w:val="18"/>
                <w:lang w:eastAsia="tr-TR"/>
              </w:rPr>
              <w:t>-</w:t>
            </w:r>
          </w:p>
        </w:tc>
        <w:tc>
          <w:tcPr>
            <w:tcW w:w="1351" w:type="dxa"/>
            <w:tcBorders>
              <w:top w:val="nil"/>
              <w:left w:val="nil"/>
              <w:bottom w:val="nil"/>
              <w:right w:val="nil"/>
            </w:tcBorders>
            <w:shd w:val="clear" w:color="auto" w:fill="auto"/>
            <w:vAlign w:val="center"/>
            <w:hideMark/>
          </w:tcPr>
          <w:p w14:paraId="7A51AD5C" w14:textId="77777777" w:rsidR="00AE66CD" w:rsidRPr="00AE66CD" w:rsidRDefault="00AE66CD" w:rsidP="00AE66CD">
            <w:pPr>
              <w:jc w:val="right"/>
              <w:rPr>
                <w:sz w:val="18"/>
                <w:szCs w:val="18"/>
                <w:lang w:eastAsia="tr-TR"/>
              </w:rPr>
            </w:pPr>
            <w:r w:rsidRPr="00AE66CD">
              <w:rPr>
                <w:sz w:val="18"/>
                <w:szCs w:val="18"/>
                <w:lang w:eastAsia="tr-TR"/>
              </w:rPr>
              <w:t>-</w:t>
            </w:r>
          </w:p>
        </w:tc>
      </w:tr>
      <w:tr w:rsidR="00AE66CD" w:rsidRPr="00AE66CD" w14:paraId="2C0EAE6C"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55174253" w14:textId="77777777" w:rsidR="00AE66CD" w:rsidRPr="00AE66CD" w:rsidRDefault="00AE66CD" w:rsidP="00AE66CD">
            <w:pPr>
              <w:rPr>
                <w:color w:val="000000"/>
                <w:sz w:val="16"/>
                <w:szCs w:val="16"/>
                <w:lang w:eastAsia="tr-TR"/>
              </w:rPr>
            </w:pPr>
            <w:r w:rsidRPr="00AE66CD">
              <w:rPr>
                <w:color w:val="000000"/>
                <w:sz w:val="16"/>
                <w:szCs w:val="16"/>
                <w:lang w:eastAsia="tr-TR"/>
              </w:rPr>
              <w:t xml:space="preserve">KİRALAMA İŞLEMLERİNDEN BORÇLAR </w:t>
            </w:r>
          </w:p>
        </w:tc>
        <w:tc>
          <w:tcPr>
            <w:tcW w:w="1417" w:type="dxa"/>
            <w:tcBorders>
              <w:top w:val="nil"/>
              <w:left w:val="nil"/>
              <w:bottom w:val="nil"/>
              <w:right w:val="nil"/>
            </w:tcBorders>
            <w:shd w:val="clear" w:color="auto" w:fill="auto"/>
            <w:vAlign w:val="center"/>
            <w:hideMark/>
          </w:tcPr>
          <w:p w14:paraId="78583C6C" w14:textId="77777777" w:rsidR="00AE66CD" w:rsidRPr="00AE66CD" w:rsidRDefault="00AE66CD" w:rsidP="00AE66CD">
            <w:pPr>
              <w:jc w:val="right"/>
              <w:rPr>
                <w:sz w:val="18"/>
                <w:szCs w:val="18"/>
                <w:lang w:eastAsia="tr-TR"/>
              </w:rPr>
            </w:pPr>
            <w:r w:rsidRPr="00AE66CD">
              <w:rPr>
                <w:sz w:val="18"/>
                <w:szCs w:val="18"/>
                <w:lang w:eastAsia="tr-TR"/>
              </w:rPr>
              <w:t>342,531</w:t>
            </w:r>
          </w:p>
        </w:tc>
        <w:tc>
          <w:tcPr>
            <w:tcW w:w="1351" w:type="dxa"/>
            <w:tcBorders>
              <w:top w:val="nil"/>
              <w:left w:val="nil"/>
              <w:bottom w:val="nil"/>
              <w:right w:val="nil"/>
            </w:tcBorders>
            <w:shd w:val="clear" w:color="auto" w:fill="auto"/>
            <w:vAlign w:val="center"/>
            <w:hideMark/>
          </w:tcPr>
          <w:p w14:paraId="6C12E601" w14:textId="77777777" w:rsidR="00AE66CD" w:rsidRPr="00AE66CD" w:rsidRDefault="00AE66CD" w:rsidP="00AE66CD">
            <w:pPr>
              <w:jc w:val="right"/>
              <w:rPr>
                <w:sz w:val="18"/>
                <w:szCs w:val="18"/>
                <w:lang w:eastAsia="tr-TR"/>
              </w:rPr>
            </w:pPr>
            <w:r w:rsidRPr="00AE66CD">
              <w:rPr>
                <w:sz w:val="18"/>
                <w:szCs w:val="18"/>
                <w:lang w:eastAsia="tr-TR"/>
              </w:rPr>
              <w:t>326,178</w:t>
            </w:r>
          </w:p>
        </w:tc>
      </w:tr>
      <w:tr w:rsidR="00AE66CD" w:rsidRPr="00AE66CD" w14:paraId="59636406"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4A463B07" w14:textId="77777777" w:rsidR="00AE66CD" w:rsidRPr="00AE66CD" w:rsidRDefault="00AE66CD" w:rsidP="00AE66CD">
            <w:pPr>
              <w:rPr>
                <w:color w:val="000000"/>
                <w:sz w:val="16"/>
                <w:szCs w:val="16"/>
                <w:lang w:eastAsia="tr-TR"/>
              </w:rPr>
            </w:pPr>
            <w:r w:rsidRPr="00AE66CD">
              <w:rPr>
                <w:color w:val="000000"/>
                <w:sz w:val="16"/>
                <w:szCs w:val="16"/>
                <w:lang w:eastAsia="tr-TR"/>
              </w:rPr>
              <w:t>SERMAYE BENZERİ KREDİLER</w:t>
            </w:r>
          </w:p>
        </w:tc>
        <w:tc>
          <w:tcPr>
            <w:tcW w:w="1417" w:type="dxa"/>
            <w:tcBorders>
              <w:top w:val="nil"/>
              <w:left w:val="nil"/>
              <w:bottom w:val="nil"/>
              <w:right w:val="nil"/>
            </w:tcBorders>
            <w:shd w:val="clear" w:color="auto" w:fill="auto"/>
            <w:vAlign w:val="center"/>
            <w:hideMark/>
          </w:tcPr>
          <w:p w14:paraId="03535490" w14:textId="77777777" w:rsidR="00AE66CD" w:rsidRPr="00AE66CD" w:rsidRDefault="00AE66CD" w:rsidP="00AE66CD">
            <w:pPr>
              <w:jc w:val="right"/>
              <w:rPr>
                <w:sz w:val="18"/>
                <w:szCs w:val="18"/>
                <w:lang w:eastAsia="tr-TR"/>
              </w:rPr>
            </w:pPr>
            <w:r w:rsidRPr="00AE66CD">
              <w:rPr>
                <w:sz w:val="18"/>
                <w:szCs w:val="18"/>
                <w:lang w:eastAsia="tr-TR"/>
              </w:rPr>
              <w:t>4,720,851</w:t>
            </w:r>
          </w:p>
        </w:tc>
        <w:tc>
          <w:tcPr>
            <w:tcW w:w="1351" w:type="dxa"/>
            <w:tcBorders>
              <w:top w:val="nil"/>
              <w:left w:val="nil"/>
              <w:bottom w:val="nil"/>
              <w:right w:val="nil"/>
            </w:tcBorders>
            <w:shd w:val="clear" w:color="auto" w:fill="auto"/>
            <w:vAlign w:val="center"/>
            <w:hideMark/>
          </w:tcPr>
          <w:p w14:paraId="2EDFC3B3" w14:textId="77777777" w:rsidR="00AE66CD" w:rsidRPr="00AE66CD" w:rsidRDefault="00AE66CD" w:rsidP="00AE66CD">
            <w:pPr>
              <w:jc w:val="right"/>
              <w:rPr>
                <w:sz w:val="18"/>
                <w:szCs w:val="18"/>
                <w:lang w:eastAsia="tr-TR"/>
              </w:rPr>
            </w:pPr>
            <w:r w:rsidRPr="00AE66CD">
              <w:rPr>
                <w:sz w:val="18"/>
                <w:szCs w:val="18"/>
                <w:lang w:eastAsia="tr-TR"/>
              </w:rPr>
              <w:t>3,380,983</w:t>
            </w:r>
          </w:p>
        </w:tc>
      </w:tr>
      <w:tr w:rsidR="00AE66CD" w:rsidRPr="00AE66CD" w14:paraId="52DFEB5E"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55011B49" w14:textId="77777777" w:rsidR="00AE66CD" w:rsidRPr="00AE66CD" w:rsidRDefault="00AE66CD" w:rsidP="00AE66CD">
            <w:pPr>
              <w:rPr>
                <w:color w:val="000000"/>
                <w:sz w:val="16"/>
                <w:szCs w:val="16"/>
                <w:lang w:eastAsia="tr-TR"/>
              </w:rPr>
            </w:pPr>
            <w:r w:rsidRPr="00AE66CD">
              <w:rPr>
                <w:color w:val="000000"/>
                <w:sz w:val="16"/>
                <w:szCs w:val="16"/>
                <w:lang w:eastAsia="tr-TR"/>
              </w:rPr>
              <w:t>DİĞER PASİF KALEMLER</w:t>
            </w:r>
          </w:p>
        </w:tc>
        <w:tc>
          <w:tcPr>
            <w:tcW w:w="1417" w:type="dxa"/>
            <w:tcBorders>
              <w:top w:val="nil"/>
              <w:left w:val="nil"/>
              <w:bottom w:val="nil"/>
              <w:right w:val="nil"/>
            </w:tcBorders>
            <w:shd w:val="clear" w:color="auto" w:fill="auto"/>
            <w:vAlign w:val="center"/>
            <w:hideMark/>
          </w:tcPr>
          <w:p w14:paraId="2680A8F2" w14:textId="77777777" w:rsidR="00AE66CD" w:rsidRPr="00AE66CD" w:rsidRDefault="00AE66CD" w:rsidP="00AE66CD">
            <w:pPr>
              <w:jc w:val="right"/>
              <w:rPr>
                <w:sz w:val="18"/>
                <w:szCs w:val="18"/>
                <w:lang w:eastAsia="tr-TR"/>
              </w:rPr>
            </w:pPr>
            <w:r w:rsidRPr="00AE66CD">
              <w:rPr>
                <w:sz w:val="18"/>
                <w:szCs w:val="18"/>
                <w:lang w:eastAsia="tr-TR"/>
              </w:rPr>
              <w:t>12,261,723</w:t>
            </w:r>
          </w:p>
        </w:tc>
        <w:tc>
          <w:tcPr>
            <w:tcW w:w="1351" w:type="dxa"/>
            <w:tcBorders>
              <w:top w:val="nil"/>
              <w:left w:val="nil"/>
              <w:bottom w:val="nil"/>
              <w:right w:val="nil"/>
            </w:tcBorders>
            <w:shd w:val="clear" w:color="auto" w:fill="auto"/>
            <w:vAlign w:val="center"/>
            <w:hideMark/>
          </w:tcPr>
          <w:p w14:paraId="30DE1532" w14:textId="77777777" w:rsidR="00AE66CD" w:rsidRPr="00AE66CD" w:rsidRDefault="00AE66CD" w:rsidP="00AE66CD">
            <w:pPr>
              <w:jc w:val="right"/>
              <w:rPr>
                <w:sz w:val="18"/>
                <w:szCs w:val="18"/>
                <w:lang w:eastAsia="tr-TR"/>
              </w:rPr>
            </w:pPr>
            <w:r w:rsidRPr="00AE66CD">
              <w:rPr>
                <w:sz w:val="18"/>
                <w:szCs w:val="18"/>
                <w:lang w:eastAsia="tr-TR"/>
              </w:rPr>
              <w:t>3,024,830</w:t>
            </w:r>
          </w:p>
        </w:tc>
      </w:tr>
      <w:tr w:rsidR="00AE66CD" w:rsidRPr="00AE66CD" w14:paraId="68A7C23A" w14:textId="77777777" w:rsidTr="00B843E3">
        <w:trPr>
          <w:divId w:val="546450076"/>
          <w:trHeight w:val="251"/>
        </w:trPr>
        <w:tc>
          <w:tcPr>
            <w:tcW w:w="6453" w:type="dxa"/>
            <w:tcBorders>
              <w:top w:val="nil"/>
              <w:left w:val="nil"/>
              <w:bottom w:val="nil"/>
              <w:right w:val="nil"/>
            </w:tcBorders>
            <w:shd w:val="clear" w:color="auto" w:fill="auto"/>
            <w:noWrap/>
            <w:vAlign w:val="center"/>
            <w:hideMark/>
          </w:tcPr>
          <w:p w14:paraId="73554492" w14:textId="77777777" w:rsidR="00AE66CD" w:rsidRPr="00AE66CD" w:rsidRDefault="00AE66CD" w:rsidP="00AE66CD">
            <w:pPr>
              <w:rPr>
                <w:color w:val="000000"/>
                <w:sz w:val="16"/>
                <w:szCs w:val="16"/>
                <w:lang w:eastAsia="tr-TR"/>
              </w:rPr>
            </w:pPr>
            <w:r w:rsidRPr="00AE66CD">
              <w:rPr>
                <w:color w:val="000000"/>
                <w:sz w:val="16"/>
                <w:szCs w:val="16"/>
                <w:lang w:eastAsia="tr-TR"/>
              </w:rPr>
              <w:t>ÖZKAYNAKLAR</w:t>
            </w:r>
          </w:p>
        </w:tc>
        <w:tc>
          <w:tcPr>
            <w:tcW w:w="1417" w:type="dxa"/>
            <w:tcBorders>
              <w:top w:val="nil"/>
              <w:left w:val="nil"/>
              <w:bottom w:val="nil"/>
              <w:right w:val="nil"/>
            </w:tcBorders>
            <w:shd w:val="clear" w:color="auto" w:fill="auto"/>
            <w:vAlign w:val="center"/>
            <w:hideMark/>
          </w:tcPr>
          <w:p w14:paraId="2934838F" w14:textId="77777777" w:rsidR="00AE66CD" w:rsidRPr="00AE66CD" w:rsidRDefault="00AE66CD" w:rsidP="00AE66CD">
            <w:pPr>
              <w:jc w:val="right"/>
              <w:rPr>
                <w:sz w:val="18"/>
                <w:szCs w:val="18"/>
                <w:lang w:eastAsia="tr-TR"/>
              </w:rPr>
            </w:pPr>
            <w:r w:rsidRPr="00AE66CD">
              <w:rPr>
                <w:sz w:val="18"/>
                <w:szCs w:val="18"/>
                <w:lang w:eastAsia="tr-TR"/>
              </w:rPr>
              <w:t>7,532,043</w:t>
            </w:r>
          </w:p>
        </w:tc>
        <w:tc>
          <w:tcPr>
            <w:tcW w:w="1351" w:type="dxa"/>
            <w:tcBorders>
              <w:top w:val="nil"/>
              <w:left w:val="nil"/>
              <w:bottom w:val="nil"/>
              <w:right w:val="nil"/>
            </w:tcBorders>
            <w:shd w:val="clear" w:color="auto" w:fill="auto"/>
            <w:vAlign w:val="center"/>
            <w:hideMark/>
          </w:tcPr>
          <w:p w14:paraId="5EA7DBCA" w14:textId="77777777" w:rsidR="00AE66CD" w:rsidRPr="00AE66CD" w:rsidRDefault="00AE66CD" w:rsidP="00AE66CD">
            <w:pPr>
              <w:jc w:val="right"/>
              <w:rPr>
                <w:sz w:val="18"/>
                <w:szCs w:val="18"/>
                <w:lang w:eastAsia="tr-TR"/>
              </w:rPr>
            </w:pPr>
            <w:r w:rsidRPr="00AE66CD">
              <w:rPr>
                <w:sz w:val="18"/>
                <w:szCs w:val="18"/>
                <w:lang w:eastAsia="tr-TR"/>
              </w:rPr>
              <w:t>6,821,290</w:t>
            </w:r>
          </w:p>
        </w:tc>
      </w:tr>
      <w:tr w:rsidR="00AE66CD" w:rsidRPr="00AE66CD" w14:paraId="2DB319C2" w14:textId="77777777" w:rsidTr="00B843E3">
        <w:trPr>
          <w:divId w:val="546450076"/>
          <w:trHeight w:val="264"/>
        </w:trPr>
        <w:tc>
          <w:tcPr>
            <w:tcW w:w="6453" w:type="dxa"/>
            <w:tcBorders>
              <w:top w:val="nil"/>
              <w:left w:val="nil"/>
              <w:bottom w:val="nil"/>
              <w:right w:val="nil"/>
            </w:tcBorders>
            <w:shd w:val="clear" w:color="auto" w:fill="auto"/>
            <w:noWrap/>
            <w:vAlign w:val="center"/>
            <w:hideMark/>
          </w:tcPr>
          <w:p w14:paraId="06D30FDA" w14:textId="77777777" w:rsidR="00AE66CD" w:rsidRPr="00AE66CD" w:rsidRDefault="00AE66CD" w:rsidP="00AE66CD">
            <w:pPr>
              <w:jc w:val="right"/>
              <w:rPr>
                <w:sz w:val="18"/>
                <w:szCs w:val="18"/>
                <w:lang w:eastAsia="tr-TR"/>
              </w:rPr>
            </w:pPr>
          </w:p>
        </w:tc>
        <w:tc>
          <w:tcPr>
            <w:tcW w:w="1417" w:type="dxa"/>
            <w:tcBorders>
              <w:top w:val="nil"/>
              <w:left w:val="nil"/>
              <w:bottom w:val="nil"/>
              <w:right w:val="nil"/>
            </w:tcBorders>
            <w:shd w:val="clear" w:color="auto" w:fill="auto"/>
            <w:vAlign w:val="center"/>
            <w:hideMark/>
          </w:tcPr>
          <w:p w14:paraId="6A13DD6F" w14:textId="77777777" w:rsidR="00AE66CD" w:rsidRPr="00AE66CD" w:rsidRDefault="00AE66CD" w:rsidP="00AE66CD">
            <w:pPr>
              <w:rPr>
                <w:lang w:eastAsia="tr-TR"/>
              </w:rPr>
            </w:pPr>
          </w:p>
        </w:tc>
        <w:tc>
          <w:tcPr>
            <w:tcW w:w="1351" w:type="dxa"/>
            <w:tcBorders>
              <w:top w:val="nil"/>
              <w:left w:val="nil"/>
              <w:bottom w:val="nil"/>
              <w:right w:val="nil"/>
            </w:tcBorders>
            <w:shd w:val="clear" w:color="auto" w:fill="auto"/>
            <w:noWrap/>
            <w:vAlign w:val="center"/>
            <w:hideMark/>
          </w:tcPr>
          <w:p w14:paraId="1722D0DB" w14:textId="77777777" w:rsidR="00AE66CD" w:rsidRPr="00AE66CD" w:rsidRDefault="00AE66CD" w:rsidP="00AE66CD">
            <w:pPr>
              <w:jc w:val="right"/>
              <w:rPr>
                <w:lang w:eastAsia="tr-TR"/>
              </w:rPr>
            </w:pPr>
          </w:p>
        </w:tc>
      </w:tr>
      <w:tr w:rsidR="00AE66CD" w:rsidRPr="00AE66CD" w14:paraId="1C341A5F" w14:textId="77777777" w:rsidTr="00B843E3">
        <w:trPr>
          <w:divId w:val="546450076"/>
          <w:trHeight w:val="264"/>
        </w:trPr>
        <w:tc>
          <w:tcPr>
            <w:tcW w:w="6453" w:type="dxa"/>
            <w:tcBorders>
              <w:top w:val="single" w:sz="8" w:space="0" w:color="auto"/>
              <w:left w:val="nil"/>
              <w:bottom w:val="single" w:sz="8" w:space="0" w:color="auto"/>
              <w:right w:val="nil"/>
            </w:tcBorders>
            <w:shd w:val="clear" w:color="auto" w:fill="auto"/>
            <w:noWrap/>
            <w:vAlign w:val="center"/>
            <w:hideMark/>
          </w:tcPr>
          <w:p w14:paraId="4AEFE3CB" w14:textId="77777777" w:rsidR="00AE66CD" w:rsidRPr="00AE66CD" w:rsidRDefault="00AE66CD" w:rsidP="00AE66CD">
            <w:pPr>
              <w:rPr>
                <w:b/>
                <w:bCs/>
                <w:color w:val="000000"/>
                <w:sz w:val="16"/>
                <w:szCs w:val="16"/>
                <w:lang w:eastAsia="tr-TR"/>
              </w:rPr>
            </w:pPr>
            <w:r w:rsidRPr="00AE66CD">
              <w:rPr>
                <w:b/>
                <w:bCs/>
                <w:color w:val="000000"/>
                <w:sz w:val="16"/>
                <w:szCs w:val="16"/>
                <w:lang w:eastAsia="tr-TR"/>
              </w:rPr>
              <w:t>PASİF TOPLAMI</w:t>
            </w:r>
          </w:p>
        </w:tc>
        <w:tc>
          <w:tcPr>
            <w:tcW w:w="1417" w:type="dxa"/>
            <w:tcBorders>
              <w:top w:val="single" w:sz="8" w:space="0" w:color="auto"/>
              <w:left w:val="nil"/>
              <w:bottom w:val="single" w:sz="8" w:space="0" w:color="auto"/>
              <w:right w:val="nil"/>
            </w:tcBorders>
            <w:shd w:val="clear" w:color="auto" w:fill="auto"/>
            <w:vAlign w:val="center"/>
            <w:hideMark/>
          </w:tcPr>
          <w:p w14:paraId="7002C50D" w14:textId="77777777" w:rsidR="00AE66CD" w:rsidRPr="00AE66CD" w:rsidRDefault="00AE66CD" w:rsidP="00AE66CD">
            <w:pPr>
              <w:jc w:val="right"/>
              <w:rPr>
                <w:b/>
                <w:bCs/>
                <w:sz w:val="18"/>
                <w:szCs w:val="18"/>
                <w:lang w:eastAsia="tr-TR"/>
              </w:rPr>
            </w:pPr>
            <w:r w:rsidRPr="00AE66CD">
              <w:rPr>
                <w:b/>
                <w:bCs/>
                <w:sz w:val="18"/>
                <w:szCs w:val="18"/>
                <w:lang w:eastAsia="tr-TR"/>
              </w:rPr>
              <w:t>153,119,720</w:t>
            </w:r>
          </w:p>
        </w:tc>
        <w:tc>
          <w:tcPr>
            <w:tcW w:w="1351" w:type="dxa"/>
            <w:tcBorders>
              <w:top w:val="single" w:sz="8" w:space="0" w:color="auto"/>
              <w:left w:val="nil"/>
              <w:bottom w:val="single" w:sz="8" w:space="0" w:color="auto"/>
              <w:right w:val="nil"/>
            </w:tcBorders>
            <w:shd w:val="clear" w:color="auto" w:fill="auto"/>
            <w:vAlign w:val="center"/>
            <w:hideMark/>
          </w:tcPr>
          <w:p w14:paraId="354E698D" w14:textId="77777777" w:rsidR="00AE66CD" w:rsidRPr="00AE66CD" w:rsidRDefault="00AE66CD" w:rsidP="00AE66CD">
            <w:pPr>
              <w:jc w:val="right"/>
              <w:rPr>
                <w:b/>
                <w:bCs/>
                <w:sz w:val="18"/>
                <w:szCs w:val="18"/>
                <w:lang w:eastAsia="tr-TR"/>
              </w:rPr>
            </w:pPr>
            <w:r w:rsidRPr="00AE66CD">
              <w:rPr>
                <w:b/>
                <w:bCs/>
                <w:sz w:val="18"/>
                <w:szCs w:val="18"/>
                <w:lang w:eastAsia="tr-TR"/>
              </w:rPr>
              <w:t>104,439,345</w:t>
            </w:r>
          </w:p>
        </w:tc>
      </w:tr>
    </w:tbl>
    <w:p w14:paraId="3BFD2615" w14:textId="7284F8C3" w:rsidR="004077D8" w:rsidRPr="001D3A4D" w:rsidRDefault="004077D8" w:rsidP="00DE5FD5">
      <w:pPr>
        <w:pStyle w:val="BodyText"/>
        <w:ind w:hanging="567"/>
        <w:rPr>
          <w:b/>
          <w:sz w:val="16"/>
          <w:szCs w:val="16"/>
        </w:rPr>
      </w:pPr>
    </w:p>
    <w:p w14:paraId="324FC19D" w14:textId="42347BFA" w:rsidR="00AE66CD" w:rsidRDefault="00AE66CD" w:rsidP="00AE66CD">
      <w:pPr>
        <w:pStyle w:val="BodyText"/>
        <w:ind w:hanging="567"/>
        <w:rPr>
          <w:lang w:val="en-GB" w:eastAsia="en-GB"/>
        </w:rPr>
      </w:pPr>
    </w:p>
    <w:tbl>
      <w:tblPr>
        <w:tblW w:w="9212" w:type="dxa"/>
        <w:tblCellMar>
          <w:left w:w="70" w:type="dxa"/>
          <w:right w:w="70" w:type="dxa"/>
        </w:tblCellMar>
        <w:tblLook w:val="04A0" w:firstRow="1" w:lastRow="0" w:firstColumn="1" w:lastColumn="0" w:noHBand="0" w:noVBand="1"/>
      </w:tblPr>
      <w:tblGrid>
        <w:gridCol w:w="6467"/>
        <w:gridCol w:w="14"/>
        <w:gridCol w:w="1372"/>
        <w:gridCol w:w="1359"/>
      </w:tblGrid>
      <w:tr w:rsidR="00AE66CD" w:rsidRPr="00AE66CD" w14:paraId="72C5EA81" w14:textId="77777777" w:rsidTr="00B843E3">
        <w:trPr>
          <w:divId w:val="1207139401"/>
          <w:trHeight w:val="265"/>
        </w:trPr>
        <w:tc>
          <w:tcPr>
            <w:tcW w:w="6467" w:type="dxa"/>
            <w:tcBorders>
              <w:top w:val="single" w:sz="8" w:space="0" w:color="auto"/>
              <w:left w:val="nil"/>
              <w:bottom w:val="single" w:sz="8" w:space="0" w:color="auto"/>
              <w:right w:val="nil"/>
            </w:tcBorders>
            <w:shd w:val="clear" w:color="auto" w:fill="auto"/>
            <w:noWrap/>
            <w:vAlign w:val="center"/>
            <w:hideMark/>
          </w:tcPr>
          <w:p w14:paraId="2392C998" w14:textId="21D638DA" w:rsidR="00AE66CD" w:rsidRPr="00AE66CD" w:rsidRDefault="00AE66CD" w:rsidP="00AE66CD">
            <w:pPr>
              <w:rPr>
                <w:b/>
                <w:bCs/>
                <w:color w:val="000000"/>
                <w:sz w:val="16"/>
                <w:szCs w:val="16"/>
                <w:lang w:eastAsia="tr-TR"/>
              </w:rPr>
            </w:pPr>
            <w:r w:rsidRPr="00AE66CD">
              <w:rPr>
                <w:b/>
                <w:bCs/>
                <w:color w:val="000000"/>
                <w:sz w:val="16"/>
                <w:szCs w:val="16"/>
                <w:lang w:eastAsia="tr-TR"/>
              </w:rPr>
              <w:t>KONSOLİDE OLMAYAN GELİR TABLOSU</w:t>
            </w:r>
          </w:p>
        </w:tc>
        <w:tc>
          <w:tcPr>
            <w:tcW w:w="1386" w:type="dxa"/>
            <w:gridSpan w:val="2"/>
            <w:tcBorders>
              <w:top w:val="single" w:sz="8" w:space="0" w:color="auto"/>
              <w:left w:val="nil"/>
              <w:bottom w:val="single" w:sz="8" w:space="0" w:color="auto"/>
              <w:right w:val="nil"/>
            </w:tcBorders>
            <w:shd w:val="clear" w:color="auto" w:fill="auto"/>
            <w:vAlign w:val="center"/>
            <w:hideMark/>
          </w:tcPr>
          <w:p w14:paraId="514C7F18" w14:textId="77777777" w:rsidR="00AE66CD" w:rsidRPr="00AE66CD" w:rsidRDefault="00AE66CD" w:rsidP="00AE66CD">
            <w:pPr>
              <w:jc w:val="right"/>
              <w:rPr>
                <w:b/>
                <w:bCs/>
                <w:color w:val="000000"/>
                <w:sz w:val="18"/>
                <w:szCs w:val="16"/>
                <w:lang w:eastAsia="tr-TR"/>
              </w:rPr>
            </w:pPr>
            <w:r w:rsidRPr="00AE66CD">
              <w:rPr>
                <w:b/>
                <w:bCs/>
                <w:color w:val="000000"/>
                <w:sz w:val="18"/>
                <w:szCs w:val="16"/>
                <w:lang w:eastAsia="tr-TR"/>
              </w:rPr>
              <w:t>30.09.2020</w:t>
            </w:r>
          </w:p>
        </w:tc>
        <w:tc>
          <w:tcPr>
            <w:tcW w:w="1359" w:type="dxa"/>
            <w:tcBorders>
              <w:top w:val="single" w:sz="8" w:space="0" w:color="auto"/>
              <w:left w:val="nil"/>
              <w:bottom w:val="single" w:sz="8" w:space="0" w:color="auto"/>
              <w:right w:val="nil"/>
            </w:tcBorders>
            <w:shd w:val="clear" w:color="auto" w:fill="auto"/>
            <w:noWrap/>
            <w:vAlign w:val="center"/>
            <w:hideMark/>
          </w:tcPr>
          <w:p w14:paraId="7EB4A25E" w14:textId="77777777" w:rsidR="00AE66CD" w:rsidRPr="00AE66CD" w:rsidRDefault="00AE66CD" w:rsidP="00AE66CD">
            <w:pPr>
              <w:jc w:val="right"/>
              <w:rPr>
                <w:b/>
                <w:bCs/>
                <w:color w:val="000000"/>
                <w:sz w:val="18"/>
                <w:szCs w:val="16"/>
                <w:lang w:eastAsia="tr-TR"/>
              </w:rPr>
            </w:pPr>
            <w:r w:rsidRPr="00AE66CD">
              <w:rPr>
                <w:b/>
                <w:bCs/>
                <w:color w:val="000000"/>
                <w:sz w:val="18"/>
                <w:szCs w:val="16"/>
                <w:lang w:eastAsia="tr-TR"/>
              </w:rPr>
              <w:t>30.09.2019</w:t>
            </w:r>
          </w:p>
        </w:tc>
      </w:tr>
      <w:tr w:rsidR="00AE66CD" w:rsidRPr="00AE66CD" w14:paraId="0C72D97D" w14:textId="77777777" w:rsidTr="00B843E3">
        <w:trPr>
          <w:divId w:val="1207139401"/>
          <w:trHeight w:val="253"/>
        </w:trPr>
        <w:tc>
          <w:tcPr>
            <w:tcW w:w="6467" w:type="dxa"/>
            <w:tcBorders>
              <w:top w:val="nil"/>
              <w:left w:val="nil"/>
              <w:bottom w:val="nil"/>
              <w:right w:val="nil"/>
            </w:tcBorders>
            <w:shd w:val="clear" w:color="auto" w:fill="auto"/>
            <w:noWrap/>
            <w:vAlign w:val="bottom"/>
            <w:hideMark/>
          </w:tcPr>
          <w:p w14:paraId="2DC24888" w14:textId="77777777" w:rsidR="00AE66CD" w:rsidRPr="00AE66CD" w:rsidRDefault="00AE66CD" w:rsidP="00AE66CD">
            <w:pPr>
              <w:jc w:val="right"/>
              <w:rPr>
                <w:b/>
                <w:bCs/>
                <w:color w:val="000000"/>
                <w:sz w:val="16"/>
                <w:szCs w:val="16"/>
                <w:lang w:eastAsia="tr-TR"/>
              </w:rPr>
            </w:pPr>
          </w:p>
        </w:tc>
        <w:tc>
          <w:tcPr>
            <w:tcW w:w="1386" w:type="dxa"/>
            <w:gridSpan w:val="2"/>
            <w:tcBorders>
              <w:top w:val="nil"/>
              <w:left w:val="nil"/>
              <w:bottom w:val="nil"/>
              <w:right w:val="nil"/>
            </w:tcBorders>
            <w:shd w:val="clear" w:color="auto" w:fill="auto"/>
            <w:noWrap/>
            <w:vAlign w:val="bottom"/>
            <w:hideMark/>
          </w:tcPr>
          <w:p w14:paraId="11655204" w14:textId="77777777" w:rsidR="00AE66CD" w:rsidRPr="00AE66CD" w:rsidRDefault="00AE66CD" w:rsidP="00AE66CD">
            <w:pPr>
              <w:jc w:val="right"/>
              <w:rPr>
                <w:lang w:eastAsia="tr-TR"/>
              </w:rPr>
            </w:pPr>
          </w:p>
        </w:tc>
        <w:tc>
          <w:tcPr>
            <w:tcW w:w="1359" w:type="dxa"/>
            <w:tcBorders>
              <w:top w:val="nil"/>
              <w:left w:val="nil"/>
              <w:bottom w:val="nil"/>
              <w:right w:val="nil"/>
            </w:tcBorders>
            <w:shd w:val="clear" w:color="auto" w:fill="auto"/>
            <w:noWrap/>
            <w:vAlign w:val="bottom"/>
            <w:hideMark/>
          </w:tcPr>
          <w:p w14:paraId="7708174D" w14:textId="77777777" w:rsidR="00AE66CD" w:rsidRPr="00AE66CD" w:rsidRDefault="00AE66CD" w:rsidP="00AE66CD">
            <w:pPr>
              <w:jc w:val="right"/>
              <w:rPr>
                <w:lang w:eastAsia="tr-TR"/>
              </w:rPr>
            </w:pPr>
          </w:p>
        </w:tc>
      </w:tr>
      <w:tr w:rsidR="00AE66CD" w:rsidRPr="00AE66CD" w14:paraId="71BF9613" w14:textId="77777777" w:rsidTr="00B843E3">
        <w:trPr>
          <w:divId w:val="1207139401"/>
          <w:trHeight w:val="253"/>
        </w:trPr>
        <w:tc>
          <w:tcPr>
            <w:tcW w:w="6467" w:type="dxa"/>
            <w:tcBorders>
              <w:top w:val="nil"/>
              <w:left w:val="nil"/>
              <w:bottom w:val="nil"/>
              <w:right w:val="nil"/>
            </w:tcBorders>
            <w:shd w:val="clear" w:color="auto" w:fill="auto"/>
            <w:noWrap/>
            <w:vAlign w:val="center"/>
            <w:hideMark/>
          </w:tcPr>
          <w:p w14:paraId="2D0E5545" w14:textId="77777777" w:rsidR="00AE66CD" w:rsidRPr="00AE66CD" w:rsidRDefault="00AE66CD" w:rsidP="00AE66CD">
            <w:pPr>
              <w:rPr>
                <w:color w:val="000000"/>
                <w:sz w:val="16"/>
                <w:szCs w:val="16"/>
                <w:lang w:eastAsia="tr-TR"/>
              </w:rPr>
            </w:pPr>
            <w:r w:rsidRPr="00AE66CD">
              <w:rPr>
                <w:color w:val="000000"/>
                <w:sz w:val="16"/>
                <w:szCs w:val="16"/>
                <w:lang w:eastAsia="tr-TR"/>
              </w:rPr>
              <w:t xml:space="preserve">KAR PAYI GELİRLERİ  </w:t>
            </w:r>
          </w:p>
        </w:tc>
        <w:tc>
          <w:tcPr>
            <w:tcW w:w="1386" w:type="dxa"/>
            <w:gridSpan w:val="2"/>
            <w:tcBorders>
              <w:top w:val="nil"/>
              <w:left w:val="nil"/>
              <w:bottom w:val="nil"/>
              <w:right w:val="nil"/>
            </w:tcBorders>
            <w:shd w:val="clear" w:color="auto" w:fill="auto"/>
            <w:vAlign w:val="center"/>
            <w:hideMark/>
          </w:tcPr>
          <w:p w14:paraId="19EA0F23" w14:textId="77777777" w:rsidR="00AE66CD" w:rsidRPr="00AE66CD" w:rsidRDefault="00AE66CD" w:rsidP="00AE66CD">
            <w:pPr>
              <w:jc w:val="right"/>
              <w:rPr>
                <w:sz w:val="18"/>
                <w:szCs w:val="18"/>
                <w:lang w:eastAsia="tr-TR"/>
              </w:rPr>
            </w:pPr>
            <w:r w:rsidRPr="00AE66CD">
              <w:rPr>
                <w:sz w:val="18"/>
                <w:szCs w:val="18"/>
                <w:lang w:eastAsia="tr-TR"/>
              </w:rPr>
              <w:t>6,666,024</w:t>
            </w:r>
          </w:p>
        </w:tc>
        <w:tc>
          <w:tcPr>
            <w:tcW w:w="1359" w:type="dxa"/>
            <w:tcBorders>
              <w:top w:val="nil"/>
              <w:left w:val="nil"/>
              <w:bottom w:val="nil"/>
              <w:right w:val="nil"/>
            </w:tcBorders>
            <w:shd w:val="clear" w:color="auto" w:fill="auto"/>
            <w:vAlign w:val="center"/>
            <w:hideMark/>
          </w:tcPr>
          <w:p w14:paraId="435367BD" w14:textId="77777777" w:rsidR="00AE66CD" w:rsidRPr="00AE66CD" w:rsidRDefault="00AE66CD" w:rsidP="00AE66CD">
            <w:pPr>
              <w:jc w:val="right"/>
              <w:rPr>
                <w:sz w:val="18"/>
                <w:szCs w:val="18"/>
                <w:lang w:eastAsia="tr-TR"/>
              </w:rPr>
            </w:pPr>
            <w:r w:rsidRPr="00AE66CD">
              <w:rPr>
                <w:sz w:val="18"/>
                <w:szCs w:val="18"/>
                <w:lang w:eastAsia="tr-TR"/>
              </w:rPr>
              <w:t>5,625,937</w:t>
            </w:r>
          </w:p>
        </w:tc>
      </w:tr>
      <w:tr w:rsidR="00AE66CD" w:rsidRPr="00AE66CD" w14:paraId="3409EC3A" w14:textId="77777777" w:rsidTr="00B843E3">
        <w:trPr>
          <w:divId w:val="1207139401"/>
          <w:trHeight w:val="253"/>
        </w:trPr>
        <w:tc>
          <w:tcPr>
            <w:tcW w:w="6467" w:type="dxa"/>
            <w:tcBorders>
              <w:top w:val="nil"/>
              <w:left w:val="nil"/>
              <w:bottom w:val="nil"/>
              <w:right w:val="nil"/>
            </w:tcBorders>
            <w:shd w:val="clear" w:color="auto" w:fill="auto"/>
            <w:noWrap/>
            <w:vAlign w:val="center"/>
            <w:hideMark/>
          </w:tcPr>
          <w:p w14:paraId="5DED3DA1" w14:textId="77777777" w:rsidR="00AE66CD" w:rsidRPr="00AE66CD" w:rsidRDefault="00AE66CD" w:rsidP="00AE66CD">
            <w:pPr>
              <w:rPr>
                <w:color w:val="000000"/>
                <w:sz w:val="16"/>
                <w:szCs w:val="16"/>
                <w:lang w:eastAsia="tr-TR"/>
              </w:rPr>
            </w:pPr>
            <w:r w:rsidRPr="00AE66CD">
              <w:rPr>
                <w:color w:val="000000"/>
                <w:sz w:val="16"/>
                <w:szCs w:val="16"/>
                <w:lang w:eastAsia="tr-TR"/>
              </w:rPr>
              <w:t xml:space="preserve">KAR PAYI GİDERLERİ  </w:t>
            </w:r>
          </w:p>
        </w:tc>
        <w:tc>
          <w:tcPr>
            <w:tcW w:w="1386" w:type="dxa"/>
            <w:gridSpan w:val="2"/>
            <w:tcBorders>
              <w:top w:val="nil"/>
              <w:left w:val="nil"/>
              <w:bottom w:val="nil"/>
              <w:right w:val="nil"/>
            </w:tcBorders>
            <w:shd w:val="clear" w:color="auto" w:fill="auto"/>
            <w:vAlign w:val="center"/>
            <w:hideMark/>
          </w:tcPr>
          <w:p w14:paraId="71622486" w14:textId="77777777" w:rsidR="00AE66CD" w:rsidRPr="00AE66CD" w:rsidRDefault="00AE66CD" w:rsidP="00AE66CD">
            <w:pPr>
              <w:jc w:val="right"/>
              <w:rPr>
                <w:sz w:val="18"/>
                <w:szCs w:val="18"/>
                <w:lang w:eastAsia="tr-TR"/>
              </w:rPr>
            </w:pPr>
            <w:r w:rsidRPr="00AE66CD">
              <w:rPr>
                <w:sz w:val="18"/>
                <w:szCs w:val="18"/>
                <w:lang w:eastAsia="tr-TR"/>
              </w:rPr>
              <w:t>2,250,396</w:t>
            </w:r>
          </w:p>
        </w:tc>
        <w:tc>
          <w:tcPr>
            <w:tcW w:w="1359" w:type="dxa"/>
            <w:tcBorders>
              <w:top w:val="nil"/>
              <w:left w:val="nil"/>
              <w:bottom w:val="nil"/>
              <w:right w:val="nil"/>
            </w:tcBorders>
            <w:shd w:val="clear" w:color="auto" w:fill="auto"/>
            <w:vAlign w:val="center"/>
            <w:hideMark/>
          </w:tcPr>
          <w:p w14:paraId="5D201D1E" w14:textId="77777777" w:rsidR="00AE66CD" w:rsidRPr="00AE66CD" w:rsidRDefault="00AE66CD" w:rsidP="00AE66CD">
            <w:pPr>
              <w:jc w:val="right"/>
              <w:rPr>
                <w:sz w:val="18"/>
                <w:szCs w:val="18"/>
                <w:lang w:eastAsia="tr-TR"/>
              </w:rPr>
            </w:pPr>
            <w:r w:rsidRPr="00AE66CD">
              <w:rPr>
                <w:sz w:val="18"/>
                <w:szCs w:val="18"/>
                <w:lang w:eastAsia="tr-TR"/>
              </w:rPr>
              <w:t>3,087,599</w:t>
            </w:r>
          </w:p>
        </w:tc>
      </w:tr>
      <w:tr w:rsidR="00AE66CD" w:rsidRPr="00AE66CD" w14:paraId="04514C88" w14:textId="77777777" w:rsidTr="00B843E3">
        <w:trPr>
          <w:divId w:val="1207139401"/>
          <w:trHeight w:val="253"/>
        </w:trPr>
        <w:tc>
          <w:tcPr>
            <w:tcW w:w="6467" w:type="dxa"/>
            <w:tcBorders>
              <w:top w:val="nil"/>
              <w:left w:val="nil"/>
              <w:bottom w:val="nil"/>
              <w:right w:val="nil"/>
            </w:tcBorders>
            <w:shd w:val="clear" w:color="auto" w:fill="auto"/>
            <w:noWrap/>
            <w:vAlign w:val="center"/>
            <w:hideMark/>
          </w:tcPr>
          <w:p w14:paraId="7BB84F39" w14:textId="77777777" w:rsidR="00AE66CD" w:rsidRPr="00AE66CD" w:rsidRDefault="00AE66CD" w:rsidP="00AE66CD">
            <w:pPr>
              <w:rPr>
                <w:color w:val="000000"/>
                <w:sz w:val="16"/>
                <w:szCs w:val="16"/>
                <w:lang w:eastAsia="tr-TR"/>
              </w:rPr>
            </w:pPr>
            <w:r w:rsidRPr="00AE66CD">
              <w:rPr>
                <w:color w:val="000000"/>
                <w:sz w:val="16"/>
                <w:szCs w:val="16"/>
                <w:lang w:eastAsia="tr-TR"/>
              </w:rPr>
              <w:t>NET KAR PAYI GELİRİ/GİDERİ</w:t>
            </w:r>
          </w:p>
        </w:tc>
        <w:tc>
          <w:tcPr>
            <w:tcW w:w="1386" w:type="dxa"/>
            <w:gridSpan w:val="2"/>
            <w:tcBorders>
              <w:top w:val="nil"/>
              <w:left w:val="nil"/>
              <w:bottom w:val="nil"/>
              <w:right w:val="nil"/>
            </w:tcBorders>
            <w:shd w:val="clear" w:color="auto" w:fill="auto"/>
            <w:vAlign w:val="center"/>
            <w:hideMark/>
          </w:tcPr>
          <w:p w14:paraId="68C43BF6" w14:textId="77777777" w:rsidR="00AE66CD" w:rsidRPr="00AE66CD" w:rsidRDefault="00AE66CD" w:rsidP="00AE66CD">
            <w:pPr>
              <w:jc w:val="right"/>
              <w:rPr>
                <w:sz w:val="18"/>
                <w:szCs w:val="18"/>
                <w:lang w:eastAsia="tr-TR"/>
              </w:rPr>
            </w:pPr>
            <w:r w:rsidRPr="00AE66CD">
              <w:rPr>
                <w:sz w:val="18"/>
                <w:szCs w:val="18"/>
                <w:lang w:eastAsia="tr-TR"/>
              </w:rPr>
              <w:t>4,415,628</w:t>
            </w:r>
          </w:p>
        </w:tc>
        <w:tc>
          <w:tcPr>
            <w:tcW w:w="1359" w:type="dxa"/>
            <w:tcBorders>
              <w:top w:val="nil"/>
              <w:left w:val="nil"/>
              <w:bottom w:val="nil"/>
              <w:right w:val="nil"/>
            </w:tcBorders>
            <w:shd w:val="clear" w:color="auto" w:fill="auto"/>
            <w:vAlign w:val="center"/>
            <w:hideMark/>
          </w:tcPr>
          <w:p w14:paraId="4B3D28C1" w14:textId="77777777" w:rsidR="00AE66CD" w:rsidRPr="00AE66CD" w:rsidRDefault="00AE66CD" w:rsidP="00AE66CD">
            <w:pPr>
              <w:jc w:val="right"/>
              <w:rPr>
                <w:sz w:val="18"/>
                <w:szCs w:val="18"/>
                <w:lang w:eastAsia="tr-TR"/>
              </w:rPr>
            </w:pPr>
            <w:r w:rsidRPr="00AE66CD">
              <w:rPr>
                <w:sz w:val="18"/>
                <w:szCs w:val="18"/>
                <w:lang w:eastAsia="tr-TR"/>
              </w:rPr>
              <w:t>2,538,338</w:t>
            </w:r>
          </w:p>
        </w:tc>
      </w:tr>
      <w:tr w:rsidR="00AE66CD" w:rsidRPr="00AE66CD" w14:paraId="77A222F6" w14:textId="77777777" w:rsidTr="00B843E3">
        <w:trPr>
          <w:divId w:val="1207139401"/>
          <w:trHeight w:val="253"/>
        </w:trPr>
        <w:tc>
          <w:tcPr>
            <w:tcW w:w="6481" w:type="dxa"/>
            <w:gridSpan w:val="2"/>
            <w:tcBorders>
              <w:top w:val="nil"/>
              <w:left w:val="nil"/>
              <w:bottom w:val="nil"/>
              <w:right w:val="nil"/>
            </w:tcBorders>
            <w:shd w:val="clear" w:color="auto" w:fill="auto"/>
            <w:noWrap/>
            <w:vAlign w:val="center"/>
            <w:hideMark/>
          </w:tcPr>
          <w:p w14:paraId="3DF1BDC5" w14:textId="77777777" w:rsidR="00AE66CD" w:rsidRPr="00AE66CD" w:rsidRDefault="00AE66CD" w:rsidP="00AE66CD">
            <w:pPr>
              <w:rPr>
                <w:color w:val="000000"/>
                <w:sz w:val="16"/>
                <w:szCs w:val="16"/>
                <w:lang w:eastAsia="tr-TR"/>
              </w:rPr>
            </w:pPr>
            <w:r w:rsidRPr="00AE66CD">
              <w:rPr>
                <w:color w:val="000000"/>
                <w:sz w:val="16"/>
                <w:szCs w:val="16"/>
                <w:lang w:eastAsia="tr-TR"/>
              </w:rPr>
              <w:t>NET ÜCRET VE KOMİSYON GELİRLERİ/GİDERLERİ</w:t>
            </w:r>
          </w:p>
        </w:tc>
        <w:tc>
          <w:tcPr>
            <w:tcW w:w="1372" w:type="dxa"/>
            <w:tcBorders>
              <w:top w:val="nil"/>
              <w:left w:val="nil"/>
              <w:bottom w:val="nil"/>
              <w:right w:val="nil"/>
            </w:tcBorders>
            <w:shd w:val="clear" w:color="auto" w:fill="auto"/>
            <w:vAlign w:val="center"/>
            <w:hideMark/>
          </w:tcPr>
          <w:p w14:paraId="7E0A0987" w14:textId="77777777" w:rsidR="00AE66CD" w:rsidRPr="00AE66CD" w:rsidRDefault="00AE66CD" w:rsidP="00AE66CD">
            <w:pPr>
              <w:jc w:val="right"/>
              <w:rPr>
                <w:sz w:val="18"/>
                <w:szCs w:val="18"/>
                <w:lang w:eastAsia="tr-TR"/>
              </w:rPr>
            </w:pPr>
            <w:r w:rsidRPr="00AE66CD">
              <w:rPr>
                <w:sz w:val="18"/>
                <w:szCs w:val="18"/>
                <w:lang w:eastAsia="tr-TR"/>
              </w:rPr>
              <w:t>255,629</w:t>
            </w:r>
          </w:p>
        </w:tc>
        <w:tc>
          <w:tcPr>
            <w:tcW w:w="1359" w:type="dxa"/>
            <w:tcBorders>
              <w:top w:val="nil"/>
              <w:left w:val="nil"/>
              <w:bottom w:val="nil"/>
              <w:right w:val="nil"/>
            </w:tcBorders>
            <w:shd w:val="clear" w:color="auto" w:fill="auto"/>
            <w:vAlign w:val="center"/>
            <w:hideMark/>
          </w:tcPr>
          <w:p w14:paraId="621C6D83" w14:textId="77777777" w:rsidR="00AE66CD" w:rsidRPr="00AE66CD" w:rsidRDefault="00AE66CD" w:rsidP="00AE66CD">
            <w:pPr>
              <w:jc w:val="right"/>
              <w:rPr>
                <w:sz w:val="18"/>
                <w:szCs w:val="18"/>
                <w:lang w:eastAsia="tr-TR"/>
              </w:rPr>
            </w:pPr>
            <w:r w:rsidRPr="00AE66CD">
              <w:rPr>
                <w:sz w:val="18"/>
                <w:szCs w:val="18"/>
                <w:lang w:eastAsia="tr-TR"/>
              </w:rPr>
              <w:t>339,638</w:t>
            </w:r>
          </w:p>
        </w:tc>
      </w:tr>
      <w:tr w:rsidR="00AE66CD" w:rsidRPr="00AE66CD" w14:paraId="1C827417" w14:textId="77777777" w:rsidTr="00B843E3">
        <w:trPr>
          <w:divId w:val="1207139401"/>
          <w:trHeight w:val="253"/>
        </w:trPr>
        <w:tc>
          <w:tcPr>
            <w:tcW w:w="6481" w:type="dxa"/>
            <w:gridSpan w:val="2"/>
            <w:tcBorders>
              <w:top w:val="nil"/>
              <w:left w:val="nil"/>
              <w:bottom w:val="nil"/>
              <w:right w:val="nil"/>
            </w:tcBorders>
            <w:shd w:val="clear" w:color="auto" w:fill="auto"/>
            <w:noWrap/>
            <w:vAlign w:val="center"/>
            <w:hideMark/>
          </w:tcPr>
          <w:p w14:paraId="2224388C" w14:textId="77777777" w:rsidR="00AE66CD" w:rsidRPr="00AE66CD" w:rsidRDefault="00AE66CD" w:rsidP="00AE66CD">
            <w:pPr>
              <w:rPr>
                <w:color w:val="000000"/>
                <w:sz w:val="16"/>
                <w:szCs w:val="16"/>
                <w:lang w:eastAsia="tr-TR"/>
              </w:rPr>
            </w:pPr>
            <w:r w:rsidRPr="00AE66CD">
              <w:rPr>
                <w:color w:val="000000"/>
                <w:sz w:val="16"/>
                <w:szCs w:val="16"/>
                <w:lang w:eastAsia="tr-TR"/>
              </w:rPr>
              <w:t>PERSONEL GİDERLERİ</w:t>
            </w:r>
          </w:p>
        </w:tc>
        <w:tc>
          <w:tcPr>
            <w:tcW w:w="1372" w:type="dxa"/>
            <w:tcBorders>
              <w:top w:val="nil"/>
              <w:left w:val="nil"/>
              <w:bottom w:val="nil"/>
              <w:right w:val="nil"/>
            </w:tcBorders>
            <w:shd w:val="clear" w:color="auto" w:fill="auto"/>
            <w:vAlign w:val="center"/>
            <w:hideMark/>
          </w:tcPr>
          <w:p w14:paraId="629A0C07" w14:textId="77777777" w:rsidR="00AE66CD" w:rsidRPr="00AE66CD" w:rsidRDefault="00AE66CD" w:rsidP="00AE66CD">
            <w:pPr>
              <w:jc w:val="right"/>
              <w:rPr>
                <w:sz w:val="18"/>
                <w:szCs w:val="18"/>
                <w:lang w:eastAsia="tr-TR"/>
              </w:rPr>
            </w:pPr>
            <w:r w:rsidRPr="00AE66CD">
              <w:rPr>
                <w:sz w:val="18"/>
                <w:szCs w:val="18"/>
                <w:lang w:eastAsia="tr-TR"/>
              </w:rPr>
              <w:t>886,644</w:t>
            </w:r>
          </w:p>
        </w:tc>
        <w:tc>
          <w:tcPr>
            <w:tcW w:w="1359" w:type="dxa"/>
            <w:tcBorders>
              <w:top w:val="nil"/>
              <w:left w:val="nil"/>
              <w:bottom w:val="nil"/>
              <w:right w:val="nil"/>
            </w:tcBorders>
            <w:shd w:val="clear" w:color="auto" w:fill="auto"/>
            <w:vAlign w:val="center"/>
            <w:hideMark/>
          </w:tcPr>
          <w:p w14:paraId="4ACC5916" w14:textId="77777777" w:rsidR="00AE66CD" w:rsidRPr="00AE66CD" w:rsidRDefault="00AE66CD" w:rsidP="00AE66CD">
            <w:pPr>
              <w:jc w:val="right"/>
              <w:rPr>
                <w:sz w:val="18"/>
                <w:szCs w:val="18"/>
                <w:lang w:eastAsia="tr-TR"/>
              </w:rPr>
            </w:pPr>
            <w:r w:rsidRPr="00AE66CD">
              <w:rPr>
                <w:sz w:val="18"/>
                <w:szCs w:val="18"/>
                <w:lang w:eastAsia="tr-TR"/>
              </w:rPr>
              <w:t>762,689</w:t>
            </w:r>
          </w:p>
        </w:tc>
      </w:tr>
      <w:tr w:rsidR="00AE66CD" w:rsidRPr="00AE66CD" w14:paraId="4EDA9262" w14:textId="77777777" w:rsidTr="00B843E3">
        <w:trPr>
          <w:divId w:val="1207139401"/>
          <w:trHeight w:val="253"/>
        </w:trPr>
        <w:tc>
          <w:tcPr>
            <w:tcW w:w="6481" w:type="dxa"/>
            <w:gridSpan w:val="2"/>
            <w:tcBorders>
              <w:top w:val="nil"/>
              <w:left w:val="nil"/>
              <w:bottom w:val="nil"/>
              <w:right w:val="nil"/>
            </w:tcBorders>
            <w:shd w:val="clear" w:color="auto" w:fill="auto"/>
            <w:noWrap/>
            <w:vAlign w:val="center"/>
            <w:hideMark/>
          </w:tcPr>
          <w:p w14:paraId="53AC5AB0" w14:textId="77777777" w:rsidR="00AE66CD" w:rsidRPr="00AE66CD" w:rsidRDefault="00AE66CD" w:rsidP="00AE66CD">
            <w:pPr>
              <w:rPr>
                <w:color w:val="000000"/>
                <w:sz w:val="16"/>
                <w:szCs w:val="16"/>
                <w:lang w:eastAsia="tr-TR"/>
              </w:rPr>
            </w:pPr>
            <w:r w:rsidRPr="00AE66CD">
              <w:rPr>
                <w:color w:val="000000"/>
                <w:sz w:val="16"/>
                <w:szCs w:val="16"/>
                <w:lang w:eastAsia="tr-TR"/>
              </w:rPr>
              <w:t>TEMETTÜ GELİRLERİ</w:t>
            </w:r>
          </w:p>
        </w:tc>
        <w:tc>
          <w:tcPr>
            <w:tcW w:w="1372" w:type="dxa"/>
            <w:tcBorders>
              <w:top w:val="nil"/>
              <w:left w:val="nil"/>
              <w:bottom w:val="nil"/>
              <w:right w:val="nil"/>
            </w:tcBorders>
            <w:shd w:val="clear" w:color="auto" w:fill="auto"/>
            <w:vAlign w:val="center"/>
            <w:hideMark/>
          </w:tcPr>
          <w:p w14:paraId="162004F5" w14:textId="77777777" w:rsidR="00AE66CD" w:rsidRPr="00AE66CD" w:rsidRDefault="00AE66CD" w:rsidP="00AE66CD">
            <w:pPr>
              <w:jc w:val="right"/>
              <w:rPr>
                <w:sz w:val="18"/>
                <w:szCs w:val="18"/>
                <w:lang w:eastAsia="tr-TR"/>
              </w:rPr>
            </w:pPr>
            <w:r w:rsidRPr="00AE66CD">
              <w:rPr>
                <w:sz w:val="18"/>
                <w:szCs w:val="18"/>
                <w:lang w:eastAsia="tr-TR"/>
              </w:rPr>
              <w:t>68</w:t>
            </w:r>
          </w:p>
        </w:tc>
        <w:tc>
          <w:tcPr>
            <w:tcW w:w="1359" w:type="dxa"/>
            <w:tcBorders>
              <w:top w:val="nil"/>
              <w:left w:val="nil"/>
              <w:bottom w:val="nil"/>
              <w:right w:val="nil"/>
            </w:tcBorders>
            <w:shd w:val="clear" w:color="auto" w:fill="auto"/>
            <w:vAlign w:val="center"/>
            <w:hideMark/>
          </w:tcPr>
          <w:p w14:paraId="656AD782" w14:textId="77777777" w:rsidR="00AE66CD" w:rsidRPr="00AE66CD" w:rsidRDefault="00AE66CD" w:rsidP="00AE66CD">
            <w:pPr>
              <w:jc w:val="right"/>
              <w:rPr>
                <w:sz w:val="18"/>
                <w:szCs w:val="18"/>
                <w:lang w:eastAsia="tr-TR"/>
              </w:rPr>
            </w:pPr>
            <w:r w:rsidRPr="00AE66CD">
              <w:rPr>
                <w:sz w:val="18"/>
                <w:szCs w:val="18"/>
                <w:lang w:eastAsia="tr-TR"/>
              </w:rPr>
              <w:t>2,922</w:t>
            </w:r>
          </w:p>
        </w:tc>
      </w:tr>
      <w:tr w:rsidR="00AE66CD" w:rsidRPr="00AE66CD" w14:paraId="6221F293" w14:textId="77777777" w:rsidTr="00B843E3">
        <w:trPr>
          <w:divId w:val="1207139401"/>
          <w:trHeight w:val="253"/>
        </w:trPr>
        <w:tc>
          <w:tcPr>
            <w:tcW w:w="6481" w:type="dxa"/>
            <w:gridSpan w:val="2"/>
            <w:tcBorders>
              <w:top w:val="nil"/>
              <w:left w:val="nil"/>
              <w:bottom w:val="nil"/>
              <w:right w:val="nil"/>
            </w:tcBorders>
            <w:shd w:val="clear" w:color="auto" w:fill="auto"/>
            <w:noWrap/>
            <w:vAlign w:val="center"/>
            <w:hideMark/>
          </w:tcPr>
          <w:p w14:paraId="322E929E" w14:textId="77777777" w:rsidR="00AE66CD" w:rsidRPr="00AE66CD" w:rsidRDefault="00AE66CD" w:rsidP="00AE66CD">
            <w:pPr>
              <w:rPr>
                <w:color w:val="000000"/>
                <w:sz w:val="16"/>
                <w:szCs w:val="16"/>
                <w:lang w:eastAsia="tr-TR"/>
              </w:rPr>
            </w:pPr>
            <w:r w:rsidRPr="00AE66CD">
              <w:rPr>
                <w:color w:val="000000"/>
                <w:sz w:val="16"/>
                <w:szCs w:val="16"/>
                <w:lang w:eastAsia="tr-TR"/>
              </w:rPr>
              <w:t>TİCARİ KÂR / ZARAR (Net)</w:t>
            </w:r>
          </w:p>
        </w:tc>
        <w:tc>
          <w:tcPr>
            <w:tcW w:w="1372" w:type="dxa"/>
            <w:tcBorders>
              <w:top w:val="nil"/>
              <w:left w:val="nil"/>
              <w:bottom w:val="nil"/>
              <w:right w:val="nil"/>
            </w:tcBorders>
            <w:shd w:val="clear" w:color="auto" w:fill="auto"/>
            <w:vAlign w:val="center"/>
            <w:hideMark/>
          </w:tcPr>
          <w:p w14:paraId="3FBB8925" w14:textId="77777777" w:rsidR="00AE66CD" w:rsidRPr="00AE66CD" w:rsidRDefault="00AE66CD" w:rsidP="00AE66CD">
            <w:pPr>
              <w:jc w:val="right"/>
              <w:rPr>
                <w:sz w:val="18"/>
                <w:szCs w:val="18"/>
                <w:lang w:eastAsia="tr-TR"/>
              </w:rPr>
            </w:pPr>
            <w:r w:rsidRPr="00AE66CD">
              <w:rPr>
                <w:sz w:val="18"/>
                <w:szCs w:val="18"/>
                <w:lang w:eastAsia="tr-TR"/>
              </w:rPr>
              <w:t>844,334</w:t>
            </w:r>
          </w:p>
        </w:tc>
        <w:tc>
          <w:tcPr>
            <w:tcW w:w="1359" w:type="dxa"/>
            <w:tcBorders>
              <w:top w:val="nil"/>
              <w:left w:val="nil"/>
              <w:bottom w:val="nil"/>
              <w:right w:val="nil"/>
            </w:tcBorders>
            <w:shd w:val="clear" w:color="auto" w:fill="auto"/>
            <w:vAlign w:val="center"/>
            <w:hideMark/>
          </w:tcPr>
          <w:p w14:paraId="188930CD" w14:textId="77777777" w:rsidR="00AE66CD" w:rsidRPr="00AE66CD" w:rsidRDefault="00AE66CD" w:rsidP="00AE66CD">
            <w:pPr>
              <w:jc w:val="right"/>
              <w:rPr>
                <w:sz w:val="18"/>
                <w:szCs w:val="18"/>
                <w:lang w:eastAsia="tr-TR"/>
              </w:rPr>
            </w:pPr>
            <w:r w:rsidRPr="00AE66CD">
              <w:rPr>
                <w:sz w:val="18"/>
                <w:szCs w:val="18"/>
                <w:lang w:eastAsia="tr-TR"/>
              </w:rPr>
              <w:t>886,401</w:t>
            </w:r>
          </w:p>
        </w:tc>
      </w:tr>
      <w:tr w:rsidR="00AE66CD" w:rsidRPr="00AE66CD" w14:paraId="6F15B685" w14:textId="77777777" w:rsidTr="00B843E3">
        <w:trPr>
          <w:divId w:val="1207139401"/>
          <w:trHeight w:val="253"/>
        </w:trPr>
        <w:tc>
          <w:tcPr>
            <w:tcW w:w="6481" w:type="dxa"/>
            <w:gridSpan w:val="2"/>
            <w:tcBorders>
              <w:top w:val="nil"/>
              <w:left w:val="nil"/>
              <w:bottom w:val="nil"/>
              <w:right w:val="nil"/>
            </w:tcBorders>
            <w:shd w:val="clear" w:color="auto" w:fill="auto"/>
            <w:noWrap/>
            <w:vAlign w:val="center"/>
            <w:hideMark/>
          </w:tcPr>
          <w:p w14:paraId="4B63E3E4" w14:textId="77777777" w:rsidR="00AE66CD" w:rsidRPr="00AE66CD" w:rsidRDefault="00AE66CD" w:rsidP="00AE66CD">
            <w:pPr>
              <w:rPr>
                <w:color w:val="000000"/>
                <w:sz w:val="16"/>
                <w:szCs w:val="16"/>
                <w:lang w:eastAsia="tr-TR"/>
              </w:rPr>
            </w:pPr>
            <w:r w:rsidRPr="00AE66CD">
              <w:rPr>
                <w:color w:val="000000"/>
                <w:sz w:val="16"/>
                <w:szCs w:val="16"/>
                <w:lang w:eastAsia="tr-TR"/>
              </w:rPr>
              <w:t>DİĞER FAALİYET GELİRLERİ</w:t>
            </w:r>
          </w:p>
        </w:tc>
        <w:tc>
          <w:tcPr>
            <w:tcW w:w="1372" w:type="dxa"/>
            <w:tcBorders>
              <w:top w:val="nil"/>
              <w:left w:val="nil"/>
              <w:bottom w:val="nil"/>
              <w:right w:val="nil"/>
            </w:tcBorders>
            <w:shd w:val="clear" w:color="auto" w:fill="auto"/>
            <w:vAlign w:val="center"/>
            <w:hideMark/>
          </w:tcPr>
          <w:p w14:paraId="522A90A5" w14:textId="77777777" w:rsidR="00AE66CD" w:rsidRPr="00AE66CD" w:rsidRDefault="00AE66CD" w:rsidP="00AE66CD">
            <w:pPr>
              <w:jc w:val="right"/>
              <w:rPr>
                <w:sz w:val="18"/>
                <w:szCs w:val="18"/>
                <w:lang w:eastAsia="tr-TR"/>
              </w:rPr>
            </w:pPr>
            <w:r w:rsidRPr="00AE66CD">
              <w:rPr>
                <w:sz w:val="18"/>
                <w:szCs w:val="18"/>
                <w:lang w:eastAsia="tr-TR"/>
              </w:rPr>
              <w:t>400,258</w:t>
            </w:r>
          </w:p>
        </w:tc>
        <w:tc>
          <w:tcPr>
            <w:tcW w:w="1359" w:type="dxa"/>
            <w:tcBorders>
              <w:top w:val="nil"/>
              <w:left w:val="nil"/>
              <w:bottom w:val="nil"/>
              <w:right w:val="nil"/>
            </w:tcBorders>
            <w:shd w:val="clear" w:color="auto" w:fill="auto"/>
            <w:vAlign w:val="center"/>
            <w:hideMark/>
          </w:tcPr>
          <w:p w14:paraId="45FBFC95" w14:textId="77777777" w:rsidR="00AE66CD" w:rsidRPr="00AE66CD" w:rsidRDefault="00AE66CD" w:rsidP="00AE66CD">
            <w:pPr>
              <w:jc w:val="right"/>
              <w:rPr>
                <w:sz w:val="18"/>
                <w:szCs w:val="18"/>
                <w:lang w:eastAsia="tr-TR"/>
              </w:rPr>
            </w:pPr>
            <w:r w:rsidRPr="00AE66CD">
              <w:rPr>
                <w:sz w:val="18"/>
                <w:szCs w:val="18"/>
                <w:lang w:eastAsia="tr-TR"/>
              </w:rPr>
              <w:t>802,190</w:t>
            </w:r>
          </w:p>
        </w:tc>
      </w:tr>
      <w:tr w:rsidR="00AE66CD" w:rsidRPr="00AE66CD" w14:paraId="58FD3731" w14:textId="77777777" w:rsidTr="00B843E3">
        <w:trPr>
          <w:divId w:val="1207139401"/>
          <w:trHeight w:val="253"/>
        </w:trPr>
        <w:tc>
          <w:tcPr>
            <w:tcW w:w="6481" w:type="dxa"/>
            <w:gridSpan w:val="2"/>
            <w:tcBorders>
              <w:top w:val="nil"/>
              <w:left w:val="nil"/>
              <w:bottom w:val="nil"/>
              <w:right w:val="nil"/>
            </w:tcBorders>
            <w:shd w:val="clear" w:color="auto" w:fill="auto"/>
            <w:noWrap/>
            <w:vAlign w:val="center"/>
            <w:hideMark/>
          </w:tcPr>
          <w:p w14:paraId="2F07F6B7" w14:textId="77777777" w:rsidR="00AE66CD" w:rsidRPr="00AE66CD" w:rsidRDefault="00AE66CD" w:rsidP="00AE66CD">
            <w:pPr>
              <w:rPr>
                <w:color w:val="000000"/>
                <w:sz w:val="16"/>
                <w:szCs w:val="16"/>
                <w:lang w:eastAsia="tr-TR"/>
              </w:rPr>
            </w:pPr>
            <w:r w:rsidRPr="00AE66CD">
              <w:rPr>
                <w:color w:val="000000"/>
                <w:sz w:val="16"/>
                <w:szCs w:val="16"/>
                <w:lang w:eastAsia="tr-TR"/>
              </w:rPr>
              <w:t>BEKLENEN ZARAR KARŞILIKLARI (-)</w:t>
            </w:r>
          </w:p>
        </w:tc>
        <w:tc>
          <w:tcPr>
            <w:tcW w:w="1372" w:type="dxa"/>
            <w:tcBorders>
              <w:top w:val="nil"/>
              <w:left w:val="nil"/>
              <w:bottom w:val="nil"/>
              <w:right w:val="nil"/>
            </w:tcBorders>
            <w:shd w:val="clear" w:color="auto" w:fill="auto"/>
            <w:vAlign w:val="center"/>
            <w:hideMark/>
          </w:tcPr>
          <w:p w14:paraId="5F90A19F" w14:textId="77777777" w:rsidR="00AE66CD" w:rsidRPr="00AE66CD" w:rsidRDefault="00AE66CD" w:rsidP="00AE66CD">
            <w:pPr>
              <w:jc w:val="right"/>
              <w:rPr>
                <w:sz w:val="18"/>
                <w:szCs w:val="18"/>
                <w:lang w:eastAsia="tr-TR"/>
              </w:rPr>
            </w:pPr>
            <w:r w:rsidRPr="00AE66CD">
              <w:rPr>
                <w:sz w:val="18"/>
                <w:szCs w:val="18"/>
                <w:lang w:eastAsia="tr-TR"/>
              </w:rPr>
              <w:t>2,649,124</w:t>
            </w:r>
          </w:p>
        </w:tc>
        <w:tc>
          <w:tcPr>
            <w:tcW w:w="1359" w:type="dxa"/>
            <w:tcBorders>
              <w:top w:val="nil"/>
              <w:left w:val="nil"/>
              <w:bottom w:val="nil"/>
              <w:right w:val="nil"/>
            </w:tcBorders>
            <w:shd w:val="clear" w:color="auto" w:fill="auto"/>
            <w:vAlign w:val="center"/>
            <w:hideMark/>
          </w:tcPr>
          <w:p w14:paraId="4A95341E" w14:textId="77777777" w:rsidR="00AE66CD" w:rsidRPr="00AE66CD" w:rsidRDefault="00AE66CD" w:rsidP="00AE66CD">
            <w:pPr>
              <w:jc w:val="right"/>
              <w:rPr>
                <w:sz w:val="18"/>
                <w:szCs w:val="18"/>
                <w:lang w:eastAsia="tr-TR"/>
              </w:rPr>
            </w:pPr>
            <w:r w:rsidRPr="00AE66CD">
              <w:rPr>
                <w:sz w:val="18"/>
                <w:szCs w:val="18"/>
                <w:lang w:eastAsia="tr-TR"/>
              </w:rPr>
              <w:t>2,152,806</w:t>
            </w:r>
          </w:p>
        </w:tc>
      </w:tr>
      <w:tr w:rsidR="00AE66CD" w:rsidRPr="00AE66CD" w14:paraId="6E24AEB1" w14:textId="77777777" w:rsidTr="00B843E3">
        <w:trPr>
          <w:divId w:val="1207139401"/>
          <w:trHeight w:val="253"/>
        </w:trPr>
        <w:tc>
          <w:tcPr>
            <w:tcW w:w="6481" w:type="dxa"/>
            <w:gridSpan w:val="2"/>
            <w:tcBorders>
              <w:top w:val="nil"/>
              <w:left w:val="nil"/>
              <w:bottom w:val="nil"/>
              <w:right w:val="nil"/>
            </w:tcBorders>
            <w:shd w:val="clear" w:color="auto" w:fill="auto"/>
            <w:noWrap/>
            <w:vAlign w:val="center"/>
            <w:hideMark/>
          </w:tcPr>
          <w:p w14:paraId="053B39E8" w14:textId="77777777" w:rsidR="00AE66CD" w:rsidRPr="00AE66CD" w:rsidRDefault="00AE66CD" w:rsidP="00AE66CD">
            <w:pPr>
              <w:rPr>
                <w:color w:val="000000"/>
                <w:sz w:val="16"/>
                <w:szCs w:val="16"/>
                <w:lang w:eastAsia="tr-TR"/>
              </w:rPr>
            </w:pPr>
            <w:r w:rsidRPr="00AE66CD">
              <w:rPr>
                <w:color w:val="000000"/>
                <w:sz w:val="16"/>
                <w:szCs w:val="16"/>
                <w:lang w:eastAsia="tr-TR"/>
              </w:rPr>
              <w:t>DİĞER KARŞILIK GİDERLERİ (-)</w:t>
            </w:r>
          </w:p>
        </w:tc>
        <w:tc>
          <w:tcPr>
            <w:tcW w:w="1372" w:type="dxa"/>
            <w:tcBorders>
              <w:top w:val="nil"/>
              <w:left w:val="nil"/>
              <w:bottom w:val="nil"/>
              <w:right w:val="nil"/>
            </w:tcBorders>
            <w:shd w:val="clear" w:color="auto" w:fill="auto"/>
            <w:vAlign w:val="center"/>
            <w:hideMark/>
          </w:tcPr>
          <w:p w14:paraId="4C292A5C" w14:textId="77777777" w:rsidR="00AE66CD" w:rsidRPr="00AE66CD" w:rsidRDefault="00AE66CD" w:rsidP="00AE66CD">
            <w:pPr>
              <w:jc w:val="right"/>
              <w:rPr>
                <w:sz w:val="18"/>
                <w:szCs w:val="18"/>
                <w:lang w:eastAsia="tr-TR"/>
              </w:rPr>
            </w:pPr>
            <w:r w:rsidRPr="00AE66CD">
              <w:rPr>
                <w:sz w:val="18"/>
                <w:szCs w:val="18"/>
                <w:lang w:eastAsia="tr-TR"/>
              </w:rPr>
              <w:t>227,390</w:t>
            </w:r>
          </w:p>
        </w:tc>
        <w:tc>
          <w:tcPr>
            <w:tcW w:w="1359" w:type="dxa"/>
            <w:tcBorders>
              <w:top w:val="nil"/>
              <w:left w:val="nil"/>
              <w:bottom w:val="nil"/>
              <w:right w:val="nil"/>
            </w:tcBorders>
            <w:shd w:val="clear" w:color="auto" w:fill="auto"/>
            <w:vAlign w:val="center"/>
            <w:hideMark/>
          </w:tcPr>
          <w:p w14:paraId="624AE449" w14:textId="77777777" w:rsidR="00AE66CD" w:rsidRPr="00AE66CD" w:rsidRDefault="00AE66CD" w:rsidP="00AE66CD">
            <w:pPr>
              <w:jc w:val="right"/>
              <w:rPr>
                <w:sz w:val="18"/>
                <w:szCs w:val="18"/>
                <w:lang w:eastAsia="tr-TR"/>
              </w:rPr>
            </w:pPr>
            <w:r w:rsidRPr="00AE66CD">
              <w:rPr>
                <w:sz w:val="18"/>
                <w:szCs w:val="18"/>
                <w:lang w:eastAsia="tr-TR"/>
              </w:rPr>
              <w:t>36,281</w:t>
            </w:r>
          </w:p>
        </w:tc>
      </w:tr>
      <w:tr w:rsidR="00AE66CD" w:rsidRPr="00AE66CD" w14:paraId="06680241" w14:textId="77777777" w:rsidTr="00B843E3">
        <w:trPr>
          <w:divId w:val="1207139401"/>
          <w:trHeight w:val="253"/>
        </w:trPr>
        <w:tc>
          <w:tcPr>
            <w:tcW w:w="6481" w:type="dxa"/>
            <w:gridSpan w:val="2"/>
            <w:tcBorders>
              <w:top w:val="nil"/>
              <w:left w:val="nil"/>
              <w:bottom w:val="nil"/>
              <w:right w:val="nil"/>
            </w:tcBorders>
            <w:shd w:val="clear" w:color="auto" w:fill="auto"/>
            <w:noWrap/>
            <w:vAlign w:val="center"/>
            <w:hideMark/>
          </w:tcPr>
          <w:p w14:paraId="104EA4E7" w14:textId="77777777" w:rsidR="00AE66CD" w:rsidRPr="00AE66CD" w:rsidRDefault="00AE66CD" w:rsidP="00AE66CD">
            <w:pPr>
              <w:rPr>
                <w:color w:val="000000"/>
                <w:sz w:val="16"/>
                <w:szCs w:val="16"/>
                <w:lang w:eastAsia="tr-TR"/>
              </w:rPr>
            </w:pPr>
            <w:r w:rsidRPr="00AE66CD">
              <w:rPr>
                <w:color w:val="000000"/>
                <w:sz w:val="16"/>
                <w:szCs w:val="16"/>
                <w:lang w:eastAsia="tr-TR"/>
              </w:rPr>
              <w:t>DİĞER FAALİYET GİDERLERİ (-)</w:t>
            </w:r>
          </w:p>
        </w:tc>
        <w:tc>
          <w:tcPr>
            <w:tcW w:w="1372" w:type="dxa"/>
            <w:tcBorders>
              <w:top w:val="nil"/>
              <w:left w:val="nil"/>
              <w:bottom w:val="nil"/>
              <w:right w:val="nil"/>
            </w:tcBorders>
            <w:shd w:val="clear" w:color="auto" w:fill="auto"/>
            <w:vAlign w:val="center"/>
            <w:hideMark/>
          </w:tcPr>
          <w:p w14:paraId="3418FB46" w14:textId="77777777" w:rsidR="00AE66CD" w:rsidRPr="00AE66CD" w:rsidRDefault="00AE66CD" w:rsidP="00AE66CD">
            <w:pPr>
              <w:jc w:val="right"/>
              <w:rPr>
                <w:sz w:val="18"/>
                <w:szCs w:val="18"/>
                <w:lang w:eastAsia="tr-TR"/>
              </w:rPr>
            </w:pPr>
            <w:r w:rsidRPr="00AE66CD">
              <w:rPr>
                <w:sz w:val="18"/>
                <w:szCs w:val="18"/>
                <w:lang w:eastAsia="tr-TR"/>
              </w:rPr>
              <w:t>833,215</w:t>
            </w:r>
          </w:p>
        </w:tc>
        <w:tc>
          <w:tcPr>
            <w:tcW w:w="1359" w:type="dxa"/>
            <w:tcBorders>
              <w:top w:val="nil"/>
              <w:left w:val="nil"/>
              <w:bottom w:val="nil"/>
              <w:right w:val="nil"/>
            </w:tcBorders>
            <w:shd w:val="clear" w:color="auto" w:fill="auto"/>
            <w:vAlign w:val="center"/>
            <w:hideMark/>
          </w:tcPr>
          <w:p w14:paraId="3D6C7F9A" w14:textId="77777777" w:rsidR="00AE66CD" w:rsidRPr="00AE66CD" w:rsidRDefault="00AE66CD" w:rsidP="00AE66CD">
            <w:pPr>
              <w:jc w:val="right"/>
              <w:rPr>
                <w:sz w:val="18"/>
                <w:szCs w:val="18"/>
                <w:lang w:eastAsia="tr-TR"/>
              </w:rPr>
            </w:pPr>
            <w:r w:rsidRPr="00AE66CD">
              <w:rPr>
                <w:sz w:val="18"/>
                <w:szCs w:val="18"/>
                <w:lang w:eastAsia="tr-TR"/>
              </w:rPr>
              <w:t>645,647</w:t>
            </w:r>
          </w:p>
        </w:tc>
      </w:tr>
      <w:tr w:rsidR="00AE66CD" w:rsidRPr="00AE66CD" w14:paraId="09C7AC37" w14:textId="77777777" w:rsidTr="00B843E3">
        <w:trPr>
          <w:divId w:val="1207139401"/>
          <w:trHeight w:val="253"/>
        </w:trPr>
        <w:tc>
          <w:tcPr>
            <w:tcW w:w="6481" w:type="dxa"/>
            <w:gridSpan w:val="2"/>
            <w:tcBorders>
              <w:top w:val="nil"/>
              <w:left w:val="nil"/>
              <w:bottom w:val="nil"/>
              <w:right w:val="nil"/>
            </w:tcBorders>
            <w:shd w:val="clear" w:color="auto" w:fill="auto"/>
            <w:noWrap/>
            <w:vAlign w:val="center"/>
            <w:hideMark/>
          </w:tcPr>
          <w:p w14:paraId="5F2B19C7" w14:textId="77777777" w:rsidR="00AE66CD" w:rsidRPr="00AE66CD" w:rsidRDefault="00AE66CD" w:rsidP="00AE66CD">
            <w:pPr>
              <w:rPr>
                <w:color w:val="000000"/>
                <w:sz w:val="16"/>
                <w:szCs w:val="16"/>
                <w:lang w:eastAsia="tr-TR"/>
              </w:rPr>
            </w:pPr>
            <w:r w:rsidRPr="00AE66CD">
              <w:rPr>
                <w:color w:val="000000"/>
                <w:sz w:val="16"/>
                <w:szCs w:val="16"/>
                <w:lang w:eastAsia="tr-TR"/>
              </w:rPr>
              <w:t>VERGİ ÖNCESİ KÂR/ZARAR</w:t>
            </w:r>
          </w:p>
        </w:tc>
        <w:tc>
          <w:tcPr>
            <w:tcW w:w="1372" w:type="dxa"/>
            <w:tcBorders>
              <w:top w:val="nil"/>
              <w:left w:val="nil"/>
              <w:bottom w:val="nil"/>
              <w:right w:val="nil"/>
            </w:tcBorders>
            <w:shd w:val="clear" w:color="auto" w:fill="auto"/>
            <w:vAlign w:val="center"/>
            <w:hideMark/>
          </w:tcPr>
          <w:p w14:paraId="1388E0E8" w14:textId="77777777" w:rsidR="00AE66CD" w:rsidRPr="00AE66CD" w:rsidRDefault="00AE66CD" w:rsidP="00AE66CD">
            <w:pPr>
              <w:jc w:val="right"/>
              <w:rPr>
                <w:sz w:val="18"/>
                <w:szCs w:val="18"/>
                <w:lang w:eastAsia="tr-TR"/>
              </w:rPr>
            </w:pPr>
            <w:r w:rsidRPr="00AE66CD">
              <w:rPr>
                <w:sz w:val="18"/>
                <w:szCs w:val="18"/>
                <w:lang w:eastAsia="tr-TR"/>
              </w:rPr>
              <w:t>1,319,544</w:t>
            </w:r>
          </w:p>
        </w:tc>
        <w:tc>
          <w:tcPr>
            <w:tcW w:w="1359" w:type="dxa"/>
            <w:tcBorders>
              <w:top w:val="nil"/>
              <w:left w:val="nil"/>
              <w:bottom w:val="nil"/>
              <w:right w:val="nil"/>
            </w:tcBorders>
            <w:shd w:val="clear" w:color="auto" w:fill="auto"/>
            <w:vAlign w:val="center"/>
            <w:hideMark/>
          </w:tcPr>
          <w:p w14:paraId="0528D031" w14:textId="77777777" w:rsidR="00AE66CD" w:rsidRPr="00AE66CD" w:rsidRDefault="00AE66CD" w:rsidP="00AE66CD">
            <w:pPr>
              <w:jc w:val="right"/>
              <w:rPr>
                <w:sz w:val="18"/>
                <w:szCs w:val="18"/>
                <w:lang w:eastAsia="tr-TR"/>
              </w:rPr>
            </w:pPr>
            <w:r w:rsidRPr="00AE66CD">
              <w:rPr>
                <w:sz w:val="18"/>
                <w:szCs w:val="18"/>
                <w:lang w:eastAsia="tr-TR"/>
              </w:rPr>
              <w:t>972,066</w:t>
            </w:r>
          </w:p>
        </w:tc>
      </w:tr>
      <w:tr w:rsidR="00AE66CD" w:rsidRPr="00AE66CD" w14:paraId="7A21C634" w14:textId="77777777" w:rsidTr="00B843E3">
        <w:trPr>
          <w:divId w:val="1207139401"/>
          <w:trHeight w:val="253"/>
        </w:trPr>
        <w:tc>
          <w:tcPr>
            <w:tcW w:w="6481" w:type="dxa"/>
            <w:gridSpan w:val="2"/>
            <w:tcBorders>
              <w:top w:val="nil"/>
              <w:left w:val="nil"/>
              <w:bottom w:val="nil"/>
              <w:right w:val="nil"/>
            </w:tcBorders>
            <w:shd w:val="clear" w:color="auto" w:fill="auto"/>
            <w:noWrap/>
            <w:vAlign w:val="center"/>
            <w:hideMark/>
          </w:tcPr>
          <w:p w14:paraId="4C26673D" w14:textId="77777777" w:rsidR="00AE66CD" w:rsidRPr="00AE66CD" w:rsidRDefault="00AE66CD" w:rsidP="00AE66CD">
            <w:pPr>
              <w:rPr>
                <w:color w:val="000000"/>
                <w:sz w:val="16"/>
                <w:szCs w:val="16"/>
                <w:lang w:eastAsia="tr-TR"/>
              </w:rPr>
            </w:pPr>
            <w:r w:rsidRPr="00AE66CD">
              <w:rPr>
                <w:color w:val="000000"/>
                <w:sz w:val="16"/>
                <w:szCs w:val="16"/>
                <w:lang w:eastAsia="tr-TR"/>
              </w:rPr>
              <w:t>VERGİ KARŞILIĞI</w:t>
            </w:r>
          </w:p>
        </w:tc>
        <w:tc>
          <w:tcPr>
            <w:tcW w:w="1372" w:type="dxa"/>
            <w:tcBorders>
              <w:top w:val="nil"/>
              <w:left w:val="nil"/>
              <w:bottom w:val="nil"/>
              <w:right w:val="nil"/>
            </w:tcBorders>
            <w:shd w:val="clear" w:color="auto" w:fill="auto"/>
            <w:vAlign w:val="center"/>
            <w:hideMark/>
          </w:tcPr>
          <w:p w14:paraId="78535DE8" w14:textId="77777777" w:rsidR="00AE66CD" w:rsidRPr="00AE66CD" w:rsidRDefault="00AE66CD" w:rsidP="00AE66CD">
            <w:pPr>
              <w:jc w:val="right"/>
              <w:rPr>
                <w:sz w:val="18"/>
                <w:szCs w:val="18"/>
                <w:lang w:eastAsia="tr-TR"/>
              </w:rPr>
            </w:pPr>
            <w:r w:rsidRPr="00AE66CD">
              <w:rPr>
                <w:sz w:val="18"/>
                <w:szCs w:val="18"/>
                <w:lang w:eastAsia="tr-TR"/>
              </w:rPr>
              <w:t>(283,488)</w:t>
            </w:r>
          </w:p>
        </w:tc>
        <w:tc>
          <w:tcPr>
            <w:tcW w:w="1359" w:type="dxa"/>
            <w:tcBorders>
              <w:top w:val="nil"/>
              <w:left w:val="nil"/>
              <w:bottom w:val="nil"/>
              <w:right w:val="nil"/>
            </w:tcBorders>
            <w:shd w:val="clear" w:color="auto" w:fill="auto"/>
            <w:vAlign w:val="center"/>
            <w:hideMark/>
          </w:tcPr>
          <w:p w14:paraId="314689D0" w14:textId="77777777" w:rsidR="00AE66CD" w:rsidRPr="00AE66CD" w:rsidRDefault="00AE66CD" w:rsidP="00AE66CD">
            <w:pPr>
              <w:jc w:val="right"/>
              <w:rPr>
                <w:sz w:val="18"/>
                <w:szCs w:val="18"/>
                <w:lang w:eastAsia="tr-TR"/>
              </w:rPr>
            </w:pPr>
            <w:r w:rsidRPr="00AE66CD">
              <w:rPr>
                <w:sz w:val="18"/>
                <w:szCs w:val="18"/>
                <w:lang w:eastAsia="tr-TR"/>
              </w:rPr>
              <w:t>(194,570)</w:t>
            </w:r>
          </w:p>
        </w:tc>
      </w:tr>
      <w:tr w:rsidR="00AE66CD" w:rsidRPr="00AE66CD" w14:paraId="001A94C8" w14:textId="77777777" w:rsidTr="00B843E3">
        <w:trPr>
          <w:divId w:val="1207139401"/>
          <w:trHeight w:val="265"/>
        </w:trPr>
        <w:tc>
          <w:tcPr>
            <w:tcW w:w="6481" w:type="dxa"/>
            <w:gridSpan w:val="2"/>
            <w:tcBorders>
              <w:top w:val="nil"/>
              <w:left w:val="nil"/>
              <w:bottom w:val="single" w:sz="8" w:space="0" w:color="auto"/>
              <w:right w:val="nil"/>
            </w:tcBorders>
            <w:shd w:val="clear" w:color="auto" w:fill="auto"/>
            <w:noWrap/>
            <w:vAlign w:val="center"/>
            <w:hideMark/>
          </w:tcPr>
          <w:p w14:paraId="7CBDAA54" w14:textId="77777777" w:rsidR="00AE66CD" w:rsidRPr="00AE66CD" w:rsidRDefault="00AE66CD" w:rsidP="00AE66CD">
            <w:pPr>
              <w:rPr>
                <w:color w:val="000000"/>
                <w:sz w:val="16"/>
                <w:szCs w:val="16"/>
                <w:lang w:eastAsia="tr-TR"/>
              </w:rPr>
            </w:pPr>
            <w:r w:rsidRPr="00AE66CD">
              <w:rPr>
                <w:color w:val="000000"/>
                <w:sz w:val="16"/>
                <w:szCs w:val="16"/>
                <w:lang w:eastAsia="tr-TR"/>
              </w:rPr>
              <w:t> </w:t>
            </w:r>
          </w:p>
        </w:tc>
        <w:tc>
          <w:tcPr>
            <w:tcW w:w="1372" w:type="dxa"/>
            <w:tcBorders>
              <w:top w:val="nil"/>
              <w:left w:val="nil"/>
              <w:bottom w:val="single" w:sz="8" w:space="0" w:color="auto"/>
              <w:right w:val="nil"/>
            </w:tcBorders>
            <w:shd w:val="clear" w:color="auto" w:fill="auto"/>
            <w:vAlign w:val="center"/>
            <w:hideMark/>
          </w:tcPr>
          <w:p w14:paraId="133C5905" w14:textId="77777777" w:rsidR="00AE66CD" w:rsidRPr="00AE66CD" w:rsidRDefault="00AE66CD" w:rsidP="00AE66CD">
            <w:pPr>
              <w:jc w:val="right"/>
              <w:rPr>
                <w:color w:val="000000"/>
                <w:sz w:val="18"/>
                <w:szCs w:val="18"/>
                <w:lang w:eastAsia="tr-TR"/>
              </w:rPr>
            </w:pPr>
            <w:r w:rsidRPr="00AE66CD">
              <w:rPr>
                <w:color w:val="000000"/>
                <w:sz w:val="18"/>
                <w:szCs w:val="18"/>
                <w:lang w:eastAsia="tr-TR"/>
              </w:rPr>
              <w:t> </w:t>
            </w:r>
          </w:p>
        </w:tc>
        <w:tc>
          <w:tcPr>
            <w:tcW w:w="1359" w:type="dxa"/>
            <w:tcBorders>
              <w:top w:val="nil"/>
              <w:left w:val="nil"/>
              <w:bottom w:val="single" w:sz="8" w:space="0" w:color="auto"/>
              <w:right w:val="nil"/>
            </w:tcBorders>
            <w:shd w:val="clear" w:color="auto" w:fill="auto"/>
            <w:noWrap/>
            <w:vAlign w:val="center"/>
            <w:hideMark/>
          </w:tcPr>
          <w:p w14:paraId="0D2FDC14" w14:textId="77777777" w:rsidR="00AE66CD" w:rsidRPr="00AE66CD" w:rsidRDefault="00AE66CD" w:rsidP="00AE66CD">
            <w:pPr>
              <w:jc w:val="right"/>
              <w:rPr>
                <w:color w:val="000000"/>
                <w:sz w:val="18"/>
                <w:szCs w:val="18"/>
                <w:lang w:eastAsia="tr-TR"/>
              </w:rPr>
            </w:pPr>
            <w:r w:rsidRPr="00AE66CD">
              <w:rPr>
                <w:color w:val="000000"/>
                <w:sz w:val="18"/>
                <w:szCs w:val="18"/>
                <w:lang w:eastAsia="tr-TR"/>
              </w:rPr>
              <w:t> </w:t>
            </w:r>
          </w:p>
        </w:tc>
      </w:tr>
      <w:tr w:rsidR="00AE66CD" w:rsidRPr="00AE66CD" w14:paraId="0345A4F7" w14:textId="77777777" w:rsidTr="00B843E3">
        <w:trPr>
          <w:divId w:val="1207139401"/>
          <w:trHeight w:val="265"/>
        </w:trPr>
        <w:tc>
          <w:tcPr>
            <w:tcW w:w="6481" w:type="dxa"/>
            <w:gridSpan w:val="2"/>
            <w:tcBorders>
              <w:top w:val="nil"/>
              <w:left w:val="nil"/>
              <w:bottom w:val="single" w:sz="8" w:space="0" w:color="auto"/>
              <w:right w:val="nil"/>
            </w:tcBorders>
            <w:shd w:val="clear" w:color="auto" w:fill="auto"/>
            <w:noWrap/>
            <w:vAlign w:val="center"/>
            <w:hideMark/>
          </w:tcPr>
          <w:p w14:paraId="16CA61E6" w14:textId="77777777" w:rsidR="00AE66CD" w:rsidRPr="00AE66CD" w:rsidRDefault="00AE66CD" w:rsidP="00AE66CD">
            <w:pPr>
              <w:rPr>
                <w:b/>
                <w:bCs/>
                <w:color w:val="000000"/>
                <w:sz w:val="16"/>
                <w:szCs w:val="16"/>
                <w:lang w:eastAsia="tr-TR"/>
              </w:rPr>
            </w:pPr>
            <w:r w:rsidRPr="00AE66CD">
              <w:rPr>
                <w:b/>
                <w:bCs/>
                <w:color w:val="000000"/>
                <w:sz w:val="16"/>
                <w:szCs w:val="16"/>
                <w:lang w:eastAsia="tr-TR"/>
              </w:rPr>
              <w:t>DÖNEM NET K/Z</w:t>
            </w:r>
          </w:p>
        </w:tc>
        <w:tc>
          <w:tcPr>
            <w:tcW w:w="1372" w:type="dxa"/>
            <w:tcBorders>
              <w:top w:val="nil"/>
              <w:left w:val="nil"/>
              <w:bottom w:val="single" w:sz="8" w:space="0" w:color="auto"/>
              <w:right w:val="nil"/>
            </w:tcBorders>
            <w:shd w:val="clear" w:color="auto" w:fill="auto"/>
            <w:vAlign w:val="center"/>
            <w:hideMark/>
          </w:tcPr>
          <w:p w14:paraId="6D1A7298" w14:textId="77777777" w:rsidR="00AE66CD" w:rsidRPr="00AE66CD" w:rsidRDefault="00AE66CD" w:rsidP="00AE66CD">
            <w:pPr>
              <w:jc w:val="right"/>
              <w:rPr>
                <w:b/>
                <w:bCs/>
                <w:sz w:val="18"/>
                <w:szCs w:val="18"/>
                <w:lang w:eastAsia="tr-TR"/>
              </w:rPr>
            </w:pPr>
            <w:r w:rsidRPr="00AE66CD">
              <w:rPr>
                <w:b/>
                <w:bCs/>
                <w:sz w:val="18"/>
                <w:szCs w:val="18"/>
                <w:lang w:eastAsia="tr-TR"/>
              </w:rPr>
              <w:t>1,036,056</w:t>
            </w:r>
          </w:p>
        </w:tc>
        <w:tc>
          <w:tcPr>
            <w:tcW w:w="1359" w:type="dxa"/>
            <w:tcBorders>
              <w:top w:val="nil"/>
              <w:left w:val="nil"/>
              <w:bottom w:val="single" w:sz="8" w:space="0" w:color="auto"/>
              <w:right w:val="nil"/>
            </w:tcBorders>
            <w:shd w:val="clear" w:color="auto" w:fill="auto"/>
            <w:vAlign w:val="center"/>
            <w:hideMark/>
          </w:tcPr>
          <w:p w14:paraId="2AAB28B6" w14:textId="77777777" w:rsidR="00AE66CD" w:rsidRPr="00AE66CD" w:rsidRDefault="00AE66CD" w:rsidP="00AE66CD">
            <w:pPr>
              <w:jc w:val="right"/>
              <w:rPr>
                <w:b/>
                <w:bCs/>
                <w:sz w:val="18"/>
                <w:szCs w:val="18"/>
                <w:lang w:eastAsia="tr-TR"/>
              </w:rPr>
            </w:pPr>
            <w:r w:rsidRPr="00AE66CD">
              <w:rPr>
                <w:b/>
                <w:bCs/>
                <w:sz w:val="18"/>
                <w:szCs w:val="18"/>
                <w:lang w:eastAsia="tr-TR"/>
              </w:rPr>
              <w:t>777,496</w:t>
            </w:r>
          </w:p>
        </w:tc>
      </w:tr>
    </w:tbl>
    <w:p w14:paraId="5575CA57" w14:textId="5F72625D" w:rsidR="00AE66CD" w:rsidRDefault="00AE66CD" w:rsidP="00AE66CD">
      <w:pPr>
        <w:rPr>
          <w:lang w:val="en-GB" w:eastAsia="en-GB"/>
        </w:rPr>
      </w:pPr>
    </w:p>
    <w:tbl>
      <w:tblPr>
        <w:tblW w:w="9173" w:type="dxa"/>
        <w:tblCellMar>
          <w:left w:w="70" w:type="dxa"/>
          <w:right w:w="70" w:type="dxa"/>
        </w:tblCellMar>
        <w:tblLook w:val="04A0" w:firstRow="1" w:lastRow="0" w:firstColumn="1" w:lastColumn="0" w:noHBand="0" w:noVBand="1"/>
      </w:tblPr>
      <w:tblGrid>
        <w:gridCol w:w="6485"/>
        <w:gridCol w:w="1400"/>
        <w:gridCol w:w="1288"/>
      </w:tblGrid>
      <w:tr w:rsidR="00AE66CD" w:rsidRPr="00AE66CD" w14:paraId="3AA54181" w14:textId="77777777" w:rsidTr="00B843E3">
        <w:trPr>
          <w:divId w:val="487479049"/>
          <w:trHeight w:val="242"/>
        </w:trPr>
        <w:tc>
          <w:tcPr>
            <w:tcW w:w="64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FC4115" w14:textId="79087B79" w:rsidR="00AE66CD" w:rsidRPr="00AE66CD" w:rsidRDefault="00AE66CD" w:rsidP="00AE66CD">
            <w:pPr>
              <w:rPr>
                <w:b/>
                <w:bCs/>
                <w:color w:val="000000"/>
                <w:sz w:val="16"/>
                <w:szCs w:val="16"/>
                <w:lang w:eastAsia="tr-TR"/>
              </w:rPr>
            </w:pPr>
            <w:r w:rsidRPr="00AE66CD">
              <w:rPr>
                <w:b/>
                <w:bCs/>
                <w:color w:val="000000"/>
                <w:sz w:val="16"/>
                <w:szCs w:val="16"/>
                <w:lang w:eastAsia="tr-TR"/>
              </w:rPr>
              <w:t> </w:t>
            </w:r>
          </w:p>
        </w:tc>
        <w:tc>
          <w:tcPr>
            <w:tcW w:w="1400" w:type="dxa"/>
            <w:tcBorders>
              <w:top w:val="single" w:sz="8" w:space="0" w:color="auto"/>
              <w:left w:val="nil"/>
              <w:bottom w:val="single" w:sz="8" w:space="0" w:color="auto"/>
              <w:right w:val="single" w:sz="8" w:space="0" w:color="auto"/>
            </w:tcBorders>
            <w:shd w:val="clear" w:color="auto" w:fill="auto"/>
            <w:vAlign w:val="center"/>
            <w:hideMark/>
          </w:tcPr>
          <w:p w14:paraId="42598384" w14:textId="77777777" w:rsidR="00AE66CD" w:rsidRPr="00AE66CD" w:rsidRDefault="00AE66CD" w:rsidP="00AE66CD">
            <w:pPr>
              <w:jc w:val="right"/>
              <w:rPr>
                <w:b/>
                <w:bCs/>
                <w:color w:val="000000"/>
                <w:sz w:val="16"/>
                <w:szCs w:val="16"/>
                <w:lang w:eastAsia="tr-TR"/>
              </w:rPr>
            </w:pPr>
            <w:r w:rsidRPr="00AE66CD">
              <w:rPr>
                <w:b/>
                <w:bCs/>
                <w:color w:val="000000"/>
                <w:sz w:val="16"/>
                <w:szCs w:val="16"/>
                <w:lang w:eastAsia="tr-TR"/>
              </w:rPr>
              <w:t>30.09.2020</w:t>
            </w:r>
          </w:p>
        </w:tc>
        <w:tc>
          <w:tcPr>
            <w:tcW w:w="1288" w:type="dxa"/>
            <w:tcBorders>
              <w:top w:val="single" w:sz="8" w:space="0" w:color="auto"/>
              <w:left w:val="nil"/>
              <w:bottom w:val="single" w:sz="8" w:space="0" w:color="auto"/>
              <w:right w:val="single" w:sz="8" w:space="0" w:color="auto"/>
            </w:tcBorders>
            <w:shd w:val="clear" w:color="auto" w:fill="auto"/>
            <w:noWrap/>
            <w:vAlign w:val="center"/>
            <w:hideMark/>
          </w:tcPr>
          <w:p w14:paraId="7F174454" w14:textId="77777777" w:rsidR="00AE66CD" w:rsidRPr="00AE66CD" w:rsidRDefault="00AE66CD" w:rsidP="00AE66CD">
            <w:pPr>
              <w:jc w:val="right"/>
              <w:rPr>
                <w:b/>
                <w:bCs/>
                <w:color w:val="000000"/>
                <w:sz w:val="16"/>
                <w:szCs w:val="16"/>
                <w:lang w:eastAsia="tr-TR"/>
              </w:rPr>
            </w:pPr>
            <w:r w:rsidRPr="00AE66CD">
              <w:rPr>
                <w:b/>
                <w:bCs/>
                <w:color w:val="000000"/>
                <w:sz w:val="16"/>
                <w:szCs w:val="16"/>
                <w:lang w:eastAsia="tr-TR"/>
              </w:rPr>
              <w:t>31.12.2019</w:t>
            </w:r>
          </w:p>
        </w:tc>
      </w:tr>
      <w:tr w:rsidR="00AE66CD" w:rsidRPr="00AE66CD" w14:paraId="46149C45" w14:textId="77777777" w:rsidTr="00B843E3">
        <w:trPr>
          <w:divId w:val="487479049"/>
          <w:trHeight w:val="242"/>
        </w:trPr>
        <w:tc>
          <w:tcPr>
            <w:tcW w:w="6485" w:type="dxa"/>
            <w:tcBorders>
              <w:top w:val="nil"/>
              <w:left w:val="single" w:sz="8" w:space="0" w:color="auto"/>
              <w:bottom w:val="single" w:sz="8" w:space="0" w:color="auto"/>
              <w:right w:val="single" w:sz="8" w:space="0" w:color="auto"/>
            </w:tcBorders>
            <w:shd w:val="clear" w:color="auto" w:fill="auto"/>
            <w:noWrap/>
            <w:vAlign w:val="center"/>
            <w:hideMark/>
          </w:tcPr>
          <w:p w14:paraId="70CEB66C" w14:textId="77777777" w:rsidR="00AE66CD" w:rsidRPr="00AE66CD" w:rsidRDefault="00AE66CD" w:rsidP="00AE66CD">
            <w:pPr>
              <w:rPr>
                <w:color w:val="000000"/>
                <w:sz w:val="16"/>
                <w:szCs w:val="16"/>
                <w:lang w:eastAsia="tr-TR"/>
              </w:rPr>
            </w:pPr>
            <w:r w:rsidRPr="00AE66CD">
              <w:rPr>
                <w:color w:val="000000"/>
                <w:sz w:val="16"/>
                <w:szCs w:val="16"/>
                <w:lang w:eastAsia="tr-TR"/>
              </w:rPr>
              <w:t>Toplam Krediler/Toplam Aktifler*</w:t>
            </w:r>
          </w:p>
        </w:tc>
        <w:tc>
          <w:tcPr>
            <w:tcW w:w="1400" w:type="dxa"/>
            <w:tcBorders>
              <w:top w:val="nil"/>
              <w:left w:val="nil"/>
              <w:bottom w:val="single" w:sz="8" w:space="0" w:color="auto"/>
              <w:right w:val="single" w:sz="8" w:space="0" w:color="auto"/>
            </w:tcBorders>
            <w:shd w:val="clear" w:color="auto" w:fill="auto"/>
            <w:vAlign w:val="center"/>
            <w:hideMark/>
          </w:tcPr>
          <w:p w14:paraId="45392ECB" w14:textId="77777777" w:rsidR="00AE66CD" w:rsidRPr="00AE66CD" w:rsidRDefault="00AE66CD" w:rsidP="00AE66CD">
            <w:pPr>
              <w:jc w:val="right"/>
              <w:rPr>
                <w:color w:val="000000"/>
                <w:sz w:val="18"/>
                <w:szCs w:val="18"/>
                <w:lang w:eastAsia="tr-TR"/>
              </w:rPr>
            </w:pPr>
            <w:r w:rsidRPr="00AE66CD">
              <w:rPr>
                <w:color w:val="000000"/>
                <w:sz w:val="18"/>
                <w:szCs w:val="18"/>
                <w:lang w:eastAsia="tr-TR"/>
              </w:rPr>
              <w:t>51.55%</w:t>
            </w:r>
          </w:p>
        </w:tc>
        <w:tc>
          <w:tcPr>
            <w:tcW w:w="1288" w:type="dxa"/>
            <w:tcBorders>
              <w:top w:val="nil"/>
              <w:left w:val="nil"/>
              <w:bottom w:val="single" w:sz="8" w:space="0" w:color="auto"/>
              <w:right w:val="single" w:sz="8" w:space="0" w:color="auto"/>
            </w:tcBorders>
            <w:shd w:val="clear" w:color="auto" w:fill="auto"/>
            <w:noWrap/>
            <w:vAlign w:val="center"/>
            <w:hideMark/>
          </w:tcPr>
          <w:p w14:paraId="3DC4E867" w14:textId="77777777" w:rsidR="00AE66CD" w:rsidRPr="00AE66CD" w:rsidRDefault="00AE66CD" w:rsidP="00AE66CD">
            <w:pPr>
              <w:jc w:val="right"/>
              <w:rPr>
                <w:color w:val="000000"/>
                <w:sz w:val="18"/>
                <w:szCs w:val="18"/>
                <w:lang w:eastAsia="tr-TR"/>
              </w:rPr>
            </w:pPr>
            <w:r w:rsidRPr="00AE66CD">
              <w:rPr>
                <w:color w:val="000000"/>
                <w:sz w:val="18"/>
                <w:szCs w:val="18"/>
                <w:lang w:eastAsia="tr-TR"/>
              </w:rPr>
              <w:t>55.46%</w:t>
            </w:r>
          </w:p>
        </w:tc>
      </w:tr>
      <w:tr w:rsidR="00AE66CD" w:rsidRPr="00AE66CD" w14:paraId="652C1ED2" w14:textId="77777777" w:rsidTr="00B843E3">
        <w:trPr>
          <w:divId w:val="487479049"/>
          <w:trHeight w:val="242"/>
        </w:trPr>
        <w:tc>
          <w:tcPr>
            <w:tcW w:w="6485" w:type="dxa"/>
            <w:tcBorders>
              <w:top w:val="nil"/>
              <w:left w:val="single" w:sz="8" w:space="0" w:color="auto"/>
              <w:bottom w:val="single" w:sz="8" w:space="0" w:color="auto"/>
              <w:right w:val="single" w:sz="8" w:space="0" w:color="auto"/>
            </w:tcBorders>
            <w:shd w:val="clear" w:color="auto" w:fill="auto"/>
            <w:noWrap/>
            <w:vAlign w:val="center"/>
            <w:hideMark/>
          </w:tcPr>
          <w:p w14:paraId="1FBBEFA4" w14:textId="77777777" w:rsidR="00AE66CD" w:rsidRPr="00AE66CD" w:rsidRDefault="00AE66CD" w:rsidP="00AE66CD">
            <w:pPr>
              <w:rPr>
                <w:color w:val="000000"/>
                <w:sz w:val="16"/>
                <w:szCs w:val="16"/>
                <w:lang w:eastAsia="tr-TR"/>
              </w:rPr>
            </w:pPr>
            <w:r w:rsidRPr="00AE66CD">
              <w:rPr>
                <w:color w:val="000000"/>
                <w:sz w:val="16"/>
                <w:szCs w:val="16"/>
                <w:lang w:eastAsia="tr-TR"/>
              </w:rPr>
              <w:t>Toplam Krediler/Toplanan Fonlar*</w:t>
            </w:r>
          </w:p>
        </w:tc>
        <w:tc>
          <w:tcPr>
            <w:tcW w:w="1400" w:type="dxa"/>
            <w:tcBorders>
              <w:top w:val="nil"/>
              <w:left w:val="nil"/>
              <w:bottom w:val="single" w:sz="8" w:space="0" w:color="auto"/>
              <w:right w:val="single" w:sz="8" w:space="0" w:color="auto"/>
            </w:tcBorders>
            <w:shd w:val="clear" w:color="auto" w:fill="auto"/>
            <w:vAlign w:val="center"/>
            <w:hideMark/>
          </w:tcPr>
          <w:p w14:paraId="07E521A0" w14:textId="77777777" w:rsidR="00AE66CD" w:rsidRPr="00AE66CD" w:rsidRDefault="00AE66CD" w:rsidP="00AE66CD">
            <w:pPr>
              <w:jc w:val="right"/>
              <w:rPr>
                <w:color w:val="000000"/>
                <w:sz w:val="18"/>
                <w:szCs w:val="18"/>
                <w:lang w:eastAsia="tr-TR"/>
              </w:rPr>
            </w:pPr>
            <w:r w:rsidRPr="00AE66CD">
              <w:rPr>
                <w:color w:val="000000"/>
                <w:sz w:val="18"/>
                <w:szCs w:val="18"/>
                <w:lang w:eastAsia="tr-TR"/>
              </w:rPr>
              <w:t>66.14%</w:t>
            </w:r>
          </w:p>
        </w:tc>
        <w:tc>
          <w:tcPr>
            <w:tcW w:w="1288" w:type="dxa"/>
            <w:tcBorders>
              <w:top w:val="nil"/>
              <w:left w:val="nil"/>
              <w:bottom w:val="single" w:sz="8" w:space="0" w:color="auto"/>
              <w:right w:val="single" w:sz="8" w:space="0" w:color="auto"/>
            </w:tcBorders>
            <w:shd w:val="clear" w:color="auto" w:fill="auto"/>
            <w:noWrap/>
            <w:vAlign w:val="center"/>
            <w:hideMark/>
          </w:tcPr>
          <w:p w14:paraId="7C47AFB1" w14:textId="77777777" w:rsidR="00AE66CD" w:rsidRPr="00AE66CD" w:rsidRDefault="00AE66CD" w:rsidP="00AE66CD">
            <w:pPr>
              <w:jc w:val="right"/>
              <w:rPr>
                <w:color w:val="000000"/>
                <w:sz w:val="18"/>
                <w:szCs w:val="18"/>
                <w:lang w:eastAsia="tr-TR"/>
              </w:rPr>
            </w:pPr>
            <w:r w:rsidRPr="00AE66CD">
              <w:rPr>
                <w:color w:val="000000"/>
                <w:sz w:val="18"/>
                <w:szCs w:val="18"/>
                <w:lang w:eastAsia="tr-TR"/>
              </w:rPr>
              <w:t>67.75%</w:t>
            </w:r>
          </w:p>
        </w:tc>
      </w:tr>
      <w:tr w:rsidR="00AE66CD" w:rsidRPr="00AE66CD" w14:paraId="5D6C63B1" w14:textId="77777777" w:rsidTr="00B843E3">
        <w:trPr>
          <w:divId w:val="487479049"/>
          <w:trHeight w:val="242"/>
        </w:trPr>
        <w:tc>
          <w:tcPr>
            <w:tcW w:w="6485" w:type="dxa"/>
            <w:tcBorders>
              <w:top w:val="nil"/>
              <w:left w:val="single" w:sz="8" w:space="0" w:color="auto"/>
              <w:bottom w:val="single" w:sz="8" w:space="0" w:color="auto"/>
              <w:right w:val="single" w:sz="8" w:space="0" w:color="auto"/>
            </w:tcBorders>
            <w:shd w:val="clear" w:color="auto" w:fill="auto"/>
            <w:noWrap/>
            <w:vAlign w:val="center"/>
            <w:hideMark/>
          </w:tcPr>
          <w:p w14:paraId="68A75280" w14:textId="77777777" w:rsidR="00AE66CD" w:rsidRPr="00AE66CD" w:rsidRDefault="00AE66CD" w:rsidP="00AE66CD">
            <w:pPr>
              <w:rPr>
                <w:color w:val="000000"/>
                <w:sz w:val="16"/>
                <w:szCs w:val="16"/>
                <w:lang w:eastAsia="tr-TR"/>
              </w:rPr>
            </w:pPr>
            <w:r w:rsidRPr="00AE66CD">
              <w:rPr>
                <w:color w:val="000000"/>
                <w:sz w:val="16"/>
                <w:szCs w:val="16"/>
                <w:lang w:eastAsia="tr-TR"/>
              </w:rPr>
              <w:t xml:space="preserve">Ortalama </w:t>
            </w:r>
            <w:proofErr w:type="spellStart"/>
            <w:r w:rsidRPr="00AE66CD">
              <w:rPr>
                <w:color w:val="000000"/>
                <w:sz w:val="16"/>
                <w:szCs w:val="16"/>
                <w:lang w:eastAsia="tr-TR"/>
              </w:rPr>
              <w:t>Özkaynak</w:t>
            </w:r>
            <w:proofErr w:type="spellEnd"/>
            <w:r w:rsidRPr="00AE66CD">
              <w:rPr>
                <w:color w:val="000000"/>
                <w:sz w:val="16"/>
                <w:szCs w:val="16"/>
                <w:lang w:eastAsia="tr-TR"/>
              </w:rPr>
              <w:t xml:space="preserve"> Karlılığı **</w:t>
            </w:r>
          </w:p>
        </w:tc>
        <w:tc>
          <w:tcPr>
            <w:tcW w:w="1400" w:type="dxa"/>
            <w:tcBorders>
              <w:top w:val="nil"/>
              <w:left w:val="nil"/>
              <w:bottom w:val="single" w:sz="8" w:space="0" w:color="auto"/>
              <w:right w:val="single" w:sz="8" w:space="0" w:color="auto"/>
            </w:tcBorders>
            <w:shd w:val="clear" w:color="auto" w:fill="auto"/>
            <w:vAlign w:val="center"/>
            <w:hideMark/>
          </w:tcPr>
          <w:p w14:paraId="7614EE22" w14:textId="050200EE" w:rsidR="00AE66CD" w:rsidRPr="00AE66CD" w:rsidRDefault="00151F6B" w:rsidP="00AE66CD">
            <w:pPr>
              <w:jc w:val="right"/>
              <w:rPr>
                <w:color w:val="000000"/>
                <w:sz w:val="18"/>
                <w:szCs w:val="18"/>
                <w:lang w:eastAsia="tr-TR"/>
              </w:rPr>
            </w:pPr>
            <w:r>
              <w:rPr>
                <w:color w:val="000000"/>
                <w:sz w:val="18"/>
                <w:szCs w:val="18"/>
                <w:lang w:eastAsia="tr-TR"/>
              </w:rPr>
              <w:t>19</w:t>
            </w:r>
            <w:r w:rsidR="00AE66CD" w:rsidRPr="00AE66CD">
              <w:rPr>
                <w:color w:val="000000"/>
                <w:sz w:val="18"/>
                <w:szCs w:val="18"/>
                <w:lang w:eastAsia="tr-TR"/>
              </w:rPr>
              <w:t>.</w:t>
            </w:r>
            <w:r>
              <w:rPr>
                <w:color w:val="000000"/>
                <w:sz w:val="18"/>
                <w:szCs w:val="18"/>
                <w:lang w:eastAsia="tr-TR"/>
              </w:rPr>
              <w:t>25</w:t>
            </w:r>
            <w:r w:rsidR="00AE66CD" w:rsidRPr="00AE66CD">
              <w:rPr>
                <w:color w:val="000000"/>
                <w:sz w:val="18"/>
                <w:szCs w:val="18"/>
                <w:lang w:eastAsia="tr-TR"/>
              </w:rPr>
              <w:t>%</w:t>
            </w:r>
          </w:p>
        </w:tc>
        <w:tc>
          <w:tcPr>
            <w:tcW w:w="1288" w:type="dxa"/>
            <w:tcBorders>
              <w:top w:val="nil"/>
              <w:left w:val="nil"/>
              <w:bottom w:val="single" w:sz="8" w:space="0" w:color="auto"/>
              <w:right w:val="single" w:sz="8" w:space="0" w:color="auto"/>
            </w:tcBorders>
            <w:shd w:val="clear" w:color="auto" w:fill="auto"/>
            <w:noWrap/>
            <w:vAlign w:val="center"/>
            <w:hideMark/>
          </w:tcPr>
          <w:p w14:paraId="1C00954D" w14:textId="77777777" w:rsidR="00AE66CD" w:rsidRPr="00AE66CD" w:rsidRDefault="00AE66CD" w:rsidP="00AE66CD">
            <w:pPr>
              <w:jc w:val="right"/>
              <w:rPr>
                <w:color w:val="000000"/>
                <w:sz w:val="18"/>
                <w:szCs w:val="18"/>
                <w:lang w:eastAsia="tr-TR"/>
              </w:rPr>
            </w:pPr>
            <w:r w:rsidRPr="00AE66CD">
              <w:rPr>
                <w:color w:val="000000"/>
                <w:sz w:val="18"/>
                <w:szCs w:val="18"/>
                <w:lang w:eastAsia="tr-TR"/>
              </w:rPr>
              <w:t>18.11%</w:t>
            </w:r>
          </w:p>
        </w:tc>
      </w:tr>
      <w:tr w:rsidR="00AE66CD" w:rsidRPr="00AE66CD" w14:paraId="1FA8936B" w14:textId="77777777" w:rsidTr="00B843E3">
        <w:trPr>
          <w:divId w:val="487479049"/>
          <w:trHeight w:val="242"/>
        </w:trPr>
        <w:tc>
          <w:tcPr>
            <w:tcW w:w="6485" w:type="dxa"/>
            <w:tcBorders>
              <w:top w:val="nil"/>
              <w:left w:val="single" w:sz="8" w:space="0" w:color="auto"/>
              <w:bottom w:val="single" w:sz="8" w:space="0" w:color="auto"/>
              <w:right w:val="single" w:sz="8" w:space="0" w:color="auto"/>
            </w:tcBorders>
            <w:shd w:val="clear" w:color="auto" w:fill="auto"/>
            <w:noWrap/>
            <w:vAlign w:val="center"/>
            <w:hideMark/>
          </w:tcPr>
          <w:p w14:paraId="22396A66" w14:textId="77777777" w:rsidR="00AE66CD" w:rsidRPr="00AE66CD" w:rsidRDefault="00AE66CD" w:rsidP="00AE66CD">
            <w:pPr>
              <w:rPr>
                <w:color w:val="000000"/>
                <w:sz w:val="16"/>
                <w:szCs w:val="16"/>
                <w:lang w:eastAsia="tr-TR"/>
              </w:rPr>
            </w:pPr>
            <w:r w:rsidRPr="00AE66CD">
              <w:rPr>
                <w:color w:val="000000"/>
                <w:sz w:val="16"/>
                <w:szCs w:val="16"/>
                <w:lang w:eastAsia="tr-TR"/>
              </w:rPr>
              <w:t>Ortalama Aktif Karlılığı **</w:t>
            </w:r>
          </w:p>
        </w:tc>
        <w:tc>
          <w:tcPr>
            <w:tcW w:w="1400" w:type="dxa"/>
            <w:tcBorders>
              <w:top w:val="nil"/>
              <w:left w:val="nil"/>
              <w:bottom w:val="single" w:sz="8" w:space="0" w:color="auto"/>
              <w:right w:val="single" w:sz="8" w:space="0" w:color="auto"/>
            </w:tcBorders>
            <w:shd w:val="clear" w:color="auto" w:fill="auto"/>
            <w:vAlign w:val="center"/>
            <w:hideMark/>
          </w:tcPr>
          <w:p w14:paraId="0FB39084" w14:textId="790A2D9E" w:rsidR="00AE66CD" w:rsidRPr="00AE66CD" w:rsidRDefault="00AE66CD" w:rsidP="00AE66CD">
            <w:pPr>
              <w:jc w:val="right"/>
              <w:rPr>
                <w:color w:val="000000"/>
                <w:sz w:val="18"/>
                <w:szCs w:val="18"/>
                <w:lang w:eastAsia="tr-TR"/>
              </w:rPr>
            </w:pPr>
            <w:r w:rsidRPr="00AE66CD">
              <w:rPr>
                <w:color w:val="000000"/>
                <w:sz w:val="18"/>
                <w:szCs w:val="18"/>
                <w:lang w:eastAsia="tr-TR"/>
              </w:rPr>
              <w:t>1.</w:t>
            </w:r>
            <w:r w:rsidR="00151F6B">
              <w:rPr>
                <w:color w:val="000000"/>
                <w:sz w:val="18"/>
                <w:szCs w:val="18"/>
                <w:lang w:eastAsia="tr-TR"/>
              </w:rPr>
              <w:t>07</w:t>
            </w:r>
            <w:r w:rsidRPr="00AE66CD">
              <w:rPr>
                <w:color w:val="000000"/>
                <w:sz w:val="18"/>
                <w:szCs w:val="18"/>
                <w:lang w:eastAsia="tr-TR"/>
              </w:rPr>
              <w:t>%</w:t>
            </w:r>
          </w:p>
        </w:tc>
        <w:tc>
          <w:tcPr>
            <w:tcW w:w="1288" w:type="dxa"/>
            <w:tcBorders>
              <w:top w:val="nil"/>
              <w:left w:val="nil"/>
              <w:bottom w:val="single" w:sz="8" w:space="0" w:color="auto"/>
              <w:right w:val="single" w:sz="8" w:space="0" w:color="auto"/>
            </w:tcBorders>
            <w:shd w:val="clear" w:color="auto" w:fill="auto"/>
            <w:noWrap/>
            <w:vAlign w:val="center"/>
            <w:hideMark/>
          </w:tcPr>
          <w:p w14:paraId="76BBDA09" w14:textId="77777777" w:rsidR="00AE66CD" w:rsidRPr="00AE66CD" w:rsidRDefault="00AE66CD" w:rsidP="00AE66CD">
            <w:pPr>
              <w:jc w:val="right"/>
              <w:rPr>
                <w:color w:val="000000"/>
                <w:sz w:val="18"/>
                <w:szCs w:val="18"/>
                <w:lang w:eastAsia="tr-TR"/>
              </w:rPr>
            </w:pPr>
            <w:r w:rsidRPr="00AE66CD">
              <w:rPr>
                <w:color w:val="000000"/>
                <w:sz w:val="18"/>
                <w:szCs w:val="18"/>
                <w:lang w:eastAsia="tr-TR"/>
              </w:rPr>
              <w:t>1.24%</w:t>
            </w:r>
          </w:p>
        </w:tc>
      </w:tr>
      <w:tr w:rsidR="00AE66CD" w:rsidRPr="00AE66CD" w14:paraId="0E9158CD" w14:textId="77777777" w:rsidTr="00B843E3">
        <w:trPr>
          <w:divId w:val="487479049"/>
          <w:trHeight w:val="242"/>
        </w:trPr>
        <w:tc>
          <w:tcPr>
            <w:tcW w:w="6485" w:type="dxa"/>
            <w:tcBorders>
              <w:top w:val="nil"/>
              <w:left w:val="single" w:sz="8" w:space="0" w:color="auto"/>
              <w:bottom w:val="single" w:sz="8" w:space="0" w:color="auto"/>
              <w:right w:val="single" w:sz="8" w:space="0" w:color="auto"/>
            </w:tcBorders>
            <w:shd w:val="clear" w:color="auto" w:fill="auto"/>
            <w:noWrap/>
            <w:vAlign w:val="center"/>
            <w:hideMark/>
          </w:tcPr>
          <w:p w14:paraId="212C24FF" w14:textId="77777777" w:rsidR="00AE66CD" w:rsidRPr="00AE66CD" w:rsidRDefault="00AE66CD" w:rsidP="00AE66CD">
            <w:pPr>
              <w:rPr>
                <w:color w:val="000000"/>
                <w:sz w:val="16"/>
                <w:szCs w:val="16"/>
                <w:lang w:eastAsia="tr-TR"/>
              </w:rPr>
            </w:pPr>
            <w:r w:rsidRPr="00AE66CD">
              <w:rPr>
                <w:color w:val="000000"/>
                <w:sz w:val="16"/>
                <w:szCs w:val="16"/>
                <w:lang w:eastAsia="tr-TR"/>
              </w:rPr>
              <w:t>Sermaye Yeterlilik Oranı</w:t>
            </w:r>
          </w:p>
        </w:tc>
        <w:tc>
          <w:tcPr>
            <w:tcW w:w="1400" w:type="dxa"/>
            <w:tcBorders>
              <w:top w:val="nil"/>
              <w:left w:val="nil"/>
              <w:bottom w:val="single" w:sz="8" w:space="0" w:color="auto"/>
              <w:right w:val="single" w:sz="8" w:space="0" w:color="auto"/>
            </w:tcBorders>
            <w:shd w:val="clear" w:color="auto" w:fill="auto"/>
            <w:vAlign w:val="center"/>
            <w:hideMark/>
          </w:tcPr>
          <w:p w14:paraId="35941C29" w14:textId="77777777" w:rsidR="00AE66CD" w:rsidRPr="00AE66CD" w:rsidRDefault="00AE66CD" w:rsidP="00AE66CD">
            <w:pPr>
              <w:jc w:val="right"/>
              <w:rPr>
                <w:color w:val="000000"/>
                <w:sz w:val="18"/>
                <w:szCs w:val="18"/>
                <w:lang w:eastAsia="tr-TR"/>
              </w:rPr>
            </w:pPr>
            <w:r w:rsidRPr="00AE66CD">
              <w:rPr>
                <w:color w:val="000000"/>
                <w:sz w:val="18"/>
                <w:szCs w:val="18"/>
                <w:lang w:eastAsia="tr-TR"/>
              </w:rPr>
              <w:t>22.65%</w:t>
            </w:r>
          </w:p>
        </w:tc>
        <w:tc>
          <w:tcPr>
            <w:tcW w:w="1288" w:type="dxa"/>
            <w:tcBorders>
              <w:top w:val="nil"/>
              <w:left w:val="nil"/>
              <w:bottom w:val="single" w:sz="8" w:space="0" w:color="auto"/>
              <w:right w:val="single" w:sz="8" w:space="0" w:color="auto"/>
            </w:tcBorders>
            <w:shd w:val="clear" w:color="auto" w:fill="auto"/>
            <w:noWrap/>
            <w:vAlign w:val="center"/>
            <w:hideMark/>
          </w:tcPr>
          <w:p w14:paraId="0E091C5A" w14:textId="77777777" w:rsidR="00AE66CD" w:rsidRPr="00AE66CD" w:rsidRDefault="00AE66CD" w:rsidP="00AE66CD">
            <w:pPr>
              <w:jc w:val="right"/>
              <w:rPr>
                <w:color w:val="000000"/>
                <w:sz w:val="18"/>
                <w:szCs w:val="18"/>
                <w:lang w:eastAsia="tr-TR"/>
              </w:rPr>
            </w:pPr>
            <w:r w:rsidRPr="00AE66CD">
              <w:rPr>
                <w:color w:val="000000"/>
                <w:sz w:val="18"/>
                <w:szCs w:val="18"/>
                <w:lang w:eastAsia="tr-TR"/>
              </w:rPr>
              <w:t>19.32%</w:t>
            </w:r>
          </w:p>
        </w:tc>
      </w:tr>
    </w:tbl>
    <w:p w14:paraId="342D4F1D" w14:textId="7D9A70D6" w:rsidR="006B2581" w:rsidRPr="001D3A4D" w:rsidRDefault="006B2581" w:rsidP="006B2581">
      <w:pPr>
        <w:pStyle w:val="BodyText"/>
        <w:rPr>
          <w:sz w:val="16"/>
        </w:rPr>
      </w:pPr>
      <w:r w:rsidRPr="001D3A4D">
        <w:rPr>
          <w:sz w:val="16"/>
        </w:rPr>
        <w:t>*   Toplam Krediler rakamına leasing alacakları dahildir.</w:t>
      </w:r>
    </w:p>
    <w:p w14:paraId="16D517BB" w14:textId="49F5E04A" w:rsidR="006B2581" w:rsidRPr="001D3A4D" w:rsidRDefault="006B2581" w:rsidP="006B2581">
      <w:pPr>
        <w:pStyle w:val="BodyText"/>
        <w:rPr>
          <w:sz w:val="16"/>
        </w:rPr>
      </w:pPr>
      <w:r w:rsidRPr="001D3A4D">
        <w:rPr>
          <w:sz w:val="16"/>
        </w:rPr>
        <w:t xml:space="preserve">** Söz konusu </w:t>
      </w:r>
      <w:proofErr w:type="spellStart"/>
      <w:r w:rsidRPr="001D3A4D">
        <w:rPr>
          <w:sz w:val="16"/>
        </w:rPr>
        <w:t>rasyolar</w:t>
      </w:r>
      <w:proofErr w:type="spellEnd"/>
      <w:r w:rsidRPr="001D3A4D">
        <w:rPr>
          <w:sz w:val="16"/>
        </w:rPr>
        <w:t xml:space="preserve"> ara dönem kar rakamları yılsonuna getirilerek hesaplanmıştır.</w:t>
      </w:r>
    </w:p>
    <w:p w14:paraId="280C72D8" w14:textId="77777777" w:rsidR="000467DB" w:rsidRPr="000467DB" w:rsidRDefault="006B2581" w:rsidP="000467DB">
      <w:pPr>
        <w:pStyle w:val="BodyText"/>
        <w:ind w:left="-567"/>
        <w:rPr>
          <w:b/>
        </w:rPr>
      </w:pPr>
      <w:r w:rsidRPr="00270CE6">
        <w:rPr>
          <w:highlight w:val="yellow"/>
        </w:rPr>
        <w:br w:type="page"/>
      </w:r>
      <w:bookmarkStart w:id="24" w:name="_Hlk39967379"/>
      <w:r w:rsidR="000467DB" w:rsidRPr="000467DB">
        <w:rPr>
          <w:b/>
        </w:rPr>
        <w:lastRenderedPageBreak/>
        <w:t>1.3</w:t>
      </w:r>
      <w:r w:rsidR="000467DB" w:rsidRPr="000467DB">
        <w:rPr>
          <w:b/>
        </w:rPr>
        <w:tab/>
        <w:t>Yönetim Kurulu Başkanı’nın Mesajı</w:t>
      </w:r>
    </w:p>
    <w:bookmarkEnd w:id="24"/>
    <w:p w14:paraId="009E804C" w14:textId="77777777" w:rsidR="000467DB" w:rsidRPr="000467DB" w:rsidRDefault="000467DB" w:rsidP="000467DB">
      <w:pPr>
        <w:jc w:val="both"/>
        <w:rPr>
          <w:rFonts w:cs="Calibri"/>
          <w:sz w:val="18"/>
        </w:rPr>
      </w:pPr>
    </w:p>
    <w:p w14:paraId="5BAC8896" w14:textId="77777777" w:rsidR="000467DB" w:rsidRPr="000467DB" w:rsidRDefault="000467DB" w:rsidP="00B843E3">
      <w:pPr>
        <w:jc w:val="both"/>
        <w:rPr>
          <w:rFonts w:cs="Calibri"/>
          <w:sz w:val="18"/>
        </w:rPr>
      </w:pPr>
      <w:r w:rsidRPr="000467DB">
        <w:rPr>
          <w:rFonts w:cs="Calibri"/>
          <w:sz w:val="18"/>
        </w:rPr>
        <w:t xml:space="preserve">Korumacı politikaların son bulmasını sağlayan gelişmelerle birlikte 2020 yılının ilk yarısında küresel ölçekte nispeten stabil bir görünüm kazanan ekonomik aktivite, yılın ilk çeyreği itibariyle etkisini gösteren, ikinci çeyrekte ise etkisi hızla artan yeni tip </w:t>
      </w:r>
      <w:proofErr w:type="spellStart"/>
      <w:r w:rsidRPr="000467DB">
        <w:rPr>
          <w:rFonts w:cs="Calibri"/>
          <w:sz w:val="18"/>
        </w:rPr>
        <w:t>koronavirüs</w:t>
      </w:r>
      <w:proofErr w:type="spellEnd"/>
      <w:r w:rsidRPr="000467DB">
        <w:rPr>
          <w:rFonts w:cs="Calibri"/>
          <w:sz w:val="18"/>
        </w:rPr>
        <w:t xml:space="preserve"> (SARS-COV-2) salgını nedeniyle sınırlanmıştır. Nitekim salgın dolasıyla ülke ekonomilerinin istihdam, tedarik zincirleri ve üretim kapasitesi nezdinde karşı karşıya kaldığı riskler, global çapta kapsamlı parasal ve mali tedbirlere yönelik aksiyonların alınmasını gerekli kılmıştır. </w:t>
      </w:r>
    </w:p>
    <w:p w14:paraId="0500C1B2" w14:textId="77777777" w:rsidR="000467DB" w:rsidRPr="000467DB" w:rsidRDefault="000467DB" w:rsidP="00B843E3">
      <w:pPr>
        <w:jc w:val="both"/>
        <w:rPr>
          <w:rFonts w:cs="Calibri"/>
          <w:sz w:val="18"/>
        </w:rPr>
      </w:pPr>
    </w:p>
    <w:p w14:paraId="09136CCF" w14:textId="77777777" w:rsidR="000467DB" w:rsidRPr="000467DB" w:rsidRDefault="000467DB" w:rsidP="00B843E3">
      <w:pPr>
        <w:jc w:val="both"/>
        <w:rPr>
          <w:rFonts w:cs="Calibri"/>
          <w:sz w:val="18"/>
        </w:rPr>
      </w:pPr>
      <w:r w:rsidRPr="000467DB">
        <w:rPr>
          <w:rFonts w:cs="Calibri"/>
          <w:sz w:val="18"/>
        </w:rPr>
        <w:t>Gelişmiş ve gelişmekte olan ülke merkez bankaları ve kamu otoriteleri öncülüğünde gerçekleştirilen faiz indirimleri, varlık alım programları ve kredi destek paketleri salgının iktisadi faaliyet üzerindeki etkisini hafifletmiştir. Bu doğrultuda, Uluslararası Para Fonu (IMF), Küresel Ekonomik Görünüm Raporu’nda 2020 yılı için öngördüğü yüzde 5,2’lik daralma tahminini yüzde 4,4’e çekerek pozitif yönde revize etmiştir. Söz konusu öngörünün, karantina önlemlerinin azalmasıyla ekonomik faaliyetin beklenenden daha erken iyileşmesine ve bu iyileşmenin daha güçlü bir toparlanmanın göstergesi olmasına bağlı olarak geliştirildiği belirtilmiştir.</w:t>
      </w:r>
    </w:p>
    <w:p w14:paraId="4941FBF1" w14:textId="77777777" w:rsidR="000467DB" w:rsidRPr="000467DB" w:rsidRDefault="000467DB" w:rsidP="00B843E3">
      <w:pPr>
        <w:jc w:val="both"/>
        <w:rPr>
          <w:rFonts w:cs="Calibri"/>
          <w:sz w:val="18"/>
        </w:rPr>
      </w:pPr>
    </w:p>
    <w:p w14:paraId="036B35FB" w14:textId="77777777" w:rsidR="000467DB" w:rsidRPr="000467DB" w:rsidRDefault="000467DB" w:rsidP="00B843E3">
      <w:pPr>
        <w:jc w:val="both"/>
        <w:rPr>
          <w:rFonts w:cs="Calibri"/>
          <w:sz w:val="18"/>
        </w:rPr>
      </w:pPr>
      <w:r w:rsidRPr="000467DB">
        <w:rPr>
          <w:rFonts w:cs="Calibri"/>
          <w:sz w:val="18"/>
        </w:rPr>
        <w:t xml:space="preserve">FED, politika faizini yüzde 0,25 düzeyinde korurken aylık 120 milyar dolar hacmindeki varlık alım programlarına devam etmektedir. Yeni tip </w:t>
      </w:r>
      <w:proofErr w:type="spellStart"/>
      <w:r w:rsidRPr="000467DB">
        <w:rPr>
          <w:rFonts w:cs="Calibri"/>
          <w:sz w:val="18"/>
        </w:rPr>
        <w:t>koronavirüs</w:t>
      </w:r>
      <w:proofErr w:type="spellEnd"/>
      <w:r w:rsidRPr="000467DB">
        <w:rPr>
          <w:rFonts w:cs="Calibri"/>
          <w:sz w:val="18"/>
        </w:rPr>
        <w:t xml:space="preserve"> (SARS-COV-2) salgınının ekonomi üzerindeki olumsuz etkisinin yoğun hissedildiği ve ekonomik performans açısından en kötü çeyrek olarak kaydedilen 2020 yılının ikinci çeyreğinin akabinde ABD ekonomisi üçüncü çeyrekte yıllık bazda yüzde 33,1 ile rekor büyüme kaydetmiştir. </w:t>
      </w:r>
    </w:p>
    <w:p w14:paraId="4302811A" w14:textId="77777777" w:rsidR="000467DB" w:rsidRPr="000467DB" w:rsidRDefault="000467DB" w:rsidP="00B843E3">
      <w:pPr>
        <w:jc w:val="both"/>
        <w:rPr>
          <w:rFonts w:cs="Calibri"/>
          <w:sz w:val="18"/>
        </w:rPr>
      </w:pPr>
    </w:p>
    <w:p w14:paraId="521F8EA6" w14:textId="77777777" w:rsidR="000467DB" w:rsidRPr="000467DB" w:rsidRDefault="000467DB" w:rsidP="00B843E3">
      <w:pPr>
        <w:jc w:val="both"/>
        <w:rPr>
          <w:rFonts w:cs="Calibri"/>
          <w:sz w:val="18"/>
        </w:rPr>
      </w:pPr>
    </w:p>
    <w:p w14:paraId="1FB045BB" w14:textId="77777777" w:rsidR="000467DB" w:rsidRPr="000467DB" w:rsidRDefault="000467DB" w:rsidP="00B843E3">
      <w:pPr>
        <w:jc w:val="both"/>
        <w:rPr>
          <w:rFonts w:cs="Calibri"/>
          <w:sz w:val="18"/>
        </w:rPr>
      </w:pPr>
      <w:r w:rsidRPr="000467DB">
        <w:rPr>
          <w:rFonts w:cs="Calibri"/>
          <w:sz w:val="18"/>
        </w:rPr>
        <w:t>Avrupa Merkez Bankası ise Ekim ayı içerisinde gerçekleştirdiği toplantısında mevcut para politikasında değişikliğe gitmeyerek politika faizini yüzde 0 seviyesinde sabit bırakmıştır. Mart ayı itibariyle başlatılan ve toplamda 1,35 trilyon Euro hacmine ulaşan varlık alım programının genişletilebileceği ifade edilmiştir. Normalleşme sürecinin hız kazandığı 2020 yılının üçüncü çeyreğinde bölge ekonomisi çeyreklik bazda yüzde 12,7 ile rekor büyüme kaydederken yıllık bazda yüzde 4,3 daralmıştır.</w:t>
      </w:r>
    </w:p>
    <w:p w14:paraId="486FDF17" w14:textId="77777777" w:rsidR="000467DB" w:rsidRPr="000467DB" w:rsidRDefault="000467DB" w:rsidP="00B843E3">
      <w:pPr>
        <w:jc w:val="both"/>
        <w:rPr>
          <w:rFonts w:cs="Calibri"/>
          <w:sz w:val="18"/>
        </w:rPr>
      </w:pPr>
    </w:p>
    <w:p w14:paraId="06CE4C20" w14:textId="77777777" w:rsidR="000467DB" w:rsidRPr="000467DB" w:rsidRDefault="000467DB" w:rsidP="00B843E3">
      <w:pPr>
        <w:jc w:val="both"/>
        <w:rPr>
          <w:rFonts w:cs="Calibri"/>
          <w:sz w:val="18"/>
        </w:rPr>
      </w:pPr>
      <w:r w:rsidRPr="000467DB">
        <w:rPr>
          <w:rFonts w:cs="Calibri"/>
          <w:sz w:val="18"/>
        </w:rPr>
        <w:t>Türkiye ekonomisinin sağlam reel sektör dinamikleri ve güçlü bankacılık sektörünün desteğiyle 2020 yılı genelinde büyümenin pozitif bölgede kalması beklenmektedir. Salgınla mücadele sürecinde aktif rol oynayan bankacılık sektörü, finansal faaliyetlerde dengelenme ve normalleşme kapsamında da reel ekonomiye katkı sağlamayı sürdürmektedir.</w:t>
      </w:r>
    </w:p>
    <w:p w14:paraId="334B2824" w14:textId="77777777" w:rsidR="000467DB" w:rsidRPr="000467DB" w:rsidRDefault="000467DB" w:rsidP="00B843E3">
      <w:pPr>
        <w:jc w:val="both"/>
        <w:rPr>
          <w:rFonts w:cs="Calibri"/>
          <w:sz w:val="18"/>
        </w:rPr>
      </w:pPr>
      <w:r w:rsidRPr="000467DB">
        <w:rPr>
          <w:rFonts w:cs="Calibri"/>
          <w:sz w:val="18"/>
        </w:rPr>
        <w:t xml:space="preserve">Türkiye’de katılım finans sektörünün önde gelen aktörü olarak Kuveyt Türk, ekonomideki sürdürülebilir büyümeye yönelik katkısını artırarak devam ettirmektedir. </w:t>
      </w:r>
    </w:p>
    <w:p w14:paraId="654FAF9D" w14:textId="77777777" w:rsidR="000467DB" w:rsidRPr="000467DB" w:rsidRDefault="000467DB" w:rsidP="00B843E3">
      <w:pPr>
        <w:jc w:val="both"/>
        <w:rPr>
          <w:rFonts w:cs="Calibri"/>
          <w:sz w:val="18"/>
        </w:rPr>
      </w:pPr>
    </w:p>
    <w:p w14:paraId="3D10FF44" w14:textId="4E46A180" w:rsidR="000467DB" w:rsidRDefault="000467DB" w:rsidP="00B843E3">
      <w:pPr>
        <w:jc w:val="both"/>
        <w:rPr>
          <w:rFonts w:cs="Calibri"/>
          <w:sz w:val="18"/>
        </w:rPr>
      </w:pPr>
      <w:r w:rsidRPr="000467DB">
        <w:rPr>
          <w:rFonts w:cs="Calibri"/>
          <w:sz w:val="18"/>
        </w:rPr>
        <w:t xml:space="preserve">Hızlı ve çözüm odaklı teknolojik altyapısıyla Kuveyt Türk, salgın koşullarının hâkim olduğu yeni süreçte ana odağını müşterilerinin ve çalışanlarının sağlığı çerçevesinde şekillendirmiştir. 2020 yılının üçüncü çeyreğinde salgınla mücadele kapsamında, alınan önlemlerden taviz vermeden reel sektöre yönelik desteğini devam ettiren Kuveyt Türk, yılın son çeyreğinde de insan sağlığını </w:t>
      </w:r>
      <w:proofErr w:type="spellStart"/>
      <w:r w:rsidRPr="000467DB">
        <w:rPr>
          <w:rFonts w:cs="Calibri"/>
          <w:sz w:val="18"/>
        </w:rPr>
        <w:t>önceliklendirerek</w:t>
      </w:r>
      <w:proofErr w:type="spellEnd"/>
      <w:r w:rsidRPr="000467DB">
        <w:rPr>
          <w:rFonts w:cs="Calibri"/>
          <w:sz w:val="18"/>
        </w:rPr>
        <w:t xml:space="preserve"> Türkiye ekonomisine desteğini sürdürmektedir.</w:t>
      </w:r>
    </w:p>
    <w:p w14:paraId="06AE9767" w14:textId="72F2ED1B" w:rsidR="00B843E3" w:rsidRDefault="00B843E3" w:rsidP="00B843E3">
      <w:pPr>
        <w:jc w:val="both"/>
        <w:rPr>
          <w:rFonts w:cs="Calibri"/>
          <w:sz w:val="18"/>
        </w:rPr>
      </w:pPr>
    </w:p>
    <w:p w14:paraId="6C7F28D4" w14:textId="77777777" w:rsidR="00B843E3" w:rsidRPr="000467DB" w:rsidRDefault="00B843E3" w:rsidP="00B843E3">
      <w:pPr>
        <w:jc w:val="both"/>
        <w:rPr>
          <w:rFonts w:cs="Calibri"/>
          <w:sz w:val="18"/>
        </w:rPr>
      </w:pPr>
    </w:p>
    <w:p w14:paraId="501D9663" w14:textId="77777777" w:rsidR="000467DB" w:rsidRPr="000467DB" w:rsidRDefault="000467DB" w:rsidP="000467DB">
      <w:pPr>
        <w:rPr>
          <w:rFonts w:cs="Calibri"/>
          <w:sz w:val="18"/>
        </w:rPr>
      </w:pPr>
      <w:proofErr w:type="spellStart"/>
      <w:r w:rsidRPr="000467DB">
        <w:rPr>
          <w:rFonts w:cs="Calibri"/>
          <w:sz w:val="18"/>
        </w:rPr>
        <w:t>Hamad</w:t>
      </w:r>
      <w:proofErr w:type="spellEnd"/>
      <w:r w:rsidRPr="000467DB">
        <w:rPr>
          <w:rFonts w:cs="Calibri"/>
          <w:sz w:val="18"/>
        </w:rPr>
        <w:t xml:space="preserve"> </w:t>
      </w:r>
      <w:proofErr w:type="spellStart"/>
      <w:r w:rsidRPr="000467DB">
        <w:rPr>
          <w:rFonts w:cs="Calibri"/>
          <w:sz w:val="18"/>
        </w:rPr>
        <w:t>Abdulmohsen</w:t>
      </w:r>
      <w:proofErr w:type="spellEnd"/>
      <w:r w:rsidRPr="000467DB">
        <w:rPr>
          <w:rFonts w:cs="Calibri"/>
          <w:sz w:val="18"/>
        </w:rPr>
        <w:t xml:space="preserve"> ALMARZOUQ</w:t>
      </w:r>
    </w:p>
    <w:p w14:paraId="1A1F4722" w14:textId="77777777" w:rsidR="000467DB" w:rsidRPr="000467DB" w:rsidRDefault="000467DB" w:rsidP="000467DB">
      <w:pPr>
        <w:rPr>
          <w:rFonts w:cs="Calibri"/>
          <w:sz w:val="18"/>
        </w:rPr>
      </w:pPr>
      <w:r w:rsidRPr="000467DB">
        <w:rPr>
          <w:rFonts w:cs="Calibri"/>
          <w:sz w:val="18"/>
        </w:rPr>
        <w:t xml:space="preserve">Yönetim Kurulu Başkanı </w:t>
      </w:r>
    </w:p>
    <w:p w14:paraId="3CF89DCC" w14:textId="77777777" w:rsidR="000467DB" w:rsidRPr="000467DB" w:rsidRDefault="000467DB" w:rsidP="000467DB">
      <w:pPr>
        <w:rPr>
          <w:rFonts w:cs="Calibri"/>
          <w:sz w:val="18"/>
        </w:rPr>
      </w:pPr>
      <w:r w:rsidRPr="000467DB">
        <w:rPr>
          <w:rFonts w:cs="Calibri"/>
          <w:sz w:val="18"/>
        </w:rPr>
        <w:t xml:space="preserve">Kuveyt Türk Katılım Bankası </w:t>
      </w:r>
    </w:p>
    <w:p w14:paraId="28CA68A9" w14:textId="77777777" w:rsidR="000467DB" w:rsidRPr="00A955EE" w:rsidRDefault="000467DB" w:rsidP="000467DB">
      <w:pPr>
        <w:jc w:val="both"/>
        <w:rPr>
          <w:rFonts w:cs="Calibri"/>
          <w:sz w:val="18"/>
          <w:highlight w:val="yellow"/>
        </w:rPr>
      </w:pPr>
    </w:p>
    <w:p w14:paraId="781DF528" w14:textId="77777777" w:rsidR="000467DB" w:rsidRPr="00270CE6" w:rsidRDefault="000467DB" w:rsidP="000467DB">
      <w:pPr>
        <w:pStyle w:val="BodyText"/>
        <w:autoSpaceDE/>
        <w:autoSpaceDN/>
        <w:adjustRightInd/>
        <w:rPr>
          <w:b/>
          <w:highlight w:val="yellow"/>
        </w:rPr>
      </w:pPr>
    </w:p>
    <w:p w14:paraId="3052F099" w14:textId="77777777" w:rsidR="000467DB" w:rsidRPr="00270CE6" w:rsidRDefault="000467DB" w:rsidP="000467DB">
      <w:pPr>
        <w:pStyle w:val="BodyText"/>
        <w:autoSpaceDE/>
        <w:autoSpaceDN/>
        <w:adjustRightInd/>
        <w:ind w:hanging="567"/>
        <w:rPr>
          <w:b/>
          <w:highlight w:val="yellow"/>
        </w:rPr>
      </w:pPr>
    </w:p>
    <w:p w14:paraId="78E4FB2A" w14:textId="77777777" w:rsidR="000467DB" w:rsidRPr="00270CE6" w:rsidRDefault="000467DB" w:rsidP="000467DB">
      <w:pPr>
        <w:pStyle w:val="BodyText"/>
        <w:autoSpaceDE/>
        <w:autoSpaceDN/>
        <w:adjustRightInd/>
        <w:rPr>
          <w:b/>
          <w:highlight w:val="yellow"/>
        </w:rPr>
      </w:pPr>
    </w:p>
    <w:p w14:paraId="03847572" w14:textId="77777777" w:rsidR="000467DB" w:rsidRPr="00270CE6" w:rsidRDefault="000467DB" w:rsidP="000467DB">
      <w:pPr>
        <w:pStyle w:val="BodyText"/>
        <w:autoSpaceDE/>
        <w:autoSpaceDN/>
        <w:adjustRightInd/>
        <w:ind w:hanging="567"/>
        <w:rPr>
          <w:b/>
          <w:highlight w:val="yellow"/>
        </w:rPr>
      </w:pPr>
    </w:p>
    <w:p w14:paraId="0B9A3B35" w14:textId="77777777" w:rsidR="000467DB" w:rsidRPr="00270CE6" w:rsidRDefault="000467DB" w:rsidP="000467DB">
      <w:pPr>
        <w:pStyle w:val="BodyText"/>
        <w:autoSpaceDE/>
        <w:autoSpaceDN/>
        <w:adjustRightInd/>
        <w:ind w:hanging="567"/>
        <w:rPr>
          <w:b/>
          <w:highlight w:val="yellow"/>
        </w:rPr>
      </w:pPr>
    </w:p>
    <w:p w14:paraId="36DE1AD9" w14:textId="77777777" w:rsidR="000467DB" w:rsidRPr="00270CE6" w:rsidRDefault="000467DB" w:rsidP="000467DB">
      <w:pPr>
        <w:pStyle w:val="BodyText"/>
        <w:autoSpaceDE/>
        <w:autoSpaceDN/>
        <w:adjustRightInd/>
        <w:ind w:hanging="567"/>
        <w:rPr>
          <w:b/>
          <w:highlight w:val="yellow"/>
        </w:rPr>
      </w:pPr>
    </w:p>
    <w:p w14:paraId="01B8D253" w14:textId="77777777" w:rsidR="000467DB" w:rsidRPr="00270CE6" w:rsidRDefault="000467DB" w:rsidP="000467DB">
      <w:pPr>
        <w:pStyle w:val="BodyText"/>
        <w:autoSpaceDE/>
        <w:autoSpaceDN/>
        <w:adjustRightInd/>
        <w:ind w:hanging="567"/>
        <w:rPr>
          <w:b/>
          <w:highlight w:val="yellow"/>
        </w:rPr>
      </w:pPr>
    </w:p>
    <w:p w14:paraId="2A696550" w14:textId="77777777" w:rsidR="000467DB" w:rsidRPr="00270CE6" w:rsidRDefault="000467DB" w:rsidP="000467DB">
      <w:pPr>
        <w:pStyle w:val="BodyText"/>
        <w:autoSpaceDE/>
        <w:autoSpaceDN/>
        <w:adjustRightInd/>
        <w:ind w:hanging="567"/>
        <w:rPr>
          <w:b/>
          <w:highlight w:val="yellow"/>
        </w:rPr>
      </w:pPr>
    </w:p>
    <w:p w14:paraId="28607985" w14:textId="77777777" w:rsidR="000467DB" w:rsidRPr="00270CE6" w:rsidRDefault="000467DB" w:rsidP="000467DB">
      <w:pPr>
        <w:pStyle w:val="BodyText"/>
        <w:autoSpaceDE/>
        <w:autoSpaceDN/>
        <w:adjustRightInd/>
        <w:ind w:hanging="567"/>
        <w:rPr>
          <w:b/>
          <w:highlight w:val="yellow"/>
        </w:rPr>
      </w:pPr>
    </w:p>
    <w:p w14:paraId="1822AA6D" w14:textId="77777777" w:rsidR="000467DB" w:rsidRPr="00270CE6" w:rsidRDefault="000467DB" w:rsidP="000467DB">
      <w:pPr>
        <w:pStyle w:val="BodyText"/>
        <w:autoSpaceDE/>
        <w:autoSpaceDN/>
        <w:adjustRightInd/>
        <w:ind w:hanging="567"/>
        <w:rPr>
          <w:b/>
          <w:highlight w:val="yellow"/>
        </w:rPr>
      </w:pPr>
    </w:p>
    <w:p w14:paraId="04F0D98A" w14:textId="77777777" w:rsidR="000467DB" w:rsidRPr="00270CE6" w:rsidRDefault="000467DB" w:rsidP="000467DB">
      <w:pPr>
        <w:pStyle w:val="BodyText"/>
        <w:autoSpaceDE/>
        <w:autoSpaceDN/>
        <w:adjustRightInd/>
        <w:ind w:hanging="567"/>
        <w:rPr>
          <w:b/>
          <w:highlight w:val="yellow"/>
        </w:rPr>
      </w:pPr>
    </w:p>
    <w:p w14:paraId="26D6309E" w14:textId="77777777" w:rsidR="000467DB" w:rsidRPr="00270CE6" w:rsidRDefault="000467DB" w:rsidP="000467DB">
      <w:pPr>
        <w:pStyle w:val="BodyText"/>
        <w:autoSpaceDE/>
        <w:autoSpaceDN/>
        <w:adjustRightInd/>
        <w:ind w:hanging="567"/>
        <w:rPr>
          <w:b/>
          <w:highlight w:val="yellow"/>
        </w:rPr>
      </w:pPr>
    </w:p>
    <w:p w14:paraId="0213DAB2" w14:textId="77777777" w:rsidR="000467DB" w:rsidRPr="00270CE6" w:rsidRDefault="000467DB" w:rsidP="000467DB">
      <w:pPr>
        <w:pStyle w:val="BodyText"/>
        <w:autoSpaceDE/>
        <w:autoSpaceDN/>
        <w:adjustRightInd/>
        <w:ind w:hanging="567"/>
        <w:rPr>
          <w:b/>
          <w:highlight w:val="yellow"/>
        </w:rPr>
      </w:pPr>
    </w:p>
    <w:p w14:paraId="4EB9821B" w14:textId="77777777" w:rsidR="000467DB" w:rsidRPr="00270CE6" w:rsidRDefault="000467DB" w:rsidP="000467DB">
      <w:pPr>
        <w:pStyle w:val="BodyText"/>
        <w:autoSpaceDE/>
        <w:autoSpaceDN/>
        <w:adjustRightInd/>
        <w:ind w:hanging="567"/>
        <w:rPr>
          <w:b/>
          <w:highlight w:val="yellow"/>
        </w:rPr>
      </w:pPr>
    </w:p>
    <w:p w14:paraId="3DC11C6E" w14:textId="77777777" w:rsidR="000467DB" w:rsidRPr="00270CE6" w:rsidRDefault="000467DB" w:rsidP="000467DB">
      <w:pPr>
        <w:pStyle w:val="BodyText"/>
        <w:autoSpaceDE/>
        <w:autoSpaceDN/>
        <w:adjustRightInd/>
        <w:ind w:hanging="567"/>
        <w:rPr>
          <w:b/>
          <w:highlight w:val="yellow"/>
        </w:rPr>
      </w:pPr>
    </w:p>
    <w:p w14:paraId="346C718B" w14:textId="77777777" w:rsidR="000467DB" w:rsidRPr="00270CE6" w:rsidRDefault="000467DB" w:rsidP="000467DB">
      <w:pPr>
        <w:pStyle w:val="BodyText"/>
        <w:autoSpaceDE/>
        <w:autoSpaceDN/>
        <w:adjustRightInd/>
        <w:ind w:hanging="567"/>
        <w:rPr>
          <w:b/>
          <w:highlight w:val="yellow"/>
        </w:rPr>
      </w:pPr>
    </w:p>
    <w:p w14:paraId="3F4CA335" w14:textId="77777777" w:rsidR="000467DB" w:rsidRPr="00270CE6" w:rsidRDefault="000467DB" w:rsidP="000467DB">
      <w:pPr>
        <w:pStyle w:val="BodyText"/>
        <w:autoSpaceDE/>
        <w:autoSpaceDN/>
        <w:adjustRightInd/>
        <w:ind w:hanging="567"/>
        <w:rPr>
          <w:b/>
          <w:highlight w:val="yellow"/>
        </w:rPr>
      </w:pPr>
    </w:p>
    <w:p w14:paraId="7A1E0D8E" w14:textId="77777777" w:rsidR="000467DB" w:rsidRPr="00270CE6" w:rsidRDefault="000467DB" w:rsidP="000467DB">
      <w:pPr>
        <w:pStyle w:val="BodyText"/>
        <w:autoSpaceDE/>
        <w:autoSpaceDN/>
        <w:adjustRightInd/>
        <w:ind w:hanging="567"/>
        <w:rPr>
          <w:b/>
          <w:highlight w:val="yellow"/>
        </w:rPr>
      </w:pPr>
    </w:p>
    <w:p w14:paraId="6DFAF09A" w14:textId="77777777" w:rsidR="000467DB" w:rsidRPr="00270CE6" w:rsidRDefault="000467DB" w:rsidP="000467DB">
      <w:pPr>
        <w:pStyle w:val="BodyText"/>
        <w:autoSpaceDE/>
        <w:autoSpaceDN/>
        <w:adjustRightInd/>
        <w:ind w:hanging="567"/>
        <w:rPr>
          <w:b/>
          <w:highlight w:val="yellow"/>
        </w:rPr>
      </w:pPr>
    </w:p>
    <w:p w14:paraId="4EED3310" w14:textId="654E4F50" w:rsidR="00B843E3" w:rsidRDefault="00B843E3">
      <w:pPr>
        <w:rPr>
          <w:b/>
          <w:highlight w:val="yellow"/>
          <w:lang w:eastAsia="x-none"/>
        </w:rPr>
      </w:pPr>
      <w:r>
        <w:rPr>
          <w:b/>
          <w:highlight w:val="yellow"/>
        </w:rPr>
        <w:br w:type="page"/>
      </w:r>
    </w:p>
    <w:p w14:paraId="7CCCD509" w14:textId="77777777" w:rsidR="000467DB" w:rsidRPr="00A955EE" w:rsidRDefault="000467DB" w:rsidP="000467DB">
      <w:pPr>
        <w:pStyle w:val="BodyText"/>
        <w:autoSpaceDE/>
        <w:autoSpaceDN/>
        <w:adjustRightInd/>
        <w:ind w:hanging="567"/>
        <w:rPr>
          <w:b/>
        </w:rPr>
      </w:pPr>
      <w:bookmarkStart w:id="25" w:name="_Hlk39967392"/>
      <w:bookmarkStart w:id="26" w:name="_Hlk40275498"/>
      <w:r w:rsidRPr="00A955EE">
        <w:rPr>
          <w:b/>
        </w:rPr>
        <w:lastRenderedPageBreak/>
        <w:t>1.4</w:t>
      </w:r>
      <w:r w:rsidRPr="00A955EE">
        <w:rPr>
          <w:b/>
        </w:rPr>
        <w:tab/>
        <w:t>Genel Müdür’ün Mesajı</w:t>
      </w:r>
    </w:p>
    <w:p w14:paraId="5915AD82" w14:textId="77777777" w:rsidR="000467DB" w:rsidRPr="00A955EE" w:rsidRDefault="000467DB" w:rsidP="000467DB">
      <w:pPr>
        <w:pStyle w:val="BodyText"/>
        <w:autoSpaceDE/>
        <w:autoSpaceDN/>
        <w:adjustRightInd/>
        <w:ind w:hanging="567"/>
        <w:rPr>
          <w:b/>
        </w:rPr>
      </w:pPr>
    </w:p>
    <w:bookmarkEnd w:id="25"/>
    <w:bookmarkEnd w:id="26"/>
    <w:p w14:paraId="2FAE3C27" w14:textId="77777777" w:rsidR="000467DB" w:rsidRPr="00A955EE" w:rsidRDefault="000467DB" w:rsidP="000467DB">
      <w:pPr>
        <w:jc w:val="both"/>
        <w:rPr>
          <w:rFonts w:cstheme="minorHAnsi"/>
          <w:sz w:val="18"/>
        </w:rPr>
      </w:pPr>
      <w:r w:rsidRPr="00A955EE">
        <w:rPr>
          <w:rFonts w:cstheme="minorHAnsi"/>
          <w:sz w:val="18"/>
        </w:rPr>
        <w:t>Yeni tip korona virüs (SARS-COV-2) salgını, 2020’nin ilk çeyreği itibarıyla küresel makroekonomik görünümü etkileyen önemli bir unsurdu. Yılın ilk yarısındaki kayıpların ardından üçüncü çeyrek, normalleşme sürecinin hız kazandığı ve ekonomik aktivitede güçlü toparlanma sinyallerinin görüldüğü bir dönem olmuştur. Merkez bankaları ve kamu otoriteleri öncülüğünde parasal ve mali destekleri içeren kapsamlı aksiyonlar, ekonomide dengelenme ve yeni normal sürecine geçişte en önem arz eden unsurların başında gelmiştir.</w:t>
      </w:r>
    </w:p>
    <w:p w14:paraId="4A467B89" w14:textId="77777777" w:rsidR="000467DB" w:rsidRPr="00270CE6" w:rsidRDefault="000467DB" w:rsidP="000467DB">
      <w:pPr>
        <w:jc w:val="both"/>
        <w:rPr>
          <w:rFonts w:cstheme="minorHAnsi"/>
          <w:sz w:val="18"/>
          <w:highlight w:val="yellow"/>
        </w:rPr>
      </w:pPr>
    </w:p>
    <w:p w14:paraId="0CFE08AB" w14:textId="3A515D95" w:rsidR="000467DB" w:rsidRPr="00411EA5" w:rsidRDefault="000467DB" w:rsidP="000467DB">
      <w:pPr>
        <w:jc w:val="both"/>
        <w:rPr>
          <w:rFonts w:cstheme="minorHAnsi"/>
          <w:sz w:val="18"/>
        </w:rPr>
      </w:pPr>
      <w:r w:rsidRPr="00411EA5">
        <w:rPr>
          <w:rFonts w:cstheme="minorHAnsi"/>
          <w:sz w:val="18"/>
        </w:rPr>
        <w:t xml:space="preserve">Katılım finans esasları doğrultusunda geliştirdiği ürün ve hizmetleriyle 30 yılı aşkın süredir hizmet veren Kuveyt Türk, 2020 yılının üçüncü çeyreğinde karlılığını artırarak istikrarlı büyümesini sürdürmüş ve net karını bir önceki yılın aynı dönemine göre yüzde </w:t>
      </w:r>
      <w:proofErr w:type="gramStart"/>
      <w:r w:rsidR="00411EA5" w:rsidRPr="00411EA5">
        <w:rPr>
          <w:rFonts w:cstheme="minorHAnsi"/>
          <w:sz w:val="18"/>
        </w:rPr>
        <w:t>33.3</w:t>
      </w:r>
      <w:proofErr w:type="gramEnd"/>
      <w:r w:rsidRPr="00411EA5">
        <w:rPr>
          <w:rFonts w:cstheme="minorHAnsi"/>
          <w:sz w:val="18"/>
        </w:rPr>
        <w:t xml:space="preserve"> artırarak </w:t>
      </w:r>
      <w:r w:rsidR="00411EA5" w:rsidRPr="00411EA5">
        <w:rPr>
          <w:rFonts w:cstheme="minorHAnsi"/>
          <w:sz w:val="18"/>
        </w:rPr>
        <w:t>1</w:t>
      </w:r>
      <w:r w:rsidRPr="00411EA5">
        <w:rPr>
          <w:rFonts w:cstheme="minorHAnsi"/>
          <w:sz w:val="18"/>
        </w:rPr>
        <w:t xml:space="preserve"> milyar TL’ye yükselmiştir. Kuveyt Türk’ün toplanan fon büyüklüğü 2019 yılsonuna kıyasla yüzde </w:t>
      </w:r>
      <w:proofErr w:type="gramStart"/>
      <w:r w:rsidR="00F221B0" w:rsidRPr="00411EA5">
        <w:rPr>
          <w:rFonts w:cstheme="minorHAnsi"/>
          <w:sz w:val="18"/>
        </w:rPr>
        <w:t>3</w:t>
      </w:r>
      <w:r w:rsidR="00411EA5" w:rsidRPr="00411EA5">
        <w:rPr>
          <w:rFonts w:cstheme="minorHAnsi"/>
          <w:sz w:val="18"/>
        </w:rPr>
        <w:t>9</w:t>
      </w:r>
      <w:r w:rsidR="00F221B0" w:rsidRPr="00411EA5">
        <w:rPr>
          <w:rFonts w:cstheme="minorHAnsi"/>
          <w:sz w:val="18"/>
        </w:rPr>
        <w:t>.</w:t>
      </w:r>
      <w:r w:rsidR="00411EA5" w:rsidRPr="00411EA5">
        <w:rPr>
          <w:rFonts w:cstheme="minorHAnsi"/>
          <w:sz w:val="18"/>
        </w:rPr>
        <w:t>6</w:t>
      </w:r>
      <w:proofErr w:type="gramEnd"/>
      <w:r w:rsidRPr="00411EA5">
        <w:rPr>
          <w:rFonts w:cstheme="minorHAnsi"/>
          <w:sz w:val="18"/>
        </w:rPr>
        <w:t xml:space="preserve"> artışla</w:t>
      </w:r>
      <w:r w:rsidR="00411EA5" w:rsidRPr="00411EA5">
        <w:rPr>
          <w:rFonts w:cstheme="minorHAnsi"/>
          <w:sz w:val="18"/>
        </w:rPr>
        <w:t xml:space="preserve"> 119,3</w:t>
      </w:r>
      <w:r w:rsidRPr="00411EA5">
        <w:rPr>
          <w:rFonts w:cstheme="minorHAnsi"/>
          <w:sz w:val="18"/>
        </w:rPr>
        <w:t xml:space="preserve"> milyar TL’ye ulaşırken kullandırılan fon büyüklüğü de yüzde </w:t>
      </w:r>
      <w:r w:rsidR="00F221B0" w:rsidRPr="00411EA5">
        <w:rPr>
          <w:rFonts w:cstheme="minorHAnsi"/>
          <w:sz w:val="18"/>
        </w:rPr>
        <w:t>36.3</w:t>
      </w:r>
      <w:r w:rsidRPr="00411EA5">
        <w:rPr>
          <w:rFonts w:cstheme="minorHAnsi"/>
          <w:sz w:val="18"/>
        </w:rPr>
        <w:t xml:space="preserve"> artışla </w:t>
      </w:r>
      <w:r w:rsidR="00411EA5" w:rsidRPr="00411EA5">
        <w:rPr>
          <w:rFonts w:cstheme="minorHAnsi"/>
          <w:sz w:val="18"/>
        </w:rPr>
        <w:t>78,9</w:t>
      </w:r>
      <w:r w:rsidRPr="00411EA5">
        <w:rPr>
          <w:rFonts w:cstheme="minorHAnsi"/>
          <w:sz w:val="18"/>
        </w:rPr>
        <w:t xml:space="preserve"> milyar TL’ye yükselmiştir. Öz varlıklarını </w:t>
      </w:r>
      <w:r w:rsidR="00411EA5" w:rsidRPr="00411EA5">
        <w:rPr>
          <w:rFonts w:cstheme="minorHAnsi"/>
          <w:sz w:val="18"/>
        </w:rPr>
        <w:t>7,5</w:t>
      </w:r>
      <w:r w:rsidRPr="00411EA5">
        <w:rPr>
          <w:rFonts w:cstheme="minorHAnsi"/>
          <w:sz w:val="18"/>
        </w:rPr>
        <w:t xml:space="preserve"> milyar TL’ye, aktif büyüklüğünü ise </w:t>
      </w:r>
      <w:r w:rsidR="00411EA5" w:rsidRPr="00411EA5">
        <w:rPr>
          <w:rFonts w:cstheme="minorHAnsi"/>
          <w:sz w:val="18"/>
        </w:rPr>
        <w:t>153</w:t>
      </w:r>
      <w:r w:rsidRPr="00411EA5">
        <w:rPr>
          <w:rFonts w:cstheme="minorHAnsi"/>
          <w:sz w:val="18"/>
        </w:rPr>
        <w:t xml:space="preserve"> milyar TL’ye ulaştıran Kuveyt Türk, aktif büyüklük açısından katılım finans kuruluşları arasında ilk sıradaki yerini korumuştur.</w:t>
      </w:r>
    </w:p>
    <w:p w14:paraId="089F500E" w14:textId="77777777" w:rsidR="000467DB" w:rsidRPr="00FE0300" w:rsidRDefault="000467DB" w:rsidP="000467DB">
      <w:pPr>
        <w:jc w:val="both"/>
        <w:rPr>
          <w:rFonts w:cstheme="minorHAnsi"/>
          <w:sz w:val="18"/>
          <w:highlight w:val="yellow"/>
        </w:rPr>
      </w:pPr>
    </w:p>
    <w:p w14:paraId="62CEEAF2" w14:textId="77777777" w:rsidR="000467DB" w:rsidRPr="00A955EE" w:rsidRDefault="000467DB" w:rsidP="000467DB">
      <w:pPr>
        <w:jc w:val="both"/>
        <w:rPr>
          <w:rFonts w:cstheme="minorHAnsi"/>
          <w:sz w:val="18"/>
        </w:rPr>
      </w:pPr>
      <w:r w:rsidRPr="00A955EE">
        <w:rPr>
          <w:rFonts w:cstheme="minorHAnsi"/>
          <w:sz w:val="18"/>
        </w:rPr>
        <w:t xml:space="preserve">Türkiye’nin öncü katılım finans kuruluşu olarak Kuveyt Türk, Great </w:t>
      </w:r>
      <w:proofErr w:type="spellStart"/>
      <w:r w:rsidRPr="00A955EE">
        <w:rPr>
          <w:rFonts w:cstheme="minorHAnsi"/>
          <w:sz w:val="18"/>
        </w:rPr>
        <w:t>Place</w:t>
      </w:r>
      <w:proofErr w:type="spellEnd"/>
      <w:r w:rsidRPr="00A955EE">
        <w:rPr>
          <w:rFonts w:cstheme="minorHAnsi"/>
          <w:sz w:val="18"/>
        </w:rPr>
        <w:t xml:space="preserve"> </w:t>
      </w:r>
      <w:proofErr w:type="spellStart"/>
      <w:r w:rsidRPr="00A955EE">
        <w:rPr>
          <w:rFonts w:cstheme="minorHAnsi"/>
          <w:sz w:val="18"/>
        </w:rPr>
        <w:t>to</w:t>
      </w:r>
      <w:proofErr w:type="spellEnd"/>
      <w:r w:rsidRPr="00A955EE">
        <w:rPr>
          <w:rFonts w:cstheme="minorHAnsi"/>
          <w:sz w:val="18"/>
        </w:rPr>
        <w:t xml:space="preserve"> </w:t>
      </w:r>
      <w:proofErr w:type="spellStart"/>
      <w:r w:rsidRPr="00A955EE">
        <w:rPr>
          <w:rFonts w:cstheme="minorHAnsi"/>
          <w:sz w:val="18"/>
        </w:rPr>
        <w:t>Work</w:t>
      </w:r>
      <w:proofErr w:type="spellEnd"/>
      <w:r w:rsidRPr="00A955EE">
        <w:rPr>
          <w:rFonts w:cstheme="minorHAnsi"/>
          <w:sz w:val="18"/>
        </w:rPr>
        <w:t xml:space="preserve"> Enstitüsü tarafından düzenlenen ve insan kaynakları alanında dünyanın en prestijli organizasyonlarından biri olan “Avrupa’nın En İyi İşverenleri 2020” listesine girmiştir. Türkiye’den bu listeye giren ilk finans kuruluşu olan Kuveyt Türk, Avrupa’da İslami finans alanında listeye adını yazdıran ilk banka olma başarısını da göstermiştir. </w:t>
      </w:r>
    </w:p>
    <w:p w14:paraId="37183928" w14:textId="77777777" w:rsidR="000467DB" w:rsidRPr="00A955EE" w:rsidRDefault="000467DB" w:rsidP="000467DB">
      <w:pPr>
        <w:jc w:val="both"/>
        <w:rPr>
          <w:rFonts w:cstheme="minorHAnsi"/>
          <w:sz w:val="18"/>
        </w:rPr>
      </w:pPr>
    </w:p>
    <w:p w14:paraId="375574F2" w14:textId="77777777" w:rsidR="000467DB" w:rsidRPr="00A955EE" w:rsidRDefault="000467DB" w:rsidP="000467DB">
      <w:pPr>
        <w:jc w:val="both"/>
        <w:rPr>
          <w:rFonts w:cstheme="minorHAnsi"/>
          <w:sz w:val="18"/>
        </w:rPr>
      </w:pPr>
      <w:r w:rsidRPr="00A955EE">
        <w:rPr>
          <w:rFonts w:cstheme="minorHAnsi"/>
          <w:sz w:val="18"/>
        </w:rPr>
        <w:t xml:space="preserve">Reel sektöre desteğini artıran Kuveyt Türk, üretime ve yatırıma katkı sağlamak amacıyla ticari müşterilerine yönelik </w:t>
      </w:r>
      <w:proofErr w:type="gramStart"/>
      <w:r w:rsidRPr="00A955EE">
        <w:rPr>
          <w:rFonts w:cstheme="minorHAnsi"/>
          <w:sz w:val="18"/>
        </w:rPr>
        <w:t>Şubat</w:t>
      </w:r>
      <w:proofErr w:type="gramEnd"/>
      <w:r w:rsidRPr="00A955EE">
        <w:rPr>
          <w:rFonts w:cstheme="minorHAnsi"/>
          <w:sz w:val="18"/>
        </w:rPr>
        <w:t xml:space="preserve"> ayında başlatıp Nisan sonuna kadar sürdürdüğü makine finansmanı kampanyasında ikinci faza üçüncü çeyrekte geçmiştir. Ticari müşterilerine cazip kâr oranlarıyla finansman desteğinde bulunan Kuveyt Türk, 6 ayı ödemesiz olmak üzere toplamda 60 aya varan vade seçenekleriyle işletmelere 1 milyar TL'ye ulaşan finansman desteğinde bulunmuştur. Böylece iki kampanya sonunda üretim ve yatırıma verilen destek toplamda yaklaşık 1,8 milyar TL'ye ulaşmıştır.</w:t>
      </w:r>
    </w:p>
    <w:p w14:paraId="64743158" w14:textId="77777777" w:rsidR="000467DB" w:rsidRPr="00A955EE" w:rsidRDefault="000467DB" w:rsidP="000467DB">
      <w:pPr>
        <w:jc w:val="both"/>
        <w:rPr>
          <w:rFonts w:cstheme="minorHAnsi"/>
          <w:sz w:val="18"/>
        </w:rPr>
      </w:pPr>
    </w:p>
    <w:p w14:paraId="5895D71B" w14:textId="77777777" w:rsidR="000467DB" w:rsidRPr="00A955EE" w:rsidRDefault="000467DB" w:rsidP="000467DB">
      <w:pPr>
        <w:jc w:val="both"/>
        <w:rPr>
          <w:rFonts w:cstheme="minorHAnsi"/>
          <w:sz w:val="18"/>
        </w:rPr>
      </w:pPr>
      <w:r w:rsidRPr="00A955EE">
        <w:rPr>
          <w:rFonts w:cstheme="minorHAnsi"/>
          <w:sz w:val="18"/>
        </w:rPr>
        <w:t xml:space="preserve">Kuveyt Türk’ün sektörde bir ilke imza atarak 2017 yılında hayata geçirdiği Kuveyt Türk Bankacılık Okulu’nda çalışanlara yönelik eğitimler, salgın sürecinde online şekilde tüm hızıyla devam etmiştir. Mesleki ve yetkinlik gelişim eğitimlerinin yanı sıra çalışanlara, Veri Analisti Yetiştirme Programı, Veri Bilimcisi Yetiştirme Programı ve Dijital Yetkinlik Geliştirme Programı gibi birçok alanda eğitimin verildiği Kuveyt Türk Bankacılık Okulu, ortaya koyduğu başarılı çalışmalar sonucunda en prestijli danışmanlık şirketlerinden </w:t>
      </w:r>
      <w:proofErr w:type="spellStart"/>
      <w:r w:rsidRPr="00A955EE">
        <w:rPr>
          <w:rFonts w:cstheme="minorHAnsi"/>
          <w:sz w:val="18"/>
        </w:rPr>
        <w:t>Brandon</w:t>
      </w:r>
      <w:proofErr w:type="spellEnd"/>
      <w:r w:rsidRPr="00A955EE">
        <w:rPr>
          <w:rFonts w:cstheme="minorHAnsi"/>
          <w:sz w:val="18"/>
        </w:rPr>
        <w:t xml:space="preserve"> </w:t>
      </w:r>
      <w:proofErr w:type="spellStart"/>
      <w:r w:rsidRPr="00A955EE">
        <w:rPr>
          <w:rFonts w:cstheme="minorHAnsi"/>
          <w:sz w:val="18"/>
        </w:rPr>
        <w:t>Hall</w:t>
      </w:r>
      <w:proofErr w:type="spellEnd"/>
      <w:r w:rsidRPr="00A955EE">
        <w:rPr>
          <w:rFonts w:cstheme="minorHAnsi"/>
          <w:sz w:val="18"/>
        </w:rPr>
        <w:t xml:space="preserve"> Group tarafından düzenlenen </w:t>
      </w:r>
      <w:proofErr w:type="spellStart"/>
      <w:r w:rsidRPr="00A955EE">
        <w:rPr>
          <w:rFonts w:cstheme="minorHAnsi"/>
          <w:sz w:val="18"/>
        </w:rPr>
        <w:t>Excellence</w:t>
      </w:r>
      <w:proofErr w:type="spellEnd"/>
      <w:r w:rsidRPr="00A955EE">
        <w:rPr>
          <w:rFonts w:cstheme="minorHAnsi"/>
          <w:sz w:val="18"/>
        </w:rPr>
        <w:t xml:space="preserve"> </w:t>
      </w:r>
      <w:proofErr w:type="spellStart"/>
      <w:r w:rsidRPr="00A955EE">
        <w:rPr>
          <w:rFonts w:cstheme="minorHAnsi"/>
          <w:sz w:val="18"/>
        </w:rPr>
        <w:t>Awards’ta</w:t>
      </w:r>
      <w:proofErr w:type="spellEnd"/>
      <w:r w:rsidRPr="00A955EE">
        <w:rPr>
          <w:rFonts w:cstheme="minorHAnsi"/>
          <w:sz w:val="18"/>
        </w:rPr>
        <w:t xml:space="preserve"> 4’ü altın olmak üzere 10 ödüle birden layık görülmüştür.</w:t>
      </w:r>
    </w:p>
    <w:p w14:paraId="076A145C" w14:textId="77777777" w:rsidR="000467DB" w:rsidRPr="00A955EE" w:rsidRDefault="000467DB" w:rsidP="000467DB">
      <w:pPr>
        <w:jc w:val="both"/>
        <w:rPr>
          <w:rFonts w:cstheme="minorHAnsi"/>
          <w:sz w:val="18"/>
        </w:rPr>
      </w:pPr>
    </w:p>
    <w:p w14:paraId="0B9BAFF8" w14:textId="77777777" w:rsidR="000467DB" w:rsidRPr="00A955EE" w:rsidRDefault="000467DB" w:rsidP="000467DB">
      <w:pPr>
        <w:jc w:val="both"/>
        <w:rPr>
          <w:rFonts w:cstheme="minorHAnsi"/>
          <w:sz w:val="18"/>
        </w:rPr>
      </w:pPr>
      <w:r w:rsidRPr="00A955EE">
        <w:rPr>
          <w:rFonts w:cstheme="minorHAnsi"/>
          <w:sz w:val="18"/>
        </w:rPr>
        <w:t>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w:t>
      </w:r>
    </w:p>
    <w:p w14:paraId="6EBA6674" w14:textId="73CFFAA6" w:rsidR="000467DB" w:rsidRDefault="000467DB" w:rsidP="000467DB">
      <w:pPr>
        <w:rPr>
          <w:rFonts w:cstheme="minorHAnsi"/>
        </w:rPr>
      </w:pPr>
    </w:p>
    <w:p w14:paraId="0CCFAD44" w14:textId="77777777" w:rsidR="00B843E3" w:rsidRPr="00A955EE" w:rsidRDefault="00B843E3" w:rsidP="000467DB">
      <w:pPr>
        <w:rPr>
          <w:rFonts w:cstheme="minorHAnsi"/>
        </w:rPr>
      </w:pPr>
    </w:p>
    <w:p w14:paraId="7FF9542B" w14:textId="77777777" w:rsidR="000467DB" w:rsidRPr="00A955EE" w:rsidRDefault="000467DB" w:rsidP="000467DB">
      <w:pPr>
        <w:rPr>
          <w:rFonts w:cstheme="minorHAnsi"/>
        </w:rPr>
      </w:pPr>
      <w:r w:rsidRPr="00A955EE">
        <w:rPr>
          <w:rFonts w:cstheme="minorHAnsi"/>
        </w:rPr>
        <w:t>Ufuk UYAN</w:t>
      </w:r>
    </w:p>
    <w:p w14:paraId="1B1EE258" w14:textId="77777777" w:rsidR="000467DB" w:rsidRPr="00A955EE" w:rsidRDefault="000467DB" w:rsidP="000467DB">
      <w:pPr>
        <w:rPr>
          <w:rFonts w:cstheme="minorHAnsi"/>
        </w:rPr>
      </w:pPr>
      <w:r w:rsidRPr="00A955EE">
        <w:rPr>
          <w:rFonts w:cstheme="minorHAnsi"/>
        </w:rPr>
        <w:t>Yönetim Kurulu Üyesi ve Genel Müdür</w:t>
      </w:r>
    </w:p>
    <w:p w14:paraId="26631BD1" w14:textId="0ADE1307" w:rsidR="006B2581" w:rsidRPr="00270CE6" w:rsidRDefault="000467DB" w:rsidP="000467DB">
      <w:pPr>
        <w:pStyle w:val="BodyText"/>
        <w:ind w:left="-567" w:firstLine="567"/>
        <w:rPr>
          <w:sz w:val="16"/>
          <w:szCs w:val="16"/>
          <w:highlight w:val="yellow"/>
        </w:rPr>
      </w:pPr>
      <w:r w:rsidRPr="00A955EE">
        <w:rPr>
          <w:rFonts w:cstheme="minorHAnsi"/>
        </w:rPr>
        <w:t>Kuveyt Türk Katılım Bankası</w:t>
      </w:r>
    </w:p>
    <w:p w14:paraId="5241C4B5" w14:textId="402430F7" w:rsidR="00315137" w:rsidRPr="00270CE6" w:rsidRDefault="00315137" w:rsidP="006B2581">
      <w:pPr>
        <w:pStyle w:val="BodyText"/>
        <w:rPr>
          <w:sz w:val="16"/>
          <w:szCs w:val="16"/>
          <w:highlight w:val="yellow"/>
        </w:rPr>
      </w:pPr>
    </w:p>
    <w:p w14:paraId="47774C12" w14:textId="46AE2E4C" w:rsidR="00315137" w:rsidRPr="00270CE6" w:rsidRDefault="00315137" w:rsidP="006B2581">
      <w:pPr>
        <w:pStyle w:val="BodyText"/>
        <w:rPr>
          <w:sz w:val="16"/>
          <w:szCs w:val="16"/>
          <w:highlight w:val="yellow"/>
        </w:rPr>
      </w:pPr>
    </w:p>
    <w:p w14:paraId="2332F8B2" w14:textId="757B8B65" w:rsidR="00315137" w:rsidRPr="00270CE6" w:rsidRDefault="00315137" w:rsidP="006B2581">
      <w:pPr>
        <w:pStyle w:val="BodyText"/>
        <w:rPr>
          <w:sz w:val="16"/>
          <w:szCs w:val="16"/>
          <w:highlight w:val="yellow"/>
        </w:rPr>
      </w:pPr>
    </w:p>
    <w:p w14:paraId="1F9F8D84" w14:textId="4704C31D" w:rsidR="00315137" w:rsidRPr="00270CE6" w:rsidRDefault="00315137" w:rsidP="006B2581">
      <w:pPr>
        <w:pStyle w:val="BodyText"/>
        <w:rPr>
          <w:sz w:val="16"/>
          <w:szCs w:val="16"/>
          <w:highlight w:val="yellow"/>
        </w:rPr>
      </w:pPr>
    </w:p>
    <w:p w14:paraId="1CBE184A" w14:textId="43B67FD0" w:rsidR="00315137" w:rsidRPr="00270CE6" w:rsidRDefault="00315137" w:rsidP="006B2581">
      <w:pPr>
        <w:pStyle w:val="BodyText"/>
        <w:rPr>
          <w:sz w:val="16"/>
          <w:szCs w:val="16"/>
          <w:highlight w:val="yellow"/>
        </w:rPr>
      </w:pPr>
    </w:p>
    <w:p w14:paraId="4B52197E" w14:textId="27A8C2D4" w:rsidR="00315137" w:rsidRPr="00270CE6" w:rsidRDefault="00315137" w:rsidP="006B2581">
      <w:pPr>
        <w:pStyle w:val="BodyText"/>
        <w:rPr>
          <w:sz w:val="16"/>
          <w:szCs w:val="16"/>
          <w:highlight w:val="yellow"/>
        </w:rPr>
      </w:pPr>
    </w:p>
    <w:p w14:paraId="10470082" w14:textId="0EEB2544" w:rsidR="00315137" w:rsidRPr="00270CE6" w:rsidRDefault="00315137" w:rsidP="006B2581">
      <w:pPr>
        <w:pStyle w:val="BodyText"/>
        <w:rPr>
          <w:sz w:val="16"/>
          <w:szCs w:val="16"/>
          <w:highlight w:val="yellow"/>
        </w:rPr>
      </w:pPr>
    </w:p>
    <w:p w14:paraId="6E01515B" w14:textId="439AFDFA" w:rsidR="00315137" w:rsidRPr="00270CE6" w:rsidRDefault="00315137" w:rsidP="006B2581">
      <w:pPr>
        <w:pStyle w:val="BodyText"/>
        <w:rPr>
          <w:sz w:val="16"/>
          <w:szCs w:val="16"/>
          <w:highlight w:val="yellow"/>
        </w:rPr>
      </w:pPr>
    </w:p>
    <w:p w14:paraId="2C0E4BA5" w14:textId="3B78BB07" w:rsidR="00315137" w:rsidRPr="00270CE6" w:rsidRDefault="00315137" w:rsidP="006B2581">
      <w:pPr>
        <w:pStyle w:val="BodyText"/>
        <w:rPr>
          <w:sz w:val="16"/>
          <w:szCs w:val="16"/>
          <w:highlight w:val="yellow"/>
        </w:rPr>
      </w:pPr>
    </w:p>
    <w:p w14:paraId="21ABDD54" w14:textId="048CAAD8" w:rsidR="00315137" w:rsidRDefault="00315137" w:rsidP="006B2581">
      <w:pPr>
        <w:pStyle w:val="BodyText"/>
        <w:rPr>
          <w:sz w:val="16"/>
          <w:szCs w:val="16"/>
          <w:highlight w:val="yellow"/>
        </w:rPr>
      </w:pPr>
    </w:p>
    <w:p w14:paraId="2382D5E5" w14:textId="6D547939" w:rsidR="000467DB" w:rsidRDefault="000467DB" w:rsidP="006B2581">
      <w:pPr>
        <w:pStyle w:val="BodyText"/>
        <w:rPr>
          <w:sz w:val="16"/>
          <w:szCs w:val="16"/>
          <w:highlight w:val="yellow"/>
        </w:rPr>
      </w:pPr>
    </w:p>
    <w:p w14:paraId="5CBB610A" w14:textId="1B8694AD" w:rsidR="000467DB" w:rsidRDefault="000467DB" w:rsidP="006B2581">
      <w:pPr>
        <w:pStyle w:val="BodyText"/>
        <w:rPr>
          <w:sz w:val="16"/>
          <w:szCs w:val="16"/>
          <w:highlight w:val="yellow"/>
        </w:rPr>
      </w:pPr>
    </w:p>
    <w:p w14:paraId="150274BC" w14:textId="1A451981" w:rsidR="000467DB" w:rsidRDefault="000467DB" w:rsidP="006B2581">
      <w:pPr>
        <w:pStyle w:val="BodyText"/>
        <w:rPr>
          <w:sz w:val="16"/>
          <w:szCs w:val="16"/>
          <w:highlight w:val="yellow"/>
        </w:rPr>
      </w:pPr>
    </w:p>
    <w:p w14:paraId="67F02F18" w14:textId="044BA5A2" w:rsidR="000467DB" w:rsidRDefault="000467DB" w:rsidP="006B2581">
      <w:pPr>
        <w:pStyle w:val="BodyText"/>
        <w:rPr>
          <w:sz w:val="16"/>
          <w:szCs w:val="16"/>
          <w:highlight w:val="yellow"/>
        </w:rPr>
      </w:pPr>
    </w:p>
    <w:p w14:paraId="651DD945" w14:textId="4525065B" w:rsidR="000467DB" w:rsidRDefault="000467DB" w:rsidP="006B2581">
      <w:pPr>
        <w:pStyle w:val="BodyText"/>
        <w:rPr>
          <w:sz w:val="16"/>
          <w:szCs w:val="16"/>
          <w:highlight w:val="yellow"/>
        </w:rPr>
      </w:pPr>
    </w:p>
    <w:p w14:paraId="3871A62E" w14:textId="7B00F35F" w:rsidR="000467DB" w:rsidRDefault="000467DB" w:rsidP="006B2581">
      <w:pPr>
        <w:pStyle w:val="BodyText"/>
        <w:rPr>
          <w:sz w:val="16"/>
          <w:szCs w:val="16"/>
          <w:highlight w:val="yellow"/>
        </w:rPr>
      </w:pPr>
    </w:p>
    <w:p w14:paraId="6E857A58" w14:textId="11B38579" w:rsidR="000467DB" w:rsidRDefault="000467DB" w:rsidP="006B2581">
      <w:pPr>
        <w:pStyle w:val="BodyText"/>
        <w:rPr>
          <w:sz w:val="16"/>
          <w:szCs w:val="16"/>
          <w:highlight w:val="yellow"/>
        </w:rPr>
      </w:pPr>
    </w:p>
    <w:p w14:paraId="2F141E0B" w14:textId="31D1507B" w:rsidR="000467DB" w:rsidRDefault="000467DB" w:rsidP="006B2581">
      <w:pPr>
        <w:pStyle w:val="BodyText"/>
        <w:rPr>
          <w:sz w:val="16"/>
          <w:szCs w:val="16"/>
          <w:highlight w:val="yellow"/>
        </w:rPr>
      </w:pPr>
    </w:p>
    <w:p w14:paraId="46095946" w14:textId="6FB29D0E" w:rsidR="000467DB" w:rsidRDefault="000467DB" w:rsidP="006B2581">
      <w:pPr>
        <w:pStyle w:val="BodyText"/>
        <w:rPr>
          <w:sz w:val="16"/>
          <w:szCs w:val="16"/>
          <w:highlight w:val="yellow"/>
        </w:rPr>
      </w:pPr>
    </w:p>
    <w:p w14:paraId="32401EFE" w14:textId="60F1C851" w:rsidR="000467DB" w:rsidRDefault="000467DB" w:rsidP="006B2581">
      <w:pPr>
        <w:pStyle w:val="BodyText"/>
        <w:rPr>
          <w:sz w:val="16"/>
          <w:szCs w:val="16"/>
          <w:highlight w:val="yellow"/>
        </w:rPr>
      </w:pPr>
    </w:p>
    <w:p w14:paraId="369EC7A8" w14:textId="045E5805" w:rsidR="000467DB" w:rsidRDefault="000467DB" w:rsidP="006B2581">
      <w:pPr>
        <w:pStyle w:val="BodyText"/>
        <w:rPr>
          <w:sz w:val="16"/>
          <w:szCs w:val="16"/>
          <w:highlight w:val="yellow"/>
        </w:rPr>
      </w:pPr>
    </w:p>
    <w:p w14:paraId="32635F14" w14:textId="29436300" w:rsidR="000467DB" w:rsidRDefault="000467DB" w:rsidP="006B2581">
      <w:pPr>
        <w:pStyle w:val="BodyText"/>
        <w:rPr>
          <w:sz w:val="16"/>
          <w:szCs w:val="16"/>
          <w:highlight w:val="yellow"/>
        </w:rPr>
      </w:pPr>
    </w:p>
    <w:p w14:paraId="1939BD96" w14:textId="572ADB03" w:rsidR="000467DB" w:rsidRDefault="000467DB" w:rsidP="006B2581">
      <w:pPr>
        <w:pStyle w:val="BodyText"/>
        <w:rPr>
          <w:sz w:val="16"/>
          <w:szCs w:val="16"/>
          <w:highlight w:val="yellow"/>
        </w:rPr>
      </w:pPr>
    </w:p>
    <w:p w14:paraId="2220F2C9" w14:textId="650EC3B0" w:rsidR="000467DB" w:rsidRDefault="000467DB" w:rsidP="006B2581">
      <w:pPr>
        <w:pStyle w:val="BodyText"/>
        <w:rPr>
          <w:sz w:val="16"/>
          <w:szCs w:val="16"/>
          <w:highlight w:val="yellow"/>
        </w:rPr>
      </w:pPr>
    </w:p>
    <w:p w14:paraId="02761966" w14:textId="1A3FC3D7" w:rsidR="00B843E3" w:rsidRDefault="00B843E3">
      <w:pPr>
        <w:rPr>
          <w:sz w:val="16"/>
          <w:szCs w:val="16"/>
          <w:highlight w:val="yellow"/>
          <w:lang w:eastAsia="x-none"/>
        </w:rPr>
      </w:pPr>
      <w:r>
        <w:rPr>
          <w:sz w:val="16"/>
          <w:szCs w:val="16"/>
          <w:highlight w:val="yellow"/>
        </w:rPr>
        <w:br w:type="page"/>
      </w:r>
    </w:p>
    <w:p w14:paraId="465CB929" w14:textId="77777777" w:rsidR="006B2581" w:rsidRPr="00FC2543" w:rsidRDefault="006B2581" w:rsidP="006B2581">
      <w:pPr>
        <w:pStyle w:val="BodyText"/>
        <w:autoSpaceDE/>
        <w:autoSpaceDN/>
        <w:adjustRightInd/>
        <w:ind w:hanging="567"/>
        <w:rPr>
          <w:b/>
        </w:rPr>
      </w:pPr>
      <w:r w:rsidRPr="00FC2543">
        <w:rPr>
          <w:b/>
        </w:rPr>
        <w:lastRenderedPageBreak/>
        <w:t>1.5</w:t>
      </w:r>
      <w:r w:rsidRPr="00FC2543">
        <w:rPr>
          <w:b/>
        </w:rPr>
        <w:tab/>
        <w:t>Finansal Durum, Performans ve Geleceğe Yönelik Beklentiler Hakkında Değerlendirme</w:t>
      </w:r>
    </w:p>
    <w:p w14:paraId="6E383AED" w14:textId="77777777" w:rsidR="006B2581" w:rsidRPr="00FC2543" w:rsidRDefault="006B2581" w:rsidP="006B2581">
      <w:pPr>
        <w:pStyle w:val="BodyText"/>
        <w:rPr>
          <w:sz w:val="16"/>
          <w:szCs w:val="16"/>
        </w:rPr>
      </w:pPr>
    </w:p>
    <w:p w14:paraId="7E39788D" w14:textId="28C25E41" w:rsidR="006B2581" w:rsidRPr="00FC2543" w:rsidRDefault="00EA6E92" w:rsidP="006B2581">
      <w:pPr>
        <w:jc w:val="both"/>
        <w:rPr>
          <w:spacing w:val="-6"/>
          <w:lang w:eastAsia="x-none"/>
        </w:rPr>
      </w:pPr>
      <w:r w:rsidRPr="00FC2543">
        <w:t>30 Eylül</w:t>
      </w:r>
      <w:r w:rsidR="006F7532" w:rsidRPr="00FC2543">
        <w:t xml:space="preserve"> 2020</w:t>
      </w:r>
      <w:r w:rsidR="006B2581" w:rsidRPr="00FC2543">
        <w:rPr>
          <w:spacing w:val="-6"/>
          <w:lang w:eastAsia="x-none"/>
        </w:rPr>
        <w:t xml:space="preserve"> tarihi itibarıyla hazırlanan konsolide olmayan finansal tablolar üzerinden aktif büyüklüğümüz </w:t>
      </w:r>
      <w:r w:rsidR="00851C6F" w:rsidRPr="00FC2543">
        <w:rPr>
          <w:spacing w:val="-6"/>
          <w:lang w:eastAsia="x-none"/>
        </w:rPr>
        <w:t>1</w:t>
      </w:r>
      <w:r w:rsidR="00FC2543" w:rsidRPr="00FC2543">
        <w:rPr>
          <w:spacing w:val="-6"/>
          <w:lang w:eastAsia="x-none"/>
        </w:rPr>
        <w:t>5</w:t>
      </w:r>
      <w:r w:rsidR="002F1E98" w:rsidRPr="00FC2543">
        <w:rPr>
          <w:spacing w:val="-6"/>
          <w:lang w:eastAsia="x-none"/>
        </w:rPr>
        <w:t>3</w:t>
      </w:r>
      <w:r w:rsidR="006B2581" w:rsidRPr="00FC2543">
        <w:rPr>
          <w:spacing w:val="-6"/>
          <w:lang w:eastAsia="x-none"/>
        </w:rPr>
        <w:t xml:space="preserve"> milyon </w:t>
      </w:r>
      <w:r w:rsidR="00FC2543" w:rsidRPr="00FC2543">
        <w:rPr>
          <w:spacing w:val="-6"/>
          <w:lang w:eastAsia="x-none"/>
        </w:rPr>
        <w:t>120</w:t>
      </w:r>
      <w:r w:rsidR="006B2581" w:rsidRPr="00FC2543">
        <w:rPr>
          <w:spacing w:val="-6"/>
          <w:lang w:eastAsia="x-none"/>
        </w:rPr>
        <w:t xml:space="preserve"> bin Türk Lirasına ulaşırken fon </w:t>
      </w:r>
      <w:proofErr w:type="spellStart"/>
      <w:r w:rsidR="006B2581" w:rsidRPr="00FC2543">
        <w:rPr>
          <w:spacing w:val="-6"/>
          <w:lang w:eastAsia="x-none"/>
        </w:rPr>
        <w:t>kullandırımımız</w:t>
      </w:r>
      <w:proofErr w:type="spellEnd"/>
      <w:r w:rsidR="006B2581" w:rsidRPr="00FC2543">
        <w:rPr>
          <w:spacing w:val="-6"/>
          <w:lang w:eastAsia="x-none"/>
        </w:rPr>
        <w:t xml:space="preserve"> ise </w:t>
      </w:r>
      <w:r w:rsidR="002F1E98" w:rsidRPr="00FC2543">
        <w:rPr>
          <w:spacing w:val="-6"/>
          <w:lang w:eastAsia="x-none"/>
        </w:rPr>
        <w:t>7</w:t>
      </w:r>
      <w:r w:rsidR="00FC2543" w:rsidRPr="00FC2543">
        <w:rPr>
          <w:spacing w:val="-6"/>
          <w:lang w:eastAsia="x-none"/>
        </w:rPr>
        <w:t>8</w:t>
      </w:r>
      <w:r w:rsidR="006B2581" w:rsidRPr="00FC2543">
        <w:rPr>
          <w:spacing w:val="-6"/>
          <w:lang w:eastAsia="x-none"/>
        </w:rPr>
        <w:t xml:space="preserve"> milyon </w:t>
      </w:r>
      <w:r w:rsidR="00FC2543" w:rsidRPr="00FC2543">
        <w:rPr>
          <w:spacing w:val="-6"/>
          <w:lang w:eastAsia="x-none"/>
        </w:rPr>
        <w:t>933</w:t>
      </w:r>
      <w:r w:rsidR="006B2581" w:rsidRPr="00FC2543">
        <w:rPr>
          <w:spacing w:val="-6"/>
          <w:lang w:eastAsia="x-none"/>
        </w:rPr>
        <w:t xml:space="preserve"> bin TL ve topladığımız fonlar </w:t>
      </w:r>
      <w:r w:rsidR="002F1E98" w:rsidRPr="00FC2543">
        <w:rPr>
          <w:spacing w:val="-6"/>
          <w:lang w:eastAsia="x-none"/>
        </w:rPr>
        <w:t>1</w:t>
      </w:r>
      <w:r w:rsidR="00FC2543" w:rsidRPr="00FC2543">
        <w:rPr>
          <w:spacing w:val="-6"/>
          <w:lang w:eastAsia="x-none"/>
        </w:rPr>
        <w:t>19</w:t>
      </w:r>
      <w:r w:rsidR="006B2581" w:rsidRPr="00FC2543">
        <w:rPr>
          <w:spacing w:val="-6"/>
          <w:lang w:eastAsia="x-none"/>
        </w:rPr>
        <w:t xml:space="preserve"> milyon </w:t>
      </w:r>
      <w:r w:rsidR="00FC2543" w:rsidRPr="00FC2543">
        <w:rPr>
          <w:spacing w:val="-6"/>
          <w:lang w:eastAsia="x-none"/>
        </w:rPr>
        <w:t>340</w:t>
      </w:r>
      <w:r w:rsidR="006B2581" w:rsidRPr="00FC2543">
        <w:rPr>
          <w:spacing w:val="-6"/>
          <w:lang w:eastAsia="x-none"/>
        </w:rPr>
        <w:t xml:space="preserve"> bin TL olarak gerçekleşmiştir. 20</w:t>
      </w:r>
      <w:r w:rsidR="00851C6F" w:rsidRPr="00FC2543">
        <w:rPr>
          <w:spacing w:val="-6"/>
          <w:lang w:eastAsia="x-none"/>
        </w:rPr>
        <w:t>20</w:t>
      </w:r>
      <w:r w:rsidR="006B2581" w:rsidRPr="00FC2543">
        <w:rPr>
          <w:spacing w:val="-6"/>
          <w:lang w:eastAsia="x-none"/>
        </w:rPr>
        <w:t xml:space="preserve"> yılının ilk </w:t>
      </w:r>
      <w:r w:rsidR="00C63F10" w:rsidRPr="00FC2543">
        <w:rPr>
          <w:spacing w:val="-6"/>
          <w:lang w:eastAsia="x-none"/>
        </w:rPr>
        <w:t>dokuz</w:t>
      </w:r>
      <w:r w:rsidR="006B2581" w:rsidRPr="00FC2543">
        <w:rPr>
          <w:spacing w:val="-6"/>
          <w:lang w:eastAsia="x-none"/>
        </w:rPr>
        <w:t xml:space="preserve"> ayında elde edilen </w:t>
      </w:r>
      <w:r w:rsidR="00FC2543" w:rsidRPr="00FC2543">
        <w:rPr>
          <w:spacing w:val="-6"/>
          <w:lang w:eastAsia="x-none"/>
        </w:rPr>
        <w:t xml:space="preserve">1,036 </w:t>
      </w:r>
      <w:r w:rsidR="006B2581" w:rsidRPr="00FC2543">
        <w:rPr>
          <w:spacing w:val="-6"/>
          <w:lang w:eastAsia="x-none"/>
        </w:rPr>
        <w:t xml:space="preserve">bin TL karın etkisi ile </w:t>
      </w:r>
      <w:proofErr w:type="spellStart"/>
      <w:r w:rsidR="006B2581" w:rsidRPr="00FC2543">
        <w:rPr>
          <w:spacing w:val="-6"/>
          <w:lang w:eastAsia="x-none"/>
        </w:rPr>
        <w:t>özkaynaklarımız</w:t>
      </w:r>
      <w:proofErr w:type="spellEnd"/>
      <w:r w:rsidR="006B2581" w:rsidRPr="00FC2543">
        <w:rPr>
          <w:spacing w:val="-6"/>
          <w:lang w:eastAsia="x-none"/>
        </w:rPr>
        <w:t xml:space="preserve"> %</w:t>
      </w:r>
      <w:proofErr w:type="gramStart"/>
      <w:r w:rsidR="002F1E98" w:rsidRPr="00FC2543">
        <w:rPr>
          <w:spacing w:val="-6"/>
          <w:lang w:eastAsia="x-none"/>
        </w:rPr>
        <w:t>10</w:t>
      </w:r>
      <w:r w:rsidR="006B2581" w:rsidRPr="00FC2543">
        <w:rPr>
          <w:spacing w:val="-6"/>
          <w:lang w:eastAsia="x-none"/>
        </w:rPr>
        <w:t>.</w:t>
      </w:r>
      <w:r w:rsidR="00FC2543" w:rsidRPr="00FC2543">
        <w:rPr>
          <w:spacing w:val="-6"/>
          <w:lang w:eastAsia="x-none"/>
        </w:rPr>
        <w:t>42</w:t>
      </w:r>
      <w:proofErr w:type="gramEnd"/>
      <w:r w:rsidR="006B2581" w:rsidRPr="00FC2543">
        <w:rPr>
          <w:spacing w:val="-6"/>
          <w:lang w:eastAsia="x-none"/>
        </w:rPr>
        <w:t xml:space="preserve"> artarak </w:t>
      </w:r>
      <w:r w:rsidR="006B2581" w:rsidRPr="00FC2543">
        <w:rPr>
          <w:spacing w:val="-6"/>
          <w:lang w:eastAsia="x-none"/>
        </w:rPr>
        <w:br/>
      </w:r>
      <w:r w:rsidR="002F1E98" w:rsidRPr="00FC2543">
        <w:rPr>
          <w:spacing w:val="-6"/>
          <w:lang w:eastAsia="x-none"/>
        </w:rPr>
        <w:t>7</w:t>
      </w:r>
      <w:r w:rsidR="006B2581" w:rsidRPr="00FC2543">
        <w:rPr>
          <w:spacing w:val="-6"/>
          <w:lang w:eastAsia="x-none"/>
        </w:rPr>
        <w:t xml:space="preserve"> milyon </w:t>
      </w:r>
      <w:r w:rsidR="002F1E98" w:rsidRPr="00FC2543">
        <w:rPr>
          <w:spacing w:val="-6"/>
          <w:lang w:eastAsia="x-none"/>
        </w:rPr>
        <w:t>5</w:t>
      </w:r>
      <w:r w:rsidR="00FC2543" w:rsidRPr="00FC2543">
        <w:rPr>
          <w:spacing w:val="-6"/>
          <w:lang w:eastAsia="x-none"/>
        </w:rPr>
        <w:t>32</w:t>
      </w:r>
      <w:r w:rsidR="006B2581" w:rsidRPr="00FC2543">
        <w:rPr>
          <w:spacing w:val="-6"/>
          <w:lang w:eastAsia="x-none"/>
        </w:rPr>
        <w:t xml:space="preserve"> bin TL’ye ulaşmıştır. Konsolide olmayan sermaye yeterliliği </w:t>
      </w:r>
      <w:proofErr w:type="spellStart"/>
      <w:r w:rsidR="006B2581" w:rsidRPr="00FC2543">
        <w:rPr>
          <w:spacing w:val="-6"/>
          <w:lang w:eastAsia="x-none"/>
        </w:rPr>
        <w:t>rasyomuz</w:t>
      </w:r>
      <w:proofErr w:type="spellEnd"/>
      <w:r w:rsidR="006B2581" w:rsidRPr="00FC2543">
        <w:rPr>
          <w:spacing w:val="-6"/>
          <w:lang w:eastAsia="x-none"/>
        </w:rPr>
        <w:t xml:space="preserve"> </w:t>
      </w:r>
      <w:r w:rsidRPr="00FC2543">
        <w:t>30 Eylül</w:t>
      </w:r>
      <w:r w:rsidR="00197E81" w:rsidRPr="00FC2543">
        <w:t xml:space="preserve"> </w:t>
      </w:r>
      <w:proofErr w:type="gramStart"/>
      <w:r w:rsidR="00197E81" w:rsidRPr="00FC2543">
        <w:t>2020</w:t>
      </w:r>
      <w:r w:rsidR="00197E81" w:rsidRPr="00FC2543">
        <w:rPr>
          <w:spacing w:val="-6"/>
          <w:lang w:eastAsia="x-none"/>
        </w:rPr>
        <w:t xml:space="preserve"> </w:t>
      </w:r>
      <w:r w:rsidR="006B2581" w:rsidRPr="00FC2543">
        <w:rPr>
          <w:spacing w:val="-6"/>
          <w:lang w:eastAsia="x-none"/>
        </w:rPr>
        <w:t xml:space="preserve"> itibariyle</w:t>
      </w:r>
      <w:proofErr w:type="gramEnd"/>
      <w:r w:rsidR="006B2581" w:rsidRPr="00FC2543">
        <w:rPr>
          <w:spacing w:val="-6"/>
          <w:lang w:eastAsia="x-none"/>
        </w:rPr>
        <w:t xml:space="preserve"> %</w:t>
      </w:r>
      <w:r w:rsidR="00851C6F" w:rsidRPr="00FC2543">
        <w:rPr>
          <w:spacing w:val="-6"/>
          <w:lang w:eastAsia="x-none"/>
        </w:rPr>
        <w:t>2</w:t>
      </w:r>
      <w:r w:rsidR="002F1E98" w:rsidRPr="00FC2543">
        <w:rPr>
          <w:spacing w:val="-6"/>
          <w:lang w:eastAsia="x-none"/>
        </w:rPr>
        <w:t>2</w:t>
      </w:r>
      <w:r w:rsidR="006B2581" w:rsidRPr="00FC2543">
        <w:rPr>
          <w:spacing w:val="-6"/>
          <w:lang w:eastAsia="x-none"/>
        </w:rPr>
        <w:t>.</w:t>
      </w:r>
      <w:r w:rsidR="00FC2543" w:rsidRPr="00FC2543">
        <w:rPr>
          <w:spacing w:val="-6"/>
          <w:lang w:eastAsia="x-none"/>
        </w:rPr>
        <w:t>65</w:t>
      </w:r>
      <w:r w:rsidR="006B2581" w:rsidRPr="00FC2543">
        <w:rPr>
          <w:spacing w:val="-6"/>
          <w:lang w:eastAsia="x-none"/>
        </w:rPr>
        <w:t xml:space="preserve"> olarak gerçekleşmiştir.</w:t>
      </w:r>
    </w:p>
    <w:p w14:paraId="7DD2AD22" w14:textId="77777777" w:rsidR="006B2581" w:rsidRPr="00270CE6" w:rsidRDefault="006B2581" w:rsidP="006B2581">
      <w:pPr>
        <w:ind w:firstLine="720"/>
        <w:jc w:val="both"/>
        <w:rPr>
          <w:sz w:val="16"/>
          <w:szCs w:val="16"/>
          <w:highlight w:val="yellow"/>
          <w:lang w:eastAsia="x-none"/>
        </w:rPr>
      </w:pPr>
    </w:p>
    <w:p w14:paraId="1648F18F" w14:textId="77777777" w:rsidR="006B2581" w:rsidRPr="00FC2543" w:rsidRDefault="006B2581" w:rsidP="006B2581">
      <w:pPr>
        <w:pStyle w:val="BodyText"/>
        <w:rPr>
          <w:spacing w:val="-6"/>
        </w:rPr>
      </w:pPr>
      <w:r w:rsidRPr="00FC2543">
        <w:rPr>
          <w:spacing w:val="-6"/>
        </w:rPr>
        <w:t>Bankamızın büyüme ve karlılık hedefleri doğrultusunda gelişimini sürdüreceği yönündeki beklentimiz devam etmektedir.</w:t>
      </w:r>
    </w:p>
    <w:p w14:paraId="0767A656" w14:textId="77777777" w:rsidR="006B2581" w:rsidRPr="00270CE6" w:rsidRDefault="006B2581" w:rsidP="006B2581">
      <w:pPr>
        <w:pStyle w:val="BodyText"/>
        <w:ind w:firstLine="720"/>
        <w:rPr>
          <w:sz w:val="16"/>
          <w:szCs w:val="16"/>
          <w:highlight w:val="yellow"/>
        </w:rPr>
      </w:pPr>
    </w:p>
    <w:p w14:paraId="2E64EB3D" w14:textId="77777777" w:rsidR="006B2581" w:rsidRPr="00E162DB" w:rsidRDefault="006B2581" w:rsidP="006B2581">
      <w:pPr>
        <w:pStyle w:val="BodyText"/>
        <w:autoSpaceDE/>
        <w:autoSpaceDN/>
        <w:adjustRightInd/>
        <w:ind w:hanging="567"/>
        <w:rPr>
          <w:b/>
        </w:rPr>
      </w:pPr>
      <w:bookmarkStart w:id="27" w:name="_Hlk39967584"/>
      <w:r w:rsidRPr="00E162DB">
        <w:rPr>
          <w:b/>
        </w:rPr>
        <w:t>1.6</w:t>
      </w:r>
      <w:r w:rsidRPr="00E162DB">
        <w:rPr>
          <w:b/>
        </w:rPr>
        <w:tab/>
        <w:t>Üç Aylık Dönem içinde Meydana Gelen Önemli Olay ve İşlemler</w:t>
      </w:r>
    </w:p>
    <w:p w14:paraId="536CB4D5" w14:textId="77777777" w:rsidR="006B2581" w:rsidRPr="00270CE6" w:rsidRDefault="006B2581" w:rsidP="006B2581">
      <w:pPr>
        <w:jc w:val="both"/>
        <w:rPr>
          <w:spacing w:val="-6"/>
          <w:highlight w:val="yellow"/>
        </w:rPr>
      </w:pPr>
    </w:p>
    <w:bookmarkEnd w:id="27"/>
    <w:p w14:paraId="77335A0F" w14:textId="77777777" w:rsidR="00E162DB" w:rsidRDefault="00E162DB" w:rsidP="00E162DB">
      <w:pPr>
        <w:jc w:val="both"/>
        <w:rPr>
          <w:spacing w:val="-6"/>
          <w:lang w:eastAsia="x-none"/>
        </w:rPr>
      </w:pPr>
      <w:r>
        <w:rPr>
          <w:spacing w:val="-6"/>
          <w:lang w:eastAsia="x-none"/>
        </w:rPr>
        <w:t xml:space="preserve">Banka, 28 Eylül 2020 tarihinde “Bankaların </w:t>
      </w:r>
      <w:proofErr w:type="spellStart"/>
      <w:r>
        <w:rPr>
          <w:spacing w:val="-6"/>
          <w:lang w:eastAsia="x-none"/>
        </w:rPr>
        <w:t>Özkaynaklarına</w:t>
      </w:r>
      <w:proofErr w:type="spellEnd"/>
      <w:r>
        <w:rPr>
          <w:spacing w:val="-6"/>
          <w:lang w:eastAsia="x-none"/>
        </w:rPr>
        <w:t xml:space="preserve"> İlişkin Yönetmelik” kapsamında KT AT </w:t>
      </w:r>
      <w:proofErr w:type="spellStart"/>
      <w:r>
        <w:rPr>
          <w:spacing w:val="-6"/>
          <w:lang w:eastAsia="x-none"/>
        </w:rPr>
        <w:t>One</w:t>
      </w:r>
      <w:proofErr w:type="spellEnd"/>
      <w:r>
        <w:rPr>
          <w:spacing w:val="-6"/>
          <w:lang w:eastAsia="x-none"/>
        </w:rPr>
        <w:t xml:space="preserve"> </w:t>
      </w:r>
      <w:proofErr w:type="spellStart"/>
      <w:r>
        <w:rPr>
          <w:spacing w:val="-6"/>
          <w:lang w:eastAsia="x-none"/>
        </w:rPr>
        <w:t>Company</w:t>
      </w:r>
      <w:proofErr w:type="spellEnd"/>
      <w:r>
        <w:rPr>
          <w:spacing w:val="-6"/>
          <w:lang w:eastAsia="x-none"/>
        </w:rPr>
        <w:t xml:space="preserve"> </w:t>
      </w:r>
      <w:proofErr w:type="spellStart"/>
      <w:r>
        <w:rPr>
          <w:spacing w:val="-6"/>
          <w:lang w:eastAsia="x-none"/>
        </w:rPr>
        <w:t>Ltd</w:t>
      </w:r>
      <w:proofErr w:type="spellEnd"/>
      <w:r>
        <w:rPr>
          <w:spacing w:val="-6"/>
          <w:lang w:eastAsia="x-none"/>
        </w:rPr>
        <w:t xml:space="preserve"> üzerinden, 5 yıl sonra geri </w:t>
      </w:r>
      <w:proofErr w:type="spellStart"/>
      <w:r>
        <w:rPr>
          <w:spacing w:val="-6"/>
          <w:lang w:eastAsia="x-none"/>
        </w:rPr>
        <w:t>satınalma</w:t>
      </w:r>
      <w:proofErr w:type="spellEnd"/>
      <w:r>
        <w:rPr>
          <w:spacing w:val="-6"/>
          <w:lang w:eastAsia="x-none"/>
        </w:rPr>
        <w:t xml:space="preserve"> </w:t>
      </w:r>
      <w:proofErr w:type="gramStart"/>
      <w:r>
        <w:rPr>
          <w:spacing w:val="-6"/>
          <w:lang w:eastAsia="x-none"/>
        </w:rPr>
        <w:t>opsiyonlu,  beklenen</w:t>
      </w:r>
      <w:proofErr w:type="gramEnd"/>
      <w:r>
        <w:rPr>
          <w:spacing w:val="-6"/>
          <w:lang w:eastAsia="x-none"/>
        </w:rPr>
        <w:t xml:space="preserve"> yıllık kira getirisi %9.95 olan, 50 milyon Amerikan Doları tutarında ilâve ana sermayeye dâhil edilebilir kira sertifikası ihracı gerçekleştirmiştir. </w:t>
      </w:r>
    </w:p>
    <w:p w14:paraId="0812D63B" w14:textId="77777777" w:rsidR="00E162DB" w:rsidRDefault="00E162DB" w:rsidP="00E162DB">
      <w:pPr>
        <w:jc w:val="both"/>
        <w:rPr>
          <w:spacing w:val="-6"/>
          <w:lang w:eastAsia="x-none"/>
        </w:rPr>
      </w:pPr>
    </w:p>
    <w:p w14:paraId="55B154BF" w14:textId="77777777" w:rsidR="00E162DB" w:rsidRDefault="00E162DB" w:rsidP="00E162DB">
      <w:pPr>
        <w:pStyle w:val="BodyText2"/>
        <w:ind w:firstLine="0"/>
        <w:rPr>
          <w:spacing w:val="-6"/>
          <w:sz w:val="20"/>
        </w:rPr>
      </w:pPr>
      <w:r>
        <w:rPr>
          <w:spacing w:val="-6"/>
          <w:sz w:val="20"/>
        </w:rPr>
        <w:t xml:space="preserve">Banka, KT Kira Sertifikaları Varlık Kiralama A.Ş. üzerinden 1 Temmuz 2020 tarihinde 300,000 bin TL nominal değerli, 210 gün vadeli </w:t>
      </w:r>
      <w:proofErr w:type="gramStart"/>
      <w:r>
        <w:rPr>
          <w:spacing w:val="-6"/>
          <w:sz w:val="20"/>
        </w:rPr>
        <w:t>%7.89</w:t>
      </w:r>
      <w:proofErr w:type="gramEnd"/>
      <w:r>
        <w:rPr>
          <w:spacing w:val="-6"/>
          <w:sz w:val="20"/>
        </w:rPr>
        <w:t xml:space="preserve"> maliyetli </w:t>
      </w:r>
      <w:proofErr w:type="spellStart"/>
      <w:r>
        <w:rPr>
          <w:spacing w:val="-6"/>
          <w:sz w:val="20"/>
        </w:rPr>
        <w:t>sukuk</w:t>
      </w:r>
      <w:proofErr w:type="spellEnd"/>
      <w:r>
        <w:rPr>
          <w:spacing w:val="-6"/>
          <w:sz w:val="20"/>
        </w:rPr>
        <w:t xml:space="preserve"> ihraç etmiştir. </w:t>
      </w:r>
    </w:p>
    <w:p w14:paraId="0F0D0FE3" w14:textId="77777777" w:rsidR="00E162DB" w:rsidRDefault="00E162DB" w:rsidP="00E162DB">
      <w:pPr>
        <w:pStyle w:val="BodyText2"/>
        <w:ind w:firstLine="0"/>
        <w:rPr>
          <w:spacing w:val="-6"/>
          <w:sz w:val="20"/>
        </w:rPr>
      </w:pPr>
    </w:p>
    <w:p w14:paraId="03272B8B" w14:textId="77777777" w:rsidR="00E162DB" w:rsidRDefault="00E162DB" w:rsidP="00E162DB">
      <w:pPr>
        <w:pStyle w:val="BodyText2"/>
        <w:ind w:firstLine="0"/>
        <w:rPr>
          <w:sz w:val="16"/>
          <w:szCs w:val="16"/>
          <w:highlight w:val="yellow"/>
        </w:rPr>
      </w:pPr>
      <w:r>
        <w:rPr>
          <w:spacing w:val="-6"/>
          <w:sz w:val="20"/>
        </w:rPr>
        <w:t xml:space="preserve">Banka, KT Kira Sertifikaları Varlık Kiralama A.Ş. üzerinden 17 Temmuz 2020 tarihinde 275,000 bin TL nominal değerli, 208 gün vadeli %8.09 maliyetli </w:t>
      </w:r>
      <w:proofErr w:type="spellStart"/>
      <w:r>
        <w:rPr>
          <w:spacing w:val="-6"/>
          <w:sz w:val="20"/>
        </w:rPr>
        <w:t>sukuk</w:t>
      </w:r>
      <w:proofErr w:type="spellEnd"/>
      <w:r>
        <w:rPr>
          <w:spacing w:val="-6"/>
          <w:sz w:val="20"/>
        </w:rPr>
        <w:t xml:space="preserve"> ihraç etmiştir. </w:t>
      </w:r>
    </w:p>
    <w:p w14:paraId="10BE3031" w14:textId="77777777" w:rsidR="00E162DB" w:rsidRDefault="00E162DB" w:rsidP="00E162DB">
      <w:pPr>
        <w:rPr>
          <w:sz w:val="22"/>
          <w:szCs w:val="22"/>
        </w:rPr>
      </w:pPr>
    </w:p>
    <w:p w14:paraId="6B4B8039" w14:textId="77777777" w:rsidR="00E162DB" w:rsidRDefault="00E162DB" w:rsidP="00E162DB">
      <w:pPr>
        <w:pStyle w:val="BodyText2"/>
        <w:ind w:firstLine="0"/>
        <w:rPr>
          <w:spacing w:val="-6"/>
          <w:sz w:val="20"/>
        </w:rPr>
      </w:pPr>
      <w:r>
        <w:rPr>
          <w:spacing w:val="-6"/>
          <w:sz w:val="20"/>
        </w:rPr>
        <w:t xml:space="preserve">Banka, KT Kira Sertifikaları Varlık Kiralama A.Ş. üzerinden 27 Temmuz 2020 tarihinde 253,000 bin TL nominal değerli, 92 gün vadeli </w:t>
      </w:r>
      <w:proofErr w:type="gramStart"/>
      <w:r>
        <w:rPr>
          <w:spacing w:val="-6"/>
          <w:sz w:val="20"/>
        </w:rPr>
        <w:t>%7.89</w:t>
      </w:r>
      <w:proofErr w:type="gramEnd"/>
      <w:r>
        <w:rPr>
          <w:spacing w:val="-6"/>
          <w:sz w:val="20"/>
        </w:rPr>
        <w:t xml:space="preserve"> maliyetli </w:t>
      </w:r>
      <w:proofErr w:type="spellStart"/>
      <w:r>
        <w:rPr>
          <w:spacing w:val="-6"/>
          <w:sz w:val="20"/>
        </w:rPr>
        <w:t>sukuk</w:t>
      </w:r>
      <w:proofErr w:type="spellEnd"/>
      <w:r>
        <w:rPr>
          <w:spacing w:val="-6"/>
          <w:sz w:val="20"/>
        </w:rPr>
        <w:t xml:space="preserve"> ihraç etmiştir. </w:t>
      </w:r>
    </w:p>
    <w:p w14:paraId="4A82F2EF" w14:textId="77777777" w:rsidR="00E162DB" w:rsidRDefault="00E162DB" w:rsidP="00E162DB">
      <w:pPr>
        <w:pStyle w:val="BodyText2"/>
        <w:ind w:firstLine="0"/>
        <w:rPr>
          <w:spacing w:val="-6"/>
          <w:sz w:val="20"/>
        </w:rPr>
      </w:pPr>
    </w:p>
    <w:p w14:paraId="1CAE87C7" w14:textId="77777777" w:rsidR="00E162DB" w:rsidRDefault="00E162DB" w:rsidP="00E162DB">
      <w:pPr>
        <w:pStyle w:val="BodyText2"/>
        <w:ind w:firstLine="0"/>
        <w:rPr>
          <w:sz w:val="16"/>
          <w:szCs w:val="16"/>
          <w:highlight w:val="yellow"/>
        </w:rPr>
      </w:pPr>
      <w:r>
        <w:rPr>
          <w:spacing w:val="-6"/>
          <w:sz w:val="20"/>
        </w:rPr>
        <w:t xml:space="preserve">Banka, KT Kira Sertifikaları Varlık Kiralama A.Ş. üzerinden 12 Ağustos 2020 tarihinde 450,000 bin TL nominal değerli, 196 gün vadeli %9.37 maliyetli </w:t>
      </w:r>
      <w:proofErr w:type="spellStart"/>
      <w:r>
        <w:rPr>
          <w:spacing w:val="-6"/>
          <w:sz w:val="20"/>
        </w:rPr>
        <w:t>sukuk</w:t>
      </w:r>
      <w:proofErr w:type="spellEnd"/>
      <w:r>
        <w:rPr>
          <w:spacing w:val="-6"/>
          <w:sz w:val="20"/>
        </w:rPr>
        <w:t xml:space="preserve"> ihraç etmiştir. </w:t>
      </w:r>
    </w:p>
    <w:p w14:paraId="6E9BA5AC" w14:textId="77777777" w:rsidR="00E162DB" w:rsidRDefault="00E162DB" w:rsidP="00E162DB">
      <w:pPr>
        <w:rPr>
          <w:sz w:val="22"/>
          <w:szCs w:val="22"/>
        </w:rPr>
      </w:pPr>
    </w:p>
    <w:p w14:paraId="642FA328" w14:textId="77777777" w:rsidR="00E162DB" w:rsidRDefault="00E162DB" w:rsidP="00E162DB">
      <w:pPr>
        <w:pStyle w:val="BodyText2"/>
        <w:ind w:firstLine="0"/>
        <w:rPr>
          <w:spacing w:val="-6"/>
          <w:sz w:val="20"/>
        </w:rPr>
      </w:pPr>
      <w:r>
        <w:rPr>
          <w:spacing w:val="-6"/>
          <w:sz w:val="20"/>
        </w:rPr>
        <w:t>Banka, KT Kira Sertifikaları Varlık Kiralama A.Ş. üzerinden 26 Ağustos 2020 tarihinde 350,000 bin TL nominal değerli, 189 gün vadeli %</w:t>
      </w:r>
      <w:proofErr w:type="gramStart"/>
      <w:r>
        <w:rPr>
          <w:spacing w:val="-6"/>
          <w:sz w:val="20"/>
        </w:rPr>
        <w:t>10.16</w:t>
      </w:r>
      <w:proofErr w:type="gramEnd"/>
      <w:r>
        <w:rPr>
          <w:spacing w:val="-6"/>
          <w:sz w:val="20"/>
        </w:rPr>
        <w:t xml:space="preserve"> maliyetli </w:t>
      </w:r>
      <w:proofErr w:type="spellStart"/>
      <w:r>
        <w:rPr>
          <w:spacing w:val="-6"/>
          <w:sz w:val="20"/>
        </w:rPr>
        <w:t>sukuk</w:t>
      </w:r>
      <w:proofErr w:type="spellEnd"/>
      <w:r>
        <w:rPr>
          <w:spacing w:val="-6"/>
          <w:sz w:val="20"/>
        </w:rPr>
        <w:t xml:space="preserve"> ihraç etmiştir. </w:t>
      </w:r>
    </w:p>
    <w:p w14:paraId="1293101F" w14:textId="77777777" w:rsidR="00E162DB" w:rsidRDefault="00E162DB" w:rsidP="00E162DB">
      <w:pPr>
        <w:pStyle w:val="BodyText2"/>
        <w:ind w:firstLine="0"/>
        <w:rPr>
          <w:spacing w:val="-6"/>
          <w:sz w:val="20"/>
        </w:rPr>
      </w:pPr>
    </w:p>
    <w:p w14:paraId="2EDE3FE4" w14:textId="77777777" w:rsidR="00E162DB" w:rsidRDefault="00E162DB" w:rsidP="00E162DB">
      <w:pPr>
        <w:pStyle w:val="BodyText2"/>
        <w:ind w:firstLine="0"/>
        <w:rPr>
          <w:sz w:val="16"/>
          <w:szCs w:val="16"/>
          <w:highlight w:val="yellow"/>
        </w:rPr>
      </w:pPr>
      <w:r>
        <w:rPr>
          <w:spacing w:val="-6"/>
          <w:sz w:val="20"/>
        </w:rPr>
        <w:t>Banka, KT Kira Sertifikaları Varlık Kiralama A.Ş. üzerinden 23 Eylül 2020 tarihinde 500,000 bin TL nominal değerli, 91 gün vadeli %</w:t>
      </w:r>
      <w:proofErr w:type="gramStart"/>
      <w:r>
        <w:rPr>
          <w:spacing w:val="-6"/>
          <w:sz w:val="20"/>
        </w:rPr>
        <w:t>11.10</w:t>
      </w:r>
      <w:proofErr w:type="gramEnd"/>
      <w:r>
        <w:rPr>
          <w:spacing w:val="-6"/>
          <w:sz w:val="20"/>
        </w:rPr>
        <w:t xml:space="preserve"> maliyetli </w:t>
      </w:r>
      <w:proofErr w:type="spellStart"/>
      <w:r>
        <w:rPr>
          <w:spacing w:val="-6"/>
          <w:sz w:val="20"/>
        </w:rPr>
        <w:t>sukuk</w:t>
      </w:r>
      <w:proofErr w:type="spellEnd"/>
      <w:r>
        <w:rPr>
          <w:spacing w:val="-6"/>
          <w:sz w:val="20"/>
        </w:rPr>
        <w:t xml:space="preserve"> ihraç etmiştir. </w:t>
      </w:r>
    </w:p>
    <w:p w14:paraId="5756E27B" w14:textId="77777777" w:rsidR="00E162DB" w:rsidRPr="00270CE6" w:rsidRDefault="00E162DB" w:rsidP="006B2581">
      <w:pPr>
        <w:jc w:val="both"/>
        <w:rPr>
          <w:sz w:val="16"/>
          <w:szCs w:val="16"/>
          <w:highlight w:val="yellow"/>
          <w:lang w:eastAsia="x-none"/>
        </w:rPr>
      </w:pPr>
    </w:p>
    <w:p w14:paraId="636E958A" w14:textId="77777777" w:rsidR="006B2581" w:rsidRPr="001D3A4D" w:rsidRDefault="006B2581" w:rsidP="006B2581">
      <w:pPr>
        <w:ind w:hanging="567"/>
        <w:jc w:val="both"/>
        <w:rPr>
          <w:b/>
          <w:lang w:eastAsia="x-none"/>
        </w:rPr>
      </w:pPr>
      <w:bookmarkStart w:id="28" w:name="_Hlk39967810"/>
      <w:r w:rsidRPr="001D3A4D">
        <w:rPr>
          <w:b/>
          <w:lang w:eastAsia="x-none"/>
        </w:rPr>
        <w:t>1.7</w:t>
      </w:r>
      <w:r w:rsidRPr="001D3A4D">
        <w:rPr>
          <w:b/>
          <w:lang w:eastAsia="x-none"/>
        </w:rPr>
        <w:tab/>
        <w:t>İlgili Ara Dönem Sonrasına İlişkin Beklentiler Hakkında Değerlendirme</w:t>
      </w:r>
    </w:p>
    <w:p w14:paraId="246BCD04" w14:textId="77777777" w:rsidR="006B2581" w:rsidRPr="001D3A4D" w:rsidRDefault="006B2581" w:rsidP="006B2581">
      <w:pPr>
        <w:ind w:hanging="567"/>
        <w:jc w:val="both"/>
        <w:rPr>
          <w:b/>
          <w:sz w:val="16"/>
          <w:szCs w:val="16"/>
          <w:lang w:eastAsia="x-none"/>
        </w:rPr>
      </w:pPr>
    </w:p>
    <w:p w14:paraId="56A4CBEC" w14:textId="288F37FB" w:rsidR="006B2581" w:rsidRPr="001D3A4D" w:rsidRDefault="006B2581" w:rsidP="006B2581">
      <w:pPr>
        <w:jc w:val="both"/>
        <w:rPr>
          <w:spacing w:val="-6"/>
          <w:lang w:eastAsia="x-none"/>
        </w:rPr>
      </w:pPr>
      <w:r w:rsidRPr="001D3A4D">
        <w:rPr>
          <w:spacing w:val="-6"/>
          <w:lang w:eastAsia="x-none"/>
        </w:rPr>
        <w:t xml:space="preserve">Banka, dönem sonrasında yeni şube açma faaliyetleri devam etmektedir. </w:t>
      </w:r>
      <w:r w:rsidR="00590CFA" w:rsidRPr="001D3A4D">
        <w:rPr>
          <w:spacing w:val="-6"/>
          <w:lang w:eastAsia="x-none"/>
        </w:rPr>
        <w:t>2020</w:t>
      </w:r>
      <w:r w:rsidRPr="001D3A4D">
        <w:rPr>
          <w:spacing w:val="-6"/>
          <w:lang w:eastAsia="x-none"/>
        </w:rPr>
        <w:t xml:space="preserve"> yıl sonuna kadar şube sayısının 4</w:t>
      </w:r>
      <w:r w:rsidR="00E352A6" w:rsidRPr="001D3A4D">
        <w:rPr>
          <w:spacing w:val="-6"/>
          <w:lang w:eastAsia="x-none"/>
        </w:rPr>
        <w:t>4</w:t>
      </w:r>
      <w:r w:rsidRPr="001D3A4D">
        <w:rPr>
          <w:spacing w:val="-6"/>
          <w:lang w:eastAsia="x-none"/>
        </w:rPr>
        <w:t>0’a ulaşması planlanmaktadır.</w:t>
      </w:r>
    </w:p>
    <w:bookmarkEnd w:id="28"/>
    <w:p w14:paraId="65A8A011" w14:textId="77777777" w:rsidR="006B2581" w:rsidRPr="00270CE6" w:rsidRDefault="006B2581" w:rsidP="000F096F">
      <w:pPr>
        <w:autoSpaceDE w:val="0"/>
        <w:autoSpaceDN w:val="0"/>
        <w:adjustRightInd w:val="0"/>
        <w:ind w:left="-540"/>
        <w:rPr>
          <w:highlight w:val="yellow"/>
        </w:rPr>
      </w:pPr>
    </w:p>
    <w:sectPr w:rsidR="006B2581" w:rsidRPr="00270CE6" w:rsidSect="00475153">
      <w:headerReference w:type="default" r:id="rId31"/>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0BC23" w14:textId="77777777" w:rsidR="001475F4" w:rsidRDefault="001475F4">
      <w:r>
        <w:separator/>
      </w:r>
    </w:p>
  </w:endnote>
  <w:endnote w:type="continuationSeparator" w:id="0">
    <w:p w14:paraId="7EE75DAE" w14:textId="77777777" w:rsidR="001475F4" w:rsidRDefault="00147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A2"/>
    <w:family w:val="swiss"/>
    <w:notTrueType/>
    <w:pitch w:val="variable"/>
    <w:sig w:usb0="00000005" w:usb1="00000000" w:usb2="00000000" w:usb3="00000000" w:csb0="00000010" w:csb1="00000000"/>
  </w:font>
  <w:font w:name="Times New Roman TUR">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8129F" w14:textId="77777777" w:rsidR="001B359B" w:rsidRDefault="001B35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BF2FCE" w14:textId="77777777" w:rsidR="001B359B" w:rsidRDefault="001B359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E0CED" w14:textId="7ABAC0CC" w:rsidR="001B359B" w:rsidRPr="00C97274" w:rsidRDefault="001B359B">
    <w:pPr>
      <w:pStyle w:val="Footer"/>
      <w:jc w:val="center"/>
      <w:rPr>
        <w:sz w:val="20"/>
        <w:szCs w:val="20"/>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93</w:t>
    </w:r>
    <w:r w:rsidRPr="00C97274">
      <w:rPr>
        <w:noProof/>
        <w:sz w:val="20"/>
        <w:szCs w:val="20"/>
      </w:rPr>
      <w:fldChar w:fldCharType="end"/>
    </w:r>
  </w:p>
  <w:p w14:paraId="23C2D703" w14:textId="77777777" w:rsidR="001B359B" w:rsidRPr="00BD74F4" w:rsidRDefault="001B359B"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04899"/>
      <w:docPartObj>
        <w:docPartGallery w:val="Page Numbers (Bottom of Page)"/>
        <w:docPartUnique/>
      </w:docPartObj>
    </w:sdtPr>
    <w:sdtEndPr>
      <w:rPr>
        <w:sz w:val="20"/>
        <w:szCs w:val="20"/>
      </w:rPr>
    </w:sdtEndPr>
    <w:sdtContent>
      <w:p w14:paraId="41F113FD" w14:textId="7206CE80" w:rsidR="001B359B" w:rsidRPr="00D35F92" w:rsidRDefault="001B359B">
        <w:pPr>
          <w:pStyle w:val="Footer"/>
          <w:jc w:val="center"/>
          <w:rPr>
            <w:sz w:val="20"/>
            <w:szCs w:val="20"/>
          </w:rPr>
        </w:pPr>
        <w:r w:rsidRPr="00D35F92">
          <w:rPr>
            <w:sz w:val="20"/>
            <w:szCs w:val="20"/>
          </w:rPr>
          <w:fldChar w:fldCharType="begin"/>
        </w:r>
        <w:r w:rsidRPr="00D35F92">
          <w:rPr>
            <w:sz w:val="20"/>
            <w:szCs w:val="20"/>
          </w:rPr>
          <w:instrText>PAGE   \* MERGEFORMAT</w:instrText>
        </w:r>
        <w:r w:rsidRPr="00D35F92">
          <w:rPr>
            <w:sz w:val="20"/>
            <w:szCs w:val="20"/>
          </w:rPr>
          <w:fldChar w:fldCharType="separate"/>
        </w:r>
        <w:r w:rsidRPr="00D35F92">
          <w:rPr>
            <w:sz w:val="20"/>
            <w:szCs w:val="20"/>
            <w:lang w:val="tr-TR"/>
          </w:rPr>
          <w:t>2</w:t>
        </w:r>
        <w:r w:rsidRPr="00D35F92">
          <w:rPr>
            <w:sz w:val="20"/>
            <w:szCs w:val="20"/>
          </w:rPr>
          <w:fldChar w:fldCharType="end"/>
        </w:r>
      </w:p>
    </w:sdtContent>
  </w:sdt>
  <w:p w14:paraId="7C974EFF" w14:textId="77777777" w:rsidR="001B359B" w:rsidRDefault="001B35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06D0E" w14:textId="77777777" w:rsidR="001B359B" w:rsidRDefault="001B359B">
    <w:pPr>
      <w:pStyle w:val="Footer"/>
      <w:jc w:val="center"/>
    </w:pPr>
  </w:p>
  <w:p w14:paraId="6FE4760B" w14:textId="77777777" w:rsidR="001B359B" w:rsidRPr="00666B0D" w:rsidRDefault="001B359B" w:rsidP="00A42695">
    <w:pPr>
      <w:pStyle w:val="Footer"/>
      <w:rPr>
        <w:lang w:val="tr-T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F2404" w14:textId="0AD484CE" w:rsidR="001B359B" w:rsidRPr="00084767" w:rsidRDefault="001B359B">
    <w:pPr>
      <w:pStyle w:val="Footer"/>
      <w:jc w:val="center"/>
      <w:rPr>
        <w:sz w:val="20"/>
        <w:szCs w:val="20"/>
        <w:lang w:val="tr-TR"/>
      </w:rPr>
    </w:pPr>
    <w:r w:rsidRPr="00084767">
      <w:rPr>
        <w:sz w:val="20"/>
        <w:szCs w:val="20"/>
        <w:lang w:val="tr-TR"/>
      </w:rPr>
      <w:t>1</w:t>
    </w:r>
  </w:p>
  <w:p w14:paraId="41357516" w14:textId="77777777" w:rsidR="001B359B" w:rsidRPr="00666B0D" w:rsidRDefault="001B359B" w:rsidP="00A42695">
    <w:pPr>
      <w:pStyle w:val="Footer"/>
      <w:rPr>
        <w:lang w:val="tr-T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592177"/>
      <w:docPartObj>
        <w:docPartGallery w:val="Page Numbers (Bottom of Page)"/>
        <w:docPartUnique/>
      </w:docPartObj>
    </w:sdtPr>
    <w:sdtEndPr>
      <w:rPr>
        <w:sz w:val="20"/>
        <w:szCs w:val="20"/>
      </w:rPr>
    </w:sdtEndPr>
    <w:sdtContent>
      <w:p w14:paraId="7F53727C" w14:textId="01D63E3B" w:rsidR="001B359B" w:rsidRPr="00084767" w:rsidRDefault="001B359B">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173D2D">
          <w:rPr>
            <w:noProof/>
            <w:sz w:val="20"/>
            <w:szCs w:val="20"/>
            <w:lang w:val="tr-TR"/>
          </w:rPr>
          <w:t>2</w:t>
        </w:r>
        <w:r w:rsidRPr="00084767">
          <w:rPr>
            <w:sz w:val="20"/>
            <w:szCs w:val="20"/>
          </w:rPr>
          <w:fldChar w:fldCharType="end"/>
        </w:r>
      </w:p>
    </w:sdtContent>
  </w:sdt>
  <w:p w14:paraId="3FFBFAE9" w14:textId="77777777" w:rsidR="001B359B" w:rsidRPr="00666B0D" w:rsidRDefault="001B359B" w:rsidP="00A42695">
    <w:pPr>
      <w:pStyle w:val="Footer"/>
      <w:rPr>
        <w:lang w:val="tr-T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1D7D6" w14:textId="77777777" w:rsidR="001B359B" w:rsidRDefault="001B359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FBC53" w14:textId="6E972644" w:rsidR="001B359B" w:rsidRPr="004C4FA7" w:rsidRDefault="001B359B" w:rsidP="008D745E">
    <w:pPr>
      <w:pStyle w:val="Footer"/>
      <w:framePr w:w="765" w:wrap="around" w:vAnchor="text" w:hAnchor="page" w:x="5586" w:y="185"/>
      <w:jc w:val="center"/>
      <w:rPr>
        <w:rStyle w:val="PageNumber"/>
        <w:sz w:val="20"/>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Pr>
        <w:rStyle w:val="PageNumber"/>
        <w:noProof/>
        <w:sz w:val="20"/>
      </w:rPr>
      <w:t>4</w:t>
    </w:r>
    <w:r w:rsidRPr="004C4FA7">
      <w:rPr>
        <w:rStyle w:val="PageNumber"/>
        <w:sz w:val="20"/>
      </w:rPr>
      <w:fldChar w:fldCharType="end"/>
    </w:r>
  </w:p>
  <w:p w14:paraId="33A861C4" w14:textId="77777777" w:rsidR="001B359B" w:rsidRPr="00076B97" w:rsidRDefault="001B359B" w:rsidP="008D74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98A53" w14:textId="77777777" w:rsidR="001B359B" w:rsidRPr="004C4FA7" w:rsidRDefault="001B359B">
    <w:pPr>
      <w:pStyle w:val="Footer"/>
      <w:jc w:val="center"/>
      <w:rPr>
        <w:sz w:val="20"/>
        <w:szCs w:val="20"/>
      </w:rPr>
    </w:pPr>
    <w:r>
      <w:rPr>
        <w:sz w:val="20"/>
        <w:szCs w:val="20"/>
        <w:lang w:val="tr-TR"/>
      </w:rPr>
      <w:t>8</w:t>
    </w:r>
  </w:p>
  <w:p w14:paraId="377C63AD" w14:textId="77777777" w:rsidR="001B359B" w:rsidRPr="00BD74F4" w:rsidRDefault="001B359B" w:rsidP="00BD74F4">
    <w:pPr>
      <w:pStyle w:val="Footer"/>
      <w:rPr>
        <w:sz w:val="20"/>
        <w:szCs w:val="20"/>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032FB" w14:textId="77777777" w:rsidR="001B359B" w:rsidRPr="004C4FA7" w:rsidRDefault="001B359B">
    <w:pPr>
      <w:pStyle w:val="Footer"/>
      <w:jc w:val="center"/>
      <w:rPr>
        <w:sz w:val="20"/>
        <w:szCs w:val="20"/>
      </w:rPr>
    </w:pPr>
    <w:r>
      <w:rPr>
        <w:sz w:val="20"/>
        <w:szCs w:val="20"/>
        <w:lang w:val="tr-TR"/>
      </w:rPr>
      <w:t>9</w:t>
    </w:r>
  </w:p>
  <w:p w14:paraId="128079EA" w14:textId="77777777" w:rsidR="001B359B" w:rsidRPr="00BD74F4" w:rsidRDefault="001B359B" w:rsidP="00BD74F4">
    <w:pPr>
      <w:pStyle w:val="Footer"/>
      <w:rPr>
        <w:sz w:val="20"/>
        <w:szCs w:val="20"/>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4D1B3" w14:textId="77777777" w:rsidR="001475F4" w:rsidRDefault="001475F4">
      <w:r>
        <w:separator/>
      </w:r>
    </w:p>
  </w:footnote>
  <w:footnote w:type="continuationSeparator" w:id="0">
    <w:p w14:paraId="18D5939A" w14:textId="77777777" w:rsidR="001475F4" w:rsidRDefault="001475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768F3" w14:textId="77777777" w:rsidR="001B359B" w:rsidRDefault="001B359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07D6" w14:textId="77777777" w:rsidR="001B359B" w:rsidRPr="00F27F53" w:rsidRDefault="001B359B"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5D56379" w14:textId="766F9FAA" w:rsidR="001B359B" w:rsidRDefault="001B359B" w:rsidP="00CC3A53">
    <w:pPr>
      <w:pStyle w:val="Header"/>
      <w:rPr>
        <w:sz w:val="18"/>
        <w:szCs w:val="18"/>
        <w:u w:val="single"/>
      </w:rPr>
    </w:pPr>
    <w:r>
      <w:rPr>
        <w:rFonts w:ascii="TimesNewRomanPS-BoldMT" w:hAnsi="TimesNewRomanPS-BoldMT" w:cs="TimesNewRomanPS-BoldMT"/>
        <w:b/>
        <w:bCs/>
        <w:sz w:val="22"/>
        <w:szCs w:val="22"/>
        <w:lang w:eastAsia="zh-CN"/>
      </w:rPr>
      <w:t>30 EYLÜL 2020</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465604C7" w14:textId="77777777" w:rsidR="001B359B" w:rsidRPr="005C6753" w:rsidRDefault="001B359B"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D022EBE" w14:textId="77777777" w:rsidR="001B359B" w:rsidRPr="007638D5" w:rsidRDefault="001B359B" w:rsidP="003C1A2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9F370" w14:textId="77777777" w:rsidR="001B359B" w:rsidRPr="00F27F53" w:rsidRDefault="001B359B"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C3D010E" w14:textId="10878759" w:rsidR="001B359B" w:rsidRDefault="001B359B" w:rsidP="00231D2B">
    <w:pPr>
      <w:rPr>
        <w:b/>
        <w:sz w:val="22"/>
        <w:szCs w:val="22"/>
      </w:rPr>
    </w:pPr>
    <w:r>
      <w:rPr>
        <w:rFonts w:ascii="TimesNewRomanPS-BoldMT" w:hAnsi="TimesNewRomanPS-BoldMT" w:cs="TimesNewRomanPS-BoldMT"/>
        <w:b/>
        <w:bCs/>
        <w:sz w:val="22"/>
        <w:szCs w:val="22"/>
        <w:lang w:eastAsia="zh-CN"/>
      </w:rPr>
      <w:t>30 EYLÜL 2020</w:t>
    </w:r>
    <w:r w:rsidRPr="00231D2B">
      <w:rPr>
        <w:rFonts w:ascii="TimesNewRomanPS-BoldMT" w:hAnsi="TimesNewRomanPS-BoldMT" w:cs="TimesNewRomanPS-BoldMT"/>
        <w:b/>
        <w:bCs/>
        <w:sz w:val="22"/>
        <w:szCs w:val="22"/>
        <w:lang w:eastAsia="zh-CN"/>
      </w:rPr>
      <w:t xml:space="preserve"> </w:t>
    </w:r>
    <w:r w:rsidRPr="00F27F53">
      <w:rPr>
        <w:b/>
        <w:sz w:val="22"/>
        <w:szCs w:val="22"/>
      </w:rPr>
      <w:t>TARİH</w:t>
    </w:r>
    <w:r>
      <w:rPr>
        <w:b/>
        <w:sz w:val="22"/>
        <w:szCs w:val="22"/>
      </w:rPr>
      <w:t xml:space="preserve">İNDE SONA EREN HESAP DÖNEMİNE AİT </w:t>
    </w:r>
  </w:p>
  <w:p w14:paraId="6B5E492E" w14:textId="77777777" w:rsidR="001B359B" w:rsidRPr="00231D2B" w:rsidRDefault="001B359B" w:rsidP="00231D2B">
    <w:pPr>
      <w:rPr>
        <w:b/>
        <w:sz w:val="22"/>
        <w:szCs w:val="22"/>
      </w:rPr>
    </w:pPr>
    <w:r>
      <w:rPr>
        <w:b/>
        <w:sz w:val="22"/>
        <w:szCs w:val="22"/>
      </w:rPr>
      <w:t xml:space="preserve">KONSOLİDE OLMAYAN </w:t>
    </w:r>
    <w:r w:rsidRPr="00231D2B">
      <w:rPr>
        <w:b/>
        <w:sz w:val="22"/>
        <w:szCs w:val="22"/>
      </w:rPr>
      <w:t>NAKİT AKIŞ TABLOSU</w:t>
    </w:r>
  </w:p>
  <w:p w14:paraId="1B2A5469" w14:textId="77777777" w:rsidR="001B359B" w:rsidRPr="005C6753" w:rsidRDefault="001B359B"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1F50CCC" w14:textId="77777777" w:rsidR="001B359B" w:rsidRPr="00560A95" w:rsidRDefault="001B359B" w:rsidP="00FE4085">
    <w:pPr>
      <w:pStyle w:val="Header"/>
      <w:rPr>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7DA9" w14:textId="77777777" w:rsidR="001B359B" w:rsidRPr="00F27F53" w:rsidRDefault="001B359B"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D386DF" w14:textId="57BEBFFD" w:rsidR="001B359B" w:rsidRPr="00231D2B" w:rsidRDefault="001B359B" w:rsidP="00885DE8">
    <w:pPr>
      <w:rPr>
        <w:b/>
        <w:sz w:val="22"/>
        <w:szCs w:val="22"/>
      </w:rPr>
    </w:pPr>
    <w:r>
      <w:rPr>
        <w:rFonts w:ascii="TimesNewRomanPS-BoldMT" w:hAnsi="TimesNewRomanPS-BoldMT" w:cs="TimesNewRomanPS-BoldMT"/>
        <w:b/>
        <w:bCs/>
        <w:sz w:val="22"/>
        <w:szCs w:val="22"/>
        <w:lang w:eastAsia="zh-CN"/>
      </w:rPr>
      <w:t>30 EYLÜL 2020</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BEA07FB" w14:textId="77777777" w:rsidR="001B359B" w:rsidRPr="005C6753" w:rsidRDefault="001B359B"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C410279" w14:textId="77777777" w:rsidR="001B359B" w:rsidRPr="00560A95" w:rsidRDefault="001B359B" w:rsidP="00FE4085">
    <w:pPr>
      <w:pStyle w:val="Header"/>
      <w:rPr>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37E4" w14:textId="77777777" w:rsidR="001B359B" w:rsidRPr="00F27F53" w:rsidRDefault="001B359B"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AB7EBF6" w14:textId="6D5CE2FE" w:rsidR="001B359B" w:rsidRPr="00231D2B" w:rsidRDefault="001B359B" w:rsidP="00231D2B">
    <w:pPr>
      <w:rPr>
        <w:b/>
        <w:sz w:val="22"/>
        <w:szCs w:val="22"/>
      </w:rPr>
    </w:pPr>
    <w:r>
      <w:rPr>
        <w:rFonts w:ascii="TimesNewRomanPS-BoldMT" w:hAnsi="TimesNewRomanPS-BoldMT" w:cs="TimesNewRomanPS-BoldMT"/>
        <w:b/>
        <w:bCs/>
        <w:sz w:val="22"/>
        <w:szCs w:val="22"/>
        <w:lang w:eastAsia="zh-CN"/>
      </w:rPr>
      <w:t>30 EYLÜL 2020</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CE416CE" w14:textId="77777777" w:rsidR="001B359B" w:rsidRPr="005C6753" w:rsidRDefault="001B359B"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4BBFE5" w14:textId="77777777" w:rsidR="001B359B" w:rsidRDefault="001B359B"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CA978" w14:textId="77777777" w:rsidR="001B359B" w:rsidRPr="00BA357F" w:rsidRDefault="001B359B" w:rsidP="00104629">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69B09" w14:textId="77777777" w:rsidR="001B359B" w:rsidRDefault="001B35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DEE5F" w14:textId="77777777" w:rsidR="001B359B" w:rsidRPr="00BA357F" w:rsidRDefault="001B359B" w:rsidP="00104629">
    <w:pPr>
      <w:pStyle w:val="Heade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261D9" w14:textId="77777777" w:rsidR="001B359B" w:rsidRPr="00F27F53" w:rsidRDefault="001B359B" w:rsidP="001A670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5007C81" w14:textId="542DDAA2" w:rsidR="001B359B" w:rsidRDefault="001B359B" w:rsidP="001A6707">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 xml:space="preserve">1 OCAK-30 EYLÜL  2020 ARA HESAP </w:t>
    </w:r>
    <w:r w:rsidRPr="00231D2B">
      <w:rPr>
        <w:rFonts w:ascii="TimesNewRomanPS-BoldMT" w:hAnsi="TimesNewRomanPS-BoldMT" w:cs="TimesNewRomanPS-BoldMT"/>
        <w:b/>
        <w:bCs/>
        <w:sz w:val="22"/>
        <w:szCs w:val="22"/>
        <w:lang w:eastAsia="zh-CN"/>
      </w:rPr>
      <w:t>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4EB51CF5" w14:textId="446ECF72" w:rsidR="001B359B" w:rsidRPr="00BA357F" w:rsidRDefault="001B359B" w:rsidP="00104629">
    <w:pPr>
      <w:pStyle w:val="Header"/>
      <w:rPr>
        <w:sz w:val="20"/>
        <w:szCs w:val="20"/>
      </w:rPr>
    </w:pPr>
    <w:r>
      <w:rPr>
        <w:rFonts w:ascii="TimesNewRomanPSMT" w:hAnsi="TimesNewRomanPSMT" w:cs="TimesNewRomanPSMT"/>
        <w:b/>
        <w:bCs/>
        <w:i/>
        <w:iCs/>
        <w:sz w:val="18"/>
        <w:szCs w:val="18"/>
        <w:lang w:eastAsia="zh-CN"/>
      </w:rPr>
      <w:t>(</w:t>
    </w:r>
    <w:r w:rsidRPr="005C6753">
      <w:rPr>
        <w:rFonts w:ascii="TimesNewRomanPSMT" w:hAnsi="TimesNewRomanPSMT" w:cs="TimesNewRomanPSMT"/>
        <w:b/>
        <w:bCs/>
        <w:i/>
        <w:iCs/>
        <w:sz w:val="18"/>
        <w:szCs w:val="18"/>
        <w:lang w:eastAsia="zh-CN"/>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3BD7" w14:textId="77777777" w:rsidR="001B359B" w:rsidRPr="00F27F53" w:rsidRDefault="001B359B" w:rsidP="00BC7909">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DA38A3D" w14:textId="09BB346C" w:rsidR="001B359B" w:rsidRPr="00231D2B" w:rsidRDefault="001B359B" w:rsidP="00BC7909">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 xml:space="preserve">1 OCAK </w:t>
    </w:r>
    <w:r>
      <w:rPr>
        <w:rFonts w:ascii="TimesNewRomanPS-BoldMT" w:hAnsi="TimesNewRomanPS-BoldMT" w:cs="TimesNewRomanPS-BoldMT"/>
        <w:b/>
        <w:bCs/>
        <w:sz w:val="22"/>
        <w:szCs w:val="22"/>
        <w:lang w:eastAsia="zh-CN"/>
      </w:rPr>
      <w: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30 EYLÜL 2020</w:t>
    </w:r>
    <w:r w:rsidRPr="00231D2B">
      <w:rPr>
        <w:rFonts w:ascii="TimesNewRomanPS-BoldMT" w:hAnsi="TimesNewRomanPS-BoldMT" w:cs="TimesNewRomanPS-BoldMT"/>
        <w:b/>
        <w:bCs/>
        <w:sz w:val="22"/>
        <w:szCs w:val="22"/>
        <w:lang w:eastAsia="zh-CN"/>
      </w:rPr>
      <w:t xml:space="preserve"> ARA HESAP DÖNEMİNE AİT KONSOLİDE OLMAYAN</w:t>
    </w:r>
  </w:p>
  <w:p w14:paraId="55FB058C" w14:textId="77777777" w:rsidR="001B359B" w:rsidRDefault="001B359B" w:rsidP="00BC7909">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FİNANSAL TABLOLARA İLİŞKİN AÇIKLAMA VE DİPNOTLAR</w:t>
    </w:r>
  </w:p>
  <w:p w14:paraId="549F2A15" w14:textId="41CC4F40" w:rsidR="001B359B" w:rsidRPr="005C6753" w:rsidRDefault="001B359B"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(Tutarlar aksi belirtilmedikçe Bin Türk Lirası (TL) olarak ifade edilmiştir.)</w:t>
    </w:r>
  </w:p>
  <w:p w14:paraId="791E3819" w14:textId="77777777" w:rsidR="001B359B" w:rsidRPr="004918A7" w:rsidRDefault="001B359B" w:rsidP="00104629">
    <w:pPr>
      <w:pStyle w:val="Header"/>
      <w:rPr>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C4A70" w14:textId="77777777" w:rsidR="001B359B" w:rsidRPr="00F27F53" w:rsidRDefault="001B359B"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6FB6DAEB" w:rsidR="001B359B" w:rsidRPr="00D75567" w:rsidRDefault="001B359B" w:rsidP="005D3E4D">
    <w:pPr>
      <w:rPr>
        <w:b/>
        <w:sz w:val="22"/>
        <w:szCs w:val="22"/>
      </w:rPr>
    </w:pPr>
    <w:r>
      <w:rPr>
        <w:rFonts w:ascii="TimesNewRomanPS-BoldMT" w:hAnsi="TimesNewRomanPS-BoldMT" w:cs="TimesNewRomanPS-BoldMT"/>
        <w:b/>
        <w:bCs/>
        <w:sz w:val="22"/>
        <w:szCs w:val="22"/>
        <w:lang w:eastAsia="zh-CN"/>
      </w:rPr>
      <w:t>30 EYLÜL 2020</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1B359B" w:rsidRPr="005C6753" w:rsidRDefault="001B359B"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CA8FB" w14:textId="77777777" w:rsidR="001B359B" w:rsidRPr="00F27F53" w:rsidRDefault="001B359B"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EAB64CD" w14:textId="21541A88" w:rsidR="001B359B" w:rsidRPr="00B95E31" w:rsidRDefault="001B359B" w:rsidP="00B95E31">
    <w:pPr>
      <w:autoSpaceDE w:val="0"/>
      <w:autoSpaceDN w:val="0"/>
      <w:adjustRightInd w:val="0"/>
      <w:jc w:val="both"/>
      <w:rPr>
        <w:rFonts w:eastAsia="Arial Unicode MS"/>
        <w:b/>
        <w:sz w:val="22"/>
      </w:rPr>
    </w:pPr>
    <w:r>
      <w:rPr>
        <w:rFonts w:ascii="TimesNewRomanPS-BoldMT" w:hAnsi="TimesNewRomanPS-BoldMT" w:cs="TimesNewRomanPS-BoldMT"/>
        <w:b/>
        <w:bCs/>
        <w:sz w:val="22"/>
        <w:szCs w:val="22"/>
        <w:lang w:eastAsia="zh-CN"/>
      </w:rPr>
      <w:t>30 EYLÜL 2020</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GELİR TABLOSU</w:t>
    </w:r>
  </w:p>
  <w:p w14:paraId="0046C81F" w14:textId="77777777" w:rsidR="001B359B" w:rsidRPr="005C6753" w:rsidRDefault="001B359B"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77F0DB" w14:textId="77777777" w:rsidR="001B359B" w:rsidRPr="000262A5" w:rsidRDefault="001B359B">
    <w:pPr>
      <w:rPr>
        <w:rFonts w:ascii="Arial" w:hAnsi="Arial"/>
        <w:b/>
        <w:sz w:val="18"/>
        <w:lang w:val="de-D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51133" w14:textId="77777777" w:rsidR="001B359B" w:rsidRPr="00F27F53" w:rsidRDefault="001B359B"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4B1C226" w14:textId="75D4D4C6" w:rsidR="001B359B" w:rsidRPr="00B95E31" w:rsidRDefault="001B359B" w:rsidP="00B95E31">
    <w:pPr>
      <w:autoSpaceDE w:val="0"/>
      <w:autoSpaceDN w:val="0"/>
      <w:adjustRightInd w:val="0"/>
      <w:jc w:val="both"/>
      <w:rPr>
        <w:rFonts w:eastAsia="Arial Unicode MS"/>
        <w:b/>
        <w:sz w:val="22"/>
      </w:rPr>
    </w:pPr>
    <w:r>
      <w:rPr>
        <w:rFonts w:ascii="TimesNewRomanPS-BoldMT" w:hAnsi="TimesNewRomanPS-BoldMT" w:cs="TimesNewRomanPS-BoldMT"/>
        <w:b/>
        <w:bCs/>
        <w:sz w:val="22"/>
        <w:szCs w:val="22"/>
        <w:lang w:eastAsia="zh-CN"/>
      </w:rPr>
      <w:t>30 EYLÜL 2020</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VE DİĞER KAPSAMLI GELİR TABLOSU</w:t>
    </w:r>
  </w:p>
  <w:p w14:paraId="5271DF94" w14:textId="77777777" w:rsidR="001B359B" w:rsidRPr="005C6753" w:rsidRDefault="001B359B"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59B1E4F" w14:textId="77777777" w:rsidR="001B359B" w:rsidRPr="000262A5" w:rsidRDefault="001B359B">
    <w:pPr>
      <w:rPr>
        <w:rFonts w:ascii="Arial" w:hAnsi="Arial"/>
        <w:b/>
        <w:sz w:val="18"/>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1C8B360D"/>
    <w:multiLevelType w:val="hybridMultilevel"/>
    <w:tmpl w:val="9ABEDB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2"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2AA009E"/>
    <w:multiLevelType w:val="multilevel"/>
    <w:tmpl w:val="C3902668"/>
    <w:lvl w:ilvl="0">
      <w:start w:val="1"/>
      <w:numFmt w:val="decimal"/>
      <w:lvlText w:val="%1"/>
      <w:lvlJc w:val="left"/>
      <w:pPr>
        <w:ind w:left="570" w:hanging="570"/>
      </w:pPr>
      <w:rPr>
        <w:rFonts w:hint="default"/>
      </w:rPr>
    </w:lvl>
    <w:lvl w:ilvl="1">
      <w:start w:val="1"/>
      <w:numFmt w:val="decimal"/>
      <w:lvlText w:val="%1.%2"/>
      <w:lvlJc w:val="left"/>
      <w:pPr>
        <w:ind w:left="3" w:hanging="57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548" w:hanging="72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322" w:hanging="108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3096" w:hanging="1440"/>
      </w:pPr>
      <w:rPr>
        <w:rFonts w:hint="default"/>
      </w:rPr>
    </w:lvl>
  </w:abstractNum>
  <w:abstractNum w:abstractNumId="14"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6"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7"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8"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1"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2"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1"/>
  </w:num>
  <w:num w:numId="2">
    <w:abstractNumId w:val="2"/>
  </w:num>
  <w:num w:numId="3">
    <w:abstractNumId w:val="15"/>
  </w:num>
  <w:num w:numId="4">
    <w:abstractNumId w:val="0"/>
  </w:num>
  <w:num w:numId="5">
    <w:abstractNumId w:val="20"/>
  </w:num>
  <w:num w:numId="6">
    <w:abstractNumId w:val="21"/>
  </w:num>
  <w:num w:numId="7">
    <w:abstractNumId w:val="9"/>
  </w:num>
  <w:num w:numId="8">
    <w:abstractNumId w:val="7"/>
  </w:num>
  <w:num w:numId="9">
    <w:abstractNumId w:val="22"/>
  </w:num>
  <w:num w:numId="10">
    <w:abstractNumId w:val="10"/>
  </w:num>
  <w:num w:numId="11">
    <w:abstractNumId w:val="1"/>
  </w:num>
  <w:num w:numId="12">
    <w:abstractNumId w:val="5"/>
  </w:num>
  <w:num w:numId="13">
    <w:abstractNumId w:val="17"/>
  </w:num>
  <w:num w:numId="14">
    <w:abstractNumId w:val="12"/>
  </w:num>
  <w:num w:numId="15">
    <w:abstractNumId w:val="9"/>
  </w:num>
  <w:num w:numId="16">
    <w:abstractNumId w:val="14"/>
  </w:num>
  <w:num w:numId="17">
    <w:abstractNumId w:val="16"/>
  </w:num>
  <w:num w:numId="18">
    <w:abstractNumId w:val="4"/>
  </w:num>
  <w:num w:numId="19">
    <w:abstractNumId w:val="6"/>
  </w:num>
  <w:num w:numId="20">
    <w:abstractNumId w:val="19"/>
  </w:num>
  <w:num w:numId="21">
    <w:abstractNumId w:val="18"/>
  </w:num>
  <w:num w:numId="22">
    <w:abstractNumId w:val="8"/>
  </w:num>
  <w:num w:numId="23">
    <w:abstractNumId w:val="13"/>
  </w:num>
  <w:num w:numId="2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92C"/>
    <w:rsid w:val="00000AB4"/>
    <w:rsid w:val="00000C74"/>
    <w:rsid w:val="00000E1D"/>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3F91"/>
    <w:rsid w:val="00004196"/>
    <w:rsid w:val="000043A6"/>
    <w:rsid w:val="000043E9"/>
    <w:rsid w:val="00004514"/>
    <w:rsid w:val="00004538"/>
    <w:rsid w:val="000048B2"/>
    <w:rsid w:val="00004AA9"/>
    <w:rsid w:val="00004B76"/>
    <w:rsid w:val="00004C05"/>
    <w:rsid w:val="00004E3C"/>
    <w:rsid w:val="00004FBD"/>
    <w:rsid w:val="00005117"/>
    <w:rsid w:val="00005256"/>
    <w:rsid w:val="00005267"/>
    <w:rsid w:val="000052CE"/>
    <w:rsid w:val="0000559A"/>
    <w:rsid w:val="00005D33"/>
    <w:rsid w:val="00005D6E"/>
    <w:rsid w:val="00005D9C"/>
    <w:rsid w:val="00005E9C"/>
    <w:rsid w:val="00006623"/>
    <w:rsid w:val="0000666E"/>
    <w:rsid w:val="000068F8"/>
    <w:rsid w:val="00006909"/>
    <w:rsid w:val="00006941"/>
    <w:rsid w:val="00006B90"/>
    <w:rsid w:val="00006C11"/>
    <w:rsid w:val="00006DD1"/>
    <w:rsid w:val="00006E0F"/>
    <w:rsid w:val="00006E5E"/>
    <w:rsid w:val="00006FD2"/>
    <w:rsid w:val="000074B4"/>
    <w:rsid w:val="000078DC"/>
    <w:rsid w:val="00007C9E"/>
    <w:rsid w:val="00007D14"/>
    <w:rsid w:val="00010154"/>
    <w:rsid w:val="0001028D"/>
    <w:rsid w:val="00010518"/>
    <w:rsid w:val="00010705"/>
    <w:rsid w:val="00010AFC"/>
    <w:rsid w:val="00010B8A"/>
    <w:rsid w:val="00010E03"/>
    <w:rsid w:val="000110E5"/>
    <w:rsid w:val="000110F6"/>
    <w:rsid w:val="00011928"/>
    <w:rsid w:val="00011B54"/>
    <w:rsid w:val="00011BAD"/>
    <w:rsid w:val="00011E63"/>
    <w:rsid w:val="00012A61"/>
    <w:rsid w:val="000131C0"/>
    <w:rsid w:val="0001372E"/>
    <w:rsid w:val="00013AC3"/>
    <w:rsid w:val="00013BA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B18"/>
    <w:rsid w:val="00015F8D"/>
    <w:rsid w:val="00016337"/>
    <w:rsid w:val="000163B3"/>
    <w:rsid w:val="00016585"/>
    <w:rsid w:val="00016AAD"/>
    <w:rsid w:val="00016CEA"/>
    <w:rsid w:val="0001725C"/>
    <w:rsid w:val="00017451"/>
    <w:rsid w:val="00017616"/>
    <w:rsid w:val="00017C3B"/>
    <w:rsid w:val="000200B7"/>
    <w:rsid w:val="0002027D"/>
    <w:rsid w:val="000202F6"/>
    <w:rsid w:val="000207F0"/>
    <w:rsid w:val="000209A8"/>
    <w:rsid w:val="00020D18"/>
    <w:rsid w:val="00021004"/>
    <w:rsid w:val="0002129E"/>
    <w:rsid w:val="000215F7"/>
    <w:rsid w:val="0002179D"/>
    <w:rsid w:val="00021946"/>
    <w:rsid w:val="00021991"/>
    <w:rsid w:val="00021DB7"/>
    <w:rsid w:val="00021EC8"/>
    <w:rsid w:val="00021FF6"/>
    <w:rsid w:val="0002283C"/>
    <w:rsid w:val="00022A67"/>
    <w:rsid w:val="00023593"/>
    <w:rsid w:val="00023B72"/>
    <w:rsid w:val="00023ECA"/>
    <w:rsid w:val="00024114"/>
    <w:rsid w:val="0002419E"/>
    <w:rsid w:val="000243B3"/>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DE"/>
    <w:rsid w:val="00026C43"/>
    <w:rsid w:val="00026DAD"/>
    <w:rsid w:val="00026F2D"/>
    <w:rsid w:val="00027104"/>
    <w:rsid w:val="0002714B"/>
    <w:rsid w:val="00027286"/>
    <w:rsid w:val="00027304"/>
    <w:rsid w:val="00027348"/>
    <w:rsid w:val="00027444"/>
    <w:rsid w:val="000275B7"/>
    <w:rsid w:val="0002797D"/>
    <w:rsid w:val="00027AF6"/>
    <w:rsid w:val="00027B86"/>
    <w:rsid w:val="00027E7C"/>
    <w:rsid w:val="00027FAF"/>
    <w:rsid w:val="0003028C"/>
    <w:rsid w:val="00030548"/>
    <w:rsid w:val="00030555"/>
    <w:rsid w:val="00030599"/>
    <w:rsid w:val="0003063C"/>
    <w:rsid w:val="000306E4"/>
    <w:rsid w:val="00030964"/>
    <w:rsid w:val="00030D6F"/>
    <w:rsid w:val="0003102E"/>
    <w:rsid w:val="00031160"/>
    <w:rsid w:val="0003142E"/>
    <w:rsid w:val="0003155C"/>
    <w:rsid w:val="000316E9"/>
    <w:rsid w:val="000317C2"/>
    <w:rsid w:val="0003196E"/>
    <w:rsid w:val="00031C57"/>
    <w:rsid w:val="00031CB7"/>
    <w:rsid w:val="00031E57"/>
    <w:rsid w:val="00031F6E"/>
    <w:rsid w:val="0003211E"/>
    <w:rsid w:val="000323AF"/>
    <w:rsid w:val="000323F3"/>
    <w:rsid w:val="00032488"/>
    <w:rsid w:val="00032529"/>
    <w:rsid w:val="0003284B"/>
    <w:rsid w:val="00032904"/>
    <w:rsid w:val="00032CB6"/>
    <w:rsid w:val="00032D0E"/>
    <w:rsid w:val="00032DE2"/>
    <w:rsid w:val="00032F11"/>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ADC"/>
    <w:rsid w:val="00035C1D"/>
    <w:rsid w:val="00035F70"/>
    <w:rsid w:val="000360F5"/>
    <w:rsid w:val="00036106"/>
    <w:rsid w:val="0003633B"/>
    <w:rsid w:val="000367AA"/>
    <w:rsid w:val="00036CA7"/>
    <w:rsid w:val="00036D30"/>
    <w:rsid w:val="00037031"/>
    <w:rsid w:val="00037052"/>
    <w:rsid w:val="0003713E"/>
    <w:rsid w:val="00037433"/>
    <w:rsid w:val="00037D18"/>
    <w:rsid w:val="00037F79"/>
    <w:rsid w:val="00037FD5"/>
    <w:rsid w:val="00040057"/>
    <w:rsid w:val="000401B9"/>
    <w:rsid w:val="000405EF"/>
    <w:rsid w:val="00040648"/>
    <w:rsid w:val="0004077C"/>
    <w:rsid w:val="0004077F"/>
    <w:rsid w:val="00040808"/>
    <w:rsid w:val="00040992"/>
    <w:rsid w:val="00040B25"/>
    <w:rsid w:val="00040BD7"/>
    <w:rsid w:val="00040CCF"/>
    <w:rsid w:val="000417AE"/>
    <w:rsid w:val="00041B33"/>
    <w:rsid w:val="00041B7B"/>
    <w:rsid w:val="00041C5E"/>
    <w:rsid w:val="000422E0"/>
    <w:rsid w:val="0004243D"/>
    <w:rsid w:val="000424DD"/>
    <w:rsid w:val="000426A5"/>
    <w:rsid w:val="000426E0"/>
    <w:rsid w:val="0004280F"/>
    <w:rsid w:val="00042972"/>
    <w:rsid w:val="00042FEA"/>
    <w:rsid w:val="0004391D"/>
    <w:rsid w:val="00043A45"/>
    <w:rsid w:val="00043D5E"/>
    <w:rsid w:val="00043D61"/>
    <w:rsid w:val="00043E66"/>
    <w:rsid w:val="00043EE2"/>
    <w:rsid w:val="00043F0B"/>
    <w:rsid w:val="0004409A"/>
    <w:rsid w:val="000442F6"/>
    <w:rsid w:val="000445C9"/>
    <w:rsid w:val="00044732"/>
    <w:rsid w:val="000450CD"/>
    <w:rsid w:val="0004511A"/>
    <w:rsid w:val="00045525"/>
    <w:rsid w:val="00045932"/>
    <w:rsid w:val="00045990"/>
    <w:rsid w:val="00046550"/>
    <w:rsid w:val="000466D9"/>
    <w:rsid w:val="000467DB"/>
    <w:rsid w:val="0004695A"/>
    <w:rsid w:val="00046A76"/>
    <w:rsid w:val="00046AD7"/>
    <w:rsid w:val="00046ADC"/>
    <w:rsid w:val="00046B87"/>
    <w:rsid w:val="00046D7E"/>
    <w:rsid w:val="00047079"/>
    <w:rsid w:val="000476FD"/>
    <w:rsid w:val="0004774A"/>
    <w:rsid w:val="00047798"/>
    <w:rsid w:val="00047BFD"/>
    <w:rsid w:val="0005095B"/>
    <w:rsid w:val="00050CE4"/>
    <w:rsid w:val="00050DA2"/>
    <w:rsid w:val="00050E36"/>
    <w:rsid w:val="00051491"/>
    <w:rsid w:val="000516AC"/>
    <w:rsid w:val="000516B3"/>
    <w:rsid w:val="000517EE"/>
    <w:rsid w:val="00051E2A"/>
    <w:rsid w:val="0005203A"/>
    <w:rsid w:val="00052172"/>
    <w:rsid w:val="000522D3"/>
    <w:rsid w:val="00052423"/>
    <w:rsid w:val="00052688"/>
    <w:rsid w:val="00052815"/>
    <w:rsid w:val="000529D4"/>
    <w:rsid w:val="00052ADA"/>
    <w:rsid w:val="00052C53"/>
    <w:rsid w:val="00052F9D"/>
    <w:rsid w:val="00053303"/>
    <w:rsid w:val="00053514"/>
    <w:rsid w:val="00053671"/>
    <w:rsid w:val="00053A71"/>
    <w:rsid w:val="00053C88"/>
    <w:rsid w:val="00053D35"/>
    <w:rsid w:val="00053E8A"/>
    <w:rsid w:val="00053EAC"/>
    <w:rsid w:val="00054062"/>
    <w:rsid w:val="000540A2"/>
    <w:rsid w:val="00054439"/>
    <w:rsid w:val="0005469B"/>
    <w:rsid w:val="00054920"/>
    <w:rsid w:val="00054931"/>
    <w:rsid w:val="00054968"/>
    <w:rsid w:val="00054A4C"/>
    <w:rsid w:val="00054A4E"/>
    <w:rsid w:val="00054B57"/>
    <w:rsid w:val="00054BAB"/>
    <w:rsid w:val="00054F48"/>
    <w:rsid w:val="0005504E"/>
    <w:rsid w:val="000550D0"/>
    <w:rsid w:val="000551F9"/>
    <w:rsid w:val="0005520B"/>
    <w:rsid w:val="000558C1"/>
    <w:rsid w:val="00055A26"/>
    <w:rsid w:val="00055A3A"/>
    <w:rsid w:val="00055B9B"/>
    <w:rsid w:val="00055FF4"/>
    <w:rsid w:val="00056326"/>
    <w:rsid w:val="00056354"/>
    <w:rsid w:val="000565F3"/>
    <w:rsid w:val="0005660C"/>
    <w:rsid w:val="00056809"/>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2183"/>
    <w:rsid w:val="00062298"/>
    <w:rsid w:val="00062442"/>
    <w:rsid w:val="000624AE"/>
    <w:rsid w:val="000625B5"/>
    <w:rsid w:val="00062774"/>
    <w:rsid w:val="00062FC9"/>
    <w:rsid w:val="000630DF"/>
    <w:rsid w:val="000632AE"/>
    <w:rsid w:val="00063582"/>
    <w:rsid w:val="00063896"/>
    <w:rsid w:val="00063976"/>
    <w:rsid w:val="00063EA5"/>
    <w:rsid w:val="000641D4"/>
    <w:rsid w:val="00064662"/>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D99"/>
    <w:rsid w:val="00066DC8"/>
    <w:rsid w:val="0006739B"/>
    <w:rsid w:val="000673F3"/>
    <w:rsid w:val="000674D2"/>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2592"/>
    <w:rsid w:val="00072925"/>
    <w:rsid w:val="00072B9D"/>
    <w:rsid w:val="00072BE3"/>
    <w:rsid w:val="00072E28"/>
    <w:rsid w:val="00072F38"/>
    <w:rsid w:val="0007390B"/>
    <w:rsid w:val="00073B54"/>
    <w:rsid w:val="00073D3B"/>
    <w:rsid w:val="0007424E"/>
    <w:rsid w:val="00074381"/>
    <w:rsid w:val="00074457"/>
    <w:rsid w:val="00074598"/>
    <w:rsid w:val="00074704"/>
    <w:rsid w:val="0007472C"/>
    <w:rsid w:val="000748CA"/>
    <w:rsid w:val="000749AB"/>
    <w:rsid w:val="00074C24"/>
    <w:rsid w:val="00074D8D"/>
    <w:rsid w:val="00075144"/>
    <w:rsid w:val="0007546D"/>
    <w:rsid w:val="00075586"/>
    <w:rsid w:val="000759DE"/>
    <w:rsid w:val="00075B53"/>
    <w:rsid w:val="00075CAF"/>
    <w:rsid w:val="00075FD6"/>
    <w:rsid w:val="0007603B"/>
    <w:rsid w:val="000760B8"/>
    <w:rsid w:val="000764E7"/>
    <w:rsid w:val="0007654D"/>
    <w:rsid w:val="00076793"/>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F67"/>
    <w:rsid w:val="00081FB4"/>
    <w:rsid w:val="0008217D"/>
    <w:rsid w:val="000821BF"/>
    <w:rsid w:val="00082417"/>
    <w:rsid w:val="00082741"/>
    <w:rsid w:val="000827BB"/>
    <w:rsid w:val="000827F2"/>
    <w:rsid w:val="0008310F"/>
    <w:rsid w:val="00083291"/>
    <w:rsid w:val="0008346E"/>
    <w:rsid w:val="000839D8"/>
    <w:rsid w:val="00083B44"/>
    <w:rsid w:val="00083D04"/>
    <w:rsid w:val="00084160"/>
    <w:rsid w:val="000841E6"/>
    <w:rsid w:val="000845A3"/>
    <w:rsid w:val="00084767"/>
    <w:rsid w:val="00084A1F"/>
    <w:rsid w:val="00084A5D"/>
    <w:rsid w:val="00084D71"/>
    <w:rsid w:val="00085612"/>
    <w:rsid w:val="0008572B"/>
    <w:rsid w:val="00085862"/>
    <w:rsid w:val="0008597A"/>
    <w:rsid w:val="000859CE"/>
    <w:rsid w:val="00085A41"/>
    <w:rsid w:val="000868EE"/>
    <w:rsid w:val="00086A4A"/>
    <w:rsid w:val="00086F62"/>
    <w:rsid w:val="000870B6"/>
    <w:rsid w:val="0008713B"/>
    <w:rsid w:val="00087143"/>
    <w:rsid w:val="000871B4"/>
    <w:rsid w:val="00087937"/>
    <w:rsid w:val="0008796A"/>
    <w:rsid w:val="00087AFD"/>
    <w:rsid w:val="00087B99"/>
    <w:rsid w:val="00087E94"/>
    <w:rsid w:val="00090377"/>
    <w:rsid w:val="000904B2"/>
    <w:rsid w:val="000906F7"/>
    <w:rsid w:val="00090935"/>
    <w:rsid w:val="00090EE8"/>
    <w:rsid w:val="00091478"/>
    <w:rsid w:val="000915B3"/>
    <w:rsid w:val="000916B7"/>
    <w:rsid w:val="00091948"/>
    <w:rsid w:val="00091C73"/>
    <w:rsid w:val="00091E93"/>
    <w:rsid w:val="0009207E"/>
    <w:rsid w:val="000920AA"/>
    <w:rsid w:val="0009213D"/>
    <w:rsid w:val="00092441"/>
    <w:rsid w:val="0009250B"/>
    <w:rsid w:val="000927EC"/>
    <w:rsid w:val="0009289D"/>
    <w:rsid w:val="00092D25"/>
    <w:rsid w:val="00092DD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4CE5"/>
    <w:rsid w:val="00095034"/>
    <w:rsid w:val="00095280"/>
    <w:rsid w:val="000957C0"/>
    <w:rsid w:val="0009599E"/>
    <w:rsid w:val="00095B71"/>
    <w:rsid w:val="00095DAA"/>
    <w:rsid w:val="00095E22"/>
    <w:rsid w:val="00095EC6"/>
    <w:rsid w:val="00095ECD"/>
    <w:rsid w:val="000961D0"/>
    <w:rsid w:val="000962C3"/>
    <w:rsid w:val="00096778"/>
    <w:rsid w:val="0009683F"/>
    <w:rsid w:val="0009685D"/>
    <w:rsid w:val="00096C10"/>
    <w:rsid w:val="00096DC2"/>
    <w:rsid w:val="00096FB0"/>
    <w:rsid w:val="00097156"/>
    <w:rsid w:val="00097275"/>
    <w:rsid w:val="00097354"/>
    <w:rsid w:val="00097B22"/>
    <w:rsid w:val="00097D90"/>
    <w:rsid w:val="00097F8B"/>
    <w:rsid w:val="000A0501"/>
    <w:rsid w:val="000A0776"/>
    <w:rsid w:val="000A0889"/>
    <w:rsid w:val="000A0AF2"/>
    <w:rsid w:val="000A0C11"/>
    <w:rsid w:val="000A0EB1"/>
    <w:rsid w:val="000A1291"/>
    <w:rsid w:val="000A153A"/>
    <w:rsid w:val="000A195E"/>
    <w:rsid w:val="000A1C5B"/>
    <w:rsid w:val="000A2295"/>
    <w:rsid w:val="000A24A4"/>
    <w:rsid w:val="000A251A"/>
    <w:rsid w:val="000A2AA3"/>
    <w:rsid w:val="000A2EB7"/>
    <w:rsid w:val="000A3286"/>
    <w:rsid w:val="000A32B2"/>
    <w:rsid w:val="000A32D4"/>
    <w:rsid w:val="000A343C"/>
    <w:rsid w:val="000A351E"/>
    <w:rsid w:val="000A36C5"/>
    <w:rsid w:val="000A3C90"/>
    <w:rsid w:val="000A3FB0"/>
    <w:rsid w:val="000A4095"/>
    <w:rsid w:val="000A4277"/>
    <w:rsid w:val="000A428A"/>
    <w:rsid w:val="000A4393"/>
    <w:rsid w:val="000A450A"/>
    <w:rsid w:val="000A4936"/>
    <w:rsid w:val="000A4A32"/>
    <w:rsid w:val="000A5225"/>
    <w:rsid w:val="000A54CA"/>
    <w:rsid w:val="000A58E5"/>
    <w:rsid w:val="000A5BE0"/>
    <w:rsid w:val="000A5E60"/>
    <w:rsid w:val="000A5E81"/>
    <w:rsid w:val="000A6235"/>
    <w:rsid w:val="000A67BF"/>
    <w:rsid w:val="000A68EC"/>
    <w:rsid w:val="000A6910"/>
    <w:rsid w:val="000A69B2"/>
    <w:rsid w:val="000A6E84"/>
    <w:rsid w:val="000A6FC4"/>
    <w:rsid w:val="000A7241"/>
    <w:rsid w:val="000A7657"/>
    <w:rsid w:val="000A76C0"/>
    <w:rsid w:val="000A7D4B"/>
    <w:rsid w:val="000A7D7F"/>
    <w:rsid w:val="000B02EA"/>
    <w:rsid w:val="000B0343"/>
    <w:rsid w:val="000B03B5"/>
    <w:rsid w:val="000B13C1"/>
    <w:rsid w:val="000B13F2"/>
    <w:rsid w:val="000B1547"/>
    <w:rsid w:val="000B1549"/>
    <w:rsid w:val="000B15EE"/>
    <w:rsid w:val="000B1688"/>
    <w:rsid w:val="000B1817"/>
    <w:rsid w:val="000B1BA0"/>
    <w:rsid w:val="000B1EAD"/>
    <w:rsid w:val="000B1FFE"/>
    <w:rsid w:val="000B2144"/>
    <w:rsid w:val="000B2223"/>
    <w:rsid w:val="000B250E"/>
    <w:rsid w:val="000B2A6C"/>
    <w:rsid w:val="000B32EB"/>
    <w:rsid w:val="000B35D6"/>
    <w:rsid w:val="000B37B9"/>
    <w:rsid w:val="000B3829"/>
    <w:rsid w:val="000B38AE"/>
    <w:rsid w:val="000B3937"/>
    <w:rsid w:val="000B3AFB"/>
    <w:rsid w:val="000B3C35"/>
    <w:rsid w:val="000B3C39"/>
    <w:rsid w:val="000B3DF9"/>
    <w:rsid w:val="000B4014"/>
    <w:rsid w:val="000B404F"/>
    <w:rsid w:val="000B4061"/>
    <w:rsid w:val="000B42A6"/>
    <w:rsid w:val="000B49E6"/>
    <w:rsid w:val="000B4DD5"/>
    <w:rsid w:val="000B52A3"/>
    <w:rsid w:val="000B539C"/>
    <w:rsid w:val="000B56F4"/>
    <w:rsid w:val="000B58D1"/>
    <w:rsid w:val="000B5B35"/>
    <w:rsid w:val="000B5B8A"/>
    <w:rsid w:val="000B5EAA"/>
    <w:rsid w:val="000B5F38"/>
    <w:rsid w:val="000B5FFA"/>
    <w:rsid w:val="000B6141"/>
    <w:rsid w:val="000B622C"/>
    <w:rsid w:val="000B642C"/>
    <w:rsid w:val="000B64EB"/>
    <w:rsid w:val="000B656E"/>
    <w:rsid w:val="000B6D58"/>
    <w:rsid w:val="000B6DF3"/>
    <w:rsid w:val="000B70F8"/>
    <w:rsid w:val="000B71F9"/>
    <w:rsid w:val="000B7361"/>
    <w:rsid w:val="000B7464"/>
    <w:rsid w:val="000B74F4"/>
    <w:rsid w:val="000B766D"/>
    <w:rsid w:val="000B768C"/>
    <w:rsid w:val="000B771D"/>
    <w:rsid w:val="000B7D0C"/>
    <w:rsid w:val="000C040C"/>
    <w:rsid w:val="000C04AE"/>
    <w:rsid w:val="000C054D"/>
    <w:rsid w:val="000C06F0"/>
    <w:rsid w:val="000C0982"/>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A6A"/>
    <w:rsid w:val="000C34A8"/>
    <w:rsid w:val="000C3605"/>
    <w:rsid w:val="000C3626"/>
    <w:rsid w:val="000C36B1"/>
    <w:rsid w:val="000C37C8"/>
    <w:rsid w:val="000C37FC"/>
    <w:rsid w:val="000C38FF"/>
    <w:rsid w:val="000C3C68"/>
    <w:rsid w:val="000C3EF9"/>
    <w:rsid w:val="000C3F6E"/>
    <w:rsid w:val="000C41CF"/>
    <w:rsid w:val="000C433C"/>
    <w:rsid w:val="000C468D"/>
    <w:rsid w:val="000C47A4"/>
    <w:rsid w:val="000C4989"/>
    <w:rsid w:val="000C4B54"/>
    <w:rsid w:val="000C4BEB"/>
    <w:rsid w:val="000C4FFC"/>
    <w:rsid w:val="000C5191"/>
    <w:rsid w:val="000C5363"/>
    <w:rsid w:val="000C57CD"/>
    <w:rsid w:val="000C582B"/>
    <w:rsid w:val="000C5938"/>
    <w:rsid w:val="000C5A2B"/>
    <w:rsid w:val="000C5A99"/>
    <w:rsid w:val="000C60D3"/>
    <w:rsid w:val="000C62E9"/>
    <w:rsid w:val="000C6388"/>
    <w:rsid w:val="000C64A1"/>
    <w:rsid w:val="000C6752"/>
    <w:rsid w:val="000C693E"/>
    <w:rsid w:val="000C69CE"/>
    <w:rsid w:val="000C6A13"/>
    <w:rsid w:val="000C6BD5"/>
    <w:rsid w:val="000C6C5D"/>
    <w:rsid w:val="000C6E76"/>
    <w:rsid w:val="000C6F56"/>
    <w:rsid w:val="000C71C2"/>
    <w:rsid w:val="000C7C46"/>
    <w:rsid w:val="000C7F6C"/>
    <w:rsid w:val="000D02B0"/>
    <w:rsid w:val="000D05C8"/>
    <w:rsid w:val="000D0892"/>
    <w:rsid w:val="000D0A36"/>
    <w:rsid w:val="000D0B88"/>
    <w:rsid w:val="000D0E89"/>
    <w:rsid w:val="000D0F88"/>
    <w:rsid w:val="000D1065"/>
    <w:rsid w:val="000D13C3"/>
    <w:rsid w:val="000D1414"/>
    <w:rsid w:val="000D1B71"/>
    <w:rsid w:val="000D1DAC"/>
    <w:rsid w:val="000D2141"/>
    <w:rsid w:val="000D22BA"/>
    <w:rsid w:val="000D2322"/>
    <w:rsid w:val="000D2462"/>
    <w:rsid w:val="000D24A7"/>
    <w:rsid w:val="000D25FF"/>
    <w:rsid w:val="000D286B"/>
    <w:rsid w:val="000D28B9"/>
    <w:rsid w:val="000D2CB8"/>
    <w:rsid w:val="000D2DD7"/>
    <w:rsid w:val="000D2F0C"/>
    <w:rsid w:val="000D33E6"/>
    <w:rsid w:val="000D3664"/>
    <w:rsid w:val="000D3CA8"/>
    <w:rsid w:val="000D3CE5"/>
    <w:rsid w:val="000D4C0B"/>
    <w:rsid w:val="000D4EAC"/>
    <w:rsid w:val="000D5090"/>
    <w:rsid w:val="000D5462"/>
    <w:rsid w:val="000D59C6"/>
    <w:rsid w:val="000D6144"/>
    <w:rsid w:val="000D619A"/>
    <w:rsid w:val="000D6866"/>
    <w:rsid w:val="000D6A7C"/>
    <w:rsid w:val="000D6DC5"/>
    <w:rsid w:val="000D6E17"/>
    <w:rsid w:val="000D6E7A"/>
    <w:rsid w:val="000D6F18"/>
    <w:rsid w:val="000D6F6C"/>
    <w:rsid w:val="000D714B"/>
    <w:rsid w:val="000D739B"/>
    <w:rsid w:val="000D75B9"/>
    <w:rsid w:val="000D7938"/>
    <w:rsid w:val="000D7A24"/>
    <w:rsid w:val="000D7D2F"/>
    <w:rsid w:val="000D7E52"/>
    <w:rsid w:val="000E010F"/>
    <w:rsid w:val="000E037A"/>
    <w:rsid w:val="000E0C36"/>
    <w:rsid w:val="000E0C69"/>
    <w:rsid w:val="000E0CC3"/>
    <w:rsid w:val="000E0E1F"/>
    <w:rsid w:val="000E1495"/>
    <w:rsid w:val="000E1531"/>
    <w:rsid w:val="000E1579"/>
    <w:rsid w:val="000E1977"/>
    <w:rsid w:val="000E19A0"/>
    <w:rsid w:val="000E1A6A"/>
    <w:rsid w:val="000E1AB5"/>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3"/>
    <w:rsid w:val="000E45E0"/>
    <w:rsid w:val="000E4A2D"/>
    <w:rsid w:val="000E4C49"/>
    <w:rsid w:val="000E4D42"/>
    <w:rsid w:val="000E4DE6"/>
    <w:rsid w:val="000E4E60"/>
    <w:rsid w:val="000E52F9"/>
    <w:rsid w:val="000E549C"/>
    <w:rsid w:val="000E54A2"/>
    <w:rsid w:val="000E584A"/>
    <w:rsid w:val="000E6181"/>
    <w:rsid w:val="000E6479"/>
    <w:rsid w:val="000E64E7"/>
    <w:rsid w:val="000E6525"/>
    <w:rsid w:val="000E74AC"/>
    <w:rsid w:val="000E74AE"/>
    <w:rsid w:val="000E783C"/>
    <w:rsid w:val="000E7A3D"/>
    <w:rsid w:val="000E7AC9"/>
    <w:rsid w:val="000E7AEE"/>
    <w:rsid w:val="000E7BAB"/>
    <w:rsid w:val="000E7C6A"/>
    <w:rsid w:val="000E7E97"/>
    <w:rsid w:val="000E7EAE"/>
    <w:rsid w:val="000E7F3B"/>
    <w:rsid w:val="000F03C0"/>
    <w:rsid w:val="000F04BE"/>
    <w:rsid w:val="000F0574"/>
    <w:rsid w:val="000F05CB"/>
    <w:rsid w:val="000F0660"/>
    <w:rsid w:val="000F087F"/>
    <w:rsid w:val="000F096F"/>
    <w:rsid w:val="000F0994"/>
    <w:rsid w:val="000F0CBD"/>
    <w:rsid w:val="000F153C"/>
    <w:rsid w:val="000F1623"/>
    <w:rsid w:val="000F177C"/>
    <w:rsid w:val="000F1822"/>
    <w:rsid w:val="000F1946"/>
    <w:rsid w:val="000F1963"/>
    <w:rsid w:val="000F1B0D"/>
    <w:rsid w:val="000F1B54"/>
    <w:rsid w:val="000F1CF1"/>
    <w:rsid w:val="000F1D17"/>
    <w:rsid w:val="000F1D50"/>
    <w:rsid w:val="000F20C8"/>
    <w:rsid w:val="000F224B"/>
    <w:rsid w:val="000F22D6"/>
    <w:rsid w:val="000F2449"/>
    <w:rsid w:val="000F2523"/>
    <w:rsid w:val="000F2665"/>
    <w:rsid w:val="000F2AED"/>
    <w:rsid w:val="000F2EAC"/>
    <w:rsid w:val="000F2F13"/>
    <w:rsid w:val="000F30E4"/>
    <w:rsid w:val="000F3A96"/>
    <w:rsid w:val="000F3AB8"/>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733"/>
    <w:rsid w:val="000F6B75"/>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6C1"/>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069"/>
    <w:rsid w:val="00102324"/>
    <w:rsid w:val="00102399"/>
    <w:rsid w:val="0010239B"/>
    <w:rsid w:val="001025E0"/>
    <w:rsid w:val="00102992"/>
    <w:rsid w:val="00102C47"/>
    <w:rsid w:val="0010347B"/>
    <w:rsid w:val="00103515"/>
    <w:rsid w:val="0010363E"/>
    <w:rsid w:val="00103681"/>
    <w:rsid w:val="001036BA"/>
    <w:rsid w:val="00103741"/>
    <w:rsid w:val="00103C4C"/>
    <w:rsid w:val="00103F02"/>
    <w:rsid w:val="00103FEB"/>
    <w:rsid w:val="00104116"/>
    <w:rsid w:val="00104228"/>
    <w:rsid w:val="001045DE"/>
    <w:rsid w:val="00104629"/>
    <w:rsid w:val="001047D1"/>
    <w:rsid w:val="001047FE"/>
    <w:rsid w:val="00104ADA"/>
    <w:rsid w:val="00104B7E"/>
    <w:rsid w:val="00105001"/>
    <w:rsid w:val="001051DA"/>
    <w:rsid w:val="0010553A"/>
    <w:rsid w:val="0010599A"/>
    <w:rsid w:val="00105A03"/>
    <w:rsid w:val="00105A80"/>
    <w:rsid w:val="00105DEF"/>
    <w:rsid w:val="00105FFD"/>
    <w:rsid w:val="00106260"/>
    <w:rsid w:val="001066F3"/>
    <w:rsid w:val="0010698B"/>
    <w:rsid w:val="001069C5"/>
    <w:rsid w:val="00106BFA"/>
    <w:rsid w:val="00106D61"/>
    <w:rsid w:val="00106E78"/>
    <w:rsid w:val="00107128"/>
    <w:rsid w:val="00107268"/>
    <w:rsid w:val="001076F7"/>
    <w:rsid w:val="00107B36"/>
    <w:rsid w:val="00107CF6"/>
    <w:rsid w:val="00110152"/>
    <w:rsid w:val="0011043D"/>
    <w:rsid w:val="001106ED"/>
    <w:rsid w:val="001109C8"/>
    <w:rsid w:val="00110A4F"/>
    <w:rsid w:val="00110A64"/>
    <w:rsid w:val="00110B32"/>
    <w:rsid w:val="00110B5F"/>
    <w:rsid w:val="00110E8B"/>
    <w:rsid w:val="001112C0"/>
    <w:rsid w:val="001114B7"/>
    <w:rsid w:val="00111712"/>
    <w:rsid w:val="001118F9"/>
    <w:rsid w:val="00111A1C"/>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CA"/>
    <w:rsid w:val="00114EFF"/>
    <w:rsid w:val="00115437"/>
    <w:rsid w:val="0011547F"/>
    <w:rsid w:val="00115629"/>
    <w:rsid w:val="001156FF"/>
    <w:rsid w:val="00115885"/>
    <w:rsid w:val="001158D0"/>
    <w:rsid w:val="00115A9B"/>
    <w:rsid w:val="00115C1A"/>
    <w:rsid w:val="0011626D"/>
    <w:rsid w:val="001166F6"/>
    <w:rsid w:val="00116705"/>
    <w:rsid w:val="001167A8"/>
    <w:rsid w:val="00116869"/>
    <w:rsid w:val="00116AEF"/>
    <w:rsid w:val="00116D09"/>
    <w:rsid w:val="00116EC9"/>
    <w:rsid w:val="00117220"/>
    <w:rsid w:val="00117791"/>
    <w:rsid w:val="001179F6"/>
    <w:rsid w:val="0012012B"/>
    <w:rsid w:val="00120418"/>
    <w:rsid w:val="0012070D"/>
    <w:rsid w:val="00120F59"/>
    <w:rsid w:val="00121247"/>
    <w:rsid w:val="00121316"/>
    <w:rsid w:val="0012167A"/>
    <w:rsid w:val="00121D07"/>
    <w:rsid w:val="00121EB1"/>
    <w:rsid w:val="001221FD"/>
    <w:rsid w:val="001222DB"/>
    <w:rsid w:val="0012272A"/>
    <w:rsid w:val="0012280A"/>
    <w:rsid w:val="00122AEA"/>
    <w:rsid w:val="00122CC4"/>
    <w:rsid w:val="00123047"/>
    <w:rsid w:val="00123088"/>
    <w:rsid w:val="001230DE"/>
    <w:rsid w:val="00123132"/>
    <w:rsid w:val="00123149"/>
    <w:rsid w:val="001231AF"/>
    <w:rsid w:val="001238FF"/>
    <w:rsid w:val="00123C0E"/>
    <w:rsid w:val="00123C53"/>
    <w:rsid w:val="00123E0E"/>
    <w:rsid w:val="0012406C"/>
    <w:rsid w:val="00124086"/>
    <w:rsid w:val="001240D7"/>
    <w:rsid w:val="00124566"/>
    <w:rsid w:val="0012456C"/>
    <w:rsid w:val="001245A2"/>
    <w:rsid w:val="00124657"/>
    <w:rsid w:val="001247FD"/>
    <w:rsid w:val="00124979"/>
    <w:rsid w:val="00124993"/>
    <w:rsid w:val="00124A9C"/>
    <w:rsid w:val="00124BA0"/>
    <w:rsid w:val="00124C3D"/>
    <w:rsid w:val="00124C79"/>
    <w:rsid w:val="00124CB7"/>
    <w:rsid w:val="00125110"/>
    <w:rsid w:val="00125671"/>
    <w:rsid w:val="001256F6"/>
    <w:rsid w:val="001257B6"/>
    <w:rsid w:val="00125F01"/>
    <w:rsid w:val="00126B0F"/>
    <w:rsid w:val="00126BF3"/>
    <w:rsid w:val="00126F17"/>
    <w:rsid w:val="00127123"/>
    <w:rsid w:val="00127AEC"/>
    <w:rsid w:val="00127B15"/>
    <w:rsid w:val="00127DB7"/>
    <w:rsid w:val="00130075"/>
    <w:rsid w:val="00130157"/>
    <w:rsid w:val="001303C3"/>
    <w:rsid w:val="0013068B"/>
    <w:rsid w:val="00130A9A"/>
    <w:rsid w:val="00130B47"/>
    <w:rsid w:val="00130E7D"/>
    <w:rsid w:val="00130F5E"/>
    <w:rsid w:val="00131086"/>
    <w:rsid w:val="0013120C"/>
    <w:rsid w:val="00131279"/>
    <w:rsid w:val="0013129E"/>
    <w:rsid w:val="0013138F"/>
    <w:rsid w:val="0013175D"/>
    <w:rsid w:val="00131956"/>
    <w:rsid w:val="00131989"/>
    <w:rsid w:val="00131A6E"/>
    <w:rsid w:val="00131B67"/>
    <w:rsid w:val="00132820"/>
    <w:rsid w:val="0013286C"/>
    <w:rsid w:val="00132C27"/>
    <w:rsid w:val="00132CD0"/>
    <w:rsid w:val="00132D28"/>
    <w:rsid w:val="00132E39"/>
    <w:rsid w:val="001338E6"/>
    <w:rsid w:val="001339F6"/>
    <w:rsid w:val="00133B95"/>
    <w:rsid w:val="00133BAE"/>
    <w:rsid w:val="00133F55"/>
    <w:rsid w:val="00134299"/>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962"/>
    <w:rsid w:val="00136B28"/>
    <w:rsid w:val="00136F01"/>
    <w:rsid w:val="00136F27"/>
    <w:rsid w:val="00137355"/>
    <w:rsid w:val="00137430"/>
    <w:rsid w:val="0013788C"/>
    <w:rsid w:val="00137DCA"/>
    <w:rsid w:val="0014022D"/>
    <w:rsid w:val="0014059F"/>
    <w:rsid w:val="001405C6"/>
    <w:rsid w:val="001407A3"/>
    <w:rsid w:val="00140893"/>
    <w:rsid w:val="0014096B"/>
    <w:rsid w:val="00140A5C"/>
    <w:rsid w:val="00140F5A"/>
    <w:rsid w:val="00141059"/>
    <w:rsid w:val="00141213"/>
    <w:rsid w:val="001415FE"/>
    <w:rsid w:val="00141628"/>
    <w:rsid w:val="0014198A"/>
    <w:rsid w:val="0014199D"/>
    <w:rsid w:val="00141BD9"/>
    <w:rsid w:val="00141E36"/>
    <w:rsid w:val="00142017"/>
    <w:rsid w:val="00142472"/>
    <w:rsid w:val="001429C7"/>
    <w:rsid w:val="00142C20"/>
    <w:rsid w:val="00142C5A"/>
    <w:rsid w:val="00142EBD"/>
    <w:rsid w:val="00143118"/>
    <w:rsid w:val="00143170"/>
    <w:rsid w:val="00143180"/>
    <w:rsid w:val="00143956"/>
    <w:rsid w:val="001439B1"/>
    <w:rsid w:val="001439C7"/>
    <w:rsid w:val="00143B59"/>
    <w:rsid w:val="00143CB1"/>
    <w:rsid w:val="00143DBD"/>
    <w:rsid w:val="0014445F"/>
    <w:rsid w:val="00144B47"/>
    <w:rsid w:val="00144D46"/>
    <w:rsid w:val="00144DF7"/>
    <w:rsid w:val="00144ED7"/>
    <w:rsid w:val="00144F51"/>
    <w:rsid w:val="001451E9"/>
    <w:rsid w:val="00145857"/>
    <w:rsid w:val="00145CE7"/>
    <w:rsid w:val="00145F89"/>
    <w:rsid w:val="00146224"/>
    <w:rsid w:val="00146593"/>
    <w:rsid w:val="00146852"/>
    <w:rsid w:val="00146CB4"/>
    <w:rsid w:val="00146D0B"/>
    <w:rsid w:val="00146EBD"/>
    <w:rsid w:val="00146FB6"/>
    <w:rsid w:val="00147054"/>
    <w:rsid w:val="0014708D"/>
    <w:rsid w:val="00147153"/>
    <w:rsid w:val="00147214"/>
    <w:rsid w:val="0014743E"/>
    <w:rsid w:val="0014749B"/>
    <w:rsid w:val="00147552"/>
    <w:rsid w:val="001475D8"/>
    <w:rsid w:val="001475F4"/>
    <w:rsid w:val="001476C5"/>
    <w:rsid w:val="00147AA1"/>
    <w:rsid w:val="00147AA3"/>
    <w:rsid w:val="00147DEA"/>
    <w:rsid w:val="00150036"/>
    <w:rsid w:val="001500F9"/>
    <w:rsid w:val="0015030E"/>
    <w:rsid w:val="001507EC"/>
    <w:rsid w:val="0015081B"/>
    <w:rsid w:val="00150830"/>
    <w:rsid w:val="00150994"/>
    <w:rsid w:val="00150C9E"/>
    <w:rsid w:val="00150D73"/>
    <w:rsid w:val="001512CE"/>
    <w:rsid w:val="00151477"/>
    <w:rsid w:val="001516AB"/>
    <w:rsid w:val="0015184A"/>
    <w:rsid w:val="00151B16"/>
    <w:rsid w:val="00151BA5"/>
    <w:rsid w:val="00151BB5"/>
    <w:rsid w:val="00151D6E"/>
    <w:rsid w:val="00151F6B"/>
    <w:rsid w:val="00152201"/>
    <w:rsid w:val="00152238"/>
    <w:rsid w:val="001524AC"/>
    <w:rsid w:val="001526B6"/>
    <w:rsid w:val="0015277E"/>
    <w:rsid w:val="001527CE"/>
    <w:rsid w:val="001529F8"/>
    <w:rsid w:val="00152B7D"/>
    <w:rsid w:val="00152CA5"/>
    <w:rsid w:val="00152DA8"/>
    <w:rsid w:val="00153443"/>
    <w:rsid w:val="0015376E"/>
    <w:rsid w:val="0015381C"/>
    <w:rsid w:val="00153A89"/>
    <w:rsid w:val="00153D6B"/>
    <w:rsid w:val="00153E9A"/>
    <w:rsid w:val="00153F4D"/>
    <w:rsid w:val="0015442E"/>
    <w:rsid w:val="0015443F"/>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B5"/>
    <w:rsid w:val="00156A42"/>
    <w:rsid w:val="00156CAC"/>
    <w:rsid w:val="00156ECD"/>
    <w:rsid w:val="0015722E"/>
    <w:rsid w:val="001574D7"/>
    <w:rsid w:val="001578CA"/>
    <w:rsid w:val="001579B2"/>
    <w:rsid w:val="00157B0A"/>
    <w:rsid w:val="00157E42"/>
    <w:rsid w:val="00157E93"/>
    <w:rsid w:val="00157EB8"/>
    <w:rsid w:val="00160222"/>
    <w:rsid w:val="0016024A"/>
    <w:rsid w:val="00160755"/>
    <w:rsid w:val="00160D31"/>
    <w:rsid w:val="00160EB3"/>
    <w:rsid w:val="00160FB9"/>
    <w:rsid w:val="0016101B"/>
    <w:rsid w:val="001611E5"/>
    <w:rsid w:val="0016124C"/>
    <w:rsid w:val="0016126A"/>
    <w:rsid w:val="001614B1"/>
    <w:rsid w:val="001615A8"/>
    <w:rsid w:val="001617E6"/>
    <w:rsid w:val="0016192B"/>
    <w:rsid w:val="0016199A"/>
    <w:rsid w:val="00161A0D"/>
    <w:rsid w:val="00161B5E"/>
    <w:rsid w:val="00161E1A"/>
    <w:rsid w:val="00161FD6"/>
    <w:rsid w:val="00162101"/>
    <w:rsid w:val="00162531"/>
    <w:rsid w:val="00162552"/>
    <w:rsid w:val="00162BD5"/>
    <w:rsid w:val="00162FDE"/>
    <w:rsid w:val="001630C3"/>
    <w:rsid w:val="00163379"/>
    <w:rsid w:val="0016352E"/>
    <w:rsid w:val="00163710"/>
    <w:rsid w:val="00163943"/>
    <w:rsid w:val="00163A4D"/>
    <w:rsid w:val="00163A94"/>
    <w:rsid w:val="00163E9B"/>
    <w:rsid w:val="00163F79"/>
    <w:rsid w:val="001641D1"/>
    <w:rsid w:val="001647EE"/>
    <w:rsid w:val="00164A7F"/>
    <w:rsid w:val="00164D08"/>
    <w:rsid w:val="00164E29"/>
    <w:rsid w:val="00165227"/>
    <w:rsid w:val="00165493"/>
    <w:rsid w:val="0016589D"/>
    <w:rsid w:val="001658A6"/>
    <w:rsid w:val="00165BE3"/>
    <w:rsid w:val="00165F46"/>
    <w:rsid w:val="00166025"/>
    <w:rsid w:val="00166342"/>
    <w:rsid w:val="0016651B"/>
    <w:rsid w:val="00166530"/>
    <w:rsid w:val="001668BB"/>
    <w:rsid w:val="0016762F"/>
    <w:rsid w:val="00167926"/>
    <w:rsid w:val="00167930"/>
    <w:rsid w:val="00167AB5"/>
    <w:rsid w:val="00167CEB"/>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8A"/>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216"/>
    <w:rsid w:val="00173603"/>
    <w:rsid w:val="00173B4F"/>
    <w:rsid w:val="00173BB4"/>
    <w:rsid w:val="00173CED"/>
    <w:rsid w:val="00173D2D"/>
    <w:rsid w:val="00173F17"/>
    <w:rsid w:val="00174200"/>
    <w:rsid w:val="001743E7"/>
    <w:rsid w:val="00174434"/>
    <w:rsid w:val="00174435"/>
    <w:rsid w:val="001746FB"/>
    <w:rsid w:val="00174887"/>
    <w:rsid w:val="001753C3"/>
    <w:rsid w:val="00175776"/>
    <w:rsid w:val="00175802"/>
    <w:rsid w:val="00175CC3"/>
    <w:rsid w:val="00175F3D"/>
    <w:rsid w:val="001763E0"/>
    <w:rsid w:val="00176BF0"/>
    <w:rsid w:val="00176C0C"/>
    <w:rsid w:val="00176D5C"/>
    <w:rsid w:val="00176DB0"/>
    <w:rsid w:val="00176F30"/>
    <w:rsid w:val="0017707A"/>
    <w:rsid w:val="00177191"/>
    <w:rsid w:val="0017723B"/>
    <w:rsid w:val="001774D4"/>
    <w:rsid w:val="001774FA"/>
    <w:rsid w:val="0017762E"/>
    <w:rsid w:val="001779A5"/>
    <w:rsid w:val="00177A07"/>
    <w:rsid w:val="00177D04"/>
    <w:rsid w:val="00177D1E"/>
    <w:rsid w:val="00177FB6"/>
    <w:rsid w:val="0018024D"/>
    <w:rsid w:val="00180409"/>
    <w:rsid w:val="00180497"/>
    <w:rsid w:val="00180526"/>
    <w:rsid w:val="001805FA"/>
    <w:rsid w:val="00180688"/>
    <w:rsid w:val="001807B1"/>
    <w:rsid w:val="00180BE5"/>
    <w:rsid w:val="00180CD3"/>
    <w:rsid w:val="00180DBC"/>
    <w:rsid w:val="00180F9B"/>
    <w:rsid w:val="001810E3"/>
    <w:rsid w:val="0018136E"/>
    <w:rsid w:val="001813EA"/>
    <w:rsid w:val="00181429"/>
    <w:rsid w:val="001816DC"/>
    <w:rsid w:val="00181937"/>
    <w:rsid w:val="00181E53"/>
    <w:rsid w:val="00181FE3"/>
    <w:rsid w:val="00181FE5"/>
    <w:rsid w:val="001820B2"/>
    <w:rsid w:val="001821DA"/>
    <w:rsid w:val="00182298"/>
    <w:rsid w:val="00182749"/>
    <w:rsid w:val="00182BC4"/>
    <w:rsid w:val="00182CE7"/>
    <w:rsid w:val="001832AE"/>
    <w:rsid w:val="00183695"/>
    <w:rsid w:val="00183722"/>
    <w:rsid w:val="00183A81"/>
    <w:rsid w:val="00183A8B"/>
    <w:rsid w:val="00183ABF"/>
    <w:rsid w:val="00183B04"/>
    <w:rsid w:val="00183CE1"/>
    <w:rsid w:val="00183D5C"/>
    <w:rsid w:val="00183FC8"/>
    <w:rsid w:val="001841EB"/>
    <w:rsid w:val="0018437E"/>
    <w:rsid w:val="001846CE"/>
    <w:rsid w:val="00184A93"/>
    <w:rsid w:val="00184ABD"/>
    <w:rsid w:val="0018509E"/>
    <w:rsid w:val="00185311"/>
    <w:rsid w:val="001859E0"/>
    <w:rsid w:val="00185A2F"/>
    <w:rsid w:val="00185D6A"/>
    <w:rsid w:val="0018630A"/>
    <w:rsid w:val="00186422"/>
    <w:rsid w:val="00186476"/>
    <w:rsid w:val="001864E5"/>
    <w:rsid w:val="0018685B"/>
    <w:rsid w:val="00186E48"/>
    <w:rsid w:val="0018704C"/>
    <w:rsid w:val="00187391"/>
    <w:rsid w:val="00187404"/>
    <w:rsid w:val="00187517"/>
    <w:rsid w:val="00187561"/>
    <w:rsid w:val="00187CEE"/>
    <w:rsid w:val="00187E2E"/>
    <w:rsid w:val="00187F92"/>
    <w:rsid w:val="00190247"/>
    <w:rsid w:val="001902B0"/>
    <w:rsid w:val="001902FA"/>
    <w:rsid w:val="00190379"/>
    <w:rsid w:val="0019054B"/>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C18"/>
    <w:rsid w:val="00193201"/>
    <w:rsid w:val="00193512"/>
    <w:rsid w:val="00193525"/>
    <w:rsid w:val="00193A1C"/>
    <w:rsid w:val="00193A59"/>
    <w:rsid w:val="00193AE5"/>
    <w:rsid w:val="00193B3A"/>
    <w:rsid w:val="00193D4D"/>
    <w:rsid w:val="00193E5A"/>
    <w:rsid w:val="00193F34"/>
    <w:rsid w:val="00193F43"/>
    <w:rsid w:val="001944B8"/>
    <w:rsid w:val="00194633"/>
    <w:rsid w:val="00194B27"/>
    <w:rsid w:val="00194DC4"/>
    <w:rsid w:val="001950FA"/>
    <w:rsid w:val="00195164"/>
    <w:rsid w:val="00195384"/>
    <w:rsid w:val="0019585C"/>
    <w:rsid w:val="00195AC9"/>
    <w:rsid w:val="001962A4"/>
    <w:rsid w:val="0019692B"/>
    <w:rsid w:val="00196B09"/>
    <w:rsid w:val="00196B1B"/>
    <w:rsid w:val="00196D93"/>
    <w:rsid w:val="00196DE7"/>
    <w:rsid w:val="00196F54"/>
    <w:rsid w:val="00197131"/>
    <w:rsid w:val="00197144"/>
    <w:rsid w:val="00197152"/>
    <w:rsid w:val="0019720A"/>
    <w:rsid w:val="00197218"/>
    <w:rsid w:val="00197801"/>
    <w:rsid w:val="00197B9B"/>
    <w:rsid w:val="00197BC4"/>
    <w:rsid w:val="00197E81"/>
    <w:rsid w:val="001A0603"/>
    <w:rsid w:val="001A06AE"/>
    <w:rsid w:val="001A086E"/>
    <w:rsid w:val="001A0A72"/>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612"/>
    <w:rsid w:val="001A4931"/>
    <w:rsid w:val="001A4B64"/>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43"/>
    <w:rsid w:val="001A6940"/>
    <w:rsid w:val="001A6967"/>
    <w:rsid w:val="001A696D"/>
    <w:rsid w:val="001A6AC0"/>
    <w:rsid w:val="001A6BD2"/>
    <w:rsid w:val="001A71B4"/>
    <w:rsid w:val="001A739E"/>
    <w:rsid w:val="001A7592"/>
    <w:rsid w:val="001A796B"/>
    <w:rsid w:val="001A7A18"/>
    <w:rsid w:val="001A7CF6"/>
    <w:rsid w:val="001B0259"/>
    <w:rsid w:val="001B03E3"/>
    <w:rsid w:val="001B074B"/>
    <w:rsid w:val="001B07B1"/>
    <w:rsid w:val="001B0839"/>
    <w:rsid w:val="001B0956"/>
    <w:rsid w:val="001B09C1"/>
    <w:rsid w:val="001B0A2F"/>
    <w:rsid w:val="001B0DDB"/>
    <w:rsid w:val="001B1110"/>
    <w:rsid w:val="001B1458"/>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59B"/>
    <w:rsid w:val="001B37E6"/>
    <w:rsid w:val="001B3831"/>
    <w:rsid w:val="001B39CA"/>
    <w:rsid w:val="001B3A42"/>
    <w:rsid w:val="001B3BD1"/>
    <w:rsid w:val="001B41B9"/>
    <w:rsid w:val="001B42E2"/>
    <w:rsid w:val="001B510A"/>
    <w:rsid w:val="001B5123"/>
    <w:rsid w:val="001B53AE"/>
    <w:rsid w:val="001B567E"/>
    <w:rsid w:val="001B56B3"/>
    <w:rsid w:val="001B56BF"/>
    <w:rsid w:val="001B5AFC"/>
    <w:rsid w:val="001B5D9C"/>
    <w:rsid w:val="001B5EE0"/>
    <w:rsid w:val="001B616E"/>
    <w:rsid w:val="001B6216"/>
    <w:rsid w:val="001B648A"/>
    <w:rsid w:val="001B64D5"/>
    <w:rsid w:val="001B64F0"/>
    <w:rsid w:val="001B6B39"/>
    <w:rsid w:val="001B6B94"/>
    <w:rsid w:val="001B6BD8"/>
    <w:rsid w:val="001B6C24"/>
    <w:rsid w:val="001B6E46"/>
    <w:rsid w:val="001B74CC"/>
    <w:rsid w:val="001B7602"/>
    <w:rsid w:val="001B7735"/>
    <w:rsid w:val="001B7BC2"/>
    <w:rsid w:val="001B7BC3"/>
    <w:rsid w:val="001B7BC7"/>
    <w:rsid w:val="001B7C58"/>
    <w:rsid w:val="001B7D7D"/>
    <w:rsid w:val="001C01A7"/>
    <w:rsid w:val="001C01C4"/>
    <w:rsid w:val="001C01D2"/>
    <w:rsid w:val="001C02C2"/>
    <w:rsid w:val="001C063F"/>
    <w:rsid w:val="001C0A57"/>
    <w:rsid w:val="001C0B3A"/>
    <w:rsid w:val="001C0EF8"/>
    <w:rsid w:val="001C101E"/>
    <w:rsid w:val="001C151B"/>
    <w:rsid w:val="001C195B"/>
    <w:rsid w:val="001C1BB6"/>
    <w:rsid w:val="001C1E3B"/>
    <w:rsid w:val="001C2356"/>
    <w:rsid w:val="001C257D"/>
    <w:rsid w:val="001C287F"/>
    <w:rsid w:val="001C29A6"/>
    <w:rsid w:val="001C2A67"/>
    <w:rsid w:val="001C2B4B"/>
    <w:rsid w:val="001C300C"/>
    <w:rsid w:val="001C341E"/>
    <w:rsid w:val="001C3490"/>
    <w:rsid w:val="001C3631"/>
    <w:rsid w:val="001C36DD"/>
    <w:rsid w:val="001C36FD"/>
    <w:rsid w:val="001C3BFE"/>
    <w:rsid w:val="001C3D76"/>
    <w:rsid w:val="001C40C1"/>
    <w:rsid w:val="001C415D"/>
    <w:rsid w:val="001C421A"/>
    <w:rsid w:val="001C45F7"/>
    <w:rsid w:val="001C47C0"/>
    <w:rsid w:val="001C4A52"/>
    <w:rsid w:val="001C4A58"/>
    <w:rsid w:val="001C4A63"/>
    <w:rsid w:val="001C4D2C"/>
    <w:rsid w:val="001C545E"/>
    <w:rsid w:val="001C5663"/>
    <w:rsid w:val="001C5B4E"/>
    <w:rsid w:val="001C5B5D"/>
    <w:rsid w:val="001C5E18"/>
    <w:rsid w:val="001C6485"/>
    <w:rsid w:val="001C6498"/>
    <w:rsid w:val="001C664D"/>
    <w:rsid w:val="001C6BFA"/>
    <w:rsid w:val="001C6DE3"/>
    <w:rsid w:val="001C6F9C"/>
    <w:rsid w:val="001C6FEF"/>
    <w:rsid w:val="001C7036"/>
    <w:rsid w:val="001C71A4"/>
    <w:rsid w:val="001C75F3"/>
    <w:rsid w:val="001C7721"/>
    <w:rsid w:val="001C78F8"/>
    <w:rsid w:val="001C7D75"/>
    <w:rsid w:val="001D010B"/>
    <w:rsid w:val="001D0148"/>
    <w:rsid w:val="001D0505"/>
    <w:rsid w:val="001D06BE"/>
    <w:rsid w:val="001D0D8E"/>
    <w:rsid w:val="001D0EB3"/>
    <w:rsid w:val="001D112E"/>
    <w:rsid w:val="001D13AB"/>
    <w:rsid w:val="001D18C1"/>
    <w:rsid w:val="001D1AE7"/>
    <w:rsid w:val="001D1C9F"/>
    <w:rsid w:val="001D2027"/>
    <w:rsid w:val="001D24EA"/>
    <w:rsid w:val="001D25D6"/>
    <w:rsid w:val="001D268B"/>
    <w:rsid w:val="001D2718"/>
    <w:rsid w:val="001D286D"/>
    <w:rsid w:val="001D28A0"/>
    <w:rsid w:val="001D2927"/>
    <w:rsid w:val="001D298A"/>
    <w:rsid w:val="001D2B04"/>
    <w:rsid w:val="001D2E68"/>
    <w:rsid w:val="001D2E9C"/>
    <w:rsid w:val="001D2F53"/>
    <w:rsid w:val="001D31D1"/>
    <w:rsid w:val="001D337B"/>
    <w:rsid w:val="001D33B0"/>
    <w:rsid w:val="001D33F2"/>
    <w:rsid w:val="001D354D"/>
    <w:rsid w:val="001D356B"/>
    <w:rsid w:val="001D36B7"/>
    <w:rsid w:val="001D37F6"/>
    <w:rsid w:val="001D38C0"/>
    <w:rsid w:val="001D3A4D"/>
    <w:rsid w:val="001D3C93"/>
    <w:rsid w:val="001D3D39"/>
    <w:rsid w:val="001D3DF6"/>
    <w:rsid w:val="001D3E97"/>
    <w:rsid w:val="001D3FD0"/>
    <w:rsid w:val="001D4217"/>
    <w:rsid w:val="001D42A1"/>
    <w:rsid w:val="001D44B3"/>
    <w:rsid w:val="001D45C6"/>
    <w:rsid w:val="001D4643"/>
    <w:rsid w:val="001D4723"/>
    <w:rsid w:val="001D4AF3"/>
    <w:rsid w:val="001D4B8E"/>
    <w:rsid w:val="001D4CAB"/>
    <w:rsid w:val="001D4FC2"/>
    <w:rsid w:val="001D4FD7"/>
    <w:rsid w:val="001D52BB"/>
    <w:rsid w:val="001D5510"/>
    <w:rsid w:val="001D5549"/>
    <w:rsid w:val="001D55E9"/>
    <w:rsid w:val="001D583A"/>
    <w:rsid w:val="001D5872"/>
    <w:rsid w:val="001D593D"/>
    <w:rsid w:val="001D5F9D"/>
    <w:rsid w:val="001D612E"/>
    <w:rsid w:val="001D6345"/>
    <w:rsid w:val="001D6524"/>
    <w:rsid w:val="001D65EF"/>
    <w:rsid w:val="001D6890"/>
    <w:rsid w:val="001D6930"/>
    <w:rsid w:val="001D6B45"/>
    <w:rsid w:val="001D6C98"/>
    <w:rsid w:val="001D6E21"/>
    <w:rsid w:val="001D6EB9"/>
    <w:rsid w:val="001D6FD9"/>
    <w:rsid w:val="001D6FF8"/>
    <w:rsid w:val="001D70C0"/>
    <w:rsid w:val="001D70C1"/>
    <w:rsid w:val="001D724F"/>
    <w:rsid w:val="001D7311"/>
    <w:rsid w:val="001D7452"/>
    <w:rsid w:val="001D781E"/>
    <w:rsid w:val="001D78F3"/>
    <w:rsid w:val="001D7914"/>
    <w:rsid w:val="001D7B2D"/>
    <w:rsid w:val="001D7BCE"/>
    <w:rsid w:val="001D7D62"/>
    <w:rsid w:val="001E0045"/>
    <w:rsid w:val="001E0120"/>
    <w:rsid w:val="001E0197"/>
    <w:rsid w:val="001E0376"/>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F32"/>
    <w:rsid w:val="001E20FE"/>
    <w:rsid w:val="001E2142"/>
    <w:rsid w:val="001E21E4"/>
    <w:rsid w:val="001E220E"/>
    <w:rsid w:val="001E2231"/>
    <w:rsid w:val="001E25CC"/>
    <w:rsid w:val="001E29DF"/>
    <w:rsid w:val="001E2BB2"/>
    <w:rsid w:val="001E2C04"/>
    <w:rsid w:val="001E2F68"/>
    <w:rsid w:val="001E3572"/>
    <w:rsid w:val="001E35CF"/>
    <w:rsid w:val="001E3607"/>
    <w:rsid w:val="001E3853"/>
    <w:rsid w:val="001E3C91"/>
    <w:rsid w:val="001E3D10"/>
    <w:rsid w:val="001E3DAA"/>
    <w:rsid w:val="001E3EAF"/>
    <w:rsid w:val="001E3ED1"/>
    <w:rsid w:val="001E3F05"/>
    <w:rsid w:val="001E41DE"/>
    <w:rsid w:val="001E43E3"/>
    <w:rsid w:val="001E4549"/>
    <w:rsid w:val="001E46F9"/>
    <w:rsid w:val="001E4705"/>
    <w:rsid w:val="001E4A18"/>
    <w:rsid w:val="001E4AC2"/>
    <w:rsid w:val="001E4E14"/>
    <w:rsid w:val="001E4F18"/>
    <w:rsid w:val="001E4F2E"/>
    <w:rsid w:val="001E52CB"/>
    <w:rsid w:val="001E53DD"/>
    <w:rsid w:val="001E5817"/>
    <w:rsid w:val="001E5D9A"/>
    <w:rsid w:val="001E60B0"/>
    <w:rsid w:val="001E6154"/>
    <w:rsid w:val="001E66D6"/>
    <w:rsid w:val="001E66E9"/>
    <w:rsid w:val="001E6802"/>
    <w:rsid w:val="001E6CA1"/>
    <w:rsid w:val="001E7011"/>
    <w:rsid w:val="001E7479"/>
    <w:rsid w:val="001E7537"/>
    <w:rsid w:val="001E7AE1"/>
    <w:rsid w:val="001E7BD4"/>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489"/>
    <w:rsid w:val="001F24CC"/>
    <w:rsid w:val="001F278E"/>
    <w:rsid w:val="001F2850"/>
    <w:rsid w:val="001F2F6D"/>
    <w:rsid w:val="001F3190"/>
    <w:rsid w:val="001F31FD"/>
    <w:rsid w:val="001F324E"/>
    <w:rsid w:val="001F36D0"/>
    <w:rsid w:val="001F371A"/>
    <w:rsid w:val="001F37E5"/>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1CA"/>
    <w:rsid w:val="001F5342"/>
    <w:rsid w:val="001F5409"/>
    <w:rsid w:val="001F5665"/>
    <w:rsid w:val="001F5705"/>
    <w:rsid w:val="001F5853"/>
    <w:rsid w:val="001F5B77"/>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FF"/>
    <w:rsid w:val="00203029"/>
    <w:rsid w:val="00203CAD"/>
    <w:rsid w:val="00203DFB"/>
    <w:rsid w:val="00203F4B"/>
    <w:rsid w:val="002044EA"/>
    <w:rsid w:val="002046A3"/>
    <w:rsid w:val="002046C9"/>
    <w:rsid w:val="0020490E"/>
    <w:rsid w:val="00204B0E"/>
    <w:rsid w:val="00204C60"/>
    <w:rsid w:val="00204D00"/>
    <w:rsid w:val="0020513C"/>
    <w:rsid w:val="002051D6"/>
    <w:rsid w:val="0020570E"/>
    <w:rsid w:val="002057A7"/>
    <w:rsid w:val="0020588D"/>
    <w:rsid w:val="00205DF2"/>
    <w:rsid w:val="00205EB6"/>
    <w:rsid w:val="00205F6D"/>
    <w:rsid w:val="002061F3"/>
    <w:rsid w:val="002064FB"/>
    <w:rsid w:val="00206622"/>
    <w:rsid w:val="00206680"/>
    <w:rsid w:val="002066D6"/>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8F9"/>
    <w:rsid w:val="00211AAF"/>
    <w:rsid w:val="00211B91"/>
    <w:rsid w:val="00211FFC"/>
    <w:rsid w:val="002120A0"/>
    <w:rsid w:val="00212134"/>
    <w:rsid w:val="0021220D"/>
    <w:rsid w:val="00212313"/>
    <w:rsid w:val="0021233E"/>
    <w:rsid w:val="00212545"/>
    <w:rsid w:val="0021284F"/>
    <w:rsid w:val="00212BF8"/>
    <w:rsid w:val="00212E37"/>
    <w:rsid w:val="0021302E"/>
    <w:rsid w:val="002134C4"/>
    <w:rsid w:val="0021376E"/>
    <w:rsid w:val="00213F36"/>
    <w:rsid w:val="00214107"/>
    <w:rsid w:val="0021434C"/>
    <w:rsid w:val="002143B2"/>
    <w:rsid w:val="00214926"/>
    <w:rsid w:val="00214DFC"/>
    <w:rsid w:val="00214EA0"/>
    <w:rsid w:val="00215D88"/>
    <w:rsid w:val="00215E61"/>
    <w:rsid w:val="00215E71"/>
    <w:rsid w:val="002162DA"/>
    <w:rsid w:val="0021630F"/>
    <w:rsid w:val="00216359"/>
    <w:rsid w:val="00216405"/>
    <w:rsid w:val="002165E5"/>
    <w:rsid w:val="002167B6"/>
    <w:rsid w:val="00216806"/>
    <w:rsid w:val="00216A43"/>
    <w:rsid w:val="00216DE1"/>
    <w:rsid w:val="0021725E"/>
    <w:rsid w:val="002174D3"/>
    <w:rsid w:val="002177C0"/>
    <w:rsid w:val="002177FB"/>
    <w:rsid w:val="00217821"/>
    <w:rsid w:val="002201D9"/>
    <w:rsid w:val="002203A4"/>
    <w:rsid w:val="002203E4"/>
    <w:rsid w:val="00220513"/>
    <w:rsid w:val="0022081F"/>
    <w:rsid w:val="00220AC6"/>
    <w:rsid w:val="00220CAA"/>
    <w:rsid w:val="00220D06"/>
    <w:rsid w:val="00220DE6"/>
    <w:rsid w:val="00220E00"/>
    <w:rsid w:val="0022104F"/>
    <w:rsid w:val="0022119F"/>
    <w:rsid w:val="002211CA"/>
    <w:rsid w:val="00221206"/>
    <w:rsid w:val="00221323"/>
    <w:rsid w:val="002214C0"/>
    <w:rsid w:val="00221A18"/>
    <w:rsid w:val="00221AF4"/>
    <w:rsid w:val="00221B8A"/>
    <w:rsid w:val="0022205C"/>
    <w:rsid w:val="00222160"/>
    <w:rsid w:val="002228BD"/>
    <w:rsid w:val="00222B5F"/>
    <w:rsid w:val="00222D37"/>
    <w:rsid w:val="00223202"/>
    <w:rsid w:val="002232A2"/>
    <w:rsid w:val="002234F2"/>
    <w:rsid w:val="00223602"/>
    <w:rsid w:val="00223BF0"/>
    <w:rsid w:val="00224131"/>
    <w:rsid w:val="002243A5"/>
    <w:rsid w:val="002248E5"/>
    <w:rsid w:val="00224A8A"/>
    <w:rsid w:val="00224C1E"/>
    <w:rsid w:val="00224EDF"/>
    <w:rsid w:val="002250D0"/>
    <w:rsid w:val="00225137"/>
    <w:rsid w:val="00225239"/>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F5A"/>
    <w:rsid w:val="0022744B"/>
    <w:rsid w:val="002274D1"/>
    <w:rsid w:val="00227B10"/>
    <w:rsid w:val="00227C22"/>
    <w:rsid w:val="00227DF9"/>
    <w:rsid w:val="00227E37"/>
    <w:rsid w:val="00227EE1"/>
    <w:rsid w:val="002301BA"/>
    <w:rsid w:val="0023079A"/>
    <w:rsid w:val="00230C01"/>
    <w:rsid w:val="00230C10"/>
    <w:rsid w:val="00231400"/>
    <w:rsid w:val="002317B9"/>
    <w:rsid w:val="00231AA8"/>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A5A"/>
    <w:rsid w:val="00233E75"/>
    <w:rsid w:val="0023419B"/>
    <w:rsid w:val="00234827"/>
    <w:rsid w:val="00234A04"/>
    <w:rsid w:val="00234B11"/>
    <w:rsid w:val="00235107"/>
    <w:rsid w:val="002352CF"/>
    <w:rsid w:val="00235580"/>
    <w:rsid w:val="00235878"/>
    <w:rsid w:val="00235A28"/>
    <w:rsid w:val="00235B11"/>
    <w:rsid w:val="00235C2B"/>
    <w:rsid w:val="00235C95"/>
    <w:rsid w:val="00235CBF"/>
    <w:rsid w:val="00235D68"/>
    <w:rsid w:val="00235F91"/>
    <w:rsid w:val="002361C3"/>
    <w:rsid w:val="002361F8"/>
    <w:rsid w:val="00236293"/>
    <w:rsid w:val="00236438"/>
    <w:rsid w:val="0023657F"/>
    <w:rsid w:val="002369B7"/>
    <w:rsid w:val="00236E1E"/>
    <w:rsid w:val="00237BC1"/>
    <w:rsid w:val="00240391"/>
    <w:rsid w:val="00240535"/>
    <w:rsid w:val="00240622"/>
    <w:rsid w:val="002408E5"/>
    <w:rsid w:val="002409E5"/>
    <w:rsid w:val="002411ED"/>
    <w:rsid w:val="002413AF"/>
    <w:rsid w:val="00241518"/>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23B"/>
    <w:rsid w:val="00244590"/>
    <w:rsid w:val="00244654"/>
    <w:rsid w:val="002448F5"/>
    <w:rsid w:val="00244A24"/>
    <w:rsid w:val="00244A6A"/>
    <w:rsid w:val="00244CB8"/>
    <w:rsid w:val="00244D56"/>
    <w:rsid w:val="00244E63"/>
    <w:rsid w:val="00244E86"/>
    <w:rsid w:val="00245035"/>
    <w:rsid w:val="0024536F"/>
    <w:rsid w:val="002456D0"/>
    <w:rsid w:val="00245980"/>
    <w:rsid w:val="00245E1D"/>
    <w:rsid w:val="00245EB1"/>
    <w:rsid w:val="00246175"/>
    <w:rsid w:val="00246333"/>
    <w:rsid w:val="002466A8"/>
    <w:rsid w:val="00246749"/>
    <w:rsid w:val="002467A7"/>
    <w:rsid w:val="00246A4B"/>
    <w:rsid w:val="00246B7A"/>
    <w:rsid w:val="00247115"/>
    <w:rsid w:val="00247233"/>
    <w:rsid w:val="0024727D"/>
    <w:rsid w:val="002472D6"/>
    <w:rsid w:val="0024741A"/>
    <w:rsid w:val="00247918"/>
    <w:rsid w:val="00247977"/>
    <w:rsid w:val="002502A3"/>
    <w:rsid w:val="00250427"/>
    <w:rsid w:val="002504A7"/>
    <w:rsid w:val="002506F2"/>
    <w:rsid w:val="002506F5"/>
    <w:rsid w:val="0025097C"/>
    <w:rsid w:val="00250CB3"/>
    <w:rsid w:val="00250E71"/>
    <w:rsid w:val="002511BE"/>
    <w:rsid w:val="002511F2"/>
    <w:rsid w:val="00251212"/>
    <w:rsid w:val="00251240"/>
    <w:rsid w:val="0025144C"/>
    <w:rsid w:val="00251561"/>
    <w:rsid w:val="002516D0"/>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F4"/>
    <w:rsid w:val="0025368D"/>
    <w:rsid w:val="00253A70"/>
    <w:rsid w:val="00254211"/>
    <w:rsid w:val="00254614"/>
    <w:rsid w:val="002546D4"/>
    <w:rsid w:val="00254730"/>
    <w:rsid w:val="00254857"/>
    <w:rsid w:val="0025485C"/>
    <w:rsid w:val="00254F70"/>
    <w:rsid w:val="002550E1"/>
    <w:rsid w:val="002555DB"/>
    <w:rsid w:val="002558EC"/>
    <w:rsid w:val="00255C09"/>
    <w:rsid w:val="00255F5E"/>
    <w:rsid w:val="00255FE9"/>
    <w:rsid w:val="00256158"/>
    <w:rsid w:val="00256180"/>
    <w:rsid w:val="002562B9"/>
    <w:rsid w:val="00256864"/>
    <w:rsid w:val="002568F6"/>
    <w:rsid w:val="00256C58"/>
    <w:rsid w:val="00256CC7"/>
    <w:rsid w:val="002572A3"/>
    <w:rsid w:val="002577B3"/>
    <w:rsid w:val="00257926"/>
    <w:rsid w:val="00257B63"/>
    <w:rsid w:val="00257DC5"/>
    <w:rsid w:val="002602C9"/>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AF8"/>
    <w:rsid w:val="00262D56"/>
    <w:rsid w:val="00262FFB"/>
    <w:rsid w:val="002632A1"/>
    <w:rsid w:val="00263581"/>
    <w:rsid w:val="00263D09"/>
    <w:rsid w:val="00263E25"/>
    <w:rsid w:val="00264105"/>
    <w:rsid w:val="00264425"/>
    <w:rsid w:val="00264708"/>
    <w:rsid w:val="00264897"/>
    <w:rsid w:val="00264955"/>
    <w:rsid w:val="002651FD"/>
    <w:rsid w:val="00265375"/>
    <w:rsid w:val="00265726"/>
    <w:rsid w:val="002658C0"/>
    <w:rsid w:val="002658CA"/>
    <w:rsid w:val="0026593A"/>
    <w:rsid w:val="00265AEC"/>
    <w:rsid w:val="00265D04"/>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F35"/>
    <w:rsid w:val="00270074"/>
    <w:rsid w:val="002703A3"/>
    <w:rsid w:val="002704AF"/>
    <w:rsid w:val="002706D5"/>
    <w:rsid w:val="002707FE"/>
    <w:rsid w:val="00270CE6"/>
    <w:rsid w:val="00270DC5"/>
    <w:rsid w:val="00270F6C"/>
    <w:rsid w:val="0027115B"/>
    <w:rsid w:val="0027119D"/>
    <w:rsid w:val="00271263"/>
    <w:rsid w:val="00271598"/>
    <w:rsid w:val="002715F5"/>
    <w:rsid w:val="002717AE"/>
    <w:rsid w:val="002717BC"/>
    <w:rsid w:val="00271BED"/>
    <w:rsid w:val="00271BFF"/>
    <w:rsid w:val="00271DD2"/>
    <w:rsid w:val="00272550"/>
    <w:rsid w:val="00272789"/>
    <w:rsid w:val="00272870"/>
    <w:rsid w:val="00272BC4"/>
    <w:rsid w:val="00272D6B"/>
    <w:rsid w:val="00272F2C"/>
    <w:rsid w:val="00273064"/>
    <w:rsid w:val="0027344A"/>
    <w:rsid w:val="0027345F"/>
    <w:rsid w:val="002736C4"/>
    <w:rsid w:val="00273909"/>
    <w:rsid w:val="00273ABE"/>
    <w:rsid w:val="00273C10"/>
    <w:rsid w:val="002745FF"/>
    <w:rsid w:val="00274778"/>
    <w:rsid w:val="002747DE"/>
    <w:rsid w:val="00274830"/>
    <w:rsid w:val="00274F42"/>
    <w:rsid w:val="002753D4"/>
    <w:rsid w:val="0027585A"/>
    <w:rsid w:val="00275905"/>
    <w:rsid w:val="00275AE5"/>
    <w:rsid w:val="00275C84"/>
    <w:rsid w:val="00276006"/>
    <w:rsid w:val="00276414"/>
    <w:rsid w:val="00276481"/>
    <w:rsid w:val="00276542"/>
    <w:rsid w:val="00276678"/>
    <w:rsid w:val="00276727"/>
    <w:rsid w:val="0027672D"/>
    <w:rsid w:val="00276C3F"/>
    <w:rsid w:val="00276E49"/>
    <w:rsid w:val="00276E69"/>
    <w:rsid w:val="00276EDF"/>
    <w:rsid w:val="002771E1"/>
    <w:rsid w:val="00277929"/>
    <w:rsid w:val="00277989"/>
    <w:rsid w:val="00277AAC"/>
    <w:rsid w:val="00277C95"/>
    <w:rsid w:val="00277D21"/>
    <w:rsid w:val="00277EDC"/>
    <w:rsid w:val="00280144"/>
    <w:rsid w:val="0028042D"/>
    <w:rsid w:val="00280469"/>
    <w:rsid w:val="00280624"/>
    <w:rsid w:val="00280878"/>
    <w:rsid w:val="0028112B"/>
    <w:rsid w:val="002811A7"/>
    <w:rsid w:val="002812C1"/>
    <w:rsid w:val="002815CE"/>
    <w:rsid w:val="002816CE"/>
    <w:rsid w:val="002818D2"/>
    <w:rsid w:val="00281A02"/>
    <w:rsid w:val="00281D3B"/>
    <w:rsid w:val="00281D47"/>
    <w:rsid w:val="00281FAB"/>
    <w:rsid w:val="00281FE0"/>
    <w:rsid w:val="00282116"/>
    <w:rsid w:val="0028226C"/>
    <w:rsid w:val="002823A7"/>
    <w:rsid w:val="00282825"/>
    <w:rsid w:val="002828A5"/>
    <w:rsid w:val="002829F5"/>
    <w:rsid w:val="00282A88"/>
    <w:rsid w:val="00282D0D"/>
    <w:rsid w:val="00282E39"/>
    <w:rsid w:val="002832D4"/>
    <w:rsid w:val="002833F6"/>
    <w:rsid w:val="002837F4"/>
    <w:rsid w:val="00283ABD"/>
    <w:rsid w:val="00283B8E"/>
    <w:rsid w:val="00283E95"/>
    <w:rsid w:val="00284166"/>
    <w:rsid w:val="002846B9"/>
    <w:rsid w:val="002846D3"/>
    <w:rsid w:val="00284923"/>
    <w:rsid w:val="002849C7"/>
    <w:rsid w:val="00284AC1"/>
    <w:rsid w:val="00284D71"/>
    <w:rsid w:val="00284E95"/>
    <w:rsid w:val="00285240"/>
    <w:rsid w:val="002857A8"/>
    <w:rsid w:val="00285AC6"/>
    <w:rsid w:val="00285E0B"/>
    <w:rsid w:val="00285EFC"/>
    <w:rsid w:val="0028639E"/>
    <w:rsid w:val="002863CB"/>
    <w:rsid w:val="0028683C"/>
    <w:rsid w:val="002868C9"/>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2D0"/>
    <w:rsid w:val="0029130D"/>
    <w:rsid w:val="00291379"/>
    <w:rsid w:val="0029150B"/>
    <w:rsid w:val="00291A96"/>
    <w:rsid w:val="00291D6C"/>
    <w:rsid w:val="00291F1E"/>
    <w:rsid w:val="0029215E"/>
    <w:rsid w:val="00292347"/>
    <w:rsid w:val="00292480"/>
    <w:rsid w:val="00292805"/>
    <w:rsid w:val="002929CF"/>
    <w:rsid w:val="00292C41"/>
    <w:rsid w:val="00292DFF"/>
    <w:rsid w:val="00293A68"/>
    <w:rsid w:val="00293AFB"/>
    <w:rsid w:val="00294387"/>
    <w:rsid w:val="00294518"/>
    <w:rsid w:val="00294640"/>
    <w:rsid w:val="002947AB"/>
    <w:rsid w:val="00294C5A"/>
    <w:rsid w:val="00294E59"/>
    <w:rsid w:val="00294F04"/>
    <w:rsid w:val="00294F72"/>
    <w:rsid w:val="00295545"/>
    <w:rsid w:val="0029568A"/>
    <w:rsid w:val="002959A6"/>
    <w:rsid w:val="00295B25"/>
    <w:rsid w:val="00295D1D"/>
    <w:rsid w:val="0029643D"/>
    <w:rsid w:val="00297172"/>
    <w:rsid w:val="0029734A"/>
    <w:rsid w:val="002A0006"/>
    <w:rsid w:val="002A0195"/>
    <w:rsid w:val="002A0234"/>
    <w:rsid w:val="002A044E"/>
    <w:rsid w:val="002A0497"/>
    <w:rsid w:val="002A05C9"/>
    <w:rsid w:val="002A0AFD"/>
    <w:rsid w:val="002A0D7C"/>
    <w:rsid w:val="002A0E43"/>
    <w:rsid w:val="002A0F3F"/>
    <w:rsid w:val="002A1387"/>
    <w:rsid w:val="002A154B"/>
    <w:rsid w:val="002A156C"/>
    <w:rsid w:val="002A1FF6"/>
    <w:rsid w:val="002A200A"/>
    <w:rsid w:val="002A225D"/>
    <w:rsid w:val="002A23F2"/>
    <w:rsid w:val="002A2420"/>
    <w:rsid w:val="002A25D2"/>
    <w:rsid w:val="002A28F1"/>
    <w:rsid w:val="002A293A"/>
    <w:rsid w:val="002A2B74"/>
    <w:rsid w:val="002A2DEA"/>
    <w:rsid w:val="002A2F2C"/>
    <w:rsid w:val="002A30C8"/>
    <w:rsid w:val="002A3115"/>
    <w:rsid w:val="002A311D"/>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08"/>
    <w:rsid w:val="002A4BB4"/>
    <w:rsid w:val="002A4C82"/>
    <w:rsid w:val="002A4ED7"/>
    <w:rsid w:val="002A4EFD"/>
    <w:rsid w:val="002A5948"/>
    <w:rsid w:val="002A5DFF"/>
    <w:rsid w:val="002A6570"/>
    <w:rsid w:val="002A676A"/>
    <w:rsid w:val="002A689F"/>
    <w:rsid w:val="002A69E0"/>
    <w:rsid w:val="002A69F0"/>
    <w:rsid w:val="002A6BE3"/>
    <w:rsid w:val="002A7037"/>
    <w:rsid w:val="002A726D"/>
    <w:rsid w:val="002A748B"/>
    <w:rsid w:val="002A75C5"/>
    <w:rsid w:val="002A769B"/>
    <w:rsid w:val="002A7E76"/>
    <w:rsid w:val="002A7FF4"/>
    <w:rsid w:val="002B00FA"/>
    <w:rsid w:val="002B0189"/>
    <w:rsid w:val="002B01CA"/>
    <w:rsid w:val="002B04E0"/>
    <w:rsid w:val="002B0916"/>
    <w:rsid w:val="002B0D15"/>
    <w:rsid w:val="002B0D4B"/>
    <w:rsid w:val="002B1202"/>
    <w:rsid w:val="002B126E"/>
    <w:rsid w:val="002B1431"/>
    <w:rsid w:val="002B16EF"/>
    <w:rsid w:val="002B176A"/>
    <w:rsid w:val="002B1B1E"/>
    <w:rsid w:val="002B1BC6"/>
    <w:rsid w:val="002B1F99"/>
    <w:rsid w:val="002B2469"/>
    <w:rsid w:val="002B2785"/>
    <w:rsid w:val="002B2C33"/>
    <w:rsid w:val="002B2EDD"/>
    <w:rsid w:val="002B31B4"/>
    <w:rsid w:val="002B34CE"/>
    <w:rsid w:val="002B34EE"/>
    <w:rsid w:val="002B3620"/>
    <w:rsid w:val="002B3675"/>
    <w:rsid w:val="002B37CB"/>
    <w:rsid w:val="002B3879"/>
    <w:rsid w:val="002B38CF"/>
    <w:rsid w:val="002B3933"/>
    <w:rsid w:val="002B3CD7"/>
    <w:rsid w:val="002B3E26"/>
    <w:rsid w:val="002B3EA9"/>
    <w:rsid w:val="002B3EEE"/>
    <w:rsid w:val="002B3F0F"/>
    <w:rsid w:val="002B3F7E"/>
    <w:rsid w:val="002B401E"/>
    <w:rsid w:val="002B4144"/>
    <w:rsid w:val="002B424B"/>
    <w:rsid w:val="002B4580"/>
    <w:rsid w:val="002B46C7"/>
    <w:rsid w:val="002B4AAF"/>
    <w:rsid w:val="002B4AFB"/>
    <w:rsid w:val="002B4B62"/>
    <w:rsid w:val="002B4D8F"/>
    <w:rsid w:val="002B4DAF"/>
    <w:rsid w:val="002B4EA2"/>
    <w:rsid w:val="002B4FCD"/>
    <w:rsid w:val="002B5065"/>
    <w:rsid w:val="002B514D"/>
    <w:rsid w:val="002B53E0"/>
    <w:rsid w:val="002B5A4F"/>
    <w:rsid w:val="002B5ED7"/>
    <w:rsid w:val="002B5F2A"/>
    <w:rsid w:val="002B5F69"/>
    <w:rsid w:val="002B61C7"/>
    <w:rsid w:val="002B6312"/>
    <w:rsid w:val="002B67AD"/>
    <w:rsid w:val="002B67B0"/>
    <w:rsid w:val="002B6800"/>
    <w:rsid w:val="002B681F"/>
    <w:rsid w:val="002B6975"/>
    <w:rsid w:val="002B6FB3"/>
    <w:rsid w:val="002B7031"/>
    <w:rsid w:val="002B71E3"/>
    <w:rsid w:val="002B737F"/>
    <w:rsid w:val="002B7683"/>
    <w:rsid w:val="002B7A67"/>
    <w:rsid w:val="002B7EC5"/>
    <w:rsid w:val="002B7EEE"/>
    <w:rsid w:val="002C0010"/>
    <w:rsid w:val="002C0108"/>
    <w:rsid w:val="002C0497"/>
    <w:rsid w:val="002C0C9F"/>
    <w:rsid w:val="002C0E9C"/>
    <w:rsid w:val="002C0F98"/>
    <w:rsid w:val="002C1433"/>
    <w:rsid w:val="002C15BE"/>
    <w:rsid w:val="002C1701"/>
    <w:rsid w:val="002C1733"/>
    <w:rsid w:val="002C1BEF"/>
    <w:rsid w:val="002C1C9D"/>
    <w:rsid w:val="002C214F"/>
    <w:rsid w:val="002C2936"/>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4DA6"/>
    <w:rsid w:val="002C505C"/>
    <w:rsid w:val="002C5295"/>
    <w:rsid w:val="002C5485"/>
    <w:rsid w:val="002C566C"/>
    <w:rsid w:val="002C56A2"/>
    <w:rsid w:val="002C5D84"/>
    <w:rsid w:val="002C606C"/>
    <w:rsid w:val="002C6096"/>
    <w:rsid w:val="002C63D1"/>
    <w:rsid w:val="002C6436"/>
    <w:rsid w:val="002C6488"/>
    <w:rsid w:val="002C64AA"/>
    <w:rsid w:val="002C6548"/>
    <w:rsid w:val="002C6787"/>
    <w:rsid w:val="002C69FD"/>
    <w:rsid w:val="002C6B8B"/>
    <w:rsid w:val="002C6DFE"/>
    <w:rsid w:val="002C72C0"/>
    <w:rsid w:val="002C75D6"/>
    <w:rsid w:val="002C768D"/>
    <w:rsid w:val="002C76E8"/>
    <w:rsid w:val="002C7FCC"/>
    <w:rsid w:val="002D050B"/>
    <w:rsid w:val="002D0512"/>
    <w:rsid w:val="002D0BD6"/>
    <w:rsid w:val="002D117F"/>
    <w:rsid w:val="002D130F"/>
    <w:rsid w:val="002D1378"/>
    <w:rsid w:val="002D13E0"/>
    <w:rsid w:val="002D14E2"/>
    <w:rsid w:val="002D1582"/>
    <w:rsid w:val="002D1608"/>
    <w:rsid w:val="002D1984"/>
    <w:rsid w:val="002D1A17"/>
    <w:rsid w:val="002D2034"/>
    <w:rsid w:val="002D2105"/>
    <w:rsid w:val="002D266D"/>
    <w:rsid w:val="002D283F"/>
    <w:rsid w:val="002D2906"/>
    <w:rsid w:val="002D2AA8"/>
    <w:rsid w:val="002D2E37"/>
    <w:rsid w:val="002D2EE0"/>
    <w:rsid w:val="002D333C"/>
    <w:rsid w:val="002D3514"/>
    <w:rsid w:val="002D3525"/>
    <w:rsid w:val="002D3658"/>
    <w:rsid w:val="002D36E0"/>
    <w:rsid w:val="002D4039"/>
    <w:rsid w:val="002D42B7"/>
    <w:rsid w:val="002D459C"/>
    <w:rsid w:val="002D4601"/>
    <w:rsid w:val="002D46D4"/>
    <w:rsid w:val="002D5227"/>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2042"/>
    <w:rsid w:val="002E2349"/>
    <w:rsid w:val="002E2491"/>
    <w:rsid w:val="002E27D8"/>
    <w:rsid w:val="002E2EEA"/>
    <w:rsid w:val="002E3021"/>
    <w:rsid w:val="002E3070"/>
    <w:rsid w:val="002E308E"/>
    <w:rsid w:val="002E32E4"/>
    <w:rsid w:val="002E3506"/>
    <w:rsid w:val="002E368F"/>
    <w:rsid w:val="002E37D0"/>
    <w:rsid w:val="002E37DE"/>
    <w:rsid w:val="002E38E0"/>
    <w:rsid w:val="002E3947"/>
    <w:rsid w:val="002E3BA9"/>
    <w:rsid w:val="002E4075"/>
    <w:rsid w:val="002E42CE"/>
    <w:rsid w:val="002E42F9"/>
    <w:rsid w:val="002E431C"/>
    <w:rsid w:val="002E4CBE"/>
    <w:rsid w:val="002E4D21"/>
    <w:rsid w:val="002E4EBA"/>
    <w:rsid w:val="002E4FC2"/>
    <w:rsid w:val="002E50BC"/>
    <w:rsid w:val="002E5C2E"/>
    <w:rsid w:val="002E5F88"/>
    <w:rsid w:val="002E60B1"/>
    <w:rsid w:val="002E655B"/>
    <w:rsid w:val="002E6617"/>
    <w:rsid w:val="002E6982"/>
    <w:rsid w:val="002E69A5"/>
    <w:rsid w:val="002E6AB8"/>
    <w:rsid w:val="002E6C26"/>
    <w:rsid w:val="002E6E9A"/>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3"/>
    <w:rsid w:val="002F070A"/>
    <w:rsid w:val="002F0E6B"/>
    <w:rsid w:val="002F0F81"/>
    <w:rsid w:val="002F0F94"/>
    <w:rsid w:val="002F1277"/>
    <w:rsid w:val="002F128D"/>
    <w:rsid w:val="002F12DC"/>
    <w:rsid w:val="002F172E"/>
    <w:rsid w:val="002F1938"/>
    <w:rsid w:val="002F1AF5"/>
    <w:rsid w:val="002F1C1D"/>
    <w:rsid w:val="002F1C95"/>
    <w:rsid w:val="002F1D89"/>
    <w:rsid w:val="002F1E57"/>
    <w:rsid w:val="002F1E98"/>
    <w:rsid w:val="002F214B"/>
    <w:rsid w:val="002F22A1"/>
    <w:rsid w:val="002F23A6"/>
    <w:rsid w:val="002F27A5"/>
    <w:rsid w:val="002F29C9"/>
    <w:rsid w:val="002F2A14"/>
    <w:rsid w:val="002F2A68"/>
    <w:rsid w:val="002F2A95"/>
    <w:rsid w:val="002F2D46"/>
    <w:rsid w:val="002F2DC8"/>
    <w:rsid w:val="002F339B"/>
    <w:rsid w:val="002F35BF"/>
    <w:rsid w:val="002F3657"/>
    <w:rsid w:val="002F3C2F"/>
    <w:rsid w:val="002F3C63"/>
    <w:rsid w:val="002F3E09"/>
    <w:rsid w:val="002F3FDB"/>
    <w:rsid w:val="002F401E"/>
    <w:rsid w:val="002F4139"/>
    <w:rsid w:val="002F4172"/>
    <w:rsid w:val="002F4247"/>
    <w:rsid w:val="002F43E7"/>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22A"/>
    <w:rsid w:val="002F62A1"/>
    <w:rsid w:val="002F62BA"/>
    <w:rsid w:val="002F661C"/>
    <w:rsid w:val="002F6A4C"/>
    <w:rsid w:val="002F6A99"/>
    <w:rsid w:val="002F6C2E"/>
    <w:rsid w:val="002F6D46"/>
    <w:rsid w:val="002F6FDD"/>
    <w:rsid w:val="002F7260"/>
    <w:rsid w:val="002F72A8"/>
    <w:rsid w:val="002F7EB1"/>
    <w:rsid w:val="002F7FA6"/>
    <w:rsid w:val="00300290"/>
    <w:rsid w:val="0030052B"/>
    <w:rsid w:val="00300B2C"/>
    <w:rsid w:val="00300D36"/>
    <w:rsid w:val="00300E6C"/>
    <w:rsid w:val="003011E1"/>
    <w:rsid w:val="003012FB"/>
    <w:rsid w:val="003013B3"/>
    <w:rsid w:val="00301614"/>
    <w:rsid w:val="00301EA8"/>
    <w:rsid w:val="00301EF5"/>
    <w:rsid w:val="00301F3C"/>
    <w:rsid w:val="00301F9D"/>
    <w:rsid w:val="003023A5"/>
    <w:rsid w:val="0030252F"/>
    <w:rsid w:val="00302695"/>
    <w:rsid w:val="00302837"/>
    <w:rsid w:val="00302C13"/>
    <w:rsid w:val="00302EC0"/>
    <w:rsid w:val="00303060"/>
    <w:rsid w:val="003030A3"/>
    <w:rsid w:val="003032AC"/>
    <w:rsid w:val="00303628"/>
    <w:rsid w:val="00303744"/>
    <w:rsid w:val="00303901"/>
    <w:rsid w:val="0030394A"/>
    <w:rsid w:val="00303DDE"/>
    <w:rsid w:val="00303F6C"/>
    <w:rsid w:val="0030400A"/>
    <w:rsid w:val="00304419"/>
    <w:rsid w:val="0030458E"/>
    <w:rsid w:val="003045F9"/>
    <w:rsid w:val="003048E7"/>
    <w:rsid w:val="00304991"/>
    <w:rsid w:val="00304CB1"/>
    <w:rsid w:val="003052BD"/>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CC4"/>
    <w:rsid w:val="00306DA0"/>
    <w:rsid w:val="00306EFA"/>
    <w:rsid w:val="003071C9"/>
    <w:rsid w:val="003074D9"/>
    <w:rsid w:val="0030780C"/>
    <w:rsid w:val="00307846"/>
    <w:rsid w:val="00307B57"/>
    <w:rsid w:val="00307DC2"/>
    <w:rsid w:val="00310123"/>
    <w:rsid w:val="00310887"/>
    <w:rsid w:val="00310957"/>
    <w:rsid w:val="00310AF7"/>
    <w:rsid w:val="00310B5A"/>
    <w:rsid w:val="00310F19"/>
    <w:rsid w:val="003118C7"/>
    <w:rsid w:val="003118CB"/>
    <w:rsid w:val="00311B49"/>
    <w:rsid w:val="00311DAB"/>
    <w:rsid w:val="00312194"/>
    <w:rsid w:val="00312236"/>
    <w:rsid w:val="00312884"/>
    <w:rsid w:val="003129B2"/>
    <w:rsid w:val="00312CCE"/>
    <w:rsid w:val="00312F16"/>
    <w:rsid w:val="0031302C"/>
    <w:rsid w:val="00313312"/>
    <w:rsid w:val="00313415"/>
    <w:rsid w:val="0031365C"/>
    <w:rsid w:val="0031397F"/>
    <w:rsid w:val="00313CA3"/>
    <w:rsid w:val="00313CFB"/>
    <w:rsid w:val="003141EC"/>
    <w:rsid w:val="00314424"/>
    <w:rsid w:val="00314463"/>
    <w:rsid w:val="003145BD"/>
    <w:rsid w:val="00314783"/>
    <w:rsid w:val="003147DD"/>
    <w:rsid w:val="00314A9F"/>
    <w:rsid w:val="00314F7E"/>
    <w:rsid w:val="00315002"/>
    <w:rsid w:val="00315137"/>
    <w:rsid w:val="00315212"/>
    <w:rsid w:val="003153DC"/>
    <w:rsid w:val="003153EC"/>
    <w:rsid w:val="0031541B"/>
    <w:rsid w:val="00315484"/>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2000A"/>
    <w:rsid w:val="0032038F"/>
    <w:rsid w:val="00320569"/>
    <w:rsid w:val="003208E5"/>
    <w:rsid w:val="00320A2E"/>
    <w:rsid w:val="00320F96"/>
    <w:rsid w:val="00321245"/>
    <w:rsid w:val="0032126F"/>
    <w:rsid w:val="00321550"/>
    <w:rsid w:val="00321564"/>
    <w:rsid w:val="003215CD"/>
    <w:rsid w:val="0032160D"/>
    <w:rsid w:val="003216FE"/>
    <w:rsid w:val="00321DEC"/>
    <w:rsid w:val="00322120"/>
    <w:rsid w:val="003221A2"/>
    <w:rsid w:val="00322387"/>
    <w:rsid w:val="0032246F"/>
    <w:rsid w:val="00322519"/>
    <w:rsid w:val="0032272B"/>
    <w:rsid w:val="00322C9E"/>
    <w:rsid w:val="00322F6C"/>
    <w:rsid w:val="0032328C"/>
    <w:rsid w:val="0032355B"/>
    <w:rsid w:val="003236C8"/>
    <w:rsid w:val="003238EF"/>
    <w:rsid w:val="003239F9"/>
    <w:rsid w:val="00323D55"/>
    <w:rsid w:val="00324015"/>
    <w:rsid w:val="0032404A"/>
    <w:rsid w:val="00324075"/>
    <w:rsid w:val="00324199"/>
    <w:rsid w:val="003242DB"/>
    <w:rsid w:val="0032442F"/>
    <w:rsid w:val="00324875"/>
    <w:rsid w:val="00324AEC"/>
    <w:rsid w:val="00324C08"/>
    <w:rsid w:val="00324ED3"/>
    <w:rsid w:val="003254ED"/>
    <w:rsid w:val="00325810"/>
    <w:rsid w:val="00325B91"/>
    <w:rsid w:val="00325DD5"/>
    <w:rsid w:val="00325F65"/>
    <w:rsid w:val="003262AF"/>
    <w:rsid w:val="00326533"/>
    <w:rsid w:val="003265CB"/>
    <w:rsid w:val="003265DF"/>
    <w:rsid w:val="0032676F"/>
    <w:rsid w:val="00326A3D"/>
    <w:rsid w:val="00326DF8"/>
    <w:rsid w:val="00326EF0"/>
    <w:rsid w:val="00327014"/>
    <w:rsid w:val="00327073"/>
    <w:rsid w:val="003279A9"/>
    <w:rsid w:val="00327B0E"/>
    <w:rsid w:val="00327EC5"/>
    <w:rsid w:val="00330140"/>
    <w:rsid w:val="00330630"/>
    <w:rsid w:val="003308B5"/>
    <w:rsid w:val="00330C92"/>
    <w:rsid w:val="00331180"/>
    <w:rsid w:val="0033164F"/>
    <w:rsid w:val="00331AA0"/>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9C"/>
    <w:rsid w:val="003352A4"/>
    <w:rsid w:val="0033565D"/>
    <w:rsid w:val="0033579E"/>
    <w:rsid w:val="00335902"/>
    <w:rsid w:val="00335B23"/>
    <w:rsid w:val="00335B76"/>
    <w:rsid w:val="00335C8D"/>
    <w:rsid w:val="00336074"/>
    <w:rsid w:val="00336281"/>
    <w:rsid w:val="003363AF"/>
    <w:rsid w:val="0033654C"/>
    <w:rsid w:val="00336BBC"/>
    <w:rsid w:val="00336C26"/>
    <w:rsid w:val="00336CC4"/>
    <w:rsid w:val="00336E95"/>
    <w:rsid w:val="0033714D"/>
    <w:rsid w:val="00337311"/>
    <w:rsid w:val="003373F0"/>
    <w:rsid w:val="003374E0"/>
    <w:rsid w:val="0033781F"/>
    <w:rsid w:val="00337A2B"/>
    <w:rsid w:val="00337BBD"/>
    <w:rsid w:val="00337D2D"/>
    <w:rsid w:val="00340013"/>
    <w:rsid w:val="0034081B"/>
    <w:rsid w:val="0034083E"/>
    <w:rsid w:val="00340A50"/>
    <w:rsid w:val="00340FB1"/>
    <w:rsid w:val="00341198"/>
    <w:rsid w:val="00341389"/>
    <w:rsid w:val="0034139A"/>
    <w:rsid w:val="003414AB"/>
    <w:rsid w:val="00341A60"/>
    <w:rsid w:val="00341A94"/>
    <w:rsid w:val="00342071"/>
    <w:rsid w:val="00342351"/>
    <w:rsid w:val="003423F3"/>
    <w:rsid w:val="00342405"/>
    <w:rsid w:val="00342409"/>
    <w:rsid w:val="00342622"/>
    <w:rsid w:val="00342647"/>
    <w:rsid w:val="00342A5E"/>
    <w:rsid w:val="00342C50"/>
    <w:rsid w:val="00342CBC"/>
    <w:rsid w:val="00343017"/>
    <w:rsid w:val="003431C0"/>
    <w:rsid w:val="00343260"/>
    <w:rsid w:val="003434B0"/>
    <w:rsid w:val="00343502"/>
    <w:rsid w:val="00343CDE"/>
    <w:rsid w:val="00343E30"/>
    <w:rsid w:val="00343F51"/>
    <w:rsid w:val="00343FAA"/>
    <w:rsid w:val="00343FFC"/>
    <w:rsid w:val="0034401B"/>
    <w:rsid w:val="00344361"/>
    <w:rsid w:val="00344638"/>
    <w:rsid w:val="00344701"/>
    <w:rsid w:val="0034481D"/>
    <w:rsid w:val="00344960"/>
    <w:rsid w:val="00344C5A"/>
    <w:rsid w:val="00344D4B"/>
    <w:rsid w:val="00344E6F"/>
    <w:rsid w:val="00344EA7"/>
    <w:rsid w:val="0034525D"/>
    <w:rsid w:val="00345542"/>
    <w:rsid w:val="0034583E"/>
    <w:rsid w:val="003459C5"/>
    <w:rsid w:val="00345B3E"/>
    <w:rsid w:val="00345ECE"/>
    <w:rsid w:val="00345F72"/>
    <w:rsid w:val="00345F8D"/>
    <w:rsid w:val="00346067"/>
    <w:rsid w:val="0034640C"/>
    <w:rsid w:val="003465B5"/>
    <w:rsid w:val="0034677F"/>
    <w:rsid w:val="0034689C"/>
    <w:rsid w:val="0034694E"/>
    <w:rsid w:val="00346A60"/>
    <w:rsid w:val="00346FF8"/>
    <w:rsid w:val="0034702A"/>
    <w:rsid w:val="00347376"/>
    <w:rsid w:val="00347469"/>
    <w:rsid w:val="003477EE"/>
    <w:rsid w:val="00347FC8"/>
    <w:rsid w:val="003500EA"/>
    <w:rsid w:val="0035027E"/>
    <w:rsid w:val="003502D8"/>
    <w:rsid w:val="00350313"/>
    <w:rsid w:val="00350907"/>
    <w:rsid w:val="00351287"/>
    <w:rsid w:val="00351345"/>
    <w:rsid w:val="00351D44"/>
    <w:rsid w:val="00352152"/>
    <w:rsid w:val="00352169"/>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43F"/>
    <w:rsid w:val="003546FE"/>
    <w:rsid w:val="00354855"/>
    <w:rsid w:val="00354886"/>
    <w:rsid w:val="0035491F"/>
    <w:rsid w:val="0035492D"/>
    <w:rsid w:val="00354B11"/>
    <w:rsid w:val="00354DAB"/>
    <w:rsid w:val="0035500B"/>
    <w:rsid w:val="00355049"/>
    <w:rsid w:val="0035509B"/>
    <w:rsid w:val="0035551B"/>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3BD"/>
    <w:rsid w:val="00360533"/>
    <w:rsid w:val="0036128C"/>
    <w:rsid w:val="003612FE"/>
    <w:rsid w:val="00361416"/>
    <w:rsid w:val="00361676"/>
    <w:rsid w:val="003618D3"/>
    <w:rsid w:val="00361FDB"/>
    <w:rsid w:val="00362006"/>
    <w:rsid w:val="003620F1"/>
    <w:rsid w:val="003621FA"/>
    <w:rsid w:val="00362575"/>
    <w:rsid w:val="003627B1"/>
    <w:rsid w:val="003628C6"/>
    <w:rsid w:val="0036294C"/>
    <w:rsid w:val="00362A42"/>
    <w:rsid w:val="00362B8C"/>
    <w:rsid w:val="00362D2B"/>
    <w:rsid w:val="00362E2B"/>
    <w:rsid w:val="00363134"/>
    <w:rsid w:val="00363252"/>
    <w:rsid w:val="00363446"/>
    <w:rsid w:val="003634B7"/>
    <w:rsid w:val="0036379F"/>
    <w:rsid w:val="00363EAE"/>
    <w:rsid w:val="00363ED7"/>
    <w:rsid w:val="003642BE"/>
    <w:rsid w:val="00364924"/>
    <w:rsid w:val="0036492F"/>
    <w:rsid w:val="00364E70"/>
    <w:rsid w:val="003650CC"/>
    <w:rsid w:val="00365470"/>
    <w:rsid w:val="00365A5E"/>
    <w:rsid w:val="00365B44"/>
    <w:rsid w:val="00365CB1"/>
    <w:rsid w:val="00365D8D"/>
    <w:rsid w:val="00365E87"/>
    <w:rsid w:val="00365ECA"/>
    <w:rsid w:val="00365FC0"/>
    <w:rsid w:val="00366190"/>
    <w:rsid w:val="00366464"/>
    <w:rsid w:val="00366775"/>
    <w:rsid w:val="00366A13"/>
    <w:rsid w:val="00367292"/>
    <w:rsid w:val="00367440"/>
    <w:rsid w:val="003678AB"/>
    <w:rsid w:val="00367C11"/>
    <w:rsid w:val="00367D46"/>
    <w:rsid w:val="00367D76"/>
    <w:rsid w:val="00367DE0"/>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77E"/>
    <w:rsid w:val="003752F6"/>
    <w:rsid w:val="00375389"/>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4D6"/>
    <w:rsid w:val="00380669"/>
    <w:rsid w:val="0038066C"/>
    <w:rsid w:val="00380B3F"/>
    <w:rsid w:val="00380FA3"/>
    <w:rsid w:val="00381024"/>
    <w:rsid w:val="003812DA"/>
    <w:rsid w:val="0038132A"/>
    <w:rsid w:val="003819E1"/>
    <w:rsid w:val="00381A30"/>
    <w:rsid w:val="0038232D"/>
    <w:rsid w:val="0038277F"/>
    <w:rsid w:val="0038285E"/>
    <w:rsid w:val="00382B7E"/>
    <w:rsid w:val="00382BC4"/>
    <w:rsid w:val="00382C2B"/>
    <w:rsid w:val="00382F4B"/>
    <w:rsid w:val="0038319A"/>
    <w:rsid w:val="00383547"/>
    <w:rsid w:val="0038384F"/>
    <w:rsid w:val="00383A55"/>
    <w:rsid w:val="00383F47"/>
    <w:rsid w:val="0038435D"/>
    <w:rsid w:val="0038450E"/>
    <w:rsid w:val="00384583"/>
    <w:rsid w:val="00384B7F"/>
    <w:rsid w:val="00384C4E"/>
    <w:rsid w:val="00384D92"/>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7264"/>
    <w:rsid w:val="0038729A"/>
    <w:rsid w:val="003875B5"/>
    <w:rsid w:val="003879EC"/>
    <w:rsid w:val="00387BC1"/>
    <w:rsid w:val="00387CD0"/>
    <w:rsid w:val="003900A2"/>
    <w:rsid w:val="00390357"/>
    <w:rsid w:val="00390464"/>
    <w:rsid w:val="00390522"/>
    <w:rsid w:val="003905B0"/>
    <w:rsid w:val="00390AA3"/>
    <w:rsid w:val="00390C6C"/>
    <w:rsid w:val="00390C7B"/>
    <w:rsid w:val="00390D60"/>
    <w:rsid w:val="00390E47"/>
    <w:rsid w:val="003910EA"/>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6C7"/>
    <w:rsid w:val="00393AA6"/>
    <w:rsid w:val="00394111"/>
    <w:rsid w:val="003943DA"/>
    <w:rsid w:val="00394AAB"/>
    <w:rsid w:val="00394ED0"/>
    <w:rsid w:val="00395188"/>
    <w:rsid w:val="003951B6"/>
    <w:rsid w:val="003952DD"/>
    <w:rsid w:val="00395407"/>
    <w:rsid w:val="0039546B"/>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9D5"/>
    <w:rsid w:val="003A0AF8"/>
    <w:rsid w:val="003A0B58"/>
    <w:rsid w:val="003A0B62"/>
    <w:rsid w:val="003A0C10"/>
    <w:rsid w:val="003A0CE3"/>
    <w:rsid w:val="003A0E58"/>
    <w:rsid w:val="003A0E77"/>
    <w:rsid w:val="003A17CA"/>
    <w:rsid w:val="003A17E1"/>
    <w:rsid w:val="003A1FB6"/>
    <w:rsid w:val="003A2050"/>
    <w:rsid w:val="003A2295"/>
    <w:rsid w:val="003A2297"/>
    <w:rsid w:val="003A24DB"/>
    <w:rsid w:val="003A2500"/>
    <w:rsid w:val="003A267C"/>
    <w:rsid w:val="003A27B7"/>
    <w:rsid w:val="003A27B9"/>
    <w:rsid w:val="003A288A"/>
    <w:rsid w:val="003A2DF4"/>
    <w:rsid w:val="003A2E81"/>
    <w:rsid w:val="003A2F10"/>
    <w:rsid w:val="003A310F"/>
    <w:rsid w:val="003A31C5"/>
    <w:rsid w:val="003A34D3"/>
    <w:rsid w:val="003A34D6"/>
    <w:rsid w:val="003A34ED"/>
    <w:rsid w:val="003A35D9"/>
    <w:rsid w:val="003A36C9"/>
    <w:rsid w:val="003A36FF"/>
    <w:rsid w:val="003A3949"/>
    <w:rsid w:val="003A3A10"/>
    <w:rsid w:val="003A3BEA"/>
    <w:rsid w:val="003A3D00"/>
    <w:rsid w:val="003A4205"/>
    <w:rsid w:val="003A4249"/>
    <w:rsid w:val="003A455B"/>
    <w:rsid w:val="003A49FB"/>
    <w:rsid w:val="003A4F92"/>
    <w:rsid w:val="003A4FC7"/>
    <w:rsid w:val="003A50AF"/>
    <w:rsid w:val="003A518A"/>
    <w:rsid w:val="003A51B7"/>
    <w:rsid w:val="003A56BC"/>
    <w:rsid w:val="003A57BA"/>
    <w:rsid w:val="003A586D"/>
    <w:rsid w:val="003A5988"/>
    <w:rsid w:val="003A5AAC"/>
    <w:rsid w:val="003A5B4B"/>
    <w:rsid w:val="003A64B7"/>
    <w:rsid w:val="003A69A3"/>
    <w:rsid w:val="003A6A27"/>
    <w:rsid w:val="003A6B0E"/>
    <w:rsid w:val="003A6FB2"/>
    <w:rsid w:val="003A72BF"/>
    <w:rsid w:val="003A732B"/>
    <w:rsid w:val="003A746F"/>
    <w:rsid w:val="003A747D"/>
    <w:rsid w:val="003A763E"/>
    <w:rsid w:val="003B0122"/>
    <w:rsid w:val="003B017D"/>
    <w:rsid w:val="003B01F5"/>
    <w:rsid w:val="003B05AE"/>
    <w:rsid w:val="003B0968"/>
    <w:rsid w:val="003B0A44"/>
    <w:rsid w:val="003B1152"/>
    <w:rsid w:val="003B123D"/>
    <w:rsid w:val="003B12BD"/>
    <w:rsid w:val="003B1981"/>
    <w:rsid w:val="003B19D8"/>
    <w:rsid w:val="003B1A20"/>
    <w:rsid w:val="003B1B93"/>
    <w:rsid w:val="003B1D0E"/>
    <w:rsid w:val="003B2348"/>
    <w:rsid w:val="003B25C3"/>
    <w:rsid w:val="003B2876"/>
    <w:rsid w:val="003B2900"/>
    <w:rsid w:val="003B291F"/>
    <w:rsid w:val="003B2A91"/>
    <w:rsid w:val="003B2C39"/>
    <w:rsid w:val="003B2C48"/>
    <w:rsid w:val="003B2D18"/>
    <w:rsid w:val="003B3032"/>
    <w:rsid w:val="003B359A"/>
    <w:rsid w:val="003B3707"/>
    <w:rsid w:val="003B3A9B"/>
    <w:rsid w:val="003B3D2B"/>
    <w:rsid w:val="003B3D32"/>
    <w:rsid w:val="003B3DDA"/>
    <w:rsid w:val="003B4053"/>
    <w:rsid w:val="003B4346"/>
    <w:rsid w:val="003B445A"/>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73F"/>
    <w:rsid w:val="003B6C6D"/>
    <w:rsid w:val="003B6CE7"/>
    <w:rsid w:val="003B6DBD"/>
    <w:rsid w:val="003B6EBA"/>
    <w:rsid w:val="003B6EFA"/>
    <w:rsid w:val="003B7016"/>
    <w:rsid w:val="003B7C84"/>
    <w:rsid w:val="003B7CCB"/>
    <w:rsid w:val="003C00C2"/>
    <w:rsid w:val="003C0544"/>
    <w:rsid w:val="003C0602"/>
    <w:rsid w:val="003C06F6"/>
    <w:rsid w:val="003C0846"/>
    <w:rsid w:val="003C0A45"/>
    <w:rsid w:val="003C0C88"/>
    <w:rsid w:val="003C0FD0"/>
    <w:rsid w:val="003C1169"/>
    <w:rsid w:val="003C187C"/>
    <w:rsid w:val="003C1A2C"/>
    <w:rsid w:val="003C1C86"/>
    <w:rsid w:val="003C1CB3"/>
    <w:rsid w:val="003C20C3"/>
    <w:rsid w:val="003C2424"/>
    <w:rsid w:val="003C25DC"/>
    <w:rsid w:val="003C2870"/>
    <w:rsid w:val="003C3130"/>
    <w:rsid w:val="003C3637"/>
    <w:rsid w:val="003C3939"/>
    <w:rsid w:val="003C3977"/>
    <w:rsid w:val="003C3B30"/>
    <w:rsid w:val="003C3BB0"/>
    <w:rsid w:val="003C3C28"/>
    <w:rsid w:val="003C400B"/>
    <w:rsid w:val="003C4145"/>
    <w:rsid w:val="003C42F7"/>
    <w:rsid w:val="003C449E"/>
    <w:rsid w:val="003C459B"/>
    <w:rsid w:val="003C4851"/>
    <w:rsid w:val="003C48CB"/>
    <w:rsid w:val="003C4A00"/>
    <w:rsid w:val="003C4C00"/>
    <w:rsid w:val="003C504C"/>
    <w:rsid w:val="003C50EC"/>
    <w:rsid w:val="003C514C"/>
    <w:rsid w:val="003C516F"/>
    <w:rsid w:val="003C549B"/>
    <w:rsid w:val="003C5556"/>
    <w:rsid w:val="003C58EB"/>
    <w:rsid w:val="003C5F9D"/>
    <w:rsid w:val="003C655A"/>
    <w:rsid w:val="003C6592"/>
    <w:rsid w:val="003C6893"/>
    <w:rsid w:val="003C6A27"/>
    <w:rsid w:val="003C6CD9"/>
    <w:rsid w:val="003C7354"/>
    <w:rsid w:val="003C759A"/>
    <w:rsid w:val="003C762F"/>
    <w:rsid w:val="003C7683"/>
    <w:rsid w:val="003C7779"/>
    <w:rsid w:val="003C7978"/>
    <w:rsid w:val="003C797C"/>
    <w:rsid w:val="003C7BFB"/>
    <w:rsid w:val="003C7F0C"/>
    <w:rsid w:val="003D00B7"/>
    <w:rsid w:val="003D0167"/>
    <w:rsid w:val="003D0280"/>
    <w:rsid w:val="003D05EE"/>
    <w:rsid w:val="003D082A"/>
    <w:rsid w:val="003D09FA"/>
    <w:rsid w:val="003D0E1B"/>
    <w:rsid w:val="003D0E2A"/>
    <w:rsid w:val="003D1363"/>
    <w:rsid w:val="003D14D0"/>
    <w:rsid w:val="003D15C1"/>
    <w:rsid w:val="003D1CBB"/>
    <w:rsid w:val="003D1E0A"/>
    <w:rsid w:val="003D1F41"/>
    <w:rsid w:val="003D20A8"/>
    <w:rsid w:val="003D2158"/>
    <w:rsid w:val="003D23FD"/>
    <w:rsid w:val="003D2471"/>
    <w:rsid w:val="003D2B9E"/>
    <w:rsid w:val="003D2BB4"/>
    <w:rsid w:val="003D2C51"/>
    <w:rsid w:val="003D2E28"/>
    <w:rsid w:val="003D2ECC"/>
    <w:rsid w:val="003D2F16"/>
    <w:rsid w:val="003D3060"/>
    <w:rsid w:val="003D37D6"/>
    <w:rsid w:val="003D3CF7"/>
    <w:rsid w:val="003D3F9E"/>
    <w:rsid w:val="003D4614"/>
    <w:rsid w:val="003D467E"/>
    <w:rsid w:val="003D4879"/>
    <w:rsid w:val="003D4EC1"/>
    <w:rsid w:val="003D51BB"/>
    <w:rsid w:val="003D52E6"/>
    <w:rsid w:val="003D5825"/>
    <w:rsid w:val="003D5970"/>
    <w:rsid w:val="003D5A85"/>
    <w:rsid w:val="003D5A9E"/>
    <w:rsid w:val="003D5CF7"/>
    <w:rsid w:val="003D5E03"/>
    <w:rsid w:val="003D5F42"/>
    <w:rsid w:val="003D608A"/>
    <w:rsid w:val="003D61F2"/>
    <w:rsid w:val="003D62D6"/>
    <w:rsid w:val="003D643F"/>
    <w:rsid w:val="003D646E"/>
    <w:rsid w:val="003D66BB"/>
    <w:rsid w:val="003D6AB5"/>
    <w:rsid w:val="003D6BA6"/>
    <w:rsid w:val="003D6CE4"/>
    <w:rsid w:val="003D6D71"/>
    <w:rsid w:val="003D6DD1"/>
    <w:rsid w:val="003D76DF"/>
    <w:rsid w:val="003D76E5"/>
    <w:rsid w:val="003D76F0"/>
    <w:rsid w:val="003D7945"/>
    <w:rsid w:val="003D7A11"/>
    <w:rsid w:val="003E023B"/>
    <w:rsid w:val="003E03C2"/>
    <w:rsid w:val="003E04EB"/>
    <w:rsid w:val="003E0683"/>
    <w:rsid w:val="003E0C18"/>
    <w:rsid w:val="003E0D9C"/>
    <w:rsid w:val="003E0EF4"/>
    <w:rsid w:val="003E1306"/>
    <w:rsid w:val="003E1412"/>
    <w:rsid w:val="003E1568"/>
    <w:rsid w:val="003E1846"/>
    <w:rsid w:val="003E1A4A"/>
    <w:rsid w:val="003E1B1B"/>
    <w:rsid w:val="003E1C34"/>
    <w:rsid w:val="003E1CE9"/>
    <w:rsid w:val="003E20B8"/>
    <w:rsid w:val="003E21E8"/>
    <w:rsid w:val="003E222C"/>
    <w:rsid w:val="003E23C6"/>
    <w:rsid w:val="003E28C5"/>
    <w:rsid w:val="003E3051"/>
    <w:rsid w:val="003E350A"/>
    <w:rsid w:val="003E3608"/>
    <w:rsid w:val="003E36F4"/>
    <w:rsid w:val="003E384F"/>
    <w:rsid w:val="003E38FE"/>
    <w:rsid w:val="003E3B68"/>
    <w:rsid w:val="003E3C00"/>
    <w:rsid w:val="003E3E3E"/>
    <w:rsid w:val="003E3FF1"/>
    <w:rsid w:val="003E4199"/>
    <w:rsid w:val="003E4204"/>
    <w:rsid w:val="003E58CC"/>
    <w:rsid w:val="003E5BC6"/>
    <w:rsid w:val="003E5BCB"/>
    <w:rsid w:val="003E5D7F"/>
    <w:rsid w:val="003E5DD3"/>
    <w:rsid w:val="003E5E6A"/>
    <w:rsid w:val="003E5E8B"/>
    <w:rsid w:val="003E5F5D"/>
    <w:rsid w:val="003E6015"/>
    <w:rsid w:val="003E6023"/>
    <w:rsid w:val="003E65A2"/>
    <w:rsid w:val="003E65A9"/>
    <w:rsid w:val="003E6A3E"/>
    <w:rsid w:val="003E6AD9"/>
    <w:rsid w:val="003E6D52"/>
    <w:rsid w:val="003E7036"/>
    <w:rsid w:val="003E71BB"/>
    <w:rsid w:val="003E7602"/>
    <w:rsid w:val="003E768F"/>
    <w:rsid w:val="003E7691"/>
    <w:rsid w:val="003E77E8"/>
    <w:rsid w:val="003E7862"/>
    <w:rsid w:val="003E7A17"/>
    <w:rsid w:val="003E7B10"/>
    <w:rsid w:val="003E7C87"/>
    <w:rsid w:val="003E7F40"/>
    <w:rsid w:val="003F00CB"/>
    <w:rsid w:val="003F06EE"/>
    <w:rsid w:val="003F0728"/>
    <w:rsid w:val="003F0B91"/>
    <w:rsid w:val="003F0F86"/>
    <w:rsid w:val="003F1169"/>
    <w:rsid w:val="003F1212"/>
    <w:rsid w:val="003F1332"/>
    <w:rsid w:val="003F1476"/>
    <w:rsid w:val="003F186F"/>
    <w:rsid w:val="003F19A9"/>
    <w:rsid w:val="003F2258"/>
    <w:rsid w:val="003F2A33"/>
    <w:rsid w:val="003F2B78"/>
    <w:rsid w:val="003F2C19"/>
    <w:rsid w:val="003F2CDD"/>
    <w:rsid w:val="003F2D78"/>
    <w:rsid w:val="003F2DBF"/>
    <w:rsid w:val="003F3008"/>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7E2"/>
    <w:rsid w:val="003F4B89"/>
    <w:rsid w:val="003F4BA4"/>
    <w:rsid w:val="003F4FFF"/>
    <w:rsid w:val="003F522B"/>
    <w:rsid w:val="003F523C"/>
    <w:rsid w:val="003F52F2"/>
    <w:rsid w:val="003F5480"/>
    <w:rsid w:val="003F558C"/>
    <w:rsid w:val="003F5682"/>
    <w:rsid w:val="003F5797"/>
    <w:rsid w:val="003F5A00"/>
    <w:rsid w:val="003F5AE4"/>
    <w:rsid w:val="003F5D0F"/>
    <w:rsid w:val="003F5EAB"/>
    <w:rsid w:val="003F5F61"/>
    <w:rsid w:val="003F5FB3"/>
    <w:rsid w:val="003F623E"/>
    <w:rsid w:val="003F6283"/>
    <w:rsid w:val="003F6339"/>
    <w:rsid w:val="003F663A"/>
    <w:rsid w:val="003F68D6"/>
    <w:rsid w:val="003F699B"/>
    <w:rsid w:val="003F6A02"/>
    <w:rsid w:val="003F6C2B"/>
    <w:rsid w:val="003F6D53"/>
    <w:rsid w:val="003F7358"/>
    <w:rsid w:val="003F749F"/>
    <w:rsid w:val="003F75A2"/>
    <w:rsid w:val="003F7723"/>
    <w:rsid w:val="003F7875"/>
    <w:rsid w:val="003F79E2"/>
    <w:rsid w:val="003F7A25"/>
    <w:rsid w:val="003F7B42"/>
    <w:rsid w:val="003F7D19"/>
    <w:rsid w:val="003F7F0A"/>
    <w:rsid w:val="0040000C"/>
    <w:rsid w:val="00400102"/>
    <w:rsid w:val="004003B2"/>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D8A"/>
    <w:rsid w:val="00401D9B"/>
    <w:rsid w:val="00401EF8"/>
    <w:rsid w:val="00401F1D"/>
    <w:rsid w:val="004020AF"/>
    <w:rsid w:val="0040285D"/>
    <w:rsid w:val="004028CB"/>
    <w:rsid w:val="004029DD"/>
    <w:rsid w:val="00402D7F"/>
    <w:rsid w:val="00402E02"/>
    <w:rsid w:val="00402E43"/>
    <w:rsid w:val="00402FDF"/>
    <w:rsid w:val="00403093"/>
    <w:rsid w:val="004030A2"/>
    <w:rsid w:val="00403196"/>
    <w:rsid w:val="0040347E"/>
    <w:rsid w:val="004039C4"/>
    <w:rsid w:val="00403B93"/>
    <w:rsid w:val="00404118"/>
    <w:rsid w:val="00404217"/>
    <w:rsid w:val="004042D1"/>
    <w:rsid w:val="00404467"/>
    <w:rsid w:val="00404611"/>
    <w:rsid w:val="00404AD9"/>
    <w:rsid w:val="004057D8"/>
    <w:rsid w:val="00405B95"/>
    <w:rsid w:val="00405C6B"/>
    <w:rsid w:val="00405D9D"/>
    <w:rsid w:val="004060CB"/>
    <w:rsid w:val="0040624C"/>
    <w:rsid w:val="004062F0"/>
    <w:rsid w:val="00406BA6"/>
    <w:rsid w:val="00406BBC"/>
    <w:rsid w:val="00406DF7"/>
    <w:rsid w:val="00406F32"/>
    <w:rsid w:val="0040726A"/>
    <w:rsid w:val="004077D8"/>
    <w:rsid w:val="004079B6"/>
    <w:rsid w:val="004079D7"/>
    <w:rsid w:val="00407B13"/>
    <w:rsid w:val="00410082"/>
    <w:rsid w:val="004101CC"/>
    <w:rsid w:val="0041021D"/>
    <w:rsid w:val="00410323"/>
    <w:rsid w:val="004105F3"/>
    <w:rsid w:val="0041074C"/>
    <w:rsid w:val="00410C8A"/>
    <w:rsid w:val="00410ED8"/>
    <w:rsid w:val="00411295"/>
    <w:rsid w:val="004113E4"/>
    <w:rsid w:val="004117C4"/>
    <w:rsid w:val="00411897"/>
    <w:rsid w:val="004118CC"/>
    <w:rsid w:val="004119E6"/>
    <w:rsid w:val="00411B8B"/>
    <w:rsid w:val="00411C0C"/>
    <w:rsid w:val="00411E64"/>
    <w:rsid w:val="00411EA5"/>
    <w:rsid w:val="0041203A"/>
    <w:rsid w:val="004122EB"/>
    <w:rsid w:val="0041232A"/>
    <w:rsid w:val="004125AB"/>
    <w:rsid w:val="00412BD4"/>
    <w:rsid w:val="00412D9A"/>
    <w:rsid w:val="00412E5D"/>
    <w:rsid w:val="00412F03"/>
    <w:rsid w:val="00413077"/>
    <w:rsid w:val="004133C9"/>
    <w:rsid w:val="004134B0"/>
    <w:rsid w:val="00413715"/>
    <w:rsid w:val="00413919"/>
    <w:rsid w:val="00413C8A"/>
    <w:rsid w:val="00413CBC"/>
    <w:rsid w:val="00413DB7"/>
    <w:rsid w:val="00413E0B"/>
    <w:rsid w:val="00413E1F"/>
    <w:rsid w:val="00413EFB"/>
    <w:rsid w:val="00414082"/>
    <w:rsid w:val="0041429F"/>
    <w:rsid w:val="00414788"/>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2001E"/>
    <w:rsid w:val="00420188"/>
    <w:rsid w:val="0042033B"/>
    <w:rsid w:val="004204B6"/>
    <w:rsid w:val="0042056D"/>
    <w:rsid w:val="00420747"/>
    <w:rsid w:val="00420A66"/>
    <w:rsid w:val="00420ACB"/>
    <w:rsid w:val="00420BAD"/>
    <w:rsid w:val="0042106E"/>
    <w:rsid w:val="004211CA"/>
    <w:rsid w:val="004213CA"/>
    <w:rsid w:val="00421553"/>
    <w:rsid w:val="0042168E"/>
    <w:rsid w:val="00421802"/>
    <w:rsid w:val="0042198E"/>
    <w:rsid w:val="004219EE"/>
    <w:rsid w:val="00421A4B"/>
    <w:rsid w:val="00421B68"/>
    <w:rsid w:val="00421CCE"/>
    <w:rsid w:val="004223ED"/>
    <w:rsid w:val="00422671"/>
    <w:rsid w:val="004231E6"/>
    <w:rsid w:val="00423634"/>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12E1"/>
    <w:rsid w:val="004315E4"/>
    <w:rsid w:val="00431820"/>
    <w:rsid w:val="00431A4A"/>
    <w:rsid w:val="00431B16"/>
    <w:rsid w:val="00431F03"/>
    <w:rsid w:val="00431F4D"/>
    <w:rsid w:val="00432003"/>
    <w:rsid w:val="00432603"/>
    <w:rsid w:val="004326AC"/>
    <w:rsid w:val="00432A48"/>
    <w:rsid w:val="00432C8A"/>
    <w:rsid w:val="0043302D"/>
    <w:rsid w:val="00433115"/>
    <w:rsid w:val="0043312C"/>
    <w:rsid w:val="0043361A"/>
    <w:rsid w:val="004337AB"/>
    <w:rsid w:val="004338A8"/>
    <w:rsid w:val="004339B0"/>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755"/>
    <w:rsid w:val="00435ACE"/>
    <w:rsid w:val="00435AD0"/>
    <w:rsid w:val="00435EEC"/>
    <w:rsid w:val="00435F8D"/>
    <w:rsid w:val="004361A2"/>
    <w:rsid w:val="0043643E"/>
    <w:rsid w:val="00436870"/>
    <w:rsid w:val="0043688E"/>
    <w:rsid w:val="004369C0"/>
    <w:rsid w:val="00436F79"/>
    <w:rsid w:val="004370B4"/>
    <w:rsid w:val="0043711E"/>
    <w:rsid w:val="004371CB"/>
    <w:rsid w:val="00437226"/>
    <w:rsid w:val="004372C4"/>
    <w:rsid w:val="004378A4"/>
    <w:rsid w:val="00437A23"/>
    <w:rsid w:val="00437AA5"/>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9"/>
    <w:rsid w:val="0044233B"/>
    <w:rsid w:val="004423AB"/>
    <w:rsid w:val="0044244C"/>
    <w:rsid w:val="00442536"/>
    <w:rsid w:val="00442AB8"/>
    <w:rsid w:val="00442ABD"/>
    <w:rsid w:val="00442C6B"/>
    <w:rsid w:val="00442E57"/>
    <w:rsid w:val="004431C6"/>
    <w:rsid w:val="00443628"/>
    <w:rsid w:val="004436B5"/>
    <w:rsid w:val="004436D4"/>
    <w:rsid w:val="004437BE"/>
    <w:rsid w:val="004437F2"/>
    <w:rsid w:val="00443D5A"/>
    <w:rsid w:val="00443D75"/>
    <w:rsid w:val="004440D8"/>
    <w:rsid w:val="00444214"/>
    <w:rsid w:val="00444489"/>
    <w:rsid w:val="004447E0"/>
    <w:rsid w:val="0044480E"/>
    <w:rsid w:val="0044492C"/>
    <w:rsid w:val="004449ED"/>
    <w:rsid w:val="00444C19"/>
    <w:rsid w:val="00444EB1"/>
    <w:rsid w:val="00444F05"/>
    <w:rsid w:val="00444F5C"/>
    <w:rsid w:val="00445356"/>
    <w:rsid w:val="00445456"/>
    <w:rsid w:val="00445995"/>
    <w:rsid w:val="00445C96"/>
    <w:rsid w:val="00445CE3"/>
    <w:rsid w:val="00445DF4"/>
    <w:rsid w:val="00445E2A"/>
    <w:rsid w:val="00445E6C"/>
    <w:rsid w:val="0044609D"/>
    <w:rsid w:val="00446149"/>
    <w:rsid w:val="004464DD"/>
    <w:rsid w:val="00446519"/>
    <w:rsid w:val="0044651A"/>
    <w:rsid w:val="004465E0"/>
    <w:rsid w:val="004468FC"/>
    <w:rsid w:val="004471D6"/>
    <w:rsid w:val="00447590"/>
    <w:rsid w:val="004478F0"/>
    <w:rsid w:val="00447914"/>
    <w:rsid w:val="0044799C"/>
    <w:rsid w:val="00447B62"/>
    <w:rsid w:val="00447CD2"/>
    <w:rsid w:val="00447FE0"/>
    <w:rsid w:val="00450041"/>
    <w:rsid w:val="00450099"/>
    <w:rsid w:val="004506C5"/>
    <w:rsid w:val="00450AEB"/>
    <w:rsid w:val="00450C4E"/>
    <w:rsid w:val="00450DF0"/>
    <w:rsid w:val="00450E00"/>
    <w:rsid w:val="004511F3"/>
    <w:rsid w:val="00451283"/>
    <w:rsid w:val="004513FE"/>
    <w:rsid w:val="00451745"/>
    <w:rsid w:val="0045183C"/>
    <w:rsid w:val="004519AB"/>
    <w:rsid w:val="00451B0E"/>
    <w:rsid w:val="00451B39"/>
    <w:rsid w:val="00451C67"/>
    <w:rsid w:val="00451F24"/>
    <w:rsid w:val="00451FAE"/>
    <w:rsid w:val="0045236E"/>
    <w:rsid w:val="00452723"/>
    <w:rsid w:val="0045295F"/>
    <w:rsid w:val="004529DD"/>
    <w:rsid w:val="00452A2D"/>
    <w:rsid w:val="00452FF5"/>
    <w:rsid w:val="00453172"/>
    <w:rsid w:val="00453298"/>
    <w:rsid w:val="0045339E"/>
    <w:rsid w:val="004537D2"/>
    <w:rsid w:val="00453BDA"/>
    <w:rsid w:val="00453F58"/>
    <w:rsid w:val="00454081"/>
    <w:rsid w:val="00454202"/>
    <w:rsid w:val="0045431E"/>
    <w:rsid w:val="004549AF"/>
    <w:rsid w:val="00454C09"/>
    <w:rsid w:val="00454E9C"/>
    <w:rsid w:val="00454F41"/>
    <w:rsid w:val="00454FFE"/>
    <w:rsid w:val="00455211"/>
    <w:rsid w:val="0045554A"/>
    <w:rsid w:val="00455583"/>
    <w:rsid w:val="00455918"/>
    <w:rsid w:val="00455B1A"/>
    <w:rsid w:val="00455B37"/>
    <w:rsid w:val="00456257"/>
    <w:rsid w:val="0045654B"/>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6C6"/>
    <w:rsid w:val="00460A1D"/>
    <w:rsid w:val="00461008"/>
    <w:rsid w:val="0046104D"/>
    <w:rsid w:val="00461573"/>
    <w:rsid w:val="00461803"/>
    <w:rsid w:val="00461B90"/>
    <w:rsid w:val="00461BAB"/>
    <w:rsid w:val="00461EDE"/>
    <w:rsid w:val="004623B7"/>
    <w:rsid w:val="00462706"/>
    <w:rsid w:val="00462730"/>
    <w:rsid w:val="004627A8"/>
    <w:rsid w:val="004627E1"/>
    <w:rsid w:val="004628F5"/>
    <w:rsid w:val="004628F7"/>
    <w:rsid w:val="00462A57"/>
    <w:rsid w:val="00462AE3"/>
    <w:rsid w:val="00462B92"/>
    <w:rsid w:val="0046300A"/>
    <w:rsid w:val="0046312A"/>
    <w:rsid w:val="00463267"/>
    <w:rsid w:val="004636C1"/>
    <w:rsid w:val="0046381A"/>
    <w:rsid w:val="0046395C"/>
    <w:rsid w:val="00463E36"/>
    <w:rsid w:val="00463F5E"/>
    <w:rsid w:val="0046426E"/>
    <w:rsid w:val="00464739"/>
    <w:rsid w:val="00464762"/>
    <w:rsid w:val="00464AD7"/>
    <w:rsid w:val="00464B78"/>
    <w:rsid w:val="00464BA2"/>
    <w:rsid w:val="00464CA0"/>
    <w:rsid w:val="00464CA4"/>
    <w:rsid w:val="00464DD1"/>
    <w:rsid w:val="004651DC"/>
    <w:rsid w:val="0046532D"/>
    <w:rsid w:val="004653C1"/>
    <w:rsid w:val="004653FC"/>
    <w:rsid w:val="004656B3"/>
    <w:rsid w:val="00465820"/>
    <w:rsid w:val="004658CA"/>
    <w:rsid w:val="00465A6F"/>
    <w:rsid w:val="00465B05"/>
    <w:rsid w:val="0046654F"/>
    <w:rsid w:val="00466563"/>
    <w:rsid w:val="004665BC"/>
    <w:rsid w:val="004668F8"/>
    <w:rsid w:val="00466968"/>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22F"/>
    <w:rsid w:val="004712DF"/>
    <w:rsid w:val="004713BE"/>
    <w:rsid w:val="004714F2"/>
    <w:rsid w:val="004715BE"/>
    <w:rsid w:val="00471682"/>
    <w:rsid w:val="00471921"/>
    <w:rsid w:val="00471B27"/>
    <w:rsid w:val="00471BBA"/>
    <w:rsid w:val="00471F21"/>
    <w:rsid w:val="00472139"/>
    <w:rsid w:val="0047227B"/>
    <w:rsid w:val="0047252C"/>
    <w:rsid w:val="00472560"/>
    <w:rsid w:val="00472861"/>
    <w:rsid w:val="00472A29"/>
    <w:rsid w:val="00472D0B"/>
    <w:rsid w:val="00473895"/>
    <w:rsid w:val="004738C3"/>
    <w:rsid w:val="004739BD"/>
    <w:rsid w:val="00473B7C"/>
    <w:rsid w:val="00473CFC"/>
    <w:rsid w:val="00473F43"/>
    <w:rsid w:val="0047420E"/>
    <w:rsid w:val="00474397"/>
    <w:rsid w:val="0047458E"/>
    <w:rsid w:val="0047467A"/>
    <w:rsid w:val="00474898"/>
    <w:rsid w:val="00474DA6"/>
    <w:rsid w:val="00474FCD"/>
    <w:rsid w:val="00475024"/>
    <w:rsid w:val="00475153"/>
    <w:rsid w:val="0047515C"/>
    <w:rsid w:val="00475362"/>
    <w:rsid w:val="0047538B"/>
    <w:rsid w:val="0047598E"/>
    <w:rsid w:val="00475BCA"/>
    <w:rsid w:val="00475F96"/>
    <w:rsid w:val="004762E1"/>
    <w:rsid w:val="00476494"/>
    <w:rsid w:val="00476C38"/>
    <w:rsid w:val="004770AF"/>
    <w:rsid w:val="0047724A"/>
    <w:rsid w:val="00477347"/>
    <w:rsid w:val="00477601"/>
    <w:rsid w:val="00477677"/>
    <w:rsid w:val="0047781E"/>
    <w:rsid w:val="00477BB2"/>
    <w:rsid w:val="00477F00"/>
    <w:rsid w:val="00477F25"/>
    <w:rsid w:val="0048032E"/>
    <w:rsid w:val="0048060F"/>
    <w:rsid w:val="00480683"/>
    <w:rsid w:val="0048099D"/>
    <w:rsid w:val="004809C4"/>
    <w:rsid w:val="00480D7F"/>
    <w:rsid w:val="00480E4D"/>
    <w:rsid w:val="0048153F"/>
    <w:rsid w:val="0048166E"/>
    <w:rsid w:val="00481B49"/>
    <w:rsid w:val="00481C65"/>
    <w:rsid w:val="00481F67"/>
    <w:rsid w:val="00482217"/>
    <w:rsid w:val="00482A9A"/>
    <w:rsid w:val="00482AF6"/>
    <w:rsid w:val="00482CF3"/>
    <w:rsid w:val="00482ED0"/>
    <w:rsid w:val="00482FF6"/>
    <w:rsid w:val="004839CF"/>
    <w:rsid w:val="00483D5F"/>
    <w:rsid w:val="004841F8"/>
    <w:rsid w:val="00484486"/>
    <w:rsid w:val="0048474E"/>
    <w:rsid w:val="0048475F"/>
    <w:rsid w:val="004847B1"/>
    <w:rsid w:val="00484F72"/>
    <w:rsid w:val="004852E1"/>
    <w:rsid w:val="004854B9"/>
    <w:rsid w:val="00485814"/>
    <w:rsid w:val="00485BD7"/>
    <w:rsid w:val="0048609D"/>
    <w:rsid w:val="0048622E"/>
    <w:rsid w:val="004862A9"/>
    <w:rsid w:val="0048639A"/>
    <w:rsid w:val="0048657B"/>
    <w:rsid w:val="004869C7"/>
    <w:rsid w:val="00486D5B"/>
    <w:rsid w:val="0048759D"/>
    <w:rsid w:val="004877A5"/>
    <w:rsid w:val="00487D4C"/>
    <w:rsid w:val="00487DD0"/>
    <w:rsid w:val="00487EF2"/>
    <w:rsid w:val="00490062"/>
    <w:rsid w:val="004902FE"/>
    <w:rsid w:val="0049062A"/>
    <w:rsid w:val="0049070D"/>
    <w:rsid w:val="0049088F"/>
    <w:rsid w:val="004909C4"/>
    <w:rsid w:val="00490E9E"/>
    <w:rsid w:val="0049112F"/>
    <w:rsid w:val="00491216"/>
    <w:rsid w:val="004918A7"/>
    <w:rsid w:val="00491B36"/>
    <w:rsid w:val="00491B56"/>
    <w:rsid w:val="00491E79"/>
    <w:rsid w:val="004925C5"/>
    <w:rsid w:val="004925F7"/>
    <w:rsid w:val="00492644"/>
    <w:rsid w:val="004927C4"/>
    <w:rsid w:val="004929C4"/>
    <w:rsid w:val="00492A28"/>
    <w:rsid w:val="00492B8D"/>
    <w:rsid w:val="00492C0B"/>
    <w:rsid w:val="00492CC4"/>
    <w:rsid w:val="00492FB9"/>
    <w:rsid w:val="0049344C"/>
    <w:rsid w:val="00493485"/>
    <w:rsid w:val="004934D3"/>
    <w:rsid w:val="004934D7"/>
    <w:rsid w:val="00493529"/>
    <w:rsid w:val="0049392D"/>
    <w:rsid w:val="00493D83"/>
    <w:rsid w:val="00494047"/>
    <w:rsid w:val="004942A3"/>
    <w:rsid w:val="00494338"/>
    <w:rsid w:val="00494550"/>
    <w:rsid w:val="00494EED"/>
    <w:rsid w:val="00495495"/>
    <w:rsid w:val="00495511"/>
    <w:rsid w:val="0049552C"/>
    <w:rsid w:val="00495664"/>
    <w:rsid w:val="004957D6"/>
    <w:rsid w:val="0049588C"/>
    <w:rsid w:val="00495908"/>
    <w:rsid w:val="00495AC2"/>
    <w:rsid w:val="00495B04"/>
    <w:rsid w:val="0049608C"/>
    <w:rsid w:val="004967FE"/>
    <w:rsid w:val="004969AD"/>
    <w:rsid w:val="00496CA5"/>
    <w:rsid w:val="00496EBF"/>
    <w:rsid w:val="00497338"/>
    <w:rsid w:val="004977D1"/>
    <w:rsid w:val="0049785B"/>
    <w:rsid w:val="00497B14"/>
    <w:rsid w:val="00497DCB"/>
    <w:rsid w:val="00497DDD"/>
    <w:rsid w:val="004A0096"/>
    <w:rsid w:val="004A050E"/>
    <w:rsid w:val="004A07CA"/>
    <w:rsid w:val="004A0829"/>
    <w:rsid w:val="004A08D6"/>
    <w:rsid w:val="004A0CAF"/>
    <w:rsid w:val="004A0CE2"/>
    <w:rsid w:val="004A0E5C"/>
    <w:rsid w:val="004A1426"/>
    <w:rsid w:val="004A1692"/>
    <w:rsid w:val="004A1E82"/>
    <w:rsid w:val="004A1EE5"/>
    <w:rsid w:val="004A1F60"/>
    <w:rsid w:val="004A208B"/>
    <w:rsid w:val="004A22D4"/>
    <w:rsid w:val="004A23BD"/>
    <w:rsid w:val="004A26F5"/>
    <w:rsid w:val="004A27CA"/>
    <w:rsid w:val="004A28E5"/>
    <w:rsid w:val="004A2E4D"/>
    <w:rsid w:val="004A3221"/>
    <w:rsid w:val="004A35D9"/>
    <w:rsid w:val="004A3879"/>
    <w:rsid w:val="004A3C2C"/>
    <w:rsid w:val="004A3E0A"/>
    <w:rsid w:val="004A4430"/>
    <w:rsid w:val="004A45A0"/>
    <w:rsid w:val="004A45D4"/>
    <w:rsid w:val="004A4664"/>
    <w:rsid w:val="004A4715"/>
    <w:rsid w:val="004A4896"/>
    <w:rsid w:val="004A4B84"/>
    <w:rsid w:val="004A4F27"/>
    <w:rsid w:val="004A517F"/>
    <w:rsid w:val="004A5456"/>
    <w:rsid w:val="004A54DD"/>
    <w:rsid w:val="004A5574"/>
    <w:rsid w:val="004A58F4"/>
    <w:rsid w:val="004A5BAC"/>
    <w:rsid w:val="004A5BBE"/>
    <w:rsid w:val="004A5D17"/>
    <w:rsid w:val="004A5DB7"/>
    <w:rsid w:val="004A5FEC"/>
    <w:rsid w:val="004A607D"/>
    <w:rsid w:val="004A6168"/>
    <w:rsid w:val="004A62B2"/>
    <w:rsid w:val="004A637C"/>
    <w:rsid w:val="004A6A95"/>
    <w:rsid w:val="004A6D29"/>
    <w:rsid w:val="004A6E41"/>
    <w:rsid w:val="004A72B1"/>
    <w:rsid w:val="004A773C"/>
    <w:rsid w:val="004A7C03"/>
    <w:rsid w:val="004A7E90"/>
    <w:rsid w:val="004B0235"/>
    <w:rsid w:val="004B09CB"/>
    <w:rsid w:val="004B0D2A"/>
    <w:rsid w:val="004B0E24"/>
    <w:rsid w:val="004B1012"/>
    <w:rsid w:val="004B101F"/>
    <w:rsid w:val="004B1270"/>
    <w:rsid w:val="004B1306"/>
    <w:rsid w:val="004B1832"/>
    <w:rsid w:val="004B189D"/>
    <w:rsid w:val="004B1E23"/>
    <w:rsid w:val="004B2249"/>
    <w:rsid w:val="004B23E8"/>
    <w:rsid w:val="004B2688"/>
    <w:rsid w:val="004B2B48"/>
    <w:rsid w:val="004B2BEF"/>
    <w:rsid w:val="004B2C44"/>
    <w:rsid w:val="004B2D11"/>
    <w:rsid w:val="004B2E04"/>
    <w:rsid w:val="004B3016"/>
    <w:rsid w:val="004B312C"/>
    <w:rsid w:val="004B3189"/>
    <w:rsid w:val="004B31B8"/>
    <w:rsid w:val="004B34E8"/>
    <w:rsid w:val="004B3584"/>
    <w:rsid w:val="004B3682"/>
    <w:rsid w:val="004B368C"/>
    <w:rsid w:val="004B3894"/>
    <w:rsid w:val="004B39DB"/>
    <w:rsid w:val="004B3A35"/>
    <w:rsid w:val="004B3A53"/>
    <w:rsid w:val="004B3AA1"/>
    <w:rsid w:val="004B3B1E"/>
    <w:rsid w:val="004B3D00"/>
    <w:rsid w:val="004B4310"/>
    <w:rsid w:val="004B45D3"/>
    <w:rsid w:val="004B4E11"/>
    <w:rsid w:val="004B4E28"/>
    <w:rsid w:val="004B4F67"/>
    <w:rsid w:val="004B4FBC"/>
    <w:rsid w:val="004B50B9"/>
    <w:rsid w:val="004B5233"/>
    <w:rsid w:val="004B5729"/>
    <w:rsid w:val="004B592C"/>
    <w:rsid w:val="004B5B0D"/>
    <w:rsid w:val="004B5E41"/>
    <w:rsid w:val="004B606F"/>
    <w:rsid w:val="004B60AC"/>
    <w:rsid w:val="004B623B"/>
    <w:rsid w:val="004B624D"/>
    <w:rsid w:val="004B6284"/>
    <w:rsid w:val="004B6539"/>
    <w:rsid w:val="004B6561"/>
    <w:rsid w:val="004B66E9"/>
    <w:rsid w:val="004B6A4E"/>
    <w:rsid w:val="004B6BF1"/>
    <w:rsid w:val="004B6C4A"/>
    <w:rsid w:val="004B7389"/>
    <w:rsid w:val="004B7470"/>
    <w:rsid w:val="004B74DA"/>
    <w:rsid w:val="004B75E7"/>
    <w:rsid w:val="004B79A5"/>
    <w:rsid w:val="004B79BE"/>
    <w:rsid w:val="004B7A32"/>
    <w:rsid w:val="004B7A8F"/>
    <w:rsid w:val="004B7D3D"/>
    <w:rsid w:val="004B7E01"/>
    <w:rsid w:val="004C056D"/>
    <w:rsid w:val="004C0594"/>
    <w:rsid w:val="004C065C"/>
    <w:rsid w:val="004C0F6A"/>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70F"/>
    <w:rsid w:val="004C47C9"/>
    <w:rsid w:val="004C4936"/>
    <w:rsid w:val="004C4BEA"/>
    <w:rsid w:val="004C4EDC"/>
    <w:rsid w:val="004C4FA7"/>
    <w:rsid w:val="004C50D0"/>
    <w:rsid w:val="004C51BA"/>
    <w:rsid w:val="004C54EF"/>
    <w:rsid w:val="004C5684"/>
    <w:rsid w:val="004C5BDF"/>
    <w:rsid w:val="004C5CEF"/>
    <w:rsid w:val="004C5E8C"/>
    <w:rsid w:val="004C5F4F"/>
    <w:rsid w:val="004C6086"/>
    <w:rsid w:val="004C62B5"/>
    <w:rsid w:val="004C6C53"/>
    <w:rsid w:val="004C7201"/>
    <w:rsid w:val="004C73F3"/>
    <w:rsid w:val="004C7612"/>
    <w:rsid w:val="004C777C"/>
    <w:rsid w:val="004C788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5D4"/>
    <w:rsid w:val="004D2704"/>
    <w:rsid w:val="004D28A5"/>
    <w:rsid w:val="004D28C6"/>
    <w:rsid w:val="004D291C"/>
    <w:rsid w:val="004D2DFD"/>
    <w:rsid w:val="004D2F60"/>
    <w:rsid w:val="004D3450"/>
    <w:rsid w:val="004D3499"/>
    <w:rsid w:val="004D349D"/>
    <w:rsid w:val="004D35FF"/>
    <w:rsid w:val="004D36A9"/>
    <w:rsid w:val="004D37EC"/>
    <w:rsid w:val="004D3835"/>
    <w:rsid w:val="004D3907"/>
    <w:rsid w:val="004D39F1"/>
    <w:rsid w:val="004D3A8B"/>
    <w:rsid w:val="004D3B95"/>
    <w:rsid w:val="004D3E82"/>
    <w:rsid w:val="004D3F04"/>
    <w:rsid w:val="004D405A"/>
    <w:rsid w:val="004D451C"/>
    <w:rsid w:val="004D4955"/>
    <w:rsid w:val="004D500E"/>
    <w:rsid w:val="004D5014"/>
    <w:rsid w:val="004D5070"/>
    <w:rsid w:val="004D50B6"/>
    <w:rsid w:val="004D5126"/>
    <w:rsid w:val="004D512D"/>
    <w:rsid w:val="004D51FD"/>
    <w:rsid w:val="004D53FE"/>
    <w:rsid w:val="004D54C9"/>
    <w:rsid w:val="004D5536"/>
    <w:rsid w:val="004D5812"/>
    <w:rsid w:val="004D5C09"/>
    <w:rsid w:val="004D5C71"/>
    <w:rsid w:val="004D5D8E"/>
    <w:rsid w:val="004D60DE"/>
    <w:rsid w:val="004D614A"/>
    <w:rsid w:val="004D62AB"/>
    <w:rsid w:val="004D62CF"/>
    <w:rsid w:val="004D631D"/>
    <w:rsid w:val="004D684A"/>
    <w:rsid w:val="004D714C"/>
    <w:rsid w:val="004D71FE"/>
    <w:rsid w:val="004D788D"/>
    <w:rsid w:val="004D7904"/>
    <w:rsid w:val="004D7B2E"/>
    <w:rsid w:val="004E0055"/>
    <w:rsid w:val="004E0C31"/>
    <w:rsid w:val="004E0D89"/>
    <w:rsid w:val="004E1088"/>
    <w:rsid w:val="004E1430"/>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B44"/>
    <w:rsid w:val="004E3C6E"/>
    <w:rsid w:val="004E3FBA"/>
    <w:rsid w:val="004E4160"/>
    <w:rsid w:val="004E4336"/>
    <w:rsid w:val="004E4451"/>
    <w:rsid w:val="004E44F4"/>
    <w:rsid w:val="004E45AC"/>
    <w:rsid w:val="004E4962"/>
    <w:rsid w:val="004E4980"/>
    <w:rsid w:val="004E4BD4"/>
    <w:rsid w:val="004E4CDE"/>
    <w:rsid w:val="004E4CF5"/>
    <w:rsid w:val="004E4FDD"/>
    <w:rsid w:val="004E5035"/>
    <w:rsid w:val="004E507F"/>
    <w:rsid w:val="004E51C0"/>
    <w:rsid w:val="004E5223"/>
    <w:rsid w:val="004E5938"/>
    <w:rsid w:val="004E5A90"/>
    <w:rsid w:val="004E5AD1"/>
    <w:rsid w:val="004E5C35"/>
    <w:rsid w:val="004E61DD"/>
    <w:rsid w:val="004E6384"/>
    <w:rsid w:val="004E6563"/>
    <w:rsid w:val="004E6675"/>
    <w:rsid w:val="004E67DE"/>
    <w:rsid w:val="004E69C6"/>
    <w:rsid w:val="004E69C8"/>
    <w:rsid w:val="004E6E08"/>
    <w:rsid w:val="004E6F26"/>
    <w:rsid w:val="004E70C1"/>
    <w:rsid w:val="004E77DE"/>
    <w:rsid w:val="004E7B54"/>
    <w:rsid w:val="004E7B91"/>
    <w:rsid w:val="004F0044"/>
    <w:rsid w:val="004F012C"/>
    <w:rsid w:val="004F03BE"/>
    <w:rsid w:val="004F03CD"/>
    <w:rsid w:val="004F04D5"/>
    <w:rsid w:val="004F054F"/>
    <w:rsid w:val="004F0E00"/>
    <w:rsid w:val="004F1155"/>
    <w:rsid w:val="004F1648"/>
    <w:rsid w:val="004F1785"/>
    <w:rsid w:val="004F1A6D"/>
    <w:rsid w:val="004F1C81"/>
    <w:rsid w:val="004F1DD1"/>
    <w:rsid w:val="004F1DF9"/>
    <w:rsid w:val="004F233F"/>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27C"/>
    <w:rsid w:val="004F4CFE"/>
    <w:rsid w:val="004F4F1C"/>
    <w:rsid w:val="004F5325"/>
    <w:rsid w:val="004F5346"/>
    <w:rsid w:val="004F57FC"/>
    <w:rsid w:val="004F5A22"/>
    <w:rsid w:val="004F5FB2"/>
    <w:rsid w:val="004F62FA"/>
    <w:rsid w:val="004F6312"/>
    <w:rsid w:val="004F63E1"/>
    <w:rsid w:val="004F66F3"/>
    <w:rsid w:val="004F67DE"/>
    <w:rsid w:val="004F67E8"/>
    <w:rsid w:val="004F685B"/>
    <w:rsid w:val="004F69D5"/>
    <w:rsid w:val="004F6E28"/>
    <w:rsid w:val="004F702F"/>
    <w:rsid w:val="004F7054"/>
    <w:rsid w:val="004F7269"/>
    <w:rsid w:val="004F787E"/>
    <w:rsid w:val="00500435"/>
    <w:rsid w:val="00500A7D"/>
    <w:rsid w:val="00500AD7"/>
    <w:rsid w:val="00500BA1"/>
    <w:rsid w:val="00500E6C"/>
    <w:rsid w:val="005010B2"/>
    <w:rsid w:val="005011C3"/>
    <w:rsid w:val="005011E6"/>
    <w:rsid w:val="00501427"/>
    <w:rsid w:val="00501B33"/>
    <w:rsid w:val="00501C76"/>
    <w:rsid w:val="00501C91"/>
    <w:rsid w:val="00501D9A"/>
    <w:rsid w:val="00501FF7"/>
    <w:rsid w:val="00502095"/>
    <w:rsid w:val="00502187"/>
    <w:rsid w:val="005022E4"/>
    <w:rsid w:val="00502422"/>
    <w:rsid w:val="00502631"/>
    <w:rsid w:val="00502657"/>
    <w:rsid w:val="00502765"/>
    <w:rsid w:val="005027E0"/>
    <w:rsid w:val="00502992"/>
    <w:rsid w:val="00502A4E"/>
    <w:rsid w:val="00503573"/>
    <w:rsid w:val="00503ABD"/>
    <w:rsid w:val="00503C4F"/>
    <w:rsid w:val="00503E01"/>
    <w:rsid w:val="00503F15"/>
    <w:rsid w:val="00503F91"/>
    <w:rsid w:val="005042B2"/>
    <w:rsid w:val="005042BC"/>
    <w:rsid w:val="00504548"/>
    <w:rsid w:val="00504B3F"/>
    <w:rsid w:val="00504DF0"/>
    <w:rsid w:val="0050511B"/>
    <w:rsid w:val="00505363"/>
    <w:rsid w:val="0050555D"/>
    <w:rsid w:val="00505644"/>
    <w:rsid w:val="00505902"/>
    <w:rsid w:val="00505D56"/>
    <w:rsid w:val="00506D1D"/>
    <w:rsid w:val="00506EEC"/>
    <w:rsid w:val="0050705F"/>
    <w:rsid w:val="0050743A"/>
    <w:rsid w:val="0050745A"/>
    <w:rsid w:val="00507649"/>
    <w:rsid w:val="00507965"/>
    <w:rsid w:val="00507BC4"/>
    <w:rsid w:val="00507BF9"/>
    <w:rsid w:val="00510563"/>
    <w:rsid w:val="00510F84"/>
    <w:rsid w:val="00511077"/>
    <w:rsid w:val="00511284"/>
    <w:rsid w:val="00511412"/>
    <w:rsid w:val="005115E6"/>
    <w:rsid w:val="00511CAD"/>
    <w:rsid w:val="0051231F"/>
    <w:rsid w:val="00512559"/>
    <w:rsid w:val="0051257E"/>
    <w:rsid w:val="00512BF8"/>
    <w:rsid w:val="00512FAE"/>
    <w:rsid w:val="00513009"/>
    <w:rsid w:val="00513084"/>
    <w:rsid w:val="005132C5"/>
    <w:rsid w:val="00513BC2"/>
    <w:rsid w:val="00513CBF"/>
    <w:rsid w:val="00513CC6"/>
    <w:rsid w:val="00513D52"/>
    <w:rsid w:val="005141BD"/>
    <w:rsid w:val="005141E5"/>
    <w:rsid w:val="00514221"/>
    <w:rsid w:val="00514404"/>
    <w:rsid w:val="005146AE"/>
    <w:rsid w:val="005147B7"/>
    <w:rsid w:val="00514AED"/>
    <w:rsid w:val="00514B6E"/>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E1"/>
    <w:rsid w:val="005160FA"/>
    <w:rsid w:val="00516754"/>
    <w:rsid w:val="00517208"/>
    <w:rsid w:val="0051722B"/>
    <w:rsid w:val="0051775D"/>
    <w:rsid w:val="00517A5C"/>
    <w:rsid w:val="00517D47"/>
    <w:rsid w:val="00517D6D"/>
    <w:rsid w:val="00517FDF"/>
    <w:rsid w:val="00520457"/>
    <w:rsid w:val="0052056C"/>
    <w:rsid w:val="005208C4"/>
    <w:rsid w:val="005209B8"/>
    <w:rsid w:val="00520D5A"/>
    <w:rsid w:val="00520DB3"/>
    <w:rsid w:val="00521083"/>
    <w:rsid w:val="00521220"/>
    <w:rsid w:val="0052145F"/>
    <w:rsid w:val="0052150F"/>
    <w:rsid w:val="00521520"/>
    <w:rsid w:val="00521750"/>
    <w:rsid w:val="00521AFA"/>
    <w:rsid w:val="00521C53"/>
    <w:rsid w:val="00521EB5"/>
    <w:rsid w:val="0052284A"/>
    <w:rsid w:val="005229B7"/>
    <w:rsid w:val="00522E51"/>
    <w:rsid w:val="00523264"/>
    <w:rsid w:val="00523413"/>
    <w:rsid w:val="00523414"/>
    <w:rsid w:val="005234A7"/>
    <w:rsid w:val="00523A2C"/>
    <w:rsid w:val="00523B2C"/>
    <w:rsid w:val="00523DF3"/>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564"/>
    <w:rsid w:val="005268A1"/>
    <w:rsid w:val="005268F3"/>
    <w:rsid w:val="005269EC"/>
    <w:rsid w:val="00526B33"/>
    <w:rsid w:val="00526F82"/>
    <w:rsid w:val="005270B8"/>
    <w:rsid w:val="00527118"/>
    <w:rsid w:val="005275D6"/>
    <w:rsid w:val="00527794"/>
    <w:rsid w:val="005277AE"/>
    <w:rsid w:val="00527833"/>
    <w:rsid w:val="005279B2"/>
    <w:rsid w:val="005279E2"/>
    <w:rsid w:val="00527AAE"/>
    <w:rsid w:val="00527B16"/>
    <w:rsid w:val="00527C8E"/>
    <w:rsid w:val="00527FBB"/>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AA5"/>
    <w:rsid w:val="00531F4E"/>
    <w:rsid w:val="0053200E"/>
    <w:rsid w:val="005322EB"/>
    <w:rsid w:val="00532399"/>
    <w:rsid w:val="005325E6"/>
    <w:rsid w:val="005327E6"/>
    <w:rsid w:val="0053291E"/>
    <w:rsid w:val="00532A50"/>
    <w:rsid w:val="00532F0A"/>
    <w:rsid w:val="00532F11"/>
    <w:rsid w:val="00532F12"/>
    <w:rsid w:val="00532FC9"/>
    <w:rsid w:val="0053349C"/>
    <w:rsid w:val="005334D1"/>
    <w:rsid w:val="005335E1"/>
    <w:rsid w:val="005337A7"/>
    <w:rsid w:val="00533CFA"/>
    <w:rsid w:val="00534040"/>
    <w:rsid w:val="0053418F"/>
    <w:rsid w:val="005345BD"/>
    <w:rsid w:val="00534734"/>
    <w:rsid w:val="00534E45"/>
    <w:rsid w:val="00534E8E"/>
    <w:rsid w:val="00534EE5"/>
    <w:rsid w:val="0053554D"/>
    <w:rsid w:val="00535578"/>
    <w:rsid w:val="0053563B"/>
    <w:rsid w:val="00535C53"/>
    <w:rsid w:val="00535CF4"/>
    <w:rsid w:val="00535E20"/>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7A4"/>
    <w:rsid w:val="00537F2A"/>
    <w:rsid w:val="0054005A"/>
    <w:rsid w:val="0054012E"/>
    <w:rsid w:val="0054031F"/>
    <w:rsid w:val="0054038B"/>
    <w:rsid w:val="0054045F"/>
    <w:rsid w:val="00540581"/>
    <w:rsid w:val="005405D3"/>
    <w:rsid w:val="00540648"/>
    <w:rsid w:val="0054080F"/>
    <w:rsid w:val="005408BB"/>
    <w:rsid w:val="00540DFA"/>
    <w:rsid w:val="00540F38"/>
    <w:rsid w:val="005412A7"/>
    <w:rsid w:val="0054143C"/>
    <w:rsid w:val="00541C43"/>
    <w:rsid w:val="00541F36"/>
    <w:rsid w:val="005424D5"/>
    <w:rsid w:val="00542706"/>
    <w:rsid w:val="00542732"/>
    <w:rsid w:val="00542877"/>
    <w:rsid w:val="00542C54"/>
    <w:rsid w:val="0054307D"/>
    <w:rsid w:val="0054343A"/>
    <w:rsid w:val="00543AEA"/>
    <w:rsid w:val="00543BA6"/>
    <w:rsid w:val="00543E2F"/>
    <w:rsid w:val="00543F62"/>
    <w:rsid w:val="00543F70"/>
    <w:rsid w:val="005440F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6C2D"/>
    <w:rsid w:val="0054714D"/>
    <w:rsid w:val="0054719A"/>
    <w:rsid w:val="0054735C"/>
    <w:rsid w:val="00547816"/>
    <w:rsid w:val="00547879"/>
    <w:rsid w:val="00547B06"/>
    <w:rsid w:val="00547B70"/>
    <w:rsid w:val="00547C68"/>
    <w:rsid w:val="00547D24"/>
    <w:rsid w:val="00547ED5"/>
    <w:rsid w:val="00547FA9"/>
    <w:rsid w:val="00550820"/>
    <w:rsid w:val="0055086F"/>
    <w:rsid w:val="00550CA7"/>
    <w:rsid w:val="00550FBF"/>
    <w:rsid w:val="0055108D"/>
    <w:rsid w:val="005510B4"/>
    <w:rsid w:val="005513AE"/>
    <w:rsid w:val="0055182C"/>
    <w:rsid w:val="00551C97"/>
    <w:rsid w:val="00551D05"/>
    <w:rsid w:val="00551E19"/>
    <w:rsid w:val="00551F0A"/>
    <w:rsid w:val="005521BE"/>
    <w:rsid w:val="00552484"/>
    <w:rsid w:val="00552A4B"/>
    <w:rsid w:val="00552B35"/>
    <w:rsid w:val="00552D5E"/>
    <w:rsid w:val="00552EC1"/>
    <w:rsid w:val="00553188"/>
    <w:rsid w:val="00553289"/>
    <w:rsid w:val="0055374D"/>
    <w:rsid w:val="0055397B"/>
    <w:rsid w:val="00553A47"/>
    <w:rsid w:val="00553DA6"/>
    <w:rsid w:val="0055403E"/>
    <w:rsid w:val="0055445E"/>
    <w:rsid w:val="0055446B"/>
    <w:rsid w:val="0055493D"/>
    <w:rsid w:val="00554A30"/>
    <w:rsid w:val="00554D43"/>
    <w:rsid w:val="00554E93"/>
    <w:rsid w:val="00554FB8"/>
    <w:rsid w:val="0055516F"/>
    <w:rsid w:val="00555524"/>
    <w:rsid w:val="005557A4"/>
    <w:rsid w:val="00555815"/>
    <w:rsid w:val="0055592D"/>
    <w:rsid w:val="00556083"/>
    <w:rsid w:val="00556B1D"/>
    <w:rsid w:val="00556D7A"/>
    <w:rsid w:val="00556E65"/>
    <w:rsid w:val="00557156"/>
    <w:rsid w:val="005571E3"/>
    <w:rsid w:val="0055740C"/>
    <w:rsid w:val="00557457"/>
    <w:rsid w:val="0055788B"/>
    <w:rsid w:val="00557899"/>
    <w:rsid w:val="00557BAB"/>
    <w:rsid w:val="00557CEB"/>
    <w:rsid w:val="00560025"/>
    <w:rsid w:val="005600F2"/>
    <w:rsid w:val="005605CF"/>
    <w:rsid w:val="00560873"/>
    <w:rsid w:val="00560A95"/>
    <w:rsid w:val="00560AB6"/>
    <w:rsid w:val="00560B2B"/>
    <w:rsid w:val="00560BC5"/>
    <w:rsid w:val="00560EC1"/>
    <w:rsid w:val="0056117A"/>
    <w:rsid w:val="005611FB"/>
    <w:rsid w:val="005612D7"/>
    <w:rsid w:val="00561658"/>
    <w:rsid w:val="0056185B"/>
    <w:rsid w:val="005619AB"/>
    <w:rsid w:val="005621E3"/>
    <w:rsid w:val="00562232"/>
    <w:rsid w:val="00562389"/>
    <w:rsid w:val="00562739"/>
    <w:rsid w:val="0056286E"/>
    <w:rsid w:val="00562878"/>
    <w:rsid w:val="00562898"/>
    <w:rsid w:val="00562FE7"/>
    <w:rsid w:val="005633E1"/>
    <w:rsid w:val="00563794"/>
    <w:rsid w:val="00563876"/>
    <w:rsid w:val="0056388C"/>
    <w:rsid w:val="00563E51"/>
    <w:rsid w:val="0056415A"/>
    <w:rsid w:val="005641A4"/>
    <w:rsid w:val="005641FF"/>
    <w:rsid w:val="0056425C"/>
    <w:rsid w:val="00564270"/>
    <w:rsid w:val="005644FF"/>
    <w:rsid w:val="00564A66"/>
    <w:rsid w:val="00564C0F"/>
    <w:rsid w:val="00564C7A"/>
    <w:rsid w:val="00564D21"/>
    <w:rsid w:val="005653BA"/>
    <w:rsid w:val="005657CF"/>
    <w:rsid w:val="00565AE4"/>
    <w:rsid w:val="00565BF3"/>
    <w:rsid w:val="00565FAA"/>
    <w:rsid w:val="005665F0"/>
    <w:rsid w:val="005667CD"/>
    <w:rsid w:val="005669E2"/>
    <w:rsid w:val="00566ABB"/>
    <w:rsid w:val="00566CA3"/>
    <w:rsid w:val="00566D3D"/>
    <w:rsid w:val="00567242"/>
    <w:rsid w:val="00567348"/>
    <w:rsid w:val="00567AED"/>
    <w:rsid w:val="00567DD7"/>
    <w:rsid w:val="0057060F"/>
    <w:rsid w:val="00570679"/>
    <w:rsid w:val="00570682"/>
    <w:rsid w:val="0057090B"/>
    <w:rsid w:val="005709D1"/>
    <w:rsid w:val="00570A6B"/>
    <w:rsid w:val="00570CF2"/>
    <w:rsid w:val="005710D7"/>
    <w:rsid w:val="0057117A"/>
    <w:rsid w:val="0057127A"/>
    <w:rsid w:val="00571397"/>
    <w:rsid w:val="00571EC8"/>
    <w:rsid w:val="0057270C"/>
    <w:rsid w:val="00572A9C"/>
    <w:rsid w:val="00572D32"/>
    <w:rsid w:val="00572E20"/>
    <w:rsid w:val="0057313A"/>
    <w:rsid w:val="005732F7"/>
    <w:rsid w:val="0057342D"/>
    <w:rsid w:val="0057352E"/>
    <w:rsid w:val="00573610"/>
    <w:rsid w:val="00573842"/>
    <w:rsid w:val="005738B0"/>
    <w:rsid w:val="005738C0"/>
    <w:rsid w:val="0057395B"/>
    <w:rsid w:val="0057397E"/>
    <w:rsid w:val="005739D8"/>
    <w:rsid w:val="00573A0C"/>
    <w:rsid w:val="00573B37"/>
    <w:rsid w:val="00573DB8"/>
    <w:rsid w:val="00573E7B"/>
    <w:rsid w:val="00574420"/>
    <w:rsid w:val="005745BE"/>
    <w:rsid w:val="00574A47"/>
    <w:rsid w:val="00574B9A"/>
    <w:rsid w:val="00574CBA"/>
    <w:rsid w:val="00574DBF"/>
    <w:rsid w:val="00575605"/>
    <w:rsid w:val="00575657"/>
    <w:rsid w:val="005756CD"/>
    <w:rsid w:val="0057571D"/>
    <w:rsid w:val="0057576C"/>
    <w:rsid w:val="00575BCE"/>
    <w:rsid w:val="00575C03"/>
    <w:rsid w:val="00575DD9"/>
    <w:rsid w:val="005761C6"/>
    <w:rsid w:val="005763B9"/>
    <w:rsid w:val="00576570"/>
    <w:rsid w:val="005765AF"/>
    <w:rsid w:val="005765D8"/>
    <w:rsid w:val="005765DA"/>
    <w:rsid w:val="0057664B"/>
    <w:rsid w:val="005766D7"/>
    <w:rsid w:val="00576715"/>
    <w:rsid w:val="0057680D"/>
    <w:rsid w:val="00576861"/>
    <w:rsid w:val="00576DDD"/>
    <w:rsid w:val="0057738C"/>
    <w:rsid w:val="005774FC"/>
    <w:rsid w:val="00577749"/>
    <w:rsid w:val="005777EC"/>
    <w:rsid w:val="00577862"/>
    <w:rsid w:val="0057787B"/>
    <w:rsid w:val="005778C4"/>
    <w:rsid w:val="005779B7"/>
    <w:rsid w:val="00577C99"/>
    <w:rsid w:val="00577DBA"/>
    <w:rsid w:val="00577EEC"/>
    <w:rsid w:val="00577F0B"/>
    <w:rsid w:val="00580256"/>
    <w:rsid w:val="00580288"/>
    <w:rsid w:val="00580AC0"/>
    <w:rsid w:val="005811D6"/>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9D3"/>
    <w:rsid w:val="00582A73"/>
    <w:rsid w:val="00582B14"/>
    <w:rsid w:val="00582BE8"/>
    <w:rsid w:val="005830A5"/>
    <w:rsid w:val="005830A9"/>
    <w:rsid w:val="00583264"/>
    <w:rsid w:val="0058358B"/>
    <w:rsid w:val="00583926"/>
    <w:rsid w:val="005839BE"/>
    <w:rsid w:val="00583A2A"/>
    <w:rsid w:val="00583B54"/>
    <w:rsid w:val="00583CFA"/>
    <w:rsid w:val="00583CFB"/>
    <w:rsid w:val="00583E68"/>
    <w:rsid w:val="0058401B"/>
    <w:rsid w:val="00584157"/>
    <w:rsid w:val="00584611"/>
    <w:rsid w:val="00584973"/>
    <w:rsid w:val="00584A8B"/>
    <w:rsid w:val="00584A98"/>
    <w:rsid w:val="00584C34"/>
    <w:rsid w:val="00584CD4"/>
    <w:rsid w:val="00584D0E"/>
    <w:rsid w:val="00584D76"/>
    <w:rsid w:val="00584FC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684"/>
    <w:rsid w:val="005877BB"/>
    <w:rsid w:val="00587B6C"/>
    <w:rsid w:val="00587B78"/>
    <w:rsid w:val="00587CED"/>
    <w:rsid w:val="00587FAE"/>
    <w:rsid w:val="00590354"/>
    <w:rsid w:val="00590414"/>
    <w:rsid w:val="00590752"/>
    <w:rsid w:val="00590AD1"/>
    <w:rsid w:val="00590C55"/>
    <w:rsid w:val="00590C6F"/>
    <w:rsid w:val="00590CFA"/>
    <w:rsid w:val="00590DC7"/>
    <w:rsid w:val="00590F53"/>
    <w:rsid w:val="00590FD3"/>
    <w:rsid w:val="00591637"/>
    <w:rsid w:val="0059177C"/>
    <w:rsid w:val="0059185A"/>
    <w:rsid w:val="00591989"/>
    <w:rsid w:val="00591A44"/>
    <w:rsid w:val="00591E4F"/>
    <w:rsid w:val="005921BA"/>
    <w:rsid w:val="005921F1"/>
    <w:rsid w:val="0059222E"/>
    <w:rsid w:val="005922F4"/>
    <w:rsid w:val="005923F0"/>
    <w:rsid w:val="00592701"/>
    <w:rsid w:val="005929CB"/>
    <w:rsid w:val="005929DA"/>
    <w:rsid w:val="00592A5E"/>
    <w:rsid w:val="00592B18"/>
    <w:rsid w:val="00592C97"/>
    <w:rsid w:val="00592D7B"/>
    <w:rsid w:val="00592D96"/>
    <w:rsid w:val="00592E01"/>
    <w:rsid w:val="00592E0A"/>
    <w:rsid w:val="00592E8C"/>
    <w:rsid w:val="00592EE3"/>
    <w:rsid w:val="0059360E"/>
    <w:rsid w:val="0059397C"/>
    <w:rsid w:val="00593A3D"/>
    <w:rsid w:val="00593D81"/>
    <w:rsid w:val="00593DC7"/>
    <w:rsid w:val="00593E8C"/>
    <w:rsid w:val="0059402D"/>
    <w:rsid w:val="0059417D"/>
    <w:rsid w:val="00594181"/>
    <w:rsid w:val="0059430A"/>
    <w:rsid w:val="00594646"/>
    <w:rsid w:val="00594751"/>
    <w:rsid w:val="00594862"/>
    <w:rsid w:val="0059491C"/>
    <w:rsid w:val="00594FA4"/>
    <w:rsid w:val="00594FD4"/>
    <w:rsid w:val="00595216"/>
    <w:rsid w:val="005952C6"/>
    <w:rsid w:val="00595626"/>
    <w:rsid w:val="00595786"/>
    <w:rsid w:val="0059596F"/>
    <w:rsid w:val="00595A15"/>
    <w:rsid w:val="00595C38"/>
    <w:rsid w:val="00595E13"/>
    <w:rsid w:val="00595E94"/>
    <w:rsid w:val="00596326"/>
    <w:rsid w:val="005963BD"/>
    <w:rsid w:val="00596E91"/>
    <w:rsid w:val="00597128"/>
    <w:rsid w:val="00597712"/>
    <w:rsid w:val="00597BA4"/>
    <w:rsid w:val="00597CD5"/>
    <w:rsid w:val="005A0033"/>
    <w:rsid w:val="005A03CA"/>
    <w:rsid w:val="005A0472"/>
    <w:rsid w:val="005A04C0"/>
    <w:rsid w:val="005A04D1"/>
    <w:rsid w:val="005A0649"/>
    <w:rsid w:val="005A06BB"/>
    <w:rsid w:val="005A07AB"/>
    <w:rsid w:val="005A0B10"/>
    <w:rsid w:val="005A0B27"/>
    <w:rsid w:val="005A0C50"/>
    <w:rsid w:val="005A0F17"/>
    <w:rsid w:val="005A1029"/>
    <w:rsid w:val="005A12B2"/>
    <w:rsid w:val="005A13A2"/>
    <w:rsid w:val="005A1582"/>
    <w:rsid w:val="005A1627"/>
    <w:rsid w:val="005A16ED"/>
    <w:rsid w:val="005A1705"/>
    <w:rsid w:val="005A1745"/>
    <w:rsid w:val="005A1EDE"/>
    <w:rsid w:val="005A2028"/>
    <w:rsid w:val="005A2123"/>
    <w:rsid w:val="005A233B"/>
    <w:rsid w:val="005A24BE"/>
    <w:rsid w:val="005A2644"/>
    <w:rsid w:val="005A27CB"/>
    <w:rsid w:val="005A27E3"/>
    <w:rsid w:val="005A293A"/>
    <w:rsid w:val="005A2B7F"/>
    <w:rsid w:val="005A2EE2"/>
    <w:rsid w:val="005A2F17"/>
    <w:rsid w:val="005A2FDD"/>
    <w:rsid w:val="005A3146"/>
    <w:rsid w:val="005A3620"/>
    <w:rsid w:val="005A3B37"/>
    <w:rsid w:val="005A3F52"/>
    <w:rsid w:val="005A3FEA"/>
    <w:rsid w:val="005A4173"/>
    <w:rsid w:val="005A420C"/>
    <w:rsid w:val="005A47FA"/>
    <w:rsid w:val="005A4A7B"/>
    <w:rsid w:val="005A4D37"/>
    <w:rsid w:val="005A5591"/>
    <w:rsid w:val="005A57F0"/>
    <w:rsid w:val="005A60E6"/>
    <w:rsid w:val="005A6B2F"/>
    <w:rsid w:val="005A71D3"/>
    <w:rsid w:val="005A72B0"/>
    <w:rsid w:val="005A72F8"/>
    <w:rsid w:val="005A74DB"/>
    <w:rsid w:val="005A7C37"/>
    <w:rsid w:val="005B0005"/>
    <w:rsid w:val="005B0147"/>
    <w:rsid w:val="005B02B4"/>
    <w:rsid w:val="005B0554"/>
    <w:rsid w:val="005B062B"/>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C42"/>
    <w:rsid w:val="005B4D50"/>
    <w:rsid w:val="005B4E27"/>
    <w:rsid w:val="005B4F72"/>
    <w:rsid w:val="005B5059"/>
    <w:rsid w:val="005B528F"/>
    <w:rsid w:val="005B5386"/>
    <w:rsid w:val="005B5979"/>
    <w:rsid w:val="005B5B81"/>
    <w:rsid w:val="005B5DE5"/>
    <w:rsid w:val="005B6167"/>
    <w:rsid w:val="005B6270"/>
    <w:rsid w:val="005B6364"/>
    <w:rsid w:val="005B6450"/>
    <w:rsid w:val="005B66D7"/>
    <w:rsid w:val="005B698B"/>
    <w:rsid w:val="005B7325"/>
    <w:rsid w:val="005B7435"/>
    <w:rsid w:val="005B7563"/>
    <w:rsid w:val="005B7653"/>
    <w:rsid w:val="005B78FA"/>
    <w:rsid w:val="005B79AD"/>
    <w:rsid w:val="005B7A60"/>
    <w:rsid w:val="005B7F08"/>
    <w:rsid w:val="005B7FF9"/>
    <w:rsid w:val="005C02B6"/>
    <w:rsid w:val="005C0316"/>
    <w:rsid w:val="005C0431"/>
    <w:rsid w:val="005C08BD"/>
    <w:rsid w:val="005C0A12"/>
    <w:rsid w:val="005C0C00"/>
    <w:rsid w:val="005C167E"/>
    <w:rsid w:val="005C16ED"/>
    <w:rsid w:val="005C1E88"/>
    <w:rsid w:val="005C1F94"/>
    <w:rsid w:val="005C202B"/>
    <w:rsid w:val="005C20B8"/>
    <w:rsid w:val="005C2157"/>
    <w:rsid w:val="005C2623"/>
    <w:rsid w:val="005C2BAD"/>
    <w:rsid w:val="005C2FCC"/>
    <w:rsid w:val="005C31C6"/>
    <w:rsid w:val="005C3201"/>
    <w:rsid w:val="005C3581"/>
    <w:rsid w:val="005C371A"/>
    <w:rsid w:val="005C3CA1"/>
    <w:rsid w:val="005C3D51"/>
    <w:rsid w:val="005C3D63"/>
    <w:rsid w:val="005C3DA4"/>
    <w:rsid w:val="005C3F83"/>
    <w:rsid w:val="005C3F97"/>
    <w:rsid w:val="005C4176"/>
    <w:rsid w:val="005C482E"/>
    <w:rsid w:val="005C49E2"/>
    <w:rsid w:val="005C4A24"/>
    <w:rsid w:val="005C4AFB"/>
    <w:rsid w:val="005C4C48"/>
    <w:rsid w:val="005C50BD"/>
    <w:rsid w:val="005C50F8"/>
    <w:rsid w:val="005C5103"/>
    <w:rsid w:val="005C514F"/>
    <w:rsid w:val="005C55A7"/>
    <w:rsid w:val="005C58B0"/>
    <w:rsid w:val="005C5993"/>
    <w:rsid w:val="005C5B32"/>
    <w:rsid w:val="005C5BAA"/>
    <w:rsid w:val="005C5C56"/>
    <w:rsid w:val="005C5EE4"/>
    <w:rsid w:val="005C5FBC"/>
    <w:rsid w:val="005C612A"/>
    <w:rsid w:val="005C6753"/>
    <w:rsid w:val="005C6CC3"/>
    <w:rsid w:val="005C6D85"/>
    <w:rsid w:val="005C6EAF"/>
    <w:rsid w:val="005C6EB2"/>
    <w:rsid w:val="005C6EFD"/>
    <w:rsid w:val="005C6F27"/>
    <w:rsid w:val="005C70D6"/>
    <w:rsid w:val="005C79B7"/>
    <w:rsid w:val="005C7F0D"/>
    <w:rsid w:val="005D00C9"/>
    <w:rsid w:val="005D0213"/>
    <w:rsid w:val="005D02EF"/>
    <w:rsid w:val="005D03ED"/>
    <w:rsid w:val="005D06A3"/>
    <w:rsid w:val="005D0713"/>
    <w:rsid w:val="005D0A71"/>
    <w:rsid w:val="005D0C6C"/>
    <w:rsid w:val="005D0FD4"/>
    <w:rsid w:val="005D1152"/>
    <w:rsid w:val="005D1154"/>
    <w:rsid w:val="005D1179"/>
    <w:rsid w:val="005D12C4"/>
    <w:rsid w:val="005D165F"/>
    <w:rsid w:val="005D172D"/>
    <w:rsid w:val="005D1AEE"/>
    <w:rsid w:val="005D1B6E"/>
    <w:rsid w:val="005D22C6"/>
    <w:rsid w:val="005D23A5"/>
    <w:rsid w:val="005D2734"/>
    <w:rsid w:val="005D27EB"/>
    <w:rsid w:val="005D2C2D"/>
    <w:rsid w:val="005D2CF5"/>
    <w:rsid w:val="005D2D7C"/>
    <w:rsid w:val="005D2F21"/>
    <w:rsid w:val="005D302A"/>
    <w:rsid w:val="005D314E"/>
    <w:rsid w:val="005D31C3"/>
    <w:rsid w:val="005D355C"/>
    <w:rsid w:val="005D3646"/>
    <w:rsid w:val="005D366D"/>
    <w:rsid w:val="005D380F"/>
    <w:rsid w:val="005D3844"/>
    <w:rsid w:val="005D385B"/>
    <w:rsid w:val="005D3947"/>
    <w:rsid w:val="005D3E4D"/>
    <w:rsid w:val="005D3EAB"/>
    <w:rsid w:val="005D4040"/>
    <w:rsid w:val="005D4297"/>
    <w:rsid w:val="005D4442"/>
    <w:rsid w:val="005D478C"/>
    <w:rsid w:val="005D495B"/>
    <w:rsid w:val="005D4E4B"/>
    <w:rsid w:val="005D5078"/>
    <w:rsid w:val="005D5439"/>
    <w:rsid w:val="005D5540"/>
    <w:rsid w:val="005D5699"/>
    <w:rsid w:val="005D59A9"/>
    <w:rsid w:val="005D5B8D"/>
    <w:rsid w:val="005D623A"/>
    <w:rsid w:val="005D6551"/>
    <w:rsid w:val="005D67F8"/>
    <w:rsid w:val="005D6834"/>
    <w:rsid w:val="005D6954"/>
    <w:rsid w:val="005D6BF6"/>
    <w:rsid w:val="005D6E4C"/>
    <w:rsid w:val="005D6E7A"/>
    <w:rsid w:val="005D701B"/>
    <w:rsid w:val="005D74CA"/>
    <w:rsid w:val="005D75D2"/>
    <w:rsid w:val="005D792C"/>
    <w:rsid w:val="005D7A5B"/>
    <w:rsid w:val="005D7B37"/>
    <w:rsid w:val="005D7D81"/>
    <w:rsid w:val="005E005F"/>
    <w:rsid w:val="005E01F9"/>
    <w:rsid w:val="005E03EE"/>
    <w:rsid w:val="005E04D2"/>
    <w:rsid w:val="005E076C"/>
    <w:rsid w:val="005E0988"/>
    <w:rsid w:val="005E0B29"/>
    <w:rsid w:val="005E0CBE"/>
    <w:rsid w:val="005E0D58"/>
    <w:rsid w:val="005E0DC5"/>
    <w:rsid w:val="005E133D"/>
    <w:rsid w:val="005E146C"/>
    <w:rsid w:val="005E1495"/>
    <w:rsid w:val="005E1821"/>
    <w:rsid w:val="005E1979"/>
    <w:rsid w:val="005E1FF8"/>
    <w:rsid w:val="005E206F"/>
    <w:rsid w:val="005E216C"/>
    <w:rsid w:val="005E2206"/>
    <w:rsid w:val="005E2222"/>
    <w:rsid w:val="005E22DB"/>
    <w:rsid w:val="005E2615"/>
    <w:rsid w:val="005E2C86"/>
    <w:rsid w:val="005E2D73"/>
    <w:rsid w:val="005E2E11"/>
    <w:rsid w:val="005E3116"/>
    <w:rsid w:val="005E3188"/>
    <w:rsid w:val="005E373D"/>
    <w:rsid w:val="005E3AEB"/>
    <w:rsid w:val="005E3C2D"/>
    <w:rsid w:val="005E3E3D"/>
    <w:rsid w:val="005E4176"/>
    <w:rsid w:val="005E4257"/>
    <w:rsid w:val="005E4349"/>
    <w:rsid w:val="005E4493"/>
    <w:rsid w:val="005E44E6"/>
    <w:rsid w:val="005E4AF9"/>
    <w:rsid w:val="005E4B74"/>
    <w:rsid w:val="005E4E22"/>
    <w:rsid w:val="005E5127"/>
    <w:rsid w:val="005E5300"/>
    <w:rsid w:val="005E5571"/>
    <w:rsid w:val="005E5996"/>
    <w:rsid w:val="005E5A64"/>
    <w:rsid w:val="005E5D36"/>
    <w:rsid w:val="005E61C5"/>
    <w:rsid w:val="005E6607"/>
    <w:rsid w:val="005E6611"/>
    <w:rsid w:val="005E67CB"/>
    <w:rsid w:val="005E68F2"/>
    <w:rsid w:val="005E6BB4"/>
    <w:rsid w:val="005E6E42"/>
    <w:rsid w:val="005E711B"/>
    <w:rsid w:val="005E7395"/>
    <w:rsid w:val="005E75BC"/>
    <w:rsid w:val="005E7AAA"/>
    <w:rsid w:val="005E7B4F"/>
    <w:rsid w:val="005E7CAE"/>
    <w:rsid w:val="005E7F08"/>
    <w:rsid w:val="005F0176"/>
    <w:rsid w:val="005F0B07"/>
    <w:rsid w:val="005F0F77"/>
    <w:rsid w:val="005F1465"/>
    <w:rsid w:val="005F158E"/>
    <w:rsid w:val="005F1C92"/>
    <w:rsid w:val="005F1FA2"/>
    <w:rsid w:val="005F218D"/>
    <w:rsid w:val="005F22B8"/>
    <w:rsid w:val="005F23E7"/>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F83"/>
    <w:rsid w:val="005F51D5"/>
    <w:rsid w:val="005F58B7"/>
    <w:rsid w:val="005F5AD7"/>
    <w:rsid w:val="005F5EC9"/>
    <w:rsid w:val="005F61F3"/>
    <w:rsid w:val="005F628B"/>
    <w:rsid w:val="005F62F9"/>
    <w:rsid w:val="005F6C6A"/>
    <w:rsid w:val="005F6CA6"/>
    <w:rsid w:val="005F6F55"/>
    <w:rsid w:val="005F720F"/>
    <w:rsid w:val="005F7340"/>
    <w:rsid w:val="005F73D4"/>
    <w:rsid w:val="005F73EF"/>
    <w:rsid w:val="005F7548"/>
    <w:rsid w:val="005F7767"/>
    <w:rsid w:val="005F7780"/>
    <w:rsid w:val="005F7A27"/>
    <w:rsid w:val="005F7E8E"/>
    <w:rsid w:val="005F7FD9"/>
    <w:rsid w:val="00600255"/>
    <w:rsid w:val="006004D3"/>
    <w:rsid w:val="00600503"/>
    <w:rsid w:val="0060078F"/>
    <w:rsid w:val="00600A65"/>
    <w:rsid w:val="00600E8A"/>
    <w:rsid w:val="0060102F"/>
    <w:rsid w:val="006010BD"/>
    <w:rsid w:val="006012F5"/>
    <w:rsid w:val="00601611"/>
    <w:rsid w:val="00601704"/>
    <w:rsid w:val="0060173A"/>
    <w:rsid w:val="00601E5B"/>
    <w:rsid w:val="00601EE1"/>
    <w:rsid w:val="00602285"/>
    <w:rsid w:val="006026AB"/>
    <w:rsid w:val="006029DA"/>
    <w:rsid w:val="00603290"/>
    <w:rsid w:val="00603593"/>
    <w:rsid w:val="00603839"/>
    <w:rsid w:val="00603A03"/>
    <w:rsid w:val="00603A71"/>
    <w:rsid w:val="00603EC9"/>
    <w:rsid w:val="006041E1"/>
    <w:rsid w:val="00604250"/>
    <w:rsid w:val="00604512"/>
    <w:rsid w:val="006048E4"/>
    <w:rsid w:val="00604979"/>
    <w:rsid w:val="00604C13"/>
    <w:rsid w:val="00604CE7"/>
    <w:rsid w:val="00605032"/>
    <w:rsid w:val="006052F1"/>
    <w:rsid w:val="00605404"/>
    <w:rsid w:val="00605492"/>
    <w:rsid w:val="0060573D"/>
    <w:rsid w:val="00605BF6"/>
    <w:rsid w:val="00605C5D"/>
    <w:rsid w:val="00605D53"/>
    <w:rsid w:val="00606301"/>
    <w:rsid w:val="00606558"/>
    <w:rsid w:val="00606589"/>
    <w:rsid w:val="00606931"/>
    <w:rsid w:val="00606AD8"/>
    <w:rsid w:val="0060702A"/>
    <w:rsid w:val="0060715C"/>
    <w:rsid w:val="0060719E"/>
    <w:rsid w:val="00607230"/>
    <w:rsid w:val="0060734E"/>
    <w:rsid w:val="00607892"/>
    <w:rsid w:val="00607D95"/>
    <w:rsid w:val="00607D9E"/>
    <w:rsid w:val="00607FAA"/>
    <w:rsid w:val="00607FE2"/>
    <w:rsid w:val="0061004E"/>
    <w:rsid w:val="00610328"/>
    <w:rsid w:val="00610533"/>
    <w:rsid w:val="006107D3"/>
    <w:rsid w:val="00610846"/>
    <w:rsid w:val="00610C00"/>
    <w:rsid w:val="00610E34"/>
    <w:rsid w:val="00610F31"/>
    <w:rsid w:val="0061131B"/>
    <w:rsid w:val="00611489"/>
    <w:rsid w:val="0061167F"/>
    <w:rsid w:val="00611E54"/>
    <w:rsid w:val="00611E6E"/>
    <w:rsid w:val="00612129"/>
    <w:rsid w:val="006122EC"/>
    <w:rsid w:val="006123A4"/>
    <w:rsid w:val="006123D8"/>
    <w:rsid w:val="006125C5"/>
    <w:rsid w:val="00612742"/>
    <w:rsid w:val="0061307E"/>
    <w:rsid w:val="006132C1"/>
    <w:rsid w:val="0061343B"/>
    <w:rsid w:val="006137C3"/>
    <w:rsid w:val="00613DFA"/>
    <w:rsid w:val="00614219"/>
    <w:rsid w:val="0061429A"/>
    <w:rsid w:val="006143AF"/>
    <w:rsid w:val="0061450F"/>
    <w:rsid w:val="006145FF"/>
    <w:rsid w:val="00614684"/>
    <w:rsid w:val="006147F9"/>
    <w:rsid w:val="00614AFC"/>
    <w:rsid w:val="00614B9D"/>
    <w:rsid w:val="00614DF2"/>
    <w:rsid w:val="00614F2F"/>
    <w:rsid w:val="00615204"/>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17FA5"/>
    <w:rsid w:val="006200CF"/>
    <w:rsid w:val="0062011E"/>
    <w:rsid w:val="00620304"/>
    <w:rsid w:val="006205CB"/>
    <w:rsid w:val="0062073A"/>
    <w:rsid w:val="006207EF"/>
    <w:rsid w:val="00620814"/>
    <w:rsid w:val="00620991"/>
    <w:rsid w:val="00620C6F"/>
    <w:rsid w:val="00620D61"/>
    <w:rsid w:val="00620DEF"/>
    <w:rsid w:val="00620E26"/>
    <w:rsid w:val="006210C5"/>
    <w:rsid w:val="00621106"/>
    <w:rsid w:val="00621432"/>
    <w:rsid w:val="006214EB"/>
    <w:rsid w:val="00621DA0"/>
    <w:rsid w:val="0062213B"/>
    <w:rsid w:val="00622213"/>
    <w:rsid w:val="00622583"/>
    <w:rsid w:val="00622625"/>
    <w:rsid w:val="006226C3"/>
    <w:rsid w:val="00622903"/>
    <w:rsid w:val="00622973"/>
    <w:rsid w:val="00622D6C"/>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4FE7"/>
    <w:rsid w:val="006252F3"/>
    <w:rsid w:val="006256F3"/>
    <w:rsid w:val="00626132"/>
    <w:rsid w:val="00626629"/>
    <w:rsid w:val="00626C65"/>
    <w:rsid w:val="00626C8A"/>
    <w:rsid w:val="00626ED8"/>
    <w:rsid w:val="00626EDD"/>
    <w:rsid w:val="00627011"/>
    <w:rsid w:val="006270CE"/>
    <w:rsid w:val="0062758E"/>
    <w:rsid w:val="00627AC7"/>
    <w:rsid w:val="00627B8D"/>
    <w:rsid w:val="00627C99"/>
    <w:rsid w:val="00627FB7"/>
    <w:rsid w:val="00630309"/>
    <w:rsid w:val="00630753"/>
    <w:rsid w:val="00630991"/>
    <w:rsid w:val="00630F5D"/>
    <w:rsid w:val="00631000"/>
    <w:rsid w:val="00631029"/>
    <w:rsid w:val="00631161"/>
    <w:rsid w:val="006314A1"/>
    <w:rsid w:val="0063167F"/>
    <w:rsid w:val="006317F9"/>
    <w:rsid w:val="00631D50"/>
    <w:rsid w:val="00632015"/>
    <w:rsid w:val="0063201A"/>
    <w:rsid w:val="00632086"/>
    <w:rsid w:val="0063209C"/>
    <w:rsid w:val="0063265F"/>
    <w:rsid w:val="00632694"/>
    <w:rsid w:val="006329A5"/>
    <w:rsid w:val="00632E8D"/>
    <w:rsid w:val="00632EFF"/>
    <w:rsid w:val="0063336F"/>
    <w:rsid w:val="0063344D"/>
    <w:rsid w:val="00633749"/>
    <w:rsid w:val="006338A3"/>
    <w:rsid w:val="00633B83"/>
    <w:rsid w:val="00633ED5"/>
    <w:rsid w:val="006340AD"/>
    <w:rsid w:val="006340E2"/>
    <w:rsid w:val="006343BE"/>
    <w:rsid w:val="0063444B"/>
    <w:rsid w:val="006346F3"/>
    <w:rsid w:val="00635156"/>
    <w:rsid w:val="006351BE"/>
    <w:rsid w:val="006353A7"/>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4F6"/>
    <w:rsid w:val="00640CC2"/>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1BE"/>
    <w:rsid w:val="006455B2"/>
    <w:rsid w:val="00645601"/>
    <w:rsid w:val="0064577B"/>
    <w:rsid w:val="006457BA"/>
    <w:rsid w:val="00645884"/>
    <w:rsid w:val="00645934"/>
    <w:rsid w:val="00645B9C"/>
    <w:rsid w:val="00645BCF"/>
    <w:rsid w:val="00645BF4"/>
    <w:rsid w:val="00645E97"/>
    <w:rsid w:val="00645EBA"/>
    <w:rsid w:val="00645FB4"/>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CDC"/>
    <w:rsid w:val="00650D34"/>
    <w:rsid w:val="0065124D"/>
    <w:rsid w:val="0065137D"/>
    <w:rsid w:val="0065159D"/>
    <w:rsid w:val="006516F6"/>
    <w:rsid w:val="0065177A"/>
    <w:rsid w:val="006517CF"/>
    <w:rsid w:val="00651900"/>
    <w:rsid w:val="00651E17"/>
    <w:rsid w:val="00651E8E"/>
    <w:rsid w:val="00652062"/>
    <w:rsid w:val="00652266"/>
    <w:rsid w:val="0065227C"/>
    <w:rsid w:val="006523C9"/>
    <w:rsid w:val="006524F6"/>
    <w:rsid w:val="006525B9"/>
    <w:rsid w:val="0065280C"/>
    <w:rsid w:val="00652980"/>
    <w:rsid w:val="00652BA8"/>
    <w:rsid w:val="00652E43"/>
    <w:rsid w:val="00653095"/>
    <w:rsid w:val="0065341C"/>
    <w:rsid w:val="0065360E"/>
    <w:rsid w:val="00653A46"/>
    <w:rsid w:val="00653A5A"/>
    <w:rsid w:val="00653EF5"/>
    <w:rsid w:val="00653FF1"/>
    <w:rsid w:val="006547E3"/>
    <w:rsid w:val="00654928"/>
    <w:rsid w:val="00654DE7"/>
    <w:rsid w:val="00654E12"/>
    <w:rsid w:val="00654FD2"/>
    <w:rsid w:val="00655329"/>
    <w:rsid w:val="006553EB"/>
    <w:rsid w:val="006557A6"/>
    <w:rsid w:val="00655983"/>
    <w:rsid w:val="00655D6A"/>
    <w:rsid w:val="00655FA2"/>
    <w:rsid w:val="00656992"/>
    <w:rsid w:val="00656C84"/>
    <w:rsid w:val="00656D21"/>
    <w:rsid w:val="00657736"/>
    <w:rsid w:val="00657793"/>
    <w:rsid w:val="00657E26"/>
    <w:rsid w:val="00660125"/>
    <w:rsid w:val="00660205"/>
    <w:rsid w:val="0066025C"/>
    <w:rsid w:val="006603A6"/>
    <w:rsid w:val="00660475"/>
    <w:rsid w:val="006604DF"/>
    <w:rsid w:val="00660536"/>
    <w:rsid w:val="006606C5"/>
    <w:rsid w:val="00660767"/>
    <w:rsid w:val="00660AAE"/>
    <w:rsid w:val="00660CE7"/>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11D"/>
    <w:rsid w:val="00662513"/>
    <w:rsid w:val="00662713"/>
    <w:rsid w:val="006627DA"/>
    <w:rsid w:val="00662981"/>
    <w:rsid w:val="00662DD4"/>
    <w:rsid w:val="00662E0C"/>
    <w:rsid w:val="00662E45"/>
    <w:rsid w:val="006631F5"/>
    <w:rsid w:val="006635BB"/>
    <w:rsid w:val="006636F0"/>
    <w:rsid w:val="00663774"/>
    <w:rsid w:val="00663B43"/>
    <w:rsid w:val="00663D00"/>
    <w:rsid w:val="00663D7C"/>
    <w:rsid w:val="006640F4"/>
    <w:rsid w:val="006641CE"/>
    <w:rsid w:val="006647B2"/>
    <w:rsid w:val="006649DF"/>
    <w:rsid w:val="00664EC6"/>
    <w:rsid w:val="00665014"/>
    <w:rsid w:val="006650E6"/>
    <w:rsid w:val="0066515E"/>
    <w:rsid w:val="00665E52"/>
    <w:rsid w:val="00666096"/>
    <w:rsid w:val="0066625E"/>
    <w:rsid w:val="0066626A"/>
    <w:rsid w:val="0066639F"/>
    <w:rsid w:val="0066658B"/>
    <w:rsid w:val="006666FF"/>
    <w:rsid w:val="006667B9"/>
    <w:rsid w:val="006668A0"/>
    <w:rsid w:val="00666B0D"/>
    <w:rsid w:val="00666DAD"/>
    <w:rsid w:val="00666F9D"/>
    <w:rsid w:val="00667393"/>
    <w:rsid w:val="00667BCB"/>
    <w:rsid w:val="00667BDE"/>
    <w:rsid w:val="00667DF3"/>
    <w:rsid w:val="00667E84"/>
    <w:rsid w:val="00667EA3"/>
    <w:rsid w:val="00667F70"/>
    <w:rsid w:val="00667FB1"/>
    <w:rsid w:val="00667FBE"/>
    <w:rsid w:val="006702CB"/>
    <w:rsid w:val="00670352"/>
    <w:rsid w:val="00670409"/>
    <w:rsid w:val="00670588"/>
    <w:rsid w:val="0067066F"/>
    <w:rsid w:val="00670A84"/>
    <w:rsid w:val="00670AF4"/>
    <w:rsid w:val="00670B8D"/>
    <w:rsid w:val="00670D40"/>
    <w:rsid w:val="00670E1F"/>
    <w:rsid w:val="00670EF3"/>
    <w:rsid w:val="00670F60"/>
    <w:rsid w:val="00670FC2"/>
    <w:rsid w:val="00670FCB"/>
    <w:rsid w:val="006710D7"/>
    <w:rsid w:val="0067120A"/>
    <w:rsid w:val="0067121E"/>
    <w:rsid w:val="0067127D"/>
    <w:rsid w:val="00671338"/>
    <w:rsid w:val="00671393"/>
    <w:rsid w:val="006713AE"/>
    <w:rsid w:val="00671420"/>
    <w:rsid w:val="0067149E"/>
    <w:rsid w:val="00671700"/>
    <w:rsid w:val="00671937"/>
    <w:rsid w:val="00671982"/>
    <w:rsid w:val="00671EC5"/>
    <w:rsid w:val="00672D51"/>
    <w:rsid w:val="00672F44"/>
    <w:rsid w:val="0067305C"/>
    <w:rsid w:val="006732AA"/>
    <w:rsid w:val="0067330F"/>
    <w:rsid w:val="00673678"/>
    <w:rsid w:val="00673751"/>
    <w:rsid w:val="006737AA"/>
    <w:rsid w:val="006737BC"/>
    <w:rsid w:val="00673BB7"/>
    <w:rsid w:val="00673E21"/>
    <w:rsid w:val="006742DE"/>
    <w:rsid w:val="00674AC1"/>
    <w:rsid w:val="00674BA2"/>
    <w:rsid w:val="00674BEC"/>
    <w:rsid w:val="00674CA4"/>
    <w:rsid w:val="00674D84"/>
    <w:rsid w:val="00674E02"/>
    <w:rsid w:val="00674E29"/>
    <w:rsid w:val="00674E76"/>
    <w:rsid w:val="006751A2"/>
    <w:rsid w:val="006754A6"/>
    <w:rsid w:val="0067593B"/>
    <w:rsid w:val="00675A37"/>
    <w:rsid w:val="00675F1B"/>
    <w:rsid w:val="00675FAD"/>
    <w:rsid w:val="00675FDD"/>
    <w:rsid w:val="00676405"/>
    <w:rsid w:val="006765D8"/>
    <w:rsid w:val="006766EA"/>
    <w:rsid w:val="006767AC"/>
    <w:rsid w:val="00676807"/>
    <w:rsid w:val="00676C31"/>
    <w:rsid w:val="00676D46"/>
    <w:rsid w:val="00676EC4"/>
    <w:rsid w:val="00676F0E"/>
    <w:rsid w:val="006772D6"/>
    <w:rsid w:val="00677359"/>
    <w:rsid w:val="00677364"/>
    <w:rsid w:val="006776EC"/>
    <w:rsid w:val="00677725"/>
    <w:rsid w:val="00677C1E"/>
    <w:rsid w:val="0068042B"/>
    <w:rsid w:val="0068083E"/>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5D2"/>
    <w:rsid w:val="006827D9"/>
    <w:rsid w:val="00682861"/>
    <w:rsid w:val="006829B5"/>
    <w:rsid w:val="00682B1E"/>
    <w:rsid w:val="00682C03"/>
    <w:rsid w:val="00682CC7"/>
    <w:rsid w:val="00682DFA"/>
    <w:rsid w:val="00682E1F"/>
    <w:rsid w:val="00683026"/>
    <w:rsid w:val="00683071"/>
    <w:rsid w:val="0068314D"/>
    <w:rsid w:val="0068367B"/>
    <w:rsid w:val="00683AE6"/>
    <w:rsid w:val="00683B40"/>
    <w:rsid w:val="00683D7E"/>
    <w:rsid w:val="00683FCC"/>
    <w:rsid w:val="006840C6"/>
    <w:rsid w:val="006842ED"/>
    <w:rsid w:val="00684327"/>
    <w:rsid w:val="00684354"/>
    <w:rsid w:val="00684363"/>
    <w:rsid w:val="00684D54"/>
    <w:rsid w:val="00684F9A"/>
    <w:rsid w:val="00684FD9"/>
    <w:rsid w:val="006850AE"/>
    <w:rsid w:val="00685103"/>
    <w:rsid w:val="0068556C"/>
    <w:rsid w:val="00685628"/>
    <w:rsid w:val="006856A6"/>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D11"/>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B2C"/>
    <w:rsid w:val="006930E4"/>
    <w:rsid w:val="006930EE"/>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D2"/>
    <w:rsid w:val="00694090"/>
    <w:rsid w:val="00694285"/>
    <w:rsid w:val="00694479"/>
    <w:rsid w:val="006945B0"/>
    <w:rsid w:val="00694672"/>
    <w:rsid w:val="006947DD"/>
    <w:rsid w:val="006948CF"/>
    <w:rsid w:val="00694941"/>
    <w:rsid w:val="00694BEC"/>
    <w:rsid w:val="00694C23"/>
    <w:rsid w:val="00694C4F"/>
    <w:rsid w:val="00695033"/>
    <w:rsid w:val="00695057"/>
    <w:rsid w:val="00695166"/>
    <w:rsid w:val="0069549E"/>
    <w:rsid w:val="00695537"/>
    <w:rsid w:val="006956D2"/>
    <w:rsid w:val="00695C77"/>
    <w:rsid w:val="00695CC8"/>
    <w:rsid w:val="00695DC1"/>
    <w:rsid w:val="006961F1"/>
    <w:rsid w:val="0069655C"/>
    <w:rsid w:val="00696592"/>
    <w:rsid w:val="00696691"/>
    <w:rsid w:val="00696768"/>
    <w:rsid w:val="006967C4"/>
    <w:rsid w:val="00696A2A"/>
    <w:rsid w:val="00696C94"/>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E8E"/>
    <w:rsid w:val="006A0FFF"/>
    <w:rsid w:val="006A103C"/>
    <w:rsid w:val="006A103D"/>
    <w:rsid w:val="006A18B1"/>
    <w:rsid w:val="006A1904"/>
    <w:rsid w:val="006A1C3E"/>
    <w:rsid w:val="006A212C"/>
    <w:rsid w:val="006A2952"/>
    <w:rsid w:val="006A2B18"/>
    <w:rsid w:val="006A2ED6"/>
    <w:rsid w:val="006A2F1F"/>
    <w:rsid w:val="006A30BF"/>
    <w:rsid w:val="006A3148"/>
    <w:rsid w:val="006A32E3"/>
    <w:rsid w:val="006A3350"/>
    <w:rsid w:val="006A35EE"/>
    <w:rsid w:val="006A36CC"/>
    <w:rsid w:val="006A3938"/>
    <w:rsid w:val="006A4228"/>
    <w:rsid w:val="006A42ED"/>
    <w:rsid w:val="006A45A3"/>
    <w:rsid w:val="006A4704"/>
    <w:rsid w:val="006A499C"/>
    <w:rsid w:val="006A4AF0"/>
    <w:rsid w:val="006A4B60"/>
    <w:rsid w:val="006A51AE"/>
    <w:rsid w:val="006A56A7"/>
    <w:rsid w:val="006A5B5C"/>
    <w:rsid w:val="006A5EB2"/>
    <w:rsid w:val="006A5FBB"/>
    <w:rsid w:val="006A612C"/>
    <w:rsid w:val="006A6533"/>
    <w:rsid w:val="006A657C"/>
    <w:rsid w:val="006A694F"/>
    <w:rsid w:val="006A6ED6"/>
    <w:rsid w:val="006A71B5"/>
    <w:rsid w:val="006A721A"/>
    <w:rsid w:val="006A7298"/>
    <w:rsid w:val="006A761B"/>
    <w:rsid w:val="006A7740"/>
    <w:rsid w:val="006A7801"/>
    <w:rsid w:val="006A797A"/>
    <w:rsid w:val="006A7B9B"/>
    <w:rsid w:val="006A7D37"/>
    <w:rsid w:val="006B0045"/>
    <w:rsid w:val="006B00B8"/>
    <w:rsid w:val="006B00D3"/>
    <w:rsid w:val="006B012C"/>
    <w:rsid w:val="006B02D0"/>
    <w:rsid w:val="006B0575"/>
    <w:rsid w:val="006B0627"/>
    <w:rsid w:val="006B08B8"/>
    <w:rsid w:val="006B0BC7"/>
    <w:rsid w:val="006B1072"/>
    <w:rsid w:val="006B1235"/>
    <w:rsid w:val="006B1246"/>
    <w:rsid w:val="006B1471"/>
    <w:rsid w:val="006B18D6"/>
    <w:rsid w:val="006B1CAC"/>
    <w:rsid w:val="006B1F9A"/>
    <w:rsid w:val="006B24EB"/>
    <w:rsid w:val="006B2581"/>
    <w:rsid w:val="006B2619"/>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D2F"/>
    <w:rsid w:val="006B4E27"/>
    <w:rsid w:val="006B4E41"/>
    <w:rsid w:val="006B4EDA"/>
    <w:rsid w:val="006B4F6F"/>
    <w:rsid w:val="006B5143"/>
    <w:rsid w:val="006B5692"/>
    <w:rsid w:val="006B57B6"/>
    <w:rsid w:val="006B593B"/>
    <w:rsid w:val="006B5FEB"/>
    <w:rsid w:val="006B6268"/>
    <w:rsid w:val="006B648C"/>
    <w:rsid w:val="006B6914"/>
    <w:rsid w:val="006B6916"/>
    <w:rsid w:val="006B6C08"/>
    <w:rsid w:val="006B6E71"/>
    <w:rsid w:val="006B7592"/>
    <w:rsid w:val="006B766B"/>
    <w:rsid w:val="006B76B1"/>
    <w:rsid w:val="006B7BF2"/>
    <w:rsid w:val="006B7CF2"/>
    <w:rsid w:val="006B7ECB"/>
    <w:rsid w:val="006B7FF0"/>
    <w:rsid w:val="006C0489"/>
    <w:rsid w:val="006C0846"/>
    <w:rsid w:val="006C0AA5"/>
    <w:rsid w:val="006C0AE1"/>
    <w:rsid w:val="006C0C06"/>
    <w:rsid w:val="006C0C1D"/>
    <w:rsid w:val="006C0E25"/>
    <w:rsid w:val="006C111D"/>
    <w:rsid w:val="006C1649"/>
    <w:rsid w:val="006C1662"/>
    <w:rsid w:val="006C1C25"/>
    <w:rsid w:val="006C23F8"/>
    <w:rsid w:val="006C2457"/>
    <w:rsid w:val="006C2899"/>
    <w:rsid w:val="006C2954"/>
    <w:rsid w:val="006C2AAD"/>
    <w:rsid w:val="006C3269"/>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52F8"/>
    <w:rsid w:val="006C5A12"/>
    <w:rsid w:val="006C60EF"/>
    <w:rsid w:val="006C6233"/>
    <w:rsid w:val="006C6433"/>
    <w:rsid w:val="006C6435"/>
    <w:rsid w:val="006C64F9"/>
    <w:rsid w:val="006C676E"/>
    <w:rsid w:val="006C67C4"/>
    <w:rsid w:val="006C6E2F"/>
    <w:rsid w:val="006C6E7B"/>
    <w:rsid w:val="006C6EB2"/>
    <w:rsid w:val="006C75AE"/>
    <w:rsid w:val="006C7CBF"/>
    <w:rsid w:val="006C7DCE"/>
    <w:rsid w:val="006D0173"/>
    <w:rsid w:val="006D0271"/>
    <w:rsid w:val="006D0399"/>
    <w:rsid w:val="006D0A96"/>
    <w:rsid w:val="006D0ADC"/>
    <w:rsid w:val="006D0F68"/>
    <w:rsid w:val="006D128C"/>
    <w:rsid w:val="006D1303"/>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AA"/>
    <w:rsid w:val="006D5B0F"/>
    <w:rsid w:val="006D5DB7"/>
    <w:rsid w:val="006D5E1C"/>
    <w:rsid w:val="006D5E26"/>
    <w:rsid w:val="006D5ECA"/>
    <w:rsid w:val="006D5F74"/>
    <w:rsid w:val="006D64DA"/>
    <w:rsid w:val="006D6609"/>
    <w:rsid w:val="006D673F"/>
    <w:rsid w:val="006D71DD"/>
    <w:rsid w:val="006D7443"/>
    <w:rsid w:val="006D7A5F"/>
    <w:rsid w:val="006D7B4D"/>
    <w:rsid w:val="006D7BE9"/>
    <w:rsid w:val="006D7C2C"/>
    <w:rsid w:val="006E010E"/>
    <w:rsid w:val="006E0658"/>
    <w:rsid w:val="006E085A"/>
    <w:rsid w:val="006E0B0F"/>
    <w:rsid w:val="006E0C02"/>
    <w:rsid w:val="006E0D52"/>
    <w:rsid w:val="006E0E8B"/>
    <w:rsid w:val="006E0EB2"/>
    <w:rsid w:val="006E0FAC"/>
    <w:rsid w:val="006E11C5"/>
    <w:rsid w:val="006E12E7"/>
    <w:rsid w:val="006E1876"/>
    <w:rsid w:val="006E1CEA"/>
    <w:rsid w:val="006E224E"/>
    <w:rsid w:val="006E29B1"/>
    <w:rsid w:val="006E3051"/>
    <w:rsid w:val="006E31E7"/>
    <w:rsid w:val="006E3379"/>
    <w:rsid w:val="006E34B2"/>
    <w:rsid w:val="006E374C"/>
    <w:rsid w:val="006E3D80"/>
    <w:rsid w:val="006E3FD6"/>
    <w:rsid w:val="006E421D"/>
    <w:rsid w:val="006E4294"/>
    <w:rsid w:val="006E465A"/>
    <w:rsid w:val="006E4788"/>
    <w:rsid w:val="006E50CD"/>
    <w:rsid w:val="006E54A5"/>
    <w:rsid w:val="006E576B"/>
    <w:rsid w:val="006E597E"/>
    <w:rsid w:val="006E5A7E"/>
    <w:rsid w:val="006E61D7"/>
    <w:rsid w:val="006E642F"/>
    <w:rsid w:val="006E6604"/>
    <w:rsid w:val="006E6A89"/>
    <w:rsid w:val="006E6CDD"/>
    <w:rsid w:val="006E7403"/>
    <w:rsid w:val="006E79C7"/>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562"/>
    <w:rsid w:val="006F2574"/>
    <w:rsid w:val="006F274B"/>
    <w:rsid w:val="006F27AA"/>
    <w:rsid w:val="006F29AA"/>
    <w:rsid w:val="006F2C84"/>
    <w:rsid w:val="006F314E"/>
    <w:rsid w:val="006F324A"/>
    <w:rsid w:val="006F33D2"/>
    <w:rsid w:val="006F3474"/>
    <w:rsid w:val="006F3491"/>
    <w:rsid w:val="006F36DF"/>
    <w:rsid w:val="006F3896"/>
    <w:rsid w:val="006F44AF"/>
    <w:rsid w:val="006F4511"/>
    <w:rsid w:val="006F4781"/>
    <w:rsid w:val="006F4CB1"/>
    <w:rsid w:val="006F4F22"/>
    <w:rsid w:val="006F5040"/>
    <w:rsid w:val="006F5198"/>
    <w:rsid w:val="006F53FD"/>
    <w:rsid w:val="006F5647"/>
    <w:rsid w:val="006F5680"/>
    <w:rsid w:val="006F5B37"/>
    <w:rsid w:val="006F5E5C"/>
    <w:rsid w:val="006F5F0C"/>
    <w:rsid w:val="006F5F26"/>
    <w:rsid w:val="006F609F"/>
    <w:rsid w:val="006F60B9"/>
    <w:rsid w:val="006F6323"/>
    <w:rsid w:val="006F64CB"/>
    <w:rsid w:val="006F6910"/>
    <w:rsid w:val="006F6C72"/>
    <w:rsid w:val="006F6EA4"/>
    <w:rsid w:val="006F7532"/>
    <w:rsid w:val="006F7B3D"/>
    <w:rsid w:val="006F7EB2"/>
    <w:rsid w:val="006F7EEC"/>
    <w:rsid w:val="00700963"/>
    <w:rsid w:val="007009A8"/>
    <w:rsid w:val="00700BCA"/>
    <w:rsid w:val="0070105F"/>
    <w:rsid w:val="0070120A"/>
    <w:rsid w:val="0070159D"/>
    <w:rsid w:val="0070174D"/>
    <w:rsid w:val="00701E63"/>
    <w:rsid w:val="00702087"/>
    <w:rsid w:val="0070225D"/>
    <w:rsid w:val="007026F4"/>
    <w:rsid w:val="00702802"/>
    <w:rsid w:val="00702C86"/>
    <w:rsid w:val="00702F76"/>
    <w:rsid w:val="0070302B"/>
    <w:rsid w:val="007032F1"/>
    <w:rsid w:val="00703394"/>
    <w:rsid w:val="0070349D"/>
    <w:rsid w:val="0070374B"/>
    <w:rsid w:val="00703B3C"/>
    <w:rsid w:val="00703CB1"/>
    <w:rsid w:val="00703D41"/>
    <w:rsid w:val="0070459C"/>
    <w:rsid w:val="00704808"/>
    <w:rsid w:val="00704830"/>
    <w:rsid w:val="00704B56"/>
    <w:rsid w:val="00704DE1"/>
    <w:rsid w:val="007050D9"/>
    <w:rsid w:val="00705B63"/>
    <w:rsid w:val="00705E12"/>
    <w:rsid w:val="00705EEF"/>
    <w:rsid w:val="007060AC"/>
    <w:rsid w:val="007060CB"/>
    <w:rsid w:val="007061DA"/>
    <w:rsid w:val="0070629C"/>
    <w:rsid w:val="007064C0"/>
    <w:rsid w:val="007066F2"/>
    <w:rsid w:val="00706B08"/>
    <w:rsid w:val="00706DAA"/>
    <w:rsid w:val="007076EF"/>
    <w:rsid w:val="00707826"/>
    <w:rsid w:val="0070789F"/>
    <w:rsid w:val="007078F3"/>
    <w:rsid w:val="00707957"/>
    <w:rsid w:val="00707A4A"/>
    <w:rsid w:val="00707E33"/>
    <w:rsid w:val="00707F0E"/>
    <w:rsid w:val="0071014D"/>
    <w:rsid w:val="007103AA"/>
    <w:rsid w:val="007104D5"/>
    <w:rsid w:val="00710745"/>
    <w:rsid w:val="007109ED"/>
    <w:rsid w:val="00710DCF"/>
    <w:rsid w:val="00710F6E"/>
    <w:rsid w:val="00710FC2"/>
    <w:rsid w:val="0071119C"/>
    <w:rsid w:val="00711F83"/>
    <w:rsid w:val="00712152"/>
    <w:rsid w:val="007124C2"/>
    <w:rsid w:val="007125FF"/>
    <w:rsid w:val="00712990"/>
    <w:rsid w:val="00712B75"/>
    <w:rsid w:val="00712DC8"/>
    <w:rsid w:val="00712DD0"/>
    <w:rsid w:val="007135D8"/>
    <w:rsid w:val="0071365F"/>
    <w:rsid w:val="00713721"/>
    <w:rsid w:val="00713C8E"/>
    <w:rsid w:val="00713CF2"/>
    <w:rsid w:val="00713D1A"/>
    <w:rsid w:val="00713E7B"/>
    <w:rsid w:val="00713F1E"/>
    <w:rsid w:val="00713F40"/>
    <w:rsid w:val="00714061"/>
    <w:rsid w:val="0071413D"/>
    <w:rsid w:val="00714424"/>
    <w:rsid w:val="007144EE"/>
    <w:rsid w:val="007149B4"/>
    <w:rsid w:val="00714E9E"/>
    <w:rsid w:val="007155D6"/>
    <w:rsid w:val="00715624"/>
    <w:rsid w:val="00715785"/>
    <w:rsid w:val="00715897"/>
    <w:rsid w:val="007162A6"/>
    <w:rsid w:val="007162C1"/>
    <w:rsid w:val="007165DE"/>
    <w:rsid w:val="00716637"/>
    <w:rsid w:val="00716659"/>
    <w:rsid w:val="007166BE"/>
    <w:rsid w:val="007169E4"/>
    <w:rsid w:val="00716A00"/>
    <w:rsid w:val="00716AEE"/>
    <w:rsid w:val="00716EFB"/>
    <w:rsid w:val="00717120"/>
    <w:rsid w:val="00717172"/>
    <w:rsid w:val="00717410"/>
    <w:rsid w:val="00717954"/>
    <w:rsid w:val="00717AB5"/>
    <w:rsid w:val="00717F6C"/>
    <w:rsid w:val="0072012C"/>
    <w:rsid w:val="007201ED"/>
    <w:rsid w:val="007203F9"/>
    <w:rsid w:val="00720448"/>
    <w:rsid w:val="00720617"/>
    <w:rsid w:val="00720627"/>
    <w:rsid w:val="0072068C"/>
    <w:rsid w:val="00720805"/>
    <w:rsid w:val="007208BD"/>
    <w:rsid w:val="007209B7"/>
    <w:rsid w:val="00720D30"/>
    <w:rsid w:val="00720F72"/>
    <w:rsid w:val="00720FDB"/>
    <w:rsid w:val="00721138"/>
    <w:rsid w:val="0072157A"/>
    <w:rsid w:val="00721AAA"/>
    <w:rsid w:val="00722185"/>
    <w:rsid w:val="00722421"/>
    <w:rsid w:val="00722A56"/>
    <w:rsid w:val="00722BDB"/>
    <w:rsid w:val="00722C7D"/>
    <w:rsid w:val="0072304D"/>
    <w:rsid w:val="0072322D"/>
    <w:rsid w:val="00723589"/>
    <w:rsid w:val="00723971"/>
    <w:rsid w:val="0072398E"/>
    <w:rsid w:val="00723E97"/>
    <w:rsid w:val="00723EE6"/>
    <w:rsid w:val="007241A5"/>
    <w:rsid w:val="0072445E"/>
    <w:rsid w:val="00724618"/>
    <w:rsid w:val="00724A64"/>
    <w:rsid w:val="00724FD5"/>
    <w:rsid w:val="007250EA"/>
    <w:rsid w:val="007254D7"/>
    <w:rsid w:val="00725524"/>
    <w:rsid w:val="00725635"/>
    <w:rsid w:val="00725B4E"/>
    <w:rsid w:val="007261A4"/>
    <w:rsid w:val="00726356"/>
    <w:rsid w:val="00726685"/>
    <w:rsid w:val="007266D0"/>
    <w:rsid w:val="0072684B"/>
    <w:rsid w:val="00726D83"/>
    <w:rsid w:val="00726E6E"/>
    <w:rsid w:val="0072712E"/>
    <w:rsid w:val="0072737C"/>
    <w:rsid w:val="007275D2"/>
    <w:rsid w:val="00727AAC"/>
    <w:rsid w:val="00730051"/>
    <w:rsid w:val="007301EA"/>
    <w:rsid w:val="007302B7"/>
    <w:rsid w:val="007303E9"/>
    <w:rsid w:val="00730425"/>
    <w:rsid w:val="00730509"/>
    <w:rsid w:val="00730C80"/>
    <w:rsid w:val="00731204"/>
    <w:rsid w:val="007313C2"/>
    <w:rsid w:val="00731401"/>
    <w:rsid w:val="00731517"/>
    <w:rsid w:val="00731518"/>
    <w:rsid w:val="0073167A"/>
    <w:rsid w:val="0073168F"/>
    <w:rsid w:val="00731973"/>
    <w:rsid w:val="007319D7"/>
    <w:rsid w:val="00731A63"/>
    <w:rsid w:val="00731C85"/>
    <w:rsid w:val="00731DFB"/>
    <w:rsid w:val="0073222E"/>
    <w:rsid w:val="0073223B"/>
    <w:rsid w:val="007323D7"/>
    <w:rsid w:val="007325AA"/>
    <w:rsid w:val="00732A99"/>
    <w:rsid w:val="00732EBD"/>
    <w:rsid w:val="00732FDF"/>
    <w:rsid w:val="00733248"/>
    <w:rsid w:val="00733637"/>
    <w:rsid w:val="00733A48"/>
    <w:rsid w:val="00733A4B"/>
    <w:rsid w:val="00734348"/>
    <w:rsid w:val="007345DC"/>
    <w:rsid w:val="00734649"/>
    <w:rsid w:val="0073467C"/>
    <w:rsid w:val="0073480F"/>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19B"/>
    <w:rsid w:val="007361E9"/>
    <w:rsid w:val="0073637D"/>
    <w:rsid w:val="0073650A"/>
    <w:rsid w:val="00736AA4"/>
    <w:rsid w:val="00736B85"/>
    <w:rsid w:val="00736DBD"/>
    <w:rsid w:val="00736EA0"/>
    <w:rsid w:val="0073722A"/>
    <w:rsid w:val="00737280"/>
    <w:rsid w:val="00737A2E"/>
    <w:rsid w:val="00737AC5"/>
    <w:rsid w:val="00737F54"/>
    <w:rsid w:val="007402A9"/>
    <w:rsid w:val="007403DF"/>
    <w:rsid w:val="0074072A"/>
    <w:rsid w:val="00740B7E"/>
    <w:rsid w:val="00740DDE"/>
    <w:rsid w:val="007410A4"/>
    <w:rsid w:val="00741214"/>
    <w:rsid w:val="007413E2"/>
    <w:rsid w:val="007418DF"/>
    <w:rsid w:val="007419A0"/>
    <w:rsid w:val="00741BC7"/>
    <w:rsid w:val="00741C1C"/>
    <w:rsid w:val="00741CE5"/>
    <w:rsid w:val="00742677"/>
    <w:rsid w:val="00742948"/>
    <w:rsid w:val="00742C77"/>
    <w:rsid w:val="00742DC4"/>
    <w:rsid w:val="00743283"/>
    <w:rsid w:val="007434E5"/>
    <w:rsid w:val="007436A6"/>
    <w:rsid w:val="0074384C"/>
    <w:rsid w:val="0074397F"/>
    <w:rsid w:val="00743E8F"/>
    <w:rsid w:val="00743F67"/>
    <w:rsid w:val="00744049"/>
    <w:rsid w:val="007441DB"/>
    <w:rsid w:val="00744206"/>
    <w:rsid w:val="0074470C"/>
    <w:rsid w:val="00744739"/>
    <w:rsid w:val="00744EE8"/>
    <w:rsid w:val="00745132"/>
    <w:rsid w:val="00745657"/>
    <w:rsid w:val="0074582C"/>
    <w:rsid w:val="00745C44"/>
    <w:rsid w:val="00745F29"/>
    <w:rsid w:val="00746149"/>
    <w:rsid w:val="007461BA"/>
    <w:rsid w:val="007463E4"/>
    <w:rsid w:val="0074665D"/>
    <w:rsid w:val="0074668D"/>
    <w:rsid w:val="00746A68"/>
    <w:rsid w:val="00746E12"/>
    <w:rsid w:val="00747075"/>
    <w:rsid w:val="00747374"/>
    <w:rsid w:val="007473B5"/>
    <w:rsid w:val="00747601"/>
    <w:rsid w:val="007477BB"/>
    <w:rsid w:val="00747AC1"/>
    <w:rsid w:val="00747BC8"/>
    <w:rsid w:val="00747DA3"/>
    <w:rsid w:val="00747E67"/>
    <w:rsid w:val="00747EB8"/>
    <w:rsid w:val="0075052E"/>
    <w:rsid w:val="0075055B"/>
    <w:rsid w:val="007505D8"/>
    <w:rsid w:val="007508AA"/>
    <w:rsid w:val="00750CF9"/>
    <w:rsid w:val="007510BC"/>
    <w:rsid w:val="007510EE"/>
    <w:rsid w:val="0075112C"/>
    <w:rsid w:val="007513BA"/>
    <w:rsid w:val="00751557"/>
    <w:rsid w:val="0075157B"/>
    <w:rsid w:val="007519B8"/>
    <w:rsid w:val="00751B55"/>
    <w:rsid w:val="007520C8"/>
    <w:rsid w:val="00752281"/>
    <w:rsid w:val="00752662"/>
    <w:rsid w:val="00752843"/>
    <w:rsid w:val="00752998"/>
    <w:rsid w:val="00752D8F"/>
    <w:rsid w:val="00752ED3"/>
    <w:rsid w:val="0075308F"/>
    <w:rsid w:val="007533E0"/>
    <w:rsid w:val="00753579"/>
    <w:rsid w:val="007535B5"/>
    <w:rsid w:val="007535C7"/>
    <w:rsid w:val="00753BD3"/>
    <w:rsid w:val="00753D18"/>
    <w:rsid w:val="00753D80"/>
    <w:rsid w:val="00753DB3"/>
    <w:rsid w:val="00753F05"/>
    <w:rsid w:val="00753F2E"/>
    <w:rsid w:val="007540F1"/>
    <w:rsid w:val="007545D6"/>
    <w:rsid w:val="007548C3"/>
    <w:rsid w:val="00754D2D"/>
    <w:rsid w:val="007550CA"/>
    <w:rsid w:val="0075543C"/>
    <w:rsid w:val="007555B2"/>
    <w:rsid w:val="007556A0"/>
    <w:rsid w:val="00755797"/>
    <w:rsid w:val="00755A5B"/>
    <w:rsid w:val="00755C16"/>
    <w:rsid w:val="00755D55"/>
    <w:rsid w:val="00755DAF"/>
    <w:rsid w:val="00755EE8"/>
    <w:rsid w:val="00755FB7"/>
    <w:rsid w:val="00756171"/>
    <w:rsid w:val="007562DD"/>
    <w:rsid w:val="0075631F"/>
    <w:rsid w:val="00756368"/>
    <w:rsid w:val="007564CB"/>
    <w:rsid w:val="007567C1"/>
    <w:rsid w:val="007572B4"/>
    <w:rsid w:val="00757A7E"/>
    <w:rsid w:val="00757B0C"/>
    <w:rsid w:val="00757FD7"/>
    <w:rsid w:val="007600B7"/>
    <w:rsid w:val="007600BD"/>
    <w:rsid w:val="007600F4"/>
    <w:rsid w:val="007600F8"/>
    <w:rsid w:val="00760780"/>
    <w:rsid w:val="007609A7"/>
    <w:rsid w:val="00760C62"/>
    <w:rsid w:val="00760F35"/>
    <w:rsid w:val="007612F8"/>
    <w:rsid w:val="007614F3"/>
    <w:rsid w:val="007618F1"/>
    <w:rsid w:val="00761934"/>
    <w:rsid w:val="00761C3B"/>
    <w:rsid w:val="00761C4D"/>
    <w:rsid w:val="00762246"/>
    <w:rsid w:val="00762712"/>
    <w:rsid w:val="00762C0B"/>
    <w:rsid w:val="00762C6E"/>
    <w:rsid w:val="00762CDA"/>
    <w:rsid w:val="00762E0D"/>
    <w:rsid w:val="00763058"/>
    <w:rsid w:val="00763230"/>
    <w:rsid w:val="007638D5"/>
    <w:rsid w:val="00763970"/>
    <w:rsid w:val="00763B92"/>
    <w:rsid w:val="00763C6C"/>
    <w:rsid w:val="00763E2C"/>
    <w:rsid w:val="00763E80"/>
    <w:rsid w:val="00763F2C"/>
    <w:rsid w:val="00763F3A"/>
    <w:rsid w:val="00764143"/>
    <w:rsid w:val="007641D6"/>
    <w:rsid w:val="007642B8"/>
    <w:rsid w:val="0076474F"/>
    <w:rsid w:val="00764E95"/>
    <w:rsid w:val="00764F8D"/>
    <w:rsid w:val="00765050"/>
    <w:rsid w:val="007652E4"/>
    <w:rsid w:val="00765352"/>
    <w:rsid w:val="0076540C"/>
    <w:rsid w:val="0076550F"/>
    <w:rsid w:val="007658D8"/>
    <w:rsid w:val="00765ABB"/>
    <w:rsid w:val="00766045"/>
    <w:rsid w:val="00766064"/>
    <w:rsid w:val="007661A9"/>
    <w:rsid w:val="00766285"/>
    <w:rsid w:val="0076629B"/>
    <w:rsid w:val="00766720"/>
    <w:rsid w:val="00766765"/>
    <w:rsid w:val="00766B3E"/>
    <w:rsid w:val="0076720C"/>
    <w:rsid w:val="00767311"/>
    <w:rsid w:val="0076774B"/>
    <w:rsid w:val="0076788F"/>
    <w:rsid w:val="00767989"/>
    <w:rsid w:val="00767AEC"/>
    <w:rsid w:val="00767C50"/>
    <w:rsid w:val="00767E5C"/>
    <w:rsid w:val="00767E71"/>
    <w:rsid w:val="00767EF6"/>
    <w:rsid w:val="0077007B"/>
    <w:rsid w:val="0077018A"/>
    <w:rsid w:val="007702C7"/>
    <w:rsid w:val="00770530"/>
    <w:rsid w:val="00770837"/>
    <w:rsid w:val="00770B4C"/>
    <w:rsid w:val="00770C5F"/>
    <w:rsid w:val="00771043"/>
    <w:rsid w:val="00771085"/>
    <w:rsid w:val="00771559"/>
    <w:rsid w:val="007715B5"/>
    <w:rsid w:val="00771727"/>
    <w:rsid w:val="00771766"/>
    <w:rsid w:val="00771A35"/>
    <w:rsid w:val="00771B68"/>
    <w:rsid w:val="0077227F"/>
    <w:rsid w:val="00772557"/>
    <w:rsid w:val="00772817"/>
    <w:rsid w:val="00772960"/>
    <w:rsid w:val="007729E6"/>
    <w:rsid w:val="0077306D"/>
    <w:rsid w:val="00773154"/>
    <w:rsid w:val="00773393"/>
    <w:rsid w:val="00773AC1"/>
    <w:rsid w:val="00773B73"/>
    <w:rsid w:val="00773BDB"/>
    <w:rsid w:val="007740D4"/>
    <w:rsid w:val="00774522"/>
    <w:rsid w:val="00774595"/>
    <w:rsid w:val="00774625"/>
    <w:rsid w:val="00774638"/>
    <w:rsid w:val="007746A0"/>
    <w:rsid w:val="007748F2"/>
    <w:rsid w:val="00774A45"/>
    <w:rsid w:val="00774DCB"/>
    <w:rsid w:val="0077527F"/>
    <w:rsid w:val="0077534F"/>
    <w:rsid w:val="0077591C"/>
    <w:rsid w:val="0077592C"/>
    <w:rsid w:val="00775D3A"/>
    <w:rsid w:val="00775E18"/>
    <w:rsid w:val="00775F81"/>
    <w:rsid w:val="00776033"/>
    <w:rsid w:val="00776220"/>
    <w:rsid w:val="0077644B"/>
    <w:rsid w:val="0077653B"/>
    <w:rsid w:val="00776B34"/>
    <w:rsid w:val="00776CF6"/>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08"/>
    <w:rsid w:val="00780C13"/>
    <w:rsid w:val="00780C57"/>
    <w:rsid w:val="00780D8C"/>
    <w:rsid w:val="00780FA9"/>
    <w:rsid w:val="0078117D"/>
    <w:rsid w:val="00781465"/>
    <w:rsid w:val="00781691"/>
    <w:rsid w:val="0078191D"/>
    <w:rsid w:val="00781E12"/>
    <w:rsid w:val="0078217D"/>
    <w:rsid w:val="00782455"/>
    <w:rsid w:val="0078294F"/>
    <w:rsid w:val="00782B09"/>
    <w:rsid w:val="00782CF8"/>
    <w:rsid w:val="007830F6"/>
    <w:rsid w:val="007830FB"/>
    <w:rsid w:val="007832F2"/>
    <w:rsid w:val="00783444"/>
    <w:rsid w:val="0078370F"/>
    <w:rsid w:val="00783AB0"/>
    <w:rsid w:val="00783B2F"/>
    <w:rsid w:val="00783E3E"/>
    <w:rsid w:val="00784152"/>
    <w:rsid w:val="007841CC"/>
    <w:rsid w:val="00784224"/>
    <w:rsid w:val="007842E2"/>
    <w:rsid w:val="00784686"/>
    <w:rsid w:val="0078476B"/>
    <w:rsid w:val="00784980"/>
    <w:rsid w:val="00784A63"/>
    <w:rsid w:val="007851FE"/>
    <w:rsid w:val="0078527D"/>
    <w:rsid w:val="00785355"/>
    <w:rsid w:val="00785393"/>
    <w:rsid w:val="0078552D"/>
    <w:rsid w:val="00785673"/>
    <w:rsid w:val="00785D44"/>
    <w:rsid w:val="00785DC8"/>
    <w:rsid w:val="00786268"/>
    <w:rsid w:val="007868B4"/>
    <w:rsid w:val="00786A9A"/>
    <w:rsid w:val="00786B0E"/>
    <w:rsid w:val="00786C9B"/>
    <w:rsid w:val="007873E5"/>
    <w:rsid w:val="00787489"/>
    <w:rsid w:val="007879BD"/>
    <w:rsid w:val="00787B2F"/>
    <w:rsid w:val="00787C37"/>
    <w:rsid w:val="00787D3D"/>
    <w:rsid w:val="00787E76"/>
    <w:rsid w:val="00790294"/>
    <w:rsid w:val="007903AF"/>
    <w:rsid w:val="00790A53"/>
    <w:rsid w:val="007910AB"/>
    <w:rsid w:val="00791113"/>
    <w:rsid w:val="00791225"/>
    <w:rsid w:val="00791AFB"/>
    <w:rsid w:val="00791B3B"/>
    <w:rsid w:val="007920D3"/>
    <w:rsid w:val="007921DA"/>
    <w:rsid w:val="007928C5"/>
    <w:rsid w:val="007929C2"/>
    <w:rsid w:val="007929C7"/>
    <w:rsid w:val="00792A21"/>
    <w:rsid w:val="00792B00"/>
    <w:rsid w:val="00793251"/>
    <w:rsid w:val="0079351E"/>
    <w:rsid w:val="0079354F"/>
    <w:rsid w:val="007935D7"/>
    <w:rsid w:val="0079371B"/>
    <w:rsid w:val="007938ED"/>
    <w:rsid w:val="007939B2"/>
    <w:rsid w:val="00793DE0"/>
    <w:rsid w:val="0079431E"/>
    <w:rsid w:val="007943FF"/>
    <w:rsid w:val="00794532"/>
    <w:rsid w:val="00794A2B"/>
    <w:rsid w:val="00794ADB"/>
    <w:rsid w:val="00794E89"/>
    <w:rsid w:val="007953AD"/>
    <w:rsid w:val="00795435"/>
    <w:rsid w:val="00795870"/>
    <w:rsid w:val="007958AB"/>
    <w:rsid w:val="0079599E"/>
    <w:rsid w:val="007959C0"/>
    <w:rsid w:val="00795A48"/>
    <w:rsid w:val="00795C48"/>
    <w:rsid w:val="00795C90"/>
    <w:rsid w:val="007961EF"/>
    <w:rsid w:val="0079637F"/>
    <w:rsid w:val="00796676"/>
    <w:rsid w:val="00796E04"/>
    <w:rsid w:val="00796E0F"/>
    <w:rsid w:val="00797242"/>
    <w:rsid w:val="00797453"/>
    <w:rsid w:val="007975B3"/>
    <w:rsid w:val="0079766D"/>
    <w:rsid w:val="00797780"/>
    <w:rsid w:val="007979BD"/>
    <w:rsid w:val="00797A84"/>
    <w:rsid w:val="00797DB8"/>
    <w:rsid w:val="007A0176"/>
    <w:rsid w:val="007A02DC"/>
    <w:rsid w:val="007A0534"/>
    <w:rsid w:val="007A0B4B"/>
    <w:rsid w:val="007A0F73"/>
    <w:rsid w:val="007A1089"/>
    <w:rsid w:val="007A10A4"/>
    <w:rsid w:val="007A10B9"/>
    <w:rsid w:val="007A10D9"/>
    <w:rsid w:val="007A1113"/>
    <w:rsid w:val="007A1191"/>
    <w:rsid w:val="007A1970"/>
    <w:rsid w:val="007A2140"/>
    <w:rsid w:val="007A23EE"/>
    <w:rsid w:val="007A2842"/>
    <w:rsid w:val="007A28A6"/>
    <w:rsid w:val="007A2B8E"/>
    <w:rsid w:val="007A2BDB"/>
    <w:rsid w:val="007A30AD"/>
    <w:rsid w:val="007A3506"/>
    <w:rsid w:val="007A3C77"/>
    <w:rsid w:val="007A3CA9"/>
    <w:rsid w:val="007A3E2E"/>
    <w:rsid w:val="007A4152"/>
    <w:rsid w:val="007A4238"/>
    <w:rsid w:val="007A424F"/>
    <w:rsid w:val="007A47B0"/>
    <w:rsid w:val="007A4AE8"/>
    <w:rsid w:val="007A501A"/>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A54"/>
    <w:rsid w:val="007A6ABF"/>
    <w:rsid w:val="007A6C4D"/>
    <w:rsid w:val="007A7124"/>
    <w:rsid w:val="007A72BF"/>
    <w:rsid w:val="007A76C9"/>
    <w:rsid w:val="007A791F"/>
    <w:rsid w:val="007A7C94"/>
    <w:rsid w:val="007A7CEE"/>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122"/>
    <w:rsid w:val="007B2993"/>
    <w:rsid w:val="007B2998"/>
    <w:rsid w:val="007B30B4"/>
    <w:rsid w:val="007B36C6"/>
    <w:rsid w:val="007B3B36"/>
    <w:rsid w:val="007B3B74"/>
    <w:rsid w:val="007B3C23"/>
    <w:rsid w:val="007B3CA0"/>
    <w:rsid w:val="007B3F30"/>
    <w:rsid w:val="007B401B"/>
    <w:rsid w:val="007B4737"/>
    <w:rsid w:val="007B47B1"/>
    <w:rsid w:val="007B4A49"/>
    <w:rsid w:val="007B4BA2"/>
    <w:rsid w:val="007B5252"/>
    <w:rsid w:val="007B5398"/>
    <w:rsid w:val="007B5518"/>
    <w:rsid w:val="007B5F42"/>
    <w:rsid w:val="007B6027"/>
    <w:rsid w:val="007B602C"/>
    <w:rsid w:val="007B62FA"/>
    <w:rsid w:val="007B67B3"/>
    <w:rsid w:val="007B701B"/>
    <w:rsid w:val="007B73DE"/>
    <w:rsid w:val="007B75E1"/>
    <w:rsid w:val="007B7745"/>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22D8"/>
    <w:rsid w:val="007C2345"/>
    <w:rsid w:val="007C245E"/>
    <w:rsid w:val="007C2516"/>
    <w:rsid w:val="007C2536"/>
    <w:rsid w:val="007C2655"/>
    <w:rsid w:val="007C2873"/>
    <w:rsid w:val="007C29C3"/>
    <w:rsid w:val="007C3111"/>
    <w:rsid w:val="007C33C8"/>
    <w:rsid w:val="007C33CE"/>
    <w:rsid w:val="007C35D3"/>
    <w:rsid w:val="007C35EC"/>
    <w:rsid w:val="007C36BE"/>
    <w:rsid w:val="007C3905"/>
    <w:rsid w:val="007C3969"/>
    <w:rsid w:val="007C3BC4"/>
    <w:rsid w:val="007C3DCF"/>
    <w:rsid w:val="007C3E12"/>
    <w:rsid w:val="007C3FF2"/>
    <w:rsid w:val="007C44F3"/>
    <w:rsid w:val="007C4C4D"/>
    <w:rsid w:val="007C4E60"/>
    <w:rsid w:val="007C502B"/>
    <w:rsid w:val="007C5100"/>
    <w:rsid w:val="007C51E1"/>
    <w:rsid w:val="007C526D"/>
    <w:rsid w:val="007C53DF"/>
    <w:rsid w:val="007C56F3"/>
    <w:rsid w:val="007C5A88"/>
    <w:rsid w:val="007C5C48"/>
    <w:rsid w:val="007C5D80"/>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F8"/>
    <w:rsid w:val="007D028F"/>
    <w:rsid w:val="007D0487"/>
    <w:rsid w:val="007D0A39"/>
    <w:rsid w:val="007D0C5F"/>
    <w:rsid w:val="007D101B"/>
    <w:rsid w:val="007D139C"/>
    <w:rsid w:val="007D1422"/>
    <w:rsid w:val="007D14B3"/>
    <w:rsid w:val="007D181B"/>
    <w:rsid w:val="007D1989"/>
    <w:rsid w:val="007D1E61"/>
    <w:rsid w:val="007D1EA8"/>
    <w:rsid w:val="007D25E4"/>
    <w:rsid w:val="007D26F8"/>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C62"/>
    <w:rsid w:val="007D4C70"/>
    <w:rsid w:val="007D4CA7"/>
    <w:rsid w:val="007D4D2A"/>
    <w:rsid w:val="007D5013"/>
    <w:rsid w:val="007D502B"/>
    <w:rsid w:val="007D5300"/>
    <w:rsid w:val="007D54E3"/>
    <w:rsid w:val="007D5B0A"/>
    <w:rsid w:val="007D5BD4"/>
    <w:rsid w:val="007D607F"/>
    <w:rsid w:val="007D6091"/>
    <w:rsid w:val="007D6247"/>
    <w:rsid w:val="007D6648"/>
    <w:rsid w:val="007D6656"/>
    <w:rsid w:val="007D66E0"/>
    <w:rsid w:val="007D72C7"/>
    <w:rsid w:val="007D72D3"/>
    <w:rsid w:val="007D7400"/>
    <w:rsid w:val="007D74E4"/>
    <w:rsid w:val="007D7B8C"/>
    <w:rsid w:val="007D7BFE"/>
    <w:rsid w:val="007D7DD1"/>
    <w:rsid w:val="007D7F96"/>
    <w:rsid w:val="007E0028"/>
    <w:rsid w:val="007E00C7"/>
    <w:rsid w:val="007E05C1"/>
    <w:rsid w:val="007E06FB"/>
    <w:rsid w:val="007E09AC"/>
    <w:rsid w:val="007E0D23"/>
    <w:rsid w:val="007E0E6D"/>
    <w:rsid w:val="007E0EAC"/>
    <w:rsid w:val="007E0FF2"/>
    <w:rsid w:val="007E10D1"/>
    <w:rsid w:val="007E141E"/>
    <w:rsid w:val="007E14E3"/>
    <w:rsid w:val="007E1D97"/>
    <w:rsid w:val="007E1E5A"/>
    <w:rsid w:val="007E21CD"/>
    <w:rsid w:val="007E2336"/>
    <w:rsid w:val="007E2520"/>
    <w:rsid w:val="007E2755"/>
    <w:rsid w:val="007E283D"/>
    <w:rsid w:val="007E3614"/>
    <w:rsid w:val="007E365C"/>
    <w:rsid w:val="007E382C"/>
    <w:rsid w:val="007E3F7D"/>
    <w:rsid w:val="007E3FB1"/>
    <w:rsid w:val="007E4051"/>
    <w:rsid w:val="007E406A"/>
    <w:rsid w:val="007E40A3"/>
    <w:rsid w:val="007E411A"/>
    <w:rsid w:val="007E425D"/>
    <w:rsid w:val="007E45A3"/>
    <w:rsid w:val="007E48EB"/>
    <w:rsid w:val="007E532D"/>
    <w:rsid w:val="007E5345"/>
    <w:rsid w:val="007E53FE"/>
    <w:rsid w:val="007E5500"/>
    <w:rsid w:val="007E5531"/>
    <w:rsid w:val="007E58C0"/>
    <w:rsid w:val="007E5908"/>
    <w:rsid w:val="007E5CE2"/>
    <w:rsid w:val="007E5DA6"/>
    <w:rsid w:val="007E5FD5"/>
    <w:rsid w:val="007E634A"/>
    <w:rsid w:val="007E642C"/>
    <w:rsid w:val="007E68D7"/>
    <w:rsid w:val="007E69B2"/>
    <w:rsid w:val="007E6CD0"/>
    <w:rsid w:val="007E6D52"/>
    <w:rsid w:val="007E6FC8"/>
    <w:rsid w:val="007E7350"/>
    <w:rsid w:val="007E73EB"/>
    <w:rsid w:val="007E791C"/>
    <w:rsid w:val="007E7C98"/>
    <w:rsid w:val="007E7E6E"/>
    <w:rsid w:val="007F00DB"/>
    <w:rsid w:val="007F012D"/>
    <w:rsid w:val="007F0492"/>
    <w:rsid w:val="007F077C"/>
    <w:rsid w:val="007F0799"/>
    <w:rsid w:val="007F0A35"/>
    <w:rsid w:val="007F0B84"/>
    <w:rsid w:val="007F110A"/>
    <w:rsid w:val="007F1417"/>
    <w:rsid w:val="007F158F"/>
    <w:rsid w:val="007F1630"/>
    <w:rsid w:val="007F1717"/>
    <w:rsid w:val="007F18B9"/>
    <w:rsid w:val="007F1A6B"/>
    <w:rsid w:val="007F1C0E"/>
    <w:rsid w:val="007F1E8E"/>
    <w:rsid w:val="007F2058"/>
    <w:rsid w:val="007F20A5"/>
    <w:rsid w:val="007F2B39"/>
    <w:rsid w:val="007F2D24"/>
    <w:rsid w:val="007F2DA2"/>
    <w:rsid w:val="007F30F9"/>
    <w:rsid w:val="007F3201"/>
    <w:rsid w:val="007F39BA"/>
    <w:rsid w:val="007F39CD"/>
    <w:rsid w:val="007F3A60"/>
    <w:rsid w:val="007F3BD4"/>
    <w:rsid w:val="007F456B"/>
    <w:rsid w:val="007F4798"/>
    <w:rsid w:val="007F47B5"/>
    <w:rsid w:val="007F48B0"/>
    <w:rsid w:val="007F4B86"/>
    <w:rsid w:val="007F4BDF"/>
    <w:rsid w:val="007F4C81"/>
    <w:rsid w:val="007F4E84"/>
    <w:rsid w:val="007F5204"/>
    <w:rsid w:val="007F585C"/>
    <w:rsid w:val="007F594F"/>
    <w:rsid w:val="007F59D7"/>
    <w:rsid w:val="007F60DF"/>
    <w:rsid w:val="007F611A"/>
    <w:rsid w:val="007F6246"/>
    <w:rsid w:val="007F639E"/>
    <w:rsid w:val="007F66DF"/>
    <w:rsid w:val="007F68A7"/>
    <w:rsid w:val="007F6946"/>
    <w:rsid w:val="007F69C1"/>
    <w:rsid w:val="007F6EED"/>
    <w:rsid w:val="007F6F33"/>
    <w:rsid w:val="007F700D"/>
    <w:rsid w:val="007F707E"/>
    <w:rsid w:val="007F71AA"/>
    <w:rsid w:val="007F727E"/>
    <w:rsid w:val="007F77AD"/>
    <w:rsid w:val="007F7A02"/>
    <w:rsid w:val="007F7B0F"/>
    <w:rsid w:val="007F7B24"/>
    <w:rsid w:val="007F7ED2"/>
    <w:rsid w:val="007F7F1A"/>
    <w:rsid w:val="00800368"/>
    <w:rsid w:val="00800647"/>
    <w:rsid w:val="008007B6"/>
    <w:rsid w:val="0080080D"/>
    <w:rsid w:val="008009A0"/>
    <w:rsid w:val="00800BC9"/>
    <w:rsid w:val="00800E6D"/>
    <w:rsid w:val="00800EE9"/>
    <w:rsid w:val="00801089"/>
    <w:rsid w:val="008012AB"/>
    <w:rsid w:val="0080138C"/>
    <w:rsid w:val="0080149F"/>
    <w:rsid w:val="00801575"/>
    <w:rsid w:val="0080177D"/>
    <w:rsid w:val="008019F1"/>
    <w:rsid w:val="00801F5E"/>
    <w:rsid w:val="008020B3"/>
    <w:rsid w:val="00802282"/>
    <w:rsid w:val="008022DC"/>
    <w:rsid w:val="008026F0"/>
    <w:rsid w:val="00802701"/>
    <w:rsid w:val="00802CC2"/>
    <w:rsid w:val="00802F22"/>
    <w:rsid w:val="00803515"/>
    <w:rsid w:val="00803819"/>
    <w:rsid w:val="00803B6E"/>
    <w:rsid w:val="00803D1B"/>
    <w:rsid w:val="00804489"/>
    <w:rsid w:val="00804492"/>
    <w:rsid w:val="00804640"/>
    <w:rsid w:val="008046D3"/>
    <w:rsid w:val="0080485B"/>
    <w:rsid w:val="00804A6A"/>
    <w:rsid w:val="00804B25"/>
    <w:rsid w:val="00804D96"/>
    <w:rsid w:val="00805054"/>
    <w:rsid w:val="008050AE"/>
    <w:rsid w:val="00805211"/>
    <w:rsid w:val="00805232"/>
    <w:rsid w:val="00805641"/>
    <w:rsid w:val="00805AA1"/>
    <w:rsid w:val="00805CC7"/>
    <w:rsid w:val="00805CCE"/>
    <w:rsid w:val="00805E72"/>
    <w:rsid w:val="00805EBE"/>
    <w:rsid w:val="00806207"/>
    <w:rsid w:val="008062A8"/>
    <w:rsid w:val="00806645"/>
    <w:rsid w:val="00806CAD"/>
    <w:rsid w:val="00806D87"/>
    <w:rsid w:val="00807106"/>
    <w:rsid w:val="00807372"/>
    <w:rsid w:val="008076CE"/>
    <w:rsid w:val="008077C0"/>
    <w:rsid w:val="008077CC"/>
    <w:rsid w:val="008078A0"/>
    <w:rsid w:val="00807C4F"/>
    <w:rsid w:val="008100B1"/>
    <w:rsid w:val="00810416"/>
    <w:rsid w:val="00810721"/>
    <w:rsid w:val="008109EA"/>
    <w:rsid w:val="00810AEB"/>
    <w:rsid w:val="00810AEC"/>
    <w:rsid w:val="00810F37"/>
    <w:rsid w:val="00811079"/>
    <w:rsid w:val="00811113"/>
    <w:rsid w:val="00811300"/>
    <w:rsid w:val="008119DD"/>
    <w:rsid w:val="008119EE"/>
    <w:rsid w:val="00811AE3"/>
    <w:rsid w:val="00811BE1"/>
    <w:rsid w:val="00811E18"/>
    <w:rsid w:val="008124FF"/>
    <w:rsid w:val="00812A9A"/>
    <w:rsid w:val="00812B52"/>
    <w:rsid w:val="00812EBB"/>
    <w:rsid w:val="0081319E"/>
    <w:rsid w:val="008131B5"/>
    <w:rsid w:val="008131DB"/>
    <w:rsid w:val="008131E7"/>
    <w:rsid w:val="0081324C"/>
    <w:rsid w:val="008134D8"/>
    <w:rsid w:val="00813AA6"/>
    <w:rsid w:val="0081423E"/>
    <w:rsid w:val="008144C0"/>
    <w:rsid w:val="00814542"/>
    <w:rsid w:val="008145A9"/>
    <w:rsid w:val="00814960"/>
    <w:rsid w:val="0081504A"/>
    <w:rsid w:val="0081504E"/>
    <w:rsid w:val="0081569A"/>
    <w:rsid w:val="008157B3"/>
    <w:rsid w:val="0081665E"/>
    <w:rsid w:val="0081718A"/>
    <w:rsid w:val="008171BA"/>
    <w:rsid w:val="00817723"/>
    <w:rsid w:val="0081789C"/>
    <w:rsid w:val="008178D0"/>
    <w:rsid w:val="00817AE1"/>
    <w:rsid w:val="00817B51"/>
    <w:rsid w:val="00817E76"/>
    <w:rsid w:val="008204E5"/>
    <w:rsid w:val="00820548"/>
    <w:rsid w:val="0082072A"/>
    <w:rsid w:val="00820B4A"/>
    <w:rsid w:val="0082158E"/>
    <w:rsid w:val="00821900"/>
    <w:rsid w:val="00821960"/>
    <w:rsid w:val="00821A69"/>
    <w:rsid w:val="00821BA9"/>
    <w:rsid w:val="00821BDA"/>
    <w:rsid w:val="00821CAD"/>
    <w:rsid w:val="00821D97"/>
    <w:rsid w:val="00822121"/>
    <w:rsid w:val="008221A0"/>
    <w:rsid w:val="0082233F"/>
    <w:rsid w:val="0082276F"/>
    <w:rsid w:val="0082298E"/>
    <w:rsid w:val="00822A55"/>
    <w:rsid w:val="00822C0A"/>
    <w:rsid w:val="00823005"/>
    <w:rsid w:val="0082312A"/>
    <w:rsid w:val="00823207"/>
    <w:rsid w:val="00823270"/>
    <w:rsid w:val="00823950"/>
    <w:rsid w:val="00823A17"/>
    <w:rsid w:val="00823CF3"/>
    <w:rsid w:val="008242D4"/>
    <w:rsid w:val="00824365"/>
    <w:rsid w:val="0082446A"/>
    <w:rsid w:val="00824480"/>
    <w:rsid w:val="008247C4"/>
    <w:rsid w:val="008248DA"/>
    <w:rsid w:val="0082495F"/>
    <w:rsid w:val="00824F3E"/>
    <w:rsid w:val="00824FCB"/>
    <w:rsid w:val="008250DA"/>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C3D"/>
    <w:rsid w:val="00826DA7"/>
    <w:rsid w:val="00826EAF"/>
    <w:rsid w:val="008270CE"/>
    <w:rsid w:val="0082748A"/>
    <w:rsid w:val="00827665"/>
    <w:rsid w:val="00827C8E"/>
    <w:rsid w:val="00827F97"/>
    <w:rsid w:val="008300E7"/>
    <w:rsid w:val="0083041E"/>
    <w:rsid w:val="008305B1"/>
    <w:rsid w:val="008306AA"/>
    <w:rsid w:val="00830870"/>
    <w:rsid w:val="00830C5B"/>
    <w:rsid w:val="00830D30"/>
    <w:rsid w:val="00830DC1"/>
    <w:rsid w:val="00830DE1"/>
    <w:rsid w:val="008310CE"/>
    <w:rsid w:val="008312B4"/>
    <w:rsid w:val="0083140F"/>
    <w:rsid w:val="00831654"/>
    <w:rsid w:val="00831735"/>
    <w:rsid w:val="008317D1"/>
    <w:rsid w:val="008317DC"/>
    <w:rsid w:val="00831990"/>
    <w:rsid w:val="0083206F"/>
    <w:rsid w:val="008321F5"/>
    <w:rsid w:val="0083228D"/>
    <w:rsid w:val="00832660"/>
    <w:rsid w:val="0083287F"/>
    <w:rsid w:val="008329D0"/>
    <w:rsid w:val="00832A67"/>
    <w:rsid w:val="00832D50"/>
    <w:rsid w:val="00832D80"/>
    <w:rsid w:val="00833461"/>
    <w:rsid w:val="008336AC"/>
    <w:rsid w:val="0083397E"/>
    <w:rsid w:val="008339CF"/>
    <w:rsid w:val="00833AA8"/>
    <w:rsid w:val="00833BD7"/>
    <w:rsid w:val="00833C66"/>
    <w:rsid w:val="00834125"/>
    <w:rsid w:val="0083414E"/>
    <w:rsid w:val="00834393"/>
    <w:rsid w:val="0083451D"/>
    <w:rsid w:val="008347E2"/>
    <w:rsid w:val="00834819"/>
    <w:rsid w:val="00834B47"/>
    <w:rsid w:val="00835067"/>
    <w:rsid w:val="0083508E"/>
    <w:rsid w:val="008354A5"/>
    <w:rsid w:val="00835547"/>
    <w:rsid w:val="008355C0"/>
    <w:rsid w:val="00835A00"/>
    <w:rsid w:val="00835E63"/>
    <w:rsid w:val="00835FD3"/>
    <w:rsid w:val="008362FD"/>
    <w:rsid w:val="0083633B"/>
    <w:rsid w:val="0083635D"/>
    <w:rsid w:val="0083680F"/>
    <w:rsid w:val="00836A97"/>
    <w:rsid w:val="00836B81"/>
    <w:rsid w:val="0083733F"/>
    <w:rsid w:val="00837E57"/>
    <w:rsid w:val="00837E98"/>
    <w:rsid w:val="00840063"/>
    <w:rsid w:val="0084026C"/>
    <w:rsid w:val="008403B4"/>
    <w:rsid w:val="0084055A"/>
    <w:rsid w:val="00840852"/>
    <w:rsid w:val="00840B5F"/>
    <w:rsid w:val="008410B8"/>
    <w:rsid w:val="008414AF"/>
    <w:rsid w:val="00841AC3"/>
    <w:rsid w:val="008420DA"/>
    <w:rsid w:val="008427F4"/>
    <w:rsid w:val="00842B9B"/>
    <w:rsid w:val="00842CA1"/>
    <w:rsid w:val="0084309F"/>
    <w:rsid w:val="00843208"/>
    <w:rsid w:val="00843778"/>
    <w:rsid w:val="0084422E"/>
    <w:rsid w:val="0084428D"/>
    <w:rsid w:val="00844738"/>
    <w:rsid w:val="008448C2"/>
    <w:rsid w:val="00844C0C"/>
    <w:rsid w:val="00844F25"/>
    <w:rsid w:val="0084537B"/>
    <w:rsid w:val="0084558C"/>
    <w:rsid w:val="008455CE"/>
    <w:rsid w:val="0084580A"/>
    <w:rsid w:val="008459FC"/>
    <w:rsid w:val="00845C5C"/>
    <w:rsid w:val="00845D1A"/>
    <w:rsid w:val="00845DC0"/>
    <w:rsid w:val="00845DF8"/>
    <w:rsid w:val="00845E20"/>
    <w:rsid w:val="00846501"/>
    <w:rsid w:val="008465E7"/>
    <w:rsid w:val="008469F9"/>
    <w:rsid w:val="00846A08"/>
    <w:rsid w:val="00846B81"/>
    <w:rsid w:val="008470CB"/>
    <w:rsid w:val="00847282"/>
    <w:rsid w:val="00847286"/>
    <w:rsid w:val="008474E1"/>
    <w:rsid w:val="008474EA"/>
    <w:rsid w:val="008478F0"/>
    <w:rsid w:val="008478F1"/>
    <w:rsid w:val="00847B05"/>
    <w:rsid w:val="00847F6F"/>
    <w:rsid w:val="00850305"/>
    <w:rsid w:val="0085071F"/>
    <w:rsid w:val="00850776"/>
    <w:rsid w:val="00850982"/>
    <w:rsid w:val="00850C77"/>
    <w:rsid w:val="00850CD5"/>
    <w:rsid w:val="00850DFC"/>
    <w:rsid w:val="00850E4F"/>
    <w:rsid w:val="00850ECD"/>
    <w:rsid w:val="00851B21"/>
    <w:rsid w:val="00851BFE"/>
    <w:rsid w:val="00851C6F"/>
    <w:rsid w:val="00851DFA"/>
    <w:rsid w:val="00851ED9"/>
    <w:rsid w:val="008522EF"/>
    <w:rsid w:val="008527CC"/>
    <w:rsid w:val="00852879"/>
    <w:rsid w:val="008528A3"/>
    <w:rsid w:val="00852AA6"/>
    <w:rsid w:val="00852B22"/>
    <w:rsid w:val="00852BE1"/>
    <w:rsid w:val="00852C91"/>
    <w:rsid w:val="00852FE4"/>
    <w:rsid w:val="008530C2"/>
    <w:rsid w:val="008532E7"/>
    <w:rsid w:val="008532E8"/>
    <w:rsid w:val="00853628"/>
    <w:rsid w:val="0085373E"/>
    <w:rsid w:val="0085404E"/>
    <w:rsid w:val="008543C3"/>
    <w:rsid w:val="00854676"/>
    <w:rsid w:val="008548EE"/>
    <w:rsid w:val="008549D4"/>
    <w:rsid w:val="00854A22"/>
    <w:rsid w:val="00854BD0"/>
    <w:rsid w:val="00854E4A"/>
    <w:rsid w:val="00854FEA"/>
    <w:rsid w:val="008551F7"/>
    <w:rsid w:val="00855301"/>
    <w:rsid w:val="0085531F"/>
    <w:rsid w:val="00855429"/>
    <w:rsid w:val="008555E8"/>
    <w:rsid w:val="00855D44"/>
    <w:rsid w:val="0085607A"/>
    <w:rsid w:val="008565A1"/>
    <w:rsid w:val="008565E4"/>
    <w:rsid w:val="00856737"/>
    <w:rsid w:val="008569BC"/>
    <w:rsid w:val="00856C17"/>
    <w:rsid w:val="00856C2F"/>
    <w:rsid w:val="00856FF2"/>
    <w:rsid w:val="008570A8"/>
    <w:rsid w:val="00857545"/>
    <w:rsid w:val="00857576"/>
    <w:rsid w:val="008575FA"/>
    <w:rsid w:val="0085766B"/>
    <w:rsid w:val="00857687"/>
    <w:rsid w:val="00857A72"/>
    <w:rsid w:val="00857C01"/>
    <w:rsid w:val="00857C59"/>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5C4"/>
    <w:rsid w:val="008618A7"/>
    <w:rsid w:val="008618D4"/>
    <w:rsid w:val="0086195F"/>
    <w:rsid w:val="008619B9"/>
    <w:rsid w:val="00861A72"/>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82"/>
    <w:rsid w:val="00865D38"/>
    <w:rsid w:val="00865E64"/>
    <w:rsid w:val="00865F25"/>
    <w:rsid w:val="00865FDA"/>
    <w:rsid w:val="00866127"/>
    <w:rsid w:val="0086636F"/>
    <w:rsid w:val="00866489"/>
    <w:rsid w:val="008664CF"/>
    <w:rsid w:val="008664FB"/>
    <w:rsid w:val="00866C43"/>
    <w:rsid w:val="008671DA"/>
    <w:rsid w:val="008672F9"/>
    <w:rsid w:val="008673A5"/>
    <w:rsid w:val="00867507"/>
    <w:rsid w:val="0086759C"/>
    <w:rsid w:val="00867676"/>
    <w:rsid w:val="0086779D"/>
    <w:rsid w:val="00867881"/>
    <w:rsid w:val="00867934"/>
    <w:rsid w:val="00867A31"/>
    <w:rsid w:val="008700DE"/>
    <w:rsid w:val="0087080A"/>
    <w:rsid w:val="0087087F"/>
    <w:rsid w:val="008708AE"/>
    <w:rsid w:val="00870A05"/>
    <w:rsid w:val="00870B35"/>
    <w:rsid w:val="00870C74"/>
    <w:rsid w:val="00870E92"/>
    <w:rsid w:val="008710C4"/>
    <w:rsid w:val="008711AC"/>
    <w:rsid w:val="008711AF"/>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6174"/>
    <w:rsid w:val="00876199"/>
    <w:rsid w:val="0087682B"/>
    <w:rsid w:val="00876C37"/>
    <w:rsid w:val="00876F18"/>
    <w:rsid w:val="008774C5"/>
    <w:rsid w:val="00877671"/>
    <w:rsid w:val="0087772F"/>
    <w:rsid w:val="00877844"/>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BA1"/>
    <w:rsid w:val="00882FFA"/>
    <w:rsid w:val="00883215"/>
    <w:rsid w:val="008839CF"/>
    <w:rsid w:val="00883BB2"/>
    <w:rsid w:val="00883F7D"/>
    <w:rsid w:val="008842C5"/>
    <w:rsid w:val="00884607"/>
    <w:rsid w:val="00884776"/>
    <w:rsid w:val="0088477A"/>
    <w:rsid w:val="00884922"/>
    <w:rsid w:val="00884F1F"/>
    <w:rsid w:val="00884F20"/>
    <w:rsid w:val="0088527E"/>
    <w:rsid w:val="00885598"/>
    <w:rsid w:val="00885667"/>
    <w:rsid w:val="00885AC1"/>
    <w:rsid w:val="00885CB6"/>
    <w:rsid w:val="00885CD3"/>
    <w:rsid w:val="00885DE8"/>
    <w:rsid w:val="00885E1C"/>
    <w:rsid w:val="00886136"/>
    <w:rsid w:val="008866A7"/>
    <w:rsid w:val="00886750"/>
    <w:rsid w:val="00886873"/>
    <w:rsid w:val="00886C2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816"/>
    <w:rsid w:val="00890A37"/>
    <w:rsid w:val="00890A64"/>
    <w:rsid w:val="00890B5B"/>
    <w:rsid w:val="00891168"/>
    <w:rsid w:val="00891403"/>
    <w:rsid w:val="008915A5"/>
    <w:rsid w:val="008917D6"/>
    <w:rsid w:val="00891C64"/>
    <w:rsid w:val="00891EF8"/>
    <w:rsid w:val="00891F62"/>
    <w:rsid w:val="008922FC"/>
    <w:rsid w:val="00892430"/>
    <w:rsid w:val="008925F8"/>
    <w:rsid w:val="0089286D"/>
    <w:rsid w:val="00892975"/>
    <w:rsid w:val="00892BBF"/>
    <w:rsid w:val="00892FEA"/>
    <w:rsid w:val="0089349D"/>
    <w:rsid w:val="0089387B"/>
    <w:rsid w:val="008938CF"/>
    <w:rsid w:val="008939CD"/>
    <w:rsid w:val="00893A27"/>
    <w:rsid w:val="00893A99"/>
    <w:rsid w:val="00893BC8"/>
    <w:rsid w:val="00893BD0"/>
    <w:rsid w:val="00893C22"/>
    <w:rsid w:val="00893F0F"/>
    <w:rsid w:val="008942EC"/>
    <w:rsid w:val="0089470C"/>
    <w:rsid w:val="00894A01"/>
    <w:rsid w:val="00894EF0"/>
    <w:rsid w:val="00894F7D"/>
    <w:rsid w:val="0089518D"/>
    <w:rsid w:val="008952C2"/>
    <w:rsid w:val="008952EA"/>
    <w:rsid w:val="0089538D"/>
    <w:rsid w:val="00895449"/>
    <w:rsid w:val="00895821"/>
    <w:rsid w:val="0089582C"/>
    <w:rsid w:val="00895874"/>
    <w:rsid w:val="00895A37"/>
    <w:rsid w:val="00895AC5"/>
    <w:rsid w:val="00895AD7"/>
    <w:rsid w:val="00895CCD"/>
    <w:rsid w:val="00895D35"/>
    <w:rsid w:val="00895EBB"/>
    <w:rsid w:val="00896121"/>
    <w:rsid w:val="008962D5"/>
    <w:rsid w:val="00896916"/>
    <w:rsid w:val="0089696A"/>
    <w:rsid w:val="00896971"/>
    <w:rsid w:val="00896A67"/>
    <w:rsid w:val="00896D37"/>
    <w:rsid w:val="0089720F"/>
    <w:rsid w:val="00897217"/>
    <w:rsid w:val="008972B0"/>
    <w:rsid w:val="0089737A"/>
    <w:rsid w:val="008974A9"/>
    <w:rsid w:val="008975C4"/>
    <w:rsid w:val="00897A1A"/>
    <w:rsid w:val="00897B25"/>
    <w:rsid w:val="00897BE2"/>
    <w:rsid w:val="00897D9D"/>
    <w:rsid w:val="00897F55"/>
    <w:rsid w:val="008A007E"/>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647"/>
    <w:rsid w:val="008A2858"/>
    <w:rsid w:val="008A28BB"/>
    <w:rsid w:val="008A2C85"/>
    <w:rsid w:val="008A3071"/>
    <w:rsid w:val="008A31AA"/>
    <w:rsid w:val="008A31BB"/>
    <w:rsid w:val="008A3248"/>
    <w:rsid w:val="008A326D"/>
    <w:rsid w:val="008A3279"/>
    <w:rsid w:val="008A3823"/>
    <w:rsid w:val="008A39F1"/>
    <w:rsid w:val="008A3AF9"/>
    <w:rsid w:val="008A3B93"/>
    <w:rsid w:val="008A3BFC"/>
    <w:rsid w:val="008A3C12"/>
    <w:rsid w:val="008A3D6B"/>
    <w:rsid w:val="008A3DB7"/>
    <w:rsid w:val="008A3E7D"/>
    <w:rsid w:val="008A4179"/>
    <w:rsid w:val="008A439B"/>
    <w:rsid w:val="008A4403"/>
    <w:rsid w:val="008A461A"/>
    <w:rsid w:val="008A4AB5"/>
    <w:rsid w:val="008A4B3F"/>
    <w:rsid w:val="008A4C71"/>
    <w:rsid w:val="008A4D2D"/>
    <w:rsid w:val="008A4F00"/>
    <w:rsid w:val="008A51CA"/>
    <w:rsid w:val="008A54AE"/>
    <w:rsid w:val="008A55C4"/>
    <w:rsid w:val="008A575A"/>
    <w:rsid w:val="008A5865"/>
    <w:rsid w:val="008A58A2"/>
    <w:rsid w:val="008A5A69"/>
    <w:rsid w:val="008A5ABA"/>
    <w:rsid w:val="008A6382"/>
    <w:rsid w:val="008A6395"/>
    <w:rsid w:val="008A63FD"/>
    <w:rsid w:val="008A67B7"/>
    <w:rsid w:val="008A68AE"/>
    <w:rsid w:val="008A704B"/>
    <w:rsid w:val="008A70BF"/>
    <w:rsid w:val="008A73F8"/>
    <w:rsid w:val="008A7CE1"/>
    <w:rsid w:val="008A7D82"/>
    <w:rsid w:val="008A7E37"/>
    <w:rsid w:val="008B00AD"/>
    <w:rsid w:val="008B0186"/>
    <w:rsid w:val="008B0297"/>
    <w:rsid w:val="008B02D1"/>
    <w:rsid w:val="008B0573"/>
    <w:rsid w:val="008B0577"/>
    <w:rsid w:val="008B096D"/>
    <w:rsid w:val="008B0982"/>
    <w:rsid w:val="008B0A3D"/>
    <w:rsid w:val="008B0C9B"/>
    <w:rsid w:val="008B0F57"/>
    <w:rsid w:val="008B1019"/>
    <w:rsid w:val="008B10EF"/>
    <w:rsid w:val="008B11D7"/>
    <w:rsid w:val="008B143B"/>
    <w:rsid w:val="008B15B2"/>
    <w:rsid w:val="008B16D6"/>
    <w:rsid w:val="008B1757"/>
    <w:rsid w:val="008B1794"/>
    <w:rsid w:val="008B1E20"/>
    <w:rsid w:val="008B1E9F"/>
    <w:rsid w:val="008B2215"/>
    <w:rsid w:val="008B2346"/>
    <w:rsid w:val="008B2451"/>
    <w:rsid w:val="008B24E6"/>
    <w:rsid w:val="008B25D4"/>
    <w:rsid w:val="008B269A"/>
    <w:rsid w:val="008B26C0"/>
    <w:rsid w:val="008B2934"/>
    <w:rsid w:val="008B2A0A"/>
    <w:rsid w:val="008B2AAC"/>
    <w:rsid w:val="008B2DC2"/>
    <w:rsid w:val="008B341A"/>
    <w:rsid w:val="008B3658"/>
    <w:rsid w:val="008B3694"/>
    <w:rsid w:val="008B378C"/>
    <w:rsid w:val="008B3A51"/>
    <w:rsid w:val="008B3F52"/>
    <w:rsid w:val="008B40C9"/>
    <w:rsid w:val="008B40E7"/>
    <w:rsid w:val="008B45C4"/>
    <w:rsid w:val="008B45F3"/>
    <w:rsid w:val="008B46A7"/>
    <w:rsid w:val="008B4B29"/>
    <w:rsid w:val="008B4ECE"/>
    <w:rsid w:val="008B56BE"/>
    <w:rsid w:val="008B5855"/>
    <w:rsid w:val="008B5870"/>
    <w:rsid w:val="008B5E4E"/>
    <w:rsid w:val="008B65DA"/>
    <w:rsid w:val="008B6B57"/>
    <w:rsid w:val="008B7385"/>
    <w:rsid w:val="008B73BB"/>
    <w:rsid w:val="008B773D"/>
    <w:rsid w:val="008B7AAA"/>
    <w:rsid w:val="008B7CA4"/>
    <w:rsid w:val="008B7D35"/>
    <w:rsid w:val="008C0575"/>
    <w:rsid w:val="008C06CF"/>
    <w:rsid w:val="008C08B7"/>
    <w:rsid w:val="008C0BD6"/>
    <w:rsid w:val="008C0C0B"/>
    <w:rsid w:val="008C0D9C"/>
    <w:rsid w:val="008C0ECD"/>
    <w:rsid w:val="008C1188"/>
    <w:rsid w:val="008C1445"/>
    <w:rsid w:val="008C156D"/>
    <w:rsid w:val="008C18F8"/>
    <w:rsid w:val="008C1AB4"/>
    <w:rsid w:val="008C1B3D"/>
    <w:rsid w:val="008C1C3E"/>
    <w:rsid w:val="008C1CC0"/>
    <w:rsid w:val="008C1DA3"/>
    <w:rsid w:val="008C1E17"/>
    <w:rsid w:val="008C219A"/>
    <w:rsid w:val="008C21F2"/>
    <w:rsid w:val="008C24F9"/>
    <w:rsid w:val="008C24FD"/>
    <w:rsid w:val="008C2535"/>
    <w:rsid w:val="008C27C1"/>
    <w:rsid w:val="008C27EA"/>
    <w:rsid w:val="008C28E3"/>
    <w:rsid w:val="008C29BE"/>
    <w:rsid w:val="008C2C59"/>
    <w:rsid w:val="008C2F66"/>
    <w:rsid w:val="008C3190"/>
    <w:rsid w:val="008C341F"/>
    <w:rsid w:val="008C34C7"/>
    <w:rsid w:val="008C3992"/>
    <w:rsid w:val="008C3FB7"/>
    <w:rsid w:val="008C41B9"/>
    <w:rsid w:val="008C4317"/>
    <w:rsid w:val="008C4530"/>
    <w:rsid w:val="008C4789"/>
    <w:rsid w:val="008C47EF"/>
    <w:rsid w:val="008C496C"/>
    <w:rsid w:val="008C4CB3"/>
    <w:rsid w:val="008C4DE6"/>
    <w:rsid w:val="008C4E87"/>
    <w:rsid w:val="008C51FF"/>
    <w:rsid w:val="008C532A"/>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F"/>
    <w:rsid w:val="008C7F66"/>
    <w:rsid w:val="008D088A"/>
    <w:rsid w:val="008D08E2"/>
    <w:rsid w:val="008D0FAC"/>
    <w:rsid w:val="008D0FC8"/>
    <w:rsid w:val="008D116E"/>
    <w:rsid w:val="008D1337"/>
    <w:rsid w:val="008D1356"/>
    <w:rsid w:val="008D1369"/>
    <w:rsid w:val="008D164C"/>
    <w:rsid w:val="008D181A"/>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ED1"/>
    <w:rsid w:val="008D3160"/>
    <w:rsid w:val="008D3188"/>
    <w:rsid w:val="008D3471"/>
    <w:rsid w:val="008D36A0"/>
    <w:rsid w:val="008D36C5"/>
    <w:rsid w:val="008D3B24"/>
    <w:rsid w:val="008D3BCD"/>
    <w:rsid w:val="008D3CD2"/>
    <w:rsid w:val="008D3F67"/>
    <w:rsid w:val="008D41B9"/>
    <w:rsid w:val="008D4203"/>
    <w:rsid w:val="008D4320"/>
    <w:rsid w:val="008D4501"/>
    <w:rsid w:val="008D48A9"/>
    <w:rsid w:val="008D4A4A"/>
    <w:rsid w:val="008D4EB5"/>
    <w:rsid w:val="008D4F2D"/>
    <w:rsid w:val="008D50CD"/>
    <w:rsid w:val="008D54F0"/>
    <w:rsid w:val="008D5703"/>
    <w:rsid w:val="008D574A"/>
    <w:rsid w:val="008D5860"/>
    <w:rsid w:val="008D5919"/>
    <w:rsid w:val="008D59CB"/>
    <w:rsid w:val="008D5D57"/>
    <w:rsid w:val="008D6269"/>
    <w:rsid w:val="008D64A5"/>
    <w:rsid w:val="008D6752"/>
    <w:rsid w:val="008D68E5"/>
    <w:rsid w:val="008D695A"/>
    <w:rsid w:val="008D69A1"/>
    <w:rsid w:val="008D69D3"/>
    <w:rsid w:val="008D6A34"/>
    <w:rsid w:val="008D6A53"/>
    <w:rsid w:val="008D6C38"/>
    <w:rsid w:val="008D6C66"/>
    <w:rsid w:val="008D6DB9"/>
    <w:rsid w:val="008D6DFB"/>
    <w:rsid w:val="008D745E"/>
    <w:rsid w:val="008D762C"/>
    <w:rsid w:val="008D7907"/>
    <w:rsid w:val="008D7F70"/>
    <w:rsid w:val="008E00BC"/>
    <w:rsid w:val="008E037A"/>
    <w:rsid w:val="008E0419"/>
    <w:rsid w:val="008E0661"/>
    <w:rsid w:val="008E075E"/>
    <w:rsid w:val="008E078B"/>
    <w:rsid w:val="008E0923"/>
    <w:rsid w:val="008E0AAB"/>
    <w:rsid w:val="008E0E3F"/>
    <w:rsid w:val="008E1075"/>
    <w:rsid w:val="008E10E6"/>
    <w:rsid w:val="008E16B1"/>
    <w:rsid w:val="008E17C8"/>
    <w:rsid w:val="008E17D1"/>
    <w:rsid w:val="008E1A35"/>
    <w:rsid w:val="008E248B"/>
    <w:rsid w:val="008E27DD"/>
    <w:rsid w:val="008E27EE"/>
    <w:rsid w:val="008E2BFD"/>
    <w:rsid w:val="008E2C59"/>
    <w:rsid w:val="008E2F83"/>
    <w:rsid w:val="008E30DD"/>
    <w:rsid w:val="008E3273"/>
    <w:rsid w:val="008E33A7"/>
    <w:rsid w:val="008E3563"/>
    <w:rsid w:val="008E378D"/>
    <w:rsid w:val="008E38BA"/>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5B1"/>
    <w:rsid w:val="008E6879"/>
    <w:rsid w:val="008E6AC8"/>
    <w:rsid w:val="008E6BD6"/>
    <w:rsid w:val="008E6BDF"/>
    <w:rsid w:val="008E7372"/>
    <w:rsid w:val="008E761E"/>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0D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DB8"/>
    <w:rsid w:val="008F2E93"/>
    <w:rsid w:val="008F30E8"/>
    <w:rsid w:val="008F3324"/>
    <w:rsid w:val="008F3CEA"/>
    <w:rsid w:val="008F403C"/>
    <w:rsid w:val="008F40A6"/>
    <w:rsid w:val="008F420E"/>
    <w:rsid w:val="008F447F"/>
    <w:rsid w:val="008F4562"/>
    <w:rsid w:val="008F45D2"/>
    <w:rsid w:val="008F48A6"/>
    <w:rsid w:val="008F493A"/>
    <w:rsid w:val="008F497F"/>
    <w:rsid w:val="008F4B0B"/>
    <w:rsid w:val="008F4CC9"/>
    <w:rsid w:val="008F4F27"/>
    <w:rsid w:val="008F4F4D"/>
    <w:rsid w:val="008F518D"/>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8D5"/>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2D8"/>
    <w:rsid w:val="0090143F"/>
    <w:rsid w:val="009016C5"/>
    <w:rsid w:val="0090182E"/>
    <w:rsid w:val="0090188F"/>
    <w:rsid w:val="009019BA"/>
    <w:rsid w:val="00901C43"/>
    <w:rsid w:val="00901F1F"/>
    <w:rsid w:val="009022AC"/>
    <w:rsid w:val="009023E9"/>
    <w:rsid w:val="0090266F"/>
    <w:rsid w:val="009029B3"/>
    <w:rsid w:val="00902A3E"/>
    <w:rsid w:val="00902AF6"/>
    <w:rsid w:val="00902D4B"/>
    <w:rsid w:val="009035AA"/>
    <w:rsid w:val="00903762"/>
    <w:rsid w:val="009038E9"/>
    <w:rsid w:val="00903945"/>
    <w:rsid w:val="00903963"/>
    <w:rsid w:val="00903AF4"/>
    <w:rsid w:val="00903D7A"/>
    <w:rsid w:val="00904237"/>
    <w:rsid w:val="0090431F"/>
    <w:rsid w:val="00904697"/>
    <w:rsid w:val="009046FC"/>
    <w:rsid w:val="00904B6A"/>
    <w:rsid w:val="00904C0D"/>
    <w:rsid w:val="00904F72"/>
    <w:rsid w:val="00905158"/>
    <w:rsid w:val="009054DB"/>
    <w:rsid w:val="00905604"/>
    <w:rsid w:val="00905A18"/>
    <w:rsid w:val="00905E02"/>
    <w:rsid w:val="0090671F"/>
    <w:rsid w:val="009069D0"/>
    <w:rsid w:val="00906ADC"/>
    <w:rsid w:val="00907049"/>
    <w:rsid w:val="00907106"/>
    <w:rsid w:val="009078F7"/>
    <w:rsid w:val="00907945"/>
    <w:rsid w:val="00907947"/>
    <w:rsid w:val="0090796B"/>
    <w:rsid w:val="00907A3C"/>
    <w:rsid w:val="00907B1B"/>
    <w:rsid w:val="00907BED"/>
    <w:rsid w:val="00907EF4"/>
    <w:rsid w:val="00910128"/>
    <w:rsid w:val="009104A4"/>
    <w:rsid w:val="009104DD"/>
    <w:rsid w:val="009107BA"/>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29D0"/>
    <w:rsid w:val="0091312A"/>
    <w:rsid w:val="00913167"/>
    <w:rsid w:val="009132CC"/>
    <w:rsid w:val="009135BE"/>
    <w:rsid w:val="00913652"/>
    <w:rsid w:val="00914135"/>
    <w:rsid w:val="009141DC"/>
    <w:rsid w:val="00914768"/>
    <w:rsid w:val="009149F9"/>
    <w:rsid w:val="00914A0C"/>
    <w:rsid w:val="00914CBA"/>
    <w:rsid w:val="00914DEE"/>
    <w:rsid w:val="00915163"/>
    <w:rsid w:val="00915299"/>
    <w:rsid w:val="009152CE"/>
    <w:rsid w:val="009154F7"/>
    <w:rsid w:val="00915570"/>
    <w:rsid w:val="009155F9"/>
    <w:rsid w:val="00915E79"/>
    <w:rsid w:val="0091600F"/>
    <w:rsid w:val="00916022"/>
    <w:rsid w:val="00916221"/>
    <w:rsid w:val="009164F1"/>
    <w:rsid w:val="0091664F"/>
    <w:rsid w:val="009166C0"/>
    <w:rsid w:val="00916CAD"/>
    <w:rsid w:val="00916ECF"/>
    <w:rsid w:val="00917074"/>
    <w:rsid w:val="00917382"/>
    <w:rsid w:val="0091761B"/>
    <w:rsid w:val="009179A7"/>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864"/>
    <w:rsid w:val="00925B6E"/>
    <w:rsid w:val="00925EF9"/>
    <w:rsid w:val="00926064"/>
    <w:rsid w:val="00926172"/>
    <w:rsid w:val="00926208"/>
    <w:rsid w:val="00926508"/>
    <w:rsid w:val="009269C4"/>
    <w:rsid w:val="009269E3"/>
    <w:rsid w:val="009269E8"/>
    <w:rsid w:val="00926E41"/>
    <w:rsid w:val="00926F0C"/>
    <w:rsid w:val="0092735E"/>
    <w:rsid w:val="009274FB"/>
    <w:rsid w:val="00927511"/>
    <w:rsid w:val="009277C1"/>
    <w:rsid w:val="00927922"/>
    <w:rsid w:val="00927A5D"/>
    <w:rsid w:val="00927B1C"/>
    <w:rsid w:val="00927BE0"/>
    <w:rsid w:val="00927FE7"/>
    <w:rsid w:val="009301B5"/>
    <w:rsid w:val="00930231"/>
    <w:rsid w:val="0093070C"/>
    <w:rsid w:val="0093071A"/>
    <w:rsid w:val="009307A1"/>
    <w:rsid w:val="009308A8"/>
    <w:rsid w:val="009308AB"/>
    <w:rsid w:val="00930A9F"/>
    <w:rsid w:val="00930E07"/>
    <w:rsid w:val="00930EED"/>
    <w:rsid w:val="00931076"/>
    <w:rsid w:val="009311CD"/>
    <w:rsid w:val="00931598"/>
    <w:rsid w:val="009316DD"/>
    <w:rsid w:val="00931813"/>
    <w:rsid w:val="00932364"/>
    <w:rsid w:val="0093239D"/>
    <w:rsid w:val="00932AE9"/>
    <w:rsid w:val="00932B18"/>
    <w:rsid w:val="00932FED"/>
    <w:rsid w:val="009331EA"/>
    <w:rsid w:val="0093339C"/>
    <w:rsid w:val="00933484"/>
    <w:rsid w:val="0093351A"/>
    <w:rsid w:val="009335B7"/>
    <w:rsid w:val="00933925"/>
    <w:rsid w:val="00933A1E"/>
    <w:rsid w:val="00933C9D"/>
    <w:rsid w:val="00933EA2"/>
    <w:rsid w:val="00934468"/>
    <w:rsid w:val="009345AD"/>
    <w:rsid w:val="009347F5"/>
    <w:rsid w:val="00934F4C"/>
    <w:rsid w:val="0093513A"/>
    <w:rsid w:val="00935332"/>
    <w:rsid w:val="0093553A"/>
    <w:rsid w:val="00935623"/>
    <w:rsid w:val="00935BF0"/>
    <w:rsid w:val="009360EB"/>
    <w:rsid w:val="00936429"/>
    <w:rsid w:val="00936818"/>
    <w:rsid w:val="009369A5"/>
    <w:rsid w:val="00936C0D"/>
    <w:rsid w:val="00936CFF"/>
    <w:rsid w:val="0093712A"/>
    <w:rsid w:val="009371D9"/>
    <w:rsid w:val="00937999"/>
    <w:rsid w:val="00937F95"/>
    <w:rsid w:val="009400DA"/>
    <w:rsid w:val="009404B6"/>
    <w:rsid w:val="009405EF"/>
    <w:rsid w:val="00940861"/>
    <w:rsid w:val="00940C3B"/>
    <w:rsid w:val="00941035"/>
    <w:rsid w:val="009415D0"/>
    <w:rsid w:val="009419F3"/>
    <w:rsid w:val="00941A00"/>
    <w:rsid w:val="00941A6F"/>
    <w:rsid w:val="00942301"/>
    <w:rsid w:val="00942745"/>
    <w:rsid w:val="0094276F"/>
    <w:rsid w:val="00942F5B"/>
    <w:rsid w:val="009431FC"/>
    <w:rsid w:val="00943283"/>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6029"/>
    <w:rsid w:val="009461A5"/>
    <w:rsid w:val="009461CF"/>
    <w:rsid w:val="00946333"/>
    <w:rsid w:val="0094651F"/>
    <w:rsid w:val="00946B24"/>
    <w:rsid w:val="00946F23"/>
    <w:rsid w:val="00946FD5"/>
    <w:rsid w:val="0094710E"/>
    <w:rsid w:val="0094749D"/>
    <w:rsid w:val="00947651"/>
    <w:rsid w:val="009476DA"/>
    <w:rsid w:val="00947A26"/>
    <w:rsid w:val="00947BED"/>
    <w:rsid w:val="00947C00"/>
    <w:rsid w:val="00947C4A"/>
    <w:rsid w:val="00947CE5"/>
    <w:rsid w:val="00947F16"/>
    <w:rsid w:val="00950326"/>
    <w:rsid w:val="0095060D"/>
    <w:rsid w:val="00950805"/>
    <w:rsid w:val="00950931"/>
    <w:rsid w:val="00950CC2"/>
    <w:rsid w:val="009511C9"/>
    <w:rsid w:val="00951503"/>
    <w:rsid w:val="00951558"/>
    <w:rsid w:val="009515C5"/>
    <w:rsid w:val="00951CDF"/>
    <w:rsid w:val="00951D6E"/>
    <w:rsid w:val="00951DFD"/>
    <w:rsid w:val="009524DD"/>
    <w:rsid w:val="0095292E"/>
    <w:rsid w:val="00952A9F"/>
    <w:rsid w:val="009530EE"/>
    <w:rsid w:val="009534BA"/>
    <w:rsid w:val="009534EE"/>
    <w:rsid w:val="00953581"/>
    <w:rsid w:val="00953883"/>
    <w:rsid w:val="009538BC"/>
    <w:rsid w:val="00953C26"/>
    <w:rsid w:val="00953E10"/>
    <w:rsid w:val="00953F93"/>
    <w:rsid w:val="00954075"/>
    <w:rsid w:val="009541AE"/>
    <w:rsid w:val="009543E8"/>
    <w:rsid w:val="00954696"/>
    <w:rsid w:val="009549A1"/>
    <w:rsid w:val="009551DE"/>
    <w:rsid w:val="009556A4"/>
    <w:rsid w:val="0095591A"/>
    <w:rsid w:val="00955A15"/>
    <w:rsid w:val="00955B63"/>
    <w:rsid w:val="00955BBE"/>
    <w:rsid w:val="00955F3E"/>
    <w:rsid w:val="009560F4"/>
    <w:rsid w:val="00956280"/>
    <w:rsid w:val="00956611"/>
    <w:rsid w:val="00956D2C"/>
    <w:rsid w:val="00956D9B"/>
    <w:rsid w:val="009571BC"/>
    <w:rsid w:val="009575DF"/>
    <w:rsid w:val="00957A80"/>
    <w:rsid w:val="00960253"/>
    <w:rsid w:val="009602A7"/>
    <w:rsid w:val="00960554"/>
    <w:rsid w:val="00960792"/>
    <w:rsid w:val="009607B5"/>
    <w:rsid w:val="009607D1"/>
    <w:rsid w:val="009608CC"/>
    <w:rsid w:val="009608F3"/>
    <w:rsid w:val="009609B3"/>
    <w:rsid w:val="00960A73"/>
    <w:rsid w:val="00960F23"/>
    <w:rsid w:val="0096109B"/>
    <w:rsid w:val="00961276"/>
    <w:rsid w:val="0096146D"/>
    <w:rsid w:val="009617BB"/>
    <w:rsid w:val="0096188A"/>
    <w:rsid w:val="00961D17"/>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127"/>
    <w:rsid w:val="00964608"/>
    <w:rsid w:val="00964ADD"/>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7281"/>
    <w:rsid w:val="009672FA"/>
    <w:rsid w:val="009673CB"/>
    <w:rsid w:val="00967471"/>
    <w:rsid w:val="0096780E"/>
    <w:rsid w:val="00967A7D"/>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219D"/>
    <w:rsid w:val="00972375"/>
    <w:rsid w:val="00972609"/>
    <w:rsid w:val="009729CE"/>
    <w:rsid w:val="00972D2D"/>
    <w:rsid w:val="00972D9A"/>
    <w:rsid w:val="00972F69"/>
    <w:rsid w:val="009730CE"/>
    <w:rsid w:val="0097311E"/>
    <w:rsid w:val="009735A5"/>
    <w:rsid w:val="00973A9A"/>
    <w:rsid w:val="00974158"/>
    <w:rsid w:val="009748E4"/>
    <w:rsid w:val="00974B2A"/>
    <w:rsid w:val="00974B6A"/>
    <w:rsid w:val="00974C93"/>
    <w:rsid w:val="00974CBB"/>
    <w:rsid w:val="0097506A"/>
    <w:rsid w:val="0097506F"/>
    <w:rsid w:val="00975333"/>
    <w:rsid w:val="0097541C"/>
    <w:rsid w:val="009754BA"/>
    <w:rsid w:val="0097571D"/>
    <w:rsid w:val="009758D9"/>
    <w:rsid w:val="00975924"/>
    <w:rsid w:val="00975A5B"/>
    <w:rsid w:val="0097600C"/>
    <w:rsid w:val="009761C7"/>
    <w:rsid w:val="009764C3"/>
    <w:rsid w:val="0097657B"/>
    <w:rsid w:val="0097662B"/>
    <w:rsid w:val="009766F8"/>
    <w:rsid w:val="00976A63"/>
    <w:rsid w:val="00976CC8"/>
    <w:rsid w:val="009773C8"/>
    <w:rsid w:val="00977865"/>
    <w:rsid w:val="009778E6"/>
    <w:rsid w:val="00977D03"/>
    <w:rsid w:val="00977D4E"/>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562"/>
    <w:rsid w:val="00985649"/>
    <w:rsid w:val="00985AFC"/>
    <w:rsid w:val="00985C96"/>
    <w:rsid w:val="00985CAA"/>
    <w:rsid w:val="00985E5D"/>
    <w:rsid w:val="00986221"/>
    <w:rsid w:val="0098625F"/>
    <w:rsid w:val="009863FD"/>
    <w:rsid w:val="0098693C"/>
    <w:rsid w:val="00986FA6"/>
    <w:rsid w:val="00986FAB"/>
    <w:rsid w:val="009877C7"/>
    <w:rsid w:val="00987946"/>
    <w:rsid w:val="0099013C"/>
    <w:rsid w:val="0099015D"/>
    <w:rsid w:val="0099031C"/>
    <w:rsid w:val="00990912"/>
    <w:rsid w:val="00990C98"/>
    <w:rsid w:val="00990DDE"/>
    <w:rsid w:val="00990EEB"/>
    <w:rsid w:val="00990F9C"/>
    <w:rsid w:val="009912FD"/>
    <w:rsid w:val="00991413"/>
    <w:rsid w:val="00991446"/>
    <w:rsid w:val="0099162D"/>
    <w:rsid w:val="009917EF"/>
    <w:rsid w:val="0099189F"/>
    <w:rsid w:val="00991C20"/>
    <w:rsid w:val="00991DEE"/>
    <w:rsid w:val="00991DF4"/>
    <w:rsid w:val="00991EAA"/>
    <w:rsid w:val="0099206A"/>
    <w:rsid w:val="00992107"/>
    <w:rsid w:val="009923B3"/>
    <w:rsid w:val="009925DC"/>
    <w:rsid w:val="00992BD3"/>
    <w:rsid w:val="00993001"/>
    <w:rsid w:val="00993361"/>
    <w:rsid w:val="0099381C"/>
    <w:rsid w:val="00993E1D"/>
    <w:rsid w:val="0099434E"/>
    <w:rsid w:val="00994AC6"/>
    <w:rsid w:val="00994ADC"/>
    <w:rsid w:val="00994F21"/>
    <w:rsid w:val="00994FD4"/>
    <w:rsid w:val="009952F8"/>
    <w:rsid w:val="00995346"/>
    <w:rsid w:val="009953C6"/>
    <w:rsid w:val="00995AC3"/>
    <w:rsid w:val="00995BB5"/>
    <w:rsid w:val="00995C6A"/>
    <w:rsid w:val="0099601E"/>
    <w:rsid w:val="00996352"/>
    <w:rsid w:val="00996568"/>
    <w:rsid w:val="0099659C"/>
    <w:rsid w:val="00996865"/>
    <w:rsid w:val="00996AA7"/>
    <w:rsid w:val="00996CCA"/>
    <w:rsid w:val="00996D1D"/>
    <w:rsid w:val="00997180"/>
    <w:rsid w:val="00997312"/>
    <w:rsid w:val="009975EB"/>
    <w:rsid w:val="00997664"/>
    <w:rsid w:val="00997761"/>
    <w:rsid w:val="009978BF"/>
    <w:rsid w:val="009979B1"/>
    <w:rsid w:val="00997B21"/>
    <w:rsid w:val="00997E02"/>
    <w:rsid w:val="00997EF0"/>
    <w:rsid w:val="009A02B4"/>
    <w:rsid w:val="009A0580"/>
    <w:rsid w:val="009A074E"/>
    <w:rsid w:val="009A0822"/>
    <w:rsid w:val="009A0886"/>
    <w:rsid w:val="009A0959"/>
    <w:rsid w:val="009A0A9F"/>
    <w:rsid w:val="009A0AF6"/>
    <w:rsid w:val="009A0C3C"/>
    <w:rsid w:val="009A0FE6"/>
    <w:rsid w:val="009A1002"/>
    <w:rsid w:val="009A13A1"/>
    <w:rsid w:val="009A13B5"/>
    <w:rsid w:val="009A16F1"/>
    <w:rsid w:val="009A1792"/>
    <w:rsid w:val="009A1B05"/>
    <w:rsid w:val="009A1D01"/>
    <w:rsid w:val="009A1FFC"/>
    <w:rsid w:val="009A21CF"/>
    <w:rsid w:val="009A227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327"/>
    <w:rsid w:val="009A4408"/>
    <w:rsid w:val="009A4469"/>
    <w:rsid w:val="009A44D3"/>
    <w:rsid w:val="009A46FF"/>
    <w:rsid w:val="009A4DDA"/>
    <w:rsid w:val="009A558D"/>
    <w:rsid w:val="009A561C"/>
    <w:rsid w:val="009A57EE"/>
    <w:rsid w:val="009A5855"/>
    <w:rsid w:val="009A5AAB"/>
    <w:rsid w:val="009A60DE"/>
    <w:rsid w:val="009A60FC"/>
    <w:rsid w:val="009A6430"/>
    <w:rsid w:val="009A6615"/>
    <w:rsid w:val="009A68BE"/>
    <w:rsid w:val="009A69A9"/>
    <w:rsid w:val="009A6B18"/>
    <w:rsid w:val="009A6CAF"/>
    <w:rsid w:val="009A735B"/>
    <w:rsid w:val="009A7395"/>
    <w:rsid w:val="009A7461"/>
    <w:rsid w:val="009A7837"/>
    <w:rsid w:val="009B048F"/>
    <w:rsid w:val="009B08E3"/>
    <w:rsid w:val="009B0B14"/>
    <w:rsid w:val="009B0B7E"/>
    <w:rsid w:val="009B0BE8"/>
    <w:rsid w:val="009B0FD6"/>
    <w:rsid w:val="009B1378"/>
    <w:rsid w:val="009B1560"/>
    <w:rsid w:val="009B183B"/>
    <w:rsid w:val="009B1A43"/>
    <w:rsid w:val="009B1A95"/>
    <w:rsid w:val="009B1B27"/>
    <w:rsid w:val="009B1B73"/>
    <w:rsid w:val="009B1C0F"/>
    <w:rsid w:val="009B1CF6"/>
    <w:rsid w:val="009B1D3B"/>
    <w:rsid w:val="009B2032"/>
    <w:rsid w:val="009B2038"/>
    <w:rsid w:val="009B20AC"/>
    <w:rsid w:val="009B2454"/>
    <w:rsid w:val="009B27EB"/>
    <w:rsid w:val="009B2ABD"/>
    <w:rsid w:val="009B2C5E"/>
    <w:rsid w:val="009B2E74"/>
    <w:rsid w:val="009B33FE"/>
    <w:rsid w:val="009B38A7"/>
    <w:rsid w:val="009B3925"/>
    <w:rsid w:val="009B3BEB"/>
    <w:rsid w:val="009B3C2D"/>
    <w:rsid w:val="009B4093"/>
    <w:rsid w:val="009B412B"/>
    <w:rsid w:val="009B41A5"/>
    <w:rsid w:val="009B41BB"/>
    <w:rsid w:val="009B4244"/>
    <w:rsid w:val="009B427C"/>
    <w:rsid w:val="009B45F1"/>
    <w:rsid w:val="009B4797"/>
    <w:rsid w:val="009B488D"/>
    <w:rsid w:val="009B48B3"/>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B73"/>
    <w:rsid w:val="009B6F68"/>
    <w:rsid w:val="009B7033"/>
    <w:rsid w:val="009B706D"/>
    <w:rsid w:val="009B75F9"/>
    <w:rsid w:val="009B7936"/>
    <w:rsid w:val="009B7A7C"/>
    <w:rsid w:val="009B7A85"/>
    <w:rsid w:val="009B7E33"/>
    <w:rsid w:val="009C01B6"/>
    <w:rsid w:val="009C01FE"/>
    <w:rsid w:val="009C033A"/>
    <w:rsid w:val="009C03A7"/>
    <w:rsid w:val="009C03EF"/>
    <w:rsid w:val="009C0435"/>
    <w:rsid w:val="009C04FA"/>
    <w:rsid w:val="009C05B7"/>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E0A"/>
    <w:rsid w:val="009C1E40"/>
    <w:rsid w:val="009C2257"/>
    <w:rsid w:val="009C280C"/>
    <w:rsid w:val="009C2AB2"/>
    <w:rsid w:val="009C2C9E"/>
    <w:rsid w:val="009C2D76"/>
    <w:rsid w:val="009C2F26"/>
    <w:rsid w:val="009C2F63"/>
    <w:rsid w:val="009C3092"/>
    <w:rsid w:val="009C3A28"/>
    <w:rsid w:val="009C3BA5"/>
    <w:rsid w:val="009C3C1D"/>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4C7"/>
    <w:rsid w:val="009C6668"/>
    <w:rsid w:val="009C670B"/>
    <w:rsid w:val="009C6742"/>
    <w:rsid w:val="009C6914"/>
    <w:rsid w:val="009C6BE2"/>
    <w:rsid w:val="009C6E9E"/>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997"/>
    <w:rsid w:val="009D1E13"/>
    <w:rsid w:val="009D1EA1"/>
    <w:rsid w:val="009D1EC1"/>
    <w:rsid w:val="009D1FD0"/>
    <w:rsid w:val="009D2094"/>
    <w:rsid w:val="009D2510"/>
    <w:rsid w:val="009D25A2"/>
    <w:rsid w:val="009D300C"/>
    <w:rsid w:val="009D339F"/>
    <w:rsid w:val="009D3416"/>
    <w:rsid w:val="009D3714"/>
    <w:rsid w:val="009D3817"/>
    <w:rsid w:val="009D3929"/>
    <w:rsid w:val="009D3FF8"/>
    <w:rsid w:val="009D42E0"/>
    <w:rsid w:val="009D45CC"/>
    <w:rsid w:val="009D4690"/>
    <w:rsid w:val="009D4E7A"/>
    <w:rsid w:val="009D55B3"/>
    <w:rsid w:val="009D561D"/>
    <w:rsid w:val="009D5737"/>
    <w:rsid w:val="009D5AD0"/>
    <w:rsid w:val="009D603E"/>
    <w:rsid w:val="009D63C1"/>
    <w:rsid w:val="009D678B"/>
    <w:rsid w:val="009D6BFF"/>
    <w:rsid w:val="009D6D49"/>
    <w:rsid w:val="009D704C"/>
    <w:rsid w:val="009D7127"/>
    <w:rsid w:val="009D742D"/>
    <w:rsid w:val="009D75DE"/>
    <w:rsid w:val="009D7AB6"/>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EC7"/>
    <w:rsid w:val="009E1F3E"/>
    <w:rsid w:val="009E2121"/>
    <w:rsid w:val="009E2234"/>
    <w:rsid w:val="009E2411"/>
    <w:rsid w:val="009E243B"/>
    <w:rsid w:val="009E2627"/>
    <w:rsid w:val="009E2686"/>
    <w:rsid w:val="009E2989"/>
    <w:rsid w:val="009E2C6C"/>
    <w:rsid w:val="009E2EF8"/>
    <w:rsid w:val="009E3035"/>
    <w:rsid w:val="009E33DB"/>
    <w:rsid w:val="009E36CA"/>
    <w:rsid w:val="009E386F"/>
    <w:rsid w:val="009E3C84"/>
    <w:rsid w:val="009E4076"/>
    <w:rsid w:val="009E4499"/>
    <w:rsid w:val="009E4578"/>
    <w:rsid w:val="009E46E8"/>
    <w:rsid w:val="009E4D69"/>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3BA"/>
    <w:rsid w:val="009E76DA"/>
    <w:rsid w:val="009E783B"/>
    <w:rsid w:val="009E7BBC"/>
    <w:rsid w:val="009E7E2B"/>
    <w:rsid w:val="009E7E85"/>
    <w:rsid w:val="009F036B"/>
    <w:rsid w:val="009F05E7"/>
    <w:rsid w:val="009F063C"/>
    <w:rsid w:val="009F0BD3"/>
    <w:rsid w:val="009F0EC4"/>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3C3"/>
    <w:rsid w:val="009F3434"/>
    <w:rsid w:val="009F3773"/>
    <w:rsid w:val="009F387D"/>
    <w:rsid w:val="009F3A21"/>
    <w:rsid w:val="009F3CFC"/>
    <w:rsid w:val="009F40F4"/>
    <w:rsid w:val="009F4658"/>
    <w:rsid w:val="009F46AE"/>
    <w:rsid w:val="009F487A"/>
    <w:rsid w:val="009F48A1"/>
    <w:rsid w:val="009F4BAB"/>
    <w:rsid w:val="009F4BD8"/>
    <w:rsid w:val="009F50FD"/>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99"/>
    <w:rsid w:val="009F722D"/>
    <w:rsid w:val="009F7306"/>
    <w:rsid w:val="009F78B7"/>
    <w:rsid w:val="009F7C92"/>
    <w:rsid w:val="00A004B4"/>
    <w:rsid w:val="00A00713"/>
    <w:rsid w:val="00A00931"/>
    <w:rsid w:val="00A009C9"/>
    <w:rsid w:val="00A00F06"/>
    <w:rsid w:val="00A013AC"/>
    <w:rsid w:val="00A013CC"/>
    <w:rsid w:val="00A01532"/>
    <w:rsid w:val="00A016B7"/>
    <w:rsid w:val="00A01808"/>
    <w:rsid w:val="00A019FB"/>
    <w:rsid w:val="00A01CA8"/>
    <w:rsid w:val="00A01DB4"/>
    <w:rsid w:val="00A01DD8"/>
    <w:rsid w:val="00A02011"/>
    <w:rsid w:val="00A021F6"/>
    <w:rsid w:val="00A02373"/>
    <w:rsid w:val="00A023D6"/>
    <w:rsid w:val="00A02811"/>
    <w:rsid w:val="00A02A0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630"/>
    <w:rsid w:val="00A047AF"/>
    <w:rsid w:val="00A049DF"/>
    <w:rsid w:val="00A04EC0"/>
    <w:rsid w:val="00A04EF3"/>
    <w:rsid w:val="00A05194"/>
    <w:rsid w:val="00A0535B"/>
    <w:rsid w:val="00A05626"/>
    <w:rsid w:val="00A057ED"/>
    <w:rsid w:val="00A05820"/>
    <w:rsid w:val="00A05844"/>
    <w:rsid w:val="00A05976"/>
    <w:rsid w:val="00A05BC8"/>
    <w:rsid w:val="00A05CF2"/>
    <w:rsid w:val="00A05DC1"/>
    <w:rsid w:val="00A0629D"/>
    <w:rsid w:val="00A065D6"/>
    <w:rsid w:val="00A0673D"/>
    <w:rsid w:val="00A071DB"/>
    <w:rsid w:val="00A0722E"/>
    <w:rsid w:val="00A0730A"/>
    <w:rsid w:val="00A07371"/>
    <w:rsid w:val="00A076F5"/>
    <w:rsid w:val="00A07AA3"/>
    <w:rsid w:val="00A07C7C"/>
    <w:rsid w:val="00A07E0F"/>
    <w:rsid w:val="00A07EE8"/>
    <w:rsid w:val="00A100AE"/>
    <w:rsid w:val="00A102F6"/>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804"/>
    <w:rsid w:val="00A15C91"/>
    <w:rsid w:val="00A15FD8"/>
    <w:rsid w:val="00A16C95"/>
    <w:rsid w:val="00A16FE2"/>
    <w:rsid w:val="00A17010"/>
    <w:rsid w:val="00A17148"/>
    <w:rsid w:val="00A1742C"/>
    <w:rsid w:val="00A17691"/>
    <w:rsid w:val="00A17854"/>
    <w:rsid w:val="00A17D19"/>
    <w:rsid w:val="00A201D9"/>
    <w:rsid w:val="00A2046E"/>
    <w:rsid w:val="00A20609"/>
    <w:rsid w:val="00A20644"/>
    <w:rsid w:val="00A2073E"/>
    <w:rsid w:val="00A207AE"/>
    <w:rsid w:val="00A209B8"/>
    <w:rsid w:val="00A20A66"/>
    <w:rsid w:val="00A20C5A"/>
    <w:rsid w:val="00A20C94"/>
    <w:rsid w:val="00A219AB"/>
    <w:rsid w:val="00A21B49"/>
    <w:rsid w:val="00A21E9F"/>
    <w:rsid w:val="00A22052"/>
    <w:rsid w:val="00A22251"/>
    <w:rsid w:val="00A22710"/>
    <w:rsid w:val="00A228BA"/>
    <w:rsid w:val="00A22D63"/>
    <w:rsid w:val="00A22DAA"/>
    <w:rsid w:val="00A2303D"/>
    <w:rsid w:val="00A232FF"/>
    <w:rsid w:val="00A23610"/>
    <w:rsid w:val="00A23646"/>
    <w:rsid w:val="00A23666"/>
    <w:rsid w:val="00A23F11"/>
    <w:rsid w:val="00A24100"/>
    <w:rsid w:val="00A2454A"/>
    <w:rsid w:val="00A250AD"/>
    <w:rsid w:val="00A25366"/>
    <w:rsid w:val="00A25894"/>
    <w:rsid w:val="00A25A30"/>
    <w:rsid w:val="00A25B46"/>
    <w:rsid w:val="00A260F0"/>
    <w:rsid w:val="00A26416"/>
    <w:rsid w:val="00A26859"/>
    <w:rsid w:val="00A268C4"/>
    <w:rsid w:val="00A26B4E"/>
    <w:rsid w:val="00A26D3B"/>
    <w:rsid w:val="00A26F0F"/>
    <w:rsid w:val="00A270D8"/>
    <w:rsid w:val="00A272DA"/>
    <w:rsid w:val="00A27408"/>
    <w:rsid w:val="00A2742F"/>
    <w:rsid w:val="00A274B7"/>
    <w:rsid w:val="00A275A8"/>
    <w:rsid w:val="00A2764E"/>
    <w:rsid w:val="00A27668"/>
    <w:rsid w:val="00A3012C"/>
    <w:rsid w:val="00A3045F"/>
    <w:rsid w:val="00A3058E"/>
    <w:rsid w:val="00A30799"/>
    <w:rsid w:val="00A309C9"/>
    <w:rsid w:val="00A30C57"/>
    <w:rsid w:val="00A30E2F"/>
    <w:rsid w:val="00A30E86"/>
    <w:rsid w:val="00A314DF"/>
    <w:rsid w:val="00A31874"/>
    <w:rsid w:val="00A3189E"/>
    <w:rsid w:val="00A31CE8"/>
    <w:rsid w:val="00A3209F"/>
    <w:rsid w:val="00A3291E"/>
    <w:rsid w:val="00A32CF2"/>
    <w:rsid w:val="00A32D60"/>
    <w:rsid w:val="00A32D72"/>
    <w:rsid w:val="00A33241"/>
    <w:rsid w:val="00A33397"/>
    <w:rsid w:val="00A33411"/>
    <w:rsid w:val="00A33876"/>
    <w:rsid w:val="00A33942"/>
    <w:rsid w:val="00A339FB"/>
    <w:rsid w:val="00A33C18"/>
    <w:rsid w:val="00A33DB1"/>
    <w:rsid w:val="00A34392"/>
    <w:rsid w:val="00A34455"/>
    <w:rsid w:val="00A34974"/>
    <w:rsid w:val="00A34C3D"/>
    <w:rsid w:val="00A34CEC"/>
    <w:rsid w:val="00A34D92"/>
    <w:rsid w:val="00A350DB"/>
    <w:rsid w:val="00A3530B"/>
    <w:rsid w:val="00A356A6"/>
    <w:rsid w:val="00A356B2"/>
    <w:rsid w:val="00A35724"/>
    <w:rsid w:val="00A35B0B"/>
    <w:rsid w:val="00A35BEA"/>
    <w:rsid w:val="00A35C8F"/>
    <w:rsid w:val="00A35C9F"/>
    <w:rsid w:val="00A35DE1"/>
    <w:rsid w:val="00A360A2"/>
    <w:rsid w:val="00A363F7"/>
    <w:rsid w:val="00A36A86"/>
    <w:rsid w:val="00A36CD3"/>
    <w:rsid w:val="00A36D55"/>
    <w:rsid w:val="00A36F80"/>
    <w:rsid w:val="00A37473"/>
    <w:rsid w:val="00A37943"/>
    <w:rsid w:val="00A37A13"/>
    <w:rsid w:val="00A37AE5"/>
    <w:rsid w:val="00A37C7A"/>
    <w:rsid w:val="00A37DB7"/>
    <w:rsid w:val="00A37EC5"/>
    <w:rsid w:val="00A40128"/>
    <w:rsid w:val="00A404AA"/>
    <w:rsid w:val="00A40A56"/>
    <w:rsid w:val="00A40AA7"/>
    <w:rsid w:val="00A40BB9"/>
    <w:rsid w:val="00A40D6E"/>
    <w:rsid w:val="00A40F37"/>
    <w:rsid w:val="00A40FFE"/>
    <w:rsid w:val="00A4107E"/>
    <w:rsid w:val="00A412A2"/>
    <w:rsid w:val="00A413EB"/>
    <w:rsid w:val="00A41808"/>
    <w:rsid w:val="00A419A9"/>
    <w:rsid w:val="00A41BCC"/>
    <w:rsid w:val="00A4218B"/>
    <w:rsid w:val="00A4231D"/>
    <w:rsid w:val="00A4246A"/>
    <w:rsid w:val="00A42695"/>
    <w:rsid w:val="00A4287D"/>
    <w:rsid w:val="00A42898"/>
    <w:rsid w:val="00A428C8"/>
    <w:rsid w:val="00A428E3"/>
    <w:rsid w:val="00A42B62"/>
    <w:rsid w:val="00A43590"/>
    <w:rsid w:val="00A43627"/>
    <w:rsid w:val="00A43706"/>
    <w:rsid w:val="00A43E58"/>
    <w:rsid w:val="00A44238"/>
    <w:rsid w:val="00A44401"/>
    <w:rsid w:val="00A445B4"/>
    <w:rsid w:val="00A44629"/>
    <w:rsid w:val="00A446F5"/>
    <w:rsid w:val="00A451F4"/>
    <w:rsid w:val="00A45734"/>
    <w:rsid w:val="00A458D7"/>
    <w:rsid w:val="00A45C1A"/>
    <w:rsid w:val="00A45CE5"/>
    <w:rsid w:val="00A45CFE"/>
    <w:rsid w:val="00A45FD6"/>
    <w:rsid w:val="00A45FDC"/>
    <w:rsid w:val="00A46112"/>
    <w:rsid w:val="00A46117"/>
    <w:rsid w:val="00A4636F"/>
    <w:rsid w:val="00A4659F"/>
    <w:rsid w:val="00A469DB"/>
    <w:rsid w:val="00A46B34"/>
    <w:rsid w:val="00A46BD5"/>
    <w:rsid w:val="00A47290"/>
    <w:rsid w:val="00A4730F"/>
    <w:rsid w:val="00A47443"/>
    <w:rsid w:val="00A4758A"/>
    <w:rsid w:val="00A477F9"/>
    <w:rsid w:val="00A47950"/>
    <w:rsid w:val="00A47B8C"/>
    <w:rsid w:val="00A50026"/>
    <w:rsid w:val="00A5005C"/>
    <w:rsid w:val="00A5052C"/>
    <w:rsid w:val="00A50589"/>
    <w:rsid w:val="00A50D38"/>
    <w:rsid w:val="00A50EE0"/>
    <w:rsid w:val="00A5101B"/>
    <w:rsid w:val="00A5105B"/>
    <w:rsid w:val="00A510E2"/>
    <w:rsid w:val="00A51184"/>
    <w:rsid w:val="00A51263"/>
    <w:rsid w:val="00A512A8"/>
    <w:rsid w:val="00A51375"/>
    <w:rsid w:val="00A51425"/>
    <w:rsid w:val="00A51513"/>
    <w:rsid w:val="00A51A1D"/>
    <w:rsid w:val="00A51A49"/>
    <w:rsid w:val="00A51F87"/>
    <w:rsid w:val="00A5263D"/>
    <w:rsid w:val="00A528CA"/>
    <w:rsid w:val="00A52936"/>
    <w:rsid w:val="00A529B6"/>
    <w:rsid w:val="00A52BF8"/>
    <w:rsid w:val="00A52CA3"/>
    <w:rsid w:val="00A53202"/>
    <w:rsid w:val="00A532E8"/>
    <w:rsid w:val="00A53DB3"/>
    <w:rsid w:val="00A53DBD"/>
    <w:rsid w:val="00A53DE0"/>
    <w:rsid w:val="00A53DEA"/>
    <w:rsid w:val="00A53E61"/>
    <w:rsid w:val="00A54382"/>
    <w:rsid w:val="00A54ABA"/>
    <w:rsid w:val="00A54E92"/>
    <w:rsid w:val="00A54F28"/>
    <w:rsid w:val="00A54FE6"/>
    <w:rsid w:val="00A55181"/>
    <w:rsid w:val="00A552AD"/>
    <w:rsid w:val="00A5587D"/>
    <w:rsid w:val="00A55894"/>
    <w:rsid w:val="00A55962"/>
    <w:rsid w:val="00A55CDB"/>
    <w:rsid w:val="00A56357"/>
    <w:rsid w:val="00A564A3"/>
    <w:rsid w:val="00A56571"/>
    <w:rsid w:val="00A567BE"/>
    <w:rsid w:val="00A56CF5"/>
    <w:rsid w:val="00A56F6B"/>
    <w:rsid w:val="00A57386"/>
    <w:rsid w:val="00A5765C"/>
    <w:rsid w:val="00A57B7D"/>
    <w:rsid w:val="00A57C29"/>
    <w:rsid w:val="00A57F65"/>
    <w:rsid w:val="00A57FF8"/>
    <w:rsid w:val="00A6058F"/>
    <w:rsid w:val="00A60734"/>
    <w:rsid w:val="00A60795"/>
    <w:rsid w:val="00A60814"/>
    <w:rsid w:val="00A60FC2"/>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E03"/>
    <w:rsid w:val="00A6328C"/>
    <w:rsid w:val="00A6369B"/>
    <w:rsid w:val="00A63715"/>
    <w:rsid w:val="00A6374F"/>
    <w:rsid w:val="00A63994"/>
    <w:rsid w:val="00A63A06"/>
    <w:rsid w:val="00A63A29"/>
    <w:rsid w:val="00A63BF4"/>
    <w:rsid w:val="00A6409C"/>
    <w:rsid w:val="00A64276"/>
    <w:rsid w:val="00A64C56"/>
    <w:rsid w:val="00A64E09"/>
    <w:rsid w:val="00A65552"/>
    <w:rsid w:val="00A65660"/>
    <w:rsid w:val="00A657FF"/>
    <w:rsid w:val="00A658D6"/>
    <w:rsid w:val="00A659CE"/>
    <w:rsid w:val="00A65AC1"/>
    <w:rsid w:val="00A65F0A"/>
    <w:rsid w:val="00A66170"/>
    <w:rsid w:val="00A662CA"/>
    <w:rsid w:val="00A66318"/>
    <w:rsid w:val="00A66355"/>
    <w:rsid w:val="00A666F8"/>
    <w:rsid w:val="00A667C5"/>
    <w:rsid w:val="00A66872"/>
    <w:rsid w:val="00A66EFC"/>
    <w:rsid w:val="00A676B9"/>
    <w:rsid w:val="00A6790E"/>
    <w:rsid w:val="00A67A80"/>
    <w:rsid w:val="00A67DFF"/>
    <w:rsid w:val="00A67F55"/>
    <w:rsid w:val="00A701DC"/>
    <w:rsid w:val="00A7054A"/>
    <w:rsid w:val="00A70713"/>
    <w:rsid w:val="00A70DE6"/>
    <w:rsid w:val="00A70E0E"/>
    <w:rsid w:val="00A70F32"/>
    <w:rsid w:val="00A7110D"/>
    <w:rsid w:val="00A71275"/>
    <w:rsid w:val="00A71386"/>
    <w:rsid w:val="00A71588"/>
    <w:rsid w:val="00A71964"/>
    <w:rsid w:val="00A719BF"/>
    <w:rsid w:val="00A71A90"/>
    <w:rsid w:val="00A71B73"/>
    <w:rsid w:val="00A71B83"/>
    <w:rsid w:val="00A71C6E"/>
    <w:rsid w:val="00A71DFE"/>
    <w:rsid w:val="00A725E3"/>
    <w:rsid w:val="00A72688"/>
    <w:rsid w:val="00A7274C"/>
    <w:rsid w:val="00A7278E"/>
    <w:rsid w:val="00A72A3E"/>
    <w:rsid w:val="00A72BB1"/>
    <w:rsid w:val="00A72D7B"/>
    <w:rsid w:val="00A72DFE"/>
    <w:rsid w:val="00A72F02"/>
    <w:rsid w:val="00A72F2C"/>
    <w:rsid w:val="00A734F9"/>
    <w:rsid w:val="00A73510"/>
    <w:rsid w:val="00A737B8"/>
    <w:rsid w:val="00A737CE"/>
    <w:rsid w:val="00A73B34"/>
    <w:rsid w:val="00A73D86"/>
    <w:rsid w:val="00A74159"/>
    <w:rsid w:val="00A7423F"/>
    <w:rsid w:val="00A746A4"/>
    <w:rsid w:val="00A74998"/>
    <w:rsid w:val="00A75009"/>
    <w:rsid w:val="00A752C1"/>
    <w:rsid w:val="00A7543E"/>
    <w:rsid w:val="00A75856"/>
    <w:rsid w:val="00A75931"/>
    <w:rsid w:val="00A75C28"/>
    <w:rsid w:val="00A75D61"/>
    <w:rsid w:val="00A75EB0"/>
    <w:rsid w:val="00A75F26"/>
    <w:rsid w:val="00A761A0"/>
    <w:rsid w:val="00A7624C"/>
    <w:rsid w:val="00A76530"/>
    <w:rsid w:val="00A766D0"/>
    <w:rsid w:val="00A767B2"/>
    <w:rsid w:val="00A76B91"/>
    <w:rsid w:val="00A76C32"/>
    <w:rsid w:val="00A76D84"/>
    <w:rsid w:val="00A76F1F"/>
    <w:rsid w:val="00A76FB4"/>
    <w:rsid w:val="00A7722D"/>
    <w:rsid w:val="00A77644"/>
    <w:rsid w:val="00A77C11"/>
    <w:rsid w:val="00A77D3A"/>
    <w:rsid w:val="00A804B6"/>
    <w:rsid w:val="00A80515"/>
    <w:rsid w:val="00A80898"/>
    <w:rsid w:val="00A808A2"/>
    <w:rsid w:val="00A809FF"/>
    <w:rsid w:val="00A810F5"/>
    <w:rsid w:val="00A81305"/>
    <w:rsid w:val="00A81528"/>
    <w:rsid w:val="00A81ADA"/>
    <w:rsid w:val="00A81B60"/>
    <w:rsid w:val="00A81D85"/>
    <w:rsid w:val="00A81D99"/>
    <w:rsid w:val="00A81DF8"/>
    <w:rsid w:val="00A81E6A"/>
    <w:rsid w:val="00A823A7"/>
    <w:rsid w:val="00A823BC"/>
    <w:rsid w:val="00A82637"/>
    <w:rsid w:val="00A82690"/>
    <w:rsid w:val="00A82762"/>
    <w:rsid w:val="00A8293D"/>
    <w:rsid w:val="00A82BBD"/>
    <w:rsid w:val="00A82D2A"/>
    <w:rsid w:val="00A82FFC"/>
    <w:rsid w:val="00A83128"/>
    <w:rsid w:val="00A8315A"/>
    <w:rsid w:val="00A8341F"/>
    <w:rsid w:val="00A835A6"/>
    <w:rsid w:val="00A83635"/>
    <w:rsid w:val="00A836D5"/>
    <w:rsid w:val="00A83742"/>
    <w:rsid w:val="00A83904"/>
    <w:rsid w:val="00A83B1F"/>
    <w:rsid w:val="00A83C11"/>
    <w:rsid w:val="00A842A6"/>
    <w:rsid w:val="00A84635"/>
    <w:rsid w:val="00A846D7"/>
    <w:rsid w:val="00A84A30"/>
    <w:rsid w:val="00A850E5"/>
    <w:rsid w:val="00A8538B"/>
    <w:rsid w:val="00A85707"/>
    <w:rsid w:val="00A8580A"/>
    <w:rsid w:val="00A85F88"/>
    <w:rsid w:val="00A8616F"/>
    <w:rsid w:val="00A863B7"/>
    <w:rsid w:val="00A86719"/>
    <w:rsid w:val="00A867B0"/>
    <w:rsid w:val="00A86989"/>
    <w:rsid w:val="00A869D6"/>
    <w:rsid w:val="00A86A8B"/>
    <w:rsid w:val="00A86D0E"/>
    <w:rsid w:val="00A86D21"/>
    <w:rsid w:val="00A86D3A"/>
    <w:rsid w:val="00A86DB7"/>
    <w:rsid w:val="00A86DB9"/>
    <w:rsid w:val="00A86F23"/>
    <w:rsid w:val="00A87D3D"/>
    <w:rsid w:val="00A87D9B"/>
    <w:rsid w:val="00A9001D"/>
    <w:rsid w:val="00A900A7"/>
    <w:rsid w:val="00A901E8"/>
    <w:rsid w:val="00A90757"/>
    <w:rsid w:val="00A90964"/>
    <w:rsid w:val="00A90984"/>
    <w:rsid w:val="00A9114F"/>
    <w:rsid w:val="00A9126C"/>
    <w:rsid w:val="00A915E7"/>
    <w:rsid w:val="00A917AF"/>
    <w:rsid w:val="00A91A68"/>
    <w:rsid w:val="00A91B93"/>
    <w:rsid w:val="00A91E21"/>
    <w:rsid w:val="00A91E4C"/>
    <w:rsid w:val="00A9251D"/>
    <w:rsid w:val="00A926B9"/>
    <w:rsid w:val="00A926C3"/>
    <w:rsid w:val="00A9274A"/>
    <w:rsid w:val="00A92896"/>
    <w:rsid w:val="00A92A11"/>
    <w:rsid w:val="00A93104"/>
    <w:rsid w:val="00A93196"/>
    <w:rsid w:val="00A936E6"/>
    <w:rsid w:val="00A93AEC"/>
    <w:rsid w:val="00A93B01"/>
    <w:rsid w:val="00A93DB3"/>
    <w:rsid w:val="00A94177"/>
    <w:rsid w:val="00A946D1"/>
    <w:rsid w:val="00A9471C"/>
    <w:rsid w:val="00A94DD3"/>
    <w:rsid w:val="00A954B0"/>
    <w:rsid w:val="00A95901"/>
    <w:rsid w:val="00A95940"/>
    <w:rsid w:val="00A95A44"/>
    <w:rsid w:val="00A95A75"/>
    <w:rsid w:val="00A95E1B"/>
    <w:rsid w:val="00A95E8C"/>
    <w:rsid w:val="00A95FDF"/>
    <w:rsid w:val="00A9665F"/>
    <w:rsid w:val="00A968E4"/>
    <w:rsid w:val="00A96BCA"/>
    <w:rsid w:val="00A97084"/>
    <w:rsid w:val="00A97217"/>
    <w:rsid w:val="00A973B0"/>
    <w:rsid w:val="00A973B6"/>
    <w:rsid w:val="00A978E2"/>
    <w:rsid w:val="00A979B5"/>
    <w:rsid w:val="00A97C43"/>
    <w:rsid w:val="00AA01B5"/>
    <w:rsid w:val="00AA04B8"/>
    <w:rsid w:val="00AA06E2"/>
    <w:rsid w:val="00AA0700"/>
    <w:rsid w:val="00AA0CD0"/>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2AD"/>
    <w:rsid w:val="00AA3561"/>
    <w:rsid w:val="00AA3577"/>
    <w:rsid w:val="00AA3A09"/>
    <w:rsid w:val="00AA3B1A"/>
    <w:rsid w:val="00AA3CF7"/>
    <w:rsid w:val="00AA3D4C"/>
    <w:rsid w:val="00AA3EC3"/>
    <w:rsid w:val="00AA3FC3"/>
    <w:rsid w:val="00AA4255"/>
    <w:rsid w:val="00AA484D"/>
    <w:rsid w:val="00AA4BB4"/>
    <w:rsid w:val="00AA4CE6"/>
    <w:rsid w:val="00AA4DCA"/>
    <w:rsid w:val="00AA4E5F"/>
    <w:rsid w:val="00AA519E"/>
    <w:rsid w:val="00AA51F3"/>
    <w:rsid w:val="00AA53F2"/>
    <w:rsid w:val="00AA5A6A"/>
    <w:rsid w:val="00AA5CA3"/>
    <w:rsid w:val="00AA5D11"/>
    <w:rsid w:val="00AA61A2"/>
    <w:rsid w:val="00AA625E"/>
    <w:rsid w:val="00AA644D"/>
    <w:rsid w:val="00AA6650"/>
    <w:rsid w:val="00AA6790"/>
    <w:rsid w:val="00AA6CE5"/>
    <w:rsid w:val="00AA6DC1"/>
    <w:rsid w:val="00AA6E51"/>
    <w:rsid w:val="00AA7178"/>
    <w:rsid w:val="00AA735A"/>
    <w:rsid w:val="00AA749E"/>
    <w:rsid w:val="00AA76C5"/>
    <w:rsid w:val="00AA773A"/>
    <w:rsid w:val="00AA77C1"/>
    <w:rsid w:val="00AA78D7"/>
    <w:rsid w:val="00AB01F9"/>
    <w:rsid w:val="00AB02B3"/>
    <w:rsid w:val="00AB0426"/>
    <w:rsid w:val="00AB04C7"/>
    <w:rsid w:val="00AB0694"/>
    <w:rsid w:val="00AB0789"/>
    <w:rsid w:val="00AB07B3"/>
    <w:rsid w:val="00AB088D"/>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A7"/>
    <w:rsid w:val="00AB2A57"/>
    <w:rsid w:val="00AB2D7C"/>
    <w:rsid w:val="00AB2D9D"/>
    <w:rsid w:val="00AB3005"/>
    <w:rsid w:val="00AB32B2"/>
    <w:rsid w:val="00AB34A4"/>
    <w:rsid w:val="00AB3D18"/>
    <w:rsid w:val="00AB3D80"/>
    <w:rsid w:val="00AB3D88"/>
    <w:rsid w:val="00AB3E6C"/>
    <w:rsid w:val="00AB43A9"/>
    <w:rsid w:val="00AB44A5"/>
    <w:rsid w:val="00AB4843"/>
    <w:rsid w:val="00AB48B9"/>
    <w:rsid w:val="00AB499A"/>
    <w:rsid w:val="00AB4A45"/>
    <w:rsid w:val="00AB4B06"/>
    <w:rsid w:val="00AB4C59"/>
    <w:rsid w:val="00AB4E81"/>
    <w:rsid w:val="00AB52CD"/>
    <w:rsid w:val="00AB532A"/>
    <w:rsid w:val="00AB5480"/>
    <w:rsid w:val="00AB55FB"/>
    <w:rsid w:val="00AB5A0F"/>
    <w:rsid w:val="00AB5C54"/>
    <w:rsid w:val="00AB5D40"/>
    <w:rsid w:val="00AB5D72"/>
    <w:rsid w:val="00AB5F1F"/>
    <w:rsid w:val="00AB6A04"/>
    <w:rsid w:val="00AB6A6C"/>
    <w:rsid w:val="00AB71DF"/>
    <w:rsid w:val="00AB7568"/>
    <w:rsid w:val="00AB762F"/>
    <w:rsid w:val="00AB7988"/>
    <w:rsid w:val="00AB79B0"/>
    <w:rsid w:val="00AB7B01"/>
    <w:rsid w:val="00AC0425"/>
    <w:rsid w:val="00AC053D"/>
    <w:rsid w:val="00AC058A"/>
    <w:rsid w:val="00AC06DE"/>
    <w:rsid w:val="00AC13AD"/>
    <w:rsid w:val="00AC17F0"/>
    <w:rsid w:val="00AC18AE"/>
    <w:rsid w:val="00AC1997"/>
    <w:rsid w:val="00AC1C4B"/>
    <w:rsid w:val="00AC1E9F"/>
    <w:rsid w:val="00AC1F66"/>
    <w:rsid w:val="00AC1FBD"/>
    <w:rsid w:val="00AC2075"/>
    <w:rsid w:val="00AC2673"/>
    <w:rsid w:val="00AC2720"/>
    <w:rsid w:val="00AC27F0"/>
    <w:rsid w:val="00AC28B2"/>
    <w:rsid w:val="00AC28CB"/>
    <w:rsid w:val="00AC2A5E"/>
    <w:rsid w:val="00AC2DA4"/>
    <w:rsid w:val="00AC33B8"/>
    <w:rsid w:val="00AC373C"/>
    <w:rsid w:val="00AC3757"/>
    <w:rsid w:val="00AC38D3"/>
    <w:rsid w:val="00AC3959"/>
    <w:rsid w:val="00AC3BC9"/>
    <w:rsid w:val="00AC3C3C"/>
    <w:rsid w:val="00AC3C4A"/>
    <w:rsid w:val="00AC42E6"/>
    <w:rsid w:val="00AC448D"/>
    <w:rsid w:val="00AC4B20"/>
    <w:rsid w:val="00AC4B3B"/>
    <w:rsid w:val="00AC4E61"/>
    <w:rsid w:val="00AC4F41"/>
    <w:rsid w:val="00AC5097"/>
    <w:rsid w:val="00AC5214"/>
    <w:rsid w:val="00AC56A2"/>
    <w:rsid w:val="00AC573C"/>
    <w:rsid w:val="00AC578F"/>
    <w:rsid w:val="00AC58E4"/>
    <w:rsid w:val="00AC5B2A"/>
    <w:rsid w:val="00AC5C42"/>
    <w:rsid w:val="00AC5FCC"/>
    <w:rsid w:val="00AC65AE"/>
    <w:rsid w:val="00AC676F"/>
    <w:rsid w:val="00AC6894"/>
    <w:rsid w:val="00AC6A71"/>
    <w:rsid w:val="00AC6BD0"/>
    <w:rsid w:val="00AC6D04"/>
    <w:rsid w:val="00AC6E57"/>
    <w:rsid w:val="00AC71BE"/>
    <w:rsid w:val="00AC7380"/>
    <w:rsid w:val="00AC73C6"/>
    <w:rsid w:val="00AC740C"/>
    <w:rsid w:val="00AC7454"/>
    <w:rsid w:val="00AC75F4"/>
    <w:rsid w:val="00AC79F6"/>
    <w:rsid w:val="00AC7A99"/>
    <w:rsid w:val="00AC7C83"/>
    <w:rsid w:val="00AD027D"/>
    <w:rsid w:val="00AD038C"/>
    <w:rsid w:val="00AD03AB"/>
    <w:rsid w:val="00AD0B07"/>
    <w:rsid w:val="00AD0D14"/>
    <w:rsid w:val="00AD0FA6"/>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4231"/>
    <w:rsid w:val="00AD46DF"/>
    <w:rsid w:val="00AD479C"/>
    <w:rsid w:val="00AD4805"/>
    <w:rsid w:val="00AD48ED"/>
    <w:rsid w:val="00AD4DD5"/>
    <w:rsid w:val="00AD5465"/>
    <w:rsid w:val="00AD5587"/>
    <w:rsid w:val="00AD55E0"/>
    <w:rsid w:val="00AD5B12"/>
    <w:rsid w:val="00AD5DF9"/>
    <w:rsid w:val="00AD5F51"/>
    <w:rsid w:val="00AD5F5E"/>
    <w:rsid w:val="00AD61D8"/>
    <w:rsid w:val="00AD6266"/>
    <w:rsid w:val="00AD69FE"/>
    <w:rsid w:val="00AD6B12"/>
    <w:rsid w:val="00AD6BAB"/>
    <w:rsid w:val="00AD7180"/>
    <w:rsid w:val="00AD76DB"/>
    <w:rsid w:val="00AD790C"/>
    <w:rsid w:val="00AD7A91"/>
    <w:rsid w:val="00AD7B41"/>
    <w:rsid w:val="00AD7D3D"/>
    <w:rsid w:val="00AD7E8D"/>
    <w:rsid w:val="00AE011A"/>
    <w:rsid w:val="00AE016E"/>
    <w:rsid w:val="00AE0404"/>
    <w:rsid w:val="00AE0974"/>
    <w:rsid w:val="00AE09F4"/>
    <w:rsid w:val="00AE0A32"/>
    <w:rsid w:val="00AE0B4C"/>
    <w:rsid w:val="00AE0B5E"/>
    <w:rsid w:val="00AE0BAA"/>
    <w:rsid w:val="00AE0EBA"/>
    <w:rsid w:val="00AE0F8E"/>
    <w:rsid w:val="00AE12CC"/>
    <w:rsid w:val="00AE1318"/>
    <w:rsid w:val="00AE15A8"/>
    <w:rsid w:val="00AE1868"/>
    <w:rsid w:val="00AE1B66"/>
    <w:rsid w:val="00AE1C7E"/>
    <w:rsid w:val="00AE1DA4"/>
    <w:rsid w:val="00AE1E2E"/>
    <w:rsid w:val="00AE238B"/>
    <w:rsid w:val="00AE2554"/>
    <w:rsid w:val="00AE25B4"/>
    <w:rsid w:val="00AE292D"/>
    <w:rsid w:val="00AE2AA0"/>
    <w:rsid w:val="00AE2AE3"/>
    <w:rsid w:val="00AE2AE7"/>
    <w:rsid w:val="00AE2DB1"/>
    <w:rsid w:val="00AE2F41"/>
    <w:rsid w:val="00AE30CA"/>
    <w:rsid w:val="00AE30E9"/>
    <w:rsid w:val="00AE32D3"/>
    <w:rsid w:val="00AE345F"/>
    <w:rsid w:val="00AE36C0"/>
    <w:rsid w:val="00AE4092"/>
    <w:rsid w:val="00AE462C"/>
    <w:rsid w:val="00AE4BB0"/>
    <w:rsid w:val="00AE4C71"/>
    <w:rsid w:val="00AE4D2A"/>
    <w:rsid w:val="00AE4E10"/>
    <w:rsid w:val="00AE4FC5"/>
    <w:rsid w:val="00AE5464"/>
    <w:rsid w:val="00AE5857"/>
    <w:rsid w:val="00AE5AAB"/>
    <w:rsid w:val="00AE5FBB"/>
    <w:rsid w:val="00AE6162"/>
    <w:rsid w:val="00AE62CC"/>
    <w:rsid w:val="00AE63A8"/>
    <w:rsid w:val="00AE641D"/>
    <w:rsid w:val="00AE6430"/>
    <w:rsid w:val="00AE647B"/>
    <w:rsid w:val="00AE66CD"/>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B"/>
    <w:rsid w:val="00AF09E9"/>
    <w:rsid w:val="00AF0AD9"/>
    <w:rsid w:val="00AF11BC"/>
    <w:rsid w:val="00AF11EE"/>
    <w:rsid w:val="00AF1514"/>
    <w:rsid w:val="00AF186B"/>
    <w:rsid w:val="00AF1958"/>
    <w:rsid w:val="00AF1A4A"/>
    <w:rsid w:val="00AF1B1B"/>
    <w:rsid w:val="00AF1EE3"/>
    <w:rsid w:val="00AF1F23"/>
    <w:rsid w:val="00AF2145"/>
    <w:rsid w:val="00AF2440"/>
    <w:rsid w:val="00AF28DF"/>
    <w:rsid w:val="00AF3140"/>
    <w:rsid w:val="00AF36CD"/>
    <w:rsid w:val="00AF36D0"/>
    <w:rsid w:val="00AF3D28"/>
    <w:rsid w:val="00AF4023"/>
    <w:rsid w:val="00AF4052"/>
    <w:rsid w:val="00AF45A8"/>
    <w:rsid w:val="00AF46D0"/>
    <w:rsid w:val="00AF47BB"/>
    <w:rsid w:val="00AF47D7"/>
    <w:rsid w:val="00AF49AE"/>
    <w:rsid w:val="00AF4D70"/>
    <w:rsid w:val="00AF4EF9"/>
    <w:rsid w:val="00AF4F24"/>
    <w:rsid w:val="00AF556C"/>
    <w:rsid w:val="00AF55A1"/>
    <w:rsid w:val="00AF565B"/>
    <w:rsid w:val="00AF575B"/>
    <w:rsid w:val="00AF580F"/>
    <w:rsid w:val="00AF58C5"/>
    <w:rsid w:val="00AF5A34"/>
    <w:rsid w:val="00AF5B95"/>
    <w:rsid w:val="00AF5CB6"/>
    <w:rsid w:val="00AF5EE7"/>
    <w:rsid w:val="00AF601C"/>
    <w:rsid w:val="00AF6259"/>
    <w:rsid w:val="00AF692C"/>
    <w:rsid w:val="00AF692E"/>
    <w:rsid w:val="00AF6971"/>
    <w:rsid w:val="00AF6EA3"/>
    <w:rsid w:val="00AF6FF6"/>
    <w:rsid w:val="00AF7837"/>
    <w:rsid w:val="00AF7B9B"/>
    <w:rsid w:val="00AF7EC4"/>
    <w:rsid w:val="00AF7F9F"/>
    <w:rsid w:val="00B00238"/>
    <w:rsid w:val="00B002E0"/>
    <w:rsid w:val="00B00B0B"/>
    <w:rsid w:val="00B00E04"/>
    <w:rsid w:val="00B0144C"/>
    <w:rsid w:val="00B016BB"/>
    <w:rsid w:val="00B016BF"/>
    <w:rsid w:val="00B01A25"/>
    <w:rsid w:val="00B01C7D"/>
    <w:rsid w:val="00B01CE8"/>
    <w:rsid w:val="00B01D5F"/>
    <w:rsid w:val="00B01D8E"/>
    <w:rsid w:val="00B01ED6"/>
    <w:rsid w:val="00B01FD6"/>
    <w:rsid w:val="00B02259"/>
    <w:rsid w:val="00B0260E"/>
    <w:rsid w:val="00B02769"/>
    <w:rsid w:val="00B02804"/>
    <w:rsid w:val="00B02AD6"/>
    <w:rsid w:val="00B02C02"/>
    <w:rsid w:val="00B02CAD"/>
    <w:rsid w:val="00B02DD5"/>
    <w:rsid w:val="00B02E5B"/>
    <w:rsid w:val="00B02E92"/>
    <w:rsid w:val="00B02FE1"/>
    <w:rsid w:val="00B0313B"/>
    <w:rsid w:val="00B03438"/>
    <w:rsid w:val="00B03D12"/>
    <w:rsid w:val="00B03D29"/>
    <w:rsid w:val="00B03F93"/>
    <w:rsid w:val="00B03F95"/>
    <w:rsid w:val="00B040DE"/>
    <w:rsid w:val="00B040F8"/>
    <w:rsid w:val="00B0422F"/>
    <w:rsid w:val="00B0481E"/>
    <w:rsid w:val="00B0485C"/>
    <w:rsid w:val="00B0487F"/>
    <w:rsid w:val="00B0492F"/>
    <w:rsid w:val="00B04BC0"/>
    <w:rsid w:val="00B04C8A"/>
    <w:rsid w:val="00B04D34"/>
    <w:rsid w:val="00B0512E"/>
    <w:rsid w:val="00B05184"/>
    <w:rsid w:val="00B05345"/>
    <w:rsid w:val="00B0539F"/>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C8"/>
    <w:rsid w:val="00B07374"/>
    <w:rsid w:val="00B07382"/>
    <w:rsid w:val="00B073C2"/>
    <w:rsid w:val="00B07B63"/>
    <w:rsid w:val="00B07D00"/>
    <w:rsid w:val="00B07F3B"/>
    <w:rsid w:val="00B10332"/>
    <w:rsid w:val="00B10A1B"/>
    <w:rsid w:val="00B10ADD"/>
    <w:rsid w:val="00B10D1E"/>
    <w:rsid w:val="00B10D57"/>
    <w:rsid w:val="00B11001"/>
    <w:rsid w:val="00B110CE"/>
    <w:rsid w:val="00B11211"/>
    <w:rsid w:val="00B1142C"/>
    <w:rsid w:val="00B1180D"/>
    <w:rsid w:val="00B119CF"/>
    <w:rsid w:val="00B11B89"/>
    <w:rsid w:val="00B11F37"/>
    <w:rsid w:val="00B12412"/>
    <w:rsid w:val="00B124C2"/>
    <w:rsid w:val="00B124D9"/>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44"/>
    <w:rsid w:val="00B16489"/>
    <w:rsid w:val="00B1650F"/>
    <w:rsid w:val="00B16680"/>
    <w:rsid w:val="00B166CF"/>
    <w:rsid w:val="00B16940"/>
    <w:rsid w:val="00B169CF"/>
    <w:rsid w:val="00B169FA"/>
    <w:rsid w:val="00B16AD6"/>
    <w:rsid w:val="00B17137"/>
    <w:rsid w:val="00B1714F"/>
    <w:rsid w:val="00B172DE"/>
    <w:rsid w:val="00B1738B"/>
    <w:rsid w:val="00B175ED"/>
    <w:rsid w:val="00B1775D"/>
    <w:rsid w:val="00B177D1"/>
    <w:rsid w:val="00B178CF"/>
    <w:rsid w:val="00B179F6"/>
    <w:rsid w:val="00B17D91"/>
    <w:rsid w:val="00B17E22"/>
    <w:rsid w:val="00B17EF5"/>
    <w:rsid w:val="00B17F13"/>
    <w:rsid w:val="00B204A4"/>
    <w:rsid w:val="00B20697"/>
    <w:rsid w:val="00B20FB4"/>
    <w:rsid w:val="00B21592"/>
    <w:rsid w:val="00B216E3"/>
    <w:rsid w:val="00B21C85"/>
    <w:rsid w:val="00B21D78"/>
    <w:rsid w:val="00B21FFC"/>
    <w:rsid w:val="00B221A0"/>
    <w:rsid w:val="00B221C8"/>
    <w:rsid w:val="00B2280C"/>
    <w:rsid w:val="00B22D73"/>
    <w:rsid w:val="00B22F2F"/>
    <w:rsid w:val="00B23204"/>
    <w:rsid w:val="00B23439"/>
    <w:rsid w:val="00B234C2"/>
    <w:rsid w:val="00B236DB"/>
    <w:rsid w:val="00B23776"/>
    <w:rsid w:val="00B23AA3"/>
    <w:rsid w:val="00B23DAB"/>
    <w:rsid w:val="00B23F6B"/>
    <w:rsid w:val="00B2487C"/>
    <w:rsid w:val="00B249B3"/>
    <w:rsid w:val="00B24C09"/>
    <w:rsid w:val="00B24D8D"/>
    <w:rsid w:val="00B251A1"/>
    <w:rsid w:val="00B251B2"/>
    <w:rsid w:val="00B253BE"/>
    <w:rsid w:val="00B255CD"/>
    <w:rsid w:val="00B256C3"/>
    <w:rsid w:val="00B256F3"/>
    <w:rsid w:val="00B25719"/>
    <w:rsid w:val="00B257AD"/>
    <w:rsid w:val="00B25978"/>
    <w:rsid w:val="00B25D0E"/>
    <w:rsid w:val="00B25F2F"/>
    <w:rsid w:val="00B26111"/>
    <w:rsid w:val="00B26151"/>
    <w:rsid w:val="00B261DE"/>
    <w:rsid w:val="00B262A2"/>
    <w:rsid w:val="00B2669A"/>
    <w:rsid w:val="00B26875"/>
    <w:rsid w:val="00B26A9A"/>
    <w:rsid w:val="00B26D21"/>
    <w:rsid w:val="00B26F90"/>
    <w:rsid w:val="00B26F99"/>
    <w:rsid w:val="00B272B7"/>
    <w:rsid w:val="00B277C5"/>
    <w:rsid w:val="00B27AC4"/>
    <w:rsid w:val="00B27AFE"/>
    <w:rsid w:val="00B27C1F"/>
    <w:rsid w:val="00B27FC5"/>
    <w:rsid w:val="00B30055"/>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6F0"/>
    <w:rsid w:val="00B327DC"/>
    <w:rsid w:val="00B32D72"/>
    <w:rsid w:val="00B32FEB"/>
    <w:rsid w:val="00B3327F"/>
    <w:rsid w:val="00B336B0"/>
    <w:rsid w:val="00B33B1B"/>
    <w:rsid w:val="00B33DF0"/>
    <w:rsid w:val="00B33E34"/>
    <w:rsid w:val="00B33EBD"/>
    <w:rsid w:val="00B33EE3"/>
    <w:rsid w:val="00B34100"/>
    <w:rsid w:val="00B343CB"/>
    <w:rsid w:val="00B34528"/>
    <w:rsid w:val="00B345B4"/>
    <w:rsid w:val="00B34652"/>
    <w:rsid w:val="00B347B7"/>
    <w:rsid w:val="00B347BC"/>
    <w:rsid w:val="00B34A4D"/>
    <w:rsid w:val="00B34B0C"/>
    <w:rsid w:val="00B34BE6"/>
    <w:rsid w:val="00B34FA7"/>
    <w:rsid w:val="00B3510C"/>
    <w:rsid w:val="00B35302"/>
    <w:rsid w:val="00B35345"/>
    <w:rsid w:val="00B35A34"/>
    <w:rsid w:val="00B35A64"/>
    <w:rsid w:val="00B35B2D"/>
    <w:rsid w:val="00B35BA6"/>
    <w:rsid w:val="00B35EE2"/>
    <w:rsid w:val="00B35F21"/>
    <w:rsid w:val="00B3603C"/>
    <w:rsid w:val="00B36262"/>
    <w:rsid w:val="00B36375"/>
    <w:rsid w:val="00B36D9A"/>
    <w:rsid w:val="00B37203"/>
    <w:rsid w:val="00B373AA"/>
    <w:rsid w:val="00B3767B"/>
    <w:rsid w:val="00B37A4D"/>
    <w:rsid w:val="00B37D77"/>
    <w:rsid w:val="00B37E1B"/>
    <w:rsid w:val="00B37F4A"/>
    <w:rsid w:val="00B37FF0"/>
    <w:rsid w:val="00B401CA"/>
    <w:rsid w:val="00B40522"/>
    <w:rsid w:val="00B40752"/>
    <w:rsid w:val="00B40A29"/>
    <w:rsid w:val="00B40A75"/>
    <w:rsid w:val="00B40C4C"/>
    <w:rsid w:val="00B40C93"/>
    <w:rsid w:val="00B410A9"/>
    <w:rsid w:val="00B4126D"/>
    <w:rsid w:val="00B41464"/>
    <w:rsid w:val="00B4159A"/>
    <w:rsid w:val="00B420AC"/>
    <w:rsid w:val="00B420B8"/>
    <w:rsid w:val="00B4233D"/>
    <w:rsid w:val="00B4260D"/>
    <w:rsid w:val="00B42675"/>
    <w:rsid w:val="00B42683"/>
    <w:rsid w:val="00B426E8"/>
    <w:rsid w:val="00B428F2"/>
    <w:rsid w:val="00B42ACA"/>
    <w:rsid w:val="00B42B27"/>
    <w:rsid w:val="00B42B9C"/>
    <w:rsid w:val="00B43280"/>
    <w:rsid w:val="00B43340"/>
    <w:rsid w:val="00B43720"/>
    <w:rsid w:val="00B437C0"/>
    <w:rsid w:val="00B4385C"/>
    <w:rsid w:val="00B43D83"/>
    <w:rsid w:val="00B44312"/>
    <w:rsid w:val="00B44414"/>
    <w:rsid w:val="00B4481F"/>
    <w:rsid w:val="00B449C1"/>
    <w:rsid w:val="00B44CE2"/>
    <w:rsid w:val="00B45309"/>
    <w:rsid w:val="00B45B78"/>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B21"/>
    <w:rsid w:val="00B47C18"/>
    <w:rsid w:val="00B47E5A"/>
    <w:rsid w:val="00B47F14"/>
    <w:rsid w:val="00B47FAC"/>
    <w:rsid w:val="00B501EB"/>
    <w:rsid w:val="00B5033E"/>
    <w:rsid w:val="00B50520"/>
    <w:rsid w:val="00B5053D"/>
    <w:rsid w:val="00B505DE"/>
    <w:rsid w:val="00B50837"/>
    <w:rsid w:val="00B508F2"/>
    <w:rsid w:val="00B50B58"/>
    <w:rsid w:val="00B50DC7"/>
    <w:rsid w:val="00B50E0C"/>
    <w:rsid w:val="00B5126F"/>
    <w:rsid w:val="00B5132C"/>
    <w:rsid w:val="00B51757"/>
    <w:rsid w:val="00B5186B"/>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4242"/>
    <w:rsid w:val="00B54BEB"/>
    <w:rsid w:val="00B54BF5"/>
    <w:rsid w:val="00B54E33"/>
    <w:rsid w:val="00B54F47"/>
    <w:rsid w:val="00B5512E"/>
    <w:rsid w:val="00B5533F"/>
    <w:rsid w:val="00B5545E"/>
    <w:rsid w:val="00B5559A"/>
    <w:rsid w:val="00B55791"/>
    <w:rsid w:val="00B55E3A"/>
    <w:rsid w:val="00B55E78"/>
    <w:rsid w:val="00B565AC"/>
    <w:rsid w:val="00B56747"/>
    <w:rsid w:val="00B5682B"/>
    <w:rsid w:val="00B56981"/>
    <w:rsid w:val="00B56F06"/>
    <w:rsid w:val="00B56F9D"/>
    <w:rsid w:val="00B57797"/>
    <w:rsid w:val="00B5794C"/>
    <w:rsid w:val="00B605B1"/>
    <w:rsid w:val="00B60726"/>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A30"/>
    <w:rsid w:val="00B63D91"/>
    <w:rsid w:val="00B6412F"/>
    <w:rsid w:val="00B64685"/>
    <w:rsid w:val="00B64780"/>
    <w:rsid w:val="00B64AA8"/>
    <w:rsid w:val="00B64CE9"/>
    <w:rsid w:val="00B64D3A"/>
    <w:rsid w:val="00B64D9E"/>
    <w:rsid w:val="00B64FB1"/>
    <w:rsid w:val="00B65223"/>
    <w:rsid w:val="00B6522D"/>
    <w:rsid w:val="00B657B9"/>
    <w:rsid w:val="00B663C0"/>
    <w:rsid w:val="00B66439"/>
    <w:rsid w:val="00B6657C"/>
    <w:rsid w:val="00B6683A"/>
    <w:rsid w:val="00B66A16"/>
    <w:rsid w:val="00B6734A"/>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907"/>
    <w:rsid w:val="00B71ABA"/>
    <w:rsid w:val="00B72248"/>
    <w:rsid w:val="00B723F3"/>
    <w:rsid w:val="00B729D4"/>
    <w:rsid w:val="00B72BEF"/>
    <w:rsid w:val="00B72CC3"/>
    <w:rsid w:val="00B73400"/>
    <w:rsid w:val="00B73937"/>
    <w:rsid w:val="00B73A72"/>
    <w:rsid w:val="00B73AC4"/>
    <w:rsid w:val="00B73B49"/>
    <w:rsid w:val="00B73D1E"/>
    <w:rsid w:val="00B7466D"/>
    <w:rsid w:val="00B749AE"/>
    <w:rsid w:val="00B749F9"/>
    <w:rsid w:val="00B74DDB"/>
    <w:rsid w:val="00B74FD4"/>
    <w:rsid w:val="00B75135"/>
    <w:rsid w:val="00B75339"/>
    <w:rsid w:val="00B753E8"/>
    <w:rsid w:val="00B75607"/>
    <w:rsid w:val="00B761D7"/>
    <w:rsid w:val="00B76B32"/>
    <w:rsid w:val="00B76C00"/>
    <w:rsid w:val="00B76E6F"/>
    <w:rsid w:val="00B774B9"/>
    <w:rsid w:val="00B77512"/>
    <w:rsid w:val="00B77776"/>
    <w:rsid w:val="00B7799C"/>
    <w:rsid w:val="00B77C40"/>
    <w:rsid w:val="00B77E1F"/>
    <w:rsid w:val="00B80693"/>
    <w:rsid w:val="00B807B2"/>
    <w:rsid w:val="00B80939"/>
    <w:rsid w:val="00B80F45"/>
    <w:rsid w:val="00B81316"/>
    <w:rsid w:val="00B816FF"/>
    <w:rsid w:val="00B81812"/>
    <w:rsid w:val="00B81837"/>
    <w:rsid w:val="00B81933"/>
    <w:rsid w:val="00B81F91"/>
    <w:rsid w:val="00B81F9A"/>
    <w:rsid w:val="00B824D7"/>
    <w:rsid w:val="00B82A6A"/>
    <w:rsid w:val="00B82DD9"/>
    <w:rsid w:val="00B82FF1"/>
    <w:rsid w:val="00B839BB"/>
    <w:rsid w:val="00B83C02"/>
    <w:rsid w:val="00B83ED7"/>
    <w:rsid w:val="00B83F2F"/>
    <w:rsid w:val="00B83F60"/>
    <w:rsid w:val="00B843E3"/>
    <w:rsid w:val="00B84646"/>
    <w:rsid w:val="00B84837"/>
    <w:rsid w:val="00B8497E"/>
    <w:rsid w:val="00B84A6F"/>
    <w:rsid w:val="00B84A8B"/>
    <w:rsid w:val="00B85674"/>
    <w:rsid w:val="00B85724"/>
    <w:rsid w:val="00B85776"/>
    <w:rsid w:val="00B85AFD"/>
    <w:rsid w:val="00B8629B"/>
    <w:rsid w:val="00B8629D"/>
    <w:rsid w:val="00B8649F"/>
    <w:rsid w:val="00B865AD"/>
    <w:rsid w:val="00B86866"/>
    <w:rsid w:val="00B8686E"/>
    <w:rsid w:val="00B868D4"/>
    <w:rsid w:val="00B869B6"/>
    <w:rsid w:val="00B86A24"/>
    <w:rsid w:val="00B86BEC"/>
    <w:rsid w:val="00B86D40"/>
    <w:rsid w:val="00B8703A"/>
    <w:rsid w:val="00B87236"/>
    <w:rsid w:val="00B874BF"/>
    <w:rsid w:val="00B87C02"/>
    <w:rsid w:val="00B87E9F"/>
    <w:rsid w:val="00B87F31"/>
    <w:rsid w:val="00B90032"/>
    <w:rsid w:val="00B901FE"/>
    <w:rsid w:val="00B905D0"/>
    <w:rsid w:val="00B905DE"/>
    <w:rsid w:val="00B905F1"/>
    <w:rsid w:val="00B908CB"/>
    <w:rsid w:val="00B90C34"/>
    <w:rsid w:val="00B91028"/>
    <w:rsid w:val="00B9130A"/>
    <w:rsid w:val="00B91358"/>
    <w:rsid w:val="00B914FD"/>
    <w:rsid w:val="00B915BC"/>
    <w:rsid w:val="00B917D9"/>
    <w:rsid w:val="00B9180D"/>
    <w:rsid w:val="00B918F8"/>
    <w:rsid w:val="00B919DE"/>
    <w:rsid w:val="00B91F26"/>
    <w:rsid w:val="00B91F42"/>
    <w:rsid w:val="00B92045"/>
    <w:rsid w:val="00B923BB"/>
    <w:rsid w:val="00B92445"/>
    <w:rsid w:val="00B924F3"/>
    <w:rsid w:val="00B92526"/>
    <w:rsid w:val="00B926D3"/>
    <w:rsid w:val="00B92E5D"/>
    <w:rsid w:val="00B9331F"/>
    <w:rsid w:val="00B933DE"/>
    <w:rsid w:val="00B93676"/>
    <w:rsid w:val="00B936AA"/>
    <w:rsid w:val="00B936AB"/>
    <w:rsid w:val="00B93905"/>
    <w:rsid w:val="00B93B83"/>
    <w:rsid w:val="00B93C5E"/>
    <w:rsid w:val="00B93CA5"/>
    <w:rsid w:val="00B93D17"/>
    <w:rsid w:val="00B93F7B"/>
    <w:rsid w:val="00B946FC"/>
    <w:rsid w:val="00B94701"/>
    <w:rsid w:val="00B94B36"/>
    <w:rsid w:val="00B94C70"/>
    <w:rsid w:val="00B950B0"/>
    <w:rsid w:val="00B950BC"/>
    <w:rsid w:val="00B9526A"/>
    <w:rsid w:val="00B95442"/>
    <w:rsid w:val="00B955E2"/>
    <w:rsid w:val="00B95644"/>
    <w:rsid w:val="00B957B8"/>
    <w:rsid w:val="00B95AE3"/>
    <w:rsid w:val="00B95DDC"/>
    <w:rsid w:val="00B95E31"/>
    <w:rsid w:val="00B95F83"/>
    <w:rsid w:val="00B9616A"/>
    <w:rsid w:val="00B96517"/>
    <w:rsid w:val="00B96706"/>
    <w:rsid w:val="00B96A32"/>
    <w:rsid w:val="00B96CC8"/>
    <w:rsid w:val="00B96D83"/>
    <w:rsid w:val="00B96E3F"/>
    <w:rsid w:val="00B96E8A"/>
    <w:rsid w:val="00B96F45"/>
    <w:rsid w:val="00B9710F"/>
    <w:rsid w:val="00B971E2"/>
    <w:rsid w:val="00B97210"/>
    <w:rsid w:val="00B972A7"/>
    <w:rsid w:val="00B978C5"/>
    <w:rsid w:val="00B9795E"/>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A3"/>
    <w:rsid w:val="00BA1EDF"/>
    <w:rsid w:val="00BA2097"/>
    <w:rsid w:val="00BA2808"/>
    <w:rsid w:val="00BA2AE7"/>
    <w:rsid w:val="00BA2B1E"/>
    <w:rsid w:val="00BA2F22"/>
    <w:rsid w:val="00BA34C9"/>
    <w:rsid w:val="00BA357F"/>
    <w:rsid w:val="00BA35E6"/>
    <w:rsid w:val="00BA3EA8"/>
    <w:rsid w:val="00BA42C9"/>
    <w:rsid w:val="00BA439F"/>
    <w:rsid w:val="00BA47AC"/>
    <w:rsid w:val="00BA4D56"/>
    <w:rsid w:val="00BA4F13"/>
    <w:rsid w:val="00BA540B"/>
    <w:rsid w:val="00BA5882"/>
    <w:rsid w:val="00BA5923"/>
    <w:rsid w:val="00BA59E6"/>
    <w:rsid w:val="00BA5AEB"/>
    <w:rsid w:val="00BA5D6B"/>
    <w:rsid w:val="00BA603E"/>
    <w:rsid w:val="00BA6167"/>
    <w:rsid w:val="00BA6265"/>
    <w:rsid w:val="00BA637F"/>
    <w:rsid w:val="00BA6496"/>
    <w:rsid w:val="00BA65FE"/>
    <w:rsid w:val="00BA68F8"/>
    <w:rsid w:val="00BA7214"/>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44B"/>
    <w:rsid w:val="00BB168D"/>
    <w:rsid w:val="00BB18F1"/>
    <w:rsid w:val="00BB1920"/>
    <w:rsid w:val="00BB1A6B"/>
    <w:rsid w:val="00BB1AC3"/>
    <w:rsid w:val="00BB1E6D"/>
    <w:rsid w:val="00BB235C"/>
    <w:rsid w:val="00BB23B8"/>
    <w:rsid w:val="00BB2698"/>
    <w:rsid w:val="00BB2FFE"/>
    <w:rsid w:val="00BB300C"/>
    <w:rsid w:val="00BB30D8"/>
    <w:rsid w:val="00BB37B6"/>
    <w:rsid w:val="00BB3852"/>
    <w:rsid w:val="00BB3F9F"/>
    <w:rsid w:val="00BB4228"/>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6C1B"/>
    <w:rsid w:val="00BB6CBE"/>
    <w:rsid w:val="00BB6ED4"/>
    <w:rsid w:val="00BB6F98"/>
    <w:rsid w:val="00BB7108"/>
    <w:rsid w:val="00BB7200"/>
    <w:rsid w:val="00BB7374"/>
    <w:rsid w:val="00BB73E0"/>
    <w:rsid w:val="00BB7679"/>
    <w:rsid w:val="00BB76F6"/>
    <w:rsid w:val="00BB77D3"/>
    <w:rsid w:val="00BB7A76"/>
    <w:rsid w:val="00BB7AA1"/>
    <w:rsid w:val="00BB7B4B"/>
    <w:rsid w:val="00BC0002"/>
    <w:rsid w:val="00BC0035"/>
    <w:rsid w:val="00BC09C5"/>
    <w:rsid w:val="00BC0C9F"/>
    <w:rsid w:val="00BC0DB2"/>
    <w:rsid w:val="00BC0F45"/>
    <w:rsid w:val="00BC0F9E"/>
    <w:rsid w:val="00BC156B"/>
    <w:rsid w:val="00BC159F"/>
    <w:rsid w:val="00BC1693"/>
    <w:rsid w:val="00BC1882"/>
    <w:rsid w:val="00BC1919"/>
    <w:rsid w:val="00BC198D"/>
    <w:rsid w:val="00BC1B22"/>
    <w:rsid w:val="00BC1B9F"/>
    <w:rsid w:val="00BC1C06"/>
    <w:rsid w:val="00BC1C43"/>
    <w:rsid w:val="00BC20AF"/>
    <w:rsid w:val="00BC24FB"/>
    <w:rsid w:val="00BC2611"/>
    <w:rsid w:val="00BC264E"/>
    <w:rsid w:val="00BC26C9"/>
    <w:rsid w:val="00BC2A2B"/>
    <w:rsid w:val="00BC3378"/>
    <w:rsid w:val="00BC3546"/>
    <w:rsid w:val="00BC395C"/>
    <w:rsid w:val="00BC3B92"/>
    <w:rsid w:val="00BC40EE"/>
    <w:rsid w:val="00BC4197"/>
    <w:rsid w:val="00BC4230"/>
    <w:rsid w:val="00BC42FD"/>
    <w:rsid w:val="00BC4311"/>
    <w:rsid w:val="00BC437E"/>
    <w:rsid w:val="00BC4715"/>
    <w:rsid w:val="00BC4C3E"/>
    <w:rsid w:val="00BC4C7D"/>
    <w:rsid w:val="00BC4D23"/>
    <w:rsid w:val="00BC4D32"/>
    <w:rsid w:val="00BC4D7F"/>
    <w:rsid w:val="00BC4F10"/>
    <w:rsid w:val="00BC50DE"/>
    <w:rsid w:val="00BC5291"/>
    <w:rsid w:val="00BC55C2"/>
    <w:rsid w:val="00BC5639"/>
    <w:rsid w:val="00BC5B85"/>
    <w:rsid w:val="00BC5E6F"/>
    <w:rsid w:val="00BC60A1"/>
    <w:rsid w:val="00BC62B9"/>
    <w:rsid w:val="00BC6512"/>
    <w:rsid w:val="00BC66E2"/>
    <w:rsid w:val="00BC6C2A"/>
    <w:rsid w:val="00BC6E91"/>
    <w:rsid w:val="00BC7096"/>
    <w:rsid w:val="00BC7532"/>
    <w:rsid w:val="00BC7610"/>
    <w:rsid w:val="00BC7909"/>
    <w:rsid w:val="00BC7A58"/>
    <w:rsid w:val="00BC7D2E"/>
    <w:rsid w:val="00BC7E8B"/>
    <w:rsid w:val="00BD01F4"/>
    <w:rsid w:val="00BD06B4"/>
    <w:rsid w:val="00BD0886"/>
    <w:rsid w:val="00BD0E3C"/>
    <w:rsid w:val="00BD10C4"/>
    <w:rsid w:val="00BD11D2"/>
    <w:rsid w:val="00BD131D"/>
    <w:rsid w:val="00BD15A8"/>
    <w:rsid w:val="00BD1611"/>
    <w:rsid w:val="00BD1D87"/>
    <w:rsid w:val="00BD1DDE"/>
    <w:rsid w:val="00BD1F00"/>
    <w:rsid w:val="00BD2265"/>
    <w:rsid w:val="00BD2351"/>
    <w:rsid w:val="00BD240C"/>
    <w:rsid w:val="00BD249B"/>
    <w:rsid w:val="00BD261A"/>
    <w:rsid w:val="00BD26C1"/>
    <w:rsid w:val="00BD2920"/>
    <w:rsid w:val="00BD29AA"/>
    <w:rsid w:val="00BD29D4"/>
    <w:rsid w:val="00BD2DFE"/>
    <w:rsid w:val="00BD354A"/>
    <w:rsid w:val="00BD3801"/>
    <w:rsid w:val="00BD38C8"/>
    <w:rsid w:val="00BD3B5A"/>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832"/>
    <w:rsid w:val="00BD587C"/>
    <w:rsid w:val="00BD594B"/>
    <w:rsid w:val="00BD5A63"/>
    <w:rsid w:val="00BD5F7B"/>
    <w:rsid w:val="00BD6097"/>
    <w:rsid w:val="00BD6245"/>
    <w:rsid w:val="00BD63D7"/>
    <w:rsid w:val="00BD660F"/>
    <w:rsid w:val="00BD6682"/>
    <w:rsid w:val="00BD6A28"/>
    <w:rsid w:val="00BD6CCE"/>
    <w:rsid w:val="00BD6E27"/>
    <w:rsid w:val="00BD6FAA"/>
    <w:rsid w:val="00BD7332"/>
    <w:rsid w:val="00BD74F4"/>
    <w:rsid w:val="00BD7ABB"/>
    <w:rsid w:val="00BD7B7D"/>
    <w:rsid w:val="00BD7CF9"/>
    <w:rsid w:val="00BD7D65"/>
    <w:rsid w:val="00BD7E5A"/>
    <w:rsid w:val="00BD7FC9"/>
    <w:rsid w:val="00BE0073"/>
    <w:rsid w:val="00BE086F"/>
    <w:rsid w:val="00BE09C3"/>
    <w:rsid w:val="00BE0CEA"/>
    <w:rsid w:val="00BE0E06"/>
    <w:rsid w:val="00BE10A8"/>
    <w:rsid w:val="00BE11F3"/>
    <w:rsid w:val="00BE147E"/>
    <w:rsid w:val="00BE1489"/>
    <w:rsid w:val="00BE15BA"/>
    <w:rsid w:val="00BE1654"/>
    <w:rsid w:val="00BE1951"/>
    <w:rsid w:val="00BE1A7B"/>
    <w:rsid w:val="00BE1F76"/>
    <w:rsid w:val="00BE202E"/>
    <w:rsid w:val="00BE24D5"/>
    <w:rsid w:val="00BE2528"/>
    <w:rsid w:val="00BE2965"/>
    <w:rsid w:val="00BE2BA1"/>
    <w:rsid w:val="00BE2BE4"/>
    <w:rsid w:val="00BE30EA"/>
    <w:rsid w:val="00BE3124"/>
    <w:rsid w:val="00BE314D"/>
    <w:rsid w:val="00BE3504"/>
    <w:rsid w:val="00BE3617"/>
    <w:rsid w:val="00BE38D6"/>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334"/>
    <w:rsid w:val="00BE5756"/>
    <w:rsid w:val="00BE60A5"/>
    <w:rsid w:val="00BE6B51"/>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5C"/>
    <w:rsid w:val="00BF11E8"/>
    <w:rsid w:val="00BF136A"/>
    <w:rsid w:val="00BF15D7"/>
    <w:rsid w:val="00BF1703"/>
    <w:rsid w:val="00BF17B8"/>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C0"/>
    <w:rsid w:val="00BF48ED"/>
    <w:rsid w:val="00BF4C66"/>
    <w:rsid w:val="00BF527D"/>
    <w:rsid w:val="00BF529E"/>
    <w:rsid w:val="00BF537A"/>
    <w:rsid w:val="00BF55C3"/>
    <w:rsid w:val="00BF5CAD"/>
    <w:rsid w:val="00BF5E56"/>
    <w:rsid w:val="00BF5F17"/>
    <w:rsid w:val="00BF6140"/>
    <w:rsid w:val="00BF6355"/>
    <w:rsid w:val="00BF64BF"/>
    <w:rsid w:val="00BF661F"/>
    <w:rsid w:val="00BF6662"/>
    <w:rsid w:val="00BF67BE"/>
    <w:rsid w:val="00BF6DC3"/>
    <w:rsid w:val="00BF71A5"/>
    <w:rsid w:val="00BF71F7"/>
    <w:rsid w:val="00BF77FE"/>
    <w:rsid w:val="00BF79A7"/>
    <w:rsid w:val="00BF79FD"/>
    <w:rsid w:val="00BF7A27"/>
    <w:rsid w:val="00BF7A49"/>
    <w:rsid w:val="00BF7A8E"/>
    <w:rsid w:val="00BF7DB1"/>
    <w:rsid w:val="00C0068F"/>
    <w:rsid w:val="00C006A0"/>
    <w:rsid w:val="00C00968"/>
    <w:rsid w:val="00C00E3D"/>
    <w:rsid w:val="00C00F0D"/>
    <w:rsid w:val="00C0121C"/>
    <w:rsid w:val="00C013D6"/>
    <w:rsid w:val="00C015F3"/>
    <w:rsid w:val="00C016EF"/>
    <w:rsid w:val="00C017D8"/>
    <w:rsid w:val="00C01952"/>
    <w:rsid w:val="00C01AFA"/>
    <w:rsid w:val="00C01D8D"/>
    <w:rsid w:val="00C01ED7"/>
    <w:rsid w:val="00C01F90"/>
    <w:rsid w:val="00C0200A"/>
    <w:rsid w:val="00C021BA"/>
    <w:rsid w:val="00C024EE"/>
    <w:rsid w:val="00C02BBB"/>
    <w:rsid w:val="00C02D3A"/>
    <w:rsid w:val="00C02DDA"/>
    <w:rsid w:val="00C02F48"/>
    <w:rsid w:val="00C02FCB"/>
    <w:rsid w:val="00C02FF7"/>
    <w:rsid w:val="00C032D8"/>
    <w:rsid w:val="00C03806"/>
    <w:rsid w:val="00C0390E"/>
    <w:rsid w:val="00C03934"/>
    <w:rsid w:val="00C03D08"/>
    <w:rsid w:val="00C0443C"/>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1BA"/>
    <w:rsid w:val="00C06310"/>
    <w:rsid w:val="00C0645A"/>
    <w:rsid w:val="00C06589"/>
    <w:rsid w:val="00C06B27"/>
    <w:rsid w:val="00C0725D"/>
    <w:rsid w:val="00C0727A"/>
    <w:rsid w:val="00C0728A"/>
    <w:rsid w:val="00C07355"/>
    <w:rsid w:val="00C075FF"/>
    <w:rsid w:val="00C076B6"/>
    <w:rsid w:val="00C0770A"/>
    <w:rsid w:val="00C077A1"/>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6A"/>
    <w:rsid w:val="00C11E49"/>
    <w:rsid w:val="00C12256"/>
    <w:rsid w:val="00C12531"/>
    <w:rsid w:val="00C126E2"/>
    <w:rsid w:val="00C12705"/>
    <w:rsid w:val="00C12CCA"/>
    <w:rsid w:val="00C12DA4"/>
    <w:rsid w:val="00C12F3E"/>
    <w:rsid w:val="00C131EF"/>
    <w:rsid w:val="00C13357"/>
    <w:rsid w:val="00C134EC"/>
    <w:rsid w:val="00C13542"/>
    <w:rsid w:val="00C1355C"/>
    <w:rsid w:val="00C13656"/>
    <w:rsid w:val="00C13679"/>
    <w:rsid w:val="00C139D0"/>
    <w:rsid w:val="00C13A41"/>
    <w:rsid w:val="00C13AB5"/>
    <w:rsid w:val="00C1424B"/>
    <w:rsid w:val="00C14313"/>
    <w:rsid w:val="00C1434B"/>
    <w:rsid w:val="00C14E9A"/>
    <w:rsid w:val="00C14F66"/>
    <w:rsid w:val="00C14FB4"/>
    <w:rsid w:val="00C1502D"/>
    <w:rsid w:val="00C1541C"/>
    <w:rsid w:val="00C15721"/>
    <w:rsid w:val="00C15804"/>
    <w:rsid w:val="00C15FE4"/>
    <w:rsid w:val="00C160B3"/>
    <w:rsid w:val="00C1631C"/>
    <w:rsid w:val="00C16489"/>
    <w:rsid w:val="00C16AD4"/>
    <w:rsid w:val="00C16B74"/>
    <w:rsid w:val="00C16DA6"/>
    <w:rsid w:val="00C16DC4"/>
    <w:rsid w:val="00C16DFA"/>
    <w:rsid w:val="00C16E42"/>
    <w:rsid w:val="00C170DF"/>
    <w:rsid w:val="00C172CC"/>
    <w:rsid w:val="00C17377"/>
    <w:rsid w:val="00C17380"/>
    <w:rsid w:val="00C174F2"/>
    <w:rsid w:val="00C1796E"/>
    <w:rsid w:val="00C17AEB"/>
    <w:rsid w:val="00C17C00"/>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46"/>
    <w:rsid w:val="00C22081"/>
    <w:rsid w:val="00C220CD"/>
    <w:rsid w:val="00C226E3"/>
    <w:rsid w:val="00C22866"/>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E7B"/>
    <w:rsid w:val="00C26E86"/>
    <w:rsid w:val="00C27519"/>
    <w:rsid w:val="00C27BEE"/>
    <w:rsid w:val="00C27CA4"/>
    <w:rsid w:val="00C27F46"/>
    <w:rsid w:val="00C301B3"/>
    <w:rsid w:val="00C3045D"/>
    <w:rsid w:val="00C30544"/>
    <w:rsid w:val="00C307C6"/>
    <w:rsid w:val="00C30892"/>
    <w:rsid w:val="00C30E73"/>
    <w:rsid w:val="00C30F02"/>
    <w:rsid w:val="00C31576"/>
    <w:rsid w:val="00C317D3"/>
    <w:rsid w:val="00C317EB"/>
    <w:rsid w:val="00C31AB2"/>
    <w:rsid w:val="00C3205B"/>
    <w:rsid w:val="00C3218A"/>
    <w:rsid w:val="00C32559"/>
    <w:rsid w:val="00C326E2"/>
    <w:rsid w:val="00C3296D"/>
    <w:rsid w:val="00C32989"/>
    <w:rsid w:val="00C32A8E"/>
    <w:rsid w:val="00C32C22"/>
    <w:rsid w:val="00C32C75"/>
    <w:rsid w:val="00C32CB3"/>
    <w:rsid w:val="00C32EED"/>
    <w:rsid w:val="00C332B4"/>
    <w:rsid w:val="00C339B6"/>
    <w:rsid w:val="00C33C2B"/>
    <w:rsid w:val="00C33EF0"/>
    <w:rsid w:val="00C34141"/>
    <w:rsid w:val="00C346E1"/>
    <w:rsid w:val="00C34842"/>
    <w:rsid w:val="00C34A83"/>
    <w:rsid w:val="00C34B3C"/>
    <w:rsid w:val="00C34D22"/>
    <w:rsid w:val="00C34D48"/>
    <w:rsid w:val="00C34D97"/>
    <w:rsid w:val="00C350C1"/>
    <w:rsid w:val="00C3539C"/>
    <w:rsid w:val="00C35530"/>
    <w:rsid w:val="00C35B2D"/>
    <w:rsid w:val="00C35D5E"/>
    <w:rsid w:val="00C35E1F"/>
    <w:rsid w:val="00C35E6D"/>
    <w:rsid w:val="00C35ED5"/>
    <w:rsid w:val="00C35F0A"/>
    <w:rsid w:val="00C36323"/>
    <w:rsid w:val="00C368C1"/>
    <w:rsid w:val="00C36B76"/>
    <w:rsid w:val="00C36C31"/>
    <w:rsid w:val="00C36C4A"/>
    <w:rsid w:val="00C37593"/>
    <w:rsid w:val="00C3764E"/>
    <w:rsid w:val="00C377DC"/>
    <w:rsid w:val="00C3782B"/>
    <w:rsid w:val="00C37CA4"/>
    <w:rsid w:val="00C37FEA"/>
    <w:rsid w:val="00C40213"/>
    <w:rsid w:val="00C404A9"/>
    <w:rsid w:val="00C40501"/>
    <w:rsid w:val="00C4058F"/>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1B54"/>
    <w:rsid w:val="00C4200C"/>
    <w:rsid w:val="00C425DC"/>
    <w:rsid w:val="00C42747"/>
    <w:rsid w:val="00C42B87"/>
    <w:rsid w:val="00C42E6F"/>
    <w:rsid w:val="00C42EF3"/>
    <w:rsid w:val="00C43218"/>
    <w:rsid w:val="00C433D8"/>
    <w:rsid w:val="00C43430"/>
    <w:rsid w:val="00C43B05"/>
    <w:rsid w:val="00C43C1B"/>
    <w:rsid w:val="00C43FE8"/>
    <w:rsid w:val="00C44043"/>
    <w:rsid w:val="00C442F2"/>
    <w:rsid w:val="00C443B5"/>
    <w:rsid w:val="00C4466E"/>
    <w:rsid w:val="00C44749"/>
    <w:rsid w:val="00C448F8"/>
    <w:rsid w:val="00C4515E"/>
    <w:rsid w:val="00C451E6"/>
    <w:rsid w:val="00C4549E"/>
    <w:rsid w:val="00C45626"/>
    <w:rsid w:val="00C45824"/>
    <w:rsid w:val="00C45A7E"/>
    <w:rsid w:val="00C45CB7"/>
    <w:rsid w:val="00C45D84"/>
    <w:rsid w:val="00C45F46"/>
    <w:rsid w:val="00C45FF3"/>
    <w:rsid w:val="00C464A3"/>
    <w:rsid w:val="00C46694"/>
    <w:rsid w:val="00C46728"/>
    <w:rsid w:val="00C46A4B"/>
    <w:rsid w:val="00C46B10"/>
    <w:rsid w:val="00C46D1F"/>
    <w:rsid w:val="00C4702F"/>
    <w:rsid w:val="00C470DB"/>
    <w:rsid w:val="00C4723A"/>
    <w:rsid w:val="00C47345"/>
    <w:rsid w:val="00C47385"/>
    <w:rsid w:val="00C473A3"/>
    <w:rsid w:val="00C474DA"/>
    <w:rsid w:val="00C477AA"/>
    <w:rsid w:val="00C477B6"/>
    <w:rsid w:val="00C47894"/>
    <w:rsid w:val="00C47A3E"/>
    <w:rsid w:val="00C47BC2"/>
    <w:rsid w:val="00C47BCF"/>
    <w:rsid w:val="00C47C4A"/>
    <w:rsid w:val="00C47EEF"/>
    <w:rsid w:val="00C47F12"/>
    <w:rsid w:val="00C5010B"/>
    <w:rsid w:val="00C5054E"/>
    <w:rsid w:val="00C50669"/>
    <w:rsid w:val="00C50775"/>
    <w:rsid w:val="00C512EE"/>
    <w:rsid w:val="00C51396"/>
    <w:rsid w:val="00C51521"/>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E42"/>
    <w:rsid w:val="00C53EAA"/>
    <w:rsid w:val="00C54146"/>
    <w:rsid w:val="00C54340"/>
    <w:rsid w:val="00C5461B"/>
    <w:rsid w:val="00C5468E"/>
    <w:rsid w:val="00C54BC8"/>
    <w:rsid w:val="00C54CA9"/>
    <w:rsid w:val="00C54F14"/>
    <w:rsid w:val="00C5510C"/>
    <w:rsid w:val="00C556BC"/>
    <w:rsid w:val="00C557A4"/>
    <w:rsid w:val="00C55E91"/>
    <w:rsid w:val="00C5636C"/>
    <w:rsid w:val="00C563B0"/>
    <w:rsid w:val="00C567F0"/>
    <w:rsid w:val="00C56A07"/>
    <w:rsid w:val="00C56B2B"/>
    <w:rsid w:val="00C56B96"/>
    <w:rsid w:val="00C56FA7"/>
    <w:rsid w:val="00C5709B"/>
    <w:rsid w:val="00C57422"/>
    <w:rsid w:val="00C574A2"/>
    <w:rsid w:val="00C5750F"/>
    <w:rsid w:val="00C57DF4"/>
    <w:rsid w:val="00C60246"/>
    <w:rsid w:val="00C607BC"/>
    <w:rsid w:val="00C60828"/>
    <w:rsid w:val="00C60A9C"/>
    <w:rsid w:val="00C60C1C"/>
    <w:rsid w:val="00C60D20"/>
    <w:rsid w:val="00C61110"/>
    <w:rsid w:val="00C61212"/>
    <w:rsid w:val="00C612EF"/>
    <w:rsid w:val="00C61342"/>
    <w:rsid w:val="00C615A3"/>
    <w:rsid w:val="00C61844"/>
    <w:rsid w:val="00C61C10"/>
    <w:rsid w:val="00C621C5"/>
    <w:rsid w:val="00C62959"/>
    <w:rsid w:val="00C6297D"/>
    <w:rsid w:val="00C62BB7"/>
    <w:rsid w:val="00C62C33"/>
    <w:rsid w:val="00C62FB4"/>
    <w:rsid w:val="00C63448"/>
    <w:rsid w:val="00C63563"/>
    <w:rsid w:val="00C63D25"/>
    <w:rsid w:val="00C63F10"/>
    <w:rsid w:val="00C64120"/>
    <w:rsid w:val="00C64125"/>
    <w:rsid w:val="00C642BA"/>
    <w:rsid w:val="00C6449C"/>
    <w:rsid w:val="00C644E7"/>
    <w:rsid w:val="00C64DD4"/>
    <w:rsid w:val="00C64FB8"/>
    <w:rsid w:val="00C65582"/>
    <w:rsid w:val="00C6588D"/>
    <w:rsid w:val="00C658D6"/>
    <w:rsid w:val="00C65A3A"/>
    <w:rsid w:val="00C65A62"/>
    <w:rsid w:val="00C65A73"/>
    <w:rsid w:val="00C65B9F"/>
    <w:rsid w:val="00C65C10"/>
    <w:rsid w:val="00C65CA9"/>
    <w:rsid w:val="00C65CE8"/>
    <w:rsid w:val="00C662C7"/>
    <w:rsid w:val="00C663E7"/>
    <w:rsid w:val="00C665A3"/>
    <w:rsid w:val="00C66600"/>
    <w:rsid w:val="00C668EF"/>
    <w:rsid w:val="00C66AED"/>
    <w:rsid w:val="00C66B1F"/>
    <w:rsid w:val="00C66CDF"/>
    <w:rsid w:val="00C66CF3"/>
    <w:rsid w:val="00C66ED6"/>
    <w:rsid w:val="00C678BF"/>
    <w:rsid w:val="00C67C83"/>
    <w:rsid w:val="00C67E25"/>
    <w:rsid w:val="00C7007B"/>
    <w:rsid w:val="00C70112"/>
    <w:rsid w:val="00C701D6"/>
    <w:rsid w:val="00C70563"/>
    <w:rsid w:val="00C7059F"/>
    <w:rsid w:val="00C7078C"/>
    <w:rsid w:val="00C708E0"/>
    <w:rsid w:val="00C709C4"/>
    <w:rsid w:val="00C70A48"/>
    <w:rsid w:val="00C70CB3"/>
    <w:rsid w:val="00C70D92"/>
    <w:rsid w:val="00C70FB8"/>
    <w:rsid w:val="00C71113"/>
    <w:rsid w:val="00C714EF"/>
    <w:rsid w:val="00C71519"/>
    <w:rsid w:val="00C71A75"/>
    <w:rsid w:val="00C71AC3"/>
    <w:rsid w:val="00C71B87"/>
    <w:rsid w:val="00C71BF2"/>
    <w:rsid w:val="00C71D78"/>
    <w:rsid w:val="00C722EE"/>
    <w:rsid w:val="00C723AF"/>
    <w:rsid w:val="00C7265E"/>
    <w:rsid w:val="00C726A3"/>
    <w:rsid w:val="00C7292E"/>
    <w:rsid w:val="00C730DF"/>
    <w:rsid w:val="00C731C4"/>
    <w:rsid w:val="00C7328D"/>
    <w:rsid w:val="00C73381"/>
    <w:rsid w:val="00C733A0"/>
    <w:rsid w:val="00C734AC"/>
    <w:rsid w:val="00C7354B"/>
    <w:rsid w:val="00C735DF"/>
    <w:rsid w:val="00C73AC4"/>
    <w:rsid w:val="00C73E3B"/>
    <w:rsid w:val="00C74125"/>
    <w:rsid w:val="00C744B0"/>
    <w:rsid w:val="00C745D0"/>
    <w:rsid w:val="00C74652"/>
    <w:rsid w:val="00C746CC"/>
    <w:rsid w:val="00C747E2"/>
    <w:rsid w:val="00C748F2"/>
    <w:rsid w:val="00C74A02"/>
    <w:rsid w:val="00C74AA3"/>
    <w:rsid w:val="00C74C53"/>
    <w:rsid w:val="00C74C66"/>
    <w:rsid w:val="00C74C7E"/>
    <w:rsid w:val="00C74D0A"/>
    <w:rsid w:val="00C752E2"/>
    <w:rsid w:val="00C7539A"/>
    <w:rsid w:val="00C754FB"/>
    <w:rsid w:val="00C756FF"/>
    <w:rsid w:val="00C75A97"/>
    <w:rsid w:val="00C75C88"/>
    <w:rsid w:val="00C76267"/>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C7"/>
    <w:rsid w:val="00C778E7"/>
    <w:rsid w:val="00C77C1D"/>
    <w:rsid w:val="00C77C58"/>
    <w:rsid w:val="00C77FD5"/>
    <w:rsid w:val="00C800BC"/>
    <w:rsid w:val="00C8070C"/>
    <w:rsid w:val="00C807AC"/>
    <w:rsid w:val="00C807EF"/>
    <w:rsid w:val="00C808FD"/>
    <w:rsid w:val="00C80AE9"/>
    <w:rsid w:val="00C80B5B"/>
    <w:rsid w:val="00C80D82"/>
    <w:rsid w:val="00C81535"/>
    <w:rsid w:val="00C8199A"/>
    <w:rsid w:val="00C81B73"/>
    <w:rsid w:val="00C81CA8"/>
    <w:rsid w:val="00C81DA7"/>
    <w:rsid w:val="00C81E07"/>
    <w:rsid w:val="00C81E28"/>
    <w:rsid w:val="00C82200"/>
    <w:rsid w:val="00C82A24"/>
    <w:rsid w:val="00C82A70"/>
    <w:rsid w:val="00C82C31"/>
    <w:rsid w:val="00C82E68"/>
    <w:rsid w:val="00C82FE5"/>
    <w:rsid w:val="00C830D5"/>
    <w:rsid w:val="00C83332"/>
    <w:rsid w:val="00C83334"/>
    <w:rsid w:val="00C83523"/>
    <w:rsid w:val="00C839EF"/>
    <w:rsid w:val="00C83A35"/>
    <w:rsid w:val="00C83DB9"/>
    <w:rsid w:val="00C84155"/>
    <w:rsid w:val="00C843EA"/>
    <w:rsid w:val="00C84541"/>
    <w:rsid w:val="00C8458F"/>
    <w:rsid w:val="00C8473E"/>
    <w:rsid w:val="00C848AC"/>
    <w:rsid w:val="00C84B70"/>
    <w:rsid w:val="00C84B99"/>
    <w:rsid w:val="00C84DF8"/>
    <w:rsid w:val="00C850B8"/>
    <w:rsid w:val="00C85701"/>
    <w:rsid w:val="00C85757"/>
    <w:rsid w:val="00C858AA"/>
    <w:rsid w:val="00C8595A"/>
    <w:rsid w:val="00C85E73"/>
    <w:rsid w:val="00C8667B"/>
    <w:rsid w:val="00C869EB"/>
    <w:rsid w:val="00C86B16"/>
    <w:rsid w:val="00C86B39"/>
    <w:rsid w:val="00C86F76"/>
    <w:rsid w:val="00C86FD9"/>
    <w:rsid w:val="00C871BD"/>
    <w:rsid w:val="00C87644"/>
    <w:rsid w:val="00C876D3"/>
    <w:rsid w:val="00C87889"/>
    <w:rsid w:val="00C87B34"/>
    <w:rsid w:val="00C87E29"/>
    <w:rsid w:val="00C90338"/>
    <w:rsid w:val="00C904CB"/>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FB7"/>
    <w:rsid w:val="00C944BC"/>
    <w:rsid w:val="00C94B7C"/>
    <w:rsid w:val="00C94D2E"/>
    <w:rsid w:val="00C94EA1"/>
    <w:rsid w:val="00C9527E"/>
    <w:rsid w:val="00C9538B"/>
    <w:rsid w:val="00C95407"/>
    <w:rsid w:val="00C95731"/>
    <w:rsid w:val="00C9590E"/>
    <w:rsid w:val="00C95AF2"/>
    <w:rsid w:val="00C95B75"/>
    <w:rsid w:val="00C95C9F"/>
    <w:rsid w:val="00C95F8C"/>
    <w:rsid w:val="00C960B0"/>
    <w:rsid w:val="00C96204"/>
    <w:rsid w:val="00C9650F"/>
    <w:rsid w:val="00C96587"/>
    <w:rsid w:val="00C966B5"/>
    <w:rsid w:val="00C96AB2"/>
    <w:rsid w:val="00C96CEC"/>
    <w:rsid w:val="00C96D27"/>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028"/>
    <w:rsid w:val="00CA339E"/>
    <w:rsid w:val="00CA351B"/>
    <w:rsid w:val="00CA36AD"/>
    <w:rsid w:val="00CA3956"/>
    <w:rsid w:val="00CA3979"/>
    <w:rsid w:val="00CA3B9D"/>
    <w:rsid w:val="00CA3E8F"/>
    <w:rsid w:val="00CA408D"/>
    <w:rsid w:val="00CA40E5"/>
    <w:rsid w:val="00CA41C0"/>
    <w:rsid w:val="00CA4676"/>
    <w:rsid w:val="00CA4744"/>
    <w:rsid w:val="00CA4C02"/>
    <w:rsid w:val="00CA5243"/>
    <w:rsid w:val="00CA5252"/>
    <w:rsid w:val="00CA557B"/>
    <w:rsid w:val="00CA59F3"/>
    <w:rsid w:val="00CA5C67"/>
    <w:rsid w:val="00CA5ECD"/>
    <w:rsid w:val="00CA5FF0"/>
    <w:rsid w:val="00CA60AA"/>
    <w:rsid w:val="00CA6136"/>
    <w:rsid w:val="00CA657C"/>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5C4"/>
    <w:rsid w:val="00CB081F"/>
    <w:rsid w:val="00CB0D21"/>
    <w:rsid w:val="00CB0F94"/>
    <w:rsid w:val="00CB1307"/>
    <w:rsid w:val="00CB1451"/>
    <w:rsid w:val="00CB1788"/>
    <w:rsid w:val="00CB1986"/>
    <w:rsid w:val="00CB19D5"/>
    <w:rsid w:val="00CB1D26"/>
    <w:rsid w:val="00CB209D"/>
    <w:rsid w:val="00CB20D8"/>
    <w:rsid w:val="00CB23D0"/>
    <w:rsid w:val="00CB27DE"/>
    <w:rsid w:val="00CB28C8"/>
    <w:rsid w:val="00CB2A11"/>
    <w:rsid w:val="00CB2B94"/>
    <w:rsid w:val="00CB3165"/>
    <w:rsid w:val="00CB31B6"/>
    <w:rsid w:val="00CB375A"/>
    <w:rsid w:val="00CB3AD2"/>
    <w:rsid w:val="00CB3AFC"/>
    <w:rsid w:val="00CB3D05"/>
    <w:rsid w:val="00CB3D9A"/>
    <w:rsid w:val="00CB3F70"/>
    <w:rsid w:val="00CB4100"/>
    <w:rsid w:val="00CB413E"/>
    <w:rsid w:val="00CB43A8"/>
    <w:rsid w:val="00CB486A"/>
    <w:rsid w:val="00CB48B0"/>
    <w:rsid w:val="00CB498D"/>
    <w:rsid w:val="00CB49E5"/>
    <w:rsid w:val="00CB4CB7"/>
    <w:rsid w:val="00CB50BA"/>
    <w:rsid w:val="00CB53A7"/>
    <w:rsid w:val="00CB5720"/>
    <w:rsid w:val="00CB5727"/>
    <w:rsid w:val="00CB590B"/>
    <w:rsid w:val="00CB5E39"/>
    <w:rsid w:val="00CB6034"/>
    <w:rsid w:val="00CB611B"/>
    <w:rsid w:val="00CB669F"/>
    <w:rsid w:val="00CB670E"/>
    <w:rsid w:val="00CB686F"/>
    <w:rsid w:val="00CB69D0"/>
    <w:rsid w:val="00CB6D1B"/>
    <w:rsid w:val="00CB73B2"/>
    <w:rsid w:val="00CB7515"/>
    <w:rsid w:val="00CB7586"/>
    <w:rsid w:val="00CB774B"/>
    <w:rsid w:val="00CB78BA"/>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EA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35"/>
    <w:rsid w:val="00CC52EF"/>
    <w:rsid w:val="00CC5C35"/>
    <w:rsid w:val="00CC6082"/>
    <w:rsid w:val="00CC60FF"/>
    <w:rsid w:val="00CC617D"/>
    <w:rsid w:val="00CC61A3"/>
    <w:rsid w:val="00CC62A6"/>
    <w:rsid w:val="00CC6401"/>
    <w:rsid w:val="00CC6558"/>
    <w:rsid w:val="00CC65AF"/>
    <w:rsid w:val="00CC684A"/>
    <w:rsid w:val="00CC6871"/>
    <w:rsid w:val="00CC6A14"/>
    <w:rsid w:val="00CC7000"/>
    <w:rsid w:val="00CC70EB"/>
    <w:rsid w:val="00CC728B"/>
    <w:rsid w:val="00CC734C"/>
    <w:rsid w:val="00CC7640"/>
    <w:rsid w:val="00CC773B"/>
    <w:rsid w:val="00CC782E"/>
    <w:rsid w:val="00CC798B"/>
    <w:rsid w:val="00CC7D8B"/>
    <w:rsid w:val="00CC7DA6"/>
    <w:rsid w:val="00CD007A"/>
    <w:rsid w:val="00CD00C4"/>
    <w:rsid w:val="00CD0179"/>
    <w:rsid w:val="00CD03F4"/>
    <w:rsid w:val="00CD0455"/>
    <w:rsid w:val="00CD0518"/>
    <w:rsid w:val="00CD0906"/>
    <w:rsid w:val="00CD094D"/>
    <w:rsid w:val="00CD0B57"/>
    <w:rsid w:val="00CD0D5C"/>
    <w:rsid w:val="00CD1029"/>
    <w:rsid w:val="00CD153D"/>
    <w:rsid w:val="00CD1C7D"/>
    <w:rsid w:val="00CD1DB2"/>
    <w:rsid w:val="00CD1F60"/>
    <w:rsid w:val="00CD209E"/>
    <w:rsid w:val="00CD221F"/>
    <w:rsid w:val="00CD22D5"/>
    <w:rsid w:val="00CD235B"/>
    <w:rsid w:val="00CD2A34"/>
    <w:rsid w:val="00CD2DF2"/>
    <w:rsid w:val="00CD2E4D"/>
    <w:rsid w:val="00CD362D"/>
    <w:rsid w:val="00CD384D"/>
    <w:rsid w:val="00CD3B7A"/>
    <w:rsid w:val="00CD3FF4"/>
    <w:rsid w:val="00CD40E9"/>
    <w:rsid w:val="00CD415C"/>
    <w:rsid w:val="00CD418D"/>
    <w:rsid w:val="00CD41B3"/>
    <w:rsid w:val="00CD4650"/>
    <w:rsid w:val="00CD4825"/>
    <w:rsid w:val="00CD4831"/>
    <w:rsid w:val="00CD48E9"/>
    <w:rsid w:val="00CD4936"/>
    <w:rsid w:val="00CD4A61"/>
    <w:rsid w:val="00CD5097"/>
    <w:rsid w:val="00CD528A"/>
    <w:rsid w:val="00CD5359"/>
    <w:rsid w:val="00CD5472"/>
    <w:rsid w:val="00CD56E0"/>
    <w:rsid w:val="00CD5763"/>
    <w:rsid w:val="00CD57D3"/>
    <w:rsid w:val="00CD5916"/>
    <w:rsid w:val="00CD5C6F"/>
    <w:rsid w:val="00CD5C9E"/>
    <w:rsid w:val="00CD5D9A"/>
    <w:rsid w:val="00CD5FEF"/>
    <w:rsid w:val="00CD6246"/>
    <w:rsid w:val="00CD638F"/>
    <w:rsid w:val="00CD662D"/>
    <w:rsid w:val="00CD6630"/>
    <w:rsid w:val="00CD6990"/>
    <w:rsid w:val="00CD6B86"/>
    <w:rsid w:val="00CD715E"/>
    <w:rsid w:val="00CD72C4"/>
    <w:rsid w:val="00CD7317"/>
    <w:rsid w:val="00CD7821"/>
    <w:rsid w:val="00CD7968"/>
    <w:rsid w:val="00CD797F"/>
    <w:rsid w:val="00CD7DA4"/>
    <w:rsid w:val="00CE0007"/>
    <w:rsid w:val="00CE0138"/>
    <w:rsid w:val="00CE01F4"/>
    <w:rsid w:val="00CE0340"/>
    <w:rsid w:val="00CE040D"/>
    <w:rsid w:val="00CE04A8"/>
    <w:rsid w:val="00CE084B"/>
    <w:rsid w:val="00CE0866"/>
    <w:rsid w:val="00CE090E"/>
    <w:rsid w:val="00CE0D7A"/>
    <w:rsid w:val="00CE0EDD"/>
    <w:rsid w:val="00CE1081"/>
    <w:rsid w:val="00CE116B"/>
    <w:rsid w:val="00CE1190"/>
    <w:rsid w:val="00CE13B2"/>
    <w:rsid w:val="00CE15DF"/>
    <w:rsid w:val="00CE1861"/>
    <w:rsid w:val="00CE1B60"/>
    <w:rsid w:val="00CE1BB3"/>
    <w:rsid w:val="00CE1CA0"/>
    <w:rsid w:val="00CE1D66"/>
    <w:rsid w:val="00CE1E69"/>
    <w:rsid w:val="00CE247C"/>
    <w:rsid w:val="00CE25F4"/>
    <w:rsid w:val="00CE2640"/>
    <w:rsid w:val="00CE277F"/>
    <w:rsid w:val="00CE2876"/>
    <w:rsid w:val="00CE2A30"/>
    <w:rsid w:val="00CE2B0C"/>
    <w:rsid w:val="00CE2CAE"/>
    <w:rsid w:val="00CE2D15"/>
    <w:rsid w:val="00CE2F1F"/>
    <w:rsid w:val="00CE303E"/>
    <w:rsid w:val="00CE3067"/>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395"/>
    <w:rsid w:val="00CE55BF"/>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AFD"/>
    <w:rsid w:val="00CF0C03"/>
    <w:rsid w:val="00CF1022"/>
    <w:rsid w:val="00CF1068"/>
    <w:rsid w:val="00CF141C"/>
    <w:rsid w:val="00CF150D"/>
    <w:rsid w:val="00CF1609"/>
    <w:rsid w:val="00CF169B"/>
    <w:rsid w:val="00CF18D8"/>
    <w:rsid w:val="00CF1DA2"/>
    <w:rsid w:val="00CF2302"/>
    <w:rsid w:val="00CF29ED"/>
    <w:rsid w:val="00CF2BF3"/>
    <w:rsid w:val="00CF33FF"/>
    <w:rsid w:val="00CF361C"/>
    <w:rsid w:val="00CF3682"/>
    <w:rsid w:val="00CF3867"/>
    <w:rsid w:val="00CF3A39"/>
    <w:rsid w:val="00CF3AE4"/>
    <w:rsid w:val="00CF3BC1"/>
    <w:rsid w:val="00CF41E2"/>
    <w:rsid w:val="00CF4200"/>
    <w:rsid w:val="00CF4F17"/>
    <w:rsid w:val="00CF50CF"/>
    <w:rsid w:val="00CF5126"/>
    <w:rsid w:val="00CF53CB"/>
    <w:rsid w:val="00CF55B0"/>
    <w:rsid w:val="00CF5A13"/>
    <w:rsid w:val="00CF5C52"/>
    <w:rsid w:val="00CF5F6E"/>
    <w:rsid w:val="00CF6441"/>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3"/>
    <w:rsid w:val="00D000CD"/>
    <w:rsid w:val="00D005FB"/>
    <w:rsid w:val="00D0075C"/>
    <w:rsid w:val="00D0077A"/>
    <w:rsid w:val="00D00AE6"/>
    <w:rsid w:val="00D00F12"/>
    <w:rsid w:val="00D00F30"/>
    <w:rsid w:val="00D01399"/>
    <w:rsid w:val="00D01486"/>
    <w:rsid w:val="00D017ED"/>
    <w:rsid w:val="00D01FAC"/>
    <w:rsid w:val="00D020C7"/>
    <w:rsid w:val="00D02118"/>
    <w:rsid w:val="00D0219C"/>
    <w:rsid w:val="00D02474"/>
    <w:rsid w:val="00D02618"/>
    <w:rsid w:val="00D02657"/>
    <w:rsid w:val="00D0272B"/>
    <w:rsid w:val="00D0272F"/>
    <w:rsid w:val="00D03183"/>
    <w:rsid w:val="00D031A8"/>
    <w:rsid w:val="00D0386A"/>
    <w:rsid w:val="00D03935"/>
    <w:rsid w:val="00D03C36"/>
    <w:rsid w:val="00D03CB8"/>
    <w:rsid w:val="00D03D7D"/>
    <w:rsid w:val="00D03FA2"/>
    <w:rsid w:val="00D040D2"/>
    <w:rsid w:val="00D041FD"/>
    <w:rsid w:val="00D04345"/>
    <w:rsid w:val="00D04634"/>
    <w:rsid w:val="00D04984"/>
    <w:rsid w:val="00D049ED"/>
    <w:rsid w:val="00D04C87"/>
    <w:rsid w:val="00D05240"/>
    <w:rsid w:val="00D05452"/>
    <w:rsid w:val="00D0551D"/>
    <w:rsid w:val="00D05C3A"/>
    <w:rsid w:val="00D05D09"/>
    <w:rsid w:val="00D05D91"/>
    <w:rsid w:val="00D05F0E"/>
    <w:rsid w:val="00D05FEB"/>
    <w:rsid w:val="00D06059"/>
    <w:rsid w:val="00D0606B"/>
    <w:rsid w:val="00D0629B"/>
    <w:rsid w:val="00D06538"/>
    <w:rsid w:val="00D06A20"/>
    <w:rsid w:val="00D06B70"/>
    <w:rsid w:val="00D06CF3"/>
    <w:rsid w:val="00D07144"/>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C0A"/>
    <w:rsid w:val="00D10F83"/>
    <w:rsid w:val="00D11175"/>
    <w:rsid w:val="00D1147D"/>
    <w:rsid w:val="00D11853"/>
    <w:rsid w:val="00D11ECB"/>
    <w:rsid w:val="00D11F7D"/>
    <w:rsid w:val="00D12279"/>
    <w:rsid w:val="00D12501"/>
    <w:rsid w:val="00D125AE"/>
    <w:rsid w:val="00D12774"/>
    <w:rsid w:val="00D1288E"/>
    <w:rsid w:val="00D128EC"/>
    <w:rsid w:val="00D129B9"/>
    <w:rsid w:val="00D12BE5"/>
    <w:rsid w:val="00D12CAD"/>
    <w:rsid w:val="00D12DB1"/>
    <w:rsid w:val="00D12F30"/>
    <w:rsid w:val="00D132FF"/>
    <w:rsid w:val="00D1363D"/>
    <w:rsid w:val="00D13659"/>
    <w:rsid w:val="00D13C42"/>
    <w:rsid w:val="00D13C61"/>
    <w:rsid w:val="00D13CD2"/>
    <w:rsid w:val="00D13EBD"/>
    <w:rsid w:val="00D14AA8"/>
    <w:rsid w:val="00D150AA"/>
    <w:rsid w:val="00D157D1"/>
    <w:rsid w:val="00D15A3C"/>
    <w:rsid w:val="00D15A61"/>
    <w:rsid w:val="00D15BA5"/>
    <w:rsid w:val="00D15BEF"/>
    <w:rsid w:val="00D15C36"/>
    <w:rsid w:val="00D15CB0"/>
    <w:rsid w:val="00D15EC1"/>
    <w:rsid w:val="00D15F2B"/>
    <w:rsid w:val="00D16306"/>
    <w:rsid w:val="00D167AB"/>
    <w:rsid w:val="00D168DE"/>
    <w:rsid w:val="00D1698E"/>
    <w:rsid w:val="00D16DE2"/>
    <w:rsid w:val="00D1701B"/>
    <w:rsid w:val="00D1706A"/>
    <w:rsid w:val="00D17116"/>
    <w:rsid w:val="00D17303"/>
    <w:rsid w:val="00D17589"/>
    <w:rsid w:val="00D17664"/>
    <w:rsid w:val="00D17733"/>
    <w:rsid w:val="00D178A0"/>
    <w:rsid w:val="00D17B8F"/>
    <w:rsid w:val="00D17BD6"/>
    <w:rsid w:val="00D17F4B"/>
    <w:rsid w:val="00D20124"/>
    <w:rsid w:val="00D20188"/>
    <w:rsid w:val="00D20314"/>
    <w:rsid w:val="00D205DA"/>
    <w:rsid w:val="00D20927"/>
    <w:rsid w:val="00D20CB9"/>
    <w:rsid w:val="00D20D65"/>
    <w:rsid w:val="00D20DC6"/>
    <w:rsid w:val="00D21232"/>
    <w:rsid w:val="00D21272"/>
    <w:rsid w:val="00D217C4"/>
    <w:rsid w:val="00D2181D"/>
    <w:rsid w:val="00D219D8"/>
    <w:rsid w:val="00D21BB7"/>
    <w:rsid w:val="00D21F01"/>
    <w:rsid w:val="00D22041"/>
    <w:rsid w:val="00D220D2"/>
    <w:rsid w:val="00D22163"/>
    <w:rsid w:val="00D22648"/>
    <w:rsid w:val="00D227A9"/>
    <w:rsid w:val="00D22BD8"/>
    <w:rsid w:val="00D22BF7"/>
    <w:rsid w:val="00D22C2B"/>
    <w:rsid w:val="00D22F1C"/>
    <w:rsid w:val="00D22F5F"/>
    <w:rsid w:val="00D233D2"/>
    <w:rsid w:val="00D23512"/>
    <w:rsid w:val="00D23518"/>
    <w:rsid w:val="00D2385B"/>
    <w:rsid w:val="00D24400"/>
    <w:rsid w:val="00D24583"/>
    <w:rsid w:val="00D245DD"/>
    <w:rsid w:val="00D247D2"/>
    <w:rsid w:val="00D247E7"/>
    <w:rsid w:val="00D2485B"/>
    <w:rsid w:val="00D24C79"/>
    <w:rsid w:val="00D24F69"/>
    <w:rsid w:val="00D2525D"/>
    <w:rsid w:val="00D25553"/>
    <w:rsid w:val="00D258E3"/>
    <w:rsid w:val="00D25AD6"/>
    <w:rsid w:val="00D25D4F"/>
    <w:rsid w:val="00D26028"/>
    <w:rsid w:val="00D26119"/>
    <w:rsid w:val="00D2626C"/>
    <w:rsid w:val="00D263BD"/>
    <w:rsid w:val="00D26463"/>
    <w:rsid w:val="00D2696E"/>
    <w:rsid w:val="00D26AF9"/>
    <w:rsid w:val="00D274CD"/>
    <w:rsid w:val="00D27A98"/>
    <w:rsid w:val="00D27B5A"/>
    <w:rsid w:val="00D27FCA"/>
    <w:rsid w:val="00D30040"/>
    <w:rsid w:val="00D3005E"/>
    <w:rsid w:val="00D303C1"/>
    <w:rsid w:val="00D30711"/>
    <w:rsid w:val="00D309D7"/>
    <w:rsid w:val="00D30D9E"/>
    <w:rsid w:val="00D30E9A"/>
    <w:rsid w:val="00D30EAB"/>
    <w:rsid w:val="00D30FBA"/>
    <w:rsid w:val="00D31232"/>
    <w:rsid w:val="00D31308"/>
    <w:rsid w:val="00D31802"/>
    <w:rsid w:val="00D31C46"/>
    <w:rsid w:val="00D325F8"/>
    <w:rsid w:val="00D32A31"/>
    <w:rsid w:val="00D32A5B"/>
    <w:rsid w:val="00D32AF1"/>
    <w:rsid w:val="00D32CBF"/>
    <w:rsid w:val="00D33312"/>
    <w:rsid w:val="00D33341"/>
    <w:rsid w:val="00D3366D"/>
    <w:rsid w:val="00D3366F"/>
    <w:rsid w:val="00D33BE7"/>
    <w:rsid w:val="00D33DA0"/>
    <w:rsid w:val="00D33E39"/>
    <w:rsid w:val="00D33E82"/>
    <w:rsid w:val="00D34704"/>
    <w:rsid w:val="00D34BCA"/>
    <w:rsid w:val="00D34E19"/>
    <w:rsid w:val="00D34F0F"/>
    <w:rsid w:val="00D34F2A"/>
    <w:rsid w:val="00D35029"/>
    <w:rsid w:val="00D3541A"/>
    <w:rsid w:val="00D3581F"/>
    <w:rsid w:val="00D35838"/>
    <w:rsid w:val="00D35901"/>
    <w:rsid w:val="00D35A9A"/>
    <w:rsid w:val="00D35F92"/>
    <w:rsid w:val="00D36026"/>
    <w:rsid w:val="00D36ACD"/>
    <w:rsid w:val="00D36DFF"/>
    <w:rsid w:val="00D3708D"/>
    <w:rsid w:val="00D371B6"/>
    <w:rsid w:val="00D37736"/>
    <w:rsid w:val="00D37A38"/>
    <w:rsid w:val="00D4004E"/>
    <w:rsid w:val="00D400AC"/>
    <w:rsid w:val="00D408DE"/>
    <w:rsid w:val="00D40D51"/>
    <w:rsid w:val="00D412B5"/>
    <w:rsid w:val="00D41753"/>
    <w:rsid w:val="00D41C35"/>
    <w:rsid w:val="00D420A3"/>
    <w:rsid w:val="00D4217B"/>
    <w:rsid w:val="00D42183"/>
    <w:rsid w:val="00D422B3"/>
    <w:rsid w:val="00D422D2"/>
    <w:rsid w:val="00D42405"/>
    <w:rsid w:val="00D42597"/>
    <w:rsid w:val="00D42791"/>
    <w:rsid w:val="00D42BC4"/>
    <w:rsid w:val="00D42CFA"/>
    <w:rsid w:val="00D42F28"/>
    <w:rsid w:val="00D42F4C"/>
    <w:rsid w:val="00D42F7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5029"/>
    <w:rsid w:val="00D45217"/>
    <w:rsid w:val="00D45B73"/>
    <w:rsid w:val="00D45C8C"/>
    <w:rsid w:val="00D4658C"/>
    <w:rsid w:val="00D46933"/>
    <w:rsid w:val="00D46A8A"/>
    <w:rsid w:val="00D46B71"/>
    <w:rsid w:val="00D47007"/>
    <w:rsid w:val="00D4704F"/>
    <w:rsid w:val="00D47164"/>
    <w:rsid w:val="00D47229"/>
    <w:rsid w:val="00D472E5"/>
    <w:rsid w:val="00D473C7"/>
    <w:rsid w:val="00D47647"/>
    <w:rsid w:val="00D476F5"/>
    <w:rsid w:val="00D47731"/>
    <w:rsid w:val="00D47B00"/>
    <w:rsid w:val="00D47B3A"/>
    <w:rsid w:val="00D47B3E"/>
    <w:rsid w:val="00D47D09"/>
    <w:rsid w:val="00D47E3F"/>
    <w:rsid w:val="00D47E66"/>
    <w:rsid w:val="00D5018C"/>
    <w:rsid w:val="00D50241"/>
    <w:rsid w:val="00D507C5"/>
    <w:rsid w:val="00D508FA"/>
    <w:rsid w:val="00D50B53"/>
    <w:rsid w:val="00D50FBC"/>
    <w:rsid w:val="00D50FF7"/>
    <w:rsid w:val="00D512E0"/>
    <w:rsid w:val="00D5137A"/>
    <w:rsid w:val="00D513EA"/>
    <w:rsid w:val="00D515B3"/>
    <w:rsid w:val="00D5212F"/>
    <w:rsid w:val="00D52471"/>
    <w:rsid w:val="00D52504"/>
    <w:rsid w:val="00D5256E"/>
    <w:rsid w:val="00D52572"/>
    <w:rsid w:val="00D52791"/>
    <w:rsid w:val="00D527C8"/>
    <w:rsid w:val="00D52FFF"/>
    <w:rsid w:val="00D5304A"/>
    <w:rsid w:val="00D53531"/>
    <w:rsid w:val="00D53960"/>
    <w:rsid w:val="00D53F1E"/>
    <w:rsid w:val="00D54232"/>
    <w:rsid w:val="00D544A4"/>
    <w:rsid w:val="00D54538"/>
    <w:rsid w:val="00D54766"/>
    <w:rsid w:val="00D54890"/>
    <w:rsid w:val="00D54ACF"/>
    <w:rsid w:val="00D54C58"/>
    <w:rsid w:val="00D55145"/>
    <w:rsid w:val="00D559BB"/>
    <w:rsid w:val="00D55B08"/>
    <w:rsid w:val="00D55BD1"/>
    <w:rsid w:val="00D55C31"/>
    <w:rsid w:val="00D55E51"/>
    <w:rsid w:val="00D55EFD"/>
    <w:rsid w:val="00D561E7"/>
    <w:rsid w:val="00D566D5"/>
    <w:rsid w:val="00D568C6"/>
    <w:rsid w:val="00D56AF9"/>
    <w:rsid w:val="00D56BE7"/>
    <w:rsid w:val="00D56DA7"/>
    <w:rsid w:val="00D5726C"/>
    <w:rsid w:val="00D57321"/>
    <w:rsid w:val="00D5753B"/>
    <w:rsid w:val="00D57918"/>
    <w:rsid w:val="00D57A3A"/>
    <w:rsid w:val="00D57B4B"/>
    <w:rsid w:val="00D57C54"/>
    <w:rsid w:val="00D57E3F"/>
    <w:rsid w:val="00D601A0"/>
    <w:rsid w:val="00D60255"/>
    <w:rsid w:val="00D602DC"/>
    <w:rsid w:val="00D60311"/>
    <w:rsid w:val="00D60472"/>
    <w:rsid w:val="00D6065A"/>
    <w:rsid w:val="00D60820"/>
    <w:rsid w:val="00D60A1B"/>
    <w:rsid w:val="00D60A2A"/>
    <w:rsid w:val="00D60A9C"/>
    <w:rsid w:val="00D60BA1"/>
    <w:rsid w:val="00D60DFE"/>
    <w:rsid w:val="00D60EB0"/>
    <w:rsid w:val="00D61176"/>
    <w:rsid w:val="00D61357"/>
    <w:rsid w:val="00D614AB"/>
    <w:rsid w:val="00D61765"/>
    <w:rsid w:val="00D617F7"/>
    <w:rsid w:val="00D61AFA"/>
    <w:rsid w:val="00D61F07"/>
    <w:rsid w:val="00D620CA"/>
    <w:rsid w:val="00D62280"/>
    <w:rsid w:val="00D62623"/>
    <w:rsid w:val="00D62719"/>
    <w:rsid w:val="00D62906"/>
    <w:rsid w:val="00D6290B"/>
    <w:rsid w:val="00D629C1"/>
    <w:rsid w:val="00D62A7B"/>
    <w:rsid w:val="00D62E98"/>
    <w:rsid w:val="00D630D1"/>
    <w:rsid w:val="00D633CE"/>
    <w:rsid w:val="00D63491"/>
    <w:rsid w:val="00D63B3A"/>
    <w:rsid w:val="00D63CF3"/>
    <w:rsid w:val="00D63E7F"/>
    <w:rsid w:val="00D64038"/>
    <w:rsid w:val="00D64090"/>
    <w:rsid w:val="00D64214"/>
    <w:rsid w:val="00D644A4"/>
    <w:rsid w:val="00D646A7"/>
    <w:rsid w:val="00D64862"/>
    <w:rsid w:val="00D648FD"/>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192"/>
    <w:rsid w:val="00D67427"/>
    <w:rsid w:val="00D6764D"/>
    <w:rsid w:val="00D678C5"/>
    <w:rsid w:val="00D67B0F"/>
    <w:rsid w:val="00D67EC3"/>
    <w:rsid w:val="00D67F8D"/>
    <w:rsid w:val="00D7024C"/>
    <w:rsid w:val="00D702BD"/>
    <w:rsid w:val="00D7059A"/>
    <w:rsid w:val="00D71830"/>
    <w:rsid w:val="00D71911"/>
    <w:rsid w:val="00D71F77"/>
    <w:rsid w:val="00D72235"/>
    <w:rsid w:val="00D72E8F"/>
    <w:rsid w:val="00D72F4F"/>
    <w:rsid w:val="00D72F55"/>
    <w:rsid w:val="00D72F94"/>
    <w:rsid w:val="00D73082"/>
    <w:rsid w:val="00D7310A"/>
    <w:rsid w:val="00D73131"/>
    <w:rsid w:val="00D7313B"/>
    <w:rsid w:val="00D73A0C"/>
    <w:rsid w:val="00D73CB8"/>
    <w:rsid w:val="00D7406F"/>
    <w:rsid w:val="00D7410D"/>
    <w:rsid w:val="00D7419B"/>
    <w:rsid w:val="00D74277"/>
    <w:rsid w:val="00D742DC"/>
    <w:rsid w:val="00D74565"/>
    <w:rsid w:val="00D74775"/>
    <w:rsid w:val="00D74B5E"/>
    <w:rsid w:val="00D74BBD"/>
    <w:rsid w:val="00D74DDD"/>
    <w:rsid w:val="00D75842"/>
    <w:rsid w:val="00D75B99"/>
    <w:rsid w:val="00D75D1D"/>
    <w:rsid w:val="00D75DAA"/>
    <w:rsid w:val="00D75E1F"/>
    <w:rsid w:val="00D75E99"/>
    <w:rsid w:val="00D760D7"/>
    <w:rsid w:val="00D761AA"/>
    <w:rsid w:val="00D761D6"/>
    <w:rsid w:val="00D76376"/>
    <w:rsid w:val="00D76641"/>
    <w:rsid w:val="00D76A40"/>
    <w:rsid w:val="00D76BA4"/>
    <w:rsid w:val="00D76C86"/>
    <w:rsid w:val="00D770EA"/>
    <w:rsid w:val="00D77A60"/>
    <w:rsid w:val="00D77B27"/>
    <w:rsid w:val="00D77C48"/>
    <w:rsid w:val="00D80410"/>
    <w:rsid w:val="00D804FA"/>
    <w:rsid w:val="00D80612"/>
    <w:rsid w:val="00D80684"/>
    <w:rsid w:val="00D80A00"/>
    <w:rsid w:val="00D80DDA"/>
    <w:rsid w:val="00D811B3"/>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F2"/>
    <w:rsid w:val="00D83309"/>
    <w:rsid w:val="00D8349E"/>
    <w:rsid w:val="00D83713"/>
    <w:rsid w:val="00D83E2C"/>
    <w:rsid w:val="00D8410B"/>
    <w:rsid w:val="00D841A0"/>
    <w:rsid w:val="00D843E5"/>
    <w:rsid w:val="00D846E4"/>
    <w:rsid w:val="00D84CA6"/>
    <w:rsid w:val="00D84F4B"/>
    <w:rsid w:val="00D85150"/>
    <w:rsid w:val="00D856AD"/>
    <w:rsid w:val="00D85AD3"/>
    <w:rsid w:val="00D85FBB"/>
    <w:rsid w:val="00D8673A"/>
    <w:rsid w:val="00D86758"/>
    <w:rsid w:val="00D868F6"/>
    <w:rsid w:val="00D86C9F"/>
    <w:rsid w:val="00D86D0E"/>
    <w:rsid w:val="00D86E34"/>
    <w:rsid w:val="00D87062"/>
    <w:rsid w:val="00D870A2"/>
    <w:rsid w:val="00D87151"/>
    <w:rsid w:val="00D8769F"/>
    <w:rsid w:val="00D876BA"/>
    <w:rsid w:val="00D90308"/>
    <w:rsid w:val="00D9064A"/>
    <w:rsid w:val="00D90C39"/>
    <w:rsid w:val="00D90E51"/>
    <w:rsid w:val="00D90F46"/>
    <w:rsid w:val="00D91045"/>
    <w:rsid w:val="00D9105F"/>
    <w:rsid w:val="00D9121F"/>
    <w:rsid w:val="00D913DA"/>
    <w:rsid w:val="00D91BA7"/>
    <w:rsid w:val="00D91F31"/>
    <w:rsid w:val="00D91FD2"/>
    <w:rsid w:val="00D920FE"/>
    <w:rsid w:val="00D922F3"/>
    <w:rsid w:val="00D92AD6"/>
    <w:rsid w:val="00D92EF8"/>
    <w:rsid w:val="00D93422"/>
    <w:rsid w:val="00D93497"/>
    <w:rsid w:val="00D937D7"/>
    <w:rsid w:val="00D939D2"/>
    <w:rsid w:val="00D93E0F"/>
    <w:rsid w:val="00D93F27"/>
    <w:rsid w:val="00D93FCC"/>
    <w:rsid w:val="00D946CB"/>
    <w:rsid w:val="00D946EA"/>
    <w:rsid w:val="00D946F6"/>
    <w:rsid w:val="00D94735"/>
    <w:rsid w:val="00D9477E"/>
    <w:rsid w:val="00D94A8C"/>
    <w:rsid w:val="00D94B87"/>
    <w:rsid w:val="00D94DE9"/>
    <w:rsid w:val="00D95763"/>
    <w:rsid w:val="00D95793"/>
    <w:rsid w:val="00D95968"/>
    <w:rsid w:val="00D95C1D"/>
    <w:rsid w:val="00D95E34"/>
    <w:rsid w:val="00D966F9"/>
    <w:rsid w:val="00D96702"/>
    <w:rsid w:val="00D96B3D"/>
    <w:rsid w:val="00D97232"/>
    <w:rsid w:val="00D97320"/>
    <w:rsid w:val="00D97368"/>
    <w:rsid w:val="00D97377"/>
    <w:rsid w:val="00D97492"/>
    <w:rsid w:val="00D97536"/>
    <w:rsid w:val="00D97708"/>
    <w:rsid w:val="00D97F63"/>
    <w:rsid w:val="00DA0060"/>
    <w:rsid w:val="00DA0127"/>
    <w:rsid w:val="00DA015A"/>
    <w:rsid w:val="00DA06F6"/>
    <w:rsid w:val="00DA0751"/>
    <w:rsid w:val="00DA0A67"/>
    <w:rsid w:val="00DA1005"/>
    <w:rsid w:val="00DA1008"/>
    <w:rsid w:val="00DA1080"/>
    <w:rsid w:val="00DA131A"/>
    <w:rsid w:val="00DA162F"/>
    <w:rsid w:val="00DA1801"/>
    <w:rsid w:val="00DA1926"/>
    <w:rsid w:val="00DA1A09"/>
    <w:rsid w:val="00DA1A91"/>
    <w:rsid w:val="00DA232E"/>
    <w:rsid w:val="00DA243C"/>
    <w:rsid w:val="00DA24BD"/>
    <w:rsid w:val="00DA267A"/>
    <w:rsid w:val="00DA2684"/>
    <w:rsid w:val="00DA29D1"/>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4C0"/>
    <w:rsid w:val="00DA5535"/>
    <w:rsid w:val="00DA5578"/>
    <w:rsid w:val="00DA565E"/>
    <w:rsid w:val="00DA58B8"/>
    <w:rsid w:val="00DA5B05"/>
    <w:rsid w:val="00DA5E06"/>
    <w:rsid w:val="00DA5E2E"/>
    <w:rsid w:val="00DA5FA7"/>
    <w:rsid w:val="00DA6105"/>
    <w:rsid w:val="00DA610E"/>
    <w:rsid w:val="00DA6188"/>
    <w:rsid w:val="00DA68FD"/>
    <w:rsid w:val="00DA6ABC"/>
    <w:rsid w:val="00DA6D92"/>
    <w:rsid w:val="00DA6FB9"/>
    <w:rsid w:val="00DA71A7"/>
    <w:rsid w:val="00DA736B"/>
    <w:rsid w:val="00DA762D"/>
    <w:rsid w:val="00DA7849"/>
    <w:rsid w:val="00DB019B"/>
    <w:rsid w:val="00DB0257"/>
    <w:rsid w:val="00DB04F9"/>
    <w:rsid w:val="00DB0502"/>
    <w:rsid w:val="00DB0801"/>
    <w:rsid w:val="00DB0921"/>
    <w:rsid w:val="00DB0943"/>
    <w:rsid w:val="00DB09ED"/>
    <w:rsid w:val="00DB0FE7"/>
    <w:rsid w:val="00DB10B6"/>
    <w:rsid w:val="00DB1167"/>
    <w:rsid w:val="00DB1262"/>
    <w:rsid w:val="00DB134C"/>
    <w:rsid w:val="00DB161A"/>
    <w:rsid w:val="00DB16B6"/>
    <w:rsid w:val="00DB1A92"/>
    <w:rsid w:val="00DB2172"/>
    <w:rsid w:val="00DB223F"/>
    <w:rsid w:val="00DB2293"/>
    <w:rsid w:val="00DB2586"/>
    <w:rsid w:val="00DB27A7"/>
    <w:rsid w:val="00DB2B9F"/>
    <w:rsid w:val="00DB2D00"/>
    <w:rsid w:val="00DB2D43"/>
    <w:rsid w:val="00DB2E67"/>
    <w:rsid w:val="00DB32A9"/>
    <w:rsid w:val="00DB33B6"/>
    <w:rsid w:val="00DB35ED"/>
    <w:rsid w:val="00DB3743"/>
    <w:rsid w:val="00DB37E1"/>
    <w:rsid w:val="00DB3842"/>
    <w:rsid w:val="00DB3A2B"/>
    <w:rsid w:val="00DB3DEB"/>
    <w:rsid w:val="00DB3E0C"/>
    <w:rsid w:val="00DB3FE3"/>
    <w:rsid w:val="00DB4381"/>
    <w:rsid w:val="00DB4419"/>
    <w:rsid w:val="00DB441A"/>
    <w:rsid w:val="00DB44E4"/>
    <w:rsid w:val="00DB4647"/>
    <w:rsid w:val="00DB4676"/>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418"/>
    <w:rsid w:val="00DB6502"/>
    <w:rsid w:val="00DB6764"/>
    <w:rsid w:val="00DB6908"/>
    <w:rsid w:val="00DB6BED"/>
    <w:rsid w:val="00DB6D71"/>
    <w:rsid w:val="00DB6DCA"/>
    <w:rsid w:val="00DB709E"/>
    <w:rsid w:val="00DB7298"/>
    <w:rsid w:val="00DB72E5"/>
    <w:rsid w:val="00DB7482"/>
    <w:rsid w:val="00DB76ED"/>
    <w:rsid w:val="00DB7AE1"/>
    <w:rsid w:val="00DB7B08"/>
    <w:rsid w:val="00DB7E68"/>
    <w:rsid w:val="00DC0095"/>
    <w:rsid w:val="00DC02A3"/>
    <w:rsid w:val="00DC04C4"/>
    <w:rsid w:val="00DC0794"/>
    <w:rsid w:val="00DC089D"/>
    <w:rsid w:val="00DC09F5"/>
    <w:rsid w:val="00DC0D1B"/>
    <w:rsid w:val="00DC0D95"/>
    <w:rsid w:val="00DC0E09"/>
    <w:rsid w:val="00DC0F14"/>
    <w:rsid w:val="00DC10C1"/>
    <w:rsid w:val="00DC1240"/>
    <w:rsid w:val="00DC12FF"/>
    <w:rsid w:val="00DC1674"/>
    <w:rsid w:val="00DC1803"/>
    <w:rsid w:val="00DC1857"/>
    <w:rsid w:val="00DC1AA9"/>
    <w:rsid w:val="00DC1B15"/>
    <w:rsid w:val="00DC1BE5"/>
    <w:rsid w:val="00DC1CF8"/>
    <w:rsid w:val="00DC1DE1"/>
    <w:rsid w:val="00DC21D6"/>
    <w:rsid w:val="00DC2389"/>
    <w:rsid w:val="00DC2638"/>
    <w:rsid w:val="00DC2697"/>
    <w:rsid w:val="00DC26A0"/>
    <w:rsid w:val="00DC2D4E"/>
    <w:rsid w:val="00DC31ED"/>
    <w:rsid w:val="00DC3658"/>
    <w:rsid w:val="00DC3F53"/>
    <w:rsid w:val="00DC400D"/>
    <w:rsid w:val="00DC404D"/>
    <w:rsid w:val="00DC421C"/>
    <w:rsid w:val="00DC454A"/>
    <w:rsid w:val="00DC45B5"/>
    <w:rsid w:val="00DC45F2"/>
    <w:rsid w:val="00DC4726"/>
    <w:rsid w:val="00DC47E2"/>
    <w:rsid w:val="00DC49C0"/>
    <w:rsid w:val="00DC4BBB"/>
    <w:rsid w:val="00DC4C1B"/>
    <w:rsid w:val="00DC4E8A"/>
    <w:rsid w:val="00DC4F31"/>
    <w:rsid w:val="00DC500B"/>
    <w:rsid w:val="00DC5147"/>
    <w:rsid w:val="00DC524E"/>
    <w:rsid w:val="00DC52B2"/>
    <w:rsid w:val="00DC542D"/>
    <w:rsid w:val="00DC55DC"/>
    <w:rsid w:val="00DC5879"/>
    <w:rsid w:val="00DC5ABA"/>
    <w:rsid w:val="00DC5CCB"/>
    <w:rsid w:val="00DC5D13"/>
    <w:rsid w:val="00DC5D1B"/>
    <w:rsid w:val="00DC60B1"/>
    <w:rsid w:val="00DC6243"/>
    <w:rsid w:val="00DC6714"/>
    <w:rsid w:val="00DC6773"/>
    <w:rsid w:val="00DC6CFE"/>
    <w:rsid w:val="00DC70C4"/>
    <w:rsid w:val="00DC7195"/>
    <w:rsid w:val="00DC733F"/>
    <w:rsid w:val="00DC7490"/>
    <w:rsid w:val="00DC7542"/>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D39"/>
    <w:rsid w:val="00DD0EC3"/>
    <w:rsid w:val="00DD0F86"/>
    <w:rsid w:val="00DD1190"/>
    <w:rsid w:val="00DD1588"/>
    <w:rsid w:val="00DD180A"/>
    <w:rsid w:val="00DD1975"/>
    <w:rsid w:val="00DD19DE"/>
    <w:rsid w:val="00DD1A15"/>
    <w:rsid w:val="00DD1A90"/>
    <w:rsid w:val="00DD1B69"/>
    <w:rsid w:val="00DD1C7C"/>
    <w:rsid w:val="00DD1D96"/>
    <w:rsid w:val="00DD2055"/>
    <w:rsid w:val="00DD20F4"/>
    <w:rsid w:val="00DD2196"/>
    <w:rsid w:val="00DD2C6B"/>
    <w:rsid w:val="00DD309D"/>
    <w:rsid w:val="00DD326A"/>
    <w:rsid w:val="00DD3399"/>
    <w:rsid w:val="00DD394B"/>
    <w:rsid w:val="00DD3C5E"/>
    <w:rsid w:val="00DD3E57"/>
    <w:rsid w:val="00DD4062"/>
    <w:rsid w:val="00DD40DE"/>
    <w:rsid w:val="00DD40F9"/>
    <w:rsid w:val="00DD43CF"/>
    <w:rsid w:val="00DD43D6"/>
    <w:rsid w:val="00DD4427"/>
    <w:rsid w:val="00DD45BA"/>
    <w:rsid w:val="00DD4710"/>
    <w:rsid w:val="00DD4865"/>
    <w:rsid w:val="00DD4A92"/>
    <w:rsid w:val="00DD5681"/>
    <w:rsid w:val="00DD5740"/>
    <w:rsid w:val="00DD59AA"/>
    <w:rsid w:val="00DD5AF2"/>
    <w:rsid w:val="00DD5D85"/>
    <w:rsid w:val="00DD620C"/>
    <w:rsid w:val="00DD67DC"/>
    <w:rsid w:val="00DD6C52"/>
    <w:rsid w:val="00DD6EB8"/>
    <w:rsid w:val="00DD7379"/>
    <w:rsid w:val="00DD75E3"/>
    <w:rsid w:val="00DD75F4"/>
    <w:rsid w:val="00DD7629"/>
    <w:rsid w:val="00DD7635"/>
    <w:rsid w:val="00DD7648"/>
    <w:rsid w:val="00DD7962"/>
    <w:rsid w:val="00DD7A60"/>
    <w:rsid w:val="00DD7ACA"/>
    <w:rsid w:val="00DD7B1C"/>
    <w:rsid w:val="00DD7B45"/>
    <w:rsid w:val="00DE03A4"/>
    <w:rsid w:val="00DE0848"/>
    <w:rsid w:val="00DE0DE4"/>
    <w:rsid w:val="00DE0E6F"/>
    <w:rsid w:val="00DE1124"/>
    <w:rsid w:val="00DE126B"/>
    <w:rsid w:val="00DE1311"/>
    <w:rsid w:val="00DE150A"/>
    <w:rsid w:val="00DE189C"/>
    <w:rsid w:val="00DE19A7"/>
    <w:rsid w:val="00DE19AC"/>
    <w:rsid w:val="00DE1B3B"/>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3E48"/>
    <w:rsid w:val="00DE40C1"/>
    <w:rsid w:val="00DE4134"/>
    <w:rsid w:val="00DE4176"/>
    <w:rsid w:val="00DE43AD"/>
    <w:rsid w:val="00DE44E5"/>
    <w:rsid w:val="00DE4629"/>
    <w:rsid w:val="00DE4BDF"/>
    <w:rsid w:val="00DE4C73"/>
    <w:rsid w:val="00DE4EF2"/>
    <w:rsid w:val="00DE4F27"/>
    <w:rsid w:val="00DE50D8"/>
    <w:rsid w:val="00DE5241"/>
    <w:rsid w:val="00DE53E0"/>
    <w:rsid w:val="00DE55A3"/>
    <w:rsid w:val="00DE55FC"/>
    <w:rsid w:val="00DE582B"/>
    <w:rsid w:val="00DE59ED"/>
    <w:rsid w:val="00DE5D3F"/>
    <w:rsid w:val="00DE5FD5"/>
    <w:rsid w:val="00DE6136"/>
    <w:rsid w:val="00DE61B7"/>
    <w:rsid w:val="00DE61E0"/>
    <w:rsid w:val="00DE626B"/>
    <w:rsid w:val="00DE6689"/>
    <w:rsid w:val="00DE6A2D"/>
    <w:rsid w:val="00DE6C97"/>
    <w:rsid w:val="00DE6DD3"/>
    <w:rsid w:val="00DE70AE"/>
    <w:rsid w:val="00DE718B"/>
    <w:rsid w:val="00DE72A8"/>
    <w:rsid w:val="00DE742A"/>
    <w:rsid w:val="00DE7B81"/>
    <w:rsid w:val="00DE7BB1"/>
    <w:rsid w:val="00DE7BD2"/>
    <w:rsid w:val="00DE7F83"/>
    <w:rsid w:val="00DF0397"/>
    <w:rsid w:val="00DF06DE"/>
    <w:rsid w:val="00DF0852"/>
    <w:rsid w:val="00DF0883"/>
    <w:rsid w:val="00DF08A3"/>
    <w:rsid w:val="00DF0B38"/>
    <w:rsid w:val="00DF11CE"/>
    <w:rsid w:val="00DF11DE"/>
    <w:rsid w:val="00DF1328"/>
    <w:rsid w:val="00DF1631"/>
    <w:rsid w:val="00DF1677"/>
    <w:rsid w:val="00DF16F6"/>
    <w:rsid w:val="00DF1891"/>
    <w:rsid w:val="00DF1A2C"/>
    <w:rsid w:val="00DF1A48"/>
    <w:rsid w:val="00DF1AB8"/>
    <w:rsid w:val="00DF1C16"/>
    <w:rsid w:val="00DF1F03"/>
    <w:rsid w:val="00DF2155"/>
    <w:rsid w:val="00DF2564"/>
    <w:rsid w:val="00DF25F6"/>
    <w:rsid w:val="00DF25FA"/>
    <w:rsid w:val="00DF2655"/>
    <w:rsid w:val="00DF2C9C"/>
    <w:rsid w:val="00DF30B8"/>
    <w:rsid w:val="00DF30FD"/>
    <w:rsid w:val="00DF31DF"/>
    <w:rsid w:val="00DF326B"/>
    <w:rsid w:val="00DF32E5"/>
    <w:rsid w:val="00DF3305"/>
    <w:rsid w:val="00DF33CB"/>
    <w:rsid w:val="00DF3FC0"/>
    <w:rsid w:val="00DF44B2"/>
    <w:rsid w:val="00DF4640"/>
    <w:rsid w:val="00DF4759"/>
    <w:rsid w:val="00DF487E"/>
    <w:rsid w:val="00DF4892"/>
    <w:rsid w:val="00DF4E0B"/>
    <w:rsid w:val="00DF532F"/>
    <w:rsid w:val="00DF5396"/>
    <w:rsid w:val="00DF55FC"/>
    <w:rsid w:val="00DF5630"/>
    <w:rsid w:val="00DF595A"/>
    <w:rsid w:val="00DF59F7"/>
    <w:rsid w:val="00DF5E22"/>
    <w:rsid w:val="00DF5E6F"/>
    <w:rsid w:val="00DF6013"/>
    <w:rsid w:val="00DF61A5"/>
    <w:rsid w:val="00DF6397"/>
    <w:rsid w:val="00DF6567"/>
    <w:rsid w:val="00DF69B6"/>
    <w:rsid w:val="00DF6D37"/>
    <w:rsid w:val="00DF7712"/>
    <w:rsid w:val="00DF778B"/>
    <w:rsid w:val="00DF789B"/>
    <w:rsid w:val="00DF7B18"/>
    <w:rsid w:val="00DF7B51"/>
    <w:rsid w:val="00DF7C98"/>
    <w:rsid w:val="00DF7D7B"/>
    <w:rsid w:val="00DF7F2E"/>
    <w:rsid w:val="00DF7FEC"/>
    <w:rsid w:val="00E00082"/>
    <w:rsid w:val="00E009E5"/>
    <w:rsid w:val="00E00C04"/>
    <w:rsid w:val="00E01087"/>
    <w:rsid w:val="00E011C5"/>
    <w:rsid w:val="00E016F0"/>
    <w:rsid w:val="00E017B8"/>
    <w:rsid w:val="00E019AA"/>
    <w:rsid w:val="00E01C26"/>
    <w:rsid w:val="00E02019"/>
    <w:rsid w:val="00E02061"/>
    <w:rsid w:val="00E021A0"/>
    <w:rsid w:val="00E02238"/>
    <w:rsid w:val="00E026B2"/>
    <w:rsid w:val="00E029C9"/>
    <w:rsid w:val="00E02B8E"/>
    <w:rsid w:val="00E02BF7"/>
    <w:rsid w:val="00E02DF4"/>
    <w:rsid w:val="00E02EA9"/>
    <w:rsid w:val="00E03049"/>
    <w:rsid w:val="00E03299"/>
    <w:rsid w:val="00E034FE"/>
    <w:rsid w:val="00E03ABE"/>
    <w:rsid w:val="00E03C86"/>
    <w:rsid w:val="00E04042"/>
    <w:rsid w:val="00E04055"/>
    <w:rsid w:val="00E041AE"/>
    <w:rsid w:val="00E04970"/>
    <w:rsid w:val="00E04A5B"/>
    <w:rsid w:val="00E04C07"/>
    <w:rsid w:val="00E04DB9"/>
    <w:rsid w:val="00E04FDE"/>
    <w:rsid w:val="00E050B4"/>
    <w:rsid w:val="00E050DA"/>
    <w:rsid w:val="00E0533C"/>
    <w:rsid w:val="00E05381"/>
    <w:rsid w:val="00E0574C"/>
    <w:rsid w:val="00E058C9"/>
    <w:rsid w:val="00E05A12"/>
    <w:rsid w:val="00E05BDA"/>
    <w:rsid w:val="00E05E09"/>
    <w:rsid w:val="00E05F57"/>
    <w:rsid w:val="00E05F85"/>
    <w:rsid w:val="00E0601E"/>
    <w:rsid w:val="00E0627A"/>
    <w:rsid w:val="00E06342"/>
    <w:rsid w:val="00E063A5"/>
    <w:rsid w:val="00E06474"/>
    <w:rsid w:val="00E06762"/>
    <w:rsid w:val="00E06A79"/>
    <w:rsid w:val="00E07041"/>
    <w:rsid w:val="00E071F0"/>
    <w:rsid w:val="00E07238"/>
    <w:rsid w:val="00E07497"/>
    <w:rsid w:val="00E074CE"/>
    <w:rsid w:val="00E074D5"/>
    <w:rsid w:val="00E0778A"/>
    <w:rsid w:val="00E07A34"/>
    <w:rsid w:val="00E07AFF"/>
    <w:rsid w:val="00E07D96"/>
    <w:rsid w:val="00E1000F"/>
    <w:rsid w:val="00E10819"/>
    <w:rsid w:val="00E108AC"/>
    <w:rsid w:val="00E10B79"/>
    <w:rsid w:val="00E11160"/>
    <w:rsid w:val="00E11186"/>
    <w:rsid w:val="00E11493"/>
    <w:rsid w:val="00E11796"/>
    <w:rsid w:val="00E118EA"/>
    <w:rsid w:val="00E11A6D"/>
    <w:rsid w:val="00E11C68"/>
    <w:rsid w:val="00E11EA5"/>
    <w:rsid w:val="00E11F17"/>
    <w:rsid w:val="00E11FA5"/>
    <w:rsid w:val="00E125F7"/>
    <w:rsid w:val="00E126FC"/>
    <w:rsid w:val="00E129B3"/>
    <w:rsid w:val="00E12A72"/>
    <w:rsid w:val="00E12AFE"/>
    <w:rsid w:val="00E12FD7"/>
    <w:rsid w:val="00E1307B"/>
    <w:rsid w:val="00E130F1"/>
    <w:rsid w:val="00E1321A"/>
    <w:rsid w:val="00E13723"/>
    <w:rsid w:val="00E1398F"/>
    <w:rsid w:val="00E13AD5"/>
    <w:rsid w:val="00E13B9F"/>
    <w:rsid w:val="00E13C8F"/>
    <w:rsid w:val="00E13D10"/>
    <w:rsid w:val="00E14264"/>
    <w:rsid w:val="00E14573"/>
    <w:rsid w:val="00E1486B"/>
    <w:rsid w:val="00E148EB"/>
    <w:rsid w:val="00E149AF"/>
    <w:rsid w:val="00E14D47"/>
    <w:rsid w:val="00E14D81"/>
    <w:rsid w:val="00E14F14"/>
    <w:rsid w:val="00E15580"/>
    <w:rsid w:val="00E1583C"/>
    <w:rsid w:val="00E15884"/>
    <w:rsid w:val="00E1597B"/>
    <w:rsid w:val="00E15C34"/>
    <w:rsid w:val="00E15C64"/>
    <w:rsid w:val="00E15F31"/>
    <w:rsid w:val="00E16248"/>
    <w:rsid w:val="00E162DB"/>
    <w:rsid w:val="00E16390"/>
    <w:rsid w:val="00E164AF"/>
    <w:rsid w:val="00E16B84"/>
    <w:rsid w:val="00E16BA4"/>
    <w:rsid w:val="00E16BE9"/>
    <w:rsid w:val="00E16D2A"/>
    <w:rsid w:val="00E16E4A"/>
    <w:rsid w:val="00E17085"/>
    <w:rsid w:val="00E170B2"/>
    <w:rsid w:val="00E17210"/>
    <w:rsid w:val="00E1728C"/>
    <w:rsid w:val="00E17726"/>
    <w:rsid w:val="00E17841"/>
    <w:rsid w:val="00E17A4A"/>
    <w:rsid w:val="00E17C0B"/>
    <w:rsid w:val="00E17D2B"/>
    <w:rsid w:val="00E20247"/>
    <w:rsid w:val="00E202A3"/>
    <w:rsid w:val="00E2036F"/>
    <w:rsid w:val="00E205BE"/>
    <w:rsid w:val="00E208F9"/>
    <w:rsid w:val="00E20A40"/>
    <w:rsid w:val="00E20B2D"/>
    <w:rsid w:val="00E210D6"/>
    <w:rsid w:val="00E21363"/>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DDC"/>
    <w:rsid w:val="00E23E82"/>
    <w:rsid w:val="00E24188"/>
    <w:rsid w:val="00E24360"/>
    <w:rsid w:val="00E245AD"/>
    <w:rsid w:val="00E24942"/>
    <w:rsid w:val="00E24AB4"/>
    <w:rsid w:val="00E24C10"/>
    <w:rsid w:val="00E24F0D"/>
    <w:rsid w:val="00E24F83"/>
    <w:rsid w:val="00E251C9"/>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67D"/>
    <w:rsid w:val="00E27693"/>
    <w:rsid w:val="00E276AD"/>
    <w:rsid w:val="00E2794B"/>
    <w:rsid w:val="00E27A31"/>
    <w:rsid w:val="00E27CAF"/>
    <w:rsid w:val="00E27CE1"/>
    <w:rsid w:val="00E27E26"/>
    <w:rsid w:val="00E27E53"/>
    <w:rsid w:val="00E30194"/>
    <w:rsid w:val="00E3026B"/>
    <w:rsid w:val="00E308EB"/>
    <w:rsid w:val="00E30DB0"/>
    <w:rsid w:val="00E30E12"/>
    <w:rsid w:val="00E315AA"/>
    <w:rsid w:val="00E318CE"/>
    <w:rsid w:val="00E31BB6"/>
    <w:rsid w:val="00E31EE7"/>
    <w:rsid w:val="00E322A2"/>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F77"/>
    <w:rsid w:val="00E34655"/>
    <w:rsid w:val="00E349AA"/>
    <w:rsid w:val="00E34B27"/>
    <w:rsid w:val="00E34BE7"/>
    <w:rsid w:val="00E34FDD"/>
    <w:rsid w:val="00E352A6"/>
    <w:rsid w:val="00E3536C"/>
    <w:rsid w:val="00E354AA"/>
    <w:rsid w:val="00E35877"/>
    <w:rsid w:val="00E35CB9"/>
    <w:rsid w:val="00E35E8E"/>
    <w:rsid w:val="00E360C3"/>
    <w:rsid w:val="00E360FB"/>
    <w:rsid w:val="00E362E2"/>
    <w:rsid w:val="00E3634D"/>
    <w:rsid w:val="00E36909"/>
    <w:rsid w:val="00E369EC"/>
    <w:rsid w:val="00E36ADA"/>
    <w:rsid w:val="00E36CEE"/>
    <w:rsid w:val="00E36D5D"/>
    <w:rsid w:val="00E36F44"/>
    <w:rsid w:val="00E3735D"/>
    <w:rsid w:val="00E3746A"/>
    <w:rsid w:val="00E37594"/>
    <w:rsid w:val="00E37722"/>
    <w:rsid w:val="00E37C7D"/>
    <w:rsid w:val="00E37E80"/>
    <w:rsid w:val="00E400C0"/>
    <w:rsid w:val="00E405FB"/>
    <w:rsid w:val="00E409EA"/>
    <w:rsid w:val="00E40A6F"/>
    <w:rsid w:val="00E40B53"/>
    <w:rsid w:val="00E40BD9"/>
    <w:rsid w:val="00E40C55"/>
    <w:rsid w:val="00E4114C"/>
    <w:rsid w:val="00E4130C"/>
    <w:rsid w:val="00E418EB"/>
    <w:rsid w:val="00E41E74"/>
    <w:rsid w:val="00E422DE"/>
    <w:rsid w:val="00E4247D"/>
    <w:rsid w:val="00E425A3"/>
    <w:rsid w:val="00E4298D"/>
    <w:rsid w:val="00E42A52"/>
    <w:rsid w:val="00E42CBA"/>
    <w:rsid w:val="00E42EB0"/>
    <w:rsid w:val="00E43339"/>
    <w:rsid w:val="00E4337C"/>
    <w:rsid w:val="00E43634"/>
    <w:rsid w:val="00E4371C"/>
    <w:rsid w:val="00E4378C"/>
    <w:rsid w:val="00E437DF"/>
    <w:rsid w:val="00E43815"/>
    <w:rsid w:val="00E43882"/>
    <w:rsid w:val="00E43A44"/>
    <w:rsid w:val="00E441A4"/>
    <w:rsid w:val="00E4441E"/>
    <w:rsid w:val="00E4465E"/>
    <w:rsid w:val="00E44A15"/>
    <w:rsid w:val="00E44B65"/>
    <w:rsid w:val="00E45144"/>
    <w:rsid w:val="00E4519B"/>
    <w:rsid w:val="00E455D9"/>
    <w:rsid w:val="00E45919"/>
    <w:rsid w:val="00E45CA5"/>
    <w:rsid w:val="00E460A6"/>
    <w:rsid w:val="00E4630D"/>
    <w:rsid w:val="00E46331"/>
    <w:rsid w:val="00E464BD"/>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9D"/>
    <w:rsid w:val="00E525BD"/>
    <w:rsid w:val="00E526AC"/>
    <w:rsid w:val="00E527B3"/>
    <w:rsid w:val="00E52FE5"/>
    <w:rsid w:val="00E5333D"/>
    <w:rsid w:val="00E534FA"/>
    <w:rsid w:val="00E539DC"/>
    <w:rsid w:val="00E53A0B"/>
    <w:rsid w:val="00E53A71"/>
    <w:rsid w:val="00E53AD4"/>
    <w:rsid w:val="00E53B29"/>
    <w:rsid w:val="00E53CFC"/>
    <w:rsid w:val="00E53E1A"/>
    <w:rsid w:val="00E53F4D"/>
    <w:rsid w:val="00E53FA6"/>
    <w:rsid w:val="00E54033"/>
    <w:rsid w:val="00E54249"/>
    <w:rsid w:val="00E547AB"/>
    <w:rsid w:val="00E5495C"/>
    <w:rsid w:val="00E549EE"/>
    <w:rsid w:val="00E54ACD"/>
    <w:rsid w:val="00E54ADB"/>
    <w:rsid w:val="00E54C05"/>
    <w:rsid w:val="00E54CF4"/>
    <w:rsid w:val="00E55239"/>
    <w:rsid w:val="00E55B3D"/>
    <w:rsid w:val="00E55EFD"/>
    <w:rsid w:val="00E56436"/>
    <w:rsid w:val="00E56446"/>
    <w:rsid w:val="00E5656D"/>
    <w:rsid w:val="00E565C3"/>
    <w:rsid w:val="00E56AD7"/>
    <w:rsid w:val="00E56AEC"/>
    <w:rsid w:val="00E56DD3"/>
    <w:rsid w:val="00E57552"/>
    <w:rsid w:val="00E575AD"/>
    <w:rsid w:val="00E575E7"/>
    <w:rsid w:val="00E57694"/>
    <w:rsid w:val="00E57705"/>
    <w:rsid w:val="00E5775E"/>
    <w:rsid w:val="00E57933"/>
    <w:rsid w:val="00E579EF"/>
    <w:rsid w:val="00E57B48"/>
    <w:rsid w:val="00E6005E"/>
    <w:rsid w:val="00E6020F"/>
    <w:rsid w:val="00E604E8"/>
    <w:rsid w:val="00E60543"/>
    <w:rsid w:val="00E60566"/>
    <w:rsid w:val="00E60709"/>
    <w:rsid w:val="00E6074F"/>
    <w:rsid w:val="00E60951"/>
    <w:rsid w:val="00E6098D"/>
    <w:rsid w:val="00E61006"/>
    <w:rsid w:val="00E61156"/>
    <w:rsid w:val="00E613EA"/>
    <w:rsid w:val="00E614C6"/>
    <w:rsid w:val="00E6154A"/>
    <w:rsid w:val="00E615D9"/>
    <w:rsid w:val="00E6170E"/>
    <w:rsid w:val="00E61D1E"/>
    <w:rsid w:val="00E61F6F"/>
    <w:rsid w:val="00E61FA8"/>
    <w:rsid w:val="00E62423"/>
    <w:rsid w:val="00E6265C"/>
    <w:rsid w:val="00E628ED"/>
    <w:rsid w:val="00E62AFF"/>
    <w:rsid w:val="00E62C46"/>
    <w:rsid w:val="00E63266"/>
    <w:rsid w:val="00E63287"/>
    <w:rsid w:val="00E6350B"/>
    <w:rsid w:val="00E63743"/>
    <w:rsid w:val="00E6391A"/>
    <w:rsid w:val="00E63AFF"/>
    <w:rsid w:val="00E63C0B"/>
    <w:rsid w:val="00E63ED4"/>
    <w:rsid w:val="00E6409C"/>
    <w:rsid w:val="00E6442F"/>
    <w:rsid w:val="00E645D1"/>
    <w:rsid w:val="00E64A28"/>
    <w:rsid w:val="00E64D10"/>
    <w:rsid w:val="00E64E1E"/>
    <w:rsid w:val="00E64EC6"/>
    <w:rsid w:val="00E650DC"/>
    <w:rsid w:val="00E65284"/>
    <w:rsid w:val="00E65365"/>
    <w:rsid w:val="00E656DC"/>
    <w:rsid w:val="00E65904"/>
    <w:rsid w:val="00E659FE"/>
    <w:rsid w:val="00E65AAE"/>
    <w:rsid w:val="00E65B70"/>
    <w:rsid w:val="00E65DF9"/>
    <w:rsid w:val="00E66111"/>
    <w:rsid w:val="00E663EE"/>
    <w:rsid w:val="00E6678A"/>
    <w:rsid w:val="00E6692F"/>
    <w:rsid w:val="00E66A5B"/>
    <w:rsid w:val="00E66B5D"/>
    <w:rsid w:val="00E66EAB"/>
    <w:rsid w:val="00E66ED8"/>
    <w:rsid w:val="00E66EF6"/>
    <w:rsid w:val="00E67194"/>
    <w:rsid w:val="00E671B7"/>
    <w:rsid w:val="00E6742D"/>
    <w:rsid w:val="00E6776E"/>
    <w:rsid w:val="00E678AC"/>
    <w:rsid w:val="00E6797F"/>
    <w:rsid w:val="00E67AF8"/>
    <w:rsid w:val="00E70062"/>
    <w:rsid w:val="00E70241"/>
    <w:rsid w:val="00E70525"/>
    <w:rsid w:val="00E707E7"/>
    <w:rsid w:val="00E708A6"/>
    <w:rsid w:val="00E70C78"/>
    <w:rsid w:val="00E70CEC"/>
    <w:rsid w:val="00E70CF3"/>
    <w:rsid w:val="00E70E03"/>
    <w:rsid w:val="00E70E95"/>
    <w:rsid w:val="00E714BB"/>
    <w:rsid w:val="00E71923"/>
    <w:rsid w:val="00E71F35"/>
    <w:rsid w:val="00E721F1"/>
    <w:rsid w:val="00E722A7"/>
    <w:rsid w:val="00E72363"/>
    <w:rsid w:val="00E72483"/>
    <w:rsid w:val="00E727EA"/>
    <w:rsid w:val="00E7287A"/>
    <w:rsid w:val="00E72AD1"/>
    <w:rsid w:val="00E72D2D"/>
    <w:rsid w:val="00E72D37"/>
    <w:rsid w:val="00E7319C"/>
    <w:rsid w:val="00E73302"/>
    <w:rsid w:val="00E73CE1"/>
    <w:rsid w:val="00E73D60"/>
    <w:rsid w:val="00E73DB7"/>
    <w:rsid w:val="00E73DE3"/>
    <w:rsid w:val="00E73F8C"/>
    <w:rsid w:val="00E7415B"/>
    <w:rsid w:val="00E7460E"/>
    <w:rsid w:val="00E748EC"/>
    <w:rsid w:val="00E74A8E"/>
    <w:rsid w:val="00E74D5C"/>
    <w:rsid w:val="00E74F78"/>
    <w:rsid w:val="00E7565A"/>
    <w:rsid w:val="00E75792"/>
    <w:rsid w:val="00E759F5"/>
    <w:rsid w:val="00E75DA0"/>
    <w:rsid w:val="00E76077"/>
    <w:rsid w:val="00E76257"/>
    <w:rsid w:val="00E762B0"/>
    <w:rsid w:val="00E7651F"/>
    <w:rsid w:val="00E766A0"/>
    <w:rsid w:val="00E76CD3"/>
    <w:rsid w:val="00E76F7B"/>
    <w:rsid w:val="00E77278"/>
    <w:rsid w:val="00E7765A"/>
    <w:rsid w:val="00E77A29"/>
    <w:rsid w:val="00E77BCF"/>
    <w:rsid w:val="00E77D62"/>
    <w:rsid w:val="00E77E64"/>
    <w:rsid w:val="00E805B9"/>
    <w:rsid w:val="00E8067B"/>
    <w:rsid w:val="00E8080A"/>
    <w:rsid w:val="00E80C63"/>
    <w:rsid w:val="00E80D4D"/>
    <w:rsid w:val="00E81501"/>
    <w:rsid w:val="00E816F2"/>
    <w:rsid w:val="00E81940"/>
    <w:rsid w:val="00E82025"/>
    <w:rsid w:val="00E827DB"/>
    <w:rsid w:val="00E82941"/>
    <w:rsid w:val="00E829B0"/>
    <w:rsid w:val="00E82B82"/>
    <w:rsid w:val="00E82F37"/>
    <w:rsid w:val="00E83034"/>
    <w:rsid w:val="00E83284"/>
    <w:rsid w:val="00E835F9"/>
    <w:rsid w:val="00E839C4"/>
    <w:rsid w:val="00E83AA3"/>
    <w:rsid w:val="00E83CE2"/>
    <w:rsid w:val="00E83CFD"/>
    <w:rsid w:val="00E83E3D"/>
    <w:rsid w:val="00E84147"/>
    <w:rsid w:val="00E842EF"/>
    <w:rsid w:val="00E845C0"/>
    <w:rsid w:val="00E846E2"/>
    <w:rsid w:val="00E8477F"/>
    <w:rsid w:val="00E84782"/>
    <w:rsid w:val="00E848CE"/>
    <w:rsid w:val="00E84D0C"/>
    <w:rsid w:val="00E84D83"/>
    <w:rsid w:val="00E84FDD"/>
    <w:rsid w:val="00E85015"/>
    <w:rsid w:val="00E85713"/>
    <w:rsid w:val="00E85969"/>
    <w:rsid w:val="00E85D18"/>
    <w:rsid w:val="00E86007"/>
    <w:rsid w:val="00E86062"/>
    <w:rsid w:val="00E86262"/>
    <w:rsid w:val="00E86BAA"/>
    <w:rsid w:val="00E86E85"/>
    <w:rsid w:val="00E86E8A"/>
    <w:rsid w:val="00E86FFE"/>
    <w:rsid w:val="00E87077"/>
    <w:rsid w:val="00E8750F"/>
    <w:rsid w:val="00E877B6"/>
    <w:rsid w:val="00E87846"/>
    <w:rsid w:val="00E87BDD"/>
    <w:rsid w:val="00E87CAF"/>
    <w:rsid w:val="00E87F01"/>
    <w:rsid w:val="00E87F48"/>
    <w:rsid w:val="00E900F7"/>
    <w:rsid w:val="00E901E3"/>
    <w:rsid w:val="00E903A1"/>
    <w:rsid w:val="00E908C3"/>
    <w:rsid w:val="00E908EE"/>
    <w:rsid w:val="00E90977"/>
    <w:rsid w:val="00E909B4"/>
    <w:rsid w:val="00E90AAD"/>
    <w:rsid w:val="00E90BF8"/>
    <w:rsid w:val="00E90C29"/>
    <w:rsid w:val="00E90E06"/>
    <w:rsid w:val="00E90FD8"/>
    <w:rsid w:val="00E91478"/>
    <w:rsid w:val="00E91956"/>
    <w:rsid w:val="00E91ABE"/>
    <w:rsid w:val="00E91B2D"/>
    <w:rsid w:val="00E91BEE"/>
    <w:rsid w:val="00E91E7D"/>
    <w:rsid w:val="00E92144"/>
    <w:rsid w:val="00E921F8"/>
    <w:rsid w:val="00E922F4"/>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EA"/>
    <w:rsid w:val="00E93538"/>
    <w:rsid w:val="00E936AF"/>
    <w:rsid w:val="00E9384D"/>
    <w:rsid w:val="00E938D0"/>
    <w:rsid w:val="00E93E11"/>
    <w:rsid w:val="00E944A2"/>
    <w:rsid w:val="00E94561"/>
    <w:rsid w:val="00E946AC"/>
    <w:rsid w:val="00E9480F"/>
    <w:rsid w:val="00E94E3E"/>
    <w:rsid w:val="00E95600"/>
    <w:rsid w:val="00E95D70"/>
    <w:rsid w:val="00E95DA6"/>
    <w:rsid w:val="00E95F8C"/>
    <w:rsid w:val="00E962E3"/>
    <w:rsid w:val="00E9636C"/>
    <w:rsid w:val="00E9648E"/>
    <w:rsid w:val="00E9661D"/>
    <w:rsid w:val="00E9664C"/>
    <w:rsid w:val="00E96B78"/>
    <w:rsid w:val="00E97278"/>
    <w:rsid w:val="00E973E1"/>
    <w:rsid w:val="00E974F8"/>
    <w:rsid w:val="00E9781D"/>
    <w:rsid w:val="00E9788D"/>
    <w:rsid w:val="00E97B58"/>
    <w:rsid w:val="00E97C2C"/>
    <w:rsid w:val="00E97C9B"/>
    <w:rsid w:val="00E97CE7"/>
    <w:rsid w:val="00E97E21"/>
    <w:rsid w:val="00E97FE1"/>
    <w:rsid w:val="00EA036D"/>
    <w:rsid w:val="00EA0721"/>
    <w:rsid w:val="00EA0797"/>
    <w:rsid w:val="00EA0B0D"/>
    <w:rsid w:val="00EA0DC8"/>
    <w:rsid w:val="00EA0F0E"/>
    <w:rsid w:val="00EA11A2"/>
    <w:rsid w:val="00EA122D"/>
    <w:rsid w:val="00EA1658"/>
    <w:rsid w:val="00EA1662"/>
    <w:rsid w:val="00EA18ED"/>
    <w:rsid w:val="00EA1C10"/>
    <w:rsid w:val="00EA239C"/>
    <w:rsid w:val="00EA25A8"/>
    <w:rsid w:val="00EA2927"/>
    <w:rsid w:val="00EA295A"/>
    <w:rsid w:val="00EA2C3A"/>
    <w:rsid w:val="00EA3382"/>
    <w:rsid w:val="00EA3415"/>
    <w:rsid w:val="00EA3494"/>
    <w:rsid w:val="00EA36DB"/>
    <w:rsid w:val="00EA3725"/>
    <w:rsid w:val="00EA396A"/>
    <w:rsid w:val="00EA3A45"/>
    <w:rsid w:val="00EA3E09"/>
    <w:rsid w:val="00EA4476"/>
    <w:rsid w:val="00EA4497"/>
    <w:rsid w:val="00EA4623"/>
    <w:rsid w:val="00EA46C8"/>
    <w:rsid w:val="00EA48F6"/>
    <w:rsid w:val="00EA5463"/>
    <w:rsid w:val="00EA54D9"/>
    <w:rsid w:val="00EA55D7"/>
    <w:rsid w:val="00EA5814"/>
    <w:rsid w:val="00EA59C5"/>
    <w:rsid w:val="00EA5A0B"/>
    <w:rsid w:val="00EA60D7"/>
    <w:rsid w:val="00EA6232"/>
    <w:rsid w:val="00EA67F1"/>
    <w:rsid w:val="00EA6E92"/>
    <w:rsid w:val="00EA70EB"/>
    <w:rsid w:val="00EA7434"/>
    <w:rsid w:val="00EA7866"/>
    <w:rsid w:val="00EA786D"/>
    <w:rsid w:val="00EA7A03"/>
    <w:rsid w:val="00EA7A40"/>
    <w:rsid w:val="00EA7B95"/>
    <w:rsid w:val="00EA7BA4"/>
    <w:rsid w:val="00EA7CEF"/>
    <w:rsid w:val="00EA7D3C"/>
    <w:rsid w:val="00EB0284"/>
    <w:rsid w:val="00EB06AD"/>
    <w:rsid w:val="00EB0946"/>
    <w:rsid w:val="00EB0BC3"/>
    <w:rsid w:val="00EB0C7D"/>
    <w:rsid w:val="00EB0D8D"/>
    <w:rsid w:val="00EB0FB2"/>
    <w:rsid w:val="00EB1056"/>
    <w:rsid w:val="00EB114E"/>
    <w:rsid w:val="00EB13C6"/>
    <w:rsid w:val="00EB1474"/>
    <w:rsid w:val="00EB16D0"/>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3181"/>
    <w:rsid w:val="00EB31F5"/>
    <w:rsid w:val="00EB336F"/>
    <w:rsid w:val="00EB3459"/>
    <w:rsid w:val="00EB36FA"/>
    <w:rsid w:val="00EB39CB"/>
    <w:rsid w:val="00EB3A8E"/>
    <w:rsid w:val="00EB3B3D"/>
    <w:rsid w:val="00EB3C8D"/>
    <w:rsid w:val="00EB3CAF"/>
    <w:rsid w:val="00EB3EC9"/>
    <w:rsid w:val="00EB3FDF"/>
    <w:rsid w:val="00EB4261"/>
    <w:rsid w:val="00EB4330"/>
    <w:rsid w:val="00EB43D3"/>
    <w:rsid w:val="00EB45B6"/>
    <w:rsid w:val="00EB495F"/>
    <w:rsid w:val="00EB4B4E"/>
    <w:rsid w:val="00EB4BD1"/>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7108"/>
    <w:rsid w:val="00EB732B"/>
    <w:rsid w:val="00EB7540"/>
    <w:rsid w:val="00EB77BB"/>
    <w:rsid w:val="00EB781D"/>
    <w:rsid w:val="00EB78D5"/>
    <w:rsid w:val="00EB799D"/>
    <w:rsid w:val="00EB7F3B"/>
    <w:rsid w:val="00EB7F74"/>
    <w:rsid w:val="00EC0364"/>
    <w:rsid w:val="00EC07DE"/>
    <w:rsid w:val="00EC0C9E"/>
    <w:rsid w:val="00EC0DCE"/>
    <w:rsid w:val="00EC1036"/>
    <w:rsid w:val="00EC133B"/>
    <w:rsid w:val="00EC1596"/>
    <w:rsid w:val="00EC15A7"/>
    <w:rsid w:val="00EC1841"/>
    <w:rsid w:val="00EC1BA4"/>
    <w:rsid w:val="00EC1BB6"/>
    <w:rsid w:val="00EC1D5D"/>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3C24"/>
    <w:rsid w:val="00EC4386"/>
    <w:rsid w:val="00EC4435"/>
    <w:rsid w:val="00EC447B"/>
    <w:rsid w:val="00EC44C5"/>
    <w:rsid w:val="00EC4814"/>
    <w:rsid w:val="00EC4A04"/>
    <w:rsid w:val="00EC4E06"/>
    <w:rsid w:val="00EC50C3"/>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C7565"/>
    <w:rsid w:val="00ED0394"/>
    <w:rsid w:val="00ED054F"/>
    <w:rsid w:val="00ED06E5"/>
    <w:rsid w:val="00ED070A"/>
    <w:rsid w:val="00ED0832"/>
    <w:rsid w:val="00ED0836"/>
    <w:rsid w:val="00ED0A60"/>
    <w:rsid w:val="00ED0B9A"/>
    <w:rsid w:val="00ED0BB9"/>
    <w:rsid w:val="00ED0CAD"/>
    <w:rsid w:val="00ED0D47"/>
    <w:rsid w:val="00ED101B"/>
    <w:rsid w:val="00ED1675"/>
    <w:rsid w:val="00ED1A90"/>
    <w:rsid w:val="00ED1BAE"/>
    <w:rsid w:val="00ED21C4"/>
    <w:rsid w:val="00ED23D5"/>
    <w:rsid w:val="00ED2571"/>
    <w:rsid w:val="00ED25D7"/>
    <w:rsid w:val="00ED26D7"/>
    <w:rsid w:val="00ED28C8"/>
    <w:rsid w:val="00ED2ADD"/>
    <w:rsid w:val="00ED2B16"/>
    <w:rsid w:val="00ED310A"/>
    <w:rsid w:val="00ED3285"/>
    <w:rsid w:val="00ED333E"/>
    <w:rsid w:val="00ED339C"/>
    <w:rsid w:val="00ED350C"/>
    <w:rsid w:val="00ED3657"/>
    <w:rsid w:val="00ED3BFA"/>
    <w:rsid w:val="00ED3D78"/>
    <w:rsid w:val="00ED3EB5"/>
    <w:rsid w:val="00ED4358"/>
    <w:rsid w:val="00ED473A"/>
    <w:rsid w:val="00ED47A8"/>
    <w:rsid w:val="00ED4858"/>
    <w:rsid w:val="00ED49D4"/>
    <w:rsid w:val="00ED4F9A"/>
    <w:rsid w:val="00ED52FD"/>
    <w:rsid w:val="00ED5B88"/>
    <w:rsid w:val="00ED5F09"/>
    <w:rsid w:val="00ED633E"/>
    <w:rsid w:val="00ED6399"/>
    <w:rsid w:val="00ED6471"/>
    <w:rsid w:val="00ED6741"/>
    <w:rsid w:val="00ED6BBB"/>
    <w:rsid w:val="00ED6F4A"/>
    <w:rsid w:val="00ED761D"/>
    <w:rsid w:val="00ED76F6"/>
    <w:rsid w:val="00ED7789"/>
    <w:rsid w:val="00ED7A1A"/>
    <w:rsid w:val="00ED7B39"/>
    <w:rsid w:val="00EE0242"/>
    <w:rsid w:val="00EE0791"/>
    <w:rsid w:val="00EE0A1F"/>
    <w:rsid w:val="00EE0B02"/>
    <w:rsid w:val="00EE0DB2"/>
    <w:rsid w:val="00EE1185"/>
    <w:rsid w:val="00EE1348"/>
    <w:rsid w:val="00EE1354"/>
    <w:rsid w:val="00EE13A0"/>
    <w:rsid w:val="00EE13C3"/>
    <w:rsid w:val="00EE1428"/>
    <w:rsid w:val="00EE1A8D"/>
    <w:rsid w:val="00EE2052"/>
    <w:rsid w:val="00EE20BA"/>
    <w:rsid w:val="00EE2313"/>
    <w:rsid w:val="00EE24AB"/>
    <w:rsid w:val="00EE24EC"/>
    <w:rsid w:val="00EE2965"/>
    <w:rsid w:val="00EE2AA0"/>
    <w:rsid w:val="00EE2AFB"/>
    <w:rsid w:val="00EE2D6E"/>
    <w:rsid w:val="00EE3019"/>
    <w:rsid w:val="00EE3093"/>
    <w:rsid w:val="00EE30E6"/>
    <w:rsid w:val="00EE32B2"/>
    <w:rsid w:val="00EE35DF"/>
    <w:rsid w:val="00EE3785"/>
    <w:rsid w:val="00EE38C5"/>
    <w:rsid w:val="00EE38F2"/>
    <w:rsid w:val="00EE3DA1"/>
    <w:rsid w:val="00EE3F4F"/>
    <w:rsid w:val="00EE3F6E"/>
    <w:rsid w:val="00EE461F"/>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AB"/>
    <w:rsid w:val="00EE6CE0"/>
    <w:rsid w:val="00EE6E2D"/>
    <w:rsid w:val="00EE702D"/>
    <w:rsid w:val="00EE72C1"/>
    <w:rsid w:val="00EE7AB8"/>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B65"/>
    <w:rsid w:val="00EF1E50"/>
    <w:rsid w:val="00EF1EDD"/>
    <w:rsid w:val="00EF2228"/>
    <w:rsid w:val="00EF2B00"/>
    <w:rsid w:val="00EF2B79"/>
    <w:rsid w:val="00EF2BD4"/>
    <w:rsid w:val="00EF2D1E"/>
    <w:rsid w:val="00EF2D99"/>
    <w:rsid w:val="00EF2FC5"/>
    <w:rsid w:val="00EF3028"/>
    <w:rsid w:val="00EF3F04"/>
    <w:rsid w:val="00EF424B"/>
    <w:rsid w:val="00EF447C"/>
    <w:rsid w:val="00EF4941"/>
    <w:rsid w:val="00EF4A85"/>
    <w:rsid w:val="00EF4ADE"/>
    <w:rsid w:val="00EF4B05"/>
    <w:rsid w:val="00EF4C4D"/>
    <w:rsid w:val="00EF4C57"/>
    <w:rsid w:val="00EF4DF8"/>
    <w:rsid w:val="00EF4E13"/>
    <w:rsid w:val="00EF4E39"/>
    <w:rsid w:val="00EF5804"/>
    <w:rsid w:val="00EF5AA7"/>
    <w:rsid w:val="00EF6276"/>
    <w:rsid w:val="00EF6449"/>
    <w:rsid w:val="00EF677C"/>
    <w:rsid w:val="00EF6A4F"/>
    <w:rsid w:val="00EF6D68"/>
    <w:rsid w:val="00EF717B"/>
    <w:rsid w:val="00EF72E2"/>
    <w:rsid w:val="00EF7319"/>
    <w:rsid w:val="00EF75AA"/>
    <w:rsid w:val="00EF775C"/>
    <w:rsid w:val="00EF780A"/>
    <w:rsid w:val="00EF7B3C"/>
    <w:rsid w:val="00EF7C2E"/>
    <w:rsid w:val="00EF7C86"/>
    <w:rsid w:val="00EF7E44"/>
    <w:rsid w:val="00EF7F3F"/>
    <w:rsid w:val="00F00782"/>
    <w:rsid w:val="00F009BF"/>
    <w:rsid w:val="00F00C01"/>
    <w:rsid w:val="00F0114C"/>
    <w:rsid w:val="00F017EA"/>
    <w:rsid w:val="00F0188F"/>
    <w:rsid w:val="00F01E72"/>
    <w:rsid w:val="00F01EF8"/>
    <w:rsid w:val="00F01EFC"/>
    <w:rsid w:val="00F01FCB"/>
    <w:rsid w:val="00F02203"/>
    <w:rsid w:val="00F02433"/>
    <w:rsid w:val="00F0249B"/>
    <w:rsid w:val="00F0261F"/>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FD"/>
    <w:rsid w:val="00F0539E"/>
    <w:rsid w:val="00F057D7"/>
    <w:rsid w:val="00F0588A"/>
    <w:rsid w:val="00F05A7F"/>
    <w:rsid w:val="00F05B49"/>
    <w:rsid w:val="00F06160"/>
    <w:rsid w:val="00F064B5"/>
    <w:rsid w:val="00F06612"/>
    <w:rsid w:val="00F0668B"/>
    <w:rsid w:val="00F069E9"/>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9D1"/>
    <w:rsid w:val="00F12AC0"/>
    <w:rsid w:val="00F12BDA"/>
    <w:rsid w:val="00F12C2F"/>
    <w:rsid w:val="00F12DB8"/>
    <w:rsid w:val="00F12DE8"/>
    <w:rsid w:val="00F13454"/>
    <w:rsid w:val="00F13949"/>
    <w:rsid w:val="00F139BD"/>
    <w:rsid w:val="00F13A53"/>
    <w:rsid w:val="00F13AFF"/>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6B"/>
    <w:rsid w:val="00F14DAC"/>
    <w:rsid w:val="00F14E04"/>
    <w:rsid w:val="00F15177"/>
    <w:rsid w:val="00F154FA"/>
    <w:rsid w:val="00F1550C"/>
    <w:rsid w:val="00F15C0A"/>
    <w:rsid w:val="00F16145"/>
    <w:rsid w:val="00F1645B"/>
    <w:rsid w:val="00F165B4"/>
    <w:rsid w:val="00F16836"/>
    <w:rsid w:val="00F16A1B"/>
    <w:rsid w:val="00F16B1D"/>
    <w:rsid w:val="00F16CD4"/>
    <w:rsid w:val="00F16E7D"/>
    <w:rsid w:val="00F17197"/>
    <w:rsid w:val="00F17412"/>
    <w:rsid w:val="00F1749B"/>
    <w:rsid w:val="00F174D6"/>
    <w:rsid w:val="00F17949"/>
    <w:rsid w:val="00F1797D"/>
    <w:rsid w:val="00F17AE7"/>
    <w:rsid w:val="00F17B3B"/>
    <w:rsid w:val="00F17D37"/>
    <w:rsid w:val="00F2024F"/>
    <w:rsid w:val="00F2037C"/>
    <w:rsid w:val="00F20B35"/>
    <w:rsid w:val="00F20C93"/>
    <w:rsid w:val="00F210B7"/>
    <w:rsid w:val="00F21627"/>
    <w:rsid w:val="00F219A3"/>
    <w:rsid w:val="00F221B0"/>
    <w:rsid w:val="00F226E7"/>
    <w:rsid w:val="00F22AD0"/>
    <w:rsid w:val="00F22B6B"/>
    <w:rsid w:val="00F22BA1"/>
    <w:rsid w:val="00F22CA2"/>
    <w:rsid w:val="00F22EA0"/>
    <w:rsid w:val="00F22F79"/>
    <w:rsid w:val="00F231A9"/>
    <w:rsid w:val="00F233D1"/>
    <w:rsid w:val="00F235D7"/>
    <w:rsid w:val="00F238BB"/>
    <w:rsid w:val="00F23FF0"/>
    <w:rsid w:val="00F24293"/>
    <w:rsid w:val="00F244A7"/>
    <w:rsid w:val="00F244ED"/>
    <w:rsid w:val="00F2456D"/>
    <w:rsid w:val="00F246EB"/>
    <w:rsid w:val="00F247F3"/>
    <w:rsid w:val="00F24A06"/>
    <w:rsid w:val="00F24B6D"/>
    <w:rsid w:val="00F24BDF"/>
    <w:rsid w:val="00F24CFD"/>
    <w:rsid w:val="00F24EC1"/>
    <w:rsid w:val="00F24EC5"/>
    <w:rsid w:val="00F24EDB"/>
    <w:rsid w:val="00F25009"/>
    <w:rsid w:val="00F250B1"/>
    <w:rsid w:val="00F25246"/>
    <w:rsid w:val="00F252BD"/>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FC9"/>
    <w:rsid w:val="00F31035"/>
    <w:rsid w:val="00F3136E"/>
    <w:rsid w:val="00F317E3"/>
    <w:rsid w:val="00F31863"/>
    <w:rsid w:val="00F31C25"/>
    <w:rsid w:val="00F32532"/>
    <w:rsid w:val="00F3273E"/>
    <w:rsid w:val="00F327E3"/>
    <w:rsid w:val="00F32835"/>
    <w:rsid w:val="00F3294A"/>
    <w:rsid w:val="00F32B54"/>
    <w:rsid w:val="00F32D69"/>
    <w:rsid w:val="00F33292"/>
    <w:rsid w:val="00F337B6"/>
    <w:rsid w:val="00F338E5"/>
    <w:rsid w:val="00F339C2"/>
    <w:rsid w:val="00F33B23"/>
    <w:rsid w:val="00F33DFC"/>
    <w:rsid w:val="00F34096"/>
    <w:rsid w:val="00F342C7"/>
    <w:rsid w:val="00F346AE"/>
    <w:rsid w:val="00F34AD6"/>
    <w:rsid w:val="00F34D56"/>
    <w:rsid w:val="00F352A7"/>
    <w:rsid w:val="00F3532F"/>
    <w:rsid w:val="00F3569A"/>
    <w:rsid w:val="00F356D7"/>
    <w:rsid w:val="00F3585C"/>
    <w:rsid w:val="00F3592E"/>
    <w:rsid w:val="00F35A7E"/>
    <w:rsid w:val="00F35C3F"/>
    <w:rsid w:val="00F35DA7"/>
    <w:rsid w:val="00F35F4E"/>
    <w:rsid w:val="00F360FB"/>
    <w:rsid w:val="00F36124"/>
    <w:rsid w:val="00F36216"/>
    <w:rsid w:val="00F36224"/>
    <w:rsid w:val="00F3625E"/>
    <w:rsid w:val="00F36541"/>
    <w:rsid w:val="00F3675E"/>
    <w:rsid w:val="00F368D9"/>
    <w:rsid w:val="00F371D5"/>
    <w:rsid w:val="00F3767B"/>
    <w:rsid w:val="00F37719"/>
    <w:rsid w:val="00F37B37"/>
    <w:rsid w:val="00F40973"/>
    <w:rsid w:val="00F40BC9"/>
    <w:rsid w:val="00F40C65"/>
    <w:rsid w:val="00F40C98"/>
    <w:rsid w:val="00F40F3F"/>
    <w:rsid w:val="00F41058"/>
    <w:rsid w:val="00F4110A"/>
    <w:rsid w:val="00F413F2"/>
    <w:rsid w:val="00F41584"/>
    <w:rsid w:val="00F41756"/>
    <w:rsid w:val="00F41A8E"/>
    <w:rsid w:val="00F41EB5"/>
    <w:rsid w:val="00F423FB"/>
    <w:rsid w:val="00F424A6"/>
    <w:rsid w:val="00F42642"/>
    <w:rsid w:val="00F42AEC"/>
    <w:rsid w:val="00F42BB6"/>
    <w:rsid w:val="00F42D5B"/>
    <w:rsid w:val="00F42D69"/>
    <w:rsid w:val="00F42E80"/>
    <w:rsid w:val="00F42EF6"/>
    <w:rsid w:val="00F43092"/>
    <w:rsid w:val="00F43333"/>
    <w:rsid w:val="00F4345E"/>
    <w:rsid w:val="00F4382B"/>
    <w:rsid w:val="00F43B11"/>
    <w:rsid w:val="00F43E9C"/>
    <w:rsid w:val="00F44042"/>
    <w:rsid w:val="00F446CA"/>
    <w:rsid w:val="00F44C97"/>
    <w:rsid w:val="00F44E26"/>
    <w:rsid w:val="00F451D7"/>
    <w:rsid w:val="00F45277"/>
    <w:rsid w:val="00F458C1"/>
    <w:rsid w:val="00F4611B"/>
    <w:rsid w:val="00F46167"/>
    <w:rsid w:val="00F4622C"/>
    <w:rsid w:val="00F46339"/>
    <w:rsid w:val="00F46381"/>
    <w:rsid w:val="00F464D0"/>
    <w:rsid w:val="00F4664B"/>
    <w:rsid w:val="00F468F8"/>
    <w:rsid w:val="00F46A56"/>
    <w:rsid w:val="00F46D40"/>
    <w:rsid w:val="00F47124"/>
    <w:rsid w:val="00F473BF"/>
    <w:rsid w:val="00F47464"/>
    <w:rsid w:val="00F47B9D"/>
    <w:rsid w:val="00F47C8F"/>
    <w:rsid w:val="00F5029F"/>
    <w:rsid w:val="00F5037D"/>
    <w:rsid w:val="00F50530"/>
    <w:rsid w:val="00F50A97"/>
    <w:rsid w:val="00F50BCD"/>
    <w:rsid w:val="00F50E4E"/>
    <w:rsid w:val="00F50F81"/>
    <w:rsid w:val="00F511B7"/>
    <w:rsid w:val="00F51831"/>
    <w:rsid w:val="00F51A2D"/>
    <w:rsid w:val="00F51A85"/>
    <w:rsid w:val="00F51A9E"/>
    <w:rsid w:val="00F5222F"/>
    <w:rsid w:val="00F52579"/>
    <w:rsid w:val="00F52C8E"/>
    <w:rsid w:val="00F52E2F"/>
    <w:rsid w:val="00F52FF9"/>
    <w:rsid w:val="00F530A5"/>
    <w:rsid w:val="00F53231"/>
    <w:rsid w:val="00F53272"/>
    <w:rsid w:val="00F533A3"/>
    <w:rsid w:val="00F533B9"/>
    <w:rsid w:val="00F538CA"/>
    <w:rsid w:val="00F53B3F"/>
    <w:rsid w:val="00F53DDB"/>
    <w:rsid w:val="00F544EF"/>
    <w:rsid w:val="00F54596"/>
    <w:rsid w:val="00F548F1"/>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532"/>
    <w:rsid w:val="00F57660"/>
    <w:rsid w:val="00F5776D"/>
    <w:rsid w:val="00F577B4"/>
    <w:rsid w:val="00F57A83"/>
    <w:rsid w:val="00F57CB8"/>
    <w:rsid w:val="00F57EAA"/>
    <w:rsid w:val="00F600E2"/>
    <w:rsid w:val="00F60758"/>
    <w:rsid w:val="00F6078F"/>
    <w:rsid w:val="00F608B0"/>
    <w:rsid w:val="00F60D80"/>
    <w:rsid w:val="00F60F62"/>
    <w:rsid w:val="00F6101D"/>
    <w:rsid w:val="00F610A6"/>
    <w:rsid w:val="00F61160"/>
    <w:rsid w:val="00F6161B"/>
    <w:rsid w:val="00F617C7"/>
    <w:rsid w:val="00F618DE"/>
    <w:rsid w:val="00F61C12"/>
    <w:rsid w:val="00F61EC4"/>
    <w:rsid w:val="00F622BC"/>
    <w:rsid w:val="00F62A1D"/>
    <w:rsid w:val="00F637CA"/>
    <w:rsid w:val="00F637E7"/>
    <w:rsid w:val="00F63BBD"/>
    <w:rsid w:val="00F63CF3"/>
    <w:rsid w:val="00F63D6B"/>
    <w:rsid w:val="00F6400F"/>
    <w:rsid w:val="00F6411B"/>
    <w:rsid w:val="00F64397"/>
    <w:rsid w:val="00F64601"/>
    <w:rsid w:val="00F647A0"/>
    <w:rsid w:val="00F64914"/>
    <w:rsid w:val="00F64958"/>
    <w:rsid w:val="00F656F1"/>
    <w:rsid w:val="00F658A5"/>
    <w:rsid w:val="00F658B8"/>
    <w:rsid w:val="00F65BF8"/>
    <w:rsid w:val="00F660A2"/>
    <w:rsid w:val="00F66130"/>
    <w:rsid w:val="00F66415"/>
    <w:rsid w:val="00F666A0"/>
    <w:rsid w:val="00F667C1"/>
    <w:rsid w:val="00F66B89"/>
    <w:rsid w:val="00F66C88"/>
    <w:rsid w:val="00F66E10"/>
    <w:rsid w:val="00F66E22"/>
    <w:rsid w:val="00F66F6B"/>
    <w:rsid w:val="00F672EE"/>
    <w:rsid w:val="00F672F3"/>
    <w:rsid w:val="00F6765C"/>
    <w:rsid w:val="00F67ABA"/>
    <w:rsid w:val="00F67CF4"/>
    <w:rsid w:val="00F67DC9"/>
    <w:rsid w:val="00F67DD8"/>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812"/>
    <w:rsid w:val="00F72B31"/>
    <w:rsid w:val="00F7312B"/>
    <w:rsid w:val="00F73150"/>
    <w:rsid w:val="00F731C3"/>
    <w:rsid w:val="00F732FD"/>
    <w:rsid w:val="00F73348"/>
    <w:rsid w:val="00F73937"/>
    <w:rsid w:val="00F73995"/>
    <w:rsid w:val="00F73A19"/>
    <w:rsid w:val="00F73D89"/>
    <w:rsid w:val="00F742FD"/>
    <w:rsid w:val="00F74367"/>
    <w:rsid w:val="00F74373"/>
    <w:rsid w:val="00F7456C"/>
    <w:rsid w:val="00F74693"/>
    <w:rsid w:val="00F749A1"/>
    <w:rsid w:val="00F74BF8"/>
    <w:rsid w:val="00F74C33"/>
    <w:rsid w:val="00F74EB3"/>
    <w:rsid w:val="00F75083"/>
    <w:rsid w:val="00F750C7"/>
    <w:rsid w:val="00F753BB"/>
    <w:rsid w:val="00F756D0"/>
    <w:rsid w:val="00F75884"/>
    <w:rsid w:val="00F75D20"/>
    <w:rsid w:val="00F75F22"/>
    <w:rsid w:val="00F7645D"/>
    <w:rsid w:val="00F76528"/>
    <w:rsid w:val="00F76697"/>
    <w:rsid w:val="00F768CE"/>
    <w:rsid w:val="00F76CA5"/>
    <w:rsid w:val="00F76E44"/>
    <w:rsid w:val="00F77A99"/>
    <w:rsid w:val="00F77E97"/>
    <w:rsid w:val="00F80003"/>
    <w:rsid w:val="00F80011"/>
    <w:rsid w:val="00F8014A"/>
    <w:rsid w:val="00F8029D"/>
    <w:rsid w:val="00F80312"/>
    <w:rsid w:val="00F8031D"/>
    <w:rsid w:val="00F80540"/>
    <w:rsid w:val="00F80605"/>
    <w:rsid w:val="00F807FA"/>
    <w:rsid w:val="00F8098B"/>
    <w:rsid w:val="00F80B88"/>
    <w:rsid w:val="00F80CCC"/>
    <w:rsid w:val="00F812A5"/>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01F"/>
    <w:rsid w:val="00F83606"/>
    <w:rsid w:val="00F8366B"/>
    <w:rsid w:val="00F8371A"/>
    <w:rsid w:val="00F83A6E"/>
    <w:rsid w:val="00F83DF8"/>
    <w:rsid w:val="00F84158"/>
    <w:rsid w:val="00F841D8"/>
    <w:rsid w:val="00F84339"/>
    <w:rsid w:val="00F844CE"/>
    <w:rsid w:val="00F844F9"/>
    <w:rsid w:val="00F844FB"/>
    <w:rsid w:val="00F84547"/>
    <w:rsid w:val="00F847DD"/>
    <w:rsid w:val="00F84B06"/>
    <w:rsid w:val="00F84B30"/>
    <w:rsid w:val="00F84D50"/>
    <w:rsid w:val="00F84EBF"/>
    <w:rsid w:val="00F84F1D"/>
    <w:rsid w:val="00F85109"/>
    <w:rsid w:val="00F85348"/>
    <w:rsid w:val="00F85357"/>
    <w:rsid w:val="00F85388"/>
    <w:rsid w:val="00F85968"/>
    <w:rsid w:val="00F85B59"/>
    <w:rsid w:val="00F86082"/>
    <w:rsid w:val="00F862BD"/>
    <w:rsid w:val="00F864BE"/>
    <w:rsid w:val="00F86B62"/>
    <w:rsid w:val="00F876DD"/>
    <w:rsid w:val="00F8771C"/>
    <w:rsid w:val="00F878B8"/>
    <w:rsid w:val="00F87AA3"/>
    <w:rsid w:val="00F87FED"/>
    <w:rsid w:val="00F90334"/>
    <w:rsid w:val="00F90474"/>
    <w:rsid w:val="00F90BCE"/>
    <w:rsid w:val="00F90EF8"/>
    <w:rsid w:val="00F90F38"/>
    <w:rsid w:val="00F910E3"/>
    <w:rsid w:val="00F911F8"/>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067"/>
    <w:rsid w:val="00F942B9"/>
    <w:rsid w:val="00F943F1"/>
    <w:rsid w:val="00F944F5"/>
    <w:rsid w:val="00F94AE1"/>
    <w:rsid w:val="00F94C56"/>
    <w:rsid w:val="00F94EB8"/>
    <w:rsid w:val="00F95151"/>
    <w:rsid w:val="00F952E6"/>
    <w:rsid w:val="00F95381"/>
    <w:rsid w:val="00F95844"/>
    <w:rsid w:val="00F95A2A"/>
    <w:rsid w:val="00F95DF8"/>
    <w:rsid w:val="00F96033"/>
    <w:rsid w:val="00F96163"/>
    <w:rsid w:val="00F9617A"/>
    <w:rsid w:val="00F9626C"/>
    <w:rsid w:val="00F9630D"/>
    <w:rsid w:val="00F96328"/>
    <w:rsid w:val="00F965DB"/>
    <w:rsid w:val="00F9662B"/>
    <w:rsid w:val="00F96A40"/>
    <w:rsid w:val="00F972CB"/>
    <w:rsid w:val="00F9740E"/>
    <w:rsid w:val="00F97490"/>
    <w:rsid w:val="00F9791F"/>
    <w:rsid w:val="00F97BD0"/>
    <w:rsid w:val="00F97CAE"/>
    <w:rsid w:val="00F97E69"/>
    <w:rsid w:val="00F97EA4"/>
    <w:rsid w:val="00FA01FC"/>
    <w:rsid w:val="00FA02FC"/>
    <w:rsid w:val="00FA04BE"/>
    <w:rsid w:val="00FA0702"/>
    <w:rsid w:val="00FA07DE"/>
    <w:rsid w:val="00FA07F2"/>
    <w:rsid w:val="00FA0B4C"/>
    <w:rsid w:val="00FA0DE5"/>
    <w:rsid w:val="00FA0FD4"/>
    <w:rsid w:val="00FA1181"/>
    <w:rsid w:val="00FA120C"/>
    <w:rsid w:val="00FA12B5"/>
    <w:rsid w:val="00FA12BD"/>
    <w:rsid w:val="00FA1308"/>
    <w:rsid w:val="00FA141A"/>
    <w:rsid w:val="00FA18D1"/>
    <w:rsid w:val="00FA1F45"/>
    <w:rsid w:val="00FA1FDC"/>
    <w:rsid w:val="00FA2231"/>
    <w:rsid w:val="00FA22D9"/>
    <w:rsid w:val="00FA238A"/>
    <w:rsid w:val="00FA2427"/>
    <w:rsid w:val="00FA2514"/>
    <w:rsid w:val="00FA25DC"/>
    <w:rsid w:val="00FA26BE"/>
    <w:rsid w:val="00FA2BB1"/>
    <w:rsid w:val="00FA2EC3"/>
    <w:rsid w:val="00FA324A"/>
    <w:rsid w:val="00FA3A4E"/>
    <w:rsid w:val="00FA3D09"/>
    <w:rsid w:val="00FA3DD9"/>
    <w:rsid w:val="00FA3DFB"/>
    <w:rsid w:val="00FA3F68"/>
    <w:rsid w:val="00FA3F7C"/>
    <w:rsid w:val="00FA3FDA"/>
    <w:rsid w:val="00FA434D"/>
    <w:rsid w:val="00FA46E6"/>
    <w:rsid w:val="00FA4883"/>
    <w:rsid w:val="00FA4990"/>
    <w:rsid w:val="00FA4F09"/>
    <w:rsid w:val="00FA4F9B"/>
    <w:rsid w:val="00FA506A"/>
    <w:rsid w:val="00FA51C6"/>
    <w:rsid w:val="00FA5507"/>
    <w:rsid w:val="00FA55C9"/>
    <w:rsid w:val="00FA58EC"/>
    <w:rsid w:val="00FA5B58"/>
    <w:rsid w:val="00FA5EF5"/>
    <w:rsid w:val="00FA6000"/>
    <w:rsid w:val="00FA63ED"/>
    <w:rsid w:val="00FA64C9"/>
    <w:rsid w:val="00FA6883"/>
    <w:rsid w:val="00FA6A65"/>
    <w:rsid w:val="00FA7113"/>
    <w:rsid w:val="00FA75A9"/>
    <w:rsid w:val="00FA7730"/>
    <w:rsid w:val="00FA7756"/>
    <w:rsid w:val="00FA77D7"/>
    <w:rsid w:val="00FA78CA"/>
    <w:rsid w:val="00FA7AB1"/>
    <w:rsid w:val="00FB00B6"/>
    <w:rsid w:val="00FB0276"/>
    <w:rsid w:val="00FB04BA"/>
    <w:rsid w:val="00FB080B"/>
    <w:rsid w:val="00FB087A"/>
    <w:rsid w:val="00FB0D2F"/>
    <w:rsid w:val="00FB123E"/>
    <w:rsid w:val="00FB1814"/>
    <w:rsid w:val="00FB1B9A"/>
    <w:rsid w:val="00FB1CF8"/>
    <w:rsid w:val="00FB1E35"/>
    <w:rsid w:val="00FB1F53"/>
    <w:rsid w:val="00FB25C3"/>
    <w:rsid w:val="00FB272C"/>
    <w:rsid w:val="00FB2A73"/>
    <w:rsid w:val="00FB2B20"/>
    <w:rsid w:val="00FB2C48"/>
    <w:rsid w:val="00FB2E19"/>
    <w:rsid w:val="00FB2F60"/>
    <w:rsid w:val="00FB334E"/>
    <w:rsid w:val="00FB3521"/>
    <w:rsid w:val="00FB3668"/>
    <w:rsid w:val="00FB375E"/>
    <w:rsid w:val="00FB3882"/>
    <w:rsid w:val="00FB3903"/>
    <w:rsid w:val="00FB3909"/>
    <w:rsid w:val="00FB396E"/>
    <w:rsid w:val="00FB3A27"/>
    <w:rsid w:val="00FB3C4D"/>
    <w:rsid w:val="00FB3E00"/>
    <w:rsid w:val="00FB3EA2"/>
    <w:rsid w:val="00FB3FCF"/>
    <w:rsid w:val="00FB41C3"/>
    <w:rsid w:val="00FB4263"/>
    <w:rsid w:val="00FB453C"/>
    <w:rsid w:val="00FB4887"/>
    <w:rsid w:val="00FB4B75"/>
    <w:rsid w:val="00FB4E0A"/>
    <w:rsid w:val="00FB57EE"/>
    <w:rsid w:val="00FB58CE"/>
    <w:rsid w:val="00FB59FB"/>
    <w:rsid w:val="00FB5A5F"/>
    <w:rsid w:val="00FB5CB3"/>
    <w:rsid w:val="00FB5E99"/>
    <w:rsid w:val="00FB642F"/>
    <w:rsid w:val="00FB69EF"/>
    <w:rsid w:val="00FB6A84"/>
    <w:rsid w:val="00FB6AB4"/>
    <w:rsid w:val="00FB6B41"/>
    <w:rsid w:val="00FB6D9E"/>
    <w:rsid w:val="00FB7077"/>
    <w:rsid w:val="00FB7082"/>
    <w:rsid w:val="00FB7177"/>
    <w:rsid w:val="00FB7727"/>
    <w:rsid w:val="00FB79CB"/>
    <w:rsid w:val="00FB7A6C"/>
    <w:rsid w:val="00FB7AF7"/>
    <w:rsid w:val="00FB7B40"/>
    <w:rsid w:val="00FB7C82"/>
    <w:rsid w:val="00FB7F3E"/>
    <w:rsid w:val="00FB7FCB"/>
    <w:rsid w:val="00FC003C"/>
    <w:rsid w:val="00FC09BB"/>
    <w:rsid w:val="00FC09F0"/>
    <w:rsid w:val="00FC0B11"/>
    <w:rsid w:val="00FC0BAC"/>
    <w:rsid w:val="00FC0D2A"/>
    <w:rsid w:val="00FC145E"/>
    <w:rsid w:val="00FC159B"/>
    <w:rsid w:val="00FC1634"/>
    <w:rsid w:val="00FC184B"/>
    <w:rsid w:val="00FC1CD8"/>
    <w:rsid w:val="00FC1D70"/>
    <w:rsid w:val="00FC1E5F"/>
    <w:rsid w:val="00FC1F5B"/>
    <w:rsid w:val="00FC2543"/>
    <w:rsid w:val="00FC256F"/>
    <w:rsid w:val="00FC26A1"/>
    <w:rsid w:val="00FC294D"/>
    <w:rsid w:val="00FC2AF0"/>
    <w:rsid w:val="00FC39B1"/>
    <w:rsid w:val="00FC3B9D"/>
    <w:rsid w:val="00FC3DF4"/>
    <w:rsid w:val="00FC3E0D"/>
    <w:rsid w:val="00FC40D9"/>
    <w:rsid w:val="00FC452F"/>
    <w:rsid w:val="00FC48A4"/>
    <w:rsid w:val="00FC4CED"/>
    <w:rsid w:val="00FC4DA8"/>
    <w:rsid w:val="00FC4E41"/>
    <w:rsid w:val="00FC501F"/>
    <w:rsid w:val="00FC50EF"/>
    <w:rsid w:val="00FC5126"/>
    <w:rsid w:val="00FC5603"/>
    <w:rsid w:val="00FC5ACE"/>
    <w:rsid w:val="00FC656D"/>
    <w:rsid w:val="00FC6895"/>
    <w:rsid w:val="00FC6B16"/>
    <w:rsid w:val="00FC6B44"/>
    <w:rsid w:val="00FC70ED"/>
    <w:rsid w:val="00FC748D"/>
    <w:rsid w:val="00FC77CA"/>
    <w:rsid w:val="00FC7A96"/>
    <w:rsid w:val="00FC7B39"/>
    <w:rsid w:val="00FC7CBA"/>
    <w:rsid w:val="00FD0167"/>
    <w:rsid w:val="00FD01C3"/>
    <w:rsid w:val="00FD01D6"/>
    <w:rsid w:val="00FD022F"/>
    <w:rsid w:val="00FD04DC"/>
    <w:rsid w:val="00FD07B5"/>
    <w:rsid w:val="00FD08ED"/>
    <w:rsid w:val="00FD0A7A"/>
    <w:rsid w:val="00FD0E1F"/>
    <w:rsid w:val="00FD10E9"/>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716"/>
    <w:rsid w:val="00FD37C5"/>
    <w:rsid w:val="00FD3B24"/>
    <w:rsid w:val="00FD3EE7"/>
    <w:rsid w:val="00FD4129"/>
    <w:rsid w:val="00FD446B"/>
    <w:rsid w:val="00FD483E"/>
    <w:rsid w:val="00FD4917"/>
    <w:rsid w:val="00FD56E7"/>
    <w:rsid w:val="00FD5867"/>
    <w:rsid w:val="00FD5917"/>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F0"/>
    <w:rsid w:val="00FD7438"/>
    <w:rsid w:val="00FD74BE"/>
    <w:rsid w:val="00FD74C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0C1C"/>
    <w:rsid w:val="00FE107A"/>
    <w:rsid w:val="00FE1520"/>
    <w:rsid w:val="00FE15D8"/>
    <w:rsid w:val="00FE1A8B"/>
    <w:rsid w:val="00FE1ADA"/>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3DE"/>
    <w:rsid w:val="00FE5956"/>
    <w:rsid w:val="00FE5A68"/>
    <w:rsid w:val="00FE6005"/>
    <w:rsid w:val="00FE63BD"/>
    <w:rsid w:val="00FE63F7"/>
    <w:rsid w:val="00FE6429"/>
    <w:rsid w:val="00FE65E7"/>
    <w:rsid w:val="00FE682D"/>
    <w:rsid w:val="00FE683B"/>
    <w:rsid w:val="00FE68DD"/>
    <w:rsid w:val="00FE70F2"/>
    <w:rsid w:val="00FE7190"/>
    <w:rsid w:val="00FE7734"/>
    <w:rsid w:val="00FE7A3E"/>
    <w:rsid w:val="00FE7D46"/>
    <w:rsid w:val="00FF05A0"/>
    <w:rsid w:val="00FF066B"/>
    <w:rsid w:val="00FF0714"/>
    <w:rsid w:val="00FF09D3"/>
    <w:rsid w:val="00FF0ABB"/>
    <w:rsid w:val="00FF118F"/>
    <w:rsid w:val="00FF1365"/>
    <w:rsid w:val="00FF1716"/>
    <w:rsid w:val="00FF174F"/>
    <w:rsid w:val="00FF1853"/>
    <w:rsid w:val="00FF19E9"/>
    <w:rsid w:val="00FF1F16"/>
    <w:rsid w:val="00FF1F5E"/>
    <w:rsid w:val="00FF1F73"/>
    <w:rsid w:val="00FF2026"/>
    <w:rsid w:val="00FF230B"/>
    <w:rsid w:val="00FF2A70"/>
    <w:rsid w:val="00FF2B42"/>
    <w:rsid w:val="00FF2C5E"/>
    <w:rsid w:val="00FF3164"/>
    <w:rsid w:val="00FF333D"/>
    <w:rsid w:val="00FF340E"/>
    <w:rsid w:val="00FF35DE"/>
    <w:rsid w:val="00FF360B"/>
    <w:rsid w:val="00FF36B0"/>
    <w:rsid w:val="00FF3D6C"/>
    <w:rsid w:val="00FF3F4F"/>
    <w:rsid w:val="00FF4378"/>
    <w:rsid w:val="00FF4536"/>
    <w:rsid w:val="00FF46A9"/>
    <w:rsid w:val="00FF5008"/>
    <w:rsid w:val="00FF5038"/>
    <w:rsid w:val="00FF5282"/>
    <w:rsid w:val="00FF52F4"/>
    <w:rsid w:val="00FF541B"/>
    <w:rsid w:val="00FF55A5"/>
    <w:rsid w:val="00FF56F4"/>
    <w:rsid w:val="00FF5780"/>
    <w:rsid w:val="00FF5A60"/>
    <w:rsid w:val="00FF5B26"/>
    <w:rsid w:val="00FF5DB3"/>
    <w:rsid w:val="00FF62C5"/>
    <w:rsid w:val="00FF641C"/>
    <w:rsid w:val="00FF6766"/>
    <w:rsid w:val="00FF687C"/>
    <w:rsid w:val="00FF6F7C"/>
    <w:rsid w:val="00FF7021"/>
    <w:rsid w:val="00FF739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427BB"/>
  <w15:chartTrackingRefBased/>
  <w15:docId w15:val="{7B0223D7-1EAB-4A70-8BD2-525D4D9A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semiHidden="1" w:unhideWhenUsed="1"/>
    <w:lsdException w:name="HTML Typewriter" w:semiHidden="1" w:unhideWhenUsed="1"/>
    <w:lsdException w:name="HTML Vari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00435"/>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link w:val="Heading7Char"/>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uiPriority w:val="99"/>
    <w:rsid w:val="00500435"/>
    <w:pPr>
      <w:autoSpaceDE w:val="0"/>
      <w:autoSpaceDN w:val="0"/>
      <w:adjustRightInd w:val="0"/>
      <w:jc w:val="both"/>
    </w:pPr>
    <w:rPr>
      <w:lang w:eastAsia="x-none"/>
    </w:rPr>
  </w:style>
  <w:style w:type="character" w:customStyle="1" w:styleId="BodyTextChar">
    <w:name w:val="Body Text Char"/>
    <w:link w:val="BodyText"/>
    <w:uiPriority w:val="99"/>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0">
    <w:name w:val="xl110"/>
    <w:basedOn w:val="Normal"/>
    <w:rsid w:val="004D5D8E"/>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1">
    <w:name w:val="xl111"/>
    <w:basedOn w:val="Normal"/>
    <w:rsid w:val="004D5D8E"/>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2">
    <w:name w:val="xl112"/>
    <w:basedOn w:val="Normal"/>
    <w:rsid w:val="004D5D8E"/>
    <w:pPr>
      <w:spacing w:before="100" w:beforeAutospacing="1" w:after="100" w:afterAutospacing="1"/>
      <w:jc w:val="right"/>
      <w:textAlignment w:val="center"/>
    </w:pPr>
    <w:rPr>
      <w:sz w:val="10"/>
      <w:szCs w:val="10"/>
      <w:lang w:eastAsia="tr-TR"/>
    </w:rPr>
  </w:style>
  <w:style w:type="paragraph" w:customStyle="1" w:styleId="xl113">
    <w:name w:val="xl113"/>
    <w:basedOn w:val="Normal"/>
    <w:rsid w:val="004D5D8E"/>
    <w:pPr>
      <w:spacing w:before="100" w:beforeAutospacing="1" w:after="100" w:afterAutospacing="1"/>
      <w:jc w:val="right"/>
      <w:textAlignment w:val="center"/>
    </w:pPr>
    <w:rPr>
      <w:b/>
      <w:bCs/>
      <w:sz w:val="10"/>
      <w:szCs w:val="10"/>
      <w:lang w:eastAsia="tr-TR"/>
    </w:rPr>
  </w:style>
  <w:style w:type="paragraph" w:customStyle="1" w:styleId="xl114">
    <w:name w:val="xl114"/>
    <w:basedOn w:val="Normal"/>
    <w:rsid w:val="004D5D8E"/>
    <w:pPr>
      <w:pBdr>
        <w:bottom w:val="single" w:sz="8" w:space="0" w:color="auto"/>
      </w:pBdr>
      <w:spacing w:before="100" w:beforeAutospacing="1" w:after="100" w:afterAutospacing="1"/>
      <w:jc w:val="right"/>
      <w:textAlignment w:val="center"/>
    </w:pPr>
    <w:rPr>
      <w:lang w:eastAsia="tr-TR"/>
    </w:rPr>
  </w:style>
  <w:style w:type="paragraph" w:customStyle="1" w:styleId="xl115">
    <w:name w:val="xl115"/>
    <w:basedOn w:val="Normal"/>
    <w:rsid w:val="004D5D8E"/>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6">
    <w:name w:val="xl116"/>
    <w:basedOn w:val="Normal"/>
    <w:rsid w:val="004D5D8E"/>
    <w:pPr>
      <w:pBdr>
        <w:top w:val="double" w:sz="6" w:space="0" w:color="auto"/>
      </w:pBdr>
      <w:spacing w:before="100" w:beforeAutospacing="1" w:after="100" w:afterAutospacing="1"/>
      <w:jc w:val="right"/>
      <w:textAlignment w:val="center"/>
    </w:pPr>
    <w:rPr>
      <w:lang w:eastAsia="tr-TR"/>
    </w:rPr>
  </w:style>
  <w:style w:type="paragraph" w:customStyle="1" w:styleId="xl117">
    <w:name w:val="xl117"/>
    <w:basedOn w:val="Normal"/>
    <w:rsid w:val="004D5D8E"/>
    <w:pPr>
      <w:spacing w:before="100" w:beforeAutospacing="1" w:after="100" w:afterAutospacing="1"/>
      <w:jc w:val="right"/>
      <w:textAlignment w:val="center"/>
    </w:pPr>
    <w:rPr>
      <w:lang w:eastAsia="tr-TR"/>
    </w:rPr>
  </w:style>
  <w:style w:type="character" w:customStyle="1" w:styleId="Heading7Char">
    <w:name w:val="Heading 7 Char"/>
    <w:basedOn w:val="DefaultParagraphFont"/>
    <w:link w:val="Heading7"/>
    <w:rsid w:val="003D608A"/>
    <w:rPr>
      <w:rFonts w:eastAsia="Arial Unicode MS"/>
      <w:b/>
      <w:bCs/>
      <w:lang w:val="tr-T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6324055">
      <w:bodyDiv w:val="1"/>
      <w:marLeft w:val="0"/>
      <w:marRight w:val="0"/>
      <w:marTop w:val="0"/>
      <w:marBottom w:val="0"/>
      <w:divBdr>
        <w:top w:val="none" w:sz="0" w:space="0" w:color="auto"/>
        <w:left w:val="none" w:sz="0" w:space="0" w:color="auto"/>
        <w:bottom w:val="none" w:sz="0" w:space="0" w:color="auto"/>
        <w:right w:val="none" w:sz="0" w:space="0" w:color="auto"/>
      </w:divBdr>
    </w:div>
    <w:div w:id="6563059">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2654525">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7976636">
      <w:bodyDiv w:val="1"/>
      <w:marLeft w:val="0"/>
      <w:marRight w:val="0"/>
      <w:marTop w:val="0"/>
      <w:marBottom w:val="0"/>
      <w:divBdr>
        <w:top w:val="none" w:sz="0" w:space="0" w:color="auto"/>
        <w:left w:val="none" w:sz="0" w:space="0" w:color="auto"/>
        <w:bottom w:val="none" w:sz="0" w:space="0" w:color="auto"/>
        <w:right w:val="none" w:sz="0" w:space="0" w:color="auto"/>
      </w:divBdr>
    </w:div>
    <w:div w:id="19824489">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1905092">
      <w:bodyDiv w:val="1"/>
      <w:marLeft w:val="0"/>
      <w:marRight w:val="0"/>
      <w:marTop w:val="0"/>
      <w:marBottom w:val="0"/>
      <w:divBdr>
        <w:top w:val="none" w:sz="0" w:space="0" w:color="auto"/>
        <w:left w:val="none" w:sz="0" w:space="0" w:color="auto"/>
        <w:bottom w:val="none" w:sz="0" w:space="0" w:color="auto"/>
        <w:right w:val="none" w:sz="0" w:space="0" w:color="auto"/>
      </w:divBdr>
    </w:div>
    <w:div w:id="23872804">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5956499">
      <w:bodyDiv w:val="1"/>
      <w:marLeft w:val="0"/>
      <w:marRight w:val="0"/>
      <w:marTop w:val="0"/>
      <w:marBottom w:val="0"/>
      <w:divBdr>
        <w:top w:val="none" w:sz="0" w:space="0" w:color="auto"/>
        <w:left w:val="none" w:sz="0" w:space="0" w:color="auto"/>
        <w:bottom w:val="none" w:sz="0" w:space="0" w:color="auto"/>
        <w:right w:val="none" w:sz="0" w:space="0" w:color="auto"/>
      </w:divBdr>
    </w:div>
    <w:div w:id="26225700">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6128962">
      <w:bodyDiv w:val="1"/>
      <w:marLeft w:val="0"/>
      <w:marRight w:val="0"/>
      <w:marTop w:val="0"/>
      <w:marBottom w:val="0"/>
      <w:divBdr>
        <w:top w:val="none" w:sz="0" w:space="0" w:color="auto"/>
        <w:left w:val="none" w:sz="0" w:space="0" w:color="auto"/>
        <w:bottom w:val="none" w:sz="0" w:space="0" w:color="auto"/>
        <w:right w:val="none" w:sz="0" w:space="0" w:color="auto"/>
      </w:divBdr>
    </w:div>
    <w:div w:id="36205096">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49232526">
      <w:bodyDiv w:val="1"/>
      <w:marLeft w:val="0"/>
      <w:marRight w:val="0"/>
      <w:marTop w:val="0"/>
      <w:marBottom w:val="0"/>
      <w:divBdr>
        <w:top w:val="none" w:sz="0" w:space="0" w:color="auto"/>
        <w:left w:val="none" w:sz="0" w:space="0" w:color="auto"/>
        <w:bottom w:val="none" w:sz="0" w:space="0" w:color="auto"/>
        <w:right w:val="none" w:sz="0" w:space="0" w:color="auto"/>
      </w:divBdr>
    </w:div>
    <w:div w:id="49232977">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6822539">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1680366">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69816410">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404314">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1490791">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2145098">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81124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277195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9054907">
      <w:bodyDiv w:val="1"/>
      <w:marLeft w:val="0"/>
      <w:marRight w:val="0"/>
      <w:marTop w:val="0"/>
      <w:marBottom w:val="0"/>
      <w:divBdr>
        <w:top w:val="none" w:sz="0" w:space="0" w:color="auto"/>
        <w:left w:val="none" w:sz="0" w:space="0" w:color="auto"/>
        <w:bottom w:val="none" w:sz="0" w:space="0" w:color="auto"/>
        <w:right w:val="none" w:sz="0" w:space="0" w:color="auto"/>
      </w:divBdr>
    </w:div>
    <w:div w:id="109322060">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7459980">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224629">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0153384">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428422">
      <w:bodyDiv w:val="1"/>
      <w:marLeft w:val="0"/>
      <w:marRight w:val="0"/>
      <w:marTop w:val="0"/>
      <w:marBottom w:val="0"/>
      <w:divBdr>
        <w:top w:val="none" w:sz="0" w:space="0" w:color="auto"/>
        <w:left w:val="none" w:sz="0" w:space="0" w:color="auto"/>
        <w:bottom w:val="none" w:sz="0" w:space="0" w:color="auto"/>
        <w:right w:val="none" w:sz="0" w:space="0" w:color="auto"/>
      </w:divBdr>
    </w:div>
    <w:div w:id="123812757">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29519908">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1798397">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563895">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49911229">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2838991">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30554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1244763">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554184">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087438">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1672778">
      <w:bodyDiv w:val="1"/>
      <w:marLeft w:val="0"/>
      <w:marRight w:val="0"/>
      <w:marTop w:val="0"/>
      <w:marBottom w:val="0"/>
      <w:divBdr>
        <w:top w:val="none" w:sz="0" w:space="0" w:color="auto"/>
        <w:left w:val="none" w:sz="0" w:space="0" w:color="auto"/>
        <w:bottom w:val="none" w:sz="0" w:space="0" w:color="auto"/>
        <w:right w:val="none" w:sz="0" w:space="0" w:color="auto"/>
      </w:divBdr>
    </w:div>
    <w:div w:id="182323452">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3910644">
      <w:bodyDiv w:val="1"/>
      <w:marLeft w:val="0"/>
      <w:marRight w:val="0"/>
      <w:marTop w:val="0"/>
      <w:marBottom w:val="0"/>
      <w:divBdr>
        <w:top w:val="none" w:sz="0" w:space="0" w:color="auto"/>
        <w:left w:val="none" w:sz="0" w:space="0" w:color="auto"/>
        <w:bottom w:val="none" w:sz="0" w:space="0" w:color="auto"/>
        <w:right w:val="none" w:sz="0" w:space="0" w:color="auto"/>
      </w:divBdr>
    </w:div>
    <w:div w:id="184100361">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5950375">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7763816">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3539249">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8587141">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2602016">
      <w:bodyDiv w:val="1"/>
      <w:marLeft w:val="0"/>
      <w:marRight w:val="0"/>
      <w:marTop w:val="0"/>
      <w:marBottom w:val="0"/>
      <w:divBdr>
        <w:top w:val="none" w:sz="0" w:space="0" w:color="auto"/>
        <w:left w:val="none" w:sz="0" w:space="0" w:color="auto"/>
        <w:bottom w:val="none" w:sz="0" w:space="0" w:color="auto"/>
        <w:right w:val="none" w:sz="0" w:space="0" w:color="auto"/>
      </w:divBdr>
    </w:div>
    <w:div w:id="202985156">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169193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4774913">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018505">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257708">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30233241">
      <w:bodyDiv w:val="1"/>
      <w:marLeft w:val="0"/>
      <w:marRight w:val="0"/>
      <w:marTop w:val="0"/>
      <w:marBottom w:val="0"/>
      <w:divBdr>
        <w:top w:val="none" w:sz="0" w:space="0" w:color="auto"/>
        <w:left w:val="none" w:sz="0" w:space="0" w:color="auto"/>
        <w:bottom w:val="none" w:sz="0" w:space="0" w:color="auto"/>
        <w:right w:val="none" w:sz="0" w:space="0" w:color="auto"/>
      </w:divBdr>
    </w:div>
    <w:div w:id="231501600">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610658">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8121497">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7325257">
      <w:bodyDiv w:val="1"/>
      <w:marLeft w:val="0"/>
      <w:marRight w:val="0"/>
      <w:marTop w:val="0"/>
      <w:marBottom w:val="0"/>
      <w:divBdr>
        <w:top w:val="none" w:sz="0" w:space="0" w:color="auto"/>
        <w:left w:val="none" w:sz="0" w:space="0" w:color="auto"/>
        <w:bottom w:val="none" w:sz="0" w:space="0" w:color="auto"/>
        <w:right w:val="none" w:sz="0" w:space="0" w:color="auto"/>
      </w:divBdr>
    </w:div>
    <w:div w:id="257567311">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2153101">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097402">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5910245">
      <w:bodyDiv w:val="1"/>
      <w:marLeft w:val="0"/>
      <w:marRight w:val="0"/>
      <w:marTop w:val="0"/>
      <w:marBottom w:val="0"/>
      <w:divBdr>
        <w:top w:val="none" w:sz="0" w:space="0" w:color="auto"/>
        <w:left w:val="none" w:sz="0" w:space="0" w:color="auto"/>
        <w:bottom w:val="none" w:sz="0" w:space="0" w:color="auto"/>
        <w:right w:val="none" w:sz="0" w:space="0" w:color="auto"/>
      </w:divBdr>
    </w:div>
    <w:div w:id="275911913">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958851">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8537566">
      <w:bodyDiv w:val="1"/>
      <w:marLeft w:val="0"/>
      <w:marRight w:val="0"/>
      <w:marTop w:val="0"/>
      <w:marBottom w:val="0"/>
      <w:divBdr>
        <w:top w:val="none" w:sz="0" w:space="0" w:color="auto"/>
        <w:left w:val="none" w:sz="0" w:space="0" w:color="auto"/>
        <w:bottom w:val="none" w:sz="0" w:space="0" w:color="auto"/>
        <w:right w:val="none" w:sz="0" w:space="0" w:color="auto"/>
      </w:divBdr>
    </w:div>
    <w:div w:id="278756026">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3774754">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9553659">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8982584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598187">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23508">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1066362">
      <w:bodyDiv w:val="1"/>
      <w:marLeft w:val="0"/>
      <w:marRight w:val="0"/>
      <w:marTop w:val="0"/>
      <w:marBottom w:val="0"/>
      <w:divBdr>
        <w:top w:val="none" w:sz="0" w:space="0" w:color="auto"/>
        <w:left w:val="none" w:sz="0" w:space="0" w:color="auto"/>
        <w:bottom w:val="none" w:sz="0" w:space="0" w:color="auto"/>
        <w:right w:val="none" w:sz="0" w:space="0" w:color="auto"/>
      </w:divBdr>
    </w:div>
    <w:div w:id="312293840">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1106295">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5613910">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118441">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4065188">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7950772">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494183">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391104">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323408">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622051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847717">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865814">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085163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4742723">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56014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77423">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2535853">
      <w:bodyDiv w:val="1"/>
      <w:marLeft w:val="0"/>
      <w:marRight w:val="0"/>
      <w:marTop w:val="0"/>
      <w:marBottom w:val="0"/>
      <w:divBdr>
        <w:top w:val="none" w:sz="0" w:space="0" w:color="auto"/>
        <w:left w:val="none" w:sz="0" w:space="0" w:color="auto"/>
        <w:bottom w:val="none" w:sz="0" w:space="0" w:color="auto"/>
        <w:right w:val="none" w:sz="0" w:space="0" w:color="auto"/>
      </w:divBdr>
    </w:div>
    <w:div w:id="423838217">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229944">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772340">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2016612">
      <w:bodyDiv w:val="1"/>
      <w:marLeft w:val="0"/>
      <w:marRight w:val="0"/>
      <w:marTop w:val="0"/>
      <w:marBottom w:val="0"/>
      <w:divBdr>
        <w:top w:val="none" w:sz="0" w:space="0" w:color="auto"/>
        <w:left w:val="none" w:sz="0" w:space="0" w:color="auto"/>
        <w:bottom w:val="none" w:sz="0" w:space="0" w:color="auto"/>
        <w:right w:val="none" w:sz="0" w:space="0" w:color="auto"/>
      </w:divBdr>
    </w:div>
    <w:div w:id="432896614">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2773770">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623351">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5778310">
      <w:bodyDiv w:val="1"/>
      <w:marLeft w:val="0"/>
      <w:marRight w:val="0"/>
      <w:marTop w:val="0"/>
      <w:marBottom w:val="0"/>
      <w:divBdr>
        <w:top w:val="none" w:sz="0" w:space="0" w:color="auto"/>
        <w:left w:val="none" w:sz="0" w:space="0" w:color="auto"/>
        <w:bottom w:val="none" w:sz="0" w:space="0" w:color="auto"/>
        <w:right w:val="none" w:sz="0" w:space="0" w:color="auto"/>
      </w:divBdr>
    </w:div>
    <w:div w:id="466628433">
      <w:bodyDiv w:val="1"/>
      <w:marLeft w:val="0"/>
      <w:marRight w:val="0"/>
      <w:marTop w:val="0"/>
      <w:marBottom w:val="0"/>
      <w:divBdr>
        <w:top w:val="none" w:sz="0" w:space="0" w:color="auto"/>
        <w:left w:val="none" w:sz="0" w:space="0" w:color="auto"/>
        <w:bottom w:val="none" w:sz="0" w:space="0" w:color="auto"/>
        <w:right w:val="none" w:sz="0" w:space="0" w:color="auto"/>
      </w:divBdr>
    </w:div>
    <w:div w:id="467093528">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65438">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2770499">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019940">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7479049">
      <w:bodyDiv w:val="1"/>
      <w:marLeft w:val="0"/>
      <w:marRight w:val="0"/>
      <w:marTop w:val="0"/>
      <w:marBottom w:val="0"/>
      <w:divBdr>
        <w:top w:val="none" w:sz="0" w:space="0" w:color="auto"/>
        <w:left w:val="none" w:sz="0" w:space="0" w:color="auto"/>
        <w:bottom w:val="none" w:sz="0" w:space="0" w:color="auto"/>
        <w:right w:val="none" w:sz="0" w:space="0" w:color="auto"/>
      </w:divBdr>
    </w:div>
    <w:div w:id="487864676">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11966">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516913">
      <w:bodyDiv w:val="1"/>
      <w:marLeft w:val="0"/>
      <w:marRight w:val="0"/>
      <w:marTop w:val="0"/>
      <w:marBottom w:val="0"/>
      <w:divBdr>
        <w:top w:val="none" w:sz="0" w:space="0" w:color="auto"/>
        <w:left w:val="none" w:sz="0" w:space="0" w:color="auto"/>
        <w:bottom w:val="none" w:sz="0" w:space="0" w:color="auto"/>
        <w:right w:val="none" w:sz="0" w:space="0" w:color="auto"/>
      </w:divBdr>
    </w:div>
    <w:div w:id="491720493">
      <w:bodyDiv w:val="1"/>
      <w:marLeft w:val="0"/>
      <w:marRight w:val="0"/>
      <w:marTop w:val="0"/>
      <w:marBottom w:val="0"/>
      <w:divBdr>
        <w:top w:val="none" w:sz="0" w:space="0" w:color="auto"/>
        <w:left w:val="none" w:sz="0" w:space="0" w:color="auto"/>
        <w:bottom w:val="none" w:sz="0" w:space="0" w:color="auto"/>
        <w:right w:val="none" w:sz="0" w:space="0" w:color="auto"/>
      </w:divBdr>
    </w:div>
    <w:div w:id="492724273">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355306">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8736991">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203811">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47403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328982">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5850545">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424181">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20244590">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3517024">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5604599">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372591">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433124">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448831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070401">
      <w:bodyDiv w:val="1"/>
      <w:marLeft w:val="0"/>
      <w:marRight w:val="0"/>
      <w:marTop w:val="0"/>
      <w:marBottom w:val="0"/>
      <w:divBdr>
        <w:top w:val="none" w:sz="0" w:space="0" w:color="auto"/>
        <w:left w:val="none" w:sz="0" w:space="0" w:color="auto"/>
        <w:bottom w:val="none" w:sz="0" w:space="0" w:color="auto"/>
        <w:right w:val="none" w:sz="0" w:space="0" w:color="auto"/>
      </w:divBdr>
    </w:div>
    <w:div w:id="5464500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223007">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42835">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32333">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090733">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29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17622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5504861">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4752519">
      <w:bodyDiv w:val="1"/>
      <w:marLeft w:val="0"/>
      <w:marRight w:val="0"/>
      <w:marTop w:val="0"/>
      <w:marBottom w:val="0"/>
      <w:divBdr>
        <w:top w:val="none" w:sz="0" w:space="0" w:color="auto"/>
        <w:left w:val="none" w:sz="0" w:space="0" w:color="auto"/>
        <w:bottom w:val="none" w:sz="0" w:space="0" w:color="auto"/>
        <w:right w:val="none" w:sz="0" w:space="0" w:color="auto"/>
      </w:divBdr>
    </w:div>
    <w:div w:id="595286256">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5620527">
      <w:bodyDiv w:val="1"/>
      <w:marLeft w:val="0"/>
      <w:marRight w:val="0"/>
      <w:marTop w:val="0"/>
      <w:marBottom w:val="0"/>
      <w:divBdr>
        <w:top w:val="none" w:sz="0" w:space="0" w:color="auto"/>
        <w:left w:val="none" w:sz="0" w:space="0" w:color="auto"/>
        <w:bottom w:val="none" w:sz="0" w:space="0" w:color="auto"/>
        <w:right w:val="none" w:sz="0" w:space="0" w:color="auto"/>
      </w:divBdr>
    </w:div>
    <w:div w:id="606816227">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247948">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6331559">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2929388">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30668166">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3409033">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1854951">
      <w:bodyDiv w:val="1"/>
      <w:marLeft w:val="0"/>
      <w:marRight w:val="0"/>
      <w:marTop w:val="0"/>
      <w:marBottom w:val="0"/>
      <w:divBdr>
        <w:top w:val="none" w:sz="0" w:space="0" w:color="auto"/>
        <w:left w:val="none" w:sz="0" w:space="0" w:color="auto"/>
        <w:bottom w:val="none" w:sz="0" w:space="0" w:color="auto"/>
        <w:right w:val="none" w:sz="0" w:space="0" w:color="auto"/>
      </w:divBdr>
    </w:div>
    <w:div w:id="66193119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3974050">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52057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294706">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0932076">
      <w:bodyDiv w:val="1"/>
      <w:marLeft w:val="0"/>
      <w:marRight w:val="0"/>
      <w:marTop w:val="0"/>
      <w:marBottom w:val="0"/>
      <w:divBdr>
        <w:top w:val="none" w:sz="0" w:space="0" w:color="auto"/>
        <w:left w:val="none" w:sz="0" w:space="0" w:color="auto"/>
        <w:bottom w:val="none" w:sz="0" w:space="0" w:color="auto"/>
        <w:right w:val="none" w:sz="0" w:space="0" w:color="auto"/>
      </w:divBdr>
    </w:div>
    <w:div w:id="681586417">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515057">
      <w:bodyDiv w:val="1"/>
      <w:marLeft w:val="0"/>
      <w:marRight w:val="0"/>
      <w:marTop w:val="0"/>
      <w:marBottom w:val="0"/>
      <w:divBdr>
        <w:top w:val="none" w:sz="0" w:space="0" w:color="auto"/>
        <w:left w:val="none" w:sz="0" w:space="0" w:color="auto"/>
        <w:bottom w:val="none" w:sz="0" w:space="0" w:color="auto"/>
        <w:right w:val="none" w:sz="0" w:space="0" w:color="auto"/>
      </w:divBdr>
    </w:div>
    <w:div w:id="682587970">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668610">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323410">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530536">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4235728">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7149681">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0233272">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430740">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301877">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1122428">
      <w:bodyDiv w:val="1"/>
      <w:marLeft w:val="0"/>
      <w:marRight w:val="0"/>
      <w:marTop w:val="0"/>
      <w:marBottom w:val="0"/>
      <w:divBdr>
        <w:top w:val="none" w:sz="0" w:space="0" w:color="auto"/>
        <w:left w:val="none" w:sz="0" w:space="0" w:color="auto"/>
        <w:bottom w:val="none" w:sz="0" w:space="0" w:color="auto"/>
        <w:right w:val="none" w:sz="0" w:space="0" w:color="auto"/>
      </w:divBdr>
    </w:div>
    <w:div w:id="732585677">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38677514">
      <w:bodyDiv w:val="1"/>
      <w:marLeft w:val="0"/>
      <w:marRight w:val="0"/>
      <w:marTop w:val="0"/>
      <w:marBottom w:val="0"/>
      <w:divBdr>
        <w:top w:val="none" w:sz="0" w:space="0" w:color="auto"/>
        <w:left w:val="none" w:sz="0" w:space="0" w:color="auto"/>
        <w:bottom w:val="none" w:sz="0" w:space="0" w:color="auto"/>
        <w:right w:val="none" w:sz="0" w:space="0" w:color="auto"/>
      </w:divBdr>
    </w:div>
    <w:div w:id="739056798">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280323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080518">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471016">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88215">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281365">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046874">
      <w:bodyDiv w:val="1"/>
      <w:marLeft w:val="0"/>
      <w:marRight w:val="0"/>
      <w:marTop w:val="0"/>
      <w:marBottom w:val="0"/>
      <w:divBdr>
        <w:top w:val="none" w:sz="0" w:space="0" w:color="auto"/>
        <w:left w:val="none" w:sz="0" w:space="0" w:color="auto"/>
        <w:bottom w:val="none" w:sz="0" w:space="0" w:color="auto"/>
        <w:right w:val="none" w:sz="0" w:space="0" w:color="auto"/>
      </w:divBdr>
    </w:div>
    <w:div w:id="787503184">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8820410">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992133">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7433029">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8349871">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425794">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800315">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418173">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056381">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5948703">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6749932">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263812">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3500195">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160741">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2479998">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9511984">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801914">
      <w:bodyDiv w:val="1"/>
      <w:marLeft w:val="0"/>
      <w:marRight w:val="0"/>
      <w:marTop w:val="0"/>
      <w:marBottom w:val="0"/>
      <w:divBdr>
        <w:top w:val="none" w:sz="0" w:space="0" w:color="auto"/>
        <w:left w:val="none" w:sz="0" w:space="0" w:color="auto"/>
        <w:bottom w:val="none" w:sz="0" w:space="0" w:color="auto"/>
        <w:right w:val="none" w:sz="0" w:space="0" w:color="auto"/>
      </w:divBdr>
    </w:div>
    <w:div w:id="885874575">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8608784">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2777">
      <w:bodyDiv w:val="1"/>
      <w:marLeft w:val="0"/>
      <w:marRight w:val="0"/>
      <w:marTop w:val="0"/>
      <w:marBottom w:val="0"/>
      <w:divBdr>
        <w:top w:val="none" w:sz="0" w:space="0" w:color="auto"/>
        <w:left w:val="none" w:sz="0" w:space="0" w:color="auto"/>
        <w:bottom w:val="none" w:sz="0" w:space="0" w:color="auto"/>
        <w:right w:val="none" w:sz="0" w:space="0" w:color="auto"/>
      </w:divBdr>
    </w:div>
    <w:div w:id="895240085">
      <w:bodyDiv w:val="1"/>
      <w:marLeft w:val="0"/>
      <w:marRight w:val="0"/>
      <w:marTop w:val="0"/>
      <w:marBottom w:val="0"/>
      <w:divBdr>
        <w:top w:val="none" w:sz="0" w:space="0" w:color="auto"/>
        <w:left w:val="none" w:sz="0" w:space="0" w:color="auto"/>
        <w:bottom w:val="none" w:sz="0" w:space="0" w:color="auto"/>
        <w:right w:val="none" w:sz="0" w:space="0" w:color="auto"/>
      </w:divBdr>
    </w:div>
    <w:div w:id="895815754">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899366495">
      <w:bodyDiv w:val="1"/>
      <w:marLeft w:val="0"/>
      <w:marRight w:val="0"/>
      <w:marTop w:val="0"/>
      <w:marBottom w:val="0"/>
      <w:divBdr>
        <w:top w:val="none" w:sz="0" w:space="0" w:color="auto"/>
        <w:left w:val="none" w:sz="0" w:space="0" w:color="auto"/>
        <w:bottom w:val="none" w:sz="0" w:space="0" w:color="auto"/>
        <w:right w:val="none" w:sz="0" w:space="0" w:color="auto"/>
      </w:divBdr>
    </w:div>
    <w:div w:id="900139528">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2720228">
      <w:bodyDiv w:val="1"/>
      <w:marLeft w:val="0"/>
      <w:marRight w:val="0"/>
      <w:marTop w:val="0"/>
      <w:marBottom w:val="0"/>
      <w:divBdr>
        <w:top w:val="none" w:sz="0" w:space="0" w:color="auto"/>
        <w:left w:val="none" w:sz="0" w:space="0" w:color="auto"/>
        <w:bottom w:val="none" w:sz="0" w:space="0" w:color="auto"/>
        <w:right w:val="none" w:sz="0" w:space="0" w:color="auto"/>
      </w:divBdr>
    </w:div>
    <w:div w:id="902830853">
      <w:bodyDiv w:val="1"/>
      <w:marLeft w:val="0"/>
      <w:marRight w:val="0"/>
      <w:marTop w:val="0"/>
      <w:marBottom w:val="0"/>
      <w:divBdr>
        <w:top w:val="none" w:sz="0" w:space="0" w:color="auto"/>
        <w:left w:val="none" w:sz="0" w:space="0" w:color="auto"/>
        <w:bottom w:val="none" w:sz="0" w:space="0" w:color="auto"/>
        <w:right w:val="none" w:sz="0" w:space="0" w:color="auto"/>
      </w:divBdr>
    </w:div>
    <w:div w:id="903562529">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1662840">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5768336">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285731">
      <w:bodyDiv w:val="1"/>
      <w:marLeft w:val="0"/>
      <w:marRight w:val="0"/>
      <w:marTop w:val="0"/>
      <w:marBottom w:val="0"/>
      <w:divBdr>
        <w:top w:val="none" w:sz="0" w:space="0" w:color="auto"/>
        <w:left w:val="none" w:sz="0" w:space="0" w:color="auto"/>
        <w:bottom w:val="none" w:sz="0" w:space="0" w:color="auto"/>
        <w:right w:val="none" w:sz="0" w:space="0" w:color="auto"/>
      </w:divBdr>
    </w:div>
    <w:div w:id="951403516">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018314">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3292502">
      <w:bodyDiv w:val="1"/>
      <w:marLeft w:val="0"/>
      <w:marRight w:val="0"/>
      <w:marTop w:val="0"/>
      <w:marBottom w:val="0"/>
      <w:divBdr>
        <w:top w:val="none" w:sz="0" w:space="0" w:color="auto"/>
        <w:left w:val="none" w:sz="0" w:space="0" w:color="auto"/>
        <w:bottom w:val="none" w:sz="0" w:space="0" w:color="auto"/>
        <w:right w:val="none" w:sz="0" w:space="0" w:color="auto"/>
      </w:divBdr>
    </w:div>
    <w:div w:id="973830723">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81229381">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88902486">
      <w:bodyDiv w:val="1"/>
      <w:marLeft w:val="0"/>
      <w:marRight w:val="0"/>
      <w:marTop w:val="0"/>
      <w:marBottom w:val="0"/>
      <w:divBdr>
        <w:top w:val="none" w:sz="0" w:space="0" w:color="auto"/>
        <w:left w:val="none" w:sz="0" w:space="0" w:color="auto"/>
        <w:bottom w:val="none" w:sz="0" w:space="0" w:color="auto"/>
        <w:right w:val="none" w:sz="0" w:space="0" w:color="auto"/>
      </w:divBdr>
    </w:div>
    <w:div w:id="989485930">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950481">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1814948">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4666887">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141611">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7851490">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1688707">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348758">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4867585">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563413">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002937">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4542269">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894214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4527528">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8506500">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468972">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430232">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636576">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334724">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1785">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0181694">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1149">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651608">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09546513">
      <w:bodyDiv w:val="1"/>
      <w:marLeft w:val="0"/>
      <w:marRight w:val="0"/>
      <w:marTop w:val="0"/>
      <w:marBottom w:val="0"/>
      <w:divBdr>
        <w:top w:val="none" w:sz="0" w:space="0" w:color="auto"/>
        <w:left w:val="none" w:sz="0" w:space="0" w:color="auto"/>
        <w:bottom w:val="none" w:sz="0" w:space="0" w:color="auto"/>
        <w:right w:val="none" w:sz="0" w:space="0" w:color="auto"/>
      </w:divBdr>
    </w:div>
    <w:div w:id="1109663738">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0394429">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6802848">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690571">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2817160">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9712922">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6995222">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96723">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526971">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4763155">
      <w:bodyDiv w:val="1"/>
      <w:marLeft w:val="0"/>
      <w:marRight w:val="0"/>
      <w:marTop w:val="0"/>
      <w:marBottom w:val="0"/>
      <w:divBdr>
        <w:top w:val="none" w:sz="0" w:space="0" w:color="auto"/>
        <w:left w:val="none" w:sz="0" w:space="0" w:color="auto"/>
        <w:bottom w:val="none" w:sz="0" w:space="0" w:color="auto"/>
        <w:right w:val="none" w:sz="0" w:space="0" w:color="auto"/>
      </w:divBdr>
    </w:div>
    <w:div w:id="1174959200">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118601">
      <w:bodyDiv w:val="1"/>
      <w:marLeft w:val="0"/>
      <w:marRight w:val="0"/>
      <w:marTop w:val="0"/>
      <w:marBottom w:val="0"/>
      <w:divBdr>
        <w:top w:val="none" w:sz="0" w:space="0" w:color="auto"/>
        <w:left w:val="none" w:sz="0" w:space="0" w:color="auto"/>
        <w:bottom w:val="none" w:sz="0" w:space="0" w:color="auto"/>
        <w:right w:val="none" w:sz="0" w:space="0" w:color="auto"/>
      </w:divBdr>
    </w:div>
    <w:div w:id="1176458571">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656416">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102218">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1614">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013994">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139401">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6967385">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0945611">
      <w:bodyDiv w:val="1"/>
      <w:marLeft w:val="0"/>
      <w:marRight w:val="0"/>
      <w:marTop w:val="0"/>
      <w:marBottom w:val="0"/>
      <w:divBdr>
        <w:top w:val="none" w:sz="0" w:space="0" w:color="auto"/>
        <w:left w:val="none" w:sz="0" w:space="0" w:color="auto"/>
        <w:bottom w:val="none" w:sz="0" w:space="0" w:color="auto"/>
        <w:right w:val="none" w:sz="0" w:space="0" w:color="auto"/>
      </w:divBdr>
    </w:div>
    <w:div w:id="1221402347">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2929974">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50428799">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07758">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8345660">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1357321">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5257949">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09190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1931135">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37762">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6081719">
      <w:bodyDiv w:val="1"/>
      <w:marLeft w:val="0"/>
      <w:marRight w:val="0"/>
      <w:marTop w:val="0"/>
      <w:marBottom w:val="0"/>
      <w:divBdr>
        <w:top w:val="none" w:sz="0" w:space="0" w:color="auto"/>
        <w:left w:val="none" w:sz="0" w:space="0" w:color="auto"/>
        <w:bottom w:val="none" w:sz="0" w:space="0" w:color="auto"/>
        <w:right w:val="none" w:sz="0" w:space="0" w:color="auto"/>
      </w:divBdr>
    </w:div>
    <w:div w:id="1326086474">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407809">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731850">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733021">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2898315">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8531970">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491368">
      <w:bodyDiv w:val="1"/>
      <w:marLeft w:val="0"/>
      <w:marRight w:val="0"/>
      <w:marTop w:val="0"/>
      <w:marBottom w:val="0"/>
      <w:divBdr>
        <w:top w:val="none" w:sz="0" w:space="0" w:color="auto"/>
        <w:left w:val="none" w:sz="0" w:space="0" w:color="auto"/>
        <w:bottom w:val="none" w:sz="0" w:space="0" w:color="auto"/>
        <w:right w:val="none" w:sz="0" w:space="0" w:color="auto"/>
      </w:divBdr>
    </w:div>
    <w:div w:id="1370645644">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006115">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0597084">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55701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342213">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09689279">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9327798">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3722571">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05155">
      <w:bodyDiv w:val="1"/>
      <w:marLeft w:val="0"/>
      <w:marRight w:val="0"/>
      <w:marTop w:val="0"/>
      <w:marBottom w:val="0"/>
      <w:divBdr>
        <w:top w:val="none" w:sz="0" w:space="0" w:color="auto"/>
        <w:left w:val="none" w:sz="0" w:space="0" w:color="auto"/>
        <w:bottom w:val="none" w:sz="0" w:space="0" w:color="auto"/>
        <w:right w:val="none" w:sz="0" w:space="0" w:color="auto"/>
      </w:divBdr>
    </w:div>
    <w:div w:id="1432819807">
      <w:bodyDiv w:val="1"/>
      <w:marLeft w:val="0"/>
      <w:marRight w:val="0"/>
      <w:marTop w:val="0"/>
      <w:marBottom w:val="0"/>
      <w:divBdr>
        <w:top w:val="none" w:sz="0" w:space="0" w:color="auto"/>
        <w:left w:val="none" w:sz="0" w:space="0" w:color="auto"/>
        <w:bottom w:val="none" w:sz="0" w:space="0" w:color="auto"/>
        <w:right w:val="none" w:sz="0" w:space="0" w:color="auto"/>
      </w:divBdr>
    </w:div>
    <w:div w:id="1433013012">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211773">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1145762">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7966511">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3865118">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30339">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0565682">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72905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2918305">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6775471">
      <w:bodyDiv w:val="1"/>
      <w:marLeft w:val="0"/>
      <w:marRight w:val="0"/>
      <w:marTop w:val="0"/>
      <w:marBottom w:val="0"/>
      <w:divBdr>
        <w:top w:val="none" w:sz="0" w:space="0" w:color="auto"/>
        <w:left w:val="none" w:sz="0" w:space="0" w:color="auto"/>
        <w:bottom w:val="none" w:sz="0" w:space="0" w:color="auto"/>
        <w:right w:val="none" w:sz="0" w:space="0" w:color="auto"/>
      </w:divBdr>
    </w:div>
    <w:div w:id="1466777107">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133351">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8494953">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8716505">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8769752">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0581303">
      <w:bodyDiv w:val="1"/>
      <w:marLeft w:val="0"/>
      <w:marRight w:val="0"/>
      <w:marTop w:val="0"/>
      <w:marBottom w:val="0"/>
      <w:divBdr>
        <w:top w:val="none" w:sz="0" w:space="0" w:color="auto"/>
        <w:left w:val="none" w:sz="0" w:space="0" w:color="auto"/>
        <w:bottom w:val="none" w:sz="0" w:space="0" w:color="auto"/>
        <w:right w:val="none" w:sz="0" w:space="0" w:color="auto"/>
      </w:divBdr>
    </w:div>
    <w:div w:id="1500999857">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301094">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1747367">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3760343">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154758">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2815696">
      <w:bodyDiv w:val="1"/>
      <w:marLeft w:val="0"/>
      <w:marRight w:val="0"/>
      <w:marTop w:val="0"/>
      <w:marBottom w:val="0"/>
      <w:divBdr>
        <w:top w:val="none" w:sz="0" w:space="0" w:color="auto"/>
        <w:left w:val="none" w:sz="0" w:space="0" w:color="auto"/>
        <w:bottom w:val="none" w:sz="0" w:space="0" w:color="auto"/>
        <w:right w:val="none" w:sz="0" w:space="0" w:color="auto"/>
      </w:divBdr>
    </w:div>
    <w:div w:id="1542864676">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30520">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3274263">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75939">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1481814">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384092">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2735100">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260712">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107487">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7351948">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051580">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7524684">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4800700">
      <w:bodyDiv w:val="1"/>
      <w:marLeft w:val="0"/>
      <w:marRight w:val="0"/>
      <w:marTop w:val="0"/>
      <w:marBottom w:val="0"/>
      <w:divBdr>
        <w:top w:val="none" w:sz="0" w:space="0" w:color="auto"/>
        <w:left w:val="none" w:sz="0" w:space="0" w:color="auto"/>
        <w:bottom w:val="none" w:sz="0" w:space="0" w:color="auto"/>
        <w:right w:val="none" w:sz="0" w:space="0" w:color="auto"/>
      </w:divBdr>
    </w:div>
    <w:div w:id="1625767725">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1590279">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1109625">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237547">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49744788">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5178888">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60189425">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869770">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306186">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0632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46619">
      <w:bodyDiv w:val="1"/>
      <w:marLeft w:val="0"/>
      <w:marRight w:val="0"/>
      <w:marTop w:val="0"/>
      <w:marBottom w:val="0"/>
      <w:divBdr>
        <w:top w:val="none" w:sz="0" w:space="0" w:color="auto"/>
        <w:left w:val="none" w:sz="0" w:space="0" w:color="auto"/>
        <w:bottom w:val="none" w:sz="0" w:space="0" w:color="auto"/>
        <w:right w:val="none" w:sz="0" w:space="0" w:color="auto"/>
      </w:divBdr>
      <w:divsChild>
        <w:div w:id="149292772">
          <w:marLeft w:val="0"/>
          <w:marRight w:val="0"/>
          <w:marTop w:val="0"/>
          <w:marBottom w:val="0"/>
          <w:divBdr>
            <w:top w:val="none" w:sz="0" w:space="0" w:color="auto"/>
            <w:left w:val="none" w:sz="0" w:space="0" w:color="auto"/>
            <w:bottom w:val="none" w:sz="0" w:space="0" w:color="auto"/>
            <w:right w:val="none" w:sz="0" w:space="0" w:color="auto"/>
          </w:divBdr>
        </w:div>
      </w:divsChild>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664662">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173838">
      <w:bodyDiv w:val="1"/>
      <w:marLeft w:val="0"/>
      <w:marRight w:val="0"/>
      <w:marTop w:val="0"/>
      <w:marBottom w:val="0"/>
      <w:divBdr>
        <w:top w:val="none" w:sz="0" w:space="0" w:color="auto"/>
        <w:left w:val="none" w:sz="0" w:space="0" w:color="auto"/>
        <w:bottom w:val="none" w:sz="0" w:space="0" w:color="auto"/>
        <w:right w:val="none" w:sz="0" w:space="0" w:color="auto"/>
      </w:divBdr>
    </w:div>
    <w:div w:id="1706716974">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078044">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8974051">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5056330">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59191">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8964918">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4742646">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3063511">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2433582">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587383">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33487">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154088">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493045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6659799">
      <w:bodyDiv w:val="1"/>
      <w:marLeft w:val="0"/>
      <w:marRight w:val="0"/>
      <w:marTop w:val="0"/>
      <w:marBottom w:val="0"/>
      <w:divBdr>
        <w:top w:val="none" w:sz="0" w:space="0" w:color="auto"/>
        <w:left w:val="none" w:sz="0" w:space="0" w:color="auto"/>
        <w:bottom w:val="none" w:sz="0" w:space="0" w:color="auto"/>
        <w:right w:val="none" w:sz="0" w:space="0" w:color="auto"/>
      </w:divBdr>
    </w:div>
    <w:div w:id="1807818920">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3057114">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40633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499234">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3232903">
      <w:bodyDiv w:val="1"/>
      <w:marLeft w:val="0"/>
      <w:marRight w:val="0"/>
      <w:marTop w:val="0"/>
      <w:marBottom w:val="0"/>
      <w:divBdr>
        <w:top w:val="none" w:sz="0" w:space="0" w:color="auto"/>
        <w:left w:val="none" w:sz="0" w:space="0" w:color="auto"/>
        <w:bottom w:val="none" w:sz="0" w:space="0" w:color="auto"/>
        <w:right w:val="none" w:sz="0" w:space="0" w:color="auto"/>
      </w:divBdr>
    </w:div>
    <w:div w:id="1824202517">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08152">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7476511">
      <w:bodyDiv w:val="1"/>
      <w:marLeft w:val="0"/>
      <w:marRight w:val="0"/>
      <w:marTop w:val="0"/>
      <w:marBottom w:val="0"/>
      <w:divBdr>
        <w:top w:val="none" w:sz="0" w:space="0" w:color="auto"/>
        <w:left w:val="none" w:sz="0" w:space="0" w:color="auto"/>
        <w:bottom w:val="none" w:sz="0" w:space="0" w:color="auto"/>
        <w:right w:val="none" w:sz="0" w:space="0" w:color="auto"/>
      </w:divBdr>
    </w:div>
    <w:div w:id="1828134742">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7845868">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419401">
      <w:bodyDiv w:val="1"/>
      <w:marLeft w:val="0"/>
      <w:marRight w:val="0"/>
      <w:marTop w:val="0"/>
      <w:marBottom w:val="0"/>
      <w:divBdr>
        <w:top w:val="none" w:sz="0" w:space="0" w:color="auto"/>
        <w:left w:val="none" w:sz="0" w:space="0" w:color="auto"/>
        <w:bottom w:val="none" w:sz="0" w:space="0" w:color="auto"/>
        <w:right w:val="none" w:sz="0" w:space="0" w:color="auto"/>
      </w:divBdr>
    </w:div>
    <w:div w:id="1839537179">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150462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49834538">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1942961">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2909261">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1895072">
      <w:bodyDiv w:val="1"/>
      <w:marLeft w:val="0"/>
      <w:marRight w:val="0"/>
      <w:marTop w:val="0"/>
      <w:marBottom w:val="0"/>
      <w:divBdr>
        <w:top w:val="none" w:sz="0" w:space="0" w:color="auto"/>
        <w:left w:val="none" w:sz="0" w:space="0" w:color="auto"/>
        <w:bottom w:val="none" w:sz="0" w:space="0" w:color="auto"/>
        <w:right w:val="none" w:sz="0" w:space="0" w:color="auto"/>
      </w:divBdr>
    </w:div>
    <w:div w:id="1863472324">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0706303">
      <w:bodyDiv w:val="1"/>
      <w:marLeft w:val="0"/>
      <w:marRight w:val="0"/>
      <w:marTop w:val="0"/>
      <w:marBottom w:val="0"/>
      <w:divBdr>
        <w:top w:val="none" w:sz="0" w:space="0" w:color="auto"/>
        <w:left w:val="none" w:sz="0" w:space="0" w:color="auto"/>
        <w:bottom w:val="none" w:sz="0" w:space="0" w:color="auto"/>
        <w:right w:val="none" w:sz="0" w:space="0" w:color="auto"/>
      </w:divBdr>
    </w:div>
    <w:div w:id="1881286789">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050996">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4755792">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8124975">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4901229">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7639562">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3201331">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20211346">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6064997">
      <w:bodyDiv w:val="1"/>
      <w:marLeft w:val="0"/>
      <w:marRight w:val="0"/>
      <w:marTop w:val="0"/>
      <w:marBottom w:val="0"/>
      <w:divBdr>
        <w:top w:val="none" w:sz="0" w:space="0" w:color="auto"/>
        <w:left w:val="none" w:sz="0" w:space="0" w:color="auto"/>
        <w:bottom w:val="none" w:sz="0" w:space="0" w:color="auto"/>
        <w:right w:val="none" w:sz="0" w:space="0" w:color="auto"/>
      </w:divBdr>
    </w:div>
    <w:div w:id="1927110308">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0698255">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5673154">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39680289">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452288">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6841597">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48076245">
      <w:bodyDiv w:val="1"/>
      <w:marLeft w:val="0"/>
      <w:marRight w:val="0"/>
      <w:marTop w:val="0"/>
      <w:marBottom w:val="0"/>
      <w:divBdr>
        <w:top w:val="none" w:sz="0" w:space="0" w:color="auto"/>
        <w:left w:val="none" w:sz="0" w:space="0" w:color="auto"/>
        <w:bottom w:val="none" w:sz="0" w:space="0" w:color="auto"/>
        <w:right w:val="none" w:sz="0" w:space="0" w:color="auto"/>
      </w:divBdr>
    </w:div>
    <w:div w:id="1948194695">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246576">
      <w:bodyDiv w:val="1"/>
      <w:marLeft w:val="0"/>
      <w:marRight w:val="0"/>
      <w:marTop w:val="0"/>
      <w:marBottom w:val="0"/>
      <w:divBdr>
        <w:top w:val="none" w:sz="0" w:space="0" w:color="auto"/>
        <w:left w:val="none" w:sz="0" w:space="0" w:color="auto"/>
        <w:bottom w:val="none" w:sz="0" w:space="0" w:color="auto"/>
        <w:right w:val="none" w:sz="0" w:space="0" w:color="auto"/>
      </w:divBdr>
    </w:div>
    <w:div w:id="1955096262">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1643046">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6813434">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5115952">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224993">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174445">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15631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7342480">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084777">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466913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3995880">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6539998">
      <w:bodyDiv w:val="1"/>
      <w:marLeft w:val="0"/>
      <w:marRight w:val="0"/>
      <w:marTop w:val="0"/>
      <w:marBottom w:val="0"/>
      <w:divBdr>
        <w:top w:val="none" w:sz="0" w:space="0" w:color="auto"/>
        <w:left w:val="none" w:sz="0" w:space="0" w:color="auto"/>
        <w:bottom w:val="none" w:sz="0" w:space="0" w:color="auto"/>
        <w:right w:val="none" w:sz="0" w:space="0" w:color="auto"/>
      </w:divBdr>
    </w:div>
    <w:div w:id="2077236486">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173509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4861472">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099862524">
      <w:bodyDiv w:val="1"/>
      <w:marLeft w:val="0"/>
      <w:marRight w:val="0"/>
      <w:marTop w:val="0"/>
      <w:marBottom w:val="0"/>
      <w:divBdr>
        <w:top w:val="none" w:sz="0" w:space="0" w:color="auto"/>
        <w:left w:val="none" w:sz="0" w:space="0" w:color="auto"/>
        <w:bottom w:val="none" w:sz="0" w:space="0" w:color="auto"/>
        <w:right w:val="none" w:sz="0" w:space="0" w:color="auto"/>
      </w:divBdr>
    </w:div>
    <w:div w:id="210109895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08191763">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785051">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167474">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19986702">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7890141">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638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kuveytturk.com.tr" TargetMode="Externa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5A7C5-888E-4E1E-B554-5958AF38E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83</Pages>
  <Words>36498</Words>
  <Characters>208042</Characters>
  <Application>Microsoft Office Word</Application>
  <DocSecurity>0</DocSecurity>
  <Lines>1733</Lines>
  <Paragraphs>488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244052</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cp:lastModifiedBy>MJT</cp:lastModifiedBy>
  <cp:revision>15</cp:revision>
  <cp:lastPrinted>2019-07-30T20:11:00Z</cp:lastPrinted>
  <dcterms:created xsi:type="dcterms:W3CDTF">2020-11-10T13:58:00Z</dcterms:created>
  <dcterms:modified xsi:type="dcterms:W3CDTF">2020-11-10T14:03:00Z</dcterms:modified>
</cp:coreProperties>
</file>